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left="3661" w:hanging="3661" w:hangingChars="600"/>
        <w:jc w:val="center"/>
        <w:rPr>
          <w:rFonts w:ascii="宋体" w:hAnsi="宋体" w:cs="宋体"/>
          <w:b/>
          <w:bCs/>
          <w:spacing w:val="24"/>
          <w:sz w:val="52"/>
          <w:szCs w:val="52"/>
        </w:rPr>
      </w:pPr>
      <w:r>
        <w:rPr>
          <w:rFonts w:hint="eastAsia" w:ascii="宋体" w:hAnsi="宋体" w:cs="宋体"/>
          <w:b/>
          <w:bCs/>
          <w:spacing w:val="24"/>
          <w:sz w:val="56"/>
          <w:szCs w:val="56"/>
        </w:rPr>
        <w:t>广西振弘建设管理有限公司</w:t>
      </w:r>
    </w:p>
    <w:p>
      <w:pPr>
        <w:pStyle w:val="9"/>
        <w:spacing w:line="288" w:lineRule="auto"/>
        <w:rPr>
          <w:rFonts w:hAnsi="宋体" w:cs="宋体"/>
          <w:spacing w:val="106"/>
          <w:sz w:val="40"/>
        </w:rPr>
      </w:pPr>
      <w:r>
        <w:rPr>
          <w:rFonts w:hAnsi="宋体" w:cs="宋体"/>
          <w:b/>
          <w:sz w:val="52"/>
          <w:szCs w:val="52"/>
        </w:rPr>
        <w:pict>
          <v:shape id="直接连接符 5" o:spid="_x0000_s1026" o:spt="32" type="#_x0000_t32" style="position:absolute;left:0pt;flip:y;margin-left:25.95pt;margin-top:2.9pt;height:3.6pt;width:410.3pt;mso-wrap-distance-bottom:0pt;mso-wrap-distance-top:0pt;z-index:251659264;mso-width-relative:page;mso-height-relative:page;" filled="f" stroked="t" coordsize="21600,21600" o:gfxdata="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HmYYtgAAAAHAQAADwAAAAAAAAABACAAAAAiAAAAZHJzL2Rvd25yZXYueG1sUEsBAhQAFAAAAAgA&#10;h07iQAyFVgvsAQAArQMAAA4AAAAAAAAAAQAgAAAAJwEAAGRycy9lMm9Eb2MueG1sUEsFBgAAAAAG&#10;AAYAWQEAAIUFAAAAAA==&#10;">
            <v:path arrowok="t"/>
            <v:fill on="f" focussize="0,0"/>
            <v:stroke weight="4.5pt" color="#FF0000" linestyle="thinThick"/>
            <v:imagedata o:title=""/>
            <o:lock v:ext="edit"/>
            <w10:wrap type="topAndBottom"/>
          </v:shape>
        </w:pict>
      </w:r>
    </w:p>
    <w:p>
      <w:pPr>
        <w:jc w:val="center"/>
        <w:rPr>
          <w:rFonts w:ascii="宋体" w:hAnsi="宋体" w:cs="宋体"/>
          <w:kern w:val="0"/>
          <w:sz w:val="24"/>
        </w:rPr>
      </w:pPr>
      <w:r>
        <w:rPr>
          <w:rFonts w:ascii="宋体" w:hAnsi="宋体" w:cs="宋体"/>
          <w:kern w:val="0"/>
          <w:sz w:val="24"/>
        </w:rPr>
        <w:pict>
          <v:shape id="_x0000_i1025" o:spt="75" alt="振弘LOGO" type="#_x0000_t75" style="height:229.35pt;width:202.45pt;" filled="f" o:preferrelative="t" stroked="f" coordsize="21600,21600">
            <v:path/>
            <v:fill on="f" focussize="0,0"/>
            <v:stroke on="f"/>
            <v:imagedata r:id="rId11" o:title=""/>
            <o:lock v:ext="edit" aspectratio="t"/>
            <w10:wrap type="none"/>
            <w10:anchorlock/>
          </v:shape>
        </w:pict>
      </w:r>
    </w:p>
    <w:p>
      <w:pPr>
        <w:ind w:firstLine="843" w:firstLineChars="100"/>
        <w:rPr>
          <w:rFonts w:ascii="宋体" w:hAnsi="宋体" w:cs="宋体"/>
          <w:b/>
          <w:sz w:val="84"/>
          <w:szCs w:val="84"/>
        </w:rPr>
      </w:pPr>
      <w:r>
        <w:rPr>
          <w:rFonts w:hint="eastAsia" w:ascii="宋体" w:hAnsi="宋体" w:cs="宋体"/>
          <w:b/>
          <w:sz w:val="84"/>
          <w:szCs w:val="84"/>
        </w:rPr>
        <w:t>竞争性谈判采购文件</w:t>
      </w:r>
    </w:p>
    <w:p>
      <w:pPr>
        <w:jc w:val="center"/>
        <w:rPr>
          <w:rFonts w:ascii="宋体" w:hAnsi="宋体" w:cs="宋体"/>
          <w:b/>
          <w:sz w:val="84"/>
          <w:szCs w:val="84"/>
        </w:rPr>
      </w:pPr>
    </w:p>
    <w:p>
      <w:pPr>
        <w:pStyle w:val="2"/>
      </w:pPr>
    </w:p>
    <w:p>
      <w:pPr>
        <w:jc w:val="center"/>
        <w:rPr>
          <w:rFonts w:hint="eastAsia" w:ascii="宋体" w:hAnsi="宋体" w:eastAsia="宋体" w:cs="宋体"/>
          <w:b/>
          <w:sz w:val="32"/>
          <w:szCs w:val="32"/>
          <w:highlight w:val="none"/>
          <w:lang w:eastAsia="zh-CN"/>
        </w:rPr>
      </w:pPr>
      <w:r>
        <w:rPr>
          <w:rFonts w:hint="eastAsia" w:ascii="宋体" w:hAnsi="宋体" w:cs="宋体"/>
          <w:b/>
          <w:sz w:val="32"/>
          <w:szCs w:val="32"/>
        </w:rPr>
        <w:t>项目名称：</w:t>
      </w:r>
      <w:r>
        <w:rPr>
          <w:rFonts w:hint="eastAsia" w:ascii="宋体" w:hAnsi="宋体" w:cs="宋体"/>
          <w:b/>
          <w:sz w:val="32"/>
          <w:szCs w:val="32"/>
          <w:highlight w:val="none"/>
          <w:lang w:eastAsia="zh-CN"/>
        </w:rPr>
        <w:t>凤山县农村产权流转交易信息平台建设营运基础服务以及县、乡（镇）交易服务场所设施设备采购项目</w:t>
      </w:r>
    </w:p>
    <w:p>
      <w:pPr>
        <w:rPr>
          <w:rFonts w:hint="eastAsia" w:ascii="宋体" w:hAnsi="宋体" w:eastAsia="宋体" w:cs="宋体"/>
          <w:bCs/>
          <w:sz w:val="36"/>
          <w:highlight w:val="non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lang w:eastAsia="zh-CN"/>
        </w:rPr>
        <w:t>HCZC2020-J3-230124-GXZH</w:t>
      </w:r>
    </w:p>
    <w:p>
      <w:pPr>
        <w:spacing w:line="1000" w:lineRule="exact"/>
        <w:ind w:firstLine="904" w:firstLineChars="300"/>
        <w:rPr>
          <w:rFonts w:hint="eastAsia" w:ascii="宋体" w:hAnsi="宋体" w:eastAsia="宋体" w:cs="宋体"/>
          <w:b/>
          <w:bCs/>
          <w:sz w:val="30"/>
          <w:szCs w:val="30"/>
          <w:lang w:eastAsia="zh-CN"/>
        </w:rPr>
      </w:pPr>
      <w:r>
        <w:rPr>
          <w:rFonts w:ascii="宋体" w:hAnsi="宋体" w:cs="宋体"/>
          <w:b/>
          <w:bCs/>
          <w:sz w:val="30"/>
          <w:szCs w:val="30"/>
        </w:rPr>
        <w:pict>
          <v:line id="_x0000_s1027" o:spid="_x0000_s1027" o:spt="20" style="position:absolute;left:0pt;margin-left:-9pt;margin-top:10.5pt;height:0pt;width:447.75pt;z-index:251658240;mso-width-relative:page;mso-height-relative:page;" stroked="t" coordsize="21600,21600" o:gfxdata="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QPnx2QAAAAkB&#10;AAAPAAAAAAAAAAEAIAAAACIAAABkcnMvZG93bnJldi54bWxQSwECFAAUAAAACACHTuJAd/iwuOEB&#10;AAClAwAADgAAAAAAAAABACAAAAAoAQAAZHJzL2Uyb0RvYy54bWxQSwUGAAAAAAYABgBZAQAAewUA&#10;AAAA&#10;">
            <v:path arrowok="t"/>
            <v:fill focussize="0,0"/>
            <v:stroke weight="1.5pt" color="#FF0000"/>
            <v:imagedata o:title=""/>
            <o:lock v:ext="edit"/>
          </v:line>
        </w:pict>
      </w:r>
      <w:r>
        <w:rPr>
          <w:rFonts w:hint="eastAsia" w:ascii="宋体" w:hAnsi="宋体" w:cs="宋体"/>
          <w:b/>
          <w:bCs/>
          <w:sz w:val="30"/>
          <w:szCs w:val="30"/>
        </w:rPr>
        <w:t>采 购 单 位：</w:t>
      </w:r>
      <w:r>
        <w:rPr>
          <w:rFonts w:hint="eastAsia" w:ascii="宋体" w:hAnsi="宋体" w:cs="宋体"/>
          <w:b/>
          <w:bCs/>
          <w:sz w:val="30"/>
          <w:szCs w:val="30"/>
          <w:lang w:eastAsia="zh-CN"/>
        </w:rPr>
        <w:t>凤山县农村经济经营服务中心</w:t>
      </w:r>
    </w:p>
    <w:p>
      <w:pPr>
        <w:spacing w:line="360" w:lineRule="auto"/>
        <w:ind w:firstLine="904" w:firstLineChars="300"/>
        <w:rPr>
          <w:rFonts w:ascii="宋体" w:hAnsi="宋体" w:cs="宋体"/>
          <w:b/>
          <w:sz w:val="30"/>
          <w:szCs w:val="30"/>
        </w:rPr>
      </w:pPr>
      <w:bookmarkStart w:id="0" w:name="_Toc288334598"/>
      <w:bookmarkStart w:id="1" w:name="_Toc288333401"/>
      <w:bookmarkStart w:id="2" w:name="_Toc288334140"/>
      <w:bookmarkStart w:id="3" w:name="_Toc288334363"/>
      <w:bookmarkStart w:id="4" w:name="_Toc288333897"/>
      <w:r>
        <w:rPr>
          <w:rFonts w:hint="eastAsia" w:ascii="宋体" w:hAnsi="宋体" w:cs="宋体"/>
          <w:b/>
          <w:sz w:val="30"/>
          <w:szCs w:val="30"/>
        </w:rPr>
        <w:t>采购代理机构：</w:t>
      </w:r>
      <w:bookmarkEnd w:id="0"/>
      <w:bookmarkEnd w:id="1"/>
      <w:bookmarkEnd w:id="2"/>
      <w:bookmarkEnd w:id="3"/>
      <w:bookmarkEnd w:id="4"/>
      <w:r>
        <w:rPr>
          <w:rFonts w:hint="eastAsia" w:ascii="宋体" w:hAnsi="宋体" w:cs="宋体"/>
          <w:b/>
          <w:sz w:val="30"/>
          <w:szCs w:val="30"/>
        </w:rPr>
        <w:t>广西振弘建设管理有限公司</w:t>
      </w:r>
    </w:p>
    <w:p>
      <w:pPr>
        <w:pStyle w:val="9"/>
        <w:snapToGrid w:val="0"/>
        <w:spacing w:before="120" w:after="120"/>
        <w:ind w:firstLine="2711" w:firstLineChars="900"/>
        <w:outlineLvl w:val="0"/>
        <w:rPr>
          <w:rFonts w:hAnsi="宋体" w:cs="宋体"/>
          <w:b/>
          <w:sz w:val="30"/>
          <w:szCs w:val="30"/>
        </w:rPr>
      </w:pPr>
      <w:bookmarkStart w:id="5" w:name="_Toc288334364"/>
      <w:bookmarkStart w:id="6" w:name="_Toc514061711"/>
      <w:bookmarkStart w:id="7" w:name="_Toc288334599"/>
      <w:bookmarkStart w:id="8" w:name="_Toc13479"/>
      <w:bookmarkStart w:id="9" w:name="_Toc288334141"/>
      <w:bookmarkStart w:id="10" w:name="_Toc288333402"/>
      <w:bookmarkStart w:id="11" w:name="_Toc288333898"/>
      <w:bookmarkStart w:id="12" w:name="_Toc514061667"/>
      <w:r>
        <w:rPr>
          <w:rFonts w:hint="eastAsia" w:hAnsi="宋体" w:cs="宋体"/>
          <w:b/>
          <w:sz w:val="30"/>
          <w:szCs w:val="30"/>
        </w:rPr>
        <w:t>二〇二〇年</w:t>
      </w:r>
      <w:r>
        <w:rPr>
          <w:rFonts w:hint="eastAsia" w:hAnsi="宋体" w:cs="宋体"/>
          <w:b/>
          <w:sz w:val="30"/>
          <w:szCs w:val="30"/>
          <w:lang w:val="en-US" w:eastAsia="zh-CN"/>
        </w:rPr>
        <w:t>十二</w:t>
      </w:r>
      <w:r>
        <w:rPr>
          <w:rFonts w:hint="eastAsia" w:hAnsi="宋体" w:cs="宋体"/>
          <w:b/>
          <w:sz w:val="30"/>
          <w:szCs w:val="30"/>
        </w:rPr>
        <w:t>月</w:t>
      </w:r>
      <w:bookmarkEnd w:id="5"/>
      <w:bookmarkEnd w:id="6"/>
      <w:bookmarkEnd w:id="7"/>
      <w:bookmarkEnd w:id="8"/>
      <w:bookmarkEnd w:id="9"/>
      <w:bookmarkEnd w:id="10"/>
      <w:bookmarkEnd w:id="11"/>
      <w:bookmarkEnd w:id="12"/>
    </w:p>
    <w:p>
      <w:pPr>
        <w:pStyle w:val="9"/>
        <w:snapToGrid w:val="0"/>
        <w:spacing w:before="120" w:after="120"/>
        <w:ind w:firstLine="3750" w:firstLineChars="1245"/>
        <w:outlineLvl w:val="0"/>
        <w:rPr>
          <w:rFonts w:hAnsi="宋体" w:cs="宋体"/>
          <w:b/>
          <w:sz w:val="30"/>
          <w:szCs w:val="30"/>
        </w:rPr>
      </w:pPr>
      <w:r>
        <w:rPr>
          <w:rFonts w:hint="eastAsia" w:hAnsi="宋体" w:cs="宋体"/>
          <w:b/>
          <w:sz w:val="30"/>
          <w:szCs w:val="30"/>
        </w:rPr>
        <w:br w:type="page"/>
      </w:r>
    </w:p>
    <w:p>
      <w:pPr>
        <w:pStyle w:val="9"/>
        <w:snapToGrid w:val="0"/>
        <w:spacing w:before="120" w:after="120"/>
        <w:ind w:firstLine="3855" w:firstLineChars="800"/>
        <w:outlineLvl w:val="0"/>
        <w:rPr>
          <w:rFonts w:hAnsi="宋体" w:cs="宋体"/>
          <w:sz w:val="36"/>
          <w:szCs w:val="36"/>
        </w:rPr>
      </w:pPr>
      <w:r>
        <w:rPr>
          <w:rFonts w:hint="eastAsia" w:hAnsi="宋体" w:cs="宋体"/>
          <w:b/>
          <w:sz w:val="48"/>
          <w:szCs w:val="48"/>
        </w:rPr>
        <w:t>目 录</w:t>
      </w:r>
    </w:p>
    <w:p>
      <w:pPr>
        <w:pStyle w:val="13"/>
        <w:tabs>
          <w:tab w:val="right" w:leader="dot" w:pos="9185"/>
        </w:tabs>
        <w:spacing w:line="600" w:lineRule="auto"/>
        <w:rPr>
          <w:sz w:val="28"/>
          <w:szCs w:val="28"/>
        </w:rPr>
      </w:pPr>
      <w:r>
        <w:rPr>
          <w:rFonts w:hint="eastAsia" w:ascii="宋体" w:hAnsi="宋体" w:cs="宋体"/>
          <w:sz w:val="36"/>
          <w:szCs w:val="36"/>
        </w:rPr>
        <w:fldChar w:fldCharType="begin"/>
      </w:r>
      <w:r>
        <w:rPr>
          <w:rFonts w:hint="eastAsia" w:ascii="宋体" w:hAnsi="宋体" w:cs="宋体"/>
          <w:sz w:val="36"/>
          <w:szCs w:val="36"/>
        </w:rPr>
        <w:instrText xml:space="preserve">TOC \o "1-1" \h \u </w:instrText>
      </w:r>
      <w:r>
        <w:rPr>
          <w:rFonts w:hint="eastAsia" w:ascii="宋体" w:hAnsi="宋体" w:cs="宋体"/>
          <w:sz w:val="36"/>
          <w:szCs w:val="36"/>
        </w:rPr>
        <w:fldChar w:fldCharType="separate"/>
      </w:r>
      <w:r>
        <w:fldChar w:fldCharType="begin"/>
      </w:r>
      <w:r>
        <w:instrText xml:space="preserve"> HYPERLINK \l "_Toc30440" </w:instrText>
      </w:r>
      <w:r>
        <w:fldChar w:fldCharType="separate"/>
      </w:r>
      <w:r>
        <w:rPr>
          <w:rFonts w:hint="eastAsia"/>
          <w:sz w:val="28"/>
          <w:szCs w:val="28"/>
        </w:rPr>
        <w:t>第一章  竞争性谈判采购公告</w:t>
      </w:r>
      <w:r>
        <w:rPr>
          <w:sz w:val="28"/>
          <w:szCs w:val="28"/>
        </w:rPr>
        <w:tab/>
      </w:r>
      <w:r>
        <w:rPr>
          <w:sz w:val="28"/>
          <w:szCs w:val="28"/>
        </w:rPr>
        <w:fldChar w:fldCharType="begin"/>
      </w:r>
      <w:r>
        <w:rPr>
          <w:sz w:val="28"/>
          <w:szCs w:val="28"/>
        </w:rPr>
        <w:instrText xml:space="preserve"> PAGEREF _Toc30440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9185"/>
        </w:tabs>
        <w:spacing w:line="600" w:lineRule="auto"/>
        <w:rPr>
          <w:sz w:val="28"/>
          <w:szCs w:val="28"/>
        </w:rPr>
      </w:pPr>
      <w:r>
        <w:fldChar w:fldCharType="begin"/>
      </w:r>
      <w:r>
        <w:instrText xml:space="preserve"> HYPERLINK \l "_Toc32157" </w:instrText>
      </w:r>
      <w:r>
        <w:fldChar w:fldCharType="separate"/>
      </w:r>
      <w:r>
        <w:rPr>
          <w:rFonts w:hint="eastAsia"/>
          <w:sz w:val="28"/>
          <w:szCs w:val="28"/>
        </w:rPr>
        <w:t>第二章 竞标人须知及前附表</w:t>
      </w:r>
      <w:r>
        <w:rPr>
          <w:sz w:val="28"/>
          <w:szCs w:val="28"/>
        </w:rPr>
        <w:tab/>
      </w:r>
      <w:r>
        <w:rPr>
          <w:sz w:val="28"/>
          <w:szCs w:val="28"/>
        </w:rPr>
        <w:fldChar w:fldCharType="begin"/>
      </w:r>
      <w:r>
        <w:rPr>
          <w:sz w:val="28"/>
          <w:szCs w:val="28"/>
        </w:rPr>
        <w:instrText xml:space="preserve"> PAGEREF _Toc32157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9185"/>
        </w:tabs>
        <w:spacing w:line="600" w:lineRule="auto"/>
        <w:rPr>
          <w:sz w:val="28"/>
          <w:szCs w:val="28"/>
        </w:rPr>
      </w:pPr>
      <w:r>
        <w:fldChar w:fldCharType="begin"/>
      </w:r>
      <w:r>
        <w:instrText xml:space="preserve"> HYPERLINK \l "_Toc23152" </w:instrText>
      </w:r>
      <w:r>
        <w:fldChar w:fldCharType="separate"/>
      </w:r>
      <w:r>
        <w:rPr>
          <w:rFonts w:hint="eastAsia"/>
          <w:sz w:val="28"/>
          <w:szCs w:val="28"/>
        </w:rPr>
        <w:t>第三章 项目需求</w:t>
      </w:r>
      <w:r>
        <w:rPr>
          <w:sz w:val="28"/>
          <w:szCs w:val="28"/>
        </w:rPr>
        <w:tab/>
      </w:r>
      <w:r>
        <w:rPr>
          <w:sz w:val="28"/>
          <w:szCs w:val="28"/>
        </w:rPr>
        <w:fldChar w:fldCharType="begin"/>
      </w:r>
      <w:r>
        <w:rPr>
          <w:sz w:val="28"/>
          <w:szCs w:val="28"/>
        </w:rPr>
        <w:instrText xml:space="preserve"> PAGEREF _Toc23152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3"/>
        <w:tabs>
          <w:tab w:val="right" w:leader="dot" w:pos="9185"/>
        </w:tabs>
        <w:spacing w:line="600" w:lineRule="auto"/>
        <w:rPr>
          <w:sz w:val="28"/>
          <w:szCs w:val="28"/>
        </w:rPr>
      </w:pPr>
      <w:r>
        <w:fldChar w:fldCharType="begin"/>
      </w:r>
      <w:r>
        <w:instrText xml:space="preserve"> HYPERLINK \l "_Toc23685" </w:instrText>
      </w:r>
      <w:r>
        <w:fldChar w:fldCharType="separate"/>
      </w:r>
      <w:r>
        <w:rPr>
          <w:rFonts w:hint="eastAsia"/>
          <w:sz w:val="28"/>
          <w:szCs w:val="28"/>
        </w:rPr>
        <w:t>第四章  谈判响应文件（格式）</w:t>
      </w:r>
      <w:r>
        <w:rPr>
          <w:sz w:val="28"/>
          <w:szCs w:val="28"/>
        </w:rPr>
        <w:tab/>
      </w:r>
      <w:r>
        <w:rPr>
          <w:sz w:val="28"/>
          <w:szCs w:val="28"/>
        </w:rPr>
        <w:fldChar w:fldCharType="begin"/>
      </w:r>
      <w:r>
        <w:rPr>
          <w:sz w:val="28"/>
          <w:szCs w:val="28"/>
        </w:rPr>
        <w:instrText xml:space="preserve"> PAGEREF _Toc23685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3"/>
        <w:tabs>
          <w:tab w:val="right" w:leader="dot" w:pos="9185"/>
        </w:tabs>
        <w:spacing w:line="600" w:lineRule="auto"/>
        <w:rPr>
          <w:sz w:val="28"/>
          <w:szCs w:val="28"/>
        </w:rPr>
      </w:pPr>
      <w:r>
        <w:fldChar w:fldCharType="begin"/>
      </w:r>
      <w:r>
        <w:instrText xml:space="preserve"> HYPERLINK \l "_Toc25162" </w:instrText>
      </w:r>
      <w:r>
        <w:fldChar w:fldCharType="separate"/>
      </w:r>
      <w:r>
        <w:rPr>
          <w:rFonts w:hint="eastAsia"/>
          <w:sz w:val="28"/>
          <w:szCs w:val="28"/>
        </w:rPr>
        <w:t>第五章 合同基本条款及合同书（格式）</w:t>
      </w:r>
      <w:r>
        <w:rPr>
          <w:sz w:val="28"/>
          <w:szCs w:val="28"/>
        </w:rPr>
        <w:tab/>
      </w:r>
      <w:r>
        <w:rPr>
          <w:sz w:val="28"/>
          <w:szCs w:val="28"/>
        </w:rPr>
        <w:fldChar w:fldCharType="begin"/>
      </w:r>
      <w:r>
        <w:rPr>
          <w:sz w:val="28"/>
          <w:szCs w:val="28"/>
        </w:rPr>
        <w:instrText xml:space="preserve"> PAGEREF _Toc25162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3"/>
        <w:tabs>
          <w:tab w:val="right" w:leader="dot" w:pos="9185"/>
        </w:tabs>
        <w:spacing w:line="600" w:lineRule="auto"/>
        <w:rPr>
          <w:sz w:val="36"/>
          <w:szCs w:val="36"/>
        </w:rPr>
      </w:pPr>
      <w:r>
        <w:fldChar w:fldCharType="begin"/>
      </w:r>
      <w:r>
        <w:instrText xml:space="preserve"> HYPERLINK \l "_Toc1610" </w:instrText>
      </w:r>
      <w:r>
        <w:fldChar w:fldCharType="separate"/>
      </w:r>
      <w:r>
        <w:rPr>
          <w:rFonts w:hint="eastAsia"/>
          <w:sz w:val="28"/>
          <w:szCs w:val="28"/>
        </w:rPr>
        <w:t>第六章 评分方法及评分标准</w:t>
      </w:r>
      <w:r>
        <w:rPr>
          <w:sz w:val="28"/>
          <w:szCs w:val="28"/>
        </w:rPr>
        <w:tab/>
      </w:r>
      <w:r>
        <w:rPr>
          <w:sz w:val="28"/>
          <w:szCs w:val="28"/>
        </w:rPr>
        <w:fldChar w:fldCharType="begin"/>
      </w:r>
      <w:r>
        <w:rPr>
          <w:sz w:val="28"/>
          <w:szCs w:val="28"/>
        </w:rPr>
        <w:instrText xml:space="preserve"> PAGEREF _Toc1610 </w:instrText>
      </w:r>
      <w:r>
        <w:rPr>
          <w:sz w:val="28"/>
          <w:szCs w:val="28"/>
        </w:rPr>
        <w:fldChar w:fldCharType="separate"/>
      </w:r>
      <w:r>
        <w:rPr>
          <w:sz w:val="28"/>
          <w:szCs w:val="28"/>
        </w:rPr>
        <w:t>38</w:t>
      </w:r>
      <w:r>
        <w:rPr>
          <w:sz w:val="28"/>
          <w:szCs w:val="28"/>
        </w:rPr>
        <w:fldChar w:fldCharType="end"/>
      </w:r>
      <w:r>
        <w:rPr>
          <w:sz w:val="28"/>
          <w:szCs w:val="28"/>
        </w:rPr>
        <w:fldChar w:fldCharType="end"/>
      </w:r>
    </w:p>
    <w:p>
      <w:pPr>
        <w:spacing w:line="600" w:lineRule="auto"/>
        <w:rPr>
          <w:rFonts w:ascii="宋体" w:hAnsi="宋体" w:cs="宋体"/>
        </w:rPr>
      </w:pPr>
      <w:r>
        <w:rPr>
          <w:rFonts w:hint="eastAsia" w:ascii="宋体" w:hAnsi="宋体" w:cs="宋体"/>
          <w:sz w:val="36"/>
          <w:szCs w:val="36"/>
        </w:rPr>
        <w:fldChar w:fldCharType="end"/>
      </w:r>
    </w:p>
    <w:p>
      <w:pPr>
        <w:pStyle w:val="9"/>
        <w:snapToGrid w:val="0"/>
        <w:spacing w:before="120" w:after="120"/>
        <w:ind w:firstLine="5455" w:firstLineChars="1045"/>
        <w:outlineLvl w:val="0"/>
        <w:rPr>
          <w:rFonts w:hAnsi="宋体" w:cs="宋体"/>
          <w:b/>
          <w:sz w:val="52"/>
          <w:szCs w:val="52"/>
        </w:rPr>
      </w:pPr>
    </w:p>
    <w:p>
      <w:pPr>
        <w:pStyle w:val="9"/>
        <w:snapToGrid w:val="0"/>
        <w:spacing w:before="120" w:after="120"/>
        <w:ind w:firstLine="5455" w:firstLineChars="1045"/>
        <w:outlineLvl w:val="0"/>
        <w:rPr>
          <w:rFonts w:hAnsi="宋体" w:cs="宋体"/>
          <w:b/>
          <w:sz w:val="52"/>
          <w:szCs w:val="52"/>
        </w:rPr>
      </w:pPr>
    </w:p>
    <w:p>
      <w:pPr>
        <w:pStyle w:val="9"/>
        <w:snapToGrid w:val="0"/>
        <w:spacing w:before="120" w:after="120"/>
        <w:ind w:firstLine="5455" w:firstLineChars="1045"/>
        <w:outlineLvl w:val="0"/>
        <w:rPr>
          <w:rFonts w:hAnsi="宋体" w:cs="宋体"/>
          <w:b/>
          <w:sz w:val="52"/>
          <w:szCs w:val="52"/>
        </w:rPr>
      </w:pPr>
    </w:p>
    <w:p>
      <w:pPr>
        <w:pStyle w:val="9"/>
        <w:tabs>
          <w:tab w:val="left" w:pos="6394"/>
        </w:tabs>
        <w:snapToGrid w:val="0"/>
        <w:spacing w:before="120" w:after="120"/>
        <w:ind w:firstLine="5455" w:firstLineChars="1045"/>
        <w:outlineLvl w:val="0"/>
        <w:rPr>
          <w:rFonts w:hAnsi="宋体" w:cs="宋体"/>
          <w:b/>
          <w:sz w:val="52"/>
          <w:szCs w:val="52"/>
        </w:rPr>
      </w:pPr>
      <w:r>
        <w:rPr>
          <w:rFonts w:hint="eastAsia" w:hAnsi="宋体" w:cs="宋体"/>
          <w:b/>
          <w:sz w:val="52"/>
          <w:szCs w:val="52"/>
        </w:rPr>
        <w:tab/>
      </w:r>
    </w:p>
    <w:p>
      <w:pPr>
        <w:pStyle w:val="9"/>
        <w:snapToGrid w:val="0"/>
        <w:spacing w:before="120" w:after="120"/>
        <w:ind w:firstLine="5455" w:firstLineChars="1045"/>
        <w:outlineLvl w:val="0"/>
        <w:rPr>
          <w:rFonts w:hAnsi="宋体" w:cs="宋体"/>
          <w:b/>
          <w:sz w:val="52"/>
          <w:szCs w:val="52"/>
        </w:rPr>
      </w:pPr>
    </w:p>
    <w:p>
      <w:pPr>
        <w:pStyle w:val="9"/>
        <w:snapToGrid w:val="0"/>
        <w:spacing w:before="120" w:after="120"/>
        <w:ind w:firstLine="5455" w:firstLineChars="1045"/>
        <w:outlineLvl w:val="0"/>
        <w:rPr>
          <w:rFonts w:hAnsi="宋体" w:cs="宋体"/>
          <w:b/>
          <w:sz w:val="52"/>
          <w:szCs w:val="52"/>
        </w:rPr>
      </w:pPr>
    </w:p>
    <w:p>
      <w:pPr>
        <w:pStyle w:val="9"/>
        <w:snapToGrid w:val="0"/>
        <w:spacing w:before="120" w:after="120"/>
        <w:ind w:firstLine="5455" w:firstLineChars="1045"/>
        <w:outlineLvl w:val="0"/>
        <w:rPr>
          <w:rFonts w:hAnsi="宋体" w:cs="宋体"/>
          <w:b/>
          <w:sz w:val="52"/>
          <w:szCs w:val="52"/>
        </w:rPr>
      </w:pPr>
    </w:p>
    <w:p>
      <w:pPr>
        <w:pStyle w:val="9"/>
        <w:snapToGrid w:val="0"/>
        <w:spacing w:before="120" w:after="120"/>
        <w:outlineLvl w:val="0"/>
        <w:rPr>
          <w:rFonts w:hAnsi="宋体" w:cs="宋体"/>
          <w:b/>
          <w:sz w:val="52"/>
          <w:szCs w:val="52"/>
        </w:rPr>
      </w:pPr>
    </w:p>
    <w:p>
      <w:pPr>
        <w:pStyle w:val="9"/>
        <w:snapToGrid w:val="0"/>
        <w:spacing w:before="120" w:after="120"/>
        <w:outlineLvl w:val="0"/>
        <w:rPr>
          <w:rFonts w:hAnsi="宋体" w:cs="宋体"/>
          <w:b/>
          <w:sz w:val="52"/>
          <w:szCs w:val="52"/>
        </w:rPr>
      </w:pPr>
    </w:p>
    <w:p>
      <w:pPr>
        <w:jc w:val="left"/>
        <w:rPr>
          <w:rFonts w:ascii="宋体" w:hAnsi="宋体" w:cs="宋体"/>
          <w:b/>
          <w:sz w:val="32"/>
          <w:szCs w:val="32"/>
        </w:rPr>
        <w:sectPr>
          <w:pgSz w:w="11906" w:h="16838"/>
          <w:pgMar w:top="1134" w:right="1134" w:bottom="1134" w:left="1587" w:header="851" w:footer="992" w:gutter="0"/>
          <w:pgNumType w:start="1"/>
          <w:cols w:space="720" w:num="1"/>
          <w:docGrid w:type="lines" w:linePitch="312" w:charSpace="0"/>
        </w:sectPr>
      </w:pPr>
    </w:p>
    <w:p>
      <w:pPr>
        <w:pStyle w:val="4"/>
      </w:pPr>
      <w:bookmarkStart w:id="13" w:name="_Toc30440"/>
      <w:r>
        <w:rPr>
          <w:rFonts w:hint="eastAsia"/>
        </w:rPr>
        <w:t>第一章  竞争性谈判采购公告</w:t>
      </w:r>
      <w:bookmarkEnd w:id="13"/>
    </w:p>
    <w:p>
      <w:pPr>
        <w:keepNext w:val="0"/>
        <w:keepLines w:val="0"/>
        <w:pageBreakBefore w:val="0"/>
        <w:kinsoku/>
        <w:overflowPunct/>
        <w:topLinePunct w:val="0"/>
        <w:autoSpaceDE/>
        <w:autoSpaceDN/>
        <w:bidi w:val="0"/>
        <w:adjustRightInd/>
        <w:snapToGrid/>
        <w:spacing w:beforeAutospacing="0" w:afterAutospacing="0" w:line="440" w:lineRule="exact"/>
        <w:jc w:val="center"/>
        <w:textAlignment w:val="auto"/>
        <w:rPr>
          <w:rFonts w:hint="eastAsia" w:ascii="宋体" w:hAnsi="宋体" w:cs="宋体"/>
          <w:b/>
          <w:sz w:val="28"/>
          <w:szCs w:val="28"/>
        </w:rPr>
      </w:pPr>
      <w:r>
        <w:rPr>
          <w:rFonts w:hint="eastAsia" w:ascii="宋体" w:hAnsi="宋体" w:cs="宋体"/>
          <w:b/>
          <w:sz w:val="28"/>
          <w:szCs w:val="28"/>
        </w:rPr>
        <w:t>广西振弘建设管理有限公司关于</w:t>
      </w:r>
      <w:r>
        <w:rPr>
          <w:rFonts w:hint="eastAsia" w:ascii="宋体" w:hAnsi="宋体" w:cs="宋体"/>
          <w:b/>
          <w:sz w:val="28"/>
          <w:szCs w:val="28"/>
          <w:lang w:eastAsia="zh-CN"/>
        </w:rPr>
        <w:t>凤山县农村产权流转交易信息平台建设营运基础服务以及县、乡（镇）交易服务场所设施设备采购项目</w:t>
      </w:r>
      <w:r>
        <w:rPr>
          <w:rFonts w:hint="eastAsia" w:ascii="宋体" w:hAnsi="宋体" w:cs="宋体"/>
          <w:b/>
          <w:sz w:val="28"/>
          <w:szCs w:val="28"/>
        </w:rPr>
        <w:t>（项目编号：</w:t>
      </w:r>
      <w:r>
        <w:rPr>
          <w:rFonts w:hint="eastAsia" w:ascii="宋体" w:hAnsi="宋体" w:cs="宋体"/>
          <w:b/>
          <w:sz w:val="28"/>
          <w:szCs w:val="28"/>
          <w:lang w:eastAsia="zh-CN"/>
        </w:rPr>
        <w:t>HCZC2020-J3-230124-GXZH</w:t>
      </w:r>
      <w:r>
        <w:rPr>
          <w:rFonts w:hint="eastAsia" w:ascii="宋体" w:hAnsi="宋体" w:cs="宋体"/>
          <w:b/>
          <w:sz w:val="28"/>
          <w:szCs w:val="28"/>
        </w:rPr>
        <w:t>）竞争性谈判采购公告</w:t>
      </w:r>
    </w:p>
    <w:tbl>
      <w:tblPr>
        <w:tblStyle w:val="1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500" w:type="dxa"/>
          </w:tcPr>
          <w:p>
            <w:pPr>
              <w:pStyle w:val="2"/>
              <w:keepNext w:val="0"/>
              <w:keepLines w:val="0"/>
              <w:pageBreakBefore w:val="0"/>
              <w:kinsoku/>
              <w:overflowPunct/>
              <w:topLinePunct w:val="0"/>
              <w:autoSpaceDE/>
              <w:autoSpaceDN/>
              <w:bidi w:val="0"/>
              <w:adjustRightInd/>
              <w:snapToGrid/>
              <w:spacing w:beforeAutospacing="0" w:afterAutospacing="0" w:line="440" w:lineRule="exact"/>
              <w:textAlignment w:val="auto"/>
              <w:rPr>
                <w:rFonts w:hint="eastAsia"/>
                <w:highlight w:val="none"/>
                <w:lang w:val="en-US" w:eastAsia="zh-CN"/>
              </w:rPr>
            </w:pPr>
            <w:r>
              <w:rPr>
                <w:rFonts w:hint="eastAsia"/>
                <w:highlight w:val="none"/>
                <w:lang w:val="en-US" w:eastAsia="zh-CN"/>
              </w:rPr>
              <w:t>项目概况：</w:t>
            </w:r>
          </w:p>
          <w:p>
            <w:pPr>
              <w:pStyle w:val="3"/>
              <w:keepNext w:val="0"/>
              <w:keepLines w:val="0"/>
              <w:pageBreakBefore w:val="0"/>
              <w:kinsoku/>
              <w:overflowPunct/>
              <w:topLinePunct w:val="0"/>
              <w:autoSpaceDE/>
              <w:autoSpaceDN/>
              <w:bidi w:val="0"/>
              <w:adjustRightInd/>
              <w:snapToGrid/>
              <w:spacing w:beforeAutospacing="0" w:afterAutospacing="0" w:line="440" w:lineRule="exact"/>
              <w:ind w:left="0" w:leftChars="0" w:firstLine="480" w:firstLineChars="200"/>
              <w:textAlignment w:val="auto"/>
              <w:rPr>
                <w:rFonts w:hint="default"/>
                <w:highlight w:val="none"/>
                <w:lang w:val="en-US" w:eastAsia="zh-CN"/>
              </w:rPr>
            </w:pPr>
            <w:r>
              <w:rPr>
                <w:rFonts w:hint="eastAsia" w:cs="宋体"/>
                <w:sz w:val="24"/>
                <w:szCs w:val="24"/>
                <w:highlight w:val="none"/>
                <w:u w:val="single"/>
                <w:lang w:eastAsia="zh-CN"/>
              </w:rPr>
              <w:t>凤山县农村产权流转交易信息平台建设营运基础服务以及县、乡（镇）交易服务场所设施设备采购项目</w:t>
            </w:r>
            <w:r>
              <w:rPr>
                <w:rFonts w:hint="eastAsia" w:cs="宋体"/>
                <w:sz w:val="24"/>
                <w:szCs w:val="24"/>
                <w:highlight w:val="none"/>
                <w:u w:val="none"/>
                <w:lang w:val="en-US" w:eastAsia="zh-CN"/>
              </w:rPr>
              <w:t>，请收到采购单位或评审专家书面推荐的供应商在政府采购云平台（网址：</w:t>
            </w:r>
            <w:r>
              <w:rPr>
                <w:rFonts w:hint="eastAsia" w:cs="宋体"/>
                <w:sz w:val="24"/>
                <w:szCs w:val="24"/>
                <w:highlight w:val="none"/>
                <w:u w:val="single"/>
                <w:lang w:val="en-US" w:eastAsia="zh-CN"/>
              </w:rPr>
              <w:fldChar w:fldCharType="begin"/>
            </w:r>
            <w:r>
              <w:rPr>
                <w:rFonts w:hint="eastAsia" w:cs="宋体"/>
                <w:sz w:val="24"/>
                <w:szCs w:val="24"/>
                <w:highlight w:val="none"/>
                <w:u w:val="single"/>
                <w:lang w:val="en-US" w:eastAsia="zh-CN"/>
              </w:rPr>
              <w:instrText xml:space="preserve"> HYPERLINK "https://www.zcygov.cn/）获取竞争性谈判采购文件，并于2020年" </w:instrText>
            </w:r>
            <w:r>
              <w:rPr>
                <w:rFonts w:hint="eastAsia" w:cs="宋体"/>
                <w:sz w:val="24"/>
                <w:szCs w:val="24"/>
                <w:highlight w:val="none"/>
                <w:u w:val="single"/>
                <w:lang w:val="en-US" w:eastAsia="zh-CN"/>
              </w:rPr>
              <w:fldChar w:fldCharType="separate"/>
            </w:r>
            <w:r>
              <w:rPr>
                <w:rStyle w:val="22"/>
                <w:rFonts w:hint="eastAsia" w:cs="宋体"/>
                <w:sz w:val="24"/>
                <w:szCs w:val="24"/>
                <w:highlight w:val="none"/>
                <w:u w:val="none"/>
                <w:lang w:val="en-US" w:eastAsia="zh-CN"/>
              </w:rPr>
              <w:t>https://www.zcygov.cn/）获取竞争性谈判采购文件</w:t>
            </w:r>
            <w:r>
              <w:rPr>
                <w:rStyle w:val="22"/>
                <w:rFonts w:hint="eastAsia" w:cs="宋体"/>
                <w:sz w:val="24"/>
                <w:szCs w:val="24"/>
                <w:highlight w:val="none"/>
                <w:u w:val="single"/>
                <w:lang w:val="en-US" w:eastAsia="zh-CN"/>
              </w:rPr>
              <w:t>，并于2020年</w:t>
            </w:r>
            <w:r>
              <w:rPr>
                <w:rFonts w:hint="eastAsia" w:cs="宋体"/>
                <w:sz w:val="24"/>
                <w:szCs w:val="24"/>
                <w:highlight w:val="none"/>
                <w:u w:val="single"/>
                <w:lang w:val="en-US" w:eastAsia="zh-CN"/>
              </w:rPr>
              <w:fldChar w:fldCharType="end"/>
            </w:r>
            <w:r>
              <w:rPr>
                <w:rFonts w:hint="eastAsia" w:cs="宋体"/>
                <w:sz w:val="24"/>
                <w:szCs w:val="24"/>
                <w:highlight w:val="none"/>
                <w:u w:val="single"/>
                <w:lang w:val="en-US" w:eastAsia="zh-CN"/>
              </w:rPr>
              <w:t>12 月 9 日 10 时30分</w:t>
            </w:r>
            <w:r>
              <w:rPr>
                <w:rFonts w:hint="eastAsia" w:cs="宋体"/>
                <w:sz w:val="24"/>
                <w:szCs w:val="24"/>
                <w:highlight w:val="none"/>
                <w:u w:val="none"/>
                <w:lang w:val="en-US" w:eastAsia="zh-CN"/>
              </w:rPr>
              <w:t>（北京时间）前提交响应文件。</w:t>
            </w:r>
          </w:p>
        </w:tc>
      </w:tr>
    </w:tbl>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sz w:val="24"/>
          <w:szCs w:val="24"/>
          <w:highlight w:val="none"/>
        </w:rPr>
      </w:pPr>
      <w:r>
        <w:rPr>
          <w:rStyle w:val="19"/>
          <w:rFonts w:ascii="宋体" w:hAnsi="宋体" w:eastAsia="宋体" w:cs="宋体"/>
          <w:sz w:val="24"/>
          <w:szCs w:val="24"/>
          <w:highlight w:val="none"/>
        </w:rPr>
        <w:t>一、项目基本情况</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eastAsia="宋体"/>
          <w:sz w:val="24"/>
          <w:szCs w:val="24"/>
          <w:highlight w:val="none"/>
          <w:lang w:eastAsia="zh-CN"/>
        </w:rPr>
      </w:pPr>
      <w:r>
        <w:rPr>
          <w:rFonts w:ascii="宋体" w:hAnsi="宋体" w:eastAsia="宋体" w:cs="宋体"/>
          <w:sz w:val="24"/>
          <w:szCs w:val="24"/>
          <w:highlight w:val="none"/>
        </w:rPr>
        <w:t>项目编号：</w:t>
      </w:r>
      <w:r>
        <w:rPr>
          <w:rFonts w:hint="eastAsia" w:cs="宋体"/>
          <w:sz w:val="24"/>
          <w:szCs w:val="24"/>
          <w:highlight w:val="none"/>
          <w:lang w:eastAsia="zh-CN"/>
        </w:rPr>
        <w:t>HCZC2020-J3-230124-GXZH</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highlight w:val="none"/>
        </w:rPr>
      </w:pPr>
      <w:r>
        <w:rPr>
          <w:rFonts w:ascii="宋体" w:hAnsi="宋体" w:eastAsia="宋体" w:cs="宋体"/>
          <w:sz w:val="24"/>
          <w:szCs w:val="24"/>
          <w:highlight w:val="none"/>
        </w:rPr>
        <w:t>项目名称：</w:t>
      </w:r>
      <w:r>
        <w:rPr>
          <w:rFonts w:hint="eastAsia" w:cs="宋体"/>
          <w:sz w:val="24"/>
          <w:szCs w:val="24"/>
          <w:highlight w:val="none"/>
          <w:lang w:eastAsia="zh-CN"/>
        </w:rPr>
        <w:t>凤山县农村产权流转交易信息平台建设营运基础服务以及县、乡（镇）交易服务场所设施设备采购项目</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采购方式：竞争性谈判</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预算金额（人民币）</w:t>
      </w:r>
      <w:r>
        <w:rPr>
          <w:rFonts w:ascii="宋体" w:hAnsi="宋体" w:eastAsia="宋体" w:cs="宋体"/>
          <w:sz w:val="24"/>
          <w:szCs w:val="24"/>
          <w:highlight w:val="none"/>
        </w:rPr>
        <w:t>：</w:t>
      </w:r>
      <w:r>
        <w:rPr>
          <w:rFonts w:hint="eastAsia" w:cs="宋体"/>
          <w:sz w:val="24"/>
          <w:szCs w:val="24"/>
          <w:highlight w:val="none"/>
          <w:lang w:val="en-US" w:eastAsia="zh-CN"/>
        </w:rPr>
        <w:t>叁拾伍万零贰佰元整（¥350200.00）；</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cs="宋体"/>
          <w:sz w:val="24"/>
          <w:szCs w:val="24"/>
          <w:highlight w:val="none"/>
          <w:lang w:eastAsia="zh-CN"/>
        </w:rPr>
      </w:pPr>
      <w:r>
        <w:rPr>
          <w:rFonts w:hint="eastAsia" w:cs="宋体"/>
          <w:sz w:val="24"/>
          <w:szCs w:val="24"/>
          <w:highlight w:val="none"/>
          <w:lang w:eastAsia="zh-CN"/>
        </w:rPr>
        <w:t>采购需求：</w:t>
      </w:r>
      <w:r>
        <w:rPr>
          <w:rFonts w:hint="eastAsia" w:cs="宋体"/>
          <w:sz w:val="24"/>
          <w:szCs w:val="24"/>
          <w:highlight w:val="none"/>
          <w:lang w:val="en-US" w:eastAsia="zh-CN"/>
        </w:rPr>
        <w:t>凤山县农村产权流转交易信息平台建设营运基础服务以及县、乡（镇）交易服务场所设施设备采购，</w:t>
      </w:r>
      <w:r>
        <w:rPr>
          <w:rFonts w:hint="eastAsia" w:cs="宋体"/>
          <w:sz w:val="24"/>
          <w:szCs w:val="24"/>
          <w:highlight w:val="none"/>
          <w:lang w:eastAsia="zh-CN"/>
        </w:rPr>
        <w:t>如需进一步了解详细内容，详见</w:t>
      </w:r>
      <w:r>
        <w:rPr>
          <w:rFonts w:hint="eastAsia" w:cs="宋体"/>
          <w:sz w:val="24"/>
          <w:szCs w:val="24"/>
          <w:highlight w:val="none"/>
          <w:lang w:val="en-US" w:eastAsia="zh-CN"/>
        </w:rPr>
        <w:t>竞争性谈判采购文件</w:t>
      </w:r>
      <w:r>
        <w:rPr>
          <w:rFonts w:hint="eastAsia" w:cs="宋体"/>
          <w:sz w:val="24"/>
          <w:szCs w:val="24"/>
          <w:highlight w:val="none"/>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highlight w:val="none"/>
        </w:rPr>
      </w:pPr>
      <w:r>
        <w:rPr>
          <w:rFonts w:ascii="宋体" w:hAnsi="宋体" w:eastAsia="宋体" w:cs="宋体"/>
          <w:sz w:val="24"/>
          <w:szCs w:val="24"/>
          <w:highlight w:val="none"/>
        </w:rPr>
        <w:t>合同履行期限：验收合格交付使用后至质保期满一年止。</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highlight w:val="none"/>
        </w:rPr>
      </w:pPr>
      <w:r>
        <w:rPr>
          <w:rFonts w:ascii="宋体" w:hAnsi="宋体" w:eastAsia="宋体" w:cs="宋体"/>
          <w:sz w:val="24"/>
          <w:szCs w:val="24"/>
          <w:highlight w:val="none"/>
        </w:rPr>
        <w:t>本项目不接受联合体。</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sz w:val="24"/>
          <w:szCs w:val="24"/>
        </w:rPr>
      </w:pPr>
      <w:r>
        <w:rPr>
          <w:rStyle w:val="19"/>
          <w:rFonts w:ascii="宋体" w:hAnsi="宋体" w:eastAsia="宋体" w:cs="宋体"/>
          <w:sz w:val="24"/>
          <w:szCs w:val="24"/>
          <w:highlight w:val="none"/>
        </w:rPr>
        <w:t>二、申请人的资格要求：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1.满足《中华人民共和国政府采购法》第二十二条规定；</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ascii="宋体" w:hAnsi="宋体" w:eastAsia="宋体" w:cs="宋体"/>
          <w:sz w:val="24"/>
          <w:szCs w:val="24"/>
        </w:rPr>
      </w:pPr>
      <w:r>
        <w:rPr>
          <w:rFonts w:ascii="宋体" w:hAnsi="宋体" w:eastAsia="宋体" w:cs="宋体"/>
          <w:sz w:val="24"/>
          <w:szCs w:val="24"/>
        </w:rPr>
        <w:t>2.落实政府采购政策需满足的资格要求：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ascii="宋体" w:hAnsi="宋体" w:eastAsia="宋体" w:cs="宋体"/>
          <w:sz w:val="24"/>
          <w:szCs w:val="24"/>
        </w:rPr>
      </w:pPr>
      <w:r>
        <w:rPr>
          <w:rFonts w:hint="eastAsia" w:ascii="宋体" w:hAnsi="宋体" w:eastAsia="宋体" w:cs="宋体"/>
          <w:sz w:val="24"/>
          <w:szCs w:val="24"/>
        </w:rPr>
        <w:t>（1）落实强制采购节能产品、鼓励节能政策：对国家公布的节能产品政府采购清单中属于强制采购的产品，予以强制采购。属于非强制采购的产品，在技术、服务等指标同等条件下，予以优先采购；</w:t>
      </w:r>
      <w:r>
        <w:rPr>
          <w:rFonts w:hint="eastAsia" w:ascii="宋体" w:hAnsi="宋体" w:eastAsia="宋体" w:cs="宋体"/>
          <w:sz w:val="24"/>
          <w:szCs w:val="24"/>
        </w:rPr>
        <w:br w:type="textWrapping"/>
      </w:r>
      <w:r>
        <w:rPr>
          <w:rFonts w:hint="eastAsia" w:ascii="宋体" w:hAnsi="宋体" w:eastAsia="宋体" w:cs="宋体"/>
          <w:sz w:val="24"/>
          <w:szCs w:val="24"/>
        </w:rPr>
        <w:t>  （2）鼓励环保政策：在性能、技术、服务等指标同等条件下，优先采购国家公布的属于环境标志产品政府采购清单中产品；</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ascii="宋体" w:hAnsi="宋体" w:eastAsia="宋体" w:cs="宋体"/>
          <w:sz w:val="24"/>
          <w:szCs w:val="24"/>
        </w:rPr>
      </w:pPr>
      <w:r>
        <w:rPr>
          <w:rFonts w:hint="eastAsia" w:ascii="宋体" w:hAnsi="宋体" w:eastAsia="宋体" w:cs="宋体"/>
          <w:sz w:val="24"/>
          <w:szCs w:val="24"/>
        </w:rPr>
        <w:t>（3）《政府采购促进中小企业发展暂行办法》（财库[2011]181号）；</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ascii="宋体" w:hAnsi="宋体" w:eastAsia="宋体" w:cs="宋体"/>
          <w:sz w:val="24"/>
          <w:szCs w:val="24"/>
        </w:rPr>
      </w:pPr>
      <w:r>
        <w:rPr>
          <w:rFonts w:hint="eastAsia" w:ascii="宋体" w:hAnsi="宋体" w:eastAsia="宋体" w:cs="宋体"/>
          <w:sz w:val="24"/>
          <w:szCs w:val="24"/>
        </w:rPr>
        <w:t>（4）《关于政府采购支持监狱企业发展有关问题的通知》(财库[2014]68号)；</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ascii="宋体" w:hAnsi="宋体" w:eastAsia="宋体" w:cs="宋体"/>
          <w:sz w:val="24"/>
          <w:szCs w:val="24"/>
        </w:rPr>
      </w:pPr>
      <w:r>
        <w:rPr>
          <w:rFonts w:hint="eastAsia" w:ascii="宋体" w:hAnsi="宋体" w:eastAsia="宋体" w:cs="宋体"/>
          <w:sz w:val="24"/>
          <w:szCs w:val="24"/>
        </w:rPr>
        <w:t>（5）《三部门联合发布关于促进残疾人就业政府采购政策的通知》（财库〔2017〕141号）。</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3.本项目的特定资格要求：</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国内注册（指按国家有关规定要求注册的）依法提供或经营范围达到本次采购货物和服务要求，并具备法人（或负责人）资格的供应商</w:t>
      </w:r>
      <w:r>
        <w:rPr>
          <w:rFonts w:ascii="宋体" w:hAnsi="宋体" w:eastAsia="宋体" w:cs="宋体"/>
          <w:sz w:val="24"/>
          <w:szCs w:val="24"/>
        </w:rPr>
        <w:t>。</w:t>
      </w:r>
    </w:p>
    <w:p>
      <w:pPr>
        <w:pStyle w:val="15"/>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240" w:firstLine="240"/>
        <w:textAlignment w:val="auto"/>
        <w:rPr>
          <w:rFonts w:ascii="宋体" w:hAnsi="宋体" w:eastAsia="宋体" w:cs="宋体"/>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已经依法获得采购人</w:t>
      </w:r>
      <w:r>
        <w:rPr>
          <w:rFonts w:hint="eastAsia" w:cs="宋体"/>
          <w:color w:val="auto"/>
          <w:sz w:val="24"/>
          <w:szCs w:val="24"/>
          <w:highlight w:val="none"/>
          <w:lang w:val="en-US" w:eastAsia="zh-CN"/>
        </w:rPr>
        <w:t>或</w:t>
      </w:r>
      <w:r>
        <w:rPr>
          <w:rFonts w:hint="eastAsia" w:ascii="宋体" w:hAnsi="宋体" w:eastAsia="宋体" w:cs="宋体"/>
          <w:color w:val="auto"/>
          <w:sz w:val="24"/>
          <w:szCs w:val="24"/>
          <w:highlight w:val="none"/>
        </w:rPr>
        <w:t>评审专家分别书面推荐的供应商并在规定时间内报名及下载</w:t>
      </w:r>
      <w:r>
        <w:rPr>
          <w:rFonts w:hint="eastAsia" w:cs="宋体"/>
          <w:color w:val="auto"/>
          <w:sz w:val="24"/>
          <w:szCs w:val="24"/>
          <w:highlight w:val="none"/>
          <w:lang w:val="en-US" w:eastAsia="zh-CN"/>
        </w:rPr>
        <w:t>竞争性谈判采购文件</w:t>
      </w:r>
      <w:r>
        <w:rPr>
          <w:rFonts w:hint="eastAsia" w:ascii="宋体" w:hAnsi="宋体" w:eastAsia="宋体" w:cs="宋体"/>
          <w:color w:val="auto"/>
          <w:sz w:val="24"/>
          <w:szCs w:val="24"/>
          <w:highlight w:val="none"/>
        </w:rPr>
        <w:t>的供应商才有资格参与谈判</w:t>
      </w:r>
      <w:r>
        <w:rPr>
          <w:rFonts w:hint="eastAsia" w:cs="宋体"/>
          <w:color w:val="auto"/>
          <w:sz w:val="24"/>
          <w:szCs w:val="24"/>
          <w:highlight w:val="none"/>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highlight w:val="none"/>
        </w:rPr>
        <w:t>（</w:t>
      </w:r>
      <w:r>
        <w:rPr>
          <w:rFonts w:hint="eastAsia" w:cs="宋体"/>
          <w:sz w:val="24"/>
          <w:szCs w:val="24"/>
          <w:highlight w:val="none"/>
          <w:lang w:val="en-US" w:eastAsia="zh-CN"/>
        </w:rPr>
        <w:t>3</w:t>
      </w:r>
      <w:r>
        <w:rPr>
          <w:rFonts w:ascii="宋体" w:hAnsi="宋体" w:eastAsia="宋体" w:cs="宋体"/>
          <w:sz w:val="24"/>
          <w:szCs w:val="24"/>
          <w:highlight w:val="none"/>
        </w:rPr>
        <w:t>）单位负责人为同一人或者存在直接控股、管理关系的不同</w:t>
      </w:r>
      <w:r>
        <w:rPr>
          <w:rFonts w:ascii="宋体" w:hAnsi="宋体" w:eastAsia="宋体" w:cs="宋体"/>
          <w:sz w:val="24"/>
          <w:szCs w:val="24"/>
        </w:rPr>
        <w:t>供应商，不得参加同一合同项下的政府采购活动。除单一来源采购项目外，为采购项目提供整体设计、规范编制或者项目管理、监理、检测等服务的供应商，不得再参加该采购项目的其他采购活动。</w:t>
      </w:r>
    </w:p>
    <w:p>
      <w:pPr>
        <w:pStyle w:val="15"/>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w:t>
      </w:r>
      <w:r>
        <w:rPr>
          <w:rFonts w:hint="eastAsia"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ascii="宋体" w:hAnsi="宋体" w:eastAsia="宋体" w:cs="宋体"/>
          <w:sz w:val="24"/>
          <w:szCs w:val="24"/>
          <w:highlight w:val="none"/>
        </w:rPr>
        <w:t>本项目不接受联合体。</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sz w:val="24"/>
          <w:szCs w:val="24"/>
        </w:rPr>
      </w:pPr>
      <w:r>
        <w:rPr>
          <w:rStyle w:val="19"/>
          <w:rFonts w:ascii="宋体" w:hAnsi="宋体" w:eastAsia="宋体" w:cs="宋体"/>
          <w:sz w:val="24"/>
          <w:szCs w:val="24"/>
        </w:rPr>
        <w:t>三、获取</w:t>
      </w:r>
      <w:r>
        <w:rPr>
          <w:rStyle w:val="19"/>
          <w:rFonts w:hint="eastAsia" w:cs="宋体"/>
          <w:sz w:val="24"/>
          <w:szCs w:val="24"/>
          <w:lang w:val="en-US" w:eastAsia="zh-CN"/>
        </w:rPr>
        <w:t>采购</w:t>
      </w:r>
      <w:r>
        <w:rPr>
          <w:rStyle w:val="19"/>
          <w:rFonts w:ascii="宋体" w:hAnsi="宋体" w:eastAsia="宋体" w:cs="宋体"/>
          <w:sz w:val="24"/>
          <w:szCs w:val="24"/>
        </w:rPr>
        <w:t>文件</w:t>
      </w:r>
    </w:p>
    <w:p>
      <w:pPr>
        <w:pStyle w:val="15"/>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时间：自采购公告发布之日起至竞标截止时间前。</w:t>
      </w:r>
    </w:p>
    <w:p>
      <w:pPr>
        <w:pStyle w:val="15"/>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地点：请收到采购单位或评审专家书面推荐的供应商于规定的时间登陆政府采购云平台（http://www.zcygov.cn/）获取采购文件。</w:t>
      </w:r>
    </w:p>
    <w:p>
      <w:pPr>
        <w:pStyle w:val="15"/>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方式：网上自行下载。本项目不接受现场报名或邮购。</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default" w:eastAsia="宋体"/>
          <w:sz w:val="24"/>
          <w:szCs w:val="24"/>
          <w:lang w:val="en-US" w:eastAsia="zh-CN"/>
        </w:rPr>
      </w:pPr>
      <w:r>
        <w:rPr>
          <w:rStyle w:val="19"/>
          <w:rFonts w:ascii="宋体" w:hAnsi="宋体" w:eastAsia="宋体" w:cs="宋体"/>
          <w:sz w:val="24"/>
          <w:szCs w:val="24"/>
        </w:rPr>
        <w:t>四、</w:t>
      </w:r>
      <w:r>
        <w:rPr>
          <w:rStyle w:val="19"/>
          <w:rFonts w:hint="eastAsia" w:cs="宋体"/>
          <w:sz w:val="24"/>
          <w:szCs w:val="24"/>
          <w:lang w:val="en-US" w:eastAsia="zh-CN"/>
        </w:rPr>
        <w:t>响应文件提交</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eastAsia="宋体"/>
          <w:sz w:val="24"/>
          <w:szCs w:val="24"/>
          <w:lang w:eastAsia="zh-CN"/>
        </w:rPr>
      </w:pPr>
      <w:r>
        <w:rPr>
          <w:rFonts w:hint="eastAsia" w:cs="宋体"/>
          <w:sz w:val="24"/>
          <w:szCs w:val="24"/>
          <w:lang w:val="en-US" w:eastAsia="zh-CN"/>
        </w:rPr>
        <w:t>截止时间：</w:t>
      </w:r>
      <w:r>
        <w:rPr>
          <w:rFonts w:hint="eastAsia" w:cs="宋体"/>
          <w:sz w:val="24"/>
          <w:szCs w:val="24"/>
          <w:lang w:eastAsia="zh-CN"/>
        </w:rPr>
        <w:t>2020年</w:t>
      </w:r>
      <w:r>
        <w:rPr>
          <w:rFonts w:hint="eastAsia" w:cs="宋体"/>
          <w:sz w:val="24"/>
          <w:szCs w:val="24"/>
          <w:lang w:val="en-US" w:eastAsia="zh-CN"/>
        </w:rPr>
        <w:t>12</w:t>
      </w:r>
      <w:r>
        <w:rPr>
          <w:rFonts w:hint="eastAsia" w:cs="宋体"/>
          <w:sz w:val="24"/>
          <w:szCs w:val="24"/>
          <w:lang w:eastAsia="zh-CN"/>
        </w:rPr>
        <w:t>月</w:t>
      </w:r>
      <w:r>
        <w:rPr>
          <w:rFonts w:hint="eastAsia" w:cs="宋体"/>
          <w:sz w:val="24"/>
          <w:szCs w:val="24"/>
          <w:lang w:val="en-US" w:eastAsia="zh-CN"/>
        </w:rPr>
        <w:t>9</w:t>
      </w:r>
      <w:r>
        <w:rPr>
          <w:rFonts w:hint="eastAsia" w:cs="宋体"/>
          <w:sz w:val="24"/>
          <w:szCs w:val="24"/>
          <w:lang w:eastAsia="zh-CN"/>
        </w:rPr>
        <w:t>日</w:t>
      </w:r>
      <w:r>
        <w:rPr>
          <w:rFonts w:hint="eastAsia" w:cs="宋体"/>
          <w:sz w:val="24"/>
          <w:szCs w:val="24"/>
          <w:lang w:val="en-US" w:eastAsia="zh-CN"/>
        </w:rPr>
        <w:t>10时30</w:t>
      </w:r>
      <w:r>
        <w:rPr>
          <w:rFonts w:hint="eastAsia" w:cs="宋体"/>
          <w:sz w:val="24"/>
          <w:szCs w:val="24"/>
          <w:lang w:eastAsia="zh-CN"/>
        </w:rPr>
        <w:t>分</w:t>
      </w:r>
      <w:r>
        <w:rPr>
          <w:rFonts w:ascii="宋体" w:hAnsi="宋体" w:eastAsia="宋体" w:cs="宋体"/>
          <w:sz w:val="24"/>
          <w:szCs w:val="24"/>
        </w:rPr>
        <w:t>（北京时间），逾期送达的将予以拒收</w:t>
      </w:r>
      <w:r>
        <w:rPr>
          <w:rFonts w:hint="eastAsia" w:ascii="宋体" w:hAnsi="宋体" w:eastAsia="宋体" w:cs="宋体"/>
          <w:sz w:val="24"/>
          <w:szCs w:val="24"/>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eastAsia="宋体"/>
          <w:sz w:val="24"/>
          <w:szCs w:val="24"/>
          <w:lang w:eastAsia="zh-CN"/>
        </w:rPr>
      </w:pPr>
      <w:r>
        <w:rPr>
          <w:rFonts w:ascii="宋体" w:hAnsi="宋体" w:eastAsia="宋体" w:cs="宋体"/>
          <w:sz w:val="24"/>
          <w:szCs w:val="24"/>
        </w:rPr>
        <w:t>地点：</w:t>
      </w:r>
      <w:r>
        <w:rPr>
          <w:rFonts w:hint="eastAsia" w:ascii="宋体" w:hAnsi="宋体" w:eastAsia="宋体" w:cs="宋体"/>
          <w:sz w:val="24"/>
          <w:szCs w:val="24"/>
          <w:lang w:val="en-US" w:eastAsia="zh-CN"/>
        </w:rPr>
        <w:t>河池市金城江区城西大道西城铭苑一栋一单元4楼</w:t>
      </w:r>
      <w:r>
        <w:rPr>
          <w:rFonts w:hint="eastAsia" w:cs="宋体"/>
          <w:sz w:val="24"/>
          <w:szCs w:val="24"/>
          <w:lang w:val="en-US" w:eastAsia="zh-CN"/>
        </w:rPr>
        <w:t>401</w:t>
      </w:r>
      <w:r>
        <w:rPr>
          <w:rFonts w:hint="eastAsia" w:ascii="宋体" w:hAnsi="宋体" w:eastAsia="宋体" w:cs="宋体"/>
          <w:sz w:val="24"/>
          <w:szCs w:val="24"/>
          <w:lang w:val="en-US" w:eastAsia="zh-CN"/>
        </w:rPr>
        <w:t>开标室</w:t>
      </w:r>
      <w:r>
        <w:rPr>
          <w:rFonts w:hint="eastAsia" w:ascii="宋体" w:hAnsi="宋体" w:eastAsia="宋体" w:cs="宋体"/>
          <w:sz w:val="24"/>
          <w:szCs w:val="24"/>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eastAsia="宋体"/>
          <w:sz w:val="24"/>
          <w:szCs w:val="24"/>
          <w:lang w:eastAsia="zh-CN"/>
        </w:rPr>
      </w:pPr>
      <w:r>
        <w:rPr>
          <w:rStyle w:val="19"/>
          <w:rFonts w:ascii="宋体" w:hAnsi="宋体" w:eastAsia="宋体" w:cs="宋体"/>
          <w:sz w:val="24"/>
          <w:szCs w:val="24"/>
        </w:rPr>
        <w:t>五、</w:t>
      </w:r>
      <w:r>
        <w:rPr>
          <w:rStyle w:val="19"/>
          <w:rFonts w:hint="eastAsia" w:cs="宋体"/>
          <w:sz w:val="24"/>
          <w:szCs w:val="24"/>
          <w:lang w:val="en-US" w:eastAsia="zh-CN"/>
        </w:rPr>
        <w:t>开启</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ascii="宋体" w:hAnsi="宋体" w:eastAsia="宋体" w:cs="宋体"/>
          <w:sz w:val="24"/>
          <w:szCs w:val="24"/>
          <w:lang w:val="en-US" w:eastAsia="zh-CN"/>
        </w:rPr>
      </w:pPr>
      <w:r>
        <w:rPr>
          <w:rFonts w:hint="eastAsia" w:cs="宋体"/>
          <w:sz w:val="24"/>
          <w:szCs w:val="24"/>
          <w:lang w:val="en-US" w:eastAsia="zh-CN"/>
        </w:rPr>
        <w:t>时间：</w:t>
      </w:r>
      <w:r>
        <w:rPr>
          <w:rFonts w:hint="eastAsia" w:cs="宋体"/>
          <w:sz w:val="24"/>
          <w:szCs w:val="24"/>
          <w:lang w:eastAsia="zh-CN"/>
        </w:rPr>
        <w:t>2020年12月9日10时30分</w:t>
      </w:r>
      <w:r>
        <w:rPr>
          <w:rFonts w:hint="eastAsia" w:cs="宋体"/>
          <w:sz w:val="24"/>
          <w:szCs w:val="24"/>
          <w:lang w:val="en-US" w:eastAsia="zh-CN"/>
        </w:rPr>
        <w:t>（北京时间）</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default" w:ascii="宋体" w:hAnsi="宋体" w:eastAsia="宋体" w:cs="宋体"/>
          <w:sz w:val="24"/>
          <w:szCs w:val="24"/>
          <w:lang w:val="en-US"/>
        </w:rPr>
      </w:pPr>
      <w:r>
        <w:rPr>
          <w:rStyle w:val="19"/>
          <w:rFonts w:hint="eastAsia" w:cs="宋体"/>
          <w:sz w:val="24"/>
          <w:szCs w:val="24"/>
          <w:lang w:val="en-US" w:eastAsia="zh-CN"/>
        </w:rPr>
        <w:t>六</w:t>
      </w:r>
      <w:r>
        <w:rPr>
          <w:rStyle w:val="19"/>
          <w:rFonts w:ascii="宋体" w:hAnsi="宋体" w:eastAsia="宋体" w:cs="宋体"/>
          <w:sz w:val="24"/>
          <w:szCs w:val="24"/>
        </w:rPr>
        <w:t>、</w:t>
      </w:r>
      <w:r>
        <w:rPr>
          <w:rStyle w:val="19"/>
          <w:rFonts w:hint="eastAsia" w:cs="宋体"/>
          <w:sz w:val="24"/>
          <w:szCs w:val="24"/>
          <w:lang w:val="en-US" w:eastAsia="zh-CN"/>
        </w:rPr>
        <w:t>公告期限</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自本公告发布之日起</w:t>
      </w:r>
      <w:r>
        <w:rPr>
          <w:rFonts w:hint="eastAsia" w:cs="宋体"/>
          <w:sz w:val="24"/>
          <w:szCs w:val="24"/>
          <w:lang w:val="en-US" w:eastAsia="zh-CN"/>
        </w:rPr>
        <w:t>3</w:t>
      </w:r>
      <w:r>
        <w:rPr>
          <w:rFonts w:ascii="宋体" w:hAnsi="宋体" w:eastAsia="宋体" w:cs="宋体"/>
          <w:sz w:val="24"/>
          <w:szCs w:val="24"/>
        </w:rPr>
        <w:t>个工作日。</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sz w:val="24"/>
          <w:szCs w:val="24"/>
        </w:rPr>
      </w:pPr>
      <w:r>
        <w:rPr>
          <w:rFonts w:ascii="宋体" w:hAnsi="宋体" w:eastAsia="宋体" w:cs="宋体"/>
          <w:b/>
          <w:sz w:val="24"/>
          <w:szCs w:val="24"/>
        </w:rPr>
        <w:t>六、</w:t>
      </w:r>
      <w:r>
        <w:rPr>
          <w:rStyle w:val="19"/>
          <w:rFonts w:ascii="宋体" w:hAnsi="宋体" w:eastAsia="宋体" w:cs="宋体"/>
          <w:sz w:val="24"/>
          <w:szCs w:val="24"/>
        </w:rPr>
        <w:t>其他补充事宜</w:t>
      </w:r>
    </w:p>
    <w:p>
      <w:pPr>
        <w:pStyle w:val="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rPr>
        <w:t>竞标保证金（人民币）：</w:t>
      </w:r>
      <w:r>
        <w:rPr>
          <w:rFonts w:hint="eastAsia" w:hAnsi="宋体" w:cs="宋体"/>
          <w:b w:val="0"/>
          <w:bCs/>
          <w:color w:val="auto"/>
          <w:sz w:val="24"/>
          <w:szCs w:val="24"/>
          <w:highlight w:val="none"/>
          <w:lang w:val="en-US" w:eastAsia="zh-CN"/>
        </w:rPr>
        <w:t>肆仟元整（¥4000.00）</w:t>
      </w:r>
      <w:r>
        <w:rPr>
          <w:rFonts w:hint="eastAsia" w:hAnsi="宋体" w:cs="宋体"/>
          <w:color w:val="auto"/>
          <w:sz w:val="24"/>
          <w:szCs w:val="24"/>
          <w:highlight w:val="none"/>
        </w:rPr>
        <w:t>，竞标保证金在竞标有效期内保持有效。</w:t>
      </w:r>
    </w:p>
    <w:p>
      <w:pPr>
        <w:pStyle w:val="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竞标</w:t>
      </w:r>
      <w:r>
        <w:rPr>
          <w:rFonts w:hint="eastAsia" w:hAnsi="宋体" w:cs="宋体"/>
          <w:color w:val="auto"/>
          <w:sz w:val="24"/>
          <w:szCs w:val="24"/>
          <w:highlight w:val="none"/>
          <w:lang w:val="en-US" w:eastAsia="zh-CN"/>
        </w:rPr>
        <w:t>人</w:t>
      </w:r>
      <w:r>
        <w:rPr>
          <w:rFonts w:hint="eastAsia" w:hAnsi="宋体" w:cs="宋体"/>
          <w:color w:val="auto"/>
          <w:sz w:val="24"/>
          <w:szCs w:val="24"/>
          <w:highlight w:val="none"/>
        </w:rPr>
        <w:t>应于竞标截止时间</w:t>
      </w:r>
      <w:r>
        <w:rPr>
          <w:rFonts w:hint="eastAsia" w:hAnsi="宋体" w:cs="宋体"/>
          <w:color w:val="auto"/>
          <w:sz w:val="24"/>
          <w:szCs w:val="24"/>
          <w:highlight w:val="none"/>
          <w:lang w:eastAsia="zh-CN"/>
        </w:rPr>
        <w:t>前</w:t>
      </w:r>
      <w:r>
        <w:rPr>
          <w:rFonts w:hint="eastAsia" w:hAnsi="宋体" w:cs="宋体"/>
          <w:color w:val="auto"/>
          <w:sz w:val="24"/>
          <w:szCs w:val="24"/>
          <w:highlight w:val="none"/>
        </w:rPr>
        <w:t>将竞标保证金从竞标人的基本账户以转帐、电汇形式交至</w:t>
      </w:r>
      <w:r>
        <w:rPr>
          <w:rFonts w:hint="eastAsia" w:hAnsi="宋体" w:cs="宋体"/>
          <w:color w:val="auto"/>
          <w:sz w:val="24"/>
          <w:szCs w:val="24"/>
          <w:highlight w:val="none"/>
          <w:lang w:val="en-US" w:eastAsia="zh-CN"/>
        </w:rPr>
        <w:t>采购</w:t>
      </w:r>
      <w:r>
        <w:rPr>
          <w:rFonts w:hint="eastAsia" w:hAnsi="宋体" w:cs="宋体"/>
          <w:color w:val="auto"/>
          <w:sz w:val="24"/>
          <w:szCs w:val="24"/>
          <w:highlight w:val="none"/>
        </w:rPr>
        <w:t>代理</w:t>
      </w:r>
      <w:r>
        <w:rPr>
          <w:rFonts w:hint="eastAsia" w:hAnsi="宋体" w:cs="宋体"/>
          <w:color w:val="auto"/>
          <w:sz w:val="24"/>
          <w:szCs w:val="24"/>
          <w:highlight w:val="none"/>
          <w:lang w:val="en-US" w:eastAsia="zh-CN"/>
        </w:rPr>
        <w:t>机构的</w:t>
      </w:r>
      <w:r>
        <w:rPr>
          <w:rFonts w:hint="eastAsia" w:hAnsi="宋体" w:cs="宋体"/>
          <w:color w:val="auto"/>
          <w:sz w:val="24"/>
          <w:szCs w:val="24"/>
          <w:highlight w:val="none"/>
        </w:rPr>
        <w:t>指定账户。</w:t>
      </w:r>
    </w:p>
    <w:p>
      <w:pPr>
        <w:pStyle w:val="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开户名称：广西振弘建设管理有限公司河池分公司；</w:t>
      </w:r>
    </w:p>
    <w:p>
      <w:pPr>
        <w:pStyle w:val="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开户银行：中国建设银行股份有限公司河池惠文支行；</w:t>
      </w:r>
    </w:p>
    <w:p>
      <w:pPr>
        <w:pStyle w:val="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帐    号：4505 0169 0909 0000 0141</w:t>
      </w:r>
    </w:p>
    <w:p>
      <w:pPr>
        <w:pStyle w:val="2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（注：竞标人在缴纳竞标保证金时，需在进账凭证上明确资金用途和竞标项目名称或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编号，并到广西振弘建设管理有限公司河池分公司换取</w:t>
      </w:r>
      <w:r>
        <w:rPr>
          <w:rFonts w:hint="eastAsia" w:ascii="宋体" w:hAnsi="宋体" w:cs="宋体"/>
          <w:color w:val="auto"/>
          <w:sz w:val="24"/>
          <w:highlight w:val="none"/>
          <w:lang w:val="en-US" w:eastAsia="zh-CN"/>
        </w:rPr>
        <w:t>竞标</w:t>
      </w:r>
      <w:r>
        <w:rPr>
          <w:rFonts w:hint="eastAsia" w:ascii="宋体" w:hAnsi="宋体" w:cs="宋体"/>
          <w:color w:val="auto"/>
          <w:sz w:val="24"/>
          <w:highlight w:val="none"/>
        </w:rPr>
        <w:t>保证金到账证明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否则视作无效竞标处理。</w:t>
      </w:r>
      <w:r>
        <w:rPr>
          <w:rFonts w:hint="eastAsia" w:ascii="宋体" w:hAnsi="宋体" w:cs="宋体"/>
          <w:color w:val="auto"/>
          <w:sz w:val="24"/>
          <w:highlight w:val="none"/>
        </w:rPr>
        <w:t>）</w:t>
      </w:r>
    </w:p>
    <w:p>
      <w:pPr>
        <w:pStyle w:val="29"/>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2、网上查询地址：中国政府采购网（www.ccgp.</w:t>
      </w:r>
      <w:r>
        <w:rPr>
          <w:rFonts w:hint="eastAsia" w:ascii="宋体" w:hAnsi="宋体" w:eastAsia="宋体" w:cs="宋体"/>
          <w:sz w:val="24"/>
          <w:szCs w:val="24"/>
          <w:lang w:eastAsia="zh-CN"/>
        </w:rPr>
        <w:t>gov</w:t>
      </w:r>
      <w:r>
        <w:rPr>
          <w:rFonts w:hint="eastAsia" w:ascii="宋体" w:hAnsi="宋体" w:eastAsia="宋体" w:cs="宋体"/>
          <w:sz w:val="24"/>
          <w:szCs w:val="24"/>
        </w:rPr>
        <w:t>.cn）、广西壮族自治区政府采购网（www.gxzfcg.</w:t>
      </w:r>
      <w:r>
        <w:rPr>
          <w:rFonts w:hint="eastAsia" w:ascii="宋体" w:hAnsi="宋体" w:eastAsia="宋体" w:cs="宋体"/>
          <w:sz w:val="24"/>
          <w:szCs w:val="24"/>
          <w:lang w:eastAsia="zh-CN"/>
        </w:rPr>
        <w:t>gov</w:t>
      </w:r>
      <w:r>
        <w:rPr>
          <w:rFonts w:hint="eastAsia" w:ascii="宋体" w:hAnsi="宋体" w:eastAsia="宋体" w:cs="宋体"/>
          <w:sz w:val="24"/>
          <w:szCs w:val="24"/>
        </w:rPr>
        <w:t>.cn）</w:t>
      </w:r>
      <w:r>
        <w:rPr>
          <w:rFonts w:hint="eastAsia" w:ascii="宋体" w:hAnsi="宋体" w:eastAsia="宋体" w:cs="宋体"/>
          <w:sz w:val="24"/>
          <w:szCs w:val="24"/>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sz w:val="24"/>
          <w:szCs w:val="24"/>
        </w:rPr>
      </w:pPr>
      <w:r>
        <w:rPr>
          <w:rStyle w:val="19"/>
          <w:rFonts w:ascii="宋体" w:hAnsi="宋体" w:eastAsia="宋体" w:cs="宋体"/>
          <w:sz w:val="24"/>
          <w:szCs w:val="24"/>
        </w:rPr>
        <w:t>七、对本次</w:t>
      </w:r>
      <w:r>
        <w:rPr>
          <w:rStyle w:val="19"/>
          <w:rFonts w:hint="eastAsia" w:cs="宋体"/>
          <w:sz w:val="24"/>
          <w:szCs w:val="24"/>
          <w:lang w:val="en-US" w:eastAsia="zh-CN"/>
        </w:rPr>
        <w:t>采购</w:t>
      </w:r>
      <w:r>
        <w:rPr>
          <w:rStyle w:val="19"/>
          <w:rFonts w:ascii="宋体" w:hAnsi="宋体" w:eastAsia="宋体" w:cs="宋体"/>
          <w:sz w:val="24"/>
          <w:szCs w:val="24"/>
        </w:rPr>
        <w:t>提出询问，请按以下方式联系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1.采购人信息</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cs="宋体"/>
          <w:sz w:val="24"/>
          <w:szCs w:val="24"/>
          <w:lang w:val="en-US" w:eastAsia="zh-CN"/>
        </w:rPr>
      </w:pPr>
      <w:r>
        <w:rPr>
          <w:rFonts w:ascii="宋体" w:hAnsi="宋体" w:eastAsia="宋体" w:cs="宋体"/>
          <w:sz w:val="24"/>
          <w:szCs w:val="24"/>
        </w:rPr>
        <w:t>名 称</w:t>
      </w:r>
      <w:r>
        <w:rPr>
          <w:rFonts w:hint="eastAsia" w:cs="宋体"/>
          <w:sz w:val="24"/>
          <w:szCs w:val="24"/>
          <w:lang w:val="en-US" w:eastAsia="zh-CN"/>
        </w:rPr>
        <w:t>：凤山县农村经济经营服务中心</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eastAsia="宋体"/>
          <w:sz w:val="24"/>
          <w:szCs w:val="24"/>
          <w:lang w:val="en-US" w:eastAsia="zh-CN"/>
        </w:rPr>
      </w:pPr>
      <w:r>
        <w:rPr>
          <w:rFonts w:ascii="宋体" w:hAnsi="宋体" w:eastAsia="宋体" w:cs="宋体"/>
          <w:sz w:val="24"/>
          <w:szCs w:val="24"/>
        </w:rPr>
        <w:t>地址：</w:t>
      </w:r>
      <w:r>
        <w:rPr>
          <w:rFonts w:hint="eastAsia" w:cs="宋体"/>
          <w:sz w:val="24"/>
          <w:szCs w:val="24"/>
          <w:lang w:val="en-US" w:eastAsia="zh-CN"/>
        </w:rPr>
        <w:t>广西河池市凤山县凤城镇凤阳路158号</w:t>
      </w:r>
      <w:r>
        <w:rPr>
          <w:rFonts w:hint="eastAsia" w:ascii="宋体" w:hAnsi="宋体" w:eastAsia="宋体" w:cs="宋体"/>
          <w:sz w:val="24"/>
          <w:szCs w:val="24"/>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cs="宋体"/>
          <w:sz w:val="24"/>
          <w:szCs w:val="24"/>
          <w:lang w:val="en-US" w:eastAsia="zh-CN"/>
        </w:rPr>
      </w:pPr>
      <w:r>
        <w:rPr>
          <w:rFonts w:ascii="宋体" w:hAnsi="宋体" w:eastAsia="宋体" w:cs="宋体"/>
          <w:sz w:val="24"/>
          <w:szCs w:val="24"/>
        </w:rPr>
        <w:t>联系方式</w:t>
      </w:r>
      <w:r>
        <w:rPr>
          <w:rFonts w:hint="eastAsia" w:cs="宋体"/>
          <w:sz w:val="24"/>
          <w:szCs w:val="24"/>
          <w:lang w:val="en-US" w:eastAsia="zh-CN"/>
        </w:rPr>
        <w:t>：18977828808；</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cs="宋体"/>
          <w:sz w:val="24"/>
          <w:szCs w:val="24"/>
          <w:lang w:val="en-US" w:eastAsia="zh-CN"/>
        </w:rPr>
      </w:pPr>
      <w:r>
        <w:rPr>
          <w:rFonts w:hint="eastAsia" w:cs="宋体"/>
          <w:sz w:val="24"/>
          <w:szCs w:val="24"/>
          <w:lang w:val="en-US" w:eastAsia="zh-CN"/>
        </w:rPr>
        <w:t>2.采购代理机构信息</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名 称：</w:t>
      </w:r>
      <w:r>
        <w:rPr>
          <w:rFonts w:hint="eastAsia" w:ascii="宋体" w:hAnsi="宋体" w:eastAsia="宋体" w:cs="宋体"/>
          <w:bCs/>
          <w:color w:val="auto"/>
          <w:sz w:val="24"/>
          <w:szCs w:val="24"/>
          <w:highlight w:val="none"/>
          <w:lang w:val="en-US" w:eastAsia="zh-CN"/>
        </w:rPr>
        <w:t>广西振弘建设管理有限公司</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sz w:val="24"/>
          <w:szCs w:val="24"/>
          <w:lang w:val="en-US" w:eastAsia="zh-CN"/>
        </w:rPr>
      </w:pPr>
      <w:r>
        <w:rPr>
          <w:rFonts w:ascii="宋体" w:hAnsi="宋体" w:eastAsia="宋体" w:cs="宋体"/>
          <w:sz w:val="24"/>
          <w:szCs w:val="24"/>
        </w:rPr>
        <w:t>地　址：</w:t>
      </w:r>
      <w:r>
        <w:rPr>
          <w:rFonts w:hint="eastAsia" w:ascii="宋体" w:hAnsi="宋体" w:eastAsia="宋体" w:cs="宋体"/>
          <w:sz w:val="24"/>
          <w:szCs w:val="24"/>
          <w:lang w:val="en-US" w:eastAsia="zh-CN"/>
        </w:rPr>
        <w:t>河池市金城江区城西大道西城铭苑一栋一单元4楼401室；</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联系方式：</w:t>
      </w:r>
      <w:r>
        <w:rPr>
          <w:rFonts w:hint="eastAsia" w:ascii="宋体" w:hAnsi="宋体" w:eastAsia="宋体" w:cs="宋体"/>
          <w:sz w:val="24"/>
          <w:szCs w:val="24"/>
          <w:lang w:val="en-US" w:eastAsia="zh-CN"/>
        </w:rPr>
        <w:t>兰晴</w:t>
      </w:r>
      <w:r>
        <w:rPr>
          <w:rFonts w:ascii="宋体" w:hAnsi="宋体" w:eastAsia="宋体" w:cs="宋体"/>
          <w:sz w:val="24"/>
          <w:szCs w:val="24"/>
        </w:rPr>
        <w:t xml:space="preserve">    联系电话: </w:t>
      </w:r>
      <w:r>
        <w:rPr>
          <w:rFonts w:hint="eastAsia" w:ascii="宋体" w:hAnsi="宋体" w:eastAsia="宋体" w:cs="宋体"/>
          <w:bCs/>
          <w:color w:val="auto"/>
          <w:sz w:val="24"/>
          <w:szCs w:val="24"/>
          <w:highlight w:val="none"/>
          <w:lang w:val="en-US" w:eastAsia="zh-CN"/>
        </w:rPr>
        <w:t>0778-2302888</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.项目联系方式</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jc w:val="left"/>
        <w:textAlignment w:val="auto"/>
        <w:rPr>
          <w:rFonts w:hint="eastAsia" w:ascii="宋体" w:hAnsi="宋体" w:eastAsia="宋体" w:cs="宋体"/>
          <w:bCs/>
          <w:color w:val="auto"/>
          <w:sz w:val="24"/>
          <w:szCs w:val="24"/>
          <w:highlight w:val="none"/>
          <w:lang w:val="en-US" w:eastAsia="zh-CN"/>
        </w:rPr>
      </w:pPr>
      <w:r>
        <w:rPr>
          <w:rFonts w:ascii="宋体" w:hAnsi="宋体" w:eastAsia="宋体" w:cs="宋体"/>
          <w:sz w:val="24"/>
          <w:szCs w:val="24"/>
        </w:rPr>
        <w:t>项目联系人：</w:t>
      </w:r>
      <w:r>
        <w:rPr>
          <w:rFonts w:hint="eastAsia" w:ascii="宋体" w:hAnsi="宋体" w:eastAsia="宋体" w:cs="宋体"/>
          <w:sz w:val="24"/>
          <w:szCs w:val="24"/>
          <w:lang w:val="en-US" w:eastAsia="zh-CN"/>
        </w:rPr>
        <w:t xml:space="preserve">兰晴    </w:t>
      </w:r>
      <w:r>
        <w:rPr>
          <w:rFonts w:ascii="宋体" w:hAnsi="宋体" w:eastAsia="宋体" w:cs="宋体"/>
          <w:sz w:val="24"/>
          <w:szCs w:val="24"/>
        </w:rPr>
        <w:t xml:space="preserve">联系电话: </w:t>
      </w:r>
      <w:r>
        <w:rPr>
          <w:rFonts w:hint="eastAsia" w:ascii="宋体" w:hAnsi="宋体" w:eastAsia="宋体" w:cs="宋体"/>
          <w:bCs/>
          <w:color w:val="auto"/>
          <w:sz w:val="24"/>
          <w:szCs w:val="24"/>
          <w:highlight w:val="none"/>
          <w:lang w:val="en-US" w:eastAsia="zh-CN"/>
        </w:rPr>
        <w:t>0778-2302888</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监督部门： 凤山县政府采购管理办公室      电话：0778-6819211</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5265"/>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广西振弘建设管理有限公司</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5265"/>
        <w:jc w:val="right"/>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2020年</w:t>
      </w:r>
      <w:r>
        <w:rPr>
          <w:rFonts w:hint="eastAsia" w:cs="宋体"/>
          <w:sz w:val="24"/>
          <w:szCs w:val="24"/>
          <w:lang w:val="en-US" w:eastAsia="zh-CN"/>
        </w:rPr>
        <w:t xml:space="preserve">12 </w:t>
      </w:r>
      <w:r>
        <w:rPr>
          <w:rFonts w:hint="eastAsia" w:ascii="宋体" w:hAnsi="宋体" w:eastAsia="宋体" w:cs="宋体"/>
          <w:sz w:val="24"/>
          <w:szCs w:val="24"/>
          <w:lang w:val="en-US" w:eastAsia="zh-CN"/>
        </w:rPr>
        <w:t>月</w:t>
      </w:r>
      <w:r>
        <w:rPr>
          <w:rFonts w:hint="eastAsia" w:cs="宋体"/>
          <w:sz w:val="24"/>
          <w:szCs w:val="24"/>
          <w:lang w:val="en-US" w:eastAsia="zh-CN"/>
        </w:rPr>
        <w:t>3</w:t>
      </w:r>
      <w:r>
        <w:rPr>
          <w:rFonts w:hint="eastAsia" w:ascii="宋体" w:hAnsi="宋体" w:eastAsia="宋体" w:cs="宋体"/>
          <w:sz w:val="24"/>
          <w:szCs w:val="24"/>
          <w:lang w:val="en-US" w:eastAsia="zh-CN"/>
        </w:rPr>
        <w:t>日</w:t>
      </w:r>
      <w:r>
        <w:rPr>
          <w:rFonts w:ascii="宋体" w:hAnsi="宋体" w:eastAsia="宋体" w:cs="宋体"/>
          <w:sz w:val="24"/>
          <w:szCs w:val="24"/>
        </w:rPr>
        <w:t> </w:t>
      </w:r>
    </w:p>
    <w:p/>
    <w:p>
      <w:pPr>
        <w:pStyle w:val="29"/>
        <w:spacing w:line="360" w:lineRule="auto"/>
        <w:ind w:firstLine="480" w:firstLineChars="200"/>
        <w:rPr>
          <w:rFonts w:hint="eastAsia" w:ascii="宋体" w:hAnsi="宋体" w:cs="宋体"/>
          <w:sz w:val="24"/>
          <w:u w:val="single"/>
        </w:rPr>
      </w:pPr>
    </w:p>
    <w:p>
      <w:pPr>
        <w:pStyle w:val="29"/>
        <w:spacing w:line="360" w:lineRule="auto"/>
        <w:ind w:firstLine="480" w:firstLineChars="200"/>
        <w:rPr>
          <w:rFonts w:hint="eastAsia" w:ascii="宋体" w:hAnsi="宋体" w:cs="宋体"/>
          <w:sz w:val="24"/>
          <w:u w:val="single"/>
        </w:rPr>
      </w:pPr>
    </w:p>
    <w:p>
      <w:pPr>
        <w:pStyle w:val="29"/>
        <w:spacing w:line="360" w:lineRule="auto"/>
        <w:ind w:firstLine="480" w:firstLineChars="200"/>
        <w:rPr>
          <w:rFonts w:hint="eastAsia" w:ascii="宋体" w:hAnsi="宋体" w:cs="宋体"/>
          <w:sz w:val="24"/>
          <w:u w:val="single"/>
        </w:rPr>
      </w:pPr>
    </w:p>
    <w:p>
      <w:pPr>
        <w:pStyle w:val="29"/>
        <w:spacing w:line="360" w:lineRule="auto"/>
        <w:ind w:firstLine="480" w:firstLineChars="200"/>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br w:type="page"/>
      </w:r>
    </w:p>
    <w:p>
      <w:pPr>
        <w:spacing w:line="600" w:lineRule="exact"/>
        <w:jc w:val="center"/>
        <w:rPr>
          <w:rFonts w:ascii="宋体" w:hAnsi="宋体" w:cs="宋体"/>
          <w:b/>
          <w:sz w:val="28"/>
          <w:szCs w:val="28"/>
        </w:rPr>
      </w:pPr>
      <w:bookmarkStart w:id="14" w:name="_Toc32157"/>
      <w:r>
        <w:rPr>
          <w:rStyle w:val="23"/>
          <w:rFonts w:hint="eastAsia"/>
        </w:rPr>
        <w:t>第二章 竞标人须知及前附表</w:t>
      </w:r>
      <w:bookmarkEnd w:id="14"/>
    </w:p>
    <w:p>
      <w:pPr>
        <w:spacing w:line="400" w:lineRule="exact"/>
        <w:jc w:val="center"/>
        <w:rPr>
          <w:rFonts w:ascii="宋体" w:hAnsi="宋体" w:cs="宋体"/>
          <w:b/>
          <w:sz w:val="28"/>
          <w:szCs w:val="28"/>
        </w:rPr>
      </w:pPr>
      <w:r>
        <w:rPr>
          <w:rFonts w:hint="eastAsia" w:ascii="宋体" w:hAnsi="宋体" w:cs="宋体"/>
          <w:b/>
          <w:sz w:val="28"/>
          <w:szCs w:val="28"/>
        </w:rPr>
        <w:t>竞标人须知前附表</w:t>
      </w:r>
    </w:p>
    <w:tbl>
      <w:tblPr>
        <w:tblStyle w:val="1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bCs/>
                <w:sz w:val="22"/>
                <w:szCs w:val="22"/>
              </w:rPr>
            </w:pPr>
            <w:r>
              <w:rPr>
                <w:rFonts w:hint="eastAsia" w:ascii="宋体" w:hAnsi="宋体" w:cs="宋体"/>
                <w:b/>
                <w:bCs/>
                <w:sz w:val="22"/>
                <w:szCs w:val="22"/>
              </w:rPr>
              <w:t>序号</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bCs/>
                <w:sz w:val="22"/>
                <w:szCs w:val="22"/>
              </w:rPr>
            </w:pPr>
            <w:r>
              <w:rPr>
                <w:rFonts w:hint="eastAsia" w:ascii="宋体" w:hAnsi="宋体" w:cs="宋体"/>
                <w:b/>
                <w:bCs/>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凤山县农村产权流转交易信息平台建设营运基础服务以及县、乡（镇）交易服务场所设施设备采购项目</w:t>
            </w:r>
          </w:p>
          <w:p>
            <w:pPr>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HCZC2020-J3-230124-GXZH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2</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sz w:val="24"/>
              </w:rPr>
            </w:pPr>
            <w:r>
              <w:rPr>
                <w:rFonts w:hint="eastAsia" w:ascii="宋体" w:hAnsi="宋体" w:cs="宋体"/>
                <w:sz w:val="24"/>
              </w:rPr>
              <w:t>谈判供应商资格要求：</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国内注册（指按国家有关规定要求注册的）依法提供或经营范围达到本次采购货物和服务要求，并具备法人（或负责人）资格的供应商</w:t>
            </w:r>
            <w:r>
              <w:rPr>
                <w:rFonts w:ascii="宋体" w:hAnsi="宋体" w:eastAsia="宋体" w:cs="宋体"/>
                <w:sz w:val="24"/>
                <w:szCs w:val="24"/>
              </w:rPr>
              <w:t>。</w:t>
            </w:r>
          </w:p>
          <w:p>
            <w:pPr>
              <w:pStyle w:val="15"/>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240" w:firstLine="240"/>
              <w:textAlignment w:val="auto"/>
              <w:rPr>
                <w:rFonts w:ascii="宋体" w:hAnsi="宋体" w:eastAsia="宋体" w:cs="宋体"/>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已经依法获得采购人</w:t>
            </w:r>
            <w:r>
              <w:rPr>
                <w:rFonts w:hint="eastAsia" w:cs="宋体"/>
                <w:color w:val="auto"/>
                <w:sz w:val="24"/>
                <w:szCs w:val="24"/>
                <w:highlight w:val="none"/>
                <w:lang w:val="en-US" w:eastAsia="zh-CN"/>
              </w:rPr>
              <w:t>或</w:t>
            </w:r>
            <w:r>
              <w:rPr>
                <w:rFonts w:hint="eastAsia" w:ascii="宋体" w:hAnsi="宋体" w:eastAsia="宋体" w:cs="宋体"/>
                <w:color w:val="auto"/>
                <w:sz w:val="24"/>
                <w:szCs w:val="24"/>
                <w:highlight w:val="none"/>
              </w:rPr>
              <w:t>评审专家分别书面推荐的供应商并在规定时间内报名及下载</w:t>
            </w:r>
            <w:r>
              <w:rPr>
                <w:rFonts w:hint="eastAsia" w:cs="宋体"/>
                <w:color w:val="auto"/>
                <w:sz w:val="24"/>
                <w:szCs w:val="24"/>
                <w:highlight w:val="none"/>
                <w:lang w:val="en-US" w:eastAsia="zh-CN"/>
              </w:rPr>
              <w:t>竞争性谈判采购文件</w:t>
            </w:r>
            <w:r>
              <w:rPr>
                <w:rFonts w:hint="eastAsia" w:ascii="宋体" w:hAnsi="宋体" w:eastAsia="宋体" w:cs="宋体"/>
                <w:color w:val="auto"/>
                <w:sz w:val="24"/>
                <w:szCs w:val="24"/>
                <w:highlight w:val="none"/>
              </w:rPr>
              <w:t>的供应商才有资格参与谈判</w:t>
            </w:r>
            <w:r>
              <w:rPr>
                <w:rFonts w:hint="eastAsia" w:cs="宋体"/>
                <w:color w:val="auto"/>
                <w:sz w:val="24"/>
                <w:szCs w:val="24"/>
                <w:highlight w:val="none"/>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sz w:val="24"/>
                <w:szCs w:val="24"/>
              </w:rPr>
            </w:pPr>
            <w:r>
              <w:rPr>
                <w:rFonts w:ascii="宋体" w:hAnsi="宋体" w:eastAsia="宋体" w:cs="宋体"/>
                <w:sz w:val="24"/>
                <w:szCs w:val="24"/>
                <w:highlight w:val="none"/>
              </w:rPr>
              <w:t>（</w:t>
            </w:r>
            <w:r>
              <w:rPr>
                <w:rFonts w:hint="eastAsia" w:cs="宋体"/>
                <w:sz w:val="24"/>
                <w:szCs w:val="24"/>
                <w:highlight w:val="none"/>
                <w:lang w:val="en-US" w:eastAsia="zh-CN"/>
              </w:rPr>
              <w:t>3</w:t>
            </w:r>
            <w:r>
              <w:rPr>
                <w:rFonts w:ascii="宋体" w:hAnsi="宋体" w:eastAsia="宋体" w:cs="宋体"/>
                <w:sz w:val="24"/>
                <w:szCs w:val="24"/>
                <w:highlight w:val="none"/>
              </w:rPr>
              <w:t>）单位负责人为同一人或者存在直接控股、管理关系的不同</w:t>
            </w:r>
            <w:r>
              <w:rPr>
                <w:rFonts w:ascii="宋体" w:hAnsi="宋体" w:eastAsia="宋体" w:cs="宋体"/>
                <w:sz w:val="24"/>
                <w:szCs w:val="24"/>
              </w:rPr>
              <w:t>供应商，不得参加同一合同项下的政府采购活动。除单一来源采购项目外，为采购项目提供整体设计、规范编制或者项目管理、监理、检测等服务的供应商，不得再参加该采购项目的其他采购活动。</w:t>
            </w:r>
          </w:p>
          <w:p>
            <w:pPr>
              <w:pStyle w:val="15"/>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firstLine="42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w:t>
            </w:r>
            <w:r>
              <w:rPr>
                <w:rFonts w:hint="eastAsia"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ascii="宋体" w:hAnsi="宋体" w:cs="宋体"/>
                <w:sz w:val="22"/>
                <w:szCs w:val="22"/>
              </w:rPr>
            </w:pPr>
            <w:r>
              <w:rPr>
                <w:rFonts w:hint="eastAsia" w:cs="宋体"/>
                <w:sz w:val="24"/>
                <w:szCs w:val="24"/>
                <w:lang w:val="en-US" w:eastAsia="zh-CN"/>
              </w:rPr>
              <w:t>（4）</w:t>
            </w:r>
            <w:r>
              <w:rPr>
                <w:rFonts w:ascii="宋体" w:hAnsi="宋体" w:eastAsia="宋体" w:cs="宋体"/>
                <w:sz w:val="24"/>
                <w:szCs w:val="24"/>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3</w:t>
            </w:r>
          </w:p>
        </w:tc>
        <w:tc>
          <w:tcPr>
            <w:tcW w:w="8602" w:type="dxa"/>
            <w:tcBorders>
              <w:top w:val="single" w:color="auto" w:sz="4" w:space="0"/>
              <w:left w:val="single" w:color="auto" w:sz="4" w:space="0"/>
              <w:bottom w:val="single" w:color="auto" w:sz="4" w:space="0"/>
              <w:right w:val="single" w:color="auto" w:sz="4" w:space="0"/>
            </w:tcBorders>
            <w:noWrap/>
            <w:vAlign w:val="center"/>
          </w:tcPr>
          <w:p>
            <w:pPr>
              <w:pStyle w:val="29"/>
              <w:spacing w:line="360" w:lineRule="auto"/>
              <w:rPr>
                <w:rFonts w:ascii="宋体" w:hAnsi="宋体" w:cs="宋体"/>
                <w:sz w:val="24"/>
              </w:rPr>
            </w:pPr>
            <w:r>
              <w:rPr>
                <w:rFonts w:hint="eastAsia" w:ascii="宋体" w:hAnsi="宋体" w:cs="宋体"/>
                <w:sz w:val="24"/>
              </w:rPr>
              <w:t>竞标报价：谈判供应商须就本次竞争性谈判</w:t>
            </w:r>
            <w:r>
              <w:rPr>
                <w:rFonts w:hint="eastAsia" w:ascii="宋体" w:hAnsi="宋体" w:cs="宋体"/>
                <w:sz w:val="24"/>
                <w:lang w:val="en-US" w:eastAsia="zh-CN"/>
              </w:rPr>
              <w:t>采购</w:t>
            </w:r>
            <w:r>
              <w:rPr>
                <w:rFonts w:hint="eastAsia" w:ascii="宋体" w:hAnsi="宋体" w:cs="宋体"/>
                <w:sz w:val="24"/>
              </w:rPr>
              <w:t>文件中的《货物需求一览表》中的所有货物和服务内容作完整的报价，任何有选择的报价将不被接受。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4</w:t>
            </w:r>
          </w:p>
        </w:tc>
        <w:tc>
          <w:tcPr>
            <w:tcW w:w="8602" w:type="dxa"/>
            <w:tcBorders>
              <w:top w:val="single" w:color="auto" w:sz="4" w:space="0"/>
              <w:left w:val="single" w:color="auto" w:sz="4" w:space="0"/>
              <w:bottom w:val="single" w:color="auto" w:sz="4" w:space="0"/>
              <w:right w:val="single" w:color="auto" w:sz="4" w:space="0"/>
            </w:tcBorders>
            <w:noWrap/>
            <w:vAlign w:val="center"/>
          </w:tcPr>
          <w:p>
            <w:pPr>
              <w:pStyle w:val="29"/>
              <w:spacing w:line="360" w:lineRule="auto"/>
              <w:rPr>
                <w:rFonts w:ascii="宋体" w:hAnsi="宋体" w:cs="宋体"/>
                <w:sz w:val="24"/>
              </w:rPr>
            </w:pPr>
            <w:r>
              <w:rPr>
                <w:rFonts w:hint="eastAsia" w:ascii="宋体" w:hAnsi="宋体" w:cs="宋体"/>
                <w:sz w:val="24"/>
              </w:rPr>
              <w:t>竞标文件份数：正本一份，副本三份。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5</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2"/>
                <w:szCs w:val="22"/>
              </w:rPr>
            </w:pPr>
            <w:r>
              <w:rPr>
                <w:rFonts w:hint="eastAsia" w:ascii="宋体" w:hAnsi="宋体" w:cs="宋体"/>
                <w:sz w:val="24"/>
              </w:rPr>
              <w:t>竞标有效期：自竞标截止时间起60天。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6</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竞标保证金（人民币）：</w:t>
            </w:r>
            <w:r>
              <w:rPr>
                <w:rFonts w:hint="eastAsia" w:ascii="宋体" w:hAnsi="宋体" w:cs="宋体"/>
                <w:sz w:val="24"/>
                <w:u w:val="none"/>
                <w:lang w:eastAsia="zh-CN"/>
              </w:rPr>
              <w:t>肆仟元整（¥4000.00）</w:t>
            </w:r>
            <w:r>
              <w:rPr>
                <w:rFonts w:hint="eastAsia" w:ascii="宋体" w:hAnsi="宋体" w:cs="宋体"/>
                <w:sz w:val="24"/>
              </w:rPr>
              <w:t>；</w:t>
            </w:r>
          </w:p>
          <w:p>
            <w:pPr>
              <w:pStyle w:val="9"/>
              <w:keepNext w:val="0"/>
              <w:keepLines w:val="0"/>
              <w:pageBreakBefore w:val="0"/>
              <w:kinsoku/>
              <w:overflowPunct/>
              <w:topLinePunct w:val="0"/>
              <w:autoSpaceDE/>
              <w:autoSpaceDN/>
              <w:bidi w:val="0"/>
              <w:adjustRightInd/>
              <w:snapToGrid/>
              <w:spacing w:beforeAutospacing="0" w:afterAutospacing="0"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开户名称：广西振弘建设管理有限公司河池分公司；</w:t>
            </w:r>
          </w:p>
          <w:p>
            <w:pPr>
              <w:pStyle w:val="9"/>
              <w:keepNext w:val="0"/>
              <w:keepLines w:val="0"/>
              <w:pageBreakBefore w:val="0"/>
              <w:kinsoku/>
              <w:overflowPunct/>
              <w:topLinePunct w:val="0"/>
              <w:autoSpaceDE/>
              <w:autoSpaceDN/>
              <w:bidi w:val="0"/>
              <w:adjustRightInd/>
              <w:snapToGrid/>
              <w:spacing w:beforeAutospacing="0" w:afterAutospacing="0"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开户银行：中国建设银行股份有限公司河池惠文支行；</w:t>
            </w:r>
          </w:p>
          <w:p>
            <w:pPr>
              <w:pStyle w:val="9"/>
              <w:keepNext w:val="0"/>
              <w:keepLines w:val="0"/>
              <w:pageBreakBefore w:val="0"/>
              <w:kinsoku/>
              <w:overflowPunct/>
              <w:topLinePunct w:val="0"/>
              <w:autoSpaceDE/>
              <w:autoSpaceDN/>
              <w:bidi w:val="0"/>
              <w:adjustRightInd/>
              <w:snapToGrid/>
              <w:spacing w:beforeAutospacing="0" w:afterAutospacing="0"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帐    号：4505 0169 0909 0000 0141</w:t>
            </w:r>
          </w:p>
          <w:p>
            <w:pPr>
              <w:pStyle w:val="29"/>
              <w:keepNext w:val="0"/>
              <w:keepLines w:val="0"/>
              <w:pageBreakBefore w:val="0"/>
              <w:kinsoku/>
              <w:overflowPunct/>
              <w:topLinePunct w:val="0"/>
              <w:autoSpaceDE/>
              <w:autoSpaceDN/>
              <w:bidi w:val="0"/>
              <w:adjustRightInd/>
              <w:snapToGrid/>
              <w:spacing w:beforeAutospacing="0" w:afterAutospacing="0" w:line="440" w:lineRule="exact"/>
              <w:textAlignment w:val="auto"/>
              <w:rPr>
                <w:rFonts w:ascii="宋体" w:hAnsi="宋体" w:cs="宋体"/>
                <w:sz w:val="24"/>
              </w:rPr>
            </w:pPr>
            <w:r>
              <w:rPr>
                <w:rFonts w:hint="eastAsia" w:ascii="宋体" w:hAnsi="宋体" w:cs="宋体"/>
                <w:color w:val="auto"/>
                <w:sz w:val="24"/>
                <w:highlight w:val="none"/>
              </w:rPr>
              <w:t>（注：竞标人在缴纳竞标保证金时，需在进账凭证上明确资金用途和竞标项目名称或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编号，并到广西振弘建设管理有限公司河池分公司换取</w:t>
            </w:r>
            <w:r>
              <w:rPr>
                <w:rFonts w:hint="eastAsia" w:ascii="宋体" w:hAnsi="宋体" w:cs="宋体"/>
                <w:color w:val="auto"/>
                <w:sz w:val="24"/>
                <w:highlight w:val="none"/>
                <w:lang w:val="en-US" w:eastAsia="zh-CN"/>
              </w:rPr>
              <w:t>竞标</w:t>
            </w:r>
            <w:r>
              <w:rPr>
                <w:rFonts w:hint="eastAsia" w:ascii="宋体" w:hAnsi="宋体" w:cs="宋体"/>
                <w:color w:val="auto"/>
                <w:sz w:val="24"/>
                <w:highlight w:val="none"/>
              </w:rPr>
              <w:t>保证金到账证明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否则视作无效竞标处理。</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7"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7</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sz w:val="24"/>
                <w:lang w:val="en-US" w:eastAsia="zh-CN"/>
              </w:rPr>
            </w:pPr>
            <w:r>
              <w:rPr>
                <w:rFonts w:hint="eastAsia" w:ascii="宋体" w:hAnsi="宋体" w:cs="宋体"/>
                <w:sz w:val="24"/>
              </w:rPr>
              <w:t>竞标文件递交截止时间</w:t>
            </w:r>
            <w:r>
              <w:rPr>
                <w:rFonts w:hint="eastAsia" w:ascii="宋体" w:hAnsi="宋体" w:cs="宋体"/>
                <w:sz w:val="24"/>
                <w:lang w:val="en-US" w:eastAsia="zh-CN"/>
              </w:rPr>
              <w:t>：2020年12月9日10时30分</w:t>
            </w:r>
          </w:p>
          <w:p>
            <w:pPr>
              <w:spacing w:line="360" w:lineRule="auto"/>
              <w:rPr>
                <w:rFonts w:ascii="宋体" w:hAnsi="宋体" w:cs="宋体"/>
                <w:sz w:val="24"/>
              </w:rPr>
            </w:pPr>
            <w:r>
              <w:rPr>
                <w:rFonts w:hint="eastAsia" w:ascii="宋体" w:hAnsi="宋体" w:cs="宋体"/>
                <w:sz w:val="24"/>
              </w:rPr>
              <w:t>递交地址：</w:t>
            </w:r>
            <w:r>
              <w:rPr>
                <w:rFonts w:hint="eastAsia" w:ascii="宋体" w:hAnsi="宋体" w:cs="宋体"/>
                <w:sz w:val="24"/>
                <w:lang w:val="en-US" w:eastAsia="zh-CN"/>
              </w:rPr>
              <w:t>河池市金城江区城西大道西城铭苑一栋一单元4楼401开标</w:t>
            </w:r>
            <w:bookmarkStart w:id="71" w:name="_GoBack"/>
            <w:bookmarkEnd w:id="71"/>
            <w:r>
              <w:rPr>
                <w:rFonts w:hint="eastAsia" w:ascii="宋体" w:hAnsi="宋体" w:cs="宋体"/>
                <w:sz w:val="24"/>
                <w:lang w:val="en-US" w:eastAsia="zh-CN"/>
              </w:rPr>
              <w:t>室</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现场递交材料：（1）具备本次采购项目的有效企业营业执照、有效的组织机构代码证、有效的税务登记证（已办理“三证合一”的单位只需提供企业营业执照副本复印件）；（2）具有独立承担民事责任能力的法定代表人身份证明书原件；（3）提供在“信用中国”网站(www.creditchina.gov.cn)、中国政府采购网(www.ccgp.gov.cn)等渠道未被列入失信被执行人、重大税收违法案件当事人名单、政府采购严重违法失信行为记录名单的查询结果或界面截图；（4）法定代表人身份证复印件及原件，如为授权代理人参加开标活动则需提供法定代表人授权委托书原件及委托代理人身份证复印件及原件，(委托时必须提供，注明委托权限及时间；（5）竞标保证金银行转账底单复印件；</w:t>
            </w:r>
          </w:p>
          <w:p>
            <w:pPr>
              <w:spacing w:line="360" w:lineRule="auto"/>
              <w:rPr>
                <w:rFonts w:ascii="宋体" w:hAnsi="宋体" w:cs="宋体"/>
                <w:sz w:val="24"/>
              </w:rPr>
            </w:pPr>
            <w:r>
              <w:rPr>
                <w:rFonts w:hint="eastAsia" w:ascii="宋体" w:hAnsi="宋体" w:cs="宋体"/>
                <w:sz w:val="24"/>
              </w:rPr>
              <w:t>注：竞标截止时间前竞标人在递交竞标文件同时必须递交下述材料并加盖竞标单位公章，如材料不齐或无效的，将拒收其竞标文件或按无效竞标处理。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8</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评标办法：最低评标价法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9</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在竞争性谈判采购结果确认后第二天，采购代理机构在中国政府采购网（www.ccgp.gov.cn）、广西壮族自治区政府采购网（www.gxzfcg.gov.cn）网上公告成交结果，公告期为一个工作日。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10</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hAnsi="宋体" w:cs="宋体"/>
                <w:sz w:val="24"/>
                <w:lang w:eastAsia="zh-CN"/>
              </w:rPr>
              <w:t>成交通知书</w:t>
            </w:r>
            <w:r>
              <w:rPr>
                <w:rFonts w:hint="eastAsia" w:hAnsi="宋体" w:cs="宋体"/>
                <w:sz w:val="24"/>
              </w:rPr>
              <w:t>的发放：</w:t>
            </w:r>
            <w:r>
              <w:rPr>
                <w:rFonts w:hint="eastAsia" w:ascii="宋体" w:hAnsi="宋体" w:cs="宋体"/>
                <w:bCs/>
                <w:sz w:val="24"/>
              </w:rPr>
              <w:t>公示期满无异议的，由广西振弘建设管理有限公司向成交供应商发出</w:t>
            </w:r>
            <w:r>
              <w:rPr>
                <w:rFonts w:hint="eastAsia" w:ascii="宋体" w:hAnsi="宋体" w:cs="宋体"/>
                <w:bCs/>
                <w:sz w:val="24"/>
                <w:lang w:eastAsia="zh-CN"/>
              </w:rPr>
              <w:t>成交通知书</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11</w:t>
            </w:r>
          </w:p>
        </w:tc>
        <w:tc>
          <w:tcPr>
            <w:tcW w:w="86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签订合同日期：自成交</w:t>
            </w:r>
            <w:r>
              <w:rPr>
                <w:rFonts w:hint="eastAsia" w:ascii="宋体" w:hAnsi="宋体" w:cs="宋体"/>
                <w:sz w:val="24"/>
                <w:lang w:val="en-US" w:eastAsia="zh-CN"/>
              </w:rPr>
              <w:t>结果</w:t>
            </w:r>
            <w:r>
              <w:rPr>
                <w:rFonts w:hint="eastAsia" w:ascii="宋体" w:hAnsi="宋体" w:cs="宋体"/>
                <w:sz w:val="24"/>
              </w:rPr>
              <w:t>公告发出之日起15日内。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12</w:t>
            </w:r>
          </w:p>
        </w:tc>
        <w:tc>
          <w:tcPr>
            <w:tcW w:w="86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4"/>
                <w:highlight w:val="none"/>
              </w:rPr>
            </w:pPr>
            <w:r>
              <w:rPr>
                <w:rFonts w:hint="eastAsia" w:ascii="宋体" w:hAnsi="宋体" w:cs="宋体"/>
                <w:sz w:val="24"/>
                <w:highlight w:val="none"/>
              </w:rPr>
              <w:t>交付使用期要求：</w:t>
            </w:r>
            <w:r>
              <w:rPr>
                <w:rFonts w:hint="eastAsia" w:ascii="宋体" w:hAnsi="宋体" w:cs="宋体"/>
                <w:sz w:val="24"/>
                <w:highlight w:val="none"/>
                <w:lang w:eastAsia="zh-CN"/>
              </w:rPr>
              <w:t>自签订合同之日起30天内安装好并交付使用</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13</w:t>
            </w:r>
          </w:p>
        </w:tc>
        <w:tc>
          <w:tcPr>
            <w:tcW w:w="86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sz w:val="24"/>
                <w:highlight w:val="none"/>
                <w:lang w:eastAsia="zh-CN"/>
              </w:rPr>
            </w:pPr>
            <w:r>
              <w:rPr>
                <w:rFonts w:hint="eastAsia" w:ascii="宋体" w:hAnsi="宋体" w:cs="宋体"/>
                <w:bCs/>
                <w:color w:val="auto"/>
                <w:sz w:val="24"/>
                <w:highlight w:val="none"/>
              </w:rPr>
              <w:t>付款方式：</w:t>
            </w:r>
            <w:r>
              <w:rPr>
                <w:rFonts w:hint="eastAsia" w:ascii="宋体" w:hAnsi="宋体" w:cs="宋体"/>
                <w:bCs/>
                <w:color w:val="auto"/>
                <w:sz w:val="24"/>
                <w:highlight w:val="none"/>
                <w:lang w:eastAsia="zh-CN"/>
              </w:rPr>
              <w:t>财政性资金按财政国库集中支付规定程序办理；货物送达到采购单位指定地点验收合格使用后30个工作日内支付合同总金额的9</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lang w:eastAsia="zh-CN"/>
              </w:rPr>
              <w:t>%，余下的</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eastAsia="zh-CN"/>
              </w:rPr>
              <w:t>%待</w:t>
            </w:r>
            <w:r>
              <w:rPr>
                <w:rFonts w:hint="eastAsia" w:ascii="宋体" w:hAnsi="宋体" w:cs="宋体"/>
                <w:bCs/>
                <w:color w:val="auto"/>
                <w:sz w:val="24"/>
                <w:highlight w:val="none"/>
                <w:lang w:val="en-US" w:eastAsia="zh-CN"/>
              </w:rPr>
              <w:t>完成</w:t>
            </w:r>
            <w:r>
              <w:rPr>
                <w:rFonts w:hint="eastAsia" w:ascii="宋体" w:hAnsi="宋体" w:cs="宋体"/>
                <w:bCs/>
                <w:color w:val="auto"/>
                <w:sz w:val="24"/>
                <w:highlight w:val="none"/>
                <w:lang w:eastAsia="zh-CN"/>
              </w:rPr>
              <w:t>建立乡（镇）、村（社区）交易服务体系</w:t>
            </w:r>
            <w:r>
              <w:rPr>
                <w:rFonts w:hint="eastAsia" w:ascii="宋体" w:hAnsi="宋体" w:cs="宋体"/>
                <w:bCs/>
                <w:color w:val="auto"/>
                <w:sz w:val="24"/>
                <w:highlight w:val="none"/>
                <w:lang w:val="en-US" w:eastAsia="zh-CN"/>
              </w:rPr>
              <w:t>及</w:t>
            </w:r>
            <w:r>
              <w:rPr>
                <w:rFonts w:hint="eastAsia" w:ascii="宋体" w:hAnsi="宋体" w:cs="宋体"/>
                <w:bCs/>
                <w:color w:val="auto"/>
                <w:sz w:val="24"/>
                <w:highlight w:val="none"/>
                <w:lang w:eastAsia="zh-CN"/>
              </w:rPr>
              <w:t>县、乡、村级所有培训服务</w:t>
            </w:r>
            <w:r>
              <w:rPr>
                <w:rFonts w:hint="eastAsia" w:ascii="宋体" w:hAnsi="宋体" w:cs="宋体"/>
                <w:bCs/>
                <w:color w:val="auto"/>
                <w:sz w:val="24"/>
                <w:highlight w:val="none"/>
                <w:lang w:val="en-US" w:eastAsia="zh-CN"/>
              </w:rPr>
              <w:t>后，并</w:t>
            </w:r>
            <w:r>
              <w:rPr>
                <w:rFonts w:hint="eastAsia" w:ascii="宋体" w:hAnsi="宋体" w:cs="宋体"/>
                <w:bCs/>
                <w:color w:val="auto"/>
                <w:sz w:val="24"/>
                <w:highlight w:val="none"/>
                <w:lang w:eastAsia="zh-CN"/>
              </w:rPr>
              <w:t>经验收合格后一次性付清。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2"/>
                <w:szCs w:val="22"/>
              </w:rPr>
            </w:pPr>
            <w:r>
              <w:rPr>
                <w:rFonts w:hint="eastAsia" w:ascii="宋体" w:hAnsi="宋体" w:cs="宋体"/>
                <w:sz w:val="22"/>
                <w:szCs w:val="22"/>
              </w:rPr>
              <w:t>14</w:t>
            </w:r>
          </w:p>
        </w:tc>
        <w:tc>
          <w:tcPr>
            <w:tcW w:w="8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b/>
                <w:bCs/>
                <w:sz w:val="24"/>
                <w:szCs w:val="24"/>
                <w:lang w:val="en-US" w:eastAsia="zh-CN"/>
              </w:rPr>
              <w:t>预算金额（人民币）</w:t>
            </w:r>
            <w:r>
              <w:rPr>
                <w:rFonts w:ascii="宋体" w:hAnsi="宋体" w:eastAsia="宋体" w:cs="宋体"/>
                <w:b/>
                <w:bCs/>
                <w:sz w:val="24"/>
                <w:szCs w:val="24"/>
              </w:rPr>
              <w:t>：</w:t>
            </w:r>
            <w:r>
              <w:rPr>
                <w:rFonts w:hint="eastAsia" w:cs="宋体"/>
                <w:b/>
                <w:bCs/>
                <w:sz w:val="24"/>
                <w:szCs w:val="24"/>
                <w:lang w:val="en-US" w:eastAsia="zh-CN"/>
              </w:rPr>
              <w:t>叁拾伍万零贰佰元整（¥350200.00）</w:t>
            </w:r>
          </w:p>
        </w:tc>
      </w:tr>
    </w:tbl>
    <w:p>
      <w:pPr>
        <w:spacing w:line="400" w:lineRule="exact"/>
        <w:jc w:val="center"/>
        <w:rPr>
          <w:rFonts w:ascii="宋体" w:hAnsi="宋体" w:cs="宋体"/>
          <w:b/>
          <w:sz w:val="22"/>
          <w:szCs w:val="22"/>
        </w:rPr>
      </w:pPr>
      <w:r>
        <w:rPr>
          <w:rFonts w:hint="eastAsia" w:ascii="宋体" w:hAnsi="宋体" w:cs="宋体"/>
          <w:b/>
          <w:sz w:val="22"/>
          <w:szCs w:val="22"/>
        </w:rPr>
        <w:br w:type="page"/>
      </w:r>
      <w:r>
        <w:rPr>
          <w:rFonts w:hint="eastAsia" w:ascii="宋体" w:hAnsi="宋体" w:cs="宋体"/>
          <w:b/>
          <w:sz w:val="22"/>
          <w:szCs w:val="22"/>
        </w:rPr>
        <w:t>竞 标 人 须 知</w:t>
      </w:r>
    </w:p>
    <w:p>
      <w:pPr>
        <w:spacing w:line="400" w:lineRule="exact"/>
        <w:rPr>
          <w:rFonts w:ascii="宋体" w:hAnsi="宋体" w:cs="宋体"/>
          <w:b/>
          <w:sz w:val="22"/>
          <w:szCs w:val="22"/>
        </w:rPr>
      </w:pPr>
      <w:r>
        <w:rPr>
          <w:rFonts w:hint="eastAsia" w:ascii="宋体" w:hAnsi="宋体" w:cs="宋体"/>
          <w:b/>
          <w:sz w:val="22"/>
          <w:szCs w:val="22"/>
        </w:rPr>
        <w:t>一、总则</w:t>
      </w:r>
    </w:p>
    <w:p>
      <w:pPr>
        <w:spacing w:line="400" w:lineRule="exact"/>
        <w:rPr>
          <w:rFonts w:ascii="宋体" w:hAnsi="宋体" w:cs="宋体"/>
          <w:b/>
          <w:bCs/>
          <w:sz w:val="22"/>
          <w:szCs w:val="22"/>
        </w:rPr>
      </w:pPr>
      <w:r>
        <w:rPr>
          <w:rFonts w:hint="eastAsia" w:ascii="宋体" w:hAnsi="宋体" w:cs="宋体"/>
          <w:b/>
          <w:bCs/>
          <w:sz w:val="22"/>
          <w:szCs w:val="22"/>
        </w:rPr>
        <w:t>1. 适用范围</w:t>
      </w:r>
    </w:p>
    <w:p>
      <w:pPr>
        <w:spacing w:line="400" w:lineRule="exact"/>
        <w:rPr>
          <w:rFonts w:ascii="宋体" w:hAnsi="宋体" w:cs="宋体"/>
          <w:sz w:val="22"/>
          <w:szCs w:val="22"/>
        </w:rPr>
      </w:pPr>
      <w:r>
        <w:rPr>
          <w:rFonts w:hint="eastAsia" w:ascii="宋体" w:hAnsi="宋体" w:cs="宋体"/>
          <w:sz w:val="22"/>
          <w:szCs w:val="22"/>
        </w:rPr>
        <w:t>1.1 本文件仅适用于本文件中所叙述的货物、服务类政府采购项目。</w:t>
      </w:r>
    </w:p>
    <w:p>
      <w:pPr>
        <w:spacing w:line="400" w:lineRule="exact"/>
        <w:rPr>
          <w:rFonts w:ascii="宋体" w:hAnsi="宋体" w:cs="宋体"/>
          <w:b/>
          <w:bCs/>
          <w:sz w:val="22"/>
          <w:szCs w:val="22"/>
        </w:rPr>
      </w:pPr>
      <w:r>
        <w:rPr>
          <w:rFonts w:hint="eastAsia" w:ascii="宋体" w:hAnsi="宋体" w:cs="宋体"/>
          <w:b/>
          <w:bCs/>
          <w:sz w:val="22"/>
          <w:szCs w:val="22"/>
        </w:rPr>
        <w:t>2. 定义</w:t>
      </w:r>
    </w:p>
    <w:p>
      <w:pPr>
        <w:spacing w:line="400" w:lineRule="exact"/>
        <w:rPr>
          <w:rFonts w:ascii="宋体" w:hAnsi="宋体" w:cs="宋体"/>
          <w:sz w:val="22"/>
          <w:szCs w:val="22"/>
        </w:rPr>
      </w:pPr>
      <w:r>
        <w:rPr>
          <w:rFonts w:hint="eastAsia" w:ascii="宋体" w:hAnsi="宋体" w:cs="宋体"/>
          <w:sz w:val="22"/>
          <w:szCs w:val="22"/>
        </w:rPr>
        <w:t>2.1“采购单位”是指：</w:t>
      </w:r>
      <w:r>
        <w:rPr>
          <w:rFonts w:hint="eastAsia" w:ascii="宋体" w:hAnsi="宋体" w:cs="宋体"/>
          <w:sz w:val="22"/>
          <w:szCs w:val="22"/>
          <w:u w:val="single"/>
          <w:lang w:eastAsia="zh-CN"/>
        </w:rPr>
        <w:t>凤山县农村经济经营服务中心</w:t>
      </w:r>
      <w:r>
        <w:rPr>
          <w:rFonts w:hint="eastAsia" w:ascii="宋体" w:hAnsi="宋体" w:cs="宋体"/>
          <w:sz w:val="22"/>
          <w:szCs w:val="22"/>
        </w:rPr>
        <w:t>。</w:t>
      </w:r>
    </w:p>
    <w:p>
      <w:pPr>
        <w:spacing w:line="400" w:lineRule="exact"/>
        <w:rPr>
          <w:rFonts w:ascii="宋体" w:hAnsi="宋体" w:cs="宋体"/>
          <w:sz w:val="22"/>
          <w:szCs w:val="22"/>
        </w:rPr>
      </w:pPr>
      <w:r>
        <w:rPr>
          <w:rFonts w:hint="eastAsia" w:ascii="宋体" w:hAnsi="宋体" w:cs="宋体"/>
          <w:sz w:val="22"/>
          <w:szCs w:val="22"/>
        </w:rPr>
        <w:t>2.2“采购代理机构”是指：</w:t>
      </w:r>
      <w:r>
        <w:rPr>
          <w:rFonts w:hint="eastAsia" w:ascii="宋体" w:hAnsi="宋体" w:cs="宋体"/>
          <w:sz w:val="22"/>
          <w:szCs w:val="22"/>
          <w:u w:val="single"/>
        </w:rPr>
        <w:t>广西振弘建设管理有限公司</w:t>
      </w:r>
      <w:r>
        <w:rPr>
          <w:rFonts w:hint="eastAsia" w:ascii="宋体" w:hAnsi="宋体" w:cs="宋体"/>
          <w:sz w:val="22"/>
          <w:szCs w:val="22"/>
        </w:rPr>
        <w:t>。</w:t>
      </w:r>
    </w:p>
    <w:p>
      <w:pPr>
        <w:spacing w:line="400" w:lineRule="exact"/>
        <w:rPr>
          <w:rFonts w:ascii="宋体" w:hAnsi="宋体" w:cs="宋体"/>
          <w:sz w:val="22"/>
          <w:szCs w:val="22"/>
        </w:rPr>
      </w:pPr>
      <w:r>
        <w:rPr>
          <w:rFonts w:hint="eastAsia" w:ascii="宋体" w:hAnsi="宋体" w:cs="宋体"/>
          <w:sz w:val="22"/>
          <w:szCs w:val="22"/>
        </w:rPr>
        <w:t>2.3“谈判供应商”是指响应本文件要求，参加谈判的法人或者其它组织。如果该供应商在本次谈判中成交，即成为“成交供应商”。</w:t>
      </w:r>
    </w:p>
    <w:p>
      <w:pPr>
        <w:spacing w:line="400" w:lineRule="exact"/>
        <w:rPr>
          <w:rFonts w:ascii="宋体" w:hAnsi="宋体" w:cs="宋体"/>
          <w:sz w:val="22"/>
          <w:szCs w:val="22"/>
        </w:rPr>
      </w:pPr>
      <w:r>
        <w:rPr>
          <w:rFonts w:hint="eastAsia" w:ascii="宋体" w:hAnsi="宋体" w:cs="宋体"/>
          <w:sz w:val="22"/>
          <w:szCs w:val="22"/>
        </w:rPr>
        <w:t>2.4“货物”是指各种形态和种类的物品，包括原材料、设备、产品等。</w:t>
      </w:r>
    </w:p>
    <w:p>
      <w:pPr>
        <w:spacing w:line="400" w:lineRule="exact"/>
        <w:rPr>
          <w:rFonts w:ascii="宋体" w:hAnsi="宋体" w:cs="宋体"/>
          <w:sz w:val="22"/>
          <w:szCs w:val="22"/>
        </w:rPr>
      </w:pPr>
      <w:r>
        <w:rPr>
          <w:rFonts w:hint="eastAsia" w:ascii="宋体" w:hAnsi="宋体" w:cs="宋体"/>
          <w:sz w:val="22"/>
          <w:szCs w:val="22"/>
        </w:rPr>
        <w:t>2.5“服务”是指除货物和工程以外的其它政府采购对象。</w:t>
      </w:r>
    </w:p>
    <w:p>
      <w:pPr>
        <w:tabs>
          <w:tab w:val="left" w:pos="1635"/>
        </w:tabs>
        <w:spacing w:line="400" w:lineRule="exact"/>
        <w:rPr>
          <w:rFonts w:ascii="宋体" w:hAnsi="宋体" w:cs="宋体"/>
          <w:sz w:val="22"/>
          <w:szCs w:val="22"/>
        </w:rPr>
      </w:pPr>
      <w:r>
        <w:rPr>
          <w:rFonts w:hint="eastAsia" w:ascii="宋体" w:hAnsi="宋体" w:cs="宋体"/>
          <w:sz w:val="22"/>
          <w:szCs w:val="22"/>
        </w:rPr>
        <w:t>2.6“竞争性谈判响应文件”是指：供应商根据本文件要求，编制包含报价、技术和服务等所有内容的文件。</w:t>
      </w:r>
    </w:p>
    <w:p>
      <w:pPr>
        <w:spacing w:line="400" w:lineRule="exact"/>
        <w:rPr>
          <w:rFonts w:ascii="宋体" w:hAnsi="宋体" w:cs="宋体"/>
          <w:b/>
          <w:bCs/>
          <w:sz w:val="22"/>
          <w:szCs w:val="22"/>
        </w:rPr>
      </w:pPr>
      <w:r>
        <w:rPr>
          <w:rFonts w:hint="eastAsia" w:ascii="宋体" w:hAnsi="宋体" w:cs="宋体"/>
          <w:b/>
          <w:bCs/>
          <w:sz w:val="22"/>
          <w:szCs w:val="22"/>
        </w:rPr>
        <w:t>3. 谈判供应商的基本条件：</w:t>
      </w:r>
    </w:p>
    <w:p>
      <w:pPr>
        <w:spacing w:line="400" w:lineRule="exact"/>
        <w:rPr>
          <w:rFonts w:hint="eastAsia" w:ascii="宋体" w:hAnsi="宋体" w:cs="宋体"/>
          <w:b w:val="0"/>
          <w:bCs w:val="0"/>
          <w:sz w:val="22"/>
          <w:szCs w:val="22"/>
        </w:rPr>
      </w:pPr>
      <w:r>
        <w:rPr>
          <w:rFonts w:hint="eastAsia" w:ascii="宋体" w:hAnsi="宋体" w:cs="宋体"/>
          <w:b w:val="0"/>
          <w:bCs w:val="0"/>
          <w:sz w:val="22"/>
          <w:szCs w:val="22"/>
        </w:rPr>
        <w:t>（1）</w:t>
      </w:r>
      <w:r>
        <w:rPr>
          <w:rFonts w:hint="eastAsia" w:ascii="宋体" w:hAnsi="宋体" w:cs="宋体"/>
          <w:b w:val="0"/>
          <w:bCs w:val="0"/>
          <w:sz w:val="22"/>
          <w:szCs w:val="22"/>
          <w:lang w:val="en-US" w:eastAsia="zh-CN"/>
        </w:rPr>
        <w:t>国内注册（指按国家有关规定要求注册的）依法提供或经营范围达到本次采购货物和服务要求，并具备法人（或负责人）资格的供应商</w:t>
      </w:r>
      <w:r>
        <w:rPr>
          <w:rFonts w:hint="eastAsia" w:ascii="宋体" w:hAnsi="宋体" w:cs="宋体"/>
          <w:b w:val="0"/>
          <w:bCs w:val="0"/>
          <w:sz w:val="22"/>
          <w:szCs w:val="22"/>
        </w:rPr>
        <w:t>。</w:t>
      </w:r>
    </w:p>
    <w:p>
      <w:pPr>
        <w:spacing w:line="400" w:lineRule="exact"/>
        <w:rPr>
          <w:rFonts w:hint="eastAsia" w:ascii="宋体" w:hAnsi="宋体" w:cs="宋体"/>
          <w:b w:val="0"/>
          <w:bCs w:val="0"/>
          <w:sz w:val="22"/>
          <w:szCs w:val="22"/>
        </w:rPr>
      </w:pPr>
      <w:r>
        <w:rPr>
          <w:rFonts w:hint="eastAsia" w:ascii="宋体" w:hAnsi="宋体" w:cs="宋体"/>
          <w:b w:val="0"/>
          <w:bCs w:val="0"/>
          <w:sz w:val="22"/>
          <w:szCs w:val="22"/>
          <w:lang w:eastAsia="zh-CN"/>
        </w:rPr>
        <w:t>（</w:t>
      </w:r>
      <w:r>
        <w:rPr>
          <w:rFonts w:hint="eastAsia" w:ascii="宋体" w:hAnsi="宋体" w:cs="宋体"/>
          <w:b w:val="0"/>
          <w:bCs w:val="0"/>
          <w:sz w:val="22"/>
          <w:szCs w:val="22"/>
          <w:lang w:val="en-US" w:eastAsia="zh-CN"/>
        </w:rPr>
        <w:t>2</w:t>
      </w:r>
      <w:r>
        <w:rPr>
          <w:rFonts w:hint="eastAsia" w:ascii="宋体" w:hAnsi="宋体" w:cs="宋体"/>
          <w:b w:val="0"/>
          <w:bCs w:val="0"/>
          <w:sz w:val="22"/>
          <w:szCs w:val="22"/>
          <w:lang w:eastAsia="zh-CN"/>
        </w:rPr>
        <w:t>）</w:t>
      </w:r>
      <w:r>
        <w:rPr>
          <w:rFonts w:hint="eastAsia" w:ascii="宋体" w:hAnsi="宋体" w:cs="宋体"/>
          <w:b w:val="0"/>
          <w:bCs w:val="0"/>
          <w:sz w:val="22"/>
          <w:szCs w:val="22"/>
        </w:rPr>
        <w:t>已经依法获得采购人</w:t>
      </w:r>
      <w:r>
        <w:rPr>
          <w:rFonts w:hint="eastAsia" w:ascii="宋体" w:hAnsi="宋体" w:cs="宋体"/>
          <w:b w:val="0"/>
          <w:bCs w:val="0"/>
          <w:sz w:val="22"/>
          <w:szCs w:val="22"/>
          <w:lang w:val="en-US" w:eastAsia="zh-CN"/>
        </w:rPr>
        <w:t>或</w:t>
      </w:r>
      <w:r>
        <w:rPr>
          <w:rFonts w:hint="eastAsia" w:ascii="宋体" w:hAnsi="宋体" w:cs="宋体"/>
          <w:b w:val="0"/>
          <w:bCs w:val="0"/>
          <w:sz w:val="22"/>
          <w:szCs w:val="22"/>
        </w:rPr>
        <w:t>评审专家分别书面推荐的供应商并在规定时间内报名及下载</w:t>
      </w:r>
      <w:r>
        <w:rPr>
          <w:rFonts w:hint="eastAsia" w:ascii="宋体" w:hAnsi="宋体" w:cs="宋体"/>
          <w:b w:val="0"/>
          <w:bCs w:val="0"/>
          <w:sz w:val="22"/>
          <w:szCs w:val="22"/>
          <w:lang w:val="en-US" w:eastAsia="zh-CN"/>
        </w:rPr>
        <w:t>竞争性谈判采购文件</w:t>
      </w:r>
      <w:r>
        <w:rPr>
          <w:rFonts w:hint="eastAsia" w:ascii="宋体" w:hAnsi="宋体" w:cs="宋体"/>
          <w:b w:val="0"/>
          <w:bCs w:val="0"/>
          <w:sz w:val="22"/>
          <w:szCs w:val="22"/>
        </w:rPr>
        <w:t>的供应商才有资格参与谈判</w:t>
      </w:r>
      <w:r>
        <w:rPr>
          <w:rFonts w:hint="eastAsia" w:ascii="宋体" w:hAnsi="宋体" w:cs="宋体"/>
          <w:b w:val="0"/>
          <w:bCs w:val="0"/>
          <w:sz w:val="22"/>
          <w:szCs w:val="22"/>
          <w:lang w:eastAsia="zh-CN"/>
        </w:rPr>
        <w:t>。</w:t>
      </w:r>
    </w:p>
    <w:p>
      <w:pPr>
        <w:spacing w:line="400" w:lineRule="exact"/>
        <w:rPr>
          <w:rFonts w:hint="eastAsia" w:ascii="宋体" w:hAnsi="宋体" w:cs="宋体"/>
          <w:b w:val="0"/>
          <w:bCs w:val="0"/>
          <w:sz w:val="22"/>
          <w:szCs w:val="22"/>
        </w:rPr>
      </w:pPr>
      <w:r>
        <w:rPr>
          <w:rFonts w:hint="eastAsia" w:ascii="宋体" w:hAnsi="宋体" w:cs="宋体"/>
          <w:b w:val="0"/>
          <w:bCs w:val="0"/>
          <w:sz w:val="22"/>
          <w:szCs w:val="22"/>
        </w:rPr>
        <w:t>（</w:t>
      </w:r>
      <w:r>
        <w:rPr>
          <w:rFonts w:hint="eastAsia" w:ascii="宋体" w:hAnsi="宋体" w:cs="宋体"/>
          <w:b w:val="0"/>
          <w:bCs w:val="0"/>
          <w:sz w:val="22"/>
          <w:szCs w:val="22"/>
          <w:lang w:val="en-US" w:eastAsia="zh-CN"/>
        </w:rPr>
        <w:t>3</w:t>
      </w:r>
      <w:r>
        <w:rPr>
          <w:rFonts w:hint="eastAsia" w:ascii="宋体" w:hAnsi="宋体" w:cs="宋体"/>
          <w:b w:val="0"/>
          <w:bCs w:val="0"/>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rFonts w:hint="eastAsia" w:ascii="宋体" w:hAnsi="宋体" w:cs="宋体"/>
          <w:b w:val="0"/>
          <w:bCs w:val="0"/>
          <w:sz w:val="22"/>
          <w:szCs w:val="22"/>
          <w:lang w:val="en-US" w:eastAsia="zh-CN"/>
        </w:rPr>
      </w:pPr>
      <w:r>
        <w:rPr>
          <w:rFonts w:hint="eastAsia" w:ascii="宋体" w:hAnsi="宋体" w:cs="宋体"/>
          <w:b w:val="0"/>
          <w:bCs w:val="0"/>
          <w:sz w:val="22"/>
          <w:szCs w:val="22"/>
        </w:rPr>
        <w:t>（</w:t>
      </w:r>
      <w:r>
        <w:rPr>
          <w:rFonts w:hint="eastAsia" w:ascii="宋体" w:hAnsi="宋体" w:cs="宋体"/>
          <w:b w:val="0"/>
          <w:bCs w:val="0"/>
          <w:sz w:val="22"/>
          <w:szCs w:val="22"/>
          <w:lang w:val="en-US" w:eastAsia="zh-CN"/>
        </w:rPr>
        <w:t>3</w:t>
      </w:r>
      <w:r>
        <w:rPr>
          <w:rFonts w:hint="eastAsia" w:ascii="宋体" w:hAnsi="宋体" w:cs="宋体"/>
          <w:b w:val="0"/>
          <w:bCs w:val="0"/>
          <w:sz w:val="22"/>
          <w:szCs w:val="22"/>
        </w:rPr>
        <w:t>）</w:t>
      </w:r>
      <w:r>
        <w:rPr>
          <w:rFonts w:hint="eastAsia" w:ascii="宋体" w:hAnsi="宋体" w:cs="宋体"/>
          <w:b w:val="0"/>
          <w:bCs w:val="0"/>
          <w:sz w:val="22"/>
          <w:szCs w:val="22"/>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（4）</w:t>
      </w:r>
      <w:r>
        <w:rPr>
          <w:rFonts w:hint="eastAsia" w:ascii="宋体" w:hAnsi="宋体" w:cs="宋体"/>
          <w:b w:val="0"/>
          <w:bCs w:val="0"/>
          <w:sz w:val="22"/>
          <w:szCs w:val="22"/>
        </w:rPr>
        <w:t>本项目不接受联合体。</w:t>
      </w:r>
    </w:p>
    <w:p>
      <w:pPr>
        <w:spacing w:line="400" w:lineRule="exact"/>
        <w:rPr>
          <w:rFonts w:ascii="宋体" w:hAnsi="宋体" w:cs="宋体"/>
          <w:b/>
          <w:bCs/>
          <w:sz w:val="22"/>
          <w:szCs w:val="22"/>
        </w:rPr>
      </w:pPr>
      <w:r>
        <w:rPr>
          <w:rFonts w:hint="eastAsia" w:ascii="宋体" w:hAnsi="宋体" w:cs="宋体"/>
          <w:b/>
          <w:bCs/>
          <w:sz w:val="22"/>
          <w:szCs w:val="22"/>
        </w:rPr>
        <w:t xml:space="preserve">4. 谈判费用 </w:t>
      </w:r>
    </w:p>
    <w:p>
      <w:pPr>
        <w:spacing w:line="400" w:lineRule="exact"/>
        <w:rPr>
          <w:rFonts w:ascii="宋体" w:hAnsi="宋体" w:cs="宋体"/>
          <w:sz w:val="22"/>
          <w:szCs w:val="22"/>
        </w:rPr>
      </w:pPr>
      <w:r>
        <w:rPr>
          <w:rFonts w:hint="eastAsia" w:ascii="宋体" w:hAnsi="宋体" w:cs="宋体"/>
          <w:sz w:val="22"/>
          <w:szCs w:val="22"/>
        </w:rPr>
        <w:t>4.1谈判供应商应自行承担所有与编写和提交竞争性谈判响应文件有关的费用，不论谈判结果如何，采购单位和采购代理机构在任何情况下无义务和责任承担此类费用。</w:t>
      </w:r>
    </w:p>
    <w:p>
      <w:pPr>
        <w:spacing w:line="400" w:lineRule="exact"/>
        <w:rPr>
          <w:rFonts w:ascii="宋体" w:hAnsi="宋体" w:cs="宋体"/>
          <w:b/>
          <w:sz w:val="22"/>
          <w:szCs w:val="22"/>
        </w:rPr>
      </w:pPr>
      <w:r>
        <w:rPr>
          <w:rFonts w:hint="eastAsia" w:ascii="宋体" w:hAnsi="宋体" w:cs="宋体"/>
          <w:b/>
          <w:sz w:val="22"/>
          <w:szCs w:val="22"/>
        </w:rPr>
        <w:t>二、竞争性谈判响应文件的编制</w:t>
      </w:r>
    </w:p>
    <w:p>
      <w:pPr>
        <w:spacing w:line="400" w:lineRule="exact"/>
        <w:rPr>
          <w:rFonts w:ascii="宋体" w:hAnsi="宋体" w:cs="宋体"/>
          <w:b/>
          <w:bCs/>
          <w:sz w:val="22"/>
          <w:szCs w:val="22"/>
        </w:rPr>
      </w:pPr>
      <w:r>
        <w:rPr>
          <w:rFonts w:hint="eastAsia" w:ascii="宋体" w:hAnsi="宋体" w:cs="宋体"/>
          <w:b/>
          <w:bCs/>
          <w:sz w:val="22"/>
          <w:szCs w:val="22"/>
        </w:rPr>
        <w:t>5. 竞争性谈判响应文件编制基本要求</w:t>
      </w:r>
    </w:p>
    <w:p>
      <w:pPr>
        <w:spacing w:line="400" w:lineRule="exact"/>
        <w:rPr>
          <w:rFonts w:ascii="宋体" w:hAnsi="宋体" w:cs="宋体"/>
          <w:sz w:val="22"/>
          <w:szCs w:val="22"/>
        </w:rPr>
      </w:pPr>
      <w:r>
        <w:rPr>
          <w:rFonts w:hint="eastAsia" w:ascii="宋体" w:hAnsi="宋体" w:cs="宋体"/>
          <w:sz w:val="22"/>
          <w:szCs w:val="22"/>
        </w:rPr>
        <w:t>5.1 谈判供应商对竞争性谈判响应文件的编制应按要求装订和封装。</w:t>
      </w:r>
    </w:p>
    <w:p>
      <w:pPr>
        <w:spacing w:line="400" w:lineRule="exact"/>
        <w:rPr>
          <w:rFonts w:ascii="宋体" w:hAnsi="宋体" w:cs="宋体"/>
          <w:sz w:val="22"/>
          <w:szCs w:val="22"/>
        </w:rPr>
      </w:pPr>
      <w:r>
        <w:rPr>
          <w:rFonts w:hint="eastAsia" w:ascii="宋体" w:hAnsi="宋体" w:cs="宋体"/>
          <w:sz w:val="22"/>
          <w:szCs w:val="22"/>
        </w:rPr>
        <w:t>5.2 谈判供应商提交的竞争性谈判响应文件以及谈判供应商与采购代理机构和采购单位就有关谈判的所有来往函电均应使用中文。谈判供应商提交的支持文件和印刷的文献可以使用别的语言，但其相应内容必须附有中文翻译文本，在解释竞争性谈判响应文件时以翻译文本为主。</w:t>
      </w:r>
    </w:p>
    <w:p>
      <w:pPr>
        <w:spacing w:line="400" w:lineRule="exact"/>
        <w:rPr>
          <w:rFonts w:ascii="宋体" w:hAnsi="宋体" w:cs="宋体"/>
          <w:sz w:val="22"/>
          <w:szCs w:val="22"/>
        </w:rPr>
      </w:pPr>
      <w:r>
        <w:rPr>
          <w:rFonts w:hint="eastAsia" w:ascii="宋体" w:hAnsi="宋体" w:cs="宋体"/>
          <w:sz w:val="22"/>
          <w:szCs w:val="22"/>
        </w:rPr>
        <w:t>5.3谈判供应商应认真阅读、并充分理解本文件的全部内容（包括所有的补充、修改内容），承诺并履行本文件中各项条款规定及要求。</w:t>
      </w:r>
    </w:p>
    <w:p>
      <w:pPr>
        <w:spacing w:line="400" w:lineRule="exact"/>
        <w:rPr>
          <w:rFonts w:ascii="宋体" w:hAnsi="宋体" w:cs="宋体"/>
          <w:sz w:val="22"/>
          <w:szCs w:val="22"/>
        </w:rPr>
      </w:pPr>
      <w:r>
        <w:rPr>
          <w:rFonts w:hint="eastAsia" w:ascii="宋体" w:hAnsi="宋体" w:cs="宋体"/>
          <w:sz w:val="22"/>
          <w:szCs w:val="22"/>
        </w:rPr>
        <w:t>5.4 竞争性谈判响应文件必须按本文件全部内容，包括所有的补充通知及附件进行编制。</w:t>
      </w:r>
    </w:p>
    <w:p>
      <w:pPr>
        <w:spacing w:line="400" w:lineRule="exact"/>
        <w:rPr>
          <w:rFonts w:ascii="宋体" w:hAnsi="宋体" w:cs="宋体"/>
          <w:sz w:val="22"/>
          <w:szCs w:val="22"/>
        </w:rPr>
      </w:pPr>
      <w:r>
        <w:rPr>
          <w:rFonts w:hint="eastAsia" w:ascii="宋体" w:hAnsi="宋体" w:cs="宋体"/>
          <w:sz w:val="22"/>
          <w:szCs w:val="22"/>
        </w:rPr>
        <w:t>5.5 如因谈判供应商只填写和提供了本文件要求的部分内容和附件，而给评审造成困难，其可能导致的结果和责任由谈判供应商自行承担。</w:t>
      </w:r>
    </w:p>
    <w:p>
      <w:pPr>
        <w:spacing w:line="400" w:lineRule="exact"/>
        <w:rPr>
          <w:rFonts w:ascii="宋体" w:hAnsi="宋体" w:cs="宋体"/>
          <w:sz w:val="22"/>
          <w:szCs w:val="22"/>
        </w:rPr>
      </w:pPr>
      <w:r>
        <w:rPr>
          <w:rFonts w:hint="eastAsia" w:ascii="宋体" w:hAnsi="宋体" w:cs="宋体"/>
          <w:sz w:val="22"/>
          <w:szCs w:val="22"/>
        </w:rPr>
        <w:t>5.6 竞争性谈判响应文件的组成。</w:t>
      </w:r>
    </w:p>
    <w:p>
      <w:pPr>
        <w:spacing w:line="400" w:lineRule="exact"/>
        <w:rPr>
          <w:rFonts w:ascii="宋体" w:hAnsi="宋体" w:cs="宋体"/>
          <w:sz w:val="22"/>
          <w:szCs w:val="22"/>
        </w:rPr>
      </w:pPr>
      <w:r>
        <w:rPr>
          <w:rFonts w:hint="eastAsia" w:ascii="宋体" w:hAnsi="宋体" w:cs="宋体"/>
          <w:sz w:val="22"/>
          <w:szCs w:val="22"/>
        </w:rPr>
        <w:t>竞争性谈判响应文件应分为价格文件和商务技术文件两个部分组成一本，包含以下内容。</w:t>
      </w:r>
    </w:p>
    <w:p>
      <w:pPr>
        <w:spacing w:line="400" w:lineRule="exact"/>
        <w:rPr>
          <w:rFonts w:ascii="宋体" w:hAnsi="宋体" w:cs="宋体"/>
          <w:sz w:val="22"/>
          <w:szCs w:val="22"/>
        </w:rPr>
      </w:pPr>
      <w:r>
        <w:rPr>
          <w:rFonts w:hint="eastAsia" w:ascii="宋体" w:hAnsi="宋体" w:cs="宋体"/>
          <w:sz w:val="22"/>
          <w:szCs w:val="22"/>
        </w:rPr>
        <w:t>5.6.1 价格文件；</w:t>
      </w:r>
    </w:p>
    <w:p>
      <w:pPr>
        <w:spacing w:line="400" w:lineRule="exact"/>
        <w:rPr>
          <w:rFonts w:ascii="宋体" w:hAnsi="宋体" w:cs="宋体"/>
          <w:sz w:val="22"/>
          <w:szCs w:val="22"/>
        </w:rPr>
      </w:pPr>
      <w:r>
        <w:rPr>
          <w:rFonts w:hint="eastAsia" w:ascii="宋体" w:hAnsi="宋体" w:cs="宋体"/>
          <w:sz w:val="22"/>
          <w:szCs w:val="22"/>
        </w:rPr>
        <w:t>1） 谈判书；</w:t>
      </w:r>
    </w:p>
    <w:p>
      <w:pPr>
        <w:spacing w:line="400" w:lineRule="exact"/>
        <w:rPr>
          <w:rFonts w:ascii="宋体" w:hAnsi="宋体" w:cs="宋体"/>
          <w:sz w:val="22"/>
          <w:szCs w:val="22"/>
        </w:rPr>
      </w:pPr>
      <w:r>
        <w:rPr>
          <w:rFonts w:hint="eastAsia" w:ascii="宋体" w:hAnsi="宋体" w:cs="宋体"/>
          <w:sz w:val="22"/>
          <w:szCs w:val="22"/>
        </w:rPr>
        <w:t>2）谈判报价表；</w:t>
      </w:r>
    </w:p>
    <w:p>
      <w:pPr>
        <w:spacing w:line="400" w:lineRule="exact"/>
        <w:rPr>
          <w:rFonts w:ascii="宋体" w:hAnsi="宋体" w:cs="宋体"/>
          <w:sz w:val="22"/>
          <w:szCs w:val="22"/>
        </w:rPr>
      </w:pPr>
      <w:r>
        <w:rPr>
          <w:rFonts w:hint="eastAsia" w:ascii="宋体" w:hAnsi="宋体" w:cs="宋体"/>
          <w:sz w:val="22"/>
          <w:szCs w:val="22"/>
        </w:rPr>
        <w:t>3）分项报价表；</w:t>
      </w:r>
    </w:p>
    <w:p>
      <w:pPr>
        <w:spacing w:line="400" w:lineRule="exact"/>
        <w:rPr>
          <w:rFonts w:ascii="宋体" w:hAnsi="宋体" w:cs="宋体"/>
          <w:sz w:val="22"/>
          <w:szCs w:val="22"/>
        </w:rPr>
      </w:pPr>
      <w:r>
        <w:rPr>
          <w:rFonts w:hint="eastAsia" w:ascii="宋体" w:hAnsi="宋体" w:cs="宋体"/>
          <w:sz w:val="22"/>
          <w:szCs w:val="22"/>
        </w:rPr>
        <w:t>5.6.2 商务技术文件；</w:t>
      </w:r>
    </w:p>
    <w:p>
      <w:pPr>
        <w:spacing w:line="400" w:lineRule="exact"/>
        <w:rPr>
          <w:rFonts w:ascii="宋体" w:hAnsi="宋体" w:cs="宋体"/>
          <w:sz w:val="22"/>
          <w:szCs w:val="22"/>
        </w:rPr>
      </w:pPr>
      <w:r>
        <w:rPr>
          <w:rFonts w:hint="eastAsia" w:ascii="宋体" w:hAnsi="宋体" w:cs="宋体"/>
          <w:sz w:val="22"/>
          <w:szCs w:val="22"/>
        </w:rPr>
        <w:t>1） 技术响应、偏离情况说明表；</w:t>
      </w:r>
    </w:p>
    <w:p>
      <w:pPr>
        <w:pStyle w:val="9"/>
        <w:spacing w:line="420" w:lineRule="exact"/>
        <w:rPr>
          <w:rFonts w:hAnsi="宋体" w:cs="宋体"/>
          <w:sz w:val="22"/>
          <w:szCs w:val="22"/>
        </w:rPr>
      </w:pPr>
      <w:r>
        <w:rPr>
          <w:rFonts w:hint="eastAsia" w:hAnsi="宋体" w:cs="宋体"/>
          <w:sz w:val="22"/>
          <w:szCs w:val="22"/>
        </w:rPr>
        <w:t>2） 竞标人资格证明文件；</w:t>
      </w:r>
    </w:p>
    <w:p>
      <w:pPr>
        <w:pStyle w:val="9"/>
        <w:spacing w:line="420" w:lineRule="exact"/>
        <w:rPr>
          <w:rFonts w:hAnsi="宋体" w:cs="宋体"/>
          <w:bCs/>
          <w:sz w:val="22"/>
          <w:szCs w:val="22"/>
        </w:rPr>
      </w:pPr>
      <w:r>
        <w:rPr>
          <w:rFonts w:hint="eastAsia" w:hAnsi="宋体" w:cs="宋体"/>
          <w:bCs/>
          <w:sz w:val="22"/>
          <w:szCs w:val="22"/>
        </w:rPr>
        <w:t>竞标人资格证明文件含以下文件，</w:t>
      </w:r>
      <w:r>
        <w:rPr>
          <w:rFonts w:hint="eastAsia" w:hAnsi="宋体" w:cs="宋体"/>
          <w:sz w:val="22"/>
          <w:szCs w:val="22"/>
        </w:rPr>
        <w:t>并加盖竞标人公章，否则竞标无效。</w:t>
      </w:r>
    </w:p>
    <w:p>
      <w:pPr>
        <w:pStyle w:val="9"/>
        <w:spacing w:line="420" w:lineRule="exact"/>
        <w:rPr>
          <w:rFonts w:hAnsi="宋体" w:cs="宋体"/>
          <w:kern w:val="2"/>
          <w:sz w:val="22"/>
          <w:szCs w:val="22"/>
        </w:rPr>
      </w:pPr>
      <w:r>
        <w:rPr>
          <w:rFonts w:hint="eastAsia" w:hAnsi="宋体" w:cs="宋体"/>
          <w:kern w:val="2"/>
          <w:sz w:val="22"/>
          <w:szCs w:val="22"/>
        </w:rPr>
        <w:t>（1）竞标人有效的“企业法人营业执照”副本复印件、税务登记证副本、组织机构代码证副本复印件，要求清晰反映包含本次采购货物的经营范围（已经提供有效的统一社会信用代码“三证合一”的营业执照复印件的，不需提供组织机构代码证复印件及税务登记证复印件）；</w:t>
      </w:r>
    </w:p>
    <w:p>
      <w:pPr>
        <w:pStyle w:val="9"/>
        <w:spacing w:line="420" w:lineRule="exact"/>
        <w:rPr>
          <w:rFonts w:hAnsi="宋体" w:cs="宋体"/>
          <w:kern w:val="2"/>
          <w:sz w:val="22"/>
          <w:szCs w:val="22"/>
        </w:rPr>
      </w:pPr>
      <w:r>
        <w:rPr>
          <w:rFonts w:hint="eastAsia" w:hAnsi="宋体" w:cs="宋体"/>
          <w:kern w:val="2"/>
          <w:sz w:val="22"/>
          <w:szCs w:val="22"/>
        </w:rPr>
        <w:t>（2）竞标保证金缴纳证明（必须提供）；</w:t>
      </w:r>
    </w:p>
    <w:p>
      <w:pPr>
        <w:pStyle w:val="9"/>
        <w:spacing w:line="420" w:lineRule="exact"/>
        <w:rPr>
          <w:rFonts w:hAnsi="宋体" w:cs="宋体"/>
          <w:kern w:val="2"/>
          <w:sz w:val="22"/>
          <w:szCs w:val="22"/>
        </w:rPr>
      </w:pPr>
      <w:r>
        <w:rPr>
          <w:rFonts w:hint="eastAsia" w:hAnsi="宋体" w:cs="宋体"/>
          <w:kern w:val="2"/>
          <w:sz w:val="22"/>
          <w:szCs w:val="22"/>
        </w:rPr>
        <w:t>（3）法定代表人身份证复印件（</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（4）法定代表人身份证明书；（</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5）参加政府采购活动前三年内，在经营活动中没有重大违法记录和不良信用记录；（格式自拟）（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查询结果截图加盖单位公章。）（</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highlight w:val="yellow"/>
        </w:rPr>
      </w:pPr>
      <w:r>
        <w:rPr>
          <w:rFonts w:hint="eastAsia" w:hAnsi="宋体" w:cs="宋体"/>
          <w:kern w:val="2"/>
          <w:sz w:val="22"/>
          <w:szCs w:val="22"/>
        </w:rPr>
        <w:t>（6）如派委托代理办理竞标业务时须出具法定代表人授权委托书原件(委托书必须明确委托权限及时间）；</w:t>
      </w:r>
    </w:p>
    <w:p>
      <w:pPr>
        <w:pStyle w:val="9"/>
        <w:spacing w:line="420" w:lineRule="exact"/>
        <w:rPr>
          <w:rFonts w:hAnsi="宋体" w:cs="宋体"/>
          <w:kern w:val="2"/>
          <w:sz w:val="22"/>
          <w:szCs w:val="22"/>
        </w:rPr>
      </w:pPr>
      <w:r>
        <w:rPr>
          <w:rFonts w:hint="eastAsia" w:hAnsi="宋体" w:cs="宋体"/>
          <w:kern w:val="2"/>
          <w:sz w:val="22"/>
          <w:szCs w:val="22"/>
        </w:rPr>
        <w:t>（7）</w:t>
      </w:r>
      <w:r>
        <w:rPr>
          <w:rFonts w:hint="eastAsia" w:hAnsi="宋体" w:cs="宋体"/>
          <w:kern w:val="2"/>
          <w:sz w:val="22"/>
          <w:szCs w:val="22"/>
          <w:lang w:eastAsia="zh-CN"/>
        </w:rPr>
        <w:t>根据“货物需求一览表” 中的如有要求，提供需要的有效的证明文件（按采购需求详细列明）（如有要求的必须提供）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（8）售后服务承诺书；（</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（9）竞标人认为有必要提供的其他有关材料；</w:t>
      </w:r>
    </w:p>
    <w:p>
      <w:pPr>
        <w:pStyle w:val="9"/>
        <w:spacing w:line="360" w:lineRule="auto"/>
        <w:rPr>
          <w:rFonts w:hAnsi="宋体" w:cs="宋体"/>
          <w:sz w:val="22"/>
          <w:szCs w:val="22"/>
        </w:rPr>
      </w:pPr>
      <w:r>
        <w:rPr>
          <w:rFonts w:hint="eastAsia" w:hAnsi="宋体" w:cs="宋体"/>
          <w:sz w:val="22"/>
          <w:szCs w:val="22"/>
        </w:rPr>
        <w:t>6. 计量单位</w:t>
      </w:r>
    </w:p>
    <w:p>
      <w:pPr>
        <w:spacing w:line="400" w:lineRule="exact"/>
        <w:rPr>
          <w:rFonts w:ascii="宋体" w:hAnsi="宋体" w:cs="宋体"/>
          <w:sz w:val="22"/>
          <w:szCs w:val="22"/>
        </w:rPr>
      </w:pPr>
      <w:r>
        <w:rPr>
          <w:rFonts w:hint="eastAsia" w:ascii="宋体" w:hAnsi="宋体" w:cs="宋体"/>
          <w:sz w:val="22"/>
          <w:szCs w:val="22"/>
        </w:rPr>
        <w:t>6.1 除技术要求中另有规定外，本文件所要求使用的计量单位均应采用国家法定计量单位。</w:t>
      </w:r>
    </w:p>
    <w:p>
      <w:pPr>
        <w:pStyle w:val="9"/>
        <w:spacing w:line="400" w:lineRule="exact"/>
        <w:rPr>
          <w:rFonts w:hAnsi="宋体" w:cs="宋体"/>
          <w:sz w:val="22"/>
          <w:szCs w:val="22"/>
        </w:rPr>
      </w:pPr>
      <w:r>
        <w:rPr>
          <w:rFonts w:hint="eastAsia" w:hAnsi="宋体" w:cs="宋体"/>
          <w:sz w:val="22"/>
          <w:szCs w:val="22"/>
        </w:rPr>
        <w:t>7. 无效竞标</w:t>
      </w:r>
    </w:p>
    <w:p>
      <w:pPr>
        <w:pStyle w:val="9"/>
        <w:spacing w:line="400" w:lineRule="exact"/>
        <w:rPr>
          <w:rFonts w:hAnsi="宋体" w:cs="宋体"/>
          <w:sz w:val="22"/>
          <w:szCs w:val="22"/>
        </w:rPr>
      </w:pPr>
      <w:r>
        <w:rPr>
          <w:rFonts w:hint="eastAsia" w:hAnsi="宋体" w:cs="宋体"/>
          <w:sz w:val="22"/>
          <w:szCs w:val="22"/>
        </w:rPr>
        <w:t>7.1竞标文件如有下列情况之一，竞标文件按无效竞标处理：</w:t>
      </w:r>
    </w:p>
    <w:p>
      <w:pPr>
        <w:pStyle w:val="9"/>
        <w:spacing w:line="400" w:lineRule="exact"/>
        <w:ind w:firstLine="220" w:firstLineChars="100"/>
        <w:rPr>
          <w:rFonts w:hAnsi="宋体" w:cs="宋体"/>
          <w:sz w:val="22"/>
          <w:szCs w:val="22"/>
        </w:rPr>
      </w:pPr>
      <w:r>
        <w:rPr>
          <w:rFonts w:hint="eastAsia" w:hAnsi="宋体" w:cs="宋体"/>
          <w:sz w:val="22"/>
          <w:szCs w:val="22"/>
        </w:rPr>
        <w:t>（1）未按采购文件规定要求缴纳（未交或未足额或未按规定的方式缴纳）竞标保证金的；</w:t>
      </w:r>
    </w:p>
    <w:p>
      <w:pPr>
        <w:pStyle w:val="9"/>
        <w:spacing w:line="400" w:lineRule="exact"/>
        <w:ind w:firstLine="220" w:firstLineChars="100"/>
        <w:rPr>
          <w:rFonts w:hAnsi="宋体" w:cs="宋体"/>
          <w:sz w:val="22"/>
          <w:szCs w:val="22"/>
        </w:rPr>
      </w:pPr>
      <w:r>
        <w:rPr>
          <w:rFonts w:hint="eastAsia" w:hAnsi="宋体" w:cs="宋体"/>
          <w:sz w:val="22"/>
          <w:szCs w:val="22"/>
        </w:rPr>
        <w:t>（2）未按采购文件规定要求密封、签署、盖章的；</w:t>
      </w:r>
    </w:p>
    <w:p>
      <w:pPr>
        <w:pStyle w:val="9"/>
        <w:spacing w:line="400" w:lineRule="exact"/>
        <w:ind w:firstLine="220" w:firstLineChars="100"/>
        <w:rPr>
          <w:rFonts w:hAnsi="宋体" w:cs="宋体"/>
          <w:sz w:val="22"/>
          <w:szCs w:val="22"/>
        </w:rPr>
      </w:pPr>
      <w:r>
        <w:rPr>
          <w:rFonts w:hint="eastAsia" w:hAnsi="宋体" w:cs="宋体"/>
          <w:sz w:val="22"/>
          <w:szCs w:val="22"/>
        </w:rPr>
        <w:t>（3）竞标人资质不符合采购文件要求的或有效期过期的；</w:t>
      </w:r>
    </w:p>
    <w:p>
      <w:pPr>
        <w:pStyle w:val="9"/>
        <w:spacing w:line="400" w:lineRule="exact"/>
        <w:ind w:firstLine="220" w:firstLineChars="100"/>
        <w:rPr>
          <w:rFonts w:hAnsi="宋体" w:cs="宋体"/>
          <w:sz w:val="22"/>
          <w:szCs w:val="22"/>
        </w:rPr>
      </w:pPr>
      <w:r>
        <w:rPr>
          <w:rFonts w:hint="eastAsia" w:hAnsi="宋体" w:cs="宋体"/>
          <w:sz w:val="22"/>
          <w:szCs w:val="22"/>
        </w:rPr>
        <w:t>（4）不具备采购文件中规定资格要求的；</w:t>
      </w:r>
    </w:p>
    <w:p>
      <w:pPr>
        <w:pStyle w:val="9"/>
        <w:spacing w:line="400" w:lineRule="exact"/>
        <w:ind w:firstLine="220" w:firstLineChars="100"/>
        <w:rPr>
          <w:rFonts w:hAnsi="宋体" w:cs="宋体"/>
          <w:sz w:val="22"/>
          <w:szCs w:val="22"/>
        </w:rPr>
      </w:pPr>
      <w:r>
        <w:rPr>
          <w:rFonts w:hint="eastAsia" w:hAnsi="宋体" w:cs="宋体"/>
          <w:sz w:val="22"/>
          <w:szCs w:val="22"/>
        </w:rPr>
        <w:t>（5）竞标文件未按采购文件的内容和要求编写，或提供虚假材料的；</w:t>
      </w:r>
    </w:p>
    <w:p>
      <w:pPr>
        <w:pStyle w:val="9"/>
        <w:spacing w:line="400" w:lineRule="exact"/>
        <w:ind w:firstLine="220" w:firstLineChars="100"/>
        <w:rPr>
          <w:rFonts w:hAnsi="宋体" w:cs="宋体"/>
          <w:sz w:val="22"/>
          <w:szCs w:val="22"/>
        </w:rPr>
      </w:pPr>
      <w:r>
        <w:rPr>
          <w:rFonts w:hint="eastAsia" w:hAnsi="宋体" w:cs="宋体"/>
          <w:sz w:val="22"/>
          <w:szCs w:val="22"/>
        </w:rPr>
        <w:t>（6）竞标文件载明的采购项目完成期限超过采购文件规定的期限；</w:t>
      </w:r>
    </w:p>
    <w:p>
      <w:pPr>
        <w:pStyle w:val="9"/>
        <w:spacing w:line="400" w:lineRule="exact"/>
        <w:ind w:firstLine="220" w:firstLineChars="100"/>
        <w:rPr>
          <w:rFonts w:hAnsi="宋体" w:cs="宋体"/>
          <w:sz w:val="22"/>
          <w:szCs w:val="22"/>
        </w:rPr>
      </w:pPr>
      <w:r>
        <w:rPr>
          <w:rFonts w:hint="eastAsia" w:hAnsi="宋体" w:cs="宋体"/>
          <w:sz w:val="22"/>
          <w:szCs w:val="22"/>
        </w:rPr>
        <w:t>（7）竞标文件附有违反协议条款的内容；</w:t>
      </w:r>
    </w:p>
    <w:p>
      <w:pPr>
        <w:pStyle w:val="9"/>
        <w:spacing w:line="400" w:lineRule="exact"/>
        <w:ind w:firstLine="220" w:firstLineChars="100"/>
        <w:rPr>
          <w:rFonts w:hAnsi="宋体" w:cs="宋体"/>
          <w:sz w:val="22"/>
          <w:szCs w:val="22"/>
        </w:rPr>
      </w:pPr>
      <w:r>
        <w:rPr>
          <w:rFonts w:hint="eastAsia" w:hAnsi="宋体" w:cs="宋体"/>
          <w:sz w:val="22"/>
          <w:szCs w:val="22"/>
        </w:rPr>
        <w:t>（8）竞标文件附有采购采购单位不能接受的条件。</w:t>
      </w:r>
    </w:p>
    <w:p>
      <w:pPr>
        <w:spacing w:line="400" w:lineRule="exact"/>
        <w:rPr>
          <w:rFonts w:ascii="宋体" w:hAnsi="宋体" w:cs="宋体"/>
          <w:b/>
          <w:sz w:val="22"/>
          <w:szCs w:val="22"/>
        </w:rPr>
      </w:pPr>
      <w:r>
        <w:rPr>
          <w:rFonts w:hint="eastAsia" w:ascii="宋体" w:hAnsi="宋体" w:cs="宋体"/>
          <w:b/>
          <w:sz w:val="22"/>
          <w:szCs w:val="22"/>
        </w:rPr>
        <w:t>三、谈判报价要求</w:t>
      </w:r>
    </w:p>
    <w:p>
      <w:pPr>
        <w:spacing w:line="400" w:lineRule="exact"/>
        <w:rPr>
          <w:rFonts w:ascii="宋体" w:hAnsi="宋体" w:cs="宋体"/>
          <w:sz w:val="22"/>
          <w:szCs w:val="22"/>
        </w:rPr>
      </w:pPr>
      <w:r>
        <w:rPr>
          <w:rFonts w:hint="eastAsia" w:ascii="宋体" w:hAnsi="宋体" w:cs="宋体"/>
          <w:sz w:val="22"/>
          <w:szCs w:val="22"/>
        </w:rPr>
        <w:t>8.1 对于本文件中未列明，而谈判供应商认为必需的费用也需列入总报价。在合同实施时，采购单位将不予支付成交供应商没有列入的项目费用，并认为此项目的费用已包括在总报价中。谈判供应商须就本次谈判采购文件中的《项目需求》中的所有货物和服务内容作唯一完整的报价，任何有选择的报价将不被接受。</w:t>
      </w:r>
    </w:p>
    <w:p>
      <w:pPr>
        <w:spacing w:line="400" w:lineRule="exact"/>
        <w:rPr>
          <w:rFonts w:ascii="宋体" w:hAnsi="宋体" w:cs="宋体"/>
          <w:sz w:val="22"/>
          <w:szCs w:val="22"/>
        </w:rPr>
      </w:pPr>
      <w:r>
        <w:rPr>
          <w:rFonts w:hint="eastAsia" w:ascii="宋体" w:hAnsi="宋体" w:cs="宋体"/>
          <w:sz w:val="22"/>
          <w:szCs w:val="22"/>
        </w:rPr>
        <w:t>8.2 成交供应商负责本项目所需货物的制造、运输、安装、调试、检测、培训、验收合格及售后服务等全部工作，并承担由此产生的相关费用。货物必须按采购单位的具体指定要求安装到位并调试好及试运行。</w:t>
      </w:r>
    </w:p>
    <w:p>
      <w:pPr>
        <w:spacing w:line="400" w:lineRule="exact"/>
        <w:rPr>
          <w:rFonts w:ascii="宋体" w:hAnsi="宋体" w:cs="宋体"/>
          <w:sz w:val="22"/>
          <w:szCs w:val="22"/>
        </w:rPr>
      </w:pPr>
      <w:r>
        <w:rPr>
          <w:rFonts w:hint="eastAsia" w:ascii="宋体" w:hAnsi="宋体" w:cs="宋体"/>
          <w:sz w:val="22"/>
          <w:szCs w:val="22"/>
        </w:rPr>
        <w:t>8.3竞标人以明显低于行业平均水平的价格竞标的，应当在竞标文件中主动提交相关说明及证据。包含材料、工艺、流水线、质检、运输等环节的详细技术说明及价格分项说明，并附相关真实有效的书面支持资料，以说明竞标报价不低于成本。</w:t>
      </w:r>
    </w:p>
    <w:p>
      <w:pPr>
        <w:spacing w:line="400" w:lineRule="exact"/>
        <w:rPr>
          <w:rFonts w:ascii="宋体" w:hAnsi="宋体" w:cs="宋体"/>
          <w:b/>
          <w:sz w:val="22"/>
          <w:szCs w:val="22"/>
        </w:rPr>
      </w:pPr>
      <w:r>
        <w:rPr>
          <w:rFonts w:hint="eastAsia" w:ascii="宋体" w:hAnsi="宋体" w:cs="宋体"/>
          <w:b/>
          <w:sz w:val="22"/>
          <w:szCs w:val="22"/>
        </w:rPr>
        <w:t>四、竞争性谈判响应文件的份数、封装和递交</w:t>
      </w:r>
    </w:p>
    <w:p>
      <w:pPr>
        <w:spacing w:line="400" w:lineRule="exact"/>
        <w:rPr>
          <w:rFonts w:ascii="宋体" w:hAnsi="宋体" w:cs="宋体"/>
          <w:sz w:val="22"/>
          <w:szCs w:val="22"/>
        </w:rPr>
      </w:pPr>
      <w:r>
        <w:rPr>
          <w:rFonts w:hint="eastAsia" w:ascii="宋体" w:hAnsi="宋体" w:cs="宋体"/>
          <w:sz w:val="22"/>
          <w:szCs w:val="22"/>
        </w:rPr>
        <w:t>9. 谈判响应文件的份数和封装</w:t>
      </w:r>
    </w:p>
    <w:p>
      <w:pPr>
        <w:spacing w:line="400" w:lineRule="exact"/>
        <w:rPr>
          <w:rFonts w:ascii="宋体" w:hAnsi="宋体" w:cs="宋体"/>
          <w:sz w:val="22"/>
          <w:szCs w:val="22"/>
        </w:rPr>
      </w:pPr>
      <w:r>
        <w:rPr>
          <w:rFonts w:hint="eastAsia" w:ascii="宋体" w:hAnsi="宋体" w:cs="宋体"/>
          <w:sz w:val="22"/>
          <w:szCs w:val="22"/>
        </w:rPr>
        <w:t>9.1 谈判供应商应将竞争性谈判响应文件中“价格文件”和“商务技术文件”装订成一册，正本一份，副本三份。然后再将所有文件装在一个密封袋中密封，</w:t>
      </w:r>
      <w:r>
        <w:rPr>
          <w:rFonts w:hint="eastAsia" w:ascii="宋体" w:hAnsi="宋体" w:cs="宋体"/>
          <w:szCs w:val="21"/>
        </w:rPr>
        <w:t>并在密封处盖章签字【公章、密封章、法定代表人或委托代理人签字】。</w:t>
      </w:r>
    </w:p>
    <w:p>
      <w:pPr>
        <w:spacing w:line="400" w:lineRule="exact"/>
        <w:rPr>
          <w:rFonts w:ascii="宋体" w:hAnsi="宋体" w:cs="宋体"/>
          <w:b/>
          <w:sz w:val="22"/>
          <w:szCs w:val="22"/>
        </w:rPr>
      </w:pPr>
      <w:r>
        <w:rPr>
          <w:rFonts w:hint="eastAsia" w:ascii="宋体" w:hAnsi="宋体" w:cs="宋体"/>
          <w:sz w:val="22"/>
          <w:szCs w:val="22"/>
        </w:rPr>
        <w:t xml:space="preserve">9.2 </w:t>
      </w:r>
      <w:r>
        <w:rPr>
          <w:rFonts w:hint="eastAsia" w:ascii="宋体" w:hAnsi="宋体" w:cs="宋体"/>
          <w:b/>
          <w:sz w:val="22"/>
          <w:szCs w:val="22"/>
        </w:rPr>
        <w:t>竞争性谈判响应文件的密封袋上应写明：</w:t>
      </w:r>
    </w:p>
    <w:p>
      <w:pPr>
        <w:spacing w:line="400" w:lineRule="exac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竞争性谈判响应文件</w:t>
      </w:r>
      <w:r>
        <w:rPr>
          <w:rFonts w:hint="eastAsia" w:ascii="宋体" w:hAnsi="宋体" w:cs="宋体"/>
          <w:sz w:val="22"/>
          <w:szCs w:val="22"/>
        </w:rPr>
        <w:t>》</w:t>
      </w:r>
    </w:p>
    <w:p>
      <w:pPr>
        <w:spacing w:line="400" w:lineRule="exact"/>
        <w:rPr>
          <w:rFonts w:ascii="宋体" w:hAnsi="宋体" w:cs="宋体"/>
          <w:sz w:val="22"/>
          <w:szCs w:val="22"/>
        </w:rPr>
      </w:pPr>
      <w:r>
        <w:rPr>
          <w:rFonts w:hint="eastAsia" w:ascii="宋体" w:hAnsi="宋体" w:cs="宋体"/>
          <w:sz w:val="22"/>
          <w:szCs w:val="22"/>
        </w:rPr>
        <w:t>1） 项目编号；</w:t>
      </w:r>
    </w:p>
    <w:p>
      <w:pPr>
        <w:spacing w:line="360" w:lineRule="exact"/>
        <w:rPr>
          <w:rFonts w:ascii="宋体" w:hAnsi="宋体" w:cs="宋体"/>
          <w:sz w:val="22"/>
          <w:szCs w:val="22"/>
        </w:rPr>
      </w:pPr>
      <w:r>
        <w:rPr>
          <w:rFonts w:hint="eastAsia" w:ascii="宋体" w:hAnsi="宋体" w:cs="宋体"/>
          <w:sz w:val="22"/>
          <w:szCs w:val="22"/>
        </w:rPr>
        <w:t>2） 项目名称；</w:t>
      </w:r>
    </w:p>
    <w:p>
      <w:pPr>
        <w:spacing w:line="360" w:lineRule="exact"/>
        <w:rPr>
          <w:rFonts w:ascii="宋体" w:hAnsi="宋体" w:cs="宋体"/>
          <w:sz w:val="22"/>
          <w:szCs w:val="22"/>
        </w:rPr>
      </w:pPr>
      <w:r>
        <w:rPr>
          <w:rFonts w:hint="eastAsia" w:ascii="宋体" w:hAnsi="宋体" w:cs="宋体"/>
          <w:sz w:val="22"/>
          <w:szCs w:val="22"/>
        </w:rPr>
        <w:t>3） 谈判供应商名称；</w:t>
      </w:r>
    </w:p>
    <w:p>
      <w:pPr>
        <w:spacing w:line="360" w:lineRule="exact"/>
        <w:rPr>
          <w:rFonts w:ascii="宋体" w:hAnsi="宋体" w:cs="宋体"/>
          <w:sz w:val="22"/>
          <w:szCs w:val="22"/>
        </w:rPr>
      </w:pPr>
      <w:r>
        <w:rPr>
          <w:rFonts w:hint="eastAsia" w:ascii="宋体" w:hAnsi="宋体" w:cs="宋体"/>
          <w:sz w:val="22"/>
          <w:szCs w:val="22"/>
        </w:rPr>
        <w:t xml:space="preserve">4） 注明：年  月    日   时    分前不得开启(此处供应商填写响应文件递交截止时间) </w:t>
      </w:r>
    </w:p>
    <w:p>
      <w:pPr>
        <w:spacing w:line="360" w:lineRule="exact"/>
        <w:rPr>
          <w:rFonts w:ascii="宋体" w:hAnsi="宋体" w:cs="宋体"/>
          <w:sz w:val="22"/>
          <w:szCs w:val="22"/>
        </w:rPr>
      </w:pPr>
      <w:r>
        <w:rPr>
          <w:rFonts w:hint="eastAsia" w:ascii="宋体" w:hAnsi="宋体" w:cs="宋体"/>
          <w:sz w:val="22"/>
          <w:szCs w:val="22"/>
        </w:rPr>
        <w:t>10. 竞争性谈判响应文件的递交</w:t>
      </w:r>
    </w:p>
    <w:p>
      <w:pPr>
        <w:spacing w:line="360" w:lineRule="exact"/>
        <w:ind w:firstLine="440" w:firstLineChars="200"/>
        <w:rPr>
          <w:rFonts w:ascii="宋体" w:hAnsi="宋体" w:cs="宋体"/>
          <w:sz w:val="22"/>
          <w:szCs w:val="22"/>
        </w:rPr>
      </w:pPr>
      <w:r>
        <w:rPr>
          <w:rFonts w:hint="eastAsia" w:ascii="宋体" w:hAnsi="宋体" w:cs="宋体"/>
          <w:sz w:val="22"/>
          <w:szCs w:val="22"/>
        </w:rPr>
        <w:t>10.1 所有竞争性谈判响应文件应于竞争性谈判采购文件中规定的时间前递交到竞争性谈判采购文件中规定的地点，如竞标文件未按规定密封，采购单位有权拒收。</w:t>
      </w:r>
    </w:p>
    <w:p>
      <w:pPr>
        <w:spacing w:line="360" w:lineRule="exact"/>
        <w:ind w:firstLine="440" w:firstLineChars="200"/>
        <w:rPr>
          <w:rFonts w:ascii="宋体" w:hAnsi="宋体" w:cs="宋体"/>
          <w:sz w:val="22"/>
          <w:szCs w:val="22"/>
        </w:rPr>
      </w:pPr>
      <w:r>
        <w:rPr>
          <w:rFonts w:hint="eastAsia" w:ascii="宋体" w:hAnsi="宋体" w:cs="宋体"/>
          <w:sz w:val="22"/>
          <w:szCs w:val="22"/>
        </w:rPr>
        <w:t>10.2竞争性谈判响应文件的密封以竞争性谈判响应文件袋无明显缝隙露出袋内文件且封口处签字并盖竞标人公章为合格。</w:t>
      </w:r>
    </w:p>
    <w:p>
      <w:pPr>
        <w:spacing w:line="360" w:lineRule="exact"/>
        <w:rPr>
          <w:rFonts w:ascii="宋体" w:hAnsi="宋体" w:cs="宋体"/>
          <w:sz w:val="22"/>
          <w:szCs w:val="22"/>
        </w:rPr>
      </w:pPr>
      <w:r>
        <w:rPr>
          <w:rFonts w:hint="eastAsia" w:ascii="宋体" w:hAnsi="宋体" w:cs="宋体"/>
          <w:sz w:val="22"/>
          <w:szCs w:val="22"/>
        </w:rPr>
        <w:t>11.迟交的竞争性谈判响应文件：按规定，采购代理机构将拒绝或原封退回在其规定的递交竞争性谈判响应文件截止时间之后收到的任何竞争性谈判响应文件。</w:t>
      </w:r>
    </w:p>
    <w:p>
      <w:pPr>
        <w:spacing w:line="360" w:lineRule="exact"/>
        <w:rPr>
          <w:rFonts w:ascii="宋体" w:hAnsi="宋体" w:cs="宋体"/>
          <w:b/>
          <w:sz w:val="22"/>
          <w:szCs w:val="22"/>
        </w:rPr>
      </w:pPr>
      <w:r>
        <w:rPr>
          <w:rFonts w:hint="eastAsia" w:ascii="宋体" w:hAnsi="宋体" w:cs="宋体"/>
          <w:b/>
          <w:sz w:val="22"/>
          <w:szCs w:val="22"/>
        </w:rPr>
        <w:t>五、谈判的步骤</w:t>
      </w:r>
    </w:p>
    <w:p>
      <w:pPr>
        <w:spacing w:line="360" w:lineRule="exact"/>
        <w:rPr>
          <w:rFonts w:ascii="宋体" w:hAnsi="宋体" w:cs="宋体"/>
          <w:sz w:val="22"/>
          <w:szCs w:val="22"/>
        </w:rPr>
      </w:pPr>
      <w:r>
        <w:rPr>
          <w:rFonts w:hint="eastAsia" w:ascii="宋体" w:hAnsi="宋体" w:cs="宋体"/>
          <w:sz w:val="22"/>
          <w:szCs w:val="22"/>
        </w:rPr>
        <w:t>12.1 第一轮谈判</w:t>
      </w:r>
    </w:p>
    <w:p>
      <w:pPr>
        <w:spacing w:line="360" w:lineRule="exact"/>
        <w:rPr>
          <w:rFonts w:ascii="宋体" w:hAnsi="宋体" w:cs="宋体"/>
          <w:sz w:val="22"/>
          <w:szCs w:val="22"/>
        </w:rPr>
      </w:pPr>
      <w:r>
        <w:rPr>
          <w:rFonts w:hint="eastAsia" w:ascii="宋体" w:hAnsi="宋体" w:cs="宋体"/>
          <w:sz w:val="22"/>
          <w:szCs w:val="22"/>
        </w:rPr>
        <w:t xml:space="preserve">    谈判小组对资格评审合格的供应商进行谈判。</w:t>
      </w:r>
    </w:p>
    <w:p>
      <w:pPr>
        <w:spacing w:line="360" w:lineRule="exact"/>
        <w:ind w:firstLine="440" w:firstLineChars="200"/>
        <w:rPr>
          <w:rFonts w:ascii="宋体" w:hAnsi="宋体" w:cs="宋体"/>
          <w:sz w:val="22"/>
          <w:szCs w:val="22"/>
        </w:rPr>
      </w:pPr>
      <w:r>
        <w:rPr>
          <w:rFonts w:hint="eastAsia" w:ascii="宋体" w:hAnsi="宋体" w:cs="宋体"/>
          <w:sz w:val="22"/>
          <w:szCs w:val="22"/>
        </w:rPr>
        <w:t>谈判小组按已确定的谈判顺序，与单一供应商分别就符合采购需求、质量和服务等进行谈判，并了解其报价组成情况。</w:t>
      </w:r>
    </w:p>
    <w:p>
      <w:pPr>
        <w:spacing w:line="360" w:lineRule="exact"/>
        <w:rPr>
          <w:rFonts w:ascii="宋体" w:hAnsi="宋体" w:cs="宋体"/>
          <w:sz w:val="22"/>
          <w:szCs w:val="22"/>
        </w:rPr>
      </w:pPr>
      <w:r>
        <w:rPr>
          <w:rFonts w:hint="eastAsia" w:ascii="宋体" w:hAnsi="宋体" w:cs="宋体"/>
          <w:sz w:val="22"/>
          <w:szCs w:val="22"/>
        </w:rPr>
        <w:t xml:space="preserve">    谈判中，谈判的任何一方不得透露与谈判有关的其它供应商的技术资料、价格和其它信息。</w:t>
      </w:r>
    </w:p>
    <w:p>
      <w:pPr>
        <w:spacing w:line="360" w:lineRule="exact"/>
        <w:ind w:firstLine="440" w:firstLineChars="200"/>
        <w:rPr>
          <w:rFonts w:ascii="宋体" w:hAnsi="宋体" w:cs="宋体"/>
          <w:sz w:val="22"/>
          <w:szCs w:val="22"/>
        </w:rPr>
      </w:pPr>
      <w:r>
        <w:rPr>
          <w:rFonts w:hint="eastAsia" w:ascii="宋体" w:hAnsi="宋体" w:cs="宋体"/>
          <w:sz w:val="22"/>
          <w:szCs w:val="22"/>
        </w:rPr>
        <w:t>采购代理机构对谈判过程和重要谈判内容进行记录，谈判双方在记录上签字确认。</w:t>
      </w:r>
    </w:p>
    <w:p>
      <w:pPr>
        <w:spacing w:line="360" w:lineRule="exact"/>
        <w:ind w:firstLine="440" w:firstLineChars="200"/>
        <w:rPr>
          <w:rFonts w:ascii="宋体" w:hAnsi="宋体" w:cs="宋体"/>
          <w:sz w:val="22"/>
          <w:szCs w:val="22"/>
        </w:rPr>
      </w:pPr>
      <w:r>
        <w:rPr>
          <w:rFonts w:hint="eastAsia" w:ascii="宋体" w:hAnsi="宋体" w:cs="宋体"/>
          <w:sz w:val="22"/>
          <w:szCs w:val="22"/>
        </w:rPr>
        <w:t>谈判小组一致确定响应供应商符合谈判文件要求的，按谈判文件设定的方法和标准确定成交候选人。第一轮谈判谈判小组未能确定成交候选人的，对谈判文件修正后进行第二轮谈判。</w:t>
      </w:r>
    </w:p>
    <w:p>
      <w:pPr>
        <w:spacing w:line="360" w:lineRule="exact"/>
        <w:rPr>
          <w:rFonts w:ascii="宋体" w:hAnsi="宋体" w:cs="宋体"/>
          <w:sz w:val="22"/>
          <w:szCs w:val="22"/>
        </w:rPr>
      </w:pPr>
      <w:r>
        <w:rPr>
          <w:rFonts w:hint="eastAsia" w:ascii="宋体" w:hAnsi="宋体" w:cs="宋体"/>
          <w:sz w:val="22"/>
          <w:szCs w:val="22"/>
        </w:rPr>
        <w:t>12.2 谈判文件修正</w:t>
      </w:r>
    </w:p>
    <w:p>
      <w:pPr>
        <w:spacing w:line="360" w:lineRule="exact"/>
        <w:ind w:firstLine="440" w:firstLineChars="200"/>
        <w:rPr>
          <w:rFonts w:ascii="宋体" w:hAnsi="宋体" w:cs="宋体"/>
          <w:sz w:val="22"/>
          <w:szCs w:val="22"/>
        </w:rPr>
      </w:pPr>
      <w:r>
        <w:rPr>
          <w:rFonts w:hint="eastAsia" w:ascii="宋体" w:hAnsi="宋体" w:cs="宋体"/>
          <w:sz w:val="22"/>
          <w:szCs w:val="22"/>
        </w:rPr>
        <w:t>（1）第一轮谈判结束后，各响应供应商退场等候，谈判小组进行合议。根据第一轮谈判掌握的情况，可以对谈判文件进行修改，确定采购内容的详细规格或具体要求，优化采购方案。</w:t>
      </w:r>
    </w:p>
    <w:p>
      <w:pPr>
        <w:spacing w:line="360" w:lineRule="exact"/>
        <w:ind w:firstLine="440" w:firstLineChars="200"/>
        <w:rPr>
          <w:rFonts w:ascii="宋体" w:hAnsi="宋体" w:cs="宋体"/>
          <w:sz w:val="22"/>
          <w:szCs w:val="22"/>
        </w:rPr>
      </w:pPr>
      <w:r>
        <w:rPr>
          <w:rFonts w:hint="eastAsia" w:ascii="宋体" w:hAnsi="宋体" w:cs="宋体"/>
          <w:sz w:val="22"/>
          <w:szCs w:val="22"/>
        </w:rPr>
        <w:t>（2）采购代理机构通知响应供应商集中，谈判小组强调调整后的采购要求，将谈判文件的修改结果以书面形式通知响应供应商，向响应供应商提供较充分的修正时间。</w:t>
      </w:r>
    </w:p>
    <w:p>
      <w:pPr>
        <w:spacing w:line="360" w:lineRule="exact"/>
        <w:ind w:firstLine="440" w:firstLineChars="200"/>
        <w:rPr>
          <w:rFonts w:ascii="宋体" w:hAnsi="宋体" w:cs="宋体"/>
          <w:sz w:val="22"/>
          <w:szCs w:val="22"/>
        </w:rPr>
      </w:pPr>
      <w:r>
        <w:rPr>
          <w:rFonts w:hint="eastAsia" w:ascii="宋体" w:hAnsi="宋体" w:cs="宋体"/>
          <w:sz w:val="22"/>
          <w:szCs w:val="22"/>
        </w:rPr>
        <w:t>（3）响应供应商根据第一轮谈判情况和谈判文件修改书面通知，对原响应文件进行修正，并将修正文件签字（盖章）后密封送交谈判小组。逾时不交的，视同放弃谈判。修正文件与响应文件同具法律效力。</w:t>
      </w:r>
    </w:p>
    <w:p>
      <w:pPr>
        <w:spacing w:line="360" w:lineRule="exact"/>
        <w:rPr>
          <w:rFonts w:ascii="宋体" w:hAnsi="宋体" w:cs="宋体"/>
          <w:sz w:val="22"/>
          <w:szCs w:val="22"/>
        </w:rPr>
      </w:pPr>
      <w:r>
        <w:rPr>
          <w:rFonts w:hint="eastAsia" w:ascii="宋体" w:hAnsi="宋体" w:cs="宋体"/>
          <w:sz w:val="22"/>
          <w:szCs w:val="22"/>
        </w:rPr>
        <w:t>12.3 第二轮谈判</w:t>
      </w:r>
    </w:p>
    <w:p>
      <w:pPr>
        <w:spacing w:line="360" w:lineRule="exact"/>
        <w:ind w:firstLine="440" w:firstLineChars="200"/>
        <w:rPr>
          <w:rFonts w:ascii="宋体" w:hAnsi="宋体" w:cs="宋体"/>
          <w:sz w:val="22"/>
          <w:szCs w:val="22"/>
        </w:rPr>
      </w:pPr>
      <w:r>
        <w:rPr>
          <w:rFonts w:hint="eastAsia" w:ascii="宋体" w:hAnsi="宋体" w:cs="宋体"/>
          <w:sz w:val="22"/>
          <w:szCs w:val="22"/>
        </w:rPr>
        <w:t>谈判小组就修正后的响应文件与响应供应商分别进行谈判。采购代理机构对谈判过程和重要谈判内容进行记录，谈判双方在记录上签字确认。谈判小组按谈判文件设定的方法和标准确定成交候选人。</w:t>
      </w:r>
    </w:p>
    <w:p>
      <w:pPr>
        <w:spacing w:line="360" w:lineRule="exact"/>
        <w:ind w:firstLine="440" w:firstLineChars="200"/>
        <w:rPr>
          <w:rFonts w:ascii="宋体" w:hAnsi="宋体" w:cs="宋体"/>
          <w:sz w:val="22"/>
          <w:szCs w:val="22"/>
        </w:rPr>
      </w:pPr>
      <w:r>
        <w:rPr>
          <w:rFonts w:hint="eastAsia" w:ascii="宋体" w:hAnsi="宋体" w:cs="宋体"/>
          <w:sz w:val="22"/>
          <w:szCs w:val="22"/>
        </w:rPr>
        <w:t>第二轮谈判谈判小组未能确定成交候选人的，对谈判文件修正后进行第三轮谈判。以此类推。</w:t>
      </w:r>
    </w:p>
    <w:p>
      <w:pPr>
        <w:spacing w:line="360" w:lineRule="exact"/>
        <w:rPr>
          <w:rFonts w:ascii="宋体" w:hAnsi="宋体" w:cs="宋体"/>
          <w:sz w:val="22"/>
          <w:szCs w:val="22"/>
        </w:rPr>
      </w:pPr>
      <w:r>
        <w:rPr>
          <w:rFonts w:hint="eastAsia" w:ascii="宋体" w:hAnsi="宋体" w:cs="宋体"/>
          <w:sz w:val="22"/>
          <w:szCs w:val="22"/>
        </w:rPr>
        <w:t>12.4 最后报价</w:t>
      </w:r>
    </w:p>
    <w:p>
      <w:pPr>
        <w:spacing w:line="360" w:lineRule="exact"/>
        <w:rPr>
          <w:rFonts w:ascii="宋体" w:hAnsi="宋体" w:cs="宋体"/>
          <w:sz w:val="22"/>
          <w:szCs w:val="22"/>
        </w:rPr>
      </w:pPr>
      <w:r>
        <w:rPr>
          <w:rFonts w:hint="eastAsia" w:ascii="宋体" w:hAnsi="宋体" w:cs="宋体"/>
          <w:sz w:val="22"/>
          <w:szCs w:val="22"/>
        </w:rPr>
        <w:t xml:space="preserve">    成交候选人作最后报价，密封递交谈判小组。谈判小组按报价从低到高排序。推荐成交候选人顺序，形成谈判报告。</w:t>
      </w:r>
    </w:p>
    <w:p>
      <w:pPr>
        <w:spacing w:line="360" w:lineRule="exact"/>
        <w:rPr>
          <w:rFonts w:ascii="宋体" w:hAnsi="宋体" w:cs="宋体"/>
          <w:sz w:val="22"/>
          <w:szCs w:val="22"/>
        </w:rPr>
      </w:pPr>
      <w:r>
        <w:rPr>
          <w:rFonts w:hint="eastAsia" w:ascii="宋体" w:hAnsi="宋体" w:cs="宋体"/>
          <w:sz w:val="22"/>
          <w:szCs w:val="22"/>
        </w:rPr>
        <w:t>12.5本项目以采购预算为最高限额，响应供应商的报价均超过了政府采购预算采购单位不能支付的，谈判活动终止；终止后，采购单位需要采取调整采购预算或项目配置标准等，或采取其它采购方式的，应当在采购活动开始前获得财政部门批准。</w:t>
      </w:r>
    </w:p>
    <w:p>
      <w:pPr>
        <w:spacing w:line="360" w:lineRule="exact"/>
        <w:rPr>
          <w:rFonts w:ascii="宋体" w:hAnsi="宋体" w:cs="宋体"/>
          <w:b/>
          <w:sz w:val="22"/>
          <w:szCs w:val="22"/>
        </w:rPr>
      </w:pPr>
      <w:r>
        <w:rPr>
          <w:rFonts w:hint="eastAsia" w:ascii="宋体" w:hAnsi="宋体" w:cs="宋体"/>
          <w:b/>
          <w:sz w:val="22"/>
          <w:szCs w:val="22"/>
        </w:rPr>
        <w:t>六、确定成交供应商办法</w:t>
      </w:r>
    </w:p>
    <w:p>
      <w:pPr>
        <w:spacing w:line="360" w:lineRule="exact"/>
        <w:rPr>
          <w:rFonts w:ascii="宋体" w:hAnsi="宋体" w:cs="宋体"/>
          <w:sz w:val="22"/>
          <w:szCs w:val="22"/>
        </w:rPr>
      </w:pPr>
      <w:r>
        <w:rPr>
          <w:rFonts w:hint="eastAsia" w:ascii="宋体" w:hAnsi="宋体" w:cs="宋体"/>
          <w:sz w:val="22"/>
          <w:szCs w:val="22"/>
        </w:rPr>
        <w:t>13.1 谈判小组只要求商务评审和技术（服务）评审合格的谈判供应商在规定的时间内进行报价。</w:t>
      </w:r>
    </w:p>
    <w:p>
      <w:pPr>
        <w:spacing w:line="360" w:lineRule="exact"/>
        <w:rPr>
          <w:rFonts w:ascii="宋体" w:hAnsi="宋体" w:cs="宋体"/>
          <w:sz w:val="22"/>
          <w:szCs w:val="22"/>
        </w:rPr>
      </w:pPr>
      <w:r>
        <w:rPr>
          <w:rFonts w:hint="eastAsia" w:ascii="宋体" w:hAnsi="宋体" w:cs="宋体"/>
          <w:sz w:val="22"/>
          <w:szCs w:val="22"/>
        </w:rPr>
        <w:t>13.2 谈判小组将根据需要决定是否要求所有合格的谈判供应商在规定时间内进行第二次或最后报价，最后报价将作为谈判小组评比的最终依据。</w:t>
      </w:r>
    </w:p>
    <w:p>
      <w:pPr>
        <w:spacing w:line="360" w:lineRule="exact"/>
        <w:rPr>
          <w:rFonts w:ascii="宋体" w:hAnsi="宋体" w:cs="宋体"/>
          <w:sz w:val="22"/>
          <w:szCs w:val="22"/>
        </w:rPr>
      </w:pPr>
      <w:r>
        <w:rPr>
          <w:rFonts w:hint="eastAsia" w:ascii="宋体" w:hAnsi="宋体" w:cs="宋体"/>
          <w:sz w:val="22"/>
          <w:szCs w:val="22"/>
        </w:rPr>
        <w:t>13.3 根据符合采购需求、质量和服务相等，按报价最低的原则确定成交供应商，详见第六章评分方法。</w:t>
      </w:r>
    </w:p>
    <w:p>
      <w:pPr>
        <w:spacing w:line="360" w:lineRule="exact"/>
        <w:rPr>
          <w:rFonts w:ascii="宋体" w:hAnsi="宋体" w:cs="宋体"/>
          <w:b/>
          <w:sz w:val="22"/>
          <w:szCs w:val="22"/>
        </w:rPr>
      </w:pPr>
      <w:r>
        <w:rPr>
          <w:rFonts w:hint="eastAsia" w:ascii="宋体" w:hAnsi="宋体" w:cs="宋体"/>
          <w:b/>
          <w:sz w:val="22"/>
          <w:szCs w:val="22"/>
        </w:rPr>
        <w:t>七、签订合同</w:t>
      </w:r>
    </w:p>
    <w:p>
      <w:pPr>
        <w:spacing w:line="360" w:lineRule="exact"/>
        <w:rPr>
          <w:rFonts w:ascii="宋体" w:hAnsi="宋体" w:cs="宋体"/>
          <w:sz w:val="22"/>
          <w:szCs w:val="22"/>
        </w:rPr>
      </w:pPr>
      <w:r>
        <w:rPr>
          <w:rFonts w:hint="eastAsia" w:ascii="宋体" w:hAnsi="宋体" w:cs="宋体"/>
          <w:sz w:val="22"/>
          <w:szCs w:val="22"/>
        </w:rPr>
        <w:t>14. 成交供应商在收到成交通知书后，按规定与采购单位签订供货服务合同。</w:t>
      </w:r>
    </w:p>
    <w:p>
      <w:pPr>
        <w:spacing w:line="360" w:lineRule="exact"/>
        <w:rPr>
          <w:rFonts w:ascii="宋体" w:hAnsi="宋体" w:cs="宋体"/>
          <w:b/>
          <w:sz w:val="22"/>
          <w:szCs w:val="22"/>
        </w:rPr>
      </w:pPr>
      <w:r>
        <w:rPr>
          <w:rFonts w:hint="eastAsia" w:ascii="宋体" w:hAnsi="宋体" w:cs="宋体"/>
          <w:b/>
          <w:sz w:val="22"/>
          <w:szCs w:val="22"/>
        </w:rPr>
        <w:t>八、其他事项</w:t>
      </w:r>
    </w:p>
    <w:p>
      <w:pPr>
        <w:snapToGrid w:val="0"/>
        <w:spacing w:beforeLines="50" w:line="360" w:lineRule="exact"/>
        <w:jc w:val="left"/>
        <w:outlineLvl w:val="0"/>
        <w:rPr>
          <w:rFonts w:ascii="宋体" w:hAnsi="宋体" w:cs="宋体"/>
          <w:b/>
          <w:sz w:val="22"/>
          <w:szCs w:val="22"/>
        </w:rPr>
      </w:pPr>
      <w:bookmarkStart w:id="15" w:name="_Toc514061712"/>
      <w:bookmarkStart w:id="16" w:name="_Toc25539"/>
      <w:bookmarkStart w:id="17" w:name="_Toc514061668"/>
      <w:r>
        <w:rPr>
          <w:rFonts w:hint="eastAsia" w:ascii="宋体" w:hAnsi="宋体" w:cs="宋体"/>
          <w:sz w:val="22"/>
          <w:szCs w:val="22"/>
        </w:rPr>
        <w:t>15.</w:t>
      </w:r>
      <w:r>
        <w:rPr>
          <w:rFonts w:hint="eastAsia" w:ascii="宋体" w:hAnsi="宋体" w:cs="宋体"/>
          <w:b/>
          <w:sz w:val="22"/>
          <w:szCs w:val="22"/>
        </w:rPr>
        <w:t>竞标保证金</w:t>
      </w:r>
      <w:bookmarkEnd w:id="15"/>
      <w:bookmarkEnd w:id="16"/>
      <w:bookmarkEnd w:id="17"/>
    </w:p>
    <w:p>
      <w:pPr>
        <w:spacing w:line="360" w:lineRule="auto"/>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15.1竞标保证金（人民币）：</w:t>
      </w:r>
      <w:r>
        <w:rPr>
          <w:rFonts w:hint="eastAsia" w:ascii="宋体" w:hAnsi="宋体" w:cs="宋体"/>
          <w:kern w:val="0"/>
          <w:sz w:val="22"/>
          <w:szCs w:val="22"/>
          <w:lang w:val="en-US" w:eastAsia="zh-CN" w:bidi="ar-SA"/>
        </w:rPr>
        <w:t>肆仟元整（¥4000.00）</w:t>
      </w:r>
      <w:r>
        <w:rPr>
          <w:rFonts w:hint="eastAsia" w:ascii="宋体" w:hAnsi="宋体" w:eastAsia="宋体" w:cs="宋体"/>
          <w:kern w:val="0"/>
          <w:sz w:val="22"/>
          <w:szCs w:val="22"/>
          <w:lang w:val="en-US" w:eastAsia="zh-CN" w:bidi="ar-SA"/>
        </w:rPr>
        <w:t>，竞标保证金在竞标有效期内保持有效。</w:t>
      </w:r>
    </w:p>
    <w:p>
      <w:pPr>
        <w:pStyle w:val="9"/>
        <w:spacing w:line="400" w:lineRule="exact"/>
        <w:ind w:firstLine="440" w:firstLineChars="200"/>
        <w:rPr>
          <w:rFonts w:hAnsi="宋体" w:cs="宋体"/>
          <w:sz w:val="22"/>
          <w:szCs w:val="22"/>
        </w:rPr>
      </w:pPr>
      <w:r>
        <w:rPr>
          <w:rFonts w:hint="eastAsia" w:hAnsi="宋体" w:cs="宋体"/>
          <w:sz w:val="22"/>
          <w:szCs w:val="22"/>
        </w:rPr>
        <w:t>15.2竞标人应于竞标截止时间前将竞标保证金从竞标人的基本账户以转帐、电汇形式交至采购代理单位指定账户。</w:t>
      </w:r>
    </w:p>
    <w:p>
      <w:pPr>
        <w:snapToGrid w:val="0"/>
        <w:spacing w:line="360" w:lineRule="exact"/>
        <w:ind w:firstLine="440" w:firstLineChars="200"/>
        <w:jc w:val="left"/>
        <w:rPr>
          <w:rFonts w:ascii="宋体" w:hAnsi="宋体" w:cs="宋体"/>
          <w:sz w:val="22"/>
          <w:szCs w:val="22"/>
        </w:rPr>
      </w:pPr>
      <w:r>
        <w:rPr>
          <w:rFonts w:hint="eastAsia" w:ascii="宋体" w:hAnsi="宋体" w:cs="宋体"/>
          <w:sz w:val="22"/>
          <w:szCs w:val="22"/>
        </w:rPr>
        <w:t>15.3 未成交人的竞标保证金在成交通知书发出后五个工作日内退还。</w:t>
      </w:r>
    </w:p>
    <w:p>
      <w:pPr>
        <w:snapToGrid w:val="0"/>
        <w:spacing w:line="360" w:lineRule="exact"/>
        <w:ind w:firstLine="440" w:firstLineChars="200"/>
        <w:jc w:val="left"/>
        <w:rPr>
          <w:rFonts w:ascii="宋体" w:hAnsi="宋体" w:cs="宋体"/>
          <w:sz w:val="22"/>
          <w:szCs w:val="22"/>
        </w:rPr>
      </w:pPr>
      <w:r>
        <w:rPr>
          <w:rFonts w:hint="eastAsia" w:ascii="宋体" w:hAnsi="宋体" w:cs="宋体"/>
          <w:sz w:val="22"/>
          <w:szCs w:val="22"/>
        </w:rPr>
        <w:t>15.4 成交人应在成交公告发布后</w:t>
      </w:r>
      <w:r>
        <w:rPr>
          <w:rFonts w:hint="eastAsia" w:ascii="宋体" w:hAnsi="宋体" w:cs="宋体"/>
          <w:sz w:val="22"/>
          <w:szCs w:val="22"/>
          <w:u w:val="single"/>
        </w:rPr>
        <w:t>15</w:t>
      </w:r>
      <w:r>
        <w:rPr>
          <w:rFonts w:hint="eastAsia" w:ascii="宋体" w:hAnsi="宋体" w:cs="宋体"/>
          <w:sz w:val="22"/>
          <w:szCs w:val="22"/>
        </w:rPr>
        <w:t>日内与采购单位签订合同，成交人的竞标保证金在合同签订后五个工作日内退还，不计息。</w:t>
      </w:r>
    </w:p>
    <w:p>
      <w:pPr>
        <w:pStyle w:val="9"/>
        <w:snapToGrid w:val="0"/>
        <w:spacing w:line="360" w:lineRule="exact"/>
        <w:outlineLvl w:val="1"/>
        <w:rPr>
          <w:rFonts w:hAnsi="宋体" w:cs="宋体"/>
          <w:sz w:val="22"/>
          <w:szCs w:val="22"/>
        </w:rPr>
      </w:pPr>
      <w:bookmarkStart w:id="18" w:name="_Toc514061713"/>
      <w:bookmarkStart w:id="19" w:name="_Toc514061669"/>
      <w:r>
        <w:rPr>
          <w:rFonts w:hint="eastAsia" w:hAnsi="宋体" w:cs="宋体"/>
          <w:sz w:val="22"/>
          <w:szCs w:val="22"/>
        </w:rPr>
        <w:t>16.成交服务费</w:t>
      </w:r>
      <w:bookmarkEnd w:id="18"/>
      <w:bookmarkEnd w:id="19"/>
    </w:p>
    <w:p>
      <w:pPr>
        <w:pStyle w:val="9"/>
        <w:snapToGrid w:val="0"/>
        <w:spacing w:line="360" w:lineRule="exact"/>
        <w:ind w:firstLine="440" w:firstLineChars="200"/>
        <w:outlineLvl w:val="1"/>
        <w:rPr>
          <w:rFonts w:hAnsi="宋体" w:cs="宋体"/>
          <w:kern w:val="2"/>
          <w:sz w:val="22"/>
          <w:szCs w:val="22"/>
        </w:rPr>
      </w:pPr>
      <w:bookmarkStart w:id="20" w:name="_Toc514061670"/>
      <w:bookmarkStart w:id="21" w:name="_Toc514061714"/>
      <w:r>
        <w:rPr>
          <w:rFonts w:hint="eastAsia" w:hAnsi="宋体" w:cs="宋体"/>
          <w:sz w:val="22"/>
          <w:szCs w:val="22"/>
        </w:rPr>
        <w:t>16.1</w:t>
      </w:r>
      <w:bookmarkEnd w:id="20"/>
      <w:bookmarkEnd w:id="21"/>
      <w:r>
        <w:rPr>
          <w:rFonts w:hint="eastAsia" w:hAnsi="宋体" w:cs="宋体"/>
          <w:sz w:val="22"/>
          <w:szCs w:val="22"/>
        </w:rPr>
        <w:t>成交服务费按国家发展计划委员会《招标代理服务费管理暂行办法》（计价格[2002]1980号）收费标准（货物类）向中标（成交）人收取（上述费用中不含评标委员会评审劳务费）。签订合同前，中标（成交）人应向采购代理机</w:t>
      </w:r>
      <w:r>
        <w:rPr>
          <w:rFonts w:hint="eastAsia" w:hAnsi="宋体" w:cs="宋体"/>
          <w:kern w:val="2"/>
          <w:sz w:val="22"/>
          <w:szCs w:val="22"/>
        </w:rPr>
        <w:t>构一次付清中标服务费和</w:t>
      </w:r>
      <w:r>
        <w:rPr>
          <w:rFonts w:hint="eastAsia" w:hAnsi="宋体" w:cs="宋体"/>
          <w:sz w:val="22"/>
          <w:szCs w:val="22"/>
        </w:rPr>
        <w:t>评审劳务费</w:t>
      </w:r>
      <w:r>
        <w:rPr>
          <w:rFonts w:hint="eastAsia" w:hAnsi="宋体" w:cs="宋体"/>
          <w:kern w:val="2"/>
          <w:sz w:val="22"/>
          <w:szCs w:val="22"/>
        </w:rPr>
        <w:t>。</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734"/>
        <w:gridCol w:w="2268"/>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l2br w:val="single" w:color="auto" w:sz="4" w:space="0"/>
            </w:tcBorders>
            <w:noWrap/>
          </w:tcPr>
          <w:p>
            <w:pPr>
              <w:spacing w:line="380" w:lineRule="exact"/>
              <w:ind w:firstLine="1540" w:firstLineChars="700"/>
              <w:jc w:val="left"/>
              <w:rPr>
                <w:rFonts w:ascii="宋体" w:hAnsi="宋体" w:cs="宋体"/>
                <w:sz w:val="22"/>
                <w:szCs w:val="22"/>
              </w:rPr>
            </w:pPr>
            <w:r>
              <w:rPr>
                <w:rFonts w:hint="eastAsia" w:ascii="宋体" w:hAnsi="宋体" w:cs="宋体"/>
                <w:sz w:val="22"/>
                <w:szCs w:val="22"/>
              </w:rPr>
              <w:t>费率</w:t>
            </w:r>
          </w:p>
          <w:p>
            <w:pPr>
              <w:spacing w:line="380" w:lineRule="exact"/>
              <w:ind w:firstLine="440" w:firstLineChars="200"/>
              <w:jc w:val="left"/>
              <w:rPr>
                <w:rFonts w:ascii="宋体" w:hAnsi="宋体" w:cs="宋体"/>
                <w:sz w:val="22"/>
                <w:szCs w:val="22"/>
              </w:rPr>
            </w:pPr>
            <w:r>
              <w:rPr>
                <w:rFonts w:hint="eastAsia" w:ascii="宋体" w:hAnsi="宋体" w:cs="宋体"/>
                <w:sz w:val="22"/>
                <w:szCs w:val="22"/>
              </w:rPr>
              <w:t>中标金额</w:t>
            </w:r>
          </w:p>
        </w:tc>
        <w:tc>
          <w:tcPr>
            <w:tcW w:w="1734"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宋体" w:hAnsi="宋体" w:cs="宋体"/>
                <w:sz w:val="22"/>
                <w:szCs w:val="22"/>
              </w:rPr>
            </w:pPr>
            <w:r>
              <w:rPr>
                <w:rFonts w:hint="eastAsia" w:ascii="宋体" w:hAnsi="宋体" w:cs="宋体"/>
                <w:sz w:val="22"/>
                <w:szCs w:val="22"/>
              </w:rPr>
              <w:t>货物招标</w:t>
            </w:r>
          </w:p>
        </w:tc>
        <w:tc>
          <w:tcPr>
            <w:tcW w:w="2268"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宋体" w:hAnsi="宋体" w:cs="宋体"/>
                <w:sz w:val="22"/>
                <w:szCs w:val="22"/>
              </w:rPr>
            </w:pPr>
            <w:r>
              <w:rPr>
                <w:rFonts w:hint="eastAsia" w:ascii="宋体" w:hAnsi="宋体" w:cs="宋体"/>
                <w:sz w:val="22"/>
                <w:szCs w:val="22"/>
              </w:rPr>
              <w:t>服务招标</w:t>
            </w:r>
          </w:p>
        </w:tc>
        <w:tc>
          <w:tcPr>
            <w:tcW w:w="322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宋体" w:hAnsi="宋体" w:cs="宋体"/>
                <w:sz w:val="22"/>
                <w:szCs w:val="22"/>
              </w:rPr>
            </w:pPr>
            <w:r>
              <w:rPr>
                <w:rFonts w:hint="eastAsia" w:ascii="宋体" w:hAnsi="宋体" w:cs="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100万元以下</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1.5%</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1.5%</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100～500万元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1.1%</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0.8%</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500～1000万元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0.8%</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0.45%</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1000～5000万元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0.5%</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0.25%</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5000万元～1亿元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0.25%</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0.1%</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1～5亿元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0.05%</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0.05%</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5～10亿元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0.035%</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0.035%</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10～50亿元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0.008%</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0.008%</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50～100亿元</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0.006%</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0.006%</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rPr>
                <w:rFonts w:ascii="宋体" w:hAnsi="宋体" w:cs="宋体"/>
                <w:sz w:val="22"/>
                <w:szCs w:val="22"/>
              </w:rPr>
            </w:pPr>
            <w:r>
              <w:rPr>
                <w:rFonts w:hint="eastAsia" w:ascii="宋体" w:hAnsi="宋体" w:cs="宋体"/>
                <w:sz w:val="22"/>
                <w:szCs w:val="22"/>
              </w:rPr>
              <w:t>100亿以上</w:t>
            </w:r>
          </w:p>
        </w:tc>
        <w:tc>
          <w:tcPr>
            <w:tcW w:w="1734"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0.004%</w:t>
            </w:r>
          </w:p>
        </w:tc>
        <w:tc>
          <w:tcPr>
            <w:tcW w:w="2268"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0.004%</w:t>
            </w:r>
          </w:p>
        </w:tc>
        <w:tc>
          <w:tcPr>
            <w:tcW w:w="3227" w:type="dxa"/>
            <w:tcBorders>
              <w:top w:val="single" w:color="auto" w:sz="4" w:space="0"/>
              <w:left w:val="single" w:color="auto" w:sz="4" w:space="0"/>
              <w:bottom w:val="single" w:color="auto" w:sz="4" w:space="0"/>
              <w:right w:val="single" w:color="auto" w:sz="4" w:space="0"/>
            </w:tcBorders>
            <w:noWrap/>
          </w:tcPr>
          <w:p>
            <w:pPr>
              <w:spacing w:line="380" w:lineRule="exact"/>
              <w:ind w:firstLine="440" w:firstLineChars="200"/>
              <w:jc w:val="center"/>
              <w:rPr>
                <w:rFonts w:ascii="宋体" w:hAnsi="宋体" w:cs="宋体"/>
                <w:sz w:val="22"/>
                <w:szCs w:val="22"/>
              </w:rPr>
            </w:pPr>
            <w:r>
              <w:rPr>
                <w:rFonts w:hint="eastAsia" w:ascii="宋体" w:hAnsi="宋体" w:cs="宋体"/>
                <w:sz w:val="22"/>
                <w:szCs w:val="22"/>
              </w:rPr>
              <w:t>0.004%</w:t>
            </w:r>
          </w:p>
        </w:tc>
      </w:tr>
    </w:tbl>
    <w:p>
      <w:pPr>
        <w:spacing w:line="380" w:lineRule="exact"/>
        <w:ind w:firstLine="440" w:firstLineChars="200"/>
        <w:rPr>
          <w:rFonts w:ascii="宋体" w:hAnsi="宋体" w:cs="宋体"/>
          <w:sz w:val="22"/>
          <w:szCs w:val="22"/>
        </w:rPr>
      </w:pPr>
      <w:r>
        <w:rPr>
          <w:rFonts w:hint="eastAsia" w:ascii="宋体" w:hAnsi="宋体" w:cs="宋体"/>
          <w:sz w:val="22"/>
          <w:szCs w:val="22"/>
        </w:rPr>
        <w:t>招标代理服务收费根据本表费率按差额定率累进法计算。</w:t>
      </w:r>
    </w:p>
    <w:p>
      <w:pPr>
        <w:spacing w:line="380" w:lineRule="exact"/>
        <w:ind w:firstLine="440" w:firstLineChars="200"/>
        <w:rPr>
          <w:rFonts w:ascii="宋体" w:hAnsi="宋体" w:cs="宋体"/>
          <w:sz w:val="22"/>
          <w:szCs w:val="22"/>
        </w:rPr>
      </w:pPr>
      <w:r>
        <w:rPr>
          <w:rFonts w:hint="eastAsia" w:ascii="宋体" w:hAnsi="宋体" w:cs="宋体"/>
          <w:sz w:val="22"/>
          <w:szCs w:val="22"/>
        </w:rPr>
        <w:t>例如：某工程代理业务中标金额为6000万元，计算招标代理服务收费额如下：</w:t>
      </w:r>
    </w:p>
    <w:p>
      <w:pPr>
        <w:spacing w:line="380" w:lineRule="exact"/>
        <w:ind w:firstLine="440" w:firstLineChars="200"/>
        <w:rPr>
          <w:rFonts w:ascii="宋体" w:hAnsi="宋体" w:cs="宋体"/>
          <w:sz w:val="22"/>
          <w:szCs w:val="22"/>
        </w:rPr>
      </w:pPr>
      <w:r>
        <w:rPr>
          <w:rFonts w:hint="eastAsia" w:ascii="宋体" w:hAnsi="宋体" w:cs="宋体"/>
          <w:sz w:val="22"/>
          <w:szCs w:val="22"/>
        </w:rPr>
        <w:t xml:space="preserve">  100万元*1.0%=1万</w:t>
      </w:r>
    </w:p>
    <w:p>
      <w:pPr>
        <w:spacing w:line="380" w:lineRule="exact"/>
        <w:ind w:firstLine="440" w:firstLineChars="200"/>
        <w:rPr>
          <w:rFonts w:ascii="宋体" w:hAnsi="宋体" w:cs="宋体"/>
          <w:sz w:val="22"/>
          <w:szCs w:val="22"/>
        </w:rPr>
      </w:pPr>
      <w:r>
        <w:rPr>
          <w:rFonts w:hint="eastAsia" w:ascii="宋体" w:hAnsi="宋体" w:cs="宋体"/>
          <w:sz w:val="22"/>
          <w:szCs w:val="22"/>
        </w:rPr>
        <w:t>（500-100）万元*0.7%=2.8万元</w:t>
      </w:r>
    </w:p>
    <w:p>
      <w:pPr>
        <w:spacing w:line="380" w:lineRule="exact"/>
        <w:ind w:firstLine="440" w:firstLineChars="200"/>
        <w:rPr>
          <w:rFonts w:ascii="宋体" w:hAnsi="宋体" w:cs="宋体"/>
          <w:sz w:val="22"/>
          <w:szCs w:val="22"/>
        </w:rPr>
      </w:pPr>
      <w:r>
        <w:rPr>
          <w:rFonts w:hint="eastAsia" w:ascii="宋体" w:hAnsi="宋体" w:cs="宋体"/>
          <w:sz w:val="22"/>
          <w:szCs w:val="22"/>
        </w:rPr>
        <w:t>（1000-500）万元*0.55%=2.75万元</w:t>
      </w:r>
    </w:p>
    <w:p>
      <w:pPr>
        <w:spacing w:line="380" w:lineRule="exact"/>
        <w:ind w:firstLine="440" w:firstLineChars="200"/>
        <w:rPr>
          <w:rFonts w:ascii="宋体" w:hAnsi="宋体" w:cs="宋体"/>
          <w:sz w:val="22"/>
          <w:szCs w:val="22"/>
        </w:rPr>
      </w:pPr>
      <w:r>
        <w:rPr>
          <w:rFonts w:hint="eastAsia" w:ascii="宋体" w:hAnsi="宋体" w:cs="宋体"/>
          <w:sz w:val="22"/>
          <w:szCs w:val="22"/>
        </w:rPr>
        <w:t>（5000-1000）万元*0.35%=14万元</w:t>
      </w:r>
    </w:p>
    <w:p>
      <w:pPr>
        <w:spacing w:line="380" w:lineRule="exact"/>
        <w:ind w:firstLine="440" w:firstLineChars="200"/>
        <w:rPr>
          <w:rFonts w:ascii="宋体" w:hAnsi="宋体" w:cs="宋体"/>
          <w:sz w:val="22"/>
          <w:szCs w:val="22"/>
        </w:rPr>
      </w:pPr>
      <w:r>
        <w:rPr>
          <w:rFonts w:hint="eastAsia" w:ascii="宋体" w:hAnsi="宋体" w:cs="宋体"/>
          <w:sz w:val="22"/>
          <w:szCs w:val="22"/>
        </w:rPr>
        <w:t>（6000-5000）万元*0.2%=2万元</w:t>
      </w:r>
    </w:p>
    <w:p>
      <w:pPr>
        <w:pStyle w:val="9"/>
        <w:adjustRightInd w:val="0"/>
        <w:snapToGrid w:val="0"/>
        <w:spacing w:line="440" w:lineRule="exact"/>
        <w:rPr>
          <w:rFonts w:hAnsi="宋体" w:cs="宋体"/>
          <w:kern w:val="2"/>
          <w:sz w:val="22"/>
          <w:szCs w:val="22"/>
        </w:rPr>
      </w:pPr>
      <w:r>
        <w:rPr>
          <w:rFonts w:hint="eastAsia" w:hAnsi="宋体" w:cs="宋体"/>
          <w:kern w:val="2"/>
          <w:sz w:val="22"/>
          <w:szCs w:val="22"/>
        </w:rPr>
        <w:t xml:space="preserve">合计收费=1+2.8+2.75+14+2=22.55（万元） </w:t>
      </w:r>
    </w:p>
    <w:p>
      <w:pPr>
        <w:pStyle w:val="9"/>
        <w:spacing w:line="440" w:lineRule="exact"/>
        <w:ind w:left="97" w:leftChars="46" w:firstLine="338" w:firstLineChars="154"/>
        <w:rPr>
          <w:rFonts w:hAnsi="宋体" w:cs="宋体"/>
          <w:kern w:val="2"/>
          <w:sz w:val="22"/>
          <w:szCs w:val="22"/>
        </w:rPr>
      </w:pPr>
      <w:r>
        <w:rPr>
          <w:rFonts w:hint="eastAsia" w:hAnsi="宋体" w:cs="宋体"/>
          <w:kern w:val="2"/>
          <w:sz w:val="22"/>
          <w:szCs w:val="22"/>
        </w:rPr>
        <w:t>16.2本竞争性谈判条件书是根据《中华人民共和国招标竞标法》和参照《中华人民共和国政府采购法》的有关规定及参照国际惯例编制，解释权属本采购代理单位。</w:t>
      </w:r>
    </w:p>
    <w:p>
      <w:pPr>
        <w:pStyle w:val="9"/>
        <w:adjustRightInd w:val="0"/>
        <w:snapToGrid w:val="0"/>
        <w:spacing w:line="440" w:lineRule="exact"/>
        <w:rPr>
          <w:rFonts w:hAnsi="宋体" w:cs="宋体"/>
          <w:kern w:val="2"/>
          <w:sz w:val="22"/>
          <w:szCs w:val="22"/>
        </w:rPr>
      </w:pPr>
      <w:r>
        <w:rPr>
          <w:rFonts w:hint="eastAsia" w:hAnsi="宋体" w:cs="宋体"/>
          <w:kern w:val="2"/>
          <w:sz w:val="22"/>
          <w:szCs w:val="22"/>
        </w:rPr>
        <w:t xml:space="preserve"> 九、 通讯地址</w:t>
      </w:r>
    </w:p>
    <w:p>
      <w:pPr>
        <w:pStyle w:val="9"/>
        <w:spacing w:line="440" w:lineRule="exact"/>
        <w:ind w:left="97" w:leftChars="46" w:firstLine="338" w:firstLineChars="154"/>
        <w:rPr>
          <w:rFonts w:hAnsi="宋体" w:cs="宋体"/>
          <w:kern w:val="2"/>
          <w:sz w:val="22"/>
          <w:szCs w:val="22"/>
        </w:rPr>
      </w:pPr>
      <w:r>
        <w:rPr>
          <w:rFonts w:hint="eastAsia" w:hAnsi="宋体" w:cs="宋体"/>
          <w:kern w:val="2"/>
          <w:sz w:val="22"/>
          <w:szCs w:val="22"/>
        </w:rPr>
        <w:t>17.1所有与本竞争性谈判条件书有关的函电请按下列通讯地址联系：</w:t>
      </w:r>
    </w:p>
    <w:p>
      <w:pPr>
        <w:pStyle w:val="9"/>
        <w:spacing w:line="440" w:lineRule="exact"/>
        <w:ind w:left="97" w:leftChars="46" w:firstLine="338" w:firstLineChars="154"/>
        <w:rPr>
          <w:rFonts w:hAnsi="宋体" w:cs="宋体"/>
          <w:kern w:val="2"/>
          <w:sz w:val="22"/>
          <w:szCs w:val="22"/>
        </w:rPr>
      </w:pPr>
      <w:r>
        <w:rPr>
          <w:rFonts w:hint="eastAsia" w:hAnsi="宋体" w:cs="宋体"/>
          <w:kern w:val="2"/>
          <w:sz w:val="22"/>
          <w:szCs w:val="22"/>
        </w:rPr>
        <w:t>采购代理机构：广西振弘建设管理有限公司</w:t>
      </w:r>
    </w:p>
    <w:p>
      <w:pPr>
        <w:pStyle w:val="9"/>
        <w:spacing w:line="440" w:lineRule="exact"/>
        <w:ind w:left="97" w:leftChars="46" w:firstLine="338" w:firstLineChars="154"/>
        <w:rPr>
          <w:rFonts w:hAnsi="宋体" w:cs="宋体"/>
          <w:kern w:val="2"/>
          <w:sz w:val="22"/>
          <w:szCs w:val="22"/>
        </w:rPr>
      </w:pPr>
      <w:r>
        <w:rPr>
          <w:rFonts w:hint="eastAsia" w:hAnsi="宋体" w:cs="宋体"/>
          <w:kern w:val="2"/>
          <w:sz w:val="22"/>
          <w:szCs w:val="22"/>
        </w:rPr>
        <w:t>联系人：兰晴           联系电话：0778-2302888</w:t>
      </w:r>
    </w:p>
    <w:p>
      <w:pPr>
        <w:pStyle w:val="9"/>
        <w:spacing w:line="440" w:lineRule="exact"/>
        <w:ind w:left="97" w:leftChars="46" w:firstLine="338" w:firstLineChars="154"/>
        <w:rPr>
          <w:rFonts w:hAnsi="宋体" w:cs="宋体"/>
          <w:kern w:val="2"/>
          <w:sz w:val="22"/>
          <w:szCs w:val="22"/>
        </w:rPr>
      </w:pPr>
      <w:r>
        <w:rPr>
          <w:rFonts w:hint="eastAsia" w:hAnsi="宋体" w:cs="宋体"/>
          <w:kern w:val="2"/>
          <w:sz w:val="22"/>
          <w:szCs w:val="22"/>
        </w:rPr>
        <w:t>地址：河池市金城江区城西大道西城铭苑一栋一单元4楼401室；</w:t>
      </w:r>
    </w:p>
    <w:p>
      <w:pPr>
        <w:pStyle w:val="9"/>
        <w:spacing w:line="440" w:lineRule="exact"/>
        <w:ind w:firstLine="440" w:firstLineChars="200"/>
        <w:rPr>
          <w:rFonts w:hint="eastAsia" w:hAnsi="宋体" w:cs="宋体"/>
          <w:kern w:val="2"/>
          <w:sz w:val="22"/>
          <w:szCs w:val="22"/>
        </w:rPr>
      </w:pPr>
      <w:r>
        <w:rPr>
          <w:rFonts w:hint="eastAsia" w:hAnsi="宋体" w:cs="宋体"/>
          <w:kern w:val="2"/>
          <w:sz w:val="22"/>
          <w:szCs w:val="22"/>
        </w:rPr>
        <w:t>17.2、监督部门：</w:t>
      </w:r>
      <w:bookmarkStart w:id="22" w:name="_Toc514061671"/>
      <w:bookmarkStart w:id="23" w:name="_Toc514061715"/>
      <w:r>
        <w:rPr>
          <w:rFonts w:hint="eastAsia" w:hAnsi="宋体" w:cs="宋体"/>
          <w:kern w:val="2"/>
          <w:sz w:val="22"/>
          <w:szCs w:val="22"/>
        </w:rPr>
        <w:t xml:space="preserve"> 凤山县政府采购管理办公室      电话：0778-6819211</w:t>
      </w:r>
    </w:p>
    <w:p>
      <w:pPr>
        <w:pStyle w:val="9"/>
        <w:spacing w:line="440" w:lineRule="exact"/>
        <w:rPr>
          <w:rFonts w:hAnsi="宋体" w:cs="宋体"/>
          <w:kern w:val="2"/>
          <w:sz w:val="22"/>
          <w:szCs w:val="22"/>
        </w:rPr>
      </w:pPr>
      <w:r>
        <w:rPr>
          <w:rFonts w:hint="eastAsia" w:hAnsi="宋体" w:cs="宋体"/>
          <w:kern w:val="2"/>
          <w:sz w:val="22"/>
          <w:szCs w:val="22"/>
        </w:rPr>
        <w:t>十、适用法律</w:t>
      </w:r>
      <w:bookmarkEnd w:id="22"/>
      <w:bookmarkEnd w:id="23"/>
    </w:p>
    <w:p>
      <w:pPr>
        <w:pStyle w:val="9"/>
        <w:spacing w:line="440" w:lineRule="exact"/>
        <w:ind w:left="97" w:leftChars="46" w:firstLine="338" w:firstLineChars="154"/>
        <w:rPr>
          <w:rFonts w:hAnsi="宋体" w:cs="宋体"/>
          <w:sz w:val="22"/>
          <w:szCs w:val="22"/>
        </w:rPr>
        <w:sectPr>
          <w:footerReference r:id="rId3" w:type="default"/>
          <w:pgSz w:w="11906" w:h="16838"/>
          <w:pgMar w:top="1134" w:right="1134" w:bottom="1134" w:left="1587" w:header="851" w:footer="992" w:gutter="0"/>
          <w:pgNumType w:start="1"/>
          <w:cols w:space="720" w:num="1"/>
          <w:docGrid w:type="lines" w:linePitch="312" w:charSpace="0"/>
        </w:sectPr>
      </w:pPr>
      <w:r>
        <w:rPr>
          <w:rFonts w:hint="eastAsia" w:hAnsi="宋体" w:cs="宋体"/>
          <w:kern w:val="2"/>
          <w:sz w:val="22"/>
          <w:szCs w:val="22"/>
        </w:rPr>
        <w:t xml:space="preserve"> 18.1采购当事人的一切活动均适用于《中华人民共和国政府采购法》及相关规定。最终谈判结束后，谈判小组不得再</w:t>
      </w:r>
      <w:r>
        <w:rPr>
          <w:rFonts w:hint="eastAsia" w:hAnsi="宋体" w:cs="宋体"/>
          <w:sz w:val="22"/>
          <w:szCs w:val="22"/>
        </w:rPr>
        <w:t>与竞标人进行任何形式的商谈。</w:t>
      </w:r>
    </w:p>
    <w:p>
      <w:pPr>
        <w:pStyle w:val="4"/>
      </w:pPr>
      <w:bookmarkStart w:id="24" w:name="_Toc23152"/>
      <w:r>
        <w:rPr>
          <w:rFonts w:hint="eastAsia"/>
        </w:rPr>
        <w:t>第三章 项目需求</w:t>
      </w:r>
      <w:bookmarkEnd w:id="24"/>
    </w:p>
    <w:p>
      <w:pPr>
        <w:pStyle w:val="4"/>
        <w:spacing w:before="0" w:after="120" w:line="400" w:lineRule="exact"/>
        <w:jc w:val="both"/>
        <w:rPr>
          <w:rFonts w:ascii="宋体" w:hAnsi="宋体" w:cs="宋体"/>
          <w:b w:val="0"/>
          <w:bCs w:val="0"/>
          <w:kern w:val="2"/>
          <w:sz w:val="22"/>
          <w:szCs w:val="22"/>
        </w:rPr>
      </w:pPr>
      <w:bookmarkStart w:id="25" w:name="_Toc29496"/>
      <w:bookmarkStart w:id="26" w:name="_Toc403033455"/>
      <w:bookmarkStart w:id="27" w:name="_Toc403033464"/>
      <w:r>
        <w:rPr>
          <w:rFonts w:hint="eastAsia" w:ascii="宋体" w:hAnsi="宋体" w:cs="宋体"/>
          <w:b w:val="0"/>
          <w:bCs w:val="0"/>
          <w:kern w:val="2"/>
          <w:sz w:val="22"/>
          <w:szCs w:val="22"/>
        </w:rPr>
        <w:t>说明：</w:t>
      </w:r>
      <w:bookmarkEnd w:id="25"/>
    </w:p>
    <w:p>
      <w:pPr>
        <w:pStyle w:val="4"/>
        <w:spacing w:before="0" w:after="120" w:line="400" w:lineRule="exact"/>
        <w:jc w:val="both"/>
        <w:rPr>
          <w:rFonts w:ascii="宋体" w:hAnsi="宋体" w:cs="宋体"/>
          <w:b w:val="0"/>
          <w:bCs w:val="0"/>
          <w:kern w:val="2"/>
          <w:sz w:val="22"/>
          <w:szCs w:val="22"/>
        </w:rPr>
      </w:pPr>
      <w:bookmarkStart w:id="28" w:name="_Toc2533"/>
      <w:r>
        <w:rPr>
          <w:rFonts w:hint="eastAsia" w:ascii="宋体" w:hAnsi="宋体" w:cs="宋体"/>
          <w:b w:val="0"/>
          <w:bCs w:val="0"/>
          <w:kern w:val="2"/>
          <w:sz w:val="22"/>
          <w:szCs w:val="22"/>
        </w:rPr>
        <w:t>1、货物要求及技术需求中的参考品牌型号、技术参数及性能（配置）仅起参考作用，竞标人可选用其他品牌型号替代，但这些替代的品牌型号要实质上相当于或优于参考品牌型号及其技术参数性能（配置）要求。</w:t>
      </w:r>
      <w:bookmarkEnd w:id="28"/>
    </w:p>
    <w:p>
      <w:pPr>
        <w:spacing w:line="400" w:lineRule="exact"/>
        <w:ind w:right="2" w:rightChars="1"/>
        <w:rPr>
          <w:rFonts w:ascii="宋体" w:hAnsi="宋体" w:cs="宋体"/>
          <w:sz w:val="22"/>
          <w:szCs w:val="22"/>
        </w:rPr>
      </w:pPr>
      <w:r>
        <w:rPr>
          <w:rFonts w:hint="eastAsia" w:ascii="宋体" w:hAnsi="宋体" w:cs="宋体"/>
          <w:sz w:val="22"/>
          <w:szCs w:val="22"/>
        </w:rPr>
        <w:t>2、项目要求及技术需求中的参考品牌型号、技术参数及性能（配置）不明确或有误的，或竞标人选用其他品牌型号替代的，请以详细、正确的品牌型号、技术参数性能（配置）同时填写竞标报价表和技术规格响应表。</w:t>
      </w:r>
    </w:p>
    <w:p>
      <w:pPr>
        <w:spacing w:line="400" w:lineRule="exact"/>
        <w:ind w:right="2" w:rightChars="1"/>
        <w:rPr>
          <w:rFonts w:ascii="宋体" w:hAnsi="宋体" w:cs="宋体"/>
          <w:sz w:val="22"/>
          <w:szCs w:val="22"/>
        </w:rPr>
      </w:pPr>
      <w:r>
        <w:rPr>
          <w:rFonts w:hint="eastAsia" w:ascii="宋体" w:hAnsi="宋体" w:cs="宋体"/>
          <w:sz w:val="22"/>
          <w:szCs w:val="22"/>
        </w:rPr>
        <w:t>3、</w:t>
      </w:r>
      <w:r>
        <w:rPr>
          <w:rFonts w:hint="eastAsia" w:ascii="宋体" w:hAnsi="宋体" w:cs="宋体"/>
          <w:kern w:val="0"/>
          <w:sz w:val="22"/>
          <w:szCs w:val="22"/>
        </w:rPr>
        <w:t>打“</w:t>
      </w:r>
      <w:r>
        <w:rPr>
          <w:rFonts w:hint="eastAsia" w:ascii="宋体" w:hAnsi="宋体" w:cs="宋体"/>
          <w:kern w:val="0"/>
          <w:sz w:val="24"/>
        </w:rPr>
        <w:t>★</w:t>
      </w:r>
      <w:r>
        <w:rPr>
          <w:rFonts w:hint="eastAsia" w:ascii="宋体" w:hAnsi="宋体" w:cs="宋体"/>
          <w:kern w:val="0"/>
          <w:sz w:val="22"/>
          <w:szCs w:val="22"/>
        </w:rPr>
        <w:t>”号条款为重要技术参数，竞标人必须满足，如有提供不全的则视竞标无效。</w:t>
      </w:r>
      <w:r>
        <w:rPr>
          <w:rFonts w:hint="eastAsia" w:ascii="宋体" w:hAnsi="宋体" w:cs="宋体"/>
          <w:kern w:val="0"/>
          <w:sz w:val="22"/>
          <w:szCs w:val="22"/>
        </w:rPr>
        <w:br w:type="textWrapping"/>
      </w:r>
      <w:r>
        <w:rPr>
          <w:rFonts w:hint="eastAsia" w:ascii="宋体" w:hAnsi="宋体" w:cs="宋体"/>
          <w:sz w:val="22"/>
          <w:szCs w:val="22"/>
        </w:rPr>
        <w:t>4、竞标产品的生产厂商，应遵循《中华人民共和国产品质量法》的规定，依法承担产品质量责任。“生产者不得生产国家明令淘汰的产品。不得伪造产地，不得伪造或者冒用他人的厂名、厂址。不得伪造或者冒用认证标志、名优标志等质量标志。生产产品，不得掺杂、掺假，不得以假充真、以次充好，不得以不合格产品冒充合格产品。”“销售者应当执行进货检查验收制度，验明产品合格证明和其他标识。应当采取措施，保持销售产品的质量。不得销售失效、变质的产品。不得伪造产地，不得伪造或者冒用他人的厂名、厂址。不得伪造或者冒用认证标志、名优标志等质量标志。销售产品，不得掺杂、掺假，不得以假充真、以次充好，不得以不合格产品冒充合格产品。”若采购方掌握了确切事实说明某竞标人存在上列行为之一的，该竞竞标文件将作为无效竞标处理。</w:t>
      </w:r>
    </w:p>
    <w:p>
      <w:pPr>
        <w:spacing w:line="400" w:lineRule="exact"/>
        <w:rPr>
          <w:rFonts w:ascii="宋体" w:hAnsi="宋体" w:cs="宋体"/>
          <w:sz w:val="22"/>
          <w:szCs w:val="22"/>
        </w:rPr>
      </w:pPr>
      <w:r>
        <w:rPr>
          <w:rFonts w:hint="eastAsia" w:ascii="宋体" w:hAnsi="宋体" w:cs="宋体"/>
          <w:sz w:val="22"/>
          <w:szCs w:val="22"/>
        </w:rPr>
        <w:t>5、竞标人供货时产品的质量应当检验合格，质量符合产品的国家标准或行业标准以及国家有关规定。对于没有按国家行业标准生产的产品，应提供企业生产标准，供评标时使用，如果成交，将作为今后签约、供货、验收的依据。不按要求提供者，评标时按竞标资料不齐全对待。</w:t>
      </w:r>
    </w:p>
    <w:p>
      <w:pPr>
        <w:spacing w:line="400" w:lineRule="exact"/>
        <w:rPr>
          <w:rFonts w:ascii="宋体" w:hAnsi="宋体" w:cs="宋体"/>
          <w:sz w:val="22"/>
          <w:szCs w:val="22"/>
        </w:rPr>
      </w:pPr>
      <w:r>
        <w:rPr>
          <w:rFonts w:hint="eastAsia" w:ascii="宋体" w:hAnsi="宋体" w:cs="宋体"/>
          <w:sz w:val="22"/>
          <w:szCs w:val="22"/>
        </w:rPr>
        <w:t>6、 产品或者其包装上的标识应当符和下列要求：</w:t>
      </w:r>
    </w:p>
    <w:p>
      <w:pPr>
        <w:spacing w:line="400" w:lineRule="exact"/>
        <w:ind w:left="420"/>
        <w:rPr>
          <w:rFonts w:ascii="宋体" w:hAnsi="宋体" w:cs="宋体"/>
          <w:sz w:val="22"/>
          <w:szCs w:val="22"/>
        </w:rPr>
      </w:pPr>
      <w:r>
        <w:rPr>
          <w:rFonts w:hint="eastAsia" w:ascii="宋体" w:hAnsi="宋体" w:cs="宋体"/>
          <w:sz w:val="22"/>
          <w:szCs w:val="22"/>
        </w:rPr>
        <w:t>（1）有产品质量检验合格证明；</w:t>
      </w:r>
    </w:p>
    <w:p>
      <w:pPr>
        <w:spacing w:line="400" w:lineRule="exact"/>
        <w:ind w:left="420"/>
        <w:rPr>
          <w:rFonts w:ascii="宋体" w:hAnsi="宋体" w:cs="宋体"/>
          <w:sz w:val="22"/>
          <w:szCs w:val="22"/>
        </w:rPr>
      </w:pPr>
      <w:r>
        <w:rPr>
          <w:rFonts w:hint="eastAsia" w:ascii="宋体" w:hAnsi="宋体" w:cs="宋体"/>
          <w:sz w:val="22"/>
          <w:szCs w:val="22"/>
        </w:rPr>
        <w:t>（2）有中文标明的产品名称、生产厂厂名和厂址；</w:t>
      </w:r>
    </w:p>
    <w:p>
      <w:pPr>
        <w:tabs>
          <w:tab w:val="left" w:pos="1080"/>
          <w:tab w:val="left" w:pos="1140"/>
        </w:tabs>
        <w:spacing w:line="400" w:lineRule="exact"/>
        <w:ind w:left="420" w:leftChars="200"/>
        <w:rPr>
          <w:rFonts w:ascii="宋体" w:hAnsi="宋体" w:cs="宋体"/>
          <w:sz w:val="22"/>
          <w:szCs w:val="22"/>
        </w:rPr>
      </w:pPr>
      <w:r>
        <w:rPr>
          <w:rFonts w:hint="eastAsia" w:ascii="宋体" w:hAnsi="宋体" w:cs="宋体"/>
          <w:sz w:val="22"/>
          <w:szCs w:val="22"/>
        </w:rPr>
        <w:t>（3）竞标人供货时必须根据产品的特点和使用要求，需要标明产品规格、等级、所含主要成分的名称和含量的，相应予以标明；</w:t>
      </w:r>
    </w:p>
    <w:p>
      <w:pPr>
        <w:spacing w:line="400" w:lineRule="exact"/>
        <w:ind w:firstLine="440" w:firstLineChars="200"/>
        <w:rPr>
          <w:rFonts w:ascii="宋体" w:hAnsi="宋体" w:cs="宋体"/>
          <w:sz w:val="22"/>
          <w:szCs w:val="22"/>
        </w:rPr>
      </w:pPr>
      <w:r>
        <w:rPr>
          <w:rFonts w:hint="eastAsia" w:ascii="宋体" w:hAnsi="宋体" w:cs="宋体"/>
          <w:sz w:val="22"/>
          <w:szCs w:val="22"/>
        </w:rPr>
        <w:t>（4）限期使用的产品，标明生产日期和安全使用期或者失效日期；</w:t>
      </w:r>
    </w:p>
    <w:p>
      <w:pPr>
        <w:spacing w:line="400" w:lineRule="exact"/>
        <w:ind w:right="2" w:rightChars="1"/>
        <w:rPr>
          <w:rFonts w:ascii="宋体" w:hAnsi="宋体" w:cs="宋体"/>
          <w:sz w:val="22"/>
          <w:szCs w:val="22"/>
        </w:rPr>
      </w:pPr>
      <w:r>
        <w:rPr>
          <w:rFonts w:hint="eastAsia" w:ascii="宋体" w:hAnsi="宋体" w:cs="宋体"/>
          <w:sz w:val="22"/>
          <w:szCs w:val="22"/>
        </w:rPr>
        <w:t>7、属于是节能和环保产品必须是列入政府采购清单的产品，清单中的产品有效时间以中国环境标志产品认证证书有效截止日期为准，超过认证证书有效截止日期的自动失效。</w:t>
      </w:r>
    </w:p>
    <w:p>
      <w:pPr>
        <w:pStyle w:val="29"/>
        <w:spacing w:line="360" w:lineRule="auto"/>
        <w:rPr>
          <w:rFonts w:ascii="宋体" w:hAnsi="宋体" w:cs="宋体"/>
          <w:sz w:val="22"/>
          <w:szCs w:val="22"/>
        </w:rPr>
      </w:pPr>
      <w:r>
        <w:rPr>
          <w:rFonts w:hint="eastAsia" w:ascii="宋体" w:hAnsi="宋体" w:cs="宋体"/>
          <w:sz w:val="22"/>
          <w:szCs w:val="22"/>
        </w:rPr>
        <w:t>8、</w:t>
      </w:r>
      <w:r>
        <w:rPr>
          <w:rFonts w:hint="eastAsia" w:ascii="宋体" w:hAnsi="宋体" w:cs="宋体"/>
          <w:sz w:val="22"/>
          <w:szCs w:val="22"/>
          <w:lang w:val="en-US" w:eastAsia="zh-CN"/>
        </w:rPr>
        <w:t>采购预算金额</w:t>
      </w:r>
      <w:r>
        <w:rPr>
          <w:rFonts w:hint="eastAsia" w:ascii="宋体" w:hAnsi="宋体" w:cs="宋体"/>
          <w:sz w:val="22"/>
          <w:szCs w:val="22"/>
        </w:rPr>
        <w:t>（人民币）：</w:t>
      </w:r>
      <w:r>
        <w:rPr>
          <w:rFonts w:hint="eastAsia" w:ascii="宋体" w:hAnsi="宋体" w:cs="宋体"/>
          <w:sz w:val="22"/>
          <w:szCs w:val="22"/>
          <w:lang w:eastAsia="zh-CN"/>
        </w:rPr>
        <w:t>叁拾伍万零贰佰元整（¥350200.00）</w:t>
      </w:r>
      <w:r>
        <w:rPr>
          <w:rFonts w:hint="eastAsia" w:ascii="宋体" w:hAnsi="宋体" w:cs="宋体"/>
          <w:sz w:val="22"/>
          <w:szCs w:val="22"/>
        </w:rPr>
        <w:t>。</w:t>
      </w:r>
    </w:p>
    <w:p>
      <w:pPr>
        <w:bidi w:val="0"/>
        <w:jc w:val="both"/>
        <w:rPr>
          <w:rFonts w:hint="eastAsia"/>
          <w:sz w:val="36"/>
          <w:szCs w:val="44"/>
          <w:lang w:val="en-US" w:eastAsia="zh-CN"/>
        </w:rPr>
      </w:pPr>
    </w:p>
    <w:p>
      <w:pPr>
        <w:bidi w:val="0"/>
        <w:jc w:val="center"/>
        <w:rPr>
          <w:rFonts w:hint="default" w:eastAsia="宋体"/>
          <w:b/>
          <w:bCs/>
          <w:sz w:val="36"/>
          <w:szCs w:val="44"/>
          <w:lang w:val="en-US" w:eastAsia="zh-CN"/>
        </w:rPr>
      </w:pPr>
      <w:r>
        <w:rPr>
          <w:rFonts w:hint="eastAsia"/>
          <w:b/>
          <w:bCs/>
          <w:sz w:val="36"/>
          <w:szCs w:val="44"/>
          <w:lang w:val="en-US" w:eastAsia="zh-CN"/>
        </w:rPr>
        <w:t>货物需求一览表</w:t>
      </w:r>
    </w:p>
    <w:tbl>
      <w:tblPr>
        <w:tblStyle w:val="17"/>
        <w:tblpPr w:leftFromText="180" w:rightFromText="180" w:vertAnchor="text" w:horzAnchor="page" w:tblpX="1030" w:tblpY="1077"/>
        <w:tblOverlap w:val="never"/>
        <w:tblW w:w="52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58"/>
        <w:gridCol w:w="1119"/>
        <w:gridCol w:w="4957"/>
        <w:gridCol w:w="783"/>
        <w:gridCol w:w="69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bCs w:val="0"/>
                <w:kern w:val="0"/>
                <w:sz w:val="22"/>
                <w:szCs w:val="22"/>
                <w:highlight w:val="none"/>
                <w:vertAlign w:val="baseline"/>
              </w:rPr>
            </w:pPr>
            <w:r>
              <w:rPr>
                <w:rFonts w:hint="eastAsia" w:asciiTheme="minorEastAsia" w:hAnsiTheme="minorEastAsia" w:eastAsiaTheme="minorEastAsia" w:cstheme="minorEastAsia"/>
                <w:b/>
                <w:bCs w:val="0"/>
                <w:i w:val="0"/>
                <w:color w:val="000000"/>
                <w:sz w:val="22"/>
                <w:szCs w:val="22"/>
                <w:highlight w:val="none"/>
                <w:u w:val="none"/>
                <w:lang w:val="en-US" w:eastAsia="zh-CN"/>
              </w:rPr>
              <w:t>序号</w:t>
            </w:r>
          </w:p>
        </w:tc>
        <w:tc>
          <w:tcPr>
            <w:tcW w:w="105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bCs w:val="0"/>
                <w:i w:val="0"/>
                <w:color w:val="000000"/>
                <w:sz w:val="22"/>
                <w:szCs w:val="22"/>
                <w:highlight w:val="none"/>
                <w:u w:val="none"/>
                <w:lang w:val="en-US" w:eastAsia="zh-CN"/>
              </w:rPr>
            </w:pPr>
            <w:r>
              <w:rPr>
                <w:rFonts w:hint="eastAsia" w:asciiTheme="minorEastAsia" w:hAnsiTheme="minorEastAsia" w:eastAsiaTheme="minorEastAsia" w:cstheme="minorEastAsia"/>
                <w:b/>
                <w:bCs w:val="0"/>
                <w:i w:val="0"/>
                <w:color w:val="000000"/>
                <w:sz w:val="22"/>
                <w:szCs w:val="22"/>
                <w:highlight w:val="none"/>
                <w:u w:val="none"/>
                <w:lang w:val="en-US" w:eastAsia="zh-CN"/>
              </w:rPr>
              <w:t>设备名称</w:t>
            </w:r>
          </w:p>
        </w:tc>
        <w:tc>
          <w:tcPr>
            <w:tcW w:w="252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bCs w:val="0"/>
                <w:kern w:val="0"/>
                <w:sz w:val="22"/>
                <w:szCs w:val="22"/>
                <w:highlight w:val="none"/>
                <w:vertAlign w:val="baseline"/>
              </w:rPr>
            </w:pPr>
            <w:r>
              <w:rPr>
                <w:rFonts w:hint="eastAsia" w:asciiTheme="minorEastAsia" w:hAnsiTheme="minorEastAsia" w:eastAsiaTheme="minorEastAsia" w:cstheme="minorEastAsia"/>
                <w:b/>
                <w:bCs w:val="0"/>
                <w:i w:val="0"/>
                <w:color w:val="000000"/>
                <w:sz w:val="22"/>
                <w:szCs w:val="22"/>
                <w:highlight w:val="none"/>
                <w:u w:val="none"/>
                <w:lang w:val="en-US" w:eastAsia="zh-CN"/>
              </w:rPr>
              <w:t>型号规格、技术参数及性能（配置）要求</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bCs w:val="0"/>
                <w:kern w:val="0"/>
                <w:sz w:val="22"/>
                <w:szCs w:val="22"/>
                <w:highlight w:val="none"/>
                <w:vertAlign w:val="baseline"/>
              </w:rPr>
            </w:pPr>
            <w:r>
              <w:rPr>
                <w:rFonts w:hint="eastAsia" w:asciiTheme="minorEastAsia" w:hAnsiTheme="minorEastAsia" w:eastAsiaTheme="minorEastAsia" w:cstheme="minorEastAsia"/>
                <w:b/>
                <w:bCs w:val="0"/>
                <w:i w:val="0"/>
                <w:color w:val="000000"/>
                <w:sz w:val="22"/>
                <w:szCs w:val="22"/>
                <w:highlight w:val="none"/>
                <w:u w:val="none"/>
                <w:lang w:val="en-US" w:eastAsia="zh-CN"/>
              </w:rPr>
              <w:t>单位</w:t>
            </w:r>
          </w:p>
        </w:tc>
        <w:tc>
          <w:tcPr>
            <w:tcW w:w="35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bCs w:val="0"/>
                <w:kern w:val="0"/>
                <w:sz w:val="22"/>
                <w:szCs w:val="22"/>
                <w:highlight w:val="none"/>
                <w:vertAlign w:val="baseline"/>
              </w:rPr>
            </w:pPr>
            <w:r>
              <w:rPr>
                <w:rFonts w:hint="eastAsia" w:asciiTheme="minorEastAsia" w:hAnsiTheme="minorEastAsia" w:eastAsiaTheme="minorEastAsia" w:cstheme="minorEastAsia"/>
                <w:b/>
                <w:bCs w:val="0"/>
                <w:i w:val="0"/>
                <w:color w:val="000000"/>
                <w:sz w:val="22"/>
                <w:szCs w:val="22"/>
                <w:highlight w:val="none"/>
                <w:u w:val="none"/>
                <w:lang w:val="en-US" w:eastAsia="zh-CN"/>
              </w:rPr>
              <w:t>数量</w:t>
            </w:r>
          </w:p>
        </w:tc>
        <w:tc>
          <w:tcPr>
            <w:tcW w:w="395"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bCs w:val="0"/>
                <w:i w:val="0"/>
                <w:color w:val="000000"/>
                <w:sz w:val="22"/>
                <w:szCs w:val="22"/>
                <w:highlight w:val="none"/>
                <w:u w:val="none"/>
                <w:lang w:val="en-US" w:eastAsia="zh-CN"/>
              </w:rPr>
            </w:pPr>
            <w:r>
              <w:rPr>
                <w:rFonts w:hint="eastAsia" w:asciiTheme="minorEastAsia" w:hAnsiTheme="minorEastAsia" w:eastAsiaTheme="minorEastAsia" w:cstheme="minorEastAsia"/>
                <w:b/>
                <w:bCs w:val="0"/>
                <w:i w:val="0"/>
                <w:color w:val="000000"/>
                <w:sz w:val="22"/>
                <w:szCs w:val="22"/>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48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县级流转交易中心服务大厅配套设备</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服务台电脑</w:t>
            </w:r>
          </w:p>
        </w:tc>
        <w:tc>
          <w:tcPr>
            <w:tcW w:w="2520" w:type="pct"/>
            <w:noWrap w:val="0"/>
            <w:vAlign w:val="center"/>
          </w:tcPr>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电脑形态：主机+显示器</w:t>
            </w:r>
          </w:p>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处理器：Inteli3</w:t>
            </w:r>
          </w:p>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屏幕尺寸：21.5英寸</w:t>
            </w:r>
          </w:p>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内存容量：4GB</w:t>
            </w:r>
          </w:p>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硬盘容量：1T</w:t>
            </w:r>
          </w:p>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显卡：4G 显卡</w:t>
            </w:r>
          </w:p>
          <w:p>
            <w:pPr>
              <w:pStyle w:val="3"/>
              <w:keepNext w:val="0"/>
              <w:keepLines w:val="0"/>
              <w:pageBreakBefore w:val="0"/>
              <w:kinsoku/>
              <w:wordWrap/>
              <w:overflowPunct/>
              <w:topLinePunct w:val="0"/>
              <w:autoSpaceDE/>
              <w:autoSpaceDN/>
              <w:bidi w:val="0"/>
              <w:adjustRightInd/>
              <w:snapToGrid w:val="0"/>
              <w:spacing w:line="360" w:lineRule="auto"/>
              <w:ind w:left="0" w:leftChars="0"/>
              <w:rPr>
                <w:rFonts w:hint="eastAsia"/>
                <w:b w:val="0"/>
                <w:bCs/>
                <w:sz w:val="20"/>
                <w:szCs w:val="22"/>
                <w:lang w:val="en-US" w:eastAsia="zh-CN"/>
              </w:rPr>
            </w:pPr>
            <w:r>
              <w:rPr>
                <w:rFonts w:hint="eastAsia"/>
                <w:b w:val="0"/>
                <w:bCs/>
                <w:sz w:val="20"/>
                <w:szCs w:val="22"/>
                <w:lang w:val="en-US" w:eastAsia="zh-CN"/>
              </w:rPr>
              <w:t>固态硬盘：250G</w:t>
            </w:r>
          </w:p>
          <w:p>
            <w:pPr>
              <w:pStyle w:val="2"/>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kern w:val="0"/>
                <w:sz w:val="22"/>
                <w:szCs w:val="22"/>
                <w:highlight w:val="none"/>
                <w:vertAlign w:val="baseline"/>
              </w:rPr>
            </w:pPr>
            <w:r>
              <w:rPr>
                <w:rFonts w:hint="eastAsia" w:asciiTheme="minorEastAsia" w:hAnsiTheme="minorEastAsia" w:eastAsiaTheme="minorEastAsia" w:cstheme="minorEastAsia"/>
                <w:b w:val="0"/>
                <w:bCs/>
                <w:sz w:val="22"/>
                <w:szCs w:val="22"/>
                <w:highlight w:val="none"/>
                <w:u w:val="none"/>
                <w:lang w:val="en-US" w:eastAsia="zh-CN"/>
              </w:rPr>
              <w:t>系统：Microsoft Windows XP</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台</w:t>
            </w:r>
          </w:p>
        </w:tc>
        <w:tc>
          <w:tcPr>
            <w:tcW w:w="350"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2</w:t>
            </w:r>
          </w:p>
        </w:tc>
        <w:tc>
          <w:tcPr>
            <w:tcW w:w="395" w:type="pct"/>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b w:val="0"/>
                <w:bCs/>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487"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信息平台后台服务电脑</w:t>
            </w:r>
          </w:p>
        </w:tc>
        <w:tc>
          <w:tcPr>
            <w:tcW w:w="2520" w:type="pct"/>
            <w:noWrap w:val="0"/>
            <w:vAlign w:val="center"/>
          </w:tcPr>
          <w:p>
            <w:pPr>
              <w:pStyle w:val="2"/>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电脑形态：主机+显示器</w:t>
            </w:r>
          </w:p>
          <w:p>
            <w:pPr>
              <w:pStyle w:val="2"/>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处理器：Inteli3</w:t>
            </w:r>
          </w:p>
          <w:p>
            <w:pPr>
              <w:pStyle w:val="2"/>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屏幕尺寸：21.5英寸</w:t>
            </w:r>
          </w:p>
          <w:p>
            <w:pPr>
              <w:pStyle w:val="2"/>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内存容量：4GB</w:t>
            </w:r>
          </w:p>
          <w:p>
            <w:pPr>
              <w:pStyle w:val="2"/>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硬盘容量：1T</w:t>
            </w:r>
          </w:p>
          <w:p>
            <w:pPr>
              <w:pStyle w:val="2"/>
              <w:spacing w:line="360" w:lineRule="auto"/>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显卡：4G 显卡</w:t>
            </w:r>
          </w:p>
          <w:p>
            <w:pPr>
              <w:pStyle w:val="3"/>
              <w:spacing w:line="360" w:lineRule="auto"/>
              <w:ind w:left="0" w:leftChars="0"/>
              <w:rPr>
                <w:rFonts w:hint="eastAsia"/>
                <w:b w:val="0"/>
                <w:bCs/>
                <w:sz w:val="20"/>
                <w:szCs w:val="22"/>
                <w:lang w:val="en-US" w:eastAsia="zh-CN"/>
              </w:rPr>
            </w:pPr>
            <w:r>
              <w:rPr>
                <w:rFonts w:hint="eastAsia"/>
                <w:b w:val="0"/>
                <w:bCs/>
                <w:sz w:val="20"/>
                <w:szCs w:val="22"/>
                <w:lang w:val="en-US" w:eastAsia="zh-CN"/>
              </w:rPr>
              <w:t>固态硬盘：250G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color w:val="0000FF"/>
                <w:sz w:val="22"/>
                <w:szCs w:val="22"/>
                <w:highlight w:val="none"/>
                <w:lang w:val="en-US" w:eastAsia="zh-CN"/>
              </w:rPr>
            </w:pPr>
            <w:r>
              <w:rPr>
                <w:rFonts w:hint="eastAsia" w:asciiTheme="minorEastAsia" w:hAnsiTheme="minorEastAsia" w:eastAsiaTheme="minorEastAsia" w:cstheme="minorEastAsia"/>
                <w:b w:val="0"/>
                <w:bCs/>
                <w:sz w:val="20"/>
                <w:szCs w:val="22"/>
                <w:highlight w:val="none"/>
                <w:u w:val="none"/>
                <w:lang w:val="en-US" w:eastAsia="zh-CN"/>
              </w:rPr>
              <w:t>系统：Microsoft Windows XP</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台</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noWrap w:val="0"/>
            <w:vAlign w:val="center"/>
          </w:tcPr>
          <w:p>
            <w:pPr>
              <w:spacing w:line="360" w:lineRule="auto"/>
              <w:rPr>
                <w:rFonts w:hint="eastAsia" w:asciiTheme="minorEastAsia" w:hAnsiTheme="minorEastAsia" w:eastAsiaTheme="minorEastAsia" w:cstheme="minorEastAsia"/>
                <w:b w:val="0"/>
                <w:bCs/>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278"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487"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九个乡（镇）流转交易服务站电脑</w:t>
            </w:r>
          </w:p>
        </w:tc>
        <w:tc>
          <w:tcPr>
            <w:tcW w:w="2520" w:type="pct"/>
            <w:noWrap w:val="0"/>
            <w:vAlign w:val="top"/>
          </w:tcPr>
          <w:p>
            <w:pPr>
              <w:pStyle w:val="2"/>
              <w:spacing w:line="360" w:lineRule="auto"/>
              <w:jc w:val="left"/>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电脑形态：主机+显示器</w:t>
            </w:r>
          </w:p>
          <w:p>
            <w:pPr>
              <w:pStyle w:val="2"/>
              <w:spacing w:line="360" w:lineRule="auto"/>
              <w:jc w:val="left"/>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处理器：Inteli3</w:t>
            </w:r>
          </w:p>
          <w:p>
            <w:pPr>
              <w:pStyle w:val="2"/>
              <w:spacing w:line="360" w:lineRule="auto"/>
              <w:jc w:val="left"/>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屏幕尺寸：21.5英寸</w:t>
            </w:r>
          </w:p>
          <w:p>
            <w:pPr>
              <w:pStyle w:val="2"/>
              <w:spacing w:line="360" w:lineRule="auto"/>
              <w:jc w:val="left"/>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内存容量：4GB</w:t>
            </w:r>
          </w:p>
          <w:p>
            <w:pPr>
              <w:pStyle w:val="2"/>
              <w:spacing w:line="360" w:lineRule="auto"/>
              <w:jc w:val="left"/>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硬盘容量：1T</w:t>
            </w:r>
          </w:p>
          <w:p>
            <w:pPr>
              <w:pStyle w:val="2"/>
              <w:spacing w:line="360" w:lineRule="auto"/>
              <w:jc w:val="left"/>
              <w:rPr>
                <w:rFonts w:hint="eastAsia" w:asciiTheme="minorEastAsia" w:hAnsiTheme="minorEastAsia" w:eastAsiaTheme="minorEastAsia" w:cstheme="minorEastAsia"/>
                <w:b w:val="0"/>
                <w:bCs/>
                <w:sz w:val="22"/>
                <w:szCs w:val="22"/>
                <w:highlight w:val="none"/>
                <w:u w:val="none"/>
                <w:lang w:val="en-US" w:eastAsia="zh-CN"/>
              </w:rPr>
            </w:pPr>
            <w:r>
              <w:rPr>
                <w:rFonts w:hint="eastAsia" w:asciiTheme="minorEastAsia" w:hAnsiTheme="minorEastAsia" w:eastAsiaTheme="minorEastAsia" w:cstheme="minorEastAsia"/>
                <w:b w:val="0"/>
                <w:bCs/>
                <w:sz w:val="22"/>
                <w:szCs w:val="22"/>
                <w:highlight w:val="none"/>
                <w:u w:val="none"/>
                <w:lang w:val="en-US" w:eastAsia="zh-CN"/>
              </w:rPr>
              <w:t>显卡：4G 显卡</w:t>
            </w:r>
          </w:p>
          <w:p>
            <w:pPr>
              <w:pStyle w:val="3"/>
              <w:spacing w:line="360" w:lineRule="auto"/>
              <w:ind w:left="0" w:leftChars="0"/>
              <w:rPr>
                <w:rFonts w:hint="eastAsia"/>
                <w:b w:val="0"/>
                <w:bCs/>
                <w:sz w:val="20"/>
                <w:szCs w:val="22"/>
                <w:lang w:val="en-US" w:eastAsia="zh-CN"/>
              </w:rPr>
            </w:pPr>
            <w:r>
              <w:rPr>
                <w:rFonts w:hint="eastAsia"/>
                <w:b w:val="0"/>
                <w:bCs/>
                <w:sz w:val="20"/>
                <w:szCs w:val="22"/>
                <w:lang w:val="en-US" w:eastAsia="zh-CN"/>
              </w:rPr>
              <w:t>固态硬盘：250G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sz w:val="20"/>
                <w:szCs w:val="22"/>
                <w:highlight w:val="none"/>
                <w:u w:val="none"/>
                <w:lang w:val="en-US" w:eastAsia="zh-CN"/>
              </w:rPr>
              <w:t>系统：Microsoft Windows XP</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台</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9</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487"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办公电脑桌</w:t>
            </w:r>
          </w:p>
        </w:tc>
        <w:tc>
          <w:tcPr>
            <w:tcW w:w="2520" w:type="pct"/>
            <w:noWrap w:val="0"/>
            <w:vAlign w:val="center"/>
          </w:tcPr>
          <w:p>
            <w:pPr>
              <w:pStyle w:val="2"/>
              <w:spacing w:line="360" w:lineRule="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规格：</w:t>
            </w:r>
            <w:r>
              <w:rPr>
                <w:rFonts w:hint="eastAsia" w:asciiTheme="minorEastAsia" w:hAnsiTheme="minorEastAsia" w:eastAsiaTheme="minorEastAsia" w:cstheme="minorEastAsia"/>
                <w:b w:val="0"/>
                <w:bCs/>
                <w:color w:val="auto"/>
                <w:sz w:val="22"/>
                <w:szCs w:val="22"/>
                <w:highlight w:val="none"/>
                <w:u w:val="none"/>
                <w:lang w:val="en-US" w:eastAsia="zh-CN"/>
              </w:rPr>
              <w:t>1400*800</w:t>
            </w:r>
            <w:r>
              <w:rPr>
                <w:rFonts w:hint="eastAsia" w:asciiTheme="minorEastAsia" w:hAnsiTheme="minorEastAsia" w:eastAsiaTheme="minorEastAsia" w:cstheme="minorEastAsia"/>
                <w:b w:val="0"/>
                <w:bCs/>
                <w:color w:val="auto"/>
                <w:sz w:val="22"/>
                <w:szCs w:val="22"/>
                <w:highlight w:val="none"/>
                <w:lang w:val="en-US" w:eastAsia="zh-CN"/>
              </w:rPr>
              <w:t>*760</w:t>
            </w:r>
          </w:p>
          <w:p>
            <w:pPr>
              <w:pStyle w:val="2"/>
              <w:spacing w:line="360" w:lineRule="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颜色:胡桃色</w:t>
            </w:r>
          </w:p>
          <w:p>
            <w:pPr>
              <w:pStyle w:val="2"/>
              <w:spacing w:line="360" w:lineRule="auto"/>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color w:val="auto"/>
                <w:sz w:val="22"/>
                <w:szCs w:val="22"/>
                <w:highlight w:val="none"/>
                <w:lang w:val="en-US" w:eastAsia="zh-CN"/>
              </w:rPr>
              <w:t>面材采用巴西进口0.6mM级制桃木皮贴面,实木封边,所有板材经防潮、防虫、防腐化学处理,含水率低于8%(国标为12%):油漆采用德国进口“易涂宝”环保油漆,经过五底三面油漆工序,表面细小颗粒每平方米不超过三个点,表面使度达目级,纹线理清晰,无发白、流挂及明显划伤,色泽均匀、光滑耐用,达到国际E级环保标准；基材采用福建“福人牌”环保高密度纤维板,2符合国际E级环保标准,经防潮、防虫、防腐等化学处理,强度高,抗弯力强,刚性好、不变形、比重合理,达到国际握钉测试标准:原材料树种一致,木材甲醛含量≤1.5mg1,溶度780kg/m3,吸</w:t>
            </w:r>
            <w:r>
              <w:rPr>
                <w:rFonts w:hint="eastAsia" w:asciiTheme="minorEastAsia" w:hAnsiTheme="minorEastAsia" w:eastAsiaTheme="minorEastAsia" w:cstheme="minorEastAsia"/>
                <w:b w:val="0"/>
                <w:bCs/>
                <w:sz w:val="22"/>
                <w:szCs w:val="22"/>
                <w:highlight w:val="none"/>
                <w:lang w:val="en-US" w:eastAsia="zh-CN"/>
              </w:rPr>
              <w:t>水厚度膨胀率1.3%/24小时:采用热压工艺处理,薄木和供它材料覆面拼贴严密、平整、无脱胶、鼓泡、无裂纹、压痕和划伤;倒棱、圆角、圆线均匀一致,挡板带牛皮,榫及自装配拆装产品零件结合牢固严密</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张</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487"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办公电脑椅</w:t>
            </w:r>
          </w:p>
        </w:tc>
        <w:tc>
          <w:tcPr>
            <w:tcW w:w="2520" w:type="pct"/>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u w:val="none"/>
                <w:lang w:val="en-US" w:eastAsia="zh-CN" w:bidi="zh-CN"/>
              </w:rPr>
            </w:pPr>
            <w:r>
              <w:rPr>
                <w:rFonts w:hint="eastAsia" w:asciiTheme="minorEastAsia" w:hAnsiTheme="minorEastAsia" w:eastAsiaTheme="minorEastAsia" w:cstheme="minorEastAsia"/>
                <w:b w:val="0"/>
                <w:bCs/>
                <w:kern w:val="2"/>
                <w:sz w:val="22"/>
                <w:szCs w:val="22"/>
                <w:highlight w:val="none"/>
                <w:u w:val="none"/>
                <w:lang w:val="en-US" w:eastAsia="zh-CN" w:bidi="zh-CN"/>
              </w:rPr>
              <w:t>规格：按常规标准</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u w:val="none"/>
                <w:lang w:val="en-US" w:eastAsia="zh-CN" w:bidi="zh-CN"/>
              </w:rPr>
            </w:pPr>
            <w:r>
              <w:rPr>
                <w:rFonts w:hint="eastAsia" w:asciiTheme="minorEastAsia" w:hAnsiTheme="minorEastAsia" w:eastAsiaTheme="minorEastAsia" w:cstheme="minorEastAsia"/>
                <w:b w:val="0"/>
                <w:bCs/>
                <w:kern w:val="2"/>
                <w:sz w:val="22"/>
                <w:szCs w:val="22"/>
                <w:highlight w:val="none"/>
                <w:u w:val="none"/>
                <w:lang w:val="en-US" w:eastAsia="zh-CN" w:bidi="zh-CN"/>
              </w:rPr>
              <w:t>（1）采用优质橡胶木实木材料，自然，保留天然特性；</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u w:val="none"/>
                <w:lang w:val="en-US" w:eastAsia="zh-CN" w:bidi="zh-CN"/>
              </w:rPr>
            </w:pPr>
            <w:r>
              <w:rPr>
                <w:rFonts w:hint="eastAsia" w:asciiTheme="minorEastAsia" w:hAnsiTheme="minorEastAsia" w:eastAsiaTheme="minorEastAsia" w:cstheme="minorEastAsia"/>
                <w:b w:val="0"/>
                <w:bCs/>
                <w:kern w:val="2"/>
                <w:sz w:val="22"/>
                <w:szCs w:val="22"/>
                <w:highlight w:val="none"/>
                <w:u w:val="none"/>
                <w:lang w:val="en-US" w:eastAsia="zh-CN" w:bidi="zh-CN"/>
              </w:rPr>
              <w:t>（2）外观无裂缝、无树节子、无孔洞等缺陷；</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u w:val="none"/>
                <w:lang w:val="en-US" w:eastAsia="zh-CN" w:bidi="zh-CN"/>
              </w:rPr>
            </w:pPr>
            <w:r>
              <w:rPr>
                <w:rFonts w:hint="eastAsia" w:asciiTheme="minorEastAsia" w:hAnsiTheme="minorEastAsia" w:eastAsiaTheme="minorEastAsia" w:cstheme="minorEastAsia"/>
                <w:b w:val="0"/>
                <w:bCs/>
                <w:kern w:val="2"/>
                <w:sz w:val="22"/>
                <w:szCs w:val="22"/>
                <w:highlight w:val="none"/>
                <w:u w:val="none"/>
                <w:lang w:val="en-US" w:eastAsia="zh-CN" w:bidi="zh-CN"/>
              </w:rPr>
              <w:t>（3）四腿落地，榫卯结构；</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kern w:val="2"/>
                <w:sz w:val="22"/>
                <w:szCs w:val="22"/>
                <w:highlight w:val="none"/>
                <w:u w:val="none"/>
                <w:lang w:val="en-US" w:eastAsia="zh-CN" w:bidi="zh-CN"/>
              </w:rPr>
              <w:t>（4）喷环保油漆（清漆）,达到国际E1级环保标准, 油漆工艺符合工序要求。</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张</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7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2</w:t>
            </w:r>
          </w:p>
        </w:tc>
        <w:tc>
          <w:tcPr>
            <w:tcW w:w="487" w:type="pct"/>
            <w:noWrap w:val="0"/>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b w:val="0"/>
                <w:bCs/>
                <w:kern w:val="0"/>
                <w:sz w:val="22"/>
                <w:szCs w:val="22"/>
                <w:highlight w:val="none"/>
                <w:vertAlign w:val="baseline"/>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县、各乡镇级流转交易中心多功能打印机</w:t>
            </w: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多功能打印机</w:t>
            </w:r>
          </w:p>
        </w:tc>
        <w:tc>
          <w:tcPr>
            <w:tcW w:w="2520" w:type="pct"/>
            <w:noWrap w:val="0"/>
            <w:vAlign w:val="top"/>
          </w:tcPr>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类型：激光打印机</w:t>
            </w:r>
          </w:p>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功能：打印,复印,扫描</w:t>
            </w:r>
          </w:p>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适配打印耗材：鼓粉分离式硒鼓</w:t>
            </w:r>
          </w:p>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双面打印：自动</w:t>
            </w:r>
          </w:p>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幅面尺寸：A4</w:t>
            </w:r>
          </w:p>
          <w:p>
            <w:pPr>
              <w:keepNext w:val="0"/>
              <w:keepLines w:val="0"/>
              <w:widowControl/>
              <w:numPr>
                <w:ilvl w:val="0"/>
                <w:numId w:val="0"/>
              </w:numPr>
              <w:suppressLineNumbers w:val="0"/>
              <w:spacing w:line="360" w:lineRule="auto"/>
              <w:ind w:leftChars="0"/>
              <w:jc w:val="both"/>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网络功能：有线网络+WIFI</w:t>
            </w:r>
          </w:p>
          <w:p>
            <w:pPr>
              <w:pStyle w:val="2"/>
              <w:spacing w:line="360" w:lineRule="auto"/>
              <w:jc w:val="both"/>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媒体链接：USB等</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台</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11</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27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3</w:t>
            </w:r>
          </w:p>
        </w:tc>
        <w:tc>
          <w:tcPr>
            <w:tcW w:w="487"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文件存档柜</w:t>
            </w: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铁皮柜</w:t>
            </w:r>
          </w:p>
        </w:tc>
        <w:tc>
          <w:tcPr>
            <w:tcW w:w="2520" w:type="pct"/>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规格：800W*500D*1980H</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1、采用优质304#不锈钢板，厚度为1.2mm，易消毒永不生锈；</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 xml:space="preserve">2、所有工件经模具冲压折弯焊接而成，焊接部分打磨、抛光处理平滑过渡，焊接口表面光滑；                                         </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3、分上下两对掩门，门内各有两块层板，层板可任意调节，层板加加强筋，保证强度；</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0"/>
                <w:sz w:val="22"/>
                <w:szCs w:val="22"/>
                <w:highlight w:val="none"/>
                <w:vertAlign w:val="baseline"/>
              </w:rPr>
            </w:pPr>
            <w:r>
              <w:rPr>
                <w:rFonts w:hint="eastAsia" w:asciiTheme="minorEastAsia" w:hAnsiTheme="minorEastAsia" w:eastAsiaTheme="minorEastAsia" w:cstheme="minorEastAsia"/>
                <w:b w:val="0"/>
                <w:bCs/>
                <w:kern w:val="2"/>
                <w:sz w:val="22"/>
                <w:szCs w:val="22"/>
                <w:highlight w:val="none"/>
                <w:lang w:val="en-US" w:eastAsia="zh-CN" w:bidi="zh-CN"/>
              </w:rPr>
              <w:t>4、整体坚实稳固、美观大方、操作灵活方便。</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组</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2</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27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4</w:t>
            </w:r>
          </w:p>
        </w:tc>
        <w:tc>
          <w:tcPr>
            <w:tcW w:w="487"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触控屏</w:t>
            </w: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触控竖版一体机</w:t>
            </w:r>
          </w:p>
        </w:tc>
        <w:tc>
          <w:tcPr>
            <w:tcW w:w="2520" w:type="pct"/>
            <w:noWrap w:val="0"/>
            <w:vAlign w:val="center"/>
          </w:tcPr>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安装方式：竖屏落地式</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尺寸：49寸</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分辨率：1080*1920P</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触屏方式：红外触屏或电容触屏</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系统选择：安卓系统或微软系统</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音频播放：支持MP3、WMA等格式</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视频播放：支持MP4、AVI等格式</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循环播放：支持</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网络功能：有线网络+WIFI</w:t>
            </w:r>
          </w:p>
          <w:p>
            <w:pPr>
              <w:keepNext w:val="0"/>
              <w:keepLines w:val="0"/>
              <w:widowControl/>
              <w:numPr>
                <w:ilvl w:val="0"/>
                <w:numId w:val="0"/>
              </w:numPr>
              <w:suppressLineNumbers w:val="0"/>
              <w:spacing w:line="360" w:lineRule="auto"/>
              <w:ind w:leftChars="0"/>
              <w:jc w:val="left"/>
              <w:textAlignment w:val="center"/>
              <w:rPr>
                <w:rFonts w:hint="eastAsia" w:asciiTheme="minorEastAsia" w:hAnsiTheme="minorEastAsia" w:eastAsiaTheme="minorEastAsia" w:cstheme="minorEastAsia"/>
                <w:b w:val="0"/>
                <w:bCs/>
                <w:sz w:val="22"/>
                <w:szCs w:val="22"/>
                <w:highlight w:val="none"/>
                <w:lang w:val="en-US"/>
              </w:rPr>
            </w:pPr>
            <w:r>
              <w:rPr>
                <w:rFonts w:hint="eastAsia" w:asciiTheme="minorEastAsia" w:hAnsiTheme="minorEastAsia" w:eastAsiaTheme="minorEastAsia" w:cstheme="minorEastAsia"/>
                <w:b w:val="0"/>
                <w:bCs/>
                <w:kern w:val="2"/>
                <w:sz w:val="22"/>
                <w:szCs w:val="22"/>
                <w:highlight w:val="none"/>
                <w:lang w:val="en-US" w:eastAsia="zh-CN" w:bidi="zh-CN"/>
              </w:rPr>
              <w:t>媒体链接：USB等</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台</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5</w:t>
            </w:r>
          </w:p>
        </w:tc>
        <w:tc>
          <w:tcPr>
            <w:tcW w:w="487" w:type="pct"/>
            <w:vMerge w:val="restar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用于门户网站、新闻、政策及项目交易信息公布配套设备</w:t>
            </w: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LED室内D2.5 全彩显示屏</w:t>
            </w:r>
          </w:p>
        </w:tc>
        <w:tc>
          <w:tcPr>
            <w:tcW w:w="2520" w:type="pct"/>
            <w:noWrap w:val="0"/>
            <w:vAlign w:val="center"/>
          </w:tcPr>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预计宽度4.8米*高度2.6米，</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一、显示屏总体要求</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采用室内P2.5全彩色无缝高清LED显示屏，可以任意组合播放文字、视频、动画及图片等信息，屏幕整体是一独立封闭结构，外观造型美观，匹配装修风格</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二、显示屏基本参数</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1、像素结构：SMD2121</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2、像素间距：2.5mm</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3、像素密度：160000点/㎡</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4、像素组成：1R1G1B</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 xml:space="preserve">5、模组尺寸：320mm×160mm </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6、模组分辨率：128×64</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三、显示屏主要技术参数</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1、单点亮度校正:支持</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2、单点颜色校正:支持</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3、显示屏亮度（cd/㎡）:50～900（可调）</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4、水平视角（゜）≥160</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5、垂直视角（゜）≥160</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6、刷新率(Hz): 1000~3840Hz任意设定，杜绝图像撕裂，保证图像完美再现</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7、换帧频率:（Hz）50/60</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8、驱动方式:1/32扫，恒流驱动</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9、最大功耗:（W/panel）600</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10、平均功耗:（W/panel）200</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11、寿命典型值:（Hrs）100000</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12、最大对比度不小于：10000:1</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13、色温调节：3000-10000可调</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14.盲点率：出厂时为&lt;1/10000, 呈离散状态</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15、电源参数:AC100～240V（47～63Hz）</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四、发送卡要求</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1、一路DVI视频信号输入,一路音频输入，通过网线同步传输</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2、单卡最大带载面积：131万点，最宽可达2560，或最高可达2560点</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3、输入分辨率：最大1920*1200像素，支持分辨率任意设置</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4、2个千兆网口输出，支持两上下、左右任意拼接</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五、接收卡要求</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1、集成16个HUB75接口，32组RGB信号输出，无需再配转接板</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 xml:space="preserve">2、建议带载128*512（支持校正），32扫最大带载256*512（单卡超过6万5千点不支持校正）              </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3、支持静态屏、1/2~1/32扫之间的任意扫描类型</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4、支持14bit精度的色度、亮度一体化逐点校正</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六、支持可播放软件</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1、支持多种视频格式、图片、动画、Office文件、文字、时钟、走马灯、天气、计时、温湿度、流媒体、网页、采集卡、摄像头、Rss简讯</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2、丰富的媒体属性：包括透明、背景颜色、背景图片、透明度、音量、显示比例、出入场特效、特效速度、文字颜色、炫彩效果、字体、风格等；</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3、页面支持一个或多个窗口</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4、支持多个窗口个数不同的页面按次数或播放时长切换播放，且切换过程平滑无黑帧</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5、可设置不同的日期和时间播放不同的节目页</w:t>
            </w:r>
          </w:p>
        </w:tc>
        <w:tc>
          <w:tcPr>
            <w:tcW w:w="398" w:type="pct"/>
            <w:vMerge w:val="restar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套</w:t>
            </w:r>
          </w:p>
        </w:tc>
        <w:tc>
          <w:tcPr>
            <w:tcW w:w="350" w:type="pct"/>
            <w:vMerge w:val="restar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vMerge w:val="restar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487"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音箱</w:t>
            </w:r>
          </w:p>
        </w:tc>
        <w:tc>
          <w:tcPr>
            <w:tcW w:w="2520" w:type="pct"/>
            <w:noWrap w:val="0"/>
            <w:vAlign w:val="center"/>
          </w:tcPr>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一、音箱体型式：挂壁式</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二、主要技术参数：</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1、额定功率(AES)：80W</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2、最大输入功率：160W</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3、阻抗：8Ω</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4、频率响应：52HZ-20KHZ</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5、系统类型:二路二单元全频音箱；</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6、高音单元：3寸高音单元×2；</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7、低音单元：3寸低音单元×1；</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8、最大声压级：116dB；</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9、灵敏度（1W/1m）：93dB /W(lm)；</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10、箱体及外饰：高密度中纤板箱体</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11、连接器：正负极接线柱；</w:t>
            </w:r>
          </w:p>
          <w:p>
            <w:pPr>
              <w:pStyle w:val="2"/>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12、材质：高密度中纤板，钢网；</w:t>
            </w:r>
          </w:p>
          <w:p>
            <w:pPr>
              <w:pStyle w:val="2"/>
              <w:spacing w:line="360" w:lineRule="auto"/>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lang w:val="en-US" w:eastAsia="zh-CN"/>
              </w:rPr>
              <w:t>13、箱体尺寸：100×400×50mm（W×H×D)；</w:t>
            </w:r>
          </w:p>
        </w:tc>
        <w:tc>
          <w:tcPr>
            <w:tcW w:w="398"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350" w:type="pct"/>
            <w:vMerge w:val="continue"/>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c>
          <w:tcPr>
            <w:tcW w:w="395" w:type="pct"/>
            <w:vMerge w:val="continue"/>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6</w:t>
            </w:r>
          </w:p>
        </w:tc>
        <w:tc>
          <w:tcPr>
            <w:tcW w:w="487"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其他设施</w:t>
            </w: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i w:val="0"/>
                <w:color w:val="auto"/>
                <w:kern w:val="0"/>
                <w:sz w:val="22"/>
                <w:szCs w:val="22"/>
                <w:highlight w:val="none"/>
                <w:u w:val="none"/>
                <w:lang w:val="en-US" w:eastAsia="zh-CN" w:bidi="ar"/>
              </w:rPr>
              <w:t>水晶字、牌匾</w:t>
            </w:r>
          </w:p>
        </w:tc>
        <w:tc>
          <w:tcPr>
            <w:tcW w:w="2520" w:type="pct"/>
            <w:noWrap w:val="0"/>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水晶字、牌匾：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水晶字内容为“凤山县农村产权流转交易中心”，深绿色发光字材质，每个字尺寸为25CM*23CM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sz w:val="22"/>
                <w:szCs w:val="22"/>
                <w:highlight w:val="none"/>
                <w:lang w:val="en-US"/>
              </w:rPr>
            </w:pPr>
            <w:r>
              <w:rPr>
                <w:rFonts w:hint="eastAsia" w:asciiTheme="minorEastAsia" w:hAnsiTheme="minorEastAsia" w:eastAsiaTheme="minorEastAsia" w:cstheme="minorEastAsia"/>
                <w:b w:val="0"/>
                <w:bCs/>
                <w:sz w:val="22"/>
                <w:szCs w:val="22"/>
                <w:highlight w:val="none"/>
                <w:lang w:val="en-US" w:eastAsia="zh-CN"/>
              </w:rPr>
              <w:t>牌匾的文字内容为要求材质“凤山县农村产权流转交易中心”，不锈钢材质，尺寸为30CM*300CM</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项</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7</w:t>
            </w:r>
          </w:p>
        </w:tc>
        <w:tc>
          <w:tcPr>
            <w:tcW w:w="487"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lang w:eastAsia="zh-CN"/>
              </w:rPr>
              <w:t>平台建设营运基础服务</w:t>
            </w:r>
          </w:p>
        </w:tc>
        <w:tc>
          <w:tcPr>
            <w:tcW w:w="569"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sz w:val="22"/>
                <w:szCs w:val="22"/>
                <w:highlight w:val="none"/>
                <w:lang w:eastAsia="zh-CN"/>
              </w:rPr>
            </w:pPr>
          </w:p>
        </w:tc>
        <w:tc>
          <w:tcPr>
            <w:tcW w:w="2520" w:type="pct"/>
            <w:noWrap w:val="0"/>
            <w:vAlign w:val="center"/>
          </w:tcPr>
          <w:p>
            <w:pPr>
              <w:pStyle w:val="2"/>
              <w:numPr>
                <w:ilvl w:val="0"/>
                <w:numId w:val="1"/>
              </w:numPr>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服务要求</w:t>
            </w:r>
          </w:p>
          <w:p>
            <w:pPr>
              <w:pStyle w:val="2"/>
              <w:numPr>
                <w:ilvl w:val="0"/>
                <w:numId w:val="0"/>
              </w:numPr>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根据《广西农村产权流转交易市场建设方案》(桂政办发〔2017〕72号)、《关于深化农村改革激发乡村振兴新动能的实施意见的通知》（厅发〔2019〕130号）等文件精神，以“统一监管职能、统一信息系统、统一流转交易规则、统一流转交易流程、统一收费标准、分级办理业务”即“五统一分”为原则，按照“1+N”模式建立“有服务场所、有专职人员、有制度体系、有交易系统、有监督管理、有政策支持、有经费保障”的“七有”交易中心，实现农村产权流转交易的公开、公正、规范运行。</w:t>
            </w:r>
          </w:p>
          <w:p>
            <w:pPr>
              <w:pStyle w:val="14"/>
              <w:numPr>
                <w:ilvl w:val="0"/>
                <w:numId w:val="2"/>
              </w:numPr>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服务内容</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1、编写文案。结合凤山县实际，制定交易中心组建方案，宣传推广方案、协助地方政府或主管部门起草支持文件等。</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2、场地建设咨询。为交易中心场地布置、形象设计、基础设施采选等方面提供咨询及现场指导；提供统一门面装修设计方案及全套VI识别应用系统；提供交易中心所需电子设备采选、信息网络建设咨询服务。</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3、建立制度规则体系。制定交易中心管理制度、交易规则、业务流程设计、业务文本范本等。</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4、指导建立县、乡（镇）、村三级服务体系，对乡镇服务站和村级服务点工作人员开展具体业务提供培训和咨询指导。</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5、交易系统接入。接入全区统一交易系统，开通独立交易系统权限，具备用户管理、信息填报、信息审核、信息发布、电子竞价、成交管理、统计分析管理等功能；提供系统使用检查、新版本的更新升级、系统的数据备份、技术故障支持服务。</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kern w:val="2"/>
                <w:sz w:val="22"/>
                <w:szCs w:val="22"/>
                <w:highlight w:val="none"/>
                <w:lang w:val="en-US" w:eastAsia="zh-CN" w:bidi="zh-CN"/>
              </w:rPr>
            </w:pPr>
            <w:r>
              <w:rPr>
                <w:rFonts w:hint="eastAsia" w:asciiTheme="minorEastAsia" w:hAnsiTheme="minorEastAsia" w:eastAsiaTheme="minorEastAsia" w:cstheme="minorEastAsia"/>
                <w:b w:val="0"/>
                <w:bCs/>
                <w:kern w:val="2"/>
                <w:sz w:val="22"/>
                <w:szCs w:val="22"/>
                <w:highlight w:val="none"/>
                <w:lang w:val="en-US" w:eastAsia="zh-CN" w:bidi="zh-CN"/>
              </w:rPr>
              <w:t>6、开发门户网页。开发农村产权交易中心门户网站，接入全区农村产权交易网站集群，提供门户网站管理权限，可自主发布新闻动态、意向流转信息等宣传内容。</w:t>
            </w: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kern w:val="2"/>
                <w:sz w:val="22"/>
                <w:szCs w:val="22"/>
                <w:highlight w:val="none"/>
                <w:lang w:val="en-US" w:eastAsia="zh-CN" w:bidi="zh-CN"/>
              </w:rPr>
              <w:t>7、人员培训。提供政策、理论、实操等三个层面的专业培训，包括农村产权交易政策及法律法规解读、业务流程培训、交易系统操作等内容，满足工作人员上岗技能要求。培训采取集中培训、现场培训、远程培训等方式。</w:t>
            </w:r>
          </w:p>
        </w:tc>
        <w:tc>
          <w:tcPr>
            <w:tcW w:w="398"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项</w:t>
            </w:r>
          </w:p>
        </w:tc>
        <w:tc>
          <w:tcPr>
            <w:tcW w:w="350" w:type="pct"/>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kern w:val="0"/>
                <w:sz w:val="22"/>
                <w:szCs w:val="22"/>
                <w:highlight w:val="none"/>
                <w:vertAlign w:val="baseline"/>
                <w:lang w:val="en-US" w:eastAsia="zh-CN"/>
              </w:rPr>
            </w:pPr>
            <w:r>
              <w:rPr>
                <w:rFonts w:hint="eastAsia" w:asciiTheme="minorEastAsia" w:hAnsiTheme="minorEastAsia" w:eastAsiaTheme="minorEastAsia" w:cstheme="minorEastAsia"/>
                <w:b w:val="0"/>
                <w:bCs/>
                <w:kern w:val="0"/>
                <w:sz w:val="22"/>
                <w:szCs w:val="22"/>
                <w:highlight w:val="none"/>
                <w:vertAlign w:val="baseline"/>
                <w:lang w:val="en-US" w:eastAsia="zh-CN"/>
              </w:rPr>
              <w:t>1</w:t>
            </w:r>
          </w:p>
        </w:tc>
        <w:tc>
          <w:tcPr>
            <w:tcW w:w="395" w:type="pct"/>
            <w:noWrap w:val="0"/>
            <w:vAlign w:val="center"/>
          </w:tcPr>
          <w:p>
            <w:pPr>
              <w:pStyle w:val="2"/>
              <w:spacing w:line="360" w:lineRule="auto"/>
              <w:jc w:val="center"/>
              <w:rPr>
                <w:rFonts w:hint="eastAsia" w:asciiTheme="minorEastAsia" w:hAnsiTheme="minorEastAsia" w:eastAsiaTheme="minorEastAsia" w:cstheme="minorEastAsia"/>
                <w:b w:val="0"/>
                <w:bCs/>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商务条款要求：</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一、确定成交人后，中标后的单价不随时间、市场价格等因素的变动而改变，直至采购人完成采购任务为止。</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二、签订合同日期：自成交结果公告发出之日起15日内。</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三、交付使用期要求：自签订合同之日起30天内安装好并交付使用。</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四、交货地点：采购单位指定地点；</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五、交货方式：采购人指定地点现场交货，竞标人报价时需自己综合考虑运距问题。</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六、打“★”号条款为重要技术参数，竞标人必须满足，如有提供不全的则视竞标无效。</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七、售后服务及要求；</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1、成交供应商须按国家有关规定实行“三包”，免费送货上门，免费现场安装调试至验收合格，免费给采购人培训不少于2人达到熟练操作。</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2、竞标人竞标时，必须提供的技术规格参数及设备性能指标必须为真实有效。</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3、免费对具体使用单位的操作人员进行技术培训，在安装调试过程也应让操作人员共同参与，现场培训，培训费用由成交供应商负担。</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4、竞标报价为采购人指定地点的现场交货价，包括含货物设计、制造、包装、运输装卸、保险、安装、调试及验收合格之前保管和保修期内备品备件、专用工具、伴随服务、技术图纸资料、人员培训发生的所有含税费用的总和。</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5、技术支持：包括即时回答用户提出的问题，排除故障等。</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6、保质维修响应：上述的货物免费保修期为1年，因人为因素出现的故障不在免费保修范围内。超过保修期的货物设备，终生维修，维修时只收零部件成本费，成交供应商在接到用户的维修电话后30分钟内必须响应，3小时内必须赶到现场，按国家及行业标准对故障进行及时处理。超过质量保证期的货物，成交供应商提供终生维修、保养服务，维修时只需收部件成本费。</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7、交货时应提供使用指南、维修指南、服务手册和示意图等。</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八、验收条件及标准：达到国家标准或行业标准；</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九、验收方式：采购人指定地点，由采购人及成交单位双方验。</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十、如供应商未能有规定时间内与采购人签订书面合同，或在签订合同后未在规定时间内按合同及采购人要求进行供货的，视为虚假竞标，成交供应商已缴纳的竞标保证金不予退还，并将情况上报财政部门列入政府采购失信名单，如因供应商违约而给采购人造成损失的，采购人有权要求供应商赔偿。如成交供应商违约，采购人可直接重新招标。</w:t>
            </w:r>
          </w:p>
          <w:p>
            <w:pPr>
              <w:widowControl/>
              <w:spacing w:line="360" w:lineRule="auto"/>
              <w:ind w:firstLine="440" w:firstLineChars="200"/>
              <w:jc w:val="left"/>
              <w:rPr>
                <w:rFonts w:hint="eastAsia" w:ascii="Calibri" w:hAnsi="宋体" w:cs="宋体"/>
                <w:b w:val="0"/>
                <w:bCs/>
                <w:color w:val="auto"/>
                <w:sz w:val="22"/>
                <w:szCs w:val="22"/>
                <w:highlight w:val="none"/>
                <w:lang w:val="en-US" w:eastAsia="zh-CN"/>
              </w:rPr>
            </w:pPr>
            <w:r>
              <w:rPr>
                <w:rFonts w:hint="eastAsia" w:ascii="Calibri" w:hAnsi="宋体" w:cs="宋体"/>
                <w:b w:val="0"/>
                <w:bCs/>
                <w:color w:val="auto"/>
                <w:sz w:val="22"/>
                <w:szCs w:val="22"/>
                <w:highlight w:val="none"/>
                <w:lang w:val="en-US" w:eastAsia="zh-CN"/>
              </w:rPr>
              <w:t>十一、付款方式：财政性资金按财政国库集中支付规定程序办理；货物送达到采购单位指定地点验收合格使用后30个工作日内支付合同总金额的90%，余下的10%待完成建立乡（镇）、村（社区）交易服务体系及县、乡、村级所有培训服务后，并经验收合格后一次性付清。</w:t>
            </w:r>
          </w:p>
        </w:tc>
      </w:tr>
    </w:tbl>
    <w:p>
      <w:pPr>
        <w:pStyle w:val="3"/>
        <w:sectPr>
          <w:headerReference r:id="rId5" w:type="first"/>
          <w:footerReference r:id="rId7" w:type="first"/>
          <w:headerReference r:id="rId4" w:type="default"/>
          <w:footerReference r:id="rId6" w:type="default"/>
          <w:pgSz w:w="11906" w:h="16838"/>
          <w:pgMar w:top="1134" w:right="1134" w:bottom="1134" w:left="1587" w:header="851" w:footer="992" w:gutter="0"/>
          <w:cols w:space="720" w:num="1"/>
          <w:docGrid w:type="lines" w:linePitch="312" w:charSpace="0"/>
        </w:sectPr>
      </w:pPr>
    </w:p>
    <w:bookmarkEnd w:id="26"/>
    <w:bookmarkEnd w:id="27"/>
    <w:p>
      <w:pPr>
        <w:spacing w:line="360" w:lineRule="auto"/>
        <w:jc w:val="center"/>
        <w:rPr>
          <w:rFonts w:ascii="宋体" w:hAnsi="宋体" w:cs="宋体"/>
          <w:b/>
          <w:sz w:val="22"/>
          <w:szCs w:val="22"/>
        </w:rPr>
      </w:pPr>
      <w:bookmarkStart w:id="29" w:name="_Toc23685"/>
      <w:r>
        <w:rPr>
          <w:rStyle w:val="23"/>
          <w:rFonts w:hint="eastAsia"/>
        </w:rPr>
        <w:t>第四章  谈判响应文件（格式）</w:t>
      </w:r>
      <w:bookmarkEnd w:id="29"/>
    </w:p>
    <w:p>
      <w:pPr>
        <w:spacing w:line="400" w:lineRule="exact"/>
        <w:rPr>
          <w:rFonts w:ascii="宋体" w:hAnsi="宋体" w:cs="宋体"/>
          <w:b/>
          <w:sz w:val="22"/>
          <w:szCs w:val="22"/>
        </w:rPr>
      </w:pPr>
    </w:p>
    <w:p>
      <w:pPr>
        <w:spacing w:line="400" w:lineRule="exact"/>
        <w:rPr>
          <w:rFonts w:ascii="宋体" w:hAnsi="宋体" w:cs="宋体"/>
          <w:b/>
          <w:sz w:val="22"/>
          <w:szCs w:val="22"/>
        </w:rPr>
      </w:pPr>
      <w:r>
        <w:rPr>
          <w:rFonts w:hint="eastAsia" w:ascii="宋体" w:hAnsi="宋体" w:cs="宋体"/>
          <w:b/>
          <w:sz w:val="22"/>
          <w:szCs w:val="22"/>
        </w:rPr>
        <w:t>（封面）</w:t>
      </w:r>
    </w:p>
    <w:p>
      <w:pPr>
        <w:spacing w:line="400" w:lineRule="exact"/>
        <w:rPr>
          <w:rFonts w:ascii="宋体" w:hAnsi="宋体" w:cs="宋体"/>
          <w:b/>
          <w:sz w:val="22"/>
          <w:szCs w:val="22"/>
        </w:rPr>
      </w:pPr>
    </w:p>
    <w:p>
      <w:pPr>
        <w:spacing w:line="400" w:lineRule="exact"/>
        <w:ind w:left="416" w:leftChars="172" w:hanging="55" w:hangingChars="25"/>
        <w:jc w:val="center"/>
        <w:rPr>
          <w:rFonts w:ascii="宋体" w:hAnsi="宋体" w:cs="宋体"/>
          <w:b/>
          <w:sz w:val="22"/>
          <w:szCs w:val="22"/>
        </w:rPr>
      </w:pPr>
      <w:r>
        <w:rPr>
          <w:rFonts w:hint="eastAsia" w:ascii="宋体" w:hAnsi="宋体" w:cs="宋体"/>
          <w:b/>
          <w:sz w:val="22"/>
          <w:szCs w:val="22"/>
          <w:lang w:val="en-US" w:eastAsia="zh-CN"/>
        </w:rPr>
        <w:t xml:space="preserve">                                            </w:t>
      </w:r>
      <w:r>
        <w:rPr>
          <w:rFonts w:hint="eastAsia" w:ascii="宋体" w:hAnsi="宋体" w:cs="宋体"/>
          <w:b/>
          <w:sz w:val="30"/>
          <w:szCs w:val="30"/>
          <w:lang w:val="en-US" w:eastAsia="zh-CN"/>
        </w:rPr>
        <w:t xml:space="preserve">   </w:t>
      </w:r>
      <w:r>
        <w:rPr>
          <w:rFonts w:hint="eastAsia" w:ascii="宋体" w:hAnsi="宋体" w:cs="宋体"/>
          <w:b/>
          <w:sz w:val="30"/>
          <w:szCs w:val="30"/>
        </w:rPr>
        <w:t xml:space="preserve">  正/副本</w:t>
      </w:r>
    </w:p>
    <w:p>
      <w:pPr>
        <w:spacing w:line="780" w:lineRule="exact"/>
        <w:rPr>
          <w:rFonts w:ascii="宋体" w:hAnsi="宋体" w:cs="宋体"/>
          <w:b/>
          <w:sz w:val="22"/>
          <w:szCs w:val="22"/>
        </w:rPr>
      </w:pPr>
    </w:p>
    <w:p>
      <w:pPr>
        <w:spacing w:line="780" w:lineRule="exact"/>
        <w:jc w:val="center"/>
        <w:rPr>
          <w:rFonts w:ascii="宋体" w:hAnsi="宋体" w:cs="宋体"/>
          <w:b/>
          <w:sz w:val="72"/>
          <w:szCs w:val="72"/>
        </w:rPr>
      </w:pPr>
      <w:r>
        <w:rPr>
          <w:rFonts w:hint="eastAsia" w:ascii="宋体" w:hAnsi="宋体" w:cs="宋体"/>
          <w:b/>
          <w:sz w:val="72"/>
          <w:szCs w:val="72"/>
        </w:rPr>
        <w:t>竞争性谈判响应文件</w:t>
      </w:r>
    </w:p>
    <w:p>
      <w:pPr>
        <w:spacing w:line="400" w:lineRule="exact"/>
        <w:ind w:left="416" w:leftChars="172" w:hanging="55" w:hangingChars="25"/>
        <w:jc w:val="center"/>
        <w:rPr>
          <w:rFonts w:ascii="宋体" w:hAnsi="宋体" w:cs="宋体"/>
          <w:b/>
          <w:sz w:val="22"/>
          <w:szCs w:val="22"/>
        </w:rPr>
      </w:pPr>
    </w:p>
    <w:p>
      <w:pPr>
        <w:spacing w:line="400" w:lineRule="exact"/>
        <w:ind w:left="416" w:leftChars="172" w:hanging="55" w:hangingChars="25"/>
        <w:jc w:val="center"/>
        <w:rPr>
          <w:rFonts w:ascii="宋体" w:hAnsi="宋体" w:cs="宋体"/>
          <w:b/>
          <w:sz w:val="22"/>
          <w:szCs w:val="22"/>
        </w:rPr>
      </w:pPr>
    </w:p>
    <w:p>
      <w:pPr>
        <w:spacing w:line="400" w:lineRule="exact"/>
        <w:ind w:left="416" w:leftChars="172" w:hanging="55" w:hangingChars="25"/>
        <w:jc w:val="center"/>
        <w:rPr>
          <w:rFonts w:ascii="宋体" w:hAnsi="宋体" w:cs="宋体"/>
          <w:b/>
          <w:sz w:val="22"/>
          <w:szCs w:val="22"/>
        </w:rPr>
      </w:pPr>
    </w:p>
    <w:p>
      <w:pPr>
        <w:spacing w:line="400" w:lineRule="exact"/>
        <w:ind w:left="416" w:leftChars="172" w:hanging="55" w:hangingChars="25"/>
        <w:jc w:val="center"/>
        <w:rPr>
          <w:rFonts w:ascii="宋体" w:hAnsi="宋体" w:cs="宋体"/>
          <w:b/>
          <w:sz w:val="22"/>
          <w:szCs w:val="22"/>
        </w:rPr>
      </w:pPr>
    </w:p>
    <w:p>
      <w:pPr>
        <w:spacing w:line="360" w:lineRule="auto"/>
        <w:ind w:left="416" w:leftChars="172" w:hanging="55" w:hangingChars="25"/>
        <w:jc w:val="left"/>
        <w:rPr>
          <w:rFonts w:ascii="宋体" w:hAnsi="宋体" w:cs="宋体"/>
          <w:sz w:val="22"/>
          <w:szCs w:val="22"/>
        </w:rPr>
      </w:pPr>
    </w:p>
    <w:p>
      <w:pPr>
        <w:spacing w:line="360" w:lineRule="auto"/>
        <w:ind w:left="421" w:leftChars="172" w:hanging="60" w:hangingChars="25"/>
        <w:jc w:val="left"/>
        <w:rPr>
          <w:rFonts w:ascii="宋体" w:hAnsi="宋体" w:cs="宋体"/>
          <w:sz w:val="24"/>
        </w:rPr>
      </w:pPr>
      <w:r>
        <w:rPr>
          <w:rFonts w:hint="eastAsia" w:ascii="宋体" w:hAnsi="宋体" w:cs="宋体"/>
          <w:sz w:val="24"/>
        </w:rPr>
        <w:t>项目名称：</w:t>
      </w:r>
    </w:p>
    <w:p>
      <w:pPr>
        <w:spacing w:line="360" w:lineRule="auto"/>
        <w:ind w:left="421" w:leftChars="172" w:hanging="60" w:hangingChars="25"/>
        <w:jc w:val="left"/>
        <w:rPr>
          <w:rFonts w:ascii="宋体" w:hAnsi="宋体" w:cs="宋体"/>
          <w:sz w:val="24"/>
        </w:rPr>
      </w:pPr>
      <w:r>
        <w:rPr>
          <w:rFonts w:hint="eastAsia" w:ascii="宋体" w:hAnsi="宋体" w:cs="宋体"/>
          <w:sz w:val="24"/>
        </w:rPr>
        <w:t>项目编号：</w:t>
      </w:r>
    </w:p>
    <w:p>
      <w:pPr>
        <w:spacing w:line="360" w:lineRule="auto"/>
        <w:ind w:left="421" w:leftChars="172" w:hanging="60" w:hangingChars="25"/>
        <w:jc w:val="left"/>
        <w:rPr>
          <w:rFonts w:ascii="宋体" w:hAnsi="宋体" w:cs="宋体"/>
          <w:sz w:val="24"/>
        </w:rPr>
      </w:pPr>
    </w:p>
    <w:p>
      <w:pPr>
        <w:spacing w:line="360" w:lineRule="auto"/>
        <w:ind w:left="421" w:leftChars="172" w:hanging="60" w:hangingChars="25"/>
        <w:jc w:val="left"/>
        <w:rPr>
          <w:rFonts w:ascii="宋体" w:hAnsi="宋体" w:cs="宋体"/>
          <w:sz w:val="24"/>
        </w:rPr>
      </w:pPr>
      <w:r>
        <w:rPr>
          <w:rFonts w:hint="eastAsia" w:ascii="宋体" w:hAnsi="宋体" w:cs="宋体"/>
          <w:sz w:val="24"/>
        </w:rPr>
        <w:t>响应文件内容：</w:t>
      </w:r>
      <w:r>
        <w:rPr>
          <w:rFonts w:hint="eastAsia" w:ascii="宋体" w:hAnsi="宋体" w:cs="宋体"/>
          <w:sz w:val="24"/>
          <w:u w:val="single"/>
        </w:rPr>
        <w:t xml:space="preserve">价格文件和商务技术文件             </w:t>
      </w:r>
    </w:p>
    <w:p>
      <w:pPr>
        <w:spacing w:line="360" w:lineRule="auto"/>
        <w:ind w:left="421" w:leftChars="172" w:hanging="60" w:hangingChars="25"/>
        <w:jc w:val="left"/>
        <w:rPr>
          <w:rFonts w:ascii="宋体" w:hAnsi="宋体" w:cs="宋体"/>
          <w:sz w:val="24"/>
        </w:rPr>
      </w:pPr>
    </w:p>
    <w:p>
      <w:pPr>
        <w:spacing w:line="360" w:lineRule="auto"/>
        <w:ind w:left="421" w:leftChars="172" w:hanging="60" w:hangingChars="25"/>
        <w:jc w:val="left"/>
        <w:rPr>
          <w:rFonts w:ascii="宋体" w:hAnsi="宋体" w:cs="宋体"/>
          <w:sz w:val="24"/>
        </w:rPr>
      </w:pPr>
    </w:p>
    <w:p>
      <w:pPr>
        <w:spacing w:line="360" w:lineRule="auto"/>
        <w:ind w:left="414" w:leftChars="197" w:firstLine="5764" w:firstLineChars="2402"/>
        <w:jc w:val="left"/>
        <w:rPr>
          <w:rFonts w:ascii="宋体" w:hAnsi="宋体" w:cs="宋体"/>
          <w:sz w:val="24"/>
        </w:rPr>
      </w:pPr>
    </w:p>
    <w:p>
      <w:pPr>
        <w:spacing w:line="360" w:lineRule="auto"/>
        <w:ind w:left="414" w:leftChars="197" w:firstLine="5764" w:firstLineChars="2402"/>
        <w:jc w:val="left"/>
        <w:rPr>
          <w:rFonts w:ascii="宋体" w:hAnsi="宋体" w:cs="宋体"/>
          <w:sz w:val="24"/>
        </w:rPr>
      </w:pPr>
      <w:r>
        <w:rPr>
          <w:rFonts w:hint="eastAsia" w:ascii="宋体" w:hAnsi="宋体" w:cs="宋体"/>
          <w:sz w:val="24"/>
        </w:rPr>
        <w:t>（谈判供应商名称、盖章）</w:t>
      </w:r>
    </w:p>
    <w:p>
      <w:pPr>
        <w:spacing w:line="360" w:lineRule="auto"/>
        <w:ind w:left="414" w:leftChars="197" w:firstLine="6600" w:firstLineChars="2750"/>
        <w:jc w:val="left"/>
        <w:rPr>
          <w:rFonts w:ascii="宋体" w:hAnsi="宋体" w:cs="宋体"/>
          <w:sz w:val="24"/>
        </w:rPr>
      </w:pPr>
      <w:r>
        <w:rPr>
          <w:rFonts w:hint="eastAsia" w:ascii="宋体" w:hAnsi="宋体" w:cs="宋体"/>
          <w:sz w:val="24"/>
        </w:rPr>
        <w:t>年   月    日</w:t>
      </w:r>
    </w:p>
    <w:p>
      <w:pPr>
        <w:rPr>
          <w:rFonts w:ascii="宋体" w:hAnsi="宋体" w:cs="宋体"/>
          <w:sz w:val="24"/>
        </w:rPr>
      </w:pPr>
    </w:p>
    <w:p>
      <w:pPr>
        <w:spacing w:line="400" w:lineRule="exact"/>
        <w:ind w:left="416" w:leftChars="172" w:hanging="55" w:hangingChars="25"/>
        <w:rPr>
          <w:rFonts w:ascii="宋体" w:hAnsi="宋体" w:cs="宋体"/>
          <w:b/>
          <w:sz w:val="22"/>
          <w:szCs w:val="22"/>
        </w:rPr>
        <w:sectPr>
          <w:headerReference r:id="rId8" w:type="default"/>
          <w:footerReference r:id="rId9" w:type="default"/>
          <w:pgSz w:w="11906" w:h="16838"/>
          <w:pgMar w:top="1134" w:right="1134" w:bottom="1134" w:left="1417" w:header="851" w:footer="992" w:gutter="0"/>
          <w:cols w:space="720" w:num="1"/>
          <w:docGrid w:type="lines" w:linePitch="312" w:charSpace="0"/>
        </w:sectPr>
      </w:pPr>
    </w:p>
    <w:p>
      <w:pPr>
        <w:adjustRightInd w:val="0"/>
        <w:snapToGrid w:val="0"/>
        <w:spacing w:line="300" w:lineRule="auto"/>
        <w:jc w:val="center"/>
        <w:rPr>
          <w:rFonts w:ascii="宋体" w:hAnsi="宋体" w:cs="宋体"/>
          <w:b/>
          <w:bCs/>
          <w:kern w:val="0"/>
          <w:sz w:val="28"/>
          <w:szCs w:val="28"/>
        </w:rPr>
      </w:pPr>
      <w:r>
        <w:rPr>
          <w:rFonts w:hint="eastAsia" w:ascii="宋体" w:hAnsi="宋体" w:cs="宋体"/>
          <w:b/>
          <w:bCs/>
          <w:kern w:val="0"/>
          <w:sz w:val="28"/>
          <w:szCs w:val="28"/>
        </w:rPr>
        <w:t>一、谈 判 书</w:t>
      </w:r>
    </w:p>
    <w:p>
      <w:pPr>
        <w:spacing w:line="520" w:lineRule="exact"/>
        <w:rPr>
          <w:rFonts w:ascii="宋体" w:hAnsi="宋体" w:cs="宋体"/>
          <w:sz w:val="22"/>
          <w:szCs w:val="22"/>
        </w:rPr>
      </w:pPr>
      <w:r>
        <w:rPr>
          <w:rFonts w:hint="eastAsia" w:ascii="宋体" w:hAnsi="宋体" w:cs="宋体"/>
          <w:sz w:val="22"/>
          <w:szCs w:val="22"/>
          <w:u w:val="single"/>
        </w:rPr>
        <w:t>（采购单位全称）：</w:t>
      </w:r>
    </w:p>
    <w:p>
      <w:pPr>
        <w:spacing w:line="520" w:lineRule="exact"/>
        <w:ind w:left="-181" w:leftChars="-86" w:firstLine="440" w:firstLineChars="200"/>
        <w:rPr>
          <w:rFonts w:ascii="宋体" w:hAnsi="宋体" w:cs="宋体"/>
          <w:sz w:val="22"/>
          <w:szCs w:val="22"/>
        </w:rPr>
      </w:pPr>
      <w:r>
        <w:rPr>
          <w:rFonts w:hint="eastAsia" w:ascii="宋体" w:hAnsi="宋体" w:cs="宋体"/>
          <w:sz w:val="22"/>
          <w:szCs w:val="22"/>
        </w:rPr>
        <w:t>依据贵方</w:t>
      </w:r>
      <w:r>
        <w:rPr>
          <w:rFonts w:hint="eastAsia" w:ascii="宋体" w:hAnsi="宋体" w:cs="宋体"/>
          <w:sz w:val="22"/>
          <w:szCs w:val="22"/>
          <w:u w:val="single"/>
        </w:rPr>
        <w:t>（项目名称/</w:t>
      </w:r>
      <w:r>
        <w:rPr>
          <w:rFonts w:hint="eastAsia" w:ascii="宋体" w:hAnsi="宋体" w:cs="宋体"/>
          <w:sz w:val="22"/>
          <w:szCs w:val="22"/>
          <w:u w:val="single"/>
          <w:lang w:val="en-US" w:eastAsia="zh-CN"/>
        </w:rPr>
        <w:t>项目</w:t>
      </w:r>
      <w:r>
        <w:rPr>
          <w:rFonts w:hint="eastAsia" w:ascii="宋体" w:hAnsi="宋体" w:cs="宋体"/>
          <w:sz w:val="22"/>
          <w:szCs w:val="22"/>
          <w:u w:val="single"/>
        </w:rPr>
        <w:t>编号）</w:t>
      </w:r>
      <w:r>
        <w:rPr>
          <w:rFonts w:hint="eastAsia" w:ascii="宋体" w:hAnsi="宋体" w:cs="宋体"/>
          <w:sz w:val="22"/>
          <w:szCs w:val="22"/>
        </w:rPr>
        <w:t>竞争性谈判采购项目，我方</w:t>
      </w:r>
      <w:r>
        <w:rPr>
          <w:rFonts w:hint="eastAsia" w:ascii="宋体" w:hAnsi="宋体" w:cs="宋体"/>
          <w:sz w:val="22"/>
          <w:szCs w:val="22"/>
          <w:u w:val="single"/>
        </w:rPr>
        <w:t>（姓名和职务）</w:t>
      </w:r>
      <w:r>
        <w:rPr>
          <w:rFonts w:hint="eastAsia" w:ascii="宋体" w:hAnsi="宋体" w:cs="宋体"/>
          <w:sz w:val="22"/>
          <w:szCs w:val="22"/>
        </w:rPr>
        <w:t>经正式授权并代表谈判供应商</w:t>
      </w:r>
      <w:r>
        <w:rPr>
          <w:rFonts w:hint="eastAsia" w:ascii="宋体" w:hAnsi="宋体" w:cs="宋体"/>
          <w:sz w:val="22"/>
          <w:szCs w:val="22"/>
          <w:u w:val="single"/>
        </w:rPr>
        <w:t>（谈判供应商名称、地址）</w:t>
      </w:r>
      <w:r>
        <w:rPr>
          <w:rFonts w:hint="eastAsia" w:ascii="宋体" w:hAnsi="宋体" w:cs="宋体"/>
          <w:sz w:val="22"/>
          <w:szCs w:val="22"/>
        </w:rPr>
        <w:t>提交下述竞争性谈判响应文件正本壹份和副本叁份</w:t>
      </w:r>
    </w:p>
    <w:p>
      <w:pPr>
        <w:numPr>
          <w:ilvl w:val="1"/>
          <w:numId w:val="3"/>
        </w:numPr>
        <w:spacing w:line="360" w:lineRule="auto"/>
        <w:rPr>
          <w:rFonts w:ascii="宋体" w:hAnsi="宋体" w:cs="宋体"/>
          <w:sz w:val="22"/>
          <w:szCs w:val="22"/>
        </w:rPr>
      </w:pPr>
      <w:r>
        <w:rPr>
          <w:rFonts w:hint="eastAsia" w:ascii="宋体" w:hAnsi="宋体" w:cs="宋体"/>
          <w:sz w:val="22"/>
          <w:szCs w:val="22"/>
        </w:rPr>
        <w:t>报价表；</w:t>
      </w:r>
    </w:p>
    <w:p>
      <w:pPr>
        <w:numPr>
          <w:ilvl w:val="1"/>
          <w:numId w:val="3"/>
        </w:numPr>
        <w:spacing w:line="360" w:lineRule="auto"/>
        <w:rPr>
          <w:rFonts w:ascii="宋体" w:hAnsi="宋体" w:cs="宋体"/>
          <w:sz w:val="22"/>
          <w:szCs w:val="22"/>
        </w:rPr>
      </w:pPr>
      <w:r>
        <w:rPr>
          <w:rFonts w:hint="eastAsia" w:ascii="宋体" w:hAnsi="宋体" w:cs="宋体"/>
          <w:sz w:val="22"/>
          <w:szCs w:val="22"/>
        </w:rPr>
        <w:t>分项报价表；</w:t>
      </w:r>
    </w:p>
    <w:p>
      <w:pPr>
        <w:numPr>
          <w:ilvl w:val="1"/>
          <w:numId w:val="3"/>
        </w:numPr>
        <w:spacing w:line="360" w:lineRule="auto"/>
        <w:rPr>
          <w:rFonts w:ascii="宋体" w:hAnsi="宋体" w:cs="宋体"/>
          <w:sz w:val="22"/>
          <w:szCs w:val="22"/>
        </w:rPr>
      </w:pPr>
      <w:r>
        <w:rPr>
          <w:rFonts w:hint="eastAsia" w:ascii="宋体" w:hAnsi="宋体" w:cs="宋体"/>
          <w:sz w:val="22"/>
          <w:szCs w:val="22"/>
        </w:rPr>
        <w:t>技术规格、商务响应、偏离情况说明表；</w:t>
      </w:r>
    </w:p>
    <w:p>
      <w:pPr>
        <w:spacing w:line="400" w:lineRule="exact"/>
        <w:rPr>
          <w:rFonts w:ascii="宋体" w:hAnsi="宋体" w:cs="宋体"/>
          <w:sz w:val="22"/>
          <w:szCs w:val="22"/>
        </w:rPr>
      </w:pPr>
      <w:r>
        <w:rPr>
          <w:rFonts w:hint="eastAsia" w:ascii="宋体" w:hAnsi="宋体" w:cs="宋体"/>
          <w:sz w:val="22"/>
          <w:szCs w:val="22"/>
        </w:rPr>
        <w:t xml:space="preserve">    4. 提供的切实可行的售后服务和优惠承诺；</w:t>
      </w:r>
    </w:p>
    <w:p>
      <w:pPr>
        <w:pStyle w:val="9"/>
        <w:spacing w:line="420" w:lineRule="exact"/>
        <w:rPr>
          <w:rFonts w:hAnsi="宋体" w:cs="宋体"/>
          <w:sz w:val="22"/>
          <w:szCs w:val="22"/>
        </w:rPr>
      </w:pPr>
      <w:r>
        <w:rPr>
          <w:rFonts w:hint="eastAsia" w:hAnsi="宋体" w:cs="宋体"/>
          <w:sz w:val="22"/>
          <w:szCs w:val="22"/>
        </w:rPr>
        <w:t xml:space="preserve">    5. 竞标人资格证明文件；</w:t>
      </w:r>
    </w:p>
    <w:p>
      <w:pPr>
        <w:spacing w:line="520" w:lineRule="exact"/>
        <w:ind w:left="420"/>
        <w:rPr>
          <w:rFonts w:ascii="宋体" w:hAnsi="宋体" w:cs="宋体"/>
          <w:sz w:val="22"/>
          <w:szCs w:val="22"/>
        </w:rPr>
      </w:pPr>
      <w:r>
        <w:rPr>
          <w:rFonts w:hint="eastAsia" w:ascii="宋体" w:hAnsi="宋体" w:cs="宋体"/>
          <w:sz w:val="22"/>
          <w:szCs w:val="22"/>
        </w:rPr>
        <w:t>因此，授权代表宣布同意如下：</w:t>
      </w:r>
    </w:p>
    <w:p>
      <w:pPr>
        <w:numPr>
          <w:ilvl w:val="0"/>
          <w:numId w:val="4"/>
        </w:numPr>
        <w:spacing w:line="520" w:lineRule="exact"/>
        <w:rPr>
          <w:rFonts w:ascii="宋体" w:hAnsi="宋体" w:cs="宋体"/>
          <w:sz w:val="22"/>
          <w:szCs w:val="22"/>
        </w:rPr>
      </w:pPr>
      <w:r>
        <w:rPr>
          <w:rFonts w:hint="eastAsia" w:ascii="宋体" w:hAnsi="宋体" w:cs="宋体"/>
          <w:sz w:val="22"/>
          <w:szCs w:val="22"/>
        </w:rPr>
        <w:t>将按竞争性谈判文件的约定履行合同责任和义务；</w:t>
      </w:r>
    </w:p>
    <w:p>
      <w:pPr>
        <w:numPr>
          <w:ilvl w:val="0"/>
          <w:numId w:val="4"/>
        </w:numPr>
        <w:spacing w:line="520" w:lineRule="exact"/>
        <w:rPr>
          <w:rFonts w:ascii="宋体" w:hAnsi="宋体" w:cs="宋体"/>
          <w:sz w:val="22"/>
          <w:szCs w:val="22"/>
        </w:rPr>
      </w:pPr>
      <w:r>
        <w:rPr>
          <w:rFonts w:hint="eastAsia" w:ascii="宋体" w:hAnsi="宋体" w:cs="宋体"/>
          <w:sz w:val="22"/>
          <w:szCs w:val="22"/>
        </w:rPr>
        <w:t>已详细审查全部竞争性谈判文件，包括</w:t>
      </w:r>
      <w:r>
        <w:rPr>
          <w:rFonts w:hint="eastAsia" w:ascii="宋体" w:hAnsi="宋体" w:cs="宋体"/>
          <w:sz w:val="22"/>
          <w:szCs w:val="22"/>
          <w:u w:val="single"/>
        </w:rPr>
        <w:t>(补遗文件)（如果有的话）；</w:t>
      </w:r>
      <w:r>
        <w:rPr>
          <w:rFonts w:hint="eastAsia" w:ascii="宋体" w:hAnsi="宋体" w:cs="宋体"/>
          <w:sz w:val="22"/>
          <w:szCs w:val="22"/>
        </w:rPr>
        <w:t>我们完全理解并同意放弃对这方面有不明及误解的权力；</w:t>
      </w:r>
    </w:p>
    <w:p>
      <w:pPr>
        <w:numPr>
          <w:ilvl w:val="0"/>
          <w:numId w:val="4"/>
        </w:numPr>
        <w:spacing w:line="520" w:lineRule="exact"/>
        <w:rPr>
          <w:rFonts w:ascii="宋体" w:hAnsi="宋体" w:cs="宋体"/>
          <w:sz w:val="22"/>
          <w:szCs w:val="22"/>
        </w:rPr>
      </w:pPr>
      <w:r>
        <w:rPr>
          <w:rFonts w:hint="eastAsia" w:ascii="宋体" w:hAnsi="宋体" w:cs="宋体"/>
          <w:sz w:val="22"/>
          <w:szCs w:val="22"/>
        </w:rPr>
        <w:t>同意提供按照贵方可能要求的与其谈判有关的一切数据或资料；</w:t>
      </w:r>
    </w:p>
    <w:p>
      <w:pPr>
        <w:numPr>
          <w:ilvl w:val="0"/>
          <w:numId w:val="4"/>
        </w:numPr>
        <w:spacing w:line="520" w:lineRule="exact"/>
        <w:rPr>
          <w:rFonts w:ascii="宋体" w:hAnsi="宋体" w:cs="宋体"/>
          <w:sz w:val="22"/>
          <w:szCs w:val="22"/>
        </w:rPr>
      </w:pPr>
      <w:r>
        <w:rPr>
          <w:rFonts w:hint="eastAsia" w:ascii="宋体" w:hAnsi="宋体" w:cs="宋体"/>
          <w:sz w:val="22"/>
          <w:szCs w:val="22"/>
        </w:rPr>
        <w:t>与本谈判有关的一切正式往来信函请寄：</w:t>
      </w:r>
    </w:p>
    <w:p>
      <w:pPr>
        <w:spacing w:line="520" w:lineRule="exact"/>
        <w:ind w:left="420"/>
        <w:rPr>
          <w:rFonts w:ascii="宋体" w:hAnsi="宋体" w:cs="宋体"/>
          <w:sz w:val="22"/>
          <w:szCs w:val="22"/>
          <w:u w:val="single"/>
        </w:rPr>
      </w:pPr>
      <w:r>
        <w:rPr>
          <w:rFonts w:hint="eastAsia" w:ascii="宋体" w:hAnsi="宋体" w:cs="宋体"/>
          <w:sz w:val="22"/>
          <w:szCs w:val="22"/>
        </w:rPr>
        <w:t>电话：</w:t>
      </w:r>
    </w:p>
    <w:p>
      <w:pPr>
        <w:spacing w:line="520" w:lineRule="exact"/>
        <w:ind w:left="420"/>
        <w:rPr>
          <w:rFonts w:ascii="宋体" w:hAnsi="宋体" w:cs="宋体"/>
          <w:sz w:val="22"/>
          <w:szCs w:val="22"/>
          <w:u w:val="single"/>
        </w:rPr>
      </w:pPr>
      <w:r>
        <w:rPr>
          <w:rFonts w:hint="eastAsia" w:ascii="宋体" w:hAnsi="宋体" w:cs="宋体"/>
          <w:sz w:val="22"/>
          <w:szCs w:val="22"/>
        </w:rPr>
        <w:t>日期：</w:t>
      </w:r>
      <w:r>
        <w:rPr>
          <w:rFonts w:hint="eastAsia" w:ascii="宋体" w:hAnsi="宋体" w:cs="宋体"/>
          <w:sz w:val="22"/>
          <w:szCs w:val="22"/>
          <w:u w:val="single"/>
        </w:rPr>
        <w:t xml:space="preserve">      年    月     日</w:t>
      </w:r>
    </w:p>
    <w:p>
      <w:pPr>
        <w:spacing w:line="520" w:lineRule="exact"/>
        <w:ind w:left="420"/>
        <w:rPr>
          <w:rFonts w:ascii="宋体" w:hAnsi="宋体" w:cs="宋体"/>
          <w:sz w:val="22"/>
          <w:szCs w:val="22"/>
          <w:u w:val="single"/>
        </w:rPr>
      </w:pPr>
      <w:r>
        <w:rPr>
          <w:rFonts w:hint="eastAsia" w:ascii="宋体" w:hAnsi="宋体" w:cs="宋体"/>
          <w:sz w:val="22"/>
          <w:szCs w:val="22"/>
        </w:rPr>
        <w:t>法定代表人或法定代表人授权代表签字</w:t>
      </w:r>
      <w:r>
        <w:rPr>
          <w:rFonts w:hint="eastAsia" w:ascii="宋体" w:hAnsi="宋体" w:cs="宋体"/>
          <w:sz w:val="22"/>
          <w:szCs w:val="22"/>
          <w:u w:val="single"/>
        </w:rPr>
        <w:t xml:space="preserve">：                              </w:t>
      </w:r>
    </w:p>
    <w:p>
      <w:pPr>
        <w:spacing w:line="520" w:lineRule="exact"/>
        <w:ind w:left="420"/>
        <w:rPr>
          <w:rFonts w:ascii="宋体" w:hAnsi="宋体" w:cs="宋体"/>
          <w:sz w:val="22"/>
          <w:szCs w:val="22"/>
          <w:u w:val="single"/>
        </w:rPr>
      </w:pPr>
      <w:r>
        <w:rPr>
          <w:rFonts w:hint="eastAsia" w:ascii="宋体" w:hAnsi="宋体" w:cs="宋体"/>
          <w:sz w:val="22"/>
          <w:szCs w:val="22"/>
        </w:rPr>
        <w:t>谈判供应商名称（盖章）：</w:t>
      </w:r>
    </w:p>
    <w:p>
      <w:pPr>
        <w:spacing w:line="520" w:lineRule="exact"/>
        <w:ind w:left="420"/>
        <w:rPr>
          <w:rFonts w:ascii="宋体" w:hAnsi="宋体" w:cs="宋体"/>
          <w:sz w:val="22"/>
          <w:szCs w:val="22"/>
          <w:u w:val="single"/>
        </w:rPr>
      </w:pPr>
      <w:r>
        <w:rPr>
          <w:rFonts w:hint="eastAsia" w:ascii="宋体" w:hAnsi="宋体" w:cs="宋体"/>
          <w:sz w:val="22"/>
          <w:szCs w:val="22"/>
        </w:rPr>
        <w:t>开户银行：</w:t>
      </w:r>
    </w:p>
    <w:p>
      <w:pPr>
        <w:spacing w:line="520" w:lineRule="exact"/>
        <w:ind w:left="420"/>
        <w:rPr>
          <w:rFonts w:ascii="宋体" w:hAnsi="宋体" w:cs="宋体"/>
          <w:sz w:val="22"/>
          <w:szCs w:val="22"/>
        </w:rPr>
      </w:pPr>
      <w:r>
        <w:rPr>
          <w:rFonts w:hint="eastAsia" w:ascii="宋体" w:hAnsi="宋体" w:cs="宋体"/>
          <w:sz w:val="22"/>
          <w:szCs w:val="22"/>
        </w:rPr>
        <w:t>账号/行号：</w:t>
      </w:r>
    </w:p>
    <w:p>
      <w:pPr>
        <w:spacing w:line="500" w:lineRule="exact"/>
        <w:rPr>
          <w:rFonts w:ascii="宋体" w:hAnsi="宋体" w:cs="宋体"/>
          <w:sz w:val="22"/>
          <w:szCs w:val="22"/>
          <w:u w:val="single"/>
        </w:rPr>
      </w:pPr>
    </w:p>
    <w:p>
      <w:pPr>
        <w:spacing w:line="500" w:lineRule="exact"/>
        <w:rPr>
          <w:rFonts w:ascii="宋体" w:hAnsi="宋体" w:cs="宋体"/>
          <w:sz w:val="22"/>
          <w:szCs w:val="22"/>
          <w:u w:val="single"/>
        </w:rPr>
      </w:pPr>
    </w:p>
    <w:p>
      <w:pPr>
        <w:spacing w:line="500" w:lineRule="exact"/>
        <w:rPr>
          <w:rFonts w:ascii="宋体" w:hAnsi="宋体" w:cs="宋体"/>
          <w:sz w:val="22"/>
          <w:szCs w:val="22"/>
          <w:u w:val="single"/>
        </w:rPr>
      </w:pPr>
    </w:p>
    <w:p>
      <w:pPr>
        <w:spacing w:line="500" w:lineRule="exact"/>
        <w:rPr>
          <w:rFonts w:ascii="宋体" w:hAnsi="宋体" w:cs="宋体"/>
          <w:sz w:val="22"/>
          <w:szCs w:val="22"/>
          <w:u w:val="single"/>
        </w:rPr>
      </w:pPr>
    </w:p>
    <w:p>
      <w:pPr>
        <w:spacing w:line="500" w:lineRule="exact"/>
        <w:rPr>
          <w:rFonts w:ascii="宋体" w:hAnsi="宋体" w:cs="宋体"/>
          <w:sz w:val="22"/>
          <w:szCs w:val="22"/>
          <w:u w:val="single"/>
        </w:rPr>
      </w:pPr>
    </w:p>
    <w:p>
      <w:pPr>
        <w:spacing w:line="500" w:lineRule="exact"/>
        <w:rPr>
          <w:rFonts w:ascii="宋体" w:hAnsi="宋体" w:cs="宋体"/>
          <w:b/>
          <w:sz w:val="22"/>
          <w:szCs w:val="22"/>
        </w:rPr>
      </w:pPr>
    </w:p>
    <w:p>
      <w:pPr>
        <w:spacing w:line="500" w:lineRule="exact"/>
        <w:rPr>
          <w:rFonts w:ascii="宋体" w:hAnsi="宋体" w:cs="宋体"/>
          <w:b/>
          <w:sz w:val="22"/>
          <w:szCs w:val="22"/>
        </w:rPr>
      </w:pPr>
    </w:p>
    <w:p>
      <w:pPr>
        <w:adjustRightInd w:val="0"/>
        <w:snapToGrid w:val="0"/>
        <w:spacing w:line="300" w:lineRule="auto"/>
        <w:jc w:val="center"/>
        <w:rPr>
          <w:rFonts w:ascii="宋体" w:hAnsi="宋体" w:cs="宋体"/>
          <w:b/>
          <w:bCs/>
          <w:kern w:val="0"/>
          <w:sz w:val="28"/>
          <w:szCs w:val="28"/>
        </w:rPr>
      </w:pPr>
      <w:r>
        <w:rPr>
          <w:rFonts w:ascii="宋体" w:hAnsi="宋体" w:cs="宋体"/>
          <w:b/>
          <w:bCs/>
          <w:kern w:val="0"/>
          <w:sz w:val="28"/>
          <w:szCs w:val="28"/>
        </w:rPr>
        <w:br w:type="page"/>
      </w:r>
      <w:r>
        <w:rPr>
          <w:rFonts w:hint="eastAsia" w:ascii="宋体" w:hAnsi="宋体" w:cs="宋体"/>
          <w:b/>
          <w:bCs/>
          <w:kern w:val="0"/>
          <w:sz w:val="28"/>
          <w:szCs w:val="28"/>
        </w:rPr>
        <w:t>二、报  价  表</w:t>
      </w:r>
    </w:p>
    <w:p>
      <w:pPr>
        <w:spacing w:line="500" w:lineRule="exact"/>
        <w:jc w:val="center"/>
        <w:rPr>
          <w:rFonts w:ascii="宋体" w:hAnsi="宋体" w:cs="宋体"/>
          <w:b/>
          <w:sz w:val="22"/>
          <w:szCs w:val="22"/>
        </w:rPr>
      </w:pPr>
    </w:p>
    <w:p>
      <w:pPr>
        <w:spacing w:line="360" w:lineRule="auto"/>
        <w:jc w:val="left"/>
        <w:rPr>
          <w:rFonts w:ascii="宋体" w:hAnsi="宋体" w:cs="宋体"/>
          <w:sz w:val="22"/>
          <w:szCs w:val="22"/>
        </w:rPr>
      </w:pPr>
      <w:r>
        <w:rPr>
          <w:rFonts w:hint="eastAsia" w:ascii="宋体" w:hAnsi="宋体" w:cs="宋体"/>
          <w:sz w:val="22"/>
          <w:szCs w:val="22"/>
        </w:rPr>
        <w:t>项目名称：</w:t>
      </w:r>
    </w:p>
    <w:p>
      <w:pPr>
        <w:spacing w:line="500" w:lineRule="exact"/>
        <w:rPr>
          <w:rFonts w:ascii="宋体" w:hAnsi="宋体" w:cs="宋体"/>
          <w:sz w:val="22"/>
          <w:szCs w:val="22"/>
          <w:u w:val="single"/>
        </w:rPr>
      </w:pPr>
      <w:r>
        <w:rPr>
          <w:rFonts w:hint="eastAsia" w:ascii="宋体" w:hAnsi="宋体" w:cs="宋体"/>
          <w:sz w:val="22"/>
          <w:szCs w:val="22"/>
        </w:rPr>
        <w:t>项目编号：</w:t>
      </w:r>
    </w:p>
    <w:p>
      <w:pPr>
        <w:spacing w:line="360" w:lineRule="auto"/>
        <w:ind w:right="2" w:rightChars="1" w:firstLine="440" w:firstLineChars="200"/>
        <w:rPr>
          <w:rFonts w:ascii="宋体" w:hAnsi="宋体" w:cs="宋体"/>
          <w:sz w:val="22"/>
          <w:szCs w:val="22"/>
          <w:u w:val="single"/>
        </w:rPr>
      </w:pPr>
      <w:r>
        <w:rPr>
          <w:rFonts w:hint="eastAsia" w:ascii="宋体" w:hAnsi="宋体" w:cs="宋体"/>
          <w:sz w:val="22"/>
          <w:szCs w:val="22"/>
          <w:lang w:val="en-US" w:eastAsia="zh-CN"/>
        </w:rPr>
        <w:t>竞标</w:t>
      </w:r>
      <w:r>
        <w:rPr>
          <w:rFonts w:hint="eastAsia" w:ascii="宋体" w:hAnsi="宋体" w:cs="宋体"/>
          <w:sz w:val="22"/>
          <w:szCs w:val="22"/>
        </w:rPr>
        <w:t>总报价（含其他优惠条件）：（大写）</w:t>
      </w:r>
      <w:r>
        <w:rPr>
          <w:rFonts w:hint="eastAsia" w:ascii="宋体" w:hAnsi="宋体" w:cs="宋体"/>
          <w:sz w:val="22"/>
          <w:szCs w:val="22"/>
          <w:u w:val="single"/>
        </w:rPr>
        <w:t xml:space="preserve">                 元（￥       ），</w:t>
      </w:r>
    </w:p>
    <w:p>
      <w:pPr>
        <w:spacing w:line="360" w:lineRule="auto"/>
        <w:ind w:right="2" w:rightChars="1" w:firstLine="440" w:firstLineChars="200"/>
        <w:rPr>
          <w:rFonts w:ascii="宋体" w:hAnsi="宋体" w:cs="宋体"/>
          <w:sz w:val="22"/>
          <w:szCs w:val="22"/>
        </w:rPr>
      </w:pPr>
      <w:r>
        <w:rPr>
          <w:rFonts w:hint="eastAsia" w:ascii="宋体" w:hAnsi="宋体" w:cs="宋体"/>
          <w:sz w:val="22"/>
          <w:szCs w:val="22"/>
        </w:rPr>
        <w:t>请竞标</w:t>
      </w:r>
      <w:r>
        <w:rPr>
          <w:rFonts w:hint="eastAsia" w:ascii="宋体" w:hAnsi="宋体" w:cs="宋体"/>
          <w:sz w:val="22"/>
          <w:szCs w:val="22"/>
          <w:lang w:val="en-US" w:eastAsia="zh-CN"/>
        </w:rPr>
        <w:t>单位</w:t>
      </w:r>
      <w:r>
        <w:rPr>
          <w:rFonts w:hint="eastAsia" w:ascii="宋体" w:hAnsi="宋体" w:cs="宋体"/>
          <w:sz w:val="22"/>
          <w:szCs w:val="22"/>
        </w:rPr>
        <w:t>按</w:t>
      </w:r>
      <w:r>
        <w:rPr>
          <w:rFonts w:hint="eastAsia" w:ascii="宋体" w:hAnsi="宋体" w:cs="宋体"/>
          <w:sz w:val="22"/>
          <w:szCs w:val="22"/>
          <w:lang w:val="en-US" w:eastAsia="zh-CN"/>
        </w:rPr>
        <w:t>竞争性谈判采购</w:t>
      </w:r>
      <w:r>
        <w:rPr>
          <w:rFonts w:hint="eastAsia" w:ascii="宋体" w:hAnsi="宋体" w:cs="宋体"/>
          <w:sz w:val="22"/>
          <w:szCs w:val="22"/>
        </w:rPr>
        <w:t>文件的要求，做出相应的报价。</w:t>
      </w:r>
    </w:p>
    <w:p>
      <w:pPr>
        <w:spacing w:line="500" w:lineRule="exact"/>
        <w:rPr>
          <w:rFonts w:ascii="宋体" w:hAnsi="宋体" w:cs="宋体"/>
          <w:sz w:val="22"/>
          <w:szCs w:val="22"/>
          <w:u w:val="single"/>
        </w:rPr>
      </w:pPr>
    </w:p>
    <w:p>
      <w:pPr>
        <w:spacing w:line="500" w:lineRule="exact"/>
        <w:rPr>
          <w:rFonts w:ascii="宋体" w:hAnsi="宋体" w:cs="宋体"/>
          <w:sz w:val="22"/>
          <w:szCs w:val="22"/>
          <w:u w:val="single"/>
        </w:rPr>
      </w:pPr>
      <w:r>
        <w:rPr>
          <w:rFonts w:hint="eastAsia" w:ascii="宋体" w:hAnsi="宋体" w:cs="宋体"/>
          <w:sz w:val="22"/>
          <w:szCs w:val="22"/>
        </w:rPr>
        <w:t>交付使用期：</w:t>
      </w:r>
    </w:p>
    <w:p>
      <w:pPr>
        <w:spacing w:line="500" w:lineRule="exact"/>
        <w:rPr>
          <w:rFonts w:ascii="宋体" w:hAnsi="宋体" w:cs="宋体"/>
          <w:sz w:val="22"/>
          <w:szCs w:val="22"/>
          <w:u w:val="single"/>
        </w:rPr>
      </w:pPr>
      <w:r>
        <w:rPr>
          <w:rFonts w:hint="eastAsia" w:ascii="宋体" w:hAnsi="宋体" w:cs="宋体"/>
          <w:sz w:val="22"/>
          <w:szCs w:val="22"/>
          <w:lang w:val="en-US" w:eastAsia="zh-CN"/>
        </w:rPr>
        <w:t>质量保修期</w:t>
      </w:r>
      <w:r>
        <w:rPr>
          <w:rFonts w:hint="eastAsia" w:ascii="宋体" w:hAnsi="宋体" w:cs="宋体"/>
          <w:sz w:val="22"/>
          <w:szCs w:val="22"/>
        </w:rPr>
        <w:t>：</w:t>
      </w:r>
    </w:p>
    <w:p>
      <w:pPr>
        <w:spacing w:line="500" w:lineRule="exact"/>
        <w:rPr>
          <w:rFonts w:ascii="宋体" w:hAnsi="宋体" w:cs="宋体"/>
          <w:sz w:val="22"/>
          <w:szCs w:val="22"/>
        </w:rPr>
      </w:pPr>
    </w:p>
    <w:p>
      <w:pPr>
        <w:spacing w:line="500" w:lineRule="exact"/>
        <w:rPr>
          <w:rFonts w:ascii="宋体" w:hAnsi="宋体" w:cs="宋体"/>
          <w:sz w:val="22"/>
          <w:szCs w:val="22"/>
        </w:rPr>
      </w:pPr>
    </w:p>
    <w:p>
      <w:pPr>
        <w:spacing w:line="500" w:lineRule="exact"/>
        <w:rPr>
          <w:rFonts w:ascii="宋体" w:hAnsi="宋体" w:cs="宋体"/>
          <w:sz w:val="22"/>
          <w:szCs w:val="22"/>
        </w:rPr>
      </w:pPr>
    </w:p>
    <w:p>
      <w:pPr>
        <w:spacing w:line="500" w:lineRule="exact"/>
        <w:rPr>
          <w:rFonts w:ascii="宋体" w:hAnsi="宋体" w:cs="宋体"/>
          <w:sz w:val="22"/>
          <w:szCs w:val="22"/>
        </w:rPr>
      </w:pPr>
    </w:p>
    <w:p>
      <w:pPr>
        <w:pStyle w:val="9"/>
        <w:spacing w:line="500" w:lineRule="exact"/>
        <w:ind w:firstLine="2970" w:firstLineChars="1350"/>
        <w:rPr>
          <w:rFonts w:hAnsi="宋体" w:cs="宋体"/>
          <w:sz w:val="22"/>
          <w:szCs w:val="22"/>
          <w:u w:val="single"/>
        </w:rPr>
      </w:pPr>
      <w:r>
        <w:rPr>
          <w:rFonts w:hint="eastAsia" w:hAnsi="宋体" w:cs="宋体"/>
          <w:sz w:val="22"/>
          <w:szCs w:val="22"/>
        </w:rPr>
        <w:t>法定代表人</w:t>
      </w:r>
      <w:r>
        <w:rPr>
          <w:rFonts w:hint="eastAsia" w:hAnsi="宋体" w:cs="宋体"/>
          <w:sz w:val="22"/>
          <w:szCs w:val="22"/>
          <w:lang w:val="en-US" w:eastAsia="zh-CN"/>
        </w:rPr>
        <w:t>或</w:t>
      </w:r>
      <w:r>
        <w:rPr>
          <w:rFonts w:hint="eastAsia" w:hAnsi="宋体" w:cs="宋体"/>
          <w:sz w:val="22"/>
          <w:szCs w:val="22"/>
        </w:rPr>
        <w:t>法定代表人授权代表（签字）:</w:t>
      </w:r>
    </w:p>
    <w:p>
      <w:pPr>
        <w:pStyle w:val="9"/>
        <w:spacing w:line="500" w:lineRule="exact"/>
        <w:ind w:firstLine="2970" w:firstLineChars="1350"/>
        <w:rPr>
          <w:rFonts w:hAnsi="宋体" w:cs="宋体"/>
          <w:sz w:val="22"/>
          <w:szCs w:val="22"/>
          <w:u w:val="single"/>
        </w:rPr>
      </w:pPr>
    </w:p>
    <w:p>
      <w:pPr>
        <w:pStyle w:val="9"/>
        <w:spacing w:line="500" w:lineRule="exact"/>
        <w:ind w:firstLine="2970" w:firstLineChars="1350"/>
        <w:rPr>
          <w:rFonts w:hAnsi="宋体" w:cs="宋体"/>
          <w:sz w:val="22"/>
          <w:szCs w:val="22"/>
          <w:u w:val="single"/>
        </w:rPr>
      </w:pPr>
      <w:r>
        <w:rPr>
          <w:rFonts w:hint="eastAsia" w:hAnsi="宋体" w:cs="宋体"/>
          <w:sz w:val="22"/>
          <w:szCs w:val="22"/>
        </w:rPr>
        <w:t>谈判供应商名称（盖章）：</w:t>
      </w:r>
    </w:p>
    <w:p>
      <w:pPr>
        <w:pStyle w:val="9"/>
        <w:spacing w:line="500" w:lineRule="exact"/>
        <w:ind w:firstLine="2970" w:firstLineChars="1350"/>
        <w:rPr>
          <w:rFonts w:hAnsi="宋体" w:cs="宋体"/>
          <w:sz w:val="22"/>
          <w:szCs w:val="22"/>
          <w:u w:val="single"/>
        </w:rPr>
      </w:pPr>
    </w:p>
    <w:p>
      <w:pPr>
        <w:pStyle w:val="9"/>
        <w:spacing w:line="500" w:lineRule="exact"/>
        <w:ind w:firstLine="2970" w:firstLineChars="1350"/>
        <w:rPr>
          <w:rFonts w:hAnsi="宋体" w:cs="宋体"/>
          <w:sz w:val="22"/>
          <w:szCs w:val="22"/>
          <w:u w:val="single"/>
        </w:rPr>
      </w:pPr>
      <w:r>
        <w:rPr>
          <w:rFonts w:hint="eastAsia" w:hAnsi="宋体" w:cs="宋体"/>
          <w:sz w:val="22"/>
          <w:szCs w:val="22"/>
        </w:rPr>
        <w:t>报价时间：</w:t>
      </w:r>
      <w:r>
        <w:rPr>
          <w:rFonts w:hint="eastAsia" w:hAnsi="宋体" w:cs="宋体"/>
          <w:sz w:val="22"/>
          <w:szCs w:val="22"/>
          <w:lang w:val="en-US" w:eastAsia="zh-CN"/>
        </w:rPr>
        <w:t xml:space="preserve">    </w:t>
      </w:r>
      <w:r>
        <w:rPr>
          <w:rFonts w:hint="eastAsia" w:hAnsi="宋体" w:cs="宋体"/>
          <w:sz w:val="22"/>
          <w:szCs w:val="22"/>
        </w:rPr>
        <w:t>年</w:t>
      </w:r>
      <w:r>
        <w:rPr>
          <w:rFonts w:hint="eastAsia" w:hAnsi="宋体" w:cs="宋体"/>
          <w:sz w:val="22"/>
          <w:szCs w:val="22"/>
          <w:lang w:val="en-US" w:eastAsia="zh-CN"/>
        </w:rPr>
        <w:t xml:space="preserve"> </w:t>
      </w:r>
      <w:r>
        <w:rPr>
          <w:rFonts w:hint="eastAsia" w:hAnsi="宋体" w:cs="宋体"/>
          <w:sz w:val="22"/>
          <w:szCs w:val="22"/>
        </w:rPr>
        <w:t>月</w:t>
      </w:r>
      <w:r>
        <w:rPr>
          <w:rFonts w:hint="eastAsia" w:hAnsi="宋体" w:cs="宋体"/>
          <w:sz w:val="22"/>
          <w:szCs w:val="22"/>
          <w:lang w:val="en-US" w:eastAsia="zh-CN"/>
        </w:rPr>
        <w:t xml:space="preserve">  </w:t>
      </w:r>
      <w:r>
        <w:rPr>
          <w:rFonts w:hint="eastAsia" w:hAnsi="宋体" w:cs="宋体"/>
          <w:sz w:val="22"/>
          <w:szCs w:val="22"/>
        </w:rPr>
        <w:t xml:space="preserve">日 </w:t>
      </w: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spacing w:line="500" w:lineRule="exact"/>
        <w:rPr>
          <w:rFonts w:ascii="宋体" w:hAnsi="宋体" w:cs="宋体"/>
          <w:sz w:val="22"/>
          <w:szCs w:val="22"/>
        </w:rPr>
      </w:pPr>
      <w:r>
        <w:rPr>
          <w:rFonts w:hint="eastAsia" w:ascii="宋体" w:hAnsi="宋体" w:cs="宋体"/>
          <w:sz w:val="22"/>
          <w:szCs w:val="22"/>
        </w:rPr>
        <w:t>注：所有价格均用人民币表示，单位为元，精确到个位数。</w:t>
      </w: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adjustRightInd w:val="0"/>
        <w:snapToGrid w:val="0"/>
        <w:spacing w:line="300" w:lineRule="auto"/>
        <w:ind w:left="-88" w:leftChars="-42"/>
        <w:rPr>
          <w:rFonts w:ascii="宋体" w:hAnsi="宋体" w:cs="宋体"/>
          <w:sz w:val="22"/>
          <w:szCs w:val="22"/>
        </w:rPr>
      </w:pPr>
    </w:p>
    <w:p>
      <w:pPr>
        <w:numPr>
          <w:ilvl w:val="0"/>
          <w:numId w:val="5"/>
        </w:numPr>
        <w:spacing w:line="360" w:lineRule="auto"/>
        <w:jc w:val="center"/>
        <w:rPr>
          <w:rFonts w:ascii="宋体" w:hAnsi="宋体" w:cs="宋体"/>
          <w:b/>
          <w:sz w:val="22"/>
          <w:szCs w:val="22"/>
        </w:rPr>
        <w:sectPr>
          <w:pgSz w:w="11906" w:h="16838"/>
          <w:pgMar w:top="1134" w:right="1134" w:bottom="1134" w:left="1587" w:header="851" w:footer="992" w:gutter="0"/>
          <w:cols w:space="720" w:num="1"/>
          <w:docGrid w:type="lines" w:linePitch="312" w:charSpace="0"/>
        </w:sectPr>
      </w:pPr>
    </w:p>
    <w:p>
      <w:pPr>
        <w:adjustRightInd w:val="0"/>
        <w:snapToGrid w:val="0"/>
        <w:spacing w:line="300" w:lineRule="auto"/>
        <w:jc w:val="center"/>
        <w:rPr>
          <w:rFonts w:ascii="宋体" w:hAnsi="宋体" w:cs="宋体"/>
          <w:b/>
          <w:bCs/>
          <w:kern w:val="0"/>
          <w:sz w:val="28"/>
          <w:szCs w:val="28"/>
        </w:rPr>
      </w:pPr>
      <w:r>
        <w:rPr>
          <w:rFonts w:hint="eastAsia" w:ascii="宋体" w:hAnsi="宋体" w:cs="宋体"/>
          <w:b/>
          <w:bCs/>
          <w:kern w:val="0"/>
          <w:sz w:val="28"/>
          <w:szCs w:val="28"/>
        </w:rPr>
        <w:t>三、分 项 报 价 表</w:t>
      </w:r>
    </w:p>
    <w:p>
      <w:pPr>
        <w:spacing w:line="360" w:lineRule="auto"/>
        <w:ind w:left="180"/>
        <w:jc w:val="left"/>
        <w:rPr>
          <w:rFonts w:ascii="宋体" w:hAnsi="宋体" w:cs="宋体"/>
          <w:sz w:val="22"/>
          <w:szCs w:val="22"/>
        </w:rPr>
      </w:pPr>
      <w:r>
        <w:rPr>
          <w:rFonts w:hint="eastAsia" w:ascii="宋体" w:hAnsi="宋体" w:cs="宋体"/>
          <w:sz w:val="22"/>
          <w:szCs w:val="22"/>
        </w:rPr>
        <w:t>项目名称：</w:t>
      </w:r>
    </w:p>
    <w:p>
      <w:pPr>
        <w:adjustRightInd w:val="0"/>
        <w:snapToGrid w:val="0"/>
        <w:spacing w:line="300" w:lineRule="auto"/>
        <w:ind w:firstLine="220" w:firstLineChars="100"/>
        <w:rPr>
          <w:rFonts w:ascii="宋体" w:hAnsi="宋体" w:cs="宋体"/>
          <w:b/>
          <w:sz w:val="22"/>
          <w:szCs w:val="22"/>
        </w:rPr>
      </w:pPr>
      <w:r>
        <w:rPr>
          <w:rFonts w:hint="eastAsia" w:ascii="宋体" w:hAnsi="宋体" w:cs="宋体"/>
          <w:sz w:val="22"/>
          <w:szCs w:val="22"/>
        </w:rPr>
        <w:t>项目编号：</w:t>
      </w:r>
    </w:p>
    <w:p>
      <w:pPr>
        <w:adjustRightInd w:val="0"/>
        <w:snapToGrid w:val="0"/>
        <w:spacing w:line="300" w:lineRule="auto"/>
        <w:ind w:left="-88" w:leftChars="-42"/>
        <w:jc w:val="center"/>
        <w:rPr>
          <w:rFonts w:ascii="宋体" w:hAnsi="宋体" w:cs="宋体"/>
          <w:sz w:val="22"/>
          <w:szCs w:val="22"/>
        </w:rPr>
      </w:pPr>
    </w:p>
    <w:tbl>
      <w:tblPr>
        <w:tblStyle w:val="16"/>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4"/>
        <w:gridCol w:w="1093"/>
        <w:gridCol w:w="2055"/>
        <w:gridCol w:w="1200"/>
        <w:gridCol w:w="1312"/>
        <w:gridCol w:w="840"/>
        <w:gridCol w:w="973"/>
        <w:gridCol w:w="787"/>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1074"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序号</w:t>
            </w:r>
          </w:p>
        </w:tc>
        <w:tc>
          <w:tcPr>
            <w:tcW w:w="1093" w:type="dxa"/>
            <w:noWrap/>
            <w:vAlign w:val="center"/>
          </w:tcPr>
          <w:p>
            <w:pPr>
              <w:widowControl/>
              <w:jc w:val="center"/>
              <w:textAlignment w:val="center"/>
              <w:rPr>
                <w:rFonts w:ascii="宋体" w:hAnsi="宋体" w:cs="宋体"/>
                <w:b/>
                <w:sz w:val="22"/>
                <w:szCs w:val="22"/>
              </w:rPr>
            </w:pPr>
            <w:r>
              <w:rPr>
                <w:rFonts w:hint="eastAsia" w:ascii="宋体" w:hAnsi="宋体" w:cs="宋体"/>
                <w:b/>
                <w:sz w:val="22"/>
                <w:szCs w:val="22"/>
                <w:lang w:val="en-US" w:eastAsia="zh-CN"/>
              </w:rPr>
              <w:t>设备名称</w:t>
            </w:r>
          </w:p>
        </w:tc>
        <w:tc>
          <w:tcPr>
            <w:tcW w:w="2055"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品牌、</w:t>
            </w:r>
            <w:r>
              <w:rPr>
                <w:rFonts w:hint="eastAsia" w:ascii="宋体" w:hAnsi="宋体" w:cs="宋体"/>
                <w:b/>
                <w:kern w:val="0"/>
                <w:sz w:val="22"/>
                <w:szCs w:val="22"/>
                <w:lang w:val="en-US" w:eastAsia="zh-CN"/>
              </w:rPr>
              <w:t>型号、</w:t>
            </w:r>
            <w:r>
              <w:rPr>
                <w:rFonts w:hint="eastAsia" w:ascii="宋体" w:hAnsi="宋体" w:cs="宋体"/>
                <w:b/>
                <w:kern w:val="0"/>
                <w:sz w:val="22"/>
                <w:szCs w:val="22"/>
              </w:rPr>
              <w:t>产地</w:t>
            </w:r>
          </w:p>
        </w:tc>
        <w:tc>
          <w:tcPr>
            <w:tcW w:w="1200" w:type="dxa"/>
            <w:noWrap/>
            <w:vAlign w:val="center"/>
          </w:tcPr>
          <w:p>
            <w:pPr>
              <w:widowControl/>
              <w:jc w:val="center"/>
              <w:textAlignment w:val="center"/>
              <w:rPr>
                <w:rFonts w:ascii="宋体" w:hAnsi="宋体" w:cs="宋体"/>
                <w:b/>
                <w:sz w:val="22"/>
                <w:szCs w:val="22"/>
              </w:rPr>
            </w:pPr>
            <w:r>
              <w:rPr>
                <w:rFonts w:hint="eastAsia" w:asciiTheme="minorEastAsia" w:hAnsiTheme="minorEastAsia" w:eastAsiaTheme="minorEastAsia" w:cstheme="minorEastAsia"/>
                <w:b/>
                <w:i w:val="0"/>
                <w:color w:val="000000"/>
                <w:kern w:val="0"/>
                <w:sz w:val="21"/>
                <w:szCs w:val="21"/>
                <w:u w:val="none"/>
                <w:lang w:val="en-US" w:eastAsia="zh-CN" w:bidi="ar"/>
              </w:rPr>
              <w:t>技术参数、性能要求</w:t>
            </w:r>
          </w:p>
        </w:tc>
        <w:tc>
          <w:tcPr>
            <w:tcW w:w="1312"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单位</w:t>
            </w:r>
          </w:p>
        </w:tc>
        <w:tc>
          <w:tcPr>
            <w:tcW w:w="840"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数量</w:t>
            </w:r>
          </w:p>
        </w:tc>
        <w:tc>
          <w:tcPr>
            <w:tcW w:w="973"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单价  （元）</w:t>
            </w:r>
          </w:p>
        </w:tc>
        <w:tc>
          <w:tcPr>
            <w:tcW w:w="787"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总价      （元）</w:t>
            </w:r>
          </w:p>
        </w:tc>
        <w:tc>
          <w:tcPr>
            <w:tcW w:w="587"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1</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2</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3</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sz w:val="22"/>
                <w:szCs w:val="22"/>
              </w:rPr>
              <w:t>N</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21" w:type="dxa"/>
            <w:gridSpan w:val="9"/>
            <w:noWrap/>
            <w:vAlign w:val="center"/>
          </w:tcPr>
          <w:p>
            <w:pPr>
              <w:pStyle w:val="9"/>
              <w:rPr>
                <w:rFonts w:hAnsi="宋体" w:cs="宋体"/>
                <w:b/>
                <w:sz w:val="22"/>
                <w:szCs w:val="22"/>
              </w:rPr>
            </w:pPr>
            <w:r>
              <w:rPr>
                <w:rFonts w:hint="eastAsia" w:hAnsi="宋体" w:cs="宋体"/>
                <w:spacing w:val="-6"/>
                <w:sz w:val="22"/>
                <w:szCs w:val="22"/>
              </w:rPr>
              <w:t>竞标总报价（大写）：             （</w:t>
            </w:r>
            <w:r>
              <w:rPr>
                <w:rFonts w:hint="eastAsia" w:hAnsi="宋体" w:cs="宋体"/>
                <w:spacing w:val="-6"/>
                <w:sz w:val="22"/>
                <w:szCs w:val="22"/>
                <w:lang w:val="en-US" w:eastAsia="zh-CN"/>
              </w:rPr>
              <w:t>¥</w:t>
            </w:r>
            <w:r>
              <w:rPr>
                <w:rFonts w:hint="eastAsia" w:hAnsi="宋体" w:cs="宋体"/>
                <w:spacing w:val="-6"/>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21" w:type="dxa"/>
            <w:gridSpan w:val="9"/>
            <w:noWrap/>
            <w:vAlign w:val="center"/>
          </w:tcPr>
          <w:p>
            <w:pPr>
              <w:widowControl/>
              <w:jc w:val="left"/>
              <w:textAlignment w:val="center"/>
              <w:rPr>
                <w:rFonts w:ascii="宋体" w:hAnsi="宋体" w:cs="宋体"/>
                <w:b/>
                <w:kern w:val="0"/>
                <w:sz w:val="22"/>
                <w:szCs w:val="22"/>
              </w:rPr>
            </w:pPr>
            <w:r>
              <w:rPr>
                <w:rFonts w:hint="eastAsia" w:ascii="宋体" w:hAnsi="宋体" w:cs="宋体"/>
                <w:spacing w:val="-6"/>
                <w:sz w:val="22"/>
                <w:szCs w:val="22"/>
              </w:rPr>
              <w:t>交付使用期：</w:t>
            </w:r>
          </w:p>
        </w:tc>
      </w:tr>
    </w:tbl>
    <w:p>
      <w:pPr>
        <w:pStyle w:val="9"/>
        <w:rPr>
          <w:rFonts w:hAnsi="宋体" w:cs="宋体"/>
          <w:sz w:val="22"/>
          <w:szCs w:val="22"/>
        </w:rPr>
      </w:pPr>
    </w:p>
    <w:p>
      <w:pPr>
        <w:pStyle w:val="9"/>
        <w:rPr>
          <w:rFonts w:hAnsi="宋体" w:cs="宋体"/>
          <w:sz w:val="22"/>
          <w:szCs w:val="22"/>
        </w:rPr>
      </w:pPr>
    </w:p>
    <w:p>
      <w:pPr>
        <w:pStyle w:val="9"/>
        <w:rPr>
          <w:rFonts w:hAnsi="宋体" w:cs="宋体"/>
          <w:sz w:val="22"/>
          <w:szCs w:val="22"/>
        </w:rPr>
      </w:pPr>
    </w:p>
    <w:p>
      <w:pPr>
        <w:adjustRightInd w:val="0"/>
        <w:snapToGrid w:val="0"/>
        <w:spacing w:line="300" w:lineRule="auto"/>
        <w:ind w:left="-88" w:leftChars="-42" w:firstLine="140"/>
        <w:rPr>
          <w:rFonts w:ascii="宋体" w:hAnsi="宋体" w:cs="宋体"/>
          <w:sz w:val="22"/>
          <w:szCs w:val="22"/>
        </w:rPr>
      </w:pPr>
    </w:p>
    <w:p>
      <w:pPr>
        <w:adjustRightInd w:val="0"/>
        <w:snapToGrid w:val="0"/>
        <w:spacing w:line="300" w:lineRule="auto"/>
        <w:ind w:left="-88" w:leftChars="-42" w:firstLine="140"/>
        <w:rPr>
          <w:rFonts w:ascii="宋体" w:hAnsi="宋体" w:cs="宋体"/>
          <w:sz w:val="22"/>
          <w:szCs w:val="22"/>
        </w:rPr>
      </w:pPr>
      <w:r>
        <w:rPr>
          <w:rFonts w:hint="eastAsia" w:ascii="宋体" w:hAnsi="宋体" w:cs="宋体"/>
          <w:sz w:val="22"/>
          <w:szCs w:val="22"/>
        </w:rPr>
        <w:t>说明：</w:t>
      </w:r>
    </w:p>
    <w:p>
      <w:pPr>
        <w:adjustRightInd w:val="0"/>
        <w:snapToGrid w:val="0"/>
        <w:spacing w:line="300" w:lineRule="auto"/>
        <w:ind w:left="-88" w:leftChars="-42" w:firstLine="140"/>
        <w:rPr>
          <w:rFonts w:ascii="宋体" w:hAnsi="宋体" w:cs="宋体"/>
          <w:sz w:val="22"/>
          <w:szCs w:val="22"/>
        </w:rPr>
      </w:pPr>
      <w:r>
        <w:rPr>
          <w:rFonts w:hint="eastAsia" w:ascii="宋体" w:hAnsi="宋体" w:cs="宋体"/>
          <w:sz w:val="22"/>
          <w:szCs w:val="22"/>
        </w:rPr>
        <w:t>1、分项报价总计价格必须与报价表一致。</w:t>
      </w:r>
    </w:p>
    <w:p>
      <w:pPr>
        <w:adjustRightInd w:val="0"/>
        <w:snapToGrid w:val="0"/>
        <w:spacing w:line="300" w:lineRule="auto"/>
        <w:rPr>
          <w:rFonts w:ascii="宋体" w:hAnsi="宋体" w:cs="宋体"/>
          <w:sz w:val="22"/>
          <w:szCs w:val="22"/>
        </w:rPr>
      </w:pPr>
      <w:r>
        <w:rPr>
          <w:rFonts w:hint="eastAsia" w:ascii="宋体" w:hAnsi="宋体" w:cs="宋体"/>
          <w:sz w:val="22"/>
          <w:szCs w:val="22"/>
        </w:rPr>
        <w:t>2、必须按此表标准格式详细填写，填写不详细或内容不清的，将作无效竞标处理。</w:t>
      </w:r>
    </w:p>
    <w:p>
      <w:pPr>
        <w:pStyle w:val="2"/>
        <w:rPr>
          <w:sz w:val="22"/>
          <w:szCs w:val="22"/>
          <w:lang w:val="en-US" w:bidi="ar-SA"/>
        </w:rPr>
      </w:pPr>
      <w:r>
        <w:rPr>
          <w:rFonts w:hint="eastAsia"/>
          <w:sz w:val="22"/>
          <w:szCs w:val="22"/>
          <w:lang w:val="en-US" w:bidi="ar-SA"/>
        </w:rPr>
        <w:t>3、当本表由多页构成时，应逐页签字及盖章，无签字盖公章的竞标无效。</w:t>
      </w:r>
    </w:p>
    <w:p>
      <w:pPr>
        <w:adjustRightInd w:val="0"/>
        <w:snapToGrid w:val="0"/>
        <w:spacing w:line="300" w:lineRule="auto"/>
        <w:ind w:right="540"/>
        <w:rPr>
          <w:rFonts w:ascii="宋体" w:hAnsi="宋体" w:cs="宋体"/>
          <w:sz w:val="22"/>
          <w:szCs w:val="22"/>
        </w:rPr>
      </w:pPr>
    </w:p>
    <w:p>
      <w:pPr>
        <w:adjustRightInd w:val="0"/>
        <w:snapToGrid w:val="0"/>
        <w:spacing w:line="300" w:lineRule="auto"/>
        <w:ind w:right="540" w:firstLine="3410" w:firstLineChars="1550"/>
        <w:rPr>
          <w:rFonts w:ascii="宋体" w:hAnsi="宋体" w:cs="宋体"/>
          <w:sz w:val="22"/>
          <w:szCs w:val="22"/>
          <w:u w:val="single"/>
        </w:rPr>
      </w:pPr>
      <w:r>
        <w:rPr>
          <w:rFonts w:hint="eastAsia" w:ascii="宋体" w:hAnsi="宋体" w:cs="宋体"/>
          <w:sz w:val="22"/>
          <w:szCs w:val="22"/>
        </w:rPr>
        <w:t>谈判供应商名称（盖章）：</w:t>
      </w:r>
    </w:p>
    <w:p>
      <w:pPr>
        <w:adjustRightInd w:val="0"/>
        <w:snapToGrid w:val="0"/>
        <w:spacing w:line="360" w:lineRule="auto"/>
        <w:ind w:right="540" w:firstLine="3410" w:firstLineChars="1550"/>
        <w:rPr>
          <w:rFonts w:ascii="宋体" w:hAnsi="宋体" w:cs="宋体"/>
          <w:sz w:val="22"/>
          <w:szCs w:val="22"/>
          <w:u w:val="single"/>
        </w:rPr>
      </w:pPr>
      <w:r>
        <w:rPr>
          <w:rFonts w:hint="eastAsia" w:ascii="宋体" w:hAnsi="宋体" w:cs="宋体"/>
          <w:sz w:val="22"/>
          <w:szCs w:val="22"/>
        </w:rPr>
        <w:t>法定代表人</w:t>
      </w:r>
      <w:r>
        <w:rPr>
          <w:rFonts w:hint="eastAsia" w:ascii="宋体" w:hAnsi="宋体" w:cs="宋体"/>
          <w:sz w:val="22"/>
          <w:szCs w:val="22"/>
          <w:lang w:val="en-US" w:eastAsia="zh-CN"/>
        </w:rPr>
        <w:t>或</w:t>
      </w:r>
      <w:r>
        <w:rPr>
          <w:rFonts w:hint="eastAsia" w:ascii="宋体" w:hAnsi="宋体" w:cs="宋体"/>
          <w:sz w:val="22"/>
          <w:szCs w:val="22"/>
        </w:rPr>
        <w:t>法定代表人授权代表签字：</w:t>
      </w:r>
    </w:p>
    <w:p>
      <w:pPr>
        <w:adjustRightInd w:val="0"/>
        <w:snapToGrid w:val="0"/>
        <w:spacing w:line="360" w:lineRule="auto"/>
        <w:ind w:right="420" w:firstLine="5500" w:firstLineChars="2500"/>
        <w:rPr>
          <w:rFonts w:ascii="宋体" w:hAnsi="宋体" w:cs="宋体"/>
          <w:sz w:val="22"/>
          <w:szCs w:val="22"/>
          <w:u w:val="single"/>
        </w:rPr>
      </w:pPr>
      <w:r>
        <w:rPr>
          <w:rFonts w:hint="eastAsia" w:ascii="宋体" w:hAnsi="宋体" w:cs="宋体"/>
          <w:sz w:val="22"/>
          <w:szCs w:val="22"/>
        </w:rPr>
        <w:t xml:space="preserve"> 日期：</w:t>
      </w:r>
      <w:r>
        <w:rPr>
          <w:rFonts w:hint="eastAsia" w:ascii="宋体" w:hAnsi="宋体" w:cs="宋体"/>
          <w:sz w:val="22"/>
          <w:szCs w:val="22"/>
          <w:lang w:val="en-US" w:eastAsia="zh-CN"/>
        </w:rPr>
        <w:t xml:space="preserve">  </w:t>
      </w:r>
      <w:r>
        <w:rPr>
          <w:rFonts w:hint="eastAsia" w:ascii="宋体" w:hAnsi="宋体" w:cs="宋体"/>
          <w:sz w:val="22"/>
          <w:szCs w:val="22"/>
        </w:rPr>
        <w:t>年</w:t>
      </w:r>
      <w:r>
        <w:rPr>
          <w:rFonts w:hint="eastAsia" w:ascii="宋体" w:hAnsi="宋体" w:cs="宋体"/>
          <w:sz w:val="22"/>
          <w:szCs w:val="22"/>
          <w:lang w:val="en-US" w:eastAsia="zh-CN"/>
        </w:rPr>
        <w:t xml:space="preserve">   </w:t>
      </w:r>
      <w:r>
        <w:rPr>
          <w:rFonts w:hint="eastAsia" w:ascii="宋体" w:hAnsi="宋体" w:cs="宋体"/>
          <w:sz w:val="22"/>
          <w:szCs w:val="22"/>
        </w:rPr>
        <w:t>月</w:t>
      </w:r>
      <w:r>
        <w:rPr>
          <w:rFonts w:hint="eastAsia" w:ascii="宋体" w:hAnsi="宋体" w:cs="宋体"/>
          <w:sz w:val="22"/>
          <w:szCs w:val="22"/>
          <w:lang w:val="en-US" w:eastAsia="zh-CN"/>
        </w:rPr>
        <w:t xml:space="preserve">   </w:t>
      </w:r>
      <w:r>
        <w:rPr>
          <w:rFonts w:hint="eastAsia" w:ascii="宋体" w:hAnsi="宋体" w:cs="宋体"/>
          <w:sz w:val="22"/>
          <w:szCs w:val="22"/>
        </w:rPr>
        <w:t xml:space="preserve">日 </w:t>
      </w:r>
    </w:p>
    <w:p>
      <w:pPr>
        <w:spacing w:line="300" w:lineRule="auto"/>
        <w:rPr>
          <w:rFonts w:ascii="宋体" w:hAnsi="宋体" w:cs="宋体"/>
          <w:sz w:val="22"/>
          <w:szCs w:val="22"/>
        </w:rPr>
      </w:pPr>
    </w:p>
    <w:p>
      <w:pPr>
        <w:spacing w:line="300" w:lineRule="auto"/>
        <w:rPr>
          <w:rFonts w:ascii="宋体" w:hAnsi="宋体" w:cs="宋体"/>
          <w:b/>
          <w:sz w:val="22"/>
          <w:szCs w:val="22"/>
        </w:rPr>
      </w:pPr>
      <w:r>
        <w:rPr>
          <w:rFonts w:hint="eastAsia" w:ascii="宋体" w:hAnsi="宋体" w:cs="宋体"/>
          <w:sz w:val="22"/>
          <w:szCs w:val="22"/>
        </w:rPr>
        <w:br w:type="page"/>
      </w:r>
    </w:p>
    <w:p>
      <w:pPr>
        <w:spacing w:line="300" w:lineRule="auto"/>
        <w:jc w:val="center"/>
        <w:rPr>
          <w:rFonts w:ascii="宋体" w:hAnsi="宋体" w:cs="宋体"/>
          <w:b/>
          <w:sz w:val="22"/>
          <w:szCs w:val="22"/>
        </w:rPr>
      </w:pPr>
    </w:p>
    <w:p>
      <w:pPr>
        <w:adjustRightInd w:val="0"/>
        <w:snapToGrid w:val="0"/>
        <w:spacing w:line="300" w:lineRule="auto"/>
        <w:jc w:val="center"/>
        <w:rPr>
          <w:rFonts w:ascii="宋体" w:hAnsi="宋体" w:cs="宋体"/>
          <w:b/>
          <w:bCs/>
          <w:kern w:val="0"/>
          <w:sz w:val="28"/>
          <w:szCs w:val="28"/>
        </w:rPr>
      </w:pPr>
      <w:r>
        <w:rPr>
          <w:rFonts w:hint="eastAsia" w:ascii="宋体" w:hAnsi="宋体" w:cs="宋体"/>
          <w:b/>
          <w:bCs/>
          <w:kern w:val="0"/>
          <w:sz w:val="28"/>
          <w:szCs w:val="28"/>
        </w:rPr>
        <w:t>四、技术响应、偏离情况说明表</w:t>
      </w:r>
    </w:p>
    <w:p>
      <w:pPr>
        <w:spacing w:line="300" w:lineRule="auto"/>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项目名称：</w:t>
      </w:r>
    </w:p>
    <w:p>
      <w:pPr>
        <w:spacing w:line="300" w:lineRule="auto"/>
        <w:rPr>
          <w:rFonts w:ascii="宋体" w:hAnsi="宋体" w:cs="宋体"/>
          <w:sz w:val="22"/>
          <w:szCs w:val="22"/>
        </w:rPr>
      </w:pPr>
      <w:r>
        <w:rPr>
          <w:rFonts w:hint="eastAsia" w:ascii="宋体" w:hAnsi="宋体" w:cs="宋体"/>
          <w:sz w:val="22"/>
          <w:szCs w:val="22"/>
        </w:rPr>
        <w:t>项目编号：</w:t>
      </w:r>
    </w:p>
    <w:p>
      <w:pPr>
        <w:spacing w:line="300" w:lineRule="auto"/>
        <w:rPr>
          <w:rFonts w:ascii="宋体" w:hAnsi="宋体" w:cs="宋体"/>
          <w:sz w:val="22"/>
          <w:szCs w:val="22"/>
        </w:rPr>
      </w:pPr>
    </w:p>
    <w:tbl>
      <w:tblPr>
        <w:tblStyle w:val="16"/>
        <w:tblW w:w="939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305"/>
        <w:gridCol w:w="2775"/>
        <w:gridCol w:w="2549"/>
        <w:gridCol w:w="1275"/>
        <w:gridCol w:w="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88" w:type="dxa"/>
            <w:tcBorders>
              <w:top w:val="single" w:color="auto" w:sz="4" w:space="0"/>
              <w:left w:val="single" w:color="auto" w:sz="4"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30" w:name="_Toc514061673"/>
            <w:bookmarkStart w:id="31" w:name="_Toc514061717"/>
            <w:bookmarkStart w:id="32" w:name="_Toc13212"/>
            <w:r>
              <w:rPr>
                <w:rFonts w:hint="eastAsia" w:ascii="宋体" w:hAnsi="宋体" w:cs="宋体"/>
                <w:sz w:val="22"/>
                <w:szCs w:val="22"/>
              </w:rPr>
              <w:t>序号</w:t>
            </w:r>
            <w:bookmarkEnd w:id="30"/>
            <w:bookmarkEnd w:id="31"/>
            <w:bookmarkEnd w:id="32"/>
          </w:p>
        </w:tc>
        <w:tc>
          <w:tcPr>
            <w:tcW w:w="1305" w:type="dxa"/>
            <w:tcBorders>
              <w:top w:val="single" w:color="auto" w:sz="4"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33" w:name="_Toc514061718"/>
            <w:bookmarkStart w:id="34" w:name="_Toc18591"/>
            <w:bookmarkStart w:id="35" w:name="_Toc514061674"/>
            <w:r>
              <w:rPr>
                <w:rFonts w:hint="eastAsia" w:ascii="宋体" w:hAnsi="宋体" w:cs="宋体"/>
                <w:sz w:val="22"/>
                <w:szCs w:val="22"/>
                <w:lang w:val="en-US" w:eastAsia="zh-CN"/>
              </w:rPr>
              <w:t>设备名称</w:t>
            </w:r>
          </w:p>
        </w:tc>
        <w:tc>
          <w:tcPr>
            <w:tcW w:w="2775" w:type="dxa"/>
            <w:tcBorders>
              <w:top w:val="single" w:color="auto" w:sz="4"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r>
              <w:rPr>
                <w:rFonts w:hint="eastAsia" w:ascii="宋体" w:hAnsi="宋体" w:cs="宋体"/>
                <w:sz w:val="22"/>
                <w:szCs w:val="22"/>
              </w:rPr>
              <w:t>竞争性谈判采购文件要求</w:t>
            </w:r>
            <w:bookmarkEnd w:id="33"/>
            <w:bookmarkEnd w:id="34"/>
            <w:bookmarkEnd w:id="35"/>
          </w:p>
        </w:tc>
        <w:tc>
          <w:tcPr>
            <w:tcW w:w="2549" w:type="dxa"/>
            <w:tcBorders>
              <w:top w:val="single" w:color="auto" w:sz="4"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36" w:name="_Toc514061719"/>
            <w:bookmarkStart w:id="37" w:name="_Toc514061675"/>
            <w:bookmarkStart w:id="38" w:name="_Toc25902"/>
            <w:r>
              <w:rPr>
                <w:rFonts w:hint="eastAsia" w:ascii="宋体" w:hAnsi="宋体" w:cs="宋体"/>
                <w:sz w:val="22"/>
                <w:szCs w:val="22"/>
              </w:rPr>
              <w:t>谈判响应文件具体响应</w:t>
            </w:r>
            <w:bookmarkEnd w:id="36"/>
            <w:bookmarkEnd w:id="37"/>
            <w:bookmarkEnd w:id="38"/>
          </w:p>
        </w:tc>
        <w:tc>
          <w:tcPr>
            <w:tcW w:w="1275" w:type="dxa"/>
            <w:tcBorders>
              <w:top w:val="single" w:color="auto" w:sz="4"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39" w:name="_Toc514061676"/>
            <w:bookmarkStart w:id="40" w:name="_Toc514061720"/>
            <w:bookmarkStart w:id="41" w:name="_Toc15721"/>
            <w:r>
              <w:rPr>
                <w:rFonts w:hint="eastAsia" w:ascii="宋体" w:hAnsi="宋体" w:cs="宋体"/>
                <w:sz w:val="22"/>
                <w:szCs w:val="22"/>
              </w:rPr>
              <w:t>响应/偏离</w:t>
            </w:r>
            <w:bookmarkEnd w:id="39"/>
            <w:bookmarkEnd w:id="40"/>
            <w:bookmarkEnd w:id="41"/>
          </w:p>
        </w:tc>
        <w:tc>
          <w:tcPr>
            <w:tcW w:w="701" w:type="dxa"/>
            <w:tcBorders>
              <w:top w:val="single" w:color="auto" w:sz="4" w:space="0"/>
              <w:left w:val="single" w:color="auto" w:sz="6" w:space="0"/>
              <w:bottom w:val="single" w:color="auto" w:sz="6"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bookmarkStart w:id="42" w:name="_Toc514061721"/>
            <w:bookmarkStart w:id="43" w:name="_Toc514061677"/>
            <w:bookmarkStart w:id="44" w:name="_Toc10483"/>
            <w:r>
              <w:rPr>
                <w:rFonts w:hint="eastAsia" w:ascii="宋体" w:hAnsi="宋体" w:cs="宋体"/>
                <w:sz w:val="22"/>
                <w:szCs w:val="22"/>
              </w:rPr>
              <w:t>说明</w:t>
            </w:r>
            <w:bookmarkEnd w:id="42"/>
            <w:bookmarkEnd w:id="43"/>
            <w:bookmarkEnd w:id="4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788"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45" w:name="_Toc514061678"/>
            <w:bookmarkStart w:id="46" w:name="_Toc514061722"/>
            <w:bookmarkStart w:id="47" w:name="_Toc20435"/>
            <w:r>
              <w:rPr>
                <w:rFonts w:hint="eastAsia" w:ascii="宋体" w:hAnsi="宋体" w:cs="宋体"/>
                <w:sz w:val="22"/>
                <w:szCs w:val="22"/>
              </w:rPr>
              <w:t>1</w:t>
            </w:r>
            <w:bookmarkEnd w:id="45"/>
            <w:bookmarkEnd w:id="46"/>
            <w:bookmarkEnd w:id="47"/>
          </w:p>
        </w:tc>
        <w:tc>
          <w:tcPr>
            <w:tcW w:w="13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7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54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12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701"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88"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48" w:name="_Toc3118"/>
            <w:bookmarkStart w:id="49" w:name="_Toc514061723"/>
            <w:bookmarkStart w:id="50" w:name="_Toc514061679"/>
            <w:r>
              <w:rPr>
                <w:rFonts w:hint="eastAsia" w:ascii="宋体" w:hAnsi="宋体" w:cs="宋体"/>
                <w:sz w:val="22"/>
                <w:szCs w:val="22"/>
              </w:rPr>
              <w:t>2</w:t>
            </w:r>
            <w:bookmarkEnd w:id="48"/>
            <w:bookmarkEnd w:id="49"/>
            <w:bookmarkEnd w:id="50"/>
          </w:p>
        </w:tc>
        <w:tc>
          <w:tcPr>
            <w:tcW w:w="13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7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54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12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701"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88"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51" w:name="_Toc514061724"/>
            <w:bookmarkStart w:id="52" w:name="_Toc514061680"/>
            <w:bookmarkStart w:id="53" w:name="_Toc15326"/>
            <w:r>
              <w:rPr>
                <w:rFonts w:hint="eastAsia" w:ascii="宋体" w:hAnsi="宋体" w:cs="宋体"/>
                <w:sz w:val="22"/>
                <w:szCs w:val="22"/>
              </w:rPr>
              <w:t>3</w:t>
            </w:r>
            <w:bookmarkEnd w:id="51"/>
            <w:bookmarkEnd w:id="52"/>
            <w:bookmarkEnd w:id="53"/>
          </w:p>
        </w:tc>
        <w:tc>
          <w:tcPr>
            <w:tcW w:w="13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7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54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12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701"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88"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54" w:name="_Toc514061681"/>
            <w:bookmarkStart w:id="55" w:name="_Toc22392"/>
            <w:bookmarkStart w:id="56" w:name="_Toc514061725"/>
            <w:r>
              <w:rPr>
                <w:rFonts w:hint="eastAsia" w:ascii="宋体" w:hAnsi="宋体" w:cs="宋体"/>
                <w:sz w:val="22"/>
                <w:szCs w:val="22"/>
              </w:rPr>
              <w:t>4</w:t>
            </w:r>
            <w:bookmarkEnd w:id="54"/>
            <w:bookmarkEnd w:id="55"/>
            <w:bookmarkEnd w:id="56"/>
          </w:p>
        </w:tc>
        <w:tc>
          <w:tcPr>
            <w:tcW w:w="13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7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54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12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701"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88"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57" w:name="_Toc14809"/>
            <w:bookmarkStart w:id="58" w:name="_Toc514061682"/>
            <w:bookmarkStart w:id="59" w:name="_Toc514061726"/>
            <w:r>
              <w:rPr>
                <w:rFonts w:hint="eastAsia" w:ascii="宋体" w:hAnsi="宋体" w:cs="宋体"/>
                <w:sz w:val="22"/>
                <w:szCs w:val="22"/>
              </w:rPr>
              <w:t>5</w:t>
            </w:r>
            <w:bookmarkEnd w:id="57"/>
            <w:bookmarkEnd w:id="58"/>
            <w:bookmarkEnd w:id="59"/>
          </w:p>
        </w:tc>
        <w:tc>
          <w:tcPr>
            <w:tcW w:w="13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7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54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127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701"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788" w:type="dxa"/>
            <w:tcBorders>
              <w:top w:val="single" w:color="auto" w:sz="6" w:space="0"/>
              <w:left w:val="single" w:color="auto" w:sz="4" w:space="0"/>
              <w:bottom w:val="single" w:color="auto" w:sz="4"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bookmarkStart w:id="60" w:name="_Toc514061683"/>
            <w:bookmarkStart w:id="61" w:name="_Toc5021"/>
            <w:bookmarkStart w:id="62" w:name="_Toc514061727"/>
            <w:r>
              <w:rPr>
                <w:rFonts w:hint="eastAsia" w:ascii="宋体" w:hAnsi="宋体" w:cs="宋体"/>
                <w:sz w:val="22"/>
                <w:szCs w:val="22"/>
              </w:rPr>
              <w:t>…</w:t>
            </w:r>
            <w:bookmarkEnd w:id="60"/>
            <w:bookmarkEnd w:id="61"/>
            <w:bookmarkEnd w:id="62"/>
          </w:p>
        </w:tc>
        <w:tc>
          <w:tcPr>
            <w:tcW w:w="1305" w:type="dxa"/>
            <w:tcBorders>
              <w:top w:val="single" w:color="auto" w:sz="6" w:space="0"/>
              <w:left w:val="single" w:color="auto" w:sz="6" w:space="0"/>
              <w:bottom w:val="single" w:color="auto" w:sz="4"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775" w:type="dxa"/>
            <w:tcBorders>
              <w:top w:val="single" w:color="auto" w:sz="6" w:space="0"/>
              <w:left w:val="single" w:color="auto" w:sz="6" w:space="0"/>
              <w:bottom w:val="single" w:color="auto" w:sz="4"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2549" w:type="dxa"/>
            <w:tcBorders>
              <w:top w:val="single" w:color="auto" w:sz="6" w:space="0"/>
              <w:left w:val="single" w:color="auto" w:sz="6" w:space="0"/>
              <w:bottom w:val="single" w:color="auto" w:sz="4" w:space="0"/>
              <w:right w:val="single" w:color="auto" w:sz="6" w:space="0"/>
            </w:tcBorders>
            <w:noWrap/>
            <w:vAlign w:val="center"/>
          </w:tcPr>
          <w:p>
            <w:pPr>
              <w:adjustRightInd w:val="0"/>
              <w:snapToGrid w:val="0"/>
              <w:spacing w:line="300" w:lineRule="auto"/>
              <w:jc w:val="center"/>
              <w:outlineLvl w:val="0"/>
              <w:rPr>
                <w:rFonts w:ascii="宋体" w:hAnsi="宋体" w:cs="宋体"/>
                <w:sz w:val="22"/>
                <w:szCs w:val="22"/>
              </w:rPr>
            </w:pPr>
          </w:p>
        </w:tc>
        <w:tc>
          <w:tcPr>
            <w:tcW w:w="1275" w:type="dxa"/>
            <w:tcBorders>
              <w:top w:val="single" w:color="auto" w:sz="6" w:space="0"/>
              <w:left w:val="single" w:color="auto" w:sz="6" w:space="0"/>
              <w:bottom w:val="single" w:color="auto" w:sz="4"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c>
          <w:tcPr>
            <w:tcW w:w="701" w:type="dxa"/>
            <w:tcBorders>
              <w:top w:val="single" w:color="auto" w:sz="6" w:space="0"/>
              <w:left w:val="single" w:color="auto" w:sz="4" w:space="0"/>
              <w:bottom w:val="single" w:color="auto" w:sz="4" w:space="0"/>
              <w:right w:val="single" w:color="auto" w:sz="4" w:space="0"/>
            </w:tcBorders>
            <w:noWrap/>
            <w:vAlign w:val="center"/>
          </w:tcPr>
          <w:p>
            <w:pPr>
              <w:adjustRightInd w:val="0"/>
              <w:snapToGrid w:val="0"/>
              <w:spacing w:line="300" w:lineRule="auto"/>
              <w:jc w:val="center"/>
              <w:outlineLvl w:val="0"/>
              <w:rPr>
                <w:rFonts w:ascii="宋体" w:hAnsi="宋体" w:cs="宋体"/>
                <w:sz w:val="22"/>
                <w:szCs w:val="22"/>
              </w:rPr>
            </w:pPr>
          </w:p>
        </w:tc>
      </w:tr>
    </w:tbl>
    <w:p>
      <w:pPr>
        <w:spacing w:line="300" w:lineRule="auto"/>
        <w:rPr>
          <w:rFonts w:ascii="宋体" w:hAnsi="宋体" w:cs="宋体"/>
          <w:sz w:val="22"/>
          <w:szCs w:val="22"/>
        </w:rPr>
      </w:pPr>
    </w:p>
    <w:p>
      <w:pPr>
        <w:pStyle w:val="7"/>
        <w:spacing w:line="500" w:lineRule="exact"/>
        <w:ind w:firstLine="774"/>
        <w:rPr>
          <w:rFonts w:ascii="宋体" w:hAnsi="宋体" w:eastAsia="宋体" w:cs="宋体"/>
          <w:sz w:val="22"/>
          <w:szCs w:val="22"/>
        </w:rPr>
      </w:pPr>
    </w:p>
    <w:p>
      <w:pPr>
        <w:pStyle w:val="7"/>
        <w:spacing w:line="500" w:lineRule="exact"/>
        <w:ind w:firstLine="774"/>
        <w:rPr>
          <w:rFonts w:ascii="宋体" w:hAnsi="宋体" w:eastAsia="宋体" w:cs="宋体"/>
          <w:sz w:val="22"/>
          <w:szCs w:val="22"/>
        </w:rPr>
      </w:pPr>
      <w:r>
        <w:rPr>
          <w:rFonts w:hint="eastAsia" w:ascii="宋体" w:hAnsi="宋体" w:eastAsia="宋体" w:cs="宋体"/>
          <w:sz w:val="22"/>
          <w:szCs w:val="22"/>
        </w:rPr>
        <w:t>说明：</w:t>
      </w:r>
    </w:p>
    <w:p>
      <w:pPr>
        <w:pStyle w:val="7"/>
        <w:numPr>
          <w:ilvl w:val="0"/>
          <w:numId w:val="6"/>
        </w:numPr>
        <w:spacing w:line="500" w:lineRule="exact"/>
        <w:ind w:firstLine="774"/>
        <w:rPr>
          <w:rFonts w:ascii="宋体" w:hAnsi="宋体" w:eastAsia="宋体" w:cs="宋体"/>
          <w:sz w:val="22"/>
          <w:szCs w:val="22"/>
        </w:rPr>
      </w:pPr>
      <w:r>
        <w:rPr>
          <w:rFonts w:hint="eastAsia" w:ascii="宋体" w:hAnsi="宋体" w:eastAsia="宋体" w:cs="宋体"/>
          <w:sz w:val="22"/>
          <w:szCs w:val="22"/>
        </w:rPr>
        <w:t>应对照竞争性谈判采购文件“第三章 货物需求一览表”，逐条说明所提供货物和服务已对竞争性谈判采购文件的技术规格做出了实质性的响应，并申明与技术规格条文的响应和偏离。</w:t>
      </w:r>
    </w:p>
    <w:p>
      <w:pPr>
        <w:pStyle w:val="2"/>
        <w:ind w:firstLine="660" w:firstLineChars="300"/>
        <w:rPr>
          <w:kern w:val="0"/>
          <w:sz w:val="22"/>
          <w:szCs w:val="22"/>
          <w:lang w:val="en-US" w:bidi="ar-SA"/>
        </w:rPr>
      </w:pPr>
      <w:r>
        <w:rPr>
          <w:rFonts w:hint="eastAsia"/>
          <w:kern w:val="0"/>
          <w:sz w:val="22"/>
          <w:szCs w:val="22"/>
          <w:lang w:val="en-US" w:bidi="ar-SA"/>
        </w:rPr>
        <w:t>2、</w:t>
      </w:r>
      <w:r>
        <w:rPr>
          <w:rFonts w:hint="eastAsia"/>
          <w:sz w:val="22"/>
          <w:szCs w:val="22"/>
          <w:lang w:val="en-US" w:bidi="ar-SA"/>
        </w:rPr>
        <w:t>当本表由多页构成时，应逐页签字及盖章，无签字盖公章的竞标无效。</w:t>
      </w:r>
    </w:p>
    <w:p>
      <w:pPr>
        <w:pStyle w:val="7"/>
        <w:spacing w:line="500" w:lineRule="exact"/>
        <w:ind w:firstLine="0" w:firstLineChars="0"/>
        <w:rPr>
          <w:rFonts w:ascii="宋体" w:hAnsi="宋体" w:eastAsia="宋体" w:cs="宋体"/>
          <w:sz w:val="22"/>
          <w:szCs w:val="22"/>
        </w:rPr>
      </w:pPr>
    </w:p>
    <w:p>
      <w:pPr>
        <w:pStyle w:val="9"/>
        <w:spacing w:line="300" w:lineRule="auto"/>
        <w:rPr>
          <w:rFonts w:hAnsi="宋体" w:cs="宋体"/>
          <w:sz w:val="22"/>
          <w:szCs w:val="22"/>
        </w:rPr>
      </w:pPr>
    </w:p>
    <w:p>
      <w:pPr>
        <w:pStyle w:val="9"/>
        <w:spacing w:line="300" w:lineRule="auto"/>
        <w:ind w:firstLine="3740" w:firstLineChars="1700"/>
        <w:rPr>
          <w:rFonts w:hAnsi="宋体" w:cs="宋体"/>
          <w:sz w:val="22"/>
          <w:szCs w:val="22"/>
        </w:rPr>
      </w:pPr>
      <w:r>
        <w:rPr>
          <w:rFonts w:hint="eastAsia" w:hAnsi="宋体" w:cs="宋体"/>
          <w:sz w:val="22"/>
          <w:szCs w:val="22"/>
        </w:rPr>
        <w:t>谈判供应商名称（盖章）：</w:t>
      </w:r>
    </w:p>
    <w:p>
      <w:pPr>
        <w:pStyle w:val="9"/>
        <w:spacing w:line="360" w:lineRule="auto"/>
        <w:ind w:firstLine="3740" w:firstLineChars="1700"/>
        <w:rPr>
          <w:rFonts w:hAnsi="宋体" w:cs="宋体"/>
          <w:sz w:val="22"/>
          <w:szCs w:val="22"/>
        </w:rPr>
      </w:pPr>
      <w:r>
        <w:rPr>
          <w:rFonts w:hint="eastAsia" w:hAnsi="宋体" w:cs="宋体"/>
          <w:sz w:val="22"/>
          <w:szCs w:val="22"/>
        </w:rPr>
        <w:t>法定代表人或法定代表人授权代表签字:</w:t>
      </w:r>
    </w:p>
    <w:p>
      <w:pPr>
        <w:spacing w:line="300" w:lineRule="auto"/>
        <w:ind w:firstLine="4840" w:firstLineChars="2200"/>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lang w:val="en-US" w:eastAsia="zh-CN"/>
        </w:rPr>
        <w:t xml:space="preserve">   </w:t>
      </w:r>
      <w:r>
        <w:rPr>
          <w:rFonts w:hint="eastAsia" w:ascii="宋体" w:hAnsi="宋体" w:cs="宋体"/>
          <w:sz w:val="22"/>
          <w:szCs w:val="22"/>
        </w:rPr>
        <w:t>年</w:t>
      </w:r>
      <w:r>
        <w:rPr>
          <w:rFonts w:hint="eastAsia" w:ascii="宋体" w:hAnsi="宋体" w:cs="宋体"/>
          <w:sz w:val="22"/>
          <w:szCs w:val="22"/>
          <w:lang w:val="en-US" w:eastAsia="zh-CN"/>
        </w:rPr>
        <w:t xml:space="preserve">   </w:t>
      </w:r>
      <w:r>
        <w:rPr>
          <w:rFonts w:hint="eastAsia" w:ascii="宋体" w:hAnsi="宋体" w:cs="宋体"/>
          <w:sz w:val="22"/>
          <w:szCs w:val="22"/>
        </w:rPr>
        <w:t>月</w:t>
      </w:r>
      <w:r>
        <w:rPr>
          <w:rFonts w:hint="eastAsia" w:ascii="宋体" w:hAnsi="宋体" w:cs="宋体"/>
          <w:sz w:val="22"/>
          <w:szCs w:val="22"/>
          <w:lang w:val="en-US" w:eastAsia="zh-CN"/>
        </w:rPr>
        <w:t xml:space="preserve">   </w:t>
      </w:r>
      <w:r>
        <w:rPr>
          <w:rFonts w:hint="eastAsia" w:ascii="宋体" w:hAnsi="宋体" w:cs="宋体"/>
          <w:sz w:val="22"/>
          <w:szCs w:val="22"/>
        </w:rPr>
        <w:t xml:space="preserve">日 </w:t>
      </w:r>
    </w:p>
    <w:p>
      <w:pPr>
        <w:pStyle w:val="9"/>
        <w:spacing w:line="360" w:lineRule="auto"/>
        <w:ind w:firstLine="6710" w:firstLineChars="3050"/>
        <w:rPr>
          <w:rFonts w:hAnsi="宋体" w:cs="宋体"/>
          <w:sz w:val="22"/>
          <w:szCs w:val="22"/>
          <w:u w:val="single"/>
        </w:rPr>
      </w:pPr>
    </w:p>
    <w:p>
      <w:pPr>
        <w:spacing w:line="300" w:lineRule="auto"/>
        <w:rPr>
          <w:rFonts w:ascii="宋体" w:hAnsi="宋体" w:cs="宋体"/>
          <w:sz w:val="22"/>
          <w:szCs w:val="22"/>
        </w:rPr>
      </w:pPr>
    </w:p>
    <w:p>
      <w:pPr>
        <w:spacing w:line="300" w:lineRule="auto"/>
        <w:rPr>
          <w:rFonts w:ascii="宋体" w:hAnsi="宋体" w:cs="宋体"/>
          <w:sz w:val="22"/>
          <w:szCs w:val="22"/>
        </w:rPr>
      </w:pPr>
    </w:p>
    <w:p>
      <w:pPr>
        <w:spacing w:line="300" w:lineRule="auto"/>
        <w:rPr>
          <w:rFonts w:ascii="宋体" w:hAnsi="宋体" w:cs="宋体"/>
          <w:sz w:val="22"/>
          <w:szCs w:val="22"/>
        </w:rPr>
      </w:pPr>
    </w:p>
    <w:p>
      <w:pPr>
        <w:spacing w:line="300" w:lineRule="auto"/>
        <w:rPr>
          <w:rFonts w:ascii="宋体" w:hAnsi="宋体" w:cs="宋体"/>
          <w:sz w:val="22"/>
          <w:szCs w:val="22"/>
        </w:rPr>
      </w:pPr>
    </w:p>
    <w:p>
      <w:pPr>
        <w:spacing w:line="300" w:lineRule="auto"/>
        <w:rPr>
          <w:rFonts w:ascii="宋体" w:hAnsi="宋体" w:cs="宋体"/>
          <w:sz w:val="22"/>
          <w:szCs w:val="22"/>
        </w:rPr>
      </w:pPr>
    </w:p>
    <w:p>
      <w:pPr>
        <w:snapToGrid w:val="0"/>
        <w:spacing w:before="50"/>
        <w:rPr>
          <w:rFonts w:ascii="宋体" w:hAnsi="宋体" w:cs="宋体"/>
          <w:b/>
          <w:sz w:val="22"/>
          <w:szCs w:val="22"/>
        </w:rPr>
      </w:pPr>
    </w:p>
    <w:p>
      <w:pPr>
        <w:snapToGrid w:val="0"/>
        <w:spacing w:before="50"/>
        <w:ind w:left="180"/>
        <w:jc w:val="center"/>
        <w:rPr>
          <w:rFonts w:ascii="宋体" w:hAnsi="宋体" w:cs="宋体"/>
          <w:b/>
          <w:sz w:val="22"/>
          <w:szCs w:val="22"/>
        </w:rPr>
        <w:sectPr>
          <w:pgSz w:w="11906" w:h="16838"/>
          <w:pgMar w:top="1134" w:right="1134" w:bottom="1134" w:left="1587" w:header="851" w:footer="992" w:gutter="0"/>
          <w:cols w:space="720" w:num="1"/>
          <w:docGrid w:type="lines" w:linePitch="312" w:charSpace="0"/>
        </w:sectPr>
      </w:pPr>
    </w:p>
    <w:p>
      <w:pPr>
        <w:adjustRightInd w:val="0"/>
        <w:snapToGrid w:val="0"/>
        <w:spacing w:line="300" w:lineRule="auto"/>
        <w:jc w:val="center"/>
        <w:rPr>
          <w:rFonts w:ascii="宋体" w:hAnsi="宋体" w:cs="宋体"/>
          <w:b/>
          <w:bCs/>
          <w:kern w:val="0"/>
          <w:sz w:val="28"/>
          <w:szCs w:val="28"/>
        </w:rPr>
      </w:pPr>
      <w:r>
        <w:rPr>
          <w:rFonts w:hint="eastAsia" w:ascii="宋体" w:hAnsi="宋体" w:cs="宋体"/>
          <w:b/>
          <w:bCs/>
          <w:kern w:val="0"/>
          <w:sz w:val="28"/>
          <w:szCs w:val="28"/>
        </w:rPr>
        <w:t>五、商务响应表</w:t>
      </w:r>
    </w:p>
    <w:p>
      <w:pPr>
        <w:spacing w:line="360" w:lineRule="auto"/>
        <w:jc w:val="left"/>
        <w:rPr>
          <w:rFonts w:ascii="宋体" w:hAnsi="宋体" w:cs="宋体"/>
          <w:sz w:val="22"/>
          <w:szCs w:val="22"/>
        </w:rPr>
      </w:pPr>
      <w:r>
        <w:rPr>
          <w:rFonts w:hint="eastAsia" w:ascii="宋体" w:hAnsi="宋体" w:cs="宋体"/>
          <w:sz w:val="22"/>
          <w:szCs w:val="22"/>
        </w:rPr>
        <w:t>项目名称：</w:t>
      </w:r>
    </w:p>
    <w:p>
      <w:pPr>
        <w:snapToGrid w:val="0"/>
        <w:spacing w:before="50"/>
        <w:rPr>
          <w:rFonts w:ascii="宋体" w:hAnsi="宋体" w:cs="宋体"/>
          <w:b/>
          <w:sz w:val="22"/>
          <w:szCs w:val="22"/>
        </w:rPr>
      </w:pPr>
      <w:r>
        <w:rPr>
          <w:rFonts w:hint="eastAsia" w:ascii="宋体" w:hAnsi="宋体" w:cs="宋体"/>
          <w:sz w:val="22"/>
          <w:szCs w:val="22"/>
        </w:rPr>
        <w:t>项目编号：</w:t>
      </w:r>
    </w:p>
    <w:p>
      <w:pPr>
        <w:snapToGrid w:val="0"/>
        <w:spacing w:before="50"/>
        <w:jc w:val="left"/>
        <w:rPr>
          <w:rFonts w:ascii="宋体" w:hAnsi="宋体" w:cs="宋体"/>
          <w:sz w:val="22"/>
          <w:szCs w:val="22"/>
        </w:rPr>
      </w:pPr>
    </w:p>
    <w:tbl>
      <w:tblPr>
        <w:tblStyle w:val="1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1"/>
        <w:gridCol w:w="3285"/>
        <w:gridCol w:w="2294"/>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序号</w:t>
            </w:r>
          </w:p>
        </w:tc>
        <w:tc>
          <w:tcPr>
            <w:tcW w:w="328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竞争性谈判采购文件货物一览表要求内容</w:t>
            </w:r>
          </w:p>
        </w:tc>
        <w:tc>
          <w:tcPr>
            <w:tcW w:w="229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是否响应</w:t>
            </w:r>
          </w:p>
        </w:tc>
        <w:tc>
          <w:tcPr>
            <w:tcW w:w="28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谈判供应商的承诺或说明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1</w:t>
            </w:r>
          </w:p>
        </w:tc>
        <w:tc>
          <w:tcPr>
            <w:tcW w:w="328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29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8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2</w:t>
            </w:r>
          </w:p>
        </w:tc>
        <w:tc>
          <w:tcPr>
            <w:tcW w:w="328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29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宋体" w:hAnsi="宋体" w:cs="宋体"/>
                <w:sz w:val="22"/>
                <w:szCs w:val="22"/>
              </w:rPr>
            </w:pPr>
          </w:p>
        </w:tc>
        <w:tc>
          <w:tcPr>
            <w:tcW w:w="28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3</w:t>
            </w:r>
          </w:p>
        </w:tc>
        <w:tc>
          <w:tcPr>
            <w:tcW w:w="328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29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8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w:t>
            </w:r>
          </w:p>
        </w:tc>
        <w:tc>
          <w:tcPr>
            <w:tcW w:w="328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29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8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r>
              <w:rPr>
                <w:rFonts w:hint="eastAsia" w:ascii="宋体" w:hAnsi="宋体" w:cs="宋体"/>
                <w:sz w:val="22"/>
                <w:szCs w:val="22"/>
              </w:rPr>
              <w:t>N</w:t>
            </w:r>
          </w:p>
        </w:tc>
        <w:tc>
          <w:tcPr>
            <w:tcW w:w="328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29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c>
          <w:tcPr>
            <w:tcW w:w="28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宋体" w:hAnsi="宋体" w:cs="宋体"/>
                <w:sz w:val="22"/>
                <w:szCs w:val="22"/>
              </w:rPr>
            </w:pPr>
          </w:p>
        </w:tc>
      </w:tr>
    </w:tbl>
    <w:p>
      <w:pPr>
        <w:snapToGrid w:val="0"/>
        <w:spacing w:beforeLines="50"/>
        <w:rPr>
          <w:rFonts w:ascii="宋体" w:hAnsi="宋体" w:cs="宋体"/>
          <w:sz w:val="22"/>
          <w:szCs w:val="22"/>
        </w:rPr>
      </w:pPr>
    </w:p>
    <w:p>
      <w:pPr>
        <w:pStyle w:val="9"/>
        <w:spacing w:line="500" w:lineRule="exact"/>
        <w:rPr>
          <w:rFonts w:hAnsi="宋体" w:cs="宋体"/>
          <w:sz w:val="22"/>
          <w:szCs w:val="22"/>
        </w:rPr>
      </w:pPr>
    </w:p>
    <w:p>
      <w:pPr>
        <w:pStyle w:val="9"/>
        <w:spacing w:line="500" w:lineRule="exact"/>
        <w:ind w:firstLine="3080" w:firstLineChars="1400"/>
        <w:rPr>
          <w:rFonts w:hAnsi="宋体" w:cs="宋体"/>
          <w:sz w:val="22"/>
          <w:szCs w:val="22"/>
          <w:u w:val="single"/>
        </w:rPr>
      </w:pPr>
      <w:r>
        <w:rPr>
          <w:rFonts w:hint="eastAsia" w:hAnsi="宋体" w:cs="宋体"/>
          <w:sz w:val="22"/>
          <w:szCs w:val="22"/>
        </w:rPr>
        <w:t>法定代表人或法定代表人授权代表签字:</w:t>
      </w:r>
    </w:p>
    <w:p>
      <w:pPr>
        <w:pStyle w:val="9"/>
        <w:spacing w:line="500" w:lineRule="exact"/>
        <w:ind w:firstLine="3080" w:firstLineChars="1400"/>
        <w:rPr>
          <w:rFonts w:hAnsi="宋体" w:cs="宋体"/>
          <w:sz w:val="22"/>
          <w:szCs w:val="22"/>
          <w:u w:val="single"/>
        </w:rPr>
      </w:pPr>
      <w:r>
        <w:rPr>
          <w:rFonts w:hint="eastAsia" w:hAnsi="宋体" w:cs="宋体"/>
          <w:sz w:val="22"/>
          <w:szCs w:val="22"/>
        </w:rPr>
        <w:t>谈判供应商名称（签章）：</w:t>
      </w:r>
    </w:p>
    <w:p>
      <w:pPr>
        <w:spacing w:line="300" w:lineRule="auto"/>
        <w:ind w:firstLine="4840" w:firstLineChars="2200"/>
        <w:jc w:val="center"/>
        <w:rPr>
          <w:rFonts w:ascii="宋体" w:hAnsi="宋体" w:cs="宋体"/>
          <w:sz w:val="22"/>
          <w:szCs w:val="22"/>
        </w:rPr>
      </w:pPr>
    </w:p>
    <w:p>
      <w:pPr>
        <w:spacing w:line="300" w:lineRule="auto"/>
        <w:ind w:firstLine="4840" w:firstLineChars="2200"/>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lang w:val="en-US" w:eastAsia="zh-CN"/>
        </w:rPr>
        <w:t xml:space="preserve">   </w:t>
      </w:r>
      <w:r>
        <w:rPr>
          <w:rFonts w:hint="eastAsia" w:ascii="宋体" w:hAnsi="宋体" w:cs="宋体"/>
          <w:sz w:val="22"/>
          <w:szCs w:val="22"/>
        </w:rPr>
        <w:t>年</w:t>
      </w:r>
      <w:r>
        <w:rPr>
          <w:rFonts w:hint="eastAsia" w:ascii="宋体" w:hAnsi="宋体" w:cs="宋体"/>
          <w:sz w:val="22"/>
          <w:szCs w:val="22"/>
          <w:lang w:val="en-US" w:eastAsia="zh-CN"/>
        </w:rPr>
        <w:t xml:space="preserve">   </w:t>
      </w:r>
      <w:r>
        <w:rPr>
          <w:rFonts w:hint="eastAsia" w:ascii="宋体" w:hAnsi="宋体" w:cs="宋体"/>
          <w:sz w:val="22"/>
          <w:szCs w:val="22"/>
        </w:rPr>
        <w:t>月</w:t>
      </w:r>
      <w:r>
        <w:rPr>
          <w:rFonts w:hint="eastAsia" w:ascii="宋体" w:hAnsi="宋体" w:cs="宋体"/>
          <w:sz w:val="22"/>
          <w:szCs w:val="22"/>
          <w:lang w:val="en-US" w:eastAsia="zh-CN"/>
        </w:rPr>
        <w:t xml:space="preserve">   </w:t>
      </w:r>
      <w:r>
        <w:rPr>
          <w:rFonts w:hint="eastAsia" w:ascii="宋体" w:hAnsi="宋体" w:cs="宋体"/>
          <w:sz w:val="22"/>
          <w:szCs w:val="22"/>
        </w:rPr>
        <w:t xml:space="preserve">日 </w:t>
      </w:r>
    </w:p>
    <w:p>
      <w:pPr>
        <w:spacing w:line="300" w:lineRule="auto"/>
        <w:rPr>
          <w:rFonts w:ascii="宋体" w:hAnsi="宋体" w:cs="宋体"/>
          <w:sz w:val="22"/>
          <w:szCs w:val="22"/>
        </w:rPr>
      </w:pPr>
    </w:p>
    <w:p>
      <w:pPr>
        <w:pStyle w:val="2"/>
        <w:ind w:firstLine="720" w:firstLineChars="300"/>
        <w:rPr>
          <w:lang w:val="en-US"/>
        </w:rPr>
      </w:pPr>
    </w:p>
    <w:p>
      <w:pPr>
        <w:pStyle w:val="2"/>
        <w:ind w:firstLine="660" w:firstLineChars="300"/>
        <w:rPr>
          <w:kern w:val="0"/>
          <w:sz w:val="22"/>
          <w:szCs w:val="22"/>
          <w:lang w:val="en-US" w:bidi="ar-SA"/>
        </w:rPr>
      </w:pPr>
      <w:r>
        <w:rPr>
          <w:rFonts w:hint="eastAsia"/>
          <w:kern w:val="0"/>
          <w:sz w:val="22"/>
          <w:szCs w:val="22"/>
          <w:lang w:val="en-US" w:bidi="ar-SA"/>
        </w:rPr>
        <w:t>说明</w:t>
      </w:r>
    </w:p>
    <w:p>
      <w:pPr>
        <w:spacing w:line="300" w:lineRule="auto"/>
        <w:ind w:firstLine="440" w:firstLineChars="200"/>
        <w:rPr>
          <w:kern w:val="0"/>
          <w:sz w:val="22"/>
          <w:szCs w:val="22"/>
        </w:rPr>
      </w:pPr>
      <w:r>
        <w:rPr>
          <w:rFonts w:hint="eastAsia"/>
          <w:kern w:val="0"/>
          <w:sz w:val="22"/>
          <w:szCs w:val="22"/>
        </w:rPr>
        <w:t>1、当本表由多页构成时，应逐页签字及盖章，无签字盖公章的竞标无效。</w:t>
      </w:r>
    </w:p>
    <w:p>
      <w:pPr>
        <w:spacing w:line="300" w:lineRule="auto"/>
        <w:rPr>
          <w:rFonts w:ascii="宋体" w:hAnsi="宋体" w:cs="宋体"/>
          <w:kern w:val="0"/>
          <w:sz w:val="22"/>
          <w:szCs w:val="22"/>
        </w:rPr>
      </w:pPr>
    </w:p>
    <w:p>
      <w:pPr>
        <w:spacing w:line="300" w:lineRule="auto"/>
        <w:rPr>
          <w:rFonts w:ascii="宋体" w:hAnsi="宋体" w:cs="宋体"/>
          <w:sz w:val="22"/>
          <w:szCs w:val="22"/>
        </w:rPr>
      </w:pPr>
    </w:p>
    <w:p>
      <w:pPr>
        <w:spacing w:line="300" w:lineRule="auto"/>
        <w:rPr>
          <w:rFonts w:ascii="宋体" w:hAnsi="宋体" w:cs="宋体"/>
          <w:b/>
          <w:bCs/>
          <w:sz w:val="22"/>
          <w:szCs w:val="22"/>
        </w:rPr>
        <w:sectPr>
          <w:pgSz w:w="11906" w:h="16838"/>
          <w:pgMar w:top="1134" w:right="1134" w:bottom="1134" w:left="1587" w:header="851" w:footer="992" w:gutter="0"/>
          <w:cols w:space="720" w:num="1"/>
          <w:docGrid w:type="lines" w:linePitch="312" w:charSpace="0"/>
        </w:sectPr>
      </w:pPr>
    </w:p>
    <w:p>
      <w:pPr>
        <w:adjustRightInd w:val="0"/>
        <w:snapToGrid w:val="0"/>
        <w:spacing w:line="300" w:lineRule="auto"/>
        <w:jc w:val="center"/>
        <w:rPr>
          <w:rFonts w:ascii="宋体" w:hAnsi="宋体" w:cs="宋体"/>
          <w:b/>
          <w:bCs/>
          <w:kern w:val="0"/>
          <w:sz w:val="28"/>
          <w:szCs w:val="28"/>
        </w:rPr>
      </w:pPr>
      <w:r>
        <w:rPr>
          <w:rFonts w:hint="eastAsia" w:ascii="宋体" w:hAnsi="宋体" w:cs="宋体"/>
          <w:b/>
          <w:bCs/>
          <w:kern w:val="0"/>
          <w:sz w:val="28"/>
          <w:szCs w:val="28"/>
        </w:rPr>
        <w:t>六、法定代表人授权书</w:t>
      </w:r>
    </w:p>
    <w:p>
      <w:pPr>
        <w:adjustRightInd w:val="0"/>
        <w:snapToGrid w:val="0"/>
        <w:spacing w:line="520" w:lineRule="exact"/>
        <w:rPr>
          <w:rFonts w:ascii="宋体" w:hAnsi="宋体" w:cs="宋体"/>
          <w:sz w:val="22"/>
          <w:szCs w:val="22"/>
        </w:rPr>
      </w:pPr>
    </w:p>
    <w:p>
      <w:pPr>
        <w:spacing w:line="520" w:lineRule="exact"/>
        <w:rPr>
          <w:rFonts w:ascii="宋体" w:hAnsi="宋体" w:cs="宋体"/>
          <w:sz w:val="22"/>
          <w:szCs w:val="22"/>
        </w:rPr>
      </w:pPr>
      <w:r>
        <w:rPr>
          <w:rFonts w:hint="eastAsia" w:ascii="宋体" w:hAnsi="宋体" w:cs="宋体"/>
          <w:sz w:val="22"/>
          <w:szCs w:val="22"/>
          <w:u w:val="single"/>
        </w:rPr>
        <w:t>（采购单位）</w:t>
      </w:r>
      <w:r>
        <w:rPr>
          <w:rFonts w:hint="eastAsia" w:ascii="宋体" w:hAnsi="宋体" w:cs="宋体"/>
          <w:sz w:val="22"/>
          <w:szCs w:val="22"/>
        </w:rPr>
        <w:t>：</w:t>
      </w:r>
    </w:p>
    <w:p>
      <w:pPr>
        <w:spacing w:line="520" w:lineRule="exact"/>
        <w:ind w:firstLine="440" w:firstLineChars="200"/>
        <w:rPr>
          <w:rFonts w:ascii="宋体" w:hAnsi="宋体" w:cs="宋体"/>
          <w:sz w:val="22"/>
          <w:szCs w:val="22"/>
        </w:rPr>
      </w:pPr>
      <w:r>
        <w:rPr>
          <w:rFonts w:hint="eastAsia" w:ascii="宋体" w:hAnsi="宋体" w:cs="宋体"/>
          <w:sz w:val="22"/>
          <w:szCs w:val="22"/>
        </w:rPr>
        <w:t>兹授权同志为我公司参加贵单位组织的</w:t>
      </w:r>
      <w:r>
        <w:rPr>
          <w:rFonts w:hint="eastAsia" w:ascii="宋体" w:hAnsi="宋体" w:cs="宋体"/>
          <w:sz w:val="22"/>
          <w:szCs w:val="22"/>
          <w:u w:val="single"/>
        </w:rPr>
        <w:t>（项目名称）</w:t>
      </w:r>
      <w:r>
        <w:rPr>
          <w:rFonts w:hint="eastAsia" w:ascii="宋体" w:hAnsi="宋体" w:cs="宋体"/>
          <w:sz w:val="22"/>
          <w:szCs w:val="22"/>
        </w:rPr>
        <w:t>竞标活动的竞标代表人，全权代表我公司处理在该项目活动中的一切事宜。代理期限从</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年</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月</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日</w:t>
      </w:r>
      <w:r>
        <w:rPr>
          <w:rFonts w:hint="eastAsia" w:ascii="宋体" w:hAnsi="宋体" w:cs="宋体"/>
          <w:sz w:val="22"/>
          <w:szCs w:val="22"/>
        </w:rPr>
        <w:t xml:space="preserve"> 起至</w:t>
      </w:r>
      <w:r>
        <w:rPr>
          <w:rFonts w:hint="eastAsia" w:ascii="宋体" w:hAnsi="宋体" w:cs="宋体"/>
          <w:sz w:val="22"/>
          <w:szCs w:val="22"/>
          <w:lang w:val="en-US" w:eastAsia="zh-CN"/>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年</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月</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日 </w:t>
      </w:r>
      <w:r>
        <w:rPr>
          <w:rFonts w:hint="eastAsia" w:ascii="宋体" w:hAnsi="宋体" w:cs="宋体"/>
          <w:sz w:val="22"/>
          <w:szCs w:val="22"/>
        </w:rPr>
        <w:t xml:space="preserve">止。 </w:t>
      </w:r>
    </w:p>
    <w:p>
      <w:pPr>
        <w:spacing w:line="520" w:lineRule="exact"/>
        <w:rPr>
          <w:rFonts w:ascii="宋体" w:hAnsi="宋体" w:cs="宋体"/>
          <w:sz w:val="22"/>
          <w:szCs w:val="22"/>
        </w:rPr>
      </w:pPr>
    </w:p>
    <w:p>
      <w:pPr>
        <w:spacing w:line="520" w:lineRule="exact"/>
        <w:rPr>
          <w:rFonts w:ascii="宋体" w:hAnsi="宋体" w:cs="宋体"/>
          <w:sz w:val="22"/>
          <w:szCs w:val="22"/>
        </w:rPr>
      </w:pPr>
      <w:r>
        <w:rPr>
          <w:rFonts w:hint="eastAsia" w:ascii="宋体" w:hAnsi="宋体" w:cs="宋体"/>
          <w:sz w:val="22"/>
          <w:szCs w:val="22"/>
        </w:rPr>
        <w:t>授权单位（盖章）：</w:t>
      </w:r>
    </w:p>
    <w:p>
      <w:pPr>
        <w:spacing w:line="520" w:lineRule="exact"/>
        <w:rPr>
          <w:rFonts w:ascii="宋体" w:hAnsi="宋体" w:cs="宋体"/>
          <w:sz w:val="22"/>
          <w:szCs w:val="22"/>
          <w:u w:val="single"/>
        </w:rPr>
      </w:pPr>
      <w:r>
        <w:rPr>
          <w:rFonts w:hint="eastAsia" w:ascii="宋体" w:hAnsi="宋体" w:cs="宋体"/>
          <w:sz w:val="22"/>
          <w:szCs w:val="22"/>
        </w:rPr>
        <w:t>法定代表人（签字或盖章）：</w:t>
      </w:r>
    </w:p>
    <w:p>
      <w:pPr>
        <w:spacing w:line="520" w:lineRule="exact"/>
        <w:rPr>
          <w:rFonts w:ascii="宋体" w:hAnsi="宋体" w:cs="宋体"/>
          <w:sz w:val="22"/>
          <w:szCs w:val="22"/>
        </w:rPr>
      </w:pPr>
      <w:r>
        <w:rPr>
          <w:rFonts w:hint="eastAsia" w:ascii="宋体" w:hAnsi="宋体" w:cs="宋体"/>
          <w:sz w:val="22"/>
          <w:szCs w:val="22"/>
        </w:rPr>
        <w:t>签发日期：</w:t>
      </w:r>
      <w:r>
        <w:rPr>
          <w:rFonts w:hint="eastAsia" w:ascii="宋体" w:hAnsi="宋体" w:cs="宋体"/>
          <w:sz w:val="22"/>
          <w:szCs w:val="22"/>
          <w:lang w:val="en-US" w:eastAsia="zh-CN"/>
        </w:rPr>
        <w:t xml:space="preserve">     </w:t>
      </w:r>
      <w:r>
        <w:rPr>
          <w:rFonts w:hint="eastAsia" w:ascii="宋体" w:hAnsi="宋体" w:cs="宋体"/>
          <w:sz w:val="22"/>
          <w:szCs w:val="22"/>
        </w:rPr>
        <w:t>年</w:t>
      </w:r>
      <w:r>
        <w:rPr>
          <w:rFonts w:hint="eastAsia" w:ascii="宋体" w:hAnsi="宋体" w:cs="宋体"/>
          <w:sz w:val="22"/>
          <w:szCs w:val="22"/>
          <w:lang w:val="en-US" w:eastAsia="zh-CN"/>
        </w:rPr>
        <w:t xml:space="preserve">   </w:t>
      </w:r>
      <w:r>
        <w:rPr>
          <w:rFonts w:hint="eastAsia" w:ascii="宋体" w:hAnsi="宋体" w:cs="宋体"/>
          <w:sz w:val="22"/>
          <w:szCs w:val="22"/>
        </w:rPr>
        <w:t>月</w:t>
      </w:r>
      <w:r>
        <w:rPr>
          <w:rFonts w:hint="eastAsia" w:ascii="宋体" w:hAnsi="宋体" w:cs="宋体"/>
          <w:sz w:val="22"/>
          <w:szCs w:val="22"/>
          <w:lang w:val="en-US" w:eastAsia="zh-CN"/>
        </w:rPr>
        <w:t xml:space="preserve">   </w:t>
      </w:r>
      <w:r>
        <w:rPr>
          <w:rFonts w:hint="eastAsia" w:ascii="宋体" w:hAnsi="宋体" w:cs="宋体"/>
          <w:sz w:val="22"/>
          <w:szCs w:val="22"/>
        </w:rPr>
        <w:t xml:space="preserve">日 </w:t>
      </w:r>
    </w:p>
    <w:p>
      <w:pPr>
        <w:spacing w:line="520" w:lineRule="exact"/>
        <w:rPr>
          <w:rFonts w:ascii="宋体" w:hAnsi="宋体" w:cs="宋体"/>
          <w:sz w:val="22"/>
          <w:szCs w:val="22"/>
        </w:rPr>
      </w:pPr>
    </w:p>
    <w:p>
      <w:pPr>
        <w:adjustRightInd w:val="0"/>
        <w:snapToGrid w:val="0"/>
        <w:spacing w:line="520" w:lineRule="exact"/>
        <w:rPr>
          <w:rFonts w:ascii="宋体" w:hAnsi="宋体" w:cs="宋体"/>
          <w:sz w:val="22"/>
          <w:szCs w:val="22"/>
          <w:u w:val="single"/>
        </w:rPr>
      </w:pPr>
      <w:r>
        <w:rPr>
          <w:rFonts w:hint="eastAsia" w:ascii="宋体" w:hAnsi="宋体" w:cs="宋体"/>
          <w:sz w:val="22"/>
          <w:szCs w:val="22"/>
        </w:rPr>
        <w:t>职务：      性别：</w:t>
      </w:r>
    </w:p>
    <w:p>
      <w:pPr>
        <w:adjustRightInd w:val="0"/>
        <w:snapToGrid w:val="0"/>
        <w:spacing w:line="520" w:lineRule="exact"/>
        <w:rPr>
          <w:rFonts w:ascii="宋体" w:hAnsi="宋体" w:cs="宋体"/>
          <w:sz w:val="22"/>
          <w:szCs w:val="22"/>
          <w:u w:val="single"/>
        </w:rPr>
      </w:pPr>
      <w:r>
        <w:rPr>
          <w:rFonts w:hint="eastAsia" w:ascii="宋体" w:hAnsi="宋体" w:cs="宋体"/>
          <w:sz w:val="22"/>
          <w:szCs w:val="22"/>
        </w:rPr>
        <w:t>身份证号码：</w:t>
      </w:r>
    </w:p>
    <w:p>
      <w:pPr>
        <w:adjustRightInd w:val="0"/>
        <w:snapToGrid w:val="0"/>
        <w:spacing w:line="520" w:lineRule="exact"/>
        <w:ind w:firstLine="440" w:firstLineChars="200"/>
        <w:rPr>
          <w:rFonts w:ascii="宋体" w:hAnsi="宋体" w:cs="宋体"/>
          <w:sz w:val="22"/>
          <w:szCs w:val="22"/>
          <w:u w:val="single"/>
        </w:rPr>
      </w:pPr>
    </w:p>
    <w:tbl>
      <w:tblPr>
        <w:tblStyle w:val="16"/>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8350" w:type="dxa"/>
            <w:tcBorders>
              <w:top w:val="single" w:color="auto" w:sz="4" w:space="0"/>
              <w:left w:val="single" w:color="auto" w:sz="4" w:space="0"/>
              <w:bottom w:val="single" w:color="auto" w:sz="4" w:space="0"/>
              <w:right w:val="single" w:color="auto" w:sz="4" w:space="0"/>
            </w:tcBorders>
            <w:noWrap/>
          </w:tcPr>
          <w:p>
            <w:pPr>
              <w:spacing w:line="300" w:lineRule="auto"/>
              <w:rPr>
                <w:rFonts w:ascii="宋体" w:hAnsi="宋体" w:cs="宋体"/>
                <w:sz w:val="22"/>
                <w:szCs w:val="22"/>
              </w:rPr>
            </w:pPr>
            <w:r>
              <w:rPr>
                <w:rFonts w:hint="eastAsia" w:ascii="宋体" w:hAnsi="宋体" w:cs="宋体"/>
                <w:sz w:val="22"/>
                <w:szCs w:val="22"/>
              </w:rPr>
              <w:t>粘贴被授权人身份证（复印件）</w:t>
            </w:r>
          </w:p>
        </w:tc>
      </w:tr>
    </w:tbl>
    <w:p>
      <w:pPr>
        <w:autoSpaceDE w:val="0"/>
        <w:autoSpaceDN w:val="0"/>
        <w:spacing w:line="300" w:lineRule="auto"/>
        <w:rPr>
          <w:rFonts w:ascii="宋体" w:hAnsi="宋体" w:cs="宋体"/>
          <w:sz w:val="22"/>
          <w:szCs w:val="22"/>
        </w:rPr>
      </w:pPr>
    </w:p>
    <w:p>
      <w:pPr>
        <w:adjustRightInd w:val="0"/>
        <w:snapToGrid w:val="0"/>
        <w:spacing w:line="300" w:lineRule="auto"/>
        <w:rPr>
          <w:rFonts w:ascii="宋体" w:hAnsi="宋体" w:cs="宋体"/>
          <w:b/>
          <w:bCs/>
          <w:sz w:val="22"/>
          <w:szCs w:val="22"/>
        </w:rPr>
      </w:pPr>
    </w:p>
    <w:p>
      <w:pPr>
        <w:adjustRightInd w:val="0"/>
        <w:snapToGrid w:val="0"/>
        <w:spacing w:line="300" w:lineRule="auto"/>
        <w:jc w:val="center"/>
        <w:rPr>
          <w:rFonts w:ascii="宋体" w:hAnsi="宋体" w:cs="宋体"/>
          <w:b/>
          <w:bCs/>
          <w:sz w:val="22"/>
          <w:szCs w:val="22"/>
        </w:rPr>
      </w:pPr>
    </w:p>
    <w:p>
      <w:pPr>
        <w:adjustRightInd w:val="0"/>
        <w:snapToGrid w:val="0"/>
        <w:spacing w:line="300" w:lineRule="auto"/>
        <w:jc w:val="center"/>
        <w:rPr>
          <w:rFonts w:ascii="宋体" w:hAnsi="宋体" w:cs="宋体"/>
          <w:b/>
          <w:bCs/>
          <w:sz w:val="22"/>
          <w:szCs w:val="22"/>
        </w:rPr>
      </w:pPr>
    </w:p>
    <w:p>
      <w:pPr>
        <w:adjustRightInd w:val="0"/>
        <w:snapToGrid w:val="0"/>
        <w:spacing w:line="300" w:lineRule="auto"/>
        <w:jc w:val="center"/>
        <w:rPr>
          <w:rFonts w:ascii="宋体" w:hAnsi="宋体" w:cs="宋体"/>
          <w:b/>
          <w:bCs/>
          <w:sz w:val="22"/>
          <w:szCs w:val="22"/>
        </w:rPr>
      </w:pPr>
    </w:p>
    <w:p>
      <w:pPr>
        <w:adjustRightInd w:val="0"/>
        <w:snapToGrid w:val="0"/>
        <w:spacing w:line="300" w:lineRule="auto"/>
        <w:jc w:val="center"/>
        <w:rPr>
          <w:rFonts w:ascii="宋体" w:hAnsi="宋体" w:cs="宋体"/>
          <w:b/>
          <w:bCs/>
          <w:sz w:val="22"/>
          <w:szCs w:val="22"/>
        </w:rPr>
      </w:pPr>
    </w:p>
    <w:p>
      <w:pPr>
        <w:adjustRightInd w:val="0"/>
        <w:snapToGrid w:val="0"/>
        <w:spacing w:line="300" w:lineRule="auto"/>
        <w:jc w:val="center"/>
        <w:rPr>
          <w:rFonts w:ascii="宋体" w:hAnsi="宋体" w:cs="宋体"/>
          <w:b/>
          <w:bCs/>
          <w:sz w:val="22"/>
          <w:szCs w:val="22"/>
        </w:rPr>
      </w:pPr>
      <w:r>
        <w:rPr>
          <w:rFonts w:hint="eastAsia" w:ascii="宋体" w:hAnsi="宋体" w:cs="宋体"/>
          <w:b/>
          <w:bCs/>
          <w:sz w:val="22"/>
          <w:szCs w:val="22"/>
        </w:rPr>
        <w:br w:type="page"/>
      </w:r>
      <w:r>
        <w:rPr>
          <w:rFonts w:hint="eastAsia" w:ascii="宋体" w:hAnsi="宋体" w:cs="宋体"/>
          <w:b/>
          <w:bCs/>
          <w:kern w:val="0"/>
          <w:sz w:val="28"/>
          <w:szCs w:val="28"/>
        </w:rPr>
        <w:t>七、法定代表人身份证复印件</w:t>
      </w: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1425" w:firstLineChars="645"/>
        <w:rPr>
          <w:rFonts w:ascii="宋体" w:hAnsi="宋体" w:cs="宋体"/>
          <w:b/>
          <w:sz w:val="22"/>
          <w:szCs w:val="22"/>
        </w:rPr>
      </w:pPr>
    </w:p>
    <w:p>
      <w:pPr>
        <w:autoSpaceDE w:val="0"/>
        <w:autoSpaceDN w:val="0"/>
        <w:spacing w:line="300" w:lineRule="auto"/>
        <w:ind w:firstLine="2838" w:firstLineChars="1290"/>
        <w:rPr>
          <w:rFonts w:ascii="宋体" w:hAnsi="宋体" w:cs="宋体"/>
          <w:b/>
          <w:sz w:val="22"/>
          <w:szCs w:val="22"/>
        </w:rPr>
      </w:pPr>
      <w:r>
        <w:rPr>
          <w:rFonts w:hint="eastAsia" w:ascii="宋体" w:hAnsi="宋体" w:cs="宋体"/>
          <w:sz w:val="22"/>
          <w:szCs w:val="22"/>
        </w:rPr>
        <w:t>谈判供应商名称（盖章）：</w:t>
      </w:r>
    </w:p>
    <w:p>
      <w:pPr>
        <w:pStyle w:val="9"/>
        <w:spacing w:line="300" w:lineRule="auto"/>
        <w:rPr>
          <w:rFonts w:hAnsi="宋体" w:cs="宋体"/>
          <w:b/>
          <w:sz w:val="22"/>
          <w:szCs w:val="22"/>
        </w:rPr>
      </w:pPr>
      <w:r>
        <w:rPr>
          <w:rFonts w:hint="eastAsia" w:hAnsi="宋体" w:cs="宋体"/>
          <w:sz w:val="22"/>
          <w:szCs w:val="22"/>
        </w:rPr>
        <w:br w:type="page"/>
      </w:r>
    </w:p>
    <w:p>
      <w:pPr>
        <w:pStyle w:val="9"/>
        <w:spacing w:line="420" w:lineRule="exact"/>
        <w:ind w:firstLine="3092" w:firstLineChars="1100"/>
        <w:rPr>
          <w:rFonts w:hAnsi="宋体" w:cs="宋体"/>
          <w:b/>
          <w:bCs/>
          <w:sz w:val="28"/>
          <w:szCs w:val="28"/>
        </w:rPr>
      </w:pPr>
      <w:r>
        <w:rPr>
          <w:rFonts w:hint="eastAsia" w:hAnsi="宋体" w:cs="宋体"/>
          <w:b/>
          <w:bCs/>
          <w:sz w:val="28"/>
          <w:szCs w:val="28"/>
        </w:rPr>
        <w:t>八、竞标人资格证明文件</w:t>
      </w:r>
    </w:p>
    <w:p>
      <w:pPr>
        <w:pStyle w:val="9"/>
        <w:spacing w:line="420" w:lineRule="exact"/>
        <w:rPr>
          <w:rFonts w:hAnsi="宋体" w:cs="宋体"/>
          <w:sz w:val="22"/>
          <w:szCs w:val="22"/>
        </w:rPr>
      </w:pPr>
      <w:r>
        <w:rPr>
          <w:rFonts w:hint="eastAsia" w:hAnsi="宋体" w:cs="宋体"/>
          <w:sz w:val="22"/>
          <w:szCs w:val="22"/>
        </w:rPr>
        <w:t>竞标人资格证明文件含以下文件，并加盖竞标人公章，否则竞标无效。</w:t>
      </w:r>
    </w:p>
    <w:p>
      <w:pPr>
        <w:pStyle w:val="9"/>
        <w:spacing w:line="420" w:lineRule="exact"/>
        <w:rPr>
          <w:rFonts w:hAnsi="宋体" w:cs="宋体"/>
          <w:kern w:val="2"/>
          <w:sz w:val="22"/>
          <w:szCs w:val="22"/>
        </w:rPr>
      </w:pPr>
      <w:r>
        <w:rPr>
          <w:rFonts w:hint="eastAsia" w:hAnsi="宋体" w:cs="宋体"/>
          <w:kern w:val="2"/>
          <w:sz w:val="22"/>
          <w:szCs w:val="22"/>
        </w:rPr>
        <w:t>（1）竞标人有效的“企业法人营业执照”副本复印件、税务登记证副本、组织机构代码证副本复印件，要求清晰反映包含本次采购货物的经营范围（已经提供有效的统一社会信用代码“三证合一”的营业执照复印件的，不需提供组织机构代码证复印件及税务登记证复印件）；</w:t>
      </w:r>
    </w:p>
    <w:p>
      <w:pPr>
        <w:pStyle w:val="9"/>
        <w:spacing w:line="420" w:lineRule="exact"/>
        <w:rPr>
          <w:rFonts w:hAnsi="宋体" w:cs="宋体"/>
          <w:kern w:val="2"/>
          <w:sz w:val="22"/>
          <w:szCs w:val="22"/>
        </w:rPr>
      </w:pPr>
      <w:r>
        <w:rPr>
          <w:rFonts w:hint="eastAsia" w:hAnsi="宋体" w:cs="宋体"/>
          <w:kern w:val="2"/>
          <w:sz w:val="22"/>
          <w:szCs w:val="22"/>
        </w:rPr>
        <w:t>（2）竞标保证金缴纳证明（必须提供）；</w:t>
      </w:r>
    </w:p>
    <w:p>
      <w:pPr>
        <w:pStyle w:val="9"/>
        <w:spacing w:line="420" w:lineRule="exact"/>
        <w:rPr>
          <w:rFonts w:hAnsi="宋体" w:cs="宋体"/>
          <w:kern w:val="2"/>
          <w:sz w:val="22"/>
          <w:szCs w:val="22"/>
        </w:rPr>
      </w:pPr>
      <w:r>
        <w:rPr>
          <w:rFonts w:hint="eastAsia" w:hAnsi="宋体" w:cs="宋体"/>
          <w:kern w:val="2"/>
          <w:sz w:val="22"/>
          <w:szCs w:val="22"/>
        </w:rPr>
        <w:t>（3）法定代表人身份证复印件（</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（4）法定代表人身份证明书；（</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5）参加政府采购活动前三年内，在经营活动中没有重大违法记录和不良信用记录；（格式自拟）（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查询结果截图加盖单位公章。）（</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highlight w:val="yellow"/>
        </w:rPr>
      </w:pPr>
      <w:r>
        <w:rPr>
          <w:rFonts w:hint="eastAsia" w:hAnsi="宋体" w:cs="宋体"/>
          <w:kern w:val="2"/>
          <w:sz w:val="22"/>
          <w:szCs w:val="22"/>
        </w:rPr>
        <w:t>（6）如派委托代理办理竞标业务时须出具法定代表人授权委托书原件(委托书必须明确委托权限及时间）；</w:t>
      </w:r>
    </w:p>
    <w:p>
      <w:pPr>
        <w:pStyle w:val="9"/>
        <w:spacing w:line="420" w:lineRule="exact"/>
        <w:rPr>
          <w:rFonts w:hAnsi="宋体" w:cs="宋体"/>
          <w:kern w:val="2"/>
          <w:sz w:val="22"/>
          <w:szCs w:val="22"/>
        </w:rPr>
      </w:pPr>
      <w:r>
        <w:rPr>
          <w:rFonts w:hint="eastAsia" w:hAnsi="宋体" w:cs="宋体"/>
          <w:kern w:val="2"/>
          <w:sz w:val="22"/>
          <w:szCs w:val="22"/>
        </w:rPr>
        <w:t>（7）</w:t>
      </w:r>
      <w:r>
        <w:rPr>
          <w:rFonts w:hint="eastAsia" w:hAnsi="宋体" w:cs="宋体"/>
          <w:kern w:val="2"/>
          <w:sz w:val="22"/>
          <w:szCs w:val="22"/>
          <w:lang w:eastAsia="zh-CN"/>
        </w:rPr>
        <w:t>根据“货物需求一览表” 中的如有要求，提供需要的有效的证明文件（按采购需求详细列明）（如有要求的必须提供）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（8）售后服务承诺书；（</w:t>
      </w:r>
      <w:r>
        <w:rPr>
          <w:rFonts w:hint="eastAsia" w:hAnsi="宋体" w:cs="宋体"/>
          <w:sz w:val="22"/>
          <w:szCs w:val="22"/>
        </w:rPr>
        <w:t>必须提供</w:t>
      </w:r>
      <w:r>
        <w:rPr>
          <w:rFonts w:hint="eastAsia" w:hAnsi="宋体" w:cs="宋体"/>
          <w:kern w:val="2"/>
          <w:sz w:val="22"/>
          <w:szCs w:val="22"/>
        </w:rPr>
        <w:t>）；</w:t>
      </w:r>
    </w:p>
    <w:p>
      <w:pPr>
        <w:pStyle w:val="9"/>
        <w:spacing w:line="420" w:lineRule="exact"/>
        <w:rPr>
          <w:rFonts w:hAnsi="宋体" w:cs="宋体"/>
          <w:kern w:val="2"/>
          <w:sz w:val="22"/>
          <w:szCs w:val="22"/>
        </w:rPr>
      </w:pPr>
      <w:r>
        <w:rPr>
          <w:rFonts w:hint="eastAsia" w:hAnsi="宋体" w:cs="宋体"/>
          <w:kern w:val="2"/>
          <w:sz w:val="22"/>
          <w:szCs w:val="22"/>
        </w:rPr>
        <w:t>（9）竞标人认为有必要提供的其他有关材料；</w:t>
      </w:r>
    </w:p>
    <w:p>
      <w:pPr>
        <w:pStyle w:val="9"/>
        <w:spacing w:line="420" w:lineRule="exact"/>
        <w:rPr>
          <w:rFonts w:hAnsi="宋体" w:cs="宋体"/>
          <w:sz w:val="22"/>
          <w:szCs w:val="22"/>
        </w:rPr>
      </w:pPr>
    </w:p>
    <w:p>
      <w:pPr>
        <w:pStyle w:val="9"/>
        <w:spacing w:line="360" w:lineRule="auto"/>
        <w:rPr>
          <w:rFonts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exact"/>
        <w:rPr>
          <w:rFonts w:ascii="宋体" w:hAnsi="宋体" w:cs="宋体"/>
          <w:sz w:val="22"/>
          <w:szCs w:val="22"/>
        </w:rPr>
      </w:pPr>
    </w:p>
    <w:p>
      <w:pPr>
        <w:spacing w:line="360" w:lineRule="auto"/>
        <w:ind w:left="620"/>
        <w:jc w:val="center"/>
        <w:rPr>
          <w:rFonts w:ascii="宋体" w:hAnsi="宋体" w:cs="宋体"/>
          <w:b/>
          <w:sz w:val="22"/>
          <w:szCs w:val="22"/>
        </w:rPr>
        <w:sectPr>
          <w:pgSz w:w="11906" w:h="16838"/>
          <w:pgMar w:top="1134" w:right="1134" w:bottom="1134" w:left="1587" w:header="851" w:footer="992" w:gutter="0"/>
          <w:cols w:space="720" w:num="1"/>
          <w:docGrid w:type="lines" w:linePitch="312" w:charSpace="0"/>
        </w:sectPr>
      </w:pPr>
    </w:p>
    <w:p>
      <w:pPr>
        <w:pStyle w:val="9"/>
        <w:spacing w:line="480" w:lineRule="exact"/>
        <w:ind w:firstLine="440" w:firstLineChars="200"/>
        <w:rPr>
          <w:rFonts w:hAnsi="宋体" w:cs="宋体"/>
          <w:sz w:val="22"/>
          <w:szCs w:val="22"/>
        </w:rPr>
      </w:pPr>
    </w:p>
    <w:p>
      <w:pPr>
        <w:pStyle w:val="4"/>
      </w:pPr>
      <w:bookmarkStart w:id="63" w:name="_Toc433961211"/>
      <w:bookmarkStart w:id="64" w:name="_Toc22253"/>
      <w:bookmarkStart w:id="65" w:name="_Toc25162"/>
      <w:bookmarkStart w:id="66" w:name="_Toc403033474"/>
      <w:r>
        <w:rPr>
          <w:rFonts w:hint="eastAsia"/>
        </w:rPr>
        <w:t>第五章 合同基本条款及合同书（格式）</w:t>
      </w:r>
      <w:bookmarkEnd w:id="63"/>
      <w:bookmarkEnd w:id="64"/>
      <w:bookmarkEnd w:id="65"/>
      <w:bookmarkEnd w:id="66"/>
    </w:p>
    <w:p>
      <w:pPr>
        <w:snapToGrid w:val="0"/>
        <w:spacing w:line="520" w:lineRule="exact"/>
        <w:jc w:val="center"/>
        <w:rPr>
          <w:rFonts w:ascii="宋体" w:hAnsi="宋体" w:cs="宋体"/>
          <w:b/>
          <w:sz w:val="22"/>
          <w:szCs w:val="22"/>
        </w:rPr>
      </w:pPr>
      <w:r>
        <w:rPr>
          <w:rFonts w:hint="eastAsia" w:ascii="宋体" w:hAnsi="宋体" w:cs="宋体"/>
          <w:b/>
          <w:sz w:val="22"/>
          <w:szCs w:val="22"/>
        </w:rPr>
        <w:t>广西壮族自治区政府采购合同</w:t>
      </w:r>
    </w:p>
    <w:p>
      <w:pPr>
        <w:snapToGrid w:val="0"/>
        <w:spacing w:line="460" w:lineRule="exact"/>
        <w:ind w:right="480" w:firstLine="7260" w:firstLineChars="3300"/>
        <w:rPr>
          <w:rFonts w:ascii="宋体" w:hAnsi="宋体" w:cs="宋体"/>
          <w:sz w:val="22"/>
          <w:szCs w:val="22"/>
        </w:rPr>
      </w:pPr>
    </w:p>
    <w:p>
      <w:pPr>
        <w:snapToGrid w:val="0"/>
        <w:spacing w:line="440" w:lineRule="exact"/>
        <w:ind w:right="480" w:firstLine="7260" w:firstLineChars="3300"/>
        <w:rPr>
          <w:rFonts w:ascii="宋体" w:hAnsi="宋体" w:cs="宋体"/>
          <w:sz w:val="22"/>
          <w:szCs w:val="22"/>
          <w:u w:val="single"/>
        </w:rPr>
      </w:pPr>
      <w:r>
        <w:rPr>
          <w:rFonts w:hint="eastAsia" w:ascii="宋体" w:hAnsi="宋体" w:cs="宋体"/>
          <w:sz w:val="22"/>
          <w:szCs w:val="22"/>
        </w:rPr>
        <w:t>合同编号：</w:t>
      </w:r>
    </w:p>
    <w:p>
      <w:pPr>
        <w:snapToGrid w:val="0"/>
        <w:spacing w:line="440" w:lineRule="exact"/>
        <w:rPr>
          <w:rFonts w:hint="eastAsia" w:ascii="宋体" w:hAnsi="宋体" w:eastAsia="宋体" w:cs="宋体"/>
          <w:sz w:val="22"/>
          <w:szCs w:val="22"/>
          <w:u w:val="single"/>
          <w:lang w:eastAsia="zh-CN"/>
        </w:rPr>
      </w:pPr>
      <w:r>
        <w:rPr>
          <w:rFonts w:hint="eastAsia" w:ascii="宋体" w:hAnsi="宋体" w:cs="宋体"/>
          <w:sz w:val="22"/>
          <w:szCs w:val="22"/>
        </w:rPr>
        <w:t>采购单位（甲方）</w:t>
      </w: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宋体" w:hAnsi="宋体" w:cs="宋体"/>
          <w:spacing w:val="-20"/>
          <w:sz w:val="22"/>
          <w:szCs w:val="22"/>
        </w:rPr>
        <w:t>采 购 计 划 号</w:t>
      </w:r>
      <w:r>
        <w:rPr>
          <w:rFonts w:hint="eastAsia" w:ascii="宋体" w:hAnsi="宋体" w:cs="宋体"/>
          <w:spacing w:val="-20"/>
          <w:sz w:val="22"/>
          <w:szCs w:val="22"/>
          <w:lang w:eastAsia="zh-CN"/>
        </w:rPr>
        <w:t>：</w:t>
      </w:r>
    </w:p>
    <w:p>
      <w:pPr>
        <w:snapToGrid w:val="0"/>
        <w:spacing w:line="440" w:lineRule="exact"/>
        <w:rPr>
          <w:rFonts w:hint="eastAsia" w:ascii="宋体" w:hAnsi="宋体" w:cs="宋体"/>
          <w:sz w:val="22"/>
          <w:szCs w:val="22"/>
          <w:lang w:val="en-US" w:eastAsia="zh-CN"/>
        </w:rPr>
      </w:pPr>
      <w:r>
        <w:rPr>
          <w:rFonts w:hint="eastAsia" w:ascii="宋体" w:hAnsi="宋体" w:cs="宋体"/>
          <w:sz w:val="22"/>
          <w:szCs w:val="22"/>
        </w:rPr>
        <w:t>供 应 商（乙方）</w:t>
      </w:r>
      <w:r>
        <w:rPr>
          <w:rFonts w:hint="eastAsia" w:ascii="宋体" w:hAnsi="宋体" w:cs="宋体"/>
          <w:sz w:val="22"/>
          <w:szCs w:val="22"/>
          <w:lang w:eastAsia="zh-CN"/>
        </w:rPr>
        <w:t>：</w:t>
      </w:r>
      <w:r>
        <w:rPr>
          <w:rFonts w:hint="eastAsia" w:ascii="宋体" w:hAnsi="宋体" w:cs="宋体"/>
          <w:sz w:val="22"/>
          <w:szCs w:val="22"/>
          <w:lang w:val="en-US" w:eastAsia="zh-CN"/>
        </w:rPr>
        <w:t xml:space="preserve">                        项目名称、项目编号</w:t>
      </w:r>
    </w:p>
    <w:p>
      <w:pPr>
        <w:snapToGrid w:val="0"/>
        <w:spacing w:line="440" w:lineRule="exact"/>
        <w:rPr>
          <w:rFonts w:hint="eastAsia" w:ascii="宋体" w:hAnsi="宋体" w:eastAsia="宋体" w:cs="宋体"/>
          <w:sz w:val="22"/>
          <w:szCs w:val="22"/>
          <w:u w:val="single"/>
          <w:lang w:eastAsia="zh-CN"/>
        </w:rPr>
      </w:pPr>
      <w:r>
        <w:rPr>
          <w:rFonts w:hint="eastAsia" w:ascii="宋体" w:hAnsi="宋体" w:cs="宋体"/>
          <w:sz w:val="22"/>
          <w:szCs w:val="22"/>
        </w:rPr>
        <w:t>签  订  地  点</w:t>
      </w:r>
      <w:r>
        <w:rPr>
          <w:rFonts w:hint="eastAsia" w:ascii="宋体" w:hAnsi="宋体" w:cs="宋体"/>
          <w:sz w:val="22"/>
          <w:szCs w:val="22"/>
          <w:lang w:eastAsia="zh-CN"/>
        </w:rPr>
        <w:t>：</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签 订 时 间</w:t>
      </w:r>
      <w:r>
        <w:rPr>
          <w:rFonts w:hint="eastAsia" w:ascii="宋体" w:hAnsi="宋体" w:cs="宋体"/>
          <w:sz w:val="22"/>
          <w:szCs w:val="22"/>
          <w:lang w:eastAsia="zh-CN"/>
        </w:rPr>
        <w:t>：</w:t>
      </w:r>
    </w:p>
    <w:p>
      <w:pPr>
        <w:snapToGrid w:val="0"/>
        <w:spacing w:line="440" w:lineRule="exact"/>
        <w:ind w:firstLine="440" w:firstLineChars="200"/>
        <w:rPr>
          <w:rFonts w:ascii="宋体" w:hAnsi="宋体" w:cs="宋体"/>
          <w:sz w:val="22"/>
          <w:szCs w:val="22"/>
        </w:rPr>
      </w:pP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根据《中华人民共和国政府采购法》、《中华人民共和国合同法》等法律、法规规定，按照竞争性谈判采购文件规定条款和</w:t>
      </w:r>
      <w:r>
        <w:rPr>
          <w:rFonts w:hint="eastAsia" w:ascii="宋体" w:hAnsi="宋体" w:cs="宋体"/>
          <w:sz w:val="22"/>
          <w:szCs w:val="22"/>
          <w:lang w:val="en-US" w:eastAsia="zh-CN"/>
        </w:rPr>
        <w:t>成交</w:t>
      </w:r>
      <w:r>
        <w:rPr>
          <w:rFonts w:hint="eastAsia" w:ascii="宋体" w:hAnsi="宋体" w:cs="宋体"/>
          <w:sz w:val="22"/>
          <w:szCs w:val="22"/>
        </w:rPr>
        <w:t>供应商承诺，甲乙双方签订本合同。</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第一条　合同标的</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1、供货一览表</w:t>
      </w:r>
    </w:p>
    <w:tbl>
      <w:tblPr>
        <w:tblStyle w:val="16"/>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4"/>
        <w:gridCol w:w="1093"/>
        <w:gridCol w:w="2055"/>
        <w:gridCol w:w="1200"/>
        <w:gridCol w:w="1312"/>
        <w:gridCol w:w="840"/>
        <w:gridCol w:w="973"/>
        <w:gridCol w:w="787"/>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1074"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序号</w:t>
            </w:r>
          </w:p>
        </w:tc>
        <w:tc>
          <w:tcPr>
            <w:tcW w:w="1093" w:type="dxa"/>
            <w:noWrap/>
            <w:vAlign w:val="center"/>
          </w:tcPr>
          <w:p>
            <w:pPr>
              <w:widowControl/>
              <w:jc w:val="center"/>
              <w:textAlignment w:val="center"/>
              <w:rPr>
                <w:rFonts w:ascii="宋体" w:hAnsi="宋体" w:cs="宋体"/>
                <w:b/>
                <w:sz w:val="22"/>
                <w:szCs w:val="22"/>
              </w:rPr>
            </w:pPr>
            <w:r>
              <w:rPr>
                <w:rFonts w:hint="eastAsia" w:ascii="宋体" w:hAnsi="宋体" w:cs="宋体"/>
                <w:b/>
                <w:sz w:val="22"/>
                <w:szCs w:val="22"/>
                <w:lang w:val="en-US" w:eastAsia="zh-CN"/>
              </w:rPr>
              <w:t>设备</w:t>
            </w:r>
            <w:r>
              <w:rPr>
                <w:rFonts w:hint="eastAsia" w:ascii="宋体" w:hAnsi="宋体" w:cs="宋体"/>
                <w:b/>
                <w:sz w:val="22"/>
                <w:szCs w:val="22"/>
              </w:rPr>
              <w:t>名称</w:t>
            </w:r>
          </w:p>
        </w:tc>
        <w:tc>
          <w:tcPr>
            <w:tcW w:w="2055"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品牌、产地</w:t>
            </w:r>
          </w:p>
        </w:tc>
        <w:tc>
          <w:tcPr>
            <w:tcW w:w="1200"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型号、规格、参数</w:t>
            </w:r>
          </w:p>
        </w:tc>
        <w:tc>
          <w:tcPr>
            <w:tcW w:w="1312"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单位</w:t>
            </w:r>
          </w:p>
        </w:tc>
        <w:tc>
          <w:tcPr>
            <w:tcW w:w="840"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数量</w:t>
            </w:r>
          </w:p>
        </w:tc>
        <w:tc>
          <w:tcPr>
            <w:tcW w:w="973"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单价  （元）</w:t>
            </w:r>
          </w:p>
        </w:tc>
        <w:tc>
          <w:tcPr>
            <w:tcW w:w="787" w:type="dxa"/>
            <w:noWrap/>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rPr>
              <w:t>总价      （元）</w:t>
            </w:r>
          </w:p>
        </w:tc>
        <w:tc>
          <w:tcPr>
            <w:tcW w:w="587"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1</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2</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3</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b/>
                <w:kern w:val="0"/>
                <w:sz w:val="22"/>
                <w:szCs w:val="22"/>
              </w:rPr>
              <w:t>...</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b/>
                <w:kern w:val="0"/>
                <w:sz w:val="22"/>
                <w:szCs w:val="22"/>
              </w:rPr>
            </w:pPr>
            <w:r>
              <w:rPr>
                <w:rFonts w:hint="eastAsia" w:ascii="宋体" w:hAnsi="宋体" w:cs="宋体"/>
                <w:sz w:val="22"/>
                <w:szCs w:val="22"/>
              </w:rPr>
              <w:t>N</w:t>
            </w: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74" w:type="dxa"/>
            <w:noWrap/>
            <w:vAlign w:val="center"/>
          </w:tcPr>
          <w:p>
            <w:pPr>
              <w:widowControl/>
              <w:jc w:val="center"/>
              <w:textAlignment w:val="center"/>
              <w:rPr>
                <w:rFonts w:ascii="宋体" w:hAnsi="宋体" w:cs="宋体"/>
                <w:sz w:val="22"/>
                <w:szCs w:val="22"/>
              </w:rPr>
            </w:pPr>
          </w:p>
        </w:tc>
        <w:tc>
          <w:tcPr>
            <w:tcW w:w="1093" w:type="dxa"/>
            <w:noWrap/>
            <w:vAlign w:val="center"/>
          </w:tcPr>
          <w:p>
            <w:pPr>
              <w:widowControl/>
              <w:jc w:val="center"/>
              <w:textAlignment w:val="center"/>
              <w:rPr>
                <w:rFonts w:ascii="宋体" w:hAnsi="宋体" w:cs="宋体"/>
                <w:b/>
                <w:kern w:val="0"/>
                <w:sz w:val="22"/>
                <w:szCs w:val="22"/>
              </w:rPr>
            </w:pPr>
          </w:p>
        </w:tc>
        <w:tc>
          <w:tcPr>
            <w:tcW w:w="2055" w:type="dxa"/>
            <w:noWrap/>
            <w:vAlign w:val="center"/>
          </w:tcPr>
          <w:p>
            <w:pPr>
              <w:widowControl/>
              <w:jc w:val="center"/>
              <w:textAlignment w:val="center"/>
              <w:rPr>
                <w:rFonts w:ascii="宋体" w:hAnsi="宋体" w:cs="宋体"/>
                <w:b/>
                <w:kern w:val="0"/>
                <w:sz w:val="22"/>
                <w:szCs w:val="22"/>
              </w:rPr>
            </w:pPr>
          </w:p>
        </w:tc>
        <w:tc>
          <w:tcPr>
            <w:tcW w:w="1200" w:type="dxa"/>
            <w:noWrap/>
            <w:vAlign w:val="center"/>
          </w:tcPr>
          <w:p>
            <w:pPr>
              <w:widowControl/>
              <w:jc w:val="center"/>
              <w:textAlignment w:val="center"/>
              <w:rPr>
                <w:rFonts w:ascii="宋体" w:hAnsi="宋体" w:cs="宋体"/>
                <w:b/>
                <w:kern w:val="0"/>
                <w:sz w:val="22"/>
                <w:szCs w:val="22"/>
              </w:rPr>
            </w:pPr>
          </w:p>
        </w:tc>
        <w:tc>
          <w:tcPr>
            <w:tcW w:w="1312" w:type="dxa"/>
            <w:noWrap/>
            <w:vAlign w:val="center"/>
          </w:tcPr>
          <w:p>
            <w:pPr>
              <w:widowControl/>
              <w:jc w:val="center"/>
              <w:textAlignment w:val="center"/>
              <w:rPr>
                <w:rFonts w:ascii="宋体" w:hAnsi="宋体" w:cs="宋体"/>
                <w:b/>
                <w:kern w:val="0"/>
                <w:sz w:val="22"/>
                <w:szCs w:val="22"/>
              </w:rPr>
            </w:pPr>
          </w:p>
        </w:tc>
        <w:tc>
          <w:tcPr>
            <w:tcW w:w="840" w:type="dxa"/>
            <w:noWrap/>
            <w:vAlign w:val="center"/>
          </w:tcPr>
          <w:p>
            <w:pPr>
              <w:widowControl/>
              <w:jc w:val="center"/>
              <w:textAlignment w:val="center"/>
              <w:rPr>
                <w:rFonts w:ascii="宋体" w:hAnsi="宋体" w:cs="宋体"/>
                <w:b/>
                <w:kern w:val="0"/>
                <w:sz w:val="22"/>
                <w:szCs w:val="22"/>
              </w:rPr>
            </w:pPr>
          </w:p>
        </w:tc>
        <w:tc>
          <w:tcPr>
            <w:tcW w:w="973" w:type="dxa"/>
            <w:noWrap/>
            <w:vAlign w:val="center"/>
          </w:tcPr>
          <w:p>
            <w:pPr>
              <w:widowControl/>
              <w:jc w:val="center"/>
              <w:textAlignment w:val="center"/>
              <w:rPr>
                <w:rFonts w:ascii="宋体" w:hAnsi="宋体" w:cs="宋体"/>
                <w:b/>
                <w:kern w:val="0"/>
                <w:sz w:val="22"/>
                <w:szCs w:val="22"/>
              </w:rPr>
            </w:pPr>
          </w:p>
        </w:tc>
        <w:tc>
          <w:tcPr>
            <w:tcW w:w="787" w:type="dxa"/>
            <w:noWrap/>
            <w:vAlign w:val="center"/>
          </w:tcPr>
          <w:p>
            <w:pPr>
              <w:widowControl/>
              <w:jc w:val="center"/>
              <w:textAlignment w:val="center"/>
              <w:rPr>
                <w:rFonts w:ascii="宋体" w:hAnsi="宋体" w:cs="宋体"/>
                <w:b/>
                <w:kern w:val="0"/>
                <w:sz w:val="22"/>
                <w:szCs w:val="22"/>
              </w:rPr>
            </w:pPr>
          </w:p>
        </w:tc>
        <w:tc>
          <w:tcPr>
            <w:tcW w:w="587" w:type="dxa"/>
            <w:noWrap/>
            <w:vAlign w:val="center"/>
          </w:tcPr>
          <w:p>
            <w:pPr>
              <w:widowControl/>
              <w:jc w:val="center"/>
              <w:textAlignment w:val="center"/>
              <w:rPr>
                <w:rFonts w:ascii="宋体" w:hAnsi="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21" w:type="dxa"/>
            <w:gridSpan w:val="9"/>
            <w:noWrap/>
            <w:vAlign w:val="center"/>
          </w:tcPr>
          <w:p>
            <w:pPr>
              <w:pStyle w:val="9"/>
              <w:rPr>
                <w:rFonts w:hAnsi="宋体" w:cs="宋体"/>
                <w:b/>
                <w:sz w:val="22"/>
                <w:szCs w:val="22"/>
              </w:rPr>
            </w:pPr>
            <w:r>
              <w:rPr>
                <w:rFonts w:hint="eastAsia" w:hAnsi="宋体" w:cs="宋体"/>
                <w:spacing w:val="-6"/>
                <w:sz w:val="22"/>
                <w:szCs w:val="22"/>
              </w:rPr>
              <w:t>竞标总报价（大写）：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jc w:val="center"/>
        </w:trPr>
        <w:tc>
          <w:tcPr>
            <w:tcW w:w="9921" w:type="dxa"/>
            <w:gridSpan w:val="9"/>
            <w:noWrap/>
            <w:vAlign w:val="center"/>
          </w:tcPr>
          <w:p>
            <w:pPr>
              <w:widowControl/>
              <w:jc w:val="left"/>
              <w:textAlignment w:val="center"/>
              <w:rPr>
                <w:rFonts w:ascii="宋体" w:hAnsi="宋体" w:cs="宋体"/>
                <w:b/>
                <w:kern w:val="0"/>
                <w:sz w:val="22"/>
                <w:szCs w:val="22"/>
              </w:rPr>
            </w:pPr>
            <w:r>
              <w:rPr>
                <w:rFonts w:hint="eastAsia" w:ascii="宋体" w:hAnsi="宋体" w:cs="宋体"/>
                <w:spacing w:val="-6"/>
                <w:sz w:val="22"/>
                <w:szCs w:val="22"/>
              </w:rPr>
              <w:t>交付使用期：</w:t>
            </w:r>
          </w:p>
        </w:tc>
      </w:tr>
    </w:tbl>
    <w:p>
      <w:pPr>
        <w:snapToGrid w:val="0"/>
        <w:spacing w:line="420" w:lineRule="exact"/>
        <w:ind w:right="420"/>
        <w:rPr>
          <w:rFonts w:ascii="宋体" w:hAnsi="宋体" w:cs="宋体"/>
          <w:sz w:val="22"/>
          <w:szCs w:val="22"/>
        </w:rPr>
      </w:pPr>
      <w:r>
        <w:rPr>
          <w:rFonts w:hint="eastAsia" w:ascii="宋体" w:hAnsi="宋体" w:cs="宋体"/>
          <w:sz w:val="22"/>
          <w:szCs w:val="22"/>
        </w:rPr>
        <w:t>2、合同合计金额包括货物及服务价款，备件、专用工具、产品设计、安装、调试、检验、技术培训及技术资料和包装、运输等全部费用。如竞争性谈判采购文件对其另有规定的，从其规定。</w:t>
      </w:r>
    </w:p>
    <w:p>
      <w:pPr>
        <w:snapToGrid w:val="0"/>
        <w:spacing w:line="420" w:lineRule="exact"/>
        <w:ind w:firstLine="442" w:firstLineChars="200"/>
        <w:rPr>
          <w:rFonts w:ascii="宋体" w:hAnsi="宋体" w:cs="宋体"/>
          <w:sz w:val="22"/>
          <w:szCs w:val="22"/>
        </w:rPr>
      </w:pPr>
      <w:r>
        <w:rPr>
          <w:rFonts w:hint="eastAsia" w:ascii="宋体" w:hAnsi="宋体" w:cs="宋体"/>
          <w:b/>
          <w:sz w:val="22"/>
          <w:szCs w:val="22"/>
        </w:rPr>
        <w:t>第二条　质量保证</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1、乙方所提供的货物型号、技术规格、技术参数等质量必须与竞争性谈判采购文件和承诺相一致。乙方提供的自主创新产品、节能和环保产品必须是列入政府采购清单的产品。</w:t>
      </w:r>
    </w:p>
    <w:p>
      <w:pPr>
        <w:snapToGrid w:val="0"/>
        <w:spacing w:line="420" w:lineRule="exact"/>
        <w:ind w:firstLine="440" w:firstLineChars="200"/>
        <w:rPr>
          <w:rFonts w:ascii="宋体" w:hAnsi="宋体" w:cs="宋体"/>
          <w:sz w:val="22"/>
          <w:szCs w:val="22"/>
          <w:u w:val="single"/>
        </w:rPr>
      </w:pPr>
      <w:r>
        <w:rPr>
          <w:rFonts w:hint="eastAsia" w:ascii="宋体" w:hAnsi="宋体" w:cs="宋体"/>
          <w:sz w:val="22"/>
          <w:szCs w:val="22"/>
        </w:rPr>
        <w:t>2、乙方所提供的货物必须是全新、未使用的原装产品，且在正常安装、使用和保养条件下，其使用寿命期内各项指标均达到质量要求。</w:t>
      </w:r>
    </w:p>
    <w:p>
      <w:pPr>
        <w:snapToGrid w:val="0"/>
        <w:spacing w:line="420" w:lineRule="exact"/>
        <w:ind w:firstLine="442" w:firstLineChars="200"/>
        <w:rPr>
          <w:rFonts w:ascii="宋体" w:hAnsi="宋体" w:cs="宋体"/>
          <w:sz w:val="22"/>
          <w:szCs w:val="22"/>
        </w:rPr>
      </w:pPr>
      <w:r>
        <w:rPr>
          <w:rFonts w:hint="eastAsia" w:ascii="宋体" w:hAnsi="宋体" w:cs="宋体"/>
          <w:b/>
          <w:sz w:val="22"/>
          <w:szCs w:val="22"/>
        </w:rPr>
        <w:t>第三条　权利保证</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乙方应保证所提供货物在使用时不会侵犯任何第三方的专利权、商标权、工业设计权或其他权利。</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乙方应按竞争性谈判采购文件规定的时间向甲方提供使用货物的有关技术资料。</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乙方保证所交付的货物的所有权完全属于乙方且无任何抵押、质押、查封等产权瑕疵。</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第四条　包装和运输</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1、乙方提供的货物均应按竞争性谈判采购文件要求的包装材料、包装标准、包装方式进行包装，每一包装单元内应附详细的装箱单和质量合格证。</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2、货物的运输方式：</w:t>
      </w:r>
      <w:r>
        <w:rPr>
          <w:rFonts w:hint="eastAsia" w:ascii="宋体" w:hAnsi="宋体" w:cs="宋体"/>
          <w:sz w:val="22"/>
          <w:szCs w:val="22"/>
          <w:u w:val="single"/>
        </w:rPr>
        <w:t xml:space="preserve">       不限          </w:t>
      </w:r>
      <w:r>
        <w:rPr>
          <w:rFonts w:hint="eastAsia" w:ascii="宋体" w:hAnsi="宋体" w:cs="宋体"/>
          <w:sz w:val="22"/>
          <w:szCs w:val="22"/>
        </w:rPr>
        <w:t>。</w:t>
      </w:r>
    </w:p>
    <w:p>
      <w:pPr>
        <w:snapToGrid w:val="0"/>
        <w:spacing w:line="420" w:lineRule="exact"/>
        <w:ind w:firstLine="440" w:firstLineChars="200"/>
        <w:rPr>
          <w:rFonts w:ascii="宋体" w:hAnsi="宋体" w:cs="宋体"/>
          <w:sz w:val="22"/>
          <w:szCs w:val="22"/>
          <w:u w:val="single"/>
        </w:rPr>
      </w:pPr>
      <w:r>
        <w:rPr>
          <w:rFonts w:hint="eastAsia" w:ascii="宋体" w:hAnsi="宋体" w:cs="宋体"/>
          <w:sz w:val="22"/>
          <w:szCs w:val="22"/>
        </w:rPr>
        <w:t>3、乙方负责货物运输，货物运输合理损耗及计算方法：</w:t>
      </w:r>
      <w:r>
        <w:rPr>
          <w:rFonts w:hint="eastAsia" w:ascii="宋体" w:hAnsi="宋体" w:cs="宋体"/>
          <w:sz w:val="22"/>
          <w:szCs w:val="22"/>
          <w:u w:val="single"/>
        </w:rPr>
        <w:t xml:space="preserve">     无     </w:t>
      </w:r>
      <w:r>
        <w:rPr>
          <w:rFonts w:hint="eastAsia" w:ascii="宋体" w:hAnsi="宋体" w:cs="宋体"/>
          <w:sz w:val="22"/>
          <w:szCs w:val="22"/>
        </w:rPr>
        <w:t>。</w:t>
      </w:r>
    </w:p>
    <w:p>
      <w:pPr>
        <w:snapToGrid w:val="0"/>
        <w:spacing w:line="420" w:lineRule="exact"/>
        <w:ind w:firstLine="442" w:firstLineChars="200"/>
        <w:rPr>
          <w:rFonts w:ascii="宋体" w:hAnsi="宋体" w:cs="宋体"/>
          <w:sz w:val="22"/>
          <w:szCs w:val="22"/>
        </w:rPr>
      </w:pPr>
      <w:r>
        <w:rPr>
          <w:rFonts w:hint="eastAsia" w:ascii="宋体" w:hAnsi="宋体" w:cs="宋体"/>
          <w:b/>
          <w:sz w:val="22"/>
          <w:szCs w:val="22"/>
        </w:rPr>
        <w:t>第五条　交付和验收</w:t>
      </w:r>
    </w:p>
    <w:p>
      <w:pPr>
        <w:snapToGrid w:val="0"/>
        <w:spacing w:line="420" w:lineRule="exact"/>
        <w:ind w:firstLine="440" w:firstLineChars="200"/>
        <w:rPr>
          <w:rFonts w:ascii="宋体" w:hAnsi="宋体" w:cs="宋体"/>
          <w:sz w:val="22"/>
          <w:szCs w:val="22"/>
          <w:u w:val="single"/>
        </w:rPr>
      </w:pPr>
      <w:r>
        <w:rPr>
          <w:rFonts w:hint="eastAsia" w:ascii="宋体" w:hAnsi="宋体" w:cs="宋体"/>
          <w:sz w:val="22"/>
          <w:szCs w:val="22"/>
        </w:rPr>
        <w:t>1、交付使用期：</w:t>
      </w:r>
      <w:r>
        <w:rPr>
          <w:rFonts w:hint="eastAsia" w:ascii="宋体" w:hAnsi="宋体" w:cs="宋体"/>
          <w:sz w:val="22"/>
          <w:szCs w:val="22"/>
          <w:u w:val="single"/>
          <w:lang w:eastAsia="zh-CN"/>
        </w:rPr>
        <w:t>自签订合同之日起30天内安装好并交付使用</w:t>
      </w:r>
      <w:r>
        <w:rPr>
          <w:rFonts w:hint="eastAsia" w:ascii="宋体" w:hAnsi="宋体" w:cs="宋体"/>
          <w:sz w:val="22"/>
          <w:szCs w:val="22"/>
        </w:rPr>
        <w:t>。</w:t>
      </w:r>
    </w:p>
    <w:p>
      <w:pPr>
        <w:snapToGrid w:val="0"/>
        <w:spacing w:line="420" w:lineRule="exact"/>
        <w:ind w:firstLine="770" w:firstLineChars="350"/>
        <w:rPr>
          <w:rFonts w:ascii="宋体" w:hAnsi="宋体" w:cs="宋体"/>
          <w:sz w:val="22"/>
          <w:szCs w:val="22"/>
        </w:rPr>
      </w:pPr>
      <w:r>
        <w:rPr>
          <w:rFonts w:hint="eastAsia" w:ascii="宋体" w:hAnsi="宋体" w:cs="宋体"/>
          <w:sz w:val="22"/>
          <w:szCs w:val="22"/>
        </w:rPr>
        <w:t>交货地点：</w:t>
      </w:r>
      <w:r>
        <w:rPr>
          <w:rFonts w:hint="eastAsia" w:ascii="宋体" w:hAnsi="宋体" w:cs="宋体"/>
          <w:sz w:val="22"/>
          <w:szCs w:val="22"/>
          <w:u w:val="single"/>
        </w:rPr>
        <w:t>采购</w:t>
      </w:r>
      <w:r>
        <w:rPr>
          <w:rFonts w:hint="eastAsia" w:ascii="宋体" w:hAnsi="宋体" w:cs="宋体"/>
          <w:sz w:val="22"/>
          <w:szCs w:val="22"/>
          <w:u w:val="single"/>
          <w:lang w:val="en-US" w:eastAsia="zh-CN"/>
        </w:rPr>
        <w:t>单位</w:t>
      </w:r>
      <w:r>
        <w:rPr>
          <w:rFonts w:hint="eastAsia" w:ascii="宋体" w:hAnsi="宋体" w:cs="宋体"/>
          <w:sz w:val="22"/>
          <w:szCs w:val="22"/>
          <w:u w:val="single"/>
        </w:rPr>
        <w:t>指定</w:t>
      </w:r>
      <w:r>
        <w:rPr>
          <w:rFonts w:hint="eastAsia" w:ascii="宋体" w:hAnsi="宋体" w:cs="宋体"/>
          <w:sz w:val="22"/>
          <w:szCs w:val="22"/>
          <w:u w:val="single"/>
          <w:lang w:val="en-US" w:eastAsia="zh-CN"/>
        </w:rPr>
        <w:t>的交货</w:t>
      </w:r>
      <w:r>
        <w:rPr>
          <w:rFonts w:hint="eastAsia" w:ascii="宋体" w:hAnsi="宋体" w:cs="宋体"/>
          <w:sz w:val="22"/>
          <w:szCs w:val="22"/>
          <w:u w:val="single"/>
        </w:rPr>
        <w:t>地点</w:t>
      </w:r>
      <w:r>
        <w:rPr>
          <w:rFonts w:hint="eastAsia" w:ascii="宋体" w:hAnsi="宋体" w:cs="宋体"/>
          <w:sz w:val="22"/>
          <w:szCs w:val="22"/>
        </w:rPr>
        <w:t>。</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2、乙方提供不符合竞争性谈判采购文件和本合同规定的货物，甲方有权拒绝接受。</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3、乙方应将所提供货物的装箱清单、用户手册、原厂保修卡、随机资料、工具和备品、备件等交付给甲方，如有缺失应及时补齐，否则视为逾期交货。</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4、甲方应当在到货（安装、调试完）后七个工作日内进行验收，未经乙方同意且无正当理由逾期不验收的，乙方可视同验收合格。验收合格后由甲乙双方签署货物验收单并加盖采购单位公章，甲乙双方各执一份。</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6、甲方对验收有异议的，在验收后五个工作日内以书面形式向乙方提出，乙方应自收到甲方书面异议后</w:t>
      </w:r>
      <w:r>
        <w:rPr>
          <w:rFonts w:hint="eastAsia" w:ascii="宋体" w:hAnsi="宋体" w:cs="宋体"/>
          <w:sz w:val="22"/>
          <w:szCs w:val="22"/>
          <w:u w:val="single"/>
        </w:rPr>
        <w:t xml:space="preserve">   五   </w:t>
      </w:r>
      <w:r>
        <w:rPr>
          <w:rFonts w:hint="eastAsia" w:ascii="宋体" w:hAnsi="宋体" w:cs="宋体"/>
          <w:sz w:val="22"/>
          <w:szCs w:val="22"/>
        </w:rPr>
        <w:t>个工作日内及时予以解决。</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第六条　安装和培训</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1、甲方应提供必要安装条件（如场地、电源、水源等）。</w:t>
      </w:r>
    </w:p>
    <w:p>
      <w:pPr>
        <w:snapToGrid w:val="0"/>
        <w:spacing w:line="420" w:lineRule="exact"/>
        <w:ind w:firstLine="440" w:firstLineChars="200"/>
        <w:rPr>
          <w:rFonts w:ascii="宋体" w:hAnsi="宋体" w:cs="宋体"/>
          <w:sz w:val="22"/>
          <w:szCs w:val="22"/>
          <w:u w:val="single"/>
        </w:rPr>
      </w:pPr>
      <w:r>
        <w:rPr>
          <w:rFonts w:hint="eastAsia" w:ascii="宋体" w:hAnsi="宋体" w:cs="宋体"/>
          <w:sz w:val="22"/>
          <w:szCs w:val="22"/>
        </w:rPr>
        <w:t>2、乙方负责甲方有关人员的培训。培训时间、地点：</w:t>
      </w:r>
      <w:r>
        <w:rPr>
          <w:rFonts w:hint="eastAsia" w:ascii="宋体" w:hAnsi="宋体" w:cs="宋体"/>
          <w:sz w:val="22"/>
          <w:szCs w:val="22"/>
          <w:u w:val="single"/>
        </w:rPr>
        <w:t xml:space="preserve">   采购人指定的时间及地点  。</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第七条  售后服务、保修期</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1、乙方应按照国家有关法律法规和“三包”规定以及竞争性谈判采购文件和本合同所附的《服务承诺》，为甲方提供售后服务。</w:t>
      </w:r>
    </w:p>
    <w:p>
      <w:pPr>
        <w:snapToGrid w:val="0"/>
        <w:spacing w:line="420" w:lineRule="exact"/>
        <w:ind w:firstLine="440" w:firstLineChars="200"/>
        <w:rPr>
          <w:rFonts w:ascii="宋体" w:hAnsi="宋体" w:cs="宋体"/>
          <w:sz w:val="22"/>
          <w:szCs w:val="22"/>
          <w:u w:val="single"/>
        </w:rPr>
      </w:pPr>
      <w:r>
        <w:rPr>
          <w:rFonts w:hint="eastAsia" w:ascii="宋体" w:hAnsi="宋体" w:cs="宋体"/>
          <w:sz w:val="22"/>
          <w:szCs w:val="22"/>
        </w:rPr>
        <w:t>2、货物保修期：</w:t>
      </w:r>
      <w:r>
        <w:rPr>
          <w:rFonts w:hint="eastAsia" w:ascii="宋体" w:hAnsi="宋体" w:cs="宋体"/>
          <w:sz w:val="22"/>
          <w:szCs w:val="22"/>
          <w:u w:val="single"/>
        </w:rPr>
        <w:t xml:space="preserve">      按竞争性谈判采购文件中的《货物需求一览表》       </w:t>
      </w:r>
      <w:r>
        <w:rPr>
          <w:rFonts w:hint="eastAsia" w:ascii="宋体" w:hAnsi="宋体" w:cs="宋体"/>
          <w:sz w:val="22"/>
          <w:szCs w:val="22"/>
        </w:rPr>
        <w:t>。</w:t>
      </w:r>
    </w:p>
    <w:p>
      <w:pPr>
        <w:snapToGrid w:val="0"/>
        <w:spacing w:line="420" w:lineRule="exact"/>
        <w:ind w:firstLine="440" w:firstLineChars="200"/>
        <w:rPr>
          <w:rFonts w:ascii="宋体" w:hAnsi="宋体" w:cs="宋体"/>
          <w:sz w:val="22"/>
          <w:szCs w:val="22"/>
          <w:u w:val="single"/>
        </w:rPr>
      </w:pPr>
      <w:r>
        <w:rPr>
          <w:rFonts w:hint="eastAsia" w:ascii="宋体" w:hAnsi="宋体" w:cs="宋体"/>
          <w:sz w:val="22"/>
          <w:szCs w:val="22"/>
        </w:rPr>
        <w:t>3、乙方提供的服务承诺和售后服务及保修期责任等其它具体约定事项。（见合同附件）</w:t>
      </w:r>
    </w:p>
    <w:p>
      <w:pPr>
        <w:snapToGrid w:val="0"/>
        <w:spacing w:line="420" w:lineRule="exact"/>
        <w:ind w:firstLine="442" w:firstLineChars="200"/>
        <w:rPr>
          <w:rFonts w:ascii="宋体" w:hAnsi="宋体" w:cs="宋体"/>
          <w:sz w:val="22"/>
          <w:szCs w:val="22"/>
        </w:rPr>
      </w:pPr>
      <w:r>
        <w:rPr>
          <w:rFonts w:hint="eastAsia" w:ascii="宋体" w:hAnsi="宋体" w:cs="宋体"/>
          <w:b/>
          <w:sz w:val="22"/>
          <w:szCs w:val="22"/>
        </w:rPr>
        <w:t>第八条　付款方式和保证金</w:t>
      </w:r>
    </w:p>
    <w:p>
      <w:pPr>
        <w:pStyle w:val="9"/>
        <w:snapToGrid w:val="0"/>
        <w:spacing w:line="420" w:lineRule="exact"/>
        <w:ind w:firstLine="440" w:firstLineChars="200"/>
        <w:rPr>
          <w:rFonts w:hAnsi="宋体" w:cs="宋体"/>
          <w:sz w:val="22"/>
          <w:szCs w:val="22"/>
        </w:rPr>
      </w:pPr>
      <w:r>
        <w:rPr>
          <w:rFonts w:hint="eastAsia" w:hAnsi="宋体" w:cs="宋体"/>
          <w:sz w:val="22"/>
          <w:szCs w:val="22"/>
        </w:rPr>
        <w:t>1、当采购数量与实际使用数量不一致时，乙方应根据实际使用量供货，合同的最终结算金额按实际使用量乘以成交单价进行计算。</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2、资金性质：</w:t>
      </w:r>
      <w:r>
        <w:rPr>
          <w:rFonts w:hint="eastAsia" w:ascii="宋体" w:hAnsi="宋体" w:cs="宋体"/>
          <w:sz w:val="22"/>
          <w:szCs w:val="22"/>
          <w:u w:val="single"/>
        </w:rPr>
        <w:t xml:space="preserve">   财政资金   </w:t>
      </w:r>
      <w:r>
        <w:rPr>
          <w:rFonts w:hint="eastAsia" w:ascii="宋体" w:hAnsi="宋体" w:cs="宋体"/>
          <w:sz w:val="22"/>
          <w:szCs w:val="22"/>
        </w:rPr>
        <w:t>。</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3、本合同以人民币付款。</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4、乙方应按照双方签订的合同规定交货。交货后乙方应把下列单据提交给甲方收货单位：</w:t>
      </w:r>
    </w:p>
    <w:p>
      <w:pPr>
        <w:pStyle w:val="9"/>
        <w:spacing w:line="420" w:lineRule="exact"/>
        <w:ind w:firstLine="440" w:firstLineChars="200"/>
        <w:rPr>
          <w:rFonts w:hAnsi="宋体" w:cs="宋体"/>
          <w:sz w:val="22"/>
          <w:szCs w:val="22"/>
        </w:rPr>
      </w:pPr>
      <w:r>
        <w:rPr>
          <w:rFonts w:hint="eastAsia" w:hAnsi="宋体" w:cs="宋体"/>
          <w:sz w:val="22"/>
          <w:szCs w:val="22"/>
        </w:rPr>
        <w:t>（1）制造厂家出具的质量检验证书和数量证明书；</w:t>
      </w:r>
    </w:p>
    <w:p>
      <w:pPr>
        <w:pStyle w:val="9"/>
        <w:spacing w:line="420" w:lineRule="exact"/>
        <w:ind w:firstLine="440" w:firstLineChars="200"/>
        <w:rPr>
          <w:rFonts w:hAnsi="宋体" w:cs="宋体"/>
          <w:sz w:val="22"/>
          <w:szCs w:val="22"/>
        </w:rPr>
      </w:pPr>
      <w:r>
        <w:rPr>
          <w:rFonts w:hint="eastAsia" w:hAnsi="宋体" w:cs="宋体"/>
          <w:sz w:val="22"/>
          <w:szCs w:val="22"/>
        </w:rPr>
        <w:t>（2）装箱单；</w:t>
      </w:r>
    </w:p>
    <w:p>
      <w:pPr>
        <w:pStyle w:val="9"/>
        <w:spacing w:line="420" w:lineRule="exact"/>
        <w:ind w:firstLine="440" w:firstLineChars="200"/>
        <w:rPr>
          <w:rFonts w:hAnsi="宋体" w:cs="宋体"/>
          <w:sz w:val="22"/>
          <w:szCs w:val="22"/>
        </w:rPr>
      </w:pPr>
      <w:r>
        <w:rPr>
          <w:rFonts w:hint="eastAsia" w:hAnsi="宋体" w:cs="宋体"/>
          <w:sz w:val="22"/>
          <w:szCs w:val="22"/>
        </w:rPr>
        <w:t>（3）验收有关材料。</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5、付款方式：</w:t>
      </w:r>
    </w:p>
    <w:p>
      <w:pPr>
        <w:snapToGrid w:val="0"/>
        <w:spacing w:line="420" w:lineRule="exact"/>
        <w:ind w:right="33" w:firstLine="440" w:firstLineChars="200"/>
        <w:rPr>
          <w:rFonts w:hint="eastAsia" w:ascii="宋体" w:hAnsi="宋体" w:cs="宋体"/>
          <w:b w:val="0"/>
          <w:bCs/>
          <w:sz w:val="22"/>
          <w:szCs w:val="22"/>
          <w:highlight w:val="none"/>
          <w:lang w:eastAsia="zh-CN"/>
        </w:rPr>
      </w:pPr>
      <w:r>
        <w:rPr>
          <w:rFonts w:hint="eastAsia" w:ascii="宋体" w:hAnsi="宋体" w:cs="宋体"/>
          <w:b w:val="0"/>
          <w:bCs/>
          <w:sz w:val="22"/>
          <w:szCs w:val="22"/>
          <w:highlight w:val="none"/>
          <w:lang w:eastAsia="zh-CN"/>
        </w:rPr>
        <w:t>财政性资金按财政国库集中支付规定程序办理；货物送达到采购单位指定地点验收合格使用后30个工作日内支付合同总金额的9</w:t>
      </w:r>
      <w:r>
        <w:rPr>
          <w:rFonts w:hint="eastAsia" w:ascii="宋体" w:hAnsi="宋体" w:cs="宋体"/>
          <w:b w:val="0"/>
          <w:bCs/>
          <w:sz w:val="22"/>
          <w:szCs w:val="22"/>
          <w:highlight w:val="none"/>
          <w:lang w:val="en-US" w:eastAsia="zh-CN"/>
        </w:rPr>
        <w:t>0</w:t>
      </w:r>
      <w:r>
        <w:rPr>
          <w:rFonts w:hint="eastAsia" w:ascii="宋体" w:hAnsi="宋体" w:cs="宋体"/>
          <w:b w:val="0"/>
          <w:bCs/>
          <w:sz w:val="22"/>
          <w:szCs w:val="22"/>
          <w:highlight w:val="none"/>
          <w:lang w:eastAsia="zh-CN"/>
        </w:rPr>
        <w:t>%，余下的</w:t>
      </w:r>
      <w:r>
        <w:rPr>
          <w:rFonts w:hint="eastAsia" w:ascii="宋体" w:hAnsi="宋体" w:cs="宋体"/>
          <w:b w:val="0"/>
          <w:bCs/>
          <w:sz w:val="22"/>
          <w:szCs w:val="22"/>
          <w:highlight w:val="none"/>
          <w:lang w:val="en-US" w:eastAsia="zh-CN"/>
        </w:rPr>
        <w:t>10</w:t>
      </w:r>
      <w:r>
        <w:rPr>
          <w:rFonts w:hint="eastAsia" w:ascii="宋体" w:hAnsi="宋体" w:cs="宋体"/>
          <w:b w:val="0"/>
          <w:bCs/>
          <w:sz w:val="22"/>
          <w:szCs w:val="22"/>
          <w:highlight w:val="none"/>
          <w:lang w:eastAsia="zh-CN"/>
        </w:rPr>
        <w:t>%待</w:t>
      </w:r>
      <w:r>
        <w:rPr>
          <w:rFonts w:hint="eastAsia" w:ascii="宋体" w:hAnsi="宋体" w:cs="宋体"/>
          <w:b w:val="0"/>
          <w:bCs/>
          <w:sz w:val="22"/>
          <w:szCs w:val="22"/>
          <w:highlight w:val="none"/>
          <w:lang w:val="en-US" w:eastAsia="zh-CN"/>
        </w:rPr>
        <w:t>完成</w:t>
      </w:r>
      <w:r>
        <w:rPr>
          <w:rFonts w:hint="eastAsia" w:ascii="宋体" w:hAnsi="宋体" w:cs="宋体"/>
          <w:b w:val="0"/>
          <w:bCs/>
          <w:sz w:val="22"/>
          <w:szCs w:val="22"/>
          <w:highlight w:val="none"/>
          <w:lang w:eastAsia="zh-CN"/>
        </w:rPr>
        <w:t>建立乡（镇）、村（社区）交易服务体系</w:t>
      </w:r>
      <w:r>
        <w:rPr>
          <w:rFonts w:hint="eastAsia" w:ascii="宋体" w:hAnsi="宋体" w:cs="宋体"/>
          <w:b w:val="0"/>
          <w:bCs/>
          <w:sz w:val="22"/>
          <w:szCs w:val="22"/>
          <w:highlight w:val="none"/>
          <w:lang w:val="en-US" w:eastAsia="zh-CN"/>
        </w:rPr>
        <w:t>及</w:t>
      </w:r>
      <w:r>
        <w:rPr>
          <w:rFonts w:hint="eastAsia" w:ascii="宋体" w:hAnsi="宋体" w:cs="宋体"/>
          <w:b w:val="0"/>
          <w:bCs/>
          <w:sz w:val="22"/>
          <w:szCs w:val="22"/>
          <w:highlight w:val="none"/>
          <w:lang w:eastAsia="zh-CN"/>
        </w:rPr>
        <w:t>县、乡、村级所有培训服务</w:t>
      </w:r>
      <w:r>
        <w:rPr>
          <w:rFonts w:hint="eastAsia" w:ascii="宋体" w:hAnsi="宋体" w:cs="宋体"/>
          <w:b w:val="0"/>
          <w:bCs/>
          <w:sz w:val="22"/>
          <w:szCs w:val="22"/>
          <w:highlight w:val="none"/>
          <w:lang w:val="en-US" w:eastAsia="zh-CN"/>
        </w:rPr>
        <w:t>后，并</w:t>
      </w:r>
      <w:r>
        <w:rPr>
          <w:rFonts w:hint="eastAsia" w:ascii="宋体" w:hAnsi="宋体" w:cs="宋体"/>
          <w:b w:val="0"/>
          <w:bCs/>
          <w:sz w:val="22"/>
          <w:szCs w:val="22"/>
          <w:highlight w:val="none"/>
          <w:lang w:eastAsia="zh-CN"/>
        </w:rPr>
        <w:t>经验收合格后一次性付清。</w:t>
      </w:r>
    </w:p>
    <w:p>
      <w:pPr>
        <w:snapToGrid w:val="0"/>
        <w:spacing w:line="420" w:lineRule="exact"/>
        <w:ind w:right="33" w:firstLine="442" w:firstLineChars="200"/>
        <w:rPr>
          <w:rFonts w:ascii="宋体" w:hAnsi="宋体" w:cs="宋体"/>
          <w:b/>
          <w:sz w:val="22"/>
          <w:szCs w:val="22"/>
          <w:highlight w:val="none"/>
        </w:rPr>
      </w:pPr>
      <w:r>
        <w:rPr>
          <w:rFonts w:hint="eastAsia" w:ascii="宋体" w:hAnsi="宋体" w:cs="宋体"/>
          <w:b/>
          <w:sz w:val="22"/>
          <w:szCs w:val="22"/>
          <w:highlight w:val="none"/>
        </w:rPr>
        <w:t>第九条　</w:t>
      </w:r>
      <w:r>
        <w:rPr>
          <w:rFonts w:hint="eastAsia" w:ascii="宋体" w:hAnsi="宋体" w:cs="宋体"/>
          <w:b/>
          <w:sz w:val="22"/>
          <w:szCs w:val="22"/>
          <w:highlight w:val="none"/>
          <w:lang w:val="en-US" w:eastAsia="zh-CN"/>
        </w:rPr>
        <w:t>履约</w:t>
      </w:r>
      <w:r>
        <w:rPr>
          <w:rFonts w:hint="eastAsia" w:ascii="宋体" w:hAnsi="宋体" w:cs="宋体"/>
          <w:b/>
          <w:sz w:val="22"/>
          <w:szCs w:val="22"/>
          <w:highlight w:val="none"/>
        </w:rPr>
        <w:t>保证金</w:t>
      </w:r>
    </w:p>
    <w:p>
      <w:pPr>
        <w:snapToGrid w:val="0"/>
        <w:spacing w:line="420" w:lineRule="exact"/>
        <w:ind w:right="33" w:firstLine="440" w:firstLineChars="200"/>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en-US" w:eastAsia="zh-CN"/>
        </w:rPr>
        <w:t>履约</w:t>
      </w:r>
      <w:r>
        <w:rPr>
          <w:rFonts w:hint="eastAsia" w:ascii="宋体" w:hAnsi="宋体" w:cs="宋体"/>
          <w:b w:val="0"/>
          <w:bCs/>
          <w:sz w:val="22"/>
          <w:szCs w:val="22"/>
          <w:highlight w:val="none"/>
          <w:lang w:eastAsia="zh-CN"/>
        </w:rPr>
        <w:t>保证金：</w:t>
      </w:r>
      <w:r>
        <w:rPr>
          <w:rFonts w:hint="eastAsia" w:ascii="宋体" w:hAnsi="宋体" w:cs="宋体"/>
          <w:b w:val="0"/>
          <w:bCs/>
          <w:sz w:val="22"/>
          <w:szCs w:val="22"/>
          <w:highlight w:val="none"/>
          <w:lang w:val="en-US" w:eastAsia="zh-CN"/>
        </w:rPr>
        <w:t>无。</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第十条　税费</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本合同执行中相关的一切税费均由乙方承担。</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第十一条、质量保证及售后服务</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1、乙方应按竞争性谈判采购文件规定的货物性能、技术要求、质量标准向甲方提供未经使用的全新产品。</w:t>
      </w:r>
    </w:p>
    <w:p>
      <w:pPr>
        <w:pStyle w:val="9"/>
        <w:snapToGrid w:val="0"/>
        <w:spacing w:line="420" w:lineRule="exact"/>
        <w:ind w:firstLine="440" w:firstLineChars="200"/>
        <w:rPr>
          <w:rFonts w:hAnsi="宋体" w:cs="宋体"/>
          <w:sz w:val="22"/>
          <w:szCs w:val="22"/>
        </w:rPr>
      </w:pPr>
      <w:r>
        <w:rPr>
          <w:rFonts w:hint="eastAsia" w:hAnsi="宋体" w:cs="宋体"/>
          <w:sz w:val="22"/>
          <w:szCs w:val="22"/>
        </w:rPr>
        <w:t>对达不到要求者，根据实际情况，经双方协商，可按以下办法处理：</w:t>
      </w:r>
    </w:p>
    <w:p>
      <w:pPr>
        <w:pStyle w:val="9"/>
        <w:snapToGrid w:val="0"/>
        <w:spacing w:line="420" w:lineRule="exact"/>
        <w:ind w:firstLine="440" w:firstLineChars="200"/>
        <w:rPr>
          <w:rFonts w:hAnsi="宋体" w:cs="宋体"/>
          <w:sz w:val="22"/>
          <w:szCs w:val="22"/>
        </w:rPr>
      </w:pPr>
      <w:r>
        <w:rPr>
          <w:rFonts w:hint="eastAsia" w:hAnsi="宋体" w:cs="宋体"/>
          <w:sz w:val="22"/>
          <w:szCs w:val="22"/>
        </w:rPr>
        <w:t>⑴更换：由乙方承担所发生的全部费用。</w:t>
      </w:r>
    </w:p>
    <w:p>
      <w:pPr>
        <w:pStyle w:val="9"/>
        <w:snapToGrid w:val="0"/>
        <w:spacing w:line="420" w:lineRule="exact"/>
        <w:ind w:firstLine="420"/>
        <w:rPr>
          <w:rFonts w:hAnsi="宋体" w:cs="宋体"/>
          <w:sz w:val="22"/>
          <w:szCs w:val="22"/>
        </w:rPr>
      </w:pPr>
      <w:r>
        <w:rPr>
          <w:rFonts w:hint="eastAsia" w:hAnsi="宋体" w:cs="宋体"/>
          <w:sz w:val="22"/>
          <w:szCs w:val="22"/>
        </w:rPr>
        <w:t>⑵贬值处理：由甲乙双方合议定价。</w:t>
      </w:r>
    </w:p>
    <w:p>
      <w:pPr>
        <w:pStyle w:val="9"/>
        <w:snapToGrid w:val="0"/>
        <w:spacing w:line="420" w:lineRule="exact"/>
        <w:ind w:left="420" w:leftChars="200"/>
        <w:rPr>
          <w:rFonts w:hAnsi="宋体" w:cs="宋体"/>
          <w:sz w:val="22"/>
          <w:szCs w:val="22"/>
        </w:rPr>
      </w:pPr>
      <w:r>
        <w:rPr>
          <w:rFonts w:hint="eastAsia" w:hAnsi="宋体" w:cs="宋体"/>
          <w:sz w:val="22"/>
          <w:szCs w:val="22"/>
        </w:rPr>
        <w:t>⑶退货处理：乙方应退还甲方支付的合同款，同时应承担该货物的直接费用（运输、保险、检验、货款利息及银行手续费等）。</w:t>
      </w:r>
    </w:p>
    <w:p>
      <w:pPr>
        <w:pStyle w:val="9"/>
        <w:snapToGrid w:val="0"/>
        <w:spacing w:line="420" w:lineRule="exact"/>
        <w:ind w:firstLine="440" w:firstLineChars="200"/>
        <w:rPr>
          <w:rFonts w:hAnsi="宋体" w:cs="宋体"/>
          <w:sz w:val="22"/>
          <w:szCs w:val="22"/>
        </w:rPr>
      </w:pPr>
      <w:r>
        <w:rPr>
          <w:rFonts w:hint="eastAsia" w:hAnsi="宋体" w:cs="宋体"/>
          <w:sz w:val="22"/>
          <w:szCs w:val="22"/>
        </w:rPr>
        <w:t>2、如在使用过程中发生质量问题，乙方在接到甲方通知后在</w:t>
      </w:r>
      <w:r>
        <w:rPr>
          <w:rFonts w:hint="eastAsia" w:hAnsi="宋体" w:cs="宋体"/>
          <w:sz w:val="22"/>
          <w:szCs w:val="22"/>
          <w:u w:val="single"/>
        </w:rPr>
        <w:t xml:space="preserve"> 5 </w:t>
      </w:r>
      <w:r>
        <w:rPr>
          <w:rFonts w:hint="eastAsia" w:hAnsi="宋体" w:cs="宋体"/>
          <w:sz w:val="22"/>
          <w:szCs w:val="22"/>
        </w:rPr>
        <w:t>小时内到达甲方现场处理。</w:t>
      </w:r>
    </w:p>
    <w:p>
      <w:pPr>
        <w:pStyle w:val="9"/>
        <w:snapToGrid w:val="0"/>
        <w:spacing w:line="420" w:lineRule="exact"/>
        <w:ind w:firstLine="440" w:firstLineChars="200"/>
        <w:rPr>
          <w:rFonts w:hAnsi="宋体" w:cs="宋体"/>
          <w:sz w:val="22"/>
          <w:szCs w:val="22"/>
        </w:rPr>
      </w:pPr>
      <w:r>
        <w:rPr>
          <w:rFonts w:hint="eastAsia" w:hAnsi="宋体" w:cs="宋体"/>
          <w:sz w:val="22"/>
          <w:szCs w:val="22"/>
        </w:rPr>
        <w:t>3、在质保期内，乙方应对货物出现的质量及安全问题负责处理解决并承担一切费用。</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4、</w:t>
      </w:r>
      <w:r>
        <w:rPr>
          <w:rFonts w:hint="eastAsia"/>
        </w:rPr>
        <w:t>上述的货物免费保修期为1年，如采购文件“货物需求一览表”表中设备要求延期保修的必须按表中要求，因人为因素出现的故障不在免费保修范围内。超过保修期的货物设备，终生维修，维修时只收零部件成本费，</w:t>
      </w:r>
      <w:r>
        <w:rPr>
          <w:rFonts w:hint="eastAsia" w:ascii="宋体" w:hAnsi="宋体"/>
          <w:szCs w:val="21"/>
        </w:rPr>
        <w:t>成交供应商</w:t>
      </w:r>
      <w:r>
        <w:rPr>
          <w:rFonts w:ascii="宋体" w:hAnsi="宋体"/>
          <w:szCs w:val="21"/>
        </w:rPr>
        <w:t>在</w:t>
      </w:r>
      <w:r>
        <w:rPr>
          <w:rFonts w:hint="eastAsia" w:ascii="宋体" w:hAnsi="宋体" w:cs="宋体"/>
          <w:szCs w:val="21"/>
        </w:rPr>
        <w:t>接到用户的维修电话后30分钟内必须响应，5小时内必须赶到现场</w:t>
      </w:r>
      <w:r>
        <w:rPr>
          <w:rFonts w:ascii="宋体" w:hAnsi="宋体"/>
          <w:szCs w:val="21"/>
        </w:rPr>
        <w:t>修理解决，并免费更换有缺陷的货物或零部件，一般故障24小时内恢复正常使用，若不能及时修复则应有合理应对方案</w:t>
      </w:r>
      <w:r>
        <w:rPr>
          <w:rFonts w:hint="eastAsia" w:ascii="宋体" w:hAnsi="宋体"/>
          <w:szCs w:val="21"/>
        </w:rPr>
        <w:t>，</w:t>
      </w:r>
      <w:r>
        <w:rPr>
          <w:rFonts w:hint="eastAsia"/>
        </w:rPr>
        <w:t>按国家及行业标准对故障进行及时处理。</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第十二条、调试和验收</w:t>
      </w:r>
    </w:p>
    <w:p>
      <w:pPr>
        <w:pStyle w:val="9"/>
        <w:snapToGrid w:val="0"/>
        <w:spacing w:line="420" w:lineRule="exact"/>
        <w:ind w:firstLine="440" w:firstLineChars="200"/>
        <w:jc w:val="left"/>
        <w:rPr>
          <w:rFonts w:hAnsi="宋体" w:cs="宋体"/>
          <w:sz w:val="22"/>
          <w:szCs w:val="22"/>
        </w:rPr>
      </w:pPr>
      <w:r>
        <w:rPr>
          <w:rFonts w:hint="eastAsia" w:hAnsi="宋体" w:cs="宋体"/>
          <w:sz w:val="22"/>
          <w:szCs w:val="22"/>
        </w:rPr>
        <w:t>1、甲方对乙方提交的货物依据竞争性谈判采购文件上的技术规格要求和国家有关质量标准进行现场初步验收，外观、说明书符合竞争性谈判采购文件技术要求的，给予签收，初步验收不合格的不予签收。货到后，甲方应当在到货（安装、调试完）后七个工作日内进行验收。</w:t>
      </w:r>
    </w:p>
    <w:p>
      <w:pPr>
        <w:pStyle w:val="9"/>
        <w:snapToGrid w:val="0"/>
        <w:spacing w:line="420" w:lineRule="exact"/>
        <w:ind w:firstLine="440" w:firstLineChars="200"/>
        <w:rPr>
          <w:rFonts w:hAnsi="宋体" w:cs="宋体"/>
          <w:sz w:val="22"/>
          <w:szCs w:val="22"/>
        </w:rPr>
      </w:pPr>
      <w:r>
        <w:rPr>
          <w:rFonts w:hint="eastAsia" w:hAnsi="宋体" w:cs="宋体"/>
          <w:sz w:val="22"/>
          <w:szCs w:val="22"/>
        </w:rPr>
        <w:t>2、乙方交货前应对产品作出全面检查和对验收文件进行整理，并列出清单，作为甲方收货验收和使用的技术条件依据，检验的结果应随货物交甲方。</w:t>
      </w:r>
    </w:p>
    <w:p>
      <w:pPr>
        <w:pStyle w:val="9"/>
        <w:snapToGrid w:val="0"/>
        <w:spacing w:line="420" w:lineRule="exact"/>
        <w:ind w:firstLine="440" w:firstLineChars="200"/>
        <w:rPr>
          <w:rFonts w:hAnsi="宋体" w:cs="宋体"/>
          <w:sz w:val="22"/>
          <w:szCs w:val="22"/>
          <w:u w:val="single"/>
        </w:rPr>
      </w:pPr>
      <w:r>
        <w:rPr>
          <w:rFonts w:hint="eastAsia" w:hAnsi="宋体" w:cs="宋体"/>
          <w:sz w:val="22"/>
          <w:szCs w:val="22"/>
        </w:rPr>
        <w:t>3、甲方对乙方提供的货物在使用前进行调试时，乙方需负责安装并培训甲方的使用操作人员，并协助甲方一起调试，直到符合技术要求，甲方才做最终验收。</w:t>
      </w:r>
    </w:p>
    <w:p>
      <w:pPr>
        <w:pStyle w:val="9"/>
        <w:snapToGrid w:val="0"/>
        <w:spacing w:line="420" w:lineRule="exact"/>
        <w:ind w:firstLine="440" w:firstLineChars="200"/>
        <w:rPr>
          <w:rFonts w:hAnsi="宋体" w:cs="宋体"/>
          <w:sz w:val="22"/>
          <w:szCs w:val="22"/>
        </w:rPr>
      </w:pPr>
      <w:r>
        <w:rPr>
          <w:rFonts w:hint="eastAsia" w:hAnsi="宋体" w:cs="宋体"/>
          <w:sz w:val="22"/>
          <w:szCs w:val="22"/>
        </w:rPr>
        <w:t>4、对技术复杂的货物，甲方应请国家认可的专业检测机构参与初步验收及最终验收，并由其出具质量检测报告。</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5、验收时乙方必须在现场，验收完毕后作出验收结果报告；验收费用由乙方负责。</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第十三条、货物包装、发运及运输</w:t>
      </w:r>
    </w:p>
    <w:p>
      <w:pPr>
        <w:pStyle w:val="9"/>
        <w:snapToGrid w:val="0"/>
        <w:spacing w:line="420" w:lineRule="exact"/>
        <w:ind w:firstLine="440" w:firstLineChars="200"/>
        <w:rPr>
          <w:rFonts w:hAnsi="宋体" w:cs="宋体"/>
          <w:sz w:val="22"/>
          <w:szCs w:val="22"/>
        </w:rPr>
      </w:pPr>
      <w:r>
        <w:rPr>
          <w:rFonts w:hint="eastAsia" w:hAnsi="宋体" w:cs="宋体"/>
          <w:sz w:val="22"/>
          <w:szCs w:val="22"/>
        </w:rPr>
        <w:t>1、乙方应在货物发运前对其进行满足运输距离、防潮、防震、防锈和防破损装卸等要求包装，以保证货物安全运达甲方指定地点。</w:t>
      </w:r>
    </w:p>
    <w:p>
      <w:pPr>
        <w:pStyle w:val="9"/>
        <w:snapToGrid w:val="0"/>
        <w:spacing w:line="420" w:lineRule="exact"/>
        <w:ind w:left="420" w:leftChars="200"/>
        <w:rPr>
          <w:rFonts w:hAnsi="宋体" w:cs="宋体"/>
          <w:sz w:val="22"/>
          <w:szCs w:val="22"/>
        </w:rPr>
      </w:pPr>
      <w:r>
        <w:rPr>
          <w:rFonts w:hint="eastAsia" w:hAnsi="宋体" w:cs="宋体"/>
          <w:sz w:val="22"/>
          <w:szCs w:val="22"/>
        </w:rPr>
        <w:t>2、使用说明书、质量检验证明书、随配附件和工具以及清单一并附于货物内。</w:t>
      </w:r>
    </w:p>
    <w:p>
      <w:pPr>
        <w:pStyle w:val="9"/>
        <w:snapToGrid w:val="0"/>
        <w:spacing w:line="420" w:lineRule="exact"/>
        <w:ind w:left="420" w:leftChars="200"/>
        <w:rPr>
          <w:rFonts w:hAnsi="宋体" w:cs="宋体"/>
          <w:sz w:val="22"/>
          <w:szCs w:val="22"/>
        </w:rPr>
      </w:pPr>
      <w:r>
        <w:rPr>
          <w:rFonts w:hint="eastAsia" w:hAnsi="宋体" w:cs="宋体"/>
          <w:sz w:val="22"/>
          <w:szCs w:val="22"/>
        </w:rPr>
        <w:t>3、乙方在货物发运手续办理完毕后二十四小时内或货到甲方四十八小时前通知甲方，以准备接货。</w:t>
      </w:r>
    </w:p>
    <w:p>
      <w:pPr>
        <w:pStyle w:val="9"/>
        <w:snapToGrid w:val="0"/>
        <w:spacing w:line="420" w:lineRule="exact"/>
        <w:ind w:left="420" w:leftChars="200"/>
        <w:rPr>
          <w:rFonts w:hAnsi="宋体" w:cs="宋体"/>
          <w:sz w:val="22"/>
          <w:szCs w:val="22"/>
        </w:rPr>
      </w:pPr>
      <w:r>
        <w:rPr>
          <w:rFonts w:hint="eastAsia" w:hAnsi="宋体" w:cs="宋体"/>
          <w:sz w:val="22"/>
          <w:szCs w:val="22"/>
        </w:rPr>
        <w:t>4、货物在交付甲方前发生的风险均由乙方负责。</w:t>
      </w:r>
    </w:p>
    <w:p>
      <w:pPr>
        <w:snapToGrid w:val="0"/>
        <w:spacing w:line="420" w:lineRule="exact"/>
        <w:ind w:firstLine="440" w:firstLineChars="200"/>
        <w:rPr>
          <w:rFonts w:ascii="宋体" w:hAnsi="宋体" w:cs="宋体"/>
          <w:spacing w:val="-8"/>
          <w:sz w:val="22"/>
          <w:szCs w:val="22"/>
        </w:rPr>
      </w:pPr>
      <w:r>
        <w:rPr>
          <w:rFonts w:hint="eastAsia" w:ascii="宋体" w:hAnsi="宋体" w:cs="宋体"/>
          <w:sz w:val="22"/>
          <w:szCs w:val="22"/>
        </w:rPr>
        <w:t>5、货</w:t>
      </w:r>
      <w:r>
        <w:rPr>
          <w:rFonts w:hint="eastAsia" w:ascii="宋体" w:hAnsi="宋体" w:cs="宋体"/>
          <w:spacing w:val="-8"/>
          <w:sz w:val="22"/>
          <w:szCs w:val="22"/>
        </w:rPr>
        <w:t>物在规定的交付期限内由乙方送达甲方指定的地点视为交付，乙方同时需通知甲方货物已送达。</w:t>
      </w:r>
    </w:p>
    <w:p>
      <w:pPr>
        <w:snapToGrid w:val="0"/>
        <w:spacing w:line="420" w:lineRule="exact"/>
        <w:ind w:firstLine="442" w:firstLineChars="200"/>
        <w:rPr>
          <w:rFonts w:ascii="宋体" w:hAnsi="宋体" w:cs="宋体"/>
          <w:b/>
          <w:sz w:val="22"/>
          <w:szCs w:val="22"/>
        </w:rPr>
      </w:pPr>
      <w:r>
        <w:rPr>
          <w:rFonts w:hint="eastAsia" w:ascii="宋体" w:hAnsi="宋体" w:cs="宋体"/>
          <w:b/>
          <w:sz w:val="22"/>
          <w:szCs w:val="22"/>
        </w:rPr>
        <w:t>第十四条　违约责任</w:t>
      </w:r>
    </w:p>
    <w:p>
      <w:pPr>
        <w:snapToGrid w:val="0"/>
        <w:spacing w:line="420" w:lineRule="exact"/>
        <w:ind w:firstLine="565" w:firstLineChars="257"/>
        <w:rPr>
          <w:rFonts w:ascii="宋体" w:hAnsi="宋体" w:cs="宋体"/>
          <w:sz w:val="22"/>
          <w:szCs w:val="22"/>
        </w:rPr>
      </w:pPr>
      <w:r>
        <w:rPr>
          <w:rFonts w:hint="eastAsia" w:ascii="宋体" w:hAnsi="宋体" w:cs="宋体"/>
          <w:sz w:val="22"/>
          <w:szCs w:val="22"/>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20" w:lineRule="exact"/>
        <w:ind w:firstLine="495" w:firstLineChars="225"/>
        <w:rPr>
          <w:rFonts w:ascii="宋体" w:hAnsi="宋体" w:cs="宋体"/>
          <w:sz w:val="22"/>
          <w:szCs w:val="22"/>
        </w:rPr>
      </w:pPr>
      <w:r>
        <w:rPr>
          <w:rFonts w:hint="eastAsia" w:ascii="宋体" w:hAnsi="宋体" w:cs="宋体"/>
          <w:sz w:val="22"/>
          <w:szCs w:val="22"/>
        </w:rPr>
        <w:t>2、乙方提供的货物如侵犯了第三方合法权益而引发的任何纠纷或诉讼，均由乙方负责交涉并承担全部责任。</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3、因包装、运输引起的货物损坏，按质量不合格处理。</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4、甲方无故延期接收货物、乙方逾期交货的，每天向对方偿付违约货款额3‰违约金，但违约金累计不得超过违约货款额</w:t>
      </w:r>
      <w:r>
        <w:rPr>
          <w:rFonts w:hint="eastAsia" w:ascii="宋体" w:hAnsi="宋体" w:cs="宋体"/>
          <w:sz w:val="22"/>
          <w:szCs w:val="22"/>
          <w:u w:val="single"/>
        </w:rPr>
        <w:t xml:space="preserve"> 5% </w:t>
      </w:r>
      <w:r>
        <w:rPr>
          <w:rFonts w:hint="eastAsia" w:ascii="宋体" w:hAnsi="宋体" w:cs="宋体"/>
          <w:sz w:val="22"/>
          <w:szCs w:val="22"/>
        </w:rPr>
        <w:t>，超过</w:t>
      </w:r>
      <w:r>
        <w:rPr>
          <w:rFonts w:hint="eastAsia" w:ascii="宋体" w:hAnsi="宋体" w:cs="宋体"/>
          <w:sz w:val="22"/>
          <w:szCs w:val="22"/>
          <w:u w:val="single"/>
        </w:rPr>
        <w:t xml:space="preserve"> 20 </w:t>
      </w:r>
      <w:r>
        <w:rPr>
          <w:rFonts w:hint="eastAsia" w:ascii="宋体" w:hAnsi="宋体" w:cs="宋体"/>
          <w:sz w:val="22"/>
          <w:szCs w:val="22"/>
        </w:rPr>
        <w:t>天对方有权解除合同，违约方承担因此给对方造成的经济损失；甲方延期付货款的，每天向乙方偿付延期货款额</w:t>
      </w:r>
      <w:r>
        <w:rPr>
          <w:rFonts w:hint="eastAsia" w:ascii="宋体" w:hAnsi="宋体" w:cs="宋体"/>
          <w:sz w:val="22"/>
          <w:szCs w:val="22"/>
          <w:u w:val="single"/>
        </w:rPr>
        <w:t xml:space="preserve"> 3‰ </w:t>
      </w:r>
      <w:r>
        <w:rPr>
          <w:rFonts w:hint="eastAsia" w:ascii="宋体" w:hAnsi="宋体" w:cs="宋体"/>
          <w:sz w:val="22"/>
          <w:szCs w:val="22"/>
        </w:rPr>
        <w:t xml:space="preserve"> 滞纳金，但滞纳金累计不得超过延期货款额</w:t>
      </w:r>
      <w:r>
        <w:rPr>
          <w:rFonts w:hint="eastAsia" w:ascii="宋体" w:hAnsi="宋体" w:cs="宋体"/>
          <w:sz w:val="22"/>
          <w:szCs w:val="22"/>
          <w:u w:val="single"/>
        </w:rPr>
        <w:t xml:space="preserve"> 5% </w:t>
      </w:r>
      <w:r>
        <w:rPr>
          <w:rFonts w:hint="eastAsia" w:ascii="宋体" w:hAnsi="宋体" w:cs="宋体"/>
          <w:sz w:val="22"/>
          <w:szCs w:val="22"/>
        </w:rPr>
        <w:t>。</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5、乙方未按本合同和竞争性谈判采购文件中规定的服务承诺提供售后服务的，乙方应按本合同合计金额</w:t>
      </w:r>
      <w:r>
        <w:rPr>
          <w:rFonts w:hint="eastAsia" w:ascii="宋体" w:hAnsi="宋体" w:cs="宋体"/>
          <w:sz w:val="22"/>
          <w:szCs w:val="22"/>
          <w:u w:val="single"/>
        </w:rPr>
        <w:t xml:space="preserve"> 10% </w:t>
      </w:r>
      <w:r>
        <w:rPr>
          <w:rFonts w:hint="eastAsia" w:ascii="宋体" w:hAnsi="宋体" w:cs="宋体"/>
          <w:sz w:val="22"/>
          <w:szCs w:val="22"/>
        </w:rPr>
        <w:t>向甲方支付违约金。</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6、乙方提供的货物在质量保证期内，因设计、工艺或材料的缺陷和其它质量原因造成的问题，由乙方负责，费用从质量保证金中扣除，不足另补。</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7、其它违约行为按违约货款额5%收取违约金并赔偿经济损失。</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第十五条、不可抗力事件处理</w:t>
      </w:r>
    </w:p>
    <w:p>
      <w:pPr>
        <w:pStyle w:val="9"/>
        <w:snapToGrid w:val="0"/>
        <w:spacing w:line="420" w:lineRule="exact"/>
        <w:ind w:firstLine="440" w:firstLineChars="200"/>
        <w:rPr>
          <w:rFonts w:hAnsi="宋体" w:cs="宋体"/>
          <w:sz w:val="22"/>
          <w:szCs w:val="22"/>
        </w:rPr>
      </w:pPr>
      <w:r>
        <w:rPr>
          <w:rFonts w:hint="eastAsia" w:hAnsi="宋体" w:cs="宋体"/>
          <w:sz w:val="22"/>
          <w:szCs w:val="22"/>
        </w:rPr>
        <w:t>1、在合同有效期内，任何一方因不可抗力事件导致不能履行合同，则合同履行期可延长，其延长期与不可抗力影响期相同。</w:t>
      </w:r>
    </w:p>
    <w:p>
      <w:pPr>
        <w:pStyle w:val="9"/>
        <w:snapToGrid w:val="0"/>
        <w:spacing w:line="420" w:lineRule="exact"/>
        <w:ind w:firstLine="440" w:firstLineChars="200"/>
        <w:rPr>
          <w:rFonts w:hAnsi="宋体" w:cs="宋体"/>
          <w:sz w:val="22"/>
          <w:szCs w:val="22"/>
        </w:rPr>
      </w:pPr>
      <w:r>
        <w:rPr>
          <w:rFonts w:hint="eastAsia" w:hAnsi="宋体" w:cs="宋体"/>
          <w:sz w:val="22"/>
          <w:szCs w:val="22"/>
        </w:rPr>
        <w:t>2、不可抗力事件发生后，应立即通知对方，并寄送有关权威机构出具的证明。</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3、不可抗力事件延续一百二十天以上，双方应通过友好协商，确定是否继续履行合同。</w:t>
      </w:r>
    </w:p>
    <w:p>
      <w:pPr>
        <w:snapToGrid w:val="0"/>
        <w:spacing w:line="420" w:lineRule="exact"/>
        <w:ind w:firstLine="442" w:firstLineChars="200"/>
        <w:rPr>
          <w:rFonts w:ascii="宋体" w:hAnsi="宋体" w:cs="宋体"/>
          <w:sz w:val="22"/>
          <w:szCs w:val="22"/>
        </w:rPr>
      </w:pPr>
      <w:r>
        <w:rPr>
          <w:rFonts w:hint="eastAsia" w:ascii="宋体" w:hAnsi="宋体" w:cs="宋体"/>
          <w:b/>
          <w:sz w:val="22"/>
          <w:szCs w:val="22"/>
        </w:rPr>
        <w:t>第十六条  合同争议解决</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2、因履行本合同引起的或与本合同有关的争议，甲乙双方应首先通过友好协商解决，如果协商不能解决，可向人民法院提起诉讼。</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3、诉讼期间，本合同继续履行。</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第十七条、诉讼</w:t>
      </w:r>
    </w:p>
    <w:p>
      <w:pPr>
        <w:pStyle w:val="9"/>
        <w:snapToGrid w:val="0"/>
        <w:spacing w:line="420" w:lineRule="exact"/>
        <w:ind w:firstLine="376" w:firstLineChars="171"/>
        <w:rPr>
          <w:rFonts w:hAnsi="宋体" w:cs="宋体"/>
          <w:sz w:val="22"/>
          <w:szCs w:val="22"/>
        </w:rPr>
      </w:pPr>
      <w:r>
        <w:rPr>
          <w:rFonts w:hint="eastAsia" w:hAnsi="宋体" w:cs="宋体"/>
          <w:sz w:val="22"/>
          <w:szCs w:val="22"/>
        </w:rPr>
        <w:t xml:space="preserve"> 双方在执行合同中所发生的一切争议，应通过协商解决。如协商不能解决，可向人民法院提起诉讼。</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第十八条、合同生效及其它</w:t>
      </w:r>
    </w:p>
    <w:p>
      <w:pPr>
        <w:pStyle w:val="9"/>
        <w:snapToGrid w:val="0"/>
        <w:spacing w:line="420" w:lineRule="exact"/>
        <w:ind w:firstLine="440" w:firstLineChars="200"/>
        <w:rPr>
          <w:rFonts w:hAnsi="宋体" w:cs="宋体"/>
          <w:sz w:val="22"/>
          <w:szCs w:val="22"/>
        </w:rPr>
      </w:pPr>
      <w:r>
        <w:rPr>
          <w:rFonts w:hint="eastAsia" w:hAnsi="宋体" w:cs="宋体"/>
          <w:sz w:val="22"/>
          <w:szCs w:val="22"/>
        </w:rPr>
        <w:t>1、合同经双方法定代表人或授权代表签字并加盖单位公章后生效。</w:t>
      </w:r>
    </w:p>
    <w:p>
      <w:pPr>
        <w:pStyle w:val="9"/>
        <w:snapToGrid w:val="0"/>
        <w:spacing w:line="420" w:lineRule="exact"/>
        <w:ind w:firstLine="440" w:firstLineChars="200"/>
        <w:rPr>
          <w:rFonts w:hAnsi="宋体" w:cs="宋体"/>
          <w:sz w:val="22"/>
          <w:szCs w:val="22"/>
        </w:rPr>
      </w:pPr>
      <w:r>
        <w:rPr>
          <w:rFonts w:hint="eastAsia" w:hAnsi="宋体" w:cs="宋体"/>
          <w:sz w:val="22"/>
          <w:szCs w:val="22"/>
        </w:rPr>
        <w:t>2、合同执行中涉及采购资金和采购内容修改或补充的，须经财政部门审批，并签书面补充协议报财政部门备案，方可作为主合同不可分割的一部分。</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3、本合同未尽事宜，遵照《合同法》有关条文执行。</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第十九条、合同的变更、终止与转让</w:t>
      </w:r>
    </w:p>
    <w:p>
      <w:pPr>
        <w:pStyle w:val="9"/>
        <w:snapToGrid w:val="0"/>
        <w:spacing w:line="420" w:lineRule="exact"/>
        <w:ind w:firstLine="440" w:firstLineChars="200"/>
        <w:rPr>
          <w:rFonts w:hAnsi="宋体" w:cs="宋体"/>
          <w:sz w:val="22"/>
          <w:szCs w:val="22"/>
        </w:rPr>
      </w:pPr>
      <w:r>
        <w:rPr>
          <w:rFonts w:hint="eastAsia" w:hAnsi="宋体" w:cs="宋体"/>
          <w:sz w:val="22"/>
          <w:szCs w:val="22"/>
        </w:rPr>
        <w:t>1、除《中华人民共和国政府采购法》第五十条规定的情形外，本合同一经签订，甲乙双方不得擅自变更、中止或终止。</w:t>
      </w:r>
    </w:p>
    <w:p>
      <w:pPr>
        <w:pStyle w:val="9"/>
        <w:snapToGrid w:val="0"/>
        <w:spacing w:line="420" w:lineRule="exact"/>
        <w:ind w:firstLine="440" w:firstLineChars="200"/>
        <w:rPr>
          <w:rFonts w:hAnsi="宋体" w:cs="宋体"/>
          <w:sz w:val="22"/>
          <w:szCs w:val="22"/>
        </w:rPr>
      </w:pPr>
      <w:r>
        <w:rPr>
          <w:rFonts w:hint="eastAsia" w:hAnsi="宋体" w:cs="宋体"/>
          <w:sz w:val="22"/>
          <w:szCs w:val="22"/>
        </w:rPr>
        <w:t>2、乙方不得擅自转让（无进口资格的供应商委托进口货物除外）其应履行的合同义务。</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3、合同经双方法定代表人或授权代表签字并加盖单位公章后生效。</w:t>
      </w:r>
    </w:p>
    <w:p>
      <w:pPr>
        <w:pStyle w:val="9"/>
        <w:snapToGrid w:val="0"/>
        <w:spacing w:line="420" w:lineRule="exact"/>
        <w:ind w:firstLine="440" w:firstLineChars="200"/>
        <w:rPr>
          <w:rFonts w:hAnsi="宋体" w:cs="宋体"/>
          <w:sz w:val="22"/>
          <w:szCs w:val="22"/>
        </w:rPr>
      </w:pPr>
      <w:r>
        <w:rPr>
          <w:rFonts w:hint="eastAsia" w:hAnsi="宋体" w:cs="宋体"/>
          <w:sz w:val="22"/>
          <w:szCs w:val="22"/>
        </w:rPr>
        <w:t>4、合同执行中涉及采购资金和采购内容修改或补充的，须经财政部门审批，并签书面补充协议报财政部门备案，方可作为主合同不可分割的一部分。</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5、本合同未尽事宜，遵照《合同法》有关条文执行。</w:t>
      </w:r>
    </w:p>
    <w:p>
      <w:pPr>
        <w:pStyle w:val="9"/>
        <w:snapToGrid w:val="0"/>
        <w:spacing w:line="420" w:lineRule="exact"/>
        <w:ind w:firstLine="433" w:firstLineChars="196"/>
        <w:rPr>
          <w:rFonts w:hAnsi="宋体" w:cs="宋体"/>
          <w:b/>
          <w:sz w:val="22"/>
          <w:szCs w:val="22"/>
        </w:rPr>
      </w:pPr>
      <w:r>
        <w:rPr>
          <w:rFonts w:hint="eastAsia" w:hAnsi="宋体" w:cs="宋体"/>
          <w:b/>
          <w:sz w:val="22"/>
          <w:szCs w:val="22"/>
        </w:rPr>
        <w:t>第二十条、签订本合同依据</w:t>
      </w:r>
    </w:p>
    <w:p>
      <w:pPr>
        <w:pStyle w:val="9"/>
        <w:snapToGrid w:val="0"/>
        <w:spacing w:line="420" w:lineRule="exact"/>
        <w:ind w:firstLine="440" w:firstLineChars="200"/>
        <w:rPr>
          <w:rFonts w:hAnsi="宋体" w:cs="宋体"/>
          <w:sz w:val="22"/>
          <w:szCs w:val="22"/>
        </w:rPr>
      </w:pPr>
      <w:r>
        <w:rPr>
          <w:rFonts w:hint="eastAsia" w:hAnsi="宋体" w:cs="宋体"/>
          <w:sz w:val="22"/>
          <w:szCs w:val="22"/>
        </w:rPr>
        <w:t>1、政府采购竞争性谈判采购文件；</w:t>
      </w:r>
    </w:p>
    <w:p>
      <w:pPr>
        <w:pStyle w:val="9"/>
        <w:snapToGrid w:val="0"/>
        <w:spacing w:line="420" w:lineRule="exact"/>
        <w:ind w:firstLine="440" w:firstLineChars="200"/>
        <w:rPr>
          <w:rFonts w:hAnsi="宋体" w:cs="宋体"/>
          <w:sz w:val="22"/>
          <w:szCs w:val="22"/>
        </w:rPr>
      </w:pPr>
      <w:r>
        <w:rPr>
          <w:rFonts w:hint="eastAsia" w:hAnsi="宋体" w:cs="宋体"/>
          <w:sz w:val="22"/>
          <w:szCs w:val="22"/>
        </w:rPr>
        <w:t>2、乙方提供的采购竞标（或应答）文件；</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 xml:space="preserve">3、竞标承诺书；  </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4、成交通知书。</w:t>
      </w:r>
    </w:p>
    <w:p>
      <w:pPr>
        <w:snapToGrid w:val="0"/>
        <w:spacing w:line="420" w:lineRule="exact"/>
        <w:ind w:firstLine="442" w:firstLineChars="200"/>
        <w:rPr>
          <w:rFonts w:ascii="宋体" w:hAnsi="宋体" w:cs="宋体"/>
          <w:sz w:val="22"/>
          <w:szCs w:val="22"/>
        </w:rPr>
      </w:pPr>
      <w:r>
        <w:rPr>
          <w:rFonts w:hint="eastAsia" w:ascii="宋体" w:hAnsi="宋体" w:cs="宋体"/>
          <w:b/>
          <w:sz w:val="22"/>
          <w:szCs w:val="22"/>
        </w:rPr>
        <w:t xml:space="preserve">第二十一条  </w:t>
      </w:r>
      <w:r>
        <w:rPr>
          <w:rFonts w:hint="eastAsia" w:ascii="宋体" w:hAnsi="宋体" w:cs="宋体"/>
          <w:sz w:val="22"/>
          <w:szCs w:val="22"/>
        </w:rPr>
        <w:t>本合同一式四份，具有同等法律效力，财政部门（政府采购监管部门）、采购代理机构各一份，甲乙双方各一份（可根据需要另增加）。</w:t>
      </w:r>
    </w:p>
    <w:p>
      <w:pPr>
        <w:snapToGrid w:val="0"/>
        <w:spacing w:line="420" w:lineRule="exact"/>
        <w:ind w:firstLine="440" w:firstLineChars="200"/>
        <w:rPr>
          <w:rFonts w:ascii="宋体" w:hAnsi="宋体" w:cs="宋体"/>
          <w:sz w:val="22"/>
          <w:szCs w:val="22"/>
        </w:rPr>
      </w:pPr>
      <w:r>
        <w:rPr>
          <w:rFonts w:hint="eastAsia" w:ascii="宋体" w:hAnsi="宋体" w:cs="宋体"/>
          <w:sz w:val="22"/>
          <w:szCs w:val="22"/>
        </w:rPr>
        <w:t>本合同甲乙双方签字盖章后生效，自签订之日起七个工作日内，采购人或采购代理机构应当将合同副本报同级财政部门备案。</w:t>
      </w:r>
    </w:p>
    <w:p>
      <w:pPr>
        <w:snapToGrid w:val="0"/>
        <w:spacing w:line="440" w:lineRule="exact"/>
        <w:rPr>
          <w:rFonts w:ascii="宋体" w:hAnsi="宋体" w:cs="宋体"/>
          <w:sz w:val="22"/>
          <w:szCs w:val="22"/>
        </w:rPr>
      </w:pPr>
    </w:p>
    <w:tbl>
      <w:tblPr>
        <w:tblStyle w:val="1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lang w:val="en-US" w:eastAsia="zh-CN"/>
              </w:rPr>
              <w:t>公</w:t>
            </w:r>
            <w:r>
              <w:rPr>
                <w:rFonts w:hint="eastAsia" w:ascii="宋体" w:hAnsi="宋体" w:cs="宋体"/>
                <w:sz w:val="22"/>
                <w:szCs w:val="22"/>
              </w:rPr>
              <w:t xml:space="preserve">章）           </w:t>
            </w:r>
          </w:p>
          <w:p>
            <w:pPr>
              <w:snapToGrid w:val="0"/>
              <w:spacing w:line="440" w:lineRule="exact"/>
              <w:ind w:firstLine="990" w:firstLineChars="450"/>
              <w:jc w:val="right"/>
              <w:rPr>
                <w:rFonts w:ascii="宋体" w:hAnsi="宋体" w:cs="宋体"/>
                <w:sz w:val="22"/>
                <w:szCs w:val="22"/>
              </w:rPr>
            </w:pPr>
            <w:r>
              <w:rPr>
                <w:rFonts w:hint="eastAsia" w:ascii="宋体" w:hAnsi="宋体" w:cs="宋体"/>
                <w:sz w:val="22"/>
                <w:szCs w:val="22"/>
              </w:rPr>
              <w:t>年   月   日</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lang w:val="en-US" w:eastAsia="zh-CN"/>
              </w:rPr>
              <w:t>公</w:t>
            </w:r>
            <w:r>
              <w:rPr>
                <w:rFonts w:hint="eastAsia" w:ascii="宋体" w:hAnsi="宋体" w:cs="宋体"/>
                <w:sz w:val="22"/>
                <w:szCs w:val="22"/>
              </w:rPr>
              <w:t xml:space="preserve">章）              </w:t>
            </w:r>
          </w:p>
          <w:p>
            <w:pPr>
              <w:snapToGrid w:val="0"/>
              <w:spacing w:line="440" w:lineRule="exact"/>
              <w:jc w:val="right"/>
              <w:rPr>
                <w:rFonts w:ascii="宋体" w:hAnsi="宋体" w:cs="宋体"/>
                <w:sz w:val="22"/>
                <w:szCs w:val="22"/>
              </w:rPr>
            </w:pPr>
            <w:r>
              <w:rPr>
                <w:rFonts w:hint="eastAsia" w:ascii="宋体" w:hAnsi="宋体" w:cs="宋体"/>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单位地址：</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法定代表人：</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委托代理人：</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电话：</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电子邮箱：</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开户银行：</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账号：</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邮政编码：</w:t>
            </w:r>
          </w:p>
        </w:tc>
        <w:tc>
          <w:tcPr>
            <w:tcW w:w="4517" w:type="dxa"/>
            <w:noWrap/>
            <w:vAlign w:val="center"/>
          </w:tcPr>
          <w:p>
            <w:pPr>
              <w:snapToGrid w:val="0"/>
              <w:spacing w:line="440" w:lineRule="exact"/>
              <w:rPr>
                <w:rFonts w:ascii="宋体" w:hAnsi="宋体" w:cs="宋体"/>
                <w:sz w:val="22"/>
                <w:szCs w:val="22"/>
              </w:rPr>
            </w:pPr>
            <w:r>
              <w:rPr>
                <w:rFonts w:hint="eastAsia" w:ascii="宋体" w:hAnsi="宋体" w:cs="宋体"/>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33" w:type="dxa"/>
            <w:gridSpan w:val="2"/>
            <w:noWrap/>
          </w:tcPr>
          <w:p>
            <w:pPr>
              <w:snapToGrid w:val="0"/>
              <w:spacing w:line="440" w:lineRule="exact"/>
              <w:ind w:firstLine="220" w:firstLineChars="100"/>
              <w:rPr>
                <w:rFonts w:ascii="宋体" w:hAnsi="宋体" w:cs="宋体"/>
                <w:sz w:val="22"/>
                <w:szCs w:val="22"/>
              </w:rPr>
            </w:pPr>
            <w:r>
              <w:rPr>
                <w:rFonts w:hint="eastAsia" w:ascii="宋体" w:hAnsi="宋体" w:cs="宋体"/>
                <w:sz w:val="22"/>
                <w:szCs w:val="22"/>
              </w:rPr>
              <w:t>经办人：</w:t>
            </w:r>
          </w:p>
          <w:p>
            <w:pPr>
              <w:snapToGrid w:val="0"/>
              <w:spacing w:line="440" w:lineRule="exact"/>
              <w:ind w:firstLine="660" w:firstLineChars="300"/>
              <w:jc w:val="right"/>
              <w:rPr>
                <w:rFonts w:ascii="宋体" w:hAnsi="宋体" w:cs="宋体"/>
                <w:sz w:val="22"/>
                <w:szCs w:val="22"/>
              </w:rPr>
            </w:pPr>
            <w:r>
              <w:rPr>
                <w:rFonts w:hint="eastAsia" w:ascii="宋体" w:hAnsi="宋体" w:cs="宋体"/>
                <w:sz w:val="22"/>
                <w:szCs w:val="22"/>
              </w:rPr>
              <w:t>年    月    日</w:t>
            </w:r>
          </w:p>
        </w:tc>
      </w:tr>
    </w:tbl>
    <w:p>
      <w:pPr>
        <w:snapToGrid w:val="0"/>
        <w:spacing w:line="440" w:lineRule="exact"/>
        <w:rPr>
          <w:rFonts w:ascii="宋体" w:hAnsi="宋体" w:cs="宋体"/>
          <w:sz w:val="22"/>
          <w:szCs w:val="22"/>
        </w:rPr>
      </w:pPr>
    </w:p>
    <w:p>
      <w:pPr>
        <w:snapToGrid w:val="0"/>
        <w:spacing w:line="440" w:lineRule="exact"/>
        <w:jc w:val="center"/>
        <w:rPr>
          <w:rFonts w:ascii="宋体" w:hAnsi="宋体" w:cs="宋体"/>
          <w:b/>
          <w:sz w:val="22"/>
          <w:szCs w:val="22"/>
        </w:rPr>
      </w:pPr>
      <w:r>
        <w:rPr>
          <w:rFonts w:hint="eastAsia" w:ascii="宋体" w:hAnsi="宋体" w:cs="宋体"/>
          <w:b/>
          <w:sz w:val="22"/>
          <w:szCs w:val="22"/>
        </w:rPr>
        <w:br w:type="page"/>
      </w:r>
      <w:r>
        <w:rPr>
          <w:rFonts w:hint="eastAsia" w:ascii="宋体" w:hAnsi="宋体" w:cs="宋体"/>
          <w:b/>
          <w:sz w:val="22"/>
          <w:szCs w:val="22"/>
        </w:rPr>
        <w:t>合 同 附 件</w:t>
      </w:r>
    </w:p>
    <w:p>
      <w:pPr>
        <w:snapToGrid w:val="0"/>
        <w:spacing w:line="440" w:lineRule="exact"/>
        <w:rPr>
          <w:rFonts w:ascii="宋体" w:hAnsi="宋体" w:cs="宋体"/>
          <w:sz w:val="22"/>
          <w:szCs w:val="22"/>
        </w:rPr>
      </w:pPr>
      <w:r>
        <w:rPr>
          <w:rFonts w:hint="eastAsia" w:ascii="宋体" w:hAnsi="宋体" w:cs="宋体"/>
          <w:sz w:val="22"/>
          <w:szCs w:val="22"/>
        </w:rPr>
        <w:t>一般货物类</w:t>
      </w:r>
    </w:p>
    <w:tbl>
      <w:tblPr>
        <w:tblStyle w:val="16"/>
        <w:tblW w:w="8928" w:type="dxa"/>
        <w:tblInd w:w="0" w:type="dxa"/>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r>
              <w:rPr>
                <w:rFonts w:hint="eastAsia" w:ascii="宋体" w:hAnsi="宋体" w:cs="宋体"/>
                <w:sz w:val="22"/>
                <w:szCs w:val="22"/>
              </w:rPr>
              <w:t>1、供应商承诺具体事项：</w:t>
            </w:r>
          </w:p>
          <w:p>
            <w:pPr>
              <w:snapToGrid w:val="0"/>
              <w:spacing w:line="440" w:lineRule="exact"/>
              <w:ind w:firstLine="440" w:firstLineChars="200"/>
              <w:rPr>
                <w:rFonts w:ascii="宋体" w:hAnsi="宋体" w:cs="宋体"/>
                <w:sz w:val="22"/>
                <w:szCs w:val="22"/>
              </w:rPr>
            </w:pPr>
          </w:p>
          <w:p>
            <w:pPr>
              <w:snapToGrid w:val="0"/>
              <w:spacing w:line="440" w:lineRule="exact"/>
              <w:ind w:firstLine="440" w:firstLineChars="200"/>
              <w:rPr>
                <w:rFonts w:ascii="宋体" w:hAnsi="宋体" w:cs="宋体"/>
                <w:sz w:val="22"/>
                <w:szCs w:val="22"/>
              </w:rPr>
            </w:pPr>
          </w:p>
          <w:p>
            <w:pPr>
              <w:snapToGrid w:val="0"/>
              <w:spacing w:line="440" w:lineRule="exact"/>
              <w:ind w:firstLine="440" w:firstLineChars="200"/>
              <w:rPr>
                <w:rFonts w:ascii="宋体" w:hAnsi="宋体" w:cs="宋体"/>
                <w:sz w:val="22"/>
                <w:szCs w:val="22"/>
              </w:rPr>
            </w:pPr>
          </w:p>
        </w:tc>
      </w:tr>
      <w:tr>
        <w:tblPrEx>
          <w:tblCellMar>
            <w:top w:w="0" w:type="dxa"/>
            <w:left w:w="108" w:type="dxa"/>
            <w:bottom w:w="0" w:type="dxa"/>
            <w:right w:w="108" w:type="dxa"/>
          </w:tblCellMar>
        </w:tblPrEx>
        <w:trPr>
          <w:trHeight w:val="149" w:hRule="exact"/>
        </w:trPr>
        <w:tc>
          <w:tcPr>
            <w:tcW w:w="8928" w:type="dxa"/>
            <w:gridSpan w:val="2"/>
            <w:tcBorders>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p>
        </w:tc>
      </w:tr>
      <w:tr>
        <w:tblPrEx>
          <w:tblCellMar>
            <w:top w:w="0" w:type="dxa"/>
            <w:left w:w="108" w:type="dxa"/>
            <w:bottom w:w="0" w:type="dxa"/>
            <w:right w:w="108" w:type="dxa"/>
          </w:tblCellMar>
        </w:tblPrEx>
        <w:trPr>
          <w:trHeight w:val="90" w:hRule="exact"/>
        </w:trPr>
        <w:tc>
          <w:tcPr>
            <w:tcW w:w="8928" w:type="dxa"/>
            <w:gridSpan w:val="2"/>
            <w:tcBorders>
              <w:left w:val="single" w:color="auto" w:sz="4" w:space="0"/>
              <w:right w:val="single" w:color="auto" w:sz="4" w:space="0"/>
            </w:tcBorders>
            <w:noWrap/>
            <w:vAlign w:val="center"/>
          </w:tcPr>
          <w:p>
            <w:pPr>
              <w:snapToGrid w:val="0"/>
              <w:spacing w:line="440" w:lineRule="exact"/>
              <w:rPr>
                <w:rFonts w:ascii="宋体" w:hAnsi="宋体" w:cs="宋体"/>
                <w:sz w:val="22"/>
                <w:szCs w:val="22"/>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r>
              <w:rPr>
                <w:rFonts w:hint="eastAsia" w:ascii="宋体" w:hAnsi="宋体" w:cs="宋体"/>
                <w:sz w:val="22"/>
                <w:szCs w:val="22"/>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p>
        </w:tc>
      </w:tr>
      <w:tr>
        <w:tblPrEx>
          <w:tblCellMar>
            <w:top w:w="0" w:type="dxa"/>
            <w:left w:w="108" w:type="dxa"/>
            <w:bottom w:w="0" w:type="dxa"/>
            <w:right w:w="108" w:type="dxa"/>
          </w:tblCellMar>
        </w:tblPrEx>
        <w:trPr>
          <w:trHeight w:val="90" w:hRule="exact"/>
        </w:trPr>
        <w:tc>
          <w:tcPr>
            <w:tcW w:w="8928" w:type="dxa"/>
            <w:gridSpan w:val="2"/>
            <w:tcBorders>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r>
              <w:rPr>
                <w:rFonts w:hint="eastAsia" w:ascii="宋体" w:hAnsi="宋体" w:cs="宋体"/>
                <w:sz w:val="22"/>
                <w:szCs w:val="22"/>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p>
        </w:tc>
      </w:tr>
      <w:tr>
        <w:tblPrEx>
          <w:tblCellMar>
            <w:top w:w="0" w:type="dxa"/>
            <w:left w:w="108" w:type="dxa"/>
            <w:bottom w:w="0" w:type="dxa"/>
            <w:right w:w="108" w:type="dxa"/>
          </w:tblCellMar>
        </w:tblPrEx>
        <w:trPr>
          <w:trHeight w:val="90" w:hRule="exact"/>
        </w:trPr>
        <w:tc>
          <w:tcPr>
            <w:tcW w:w="8928" w:type="dxa"/>
            <w:gridSpan w:val="2"/>
            <w:tcBorders>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r>
              <w:rPr>
                <w:rFonts w:hint="eastAsia" w:ascii="宋体" w:hAnsi="宋体" w:cs="宋体"/>
                <w:sz w:val="22"/>
                <w:szCs w:val="22"/>
              </w:rPr>
              <w:t>4、其他具体事项：</w:t>
            </w:r>
          </w:p>
        </w:tc>
      </w:tr>
      <w:tr>
        <w:tblPrEx>
          <w:tblCellMar>
            <w:top w:w="0" w:type="dxa"/>
            <w:left w:w="108" w:type="dxa"/>
            <w:bottom w:w="0" w:type="dxa"/>
            <w:right w:w="108" w:type="dxa"/>
          </w:tblCellMar>
        </w:tblPrEx>
        <w:trPr>
          <w:trHeight w:val="159" w:hRule="exact"/>
        </w:trPr>
        <w:tc>
          <w:tcPr>
            <w:tcW w:w="8928" w:type="dxa"/>
            <w:gridSpan w:val="2"/>
            <w:tcBorders>
              <w:left w:val="single" w:color="auto" w:sz="4" w:space="0"/>
              <w:right w:val="single" w:color="auto" w:sz="4" w:space="0"/>
            </w:tcBorders>
            <w:noWrap/>
            <w:vAlign w:val="center"/>
          </w:tcPr>
          <w:p>
            <w:pPr>
              <w:snapToGrid w:val="0"/>
              <w:spacing w:line="440" w:lineRule="exact"/>
              <w:ind w:firstLine="442" w:firstLineChars="200"/>
              <w:rPr>
                <w:rFonts w:ascii="宋体" w:hAnsi="宋体" w:cs="宋体"/>
                <w:b/>
                <w:sz w:val="22"/>
                <w:szCs w:val="22"/>
              </w:rPr>
            </w:pPr>
          </w:p>
        </w:tc>
      </w:tr>
      <w:tr>
        <w:tblPrEx>
          <w:tblCellMar>
            <w:top w:w="0" w:type="dxa"/>
            <w:left w:w="108" w:type="dxa"/>
            <w:bottom w:w="0" w:type="dxa"/>
            <w:right w:w="108" w:type="dxa"/>
          </w:tblCellMar>
        </w:tblPrEx>
        <w:trPr>
          <w:trHeight w:val="1283" w:hRule="atLeast"/>
        </w:trPr>
        <w:tc>
          <w:tcPr>
            <w:tcW w:w="4248"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r>
              <w:rPr>
                <w:rFonts w:hint="eastAsia" w:ascii="宋体" w:hAnsi="宋体" w:cs="宋体"/>
                <w:sz w:val="22"/>
                <w:szCs w:val="22"/>
              </w:rPr>
              <w:t>甲方（章）</w:t>
            </w:r>
          </w:p>
          <w:p>
            <w:pPr>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ind w:firstLine="440" w:firstLineChars="200"/>
              <w:rPr>
                <w:rFonts w:ascii="宋体" w:hAnsi="宋体" w:cs="宋体"/>
                <w:sz w:val="22"/>
                <w:szCs w:val="22"/>
              </w:rPr>
            </w:pPr>
            <w:r>
              <w:rPr>
                <w:rFonts w:hint="eastAsia" w:ascii="宋体" w:hAnsi="宋体" w:cs="宋体"/>
                <w:sz w:val="22"/>
                <w:szCs w:val="22"/>
              </w:rPr>
              <w:t>乙方（章）</w:t>
            </w:r>
          </w:p>
          <w:p>
            <w:pPr>
              <w:snapToGrid w:val="0"/>
              <w:spacing w:line="440" w:lineRule="exact"/>
              <w:rPr>
                <w:rFonts w:ascii="宋体" w:hAnsi="宋体" w:cs="宋体"/>
                <w:sz w:val="22"/>
                <w:szCs w:val="22"/>
              </w:rPr>
            </w:pPr>
          </w:p>
          <w:p>
            <w:pPr>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                年   月   日</w:t>
            </w:r>
          </w:p>
        </w:tc>
      </w:tr>
    </w:tbl>
    <w:p>
      <w:pPr>
        <w:snapToGrid w:val="0"/>
        <w:spacing w:line="440" w:lineRule="exact"/>
        <w:rPr>
          <w:rFonts w:ascii="宋体" w:hAnsi="宋体" w:cs="宋体"/>
          <w:sz w:val="22"/>
          <w:szCs w:val="22"/>
        </w:rPr>
      </w:pPr>
      <w:r>
        <w:rPr>
          <w:rFonts w:hint="eastAsia" w:ascii="宋体" w:hAnsi="宋体" w:cs="宋体"/>
          <w:sz w:val="22"/>
          <w:szCs w:val="22"/>
        </w:rPr>
        <w:t>注：售后服务事项填不下时可另加附页</w:t>
      </w:r>
    </w:p>
    <w:p>
      <w:pPr>
        <w:pStyle w:val="9"/>
        <w:snapToGrid w:val="0"/>
        <w:ind w:firstLine="440" w:firstLineChars="200"/>
        <w:rPr>
          <w:rFonts w:hAnsi="宋体" w:cs="宋体"/>
          <w:sz w:val="22"/>
          <w:szCs w:val="22"/>
        </w:rPr>
      </w:pPr>
      <w:r>
        <w:rPr>
          <w:rFonts w:hint="eastAsia" w:hAnsi="宋体" w:cs="宋体"/>
          <w:sz w:val="22"/>
          <w:szCs w:val="22"/>
        </w:rPr>
        <w:br w:type="page"/>
      </w:r>
    </w:p>
    <w:p>
      <w:pPr>
        <w:pStyle w:val="9"/>
        <w:snapToGrid w:val="0"/>
        <w:ind w:firstLine="440" w:firstLineChars="200"/>
        <w:rPr>
          <w:rFonts w:hAnsi="宋体" w:cs="宋体"/>
          <w:sz w:val="22"/>
          <w:szCs w:val="22"/>
        </w:rPr>
      </w:pPr>
      <w:r>
        <w:rPr>
          <w:rFonts w:hint="eastAsia" w:hAnsi="宋体" w:cs="宋体"/>
          <w:sz w:val="22"/>
          <w:szCs w:val="22"/>
        </w:rPr>
        <w:t>附件1：</w:t>
      </w:r>
    </w:p>
    <w:p>
      <w:pPr>
        <w:pStyle w:val="9"/>
        <w:snapToGrid w:val="0"/>
        <w:ind w:firstLine="440" w:firstLineChars="200"/>
        <w:rPr>
          <w:rFonts w:hAnsi="宋体" w:cs="宋体"/>
          <w:sz w:val="22"/>
          <w:szCs w:val="22"/>
        </w:rPr>
      </w:pPr>
    </w:p>
    <w:p>
      <w:pPr>
        <w:widowControl/>
        <w:rPr>
          <w:rFonts w:ascii="宋体" w:hAnsi="宋体" w:cs="宋体"/>
          <w:b/>
          <w:bCs/>
          <w:spacing w:val="10"/>
          <w:kern w:val="0"/>
          <w:sz w:val="22"/>
          <w:szCs w:val="22"/>
        </w:rPr>
      </w:pPr>
      <w:r>
        <w:rPr>
          <w:rFonts w:hint="eastAsia" w:ascii="宋体" w:hAnsi="宋体" w:cs="宋体"/>
          <w:b/>
          <w:bCs/>
          <w:spacing w:val="10"/>
          <w:kern w:val="0"/>
          <w:sz w:val="22"/>
          <w:szCs w:val="22"/>
        </w:rPr>
        <w:t xml:space="preserve">        政府采购项目合同验收报告（格式）</w:t>
      </w:r>
    </w:p>
    <w:p>
      <w:pPr>
        <w:widowControl/>
        <w:snapToGrid w:val="0"/>
        <w:spacing w:before="100" w:beforeAutospacing="1" w:after="100" w:afterAutospacing="1" w:line="440" w:lineRule="exact"/>
        <w:ind w:firstLine="659"/>
        <w:jc w:val="left"/>
        <w:rPr>
          <w:rFonts w:ascii="宋体" w:hAnsi="宋体" w:cs="宋体"/>
          <w:spacing w:val="10"/>
          <w:kern w:val="0"/>
          <w:sz w:val="22"/>
          <w:szCs w:val="22"/>
        </w:rPr>
      </w:pPr>
      <w:r>
        <w:rPr>
          <w:rFonts w:hint="eastAsia" w:ascii="宋体" w:hAnsi="宋体" w:cs="宋体"/>
          <w:spacing w:val="10"/>
          <w:kern w:val="0"/>
          <w:sz w:val="22"/>
          <w:szCs w:val="22"/>
        </w:rPr>
        <w:t>根据政府采购合同（采购合同编号：</w:t>
      </w:r>
      <w:r>
        <w:rPr>
          <w:rFonts w:hint="eastAsia" w:ascii="宋体" w:hAnsi="宋体" w:cs="宋体"/>
          <w:spacing w:val="10"/>
          <w:kern w:val="0"/>
          <w:sz w:val="22"/>
          <w:szCs w:val="22"/>
        </w:rPr>
        <w:softHyphen/>
      </w:r>
      <w:r>
        <w:rPr>
          <w:rFonts w:hint="eastAsia" w:ascii="宋体" w:hAnsi="宋体" w:cs="宋体"/>
          <w:spacing w:val="10"/>
          <w:kern w:val="0"/>
          <w:sz w:val="22"/>
          <w:szCs w:val="22"/>
        </w:rPr>
        <w:t>    ）的约定，我单位对</w:t>
      </w:r>
      <w:r>
        <w:rPr>
          <w:rFonts w:hint="eastAsia" w:ascii="宋体" w:hAnsi="宋体" w:cs="宋体"/>
          <w:spacing w:val="10"/>
          <w:kern w:val="0"/>
          <w:sz w:val="22"/>
          <w:szCs w:val="22"/>
          <w:u w:val="single"/>
        </w:rPr>
        <w:t xml:space="preserve">（项目名称）       </w:t>
      </w:r>
      <w:r>
        <w:rPr>
          <w:rFonts w:hint="eastAsia" w:ascii="宋体" w:hAnsi="宋体" w:cs="宋体"/>
          <w:spacing w:val="10"/>
          <w:kern w:val="0"/>
          <w:sz w:val="22"/>
          <w:szCs w:val="22"/>
        </w:rPr>
        <w:t>政府采购项目中标（或成交）供应商</w:t>
      </w:r>
      <w:r>
        <w:rPr>
          <w:rFonts w:hint="eastAsia" w:ascii="宋体" w:hAnsi="宋体" w:cs="宋体"/>
          <w:spacing w:val="10"/>
          <w:kern w:val="0"/>
          <w:sz w:val="22"/>
          <w:szCs w:val="22"/>
          <w:u w:val="single"/>
        </w:rPr>
        <w:t xml:space="preserve">（公司名称）       </w:t>
      </w:r>
      <w:r>
        <w:rPr>
          <w:rFonts w:hint="eastAsia" w:ascii="宋体" w:hAnsi="宋体" w:cs="宋体"/>
          <w:spacing w:val="10"/>
          <w:kern w:val="0"/>
          <w:sz w:val="22"/>
          <w:szCs w:val="22"/>
        </w:rPr>
        <w:t>提供的货物（或服务）进行了验收，验收情况如下：</w:t>
      </w:r>
    </w:p>
    <w:tbl>
      <w:tblPr>
        <w:tblStyle w:val="16"/>
        <w:tblW w:w="95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64"/>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327" w:type="dxa"/>
            <w:gridSpan w:val="2"/>
            <w:noWrap/>
            <w:vAlign w:val="center"/>
          </w:tcPr>
          <w:p>
            <w:pPr>
              <w:widowControl/>
              <w:snapToGrid w:val="0"/>
              <w:ind w:left="-3"/>
              <w:jc w:val="center"/>
              <w:rPr>
                <w:rFonts w:ascii="宋体" w:hAnsi="宋体" w:cs="宋体"/>
                <w:spacing w:val="10"/>
                <w:kern w:val="0"/>
                <w:sz w:val="22"/>
                <w:szCs w:val="22"/>
              </w:rPr>
            </w:pPr>
            <w:r>
              <w:rPr>
                <w:rFonts w:hint="eastAsia" w:ascii="宋体" w:hAnsi="宋体" w:cs="宋体"/>
                <w:spacing w:val="10"/>
                <w:kern w:val="0"/>
                <w:sz w:val="22"/>
                <w:szCs w:val="22"/>
              </w:rPr>
              <w:t>验收方式：</w:t>
            </w:r>
          </w:p>
        </w:tc>
        <w:tc>
          <w:tcPr>
            <w:tcW w:w="6218" w:type="dxa"/>
            <w:gridSpan w:val="5"/>
            <w:noWrap/>
            <w:vAlign w:val="center"/>
          </w:tcPr>
          <w:p>
            <w:pPr>
              <w:widowControl/>
              <w:snapToGrid w:val="0"/>
              <w:ind w:left="-3"/>
              <w:jc w:val="center"/>
              <w:rPr>
                <w:rFonts w:ascii="宋体" w:hAnsi="宋体" w:cs="宋体"/>
                <w:spacing w:val="10"/>
                <w:kern w:val="0"/>
                <w:sz w:val="22"/>
                <w:szCs w:val="22"/>
              </w:rPr>
            </w:pPr>
            <w:r>
              <w:rPr>
                <w:rFonts w:hint="eastAsia" w:ascii="宋体" w:hAnsi="宋体" w:cs="宋体"/>
                <w:spacing w:val="10"/>
                <w:kern w:val="0"/>
                <w:sz w:val="22"/>
                <w:szCs w:val="22"/>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364" w:type="dxa"/>
            <w:noWrap/>
            <w:vAlign w:val="center"/>
          </w:tcPr>
          <w:p>
            <w:pPr>
              <w:widowControl/>
              <w:snapToGrid w:val="0"/>
              <w:jc w:val="center"/>
              <w:rPr>
                <w:rFonts w:ascii="宋体" w:hAnsi="宋体" w:cs="宋体"/>
                <w:spacing w:val="10"/>
                <w:kern w:val="0"/>
                <w:sz w:val="22"/>
                <w:szCs w:val="22"/>
              </w:rPr>
            </w:pPr>
            <w:r>
              <w:rPr>
                <w:rFonts w:hint="eastAsia" w:ascii="宋体" w:hAnsi="宋体" w:cs="宋体"/>
                <w:spacing w:val="10"/>
                <w:kern w:val="0"/>
                <w:sz w:val="22"/>
                <w:szCs w:val="22"/>
              </w:rPr>
              <w:t>序号</w:t>
            </w:r>
          </w:p>
        </w:tc>
        <w:tc>
          <w:tcPr>
            <w:tcW w:w="1963" w:type="dxa"/>
            <w:noWrap/>
            <w:vAlign w:val="center"/>
          </w:tcPr>
          <w:p>
            <w:pPr>
              <w:widowControl/>
              <w:snapToGrid w:val="0"/>
              <w:ind w:left="-3"/>
              <w:jc w:val="center"/>
              <w:rPr>
                <w:rFonts w:ascii="宋体" w:hAnsi="宋体" w:cs="宋体"/>
                <w:spacing w:val="10"/>
                <w:kern w:val="0"/>
                <w:sz w:val="22"/>
                <w:szCs w:val="22"/>
              </w:rPr>
            </w:pPr>
            <w:r>
              <w:rPr>
                <w:rFonts w:hint="eastAsia" w:ascii="宋体" w:hAnsi="宋体" w:cs="宋体"/>
                <w:spacing w:val="10"/>
                <w:kern w:val="0"/>
                <w:sz w:val="22"/>
                <w:szCs w:val="22"/>
              </w:rPr>
              <w:t>名  称</w:t>
            </w:r>
          </w:p>
        </w:tc>
        <w:tc>
          <w:tcPr>
            <w:tcW w:w="3441" w:type="dxa"/>
            <w:gridSpan w:val="2"/>
            <w:noWrap/>
            <w:vAlign w:val="center"/>
          </w:tcPr>
          <w:p>
            <w:pPr>
              <w:widowControl/>
              <w:snapToGrid w:val="0"/>
              <w:ind w:left="-3"/>
              <w:jc w:val="center"/>
              <w:rPr>
                <w:rFonts w:ascii="宋体" w:hAnsi="宋体" w:cs="宋体"/>
                <w:spacing w:val="10"/>
                <w:kern w:val="0"/>
                <w:sz w:val="22"/>
                <w:szCs w:val="22"/>
              </w:rPr>
            </w:pPr>
            <w:r>
              <w:rPr>
                <w:rFonts w:hint="eastAsia" w:ascii="宋体" w:hAnsi="宋体" w:cs="宋体"/>
                <w:spacing w:val="10"/>
                <w:kern w:val="0"/>
                <w:sz w:val="22"/>
                <w:szCs w:val="22"/>
              </w:rPr>
              <w:t>货物型号规格、标准及配置</w:t>
            </w:r>
          </w:p>
          <w:p>
            <w:pPr>
              <w:widowControl/>
              <w:snapToGrid w:val="0"/>
              <w:jc w:val="center"/>
              <w:rPr>
                <w:rFonts w:ascii="宋体" w:hAnsi="宋体" w:cs="宋体"/>
                <w:spacing w:val="10"/>
                <w:kern w:val="0"/>
                <w:sz w:val="22"/>
                <w:szCs w:val="22"/>
              </w:rPr>
            </w:pPr>
            <w:r>
              <w:rPr>
                <w:rFonts w:hint="eastAsia" w:ascii="宋体" w:hAnsi="宋体" w:cs="宋体"/>
                <w:spacing w:val="10"/>
                <w:kern w:val="0"/>
                <w:sz w:val="22"/>
                <w:szCs w:val="22"/>
              </w:rPr>
              <w:t>（或服务内容、标准）</w:t>
            </w:r>
          </w:p>
        </w:tc>
        <w:tc>
          <w:tcPr>
            <w:tcW w:w="998" w:type="dxa"/>
            <w:gridSpan w:val="2"/>
            <w:noWrap/>
            <w:vAlign w:val="center"/>
          </w:tcPr>
          <w:p>
            <w:pPr>
              <w:widowControl/>
              <w:snapToGrid w:val="0"/>
              <w:jc w:val="center"/>
              <w:rPr>
                <w:rFonts w:ascii="宋体" w:hAnsi="宋体" w:cs="宋体"/>
                <w:spacing w:val="10"/>
                <w:kern w:val="0"/>
                <w:sz w:val="22"/>
                <w:szCs w:val="22"/>
              </w:rPr>
            </w:pPr>
            <w:r>
              <w:rPr>
                <w:rFonts w:hint="eastAsia" w:ascii="宋体" w:hAnsi="宋体" w:cs="宋体"/>
                <w:spacing w:val="10"/>
                <w:kern w:val="0"/>
                <w:sz w:val="22"/>
                <w:szCs w:val="22"/>
              </w:rPr>
              <w:t>数量</w:t>
            </w:r>
          </w:p>
        </w:tc>
        <w:tc>
          <w:tcPr>
            <w:tcW w:w="1779" w:type="dxa"/>
            <w:noWrap/>
            <w:vAlign w:val="center"/>
          </w:tcPr>
          <w:p>
            <w:pPr>
              <w:widowControl/>
              <w:snapToGrid w:val="0"/>
              <w:ind w:left="-3"/>
              <w:jc w:val="center"/>
              <w:rPr>
                <w:rFonts w:ascii="宋体" w:hAnsi="宋体" w:cs="宋体"/>
                <w:spacing w:val="10"/>
                <w:kern w:val="0"/>
                <w:sz w:val="22"/>
                <w:szCs w:val="22"/>
              </w:rPr>
            </w:pPr>
            <w:r>
              <w:rPr>
                <w:rFonts w:hint="eastAsia" w:ascii="宋体" w:hAnsi="宋体" w:cs="宋体"/>
                <w:spacing w:val="10"/>
                <w:kern w:val="0"/>
                <w:sz w:val="22"/>
                <w:szCs w:val="22"/>
              </w:rPr>
              <w:t>与合同约定</w:t>
            </w:r>
          </w:p>
          <w:p>
            <w:pPr>
              <w:widowControl/>
              <w:snapToGrid w:val="0"/>
              <w:ind w:left="-3"/>
              <w:jc w:val="center"/>
              <w:rPr>
                <w:rFonts w:ascii="宋体" w:hAnsi="宋体" w:cs="宋体"/>
                <w:spacing w:val="10"/>
                <w:kern w:val="0"/>
                <w:sz w:val="22"/>
                <w:szCs w:val="22"/>
              </w:rPr>
            </w:pPr>
            <w:r>
              <w:rPr>
                <w:rFonts w:hint="eastAsia" w:ascii="宋体" w:hAnsi="宋体" w:cs="宋体"/>
                <w:spacing w:val="10"/>
                <w:kern w:val="0"/>
                <w:sz w:val="22"/>
                <w:szCs w:val="22"/>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963"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998" w:type="dxa"/>
            <w:gridSpan w:val="2"/>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779" w:type="dxa"/>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963"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998" w:type="dxa"/>
            <w:gridSpan w:val="2"/>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779" w:type="dxa"/>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963"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998" w:type="dxa"/>
            <w:gridSpan w:val="2"/>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779" w:type="dxa"/>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963" w:type="dxa"/>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998" w:type="dxa"/>
            <w:gridSpan w:val="2"/>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c>
          <w:tcPr>
            <w:tcW w:w="1779" w:type="dxa"/>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p>
        </w:tc>
        <w:tc>
          <w:tcPr>
            <w:tcW w:w="1963" w:type="dxa"/>
            <w:noWrap/>
            <w:vAlign w:val="center"/>
          </w:tcPr>
          <w:p>
            <w:pPr>
              <w:widowControl/>
              <w:snapToGrid w:val="0"/>
              <w:ind w:left="-3" w:firstLine="576"/>
              <w:jc w:val="left"/>
              <w:rPr>
                <w:rFonts w:ascii="宋体" w:hAnsi="宋体" w:cs="宋体"/>
                <w:spacing w:val="10"/>
                <w:kern w:val="0"/>
                <w:sz w:val="22"/>
                <w:szCs w:val="22"/>
              </w:rPr>
            </w:pP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p>
        </w:tc>
        <w:tc>
          <w:tcPr>
            <w:tcW w:w="998" w:type="dxa"/>
            <w:gridSpan w:val="2"/>
            <w:noWrap/>
            <w:vAlign w:val="center"/>
          </w:tcPr>
          <w:p>
            <w:pPr>
              <w:widowControl/>
              <w:snapToGrid w:val="0"/>
              <w:jc w:val="left"/>
              <w:rPr>
                <w:rFonts w:ascii="宋体" w:hAnsi="宋体" w:cs="宋体"/>
                <w:spacing w:val="10"/>
                <w:kern w:val="0"/>
                <w:sz w:val="22"/>
                <w:szCs w:val="22"/>
              </w:rPr>
            </w:pPr>
          </w:p>
        </w:tc>
        <w:tc>
          <w:tcPr>
            <w:tcW w:w="1779" w:type="dxa"/>
            <w:noWrap/>
            <w:vAlign w:val="center"/>
          </w:tcPr>
          <w:p>
            <w:pPr>
              <w:widowControl/>
              <w:snapToGrid w:val="0"/>
              <w:jc w:val="left"/>
              <w:rPr>
                <w:rFonts w:ascii="宋体" w:hAnsi="宋体" w:cs="宋体"/>
                <w:spacing w:val="1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p>
        </w:tc>
        <w:tc>
          <w:tcPr>
            <w:tcW w:w="1963" w:type="dxa"/>
            <w:noWrap/>
            <w:vAlign w:val="center"/>
          </w:tcPr>
          <w:p>
            <w:pPr>
              <w:widowControl/>
              <w:snapToGrid w:val="0"/>
              <w:ind w:left="-3" w:firstLine="576"/>
              <w:jc w:val="left"/>
              <w:rPr>
                <w:rFonts w:ascii="宋体" w:hAnsi="宋体" w:cs="宋体"/>
                <w:spacing w:val="10"/>
                <w:kern w:val="0"/>
                <w:sz w:val="22"/>
                <w:szCs w:val="22"/>
              </w:rPr>
            </w:pP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p>
        </w:tc>
        <w:tc>
          <w:tcPr>
            <w:tcW w:w="998" w:type="dxa"/>
            <w:gridSpan w:val="2"/>
            <w:noWrap/>
            <w:vAlign w:val="center"/>
          </w:tcPr>
          <w:p>
            <w:pPr>
              <w:widowControl/>
              <w:snapToGrid w:val="0"/>
              <w:jc w:val="left"/>
              <w:rPr>
                <w:rFonts w:ascii="宋体" w:hAnsi="宋体" w:cs="宋体"/>
                <w:spacing w:val="10"/>
                <w:kern w:val="0"/>
                <w:sz w:val="22"/>
                <w:szCs w:val="22"/>
              </w:rPr>
            </w:pPr>
          </w:p>
        </w:tc>
        <w:tc>
          <w:tcPr>
            <w:tcW w:w="1779" w:type="dxa"/>
            <w:noWrap/>
            <w:vAlign w:val="center"/>
          </w:tcPr>
          <w:p>
            <w:pPr>
              <w:widowControl/>
              <w:snapToGrid w:val="0"/>
              <w:jc w:val="left"/>
              <w:rPr>
                <w:rFonts w:ascii="宋体" w:hAnsi="宋体" w:cs="宋体"/>
                <w:spacing w:val="1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p>
        </w:tc>
        <w:tc>
          <w:tcPr>
            <w:tcW w:w="1963" w:type="dxa"/>
            <w:noWrap/>
            <w:vAlign w:val="center"/>
          </w:tcPr>
          <w:p>
            <w:pPr>
              <w:widowControl/>
              <w:snapToGrid w:val="0"/>
              <w:ind w:left="-3" w:firstLine="576"/>
              <w:jc w:val="left"/>
              <w:rPr>
                <w:rFonts w:ascii="宋体" w:hAnsi="宋体" w:cs="宋体"/>
                <w:spacing w:val="10"/>
                <w:kern w:val="0"/>
                <w:sz w:val="22"/>
                <w:szCs w:val="22"/>
              </w:rPr>
            </w:pP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p>
        </w:tc>
        <w:tc>
          <w:tcPr>
            <w:tcW w:w="998" w:type="dxa"/>
            <w:gridSpan w:val="2"/>
            <w:noWrap/>
            <w:vAlign w:val="center"/>
          </w:tcPr>
          <w:p>
            <w:pPr>
              <w:widowControl/>
              <w:snapToGrid w:val="0"/>
              <w:jc w:val="left"/>
              <w:rPr>
                <w:rFonts w:ascii="宋体" w:hAnsi="宋体" w:cs="宋体"/>
                <w:spacing w:val="10"/>
                <w:kern w:val="0"/>
                <w:sz w:val="22"/>
                <w:szCs w:val="22"/>
              </w:rPr>
            </w:pPr>
          </w:p>
        </w:tc>
        <w:tc>
          <w:tcPr>
            <w:tcW w:w="1779" w:type="dxa"/>
            <w:noWrap/>
            <w:vAlign w:val="center"/>
          </w:tcPr>
          <w:p>
            <w:pPr>
              <w:widowControl/>
              <w:snapToGrid w:val="0"/>
              <w:jc w:val="left"/>
              <w:rPr>
                <w:rFonts w:ascii="宋体" w:hAnsi="宋体" w:cs="宋体"/>
                <w:spacing w:val="1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364" w:type="dxa"/>
            <w:noWrap/>
            <w:vAlign w:val="center"/>
          </w:tcPr>
          <w:p>
            <w:pPr>
              <w:widowControl/>
              <w:snapToGrid w:val="0"/>
              <w:ind w:left="-3" w:firstLine="576"/>
              <w:jc w:val="left"/>
              <w:rPr>
                <w:rFonts w:ascii="宋体" w:hAnsi="宋体" w:cs="宋体"/>
                <w:spacing w:val="10"/>
                <w:kern w:val="0"/>
                <w:sz w:val="22"/>
                <w:szCs w:val="22"/>
              </w:rPr>
            </w:pPr>
          </w:p>
        </w:tc>
        <w:tc>
          <w:tcPr>
            <w:tcW w:w="1963" w:type="dxa"/>
            <w:noWrap/>
            <w:vAlign w:val="center"/>
          </w:tcPr>
          <w:p>
            <w:pPr>
              <w:widowControl/>
              <w:snapToGrid w:val="0"/>
              <w:ind w:left="-3" w:firstLine="576"/>
              <w:jc w:val="left"/>
              <w:rPr>
                <w:rFonts w:ascii="宋体" w:hAnsi="宋体" w:cs="宋体"/>
                <w:spacing w:val="10"/>
                <w:kern w:val="0"/>
                <w:sz w:val="22"/>
                <w:szCs w:val="22"/>
              </w:rPr>
            </w:pPr>
          </w:p>
        </w:tc>
        <w:tc>
          <w:tcPr>
            <w:tcW w:w="3441" w:type="dxa"/>
            <w:gridSpan w:val="2"/>
            <w:noWrap/>
            <w:vAlign w:val="center"/>
          </w:tcPr>
          <w:p>
            <w:pPr>
              <w:widowControl/>
              <w:snapToGrid w:val="0"/>
              <w:ind w:left="-3" w:firstLine="576"/>
              <w:jc w:val="left"/>
              <w:rPr>
                <w:rFonts w:ascii="宋体" w:hAnsi="宋体" w:cs="宋体"/>
                <w:spacing w:val="10"/>
                <w:kern w:val="0"/>
                <w:sz w:val="22"/>
                <w:szCs w:val="22"/>
              </w:rPr>
            </w:pPr>
          </w:p>
        </w:tc>
        <w:tc>
          <w:tcPr>
            <w:tcW w:w="998" w:type="dxa"/>
            <w:gridSpan w:val="2"/>
            <w:noWrap/>
            <w:vAlign w:val="center"/>
          </w:tcPr>
          <w:p>
            <w:pPr>
              <w:widowControl/>
              <w:snapToGrid w:val="0"/>
              <w:jc w:val="left"/>
              <w:rPr>
                <w:rFonts w:ascii="宋体" w:hAnsi="宋体" w:cs="宋体"/>
                <w:spacing w:val="10"/>
                <w:kern w:val="0"/>
                <w:sz w:val="22"/>
                <w:szCs w:val="22"/>
              </w:rPr>
            </w:pPr>
          </w:p>
        </w:tc>
        <w:tc>
          <w:tcPr>
            <w:tcW w:w="1779" w:type="dxa"/>
            <w:noWrap/>
            <w:vAlign w:val="center"/>
          </w:tcPr>
          <w:p>
            <w:pPr>
              <w:widowControl/>
              <w:snapToGrid w:val="0"/>
              <w:jc w:val="left"/>
              <w:rPr>
                <w:rFonts w:ascii="宋体" w:hAnsi="宋体" w:cs="宋体"/>
                <w:spacing w:val="1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364" w:type="dxa"/>
            <w:noWrap/>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实际供货日期</w:t>
            </w:r>
          </w:p>
        </w:tc>
        <w:tc>
          <w:tcPr>
            <w:tcW w:w="3542" w:type="dxa"/>
            <w:gridSpan w:val="2"/>
            <w:noWrap/>
            <w:vAlign w:val="center"/>
          </w:tcPr>
          <w:p>
            <w:pPr>
              <w:snapToGrid w:val="0"/>
              <w:jc w:val="left"/>
              <w:rPr>
                <w:rFonts w:ascii="宋体" w:hAnsi="宋体" w:cs="宋体"/>
                <w:spacing w:val="10"/>
                <w:kern w:val="0"/>
                <w:sz w:val="22"/>
                <w:szCs w:val="22"/>
              </w:rPr>
            </w:pPr>
          </w:p>
        </w:tc>
        <w:tc>
          <w:tcPr>
            <w:tcW w:w="2522" w:type="dxa"/>
            <w:gridSpan w:val="2"/>
            <w:noWrap/>
            <w:vAlign w:val="center"/>
          </w:tcPr>
          <w:p>
            <w:pPr>
              <w:snapToGrid w:val="0"/>
              <w:ind w:left="590"/>
              <w:jc w:val="left"/>
              <w:rPr>
                <w:rFonts w:ascii="宋体" w:hAnsi="宋体" w:cs="宋体"/>
                <w:spacing w:val="10"/>
                <w:kern w:val="0"/>
                <w:sz w:val="22"/>
                <w:szCs w:val="22"/>
              </w:rPr>
            </w:pPr>
            <w:r>
              <w:rPr>
                <w:rFonts w:hint="eastAsia" w:ascii="宋体" w:hAnsi="宋体" w:cs="宋体"/>
                <w:spacing w:val="10"/>
                <w:kern w:val="0"/>
                <w:sz w:val="22"/>
                <w:szCs w:val="22"/>
              </w:rPr>
              <w:t>合同交货验收日期</w:t>
            </w:r>
          </w:p>
        </w:tc>
        <w:tc>
          <w:tcPr>
            <w:tcW w:w="2117" w:type="dxa"/>
            <w:gridSpan w:val="2"/>
            <w:noWrap/>
            <w:vAlign w:val="center"/>
          </w:tcPr>
          <w:p>
            <w:pPr>
              <w:snapToGrid w:val="0"/>
              <w:jc w:val="left"/>
              <w:rPr>
                <w:rFonts w:ascii="宋体" w:hAnsi="宋体" w:cs="宋体"/>
                <w:spacing w:val="1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364" w:type="dxa"/>
            <w:noWrap/>
            <w:tcMar>
              <w:top w:w="0" w:type="dxa"/>
              <w:left w:w="108" w:type="dxa"/>
              <w:bottom w:w="0" w:type="dxa"/>
              <w:right w:w="108" w:type="dxa"/>
            </w:tcMar>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验收具体内容</w:t>
            </w:r>
          </w:p>
        </w:tc>
        <w:tc>
          <w:tcPr>
            <w:tcW w:w="8181" w:type="dxa"/>
            <w:gridSpan w:val="6"/>
            <w:noWrap/>
            <w:tcMar>
              <w:top w:w="0" w:type="dxa"/>
              <w:left w:w="108" w:type="dxa"/>
              <w:bottom w:w="0" w:type="dxa"/>
              <w:right w:w="108" w:type="dxa"/>
            </w:tcMar>
            <w:vAlign w:val="center"/>
          </w:tcPr>
          <w:p>
            <w:pPr>
              <w:widowControl/>
              <w:snapToGrid w:val="0"/>
              <w:jc w:val="left"/>
              <w:rPr>
                <w:rFonts w:ascii="宋体" w:hAnsi="宋体" w:cs="宋体"/>
                <w:spacing w:val="10"/>
                <w:kern w:val="0"/>
                <w:sz w:val="22"/>
                <w:szCs w:val="22"/>
              </w:rPr>
            </w:pPr>
            <w:r>
              <w:rPr>
                <w:rFonts w:hint="eastAsia" w:ascii="宋体" w:hAnsi="宋体" w:cs="宋体"/>
                <w:spacing w:val="10"/>
                <w:kern w:val="0"/>
                <w:sz w:val="22"/>
                <w:szCs w:val="22"/>
              </w:rPr>
              <w:t> （按招标采购文件、竞标采购文件及验收方案等。可附件）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364" w:type="dxa"/>
            <w:noWrap/>
            <w:tcMar>
              <w:top w:w="0" w:type="dxa"/>
              <w:left w:w="108" w:type="dxa"/>
              <w:bottom w:w="0" w:type="dxa"/>
              <w:right w:w="108" w:type="dxa"/>
            </w:tcMar>
            <w:vAlign w:val="center"/>
          </w:tcPr>
          <w:p>
            <w:pPr>
              <w:widowControl/>
              <w:jc w:val="left"/>
              <w:rPr>
                <w:rFonts w:ascii="宋体" w:hAnsi="宋体" w:cs="宋体"/>
                <w:spacing w:val="10"/>
                <w:kern w:val="0"/>
                <w:sz w:val="22"/>
                <w:szCs w:val="22"/>
              </w:rPr>
            </w:pPr>
            <w:r>
              <w:rPr>
                <w:rFonts w:hint="eastAsia" w:ascii="宋体" w:hAnsi="宋体" w:cs="宋体"/>
                <w:spacing w:val="10"/>
                <w:kern w:val="0"/>
                <w:sz w:val="22"/>
                <w:szCs w:val="22"/>
              </w:rPr>
              <w:t>验收小组意见</w:t>
            </w:r>
          </w:p>
        </w:tc>
        <w:tc>
          <w:tcPr>
            <w:tcW w:w="8181" w:type="dxa"/>
            <w:gridSpan w:val="6"/>
            <w:noWrap/>
            <w:vAlign w:val="center"/>
          </w:tcPr>
          <w:p>
            <w:pPr>
              <w:widowControl/>
              <w:jc w:val="left"/>
              <w:rPr>
                <w:rFonts w:ascii="宋体" w:hAnsi="宋体" w:cs="宋体"/>
                <w:spacing w:val="10"/>
                <w:kern w:val="0"/>
                <w:sz w:val="22"/>
                <w:szCs w:val="22"/>
              </w:rPr>
            </w:pPr>
            <w:r>
              <w:rPr>
                <w:rFonts w:hint="eastAsia" w:ascii="宋体" w:hAnsi="宋体" w:cs="宋体"/>
                <w:spacing w:val="10"/>
                <w:kern w:val="0"/>
                <w:sz w:val="22"/>
                <w:szCs w:val="22"/>
              </w:rPr>
              <w:t> </w:t>
            </w:r>
          </w:p>
          <w:p>
            <w:pPr>
              <w:widowControl/>
              <w:jc w:val="left"/>
              <w:rPr>
                <w:rFonts w:ascii="宋体" w:hAnsi="宋体" w:cs="宋体"/>
                <w:spacing w:val="10"/>
                <w:kern w:val="0"/>
                <w:sz w:val="22"/>
                <w:szCs w:val="22"/>
              </w:rPr>
            </w:pPr>
            <w:r>
              <w:rPr>
                <w:rFonts w:hint="eastAsia" w:ascii="宋体" w:hAnsi="宋体" w:cs="宋体"/>
                <w:spacing w:val="1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545" w:type="dxa"/>
            <w:gridSpan w:val="7"/>
            <w:noWrap/>
            <w:tcMar>
              <w:top w:w="0" w:type="dxa"/>
              <w:left w:w="108" w:type="dxa"/>
              <w:bottom w:w="0" w:type="dxa"/>
              <w:right w:w="108" w:type="dxa"/>
            </w:tcMar>
            <w:vAlign w:val="center"/>
          </w:tcPr>
          <w:p>
            <w:pPr>
              <w:widowControl/>
              <w:jc w:val="left"/>
              <w:rPr>
                <w:rFonts w:ascii="宋体" w:hAnsi="宋体" w:cs="宋体"/>
                <w:spacing w:val="10"/>
                <w:kern w:val="0"/>
                <w:sz w:val="22"/>
                <w:szCs w:val="22"/>
              </w:rPr>
            </w:pPr>
            <w:r>
              <w:rPr>
                <w:rFonts w:hint="eastAsia" w:ascii="宋体" w:hAnsi="宋体" w:cs="宋体"/>
                <w:spacing w:val="10"/>
                <w:kern w:val="0"/>
                <w:sz w:val="22"/>
                <w:szCs w:val="22"/>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545" w:type="dxa"/>
            <w:gridSpan w:val="7"/>
            <w:noWrap/>
            <w:tcMar>
              <w:top w:w="0" w:type="dxa"/>
              <w:left w:w="108" w:type="dxa"/>
              <w:bottom w:w="0" w:type="dxa"/>
              <w:right w:w="108" w:type="dxa"/>
            </w:tcMar>
            <w:vAlign w:val="center"/>
          </w:tcPr>
          <w:p>
            <w:pPr>
              <w:widowControl/>
              <w:jc w:val="left"/>
              <w:rPr>
                <w:rFonts w:ascii="宋体" w:hAnsi="宋体" w:cs="宋体"/>
                <w:spacing w:val="10"/>
                <w:kern w:val="0"/>
                <w:sz w:val="22"/>
                <w:szCs w:val="22"/>
              </w:rPr>
            </w:pPr>
            <w:r>
              <w:rPr>
                <w:rFonts w:hint="eastAsia" w:ascii="宋体" w:hAnsi="宋体" w:cs="宋体"/>
                <w:spacing w:val="10"/>
                <w:kern w:val="0"/>
                <w:sz w:val="22"/>
                <w:szCs w:val="22"/>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906" w:type="dxa"/>
            <w:gridSpan w:val="3"/>
            <w:noWrap/>
            <w:tcMar>
              <w:top w:w="0" w:type="dxa"/>
              <w:left w:w="108" w:type="dxa"/>
              <w:bottom w:w="0" w:type="dxa"/>
              <w:right w:w="108" w:type="dxa"/>
            </w:tcMar>
            <w:vAlign w:val="center"/>
          </w:tcPr>
          <w:p>
            <w:pPr>
              <w:widowControl/>
              <w:jc w:val="left"/>
              <w:rPr>
                <w:rFonts w:ascii="宋体" w:hAnsi="宋体" w:cs="宋体"/>
                <w:spacing w:val="10"/>
                <w:kern w:val="0"/>
                <w:sz w:val="22"/>
                <w:szCs w:val="22"/>
              </w:rPr>
            </w:pPr>
            <w:r>
              <w:rPr>
                <w:rFonts w:hint="eastAsia" w:ascii="宋体" w:hAnsi="宋体" w:cs="宋体"/>
                <w:spacing w:val="10"/>
                <w:kern w:val="0"/>
                <w:sz w:val="22"/>
                <w:szCs w:val="22"/>
              </w:rPr>
              <w:t>供应商签字或盖章：</w:t>
            </w:r>
          </w:p>
          <w:p>
            <w:pPr>
              <w:widowControl/>
              <w:jc w:val="left"/>
              <w:rPr>
                <w:rFonts w:ascii="宋体" w:hAnsi="宋体" w:cs="宋体"/>
                <w:spacing w:val="10"/>
                <w:kern w:val="0"/>
                <w:sz w:val="22"/>
                <w:szCs w:val="22"/>
              </w:rPr>
            </w:pPr>
            <w:r>
              <w:rPr>
                <w:rFonts w:hint="eastAsia" w:ascii="宋体" w:hAnsi="宋体" w:cs="宋体"/>
                <w:spacing w:val="10"/>
                <w:kern w:val="0"/>
                <w:sz w:val="22"/>
                <w:szCs w:val="22"/>
              </w:rPr>
              <w:t>联系方式：         年 月 日</w:t>
            </w:r>
          </w:p>
        </w:tc>
        <w:tc>
          <w:tcPr>
            <w:tcW w:w="4639" w:type="dxa"/>
            <w:gridSpan w:val="4"/>
            <w:noWrap/>
            <w:vAlign w:val="center"/>
          </w:tcPr>
          <w:p>
            <w:pPr>
              <w:widowControl/>
              <w:jc w:val="left"/>
              <w:rPr>
                <w:rFonts w:ascii="宋体" w:hAnsi="宋体" w:cs="宋体"/>
                <w:spacing w:val="10"/>
                <w:kern w:val="0"/>
                <w:sz w:val="22"/>
                <w:szCs w:val="22"/>
              </w:rPr>
            </w:pPr>
            <w:r>
              <w:rPr>
                <w:rFonts w:hint="eastAsia" w:ascii="宋体" w:hAnsi="宋体" w:cs="宋体"/>
                <w:spacing w:val="10"/>
                <w:kern w:val="0"/>
                <w:sz w:val="22"/>
                <w:szCs w:val="22"/>
              </w:rPr>
              <w:t> 采购单位盖章：</w:t>
            </w:r>
          </w:p>
          <w:p>
            <w:pPr>
              <w:widowControl/>
              <w:ind w:firstLine="2119"/>
              <w:jc w:val="left"/>
              <w:rPr>
                <w:rFonts w:ascii="宋体" w:hAnsi="宋体" w:cs="宋体"/>
                <w:spacing w:val="10"/>
                <w:kern w:val="0"/>
                <w:sz w:val="22"/>
                <w:szCs w:val="22"/>
              </w:rPr>
            </w:pPr>
            <w:r>
              <w:rPr>
                <w:rFonts w:hint="eastAsia" w:ascii="宋体" w:hAnsi="宋体" w:cs="宋体"/>
                <w:spacing w:val="10"/>
                <w:kern w:val="0"/>
                <w:sz w:val="22"/>
                <w:szCs w:val="22"/>
              </w:rPr>
              <w:t>年 月 日</w:t>
            </w:r>
          </w:p>
        </w:tc>
      </w:tr>
    </w:tbl>
    <w:p>
      <w:pPr>
        <w:widowControl/>
        <w:jc w:val="left"/>
        <w:rPr>
          <w:rFonts w:ascii="宋体" w:hAnsi="宋体" w:cs="宋体"/>
          <w:spacing w:val="10"/>
          <w:sz w:val="22"/>
          <w:szCs w:val="22"/>
        </w:rPr>
      </w:pPr>
      <w:r>
        <w:rPr>
          <w:rFonts w:hint="eastAsia" w:ascii="宋体" w:hAnsi="宋体" w:cs="宋体"/>
          <w:spacing w:val="10"/>
          <w:kern w:val="0"/>
          <w:sz w:val="22"/>
          <w:szCs w:val="22"/>
        </w:rPr>
        <w:t>备注：本报告单一式4份（采购单位1份、供应商1份、采购监督部门备案1份、采购代理机构1份）</w:t>
      </w:r>
    </w:p>
    <w:p>
      <w:pPr>
        <w:jc w:val="left"/>
        <w:rPr>
          <w:rFonts w:ascii="宋体" w:hAnsi="宋体" w:cs="宋体"/>
          <w:sz w:val="22"/>
          <w:szCs w:val="22"/>
        </w:rPr>
      </w:pPr>
    </w:p>
    <w:p>
      <w:pPr>
        <w:pStyle w:val="4"/>
      </w:pPr>
      <w:bookmarkStart w:id="67" w:name="_Toc1610"/>
      <w:r>
        <w:rPr>
          <w:rFonts w:hint="eastAsia"/>
        </w:rPr>
        <w:t>第六章 评分方法及评分标准</w:t>
      </w:r>
      <w:bookmarkEnd w:id="67"/>
    </w:p>
    <w:p>
      <w:pPr>
        <w:spacing w:line="340" w:lineRule="exact"/>
        <w:outlineLvl w:val="0"/>
        <w:rPr>
          <w:rFonts w:ascii="宋体" w:hAnsi="宋体" w:cs="宋体"/>
          <w:b/>
          <w:sz w:val="22"/>
          <w:szCs w:val="22"/>
        </w:rPr>
      </w:pPr>
      <w:bookmarkStart w:id="68" w:name="_Toc514061729"/>
      <w:bookmarkStart w:id="69" w:name="_Toc15970"/>
      <w:bookmarkStart w:id="70" w:name="_Toc514061685"/>
      <w:r>
        <w:rPr>
          <w:rFonts w:hint="eastAsia" w:ascii="宋体" w:hAnsi="宋体" w:cs="宋体"/>
          <w:b/>
          <w:sz w:val="22"/>
          <w:szCs w:val="22"/>
        </w:rPr>
        <w:t>一、评标原则</w:t>
      </w:r>
      <w:bookmarkEnd w:id="68"/>
      <w:bookmarkEnd w:id="69"/>
      <w:bookmarkEnd w:id="70"/>
    </w:p>
    <w:p>
      <w:pPr>
        <w:widowControl/>
        <w:adjustRightInd w:val="0"/>
        <w:snapToGrid w:val="0"/>
        <w:spacing w:line="360" w:lineRule="auto"/>
        <w:ind w:right="386" w:firstLine="420"/>
        <w:jc w:val="left"/>
        <w:rPr>
          <w:rFonts w:ascii="宋体" w:hAnsi="宋体" w:cs="宋体"/>
          <w:kern w:val="0"/>
          <w:sz w:val="22"/>
          <w:szCs w:val="22"/>
        </w:rPr>
      </w:pPr>
    </w:p>
    <w:p>
      <w:pPr>
        <w:widowControl/>
        <w:adjustRightInd w:val="0"/>
        <w:snapToGrid w:val="0"/>
        <w:spacing w:line="360" w:lineRule="auto"/>
        <w:ind w:right="386" w:firstLine="420"/>
        <w:jc w:val="left"/>
        <w:rPr>
          <w:rFonts w:ascii="宋体" w:hAnsi="宋体" w:cs="宋体"/>
          <w:kern w:val="0"/>
          <w:sz w:val="22"/>
          <w:szCs w:val="22"/>
        </w:rPr>
      </w:pPr>
      <w:r>
        <w:rPr>
          <w:rFonts w:hint="eastAsia" w:ascii="宋体" w:hAnsi="宋体" w:cs="宋体"/>
          <w:kern w:val="0"/>
          <w:sz w:val="22"/>
          <w:szCs w:val="22"/>
        </w:rPr>
        <w:t>（一）谈判小组的构成：本采购项目的谈判小组分别由依法组成的评审专家、采购单位代表等三人以上单数组成，其中专家人数不少于成员总数的三分之二。</w:t>
      </w:r>
    </w:p>
    <w:p>
      <w:pPr>
        <w:widowControl/>
        <w:adjustRightInd w:val="0"/>
        <w:snapToGrid w:val="0"/>
        <w:spacing w:line="360" w:lineRule="auto"/>
        <w:ind w:right="386" w:firstLine="420"/>
        <w:jc w:val="left"/>
        <w:rPr>
          <w:rFonts w:ascii="宋体" w:hAnsi="宋体" w:cs="宋体"/>
          <w:kern w:val="0"/>
          <w:sz w:val="22"/>
          <w:szCs w:val="22"/>
        </w:rPr>
      </w:pPr>
      <w:r>
        <w:rPr>
          <w:rFonts w:hint="eastAsia" w:ascii="宋体" w:hAnsi="宋体" w:cs="宋体"/>
          <w:kern w:val="0"/>
          <w:sz w:val="22"/>
          <w:szCs w:val="22"/>
        </w:rPr>
        <w:t>（二）评标依据：以采购文件、竞标文件为评定依据。</w:t>
      </w:r>
    </w:p>
    <w:p>
      <w:pPr>
        <w:widowControl/>
        <w:adjustRightInd w:val="0"/>
        <w:snapToGrid w:val="0"/>
        <w:spacing w:line="360" w:lineRule="auto"/>
        <w:ind w:right="386" w:firstLine="420"/>
        <w:jc w:val="left"/>
        <w:rPr>
          <w:rFonts w:ascii="宋体" w:hAnsi="宋体" w:cs="宋体"/>
          <w:kern w:val="0"/>
          <w:sz w:val="22"/>
          <w:szCs w:val="22"/>
        </w:rPr>
      </w:pPr>
      <w:r>
        <w:rPr>
          <w:rFonts w:hint="eastAsia" w:ascii="宋体" w:hAnsi="宋体" w:cs="宋体"/>
          <w:kern w:val="0"/>
          <w:sz w:val="22"/>
          <w:szCs w:val="22"/>
        </w:rPr>
        <w:t>（三）评标方法：在通过资格性和响应性审查，且其设备参数性能、质量和服务均能满足采购文件实质性响应要求的前提下，按评标报价由低到高排列成交候选供应商顺序（报价相同时，依次按技术指标高优先、故障响应时间短优先、节能环保优先、质保期长优先、交货期短优先的顺序排列），并依照次序确定成交供应商。</w:t>
      </w:r>
    </w:p>
    <w:p>
      <w:pPr>
        <w:widowControl/>
        <w:adjustRightInd w:val="0"/>
        <w:snapToGrid w:val="0"/>
        <w:spacing w:line="360" w:lineRule="auto"/>
        <w:ind w:right="386" w:firstLine="420"/>
        <w:jc w:val="left"/>
        <w:rPr>
          <w:rFonts w:ascii="宋体" w:hAnsi="宋体" w:cs="宋体"/>
          <w:kern w:val="0"/>
          <w:sz w:val="22"/>
          <w:szCs w:val="22"/>
        </w:rPr>
      </w:pPr>
      <w:r>
        <w:rPr>
          <w:rFonts w:hint="eastAsia" w:ascii="宋体" w:hAnsi="宋体" w:cs="宋体"/>
          <w:kern w:val="0"/>
          <w:sz w:val="22"/>
          <w:szCs w:val="22"/>
        </w:rPr>
        <w:t>（四）按照《政府采购促进中小企业发展暂行办法》（财库[2011]181号），谈判供应商认定为小型和微型企业的（以响应文件提供的符合规定的有关证明材料为准），对竞标价给予</w:t>
      </w:r>
      <w:r>
        <w:rPr>
          <w:rFonts w:hint="eastAsia" w:ascii="宋体" w:hAnsi="宋体" w:cs="宋体"/>
          <w:kern w:val="0"/>
          <w:sz w:val="22"/>
          <w:szCs w:val="22"/>
          <w:lang w:val="en-US" w:eastAsia="zh-CN"/>
        </w:rPr>
        <w:t>10</w:t>
      </w:r>
      <w:r>
        <w:rPr>
          <w:rFonts w:hint="eastAsia" w:ascii="宋体" w:hAnsi="宋体" w:cs="宋体"/>
          <w:kern w:val="0"/>
          <w:sz w:val="22"/>
          <w:szCs w:val="22"/>
        </w:rPr>
        <w:t>%的折扣，折扣后的价格为评标报价，即评标报价=最终竞标报价×（1-</w:t>
      </w:r>
      <w:r>
        <w:rPr>
          <w:rFonts w:hint="eastAsia" w:ascii="宋体" w:hAnsi="宋体" w:cs="宋体"/>
          <w:kern w:val="0"/>
          <w:sz w:val="22"/>
          <w:szCs w:val="22"/>
          <w:lang w:val="en-US" w:eastAsia="zh-CN"/>
        </w:rPr>
        <w:t>10</w:t>
      </w:r>
      <w:r>
        <w:rPr>
          <w:rFonts w:hint="eastAsia" w:ascii="宋体" w:hAnsi="宋体" w:cs="宋体"/>
          <w:kern w:val="0"/>
          <w:sz w:val="22"/>
          <w:szCs w:val="22"/>
        </w:rPr>
        <w:t>%）。</w:t>
      </w:r>
    </w:p>
    <w:p>
      <w:pPr>
        <w:widowControl/>
        <w:spacing w:before="100" w:beforeAutospacing="1" w:after="100" w:afterAutospacing="1" w:line="400" w:lineRule="atLeast"/>
        <w:ind w:right="386"/>
        <w:jc w:val="left"/>
        <w:rPr>
          <w:rFonts w:ascii="宋体" w:hAnsi="宋体" w:cs="宋体"/>
          <w:kern w:val="0"/>
          <w:sz w:val="22"/>
          <w:szCs w:val="22"/>
        </w:rPr>
      </w:pPr>
      <w:r>
        <w:rPr>
          <w:rFonts w:hint="eastAsia" w:ascii="宋体" w:hAnsi="宋体" w:cs="宋体"/>
          <w:b/>
          <w:bCs/>
          <w:kern w:val="0"/>
          <w:sz w:val="22"/>
          <w:szCs w:val="22"/>
        </w:rPr>
        <w:t>二、成交候选供应商推荐原则：</w:t>
      </w:r>
    </w:p>
    <w:p>
      <w:pPr>
        <w:widowControl/>
        <w:spacing w:before="100" w:beforeAutospacing="1" w:after="100" w:afterAutospacing="1" w:line="360" w:lineRule="auto"/>
        <w:ind w:right="386" w:firstLine="420"/>
        <w:jc w:val="left"/>
        <w:rPr>
          <w:rFonts w:ascii="宋体" w:hAnsi="宋体" w:cs="宋体"/>
          <w:kern w:val="0"/>
          <w:sz w:val="22"/>
          <w:szCs w:val="22"/>
        </w:rPr>
      </w:pPr>
      <w:r>
        <w:rPr>
          <w:rFonts w:hint="eastAsia" w:ascii="宋体" w:hAnsi="宋体" w:cs="宋体"/>
          <w:kern w:val="0"/>
          <w:sz w:val="22"/>
          <w:szCs w:val="22"/>
        </w:rPr>
        <w:t>(一) 在质量和服务均能满足采购文件实质性响应要求的前提下，按评标报价由低到高排列成交候选供应商顺序（报价相同时，依次按技术指标高优先、故障响应时间短优先、节能环保优先、质保期长优先、交货期短优先的顺序排列），并依照次序确定成交供应商。采购单位应当确定谈判小组推荐排名第一的成交候选供应商为成交供应商。排名第一的成交供应商放弃成交、因不可抗力提出不能履行合同，或者采购文件规定应当提交履约保证金而在规定的期限内未能提交的，采购单位可以确定排名第二的成交候选供应商为成交供应商。排名第二的成交供应商因前款规定的同样原因不能签订合同的，采购单位可以确定排名第三的成交候选供应商为成交供应商，其余以此类推。</w:t>
      </w:r>
    </w:p>
    <w:p>
      <w:pPr>
        <w:snapToGrid w:val="0"/>
        <w:spacing w:line="360" w:lineRule="auto"/>
        <w:ind w:firstLine="330" w:firstLineChars="150"/>
        <w:rPr>
          <w:rFonts w:ascii="宋体" w:hAnsi="宋体" w:cs="宋体"/>
          <w:kern w:val="0"/>
          <w:sz w:val="22"/>
          <w:szCs w:val="22"/>
        </w:rPr>
      </w:pPr>
      <w:r>
        <w:rPr>
          <w:rFonts w:hint="eastAsia" w:ascii="宋体" w:hAnsi="宋体" w:cs="宋体"/>
          <w:kern w:val="0"/>
          <w:sz w:val="22"/>
          <w:szCs w:val="22"/>
        </w:rPr>
        <w:t>（二) 谈判小组认为，某谈判供应商的有效竞标报价明显不合理或者低于成本，有可能影响商品质量和不能诚信履约的，应要求其在评标委员会提出的合理时间内提供书面文件予以解释说明，必要时提交相关货物成本材料；否则，谈判小组可以取消该谈判供应商的成交候选资格，按顺序由排在后面的成交候选人递补，以此类推。</w:t>
      </w:r>
    </w:p>
    <w:p>
      <w:pPr>
        <w:pStyle w:val="9"/>
        <w:rPr>
          <w:rFonts w:hAnsi="宋体" w:cs="宋体"/>
          <w:sz w:val="22"/>
          <w:szCs w:val="22"/>
        </w:rPr>
      </w:pPr>
    </w:p>
    <w:p>
      <w:pPr>
        <w:pStyle w:val="9"/>
        <w:rPr>
          <w:rFonts w:hAnsi="宋体" w:cs="宋体"/>
          <w:sz w:val="22"/>
          <w:szCs w:val="22"/>
        </w:rPr>
      </w:pPr>
    </w:p>
    <w:p/>
    <w:sectPr>
      <w:pgSz w:w="11906" w:h="16838"/>
      <w:pgMar w:top="1134" w:right="113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pPr>
    <w: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path/>
          <v:fill on="f" focussize="0,0"/>
          <v:stroke on="f" joinstyle="miter"/>
          <v:imagedata o:title=""/>
          <o:lock v:ext="edit"/>
          <v:textbox inset="0mm,0mm,0mm,0mm" style="mso-fit-shape-to-text:t;">
            <w:txbxContent>
              <w:p>
                <w:pPr>
                  <w:pStyle w:val="11"/>
                  <w:ind w:firstLine="480"/>
                  <w:jc w:val="center"/>
                </w:pPr>
                <w:r>
                  <w:fldChar w:fldCharType="begin"/>
                </w:r>
                <w:r>
                  <w:instrText xml:space="preserve">PAGE   \* MERGEFORMAT</w:instrText>
                </w:r>
                <w:r>
                  <w:fldChar w:fldCharType="separate"/>
                </w:r>
                <w:r>
                  <w:rPr>
                    <w:lang w:val="zh-CN"/>
                  </w:rPr>
                  <w:t>1</w:t>
                </w:r>
                <w: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path/>
          <v:fill on="f" focussize="0,0"/>
          <v:stroke on="f" joinstyle="miter"/>
          <v:imagedata o:title=""/>
          <o:lock v:ext="edit"/>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fEV/vQEAAGIDAAAOAAAAAAAAAAEAIAAAAB4BAABkcnMvZTJvRG9jLnhtbFBLBQYAAAAA&#10;BgAGAFkBAABNBQAAAAA=&#10;">
          <v:path/>
          <v:fill on="f" focussize="0,0"/>
          <v:stroke on="f" joinstyle="miter"/>
          <v:imagedata o:title=""/>
          <o:lock v:ext="edit"/>
          <v:textbox inset="0mm,0mm,0mm,0mm" style="mso-fit-shape-to-text:t;">
            <w:txbxContent>
              <w:p>
                <w:pPr>
                  <w:pStyle w:val="11"/>
                  <w:jc w:val="center"/>
                </w:pPr>
                <w:r>
                  <w:fldChar w:fldCharType="begin"/>
                </w:r>
                <w:r>
                  <w:rPr>
                    <w:rStyle w:val="20"/>
                  </w:rPr>
                  <w:instrText xml:space="preserve"> PAGE </w:instrText>
                </w:r>
                <w:r>
                  <w:fldChar w:fldCharType="separate"/>
                </w:r>
                <w:r>
                  <w:rPr>
                    <w:rStyle w:val="20"/>
                  </w:rPr>
                  <w:t>22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23F1uvQEAAGIDAAAOAAAAAAAAAAEAIAAAAB4BAABkcnMvZTJvRG9jLnhtbFBLBQYAAAAA&#10;BgAGAFkBAABNBQAAAAA=&#10;">
          <v:path/>
          <v:fill on="f" focussize="0,0"/>
          <v:stroke on="f" joinstyle="miter"/>
          <v:imagedata o:title=""/>
          <o:lock v:ext="edit"/>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411" w:firstLineChars="195"/>
      <w:jc w:val="both"/>
      <w:rPr>
        <w:rFonts w:ascii="楷体_GB2312" w:eastAsia="楷体_GB2312" w:cs="宋体"/>
        <w:b/>
        <w:color w:val="00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ascii="楷体_GB2312" w:eastAsia="宋体" w:cs="宋体"/>
        <w:b/>
        <w:color w:val="000000"/>
        <w:sz w:val="21"/>
        <w:szCs w:val="21"/>
        <w:lang w:eastAsia="zh-CN"/>
      </w:rPr>
    </w:pPr>
    <w:r>
      <w:rPr>
        <w:rFonts w:hint="eastAsia" w:ascii="宋体" w:hAnsi="宋体" w:cs="宋体"/>
        <w:color w:val="000000"/>
        <w:szCs w:val="21"/>
      </w:rPr>
      <w:t>项目名称：教学设备采购                     目编号：</w:t>
    </w:r>
    <w:r>
      <w:rPr>
        <w:rFonts w:hint="eastAsia" w:ascii="宋体" w:hAnsi="宋体" w:cs="宋体"/>
        <w:color w:val="000000"/>
        <w:sz w:val="22"/>
        <w:szCs w:val="22"/>
        <w:lang w:eastAsia="zh-CN"/>
      </w:rPr>
      <w:t>HCZC2020-J3-230124-GXZH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楷体_GB2312" w:eastAsia="楷体_GB2312" w:cs="宋体"/>
        <w:b/>
        <w:color w:val="00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7F940"/>
    <w:multiLevelType w:val="singleLevel"/>
    <w:tmpl w:val="A577F940"/>
    <w:lvl w:ilvl="0" w:tentative="0">
      <w:start w:val="1"/>
      <w:numFmt w:val="decimal"/>
      <w:suff w:val="nothing"/>
      <w:lvlText w:val="%1、"/>
      <w:lvlJc w:val="left"/>
    </w:lvl>
  </w:abstractNum>
  <w:abstractNum w:abstractNumId="1">
    <w:nsid w:val="B4452BF2"/>
    <w:multiLevelType w:val="singleLevel"/>
    <w:tmpl w:val="B4452BF2"/>
    <w:lvl w:ilvl="0" w:tentative="0">
      <w:start w:val="1"/>
      <w:numFmt w:val="chineseCounting"/>
      <w:suff w:val="nothing"/>
      <w:lvlText w:val="%1、"/>
      <w:lvlJc w:val="left"/>
      <w:rPr>
        <w:rFonts w:hint="eastAsia"/>
      </w:rPr>
    </w:lvl>
  </w:abstractNum>
  <w:abstractNum w:abstractNumId="2">
    <w:nsid w:val="0000000D"/>
    <w:multiLevelType w:val="multilevel"/>
    <w:tmpl w:val="0000000D"/>
    <w:lvl w:ilvl="0" w:tentative="0">
      <w:start w:val="2"/>
      <w:numFmt w:val="japaneseCounting"/>
      <w:lvlText w:val="%1、"/>
      <w:lvlJc w:val="left"/>
      <w:pPr>
        <w:tabs>
          <w:tab w:val="left" w:pos="600"/>
        </w:tabs>
        <w:ind w:left="600" w:hanging="4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C"/>
    <w:multiLevelType w:val="multilevel"/>
    <w:tmpl w:val="0000001C"/>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F12B386"/>
    <w:multiLevelType w:val="singleLevel"/>
    <w:tmpl w:val="2F12B386"/>
    <w:lvl w:ilvl="0" w:tentative="0">
      <w:start w:val="2"/>
      <w:numFmt w:val="chineseCounting"/>
      <w:suff w:val="nothing"/>
      <w:lvlText w:val="%1、"/>
      <w:lvlJc w:val="left"/>
      <w:rPr>
        <w:rFonts w:hint="eastAsia"/>
      </w:rPr>
    </w:lvl>
  </w:abstractNum>
  <w:num w:numId="1">
    <w:abstractNumId w:val="1"/>
  </w:num>
  <w:num w:numId="2">
    <w:abstractNumId w:val="5"/>
  </w:num>
  <w:num w:numId="3">
    <w:abstractNumId w:val="3"/>
    <w:lvlOverride w:ilvl="1">
      <w:startOverride w:val="1"/>
    </w:lvlOverride>
  </w:num>
  <w:num w:numId="4">
    <w:abstractNumId w:val="4"/>
    <w:lvlOverride w:ilvl="0">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rsids>
    <w:rsidRoot w:val="00E57A83"/>
    <w:rsid w:val="00012571"/>
    <w:rsid w:val="00041766"/>
    <w:rsid w:val="0004384D"/>
    <w:rsid w:val="000726C6"/>
    <w:rsid w:val="000C183D"/>
    <w:rsid w:val="000E5248"/>
    <w:rsid w:val="000F2212"/>
    <w:rsid w:val="000F332E"/>
    <w:rsid w:val="0011340A"/>
    <w:rsid w:val="00140D72"/>
    <w:rsid w:val="00153B07"/>
    <w:rsid w:val="001935A1"/>
    <w:rsid w:val="00273E12"/>
    <w:rsid w:val="002B7B69"/>
    <w:rsid w:val="00326E5C"/>
    <w:rsid w:val="00327F7D"/>
    <w:rsid w:val="00353C6D"/>
    <w:rsid w:val="003D5131"/>
    <w:rsid w:val="003F6756"/>
    <w:rsid w:val="00444A60"/>
    <w:rsid w:val="004535A1"/>
    <w:rsid w:val="004A7CF7"/>
    <w:rsid w:val="00541284"/>
    <w:rsid w:val="00613F5B"/>
    <w:rsid w:val="00685E8C"/>
    <w:rsid w:val="006E04AB"/>
    <w:rsid w:val="006F5F54"/>
    <w:rsid w:val="00726A11"/>
    <w:rsid w:val="00727F97"/>
    <w:rsid w:val="00794983"/>
    <w:rsid w:val="007B0AF7"/>
    <w:rsid w:val="0080552B"/>
    <w:rsid w:val="00812577"/>
    <w:rsid w:val="00813142"/>
    <w:rsid w:val="008F681A"/>
    <w:rsid w:val="00914766"/>
    <w:rsid w:val="009715E8"/>
    <w:rsid w:val="009A657F"/>
    <w:rsid w:val="009B11A6"/>
    <w:rsid w:val="009B2268"/>
    <w:rsid w:val="009D0E50"/>
    <w:rsid w:val="00A0290C"/>
    <w:rsid w:val="00A859A5"/>
    <w:rsid w:val="00AB5D46"/>
    <w:rsid w:val="00AD57F5"/>
    <w:rsid w:val="00AE660F"/>
    <w:rsid w:val="00AF1722"/>
    <w:rsid w:val="00AF17E1"/>
    <w:rsid w:val="00B16217"/>
    <w:rsid w:val="00B274A6"/>
    <w:rsid w:val="00B305A0"/>
    <w:rsid w:val="00B83C1D"/>
    <w:rsid w:val="00BA2713"/>
    <w:rsid w:val="00BC282A"/>
    <w:rsid w:val="00BE42D7"/>
    <w:rsid w:val="00C06981"/>
    <w:rsid w:val="00C470B9"/>
    <w:rsid w:val="00C93DB3"/>
    <w:rsid w:val="00D10DB6"/>
    <w:rsid w:val="00D51FD1"/>
    <w:rsid w:val="00D61B73"/>
    <w:rsid w:val="00DA7F50"/>
    <w:rsid w:val="00DD6B00"/>
    <w:rsid w:val="00E14260"/>
    <w:rsid w:val="00E276F5"/>
    <w:rsid w:val="00E57A83"/>
    <w:rsid w:val="00E82276"/>
    <w:rsid w:val="00E904D6"/>
    <w:rsid w:val="00E9341C"/>
    <w:rsid w:val="00EF4977"/>
    <w:rsid w:val="00F20DC5"/>
    <w:rsid w:val="00F318C2"/>
    <w:rsid w:val="00F3778B"/>
    <w:rsid w:val="00F80F14"/>
    <w:rsid w:val="00F8706E"/>
    <w:rsid w:val="00FD53BC"/>
    <w:rsid w:val="01227AEF"/>
    <w:rsid w:val="013B502C"/>
    <w:rsid w:val="014908FE"/>
    <w:rsid w:val="018A7065"/>
    <w:rsid w:val="0190391F"/>
    <w:rsid w:val="01B00DB9"/>
    <w:rsid w:val="01CF6D6D"/>
    <w:rsid w:val="021C4CBC"/>
    <w:rsid w:val="02653350"/>
    <w:rsid w:val="02D7669E"/>
    <w:rsid w:val="0313785A"/>
    <w:rsid w:val="031E381E"/>
    <w:rsid w:val="03256200"/>
    <w:rsid w:val="032B3C23"/>
    <w:rsid w:val="032E06AF"/>
    <w:rsid w:val="0345000E"/>
    <w:rsid w:val="03480A33"/>
    <w:rsid w:val="0355443A"/>
    <w:rsid w:val="039A7360"/>
    <w:rsid w:val="03AA3761"/>
    <w:rsid w:val="03FA1B45"/>
    <w:rsid w:val="04515D97"/>
    <w:rsid w:val="04843A5E"/>
    <w:rsid w:val="04A14C06"/>
    <w:rsid w:val="04D05F87"/>
    <w:rsid w:val="04DD2D4D"/>
    <w:rsid w:val="04F2450E"/>
    <w:rsid w:val="051C780A"/>
    <w:rsid w:val="05656D11"/>
    <w:rsid w:val="059A5387"/>
    <w:rsid w:val="05B8716D"/>
    <w:rsid w:val="06466F5C"/>
    <w:rsid w:val="067620B8"/>
    <w:rsid w:val="069368CE"/>
    <w:rsid w:val="06BA7F7B"/>
    <w:rsid w:val="06DC3131"/>
    <w:rsid w:val="07125A2A"/>
    <w:rsid w:val="07382D8B"/>
    <w:rsid w:val="073A41F8"/>
    <w:rsid w:val="07492390"/>
    <w:rsid w:val="074B4135"/>
    <w:rsid w:val="07575612"/>
    <w:rsid w:val="076F2BA1"/>
    <w:rsid w:val="077E1D60"/>
    <w:rsid w:val="07992BBF"/>
    <w:rsid w:val="07A87373"/>
    <w:rsid w:val="07D03337"/>
    <w:rsid w:val="08505FB3"/>
    <w:rsid w:val="08720199"/>
    <w:rsid w:val="0878475E"/>
    <w:rsid w:val="088738D1"/>
    <w:rsid w:val="08B204D7"/>
    <w:rsid w:val="08C46C8A"/>
    <w:rsid w:val="08DB0C64"/>
    <w:rsid w:val="08FA2732"/>
    <w:rsid w:val="09293555"/>
    <w:rsid w:val="094D6911"/>
    <w:rsid w:val="0970238B"/>
    <w:rsid w:val="0988645A"/>
    <w:rsid w:val="0A1151BD"/>
    <w:rsid w:val="0ADC7B3E"/>
    <w:rsid w:val="0B26195C"/>
    <w:rsid w:val="0B5520DF"/>
    <w:rsid w:val="0B5A775D"/>
    <w:rsid w:val="0BA514AE"/>
    <w:rsid w:val="0C0D5051"/>
    <w:rsid w:val="0C0F5155"/>
    <w:rsid w:val="0C253842"/>
    <w:rsid w:val="0C3D57E4"/>
    <w:rsid w:val="0C5465AD"/>
    <w:rsid w:val="0C6F4A7C"/>
    <w:rsid w:val="0C8E15BA"/>
    <w:rsid w:val="0C95576C"/>
    <w:rsid w:val="0CFB7B40"/>
    <w:rsid w:val="0D8A3492"/>
    <w:rsid w:val="0DBC63AB"/>
    <w:rsid w:val="0E096DF9"/>
    <w:rsid w:val="0E2D4CB7"/>
    <w:rsid w:val="0E7716EE"/>
    <w:rsid w:val="0E9F355B"/>
    <w:rsid w:val="0EA91025"/>
    <w:rsid w:val="0EEF34D7"/>
    <w:rsid w:val="0EF509AA"/>
    <w:rsid w:val="0F0E2E3E"/>
    <w:rsid w:val="0F4C188D"/>
    <w:rsid w:val="0F6B4F5E"/>
    <w:rsid w:val="0F6F3920"/>
    <w:rsid w:val="0FD93013"/>
    <w:rsid w:val="10424B18"/>
    <w:rsid w:val="106A1881"/>
    <w:rsid w:val="10811CF6"/>
    <w:rsid w:val="109012C6"/>
    <w:rsid w:val="109031B0"/>
    <w:rsid w:val="109705C0"/>
    <w:rsid w:val="10A54C78"/>
    <w:rsid w:val="10E5746B"/>
    <w:rsid w:val="110F04E7"/>
    <w:rsid w:val="111927D9"/>
    <w:rsid w:val="118C3C40"/>
    <w:rsid w:val="11B83517"/>
    <w:rsid w:val="11F04FEB"/>
    <w:rsid w:val="1211330F"/>
    <w:rsid w:val="122535BC"/>
    <w:rsid w:val="12405EA6"/>
    <w:rsid w:val="1244275A"/>
    <w:rsid w:val="128F0015"/>
    <w:rsid w:val="12A10587"/>
    <w:rsid w:val="12C51296"/>
    <w:rsid w:val="130A0165"/>
    <w:rsid w:val="130A0F8C"/>
    <w:rsid w:val="131306D9"/>
    <w:rsid w:val="1315679B"/>
    <w:rsid w:val="131D0ED3"/>
    <w:rsid w:val="135E3903"/>
    <w:rsid w:val="136855E1"/>
    <w:rsid w:val="13963C8C"/>
    <w:rsid w:val="13BB7DF7"/>
    <w:rsid w:val="13E421F9"/>
    <w:rsid w:val="13F83FB7"/>
    <w:rsid w:val="140F590A"/>
    <w:rsid w:val="1469778A"/>
    <w:rsid w:val="147162E7"/>
    <w:rsid w:val="14A146B4"/>
    <w:rsid w:val="14BD33A0"/>
    <w:rsid w:val="14C95EF2"/>
    <w:rsid w:val="14D901C3"/>
    <w:rsid w:val="14EF2B31"/>
    <w:rsid w:val="150A386A"/>
    <w:rsid w:val="152A1A59"/>
    <w:rsid w:val="15525FA8"/>
    <w:rsid w:val="15593CDD"/>
    <w:rsid w:val="156E1AC1"/>
    <w:rsid w:val="15B95E08"/>
    <w:rsid w:val="1621631B"/>
    <w:rsid w:val="1661572F"/>
    <w:rsid w:val="166E2507"/>
    <w:rsid w:val="166F4D07"/>
    <w:rsid w:val="16992B01"/>
    <w:rsid w:val="16AC14ED"/>
    <w:rsid w:val="16E679A8"/>
    <w:rsid w:val="17140378"/>
    <w:rsid w:val="174A15F7"/>
    <w:rsid w:val="17A57BFF"/>
    <w:rsid w:val="17B36ED8"/>
    <w:rsid w:val="17B42183"/>
    <w:rsid w:val="17BB5FB4"/>
    <w:rsid w:val="17C2263F"/>
    <w:rsid w:val="17F656C0"/>
    <w:rsid w:val="18202F7C"/>
    <w:rsid w:val="184C1EF0"/>
    <w:rsid w:val="18865F15"/>
    <w:rsid w:val="18933336"/>
    <w:rsid w:val="189D3E14"/>
    <w:rsid w:val="18AA71A7"/>
    <w:rsid w:val="18BA52DC"/>
    <w:rsid w:val="18C71C98"/>
    <w:rsid w:val="19783D3F"/>
    <w:rsid w:val="19AB79ED"/>
    <w:rsid w:val="19B64A79"/>
    <w:rsid w:val="1A096355"/>
    <w:rsid w:val="1A32471D"/>
    <w:rsid w:val="1A9705F3"/>
    <w:rsid w:val="1A9C3582"/>
    <w:rsid w:val="1AB02F02"/>
    <w:rsid w:val="1AE02E1C"/>
    <w:rsid w:val="1AE41D76"/>
    <w:rsid w:val="1B0E16EF"/>
    <w:rsid w:val="1B7A51BE"/>
    <w:rsid w:val="1B81744C"/>
    <w:rsid w:val="1B86686B"/>
    <w:rsid w:val="1B990A7A"/>
    <w:rsid w:val="1B9E0E41"/>
    <w:rsid w:val="1BE76AA5"/>
    <w:rsid w:val="1BFD061B"/>
    <w:rsid w:val="1C2A22F8"/>
    <w:rsid w:val="1C427CF6"/>
    <w:rsid w:val="1C6410CE"/>
    <w:rsid w:val="1C7255D3"/>
    <w:rsid w:val="1C9A7AFB"/>
    <w:rsid w:val="1CDB177D"/>
    <w:rsid w:val="1D0C2330"/>
    <w:rsid w:val="1D20254B"/>
    <w:rsid w:val="1D3C7D79"/>
    <w:rsid w:val="1D8737FB"/>
    <w:rsid w:val="1DCC067B"/>
    <w:rsid w:val="1DE91BC8"/>
    <w:rsid w:val="1E1137C0"/>
    <w:rsid w:val="1E625C6B"/>
    <w:rsid w:val="1E717072"/>
    <w:rsid w:val="1E9E228B"/>
    <w:rsid w:val="1EA8215B"/>
    <w:rsid w:val="1F052DF2"/>
    <w:rsid w:val="1F2E761C"/>
    <w:rsid w:val="1F3D02C9"/>
    <w:rsid w:val="1F4360E2"/>
    <w:rsid w:val="1F6414C9"/>
    <w:rsid w:val="1F7723BF"/>
    <w:rsid w:val="1F826F6F"/>
    <w:rsid w:val="1FA92D08"/>
    <w:rsid w:val="1FB9213D"/>
    <w:rsid w:val="1FF14293"/>
    <w:rsid w:val="200764F0"/>
    <w:rsid w:val="201157D8"/>
    <w:rsid w:val="204335F7"/>
    <w:rsid w:val="20743812"/>
    <w:rsid w:val="20BB4D42"/>
    <w:rsid w:val="20D90027"/>
    <w:rsid w:val="20F57E03"/>
    <w:rsid w:val="21062164"/>
    <w:rsid w:val="212A1FBC"/>
    <w:rsid w:val="212D5948"/>
    <w:rsid w:val="213824CE"/>
    <w:rsid w:val="21504835"/>
    <w:rsid w:val="216F3520"/>
    <w:rsid w:val="21825C98"/>
    <w:rsid w:val="21D17F13"/>
    <w:rsid w:val="21E53240"/>
    <w:rsid w:val="21FA5E4C"/>
    <w:rsid w:val="2201480A"/>
    <w:rsid w:val="22070FB5"/>
    <w:rsid w:val="220909BF"/>
    <w:rsid w:val="22763FFD"/>
    <w:rsid w:val="22906CE1"/>
    <w:rsid w:val="22A95211"/>
    <w:rsid w:val="22F527EE"/>
    <w:rsid w:val="231528BD"/>
    <w:rsid w:val="231F7E95"/>
    <w:rsid w:val="234658EA"/>
    <w:rsid w:val="234C7414"/>
    <w:rsid w:val="236E2B81"/>
    <w:rsid w:val="238B2780"/>
    <w:rsid w:val="239665C7"/>
    <w:rsid w:val="23C40239"/>
    <w:rsid w:val="23CA7271"/>
    <w:rsid w:val="23DF5800"/>
    <w:rsid w:val="23EE33C6"/>
    <w:rsid w:val="23FC65AC"/>
    <w:rsid w:val="24217752"/>
    <w:rsid w:val="24536240"/>
    <w:rsid w:val="245F723D"/>
    <w:rsid w:val="24954CC2"/>
    <w:rsid w:val="24D06A56"/>
    <w:rsid w:val="24EE529E"/>
    <w:rsid w:val="255D54D8"/>
    <w:rsid w:val="256F1054"/>
    <w:rsid w:val="25750308"/>
    <w:rsid w:val="25892DB7"/>
    <w:rsid w:val="25A2215E"/>
    <w:rsid w:val="25EF4D96"/>
    <w:rsid w:val="25FC521E"/>
    <w:rsid w:val="25FF57B1"/>
    <w:rsid w:val="260D53A5"/>
    <w:rsid w:val="261C47A0"/>
    <w:rsid w:val="26651CBD"/>
    <w:rsid w:val="269134BE"/>
    <w:rsid w:val="26CE2EDC"/>
    <w:rsid w:val="26D03671"/>
    <w:rsid w:val="26DE19D9"/>
    <w:rsid w:val="27286E03"/>
    <w:rsid w:val="27B955D4"/>
    <w:rsid w:val="27DF7674"/>
    <w:rsid w:val="27E03002"/>
    <w:rsid w:val="27F2131A"/>
    <w:rsid w:val="28055782"/>
    <w:rsid w:val="2817391D"/>
    <w:rsid w:val="2824393C"/>
    <w:rsid w:val="2844681D"/>
    <w:rsid w:val="286771CA"/>
    <w:rsid w:val="286D54CB"/>
    <w:rsid w:val="289F67D2"/>
    <w:rsid w:val="28EA2562"/>
    <w:rsid w:val="290A7500"/>
    <w:rsid w:val="291F0D7D"/>
    <w:rsid w:val="295F072E"/>
    <w:rsid w:val="29884D7D"/>
    <w:rsid w:val="29DB44D4"/>
    <w:rsid w:val="29E674EF"/>
    <w:rsid w:val="2A2874C1"/>
    <w:rsid w:val="2A2D53BD"/>
    <w:rsid w:val="2A583B27"/>
    <w:rsid w:val="2A6D60C8"/>
    <w:rsid w:val="2A735E1B"/>
    <w:rsid w:val="2A746F8C"/>
    <w:rsid w:val="2A871540"/>
    <w:rsid w:val="2AA86463"/>
    <w:rsid w:val="2AC913C3"/>
    <w:rsid w:val="2AD17BE1"/>
    <w:rsid w:val="2AE01C49"/>
    <w:rsid w:val="2AF0776F"/>
    <w:rsid w:val="2AFA6A1E"/>
    <w:rsid w:val="2AFB61F4"/>
    <w:rsid w:val="2B065252"/>
    <w:rsid w:val="2B072C71"/>
    <w:rsid w:val="2B292EA2"/>
    <w:rsid w:val="2B5C5D7B"/>
    <w:rsid w:val="2B6B4068"/>
    <w:rsid w:val="2BA903CE"/>
    <w:rsid w:val="2BAA76CD"/>
    <w:rsid w:val="2BC77FD7"/>
    <w:rsid w:val="2C0E26F2"/>
    <w:rsid w:val="2C2015EE"/>
    <w:rsid w:val="2C395EB2"/>
    <w:rsid w:val="2C523972"/>
    <w:rsid w:val="2C782E42"/>
    <w:rsid w:val="2CA363F9"/>
    <w:rsid w:val="2CE269DC"/>
    <w:rsid w:val="2D531979"/>
    <w:rsid w:val="2D947463"/>
    <w:rsid w:val="2D9F6E8D"/>
    <w:rsid w:val="2E1A5EC0"/>
    <w:rsid w:val="2E1C4D2B"/>
    <w:rsid w:val="2E1D33C3"/>
    <w:rsid w:val="2E576BF6"/>
    <w:rsid w:val="2EE033C5"/>
    <w:rsid w:val="2F3D5866"/>
    <w:rsid w:val="2F426E72"/>
    <w:rsid w:val="301F0AD9"/>
    <w:rsid w:val="30691250"/>
    <w:rsid w:val="307768F9"/>
    <w:rsid w:val="307A5ED9"/>
    <w:rsid w:val="30A8562F"/>
    <w:rsid w:val="30F8203A"/>
    <w:rsid w:val="311E60C6"/>
    <w:rsid w:val="31381439"/>
    <w:rsid w:val="31567CEC"/>
    <w:rsid w:val="31592B89"/>
    <w:rsid w:val="31B52C8B"/>
    <w:rsid w:val="31DD3205"/>
    <w:rsid w:val="322834B2"/>
    <w:rsid w:val="32530DF7"/>
    <w:rsid w:val="3258370A"/>
    <w:rsid w:val="325B66B5"/>
    <w:rsid w:val="326D31CF"/>
    <w:rsid w:val="32813B2D"/>
    <w:rsid w:val="32B94450"/>
    <w:rsid w:val="32EC67C9"/>
    <w:rsid w:val="32F32BCF"/>
    <w:rsid w:val="33190856"/>
    <w:rsid w:val="334C60A1"/>
    <w:rsid w:val="33AD7AB8"/>
    <w:rsid w:val="33B60290"/>
    <w:rsid w:val="33FD5BB0"/>
    <w:rsid w:val="341F250D"/>
    <w:rsid w:val="342238C5"/>
    <w:rsid w:val="34B858EF"/>
    <w:rsid w:val="34BC1A8E"/>
    <w:rsid w:val="356F1227"/>
    <w:rsid w:val="35725D76"/>
    <w:rsid w:val="35A623DB"/>
    <w:rsid w:val="35B615A4"/>
    <w:rsid w:val="35BA0CF1"/>
    <w:rsid w:val="35EA3967"/>
    <w:rsid w:val="362D0764"/>
    <w:rsid w:val="36312B6B"/>
    <w:rsid w:val="365A5BA1"/>
    <w:rsid w:val="36872046"/>
    <w:rsid w:val="36881577"/>
    <w:rsid w:val="368E6541"/>
    <w:rsid w:val="36994CD6"/>
    <w:rsid w:val="36FD5F11"/>
    <w:rsid w:val="381950CE"/>
    <w:rsid w:val="383B7E38"/>
    <w:rsid w:val="383E143D"/>
    <w:rsid w:val="38454312"/>
    <w:rsid w:val="38E55602"/>
    <w:rsid w:val="38F5458A"/>
    <w:rsid w:val="391159BC"/>
    <w:rsid w:val="391D4E40"/>
    <w:rsid w:val="39270A25"/>
    <w:rsid w:val="39B15B0F"/>
    <w:rsid w:val="39B21B1D"/>
    <w:rsid w:val="39C77D8A"/>
    <w:rsid w:val="3A243FE3"/>
    <w:rsid w:val="3A297532"/>
    <w:rsid w:val="3A416119"/>
    <w:rsid w:val="3A5B0939"/>
    <w:rsid w:val="3A8A1399"/>
    <w:rsid w:val="3ACB5B27"/>
    <w:rsid w:val="3ACF5967"/>
    <w:rsid w:val="3B4A5A02"/>
    <w:rsid w:val="3B6207D0"/>
    <w:rsid w:val="3B8F2FA7"/>
    <w:rsid w:val="3BAC39F7"/>
    <w:rsid w:val="3BDA0213"/>
    <w:rsid w:val="3BDF405E"/>
    <w:rsid w:val="3C221070"/>
    <w:rsid w:val="3C44244E"/>
    <w:rsid w:val="3C5B0630"/>
    <w:rsid w:val="3C655221"/>
    <w:rsid w:val="3C6F035E"/>
    <w:rsid w:val="3C8E2603"/>
    <w:rsid w:val="3C92131D"/>
    <w:rsid w:val="3CD62213"/>
    <w:rsid w:val="3D0E4B10"/>
    <w:rsid w:val="3DA360F0"/>
    <w:rsid w:val="3DCA2AF5"/>
    <w:rsid w:val="3E027EE1"/>
    <w:rsid w:val="3E140B80"/>
    <w:rsid w:val="3E44706A"/>
    <w:rsid w:val="3E5C3492"/>
    <w:rsid w:val="3E62617A"/>
    <w:rsid w:val="3E88586B"/>
    <w:rsid w:val="3EDF34A8"/>
    <w:rsid w:val="3F870E09"/>
    <w:rsid w:val="3F871836"/>
    <w:rsid w:val="3F886DC2"/>
    <w:rsid w:val="3FB1359D"/>
    <w:rsid w:val="3FC8785F"/>
    <w:rsid w:val="3FF0072D"/>
    <w:rsid w:val="403B74D9"/>
    <w:rsid w:val="40406DE3"/>
    <w:rsid w:val="406B7E13"/>
    <w:rsid w:val="409C5F8F"/>
    <w:rsid w:val="40B56FD3"/>
    <w:rsid w:val="40C93232"/>
    <w:rsid w:val="40DB0079"/>
    <w:rsid w:val="40F55F30"/>
    <w:rsid w:val="40F72E85"/>
    <w:rsid w:val="4105745D"/>
    <w:rsid w:val="410921DE"/>
    <w:rsid w:val="411B2BA3"/>
    <w:rsid w:val="41405F56"/>
    <w:rsid w:val="41B01867"/>
    <w:rsid w:val="41D1358B"/>
    <w:rsid w:val="42031014"/>
    <w:rsid w:val="425D7653"/>
    <w:rsid w:val="4270468B"/>
    <w:rsid w:val="42A8114C"/>
    <w:rsid w:val="42A9772A"/>
    <w:rsid w:val="42B16A0E"/>
    <w:rsid w:val="42FA2637"/>
    <w:rsid w:val="43041279"/>
    <w:rsid w:val="436075E0"/>
    <w:rsid w:val="43842A39"/>
    <w:rsid w:val="43893F9A"/>
    <w:rsid w:val="43F63AAA"/>
    <w:rsid w:val="442865CE"/>
    <w:rsid w:val="44630901"/>
    <w:rsid w:val="44991AAD"/>
    <w:rsid w:val="45086AD9"/>
    <w:rsid w:val="451F49E4"/>
    <w:rsid w:val="454A7BFE"/>
    <w:rsid w:val="455A0072"/>
    <w:rsid w:val="457243AA"/>
    <w:rsid w:val="45866E3A"/>
    <w:rsid w:val="45B538F5"/>
    <w:rsid w:val="45D41643"/>
    <w:rsid w:val="45D7676D"/>
    <w:rsid w:val="45E25D57"/>
    <w:rsid w:val="4604203F"/>
    <w:rsid w:val="460C4AAB"/>
    <w:rsid w:val="46345E9A"/>
    <w:rsid w:val="465B55C9"/>
    <w:rsid w:val="465F624E"/>
    <w:rsid w:val="469E34FD"/>
    <w:rsid w:val="46C676B7"/>
    <w:rsid w:val="46DD681E"/>
    <w:rsid w:val="470E0884"/>
    <w:rsid w:val="473D18E3"/>
    <w:rsid w:val="47583209"/>
    <w:rsid w:val="477E09B1"/>
    <w:rsid w:val="478D77CD"/>
    <w:rsid w:val="47D14514"/>
    <w:rsid w:val="47DE24F1"/>
    <w:rsid w:val="485E7459"/>
    <w:rsid w:val="48635B7A"/>
    <w:rsid w:val="48887D21"/>
    <w:rsid w:val="48E1189C"/>
    <w:rsid w:val="48E8025D"/>
    <w:rsid w:val="4949098F"/>
    <w:rsid w:val="4A0C3F68"/>
    <w:rsid w:val="4A21415E"/>
    <w:rsid w:val="4A26071C"/>
    <w:rsid w:val="4A7E0E56"/>
    <w:rsid w:val="4A880695"/>
    <w:rsid w:val="4A993D5E"/>
    <w:rsid w:val="4AA747E8"/>
    <w:rsid w:val="4AAC4CBA"/>
    <w:rsid w:val="4B2179A1"/>
    <w:rsid w:val="4B386EDC"/>
    <w:rsid w:val="4B772A71"/>
    <w:rsid w:val="4BC00AAA"/>
    <w:rsid w:val="4BE5717E"/>
    <w:rsid w:val="4C001940"/>
    <w:rsid w:val="4C3E663B"/>
    <w:rsid w:val="4C674DBC"/>
    <w:rsid w:val="4CA36E98"/>
    <w:rsid w:val="4CA77FFD"/>
    <w:rsid w:val="4CCF697A"/>
    <w:rsid w:val="4CFE3A52"/>
    <w:rsid w:val="4D174E8A"/>
    <w:rsid w:val="4D2F116B"/>
    <w:rsid w:val="4D40452B"/>
    <w:rsid w:val="4D595823"/>
    <w:rsid w:val="4D660C47"/>
    <w:rsid w:val="4DA5706C"/>
    <w:rsid w:val="4DE63C58"/>
    <w:rsid w:val="4DF82525"/>
    <w:rsid w:val="4DFB3102"/>
    <w:rsid w:val="4E2E4602"/>
    <w:rsid w:val="4E390F01"/>
    <w:rsid w:val="4E4E0A65"/>
    <w:rsid w:val="4E5243A1"/>
    <w:rsid w:val="4EA30BCE"/>
    <w:rsid w:val="4EF803C9"/>
    <w:rsid w:val="4F0A495E"/>
    <w:rsid w:val="4F796B37"/>
    <w:rsid w:val="4F9B7042"/>
    <w:rsid w:val="4FB53BCC"/>
    <w:rsid w:val="4FC70758"/>
    <w:rsid w:val="4FFB3347"/>
    <w:rsid w:val="504C04E8"/>
    <w:rsid w:val="50553672"/>
    <w:rsid w:val="505F4EB4"/>
    <w:rsid w:val="50817CA9"/>
    <w:rsid w:val="50A64ABE"/>
    <w:rsid w:val="50BF5EA7"/>
    <w:rsid w:val="50D907CB"/>
    <w:rsid w:val="50EA3A0B"/>
    <w:rsid w:val="50EB0A99"/>
    <w:rsid w:val="516B2455"/>
    <w:rsid w:val="51A01674"/>
    <w:rsid w:val="51EB3274"/>
    <w:rsid w:val="51F34A6D"/>
    <w:rsid w:val="51F95D7C"/>
    <w:rsid w:val="520C14F7"/>
    <w:rsid w:val="520F048C"/>
    <w:rsid w:val="522A417C"/>
    <w:rsid w:val="52417FDA"/>
    <w:rsid w:val="52441FAC"/>
    <w:rsid w:val="52B407DC"/>
    <w:rsid w:val="52D20848"/>
    <w:rsid w:val="52E1572C"/>
    <w:rsid w:val="52EA3D1D"/>
    <w:rsid w:val="52EB7CE0"/>
    <w:rsid w:val="532C53F3"/>
    <w:rsid w:val="533A7597"/>
    <w:rsid w:val="53445A0B"/>
    <w:rsid w:val="534E6745"/>
    <w:rsid w:val="53766F35"/>
    <w:rsid w:val="537C12B4"/>
    <w:rsid w:val="5385188D"/>
    <w:rsid w:val="53960E32"/>
    <w:rsid w:val="53A21E4E"/>
    <w:rsid w:val="53F44B97"/>
    <w:rsid w:val="54253BC5"/>
    <w:rsid w:val="543D31B7"/>
    <w:rsid w:val="544A67D0"/>
    <w:rsid w:val="54697A01"/>
    <w:rsid w:val="54AC3A1C"/>
    <w:rsid w:val="54E0247C"/>
    <w:rsid w:val="55325DB1"/>
    <w:rsid w:val="554E5AAA"/>
    <w:rsid w:val="55A23105"/>
    <w:rsid w:val="55D263E9"/>
    <w:rsid w:val="564701C6"/>
    <w:rsid w:val="564D13A8"/>
    <w:rsid w:val="564F175F"/>
    <w:rsid w:val="56B2749C"/>
    <w:rsid w:val="56B60275"/>
    <w:rsid w:val="56D94D41"/>
    <w:rsid w:val="574B128F"/>
    <w:rsid w:val="57961748"/>
    <w:rsid w:val="579D2240"/>
    <w:rsid w:val="57B86897"/>
    <w:rsid w:val="57F81498"/>
    <w:rsid w:val="580A1502"/>
    <w:rsid w:val="589F379C"/>
    <w:rsid w:val="58C53755"/>
    <w:rsid w:val="58EE1B87"/>
    <w:rsid w:val="59450C32"/>
    <w:rsid w:val="596525E9"/>
    <w:rsid w:val="59E83321"/>
    <w:rsid w:val="59F426BC"/>
    <w:rsid w:val="59FE558E"/>
    <w:rsid w:val="5A087F46"/>
    <w:rsid w:val="5A47234B"/>
    <w:rsid w:val="5A5E5D5C"/>
    <w:rsid w:val="5A8633A9"/>
    <w:rsid w:val="5A8D7BE6"/>
    <w:rsid w:val="5B15433C"/>
    <w:rsid w:val="5B336585"/>
    <w:rsid w:val="5B4474D9"/>
    <w:rsid w:val="5B634652"/>
    <w:rsid w:val="5B8C5C7C"/>
    <w:rsid w:val="5BA93AA6"/>
    <w:rsid w:val="5C222D34"/>
    <w:rsid w:val="5C4F2236"/>
    <w:rsid w:val="5C5C290A"/>
    <w:rsid w:val="5C7C215C"/>
    <w:rsid w:val="5CC80F64"/>
    <w:rsid w:val="5CE34571"/>
    <w:rsid w:val="5CF93279"/>
    <w:rsid w:val="5D0752CD"/>
    <w:rsid w:val="5D1106BF"/>
    <w:rsid w:val="5D2501FF"/>
    <w:rsid w:val="5D3B729E"/>
    <w:rsid w:val="5D7532DF"/>
    <w:rsid w:val="5D7B61D8"/>
    <w:rsid w:val="5D7E30CA"/>
    <w:rsid w:val="5D8C1688"/>
    <w:rsid w:val="5DA564CA"/>
    <w:rsid w:val="5DB91C2E"/>
    <w:rsid w:val="5EE379B3"/>
    <w:rsid w:val="5F1628F2"/>
    <w:rsid w:val="5F410DB3"/>
    <w:rsid w:val="5F773AA1"/>
    <w:rsid w:val="5FCF00E1"/>
    <w:rsid w:val="5FD25A1B"/>
    <w:rsid w:val="5FDA7675"/>
    <w:rsid w:val="5FF5768F"/>
    <w:rsid w:val="600E61E7"/>
    <w:rsid w:val="601D6D88"/>
    <w:rsid w:val="6079711E"/>
    <w:rsid w:val="6082332C"/>
    <w:rsid w:val="60BF32AF"/>
    <w:rsid w:val="611B3F35"/>
    <w:rsid w:val="611F7F97"/>
    <w:rsid w:val="61283C08"/>
    <w:rsid w:val="613B0760"/>
    <w:rsid w:val="6153479C"/>
    <w:rsid w:val="61CE30F8"/>
    <w:rsid w:val="61CF22CC"/>
    <w:rsid w:val="61DB3408"/>
    <w:rsid w:val="62221D96"/>
    <w:rsid w:val="628202A2"/>
    <w:rsid w:val="628D59BB"/>
    <w:rsid w:val="629D164B"/>
    <w:rsid w:val="62A6299B"/>
    <w:rsid w:val="62AC16E1"/>
    <w:rsid w:val="62AE289E"/>
    <w:rsid w:val="63033D19"/>
    <w:rsid w:val="63867A35"/>
    <w:rsid w:val="638B28E6"/>
    <w:rsid w:val="64142003"/>
    <w:rsid w:val="6449788E"/>
    <w:rsid w:val="645921AA"/>
    <w:rsid w:val="64791E95"/>
    <w:rsid w:val="647D0023"/>
    <w:rsid w:val="648058D0"/>
    <w:rsid w:val="64FD5DA9"/>
    <w:rsid w:val="65181D15"/>
    <w:rsid w:val="65423CA3"/>
    <w:rsid w:val="6558782A"/>
    <w:rsid w:val="656F4486"/>
    <w:rsid w:val="65713ABD"/>
    <w:rsid w:val="6575148C"/>
    <w:rsid w:val="65A21EA7"/>
    <w:rsid w:val="65FB4980"/>
    <w:rsid w:val="665137CD"/>
    <w:rsid w:val="66657AE6"/>
    <w:rsid w:val="666A756E"/>
    <w:rsid w:val="667E4607"/>
    <w:rsid w:val="66861AD3"/>
    <w:rsid w:val="66D1660D"/>
    <w:rsid w:val="66D4281C"/>
    <w:rsid w:val="66E7432C"/>
    <w:rsid w:val="66F1276C"/>
    <w:rsid w:val="66FA3A24"/>
    <w:rsid w:val="670D0D32"/>
    <w:rsid w:val="671F1157"/>
    <w:rsid w:val="67341AB1"/>
    <w:rsid w:val="67506A5F"/>
    <w:rsid w:val="67530FA6"/>
    <w:rsid w:val="675E3BE0"/>
    <w:rsid w:val="67871129"/>
    <w:rsid w:val="67A67753"/>
    <w:rsid w:val="67CF2190"/>
    <w:rsid w:val="68270799"/>
    <w:rsid w:val="682C2940"/>
    <w:rsid w:val="68466ECA"/>
    <w:rsid w:val="68491A46"/>
    <w:rsid w:val="685E368C"/>
    <w:rsid w:val="68AD46D8"/>
    <w:rsid w:val="68BE361D"/>
    <w:rsid w:val="68F84803"/>
    <w:rsid w:val="69107C50"/>
    <w:rsid w:val="69156C82"/>
    <w:rsid w:val="69166114"/>
    <w:rsid w:val="69431685"/>
    <w:rsid w:val="69EA0124"/>
    <w:rsid w:val="69ED041D"/>
    <w:rsid w:val="6A367E57"/>
    <w:rsid w:val="6A5655FC"/>
    <w:rsid w:val="6A713426"/>
    <w:rsid w:val="6AEE4AE8"/>
    <w:rsid w:val="6AFF05D9"/>
    <w:rsid w:val="6B542422"/>
    <w:rsid w:val="6B5916A4"/>
    <w:rsid w:val="6BB03500"/>
    <w:rsid w:val="6BBF163E"/>
    <w:rsid w:val="6BC14457"/>
    <w:rsid w:val="6BEF20B9"/>
    <w:rsid w:val="6C2A3D4C"/>
    <w:rsid w:val="6C8E3058"/>
    <w:rsid w:val="6CB25AFE"/>
    <w:rsid w:val="6CB34459"/>
    <w:rsid w:val="6CC74457"/>
    <w:rsid w:val="6D5727A1"/>
    <w:rsid w:val="6D6C2EBC"/>
    <w:rsid w:val="6D911E91"/>
    <w:rsid w:val="6D9B0F50"/>
    <w:rsid w:val="6DA27696"/>
    <w:rsid w:val="6DB14B96"/>
    <w:rsid w:val="6DED5376"/>
    <w:rsid w:val="6E76573A"/>
    <w:rsid w:val="6E76675D"/>
    <w:rsid w:val="6EF0106E"/>
    <w:rsid w:val="6F251E02"/>
    <w:rsid w:val="6F8244CB"/>
    <w:rsid w:val="6F843E43"/>
    <w:rsid w:val="6FB46E64"/>
    <w:rsid w:val="6FBD420C"/>
    <w:rsid w:val="6FC31F60"/>
    <w:rsid w:val="6FCE536A"/>
    <w:rsid w:val="6FD16480"/>
    <w:rsid w:val="700640B3"/>
    <w:rsid w:val="703651B0"/>
    <w:rsid w:val="703C5F60"/>
    <w:rsid w:val="704E3747"/>
    <w:rsid w:val="705E0AB3"/>
    <w:rsid w:val="707F7FC7"/>
    <w:rsid w:val="70A07A00"/>
    <w:rsid w:val="70AF7764"/>
    <w:rsid w:val="70C63159"/>
    <w:rsid w:val="714F52CA"/>
    <w:rsid w:val="71B51D3E"/>
    <w:rsid w:val="71C071C0"/>
    <w:rsid w:val="71F17346"/>
    <w:rsid w:val="720C03A7"/>
    <w:rsid w:val="72355DA0"/>
    <w:rsid w:val="72481EB5"/>
    <w:rsid w:val="72954958"/>
    <w:rsid w:val="7298686E"/>
    <w:rsid w:val="729A0A7D"/>
    <w:rsid w:val="72BC3C4C"/>
    <w:rsid w:val="72C82A69"/>
    <w:rsid w:val="72CB5B79"/>
    <w:rsid w:val="73224E6D"/>
    <w:rsid w:val="73340A0A"/>
    <w:rsid w:val="73466FDD"/>
    <w:rsid w:val="73727D5D"/>
    <w:rsid w:val="73BF2CB8"/>
    <w:rsid w:val="73D607C8"/>
    <w:rsid w:val="73F734A9"/>
    <w:rsid w:val="74062D70"/>
    <w:rsid w:val="74A30A59"/>
    <w:rsid w:val="74CD708B"/>
    <w:rsid w:val="74E703CF"/>
    <w:rsid w:val="7524142F"/>
    <w:rsid w:val="755B1752"/>
    <w:rsid w:val="757C0E6A"/>
    <w:rsid w:val="75A0242A"/>
    <w:rsid w:val="75BA28C3"/>
    <w:rsid w:val="75BC2A79"/>
    <w:rsid w:val="75EE00CB"/>
    <w:rsid w:val="75F87474"/>
    <w:rsid w:val="76087D9E"/>
    <w:rsid w:val="7614067A"/>
    <w:rsid w:val="762D3D4D"/>
    <w:rsid w:val="76747C2F"/>
    <w:rsid w:val="76B049F5"/>
    <w:rsid w:val="76DC285A"/>
    <w:rsid w:val="77043EDA"/>
    <w:rsid w:val="771D2B8C"/>
    <w:rsid w:val="7724083C"/>
    <w:rsid w:val="773C3B0D"/>
    <w:rsid w:val="77A537AE"/>
    <w:rsid w:val="77B40F4E"/>
    <w:rsid w:val="77B523B0"/>
    <w:rsid w:val="77D0055C"/>
    <w:rsid w:val="77E44F73"/>
    <w:rsid w:val="78452788"/>
    <w:rsid w:val="786C02C3"/>
    <w:rsid w:val="787432C5"/>
    <w:rsid w:val="78BB1F7E"/>
    <w:rsid w:val="78C04912"/>
    <w:rsid w:val="79191A03"/>
    <w:rsid w:val="79512A89"/>
    <w:rsid w:val="799A0C14"/>
    <w:rsid w:val="799E20DC"/>
    <w:rsid w:val="79B0498F"/>
    <w:rsid w:val="79CB5ECF"/>
    <w:rsid w:val="79F13959"/>
    <w:rsid w:val="7A101CDB"/>
    <w:rsid w:val="7A5A5B39"/>
    <w:rsid w:val="7A7F0CF2"/>
    <w:rsid w:val="7A8308C3"/>
    <w:rsid w:val="7A8A5950"/>
    <w:rsid w:val="7ADB2896"/>
    <w:rsid w:val="7B4E48E4"/>
    <w:rsid w:val="7B58180F"/>
    <w:rsid w:val="7B785554"/>
    <w:rsid w:val="7BA209A9"/>
    <w:rsid w:val="7BA34FF1"/>
    <w:rsid w:val="7BA84BF2"/>
    <w:rsid w:val="7BD32E16"/>
    <w:rsid w:val="7BDA2096"/>
    <w:rsid w:val="7BDA72C8"/>
    <w:rsid w:val="7C073B15"/>
    <w:rsid w:val="7C6F7530"/>
    <w:rsid w:val="7C734470"/>
    <w:rsid w:val="7CA57C3A"/>
    <w:rsid w:val="7CD02329"/>
    <w:rsid w:val="7CDC4BE3"/>
    <w:rsid w:val="7CFC5750"/>
    <w:rsid w:val="7D09559E"/>
    <w:rsid w:val="7D1614D6"/>
    <w:rsid w:val="7D770428"/>
    <w:rsid w:val="7E052DF0"/>
    <w:rsid w:val="7E0A349A"/>
    <w:rsid w:val="7E180E3F"/>
    <w:rsid w:val="7E211FB6"/>
    <w:rsid w:val="7E346FC3"/>
    <w:rsid w:val="7E4310AB"/>
    <w:rsid w:val="7E5C05C1"/>
    <w:rsid w:val="7E9746DE"/>
    <w:rsid w:val="7EE5143C"/>
    <w:rsid w:val="7EFA5D16"/>
    <w:rsid w:val="7EFB05B5"/>
    <w:rsid w:val="7EFD5A99"/>
    <w:rsid w:val="7F2A3395"/>
    <w:rsid w:val="7F2C247F"/>
    <w:rsid w:val="7F3778CC"/>
    <w:rsid w:val="7F495E9E"/>
    <w:rsid w:val="7F561814"/>
    <w:rsid w:val="7F98784D"/>
    <w:rsid w:val="7FAA7123"/>
    <w:rsid w:val="7FC460FD"/>
    <w:rsid w:val="7FDD45A0"/>
    <w:rsid w:val="7FEC73B1"/>
    <w:rsid w:val="7FF9680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8" w:lineRule="auto"/>
      <w:jc w:val="center"/>
      <w:outlineLvl w:val="0"/>
    </w:pPr>
    <w:rPr>
      <w:b/>
      <w:bCs/>
      <w:kern w:val="44"/>
      <w:sz w:val="30"/>
      <w:szCs w:val="44"/>
    </w:rPr>
  </w:style>
  <w:style w:type="paragraph" w:styleId="5">
    <w:name w:val="heading 2"/>
    <w:basedOn w:val="1"/>
    <w:next w:val="1"/>
    <w:qFormat/>
    <w:uiPriority w:val="9"/>
    <w:pPr>
      <w:keepNext/>
      <w:keepLines/>
      <w:spacing w:before="260" w:after="260" w:line="416" w:lineRule="auto"/>
      <w:jc w:val="center"/>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qFormat/>
    <w:uiPriority w:val="0"/>
    <w:rPr>
      <w:rFonts w:ascii="宋体" w:hAnsi="宋体" w:cs="宋体"/>
      <w:sz w:val="24"/>
      <w:lang w:val="zh-CN" w:bidi="zh-CN"/>
    </w:rPr>
  </w:style>
  <w:style w:type="paragraph" w:styleId="3">
    <w:name w:val="toc 2"/>
    <w:basedOn w:val="1"/>
    <w:next w:val="1"/>
    <w:unhideWhenUsed/>
    <w:qFormat/>
    <w:uiPriority w:val="39"/>
    <w:pPr>
      <w:ind w:left="420" w:leftChars="200"/>
    </w:pPr>
  </w:style>
  <w:style w:type="paragraph" w:styleId="6">
    <w:name w:val="annotation text"/>
    <w:basedOn w:val="1"/>
    <w:qFormat/>
    <w:uiPriority w:val="0"/>
    <w:pPr>
      <w:jc w:val="left"/>
    </w:pPr>
  </w:style>
  <w:style w:type="paragraph" w:styleId="7">
    <w:name w:val="Body Text Indent"/>
    <w:basedOn w:val="1"/>
    <w:qFormat/>
    <w:uiPriority w:val="0"/>
    <w:pPr>
      <w:ind w:firstLine="830" w:firstLineChars="352"/>
    </w:pPr>
    <w:rPr>
      <w:rFonts w:ascii="FangSong_GB2312" w:eastAsia="FangSong_GB2312"/>
      <w:kern w:val="0"/>
      <w:sz w:val="32"/>
      <w:szCs w:val="20"/>
    </w:rPr>
  </w:style>
  <w:style w:type="paragraph" w:styleId="8">
    <w:name w:val="toc 3"/>
    <w:basedOn w:val="1"/>
    <w:next w:val="1"/>
    <w:semiHidden/>
    <w:qFormat/>
    <w:uiPriority w:val="0"/>
    <w:pPr>
      <w:ind w:left="840" w:leftChars="400"/>
    </w:pPr>
  </w:style>
  <w:style w:type="paragraph" w:styleId="9">
    <w:name w:val="Plain Text"/>
    <w:basedOn w:val="1"/>
    <w:qFormat/>
    <w:uiPriority w:val="0"/>
    <w:rPr>
      <w:rFonts w:ascii="宋体" w:hAnsi="Courier New"/>
      <w:kern w:val="0"/>
      <w:sz w:val="20"/>
      <w:szCs w:val="21"/>
    </w:rPr>
  </w:style>
  <w:style w:type="paragraph" w:styleId="10">
    <w:name w:val="Balloon Text"/>
    <w:basedOn w:val="1"/>
    <w:link w:val="31"/>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Body Text 2"/>
    <w:basedOn w:val="1"/>
    <w:qFormat/>
    <w:uiPriority w:val="0"/>
    <w:pPr>
      <w:widowControl/>
      <w:spacing w:line="400" w:lineRule="atLeast"/>
      <w:jc w:val="left"/>
    </w:pPr>
    <w:rPr>
      <w:kern w:val="0"/>
      <w:szCs w:val="20"/>
    </w:rPr>
  </w:style>
  <w:style w:type="paragraph" w:styleId="15">
    <w:name w:val="Normal (Web)"/>
    <w:basedOn w:val="1"/>
    <w:qFormat/>
    <w:uiPriority w:val="0"/>
    <w:pPr>
      <w:widowControl/>
      <w:spacing w:beforeAutospacing="1"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Hyperlink"/>
    <w:unhideWhenUsed/>
    <w:qFormat/>
    <w:uiPriority w:val="99"/>
    <w:rPr>
      <w:color w:val="333333"/>
      <w:u w:val="none"/>
    </w:rPr>
  </w:style>
  <w:style w:type="character" w:customStyle="1" w:styleId="23">
    <w:name w:val="标题 1 Char"/>
    <w:link w:val="4"/>
    <w:qFormat/>
    <w:uiPriority w:val="0"/>
    <w:rPr>
      <w:rFonts w:ascii="Times New Roman" w:hAnsi="Times New Roman" w:eastAsia="宋体"/>
      <w:b/>
      <w:bCs/>
      <w:kern w:val="44"/>
      <w:sz w:val="30"/>
      <w:szCs w:val="44"/>
    </w:rPr>
  </w:style>
  <w:style w:type="paragraph" w:customStyle="1" w:styleId="24">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25">
    <w:name w:val="表格文字"/>
    <w:basedOn w:val="1"/>
    <w:qFormat/>
    <w:uiPriority w:val="0"/>
    <w:pPr>
      <w:jc w:val="left"/>
    </w:pPr>
    <w:rPr>
      <w:bCs/>
      <w:spacing w:val="10"/>
      <w:kern w:val="0"/>
      <w:sz w:val="24"/>
    </w:rPr>
  </w:style>
  <w:style w:type="paragraph" w:customStyle="1" w:styleId="26">
    <w:name w:val="_Style 7"/>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7">
    <w:name w:val="_Style 24"/>
    <w:basedOn w:val="1"/>
    <w:next w:val="1"/>
    <w:qFormat/>
    <w:uiPriority w:val="0"/>
    <w:pPr>
      <w:pBdr>
        <w:top w:val="single" w:color="auto" w:sz="6" w:space="1"/>
      </w:pBdr>
      <w:jc w:val="center"/>
    </w:pPr>
    <w:rPr>
      <w:rFonts w:ascii="Arial"/>
      <w:vanish/>
      <w:sz w:val="16"/>
    </w:rPr>
  </w:style>
  <w:style w:type="paragraph" w:customStyle="1" w:styleId="28">
    <w:name w:val="_Style 25"/>
    <w:basedOn w:val="1"/>
    <w:next w:val="1"/>
    <w:qFormat/>
    <w:uiPriority w:val="0"/>
    <w:pPr>
      <w:pBdr>
        <w:bottom w:val="single" w:color="auto" w:sz="6" w:space="1"/>
      </w:pBdr>
      <w:jc w:val="center"/>
    </w:pPr>
    <w:rPr>
      <w:rFonts w:ascii="Arial"/>
      <w:vanish/>
      <w:sz w:val="16"/>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81"/>
    <w:qFormat/>
    <w:uiPriority w:val="0"/>
    <w:rPr>
      <w:rFonts w:hint="eastAsia" w:ascii="宋体" w:hAnsi="宋体" w:eastAsia="宋体" w:cs="宋体"/>
      <w:color w:val="000000"/>
      <w:sz w:val="18"/>
      <w:szCs w:val="18"/>
      <w:u w:val="none"/>
    </w:rPr>
  </w:style>
  <w:style w:type="character" w:customStyle="1" w:styleId="31">
    <w:name w:val="批注框文本 Char"/>
    <w:link w:val="10"/>
    <w:qFormat/>
    <w:uiPriority w:val="0"/>
    <w:rPr>
      <w:kern w:val="2"/>
      <w:sz w:val="18"/>
      <w:szCs w:val="18"/>
    </w:rPr>
  </w:style>
  <w:style w:type="character" w:customStyle="1" w:styleId="32">
    <w:name w:val="正文文本 Char"/>
    <w:link w:val="2"/>
    <w:qFormat/>
    <w:uiPriority w:val="0"/>
    <w:rPr>
      <w:rFonts w:ascii="宋体" w:hAnsi="宋体" w:cs="宋体"/>
      <w:kern w:val="2"/>
      <w:sz w:val="24"/>
      <w:szCs w:val="24"/>
      <w:lang w:val="zh-CN" w:bidi="zh-CN"/>
    </w:rPr>
  </w:style>
  <w:style w:type="character" w:customStyle="1" w:styleId="33">
    <w:name w:val="标题 1 Char1"/>
    <w:link w:val="4"/>
    <w:qFormat/>
    <w:uiPriority w:val="0"/>
    <w:rPr>
      <w:rFonts w:ascii="Times New Roman" w:hAnsi="Times New Roman" w:eastAsia="宋体"/>
      <w:b/>
      <w:bCs/>
      <w:kern w:val="44"/>
      <w:sz w:val="30"/>
      <w:szCs w:val="44"/>
    </w:rPr>
  </w:style>
  <w:style w:type="character" w:customStyle="1" w:styleId="34">
    <w:name w:val="font11"/>
    <w:basedOn w:val="18"/>
    <w:qFormat/>
    <w:uiPriority w:val="0"/>
    <w:rPr>
      <w:rFonts w:hint="eastAsia" w:ascii="宋体" w:hAnsi="宋体" w:eastAsia="宋体" w:cs="宋体"/>
      <w:color w:val="000000"/>
      <w:sz w:val="21"/>
      <w:szCs w:val="21"/>
      <w:u w:val="none"/>
    </w:rPr>
  </w:style>
  <w:style w:type="character" w:customStyle="1" w:styleId="35">
    <w:name w:val="font71"/>
    <w:qFormat/>
    <w:uiPriority w:val="0"/>
    <w:rPr>
      <w:rFonts w:hint="default" w:ascii="Times New Roman" w:hAnsi="Times New Roman" w:cs="Times New Roman"/>
      <w:color w:val="000000"/>
      <w:sz w:val="18"/>
      <w:szCs w:val="18"/>
      <w:u w:val="none"/>
    </w:rPr>
  </w:style>
  <w:style w:type="character" w:customStyle="1" w:styleId="36">
    <w:name w:val="font01"/>
    <w:basedOn w:val="18"/>
    <w:qFormat/>
    <w:uiPriority w:val="0"/>
    <w:rPr>
      <w:rFonts w:ascii="Calibri" w:hAnsi="Calibri" w:cs="Calibri"/>
      <w:color w:val="000000"/>
      <w:sz w:val="21"/>
      <w:szCs w:val="21"/>
      <w:u w:val="none"/>
    </w:rPr>
  </w:style>
  <w:style w:type="character" w:customStyle="1" w:styleId="37">
    <w:name w:val="font61"/>
    <w:basedOn w:val="18"/>
    <w:qFormat/>
    <w:uiPriority w:val="0"/>
    <w:rPr>
      <w:rFonts w:hint="default" w:ascii="Times New Roman" w:hAnsi="Times New Roman" w:cs="Times New Roman"/>
      <w:color w:val="000000"/>
      <w:sz w:val="21"/>
      <w:szCs w:val="21"/>
      <w:u w:val="none"/>
    </w:rPr>
  </w:style>
  <w:style w:type="character" w:customStyle="1" w:styleId="38">
    <w:name w:val="font51"/>
    <w:basedOn w:val="18"/>
    <w:qFormat/>
    <w:uiPriority w:val="0"/>
    <w:rPr>
      <w:rFonts w:hint="default" w:ascii="Times New Roman" w:hAnsi="Times New Roman" w:cs="Times New Roman"/>
      <w:color w:val="000000"/>
      <w:sz w:val="22"/>
      <w:szCs w:val="22"/>
      <w:u w:val="none"/>
    </w:rPr>
  </w:style>
  <w:style w:type="character" w:customStyle="1" w:styleId="39">
    <w:name w:val="font31"/>
    <w:basedOn w:val="18"/>
    <w:qFormat/>
    <w:uiPriority w:val="0"/>
    <w:rPr>
      <w:rFonts w:hint="eastAsia" w:ascii="宋体" w:hAnsi="宋体" w:eastAsia="宋体" w:cs="宋体"/>
      <w:color w:val="000000"/>
      <w:sz w:val="20"/>
      <w:szCs w:val="20"/>
      <w:u w:val="none"/>
    </w:rPr>
  </w:style>
  <w:style w:type="character" w:customStyle="1" w:styleId="40">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0"/>
    <customShpInfo spid="_x0000_s2051"/>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B35FE-4CAB-47B7-98CA-DC53DC072F6E}">
  <ds:schemaRefs/>
</ds:datastoreItem>
</file>

<file path=docProps/app.xml><?xml version="1.0" encoding="utf-8"?>
<Properties xmlns="http://schemas.openxmlformats.org/officeDocument/2006/extended-properties" xmlns:vt="http://schemas.openxmlformats.org/officeDocument/2006/docPropsVTypes">
  <Template>Normal</Template>
  <Pages>53</Pages>
  <Words>35271</Words>
  <Characters>7544</Characters>
  <Lines>62</Lines>
  <Paragraphs>85</Paragraphs>
  <TotalTime>9</TotalTime>
  <ScaleCrop>false</ScaleCrop>
  <LinksUpToDate>false</LinksUpToDate>
  <CharactersWithSpaces>42730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2020-05-19T09:34:00Z</dcterms:created>
  <dc:creator>Administrator</dc:creator>
  <cp:lastModifiedBy>高山流水遇知音</cp:lastModifiedBy>
  <cp:lastPrinted>2020-05-13T00:47:00Z</cp:lastPrinted>
  <dcterms:modified xsi:type="dcterms:W3CDTF">2020-12-03T14:06:48Z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