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color w:val="auto"/>
          <w:spacing w:val="-6"/>
          <w:sz w:val="44"/>
          <w:szCs w:val="44"/>
        </w:rPr>
      </w:pPr>
    </w:p>
    <w:p>
      <w:pPr>
        <w:rPr>
          <w:rFonts w:hint="eastAsia" w:ascii="仿宋" w:hAnsi="仿宋" w:eastAsia="仿宋" w:cs="仿宋"/>
          <w:color w:val="auto"/>
        </w:rPr>
      </w:pPr>
    </w:p>
    <w:p>
      <w:pPr>
        <w:jc w:val="center"/>
        <w:rPr>
          <w:rFonts w:hint="eastAsia" w:ascii="仿宋" w:hAnsi="仿宋" w:eastAsia="仿宋" w:cs="仿宋"/>
          <w:b/>
          <w:color w:val="auto"/>
          <w:sz w:val="96"/>
          <w:szCs w:val="96"/>
        </w:rPr>
      </w:pPr>
      <w:r>
        <w:rPr>
          <w:rFonts w:hint="eastAsia" w:ascii="仿宋" w:hAnsi="仿宋" w:eastAsia="仿宋" w:cs="仿宋"/>
          <w:color w:val="auto"/>
          <w:spacing w:val="30"/>
          <w:sz w:val="48"/>
          <w:szCs w:val="48"/>
        </w:rPr>
        <w:drawing>
          <wp:inline distT="0" distB="0" distL="0" distR="0">
            <wp:extent cx="5591175" cy="1114425"/>
            <wp:effectExtent l="19050" t="0" r="9525" b="0"/>
            <wp:docPr id="1" name="图片 1" descr="QQ截图2016120711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61207110004"/>
                    <pic:cNvPicPr>
                      <a:picLocks noChangeAspect="1" noChangeArrowheads="1"/>
                    </pic:cNvPicPr>
                  </pic:nvPicPr>
                  <pic:blipFill>
                    <a:blip r:embed="rId18" cstate="print"/>
                    <a:srcRect/>
                    <a:stretch>
                      <a:fillRect/>
                    </a:stretch>
                  </pic:blipFill>
                  <pic:spPr>
                    <a:xfrm>
                      <a:off x="0" y="0"/>
                      <a:ext cx="5591175" cy="1114425"/>
                    </a:xfrm>
                    <a:prstGeom prst="rect">
                      <a:avLst/>
                    </a:prstGeom>
                    <a:noFill/>
                    <a:ln w="9525">
                      <a:noFill/>
                      <a:miter lim="800000"/>
                      <a:headEnd/>
                      <a:tailEnd/>
                    </a:ln>
                  </pic:spPr>
                </pic:pic>
              </a:graphicData>
            </a:graphic>
          </wp:inline>
        </w:drawing>
      </w:r>
    </w:p>
    <w:p>
      <w:pPr>
        <w:jc w:val="center"/>
        <w:rPr>
          <w:rFonts w:hint="eastAsia" w:ascii="仿宋" w:hAnsi="仿宋" w:eastAsia="仿宋" w:cs="仿宋"/>
          <w:b/>
          <w:color w:val="auto"/>
          <w:sz w:val="96"/>
          <w:szCs w:val="96"/>
        </w:rPr>
      </w:pPr>
    </w:p>
    <w:p>
      <w:pPr>
        <w:jc w:val="center"/>
        <w:rPr>
          <w:rFonts w:hint="eastAsia" w:ascii="仿宋" w:hAnsi="仿宋" w:eastAsia="仿宋" w:cs="仿宋"/>
          <w:b/>
          <w:color w:val="auto"/>
          <w:sz w:val="96"/>
          <w:szCs w:val="96"/>
        </w:rPr>
      </w:pPr>
    </w:p>
    <w:p>
      <w:pPr>
        <w:jc w:val="center"/>
        <w:rPr>
          <w:rFonts w:hint="eastAsia" w:ascii="仿宋" w:hAnsi="仿宋" w:eastAsia="仿宋" w:cs="仿宋"/>
          <w:b/>
          <w:color w:val="auto"/>
          <w:spacing w:val="30"/>
          <w:sz w:val="72"/>
          <w:szCs w:val="72"/>
        </w:rPr>
      </w:pPr>
      <w:r>
        <w:rPr>
          <w:rFonts w:hint="eastAsia" w:ascii="仿宋" w:hAnsi="仿宋" w:eastAsia="仿宋" w:cs="仿宋"/>
          <w:b/>
          <w:color w:val="auto"/>
          <w:sz w:val="72"/>
          <w:szCs w:val="72"/>
        </w:rPr>
        <w:t>竞争性磋商文件</w:t>
      </w:r>
    </w:p>
    <w:p>
      <w:pPr>
        <w:pStyle w:val="19"/>
        <w:spacing w:line="600" w:lineRule="exact"/>
        <w:ind w:right="-273" w:rightChars="-124" w:firstLine="600" w:firstLineChars="200"/>
        <w:rPr>
          <w:rFonts w:hint="eastAsia" w:ascii="仿宋" w:hAnsi="仿宋" w:eastAsia="仿宋" w:cs="仿宋"/>
          <w:color w:val="auto"/>
          <w:sz w:val="30"/>
          <w:szCs w:val="30"/>
        </w:rPr>
      </w:pPr>
    </w:p>
    <w:p>
      <w:pPr>
        <w:pStyle w:val="19"/>
        <w:spacing w:line="600" w:lineRule="exact"/>
        <w:ind w:right="-273" w:rightChars="-124"/>
        <w:jc w:val="both"/>
        <w:rPr>
          <w:rFonts w:hint="eastAsia" w:ascii="仿宋" w:hAnsi="仿宋" w:eastAsia="仿宋" w:cs="仿宋"/>
          <w:color w:val="auto"/>
          <w:sz w:val="30"/>
          <w:szCs w:val="30"/>
        </w:rPr>
      </w:pPr>
    </w:p>
    <w:p>
      <w:pPr>
        <w:pStyle w:val="19"/>
        <w:spacing w:line="600" w:lineRule="exact"/>
        <w:ind w:right="-273" w:rightChars="-124" w:firstLine="600" w:firstLineChars="200"/>
        <w:rPr>
          <w:rFonts w:hint="eastAsia" w:ascii="仿宋" w:hAnsi="仿宋" w:eastAsia="仿宋" w:cs="仿宋"/>
          <w:color w:val="auto"/>
          <w:sz w:val="30"/>
          <w:szCs w:val="30"/>
        </w:rPr>
      </w:pPr>
    </w:p>
    <w:p>
      <w:pPr>
        <w:pStyle w:val="19"/>
        <w:spacing w:line="600" w:lineRule="exact"/>
        <w:ind w:right="-273" w:rightChars="-124"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rPr>
        <w:t>项目名称：</w:t>
      </w:r>
      <w:r>
        <w:rPr>
          <w:rFonts w:hint="eastAsia" w:ascii="仿宋" w:hAnsi="仿宋" w:eastAsia="仿宋" w:cs="仿宋"/>
          <w:color w:val="auto"/>
          <w:sz w:val="30"/>
          <w:szCs w:val="30"/>
          <w:lang w:eastAsia="zh-CN"/>
        </w:rPr>
        <w:t>梧州市人民医院新冠肺炎应急医院病区建设项目总承包</w:t>
      </w:r>
    </w:p>
    <w:p>
      <w:pPr>
        <w:pStyle w:val="19"/>
        <w:spacing w:line="600" w:lineRule="exact"/>
        <w:ind w:right="-273" w:rightChars="-124"/>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项目编号：</w:t>
      </w:r>
      <w:r>
        <w:rPr>
          <w:rFonts w:hint="eastAsia" w:ascii="仿宋" w:hAnsi="仿宋" w:eastAsia="仿宋" w:cs="仿宋"/>
          <w:color w:val="auto"/>
          <w:sz w:val="30"/>
          <w:szCs w:val="30"/>
          <w:highlight w:val="none"/>
          <w:lang w:eastAsia="zh-CN"/>
        </w:rPr>
        <w:t>WZZC2020-C2-03524-Z</w:t>
      </w:r>
      <w:bookmarkStart w:id="1874" w:name="_GoBack"/>
      <w:bookmarkEnd w:id="1874"/>
      <w:r>
        <w:rPr>
          <w:rFonts w:hint="eastAsia" w:ascii="仿宋" w:hAnsi="仿宋" w:eastAsia="仿宋" w:cs="仿宋"/>
          <w:color w:val="auto"/>
          <w:sz w:val="30"/>
          <w:szCs w:val="30"/>
          <w:highlight w:val="none"/>
          <w:lang w:eastAsia="zh-CN"/>
        </w:rPr>
        <w:t>HZB</w:t>
      </w:r>
    </w:p>
    <w:p>
      <w:pPr>
        <w:pStyle w:val="19"/>
        <w:rPr>
          <w:rFonts w:hint="eastAsia" w:ascii="仿宋" w:hAnsi="仿宋" w:eastAsia="仿宋" w:cs="仿宋"/>
          <w:color w:val="auto"/>
        </w:rPr>
      </w:pPr>
      <w:r>
        <w:rPr>
          <w:rFonts w:hint="eastAsia" w:ascii="仿宋" w:hAnsi="仿宋" w:eastAsia="仿宋" w:cs="仿宋"/>
          <w:color w:val="auto"/>
        </w:rPr>
        <w:pict>
          <v:line id="_x0000_s1026" o:spid="_x0000_s1026" o:spt="20" style="position:absolute;left:0pt;margin-left:21.7pt;margin-top:15.35pt;height:0.25pt;width:464.3pt;z-index:251658240;mso-width-relative:page;mso-height-relative:page;" coordsize="21600,21600">
            <v:path arrowok="t"/>
            <v:fill focussize="0,0"/>
            <v:stroke weight="2.25pt"/>
            <v:imagedata o:title=""/>
            <o:lock v:ext="edit"/>
          </v:line>
        </w:pict>
      </w:r>
      <w:r>
        <w:rPr>
          <w:rFonts w:hint="eastAsia" w:ascii="仿宋" w:hAnsi="仿宋" w:eastAsia="仿宋" w:cs="仿宋"/>
          <w:color w:val="auto"/>
        </w:rPr>
        <w:t xml:space="preserve">                                                         </w:t>
      </w:r>
    </w:p>
    <w:p>
      <w:pPr>
        <w:pStyle w:val="19"/>
        <w:spacing w:line="600" w:lineRule="exact"/>
        <w:ind w:right="-273" w:rightChars="-124" w:firstLine="960" w:firstLineChars="300"/>
        <w:jc w:val="left"/>
        <w:rPr>
          <w:rFonts w:hint="eastAsia" w:ascii="仿宋" w:hAnsi="仿宋" w:eastAsia="仿宋" w:cs="仿宋"/>
          <w:color w:val="auto"/>
          <w:sz w:val="32"/>
          <w:lang w:eastAsia="zh-CN"/>
        </w:rPr>
      </w:pPr>
      <w:r>
        <w:rPr>
          <w:rFonts w:hint="eastAsia" w:ascii="仿宋" w:hAnsi="仿宋" w:eastAsia="仿宋" w:cs="仿宋"/>
          <w:color w:val="auto"/>
          <w:sz w:val="32"/>
        </w:rPr>
        <w:t>采购人：</w:t>
      </w:r>
      <w:r>
        <w:rPr>
          <w:rFonts w:hint="eastAsia" w:ascii="仿宋" w:hAnsi="仿宋" w:eastAsia="仿宋" w:cs="仿宋"/>
          <w:color w:val="auto"/>
          <w:sz w:val="32"/>
          <w:lang w:eastAsia="zh-CN"/>
        </w:rPr>
        <w:t>梧州市人民医院</w:t>
      </w:r>
    </w:p>
    <w:p>
      <w:pPr>
        <w:pStyle w:val="19"/>
        <w:spacing w:line="600" w:lineRule="exact"/>
        <w:ind w:right="-273" w:rightChars="-124" w:firstLine="960" w:firstLineChars="300"/>
        <w:jc w:val="left"/>
        <w:rPr>
          <w:rFonts w:hint="eastAsia" w:ascii="仿宋" w:hAnsi="仿宋" w:eastAsia="仿宋" w:cs="仿宋"/>
          <w:color w:val="auto"/>
          <w:sz w:val="32"/>
        </w:rPr>
      </w:pPr>
      <w:r>
        <w:rPr>
          <w:rFonts w:hint="eastAsia" w:ascii="仿宋" w:hAnsi="仿宋" w:eastAsia="仿宋" w:cs="仿宋"/>
          <w:color w:val="auto"/>
          <w:sz w:val="32"/>
        </w:rPr>
        <w:t>采购代理单位：广西振弘建设管理有限公司</w:t>
      </w:r>
    </w:p>
    <w:p>
      <w:pPr>
        <w:jc w:val="center"/>
        <w:rPr>
          <w:rFonts w:hint="eastAsia" w:ascii="仿宋" w:hAnsi="仿宋" w:eastAsia="仿宋" w:cs="仿宋"/>
          <w:color w:val="auto"/>
          <w:sz w:val="32"/>
        </w:rPr>
      </w:pPr>
    </w:p>
    <w:p>
      <w:pPr>
        <w:jc w:val="center"/>
        <w:rPr>
          <w:rFonts w:hint="eastAsia" w:ascii="仿宋" w:hAnsi="仿宋" w:eastAsia="仿宋" w:cs="仿宋"/>
          <w:color w:val="auto"/>
          <w:sz w:val="32"/>
        </w:rPr>
      </w:pPr>
    </w:p>
    <w:p>
      <w:pPr>
        <w:jc w:val="center"/>
        <w:rPr>
          <w:rFonts w:hint="eastAsia" w:ascii="仿宋" w:hAnsi="仿宋" w:eastAsia="仿宋" w:cs="仿宋"/>
          <w:color w:val="auto"/>
          <w:sz w:val="32"/>
        </w:rPr>
      </w:pPr>
      <w:r>
        <w:rPr>
          <w:rFonts w:hint="eastAsia" w:ascii="仿宋" w:hAnsi="仿宋" w:eastAsia="仿宋" w:cs="仿宋"/>
          <w:color w:val="auto"/>
          <w:sz w:val="32"/>
        </w:rPr>
        <w:t>二〇</w:t>
      </w:r>
      <w:r>
        <w:rPr>
          <w:rFonts w:hint="eastAsia" w:ascii="仿宋" w:hAnsi="仿宋" w:eastAsia="仿宋" w:cs="仿宋"/>
          <w:color w:val="auto"/>
          <w:sz w:val="32"/>
          <w:lang w:eastAsia="zh-CN"/>
        </w:rPr>
        <w:t>二</w:t>
      </w:r>
      <w:r>
        <w:rPr>
          <w:rFonts w:hint="eastAsia" w:ascii="仿宋" w:hAnsi="仿宋" w:eastAsia="仿宋" w:cs="仿宋"/>
          <w:color w:val="auto"/>
          <w:sz w:val="32"/>
        </w:rPr>
        <w:t>〇年</w:t>
      </w:r>
      <w:r>
        <w:rPr>
          <w:rFonts w:hint="eastAsia" w:ascii="仿宋" w:hAnsi="仿宋" w:eastAsia="仿宋" w:cs="仿宋"/>
          <w:color w:val="auto"/>
          <w:sz w:val="32"/>
          <w:lang w:eastAsia="zh-CN"/>
        </w:rPr>
        <w:t>九</w:t>
      </w:r>
      <w:r>
        <w:rPr>
          <w:rFonts w:hint="eastAsia" w:ascii="仿宋" w:hAnsi="仿宋" w:eastAsia="仿宋" w:cs="仿宋"/>
          <w:color w:val="auto"/>
          <w:sz w:val="32"/>
        </w:rPr>
        <w:t>月</w:t>
      </w:r>
    </w:p>
    <w:p>
      <w:pPr>
        <w:pStyle w:val="19"/>
        <w:jc w:val="both"/>
        <w:rPr>
          <w:rFonts w:hint="eastAsia" w:ascii="仿宋" w:hAnsi="仿宋" w:eastAsia="仿宋" w:cs="仿宋"/>
          <w:color w:val="auto"/>
          <w:sz w:val="72"/>
        </w:rPr>
        <w:sectPr>
          <w:headerReference r:id="rId5" w:type="first"/>
          <w:headerReference r:id="rId3" w:type="default"/>
          <w:footerReference r:id="rId6" w:type="default"/>
          <w:headerReference r:id="rId4" w:type="even"/>
          <w:footerReference r:id="rId7" w:type="even"/>
          <w:pgSz w:w="11907" w:h="16840"/>
          <w:pgMar w:top="1134" w:right="1134" w:bottom="1134" w:left="1134" w:header="624" w:footer="737" w:gutter="0"/>
          <w:pgNumType w:start="1"/>
          <w:cols w:space="720" w:num="1"/>
          <w:titlePg/>
          <w:docGrid w:linePitch="312" w:charSpace="0"/>
        </w:sectPr>
      </w:pPr>
    </w:p>
    <w:p>
      <w:pPr>
        <w:jc w:val="center"/>
        <w:rPr>
          <w:rFonts w:hint="eastAsia" w:ascii="仿宋" w:hAnsi="仿宋" w:eastAsia="仿宋" w:cs="仿宋"/>
          <w:color w:val="auto"/>
          <w:sz w:val="40"/>
          <w:szCs w:val="40"/>
        </w:rPr>
      </w:pPr>
      <w:bookmarkStart w:id="0" w:name="_Toc246095451"/>
      <w:bookmarkStart w:id="1" w:name="_Toc246094907"/>
      <w:bookmarkStart w:id="2" w:name="_Toc246095513"/>
      <w:r>
        <w:rPr>
          <w:rFonts w:hint="eastAsia" w:ascii="仿宋" w:hAnsi="仿宋" w:eastAsia="仿宋" w:cs="仿宋"/>
          <w:color w:val="auto"/>
          <w:sz w:val="40"/>
          <w:szCs w:val="40"/>
        </w:rPr>
        <w:t>目录</w:t>
      </w:r>
    </w:p>
    <w:p>
      <w:pPr>
        <w:pStyle w:val="32"/>
        <w:tabs>
          <w:tab w:val="right" w:leader="dot" w:pos="9639"/>
        </w:tabs>
        <w:rPr>
          <w:rFonts w:hint="eastAsia" w:ascii="仿宋" w:hAnsi="仿宋" w:eastAsia="仿宋" w:cs="仿宋"/>
          <w:color w:val="auto"/>
        </w:rPr>
      </w:pPr>
      <w:r>
        <w:rPr>
          <w:rFonts w:hint="eastAsia" w:ascii="仿宋" w:hAnsi="仿宋" w:eastAsia="仿宋" w:cs="仿宋"/>
          <w:bCs w:val="0"/>
          <w:color w:val="auto"/>
          <w:szCs w:val="24"/>
        </w:rPr>
        <w:fldChar w:fldCharType="begin"/>
      </w:r>
      <w:r>
        <w:rPr>
          <w:rFonts w:hint="eastAsia" w:ascii="仿宋" w:hAnsi="仿宋" w:eastAsia="仿宋" w:cs="仿宋"/>
          <w:bCs w:val="0"/>
          <w:color w:val="auto"/>
          <w:szCs w:val="24"/>
        </w:rPr>
        <w:instrText xml:space="preserve"> TOC \o "1-2" \h \z \u </w:instrText>
      </w:r>
      <w:r>
        <w:rPr>
          <w:rFonts w:hint="eastAsia" w:ascii="仿宋" w:hAnsi="仿宋" w:eastAsia="仿宋" w:cs="仿宋"/>
          <w:bCs w:val="0"/>
          <w:color w:val="auto"/>
          <w:szCs w:val="24"/>
        </w:rPr>
        <w:fldChar w:fldCharType="separate"/>
      </w: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"_Toc17677" </w:instrText>
      </w:r>
      <w:r>
        <w:rPr>
          <w:rFonts w:hint="eastAsia" w:ascii="仿宋" w:hAnsi="仿宋" w:eastAsia="仿宋" w:cs="仿宋"/>
          <w:color w:val="auto"/>
        </w:rPr>
        <w:fldChar w:fldCharType="separate"/>
      </w:r>
      <w:r>
        <w:rPr>
          <w:rFonts w:hint="eastAsia" w:ascii="仿宋" w:hAnsi="仿宋" w:eastAsia="仿宋" w:cs="仿宋"/>
          <w:color w:val="auto"/>
        </w:rPr>
        <w:t>第一章  竞争性磋商公告</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_Toc17677 </w:instrText>
      </w:r>
      <w:r>
        <w:rPr>
          <w:rFonts w:hint="eastAsia" w:ascii="仿宋" w:hAnsi="仿宋" w:eastAsia="仿宋" w:cs="仿宋"/>
          <w:color w:val="auto"/>
        </w:rPr>
        <w:fldChar w:fldCharType="separate"/>
      </w:r>
      <w:r>
        <w:rPr>
          <w:rFonts w:hint="eastAsia" w:ascii="仿宋" w:hAnsi="仿宋" w:eastAsia="仿宋" w:cs="仿宋"/>
          <w:color w:val="auto"/>
        </w:rPr>
        <w:t>1</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32"/>
        <w:tabs>
          <w:tab w:val="right" w:leader="dot" w:pos="9639"/>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"_Toc14978" </w:instrText>
      </w:r>
      <w:r>
        <w:rPr>
          <w:rFonts w:hint="eastAsia" w:ascii="仿宋" w:hAnsi="仿宋" w:eastAsia="仿宋" w:cs="仿宋"/>
          <w:color w:val="auto"/>
        </w:rPr>
        <w:fldChar w:fldCharType="separate"/>
      </w:r>
      <w:r>
        <w:rPr>
          <w:rFonts w:hint="eastAsia" w:ascii="仿宋" w:hAnsi="仿宋" w:eastAsia="仿宋" w:cs="仿宋"/>
          <w:color w:val="auto"/>
        </w:rPr>
        <w:t>第二章  竞标人须知</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_Toc14978 </w:instrText>
      </w:r>
      <w:r>
        <w:rPr>
          <w:rFonts w:hint="eastAsia" w:ascii="仿宋" w:hAnsi="仿宋" w:eastAsia="仿宋" w:cs="仿宋"/>
          <w:color w:val="auto"/>
        </w:rPr>
        <w:fldChar w:fldCharType="separate"/>
      </w:r>
      <w:r>
        <w:rPr>
          <w:rFonts w:hint="eastAsia" w:ascii="仿宋" w:hAnsi="仿宋" w:eastAsia="仿宋" w:cs="仿宋"/>
          <w:color w:val="auto"/>
        </w:rPr>
        <w:t>5</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39"/>
        <w:tabs>
          <w:tab w:val="right" w:leader="dot" w:pos="9639"/>
        </w:tabs>
        <w:ind w:firstLine="72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"_Toc28582" </w:instrText>
      </w:r>
      <w:r>
        <w:rPr>
          <w:rFonts w:hint="eastAsia" w:ascii="仿宋" w:hAnsi="仿宋" w:eastAsia="仿宋" w:cs="仿宋"/>
          <w:color w:val="auto"/>
        </w:rPr>
        <w:fldChar w:fldCharType="separate"/>
      </w:r>
      <w:r>
        <w:rPr>
          <w:rFonts w:hint="eastAsia" w:ascii="仿宋" w:hAnsi="仿宋" w:eastAsia="仿宋" w:cs="仿宋"/>
          <w:color w:val="auto"/>
        </w:rPr>
        <w:t>竞标人须知前附表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_Toc28582 </w:instrText>
      </w:r>
      <w:r>
        <w:rPr>
          <w:rFonts w:hint="eastAsia" w:ascii="仿宋" w:hAnsi="仿宋" w:eastAsia="仿宋" w:cs="仿宋"/>
          <w:color w:val="auto"/>
        </w:rPr>
        <w:fldChar w:fldCharType="separate"/>
      </w:r>
      <w:r>
        <w:rPr>
          <w:rFonts w:hint="eastAsia" w:ascii="仿宋" w:hAnsi="仿宋" w:eastAsia="仿宋" w:cs="仿宋"/>
          <w:color w:val="auto"/>
        </w:rPr>
        <w:t>5</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39"/>
        <w:tabs>
          <w:tab w:val="right" w:leader="dot" w:pos="9639"/>
        </w:tabs>
        <w:ind w:firstLine="72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"_Toc1379" </w:instrText>
      </w:r>
      <w:r>
        <w:rPr>
          <w:rFonts w:hint="eastAsia" w:ascii="仿宋" w:hAnsi="仿宋" w:eastAsia="仿宋" w:cs="仿宋"/>
          <w:color w:val="auto"/>
        </w:rPr>
        <w:fldChar w:fldCharType="separate"/>
      </w:r>
      <w:r>
        <w:rPr>
          <w:rFonts w:hint="eastAsia" w:ascii="仿宋" w:hAnsi="仿宋" w:eastAsia="仿宋" w:cs="仿宋"/>
          <w:color w:val="auto"/>
          <w:szCs w:val="24"/>
        </w:rPr>
        <w:t>一、总则</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_Toc1379 </w:instrText>
      </w:r>
      <w:r>
        <w:rPr>
          <w:rFonts w:hint="eastAsia" w:ascii="仿宋" w:hAnsi="仿宋" w:eastAsia="仿宋" w:cs="仿宋"/>
          <w:color w:val="auto"/>
        </w:rPr>
        <w:fldChar w:fldCharType="separate"/>
      </w:r>
      <w:r>
        <w:rPr>
          <w:rFonts w:hint="eastAsia" w:ascii="仿宋" w:hAnsi="仿宋" w:eastAsia="仿宋" w:cs="仿宋"/>
          <w:color w:val="auto"/>
        </w:rPr>
        <w:t>11</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39"/>
        <w:tabs>
          <w:tab w:val="right" w:leader="dot" w:pos="9639"/>
        </w:tabs>
        <w:ind w:firstLine="72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"_Toc925" </w:instrText>
      </w:r>
      <w:r>
        <w:rPr>
          <w:rFonts w:hint="eastAsia" w:ascii="仿宋" w:hAnsi="仿宋" w:eastAsia="仿宋" w:cs="仿宋"/>
          <w:color w:val="auto"/>
        </w:rPr>
        <w:fldChar w:fldCharType="separate"/>
      </w:r>
      <w:r>
        <w:rPr>
          <w:rFonts w:hint="eastAsia" w:ascii="仿宋" w:hAnsi="仿宋" w:eastAsia="仿宋" w:cs="仿宋"/>
          <w:color w:val="auto"/>
          <w:szCs w:val="24"/>
        </w:rPr>
        <w:t>二、磋商文件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_Toc925 </w:instrText>
      </w:r>
      <w:r>
        <w:rPr>
          <w:rFonts w:hint="eastAsia" w:ascii="仿宋" w:hAnsi="仿宋" w:eastAsia="仿宋" w:cs="仿宋"/>
          <w:color w:val="auto"/>
        </w:rPr>
        <w:fldChar w:fldCharType="separate"/>
      </w:r>
      <w:r>
        <w:rPr>
          <w:rFonts w:hint="eastAsia" w:ascii="仿宋" w:hAnsi="仿宋" w:eastAsia="仿宋" w:cs="仿宋"/>
          <w:color w:val="auto"/>
        </w:rPr>
        <w:t>12</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39"/>
        <w:tabs>
          <w:tab w:val="right" w:leader="dot" w:pos="9639"/>
        </w:tabs>
        <w:ind w:firstLine="72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"_Toc28112" </w:instrText>
      </w:r>
      <w:r>
        <w:rPr>
          <w:rFonts w:hint="eastAsia" w:ascii="仿宋" w:hAnsi="仿宋" w:eastAsia="仿宋" w:cs="仿宋"/>
          <w:color w:val="auto"/>
        </w:rPr>
        <w:fldChar w:fldCharType="separate"/>
      </w:r>
      <w:r>
        <w:rPr>
          <w:rFonts w:hint="eastAsia" w:ascii="仿宋" w:hAnsi="仿宋" w:eastAsia="仿宋" w:cs="仿宋"/>
          <w:color w:val="auto"/>
          <w:szCs w:val="24"/>
        </w:rPr>
        <w:t>三、响应文件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_Toc28112 </w:instrText>
      </w:r>
      <w:r>
        <w:rPr>
          <w:rFonts w:hint="eastAsia" w:ascii="仿宋" w:hAnsi="仿宋" w:eastAsia="仿宋" w:cs="仿宋"/>
          <w:color w:val="auto"/>
        </w:rPr>
        <w:fldChar w:fldCharType="separate"/>
      </w:r>
      <w:r>
        <w:rPr>
          <w:rFonts w:hint="eastAsia" w:ascii="仿宋" w:hAnsi="仿宋" w:eastAsia="仿宋" w:cs="仿宋"/>
          <w:color w:val="auto"/>
        </w:rPr>
        <w:t>13</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39"/>
        <w:tabs>
          <w:tab w:val="right" w:leader="dot" w:pos="9639"/>
        </w:tabs>
        <w:ind w:firstLine="72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"_Toc22272" </w:instrText>
      </w:r>
      <w:r>
        <w:rPr>
          <w:rFonts w:hint="eastAsia" w:ascii="仿宋" w:hAnsi="仿宋" w:eastAsia="仿宋" w:cs="仿宋"/>
          <w:color w:val="auto"/>
        </w:rPr>
        <w:fldChar w:fldCharType="separate"/>
      </w:r>
      <w:r>
        <w:rPr>
          <w:rFonts w:hint="eastAsia" w:ascii="仿宋" w:hAnsi="仿宋" w:eastAsia="仿宋" w:cs="仿宋"/>
          <w:color w:val="auto"/>
          <w:szCs w:val="24"/>
        </w:rPr>
        <w:t>四、截标</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_Toc22272 </w:instrText>
      </w:r>
      <w:r>
        <w:rPr>
          <w:rFonts w:hint="eastAsia" w:ascii="仿宋" w:hAnsi="仿宋" w:eastAsia="仿宋" w:cs="仿宋"/>
          <w:color w:val="auto"/>
        </w:rPr>
        <w:fldChar w:fldCharType="separate"/>
      </w:r>
      <w:r>
        <w:rPr>
          <w:rFonts w:hint="eastAsia" w:ascii="仿宋" w:hAnsi="仿宋" w:eastAsia="仿宋" w:cs="仿宋"/>
          <w:color w:val="auto"/>
        </w:rPr>
        <w:t>15</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39"/>
        <w:tabs>
          <w:tab w:val="right" w:leader="dot" w:pos="9639"/>
        </w:tabs>
        <w:ind w:firstLine="72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"_Toc24778" </w:instrText>
      </w:r>
      <w:r>
        <w:rPr>
          <w:rFonts w:hint="eastAsia" w:ascii="仿宋" w:hAnsi="仿宋" w:eastAsia="仿宋" w:cs="仿宋"/>
          <w:color w:val="auto"/>
        </w:rPr>
        <w:fldChar w:fldCharType="separate"/>
      </w:r>
      <w:r>
        <w:rPr>
          <w:rFonts w:hint="eastAsia" w:ascii="仿宋" w:hAnsi="仿宋" w:eastAsia="仿宋" w:cs="仿宋"/>
          <w:color w:val="auto"/>
          <w:szCs w:val="24"/>
        </w:rPr>
        <w:t>五、磋商与评审</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_Toc24778 </w:instrText>
      </w:r>
      <w:r>
        <w:rPr>
          <w:rFonts w:hint="eastAsia" w:ascii="仿宋" w:hAnsi="仿宋" w:eastAsia="仿宋" w:cs="仿宋"/>
          <w:color w:val="auto"/>
        </w:rPr>
        <w:fldChar w:fldCharType="separate"/>
      </w:r>
      <w:r>
        <w:rPr>
          <w:rFonts w:hint="eastAsia" w:ascii="仿宋" w:hAnsi="仿宋" w:eastAsia="仿宋" w:cs="仿宋"/>
          <w:color w:val="auto"/>
        </w:rPr>
        <w:t>16</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39"/>
        <w:tabs>
          <w:tab w:val="right" w:leader="dot" w:pos="9639"/>
        </w:tabs>
        <w:ind w:firstLine="72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"_Toc32077" </w:instrText>
      </w:r>
      <w:r>
        <w:rPr>
          <w:rFonts w:hint="eastAsia" w:ascii="仿宋" w:hAnsi="仿宋" w:eastAsia="仿宋" w:cs="仿宋"/>
          <w:color w:val="auto"/>
        </w:rPr>
        <w:fldChar w:fldCharType="separate"/>
      </w:r>
      <w:r>
        <w:rPr>
          <w:rFonts w:hint="eastAsia" w:ascii="仿宋" w:hAnsi="仿宋" w:eastAsia="仿宋" w:cs="仿宋"/>
          <w:color w:val="auto"/>
          <w:szCs w:val="24"/>
        </w:rPr>
        <w:t>六、评审结果</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_Toc32077 </w:instrText>
      </w:r>
      <w:r>
        <w:rPr>
          <w:rFonts w:hint="eastAsia" w:ascii="仿宋" w:hAnsi="仿宋" w:eastAsia="仿宋" w:cs="仿宋"/>
          <w:color w:val="auto"/>
        </w:rPr>
        <w:fldChar w:fldCharType="separate"/>
      </w:r>
      <w:r>
        <w:rPr>
          <w:rFonts w:hint="eastAsia" w:ascii="仿宋" w:hAnsi="仿宋" w:eastAsia="仿宋" w:cs="仿宋"/>
          <w:color w:val="auto"/>
        </w:rPr>
        <w:t>17</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39"/>
        <w:tabs>
          <w:tab w:val="right" w:leader="dot" w:pos="9639"/>
        </w:tabs>
        <w:ind w:firstLine="72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"_Toc7244" </w:instrText>
      </w:r>
      <w:r>
        <w:rPr>
          <w:rFonts w:hint="eastAsia" w:ascii="仿宋" w:hAnsi="仿宋" w:eastAsia="仿宋" w:cs="仿宋"/>
          <w:color w:val="auto"/>
        </w:rPr>
        <w:fldChar w:fldCharType="separate"/>
      </w:r>
      <w:r>
        <w:rPr>
          <w:rFonts w:hint="eastAsia" w:ascii="仿宋" w:hAnsi="仿宋" w:eastAsia="仿宋" w:cs="仿宋"/>
          <w:color w:val="auto"/>
          <w:szCs w:val="24"/>
        </w:rPr>
        <w:t>七、合同授予</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_Toc7244 </w:instrText>
      </w:r>
      <w:r>
        <w:rPr>
          <w:rFonts w:hint="eastAsia" w:ascii="仿宋" w:hAnsi="仿宋" w:eastAsia="仿宋" w:cs="仿宋"/>
          <w:color w:val="auto"/>
        </w:rPr>
        <w:fldChar w:fldCharType="separate"/>
      </w:r>
      <w:r>
        <w:rPr>
          <w:rFonts w:hint="eastAsia" w:ascii="仿宋" w:hAnsi="仿宋" w:eastAsia="仿宋" w:cs="仿宋"/>
          <w:color w:val="auto"/>
        </w:rPr>
        <w:t>18</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39"/>
        <w:tabs>
          <w:tab w:val="right" w:leader="dot" w:pos="9639"/>
        </w:tabs>
        <w:ind w:firstLine="72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"_Toc15144" </w:instrText>
      </w:r>
      <w:r>
        <w:rPr>
          <w:rFonts w:hint="eastAsia" w:ascii="仿宋" w:hAnsi="仿宋" w:eastAsia="仿宋" w:cs="仿宋"/>
          <w:color w:val="auto"/>
        </w:rPr>
        <w:fldChar w:fldCharType="separate"/>
      </w:r>
      <w:r>
        <w:rPr>
          <w:rFonts w:hint="eastAsia" w:ascii="仿宋" w:hAnsi="仿宋" w:eastAsia="仿宋" w:cs="仿宋"/>
          <w:color w:val="auto"/>
          <w:szCs w:val="24"/>
        </w:rPr>
        <w:t>八、其他</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_Toc15144 </w:instrText>
      </w:r>
      <w:r>
        <w:rPr>
          <w:rFonts w:hint="eastAsia" w:ascii="仿宋" w:hAnsi="仿宋" w:eastAsia="仿宋" w:cs="仿宋"/>
          <w:color w:val="auto"/>
        </w:rPr>
        <w:fldChar w:fldCharType="separate"/>
      </w:r>
      <w:r>
        <w:rPr>
          <w:rFonts w:hint="eastAsia" w:ascii="仿宋" w:hAnsi="仿宋" w:eastAsia="仿宋" w:cs="仿宋"/>
          <w:color w:val="auto"/>
        </w:rPr>
        <w:t>19</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32"/>
        <w:tabs>
          <w:tab w:val="right" w:leader="dot" w:pos="9639"/>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"_Toc7864" </w:instrText>
      </w:r>
      <w:r>
        <w:rPr>
          <w:rFonts w:hint="eastAsia" w:ascii="仿宋" w:hAnsi="仿宋" w:eastAsia="仿宋" w:cs="仿宋"/>
          <w:color w:val="auto"/>
        </w:rPr>
        <w:fldChar w:fldCharType="separate"/>
      </w:r>
      <w:r>
        <w:rPr>
          <w:rFonts w:hint="eastAsia" w:ascii="仿宋" w:hAnsi="仿宋" w:eastAsia="仿宋" w:cs="仿宋"/>
          <w:color w:val="auto"/>
        </w:rPr>
        <w:t>第三章  评审方法及评审标准</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_Toc7864 </w:instrText>
      </w:r>
      <w:r>
        <w:rPr>
          <w:rFonts w:hint="eastAsia" w:ascii="仿宋" w:hAnsi="仿宋" w:eastAsia="仿宋" w:cs="仿宋"/>
          <w:color w:val="auto"/>
        </w:rPr>
        <w:fldChar w:fldCharType="separate"/>
      </w:r>
      <w:r>
        <w:rPr>
          <w:rFonts w:hint="eastAsia" w:ascii="仿宋" w:hAnsi="仿宋" w:eastAsia="仿宋" w:cs="仿宋"/>
          <w:color w:val="auto"/>
        </w:rPr>
        <w:t>22</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39"/>
        <w:tabs>
          <w:tab w:val="right" w:leader="dot" w:pos="9639"/>
        </w:tabs>
        <w:ind w:firstLine="720"/>
        <w:rPr>
          <w:rFonts w:hint="eastAsia" w:ascii="仿宋" w:hAnsi="仿宋" w:eastAsia="仿宋" w:cs="仿宋"/>
          <w:color w:val="auto"/>
          <w:lang w:val="en-US" w:eastAsia="zh-CN"/>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"_Toc22668" </w:instrText>
      </w:r>
      <w:r>
        <w:rPr>
          <w:rFonts w:hint="eastAsia" w:ascii="仿宋" w:hAnsi="仿宋" w:eastAsia="仿宋" w:cs="仿宋"/>
          <w:color w:val="auto"/>
        </w:rPr>
        <w:fldChar w:fldCharType="separate"/>
      </w:r>
      <w:r>
        <w:rPr>
          <w:rFonts w:hint="eastAsia" w:ascii="仿宋" w:hAnsi="仿宋" w:eastAsia="仿宋" w:cs="仿宋"/>
          <w:color w:val="auto"/>
        </w:rPr>
        <w:t>评审方法及评审标准前附表</w:t>
      </w:r>
      <w:r>
        <w:rPr>
          <w:rFonts w:hint="eastAsia" w:ascii="仿宋" w:hAnsi="仿宋" w:eastAsia="仿宋" w:cs="仿宋"/>
          <w:color w:val="auto"/>
        </w:rPr>
        <w:tab/>
      </w:r>
      <w:r>
        <w:rPr>
          <w:rFonts w:hint="eastAsia" w:ascii="仿宋" w:hAnsi="仿宋" w:eastAsia="仿宋" w:cs="仿宋"/>
          <w:color w:val="auto"/>
          <w:lang w:val="en-US" w:eastAsia="zh-CN"/>
        </w:rPr>
        <w:t>2</w:t>
      </w:r>
      <w:r>
        <w:rPr>
          <w:rFonts w:hint="eastAsia" w:ascii="仿宋" w:hAnsi="仿宋" w:eastAsia="仿宋" w:cs="仿宋"/>
          <w:color w:val="auto"/>
        </w:rPr>
        <w:fldChar w:fldCharType="end"/>
      </w:r>
      <w:r>
        <w:rPr>
          <w:rFonts w:hint="eastAsia" w:ascii="仿宋" w:hAnsi="仿宋" w:eastAsia="仿宋" w:cs="仿宋"/>
          <w:color w:val="auto"/>
          <w:lang w:val="en-US" w:eastAsia="zh-CN"/>
        </w:rPr>
        <w:t>8</w:t>
      </w:r>
    </w:p>
    <w:p>
      <w:pPr>
        <w:pStyle w:val="39"/>
        <w:tabs>
          <w:tab w:val="right" w:leader="dot" w:pos="9639"/>
        </w:tabs>
        <w:ind w:firstLine="72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"_Toc20151" </w:instrText>
      </w:r>
      <w:r>
        <w:rPr>
          <w:rFonts w:hint="eastAsia" w:ascii="仿宋" w:hAnsi="仿宋" w:eastAsia="仿宋" w:cs="仿宋"/>
          <w:color w:val="auto"/>
        </w:rPr>
        <w:fldChar w:fldCharType="separate"/>
      </w:r>
      <w:r>
        <w:rPr>
          <w:rFonts w:hint="eastAsia" w:ascii="仿宋" w:hAnsi="仿宋" w:eastAsia="仿宋" w:cs="仿宋"/>
          <w:color w:val="auto"/>
          <w:szCs w:val="24"/>
        </w:rPr>
        <w:t>一、评审方法</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_Toc20151 </w:instrText>
      </w:r>
      <w:r>
        <w:rPr>
          <w:rFonts w:hint="eastAsia" w:ascii="仿宋" w:hAnsi="仿宋" w:eastAsia="仿宋" w:cs="仿宋"/>
          <w:color w:val="auto"/>
        </w:rPr>
        <w:fldChar w:fldCharType="separate"/>
      </w:r>
      <w:r>
        <w:rPr>
          <w:rFonts w:hint="eastAsia" w:ascii="仿宋" w:hAnsi="仿宋" w:eastAsia="仿宋" w:cs="仿宋"/>
          <w:color w:val="auto"/>
        </w:rPr>
        <w:t>28</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39"/>
        <w:tabs>
          <w:tab w:val="right" w:leader="dot" w:pos="9639"/>
        </w:tabs>
        <w:ind w:firstLine="72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"_Toc19887" </w:instrText>
      </w:r>
      <w:r>
        <w:rPr>
          <w:rFonts w:hint="eastAsia" w:ascii="仿宋" w:hAnsi="仿宋" w:eastAsia="仿宋" w:cs="仿宋"/>
          <w:color w:val="auto"/>
        </w:rPr>
        <w:fldChar w:fldCharType="separate"/>
      </w:r>
      <w:r>
        <w:rPr>
          <w:rFonts w:hint="eastAsia" w:ascii="仿宋" w:hAnsi="仿宋" w:eastAsia="仿宋" w:cs="仿宋"/>
          <w:color w:val="auto"/>
          <w:szCs w:val="24"/>
        </w:rPr>
        <w:t>二、评审标准</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_Toc19887 </w:instrText>
      </w:r>
      <w:r>
        <w:rPr>
          <w:rFonts w:hint="eastAsia" w:ascii="仿宋" w:hAnsi="仿宋" w:eastAsia="仿宋" w:cs="仿宋"/>
          <w:color w:val="auto"/>
        </w:rPr>
        <w:fldChar w:fldCharType="separate"/>
      </w:r>
      <w:r>
        <w:rPr>
          <w:rFonts w:hint="eastAsia" w:ascii="仿宋" w:hAnsi="仿宋" w:eastAsia="仿宋" w:cs="仿宋"/>
          <w:color w:val="auto"/>
        </w:rPr>
        <w:t>28</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39"/>
        <w:tabs>
          <w:tab w:val="right" w:leader="dot" w:pos="9639"/>
        </w:tabs>
        <w:ind w:firstLine="72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"_Toc1809" </w:instrText>
      </w:r>
      <w:r>
        <w:rPr>
          <w:rFonts w:hint="eastAsia" w:ascii="仿宋" w:hAnsi="仿宋" w:eastAsia="仿宋" w:cs="仿宋"/>
          <w:color w:val="auto"/>
        </w:rPr>
        <w:fldChar w:fldCharType="separate"/>
      </w:r>
      <w:r>
        <w:rPr>
          <w:rFonts w:hint="eastAsia" w:ascii="仿宋" w:hAnsi="仿宋" w:eastAsia="仿宋" w:cs="仿宋"/>
          <w:color w:val="auto"/>
          <w:szCs w:val="24"/>
        </w:rPr>
        <w:t>三、资格、符合性评审</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_Toc1809 </w:instrText>
      </w:r>
      <w:r>
        <w:rPr>
          <w:rFonts w:hint="eastAsia" w:ascii="仿宋" w:hAnsi="仿宋" w:eastAsia="仿宋" w:cs="仿宋"/>
          <w:color w:val="auto"/>
        </w:rPr>
        <w:fldChar w:fldCharType="separate"/>
      </w:r>
      <w:r>
        <w:rPr>
          <w:rFonts w:hint="eastAsia" w:ascii="仿宋" w:hAnsi="仿宋" w:eastAsia="仿宋" w:cs="仿宋"/>
          <w:color w:val="auto"/>
        </w:rPr>
        <w:t>28</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39"/>
        <w:tabs>
          <w:tab w:val="right" w:leader="dot" w:pos="9639"/>
        </w:tabs>
        <w:ind w:firstLine="72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"_Toc26616" </w:instrText>
      </w:r>
      <w:r>
        <w:rPr>
          <w:rFonts w:hint="eastAsia" w:ascii="仿宋" w:hAnsi="仿宋" w:eastAsia="仿宋" w:cs="仿宋"/>
          <w:color w:val="auto"/>
        </w:rPr>
        <w:fldChar w:fldCharType="separate"/>
      </w:r>
      <w:r>
        <w:rPr>
          <w:rFonts w:hint="eastAsia" w:ascii="仿宋" w:hAnsi="仿宋" w:eastAsia="仿宋" w:cs="仿宋"/>
          <w:color w:val="auto"/>
          <w:szCs w:val="24"/>
        </w:rPr>
        <w:t>四、磋商程序</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_Toc26616 </w:instrText>
      </w:r>
      <w:r>
        <w:rPr>
          <w:rFonts w:hint="eastAsia" w:ascii="仿宋" w:hAnsi="仿宋" w:eastAsia="仿宋" w:cs="仿宋"/>
          <w:color w:val="auto"/>
        </w:rPr>
        <w:fldChar w:fldCharType="separate"/>
      </w:r>
      <w:r>
        <w:rPr>
          <w:rFonts w:hint="eastAsia" w:ascii="仿宋" w:hAnsi="仿宋" w:eastAsia="仿宋" w:cs="仿宋"/>
          <w:color w:val="auto"/>
        </w:rPr>
        <w:t>29</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39"/>
        <w:tabs>
          <w:tab w:val="right" w:leader="dot" w:pos="9639"/>
        </w:tabs>
        <w:ind w:firstLine="72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"_Toc20041" </w:instrText>
      </w:r>
      <w:r>
        <w:rPr>
          <w:rFonts w:hint="eastAsia" w:ascii="仿宋" w:hAnsi="仿宋" w:eastAsia="仿宋" w:cs="仿宋"/>
          <w:color w:val="auto"/>
        </w:rPr>
        <w:fldChar w:fldCharType="separate"/>
      </w:r>
      <w:r>
        <w:rPr>
          <w:rFonts w:hint="eastAsia" w:ascii="仿宋" w:hAnsi="仿宋" w:eastAsia="仿宋" w:cs="仿宋"/>
          <w:color w:val="auto"/>
          <w:szCs w:val="24"/>
        </w:rPr>
        <w:t>五、综合评分</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_Toc20041 </w:instrText>
      </w:r>
      <w:r>
        <w:rPr>
          <w:rFonts w:hint="eastAsia" w:ascii="仿宋" w:hAnsi="仿宋" w:eastAsia="仿宋" w:cs="仿宋"/>
          <w:color w:val="auto"/>
        </w:rPr>
        <w:fldChar w:fldCharType="separate"/>
      </w:r>
      <w:r>
        <w:rPr>
          <w:rFonts w:hint="eastAsia" w:ascii="仿宋" w:hAnsi="仿宋" w:eastAsia="仿宋" w:cs="仿宋"/>
          <w:color w:val="auto"/>
        </w:rPr>
        <w:t>31</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39"/>
        <w:tabs>
          <w:tab w:val="right" w:leader="dot" w:pos="9639"/>
        </w:tabs>
        <w:ind w:firstLine="72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"_Toc12216" </w:instrText>
      </w:r>
      <w:r>
        <w:rPr>
          <w:rFonts w:hint="eastAsia" w:ascii="仿宋" w:hAnsi="仿宋" w:eastAsia="仿宋" w:cs="仿宋"/>
          <w:color w:val="auto"/>
        </w:rPr>
        <w:fldChar w:fldCharType="separate"/>
      </w:r>
      <w:r>
        <w:rPr>
          <w:rFonts w:hint="eastAsia" w:ascii="仿宋" w:hAnsi="仿宋" w:eastAsia="仿宋" w:cs="仿宋"/>
          <w:color w:val="auto"/>
          <w:szCs w:val="24"/>
        </w:rPr>
        <w:t>六、评审过程的其他事项</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_Toc12216 </w:instrText>
      </w:r>
      <w:r>
        <w:rPr>
          <w:rFonts w:hint="eastAsia" w:ascii="仿宋" w:hAnsi="仿宋" w:eastAsia="仿宋" w:cs="仿宋"/>
          <w:color w:val="auto"/>
        </w:rPr>
        <w:fldChar w:fldCharType="separate"/>
      </w:r>
      <w:r>
        <w:rPr>
          <w:rFonts w:hint="eastAsia" w:ascii="仿宋" w:hAnsi="仿宋" w:eastAsia="仿宋" w:cs="仿宋"/>
          <w:color w:val="auto"/>
        </w:rPr>
        <w:t>31</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39"/>
        <w:tabs>
          <w:tab w:val="right" w:leader="dot" w:pos="9639"/>
        </w:tabs>
        <w:ind w:firstLine="72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"_Toc32760" </w:instrText>
      </w:r>
      <w:r>
        <w:rPr>
          <w:rFonts w:hint="eastAsia" w:ascii="仿宋" w:hAnsi="仿宋" w:eastAsia="仿宋" w:cs="仿宋"/>
          <w:color w:val="auto"/>
        </w:rPr>
        <w:fldChar w:fldCharType="separate"/>
      </w:r>
      <w:r>
        <w:rPr>
          <w:rFonts w:hint="eastAsia" w:ascii="仿宋" w:hAnsi="仿宋" w:eastAsia="仿宋" w:cs="仿宋"/>
          <w:color w:val="auto"/>
          <w:szCs w:val="24"/>
        </w:rPr>
        <w:t>七、成交候选人推荐原则</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_Toc32760 </w:instrText>
      </w:r>
      <w:r>
        <w:rPr>
          <w:rFonts w:hint="eastAsia" w:ascii="仿宋" w:hAnsi="仿宋" w:eastAsia="仿宋" w:cs="仿宋"/>
          <w:color w:val="auto"/>
        </w:rPr>
        <w:fldChar w:fldCharType="separate"/>
      </w:r>
      <w:r>
        <w:rPr>
          <w:rFonts w:hint="eastAsia" w:ascii="仿宋" w:hAnsi="仿宋" w:eastAsia="仿宋" w:cs="仿宋"/>
          <w:color w:val="auto"/>
        </w:rPr>
        <w:t>33</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32"/>
        <w:tabs>
          <w:tab w:val="right" w:leader="dot" w:pos="9639"/>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"_Toc23679" </w:instrText>
      </w:r>
      <w:r>
        <w:rPr>
          <w:rFonts w:hint="eastAsia" w:ascii="仿宋" w:hAnsi="仿宋" w:eastAsia="仿宋" w:cs="仿宋"/>
          <w:color w:val="auto"/>
        </w:rPr>
        <w:fldChar w:fldCharType="separate"/>
      </w:r>
      <w:r>
        <w:rPr>
          <w:rFonts w:hint="eastAsia" w:ascii="仿宋" w:hAnsi="仿宋" w:eastAsia="仿宋" w:cs="仿宋"/>
          <w:color w:val="auto"/>
          <w:szCs w:val="36"/>
        </w:rPr>
        <w:t>第四章  工程</w:t>
      </w:r>
      <w:bookmarkStart w:id="3" w:name="_Hlt531510827"/>
      <w:bookmarkStart w:id="4" w:name="_Hlt531510828"/>
      <w:r>
        <w:rPr>
          <w:rFonts w:hint="eastAsia" w:ascii="仿宋" w:hAnsi="仿宋" w:eastAsia="仿宋" w:cs="仿宋"/>
          <w:color w:val="auto"/>
          <w:szCs w:val="36"/>
        </w:rPr>
        <w:t>量</w:t>
      </w:r>
      <w:bookmarkEnd w:id="3"/>
      <w:bookmarkEnd w:id="4"/>
      <w:bookmarkStart w:id="5" w:name="_Hlt531686253"/>
      <w:r>
        <w:rPr>
          <w:rFonts w:hint="eastAsia" w:ascii="仿宋" w:hAnsi="仿宋" w:eastAsia="仿宋" w:cs="仿宋"/>
          <w:color w:val="auto"/>
          <w:szCs w:val="36"/>
        </w:rPr>
        <w:t>清</w:t>
      </w:r>
      <w:bookmarkEnd w:id="5"/>
      <w:r>
        <w:rPr>
          <w:rFonts w:hint="eastAsia" w:ascii="仿宋" w:hAnsi="仿宋" w:eastAsia="仿宋" w:cs="仿宋"/>
          <w:color w:val="auto"/>
          <w:szCs w:val="36"/>
        </w:rPr>
        <w:t>单</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_Toc23679 </w:instrText>
      </w:r>
      <w:r>
        <w:rPr>
          <w:rFonts w:hint="eastAsia" w:ascii="仿宋" w:hAnsi="仿宋" w:eastAsia="仿宋" w:cs="仿宋"/>
          <w:color w:val="auto"/>
        </w:rPr>
        <w:fldChar w:fldCharType="separate"/>
      </w:r>
      <w:r>
        <w:rPr>
          <w:rFonts w:hint="eastAsia" w:ascii="仿宋" w:hAnsi="仿宋" w:eastAsia="仿宋" w:cs="仿宋"/>
          <w:color w:val="auto"/>
        </w:rPr>
        <w:t>34</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32"/>
        <w:tabs>
          <w:tab w:val="right" w:leader="dot" w:pos="9639"/>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"_Toc7751" </w:instrText>
      </w:r>
      <w:r>
        <w:rPr>
          <w:rFonts w:hint="eastAsia" w:ascii="仿宋" w:hAnsi="仿宋" w:eastAsia="仿宋" w:cs="仿宋"/>
          <w:color w:val="auto"/>
        </w:rPr>
        <w:fldChar w:fldCharType="separate"/>
      </w:r>
      <w:r>
        <w:rPr>
          <w:rFonts w:hint="eastAsia" w:ascii="仿宋" w:hAnsi="仿宋" w:eastAsia="仿宋" w:cs="仿宋"/>
          <w:color w:val="auto"/>
        </w:rPr>
        <w:t>第五章  合同</w:t>
      </w:r>
      <w:bookmarkStart w:id="6" w:name="_Hlt531689493"/>
      <w:r>
        <w:rPr>
          <w:rFonts w:hint="eastAsia" w:ascii="仿宋" w:hAnsi="仿宋" w:eastAsia="仿宋" w:cs="仿宋"/>
          <w:color w:val="auto"/>
        </w:rPr>
        <w:t>条</w:t>
      </w:r>
      <w:bookmarkEnd w:id="6"/>
      <w:r>
        <w:rPr>
          <w:rFonts w:hint="eastAsia" w:ascii="仿宋" w:hAnsi="仿宋" w:eastAsia="仿宋" w:cs="仿宋"/>
          <w:color w:val="auto"/>
        </w:rPr>
        <w:t>款</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_Toc7751 </w:instrText>
      </w:r>
      <w:r>
        <w:rPr>
          <w:rFonts w:hint="eastAsia" w:ascii="仿宋" w:hAnsi="仿宋" w:eastAsia="仿宋" w:cs="仿宋"/>
          <w:color w:val="auto"/>
        </w:rPr>
        <w:fldChar w:fldCharType="separate"/>
      </w:r>
      <w:r>
        <w:rPr>
          <w:rFonts w:hint="eastAsia" w:ascii="仿宋" w:hAnsi="仿宋" w:eastAsia="仿宋" w:cs="仿宋"/>
          <w:color w:val="auto"/>
        </w:rPr>
        <w:t>35</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32"/>
        <w:tabs>
          <w:tab w:val="right" w:leader="dot" w:pos="9639"/>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"_Toc21829" </w:instrText>
      </w:r>
      <w:r>
        <w:rPr>
          <w:rFonts w:hint="eastAsia" w:ascii="仿宋" w:hAnsi="仿宋" w:eastAsia="仿宋" w:cs="仿宋"/>
          <w:color w:val="auto"/>
        </w:rPr>
        <w:fldChar w:fldCharType="separate"/>
      </w:r>
      <w:r>
        <w:rPr>
          <w:rFonts w:hint="eastAsia" w:ascii="仿宋" w:hAnsi="仿宋" w:eastAsia="仿宋" w:cs="仿宋"/>
          <w:color w:val="auto"/>
        </w:rPr>
        <w:t>第六章  响应文件格式</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_Toc21829 </w:instrText>
      </w:r>
      <w:r>
        <w:rPr>
          <w:rFonts w:hint="eastAsia" w:ascii="仿宋" w:hAnsi="仿宋" w:eastAsia="仿宋" w:cs="仿宋"/>
          <w:color w:val="auto"/>
        </w:rPr>
        <w:fldChar w:fldCharType="separate"/>
      </w:r>
      <w:r>
        <w:rPr>
          <w:rFonts w:hint="eastAsia" w:ascii="仿宋" w:hAnsi="仿宋" w:eastAsia="仿宋" w:cs="仿宋"/>
          <w:color w:val="auto"/>
        </w:rPr>
        <w:t>139</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39"/>
        <w:tabs>
          <w:tab w:val="right" w:leader="dot" w:pos="9639"/>
        </w:tabs>
        <w:ind w:firstLine="72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"_Toc29690" </w:instrText>
      </w:r>
      <w:r>
        <w:rPr>
          <w:rFonts w:hint="eastAsia" w:ascii="仿宋" w:hAnsi="仿宋" w:eastAsia="仿宋" w:cs="仿宋"/>
          <w:color w:val="auto"/>
        </w:rPr>
        <w:fldChar w:fldCharType="separate"/>
      </w:r>
      <w:r>
        <w:rPr>
          <w:rFonts w:hint="eastAsia" w:ascii="仿宋" w:hAnsi="仿宋" w:eastAsia="仿宋" w:cs="仿宋"/>
          <w:bCs/>
          <w:color w:val="auto"/>
          <w:szCs w:val="28"/>
        </w:rPr>
        <w:t>一、响应文件报价部分格式</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_Toc29690 </w:instrText>
      </w:r>
      <w:r>
        <w:rPr>
          <w:rFonts w:hint="eastAsia" w:ascii="仿宋" w:hAnsi="仿宋" w:eastAsia="仿宋" w:cs="仿宋"/>
          <w:color w:val="auto"/>
        </w:rPr>
        <w:fldChar w:fldCharType="separate"/>
      </w:r>
      <w:r>
        <w:rPr>
          <w:rFonts w:hint="eastAsia" w:ascii="仿宋" w:hAnsi="仿宋" w:eastAsia="仿宋" w:cs="仿宋"/>
          <w:color w:val="auto"/>
        </w:rPr>
        <w:t>140</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39"/>
        <w:tabs>
          <w:tab w:val="right" w:leader="dot" w:pos="9639"/>
        </w:tabs>
        <w:ind w:firstLine="72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"_Toc25284" </w:instrText>
      </w:r>
      <w:r>
        <w:rPr>
          <w:rFonts w:hint="eastAsia" w:ascii="仿宋" w:hAnsi="仿宋" w:eastAsia="仿宋" w:cs="仿宋"/>
          <w:color w:val="auto"/>
        </w:rPr>
        <w:fldChar w:fldCharType="separate"/>
      </w:r>
      <w:r>
        <w:rPr>
          <w:rFonts w:hint="eastAsia" w:ascii="仿宋" w:hAnsi="仿宋" w:eastAsia="仿宋" w:cs="仿宋"/>
          <w:bCs/>
          <w:color w:val="auto"/>
          <w:szCs w:val="28"/>
        </w:rPr>
        <w:t>二、响应文件资格证明部分格式</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_Toc25284 </w:instrText>
      </w:r>
      <w:r>
        <w:rPr>
          <w:rFonts w:hint="eastAsia" w:ascii="仿宋" w:hAnsi="仿宋" w:eastAsia="仿宋" w:cs="仿宋"/>
          <w:color w:val="auto"/>
        </w:rPr>
        <w:fldChar w:fldCharType="separate"/>
      </w:r>
      <w:r>
        <w:rPr>
          <w:rFonts w:hint="eastAsia" w:ascii="仿宋" w:hAnsi="仿宋" w:eastAsia="仿宋" w:cs="仿宋"/>
          <w:color w:val="auto"/>
        </w:rPr>
        <w:t>144</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39"/>
        <w:tabs>
          <w:tab w:val="right" w:leader="dot" w:pos="9639"/>
        </w:tabs>
        <w:ind w:firstLine="72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"_Toc13272" </w:instrText>
      </w:r>
      <w:r>
        <w:rPr>
          <w:rFonts w:hint="eastAsia" w:ascii="仿宋" w:hAnsi="仿宋" w:eastAsia="仿宋" w:cs="仿宋"/>
          <w:color w:val="auto"/>
        </w:rPr>
        <w:fldChar w:fldCharType="separate"/>
      </w:r>
      <w:r>
        <w:rPr>
          <w:rFonts w:hint="eastAsia" w:ascii="仿宋" w:hAnsi="仿宋" w:eastAsia="仿宋" w:cs="仿宋"/>
          <w:bCs/>
          <w:color w:val="auto"/>
          <w:szCs w:val="28"/>
        </w:rPr>
        <w:t>三、响应文件商务部分格式</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_Toc13272 </w:instrText>
      </w:r>
      <w:r>
        <w:rPr>
          <w:rFonts w:hint="eastAsia" w:ascii="仿宋" w:hAnsi="仿宋" w:eastAsia="仿宋" w:cs="仿宋"/>
          <w:color w:val="auto"/>
        </w:rPr>
        <w:fldChar w:fldCharType="separate"/>
      </w:r>
      <w:r>
        <w:rPr>
          <w:rFonts w:hint="eastAsia" w:ascii="仿宋" w:hAnsi="仿宋" w:eastAsia="仿宋" w:cs="仿宋"/>
          <w:color w:val="auto"/>
        </w:rPr>
        <w:t>149</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39"/>
        <w:tabs>
          <w:tab w:val="right" w:leader="dot" w:pos="9639"/>
        </w:tabs>
        <w:ind w:firstLine="720"/>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"_Toc11700" </w:instrText>
      </w:r>
      <w:r>
        <w:rPr>
          <w:rFonts w:hint="eastAsia" w:ascii="仿宋" w:hAnsi="仿宋" w:eastAsia="仿宋" w:cs="仿宋"/>
          <w:color w:val="auto"/>
        </w:rPr>
        <w:fldChar w:fldCharType="separate"/>
      </w:r>
      <w:r>
        <w:rPr>
          <w:rFonts w:hint="eastAsia" w:ascii="仿宋" w:hAnsi="仿宋" w:eastAsia="仿宋" w:cs="仿宋"/>
          <w:bCs/>
          <w:color w:val="auto"/>
          <w:szCs w:val="28"/>
        </w:rPr>
        <w:t>四、响应文件技术部分格式</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_Toc11700 </w:instrText>
      </w:r>
      <w:r>
        <w:rPr>
          <w:rFonts w:hint="eastAsia" w:ascii="仿宋" w:hAnsi="仿宋" w:eastAsia="仿宋" w:cs="仿宋"/>
          <w:color w:val="auto"/>
        </w:rPr>
        <w:fldChar w:fldCharType="separate"/>
      </w:r>
      <w:r>
        <w:rPr>
          <w:rFonts w:hint="eastAsia" w:ascii="仿宋" w:hAnsi="仿宋" w:eastAsia="仿宋" w:cs="仿宋"/>
          <w:color w:val="auto"/>
        </w:rPr>
        <w:t>154</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spacing w:after="0" w:line="440" w:lineRule="exact"/>
        <w:ind w:firstLine="220" w:firstLineChars="100"/>
        <w:rPr>
          <w:rFonts w:hint="eastAsia" w:ascii="仿宋" w:hAnsi="仿宋" w:eastAsia="仿宋" w:cs="仿宋"/>
          <w:bCs/>
          <w:color w:val="auto"/>
          <w:kern w:val="2"/>
          <w:szCs w:val="24"/>
        </w:rPr>
      </w:pPr>
      <w:r>
        <w:rPr>
          <w:rFonts w:hint="eastAsia" w:ascii="仿宋" w:hAnsi="仿宋" w:eastAsia="仿宋" w:cs="仿宋"/>
          <w:bCs/>
          <w:color w:val="auto"/>
          <w:kern w:val="2"/>
          <w:szCs w:val="24"/>
        </w:rPr>
        <w:fldChar w:fldCharType="end"/>
      </w:r>
    </w:p>
    <w:p>
      <w:pPr>
        <w:bidi w:val="0"/>
        <w:rPr>
          <w:rFonts w:hint="eastAsia" w:ascii="Tahoma" w:hAnsi="Tahoma" w:eastAsia="微软雅黑" w:cs="Times New Roman"/>
          <w:sz w:val="22"/>
          <w:szCs w:val="22"/>
          <w:lang w:val="en-US" w:eastAsia="zh-CN" w:bidi="ar-SA"/>
        </w:rPr>
      </w:pPr>
    </w:p>
    <w:p>
      <w:pPr>
        <w:tabs>
          <w:tab w:val="left" w:pos="5570"/>
        </w:tabs>
        <w:bidi w:val="0"/>
        <w:jc w:val="left"/>
        <w:rPr>
          <w:rFonts w:hint="eastAsia"/>
          <w:lang w:val="en-US" w:eastAsia="zh-CN"/>
        </w:rPr>
        <w:sectPr>
          <w:headerReference r:id="rId8" w:type="first"/>
          <w:footerReference r:id="rId9" w:type="first"/>
          <w:pgSz w:w="11907" w:h="16840"/>
          <w:pgMar w:top="1134" w:right="1134" w:bottom="1134" w:left="1134" w:header="624" w:footer="737" w:gutter="0"/>
          <w:pgNumType w:start="1"/>
          <w:cols w:space="720" w:num="1"/>
          <w:docGrid w:linePitch="312" w:charSpace="0"/>
        </w:sectPr>
      </w:pPr>
      <w:r>
        <w:rPr>
          <w:rFonts w:hint="eastAsia"/>
          <w:lang w:val="en-US" w:eastAsia="zh-CN"/>
        </w:rPr>
        <w:tab/>
      </w:r>
    </w:p>
    <w:bookmarkEnd w:id="0"/>
    <w:bookmarkEnd w:id="1"/>
    <w:bookmarkEnd w:id="2"/>
    <w:p>
      <w:pPr>
        <w:pStyle w:val="3"/>
        <w:rPr>
          <w:rFonts w:hint="eastAsia" w:ascii="仿宋" w:hAnsi="仿宋" w:eastAsia="仿宋" w:cs="仿宋"/>
          <w:b/>
          <w:color w:val="auto"/>
        </w:rPr>
      </w:pPr>
      <w:bookmarkStart w:id="7" w:name="_Toc511082955"/>
      <w:bookmarkStart w:id="8" w:name="_Toc502994520"/>
      <w:bookmarkStart w:id="9" w:name="_Toc17677"/>
      <w:bookmarkStart w:id="10" w:name="_Toc26379"/>
      <w:r>
        <w:rPr>
          <w:rFonts w:hint="eastAsia" w:ascii="仿宋" w:hAnsi="仿宋" w:eastAsia="仿宋" w:cs="仿宋"/>
          <w:b/>
          <w:color w:val="auto"/>
        </w:rPr>
        <w:t>第一章  竞争性磋商公告</w:t>
      </w:r>
      <w:bookmarkEnd w:id="7"/>
      <w:bookmarkEnd w:id="8"/>
      <w:bookmarkEnd w:id="9"/>
      <w:bookmarkEnd w:id="10"/>
    </w:p>
    <w:p>
      <w:pPr>
        <w:rPr>
          <w:rFonts w:hint="eastAsia" w:ascii="仿宋" w:hAnsi="仿宋" w:eastAsia="仿宋" w:cs="仿宋"/>
          <w:color w:val="auto"/>
        </w:rPr>
      </w:pPr>
    </w:p>
    <w:p>
      <w:pPr>
        <w:pStyle w:val="44"/>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outlineLvl w:val="9"/>
        <w:rPr>
          <w:rFonts w:hint="eastAsia" w:ascii="仿宋" w:hAnsi="仿宋" w:eastAsia="仿宋" w:cs="仿宋"/>
          <w:b/>
          <w:bCs/>
          <w:color w:val="auto"/>
          <w:sz w:val="24"/>
          <w:szCs w:val="24"/>
          <w:highlight w:val="none"/>
        </w:rPr>
      </w:pPr>
      <w:bookmarkStart w:id="11" w:name="_Toc246094908"/>
      <w:bookmarkStart w:id="12" w:name="_Toc246095452"/>
      <w:bookmarkStart w:id="13" w:name="_Toc246095514"/>
      <w:r>
        <w:rPr>
          <w:rFonts w:hint="eastAsia" w:ascii="仿宋" w:hAnsi="仿宋" w:eastAsia="仿宋" w:cs="仿宋"/>
          <w:b/>
          <w:bCs/>
          <w:color w:val="auto"/>
          <w:sz w:val="24"/>
          <w:szCs w:val="24"/>
          <w:highlight w:val="none"/>
          <w:lang w:eastAsia="zh-CN"/>
        </w:rPr>
        <w:t>梧州市人民医院新冠肺炎应急医院病区建设项目总承包</w:t>
      </w:r>
      <w:r>
        <w:rPr>
          <w:rFonts w:hint="eastAsia" w:ascii="仿宋" w:hAnsi="仿宋" w:eastAsia="仿宋" w:cs="仿宋"/>
          <w:b/>
          <w:bCs/>
          <w:color w:val="auto"/>
          <w:sz w:val="24"/>
          <w:szCs w:val="24"/>
          <w:highlight w:val="none"/>
        </w:rPr>
        <w:t>（WZZC2020-C2-03524-ZHZB）</w:t>
      </w:r>
    </w:p>
    <w:p>
      <w:pPr>
        <w:pStyle w:val="44"/>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竞争性磋商公告</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8" w:type="dxa"/>
            <w:noWrap w:val="0"/>
            <w:vAlign w:val="top"/>
          </w:tcPr>
          <w:p>
            <w:pPr>
              <w:pStyle w:val="44"/>
              <w:keepNext w:val="0"/>
              <w:keepLines w:val="0"/>
              <w:pageBreakBefore w:val="0"/>
              <w:widowControl/>
              <w:suppressLineNumbers w:val="0"/>
              <w:kinsoku/>
              <w:wordWrap/>
              <w:overflowPunct/>
              <w:topLinePunct w:val="0"/>
              <w:autoSpaceDE w:val="0"/>
              <w:autoSpaceDN w:val="0"/>
              <w:bidi w:val="0"/>
              <w:adjustRightInd/>
              <w:snapToGrid/>
              <w:spacing w:before="0" w:after="0" w:line="240" w:lineRule="auto"/>
              <w:ind w:left="0" w:leftChars="0" w:right="0" w:rightChars="0" w:firstLine="241" w:firstLineChars="100"/>
              <w:jc w:val="left"/>
              <w:textAlignment w:val="auto"/>
              <w:outlineLvl w:val="9"/>
              <w:rPr>
                <w:rFonts w:hint="eastAsia" w:ascii="仿宋" w:hAnsi="仿宋" w:eastAsia="仿宋" w:cs="仿宋"/>
                <w:b/>
                <w:bCs/>
                <w:color w:val="auto"/>
                <w:sz w:val="24"/>
                <w:szCs w:val="24"/>
                <w:highlight w:val="none"/>
                <w:vertAlign w:val="baseline"/>
              </w:rPr>
            </w:pPr>
            <w:r>
              <w:rPr>
                <w:rFonts w:hint="eastAsia" w:ascii="仿宋" w:hAnsi="仿宋" w:eastAsia="仿宋" w:cs="仿宋"/>
                <w:b/>
                <w:bCs/>
                <w:color w:val="auto"/>
                <w:sz w:val="24"/>
                <w:szCs w:val="24"/>
                <w:highlight w:val="none"/>
                <w:vertAlign w:val="baseline"/>
              </w:rPr>
              <w:t>项目概况</w:t>
            </w:r>
          </w:p>
          <w:p>
            <w:pPr>
              <w:pStyle w:val="44"/>
              <w:keepNext w:val="0"/>
              <w:keepLines w:val="0"/>
              <w:pageBreakBefore w:val="0"/>
              <w:widowControl/>
              <w:suppressLineNumbers w:val="0"/>
              <w:kinsoku/>
              <w:wordWrap/>
              <w:overflowPunct/>
              <w:topLinePunct w:val="0"/>
              <w:autoSpaceDE w:val="0"/>
              <w:autoSpaceDN w:val="0"/>
              <w:bidi w:val="0"/>
              <w:adjustRightInd/>
              <w:snapToGrid/>
              <w:spacing w:before="0" w:after="0" w:line="240" w:lineRule="auto"/>
              <w:ind w:left="0" w:leftChars="0" w:right="0" w:rightChars="0" w:firstLine="240" w:firstLineChars="100"/>
              <w:jc w:val="left"/>
              <w:textAlignment w:val="auto"/>
              <w:outlineLvl w:val="9"/>
              <w:rPr>
                <w:rFonts w:hint="eastAsia" w:ascii="仿宋" w:hAnsi="仿宋" w:eastAsia="仿宋" w:cs="仿宋"/>
                <w:b w:val="0"/>
                <w:color w:val="auto"/>
                <w:sz w:val="24"/>
                <w:szCs w:val="24"/>
                <w:highlight w:val="none"/>
                <w:vertAlign w:val="baseline"/>
              </w:rPr>
            </w:pPr>
            <w:r>
              <w:rPr>
                <w:rFonts w:hint="eastAsia" w:ascii="仿宋" w:hAnsi="仿宋" w:eastAsia="仿宋" w:cs="仿宋"/>
                <w:b w:val="0"/>
                <w:color w:val="auto"/>
                <w:sz w:val="24"/>
                <w:szCs w:val="24"/>
                <w:highlight w:val="none"/>
                <w:u w:val="single"/>
                <w:vertAlign w:val="baseline"/>
                <w:lang w:eastAsia="zh-CN"/>
              </w:rPr>
              <w:t>梧州市人民医院新冠肺炎应急医院病区建设项目总承包</w:t>
            </w:r>
            <w:r>
              <w:rPr>
                <w:rFonts w:hint="eastAsia" w:ascii="仿宋" w:hAnsi="仿宋" w:eastAsia="仿宋" w:cs="仿宋"/>
                <w:b w:val="0"/>
                <w:color w:val="auto"/>
                <w:sz w:val="24"/>
                <w:szCs w:val="24"/>
                <w:highlight w:val="none"/>
                <w:vertAlign w:val="baseline"/>
              </w:rPr>
              <w:t>的潜在供应商应在“政采云”平台系统获取采购文件，并于2020年</w:t>
            </w:r>
            <w:r>
              <w:rPr>
                <w:rFonts w:hint="eastAsia" w:ascii="仿宋" w:hAnsi="仿宋" w:eastAsia="仿宋" w:cs="仿宋"/>
                <w:b w:val="0"/>
                <w:color w:val="auto"/>
                <w:sz w:val="24"/>
                <w:szCs w:val="24"/>
                <w:highlight w:val="none"/>
                <w:vertAlign w:val="baseline"/>
                <w:lang w:val="en-US" w:eastAsia="zh-CN"/>
              </w:rPr>
              <w:t>10</w:t>
            </w:r>
            <w:r>
              <w:rPr>
                <w:rFonts w:hint="eastAsia" w:ascii="仿宋" w:hAnsi="仿宋" w:eastAsia="仿宋" w:cs="仿宋"/>
                <w:b w:val="0"/>
                <w:color w:val="auto"/>
                <w:sz w:val="24"/>
                <w:szCs w:val="24"/>
                <w:highlight w:val="none"/>
                <w:vertAlign w:val="baseline"/>
              </w:rPr>
              <w:t>月</w:t>
            </w:r>
            <w:r>
              <w:rPr>
                <w:rFonts w:hint="eastAsia" w:ascii="仿宋" w:hAnsi="仿宋" w:eastAsia="仿宋" w:cs="仿宋"/>
                <w:b w:val="0"/>
                <w:color w:val="auto"/>
                <w:sz w:val="24"/>
                <w:szCs w:val="24"/>
                <w:highlight w:val="none"/>
                <w:vertAlign w:val="baseline"/>
                <w:lang w:val="en-US" w:eastAsia="zh-CN"/>
              </w:rPr>
              <w:t>14</w:t>
            </w:r>
            <w:r>
              <w:rPr>
                <w:rFonts w:hint="eastAsia" w:ascii="仿宋" w:hAnsi="仿宋" w:eastAsia="仿宋" w:cs="仿宋"/>
                <w:b w:val="0"/>
                <w:color w:val="auto"/>
                <w:sz w:val="24"/>
                <w:szCs w:val="24"/>
                <w:highlight w:val="none"/>
                <w:vertAlign w:val="baseline"/>
              </w:rPr>
              <w:t>日</w:t>
            </w:r>
            <w:r>
              <w:rPr>
                <w:rFonts w:hint="eastAsia" w:ascii="仿宋" w:hAnsi="仿宋" w:eastAsia="仿宋" w:cs="仿宋"/>
                <w:b w:val="0"/>
                <w:color w:val="auto"/>
                <w:sz w:val="24"/>
                <w:szCs w:val="24"/>
                <w:highlight w:val="none"/>
                <w:vertAlign w:val="baseline"/>
                <w:lang w:val="en-US" w:eastAsia="zh-CN"/>
              </w:rPr>
              <w:t>09</w:t>
            </w:r>
            <w:r>
              <w:rPr>
                <w:rFonts w:hint="eastAsia" w:ascii="仿宋" w:hAnsi="仿宋" w:eastAsia="仿宋" w:cs="仿宋"/>
                <w:b w:val="0"/>
                <w:color w:val="auto"/>
                <w:sz w:val="24"/>
                <w:szCs w:val="24"/>
                <w:highlight w:val="none"/>
                <w:vertAlign w:val="baseline"/>
                <w:lang w:eastAsia="zh-CN"/>
              </w:rPr>
              <w:t>时</w:t>
            </w:r>
            <w:r>
              <w:rPr>
                <w:rFonts w:hint="eastAsia" w:ascii="仿宋" w:hAnsi="仿宋" w:eastAsia="仿宋" w:cs="仿宋"/>
                <w:b w:val="0"/>
                <w:color w:val="auto"/>
                <w:sz w:val="24"/>
                <w:szCs w:val="24"/>
                <w:highlight w:val="none"/>
                <w:vertAlign w:val="baseline"/>
                <w:lang w:val="en-US" w:eastAsia="zh-CN"/>
              </w:rPr>
              <w:t>30</w:t>
            </w:r>
            <w:r>
              <w:rPr>
                <w:rFonts w:hint="eastAsia" w:ascii="仿宋" w:hAnsi="仿宋" w:eastAsia="仿宋" w:cs="仿宋"/>
                <w:b w:val="0"/>
                <w:color w:val="auto"/>
                <w:sz w:val="24"/>
                <w:szCs w:val="24"/>
                <w:highlight w:val="none"/>
                <w:vertAlign w:val="baseline"/>
              </w:rPr>
              <w:t>分（北京时间）前提交响应文件。</w:t>
            </w:r>
          </w:p>
        </w:tc>
      </w:tr>
    </w:tbl>
    <w:p>
      <w:pPr>
        <w:pStyle w:val="4"/>
        <w:keepNext w:val="0"/>
        <w:keepLines w:val="0"/>
        <w:pageBreakBefore w:val="0"/>
        <w:widowControl/>
        <w:suppressLineNumbers w:val="0"/>
        <w:kinsoku/>
        <w:wordWrap/>
        <w:overflowPunct/>
        <w:topLinePunct w:val="0"/>
        <w:autoSpaceDE w:val="0"/>
        <w:autoSpaceDN w:val="0"/>
        <w:bidi w:val="0"/>
        <w:spacing w:beforeAutospacing="0" w:afterAutospacing="0" w:line="240" w:lineRule="auto"/>
        <w:ind w:left="0" w:leftChars="0" w:right="0" w:rightChars="0"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w:t>
      </w:r>
      <w:r>
        <w:rPr>
          <w:rStyle w:val="51"/>
          <w:rFonts w:hint="eastAsia" w:ascii="仿宋" w:hAnsi="仿宋" w:eastAsia="仿宋" w:cs="仿宋"/>
          <w:b/>
          <w:bCs/>
          <w:color w:val="auto"/>
          <w:sz w:val="24"/>
          <w:szCs w:val="24"/>
          <w:highlight w:val="none"/>
        </w:rPr>
        <w:t>项目基本情况</w:t>
      </w:r>
    </w:p>
    <w:p>
      <w:pPr>
        <w:pStyle w:val="44"/>
        <w:keepNext w:val="0"/>
        <w:keepLines w:val="0"/>
        <w:pageBreakBefore w:val="0"/>
        <w:widowControl/>
        <w:suppressLineNumbers w:val="0"/>
        <w:kinsoku/>
        <w:wordWrap/>
        <w:overflowPunct/>
        <w:topLinePunct w:val="0"/>
        <w:autoSpaceDE w:val="0"/>
        <w:autoSpaceDN w:val="0"/>
        <w:bidi w:val="0"/>
        <w:spacing w:before="0" w:after="0" w:line="240" w:lineRule="auto"/>
        <w:ind w:left="0" w:leftChars="0" w:right="0" w:rightChars="0" w:firstLine="480" w:firstLineChars="200"/>
        <w:jc w:val="left"/>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项目编号：WZZC2020-C2-03524-ZHZB</w:t>
      </w:r>
    </w:p>
    <w:p>
      <w:pPr>
        <w:pStyle w:val="44"/>
        <w:keepNext w:val="0"/>
        <w:keepLines w:val="0"/>
        <w:pageBreakBefore w:val="0"/>
        <w:widowControl/>
        <w:suppressLineNumbers w:val="0"/>
        <w:kinsoku/>
        <w:wordWrap/>
        <w:overflowPunct/>
        <w:topLinePunct w:val="0"/>
        <w:autoSpaceDE w:val="0"/>
        <w:autoSpaceDN w:val="0"/>
        <w:bidi w:val="0"/>
        <w:spacing w:before="0" w:after="0" w:line="240" w:lineRule="auto"/>
        <w:ind w:left="0" w:leftChars="0" w:right="0" w:rightChars="0" w:firstLine="480" w:firstLineChars="200"/>
        <w:jc w:val="left"/>
        <w:textAlignment w:val="auto"/>
        <w:rPr>
          <w:rFonts w:hint="eastAsia" w:ascii="仿宋" w:hAnsi="仿宋" w:eastAsia="仿宋" w:cs="仿宋"/>
          <w:b w:val="0"/>
          <w:color w:val="auto"/>
          <w:sz w:val="24"/>
          <w:szCs w:val="24"/>
          <w:highlight w:val="none"/>
          <w:lang w:eastAsia="zh-CN"/>
        </w:rPr>
      </w:pPr>
      <w:r>
        <w:rPr>
          <w:rFonts w:hint="eastAsia" w:ascii="仿宋" w:hAnsi="仿宋" w:eastAsia="仿宋" w:cs="仿宋"/>
          <w:b w:val="0"/>
          <w:color w:val="auto"/>
          <w:sz w:val="24"/>
          <w:szCs w:val="24"/>
          <w:highlight w:val="none"/>
        </w:rPr>
        <w:t>项目名称：</w:t>
      </w:r>
      <w:r>
        <w:rPr>
          <w:rFonts w:hint="eastAsia" w:ascii="仿宋" w:hAnsi="仿宋" w:eastAsia="仿宋" w:cs="仿宋"/>
          <w:b w:val="0"/>
          <w:color w:val="auto"/>
          <w:sz w:val="24"/>
          <w:szCs w:val="24"/>
          <w:highlight w:val="none"/>
          <w:lang w:eastAsia="zh-CN"/>
        </w:rPr>
        <w:t>梧州市人民医院新冠肺炎应急医院病区建设项目总承包</w:t>
      </w:r>
    </w:p>
    <w:p>
      <w:pPr>
        <w:pStyle w:val="44"/>
        <w:keepNext w:val="0"/>
        <w:keepLines w:val="0"/>
        <w:pageBreakBefore w:val="0"/>
        <w:widowControl/>
        <w:suppressLineNumbers w:val="0"/>
        <w:kinsoku/>
        <w:wordWrap/>
        <w:overflowPunct/>
        <w:topLinePunct w:val="0"/>
        <w:autoSpaceDE w:val="0"/>
        <w:autoSpaceDN w:val="0"/>
        <w:bidi w:val="0"/>
        <w:spacing w:before="0" w:after="0" w:line="240" w:lineRule="auto"/>
        <w:ind w:left="0" w:leftChars="0" w:right="0" w:rightChars="0" w:firstLine="480" w:firstLineChars="200"/>
        <w:jc w:val="left"/>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采购方式：竞争性磋商</w:t>
      </w:r>
    </w:p>
    <w:p>
      <w:pPr>
        <w:pStyle w:val="44"/>
        <w:keepNext w:val="0"/>
        <w:keepLines w:val="0"/>
        <w:pageBreakBefore w:val="0"/>
        <w:widowControl/>
        <w:suppressLineNumbers w:val="0"/>
        <w:kinsoku/>
        <w:wordWrap/>
        <w:overflowPunct/>
        <w:topLinePunct w:val="0"/>
        <w:autoSpaceDE w:val="0"/>
        <w:autoSpaceDN w:val="0"/>
        <w:bidi w:val="0"/>
        <w:spacing w:before="0" w:after="0" w:line="240" w:lineRule="auto"/>
        <w:ind w:left="0" w:leftChars="0" w:right="0" w:rightChars="0" w:firstLine="480" w:firstLineChars="200"/>
        <w:jc w:val="left"/>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预算金额：人民币</w:t>
      </w:r>
      <w:r>
        <w:rPr>
          <w:rFonts w:hint="eastAsia" w:ascii="仿宋" w:hAnsi="仿宋" w:eastAsia="仿宋" w:cs="仿宋"/>
          <w:b w:val="0"/>
          <w:color w:val="auto"/>
          <w:sz w:val="24"/>
          <w:szCs w:val="24"/>
          <w:highlight w:val="none"/>
          <w:lang w:eastAsia="zh-CN"/>
        </w:rPr>
        <w:t>贰佰玖拾万元整</w:t>
      </w:r>
      <w:r>
        <w:rPr>
          <w:rFonts w:hint="eastAsia" w:ascii="仿宋" w:hAnsi="仿宋" w:eastAsia="仿宋" w:cs="仿宋"/>
          <w:b w:val="0"/>
          <w:color w:val="auto"/>
          <w:sz w:val="24"/>
          <w:szCs w:val="24"/>
          <w:highlight w:val="none"/>
        </w:rPr>
        <w:t>（¥</w:t>
      </w:r>
      <w:r>
        <w:rPr>
          <w:rFonts w:hint="eastAsia" w:ascii="仿宋" w:hAnsi="仿宋" w:eastAsia="仿宋" w:cs="仿宋"/>
          <w:b w:val="0"/>
          <w:color w:val="auto"/>
          <w:sz w:val="24"/>
          <w:szCs w:val="24"/>
          <w:highlight w:val="none"/>
          <w:lang w:val="en-US" w:eastAsia="zh-CN"/>
        </w:rPr>
        <w:t>2,900,000</w:t>
      </w:r>
      <w:r>
        <w:rPr>
          <w:rFonts w:hint="eastAsia" w:ascii="仿宋" w:hAnsi="仿宋" w:eastAsia="仿宋" w:cs="仿宋"/>
          <w:b w:val="0"/>
          <w:color w:val="auto"/>
          <w:sz w:val="24"/>
          <w:szCs w:val="24"/>
          <w:highlight w:val="none"/>
        </w:rPr>
        <w:t>.00</w:t>
      </w:r>
      <w:r>
        <w:rPr>
          <w:rFonts w:hint="eastAsia" w:ascii="仿宋" w:hAnsi="仿宋" w:eastAsia="仿宋" w:cs="仿宋"/>
          <w:b w:val="0"/>
          <w:color w:val="auto"/>
          <w:sz w:val="24"/>
          <w:szCs w:val="24"/>
          <w:highlight w:val="none"/>
          <w:lang w:eastAsia="zh-CN"/>
        </w:rPr>
        <w:t>元</w:t>
      </w:r>
      <w:r>
        <w:rPr>
          <w:rFonts w:hint="eastAsia" w:ascii="仿宋" w:hAnsi="仿宋" w:eastAsia="仿宋" w:cs="仿宋"/>
          <w:b w:val="0"/>
          <w:color w:val="auto"/>
          <w:sz w:val="24"/>
          <w:szCs w:val="24"/>
          <w:highlight w:val="none"/>
        </w:rPr>
        <w:t>）。</w:t>
      </w:r>
    </w:p>
    <w:p>
      <w:pPr>
        <w:pStyle w:val="44"/>
        <w:keepNext w:val="0"/>
        <w:keepLines w:val="0"/>
        <w:pageBreakBefore w:val="0"/>
        <w:widowControl/>
        <w:suppressLineNumbers w:val="0"/>
        <w:kinsoku/>
        <w:wordWrap/>
        <w:overflowPunct/>
        <w:topLinePunct w:val="0"/>
        <w:autoSpaceDE w:val="0"/>
        <w:autoSpaceDN w:val="0"/>
        <w:bidi w:val="0"/>
        <w:spacing w:before="0" w:after="0" w:line="240" w:lineRule="auto"/>
        <w:ind w:left="0" w:leftChars="0" w:right="0" w:rightChars="0"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color w:val="auto"/>
          <w:sz w:val="24"/>
          <w:szCs w:val="24"/>
          <w:highlight w:val="none"/>
        </w:rPr>
        <w:t>采购需求：建设内容为</w:t>
      </w:r>
      <w:r>
        <w:rPr>
          <w:rFonts w:hint="eastAsia" w:ascii="仿宋" w:hAnsi="仿宋" w:eastAsia="仿宋" w:cs="仿宋"/>
          <w:b w:val="0"/>
          <w:color w:val="auto"/>
          <w:sz w:val="24"/>
          <w:szCs w:val="24"/>
          <w:highlight w:val="none"/>
          <w:lang w:eastAsia="zh-CN"/>
        </w:rPr>
        <w:t>梧州市人民医院新冠肺炎应急医院病区建设项目总承包</w:t>
      </w:r>
      <w:r>
        <w:rPr>
          <w:rFonts w:hint="eastAsia" w:ascii="仿宋" w:hAnsi="仿宋" w:eastAsia="仿宋" w:cs="仿宋"/>
          <w:b w:val="0"/>
          <w:color w:val="auto"/>
          <w:sz w:val="24"/>
          <w:szCs w:val="24"/>
          <w:highlight w:val="none"/>
        </w:rPr>
        <w:t>，按新标准进行后备病区改造，进行楼地面、墙面、布局、水电、空调、送排风系统、天花、消防等施工内容改造。</w:t>
      </w:r>
      <w:r>
        <w:rPr>
          <w:rFonts w:hint="eastAsia" w:ascii="仿宋" w:hAnsi="仿宋" w:eastAsia="仿宋" w:cs="仿宋"/>
          <w:b w:val="0"/>
          <w:bCs/>
          <w:color w:val="auto"/>
          <w:sz w:val="24"/>
          <w:szCs w:val="24"/>
          <w:highlight w:val="none"/>
        </w:rPr>
        <w:t>如需进一步了解详细内容，详见竞争性磋商文件</w:t>
      </w:r>
      <w:r>
        <w:rPr>
          <w:rFonts w:hint="eastAsia" w:ascii="仿宋" w:hAnsi="仿宋" w:eastAsia="仿宋" w:cs="仿宋"/>
          <w:b w:val="0"/>
          <w:color w:val="auto"/>
          <w:sz w:val="24"/>
          <w:szCs w:val="24"/>
          <w:highlight w:val="none"/>
        </w:rPr>
        <w:t>。</w:t>
      </w:r>
    </w:p>
    <w:p>
      <w:pPr>
        <w:pStyle w:val="44"/>
        <w:keepNext w:val="0"/>
        <w:keepLines w:val="0"/>
        <w:pageBreakBefore w:val="0"/>
        <w:widowControl/>
        <w:suppressLineNumbers w:val="0"/>
        <w:kinsoku/>
        <w:wordWrap/>
        <w:overflowPunct/>
        <w:topLinePunct w:val="0"/>
        <w:autoSpaceDE w:val="0"/>
        <w:autoSpaceDN w:val="0"/>
        <w:bidi w:val="0"/>
        <w:spacing w:before="0" w:after="0" w:line="240" w:lineRule="auto"/>
        <w:ind w:left="0" w:leftChars="0" w:right="0" w:rightChars="0" w:firstLine="480" w:firstLineChars="200"/>
        <w:jc w:val="left"/>
        <w:textAlignment w:val="auto"/>
        <w:rPr>
          <w:rFonts w:hint="default"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总承包计划工期：</w:t>
      </w:r>
      <w:r>
        <w:rPr>
          <w:rFonts w:hint="eastAsia" w:ascii="仿宋" w:hAnsi="仿宋" w:eastAsia="仿宋" w:cs="仿宋"/>
          <w:b w:val="0"/>
          <w:color w:val="auto"/>
          <w:sz w:val="24"/>
          <w:szCs w:val="24"/>
          <w:highlight w:val="none"/>
          <w:lang w:eastAsia="zh-CN"/>
        </w:rPr>
        <w:t>总工期</w:t>
      </w:r>
      <w:r>
        <w:rPr>
          <w:rFonts w:hint="eastAsia" w:ascii="仿宋" w:hAnsi="仿宋" w:eastAsia="仿宋" w:cs="仿宋"/>
          <w:b w:val="0"/>
          <w:color w:val="auto"/>
          <w:sz w:val="24"/>
          <w:szCs w:val="24"/>
          <w:highlight w:val="none"/>
          <w:lang w:val="en-US" w:eastAsia="zh-CN"/>
        </w:rPr>
        <w:t>9</w:t>
      </w:r>
      <w:r>
        <w:rPr>
          <w:rFonts w:hint="eastAsia" w:ascii="仿宋" w:hAnsi="仿宋" w:eastAsia="仿宋" w:cs="仿宋"/>
          <w:b w:val="0"/>
          <w:color w:val="auto"/>
          <w:sz w:val="24"/>
          <w:szCs w:val="24"/>
          <w:highlight w:val="none"/>
        </w:rPr>
        <w:t>0日历天</w:t>
      </w:r>
      <w:r>
        <w:rPr>
          <w:rFonts w:hint="eastAsia" w:ascii="仿宋" w:hAnsi="仿宋" w:eastAsia="仿宋" w:cs="仿宋"/>
          <w:b w:val="0"/>
          <w:color w:val="auto"/>
          <w:sz w:val="24"/>
          <w:szCs w:val="24"/>
          <w:highlight w:val="none"/>
          <w:lang w:eastAsia="zh-CN"/>
        </w:rPr>
        <w:t>，①设计工期</w:t>
      </w:r>
      <w:r>
        <w:rPr>
          <w:rFonts w:hint="eastAsia" w:ascii="仿宋" w:hAnsi="仿宋" w:eastAsia="仿宋" w:cs="仿宋"/>
          <w:b w:val="0"/>
          <w:color w:val="auto"/>
          <w:sz w:val="24"/>
          <w:szCs w:val="24"/>
          <w:highlight w:val="none"/>
          <w:lang w:val="en-US" w:eastAsia="zh-CN"/>
        </w:rPr>
        <w:t>10日历天（其中设计工期（含施工图预算编制）10日历天）；②工程施工工期80日历天。</w:t>
      </w:r>
    </w:p>
    <w:p>
      <w:pPr>
        <w:pStyle w:val="44"/>
        <w:keepNext w:val="0"/>
        <w:keepLines w:val="0"/>
        <w:pageBreakBefore w:val="0"/>
        <w:widowControl/>
        <w:suppressLineNumbers w:val="0"/>
        <w:kinsoku/>
        <w:wordWrap/>
        <w:overflowPunct/>
        <w:topLinePunct w:val="0"/>
        <w:autoSpaceDE w:val="0"/>
        <w:autoSpaceDN w:val="0"/>
        <w:bidi w:val="0"/>
        <w:spacing w:before="0" w:after="0" w:line="240" w:lineRule="auto"/>
        <w:ind w:left="0" w:leftChars="0" w:right="0" w:rightChars="0" w:firstLine="480" w:firstLineChars="200"/>
        <w:jc w:val="left"/>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设计要求的质量标准：符合规范、有关政策、有关法规和本项目设计要点的要求。</w:t>
      </w:r>
    </w:p>
    <w:p>
      <w:pPr>
        <w:pStyle w:val="44"/>
        <w:keepNext w:val="0"/>
        <w:keepLines w:val="0"/>
        <w:pageBreakBefore w:val="0"/>
        <w:widowControl/>
        <w:suppressLineNumbers w:val="0"/>
        <w:kinsoku/>
        <w:wordWrap/>
        <w:overflowPunct/>
        <w:topLinePunct w:val="0"/>
        <w:autoSpaceDE w:val="0"/>
        <w:autoSpaceDN w:val="0"/>
        <w:bidi w:val="0"/>
        <w:spacing w:before="0" w:after="0" w:line="240" w:lineRule="auto"/>
        <w:ind w:left="0" w:leftChars="0" w:right="0" w:rightChars="0" w:firstLine="480" w:firstLineChars="200"/>
        <w:jc w:val="left"/>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施工要求的质量标准：合格。</w:t>
      </w:r>
    </w:p>
    <w:p>
      <w:pPr>
        <w:pStyle w:val="44"/>
        <w:keepNext w:val="0"/>
        <w:keepLines w:val="0"/>
        <w:pageBreakBefore w:val="0"/>
        <w:widowControl/>
        <w:suppressLineNumbers w:val="0"/>
        <w:kinsoku/>
        <w:wordWrap/>
        <w:overflowPunct/>
        <w:topLinePunct w:val="0"/>
        <w:autoSpaceDE w:val="0"/>
        <w:autoSpaceDN w:val="0"/>
        <w:bidi w:val="0"/>
        <w:spacing w:before="0" w:after="0" w:line="240" w:lineRule="auto"/>
        <w:ind w:left="0" w:leftChars="0" w:right="0" w:rightChars="0" w:firstLine="480" w:firstLineChars="200"/>
        <w:jc w:val="left"/>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本项目接受联合体。</w:t>
      </w:r>
    </w:p>
    <w:p>
      <w:pPr>
        <w:pStyle w:val="4"/>
        <w:keepNext w:val="0"/>
        <w:keepLines w:val="0"/>
        <w:pageBreakBefore w:val="0"/>
        <w:widowControl/>
        <w:suppressLineNumbers w:val="0"/>
        <w:kinsoku/>
        <w:wordWrap/>
        <w:overflowPunct/>
        <w:topLinePunct w:val="0"/>
        <w:autoSpaceDE w:val="0"/>
        <w:autoSpaceDN w:val="0"/>
        <w:bidi w:val="0"/>
        <w:spacing w:beforeAutospacing="0" w:afterAutospacing="0" w:line="240" w:lineRule="auto"/>
        <w:ind w:left="0" w:leftChars="0" w:right="0" w:rightChars="0" w:firstLine="482" w:firstLineChars="200"/>
        <w:jc w:val="left"/>
        <w:textAlignment w:val="auto"/>
        <w:rPr>
          <w:rFonts w:hint="eastAsia" w:ascii="仿宋" w:hAnsi="仿宋" w:eastAsia="仿宋" w:cs="仿宋"/>
          <w:b/>
          <w:bCs/>
          <w:color w:val="auto"/>
          <w:sz w:val="24"/>
          <w:szCs w:val="24"/>
          <w:highlight w:val="none"/>
        </w:rPr>
      </w:pPr>
      <w:r>
        <w:rPr>
          <w:rStyle w:val="51"/>
          <w:rFonts w:hint="eastAsia" w:ascii="仿宋" w:hAnsi="仿宋" w:eastAsia="仿宋" w:cs="仿宋"/>
          <w:b/>
          <w:bCs/>
          <w:color w:val="auto"/>
          <w:sz w:val="24"/>
          <w:szCs w:val="24"/>
          <w:highlight w:val="none"/>
        </w:rPr>
        <w:t>二、申请人的资格要求：</w:t>
      </w:r>
    </w:p>
    <w:p>
      <w:pPr>
        <w:pStyle w:val="44"/>
        <w:keepNext w:val="0"/>
        <w:keepLines w:val="0"/>
        <w:pageBreakBefore w:val="0"/>
        <w:widowControl/>
        <w:suppressLineNumbers w:val="0"/>
        <w:kinsoku/>
        <w:wordWrap/>
        <w:overflowPunct/>
        <w:topLinePunct w:val="0"/>
        <w:autoSpaceDE w:val="0"/>
        <w:autoSpaceDN w:val="0"/>
        <w:bidi w:val="0"/>
        <w:spacing w:before="0" w:after="0" w:line="240" w:lineRule="auto"/>
        <w:ind w:left="0" w:leftChars="0" w:right="0" w:rightChars="0" w:firstLine="480" w:firstLineChars="200"/>
        <w:jc w:val="left"/>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1、满足《中华人民共和国政府采购法》第二十二条规定。</w:t>
      </w:r>
    </w:p>
    <w:p>
      <w:pPr>
        <w:pStyle w:val="44"/>
        <w:keepNext w:val="0"/>
        <w:keepLines w:val="0"/>
        <w:pageBreakBefore w:val="0"/>
        <w:widowControl/>
        <w:suppressLineNumbers w:val="0"/>
        <w:kinsoku/>
        <w:wordWrap/>
        <w:overflowPunct/>
        <w:topLinePunct w:val="0"/>
        <w:autoSpaceDE w:val="0"/>
        <w:autoSpaceDN w:val="0"/>
        <w:bidi w:val="0"/>
        <w:spacing w:before="0" w:after="0" w:line="240" w:lineRule="auto"/>
        <w:ind w:left="0" w:leftChars="0" w:right="0" w:rightChars="0" w:firstLine="480" w:firstLineChars="200"/>
        <w:jc w:val="left"/>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2、落实政府采购政策需满足的资格要求：无。</w:t>
      </w:r>
    </w:p>
    <w:p>
      <w:pPr>
        <w:pStyle w:val="44"/>
        <w:keepNext w:val="0"/>
        <w:keepLines w:val="0"/>
        <w:pageBreakBefore w:val="0"/>
        <w:widowControl/>
        <w:suppressLineNumbers w:val="0"/>
        <w:kinsoku/>
        <w:wordWrap/>
        <w:overflowPunct/>
        <w:topLinePunct w:val="0"/>
        <w:autoSpaceDE w:val="0"/>
        <w:autoSpaceDN w:val="0"/>
        <w:bidi w:val="0"/>
        <w:spacing w:before="0" w:after="0" w:line="240" w:lineRule="auto"/>
        <w:ind w:left="0" w:leftChars="0" w:right="0" w:rightChars="0" w:firstLine="480" w:firstLineChars="200"/>
        <w:jc w:val="left"/>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3、供应商的特定要求：</w:t>
      </w:r>
    </w:p>
    <w:p>
      <w:pPr>
        <w:pStyle w:val="44"/>
        <w:keepNext w:val="0"/>
        <w:keepLines w:val="0"/>
        <w:pageBreakBefore w:val="0"/>
        <w:widowControl/>
        <w:suppressLineNumbers w:val="0"/>
        <w:kinsoku/>
        <w:wordWrap/>
        <w:overflowPunct/>
        <w:topLinePunct w:val="0"/>
        <w:autoSpaceDE w:val="0"/>
        <w:autoSpaceDN w:val="0"/>
        <w:bidi w:val="0"/>
        <w:spacing w:before="0" w:after="0" w:line="240" w:lineRule="auto"/>
        <w:ind w:left="0" w:leftChars="0" w:right="0" w:rightChars="0" w:firstLine="480" w:firstLineChars="200"/>
        <w:jc w:val="left"/>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（1）资质条件：</w:t>
      </w:r>
    </w:p>
    <w:p>
      <w:pPr>
        <w:pStyle w:val="44"/>
        <w:keepNext w:val="0"/>
        <w:keepLines w:val="0"/>
        <w:pageBreakBefore w:val="0"/>
        <w:widowControl/>
        <w:suppressLineNumbers w:val="0"/>
        <w:kinsoku/>
        <w:wordWrap/>
        <w:overflowPunct/>
        <w:topLinePunct w:val="0"/>
        <w:autoSpaceDE w:val="0"/>
        <w:autoSpaceDN w:val="0"/>
        <w:bidi w:val="0"/>
        <w:spacing w:before="0" w:after="0" w:line="240" w:lineRule="auto"/>
        <w:ind w:left="0" w:leftChars="0" w:right="0" w:rightChars="0" w:firstLine="480" w:firstLineChars="200"/>
        <w:jc w:val="left"/>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设计资质要求：具备建筑行业（建筑工程）设计丙级及以上资质或工程设计综合资质；</w:t>
      </w:r>
    </w:p>
    <w:p>
      <w:pPr>
        <w:pStyle w:val="44"/>
        <w:keepNext w:val="0"/>
        <w:keepLines w:val="0"/>
        <w:pageBreakBefore w:val="0"/>
        <w:widowControl/>
        <w:suppressLineNumbers w:val="0"/>
        <w:kinsoku/>
        <w:wordWrap/>
        <w:overflowPunct/>
        <w:topLinePunct w:val="0"/>
        <w:autoSpaceDE w:val="0"/>
        <w:autoSpaceDN w:val="0"/>
        <w:bidi w:val="0"/>
        <w:spacing w:before="0" w:after="0" w:line="240" w:lineRule="auto"/>
        <w:ind w:left="0" w:leftChars="0" w:right="0" w:rightChars="0" w:firstLine="480" w:firstLineChars="200"/>
        <w:jc w:val="left"/>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施工资质要求：具备建筑工程施工总承包三级及以上资质，具备有效的安全生产许可证。</w:t>
      </w:r>
    </w:p>
    <w:p>
      <w:pPr>
        <w:pStyle w:val="44"/>
        <w:keepNext w:val="0"/>
        <w:keepLines w:val="0"/>
        <w:pageBreakBefore w:val="0"/>
        <w:widowControl/>
        <w:suppressLineNumbers w:val="0"/>
        <w:kinsoku/>
        <w:wordWrap/>
        <w:overflowPunct/>
        <w:topLinePunct w:val="0"/>
        <w:autoSpaceDE w:val="0"/>
        <w:autoSpaceDN w:val="0"/>
        <w:bidi w:val="0"/>
        <w:spacing w:before="0" w:after="0" w:line="240" w:lineRule="auto"/>
        <w:ind w:left="0" w:leftChars="0" w:right="0" w:rightChars="0" w:firstLine="480" w:firstLineChars="200"/>
        <w:jc w:val="left"/>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供应商要在人员、设备、资金等方面具备相应的履约能力。供应商（如为联合体竞标的要求其联合体中施工单位）已录入广西建筑业企业诚信信息库并处于有效状态。</w:t>
      </w:r>
    </w:p>
    <w:p>
      <w:pPr>
        <w:keepNext w:val="0"/>
        <w:keepLines w:val="0"/>
        <w:pageBreakBefore w:val="0"/>
        <w:kinsoku/>
        <w:wordWrap/>
        <w:overflowPunct/>
        <w:topLinePunct w:val="0"/>
        <w:autoSpaceDE w:val="0"/>
        <w:autoSpaceDN w:val="0"/>
        <w:bidi w:val="0"/>
        <w:spacing w:line="240" w:lineRule="auto"/>
        <w:ind w:left="0" w:leftChars="0" w:right="0" w:rightChars="0"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（2）拟投入人员要求：</w:t>
      </w:r>
    </w:p>
    <w:p>
      <w:pPr>
        <w:keepNext w:val="0"/>
        <w:keepLines w:val="0"/>
        <w:pageBreakBefore w:val="0"/>
        <w:kinsoku/>
        <w:wordWrap/>
        <w:overflowPunct/>
        <w:topLinePunct w:val="0"/>
        <w:autoSpaceDE w:val="0"/>
        <w:autoSpaceDN w:val="0"/>
        <w:bidi w:val="0"/>
        <w:spacing w:line="240" w:lineRule="auto"/>
        <w:ind w:left="0" w:leftChars="0" w:right="0" w:rightChars="0"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工程总承包项目经理（项目总负责人）：具有</w:t>
      </w:r>
      <w:r>
        <w:rPr>
          <w:rFonts w:hint="eastAsia" w:ascii="仿宋" w:hAnsi="仿宋" w:eastAsia="仿宋" w:cs="仿宋"/>
          <w:b w:val="0"/>
          <w:bCs/>
          <w:color w:val="auto"/>
          <w:sz w:val="24"/>
          <w:szCs w:val="24"/>
          <w:highlight w:val="none"/>
          <w:lang w:eastAsia="zh-CN"/>
        </w:rPr>
        <w:t>二</w:t>
      </w:r>
      <w:r>
        <w:rPr>
          <w:rFonts w:hint="eastAsia" w:ascii="仿宋" w:hAnsi="仿宋" w:eastAsia="仿宋" w:cs="仿宋"/>
          <w:b w:val="0"/>
          <w:bCs/>
          <w:color w:val="auto"/>
          <w:sz w:val="24"/>
          <w:szCs w:val="24"/>
          <w:highlight w:val="none"/>
        </w:rPr>
        <w:t>级注册</w:t>
      </w:r>
      <w:r>
        <w:rPr>
          <w:rFonts w:hint="eastAsia" w:ascii="仿宋" w:hAnsi="仿宋" w:eastAsia="仿宋" w:cs="仿宋"/>
          <w:b w:val="0"/>
          <w:bCs/>
          <w:color w:val="auto"/>
          <w:sz w:val="24"/>
          <w:szCs w:val="24"/>
          <w:highlight w:val="none"/>
          <w:lang w:eastAsia="zh-CN"/>
        </w:rPr>
        <w:t>建造</w:t>
      </w:r>
      <w:r>
        <w:rPr>
          <w:rFonts w:hint="eastAsia" w:ascii="仿宋" w:hAnsi="仿宋" w:eastAsia="仿宋" w:cs="仿宋"/>
          <w:b w:val="0"/>
          <w:bCs/>
          <w:color w:val="auto"/>
          <w:sz w:val="24"/>
          <w:szCs w:val="24"/>
          <w:highlight w:val="none"/>
        </w:rPr>
        <w:t>师执业资格或</w:t>
      </w:r>
      <w:r>
        <w:rPr>
          <w:rFonts w:hint="eastAsia" w:ascii="仿宋" w:hAnsi="仿宋" w:eastAsia="仿宋" w:cs="仿宋"/>
          <w:b w:val="0"/>
          <w:bCs/>
          <w:color w:val="auto"/>
          <w:sz w:val="24"/>
          <w:szCs w:val="24"/>
          <w:highlight w:val="none"/>
          <w:lang w:eastAsia="zh-CN"/>
        </w:rPr>
        <w:t>二</w:t>
      </w:r>
      <w:r>
        <w:rPr>
          <w:rFonts w:hint="eastAsia" w:ascii="仿宋" w:hAnsi="仿宋" w:eastAsia="仿宋" w:cs="仿宋"/>
          <w:b w:val="0"/>
          <w:bCs/>
          <w:color w:val="auto"/>
          <w:sz w:val="24"/>
          <w:szCs w:val="24"/>
          <w:highlight w:val="none"/>
        </w:rPr>
        <w:t>级注册结构工程师执业资格</w:t>
      </w:r>
      <w:r>
        <w:rPr>
          <w:rFonts w:hint="eastAsia" w:ascii="仿宋" w:hAnsi="仿宋" w:eastAsia="仿宋" w:cs="仿宋"/>
          <w:b w:val="0"/>
          <w:bCs/>
          <w:color w:val="auto"/>
          <w:sz w:val="24"/>
          <w:szCs w:val="24"/>
          <w:highlight w:val="none"/>
          <w:lang w:eastAsia="zh-CN"/>
        </w:rPr>
        <w:t>和中级或以上职称</w:t>
      </w:r>
      <w:r>
        <w:rPr>
          <w:rFonts w:hint="eastAsia" w:ascii="仿宋" w:hAnsi="仿宋" w:eastAsia="仿宋" w:cs="仿宋"/>
          <w:b w:val="0"/>
          <w:bCs/>
          <w:color w:val="auto"/>
          <w:sz w:val="24"/>
          <w:szCs w:val="24"/>
          <w:highlight w:val="none"/>
        </w:rPr>
        <w:t>。</w:t>
      </w:r>
    </w:p>
    <w:p>
      <w:pPr>
        <w:keepNext w:val="0"/>
        <w:keepLines w:val="0"/>
        <w:pageBreakBefore w:val="0"/>
        <w:kinsoku/>
        <w:wordWrap/>
        <w:overflowPunct/>
        <w:topLinePunct w:val="0"/>
        <w:autoSpaceDE w:val="0"/>
        <w:autoSpaceDN w:val="0"/>
        <w:bidi w:val="0"/>
        <w:spacing w:line="240" w:lineRule="auto"/>
        <w:ind w:left="0" w:leftChars="0" w:right="0" w:rightChars="0"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项目设计负责人：具备二级及以</w:t>
      </w:r>
      <w:r>
        <w:rPr>
          <w:rFonts w:hint="eastAsia" w:ascii="仿宋" w:hAnsi="仿宋" w:eastAsia="仿宋" w:cs="仿宋"/>
          <w:b w:val="0"/>
          <w:bCs/>
          <w:color w:val="auto"/>
          <w:sz w:val="24"/>
          <w:szCs w:val="24"/>
          <w:highlight w:val="none"/>
          <w:lang w:eastAsia="zh-CN"/>
        </w:rPr>
        <w:t>上</w:t>
      </w:r>
      <w:r>
        <w:rPr>
          <w:rFonts w:hint="eastAsia" w:ascii="仿宋" w:hAnsi="仿宋" w:eastAsia="仿宋" w:cs="仿宋"/>
          <w:b w:val="0"/>
          <w:bCs/>
          <w:color w:val="auto"/>
          <w:sz w:val="24"/>
          <w:szCs w:val="24"/>
          <w:highlight w:val="none"/>
        </w:rPr>
        <w:t>注册建筑师执业资格。</w:t>
      </w:r>
    </w:p>
    <w:p>
      <w:pPr>
        <w:keepNext w:val="0"/>
        <w:keepLines w:val="0"/>
        <w:pageBreakBefore w:val="0"/>
        <w:kinsoku/>
        <w:wordWrap/>
        <w:overflowPunct/>
        <w:topLinePunct w:val="0"/>
        <w:autoSpaceDE w:val="0"/>
        <w:autoSpaceDN w:val="0"/>
        <w:bidi w:val="0"/>
        <w:spacing w:line="240" w:lineRule="auto"/>
        <w:ind w:left="0" w:leftChars="0" w:right="0" w:rightChars="0"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施工项目负责人：具备建筑工程专业二级及以上注册建造师执业资格。已录入广西建筑业企业诚信信息库并处于有效状态</w:t>
      </w:r>
      <w:r>
        <w:rPr>
          <w:rFonts w:hint="eastAsia" w:ascii="仿宋" w:hAnsi="仿宋" w:eastAsia="仿宋" w:cs="仿宋"/>
          <w:b w:val="0"/>
          <w:bCs/>
          <w:color w:val="auto"/>
          <w:sz w:val="24"/>
          <w:szCs w:val="24"/>
          <w:highlight w:val="none"/>
          <w:lang w:eastAsia="zh-CN"/>
        </w:rPr>
        <w:t>，具备有效的</w:t>
      </w:r>
      <w:r>
        <w:rPr>
          <w:rFonts w:hint="eastAsia" w:ascii="仿宋" w:hAnsi="仿宋" w:eastAsia="仿宋" w:cs="仿宋"/>
          <w:b w:val="0"/>
          <w:bCs/>
          <w:color w:val="auto"/>
          <w:sz w:val="24"/>
          <w:szCs w:val="24"/>
          <w:highlight w:val="none"/>
        </w:rPr>
        <w:t>安全生产考核合格证书（B类）。本项目不接受有在建、已中标未开工或已列为其他项目中标候选人第一名的建造师作为项目经理（符合《广西壮族自治区建筑市场诚信卡管理暂行办法》第十六条第一款除外）。</w:t>
      </w:r>
    </w:p>
    <w:p>
      <w:pPr>
        <w:keepNext w:val="0"/>
        <w:keepLines w:val="0"/>
        <w:pageBreakBefore w:val="0"/>
        <w:kinsoku/>
        <w:wordWrap/>
        <w:overflowPunct/>
        <w:topLinePunct w:val="0"/>
        <w:autoSpaceDE w:val="0"/>
        <w:autoSpaceDN w:val="0"/>
        <w:bidi w:val="0"/>
        <w:spacing w:line="240" w:lineRule="auto"/>
        <w:ind w:left="0" w:leftChars="0" w:right="0" w:rightChars="0"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专职安全员：已录入广西建筑业企业诚信信息库并处于有效状态，具备有效的专职安全员安全生产考核合格证书（C类）。</w:t>
      </w:r>
    </w:p>
    <w:p>
      <w:pPr>
        <w:keepNext w:val="0"/>
        <w:keepLines w:val="0"/>
        <w:pageBreakBefore w:val="0"/>
        <w:kinsoku/>
        <w:wordWrap/>
        <w:overflowPunct/>
        <w:topLinePunct w:val="0"/>
        <w:autoSpaceDE w:val="0"/>
        <w:autoSpaceDN w:val="0"/>
        <w:bidi w:val="0"/>
        <w:spacing w:line="240" w:lineRule="auto"/>
        <w:ind w:left="0" w:leftChars="0" w:right="0" w:rightChars="0" w:firstLine="480" w:firstLineChars="200"/>
        <w:jc w:val="left"/>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4、信用要求：</w:t>
      </w:r>
    </w:p>
    <w:p>
      <w:pPr>
        <w:keepNext w:val="0"/>
        <w:keepLines w:val="0"/>
        <w:pageBreakBefore w:val="0"/>
        <w:kinsoku/>
        <w:wordWrap/>
        <w:overflowPunct/>
        <w:topLinePunct w:val="0"/>
        <w:autoSpaceDE w:val="0"/>
        <w:autoSpaceDN w:val="0"/>
        <w:bidi w:val="0"/>
        <w:spacing w:line="240" w:lineRule="auto"/>
        <w:ind w:left="0" w:leftChars="0" w:right="0" w:rightChars="0"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kinsoku/>
        <w:wordWrap/>
        <w:overflowPunct/>
        <w:topLinePunct w:val="0"/>
        <w:autoSpaceDE w:val="0"/>
        <w:autoSpaceDN w:val="0"/>
        <w:bidi w:val="0"/>
        <w:spacing w:line="240" w:lineRule="auto"/>
        <w:ind w:left="0" w:leftChars="0" w:right="0" w:rightChars="0" w:firstLine="480" w:firstLineChars="200"/>
        <w:jc w:val="left"/>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5、供应商回避要求：</w:t>
      </w:r>
    </w:p>
    <w:p>
      <w:pPr>
        <w:keepNext w:val="0"/>
        <w:keepLines w:val="0"/>
        <w:pageBreakBefore w:val="0"/>
        <w:kinsoku/>
        <w:wordWrap/>
        <w:overflowPunct/>
        <w:topLinePunct w:val="0"/>
        <w:autoSpaceDE w:val="0"/>
        <w:autoSpaceDN w:val="0"/>
        <w:bidi w:val="0"/>
        <w:spacing w:line="240" w:lineRule="auto"/>
        <w:ind w:left="0" w:leftChars="0" w:right="0" w:rightChars="0"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kinsoku/>
        <w:wordWrap/>
        <w:overflowPunct/>
        <w:topLinePunct w:val="0"/>
        <w:autoSpaceDE w:val="0"/>
        <w:autoSpaceDN w:val="0"/>
        <w:bidi w:val="0"/>
        <w:spacing w:line="240" w:lineRule="auto"/>
        <w:ind w:left="0" w:leftChars="0" w:right="0" w:rightChars="0"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6、</w:t>
      </w:r>
      <w:r>
        <w:rPr>
          <w:rFonts w:hint="eastAsia" w:ascii="仿宋" w:hAnsi="仿宋" w:eastAsia="仿宋" w:cs="仿宋"/>
          <w:b w:val="0"/>
          <w:bCs/>
          <w:color w:val="auto"/>
          <w:sz w:val="24"/>
          <w:szCs w:val="24"/>
          <w:highlight w:val="none"/>
        </w:rPr>
        <w:t>本项目接受联合体参与磋商。联合体竞标的，应满足下列要求：</w:t>
      </w:r>
    </w:p>
    <w:p>
      <w:pPr>
        <w:keepNext w:val="0"/>
        <w:keepLines w:val="0"/>
        <w:pageBreakBefore w:val="0"/>
        <w:kinsoku/>
        <w:wordWrap/>
        <w:overflowPunct/>
        <w:topLinePunct w:val="0"/>
        <w:autoSpaceDE w:val="0"/>
        <w:autoSpaceDN w:val="0"/>
        <w:bidi w:val="0"/>
        <w:spacing w:line="240" w:lineRule="auto"/>
        <w:ind w:left="0" w:leftChars="0" w:right="0" w:rightChars="0"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本项目接受联合体竞标。联合体成员可由设计和施工单位组成，联合体成员不能超过2家（含2家)。联合体各方均应符合“具有独立法人资格”、“具有独立承担民事责任的能力”的条件，施工单位必须具备有效的安全生产许可证。</w:t>
      </w:r>
    </w:p>
    <w:p>
      <w:pPr>
        <w:keepNext w:val="0"/>
        <w:keepLines w:val="0"/>
        <w:pageBreakBefore w:val="0"/>
        <w:kinsoku/>
        <w:wordWrap/>
        <w:overflowPunct/>
        <w:topLinePunct w:val="0"/>
        <w:autoSpaceDE w:val="0"/>
        <w:autoSpaceDN w:val="0"/>
        <w:bidi w:val="0"/>
        <w:spacing w:line="240" w:lineRule="auto"/>
        <w:ind w:left="0" w:leftChars="0" w:right="0" w:rightChars="0"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（2）联合体各方应当签订联合体协议书，并由牵头人代表联合体各方成员负责竞标和合同实施阶段的主办、协调工作，但联合体其他成员在竞标、签约与履行合同过程中，仍负有连带的和各自的法律责任。</w:t>
      </w:r>
    </w:p>
    <w:p>
      <w:pPr>
        <w:keepNext w:val="0"/>
        <w:keepLines w:val="0"/>
        <w:pageBreakBefore w:val="0"/>
        <w:kinsoku/>
        <w:wordWrap/>
        <w:overflowPunct/>
        <w:topLinePunct w:val="0"/>
        <w:autoSpaceDE w:val="0"/>
        <w:autoSpaceDN w:val="0"/>
        <w:bidi w:val="0"/>
        <w:spacing w:line="240" w:lineRule="auto"/>
        <w:ind w:left="0" w:leftChars="0" w:right="0" w:rightChars="0"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（3）组成联合体进行竞标的设计或施工单位不得再以自己的名义单独参与同一分标的竞标，也不得组成新的联合体参与同一分标的竞标。</w:t>
      </w:r>
    </w:p>
    <w:p>
      <w:pPr>
        <w:keepNext w:val="0"/>
        <w:keepLines w:val="0"/>
        <w:pageBreakBefore w:val="0"/>
        <w:kinsoku/>
        <w:wordWrap/>
        <w:overflowPunct/>
        <w:topLinePunct w:val="0"/>
        <w:autoSpaceDE w:val="0"/>
        <w:autoSpaceDN w:val="0"/>
        <w:bidi w:val="0"/>
        <w:spacing w:line="240" w:lineRule="auto"/>
        <w:ind w:left="0" w:leftChars="0" w:right="0" w:rightChars="0"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（4）联合体各方应分别在人员、设备、资金等方面具有承担本项目联合体协议书分工职责范围内的履约能力。</w:t>
      </w:r>
    </w:p>
    <w:p>
      <w:pPr>
        <w:keepNext w:val="0"/>
        <w:keepLines w:val="0"/>
        <w:pageBreakBefore w:val="0"/>
        <w:kinsoku/>
        <w:wordWrap/>
        <w:overflowPunct/>
        <w:topLinePunct w:val="0"/>
        <w:autoSpaceDE w:val="0"/>
        <w:autoSpaceDN w:val="0"/>
        <w:bidi w:val="0"/>
        <w:spacing w:line="240" w:lineRule="auto"/>
        <w:ind w:left="0" w:leftChars="0" w:right="0" w:rightChars="0" w:firstLine="480" w:firstLineChars="200"/>
        <w:jc w:val="left"/>
        <w:textAlignment w:val="auto"/>
        <w:rPr>
          <w:rFonts w:hint="eastAsia" w:ascii="仿宋" w:hAnsi="仿宋" w:eastAsia="仿宋" w:cs="仿宋"/>
          <w:b w:val="0"/>
          <w:color w:val="auto"/>
          <w:sz w:val="24"/>
          <w:szCs w:val="24"/>
          <w:highlight w:val="none"/>
        </w:rPr>
      </w:pPr>
      <w:r>
        <w:rPr>
          <w:rFonts w:hint="eastAsia" w:ascii="仿宋" w:hAnsi="仿宋" w:eastAsia="仿宋" w:cs="仿宋"/>
          <w:b w:val="0"/>
          <w:bCs/>
          <w:color w:val="auto"/>
          <w:sz w:val="24"/>
          <w:szCs w:val="24"/>
          <w:highlight w:val="none"/>
        </w:rPr>
        <w:t>（5）联合体中有同类资质的企业按照联合体协议书分工承担相同工作的，应当按照资质等级较低的企业确定联合体资质等级。</w:t>
      </w:r>
    </w:p>
    <w:p>
      <w:pPr>
        <w:pStyle w:val="2"/>
        <w:keepNext w:val="0"/>
        <w:keepLines w:val="0"/>
        <w:pageBreakBefore w:val="0"/>
        <w:kinsoku/>
        <w:wordWrap/>
        <w:overflowPunct/>
        <w:topLinePunct w:val="0"/>
        <w:autoSpaceDE w:val="0"/>
        <w:autoSpaceDN w:val="0"/>
        <w:bidi w:val="0"/>
        <w:spacing w:line="240" w:lineRule="auto"/>
        <w:ind w:left="0" w:leftChars="0" w:right="0" w:rightChars="0" w:firstLine="480" w:firstLineChars="200"/>
        <w:jc w:val="left"/>
        <w:textAlignment w:val="auto"/>
        <w:rPr>
          <w:rFonts w:hint="eastAsia" w:ascii="仿宋" w:hAnsi="仿宋" w:eastAsia="仿宋" w:cs="仿宋"/>
          <w:b w:val="0"/>
          <w:color w:val="auto"/>
          <w:sz w:val="24"/>
          <w:szCs w:val="24"/>
          <w:highlight w:val="none"/>
        </w:rPr>
      </w:pPr>
      <w:r>
        <w:rPr>
          <w:rFonts w:hint="eastAsia" w:ascii="仿宋" w:hAnsi="仿宋" w:eastAsia="仿宋" w:cs="仿宋"/>
          <w:b w:val="0"/>
          <w:bCs/>
          <w:color w:val="auto"/>
          <w:sz w:val="24"/>
          <w:szCs w:val="24"/>
          <w:highlight w:val="none"/>
          <w:lang w:eastAsia="zh-CN"/>
        </w:rPr>
        <w:t>7、</w:t>
      </w:r>
      <w:r>
        <w:rPr>
          <w:rFonts w:hint="eastAsia" w:ascii="仿宋" w:hAnsi="仿宋" w:eastAsia="仿宋" w:cs="仿宋"/>
          <w:b w:val="0"/>
          <w:bCs/>
          <w:color w:val="auto"/>
          <w:sz w:val="24"/>
          <w:szCs w:val="24"/>
          <w:highlight w:val="none"/>
          <w:lang w:val="en-US"/>
        </w:rPr>
        <w:t>本项目不接受未</w:t>
      </w:r>
      <w:r>
        <w:rPr>
          <w:rFonts w:hint="eastAsia" w:ascii="仿宋" w:hAnsi="仿宋" w:eastAsia="仿宋" w:cs="仿宋"/>
          <w:b w:val="0"/>
          <w:bCs/>
          <w:color w:val="auto"/>
          <w:sz w:val="24"/>
          <w:szCs w:val="24"/>
          <w:highlight w:val="none"/>
          <w:lang w:val="en-US" w:eastAsia="zh-CN"/>
        </w:rPr>
        <w:t>按公告要求获取</w:t>
      </w:r>
      <w:r>
        <w:rPr>
          <w:rFonts w:hint="eastAsia" w:ascii="仿宋" w:hAnsi="仿宋" w:eastAsia="仿宋" w:cs="仿宋"/>
          <w:b w:val="0"/>
          <w:bCs/>
          <w:color w:val="auto"/>
          <w:sz w:val="24"/>
          <w:szCs w:val="24"/>
          <w:highlight w:val="none"/>
          <w:lang w:val="en-US"/>
        </w:rPr>
        <w:t>磋商文件的供应商</w:t>
      </w:r>
      <w:r>
        <w:rPr>
          <w:rFonts w:hint="eastAsia" w:ascii="仿宋" w:hAnsi="仿宋" w:eastAsia="仿宋" w:cs="仿宋"/>
          <w:b w:val="0"/>
          <w:bCs/>
          <w:color w:val="auto"/>
          <w:sz w:val="24"/>
          <w:szCs w:val="24"/>
          <w:highlight w:val="none"/>
          <w:lang w:val="en-US" w:eastAsia="zh-CN"/>
        </w:rPr>
        <w:t>进行</w:t>
      </w:r>
      <w:r>
        <w:rPr>
          <w:rFonts w:hint="eastAsia" w:ascii="仿宋" w:hAnsi="仿宋" w:eastAsia="仿宋" w:cs="仿宋"/>
          <w:b w:val="0"/>
          <w:bCs/>
          <w:color w:val="auto"/>
          <w:sz w:val="24"/>
          <w:szCs w:val="24"/>
          <w:highlight w:val="none"/>
          <w:lang w:val="en-US"/>
        </w:rPr>
        <w:t>磋商。</w:t>
      </w:r>
    </w:p>
    <w:p>
      <w:pPr>
        <w:pStyle w:val="44"/>
        <w:keepNext w:val="0"/>
        <w:keepLines w:val="0"/>
        <w:pageBreakBefore w:val="0"/>
        <w:widowControl/>
        <w:suppressLineNumbers w:val="0"/>
        <w:kinsoku/>
        <w:wordWrap/>
        <w:overflowPunct/>
        <w:topLinePunct w:val="0"/>
        <w:autoSpaceDE w:val="0"/>
        <w:autoSpaceDN w:val="0"/>
        <w:bidi w:val="0"/>
        <w:spacing w:before="0" w:after="0" w:line="240" w:lineRule="auto"/>
        <w:ind w:left="0" w:leftChars="0" w:right="0" w:rightChars="0" w:firstLine="482" w:firstLineChars="200"/>
        <w:jc w:val="left"/>
        <w:textAlignment w:val="auto"/>
        <w:rPr>
          <w:rFonts w:hint="eastAsia" w:ascii="仿宋" w:hAnsi="仿宋" w:eastAsia="仿宋" w:cs="仿宋"/>
          <w:b/>
          <w:bCs w:val="0"/>
          <w:color w:val="auto"/>
          <w:sz w:val="24"/>
          <w:szCs w:val="24"/>
          <w:highlight w:val="none"/>
        </w:rPr>
      </w:pPr>
      <w:r>
        <w:rPr>
          <w:rStyle w:val="51"/>
          <w:rFonts w:hint="eastAsia" w:ascii="仿宋" w:hAnsi="仿宋" w:eastAsia="仿宋" w:cs="仿宋"/>
          <w:b/>
          <w:bCs w:val="0"/>
          <w:color w:val="auto"/>
          <w:sz w:val="24"/>
          <w:szCs w:val="24"/>
          <w:highlight w:val="none"/>
        </w:rPr>
        <w:t>三、获取采购文件</w:t>
      </w:r>
    </w:p>
    <w:p>
      <w:pPr>
        <w:keepNext w:val="0"/>
        <w:keepLines w:val="0"/>
        <w:pageBreakBefore w:val="0"/>
        <w:kinsoku/>
        <w:wordWrap/>
        <w:overflowPunct/>
        <w:topLinePunct w:val="0"/>
        <w:autoSpaceDE w:val="0"/>
        <w:autoSpaceDN w:val="0"/>
        <w:bidi w:val="0"/>
        <w:spacing w:line="240" w:lineRule="auto"/>
        <w:ind w:left="0" w:leftChars="0" w:right="0" w:rightChars="0"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文件获取时间：2020年9月29日至2020年10月13日。</w:t>
      </w:r>
    </w:p>
    <w:p>
      <w:pPr>
        <w:keepNext w:val="0"/>
        <w:keepLines w:val="0"/>
        <w:pageBreakBefore w:val="0"/>
        <w:kinsoku/>
        <w:wordWrap/>
        <w:overflowPunct/>
        <w:topLinePunct w:val="0"/>
        <w:autoSpaceDE w:val="0"/>
        <w:autoSpaceDN w:val="0"/>
        <w:bidi w:val="0"/>
        <w:spacing w:line="240" w:lineRule="auto"/>
        <w:ind w:left="0" w:leftChars="0" w:right="0" w:rightChars="0"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地点：</w:t>
      </w:r>
      <w:r>
        <w:rPr>
          <w:rFonts w:hint="eastAsia" w:ascii="仿宋" w:hAnsi="仿宋" w:eastAsia="仿宋" w:cs="仿宋"/>
          <w:b w:val="0"/>
          <w:bCs/>
          <w:color w:val="auto"/>
          <w:sz w:val="24"/>
          <w:szCs w:val="24"/>
          <w:highlight w:val="none"/>
          <w:lang w:eastAsia="zh-CN"/>
        </w:rPr>
        <w:t>供应商可在政采云上</w:t>
      </w:r>
      <w:r>
        <w:rPr>
          <w:rFonts w:hint="eastAsia" w:ascii="仿宋" w:hAnsi="仿宋" w:eastAsia="仿宋" w:cs="仿宋"/>
          <w:b w:val="0"/>
          <w:bCs/>
          <w:color w:val="auto"/>
          <w:sz w:val="24"/>
          <w:szCs w:val="24"/>
          <w:highlight w:val="none"/>
          <w:lang w:val="en-US" w:eastAsia="zh-CN"/>
        </w:rPr>
        <w:t>获取</w:t>
      </w:r>
      <w:r>
        <w:rPr>
          <w:rFonts w:hint="eastAsia" w:ascii="仿宋" w:hAnsi="仿宋" w:eastAsia="仿宋" w:cs="仿宋"/>
          <w:b w:val="0"/>
          <w:bCs/>
          <w:color w:val="auto"/>
          <w:sz w:val="24"/>
          <w:szCs w:val="24"/>
          <w:highlight w:val="none"/>
          <w:lang w:eastAsia="zh-CN"/>
        </w:rPr>
        <w:t>采购</w:t>
      </w:r>
      <w:r>
        <w:rPr>
          <w:rFonts w:hint="eastAsia" w:ascii="仿宋" w:hAnsi="仿宋" w:eastAsia="仿宋" w:cs="仿宋"/>
          <w:b w:val="0"/>
          <w:bCs/>
          <w:color w:val="auto"/>
          <w:sz w:val="24"/>
          <w:szCs w:val="24"/>
          <w:highlight w:val="none"/>
          <w:lang w:val="en-US" w:eastAsia="zh-CN"/>
        </w:rPr>
        <w:t>文件</w:t>
      </w:r>
      <w:r>
        <w:rPr>
          <w:rFonts w:hint="eastAsia" w:ascii="仿宋" w:hAnsi="仿宋" w:eastAsia="仿宋" w:cs="仿宋"/>
          <w:b w:val="0"/>
          <w:bCs/>
          <w:color w:val="auto"/>
          <w:sz w:val="24"/>
          <w:szCs w:val="24"/>
          <w:highlight w:val="none"/>
          <w:lang w:eastAsia="zh-CN"/>
        </w:rPr>
        <w:t>。</w:t>
      </w:r>
    </w:p>
    <w:p>
      <w:pPr>
        <w:keepNext w:val="0"/>
        <w:keepLines w:val="0"/>
        <w:pageBreakBefore w:val="0"/>
        <w:kinsoku/>
        <w:wordWrap/>
        <w:overflowPunct/>
        <w:topLinePunct w:val="0"/>
        <w:autoSpaceDE w:val="0"/>
        <w:autoSpaceDN w:val="0"/>
        <w:bidi w:val="0"/>
        <w:spacing w:line="240" w:lineRule="auto"/>
        <w:ind w:left="0" w:leftChars="0" w:right="0" w:rightChars="0"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eastAsia="zh-CN"/>
        </w:rPr>
        <w:t>3、</w:t>
      </w:r>
      <w:r>
        <w:rPr>
          <w:rFonts w:hint="eastAsia" w:ascii="仿宋" w:hAnsi="仿宋" w:eastAsia="仿宋" w:cs="仿宋"/>
          <w:b w:val="0"/>
          <w:bCs/>
          <w:color w:val="auto"/>
          <w:sz w:val="24"/>
          <w:szCs w:val="24"/>
          <w:highlight w:val="none"/>
          <w:lang w:val="en-US" w:eastAsia="zh-CN"/>
        </w:rPr>
        <w:t>方式：登录“政采云”平台系统（https://www.zcy.gov.cn/）进行项目报名、下载</w:t>
      </w:r>
      <w:r>
        <w:rPr>
          <w:rFonts w:hint="eastAsia" w:ascii="仿宋" w:hAnsi="仿宋" w:eastAsia="仿宋" w:cs="仿宋"/>
          <w:b w:val="0"/>
          <w:bCs/>
          <w:color w:val="auto"/>
          <w:sz w:val="24"/>
          <w:szCs w:val="24"/>
          <w:highlight w:val="none"/>
          <w:lang w:eastAsia="zh-CN"/>
        </w:rPr>
        <w:t>采购</w:t>
      </w:r>
      <w:r>
        <w:rPr>
          <w:rFonts w:hint="eastAsia" w:ascii="仿宋" w:hAnsi="仿宋" w:eastAsia="仿宋" w:cs="仿宋"/>
          <w:b w:val="0"/>
          <w:bCs/>
          <w:color w:val="auto"/>
          <w:sz w:val="24"/>
          <w:szCs w:val="24"/>
          <w:highlight w:val="none"/>
          <w:lang w:val="en-US" w:eastAsia="zh-CN"/>
        </w:rPr>
        <w:t>文件。</w:t>
      </w:r>
    </w:p>
    <w:p>
      <w:pPr>
        <w:keepNext w:val="0"/>
        <w:keepLines w:val="0"/>
        <w:pageBreakBefore w:val="0"/>
        <w:kinsoku/>
        <w:wordWrap/>
        <w:overflowPunct/>
        <w:topLinePunct w:val="0"/>
        <w:autoSpaceDE w:val="0"/>
        <w:autoSpaceDN w:val="0"/>
        <w:bidi w:val="0"/>
        <w:spacing w:line="240" w:lineRule="auto"/>
        <w:ind w:left="0" w:leftChars="0" w:right="0" w:rightChars="0" w:firstLine="482" w:firstLineChars="200"/>
        <w:jc w:val="left"/>
        <w:textAlignment w:val="auto"/>
        <w:rPr>
          <w:rFonts w:hint="eastAsia" w:ascii="仿宋" w:hAnsi="仿宋" w:eastAsia="仿宋" w:cs="仿宋"/>
          <w:b/>
          <w:bCs w:val="0"/>
          <w:color w:val="auto"/>
          <w:sz w:val="24"/>
          <w:szCs w:val="24"/>
          <w:highlight w:val="none"/>
        </w:rPr>
      </w:pPr>
      <w:bookmarkStart w:id="14" w:name="_Toc28359015"/>
      <w:bookmarkStart w:id="15" w:name="_Toc28359092"/>
      <w:bookmarkStart w:id="16" w:name="_Toc35393632"/>
      <w:bookmarkStart w:id="17" w:name="_Toc35393801"/>
      <w:r>
        <w:rPr>
          <w:rFonts w:hint="eastAsia" w:ascii="仿宋" w:hAnsi="仿宋" w:eastAsia="仿宋" w:cs="仿宋"/>
          <w:b/>
          <w:bCs w:val="0"/>
          <w:color w:val="auto"/>
          <w:sz w:val="24"/>
          <w:szCs w:val="24"/>
          <w:highlight w:val="none"/>
          <w:lang w:eastAsia="zh-CN"/>
        </w:rPr>
        <w:t>四</w:t>
      </w:r>
      <w:r>
        <w:rPr>
          <w:rFonts w:hint="eastAsia" w:ascii="仿宋" w:hAnsi="仿宋" w:eastAsia="仿宋" w:cs="仿宋"/>
          <w:b/>
          <w:bCs w:val="0"/>
          <w:color w:val="auto"/>
          <w:sz w:val="24"/>
          <w:szCs w:val="24"/>
          <w:highlight w:val="none"/>
        </w:rPr>
        <w:t>、响应文件提交</w:t>
      </w:r>
      <w:bookmarkEnd w:id="14"/>
      <w:bookmarkEnd w:id="15"/>
      <w:bookmarkEnd w:id="16"/>
      <w:bookmarkEnd w:id="17"/>
    </w:p>
    <w:p>
      <w:pPr>
        <w:keepNext w:val="0"/>
        <w:keepLines w:val="0"/>
        <w:pageBreakBefore w:val="0"/>
        <w:kinsoku/>
        <w:wordWrap/>
        <w:overflowPunct/>
        <w:topLinePunct w:val="0"/>
        <w:autoSpaceDE w:val="0"/>
        <w:autoSpaceDN w:val="0"/>
        <w:bidi w:val="0"/>
        <w:spacing w:line="240" w:lineRule="auto"/>
        <w:ind w:left="0" w:leftChars="0" w:right="0" w:rightChars="0"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截止时间：2020年10月14日9时30分（北京时间）</w:t>
      </w:r>
    </w:p>
    <w:p>
      <w:pPr>
        <w:keepNext w:val="0"/>
        <w:keepLines w:val="0"/>
        <w:pageBreakBefore w:val="0"/>
        <w:kinsoku/>
        <w:wordWrap/>
        <w:overflowPunct/>
        <w:topLinePunct w:val="0"/>
        <w:autoSpaceDE w:val="0"/>
        <w:autoSpaceDN w:val="0"/>
        <w:bidi w:val="0"/>
        <w:spacing w:line="240" w:lineRule="auto"/>
        <w:ind w:left="0" w:leftChars="0" w:right="0" w:rightChars="0"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地点：广西振弘建设管理有限公司梧州分公司开标厅（地址：梧州市新兴三路三号金苑豪庭707室）</w:t>
      </w:r>
    </w:p>
    <w:p>
      <w:pPr>
        <w:keepNext w:val="0"/>
        <w:keepLines w:val="0"/>
        <w:pageBreakBefore w:val="0"/>
        <w:kinsoku/>
        <w:wordWrap/>
        <w:overflowPunct/>
        <w:topLinePunct w:val="0"/>
        <w:autoSpaceDE w:val="0"/>
        <w:autoSpaceDN w:val="0"/>
        <w:bidi w:val="0"/>
        <w:spacing w:line="240" w:lineRule="auto"/>
        <w:ind w:left="0" w:leftChars="0" w:right="0" w:rightChars="0" w:firstLine="480" w:firstLineChars="200"/>
        <w:jc w:val="left"/>
        <w:textAlignment w:val="auto"/>
        <w:rPr>
          <w:rFonts w:hint="eastAsia" w:ascii="仿宋" w:hAnsi="仿宋" w:eastAsia="仿宋" w:cs="仿宋"/>
          <w:b w:val="0"/>
          <w:bCs/>
          <w:color w:val="auto"/>
          <w:sz w:val="24"/>
          <w:szCs w:val="24"/>
          <w:highlight w:val="none"/>
          <w:lang w:eastAsia="zh-CN"/>
        </w:rPr>
      </w:pPr>
      <w:bookmarkStart w:id="18" w:name="_Toc28359093"/>
      <w:bookmarkStart w:id="19" w:name="_Toc35393802"/>
      <w:bookmarkStart w:id="20" w:name="_Toc35393633"/>
      <w:bookmarkStart w:id="21" w:name="_Toc28359016"/>
      <w:r>
        <w:rPr>
          <w:rFonts w:hint="eastAsia" w:ascii="仿宋" w:hAnsi="仿宋" w:eastAsia="仿宋" w:cs="仿宋"/>
          <w:b w:val="0"/>
          <w:bCs/>
          <w:color w:val="auto"/>
          <w:sz w:val="24"/>
          <w:szCs w:val="24"/>
          <w:highlight w:val="none"/>
          <w:lang w:eastAsia="zh-CN"/>
        </w:rPr>
        <w:t>五、开启</w:t>
      </w:r>
      <w:bookmarkEnd w:id="18"/>
      <w:bookmarkEnd w:id="19"/>
      <w:bookmarkEnd w:id="20"/>
      <w:bookmarkEnd w:id="21"/>
    </w:p>
    <w:p>
      <w:pPr>
        <w:keepNext w:val="0"/>
        <w:keepLines w:val="0"/>
        <w:pageBreakBefore w:val="0"/>
        <w:kinsoku/>
        <w:wordWrap/>
        <w:overflowPunct/>
        <w:topLinePunct w:val="0"/>
        <w:autoSpaceDE w:val="0"/>
        <w:autoSpaceDN w:val="0"/>
        <w:bidi w:val="0"/>
        <w:spacing w:line="240" w:lineRule="auto"/>
        <w:ind w:left="0" w:leftChars="0" w:right="0" w:rightChars="0"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时间：2020年10月14日9时30分（北京时间）</w:t>
      </w:r>
    </w:p>
    <w:p>
      <w:pPr>
        <w:keepNext w:val="0"/>
        <w:keepLines w:val="0"/>
        <w:pageBreakBefore w:val="0"/>
        <w:kinsoku/>
        <w:wordWrap/>
        <w:overflowPunct/>
        <w:topLinePunct w:val="0"/>
        <w:autoSpaceDE w:val="0"/>
        <w:autoSpaceDN w:val="0"/>
        <w:bidi w:val="0"/>
        <w:spacing w:line="240" w:lineRule="auto"/>
        <w:ind w:left="0" w:leftChars="0" w:right="0" w:rightChars="0"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地点：广西振弘建设管理有限公司梧州分公司评标厅（地址：梧州市新兴三路三号金苑豪庭707室），逾期送达的将予以拒收。</w:t>
      </w:r>
    </w:p>
    <w:p>
      <w:pPr>
        <w:pStyle w:val="4"/>
        <w:keepNext w:val="0"/>
        <w:keepLines w:val="0"/>
        <w:pageBreakBefore w:val="0"/>
        <w:widowControl/>
        <w:suppressLineNumbers w:val="0"/>
        <w:kinsoku/>
        <w:wordWrap/>
        <w:overflowPunct/>
        <w:topLinePunct w:val="0"/>
        <w:autoSpaceDE w:val="0"/>
        <w:autoSpaceDN w:val="0"/>
        <w:bidi w:val="0"/>
        <w:spacing w:beforeAutospacing="0" w:afterAutospacing="0" w:line="240" w:lineRule="auto"/>
        <w:ind w:left="0" w:leftChars="0" w:right="0" w:rightChars="0" w:firstLine="482" w:firstLineChars="200"/>
        <w:jc w:val="left"/>
        <w:textAlignment w:val="auto"/>
        <w:rPr>
          <w:rFonts w:hint="eastAsia" w:ascii="仿宋" w:hAnsi="仿宋" w:eastAsia="仿宋" w:cs="仿宋"/>
          <w:b/>
          <w:bCs/>
          <w:color w:val="auto"/>
          <w:sz w:val="24"/>
          <w:szCs w:val="24"/>
          <w:highlight w:val="none"/>
        </w:rPr>
      </w:pPr>
      <w:r>
        <w:rPr>
          <w:rStyle w:val="51"/>
          <w:rFonts w:hint="eastAsia" w:ascii="仿宋" w:hAnsi="仿宋" w:eastAsia="仿宋" w:cs="仿宋"/>
          <w:b/>
          <w:bCs/>
          <w:color w:val="auto"/>
          <w:sz w:val="24"/>
          <w:szCs w:val="24"/>
          <w:highlight w:val="none"/>
        </w:rPr>
        <w:t>六、公告期限</w:t>
      </w:r>
    </w:p>
    <w:p>
      <w:pPr>
        <w:pStyle w:val="44"/>
        <w:keepNext w:val="0"/>
        <w:keepLines w:val="0"/>
        <w:pageBreakBefore w:val="0"/>
        <w:widowControl/>
        <w:suppressLineNumbers w:val="0"/>
        <w:kinsoku/>
        <w:wordWrap/>
        <w:overflowPunct/>
        <w:topLinePunct w:val="0"/>
        <w:autoSpaceDE w:val="0"/>
        <w:autoSpaceDN w:val="0"/>
        <w:bidi w:val="0"/>
        <w:spacing w:before="0" w:after="0" w:line="240" w:lineRule="auto"/>
        <w:ind w:left="0" w:leftChars="0" w:right="0" w:rightChars="0" w:firstLine="480" w:firstLineChars="200"/>
        <w:jc w:val="left"/>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自本公告发布之日起</w:t>
      </w:r>
      <w:r>
        <w:rPr>
          <w:rFonts w:hint="eastAsia" w:ascii="仿宋" w:hAnsi="仿宋" w:eastAsia="仿宋" w:cs="仿宋"/>
          <w:b w:val="0"/>
          <w:color w:val="auto"/>
          <w:sz w:val="24"/>
          <w:szCs w:val="24"/>
          <w:highlight w:val="none"/>
          <w:lang w:val="en-US" w:eastAsia="zh-CN"/>
        </w:rPr>
        <w:t>5</w:t>
      </w:r>
      <w:r>
        <w:rPr>
          <w:rFonts w:hint="eastAsia" w:ascii="仿宋" w:hAnsi="仿宋" w:eastAsia="仿宋" w:cs="仿宋"/>
          <w:b w:val="0"/>
          <w:color w:val="auto"/>
          <w:sz w:val="24"/>
          <w:szCs w:val="24"/>
          <w:highlight w:val="none"/>
        </w:rPr>
        <w:t>个工作日。</w:t>
      </w:r>
    </w:p>
    <w:p>
      <w:pPr>
        <w:pStyle w:val="4"/>
        <w:keepNext w:val="0"/>
        <w:keepLines w:val="0"/>
        <w:pageBreakBefore w:val="0"/>
        <w:widowControl/>
        <w:numPr>
          <w:ilvl w:val="0"/>
          <w:numId w:val="1"/>
        </w:numPr>
        <w:suppressLineNumbers w:val="0"/>
        <w:kinsoku/>
        <w:wordWrap/>
        <w:overflowPunct/>
        <w:topLinePunct w:val="0"/>
        <w:autoSpaceDE w:val="0"/>
        <w:autoSpaceDN w:val="0"/>
        <w:bidi w:val="0"/>
        <w:spacing w:beforeAutospacing="0" w:afterAutospacing="0" w:line="240" w:lineRule="auto"/>
        <w:ind w:left="0" w:leftChars="0" w:right="0" w:rightChars="0" w:firstLine="482" w:firstLineChars="200"/>
        <w:jc w:val="left"/>
        <w:textAlignment w:val="auto"/>
        <w:rPr>
          <w:rStyle w:val="51"/>
          <w:rFonts w:hint="eastAsia" w:ascii="仿宋" w:hAnsi="仿宋" w:eastAsia="仿宋" w:cs="仿宋"/>
          <w:b/>
          <w:bCs/>
          <w:color w:val="auto"/>
          <w:sz w:val="24"/>
          <w:szCs w:val="24"/>
          <w:highlight w:val="none"/>
        </w:rPr>
      </w:pPr>
      <w:r>
        <w:rPr>
          <w:rStyle w:val="51"/>
          <w:rFonts w:hint="eastAsia" w:ascii="仿宋" w:hAnsi="仿宋" w:eastAsia="仿宋" w:cs="仿宋"/>
          <w:b/>
          <w:bCs/>
          <w:color w:val="auto"/>
          <w:sz w:val="24"/>
          <w:szCs w:val="24"/>
          <w:highlight w:val="none"/>
        </w:rPr>
        <w:t>其他补充事宜</w:t>
      </w:r>
    </w:p>
    <w:p>
      <w:pPr>
        <w:pStyle w:val="25"/>
        <w:spacing w:line="400" w:lineRule="exact"/>
        <w:ind w:firstLine="480" w:firstLineChars="200"/>
        <w:rPr>
          <w:rFonts w:hint="eastAsia" w:ascii="仿宋" w:hAnsi="仿宋" w:eastAsia="仿宋" w:cs="仿宋"/>
          <w:b w:val="0"/>
          <w:color w:val="auto"/>
          <w:kern w:val="0"/>
          <w:sz w:val="24"/>
          <w:szCs w:val="24"/>
          <w:highlight w:val="none"/>
          <w:lang w:val="en-US" w:eastAsia="zh-CN" w:bidi="ar-SA"/>
        </w:rPr>
      </w:pPr>
      <w:r>
        <w:rPr>
          <w:rFonts w:hint="eastAsia" w:ascii="仿宋" w:hAnsi="仿宋" w:eastAsia="仿宋" w:cs="仿宋"/>
          <w:b w:val="0"/>
          <w:color w:val="auto"/>
          <w:kern w:val="0"/>
          <w:sz w:val="24"/>
          <w:szCs w:val="24"/>
          <w:highlight w:val="none"/>
          <w:lang w:val="en-US" w:eastAsia="zh-CN" w:bidi="ar-SA"/>
        </w:rPr>
        <w:t xml:space="preserve">1、磋商保证金金额：人民币贰万玖仟元整（￥29000.00元）； </w:t>
      </w:r>
    </w:p>
    <w:p>
      <w:pPr>
        <w:pStyle w:val="25"/>
        <w:spacing w:line="400" w:lineRule="exact"/>
        <w:rPr>
          <w:rFonts w:hint="eastAsia" w:ascii="仿宋" w:hAnsi="仿宋" w:eastAsia="仿宋" w:cs="仿宋"/>
          <w:b w:val="0"/>
          <w:color w:val="auto"/>
          <w:kern w:val="0"/>
          <w:sz w:val="24"/>
          <w:szCs w:val="24"/>
          <w:highlight w:val="none"/>
          <w:lang w:val="en-US" w:eastAsia="zh-CN" w:bidi="ar-SA"/>
        </w:rPr>
      </w:pPr>
      <w:r>
        <w:rPr>
          <w:rFonts w:hint="eastAsia" w:ascii="仿宋" w:hAnsi="仿宋" w:eastAsia="仿宋" w:cs="仿宋"/>
          <w:b w:val="0"/>
          <w:color w:val="auto"/>
          <w:kern w:val="0"/>
          <w:sz w:val="24"/>
          <w:szCs w:val="24"/>
          <w:highlight w:val="none"/>
          <w:lang w:val="en-US" w:eastAsia="zh-CN" w:bidi="ar-SA"/>
        </w:rPr>
        <w:t>磋商保证金须在截标时间前以转账、电汇、保函等非现金形式提交，并于递交响应文件截止时间前到账至广西振弘建设管理有限公司梧州分公司的投标保证金账户。</w:t>
      </w:r>
    </w:p>
    <w:p>
      <w:pPr>
        <w:pStyle w:val="25"/>
        <w:spacing w:line="400" w:lineRule="exact"/>
        <w:rPr>
          <w:rFonts w:hint="eastAsia" w:ascii="仿宋" w:hAnsi="仿宋" w:eastAsia="仿宋" w:cs="仿宋"/>
          <w:b w:val="0"/>
          <w:color w:val="auto"/>
          <w:kern w:val="0"/>
          <w:sz w:val="24"/>
          <w:szCs w:val="24"/>
          <w:highlight w:val="none"/>
          <w:lang w:val="en-US" w:eastAsia="zh-CN" w:bidi="ar-SA"/>
        </w:rPr>
      </w:pPr>
      <w:r>
        <w:rPr>
          <w:rFonts w:hint="eastAsia" w:ascii="仿宋" w:hAnsi="仿宋" w:eastAsia="仿宋" w:cs="仿宋"/>
          <w:b w:val="0"/>
          <w:color w:val="auto"/>
          <w:kern w:val="0"/>
          <w:sz w:val="24"/>
          <w:szCs w:val="24"/>
          <w:highlight w:val="none"/>
          <w:lang w:val="en-US" w:eastAsia="zh-CN" w:bidi="ar-SA"/>
        </w:rPr>
        <w:t>开户名称：广西振弘建设管理有限公司梧州分公司</w:t>
      </w:r>
    </w:p>
    <w:p>
      <w:pPr>
        <w:pStyle w:val="25"/>
        <w:spacing w:line="400" w:lineRule="exact"/>
        <w:rPr>
          <w:rFonts w:hint="eastAsia" w:ascii="仿宋" w:hAnsi="仿宋" w:eastAsia="仿宋" w:cs="仿宋"/>
          <w:b w:val="0"/>
          <w:color w:val="auto"/>
          <w:kern w:val="0"/>
          <w:sz w:val="24"/>
          <w:szCs w:val="24"/>
          <w:highlight w:val="none"/>
          <w:lang w:val="en-US" w:eastAsia="zh-CN" w:bidi="ar-SA"/>
        </w:rPr>
      </w:pPr>
      <w:r>
        <w:rPr>
          <w:rFonts w:hint="eastAsia" w:ascii="仿宋" w:hAnsi="仿宋" w:eastAsia="仿宋" w:cs="仿宋"/>
          <w:b w:val="0"/>
          <w:color w:val="auto"/>
          <w:kern w:val="0"/>
          <w:sz w:val="24"/>
          <w:szCs w:val="24"/>
          <w:highlight w:val="none"/>
          <w:lang w:val="en-US" w:eastAsia="zh-CN" w:bidi="ar-SA"/>
        </w:rPr>
        <w:t>开户银行：中国建设银行广西梧州分行神冠豪都支行</w:t>
      </w:r>
    </w:p>
    <w:p>
      <w:pPr>
        <w:numPr>
          <w:ilvl w:val="0"/>
          <w:numId w:val="0"/>
        </w:numPr>
        <w:adjustRightInd w:val="0"/>
        <w:snapToGrid w:val="0"/>
        <w:spacing w:after="200"/>
        <w:rPr>
          <w:rFonts w:hint="eastAsia" w:ascii="仿宋" w:hAnsi="仿宋" w:eastAsia="仿宋" w:cs="仿宋"/>
          <w:b w:val="0"/>
          <w:color w:val="auto"/>
          <w:kern w:val="0"/>
          <w:sz w:val="24"/>
          <w:szCs w:val="24"/>
          <w:highlight w:val="none"/>
          <w:lang w:val="en-US" w:eastAsia="zh-CN" w:bidi="ar-SA"/>
        </w:rPr>
      </w:pPr>
      <w:r>
        <w:rPr>
          <w:rFonts w:hint="eastAsia" w:ascii="仿宋" w:hAnsi="仿宋" w:eastAsia="仿宋" w:cs="仿宋"/>
          <w:b w:val="0"/>
          <w:color w:val="auto"/>
          <w:kern w:val="0"/>
          <w:sz w:val="24"/>
          <w:szCs w:val="24"/>
          <w:highlight w:val="none"/>
          <w:lang w:val="en-US" w:eastAsia="zh-CN" w:bidi="ar-SA"/>
        </w:rPr>
        <w:t>银行账号：4505 0164 0042 0000 0064</w:t>
      </w:r>
    </w:p>
    <w:p>
      <w:pPr>
        <w:pStyle w:val="44"/>
        <w:keepNext w:val="0"/>
        <w:keepLines w:val="0"/>
        <w:pageBreakBefore w:val="0"/>
        <w:widowControl/>
        <w:suppressLineNumbers w:val="0"/>
        <w:kinsoku/>
        <w:wordWrap/>
        <w:overflowPunct/>
        <w:topLinePunct w:val="0"/>
        <w:autoSpaceDE w:val="0"/>
        <w:autoSpaceDN w:val="0"/>
        <w:bidi w:val="0"/>
        <w:spacing w:before="0" w:after="0" w:line="240" w:lineRule="auto"/>
        <w:ind w:left="0" w:leftChars="0" w:right="0" w:rightChars="0" w:firstLine="480" w:firstLineChars="200"/>
        <w:jc w:val="left"/>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val="en-US" w:eastAsia="zh-CN"/>
        </w:rPr>
        <w:t>2</w:t>
      </w:r>
      <w:r>
        <w:rPr>
          <w:rFonts w:hint="eastAsia" w:ascii="仿宋" w:hAnsi="仿宋" w:eastAsia="仿宋" w:cs="仿宋"/>
          <w:b w:val="0"/>
          <w:color w:val="auto"/>
          <w:sz w:val="24"/>
          <w:szCs w:val="24"/>
          <w:highlight w:val="none"/>
        </w:rPr>
        <w:t>、本项目需要落实的政策：《政府采购促进中小企业发展暂行办法》（财库[2011]181号）、《关于政府采购支持监狱企业发展有关问题的通知》(财库[2014]68号)、《关于促进残疾人就业政府采购政策的通知》(财库〔2017〕141号)、《财政部国家发展改革委关于印发&lt;节能产品政府采购实施意见&gt;的通知》（财库[2004]185号）、《财政部、国家环保总局联合印发&lt;关于环境标志产品政府采购实施的意见&gt;》(财库[2006]90号)、《政府采购中查询及使用信用记录有关问题的通知》（财库【2016】125号）《招标采购促进广西工业产品产销对接实施细则》（桂政发【2015】78号）</w:t>
      </w:r>
    </w:p>
    <w:p>
      <w:pPr>
        <w:pStyle w:val="44"/>
        <w:keepNext w:val="0"/>
        <w:keepLines w:val="0"/>
        <w:pageBreakBefore w:val="0"/>
        <w:widowControl/>
        <w:suppressLineNumbers w:val="0"/>
        <w:kinsoku/>
        <w:wordWrap/>
        <w:overflowPunct/>
        <w:topLinePunct w:val="0"/>
        <w:autoSpaceDE w:val="0"/>
        <w:autoSpaceDN w:val="0"/>
        <w:bidi w:val="0"/>
        <w:spacing w:before="0" w:after="0" w:line="240" w:lineRule="auto"/>
        <w:ind w:left="0" w:leftChars="0" w:right="0" w:rightChars="0" w:firstLine="480" w:firstLineChars="200"/>
        <w:jc w:val="left"/>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val="en-US" w:eastAsia="zh-CN"/>
        </w:rPr>
        <w:t>3</w:t>
      </w:r>
      <w:r>
        <w:rPr>
          <w:rFonts w:hint="eastAsia" w:ascii="仿宋" w:hAnsi="仿宋" w:eastAsia="仿宋" w:cs="仿宋"/>
          <w:b w:val="0"/>
          <w:color w:val="auto"/>
          <w:sz w:val="24"/>
          <w:szCs w:val="24"/>
          <w:highlight w:val="none"/>
        </w:rPr>
        <w:t>、参加磋商的法定代表人或委托代理人必须持证件（法定代表人凭资格证书和身份证，委托代理人凭法人授权委托书原件和身份证）依时到达指定地点等候当面磋商。</w:t>
      </w:r>
    </w:p>
    <w:p>
      <w:pPr>
        <w:pStyle w:val="44"/>
        <w:keepNext w:val="0"/>
        <w:keepLines w:val="0"/>
        <w:pageBreakBefore w:val="0"/>
        <w:widowControl/>
        <w:suppressLineNumbers w:val="0"/>
        <w:kinsoku/>
        <w:wordWrap/>
        <w:overflowPunct/>
        <w:topLinePunct w:val="0"/>
        <w:autoSpaceDE w:val="0"/>
        <w:autoSpaceDN w:val="0"/>
        <w:bidi w:val="0"/>
        <w:spacing w:before="0" w:after="0" w:line="240" w:lineRule="auto"/>
        <w:ind w:left="0" w:leftChars="0" w:right="0" w:rightChars="0" w:firstLine="480" w:firstLineChars="200"/>
        <w:jc w:val="left"/>
        <w:textAlignment w:val="auto"/>
        <w:rPr>
          <w:rFonts w:hint="eastAsia" w:ascii="仿宋" w:hAnsi="仿宋" w:eastAsia="仿宋" w:cs="仿宋"/>
          <w:b w:val="0"/>
          <w:color w:val="auto"/>
          <w:sz w:val="24"/>
          <w:szCs w:val="24"/>
          <w:highlight w:val="none"/>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、网上查询：</w:t>
      </w:r>
      <w:r>
        <w:rPr>
          <w:rFonts w:hint="eastAsia" w:ascii="仿宋" w:hAnsi="仿宋" w:eastAsia="仿宋" w:cs="仿宋"/>
          <w:b w:val="0"/>
          <w:color w:val="auto"/>
          <w:sz w:val="24"/>
          <w:szCs w:val="24"/>
          <w:highlight w:val="none"/>
        </w:rPr>
        <w:t>中国政府采购网、广西壮族自治区政府采购网、梧州市政府采购网。</w:t>
      </w:r>
    </w:p>
    <w:p>
      <w:pPr>
        <w:pStyle w:val="4"/>
        <w:keepNext w:val="0"/>
        <w:keepLines w:val="0"/>
        <w:pageBreakBefore w:val="0"/>
        <w:widowControl/>
        <w:suppressLineNumbers w:val="0"/>
        <w:kinsoku/>
        <w:wordWrap/>
        <w:overflowPunct/>
        <w:topLinePunct w:val="0"/>
        <w:autoSpaceDE w:val="0"/>
        <w:autoSpaceDN w:val="0"/>
        <w:bidi w:val="0"/>
        <w:spacing w:beforeAutospacing="0" w:afterAutospacing="0" w:line="240" w:lineRule="auto"/>
        <w:ind w:left="0" w:leftChars="0" w:right="0" w:rightChars="0"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八、凡对本次采购提出询问，请按以下方式联系。</w:t>
      </w:r>
    </w:p>
    <w:p>
      <w:pPr>
        <w:keepNext w:val="0"/>
        <w:keepLines w:val="0"/>
        <w:pageBreakBefore w:val="0"/>
        <w:kinsoku/>
        <w:wordWrap/>
        <w:overflowPunct/>
        <w:topLinePunct w:val="0"/>
        <w:autoSpaceDE w:val="0"/>
        <w:autoSpaceDN w:val="0"/>
        <w:bidi w:val="0"/>
        <w:spacing w:line="240" w:lineRule="auto"/>
        <w:ind w:left="0" w:leftChars="0" w:right="0" w:rightChars="0" w:firstLine="480" w:firstLineChars="200"/>
        <w:jc w:val="left"/>
        <w:textAlignment w:val="auto"/>
        <w:rPr>
          <w:rFonts w:hint="eastAsia" w:ascii="仿宋" w:hAnsi="仿宋" w:eastAsia="仿宋" w:cs="仿宋"/>
          <w:b w:val="0"/>
          <w:bCs/>
          <w:color w:val="auto"/>
          <w:sz w:val="24"/>
          <w:szCs w:val="24"/>
          <w:highlight w:val="none"/>
          <w:lang w:val="en-US" w:eastAsia="zh-CN"/>
        </w:rPr>
      </w:pPr>
      <w:bookmarkStart w:id="22" w:name="_Toc35393637"/>
      <w:bookmarkStart w:id="23" w:name="_Toc28359096"/>
      <w:bookmarkStart w:id="24" w:name="_Toc35393806"/>
      <w:bookmarkStart w:id="25" w:name="_Toc28359019"/>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采购人信息</w:t>
      </w:r>
      <w:bookmarkEnd w:id="22"/>
      <w:bookmarkEnd w:id="23"/>
      <w:bookmarkEnd w:id="24"/>
      <w:bookmarkEnd w:id="25"/>
    </w:p>
    <w:p>
      <w:pPr>
        <w:keepNext w:val="0"/>
        <w:keepLines w:val="0"/>
        <w:pageBreakBefore w:val="0"/>
        <w:kinsoku/>
        <w:wordWrap/>
        <w:overflowPunct/>
        <w:topLinePunct w:val="0"/>
        <w:autoSpaceDE w:val="0"/>
        <w:autoSpaceDN w:val="0"/>
        <w:bidi w:val="0"/>
        <w:spacing w:line="240" w:lineRule="auto"/>
        <w:ind w:left="0" w:leftChars="0" w:right="0" w:rightChars="0"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名称：梧州市人民医院</w:t>
      </w:r>
    </w:p>
    <w:p>
      <w:pPr>
        <w:keepNext w:val="0"/>
        <w:keepLines w:val="0"/>
        <w:pageBreakBefore w:val="0"/>
        <w:kinsoku/>
        <w:wordWrap/>
        <w:overflowPunct/>
        <w:topLinePunct w:val="0"/>
        <w:autoSpaceDE w:val="0"/>
        <w:autoSpaceDN w:val="0"/>
        <w:bidi w:val="0"/>
        <w:spacing w:line="240" w:lineRule="auto"/>
        <w:ind w:left="0" w:leftChars="0" w:right="0" w:rightChars="0"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地址：梧州市长洲区三龙大道139号</w:t>
      </w:r>
    </w:p>
    <w:p>
      <w:pPr>
        <w:keepNext w:val="0"/>
        <w:keepLines w:val="0"/>
        <w:pageBreakBefore w:val="0"/>
        <w:kinsoku/>
        <w:wordWrap/>
        <w:overflowPunct/>
        <w:topLinePunct w:val="0"/>
        <w:autoSpaceDE w:val="0"/>
        <w:autoSpaceDN w:val="0"/>
        <w:bidi w:val="0"/>
        <w:spacing w:line="240" w:lineRule="auto"/>
        <w:ind w:left="0" w:leftChars="0" w:right="0" w:rightChars="0"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联系人：覃芍妮</w:t>
      </w:r>
    </w:p>
    <w:p>
      <w:pPr>
        <w:keepNext w:val="0"/>
        <w:keepLines w:val="0"/>
        <w:pageBreakBefore w:val="0"/>
        <w:kinsoku/>
        <w:wordWrap/>
        <w:overflowPunct/>
        <w:topLinePunct w:val="0"/>
        <w:autoSpaceDE w:val="0"/>
        <w:autoSpaceDN w:val="0"/>
        <w:bidi w:val="0"/>
        <w:spacing w:line="240" w:lineRule="auto"/>
        <w:ind w:left="0" w:leftChars="0" w:right="0" w:rightChars="0"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联系电话：0774-2833676</w:t>
      </w:r>
    </w:p>
    <w:p>
      <w:pPr>
        <w:keepNext w:val="0"/>
        <w:keepLines w:val="0"/>
        <w:pageBreakBefore w:val="0"/>
        <w:kinsoku/>
        <w:wordWrap/>
        <w:overflowPunct/>
        <w:topLinePunct w:val="0"/>
        <w:autoSpaceDE w:val="0"/>
        <w:autoSpaceDN w:val="0"/>
        <w:bidi w:val="0"/>
        <w:spacing w:line="240" w:lineRule="auto"/>
        <w:ind w:left="0" w:leftChars="0" w:right="0" w:rightChars="0" w:firstLine="480" w:firstLineChars="200"/>
        <w:jc w:val="left"/>
        <w:textAlignment w:val="auto"/>
        <w:rPr>
          <w:rFonts w:hint="eastAsia" w:ascii="仿宋" w:hAnsi="仿宋" w:eastAsia="仿宋" w:cs="仿宋"/>
          <w:b w:val="0"/>
          <w:bCs/>
          <w:color w:val="auto"/>
          <w:sz w:val="24"/>
          <w:szCs w:val="24"/>
          <w:highlight w:val="none"/>
          <w:lang w:val="en-US" w:eastAsia="zh-CN"/>
        </w:rPr>
      </w:pPr>
      <w:bookmarkStart w:id="26" w:name="_Toc35393807"/>
      <w:bookmarkStart w:id="27" w:name="_Toc28359020"/>
      <w:bookmarkStart w:id="28" w:name="_Toc28359097"/>
      <w:bookmarkStart w:id="29" w:name="_Toc35393638"/>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采购代理机构信息</w:t>
      </w:r>
      <w:bookmarkEnd w:id="26"/>
      <w:bookmarkEnd w:id="27"/>
      <w:bookmarkEnd w:id="28"/>
      <w:bookmarkEnd w:id="29"/>
    </w:p>
    <w:p>
      <w:pPr>
        <w:keepNext w:val="0"/>
        <w:keepLines w:val="0"/>
        <w:pageBreakBefore w:val="0"/>
        <w:kinsoku/>
        <w:wordWrap/>
        <w:overflowPunct/>
        <w:topLinePunct w:val="0"/>
        <w:autoSpaceDE w:val="0"/>
        <w:autoSpaceDN w:val="0"/>
        <w:bidi w:val="0"/>
        <w:spacing w:line="240" w:lineRule="auto"/>
        <w:ind w:left="0" w:leftChars="0" w:right="0" w:rightChars="0"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名称：广西振弘建设管理有限公司　</w:t>
      </w:r>
    </w:p>
    <w:p>
      <w:pPr>
        <w:keepNext w:val="0"/>
        <w:keepLines w:val="0"/>
        <w:pageBreakBefore w:val="0"/>
        <w:kinsoku/>
        <w:wordWrap/>
        <w:overflowPunct/>
        <w:topLinePunct w:val="0"/>
        <w:autoSpaceDE w:val="0"/>
        <w:autoSpaceDN w:val="0"/>
        <w:bidi w:val="0"/>
        <w:spacing w:line="240" w:lineRule="auto"/>
        <w:ind w:left="0" w:leftChars="0" w:right="0" w:rightChars="0"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地址：梧州市新兴三路三号金苑豪庭707室　</w:t>
      </w:r>
    </w:p>
    <w:p>
      <w:pPr>
        <w:keepNext w:val="0"/>
        <w:keepLines w:val="0"/>
        <w:pageBreakBefore w:val="0"/>
        <w:kinsoku/>
        <w:wordWrap/>
        <w:overflowPunct/>
        <w:topLinePunct w:val="0"/>
        <w:autoSpaceDE w:val="0"/>
        <w:autoSpaceDN w:val="0"/>
        <w:bidi w:val="0"/>
        <w:spacing w:line="240" w:lineRule="auto"/>
        <w:ind w:left="0" w:leftChars="0" w:right="0" w:rightChars="0"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联系</w:t>
      </w:r>
      <w:r>
        <w:rPr>
          <w:rFonts w:hint="eastAsia" w:ascii="仿宋" w:hAnsi="仿宋" w:eastAsia="仿宋" w:cs="仿宋"/>
          <w:b w:val="0"/>
          <w:bCs/>
          <w:color w:val="auto"/>
          <w:sz w:val="24"/>
          <w:szCs w:val="24"/>
          <w:highlight w:val="none"/>
          <w:lang w:eastAsia="zh-CN"/>
        </w:rPr>
        <w:t>人</w:t>
      </w:r>
      <w:r>
        <w:rPr>
          <w:rFonts w:hint="eastAsia" w:ascii="仿宋" w:hAnsi="仿宋" w:eastAsia="仿宋" w:cs="仿宋"/>
          <w:b w:val="0"/>
          <w:bCs/>
          <w:color w:val="auto"/>
          <w:sz w:val="24"/>
          <w:szCs w:val="24"/>
          <w:highlight w:val="none"/>
          <w:lang w:val="en-US" w:eastAsia="zh-CN"/>
        </w:rPr>
        <w:t>：黎先生</w:t>
      </w:r>
    </w:p>
    <w:p>
      <w:pPr>
        <w:keepNext w:val="0"/>
        <w:keepLines w:val="0"/>
        <w:pageBreakBefore w:val="0"/>
        <w:kinsoku/>
        <w:wordWrap/>
        <w:overflowPunct/>
        <w:topLinePunct w:val="0"/>
        <w:autoSpaceDE w:val="0"/>
        <w:autoSpaceDN w:val="0"/>
        <w:bidi w:val="0"/>
        <w:spacing w:line="240" w:lineRule="auto"/>
        <w:ind w:left="0" w:leftChars="0" w:right="0" w:rightChars="0"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eastAsia="zh-CN"/>
        </w:rPr>
        <w:t>联系电话：</w:t>
      </w:r>
      <w:r>
        <w:rPr>
          <w:rFonts w:hint="eastAsia" w:ascii="仿宋" w:hAnsi="仿宋" w:eastAsia="仿宋" w:cs="仿宋"/>
          <w:b w:val="0"/>
          <w:bCs/>
          <w:color w:val="auto"/>
          <w:sz w:val="24"/>
          <w:szCs w:val="24"/>
          <w:highlight w:val="none"/>
          <w:lang w:val="en-US" w:eastAsia="zh-CN"/>
        </w:rPr>
        <w:t>0774-3889688　</w:t>
      </w:r>
    </w:p>
    <w:p>
      <w:pPr>
        <w:keepNext w:val="0"/>
        <w:keepLines w:val="0"/>
        <w:pageBreakBefore w:val="0"/>
        <w:kinsoku/>
        <w:wordWrap/>
        <w:overflowPunct/>
        <w:topLinePunct w:val="0"/>
        <w:autoSpaceDE w:val="0"/>
        <w:autoSpaceDN w:val="0"/>
        <w:bidi w:val="0"/>
        <w:spacing w:line="240" w:lineRule="auto"/>
        <w:ind w:left="0" w:leftChars="0" w:right="0" w:rightChars="0"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val="0"/>
          <w:color w:val="auto"/>
          <w:sz w:val="24"/>
          <w:szCs w:val="24"/>
          <w:highlight w:val="none"/>
        </w:rPr>
        <w:t>3</w:t>
      </w:r>
      <w:r>
        <w:rPr>
          <w:rFonts w:hint="eastAsia" w:ascii="仿宋" w:hAnsi="仿宋" w:eastAsia="仿宋" w:cs="仿宋"/>
          <w:b w:val="0"/>
          <w:bCs/>
          <w:color w:val="auto"/>
          <w:sz w:val="24"/>
          <w:szCs w:val="24"/>
          <w:highlight w:val="none"/>
          <w:lang w:eastAsia="zh-CN"/>
        </w:rPr>
        <w:t>、项目联系方式</w:t>
      </w:r>
    </w:p>
    <w:p>
      <w:pPr>
        <w:keepNext w:val="0"/>
        <w:keepLines w:val="0"/>
        <w:pageBreakBefore w:val="0"/>
        <w:kinsoku/>
        <w:wordWrap/>
        <w:overflowPunct/>
        <w:topLinePunct w:val="0"/>
        <w:autoSpaceDE w:val="0"/>
        <w:autoSpaceDN w:val="0"/>
        <w:bidi w:val="0"/>
        <w:spacing w:line="240" w:lineRule="auto"/>
        <w:ind w:left="0" w:leftChars="0" w:right="0" w:rightChars="0"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eastAsia="zh-CN"/>
        </w:rPr>
        <w:t>项目</w:t>
      </w:r>
      <w:r>
        <w:rPr>
          <w:rFonts w:hint="eastAsia" w:ascii="仿宋" w:hAnsi="仿宋" w:eastAsia="仿宋" w:cs="仿宋"/>
          <w:b w:val="0"/>
          <w:bCs/>
          <w:color w:val="auto"/>
          <w:sz w:val="24"/>
          <w:szCs w:val="24"/>
          <w:highlight w:val="none"/>
          <w:lang w:val="en-US" w:eastAsia="zh-CN"/>
        </w:rPr>
        <w:t>联系</w:t>
      </w:r>
      <w:r>
        <w:rPr>
          <w:rFonts w:hint="eastAsia" w:ascii="仿宋" w:hAnsi="仿宋" w:eastAsia="仿宋" w:cs="仿宋"/>
          <w:b w:val="0"/>
          <w:bCs/>
          <w:color w:val="auto"/>
          <w:sz w:val="24"/>
          <w:szCs w:val="24"/>
          <w:highlight w:val="none"/>
          <w:lang w:eastAsia="zh-CN"/>
        </w:rPr>
        <w:t>人</w:t>
      </w:r>
      <w:r>
        <w:rPr>
          <w:rFonts w:hint="eastAsia" w:ascii="仿宋" w:hAnsi="仿宋" w:eastAsia="仿宋" w:cs="仿宋"/>
          <w:b w:val="0"/>
          <w:bCs/>
          <w:color w:val="auto"/>
          <w:sz w:val="24"/>
          <w:szCs w:val="24"/>
          <w:highlight w:val="none"/>
          <w:lang w:val="en-US" w:eastAsia="zh-CN"/>
        </w:rPr>
        <w:t>：黎先生</w:t>
      </w:r>
    </w:p>
    <w:p>
      <w:pPr>
        <w:pStyle w:val="202"/>
        <w:widowControl w:val="0"/>
        <w:spacing w:afterLines="0" w:line="240" w:lineRule="auto"/>
        <w:ind w:firstLine="480"/>
        <w:rPr>
          <w:rFonts w:hint="eastAsia" w:ascii="仿宋" w:hAnsi="仿宋" w:eastAsia="仿宋" w:cs="仿宋"/>
          <w:color w:val="auto"/>
        </w:rPr>
      </w:pPr>
      <w:r>
        <w:rPr>
          <w:rFonts w:hint="eastAsia" w:ascii="仿宋" w:hAnsi="仿宋" w:eastAsia="仿宋" w:cs="仿宋"/>
          <w:b w:val="0"/>
          <w:bCs/>
          <w:color w:val="auto"/>
          <w:sz w:val="24"/>
          <w:szCs w:val="24"/>
          <w:highlight w:val="none"/>
          <w:lang w:eastAsia="zh-CN"/>
        </w:rPr>
        <w:t>联系电话：</w:t>
      </w:r>
      <w:r>
        <w:rPr>
          <w:rFonts w:hint="eastAsia" w:ascii="仿宋" w:hAnsi="仿宋" w:eastAsia="仿宋" w:cs="仿宋"/>
          <w:b w:val="0"/>
          <w:bCs/>
          <w:color w:val="auto"/>
          <w:sz w:val="24"/>
          <w:szCs w:val="24"/>
          <w:highlight w:val="none"/>
          <w:lang w:val="en-US" w:eastAsia="zh-CN"/>
        </w:rPr>
        <w:t>0774-3889688</w:t>
      </w:r>
    </w:p>
    <w:p>
      <w:pPr>
        <w:pStyle w:val="202"/>
        <w:widowControl w:val="0"/>
        <w:spacing w:afterLines="0" w:line="240" w:lineRule="auto"/>
        <w:ind w:firstLine="480"/>
        <w:jc w:val="right"/>
        <w:rPr>
          <w:rFonts w:hint="eastAsia" w:ascii="仿宋" w:hAnsi="仿宋" w:eastAsia="仿宋" w:cs="仿宋"/>
          <w:color w:val="auto"/>
          <w:highlight w:val="yellow"/>
        </w:rPr>
      </w:pPr>
      <w:r>
        <w:rPr>
          <w:rFonts w:hint="eastAsia" w:ascii="仿宋" w:hAnsi="仿宋" w:eastAsia="仿宋" w:cs="仿宋"/>
          <w:color w:val="auto"/>
          <w:highlight w:val="none"/>
        </w:rPr>
        <w:t>日期：20</w:t>
      </w:r>
      <w:r>
        <w:rPr>
          <w:rFonts w:hint="eastAsia" w:ascii="仿宋" w:hAnsi="仿宋" w:eastAsia="仿宋" w:cs="仿宋"/>
          <w:color w:val="auto"/>
          <w:highlight w:val="none"/>
          <w:lang w:val="en-US" w:eastAsia="zh-CN"/>
        </w:rPr>
        <w:t>20</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29</w:t>
      </w:r>
      <w:r>
        <w:rPr>
          <w:rFonts w:hint="eastAsia" w:ascii="仿宋" w:hAnsi="仿宋" w:eastAsia="仿宋" w:cs="仿宋"/>
          <w:color w:val="auto"/>
          <w:highlight w:val="none"/>
        </w:rPr>
        <w:t>日</w:t>
      </w:r>
    </w:p>
    <w:p>
      <w:pPr>
        <w:spacing w:after="0"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p>
    <w:p>
      <w:pPr>
        <w:spacing w:after="0" w:line="360" w:lineRule="auto"/>
        <w:ind w:firstLine="4917" w:firstLineChars="2235"/>
        <w:jc w:val="center"/>
        <w:rPr>
          <w:rFonts w:hint="eastAsia" w:ascii="仿宋" w:hAnsi="仿宋" w:eastAsia="仿宋" w:cs="仿宋"/>
          <w:color w:val="auto"/>
        </w:rPr>
        <w:sectPr>
          <w:headerReference r:id="rId10" w:type="first"/>
          <w:footerReference r:id="rId11" w:type="default"/>
          <w:footerReference r:id="rId12" w:type="even"/>
          <w:pgSz w:w="11907" w:h="16840"/>
          <w:pgMar w:top="1134" w:right="1134" w:bottom="1134" w:left="1134" w:header="624" w:footer="737" w:gutter="0"/>
          <w:pgNumType w:start="1"/>
          <w:cols w:space="720" w:num="1"/>
          <w:docGrid w:linePitch="312" w:charSpace="0"/>
        </w:sectPr>
      </w:pPr>
    </w:p>
    <w:p>
      <w:pPr>
        <w:pStyle w:val="3"/>
        <w:rPr>
          <w:rFonts w:hint="eastAsia" w:ascii="仿宋" w:hAnsi="仿宋" w:eastAsia="仿宋" w:cs="仿宋"/>
          <w:b/>
          <w:color w:val="auto"/>
        </w:rPr>
      </w:pPr>
      <w:bookmarkStart w:id="30" w:name="_Toc11703"/>
      <w:bookmarkStart w:id="31" w:name="_Toc14978"/>
      <w:bookmarkStart w:id="32" w:name="_Toc502994521"/>
      <w:bookmarkStart w:id="33" w:name="_Toc511082956"/>
      <w:r>
        <w:rPr>
          <w:rFonts w:hint="eastAsia" w:ascii="仿宋" w:hAnsi="仿宋" w:eastAsia="仿宋" w:cs="仿宋"/>
          <w:b/>
          <w:color w:val="auto"/>
        </w:rPr>
        <w:t>第二章</w:t>
      </w:r>
      <w:bookmarkEnd w:id="11"/>
      <w:bookmarkEnd w:id="12"/>
      <w:bookmarkEnd w:id="13"/>
      <w:r>
        <w:rPr>
          <w:rFonts w:hint="eastAsia" w:ascii="仿宋" w:hAnsi="仿宋" w:eastAsia="仿宋" w:cs="仿宋"/>
          <w:b/>
          <w:color w:val="auto"/>
        </w:rPr>
        <w:t xml:space="preserve">  竞标人须知</w:t>
      </w:r>
      <w:bookmarkEnd w:id="30"/>
      <w:bookmarkEnd w:id="31"/>
      <w:bookmarkEnd w:id="32"/>
      <w:bookmarkEnd w:id="33"/>
    </w:p>
    <w:p>
      <w:pPr>
        <w:spacing w:after="0"/>
        <w:rPr>
          <w:rFonts w:hint="eastAsia" w:ascii="仿宋" w:hAnsi="仿宋" w:eastAsia="仿宋" w:cs="仿宋"/>
          <w:color w:val="auto"/>
        </w:rPr>
      </w:pPr>
    </w:p>
    <w:p>
      <w:pPr>
        <w:pStyle w:val="4"/>
        <w:spacing w:before="120" w:beforeLines="50" w:after="120" w:afterLines="50" w:line="440" w:lineRule="exact"/>
        <w:rPr>
          <w:rFonts w:hint="eastAsia" w:ascii="仿宋" w:hAnsi="仿宋" w:eastAsia="仿宋" w:cs="仿宋"/>
          <w:color w:val="auto"/>
        </w:rPr>
      </w:pPr>
      <w:bookmarkStart w:id="34" w:name="_Toc246094909"/>
      <w:bookmarkStart w:id="35" w:name="_Toc511082957"/>
      <w:bookmarkStart w:id="36" w:name="_Toc246095453"/>
      <w:bookmarkStart w:id="37" w:name="_Toc246095515"/>
      <w:bookmarkStart w:id="38" w:name="_Toc19691"/>
      <w:bookmarkStart w:id="39" w:name="_Toc502994522"/>
      <w:bookmarkStart w:id="40" w:name="_Toc28582"/>
      <w:r>
        <w:rPr>
          <w:rFonts w:hint="eastAsia" w:ascii="仿宋" w:hAnsi="仿宋" w:eastAsia="仿宋" w:cs="仿宋"/>
          <w:color w:val="auto"/>
        </w:rPr>
        <w:t>竞标人须知前附表</w:t>
      </w:r>
      <w:bookmarkEnd w:id="34"/>
      <w:bookmarkEnd w:id="35"/>
      <w:bookmarkEnd w:id="36"/>
      <w:bookmarkEnd w:id="37"/>
      <w:bookmarkEnd w:id="38"/>
      <w:bookmarkEnd w:id="39"/>
      <w:bookmarkEnd w:id="40"/>
    </w:p>
    <w:tbl>
      <w:tblPr>
        <w:tblStyle w:val="48"/>
        <w:tblW w:w="9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532"/>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28" w:type="dxa"/>
            <w:vAlign w:val="center"/>
          </w:tcPr>
          <w:p>
            <w:pPr>
              <w:spacing w:after="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条款号</w:t>
            </w:r>
          </w:p>
        </w:tc>
        <w:tc>
          <w:tcPr>
            <w:tcW w:w="1532" w:type="dxa"/>
            <w:vAlign w:val="center"/>
          </w:tcPr>
          <w:p>
            <w:pPr>
              <w:spacing w:after="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条款名称</w:t>
            </w:r>
          </w:p>
        </w:tc>
        <w:tc>
          <w:tcPr>
            <w:tcW w:w="7229" w:type="dxa"/>
            <w:vAlign w:val="center"/>
          </w:tcPr>
          <w:p>
            <w:pPr>
              <w:spacing w:after="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28" w:type="dxa"/>
            <w:vAlign w:val="center"/>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1532" w:type="dxa"/>
            <w:vAlign w:val="center"/>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采购人</w:t>
            </w:r>
          </w:p>
        </w:tc>
        <w:tc>
          <w:tcPr>
            <w:tcW w:w="7229" w:type="dxa"/>
            <w:vAlign w:val="center"/>
          </w:tcPr>
          <w:p>
            <w:pPr>
              <w:spacing w:after="0"/>
              <w:ind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名称：梧州市人民医院</w:t>
            </w:r>
          </w:p>
          <w:p>
            <w:pPr>
              <w:spacing w:after="0"/>
              <w:ind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地址：梧州市长洲区三龙大道139号</w:t>
            </w:r>
          </w:p>
          <w:p>
            <w:pPr>
              <w:spacing w:after="0"/>
              <w:ind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联系人：覃芍妮</w:t>
            </w:r>
          </w:p>
          <w:p>
            <w:pPr>
              <w:spacing w:after="0"/>
              <w:ind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联系电话：0774-2833676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28" w:type="dxa"/>
            <w:vAlign w:val="center"/>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1.3</w:t>
            </w:r>
          </w:p>
        </w:tc>
        <w:tc>
          <w:tcPr>
            <w:tcW w:w="1532" w:type="dxa"/>
            <w:vAlign w:val="center"/>
          </w:tcPr>
          <w:p>
            <w:pPr>
              <w:spacing w:after="0"/>
              <w:jc w:val="center"/>
              <w:rPr>
                <w:rFonts w:hint="eastAsia" w:ascii="仿宋" w:hAnsi="仿宋" w:eastAsia="仿宋" w:cs="仿宋"/>
                <w:color w:val="auto"/>
                <w:sz w:val="24"/>
                <w:szCs w:val="24"/>
              </w:rPr>
            </w:pPr>
            <w:r>
              <w:rPr>
                <w:rFonts w:hint="eastAsia" w:ascii="仿宋" w:hAnsi="仿宋" w:eastAsia="仿宋" w:cs="仿宋"/>
                <w:bCs/>
                <w:color w:val="auto"/>
                <w:sz w:val="24"/>
                <w:szCs w:val="24"/>
              </w:rPr>
              <w:t>采购代理机构</w:t>
            </w:r>
          </w:p>
        </w:tc>
        <w:tc>
          <w:tcPr>
            <w:tcW w:w="7229" w:type="dxa"/>
            <w:vAlign w:val="center"/>
          </w:tcPr>
          <w:p>
            <w:pPr>
              <w:spacing w:after="0"/>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名称：广西振弘建设管理有限公司　</w:t>
            </w:r>
          </w:p>
          <w:p>
            <w:pPr>
              <w:spacing w:after="0"/>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地址：梧州市新兴三路三号金苑豪庭707室　</w:t>
            </w:r>
          </w:p>
          <w:p>
            <w:pPr>
              <w:spacing w:after="0"/>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联系人：黎先生</w:t>
            </w:r>
          </w:p>
          <w:p>
            <w:pPr>
              <w:spacing w:after="0"/>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联系电话：0774-3889688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28" w:type="dxa"/>
            <w:vAlign w:val="center"/>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1.4</w:t>
            </w:r>
          </w:p>
        </w:tc>
        <w:tc>
          <w:tcPr>
            <w:tcW w:w="1532" w:type="dxa"/>
            <w:vAlign w:val="center"/>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7229" w:type="dxa"/>
            <w:vAlign w:val="center"/>
          </w:tcPr>
          <w:p>
            <w:pPr>
              <w:spacing w:after="0"/>
              <w:ind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lang w:eastAsia="zh-CN"/>
              </w:rPr>
              <w:t>梧州市人民医院新冠肺炎应急医院病区建设项目总承包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28" w:type="dxa"/>
            <w:vAlign w:val="center"/>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1532" w:type="dxa"/>
            <w:vAlign w:val="center"/>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项目编号</w:t>
            </w:r>
          </w:p>
        </w:tc>
        <w:tc>
          <w:tcPr>
            <w:tcW w:w="7229" w:type="dxa"/>
            <w:vAlign w:val="center"/>
          </w:tcPr>
          <w:p>
            <w:pPr>
              <w:spacing w:after="0"/>
              <w:ind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highlight w:val="none"/>
                <w:lang w:eastAsia="zh-CN"/>
              </w:rPr>
              <w:t>WZZC2020-C2-03524-ZHZB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28" w:type="dxa"/>
            <w:vAlign w:val="center"/>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1.6</w:t>
            </w:r>
          </w:p>
        </w:tc>
        <w:tc>
          <w:tcPr>
            <w:tcW w:w="1532" w:type="dxa"/>
            <w:vAlign w:val="center"/>
          </w:tcPr>
          <w:p>
            <w:pPr>
              <w:spacing w:after="0"/>
              <w:jc w:val="center"/>
              <w:rPr>
                <w:rFonts w:hint="eastAsia" w:ascii="仿宋" w:hAnsi="仿宋" w:eastAsia="仿宋" w:cs="仿宋"/>
                <w:color w:val="auto"/>
                <w:sz w:val="24"/>
                <w:szCs w:val="24"/>
                <w:lang w:eastAsia="zh-CN"/>
              </w:rPr>
            </w:pPr>
            <w:r>
              <w:rPr>
                <w:rFonts w:hint="eastAsia" w:ascii="仿宋" w:hAnsi="仿宋" w:eastAsia="仿宋" w:cs="仿宋"/>
                <w:bCs/>
                <w:color w:val="auto"/>
                <w:sz w:val="24"/>
                <w:szCs w:val="24"/>
                <w:lang w:eastAsia="zh-CN"/>
              </w:rPr>
              <w:t>招标控制价</w:t>
            </w:r>
          </w:p>
        </w:tc>
        <w:tc>
          <w:tcPr>
            <w:tcW w:w="7229" w:type="dxa"/>
            <w:vAlign w:val="center"/>
          </w:tcPr>
          <w:p>
            <w:pPr>
              <w:spacing w:after="0" w:line="240" w:lineRule="auto"/>
              <w:ind w:firstLine="240" w:firstLineChars="100"/>
              <w:rPr>
                <w:rFonts w:hint="eastAsia" w:ascii="仿宋" w:hAnsi="仿宋" w:eastAsia="仿宋" w:cs="仿宋"/>
                <w:b w:val="0"/>
                <w:bCs w:val="0"/>
                <w:color w:val="auto"/>
                <w:sz w:val="24"/>
                <w:szCs w:val="24"/>
              </w:rPr>
            </w:pPr>
          </w:p>
          <w:p>
            <w:pPr>
              <w:pStyle w:val="2"/>
              <w:numPr>
                <w:ilvl w:val="0"/>
                <w:numId w:val="2"/>
              </w:numPr>
              <w:spacing w:line="24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采购控制价：人民币</w:t>
            </w:r>
            <w:r>
              <w:rPr>
                <w:rFonts w:hint="eastAsia" w:ascii="仿宋" w:hAnsi="仿宋" w:eastAsia="仿宋" w:cs="仿宋"/>
                <w:b w:val="0"/>
                <w:bCs w:val="0"/>
                <w:color w:val="auto"/>
                <w:sz w:val="24"/>
                <w:szCs w:val="24"/>
                <w:lang w:eastAsia="zh-CN"/>
              </w:rPr>
              <w:t>贰佰玖拾万</w:t>
            </w:r>
            <w:r>
              <w:rPr>
                <w:rFonts w:hint="eastAsia" w:ascii="仿宋" w:hAnsi="仿宋" w:eastAsia="仿宋" w:cs="仿宋"/>
                <w:b w:val="0"/>
                <w:bCs w:val="0"/>
                <w:color w:val="auto"/>
                <w:sz w:val="24"/>
                <w:szCs w:val="24"/>
              </w:rPr>
              <w:t>元整（￥</w:t>
            </w:r>
            <w:r>
              <w:rPr>
                <w:rFonts w:hint="eastAsia" w:ascii="仿宋" w:hAnsi="仿宋" w:eastAsia="仿宋" w:cs="仿宋"/>
                <w:b w:val="0"/>
                <w:bCs w:val="0"/>
                <w:color w:val="auto"/>
                <w:sz w:val="24"/>
                <w:szCs w:val="24"/>
                <w:lang w:val="en-US" w:eastAsia="zh-CN"/>
              </w:rPr>
              <w:t>2900000.00</w:t>
            </w:r>
            <w:r>
              <w:rPr>
                <w:rFonts w:hint="eastAsia" w:ascii="仿宋" w:hAnsi="仿宋" w:eastAsia="仿宋" w:cs="仿宋"/>
                <w:b w:val="0"/>
                <w:bCs w:val="0"/>
                <w:color w:val="auto"/>
                <w:sz w:val="24"/>
                <w:szCs w:val="24"/>
              </w:rPr>
              <w:t>元）</w:t>
            </w:r>
            <w:r>
              <w:rPr>
                <w:rFonts w:hint="eastAsia" w:ascii="仿宋" w:hAnsi="仿宋" w:eastAsia="仿宋" w:cs="仿宋"/>
                <w:b w:val="0"/>
                <w:bCs w:val="0"/>
                <w:color w:val="auto"/>
                <w:sz w:val="24"/>
                <w:szCs w:val="24"/>
                <w:lang w:eastAsia="zh-CN"/>
              </w:rPr>
              <w:t>，其</w:t>
            </w:r>
            <w:r>
              <w:rPr>
                <w:rFonts w:hint="eastAsia" w:ascii="仿宋" w:hAnsi="仿宋" w:eastAsia="仿宋" w:cs="仿宋"/>
                <w:b w:val="0"/>
                <w:bCs w:val="0"/>
                <w:color w:val="auto"/>
                <w:sz w:val="24"/>
                <w:szCs w:val="24"/>
                <w:highlight w:val="none"/>
                <w:lang w:eastAsia="zh-CN"/>
              </w:rPr>
              <w:t>中建筑安装工程费：</w:t>
            </w:r>
            <w:r>
              <w:rPr>
                <w:rFonts w:hint="eastAsia" w:ascii="仿宋" w:hAnsi="仿宋" w:eastAsia="仿宋" w:cs="仿宋"/>
                <w:b w:val="0"/>
                <w:bCs w:val="0"/>
                <w:color w:val="auto"/>
                <w:sz w:val="24"/>
                <w:szCs w:val="24"/>
                <w:highlight w:val="none"/>
                <w:lang w:val="en-US" w:eastAsia="zh-CN"/>
              </w:rPr>
              <w:t>2760800.00</w:t>
            </w:r>
            <w:r>
              <w:rPr>
                <w:rFonts w:hint="eastAsia" w:ascii="仿宋" w:hAnsi="仿宋" w:eastAsia="仿宋" w:cs="仿宋"/>
                <w:b w:val="0"/>
                <w:bCs w:val="0"/>
                <w:color w:val="auto"/>
                <w:sz w:val="24"/>
                <w:szCs w:val="24"/>
                <w:highlight w:val="none"/>
                <w:lang w:eastAsia="zh-CN"/>
              </w:rPr>
              <w:t>元，设计费：</w:t>
            </w:r>
            <w:r>
              <w:rPr>
                <w:rFonts w:hint="eastAsia" w:ascii="仿宋" w:hAnsi="仿宋" w:eastAsia="仿宋" w:cs="仿宋"/>
                <w:b w:val="0"/>
                <w:bCs w:val="0"/>
                <w:color w:val="auto"/>
                <w:sz w:val="24"/>
                <w:szCs w:val="24"/>
                <w:highlight w:val="none"/>
                <w:lang w:val="en-US" w:eastAsia="zh-CN"/>
              </w:rPr>
              <w:t>139200.00</w:t>
            </w:r>
            <w:r>
              <w:rPr>
                <w:rFonts w:hint="eastAsia" w:ascii="仿宋" w:hAnsi="仿宋" w:eastAsia="仿宋" w:cs="仿宋"/>
                <w:b w:val="0"/>
                <w:bCs w:val="0"/>
                <w:color w:val="auto"/>
                <w:sz w:val="24"/>
                <w:szCs w:val="24"/>
                <w:highlight w:val="none"/>
                <w:lang w:eastAsia="zh-CN"/>
              </w:rPr>
              <w:t>元</w:t>
            </w:r>
            <w:r>
              <w:rPr>
                <w:rFonts w:hint="eastAsia" w:ascii="仿宋" w:hAnsi="仿宋" w:eastAsia="仿宋" w:cs="仿宋"/>
                <w:b w:val="0"/>
                <w:bCs w:val="0"/>
                <w:color w:val="auto"/>
                <w:sz w:val="24"/>
                <w:szCs w:val="24"/>
                <w:lang w:eastAsia="zh-CN"/>
              </w:rPr>
              <w:t>。</w:t>
            </w:r>
          </w:p>
          <w:p>
            <w:pPr>
              <w:pStyle w:val="2"/>
              <w:numPr>
                <w:ilvl w:val="0"/>
                <w:numId w:val="0"/>
              </w:numPr>
              <w:spacing w:line="240" w:lineRule="auto"/>
              <w:ind w:right="69" w:rightChars="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2、本工程的计价方式为固定总价（除发包方提供的设备、材料外）。</w:t>
            </w:r>
          </w:p>
          <w:p>
            <w:pPr>
              <w:pStyle w:val="2"/>
              <w:spacing w:line="24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3、磋商报价为供应商在响应文件中提出的各项支付金额的总和。</w:t>
            </w:r>
          </w:p>
          <w:p>
            <w:pPr>
              <w:pStyle w:val="2"/>
              <w:spacing w:line="24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4、供应商的磋商报价由设计费、建筑安装工程费、设备购置费</w:t>
            </w:r>
            <w:r>
              <w:rPr>
                <w:rFonts w:hint="eastAsia" w:ascii="仿宋" w:hAnsi="仿宋" w:eastAsia="仿宋" w:cs="仿宋"/>
                <w:b w:val="0"/>
                <w:bCs w:val="0"/>
                <w:color w:val="auto"/>
                <w:sz w:val="24"/>
                <w:szCs w:val="24"/>
                <w:lang w:eastAsia="zh-CN"/>
              </w:rPr>
              <w:t>（如有）</w:t>
            </w:r>
            <w:r>
              <w:rPr>
                <w:rFonts w:hint="eastAsia" w:ascii="仿宋" w:hAnsi="仿宋" w:eastAsia="仿宋" w:cs="仿宋"/>
                <w:b w:val="0"/>
                <w:bCs w:val="0"/>
                <w:color w:val="auto"/>
                <w:sz w:val="24"/>
                <w:szCs w:val="24"/>
              </w:rPr>
              <w:t>和暂列费用（如有）等组成。</w:t>
            </w:r>
          </w:p>
          <w:p>
            <w:pPr>
              <w:pStyle w:val="2"/>
              <w:spacing w:line="24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暂列费用（如有）指采购人为工程总承包项目预备的用于建设期内不可预见的费用。包括工采购或签订合同（协议）时尚未确定的内容或不可预见的变更设计、施工等增加的费用，以及一般自然灾害处理、地下障碍物处理、超规超限设备运输等发生的费用。暂列费用使用权归属采购人，签订总承包项目合同时，合同总价不包括暂列费用，暂列费用单独列项，为不可竞争费用。</w:t>
            </w:r>
          </w:p>
          <w:p>
            <w:pPr>
              <w:pStyle w:val="2"/>
              <w:spacing w:line="240" w:lineRule="auto"/>
              <w:rPr>
                <w:rFonts w:hint="eastAsia" w:ascii="仿宋" w:hAnsi="仿宋" w:eastAsia="仿宋" w:cs="仿宋"/>
                <w:color w:val="auto"/>
              </w:rPr>
            </w:pPr>
            <w:r>
              <w:rPr>
                <w:rFonts w:hint="eastAsia" w:ascii="仿宋" w:hAnsi="仿宋" w:eastAsia="仿宋" w:cs="仿宋"/>
                <w:b w:val="0"/>
                <w:bCs w:val="0"/>
                <w:color w:val="auto"/>
                <w:sz w:val="24"/>
                <w:szCs w:val="24"/>
              </w:rPr>
              <w:t>5、磋商报价依据本采购文件、国家有关施工规范、规程及国家建设工程质量标准以及本工程实际情况、施工组织设计及企业综合实力。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28" w:type="dxa"/>
            <w:vAlign w:val="center"/>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1.7</w:t>
            </w:r>
          </w:p>
        </w:tc>
        <w:tc>
          <w:tcPr>
            <w:tcW w:w="1532" w:type="dxa"/>
            <w:vAlign w:val="center"/>
          </w:tcPr>
          <w:p>
            <w:pPr>
              <w:spacing w:after="0"/>
              <w:jc w:val="center"/>
              <w:rPr>
                <w:rFonts w:hint="eastAsia" w:ascii="仿宋" w:hAnsi="仿宋" w:eastAsia="仿宋" w:cs="仿宋"/>
                <w:color w:val="auto"/>
                <w:sz w:val="24"/>
                <w:szCs w:val="24"/>
              </w:rPr>
            </w:pPr>
            <w:r>
              <w:rPr>
                <w:rFonts w:hint="eastAsia" w:ascii="仿宋" w:hAnsi="仿宋" w:eastAsia="仿宋" w:cs="仿宋"/>
                <w:bCs/>
                <w:color w:val="auto"/>
                <w:sz w:val="24"/>
                <w:szCs w:val="24"/>
              </w:rPr>
              <w:t>资金来源</w:t>
            </w:r>
          </w:p>
        </w:tc>
        <w:tc>
          <w:tcPr>
            <w:tcW w:w="7229" w:type="dxa"/>
            <w:vAlign w:val="center"/>
          </w:tcPr>
          <w:p>
            <w:pPr>
              <w:spacing w:after="0"/>
              <w:rPr>
                <w:rFonts w:hint="eastAsia" w:ascii="仿宋" w:hAnsi="仿宋" w:eastAsia="仿宋" w:cs="仿宋"/>
                <w:color w:val="auto"/>
                <w:sz w:val="24"/>
                <w:szCs w:val="24"/>
              </w:rPr>
            </w:pPr>
            <w:r>
              <w:rPr>
                <w:rFonts w:hint="eastAsia" w:ascii="仿宋" w:hAnsi="仿宋" w:eastAsia="仿宋" w:cs="仿宋"/>
                <w:color w:val="auto"/>
                <w:sz w:val="24"/>
                <w:szCs w:val="24"/>
              </w:rPr>
              <w:t>资金来源为2020年抗疫特别国债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5" w:hRule="atLeast"/>
          <w:tblHeader/>
          <w:jc w:val="center"/>
        </w:trPr>
        <w:tc>
          <w:tcPr>
            <w:tcW w:w="928" w:type="dxa"/>
            <w:vAlign w:val="center"/>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3.1</w:t>
            </w:r>
          </w:p>
        </w:tc>
        <w:tc>
          <w:tcPr>
            <w:tcW w:w="1532" w:type="dxa"/>
            <w:vAlign w:val="center"/>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竞标人的资格条件</w:t>
            </w:r>
          </w:p>
        </w:tc>
        <w:tc>
          <w:tcPr>
            <w:tcW w:w="7229" w:type="dxa"/>
            <w:vAlign w:val="center"/>
          </w:tcPr>
          <w:p>
            <w:pPr>
              <w:spacing w:after="0"/>
              <w:ind w:firstLine="240" w:firstLineChars="100"/>
              <w:rPr>
                <w:rFonts w:hint="eastAsia" w:ascii="仿宋" w:hAnsi="仿宋" w:eastAsia="仿宋" w:cs="仿宋"/>
                <w:bCs/>
                <w:color w:val="auto"/>
                <w:sz w:val="24"/>
                <w:szCs w:val="24"/>
              </w:rPr>
            </w:pPr>
            <w:r>
              <w:rPr>
                <w:rFonts w:hint="eastAsia" w:ascii="仿宋" w:hAnsi="仿宋" w:eastAsia="仿宋" w:cs="仿宋"/>
                <w:bCs/>
                <w:color w:val="auto"/>
                <w:sz w:val="24"/>
                <w:szCs w:val="24"/>
              </w:rPr>
              <w:t>申请人的资格要求：</w:t>
            </w:r>
          </w:p>
          <w:p>
            <w:pPr>
              <w:spacing w:after="0"/>
              <w:ind w:firstLine="240" w:firstLineChars="100"/>
              <w:rPr>
                <w:rFonts w:hint="eastAsia" w:ascii="仿宋" w:hAnsi="仿宋" w:eastAsia="仿宋" w:cs="仿宋"/>
                <w:bCs/>
                <w:color w:val="auto"/>
                <w:sz w:val="24"/>
                <w:szCs w:val="24"/>
              </w:rPr>
            </w:pPr>
            <w:r>
              <w:rPr>
                <w:rFonts w:hint="eastAsia" w:ascii="仿宋" w:hAnsi="仿宋" w:eastAsia="仿宋" w:cs="仿宋"/>
                <w:bCs/>
                <w:color w:val="auto"/>
                <w:sz w:val="24"/>
                <w:szCs w:val="24"/>
              </w:rPr>
              <w:t>1、满足《中华人民共和国政府采购法》第二十二条规定。</w:t>
            </w:r>
          </w:p>
          <w:p>
            <w:pPr>
              <w:spacing w:after="0"/>
              <w:ind w:firstLine="240" w:firstLineChars="100"/>
              <w:rPr>
                <w:rFonts w:hint="eastAsia" w:ascii="仿宋" w:hAnsi="仿宋" w:eastAsia="仿宋" w:cs="仿宋"/>
                <w:bCs/>
                <w:color w:val="auto"/>
                <w:sz w:val="24"/>
                <w:szCs w:val="24"/>
              </w:rPr>
            </w:pPr>
            <w:r>
              <w:rPr>
                <w:rFonts w:hint="eastAsia" w:ascii="仿宋" w:hAnsi="仿宋" w:eastAsia="仿宋" w:cs="仿宋"/>
                <w:bCs/>
                <w:color w:val="auto"/>
                <w:sz w:val="24"/>
                <w:szCs w:val="24"/>
              </w:rPr>
              <w:t>2、落实政府采购政策需满足的资格要求：无。</w:t>
            </w:r>
          </w:p>
          <w:p>
            <w:pPr>
              <w:spacing w:after="0"/>
              <w:ind w:firstLine="240" w:firstLineChars="100"/>
              <w:rPr>
                <w:rFonts w:hint="eastAsia" w:ascii="仿宋" w:hAnsi="仿宋" w:eastAsia="仿宋" w:cs="仿宋"/>
                <w:bCs/>
                <w:color w:val="auto"/>
                <w:sz w:val="24"/>
                <w:szCs w:val="24"/>
              </w:rPr>
            </w:pPr>
            <w:r>
              <w:rPr>
                <w:rFonts w:hint="eastAsia" w:ascii="仿宋" w:hAnsi="仿宋" w:eastAsia="仿宋" w:cs="仿宋"/>
                <w:bCs/>
                <w:color w:val="auto"/>
                <w:sz w:val="24"/>
                <w:szCs w:val="24"/>
              </w:rPr>
              <w:t>3、供应商的特定要求：</w:t>
            </w:r>
          </w:p>
          <w:p>
            <w:pPr>
              <w:spacing w:after="0"/>
              <w:ind w:firstLine="240" w:firstLineChars="100"/>
              <w:rPr>
                <w:rFonts w:hint="eastAsia" w:ascii="仿宋" w:hAnsi="仿宋" w:eastAsia="仿宋" w:cs="仿宋"/>
                <w:bCs/>
                <w:color w:val="auto"/>
                <w:sz w:val="24"/>
                <w:szCs w:val="24"/>
              </w:rPr>
            </w:pPr>
            <w:r>
              <w:rPr>
                <w:rFonts w:hint="eastAsia" w:ascii="仿宋" w:hAnsi="仿宋" w:eastAsia="仿宋" w:cs="仿宋"/>
                <w:bCs/>
                <w:color w:val="auto"/>
                <w:sz w:val="24"/>
                <w:szCs w:val="24"/>
              </w:rPr>
              <w:t>（1）资质条件：</w:t>
            </w:r>
          </w:p>
          <w:p>
            <w:pPr>
              <w:spacing w:after="0"/>
              <w:ind w:firstLine="240" w:firstLineChars="100"/>
              <w:rPr>
                <w:rFonts w:hint="eastAsia" w:ascii="仿宋" w:hAnsi="仿宋" w:eastAsia="仿宋" w:cs="仿宋"/>
                <w:bCs/>
                <w:color w:val="auto"/>
                <w:sz w:val="24"/>
                <w:szCs w:val="24"/>
              </w:rPr>
            </w:pPr>
            <w:r>
              <w:rPr>
                <w:rFonts w:hint="eastAsia" w:ascii="仿宋" w:hAnsi="仿宋" w:eastAsia="仿宋" w:cs="仿宋"/>
                <w:bCs/>
                <w:color w:val="auto"/>
                <w:sz w:val="24"/>
                <w:szCs w:val="24"/>
              </w:rPr>
              <w:t>设计资质要求：具备建筑行业（建筑工程）设计丙级及以上资质或工程设计综合资质；</w:t>
            </w:r>
          </w:p>
          <w:p>
            <w:pPr>
              <w:spacing w:after="0"/>
              <w:ind w:firstLine="240" w:firstLineChars="100"/>
              <w:rPr>
                <w:rFonts w:hint="eastAsia" w:ascii="仿宋" w:hAnsi="仿宋" w:eastAsia="仿宋" w:cs="仿宋"/>
                <w:bCs/>
                <w:color w:val="auto"/>
                <w:sz w:val="24"/>
                <w:szCs w:val="24"/>
              </w:rPr>
            </w:pPr>
            <w:r>
              <w:rPr>
                <w:rFonts w:hint="eastAsia" w:ascii="仿宋" w:hAnsi="仿宋" w:eastAsia="仿宋" w:cs="仿宋"/>
                <w:bCs/>
                <w:color w:val="auto"/>
                <w:sz w:val="24"/>
                <w:szCs w:val="24"/>
              </w:rPr>
              <w:t>施工资质要求：具备建筑工程施工总承包三级及以上资质，具备有效的安全生产许可证。</w:t>
            </w:r>
          </w:p>
          <w:p>
            <w:pPr>
              <w:spacing w:after="0"/>
              <w:ind w:firstLine="240" w:firstLineChars="100"/>
              <w:rPr>
                <w:rFonts w:hint="eastAsia" w:ascii="仿宋" w:hAnsi="仿宋" w:eastAsia="仿宋" w:cs="仿宋"/>
                <w:bCs/>
                <w:color w:val="auto"/>
                <w:sz w:val="24"/>
                <w:szCs w:val="24"/>
              </w:rPr>
            </w:pPr>
            <w:r>
              <w:rPr>
                <w:rFonts w:hint="eastAsia" w:ascii="仿宋" w:hAnsi="仿宋" w:eastAsia="仿宋" w:cs="仿宋"/>
                <w:bCs/>
                <w:color w:val="auto"/>
                <w:sz w:val="24"/>
                <w:szCs w:val="24"/>
              </w:rPr>
              <w:t>供应商要在人员、设备、资金等方面具备相应的履约能力。供应商（如为联合体竞标的要求其联合体中施工单位）已录入广西建筑业企业诚信信息库并处于有效状态。</w:t>
            </w:r>
          </w:p>
          <w:p>
            <w:pPr>
              <w:spacing w:after="0"/>
              <w:ind w:firstLine="240" w:firstLineChars="100"/>
              <w:rPr>
                <w:rFonts w:hint="eastAsia" w:ascii="仿宋" w:hAnsi="仿宋" w:eastAsia="仿宋" w:cs="仿宋"/>
                <w:bCs/>
                <w:color w:val="auto"/>
                <w:sz w:val="24"/>
                <w:szCs w:val="24"/>
              </w:rPr>
            </w:pPr>
            <w:r>
              <w:rPr>
                <w:rFonts w:hint="eastAsia" w:ascii="仿宋" w:hAnsi="仿宋" w:eastAsia="仿宋" w:cs="仿宋"/>
                <w:bCs/>
                <w:color w:val="auto"/>
                <w:sz w:val="24"/>
                <w:szCs w:val="24"/>
              </w:rPr>
              <w:t>（2）拟投入人员要求：</w:t>
            </w:r>
          </w:p>
          <w:p>
            <w:pPr>
              <w:spacing w:after="0"/>
              <w:ind w:firstLine="240" w:firstLineChars="100"/>
              <w:rPr>
                <w:rFonts w:hint="eastAsia" w:ascii="仿宋" w:hAnsi="仿宋" w:eastAsia="仿宋" w:cs="仿宋"/>
                <w:bCs/>
                <w:color w:val="auto"/>
                <w:sz w:val="24"/>
                <w:szCs w:val="24"/>
              </w:rPr>
            </w:pPr>
            <w:r>
              <w:rPr>
                <w:rFonts w:hint="eastAsia" w:ascii="仿宋" w:hAnsi="仿宋" w:eastAsia="仿宋" w:cs="仿宋"/>
                <w:bCs/>
                <w:color w:val="auto"/>
                <w:sz w:val="24"/>
                <w:szCs w:val="24"/>
              </w:rPr>
              <w:t>工程总承包项目经理（项目总负责人）：具有二级注册建造师执业资格或二级注册结构工程师执业资格和中级或以上职称。</w:t>
            </w:r>
          </w:p>
          <w:p>
            <w:pPr>
              <w:spacing w:after="0"/>
              <w:ind w:firstLine="240" w:firstLineChars="100"/>
              <w:rPr>
                <w:rFonts w:hint="eastAsia" w:ascii="仿宋" w:hAnsi="仿宋" w:eastAsia="仿宋" w:cs="仿宋"/>
                <w:bCs/>
                <w:color w:val="auto"/>
                <w:sz w:val="24"/>
                <w:szCs w:val="24"/>
              </w:rPr>
            </w:pPr>
            <w:r>
              <w:rPr>
                <w:rFonts w:hint="eastAsia" w:ascii="仿宋" w:hAnsi="仿宋" w:eastAsia="仿宋" w:cs="仿宋"/>
                <w:bCs/>
                <w:color w:val="auto"/>
                <w:sz w:val="24"/>
                <w:szCs w:val="24"/>
              </w:rPr>
              <w:t>项目设计负责人：具备二级及以上注册建筑师执业资格。</w:t>
            </w:r>
          </w:p>
          <w:p>
            <w:pPr>
              <w:spacing w:after="0"/>
              <w:ind w:firstLine="240" w:firstLineChars="100"/>
              <w:rPr>
                <w:rFonts w:hint="eastAsia" w:ascii="仿宋" w:hAnsi="仿宋" w:eastAsia="仿宋" w:cs="仿宋"/>
                <w:bCs/>
                <w:color w:val="auto"/>
                <w:sz w:val="24"/>
                <w:szCs w:val="24"/>
              </w:rPr>
            </w:pPr>
            <w:r>
              <w:rPr>
                <w:rFonts w:hint="eastAsia" w:ascii="仿宋" w:hAnsi="仿宋" w:eastAsia="仿宋" w:cs="仿宋"/>
                <w:bCs/>
                <w:color w:val="auto"/>
                <w:sz w:val="24"/>
                <w:szCs w:val="24"/>
              </w:rPr>
              <w:t>施工项目负责人：具备建筑工程专业二级及以上注册建造师执业资格。已录入广西建筑业企业诚信信息库并处于有效状态，具备有效的安全生产考核合格证书（B类）。本项目不接受有在建、已中标未开工或已列为其他项目中标候选人第一名的建造师作为项目经理（符合《广西壮族自治区建筑市场诚信卡管理暂行办法》第十六条第一款除外）。</w:t>
            </w:r>
          </w:p>
          <w:p>
            <w:pPr>
              <w:spacing w:after="0"/>
              <w:ind w:firstLine="240" w:firstLineChars="100"/>
              <w:rPr>
                <w:rFonts w:hint="eastAsia" w:ascii="仿宋" w:hAnsi="仿宋" w:eastAsia="仿宋" w:cs="仿宋"/>
                <w:bCs/>
                <w:color w:val="auto"/>
                <w:sz w:val="24"/>
                <w:szCs w:val="24"/>
              </w:rPr>
            </w:pPr>
            <w:r>
              <w:rPr>
                <w:rFonts w:hint="eastAsia" w:ascii="仿宋" w:hAnsi="仿宋" w:eastAsia="仿宋" w:cs="仿宋"/>
                <w:bCs/>
                <w:color w:val="auto"/>
                <w:sz w:val="24"/>
                <w:szCs w:val="24"/>
              </w:rPr>
              <w:t>专职安全员：已录入广西建筑业企业诚信信息库并处于有效状态，具备有效的专职安全员安全生产考核合格证书（C类）。</w:t>
            </w:r>
          </w:p>
          <w:p>
            <w:pPr>
              <w:spacing w:after="0"/>
              <w:ind w:firstLine="240" w:firstLineChars="100"/>
              <w:rPr>
                <w:rFonts w:hint="eastAsia" w:ascii="仿宋" w:hAnsi="仿宋" w:eastAsia="仿宋" w:cs="仿宋"/>
                <w:bCs/>
                <w:color w:val="auto"/>
                <w:sz w:val="24"/>
                <w:szCs w:val="24"/>
              </w:rPr>
            </w:pPr>
            <w:r>
              <w:rPr>
                <w:rFonts w:hint="eastAsia" w:ascii="仿宋" w:hAnsi="仿宋" w:eastAsia="仿宋" w:cs="仿宋"/>
                <w:bCs/>
                <w:color w:val="auto"/>
                <w:sz w:val="24"/>
                <w:szCs w:val="24"/>
              </w:rPr>
              <w:t>4、信用要求：</w:t>
            </w:r>
          </w:p>
          <w:p>
            <w:pPr>
              <w:spacing w:after="0"/>
              <w:ind w:firstLine="240" w:firstLineChars="100"/>
              <w:rPr>
                <w:rFonts w:hint="eastAsia" w:ascii="仿宋" w:hAnsi="仿宋" w:eastAsia="仿宋" w:cs="仿宋"/>
                <w:bCs/>
                <w:color w:val="auto"/>
                <w:sz w:val="24"/>
                <w:szCs w:val="24"/>
              </w:rPr>
            </w:pPr>
            <w:r>
              <w:rPr>
                <w:rFonts w:hint="eastAsia" w:ascii="仿宋" w:hAnsi="仿宋" w:eastAsia="仿宋" w:cs="仿宋"/>
                <w:bCs/>
                <w:color w:val="auto"/>
                <w:sz w:val="24"/>
                <w:szCs w:val="24"/>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after="0"/>
              <w:ind w:firstLine="240" w:firstLineChars="100"/>
              <w:rPr>
                <w:rFonts w:hint="eastAsia" w:ascii="仿宋" w:hAnsi="仿宋" w:eastAsia="仿宋" w:cs="仿宋"/>
                <w:bCs/>
                <w:color w:val="auto"/>
                <w:sz w:val="24"/>
                <w:szCs w:val="24"/>
              </w:rPr>
            </w:pPr>
            <w:r>
              <w:rPr>
                <w:rFonts w:hint="eastAsia" w:ascii="仿宋" w:hAnsi="仿宋" w:eastAsia="仿宋" w:cs="仿宋"/>
                <w:bCs/>
                <w:color w:val="auto"/>
                <w:sz w:val="24"/>
                <w:szCs w:val="24"/>
              </w:rPr>
              <w:t>5、供应商回避要求：</w:t>
            </w:r>
          </w:p>
          <w:p>
            <w:pPr>
              <w:spacing w:after="0"/>
              <w:ind w:firstLine="240" w:firstLineChars="100"/>
              <w:rPr>
                <w:rFonts w:hint="eastAsia" w:ascii="仿宋" w:hAnsi="仿宋" w:eastAsia="仿宋" w:cs="仿宋"/>
                <w:bCs/>
                <w:color w:val="auto"/>
                <w:sz w:val="24"/>
                <w:szCs w:val="24"/>
              </w:rPr>
            </w:pPr>
            <w:r>
              <w:rPr>
                <w:rFonts w:hint="eastAsia" w:ascii="仿宋" w:hAnsi="仿宋" w:eastAsia="仿宋" w:cs="仿宋"/>
                <w:bCs/>
                <w:color w:val="auto"/>
                <w:sz w:val="24"/>
                <w:szCs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28" w:type="dxa"/>
            <w:vAlign w:val="center"/>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3.3</w:t>
            </w:r>
          </w:p>
        </w:tc>
        <w:tc>
          <w:tcPr>
            <w:tcW w:w="1532" w:type="dxa"/>
            <w:vAlign w:val="center"/>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联合体</w:t>
            </w:r>
          </w:p>
        </w:tc>
        <w:tc>
          <w:tcPr>
            <w:tcW w:w="7229" w:type="dxa"/>
            <w:vAlign w:val="center"/>
          </w:tcPr>
          <w:p>
            <w:pPr>
              <w:spacing w:after="0"/>
              <w:rPr>
                <w:rFonts w:hint="eastAsia" w:ascii="仿宋" w:hAnsi="仿宋" w:eastAsia="仿宋" w:cs="仿宋"/>
                <w:bCs/>
                <w:color w:val="auto"/>
                <w:sz w:val="24"/>
                <w:szCs w:val="24"/>
              </w:rPr>
            </w:pPr>
            <w:r>
              <w:rPr>
                <w:rFonts w:hint="eastAsia" w:ascii="仿宋" w:hAnsi="仿宋" w:eastAsia="仿宋" w:cs="仿宋"/>
                <w:b/>
                <w:bCs w:val="0"/>
                <w:color w:val="auto"/>
                <w:sz w:val="24"/>
                <w:szCs w:val="24"/>
              </w:rPr>
              <w:t>本项目接受联合体参与磋商。联合体竞标的，应满足下列要求：</w:t>
            </w:r>
          </w:p>
          <w:p>
            <w:pPr>
              <w:spacing w:after="0"/>
              <w:ind w:firstLine="240" w:firstLineChars="100"/>
              <w:rPr>
                <w:rFonts w:hint="eastAsia" w:ascii="仿宋" w:hAnsi="仿宋" w:eastAsia="仿宋" w:cs="仿宋"/>
                <w:bCs/>
                <w:color w:val="auto"/>
                <w:sz w:val="24"/>
                <w:szCs w:val="24"/>
              </w:rPr>
            </w:pPr>
            <w:r>
              <w:rPr>
                <w:rFonts w:hint="eastAsia" w:ascii="仿宋" w:hAnsi="仿宋" w:eastAsia="仿宋" w:cs="仿宋"/>
                <w:bCs/>
                <w:color w:val="auto"/>
                <w:sz w:val="24"/>
                <w:szCs w:val="24"/>
              </w:rPr>
              <w:t>（1）本项目接受联合体竞标。联合体成员可由设计和施工单位组成，联合体成员不能超过2家（含2家)。联合体各方均应符合“具有独立法人资格”、“具有独立承担民事责任的能力”的条件，施工单位必须具备有效的安全生产许可证。</w:t>
            </w:r>
          </w:p>
          <w:p>
            <w:pPr>
              <w:spacing w:after="0"/>
              <w:ind w:firstLine="240" w:firstLineChars="100"/>
              <w:rPr>
                <w:rFonts w:hint="eastAsia" w:ascii="仿宋" w:hAnsi="仿宋" w:eastAsia="仿宋" w:cs="仿宋"/>
                <w:bCs/>
                <w:color w:val="auto"/>
                <w:sz w:val="24"/>
                <w:szCs w:val="24"/>
              </w:rPr>
            </w:pPr>
            <w:r>
              <w:rPr>
                <w:rFonts w:hint="eastAsia" w:ascii="仿宋" w:hAnsi="仿宋" w:eastAsia="仿宋" w:cs="仿宋"/>
                <w:bCs/>
                <w:color w:val="auto"/>
                <w:sz w:val="24"/>
                <w:szCs w:val="24"/>
              </w:rPr>
              <w:t>（2）联合体各方应当签订联合体协议书，并由牵头人代表联合体各方成员负责竞标和合同实施阶段的主办、协调工作，但联合体其他成员在竞标、签约与履行合同过程中，仍负有连带的和各自的法律责任。</w:t>
            </w:r>
          </w:p>
          <w:p>
            <w:pPr>
              <w:spacing w:after="0"/>
              <w:ind w:firstLine="240" w:firstLineChars="100"/>
              <w:rPr>
                <w:rFonts w:hint="eastAsia" w:ascii="仿宋" w:hAnsi="仿宋" w:eastAsia="仿宋" w:cs="仿宋"/>
                <w:bCs/>
                <w:color w:val="auto"/>
                <w:sz w:val="24"/>
                <w:szCs w:val="24"/>
              </w:rPr>
            </w:pPr>
            <w:r>
              <w:rPr>
                <w:rFonts w:hint="eastAsia" w:ascii="仿宋" w:hAnsi="仿宋" w:eastAsia="仿宋" w:cs="仿宋"/>
                <w:bCs/>
                <w:color w:val="auto"/>
                <w:sz w:val="24"/>
                <w:szCs w:val="24"/>
              </w:rPr>
              <w:t>（3）组成联合体进行竞标的设计或施工单位不得再以自己的名义单独参与同一分标的竞标，也不得组成新的联合体参与同一分标的竞标。</w:t>
            </w:r>
          </w:p>
          <w:p>
            <w:pPr>
              <w:spacing w:after="0"/>
              <w:ind w:firstLine="240" w:firstLineChars="100"/>
              <w:rPr>
                <w:rFonts w:hint="eastAsia" w:ascii="仿宋" w:hAnsi="仿宋" w:eastAsia="仿宋" w:cs="仿宋"/>
                <w:bCs/>
                <w:color w:val="auto"/>
                <w:sz w:val="24"/>
                <w:szCs w:val="24"/>
              </w:rPr>
            </w:pPr>
            <w:r>
              <w:rPr>
                <w:rFonts w:hint="eastAsia" w:ascii="仿宋" w:hAnsi="仿宋" w:eastAsia="仿宋" w:cs="仿宋"/>
                <w:bCs/>
                <w:color w:val="auto"/>
                <w:sz w:val="24"/>
                <w:szCs w:val="24"/>
              </w:rPr>
              <w:t>（4）联合体各方应分别在人员、设备、资金等方面具有承担本项目联合体协议书分工职责范围内的履约能力。</w:t>
            </w:r>
          </w:p>
          <w:p>
            <w:pPr>
              <w:spacing w:after="0"/>
              <w:ind w:firstLine="240" w:firstLineChars="100"/>
              <w:rPr>
                <w:rFonts w:hint="eastAsia" w:ascii="仿宋" w:hAnsi="仿宋" w:eastAsia="仿宋" w:cs="仿宋"/>
                <w:bCs/>
                <w:color w:val="auto"/>
                <w:sz w:val="24"/>
                <w:szCs w:val="24"/>
              </w:rPr>
            </w:pPr>
            <w:r>
              <w:rPr>
                <w:rFonts w:hint="eastAsia" w:ascii="仿宋" w:hAnsi="仿宋" w:eastAsia="仿宋" w:cs="仿宋"/>
                <w:bCs/>
                <w:color w:val="auto"/>
                <w:sz w:val="24"/>
                <w:szCs w:val="24"/>
              </w:rPr>
              <w:t>（5）联合体中有同类资质的企业按照联合体协议书分工承担相同工作的，应当按照资质等级较低的企业确定联合体资质等级。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28" w:type="dxa"/>
            <w:vAlign w:val="center"/>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6.1</w:t>
            </w:r>
          </w:p>
        </w:tc>
        <w:tc>
          <w:tcPr>
            <w:tcW w:w="1532" w:type="dxa"/>
            <w:vAlign w:val="center"/>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现场勘查</w:t>
            </w:r>
          </w:p>
        </w:tc>
        <w:tc>
          <w:tcPr>
            <w:tcW w:w="7229" w:type="dxa"/>
            <w:vAlign w:val="center"/>
          </w:tcPr>
          <w:p>
            <w:pPr>
              <w:spacing w:after="0"/>
              <w:ind w:firstLine="240" w:firstLineChars="100"/>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rPr>
              <w:t>自行</w:t>
            </w:r>
            <w:r>
              <w:rPr>
                <w:rFonts w:hint="eastAsia" w:ascii="仿宋" w:hAnsi="仿宋" w:eastAsia="仿宋" w:cs="仿宋"/>
                <w:bCs/>
                <w:color w:val="auto"/>
                <w:sz w:val="24"/>
                <w:szCs w:val="24"/>
              </w:rPr>
              <w:t>勘查。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28" w:type="dxa"/>
            <w:vAlign w:val="center"/>
          </w:tcPr>
          <w:p>
            <w:pPr>
              <w:spacing w:after="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10.0</w:t>
            </w:r>
          </w:p>
        </w:tc>
        <w:tc>
          <w:tcPr>
            <w:tcW w:w="1532" w:type="dxa"/>
            <w:vAlign w:val="center"/>
          </w:tcPr>
          <w:p>
            <w:pPr>
              <w:spacing w:after="0"/>
              <w:jc w:val="center"/>
              <w:rPr>
                <w:rFonts w:hint="eastAsia" w:ascii="仿宋" w:hAnsi="仿宋" w:eastAsia="仿宋" w:cs="仿宋"/>
                <w:color w:val="auto"/>
                <w:sz w:val="24"/>
                <w:szCs w:val="24"/>
                <w:lang w:eastAsia="zh-CN"/>
              </w:rPr>
            </w:pPr>
            <w:r>
              <w:rPr>
                <w:rFonts w:hint="eastAsia" w:ascii="仿宋" w:hAnsi="仿宋" w:eastAsia="仿宋" w:cs="仿宋"/>
                <w:bCs/>
                <w:color w:val="auto"/>
                <w:sz w:val="24"/>
                <w:szCs w:val="24"/>
              </w:rPr>
              <w:t>竞争性磋商响应文件组成</w:t>
            </w:r>
            <w:r>
              <w:rPr>
                <w:rFonts w:hint="eastAsia" w:ascii="仿宋" w:hAnsi="仿宋" w:eastAsia="仿宋" w:cs="仿宋"/>
                <w:bCs/>
                <w:color w:val="auto"/>
                <w:sz w:val="24"/>
                <w:szCs w:val="24"/>
                <w:lang w:eastAsia="zh-CN"/>
              </w:rPr>
              <w:t>部分</w:t>
            </w:r>
          </w:p>
        </w:tc>
        <w:tc>
          <w:tcPr>
            <w:tcW w:w="7229" w:type="dxa"/>
            <w:vAlign w:val="center"/>
          </w:tcPr>
          <w:p>
            <w:pPr>
              <w:spacing w:after="0"/>
              <w:ind w:firstLine="240" w:firstLineChars="100"/>
              <w:rPr>
                <w:rFonts w:hint="eastAsia" w:ascii="仿宋" w:hAnsi="仿宋" w:eastAsia="仿宋" w:cs="仿宋"/>
                <w:bCs/>
                <w:color w:val="auto"/>
                <w:sz w:val="24"/>
                <w:szCs w:val="24"/>
              </w:rPr>
            </w:pPr>
            <w:r>
              <w:rPr>
                <w:rFonts w:hint="eastAsia" w:ascii="仿宋" w:hAnsi="仿宋" w:eastAsia="仿宋" w:cs="仿宋"/>
                <w:bCs/>
                <w:color w:val="auto"/>
                <w:sz w:val="24"/>
                <w:szCs w:val="24"/>
              </w:rPr>
              <w:t>竞争性磋商响应文件组成：由</w:t>
            </w:r>
            <w:r>
              <w:rPr>
                <w:rFonts w:hint="eastAsia" w:ascii="仿宋" w:hAnsi="仿宋" w:eastAsia="仿宋" w:cs="仿宋"/>
                <w:bCs/>
                <w:color w:val="auto"/>
                <w:sz w:val="24"/>
                <w:szCs w:val="24"/>
                <w:lang w:eastAsia="zh-CN"/>
              </w:rPr>
              <w:t>报价部分、资格证明部分、</w:t>
            </w:r>
            <w:r>
              <w:rPr>
                <w:rFonts w:hint="eastAsia" w:ascii="仿宋" w:hAnsi="仿宋" w:eastAsia="仿宋" w:cs="仿宋"/>
                <w:bCs/>
                <w:color w:val="auto"/>
                <w:sz w:val="24"/>
                <w:szCs w:val="24"/>
              </w:rPr>
              <w:t>商务部分、技术部分</w:t>
            </w:r>
            <w:r>
              <w:rPr>
                <w:rFonts w:hint="eastAsia" w:ascii="仿宋" w:hAnsi="仿宋" w:eastAsia="仿宋" w:cs="仿宋"/>
                <w:bCs/>
                <w:color w:val="auto"/>
                <w:sz w:val="24"/>
                <w:szCs w:val="24"/>
                <w:lang w:eastAsia="zh-CN"/>
              </w:rPr>
              <w:t>四</w:t>
            </w:r>
            <w:r>
              <w:rPr>
                <w:rFonts w:hint="eastAsia" w:ascii="仿宋" w:hAnsi="仿宋" w:eastAsia="仿宋" w:cs="仿宋"/>
                <w:bCs/>
                <w:color w:val="auto"/>
                <w:sz w:val="24"/>
                <w:szCs w:val="24"/>
              </w:rPr>
              <w:t>部分组成，要求装订成同一册。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28" w:type="dxa"/>
            <w:vAlign w:val="center"/>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10.1</w:t>
            </w:r>
          </w:p>
        </w:tc>
        <w:tc>
          <w:tcPr>
            <w:tcW w:w="1532" w:type="dxa"/>
            <w:vAlign w:val="center"/>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响应文件报价部分</w:t>
            </w:r>
          </w:p>
        </w:tc>
        <w:tc>
          <w:tcPr>
            <w:tcW w:w="7229" w:type="dxa"/>
            <w:vAlign w:val="center"/>
          </w:tcPr>
          <w:p>
            <w:pPr>
              <w:spacing w:after="0"/>
              <w:ind w:left="44" w:leftChars="20" w:right="44" w:rightChars="20" w:firstLine="241" w:firstLineChars="100"/>
              <w:rPr>
                <w:rFonts w:hint="eastAsia" w:ascii="仿宋" w:hAnsi="仿宋" w:eastAsia="仿宋" w:cs="仿宋"/>
                <w:b/>
                <w:bCs/>
                <w:color w:val="auto"/>
                <w:sz w:val="24"/>
                <w:szCs w:val="24"/>
              </w:rPr>
            </w:pPr>
            <w:r>
              <w:rPr>
                <w:rFonts w:hint="eastAsia" w:ascii="仿宋" w:hAnsi="仿宋" w:eastAsia="仿宋" w:cs="仿宋"/>
                <w:b/>
                <w:bCs/>
                <w:color w:val="auto"/>
                <w:sz w:val="24"/>
                <w:szCs w:val="24"/>
              </w:rPr>
              <w:t>响应文件报价部分：</w:t>
            </w:r>
          </w:p>
          <w:p>
            <w:pPr>
              <w:tabs>
                <w:tab w:val="left" w:pos="459"/>
              </w:tabs>
              <w:spacing w:after="0"/>
              <w:ind w:left="44" w:leftChars="20" w:right="44" w:rightChars="2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1、磋商函（按第六章响应文件格式编制）；</w:t>
            </w:r>
          </w:p>
          <w:p>
            <w:pPr>
              <w:tabs>
                <w:tab w:val="left" w:pos="459"/>
              </w:tabs>
              <w:spacing w:after="0"/>
              <w:ind w:left="44" w:leftChars="20" w:right="44" w:rightChars="20" w:firstLine="240" w:firstLineChars="100"/>
              <w:rPr>
                <w:rFonts w:hint="eastAsia" w:ascii="仿宋" w:hAnsi="仿宋" w:eastAsia="仿宋" w:cs="仿宋"/>
                <w:dstrike/>
                <w:color w:val="auto"/>
                <w:sz w:val="24"/>
                <w:szCs w:val="24"/>
              </w:rPr>
            </w:pPr>
            <w:r>
              <w:rPr>
                <w:rFonts w:hint="eastAsia" w:ascii="仿宋" w:hAnsi="仿宋" w:eastAsia="仿宋" w:cs="仿宋"/>
                <w:color w:val="auto"/>
                <w:sz w:val="24"/>
                <w:szCs w:val="24"/>
              </w:rPr>
              <w:t>2、磋商报价汇总表（按第六章响应文件格式编制）；</w:t>
            </w:r>
          </w:p>
          <w:p>
            <w:pPr>
              <w:tabs>
                <w:tab w:val="left" w:pos="459"/>
              </w:tabs>
              <w:spacing w:after="0"/>
              <w:ind w:left="44" w:leftChars="20" w:right="44" w:rightChars="2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3、符合本项目需要落实的政府采购政策的相关有效证明文件。</w:t>
            </w:r>
          </w:p>
          <w:p>
            <w:pPr>
              <w:spacing w:after="0"/>
              <w:ind w:left="44" w:leftChars="20" w:right="44" w:rightChars="2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【备注：第1、2项必须提供，第3项如有请提供。】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28" w:type="dxa"/>
            <w:vAlign w:val="center"/>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10.2</w:t>
            </w:r>
          </w:p>
        </w:tc>
        <w:tc>
          <w:tcPr>
            <w:tcW w:w="1532" w:type="dxa"/>
            <w:vAlign w:val="center"/>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响应文件资格证明部分</w:t>
            </w:r>
          </w:p>
        </w:tc>
        <w:tc>
          <w:tcPr>
            <w:tcW w:w="7229" w:type="dxa"/>
            <w:vAlign w:val="center"/>
          </w:tcPr>
          <w:p>
            <w:pPr>
              <w:tabs>
                <w:tab w:val="left" w:pos="0"/>
              </w:tabs>
              <w:spacing w:after="0"/>
              <w:ind w:left="44" w:leftChars="20" w:right="44" w:rightChars="20" w:firstLine="241" w:firstLineChars="100"/>
              <w:rPr>
                <w:rFonts w:hint="eastAsia" w:ascii="仿宋" w:hAnsi="仿宋" w:eastAsia="仿宋" w:cs="仿宋"/>
                <w:b/>
                <w:bCs/>
                <w:color w:val="auto"/>
                <w:sz w:val="24"/>
                <w:szCs w:val="24"/>
              </w:rPr>
            </w:pPr>
            <w:r>
              <w:rPr>
                <w:rFonts w:hint="eastAsia" w:ascii="仿宋" w:hAnsi="仿宋" w:eastAsia="仿宋" w:cs="仿宋"/>
                <w:b/>
                <w:bCs/>
                <w:color w:val="auto"/>
                <w:sz w:val="24"/>
                <w:szCs w:val="24"/>
              </w:rPr>
              <w:t>响应文件资格证明部分：</w:t>
            </w:r>
          </w:p>
          <w:p>
            <w:pPr>
              <w:numPr>
                <w:ilvl w:val="0"/>
                <w:numId w:val="3"/>
              </w:numPr>
              <w:tabs>
                <w:tab w:val="left" w:pos="0"/>
              </w:tabs>
              <w:spacing w:after="0"/>
              <w:ind w:left="44" w:leftChars="20" w:right="44" w:rightChars="2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竞标人有效的营业执照副本或事业单位法人证书副本打印件；</w:t>
            </w:r>
          </w:p>
          <w:p>
            <w:pPr>
              <w:numPr>
                <w:ilvl w:val="0"/>
                <w:numId w:val="3"/>
              </w:numPr>
              <w:tabs>
                <w:tab w:val="left" w:pos="0"/>
              </w:tabs>
              <w:spacing w:after="0"/>
              <w:ind w:left="44" w:leftChars="20" w:right="44" w:rightChars="2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资质证书副本打印件；</w:t>
            </w:r>
          </w:p>
          <w:p>
            <w:pPr>
              <w:numPr>
                <w:ilvl w:val="0"/>
                <w:numId w:val="3"/>
              </w:numPr>
              <w:tabs>
                <w:tab w:val="left" w:pos="0"/>
              </w:tabs>
              <w:spacing w:after="0"/>
              <w:ind w:left="44" w:leftChars="20" w:right="44" w:rightChars="2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安全生产许可证书副本打印件；</w:t>
            </w:r>
          </w:p>
          <w:p>
            <w:pPr>
              <w:numPr>
                <w:ilvl w:val="0"/>
                <w:numId w:val="3"/>
              </w:numPr>
              <w:tabs>
                <w:tab w:val="left" w:pos="0"/>
              </w:tabs>
              <w:spacing w:after="0"/>
              <w:ind w:left="44" w:leftChars="20" w:right="44" w:rightChars="2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提交首次响应文件截止时间前半年内竞标人任意一个月的依法纳税的依法缴纳税费或依法免缴税费的证明复印件（原件备查）；无纳税记录的，应提供由竞标人所在地主管国税、地税部门出具的《依法纳税或依法免税证明》复印件（原件备查）；</w:t>
            </w:r>
          </w:p>
          <w:p>
            <w:pPr>
              <w:numPr>
                <w:ilvl w:val="0"/>
                <w:numId w:val="3"/>
              </w:numPr>
              <w:tabs>
                <w:tab w:val="left" w:pos="0"/>
              </w:tabs>
              <w:spacing w:after="0"/>
              <w:ind w:left="44" w:leftChars="20" w:right="44" w:rightChars="2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提交首次响应文件截止时间前半年内竞标人任意一个月的依法缴纳社保费的缴费凭证复印件（原件备查）；无缴费记录的，应提供由竞标人所在地社保部门出具的《依法缴纳或依法免缴社保费证明》复印件（原件备查）。</w:t>
            </w:r>
          </w:p>
          <w:p>
            <w:pPr>
              <w:numPr>
                <w:ilvl w:val="0"/>
                <w:numId w:val="3"/>
              </w:numPr>
              <w:tabs>
                <w:tab w:val="left" w:pos="0"/>
              </w:tabs>
              <w:spacing w:after="0"/>
              <w:ind w:left="44" w:leftChars="20" w:right="44" w:rightChars="2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供应商经第三方审计的2019年度的财务报表（财务报表至少包含资产负债表、利润表、现金流量表及其附注、加盖会计师事务所公章页）复印件（新成立的公司提供公司成立日之后次月起到响应文件递交截止前一个月的财务报表复印件）或提交响应文件截止之日前三个月内供应商基本开户银行出具的资信证明（仅提供银行出具的存款证明不能作为其银行资信证明）复印件 ；（必须提供）</w:t>
            </w:r>
          </w:p>
          <w:p>
            <w:pPr>
              <w:numPr>
                <w:ilvl w:val="0"/>
                <w:numId w:val="3"/>
              </w:numPr>
              <w:tabs>
                <w:tab w:val="left" w:pos="0"/>
              </w:tabs>
              <w:spacing w:after="0"/>
              <w:ind w:left="44" w:leftChars="20" w:right="44" w:rightChars="2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供应商参加政府采购活动近三年内在经营活动中没有重大违法记录的书面声明原件；（格式见第四章内容，必须提供）；</w:t>
            </w:r>
          </w:p>
          <w:p>
            <w:pPr>
              <w:numPr>
                <w:ilvl w:val="0"/>
                <w:numId w:val="3"/>
              </w:numPr>
              <w:tabs>
                <w:tab w:val="left" w:pos="0"/>
              </w:tabs>
              <w:spacing w:after="0"/>
              <w:ind w:left="44" w:leftChars="20" w:right="44" w:rightChars="2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安全防护、文明施工措施方案的承诺书；（自行编制，必须提供）</w:t>
            </w:r>
          </w:p>
          <w:p>
            <w:pPr>
              <w:numPr>
                <w:ilvl w:val="0"/>
                <w:numId w:val="3"/>
              </w:numPr>
              <w:tabs>
                <w:tab w:val="left" w:pos="0"/>
              </w:tabs>
              <w:spacing w:after="0" w:line="240" w:lineRule="auto"/>
              <w:ind w:left="44" w:leftChars="20" w:right="44" w:rightChars="2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农民工工资保障金承诺书；（格式见第四章内容，必须提供）</w:t>
            </w:r>
          </w:p>
          <w:p>
            <w:pPr>
              <w:numPr>
                <w:ilvl w:val="0"/>
                <w:numId w:val="3"/>
              </w:numPr>
              <w:tabs>
                <w:tab w:val="left" w:pos="0"/>
              </w:tabs>
              <w:spacing w:after="0" w:line="240" w:lineRule="auto"/>
              <w:ind w:left="44" w:leftChars="20" w:right="44" w:rightChars="2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竞标人提供的其他资格证明材料【如产品属于小型、微型企业，须提供《中小企业声明函》；属于残疾人福利性单位的，请提供《残疾人福利性单位声明函》)】（格式见第四章内容，如有请提供）。</w:t>
            </w:r>
          </w:p>
          <w:p>
            <w:pPr>
              <w:tabs>
                <w:tab w:val="left" w:pos="0"/>
              </w:tabs>
              <w:spacing w:after="0" w:line="240" w:lineRule="auto"/>
              <w:ind w:left="44" w:leftChars="20" w:right="44" w:rightChars="2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【以上复印件加盖竞标人公章。】</w:t>
            </w:r>
          </w:p>
          <w:p>
            <w:pPr>
              <w:pStyle w:val="2"/>
              <w:spacing w:line="240" w:lineRule="auto"/>
              <w:rPr>
                <w:rFonts w:hint="eastAsia" w:ascii="仿宋" w:hAnsi="仿宋" w:eastAsia="仿宋" w:cs="仿宋"/>
                <w:color w:val="auto"/>
                <w:lang w:val="en-US" w:eastAsia="zh-CN"/>
              </w:rPr>
            </w:pPr>
            <w:r>
              <w:rPr>
                <w:rFonts w:hint="eastAsia" w:ascii="仿宋" w:hAnsi="仿宋" w:eastAsia="仿宋" w:cs="仿宋"/>
                <w:color w:val="auto"/>
                <w:sz w:val="24"/>
                <w:szCs w:val="24"/>
                <w:lang w:eastAsia="zh-CN"/>
              </w:rPr>
              <w:t>以上</w:t>
            </w:r>
            <w:r>
              <w:rPr>
                <w:rFonts w:hint="eastAsia" w:ascii="仿宋" w:hAnsi="仿宋" w:eastAsia="仿宋" w:cs="仿宋"/>
                <w:color w:val="auto"/>
                <w:sz w:val="24"/>
                <w:szCs w:val="24"/>
                <w:lang w:val="en-US" w:eastAsia="zh-CN"/>
              </w:rPr>
              <w:t>1-9项为必须提供项，不提供或提供不全的则资格审查不通过，不进入下一阶段详评。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28" w:type="dxa"/>
            <w:vAlign w:val="center"/>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10.3</w:t>
            </w:r>
          </w:p>
        </w:tc>
        <w:tc>
          <w:tcPr>
            <w:tcW w:w="1532" w:type="dxa"/>
            <w:vAlign w:val="center"/>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响应文件商务部分</w:t>
            </w:r>
          </w:p>
        </w:tc>
        <w:tc>
          <w:tcPr>
            <w:tcW w:w="7229" w:type="dxa"/>
            <w:vAlign w:val="center"/>
          </w:tcPr>
          <w:p>
            <w:pPr>
              <w:tabs>
                <w:tab w:val="left" w:pos="0"/>
              </w:tabs>
              <w:spacing w:after="0"/>
              <w:ind w:left="44" w:leftChars="20" w:right="44" w:rightChars="20" w:firstLine="241" w:firstLineChars="100"/>
              <w:rPr>
                <w:rFonts w:hint="eastAsia" w:ascii="仿宋" w:hAnsi="仿宋" w:eastAsia="仿宋" w:cs="仿宋"/>
                <w:b/>
                <w:bCs/>
                <w:color w:val="auto"/>
                <w:sz w:val="24"/>
                <w:szCs w:val="24"/>
              </w:rPr>
            </w:pPr>
            <w:r>
              <w:rPr>
                <w:rFonts w:hint="eastAsia" w:ascii="仿宋" w:hAnsi="仿宋" w:eastAsia="仿宋" w:cs="仿宋"/>
                <w:b/>
                <w:bCs/>
                <w:color w:val="auto"/>
                <w:sz w:val="24"/>
                <w:szCs w:val="24"/>
              </w:rPr>
              <w:t>响应文件商务部分：</w:t>
            </w:r>
          </w:p>
          <w:p>
            <w:pPr>
              <w:tabs>
                <w:tab w:val="left" w:pos="0"/>
              </w:tabs>
              <w:spacing w:after="0"/>
              <w:ind w:left="44" w:leftChars="20" w:right="44" w:rightChars="2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磋商保证金证明（按第六章响应文件格式编制）</w:t>
            </w:r>
          </w:p>
          <w:p>
            <w:pPr>
              <w:tabs>
                <w:tab w:val="left" w:pos="0"/>
              </w:tabs>
              <w:spacing w:after="0"/>
              <w:ind w:left="44" w:leftChars="20" w:right="44" w:rightChars="20" w:firstLine="240" w:firstLineChars="1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2、联合体协议书；（联合体投标时必须提供）</w:t>
            </w:r>
          </w:p>
          <w:p>
            <w:pPr>
              <w:tabs>
                <w:tab w:val="left" w:pos="0"/>
              </w:tabs>
              <w:spacing w:after="0"/>
              <w:ind w:left="44" w:leftChars="20" w:right="44" w:rightChars="2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、法定代表人身份证明书（按第六章响应文件格式编制）；</w:t>
            </w:r>
          </w:p>
          <w:p>
            <w:pPr>
              <w:tabs>
                <w:tab w:val="left" w:pos="0"/>
              </w:tabs>
              <w:spacing w:after="0"/>
              <w:ind w:left="44" w:leftChars="20" w:right="44" w:rightChars="2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、法定代表人有效身份证正反面复印件；</w:t>
            </w:r>
          </w:p>
          <w:p>
            <w:pPr>
              <w:tabs>
                <w:tab w:val="left" w:pos="0"/>
              </w:tabs>
              <w:spacing w:after="0"/>
              <w:ind w:left="44" w:leftChars="20" w:right="44" w:rightChars="2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、法定代表人授权委托书（如有请提供，并按第六章响应文件格式编制）；</w:t>
            </w:r>
          </w:p>
          <w:p>
            <w:pPr>
              <w:tabs>
                <w:tab w:val="left" w:pos="0"/>
              </w:tabs>
              <w:spacing w:after="0"/>
              <w:ind w:left="44" w:leftChars="20" w:right="44" w:rightChars="2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、授权代表有效身份证正反面复印件（如有请提供，并按第六章投标文件格式编制）；</w:t>
            </w:r>
          </w:p>
          <w:p>
            <w:pPr>
              <w:tabs>
                <w:tab w:val="left" w:pos="0"/>
              </w:tabs>
              <w:spacing w:after="0"/>
              <w:ind w:left="44" w:leftChars="20" w:right="44" w:rightChars="2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、竞标人提供的其他商务材料（如有请提供，格式自拟）。</w:t>
            </w:r>
          </w:p>
          <w:p>
            <w:pPr>
              <w:tabs>
                <w:tab w:val="left" w:pos="0"/>
              </w:tabs>
              <w:spacing w:after="0"/>
              <w:ind w:left="44" w:leftChars="20" w:right="44" w:rightChars="2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【备注：第1、3必须提供，第4、5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项为授权代表参加磋商时必须提供，第</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项如有请提供。其中，复印件部分</w:t>
            </w:r>
            <w:r>
              <w:rPr>
                <w:rFonts w:hint="eastAsia" w:ascii="仿宋" w:hAnsi="仿宋" w:eastAsia="仿宋" w:cs="仿宋"/>
                <w:bCs/>
                <w:color w:val="auto"/>
                <w:sz w:val="24"/>
                <w:szCs w:val="24"/>
              </w:rPr>
              <w:t>加盖竞标人公章，否则</w:t>
            </w:r>
            <w:r>
              <w:rPr>
                <w:rFonts w:hint="eastAsia" w:ascii="仿宋" w:hAnsi="仿宋" w:eastAsia="仿宋" w:cs="仿宋"/>
                <w:color w:val="auto"/>
                <w:sz w:val="24"/>
                <w:szCs w:val="24"/>
              </w:rPr>
              <w:t>作无效处理</w:t>
            </w:r>
            <w:r>
              <w:rPr>
                <w:rFonts w:hint="eastAsia" w:ascii="仿宋" w:hAnsi="仿宋" w:eastAsia="仿宋" w:cs="仿宋"/>
                <w:bCs/>
                <w:color w:val="auto"/>
                <w:sz w:val="24"/>
                <w:szCs w:val="24"/>
              </w:rPr>
              <w:t>。</w:t>
            </w: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28" w:type="dxa"/>
            <w:vAlign w:val="center"/>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10.4</w:t>
            </w:r>
          </w:p>
        </w:tc>
        <w:tc>
          <w:tcPr>
            <w:tcW w:w="1532" w:type="dxa"/>
            <w:vAlign w:val="center"/>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响应文件技术部分</w:t>
            </w:r>
          </w:p>
        </w:tc>
        <w:tc>
          <w:tcPr>
            <w:tcW w:w="7229" w:type="dxa"/>
          </w:tcPr>
          <w:p>
            <w:pPr>
              <w:tabs>
                <w:tab w:val="left" w:pos="0"/>
              </w:tabs>
              <w:spacing w:after="0"/>
              <w:ind w:left="44" w:leftChars="20" w:right="44" w:rightChars="20" w:firstLine="241" w:firstLineChars="100"/>
              <w:rPr>
                <w:rFonts w:hint="eastAsia" w:ascii="仿宋" w:hAnsi="仿宋" w:eastAsia="仿宋" w:cs="仿宋"/>
                <w:b/>
                <w:bCs/>
                <w:color w:val="auto"/>
                <w:sz w:val="24"/>
                <w:szCs w:val="24"/>
              </w:rPr>
            </w:pPr>
            <w:r>
              <w:rPr>
                <w:rFonts w:hint="eastAsia" w:ascii="仿宋" w:hAnsi="仿宋" w:eastAsia="仿宋" w:cs="仿宋"/>
                <w:b/>
                <w:bCs/>
                <w:color w:val="auto"/>
                <w:sz w:val="24"/>
                <w:szCs w:val="24"/>
              </w:rPr>
              <w:t>响应文件技术部分：</w:t>
            </w:r>
          </w:p>
          <w:p>
            <w:pPr>
              <w:tabs>
                <w:tab w:val="left" w:pos="0"/>
              </w:tabs>
              <w:spacing w:after="0"/>
              <w:ind w:right="44" w:rightChars="20"/>
              <w:rPr>
                <w:rFonts w:hint="eastAsia" w:ascii="仿宋" w:hAnsi="仿宋" w:eastAsia="仿宋" w:cs="仿宋"/>
                <w:color w:val="auto"/>
                <w:sz w:val="24"/>
                <w:szCs w:val="24"/>
              </w:rPr>
            </w:pPr>
            <w:r>
              <w:rPr>
                <w:rFonts w:hint="eastAsia" w:ascii="仿宋" w:hAnsi="仿宋" w:eastAsia="仿宋" w:cs="仿宋"/>
                <w:color w:val="auto"/>
                <w:sz w:val="24"/>
                <w:szCs w:val="24"/>
              </w:rPr>
              <w:t>1、工程总承包工作大纲；</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按评审方法及评审标准自行进行编制，格式自拟）</w:t>
            </w:r>
          </w:p>
          <w:p>
            <w:pPr>
              <w:tabs>
                <w:tab w:val="left" w:pos="0"/>
              </w:tabs>
              <w:spacing w:after="0"/>
              <w:ind w:right="44" w:rightChars="20"/>
              <w:rPr>
                <w:rFonts w:hint="eastAsia" w:ascii="仿宋" w:hAnsi="仿宋" w:eastAsia="仿宋" w:cs="仿宋"/>
                <w:color w:val="auto"/>
                <w:sz w:val="24"/>
                <w:szCs w:val="24"/>
              </w:rPr>
            </w:pPr>
            <w:r>
              <w:rPr>
                <w:rFonts w:hint="eastAsia" w:ascii="仿宋" w:hAnsi="仿宋" w:eastAsia="仿宋" w:cs="仿宋"/>
                <w:color w:val="auto"/>
                <w:sz w:val="24"/>
                <w:szCs w:val="24"/>
              </w:rPr>
              <w:t>2、施工组织设计；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按评审方法及评审标准自行进行编制，格式自拟）</w:t>
            </w:r>
          </w:p>
          <w:p>
            <w:pPr>
              <w:tabs>
                <w:tab w:val="left" w:pos="0"/>
              </w:tabs>
              <w:spacing w:after="0"/>
              <w:ind w:right="44" w:rightChars="20"/>
              <w:rPr>
                <w:rFonts w:hint="eastAsia" w:ascii="仿宋" w:hAnsi="仿宋" w:eastAsia="仿宋" w:cs="仿宋"/>
                <w:color w:val="auto"/>
                <w:sz w:val="24"/>
                <w:szCs w:val="24"/>
              </w:rPr>
            </w:pPr>
            <w:r>
              <w:rPr>
                <w:rFonts w:hint="eastAsia" w:ascii="仿宋" w:hAnsi="仿宋" w:eastAsia="仿宋" w:cs="仿宋"/>
                <w:b w:val="0"/>
                <w:color w:val="auto"/>
                <w:sz w:val="24"/>
                <w:szCs w:val="24"/>
                <w:lang w:val="en-US" w:eastAsia="zh-CN" w:bidi="ar-SA"/>
              </w:rPr>
              <w:t>3、资信业绩（如有）；</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按评审方法及评审标准自行进行编制，格式自拟）</w:t>
            </w:r>
          </w:p>
          <w:p>
            <w:pPr>
              <w:tabs>
                <w:tab w:val="left" w:pos="0"/>
              </w:tabs>
              <w:spacing w:after="0"/>
              <w:ind w:right="44" w:rightChars="20"/>
              <w:rPr>
                <w:rFonts w:hint="eastAsia" w:ascii="仿宋" w:hAnsi="仿宋" w:eastAsia="仿宋" w:cs="仿宋"/>
                <w:b w:val="0"/>
                <w:color w:val="auto"/>
                <w:sz w:val="24"/>
                <w:szCs w:val="24"/>
                <w:lang w:val="en-US" w:eastAsia="zh-CN" w:bidi="ar-SA"/>
              </w:rPr>
            </w:pPr>
            <w:r>
              <w:rPr>
                <w:rFonts w:hint="eastAsia" w:ascii="仿宋" w:hAnsi="仿宋" w:eastAsia="仿宋" w:cs="仿宋"/>
                <w:b w:val="0"/>
                <w:color w:val="auto"/>
                <w:sz w:val="24"/>
                <w:szCs w:val="24"/>
                <w:lang w:val="en-US" w:eastAsia="zh-CN" w:bidi="ar-SA"/>
              </w:rPr>
              <w:t>4、设计标；</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按评审方法及评审标准自行进行编制，格式自拟）</w:t>
            </w:r>
          </w:p>
          <w:p>
            <w:pPr>
              <w:tabs>
                <w:tab w:val="left" w:pos="0"/>
              </w:tabs>
              <w:spacing w:after="0"/>
              <w:ind w:right="44" w:rightChars="2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、竞标人需要说明的其他技术文件（如有请提供，格式自拟）。</w:t>
            </w:r>
          </w:p>
          <w:p>
            <w:pPr>
              <w:tabs>
                <w:tab w:val="left" w:pos="0"/>
              </w:tabs>
              <w:spacing w:after="0"/>
              <w:ind w:right="44" w:rightChars="20"/>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28" w:type="dxa"/>
            <w:vAlign w:val="center"/>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12.1</w:t>
            </w:r>
          </w:p>
        </w:tc>
        <w:tc>
          <w:tcPr>
            <w:tcW w:w="1532" w:type="dxa"/>
            <w:vAlign w:val="center"/>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响应有效期</w:t>
            </w:r>
          </w:p>
        </w:tc>
        <w:tc>
          <w:tcPr>
            <w:tcW w:w="7229" w:type="dxa"/>
            <w:vAlign w:val="center"/>
          </w:tcPr>
          <w:p>
            <w:pPr>
              <w:spacing w:after="0"/>
              <w:ind w:firstLine="240" w:firstLineChars="100"/>
              <w:jc w:val="both"/>
              <w:rPr>
                <w:rFonts w:hint="eastAsia" w:ascii="仿宋" w:hAnsi="仿宋" w:eastAsia="仿宋" w:cs="仿宋"/>
                <w:color w:val="auto"/>
                <w:sz w:val="24"/>
                <w:szCs w:val="24"/>
              </w:rPr>
            </w:pPr>
            <w:r>
              <w:rPr>
                <w:rFonts w:hint="eastAsia" w:ascii="仿宋" w:hAnsi="仿宋" w:eastAsia="仿宋" w:cs="仿宋"/>
                <w:color w:val="auto"/>
                <w:sz w:val="24"/>
                <w:szCs w:val="24"/>
              </w:rPr>
              <w:t>自首次响应文件提交截止之日起</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0天（日历天）内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28" w:type="dxa"/>
            <w:vAlign w:val="center"/>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14.4</w:t>
            </w:r>
          </w:p>
        </w:tc>
        <w:tc>
          <w:tcPr>
            <w:tcW w:w="1532" w:type="dxa"/>
            <w:vAlign w:val="center"/>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响应文件装订要求</w:t>
            </w:r>
          </w:p>
        </w:tc>
        <w:tc>
          <w:tcPr>
            <w:tcW w:w="7229" w:type="dxa"/>
            <w:vAlign w:val="center"/>
          </w:tcPr>
          <w:p>
            <w:pPr>
              <w:spacing w:after="0"/>
              <w:ind w:firstLine="240" w:firstLineChars="100"/>
              <w:jc w:val="both"/>
              <w:rPr>
                <w:rFonts w:hint="eastAsia" w:ascii="仿宋" w:hAnsi="仿宋" w:eastAsia="仿宋" w:cs="仿宋"/>
                <w:color w:val="auto"/>
                <w:sz w:val="24"/>
                <w:szCs w:val="24"/>
              </w:rPr>
            </w:pPr>
            <w:r>
              <w:rPr>
                <w:rFonts w:hint="eastAsia" w:ascii="仿宋" w:hAnsi="仿宋" w:eastAsia="仿宋" w:cs="仿宋"/>
                <w:color w:val="auto"/>
                <w:sz w:val="24"/>
                <w:szCs w:val="24"/>
              </w:rPr>
              <w:t>响应文件的报价部分、资格证明部分、商务部分、技术部分按顺序装订成同一册。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28" w:type="dxa"/>
            <w:vAlign w:val="center"/>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14.5</w:t>
            </w:r>
          </w:p>
        </w:tc>
        <w:tc>
          <w:tcPr>
            <w:tcW w:w="1532" w:type="dxa"/>
            <w:vAlign w:val="center"/>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响应文件</w:t>
            </w:r>
          </w:p>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份数</w:t>
            </w:r>
          </w:p>
        </w:tc>
        <w:tc>
          <w:tcPr>
            <w:tcW w:w="7229" w:type="dxa"/>
            <w:vAlign w:val="center"/>
          </w:tcPr>
          <w:p>
            <w:pPr>
              <w:spacing w:after="0"/>
              <w:ind w:firstLine="240" w:firstLineChars="100"/>
              <w:jc w:val="both"/>
              <w:rPr>
                <w:rFonts w:hint="eastAsia" w:ascii="仿宋" w:hAnsi="仿宋" w:eastAsia="仿宋" w:cs="仿宋"/>
                <w:color w:val="auto"/>
                <w:sz w:val="24"/>
                <w:szCs w:val="24"/>
              </w:rPr>
            </w:pPr>
            <w:r>
              <w:rPr>
                <w:rFonts w:hint="eastAsia" w:ascii="仿宋" w:hAnsi="仿宋" w:eastAsia="仿宋" w:cs="仿宋"/>
                <w:color w:val="auto"/>
                <w:sz w:val="24"/>
                <w:szCs w:val="24"/>
              </w:rPr>
              <w:t>正本一份、副本四份</w:t>
            </w:r>
            <w:r>
              <w:rPr>
                <w:rFonts w:hint="eastAsia" w:ascii="仿宋" w:hAnsi="仿宋" w:eastAsia="仿宋" w:cs="仿宋"/>
                <w:color w:val="auto"/>
                <w:sz w:val="24"/>
                <w:szCs w:val="24"/>
                <w:lang w:eastAsia="zh-CN"/>
              </w:rPr>
              <w:t>、投标文件电子版一份</w:t>
            </w: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28" w:type="dxa"/>
            <w:vAlign w:val="center"/>
          </w:tcPr>
          <w:p>
            <w:pPr>
              <w:spacing w:after="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14.5.1</w:t>
            </w:r>
          </w:p>
        </w:tc>
        <w:tc>
          <w:tcPr>
            <w:tcW w:w="1532" w:type="dxa"/>
            <w:vAlign w:val="center"/>
          </w:tcPr>
          <w:p>
            <w:pPr>
              <w:spacing w:after="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投标文件电子版</w:t>
            </w:r>
          </w:p>
        </w:tc>
        <w:tc>
          <w:tcPr>
            <w:tcW w:w="7229" w:type="dxa"/>
            <w:vAlign w:val="center"/>
          </w:tcPr>
          <w:p>
            <w:pPr>
              <w:spacing w:after="0"/>
              <w:ind w:firstLine="240" w:firstLineChars="100"/>
              <w:jc w:val="both"/>
              <w:rPr>
                <w:rFonts w:hint="eastAsia" w:ascii="仿宋" w:hAnsi="仿宋" w:eastAsia="仿宋" w:cs="仿宋"/>
                <w:color w:val="auto"/>
                <w:sz w:val="24"/>
                <w:szCs w:val="24"/>
              </w:rPr>
            </w:pPr>
            <w:r>
              <w:rPr>
                <w:rFonts w:hint="eastAsia" w:ascii="仿宋" w:hAnsi="仿宋" w:eastAsia="仿宋" w:cs="仿宋"/>
                <w:color w:val="auto"/>
                <w:sz w:val="24"/>
                <w:szCs w:val="24"/>
              </w:rPr>
              <w:t>电子版要求：递交时单独用信封封装密封，在密封袋的封面上注明</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名称、地址、</w:t>
            </w:r>
            <w:r>
              <w:rPr>
                <w:rFonts w:hint="eastAsia" w:ascii="仿宋" w:hAnsi="仿宋" w:eastAsia="仿宋" w:cs="仿宋"/>
                <w:color w:val="auto"/>
                <w:sz w:val="24"/>
                <w:szCs w:val="24"/>
                <w:lang w:eastAsia="zh-CN"/>
              </w:rPr>
              <w:t>投标</w:t>
            </w:r>
            <w:r>
              <w:rPr>
                <w:rFonts w:hint="eastAsia" w:ascii="仿宋" w:hAnsi="仿宋" w:eastAsia="仿宋" w:cs="仿宋"/>
                <w:color w:val="auto"/>
                <w:sz w:val="24"/>
                <w:szCs w:val="24"/>
              </w:rPr>
              <w:t>文件电子版、项目名称、项目编号，并加盖供应商公章。内容包括：</w:t>
            </w:r>
          </w:p>
          <w:p>
            <w:pPr>
              <w:spacing w:after="0"/>
              <w:jc w:val="both"/>
              <w:rPr>
                <w:rFonts w:hint="eastAsia" w:ascii="仿宋" w:hAnsi="仿宋" w:eastAsia="仿宋" w:cs="仿宋"/>
                <w:color w:val="auto"/>
                <w:sz w:val="24"/>
                <w:szCs w:val="24"/>
              </w:rPr>
            </w:pPr>
            <w:r>
              <w:rPr>
                <w:rFonts w:hint="eastAsia" w:ascii="仿宋" w:hAnsi="仿宋" w:eastAsia="仿宋" w:cs="仿宋"/>
                <w:color w:val="auto"/>
                <w:sz w:val="24"/>
                <w:szCs w:val="24"/>
              </w:rPr>
              <w:t>1、响应文件电子版内容：与全部响应文件正本内容一致；</w:t>
            </w:r>
          </w:p>
          <w:p>
            <w:pPr>
              <w:spacing w:after="0"/>
              <w:jc w:val="both"/>
              <w:rPr>
                <w:rFonts w:hint="eastAsia" w:ascii="仿宋" w:hAnsi="仿宋" w:eastAsia="仿宋" w:cs="仿宋"/>
                <w:color w:val="auto"/>
                <w:sz w:val="24"/>
                <w:szCs w:val="24"/>
              </w:rPr>
            </w:pPr>
            <w:r>
              <w:rPr>
                <w:rFonts w:hint="eastAsia" w:ascii="仿宋" w:hAnsi="仿宋" w:eastAsia="仿宋" w:cs="仿宋"/>
                <w:color w:val="auto"/>
                <w:sz w:val="24"/>
                <w:szCs w:val="24"/>
              </w:rPr>
              <w:t>2、响应文件电子版份数：1份；</w:t>
            </w:r>
          </w:p>
          <w:p>
            <w:pPr>
              <w:spacing w:after="0"/>
              <w:jc w:val="both"/>
              <w:rPr>
                <w:rFonts w:hint="eastAsia" w:ascii="仿宋" w:hAnsi="仿宋" w:eastAsia="仿宋" w:cs="仿宋"/>
                <w:color w:val="auto"/>
                <w:sz w:val="24"/>
                <w:szCs w:val="24"/>
              </w:rPr>
            </w:pPr>
            <w:r>
              <w:rPr>
                <w:rFonts w:hint="eastAsia" w:ascii="仿宋" w:hAnsi="仿宋" w:eastAsia="仿宋" w:cs="仿宋"/>
                <w:color w:val="auto"/>
                <w:sz w:val="24"/>
                <w:szCs w:val="24"/>
              </w:rPr>
              <w:t>3、响应文件电子版形式：未加密的</w:t>
            </w:r>
            <w:r>
              <w:rPr>
                <w:rFonts w:hint="eastAsia" w:ascii="仿宋" w:hAnsi="仿宋" w:eastAsia="仿宋" w:cs="仿宋"/>
                <w:color w:val="auto"/>
                <w:sz w:val="24"/>
                <w:szCs w:val="24"/>
                <w:lang w:val="en-US" w:eastAsia="zh-CN"/>
              </w:rPr>
              <w:t>Word</w:t>
            </w:r>
            <w:r>
              <w:rPr>
                <w:rFonts w:hint="eastAsia" w:ascii="仿宋" w:hAnsi="仿宋" w:eastAsia="仿宋" w:cs="仿宋"/>
                <w:color w:val="auto"/>
                <w:sz w:val="24"/>
                <w:szCs w:val="24"/>
              </w:rPr>
              <w:t>格式响应文件电子版U盘。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blHeader/>
          <w:jc w:val="center"/>
        </w:trPr>
        <w:tc>
          <w:tcPr>
            <w:tcW w:w="928" w:type="dxa"/>
            <w:vAlign w:val="center"/>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15.2</w:t>
            </w:r>
          </w:p>
        </w:tc>
        <w:tc>
          <w:tcPr>
            <w:tcW w:w="1532" w:type="dxa"/>
            <w:vAlign w:val="center"/>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响应文件袋（盒、箱）上应写明的内容</w:t>
            </w:r>
          </w:p>
        </w:tc>
        <w:tc>
          <w:tcPr>
            <w:tcW w:w="7229" w:type="dxa"/>
            <w:vAlign w:val="center"/>
          </w:tcPr>
          <w:p>
            <w:pPr>
              <w:tabs>
                <w:tab w:val="left" w:pos="0"/>
              </w:tabs>
              <w:spacing w:after="0"/>
              <w:ind w:left="44" w:leftChars="20" w:right="44" w:rightChars="2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响应文件</w:t>
            </w:r>
          </w:p>
          <w:p>
            <w:pPr>
              <w:tabs>
                <w:tab w:val="left" w:pos="0"/>
              </w:tabs>
              <w:spacing w:after="0"/>
              <w:ind w:left="44" w:leftChars="20" w:right="44" w:rightChars="20" w:firstLine="240" w:firstLineChars="100"/>
              <w:rPr>
                <w:rFonts w:hint="eastAsia" w:ascii="仿宋" w:hAnsi="仿宋" w:eastAsia="仿宋" w:cs="仿宋"/>
                <w:color w:val="auto"/>
                <w:sz w:val="24"/>
                <w:szCs w:val="24"/>
                <w:u w:val="single"/>
              </w:rPr>
            </w:pPr>
            <w:r>
              <w:rPr>
                <w:rFonts w:hint="eastAsia" w:ascii="仿宋" w:hAnsi="仿宋" w:eastAsia="仿宋" w:cs="仿宋"/>
                <w:color w:val="auto"/>
                <w:sz w:val="24"/>
                <w:szCs w:val="24"/>
              </w:rPr>
              <w:t>项目编号：</w:t>
            </w:r>
            <w:r>
              <w:rPr>
                <w:rFonts w:hint="eastAsia" w:ascii="仿宋" w:hAnsi="仿宋" w:eastAsia="仿宋" w:cs="仿宋"/>
                <w:color w:val="auto"/>
                <w:sz w:val="24"/>
                <w:szCs w:val="24"/>
                <w:u w:val="single"/>
              </w:rPr>
              <w:t>（填写项目编号）</w:t>
            </w:r>
          </w:p>
          <w:p>
            <w:pPr>
              <w:tabs>
                <w:tab w:val="left" w:pos="0"/>
              </w:tabs>
              <w:spacing w:after="0"/>
              <w:ind w:left="44" w:leftChars="20" w:right="44" w:rightChars="20" w:firstLine="240" w:firstLineChars="100"/>
              <w:rPr>
                <w:rFonts w:hint="eastAsia" w:ascii="仿宋" w:hAnsi="仿宋" w:eastAsia="仿宋" w:cs="仿宋"/>
                <w:color w:val="auto"/>
                <w:sz w:val="24"/>
                <w:szCs w:val="24"/>
                <w:u w:val="single"/>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u w:val="single"/>
              </w:rPr>
              <w:t>（填写项目名称）</w:t>
            </w:r>
          </w:p>
          <w:p>
            <w:pPr>
              <w:tabs>
                <w:tab w:val="left" w:pos="0"/>
              </w:tabs>
              <w:spacing w:after="0"/>
              <w:ind w:left="44" w:leftChars="20" w:right="44" w:rightChars="20" w:firstLine="240" w:firstLineChars="100"/>
              <w:rPr>
                <w:rFonts w:hint="eastAsia" w:ascii="仿宋" w:hAnsi="仿宋" w:eastAsia="仿宋" w:cs="仿宋"/>
                <w:color w:val="auto"/>
                <w:sz w:val="24"/>
                <w:szCs w:val="24"/>
                <w:u w:val="single"/>
              </w:rPr>
            </w:pPr>
            <w:r>
              <w:rPr>
                <w:rFonts w:hint="eastAsia" w:ascii="仿宋" w:hAnsi="仿宋" w:eastAsia="仿宋" w:cs="仿宋"/>
                <w:color w:val="auto"/>
                <w:sz w:val="24"/>
                <w:szCs w:val="24"/>
              </w:rPr>
              <w:t>竞标人名称：</w:t>
            </w:r>
            <w:r>
              <w:rPr>
                <w:rFonts w:hint="eastAsia" w:ascii="仿宋" w:hAnsi="仿宋" w:eastAsia="仿宋" w:cs="仿宋"/>
                <w:color w:val="auto"/>
                <w:sz w:val="24"/>
                <w:szCs w:val="24"/>
                <w:u w:val="single"/>
              </w:rPr>
              <w:t>（填写竞标人名称）</w:t>
            </w:r>
          </w:p>
          <w:p>
            <w:pPr>
              <w:tabs>
                <w:tab w:val="left" w:pos="0"/>
              </w:tabs>
              <w:spacing w:after="0"/>
              <w:ind w:left="44" w:leftChars="20" w:right="44" w:rightChars="2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竞标人地址：</w:t>
            </w:r>
            <w:r>
              <w:rPr>
                <w:rFonts w:hint="eastAsia" w:ascii="仿宋" w:hAnsi="仿宋" w:eastAsia="仿宋" w:cs="仿宋"/>
                <w:color w:val="auto"/>
                <w:sz w:val="24"/>
                <w:szCs w:val="24"/>
                <w:u w:val="single"/>
              </w:rPr>
              <w:t>（填写竞标人地址）</w:t>
            </w:r>
          </w:p>
          <w:p>
            <w:pPr>
              <w:tabs>
                <w:tab w:val="left" w:pos="0"/>
              </w:tabs>
              <w:spacing w:after="0"/>
              <w:ind w:left="44" w:leftChars="20" w:right="44" w:rightChars="2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在年月日时分前不得开启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28" w:type="dxa"/>
            <w:vAlign w:val="center"/>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16.1</w:t>
            </w:r>
          </w:p>
        </w:tc>
        <w:tc>
          <w:tcPr>
            <w:tcW w:w="1532" w:type="dxa"/>
            <w:vAlign w:val="center"/>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提交响应文件截止时间</w:t>
            </w:r>
          </w:p>
        </w:tc>
        <w:tc>
          <w:tcPr>
            <w:tcW w:w="7229" w:type="dxa"/>
            <w:vAlign w:val="center"/>
          </w:tcPr>
          <w:p>
            <w:pPr>
              <w:spacing w:after="0"/>
              <w:ind w:firstLine="240" w:firstLineChars="10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日09时</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0分</w:t>
            </w:r>
            <w:r>
              <w:rPr>
                <w:rFonts w:hint="eastAsia" w:ascii="仿宋" w:hAnsi="仿宋" w:eastAsia="仿宋" w:cs="仿宋"/>
                <w:color w:val="auto"/>
                <w:sz w:val="24"/>
                <w:szCs w:val="24"/>
                <w:highlight w:val="none"/>
                <w:lang w:eastAsia="zh-CN"/>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28" w:type="dxa"/>
            <w:vAlign w:val="center"/>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16.2</w:t>
            </w:r>
          </w:p>
        </w:tc>
        <w:tc>
          <w:tcPr>
            <w:tcW w:w="1532" w:type="dxa"/>
            <w:vAlign w:val="center"/>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提交响应文件地点</w:t>
            </w:r>
          </w:p>
        </w:tc>
        <w:tc>
          <w:tcPr>
            <w:tcW w:w="7229" w:type="dxa"/>
            <w:vAlign w:val="center"/>
          </w:tcPr>
          <w:p>
            <w:pPr>
              <w:spacing w:after="0"/>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梧州市新兴三路金苑豪庭707室，并由采购代理机构签收。逾期送达或未按要求密封的响应文件将予以拒收或作无效响应文件处理。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28" w:type="dxa"/>
            <w:vAlign w:val="center"/>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19.1</w:t>
            </w:r>
          </w:p>
        </w:tc>
        <w:tc>
          <w:tcPr>
            <w:tcW w:w="1532" w:type="dxa"/>
            <w:vAlign w:val="center"/>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磋商时间和地点</w:t>
            </w:r>
          </w:p>
        </w:tc>
        <w:tc>
          <w:tcPr>
            <w:tcW w:w="7229" w:type="dxa"/>
            <w:vAlign w:val="center"/>
          </w:tcPr>
          <w:p>
            <w:pPr>
              <w:spacing w:after="0"/>
              <w:ind w:firstLine="240" w:firstLineChars="100"/>
              <w:jc w:val="both"/>
              <w:rPr>
                <w:rFonts w:hint="eastAsia" w:ascii="仿宋" w:hAnsi="仿宋" w:eastAsia="仿宋" w:cs="仿宋"/>
                <w:color w:val="auto"/>
                <w:sz w:val="24"/>
                <w:szCs w:val="24"/>
              </w:rPr>
            </w:pPr>
            <w:r>
              <w:rPr>
                <w:rFonts w:hint="eastAsia" w:ascii="仿宋" w:hAnsi="仿宋" w:eastAsia="仿宋" w:cs="仿宋"/>
                <w:color w:val="auto"/>
                <w:sz w:val="24"/>
                <w:szCs w:val="24"/>
              </w:rPr>
              <w:t>磋商时间：提交响应文件截止时间后，具体由采购代理机构通知。磋商地点：同提交响应文件地点。</w:t>
            </w:r>
          </w:p>
          <w:p>
            <w:pPr>
              <w:spacing w:after="0"/>
              <w:ind w:firstLine="240" w:firstLineChars="100"/>
              <w:jc w:val="both"/>
              <w:rPr>
                <w:rFonts w:hint="eastAsia" w:ascii="仿宋" w:hAnsi="仿宋" w:eastAsia="仿宋" w:cs="仿宋"/>
                <w:color w:val="auto"/>
                <w:sz w:val="24"/>
                <w:szCs w:val="24"/>
              </w:rPr>
            </w:pPr>
            <w:r>
              <w:rPr>
                <w:rFonts w:hint="eastAsia" w:ascii="仿宋" w:hAnsi="仿宋" w:eastAsia="仿宋" w:cs="仿宋"/>
                <w:color w:val="auto"/>
                <w:sz w:val="24"/>
                <w:szCs w:val="24"/>
              </w:rPr>
              <w:t>竞标人必须派法定代表人或其授权代表参加磋商会议。法定代表人身份证原件（法定代表人到场参加时提供）、法定代表人身份证明书原件（法定代表人到场参加时提供）、法人授权委托书原件（授权委托人到场参加时提供）、被授权人身份证原件（授权委托人到场参加时提供）磋商保证金递交证明复印件。否则视为自动放弃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28" w:type="dxa"/>
            <w:vAlign w:val="center"/>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22</w:t>
            </w:r>
          </w:p>
        </w:tc>
        <w:tc>
          <w:tcPr>
            <w:tcW w:w="1532" w:type="dxa"/>
            <w:vAlign w:val="center"/>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评标办法</w:t>
            </w:r>
          </w:p>
        </w:tc>
        <w:tc>
          <w:tcPr>
            <w:tcW w:w="7229" w:type="dxa"/>
            <w:vAlign w:val="center"/>
          </w:tcPr>
          <w:p>
            <w:pPr>
              <w:spacing w:after="0"/>
              <w:ind w:firstLine="240" w:firstLineChars="100"/>
              <w:jc w:val="both"/>
              <w:rPr>
                <w:rFonts w:hint="eastAsia" w:ascii="仿宋" w:hAnsi="仿宋" w:eastAsia="仿宋" w:cs="仿宋"/>
                <w:color w:val="auto"/>
                <w:sz w:val="24"/>
                <w:szCs w:val="24"/>
              </w:rPr>
            </w:pPr>
            <w:r>
              <w:rPr>
                <w:rFonts w:hint="eastAsia" w:ascii="仿宋" w:hAnsi="仿宋" w:eastAsia="仿宋" w:cs="仿宋"/>
                <w:color w:val="auto"/>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28" w:type="dxa"/>
            <w:vAlign w:val="center"/>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27.1</w:t>
            </w:r>
          </w:p>
        </w:tc>
        <w:tc>
          <w:tcPr>
            <w:tcW w:w="1532" w:type="dxa"/>
            <w:vAlign w:val="center"/>
          </w:tcPr>
          <w:p>
            <w:pPr>
              <w:spacing w:after="0"/>
              <w:jc w:val="center"/>
              <w:rPr>
                <w:rFonts w:hint="eastAsia" w:ascii="仿宋" w:hAnsi="仿宋" w:eastAsia="仿宋" w:cs="仿宋"/>
                <w:color w:val="auto"/>
                <w:sz w:val="24"/>
                <w:szCs w:val="24"/>
              </w:rPr>
            </w:pPr>
            <w:r>
              <w:rPr>
                <w:rFonts w:hint="eastAsia" w:ascii="仿宋" w:hAnsi="仿宋" w:eastAsia="仿宋" w:cs="仿宋"/>
                <w:bCs/>
                <w:color w:val="auto"/>
                <w:sz w:val="24"/>
                <w:szCs w:val="24"/>
              </w:rPr>
              <w:t>履约保证金</w:t>
            </w:r>
          </w:p>
        </w:tc>
        <w:tc>
          <w:tcPr>
            <w:tcW w:w="7229" w:type="dxa"/>
            <w:vAlign w:val="center"/>
          </w:tcPr>
          <w:p>
            <w:pPr>
              <w:spacing w:after="0"/>
              <w:ind w:firstLine="240" w:firstLineChars="100"/>
              <w:jc w:val="both"/>
              <w:rPr>
                <w:rFonts w:hint="eastAsia" w:ascii="仿宋" w:hAnsi="仿宋" w:eastAsia="仿宋" w:cs="仿宋"/>
                <w:color w:val="auto"/>
                <w:sz w:val="24"/>
                <w:szCs w:val="24"/>
              </w:rPr>
            </w:pPr>
            <w:r>
              <w:rPr>
                <w:rFonts w:hint="eastAsia" w:ascii="仿宋" w:hAnsi="仿宋" w:eastAsia="仿宋" w:cs="仿宋"/>
                <w:color w:val="auto"/>
                <w:sz w:val="24"/>
                <w:szCs w:val="24"/>
              </w:rPr>
              <w:t>1.缴纳履约保证金，成交价的3%。，在签订合同前缴纳给采购人指定账户。</w:t>
            </w:r>
          </w:p>
          <w:p>
            <w:pPr>
              <w:spacing w:after="0"/>
              <w:ind w:firstLine="240" w:firstLineChars="100"/>
              <w:jc w:val="both"/>
              <w:rPr>
                <w:rFonts w:hint="eastAsia" w:ascii="仿宋" w:hAnsi="仿宋" w:eastAsia="仿宋" w:cs="仿宋"/>
                <w:color w:val="auto"/>
                <w:sz w:val="24"/>
                <w:szCs w:val="24"/>
              </w:rPr>
            </w:pPr>
            <w:r>
              <w:rPr>
                <w:rFonts w:hint="eastAsia" w:ascii="仿宋" w:hAnsi="仿宋" w:eastAsia="仿宋" w:cs="仿宋"/>
                <w:color w:val="auto"/>
                <w:sz w:val="24"/>
                <w:szCs w:val="24"/>
              </w:rPr>
              <w:t>2.履约保证金作为违约金的一部分及用于补偿采购人因成交竞标人不能完成其合同义务而蒙受的损失。如成交竞标人不按双方签订的合同规定履约，则没收其全部履约保证金，履约保证金不足以赔偿损失的，按实际损失赔偿。</w:t>
            </w:r>
          </w:p>
          <w:p>
            <w:pPr>
              <w:spacing w:after="0"/>
              <w:ind w:firstLine="240" w:firstLineChars="100"/>
              <w:jc w:val="both"/>
              <w:rPr>
                <w:rFonts w:hint="eastAsia" w:ascii="仿宋" w:hAnsi="仿宋" w:eastAsia="仿宋" w:cs="仿宋"/>
                <w:color w:val="auto"/>
                <w:sz w:val="24"/>
                <w:szCs w:val="24"/>
              </w:rPr>
            </w:pPr>
            <w:r>
              <w:rPr>
                <w:rFonts w:hint="eastAsia" w:ascii="仿宋" w:hAnsi="仿宋" w:eastAsia="仿宋" w:cs="仿宋"/>
                <w:color w:val="auto"/>
                <w:sz w:val="24"/>
                <w:szCs w:val="24"/>
              </w:rPr>
              <w:t>3.履约担保的有效期应当自本合同生效之日起至采购人签认验收合格之日止。项目验收合格，成交竞标人向采购人办理成果移交手续后，由竞标人向采购人提供《政府采购项目履约保证金退付意见书》及《政府采购项目合同验收报告》（详见第五章“合同条款”附件），采购人在收到合格材料后30个日历日内扣减成交竞标人赔偿金和其他应从成交竞标人扣回的款项后，将履约保证金的余额退还成交竞标人（无息）。</w:t>
            </w:r>
          </w:p>
          <w:p>
            <w:pPr>
              <w:spacing w:after="0"/>
              <w:ind w:firstLine="240" w:firstLineChars="100"/>
              <w:jc w:val="both"/>
              <w:rPr>
                <w:rFonts w:hint="eastAsia" w:ascii="仿宋" w:hAnsi="仿宋" w:eastAsia="仿宋" w:cs="仿宋"/>
                <w:color w:val="auto"/>
                <w:sz w:val="24"/>
                <w:szCs w:val="24"/>
              </w:rPr>
            </w:pPr>
            <w:r>
              <w:rPr>
                <w:rFonts w:hint="eastAsia" w:ascii="仿宋" w:hAnsi="仿宋" w:eastAsia="仿宋" w:cs="仿宋"/>
                <w:color w:val="auto"/>
                <w:sz w:val="24"/>
                <w:szCs w:val="24"/>
              </w:rPr>
              <w:t>4.在履约保证金退还日期前，若成交竞标人的开户名称、开户银行、账号有变动的，请以书面形式通知采购人，否则由此产生的后果由成交竞标人自负。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28" w:type="dxa"/>
            <w:vAlign w:val="center"/>
          </w:tcPr>
          <w:p>
            <w:pPr>
              <w:spacing w:after="0"/>
              <w:jc w:val="center"/>
              <w:rPr>
                <w:rFonts w:hint="eastAsia" w:ascii="仿宋" w:hAnsi="仿宋" w:eastAsia="仿宋" w:cs="仿宋"/>
                <w:color w:val="auto"/>
                <w:sz w:val="24"/>
                <w:szCs w:val="24"/>
              </w:rPr>
            </w:pPr>
          </w:p>
        </w:tc>
        <w:tc>
          <w:tcPr>
            <w:tcW w:w="1532" w:type="dxa"/>
            <w:vAlign w:val="center"/>
          </w:tcPr>
          <w:p>
            <w:pPr>
              <w:spacing w:after="0"/>
              <w:jc w:val="center"/>
              <w:rPr>
                <w:rFonts w:hint="eastAsia" w:ascii="仿宋" w:hAnsi="仿宋" w:eastAsia="仿宋" w:cs="仿宋"/>
                <w:color w:val="auto"/>
                <w:sz w:val="24"/>
                <w:szCs w:val="24"/>
              </w:rPr>
            </w:pPr>
          </w:p>
        </w:tc>
        <w:tc>
          <w:tcPr>
            <w:tcW w:w="7229" w:type="dxa"/>
            <w:vAlign w:val="center"/>
          </w:tcPr>
          <w:p>
            <w:pPr>
              <w:spacing w:after="0"/>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1、本文件中描述竞标人的“公章”是指根据我国对公章的管理规定，用竞标人法定主体行为名称制作的印章，除本文件有特殊规定外，竞标人的财务章、部门章、分公司章、工会章、合同章、竞标专用章、业务专用章及银行的转账章、现金收讫章、现金付讫章等其它形式印章均不能代替公章。</w:t>
            </w:r>
          </w:p>
          <w:p>
            <w:pPr>
              <w:spacing w:after="0"/>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2、本文件中描述竞标人的“签字”是指竞标人的法定代表人或被授权人亲自在文件规定签署处亲笔写上个人的名字的行为，私章、签字章、印鉴、影印等其它形式均不能代替亲笔签字。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28" w:type="dxa"/>
            <w:vAlign w:val="center"/>
          </w:tcPr>
          <w:p>
            <w:pPr>
              <w:spacing w:after="0"/>
              <w:jc w:val="center"/>
              <w:rPr>
                <w:rFonts w:hint="eastAsia" w:ascii="仿宋" w:hAnsi="仿宋" w:eastAsia="仿宋" w:cs="仿宋"/>
                <w:color w:val="auto"/>
                <w:sz w:val="24"/>
                <w:szCs w:val="24"/>
              </w:rPr>
            </w:pPr>
          </w:p>
        </w:tc>
        <w:tc>
          <w:tcPr>
            <w:tcW w:w="1532" w:type="dxa"/>
            <w:vAlign w:val="center"/>
          </w:tcPr>
          <w:p>
            <w:pPr>
              <w:spacing w:after="0"/>
              <w:jc w:val="center"/>
              <w:rPr>
                <w:rFonts w:hint="eastAsia" w:ascii="仿宋" w:hAnsi="仿宋" w:eastAsia="仿宋" w:cs="仿宋"/>
                <w:color w:val="auto"/>
                <w:sz w:val="24"/>
                <w:szCs w:val="24"/>
              </w:rPr>
            </w:pPr>
          </w:p>
        </w:tc>
        <w:tc>
          <w:tcPr>
            <w:tcW w:w="7229" w:type="dxa"/>
            <w:vAlign w:val="center"/>
          </w:tcPr>
          <w:p>
            <w:pPr>
              <w:spacing w:after="0"/>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在对竞标人资格审查时由磋商小组进行信用查询：</w:t>
            </w:r>
          </w:p>
          <w:p>
            <w:pPr>
              <w:spacing w:after="0"/>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查询渠道：“信用中国”网站(www.creditchina.gov.cn)、中国政府采购网(www.ccgp.gov.cn)等；</w:t>
            </w:r>
          </w:p>
          <w:p>
            <w:pPr>
              <w:spacing w:after="0"/>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查询起止时间：首次</w:t>
            </w:r>
            <w:r>
              <w:rPr>
                <w:rFonts w:hint="eastAsia" w:ascii="仿宋" w:hAnsi="仿宋" w:eastAsia="仿宋" w:cs="仿宋"/>
                <w:bCs/>
                <w:color w:val="auto"/>
                <w:sz w:val="24"/>
                <w:szCs w:val="24"/>
              </w:rPr>
              <w:t>响应文件递交截止时间前3年开始</w:t>
            </w:r>
            <w:r>
              <w:rPr>
                <w:rFonts w:hint="eastAsia" w:ascii="仿宋" w:hAnsi="仿宋" w:eastAsia="仿宋" w:cs="仿宋"/>
                <w:color w:val="auto"/>
                <w:sz w:val="24"/>
                <w:szCs w:val="24"/>
              </w:rPr>
              <w:t>至提交响应文件截止时间；</w:t>
            </w:r>
          </w:p>
          <w:p>
            <w:pPr>
              <w:spacing w:after="0"/>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查询记录和证据留存方式：在查询网站中直接打印查询记录，打印材料作为评审资料保存。</w:t>
            </w:r>
          </w:p>
          <w:p>
            <w:pPr>
              <w:spacing w:after="0"/>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竞标人，资格审查不通过，不得参与政府采购活动。</w:t>
            </w:r>
          </w:p>
        </w:tc>
      </w:tr>
    </w:tbl>
    <w:p>
      <w:pPr>
        <w:rPr>
          <w:rFonts w:hint="eastAsia" w:ascii="仿宋" w:hAnsi="仿宋" w:eastAsia="仿宋" w:cs="仿宋"/>
          <w:color w:val="auto"/>
        </w:rPr>
        <w:sectPr>
          <w:pgSz w:w="11907" w:h="16840"/>
          <w:pgMar w:top="1134" w:right="1134" w:bottom="1134" w:left="1134" w:header="624" w:footer="737" w:gutter="0"/>
          <w:cols w:space="720" w:num="1"/>
          <w:docGrid w:linePitch="312" w:charSpace="0"/>
        </w:sectPr>
      </w:pPr>
    </w:p>
    <w:p>
      <w:pPr>
        <w:pStyle w:val="4"/>
        <w:spacing w:before="120" w:beforeLines="50" w:after="120" w:afterLines="50" w:line="440" w:lineRule="exact"/>
        <w:ind w:firstLine="480" w:firstLineChars="200"/>
        <w:rPr>
          <w:rFonts w:hint="eastAsia" w:ascii="仿宋" w:hAnsi="仿宋" w:eastAsia="仿宋" w:cs="仿宋"/>
          <w:color w:val="auto"/>
          <w:sz w:val="24"/>
          <w:szCs w:val="24"/>
        </w:rPr>
      </w:pPr>
      <w:bookmarkStart w:id="41" w:name="_Toc502994523"/>
      <w:bookmarkStart w:id="42" w:name="_Toc511082958"/>
      <w:bookmarkStart w:id="43" w:name="_Toc246094910"/>
      <w:bookmarkStart w:id="44" w:name="_Toc16784"/>
      <w:bookmarkStart w:id="45" w:name="_Toc246095516"/>
      <w:bookmarkStart w:id="46" w:name="_Toc246095454"/>
      <w:bookmarkStart w:id="47" w:name="_Toc1379"/>
      <w:r>
        <w:rPr>
          <w:rFonts w:hint="eastAsia" w:ascii="仿宋" w:hAnsi="仿宋" w:eastAsia="仿宋" w:cs="仿宋"/>
          <w:color w:val="auto"/>
          <w:sz w:val="24"/>
          <w:szCs w:val="24"/>
        </w:rPr>
        <w:t>一、总则</w:t>
      </w:r>
      <w:bookmarkEnd w:id="41"/>
      <w:bookmarkEnd w:id="42"/>
      <w:bookmarkEnd w:id="43"/>
      <w:bookmarkEnd w:id="44"/>
      <w:bookmarkEnd w:id="45"/>
      <w:bookmarkEnd w:id="46"/>
      <w:bookmarkEnd w:id="47"/>
    </w:p>
    <w:p>
      <w:pPr>
        <w:spacing w:after="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l. 项目概况</w:t>
      </w:r>
    </w:p>
    <w:p>
      <w:pPr>
        <w:spacing w:after="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 适用范围：本文件仅适用于本文件中所叙述的</w:t>
      </w:r>
      <w:r>
        <w:rPr>
          <w:rFonts w:hint="eastAsia" w:ascii="仿宋" w:hAnsi="仿宋" w:eastAsia="仿宋" w:cs="仿宋"/>
          <w:color w:val="auto"/>
          <w:sz w:val="24"/>
          <w:lang w:eastAsia="zh-CN"/>
        </w:rPr>
        <w:t>工程类</w:t>
      </w:r>
      <w:r>
        <w:rPr>
          <w:rFonts w:hint="eastAsia" w:ascii="仿宋" w:hAnsi="仿宋" w:eastAsia="仿宋" w:cs="仿宋"/>
          <w:color w:val="auto"/>
          <w:sz w:val="24"/>
        </w:rPr>
        <w:t>、服务类</w:t>
      </w:r>
      <w:r>
        <w:rPr>
          <w:rFonts w:hint="eastAsia" w:ascii="仿宋" w:hAnsi="仿宋" w:eastAsia="仿宋" w:cs="仿宋"/>
          <w:color w:val="auto"/>
          <w:sz w:val="24"/>
          <w:lang w:eastAsia="zh-CN"/>
        </w:rPr>
        <w:t>、货物类</w:t>
      </w:r>
      <w:r>
        <w:rPr>
          <w:rFonts w:hint="eastAsia" w:ascii="仿宋" w:hAnsi="仿宋" w:eastAsia="仿宋" w:cs="仿宋"/>
          <w:color w:val="auto"/>
          <w:sz w:val="24"/>
        </w:rPr>
        <w:t>政府采购项目。</w:t>
      </w:r>
    </w:p>
    <w:p>
      <w:pPr>
        <w:spacing w:after="0"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1.2 采购人：见竞标人须知前附表。</w:t>
      </w:r>
    </w:p>
    <w:p>
      <w:pPr>
        <w:spacing w:after="0"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1.3 采购代理机构：见竞标人须知前附表。</w:t>
      </w:r>
    </w:p>
    <w:p>
      <w:pPr>
        <w:spacing w:after="0" w:line="440" w:lineRule="exact"/>
        <w:ind w:firstLine="480" w:firstLineChars="200"/>
        <w:rPr>
          <w:rFonts w:hint="eastAsia" w:ascii="仿宋" w:hAnsi="仿宋" w:eastAsia="仿宋" w:cs="仿宋"/>
          <w:bCs/>
          <w:color w:val="auto"/>
          <w:sz w:val="24"/>
        </w:rPr>
      </w:pPr>
      <w:r>
        <w:rPr>
          <w:rFonts w:hint="eastAsia" w:ascii="仿宋" w:hAnsi="仿宋" w:eastAsia="仿宋" w:cs="仿宋"/>
          <w:color w:val="auto"/>
          <w:sz w:val="24"/>
        </w:rPr>
        <w:t>1.4 项目名称：</w:t>
      </w:r>
      <w:r>
        <w:rPr>
          <w:rFonts w:hint="eastAsia" w:ascii="仿宋" w:hAnsi="仿宋" w:eastAsia="仿宋" w:cs="仿宋"/>
          <w:bCs/>
          <w:color w:val="auto"/>
          <w:sz w:val="24"/>
        </w:rPr>
        <w:t>见竞标人须知前附表。</w:t>
      </w:r>
    </w:p>
    <w:p>
      <w:pPr>
        <w:spacing w:after="0" w:line="440" w:lineRule="exact"/>
        <w:ind w:firstLine="480" w:firstLineChars="200"/>
        <w:rPr>
          <w:rFonts w:hint="eastAsia" w:ascii="仿宋" w:hAnsi="仿宋" w:eastAsia="仿宋" w:cs="仿宋"/>
          <w:bCs/>
          <w:color w:val="auto"/>
          <w:sz w:val="24"/>
        </w:rPr>
      </w:pPr>
      <w:r>
        <w:rPr>
          <w:rFonts w:hint="eastAsia" w:ascii="仿宋" w:hAnsi="仿宋" w:eastAsia="仿宋" w:cs="仿宋"/>
          <w:color w:val="auto"/>
          <w:sz w:val="24"/>
        </w:rPr>
        <w:t>1.5 项目编号：</w:t>
      </w:r>
      <w:r>
        <w:rPr>
          <w:rFonts w:hint="eastAsia" w:ascii="仿宋" w:hAnsi="仿宋" w:eastAsia="仿宋" w:cs="仿宋"/>
          <w:bCs/>
          <w:color w:val="auto"/>
          <w:sz w:val="24"/>
        </w:rPr>
        <w:t>见竞标人须知前附表。</w:t>
      </w:r>
    </w:p>
    <w:p>
      <w:pPr>
        <w:spacing w:after="0"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1.6 采购预算：见竞标人须知前附表。</w:t>
      </w:r>
    </w:p>
    <w:p>
      <w:pPr>
        <w:spacing w:after="0" w:line="440" w:lineRule="exact"/>
        <w:ind w:firstLine="480" w:firstLineChars="200"/>
        <w:rPr>
          <w:rFonts w:hint="eastAsia" w:ascii="仿宋" w:hAnsi="仿宋" w:eastAsia="仿宋" w:cs="仿宋"/>
          <w:color w:val="auto"/>
          <w:sz w:val="24"/>
        </w:rPr>
      </w:pPr>
      <w:r>
        <w:rPr>
          <w:rFonts w:hint="eastAsia" w:ascii="仿宋" w:hAnsi="仿宋" w:eastAsia="仿宋" w:cs="仿宋"/>
          <w:bCs/>
          <w:color w:val="auto"/>
          <w:sz w:val="24"/>
        </w:rPr>
        <w:t>1.7 资金来源：见竞标人须知前附表。</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 定义</w:t>
      </w:r>
    </w:p>
    <w:p>
      <w:pPr>
        <w:spacing w:after="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 “采购人”是指依法进行政府采购的国家机关、事业单位、团体组织。</w:t>
      </w:r>
    </w:p>
    <w:p>
      <w:pPr>
        <w:spacing w:after="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2.2 “采购代理机构”是指依法设立、从事采购代理业务并提供相关服务的社会中介组织。</w:t>
      </w:r>
    </w:p>
    <w:p>
      <w:pPr>
        <w:spacing w:after="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 “竞标人”是指响应本文件要求，参加磋商的法人或者其他组织。如果该竞标人在本次磋商中成交，即成为“成交竞标人”。</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2.4 “货物”是指各种形态和种类的物品，包括原材料、燃料、设备、产品等。</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2.5 “服务”是指除货物和工程以外的其他采购对象。</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2.6</w:t>
      </w:r>
      <w:r>
        <w:rPr>
          <w:rFonts w:hint="eastAsia" w:ascii="仿宋" w:hAnsi="仿宋" w:eastAsia="仿宋" w:cs="仿宋"/>
          <w:color w:val="auto"/>
          <w:sz w:val="24"/>
          <w:szCs w:val="24"/>
        </w:rPr>
        <w:t>“工程”是指按照招标投标法及其实施条例必须进行招标的工程建设项目以外的工程建设项目。</w:t>
      </w:r>
    </w:p>
    <w:p>
      <w:pPr>
        <w:spacing w:after="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 xml:space="preserve"> “项目”系</w:t>
      </w:r>
      <w:r>
        <w:rPr>
          <w:rFonts w:hint="eastAsia" w:ascii="仿宋" w:hAnsi="仿宋" w:eastAsia="仿宋" w:cs="仿宋"/>
          <w:color w:val="auto"/>
          <w:sz w:val="24"/>
        </w:rPr>
        <w:t>指竞标人按磋商文件规定向采购人提供的</w:t>
      </w:r>
      <w:r>
        <w:rPr>
          <w:rFonts w:hint="eastAsia" w:ascii="仿宋" w:hAnsi="仿宋" w:eastAsia="仿宋" w:cs="仿宋"/>
          <w:color w:val="auto"/>
          <w:sz w:val="24"/>
          <w:lang w:eastAsia="zh-CN"/>
        </w:rPr>
        <w:t>工程施工及相应服务</w:t>
      </w:r>
      <w:r>
        <w:rPr>
          <w:rFonts w:hint="eastAsia" w:ascii="仿宋" w:hAnsi="仿宋" w:eastAsia="仿宋" w:cs="仿宋"/>
          <w:color w:val="auto"/>
          <w:sz w:val="24"/>
        </w:rPr>
        <w:t>。</w:t>
      </w:r>
    </w:p>
    <w:p>
      <w:pPr>
        <w:spacing w:after="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8</w:t>
      </w:r>
      <w:r>
        <w:rPr>
          <w:rFonts w:hint="eastAsia" w:ascii="仿宋" w:hAnsi="仿宋" w:eastAsia="仿宋" w:cs="仿宋"/>
          <w:color w:val="auto"/>
          <w:sz w:val="24"/>
        </w:rPr>
        <w:t xml:space="preserve"> “书面形式”包括信函、传真、电报等。</w:t>
      </w:r>
    </w:p>
    <w:p>
      <w:pPr>
        <w:spacing w:after="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9</w:t>
      </w:r>
      <w:r>
        <w:rPr>
          <w:rFonts w:hint="eastAsia" w:ascii="仿宋" w:hAnsi="仿宋" w:eastAsia="仿宋" w:cs="仿宋"/>
          <w:color w:val="auto"/>
          <w:sz w:val="24"/>
        </w:rPr>
        <w:t xml:space="preserve"> “竞争性磋商文件”简称“磋商文件”</w:t>
      </w:r>
    </w:p>
    <w:p>
      <w:pPr>
        <w:spacing w:after="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10</w:t>
      </w:r>
      <w:r>
        <w:rPr>
          <w:rFonts w:hint="eastAsia" w:ascii="仿宋" w:hAnsi="仿宋" w:eastAsia="仿宋" w:cs="仿宋"/>
          <w:color w:val="auto"/>
          <w:sz w:val="24"/>
        </w:rPr>
        <w:t xml:space="preserve"> “竞争性响应文件”是指竞标人根据本文件要求，编制包含报价、技术和服务等所有内容的文件。简称“响应文件”。</w:t>
      </w:r>
    </w:p>
    <w:p>
      <w:pPr>
        <w:spacing w:after="0" w:line="440" w:lineRule="exact"/>
        <w:ind w:firstLine="482" w:firstLineChars="201"/>
        <w:rPr>
          <w:rFonts w:hint="eastAsia" w:ascii="仿宋" w:hAnsi="仿宋" w:eastAsia="仿宋" w:cs="仿宋"/>
          <w:color w:val="auto"/>
          <w:sz w:val="24"/>
          <w:szCs w:val="24"/>
        </w:rPr>
      </w:pPr>
      <w:r>
        <w:rPr>
          <w:rFonts w:hint="eastAsia" w:ascii="仿宋" w:hAnsi="仿宋" w:eastAsia="仿宋" w:cs="仿宋"/>
          <w:color w:val="auto"/>
          <w:sz w:val="24"/>
          <w:szCs w:val="24"/>
        </w:rPr>
        <w:t>3. 竞标人的资格条件</w:t>
      </w:r>
    </w:p>
    <w:p>
      <w:pPr>
        <w:spacing w:after="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3.1 有资格获得本合同的竞标人，至少应满足竞标人须知前附表所列得的最低资格条件。</w:t>
      </w:r>
    </w:p>
    <w:p>
      <w:pPr>
        <w:spacing w:after="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3.2 根据《关于防治政府采购招标中串通投标行为的通知》桂财采〔2016〕42号规定，出现下述情况的，相关竞标人的响应作无效响应处理（本条款所述投标人等同于竞标人，评标等同于评审，投标等同于磋商或响应）。</w:t>
      </w:r>
    </w:p>
    <w:p>
      <w:pPr>
        <w:spacing w:after="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（1）单位负责人为同一人或者存在直接控股、管理关系，参加同一合同项下政府采购活动的不同竞标人。</w:t>
      </w:r>
    </w:p>
    <w:p>
      <w:pPr>
        <w:spacing w:after="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（2）除单一来源采购项目外，已为采购项目提供整体设计、规范编制或者项目管理、监理、检测等服务的竞标人。</w:t>
      </w:r>
    </w:p>
    <w:p>
      <w:pPr>
        <w:spacing w:after="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（3）授权给竞标人后参加同一合同项（分包、标段）投标的生产厂商。</w:t>
      </w:r>
    </w:p>
    <w:p>
      <w:pPr>
        <w:spacing w:after="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（4）视为或被认定为串通投标的相关竞标人。</w:t>
      </w:r>
    </w:p>
    <w:p>
      <w:pPr>
        <w:spacing w:after="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 语言文字及计量单位</w:t>
      </w:r>
    </w:p>
    <w:p>
      <w:pPr>
        <w:spacing w:after="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除专用术语外，与采购有关的语言均使用中文。必要时专用术语应附有中文注释。所有计量均采用中华人民共和国法定计量单位。</w:t>
      </w:r>
    </w:p>
    <w:p>
      <w:pPr>
        <w:spacing w:after="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5. 磋商费用</w:t>
      </w:r>
    </w:p>
    <w:p>
      <w:pPr>
        <w:spacing w:after="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5.1 竞标人应自行承担所有与编写和提交响应文件有关的费用，不论磋商结果如何，采购人和采购代理机构在任何情况下无义务和责任承担此类费用。</w:t>
      </w:r>
    </w:p>
    <w:p>
      <w:pPr>
        <w:spacing w:after="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5.2 本项目的采购代理服务费按本章</w:t>
      </w:r>
      <w:r>
        <w:rPr>
          <w:rFonts w:hint="eastAsia" w:ascii="仿宋" w:hAnsi="仿宋" w:eastAsia="仿宋" w:cs="仿宋"/>
          <w:bCs/>
          <w:color w:val="auto"/>
          <w:sz w:val="24"/>
        </w:rPr>
        <w:t>第30条</w:t>
      </w:r>
      <w:r>
        <w:rPr>
          <w:rFonts w:hint="eastAsia" w:ascii="仿宋" w:hAnsi="仿宋" w:eastAsia="仿宋" w:cs="仿宋"/>
          <w:color w:val="auto"/>
          <w:sz w:val="24"/>
        </w:rPr>
        <w:t>的规定执行，成交竞标人在领取成交通知书前，一次性向采购代理机构支付。</w:t>
      </w:r>
    </w:p>
    <w:p>
      <w:pPr>
        <w:spacing w:after="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6. 现场勘查</w:t>
      </w:r>
    </w:p>
    <w:p>
      <w:pPr>
        <w:spacing w:after="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6.1 竞标人须知前附表如规定现场踏勘的，竞标人应按规定时间地点参加踏勘。</w:t>
      </w:r>
    </w:p>
    <w:p>
      <w:pPr>
        <w:spacing w:after="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6.2 竞标人承担现场勘查的责任和风险。勘查现场的费用由竞标人自己承担。</w:t>
      </w:r>
    </w:p>
    <w:p>
      <w:pPr>
        <w:pStyle w:val="4"/>
        <w:spacing w:before="120" w:beforeLines="50" w:after="120" w:afterLines="50" w:line="440" w:lineRule="exact"/>
        <w:ind w:firstLine="480" w:firstLineChars="200"/>
        <w:rPr>
          <w:rFonts w:hint="eastAsia" w:ascii="仿宋" w:hAnsi="仿宋" w:eastAsia="仿宋" w:cs="仿宋"/>
          <w:color w:val="auto"/>
          <w:sz w:val="24"/>
          <w:szCs w:val="24"/>
        </w:rPr>
      </w:pPr>
      <w:bookmarkStart w:id="48" w:name="_Toc468915367"/>
      <w:bookmarkStart w:id="49" w:name="_Toc925"/>
      <w:bookmarkStart w:id="50" w:name="_Toc10510"/>
      <w:bookmarkStart w:id="51" w:name="_Toc502994524"/>
      <w:bookmarkStart w:id="52" w:name="_Toc511082959"/>
      <w:r>
        <w:rPr>
          <w:rFonts w:hint="eastAsia" w:ascii="仿宋" w:hAnsi="仿宋" w:eastAsia="仿宋" w:cs="仿宋"/>
          <w:color w:val="auto"/>
          <w:sz w:val="24"/>
          <w:szCs w:val="24"/>
        </w:rPr>
        <w:t>二、磋商文件</w:t>
      </w:r>
      <w:bookmarkEnd w:id="48"/>
      <w:bookmarkEnd w:id="49"/>
      <w:bookmarkEnd w:id="50"/>
      <w:bookmarkEnd w:id="51"/>
      <w:bookmarkEnd w:id="52"/>
    </w:p>
    <w:p>
      <w:pPr>
        <w:spacing w:after="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7. 磋商文件的组成</w:t>
      </w:r>
    </w:p>
    <w:p>
      <w:pPr>
        <w:spacing w:after="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7.1 磋商文件包括下列内容：</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第一章 竞争性磋商公告</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第二章 竞标人须知</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第三章 评审办法及评审标准</w:t>
      </w:r>
    </w:p>
    <w:p>
      <w:pPr>
        <w:spacing w:after="0" w:line="44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第四章 </w:t>
      </w:r>
      <w:r>
        <w:rPr>
          <w:rFonts w:hint="eastAsia" w:ascii="仿宋" w:hAnsi="仿宋" w:eastAsia="仿宋" w:cs="仿宋"/>
          <w:color w:val="auto"/>
          <w:sz w:val="24"/>
          <w:szCs w:val="24"/>
          <w:lang w:eastAsia="zh-CN"/>
        </w:rPr>
        <w:t>项目要求</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第五章 合同条款</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第六章 响应文件格式</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7.2 除本章第7.1款所述的磋商文件内容外，采购人在采购期间、按法定时间发出的答疑、澄清、修改或补充内容，均是磋商文件的组成部分，对采购人和竞标人起约束作用。根据本章第8条、第9条对磋商文件所作的澄清、修改，构成磋商文件的组成部分。</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7.3 竞标人应认真审阅磋商文件。如果竞标人编制的响应文件不符合磋商文件的要求，责任由竞标人自负。实质上不响应磋商文件要求的响应文件将按无效处理，被采购人拒绝。</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 竞争性磋商文件的澄清</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8.1 竞标人应仔细阅读和检查磋商文件的全部内容。如发现缺页、有误或有不合理要求的，竞标人必须在提交首次响应文件截止之日前，以书面形式要求采购人或采购代理机构澄清。逾期不提出澄清要求视为对磋商文件无异议。</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8.2 采购人、采购代理机构可以对已发出的磋商文件进行必要的澄清，澄清的内容作为磋商文件的组成部分。澄清的内容可能影响响应文件编制的，磋商文件的澄清将在提交首次响应文件截止时间至少5日前以书面形式（在财政部门指定的政府采购信息发布媒体上发布）通知所有获取磋商文件的竞标人，但不指明澄清问题的来源。不足5日的，将顺延提交首次响应文件截止时间。</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8.3 当磋商文件与磋商文件的澄清就同一内容的表述不一致时，以最后发出的公告或书面文件为准。</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 磋商文件的修改</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9.1 采购人、采购代理机构可以对已发出的磋商文件进行必要的修改，修改的内容作为磋商文件的组成部分。修改的内容可能影响响应文件编制的，磋商文件的修改将在提交首次响应文件截止时间至少5日前以书面形式（在财政部门指定的政府采购信息发布媒体上发布）通知所有获取磋商文件的竞标人。不足5日的，将顺延提交首次响应文件截止时间。</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9.2 当磋商文件与磋商文件的修改就同一内容的表述不一致时，以最后发出的公告或书面文件为准。</w:t>
      </w:r>
    </w:p>
    <w:p>
      <w:pPr>
        <w:pStyle w:val="4"/>
        <w:spacing w:before="120" w:beforeLines="50" w:after="120" w:afterLines="50" w:line="440" w:lineRule="exact"/>
        <w:ind w:firstLine="480" w:firstLineChars="200"/>
        <w:rPr>
          <w:rFonts w:hint="eastAsia" w:ascii="仿宋" w:hAnsi="仿宋" w:eastAsia="仿宋" w:cs="仿宋"/>
          <w:color w:val="auto"/>
          <w:sz w:val="24"/>
          <w:szCs w:val="24"/>
        </w:rPr>
      </w:pPr>
      <w:bookmarkStart w:id="53" w:name="_Toc468915368"/>
      <w:bookmarkStart w:id="54" w:name="_Toc502994525"/>
      <w:bookmarkStart w:id="55" w:name="_Toc28112"/>
      <w:bookmarkStart w:id="56" w:name="_Toc11713"/>
      <w:bookmarkStart w:id="57" w:name="_Toc511082960"/>
      <w:r>
        <w:rPr>
          <w:rFonts w:hint="eastAsia" w:ascii="仿宋" w:hAnsi="仿宋" w:eastAsia="仿宋" w:cs="仿宋"/>
          <w:color w:val="auto"/>
          <w:sz w:val="24"/>
          <w:szCs w:val="24"/>
        </w:rPr>
        <w:t>三、响应文件</w:t>
      </w:r>
      <w:bookmarkEnd w:id="53"/>
      <w:bookmarkEnd w:id="54"/>
      <w:bookmarkEnd w:id="55"/>
      <w:bookmarkEnd w:id="56"/>
      <w:bookmarkEnd w:id="57"/>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10. 响应文件的组成</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响应文件应包括下列内容：</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10.1 响应文件报价部分：具体材料见“竞标人须知前附表</w:t>
      </w:r>
      <w:r>
        <w:rPr>
          <w:rFonts w:hint="eastAsia" w:ascii="仿宋" w:hAnsi="仿宋" w:eastAsia="仿宋" w:cs="仿宋"/>
          <w:color w:val="auto"/>
          <w:sz w:val="24"/>
          <w:szCs w:val="24"/>
          <w:lang w:val="en-US" w:eastAsia="zh-CN"/>
        </w:rPr>
        <w:t>10.1</w:t>
      </w:r>
      <w:r>
        <w:rPr>
          <w:rFonts w:hint="eastAsia" w:ascii="仿宋" w:hAnsi="仿宋" w:eastAsia="仿宋" w:cs="仿宋"/>
          <w:color w:val="auto"/>
          <w:sz w:val="24"/>
          <w:szCs w:val="24"/>
        </w:rPr>
        <w:t>”。</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10.2 响应文件资格证明部分：具体材料见“竞标人须知前附表</w:t>
      </w:r>
      <w:r>
        <w:rPr>
          <w:rFonts w:hint="eastAsia" w:ascii="仿宋" w:hAnsi="仿宋" w:eastAsia="仿宋" w:cs="仿宋"/>
          <w:color w:val="auto"/>
          <w:sz w:val="24"/>
          <w:szCs w:val="24"/>
          <w:lang w:val="en-US" w:eastAsia="zh-CN"/>
        </w:rPr>
        <w:t>10.2</w:t>
      </w:r>
      <w:r>
        <w:rPr>
          <w:rFonts w:hint="eastAsia" w:ascii="仿宋" w:hAnsi="仿宋" w:eastAsia="仿宋" w:cs="仿宋"/>
          <w:color w:val="auto"/>
          <w:sz w:val="24"/>
          <w:szCs w:val="24"/>
        </w:rPr>
        <w:t>”。</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10.3 响应文件商务部分：具体材料见“竞标人须知前附表</w:t>
      </w:r>
      <w:r>
        <w:rPr>
          <w:rFonts w:hint="eastAsia" w:ascii="仿宋" w:hAnsi="仿宋" w:eastAsia="仿宋" w:cs="仿宋"/>
          <w:color w:val="auto"/>
          <w:sz w:val="24"/>
          <w:szCs w:val="24"/>
          <w:lang w:val="en-US" w:eastAsia="zh-CN"/>
        </w:rPr>
        <w:t>10.3</w:t>
      </w:r>
      <w:r>
        <w:rPr>
          <w:rFonts w:hint="eastAsia" w:ascii="仿宋" w:hAnsi="仿宋" w:eastAsia="仿宋" w:cs="仿宋"/>
          <w:color w:val="auto"/>
          <w:sz w:val="24"/>
          <w:szCs w:val="24"/>
        </w:rPr>
        <w:t>”。</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10.4 响应文件技术部分：具体材料见“竞标人须知前附表</w:t>
      </w:r>
      <w:r>
        <w:rPr>
          <w:rFonts w:hint="eastAsia" w:ascii="仿宋" w:hAnsi="仿宋" w:eastAsia="仿宋" w:cs="仿宋"/>
          <w:color w:val="auto"/>
          <w:sz w:val="24"/>
          <w:szCs w:val="24"/>
          <w:lang w:val="en-US" w:eastAsia="zh-CN"/>
        </w:rPr>
        <w:t>10.4</w:t>
      </w:r>
      <w:r>
        <w:rPr>
          <w:rFonts w:hint="eastAsia" w:ascii="仿宋" w:hAnsi="仿宋" w:eastAsia="仿宋" w:cs="仿宋"/>
          <w:color w:val="auto"/>
          <w:sz w:val="24"/>
          <w:szCs w:val="24"/>
        </w:rPr>
        <w:t>”。</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 磋商报价</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11.1 响应文件中的报价均采用人民币表示。磋商报价应按磋商文件中相关附表格式填写。</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11.2 最后磋商报价是履行合同的最终价格。</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11.3 竞标人应充分考虑在合同</w:t>
      </w:r>
      <w:r>
        <w:rPr>
          <w:rFonts w:hint="eastAsia" w:ascii="仿宋" w:hAnsi="仿宋" w:eastAsia="仿宋" w:cs="仿宋"/>
          <w:bCs/>
          <w:color w:val="auto"/>
          <w:sz w:val="24"/>
          <w:szCs w:val="24"/>
        </w:rPr>
        <w:t>履约期间可能存在的风险</w:t>
      </w:r>
      <w:r>
        <w:rPr>
          <w:rFonts w:hint="eastAsia" w:ascii="仿宋" w:hAnsi="仿宋" w:eastAsia="仿宋" w:cs="仿宋"/>
          <w:color w:val="auto"/>
          <w:sz w:val="24"/>
          <w:szCs w:val="24"/>
        </w:rPr>
        <w:t>，并在报价中一并考虑。为项目工作所明示或暗示的内容所花费的费用均认为已包括在总报价中。经磋商小组审核严重不平衡的报价将不予接受。</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11.4 竞标人可根据市场行情及自身情况，自行决定其磋商报价。</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11.5 采购人和成交竞标人应按成交的磋商报价签订合同，不得就磋商报价等实质性内容进行磋商。</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12. 响应有效期</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12.1 在竞标人须知前附表规定的响应有效期内，竞标人不得要求撤销或修改其响应文件。</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12.2 出现特殊情况需要延长响应有效期的，采购人以书面形式通知所有竞标人延长响应有效期。竞标人同意延长的，应相应延长其磋商保证金的有效期，但不得要求或被允许修改或撤销其响应文件；竞标人不同意延长的，其报价失效，但竞标人有权收回其磋商保证金。</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13. 磋商保证金</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13.1 竞标人应按第一章“竞争性磋商公告”规定的数额、方式要求缴纳磋商保证金，否则其磋商无效。</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13.2 办理磋商保证金手续时，请务必在电汇、转账、网上银行支付时注明项目名称或项目编号，以免耽误磋商。对未按磋商文件要求缴纳磋商保证金的响应文件，采购代理机构将视其为不响应磋商条件而予以拒绝。</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13.3 未成交竞标人的磋商保证金在成交通知书发出后5个工作日内退还（不计利息）。成交竞标人的磋商保证金，在成交竞标人与采购人签订合同后5个工作日内退还。磋商保证金一律以转账方式退还。涉及质疑和投诉的竞标人，在质疑和投诉调查处理结束前其磋商保证金暂不退回竞标人账户。</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13.4 如竞标人有下列情形之一的，其磋商保证金将不予退还：</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（1）竞标人在提交响应文件截止时间后撤回响应文件的；</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（2）竞标人在响应文件中提供虚假材料的；</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（3）除因不可抗力或磋商文件认可的情形以外，成交竞标人不与采购人签订合同的；</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（4）竞标人与采购人、其他竞标人或者采购代理机构恶意串通的；</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（5）成交竞标人在收到成交通知书后，未按磋商文件规定提交履约保证金；</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（6）法律法规规定的其他情形。</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14. 响应文件编制</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14.1 响应文件应按第六章“响应文件格式”进行编写，如有必要，可以增加附页，作为响应文件的组成部分。</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14.2 响应文件应当对磋商文件有关期限、响应有效期、质量要求、技术标准和要求、工程量清单</w:t>
      </w:r>
      <w:r>
        <w:rPr>
          <w:rFonts w:hint="eastAsia" w:ascii="仿宋" w:hAnsi="仿宋" w:eastAsia="仿宋" w:cs="仿宋"/>
          <w:color w:val="auto"/>
          <w:sz w:val="24"/>
          <w:szCs w:val="24"/>
          <w:lang w:eastAsia="zh-CN"/>
        </w:rPr>
        <w:t>（如有）</w:t>
      </w:r>
      <w:r>
        <w:rPr>
          <w:rFonts w:hint="eastAsia" w:ascii="仿宋" w:hAnsi="仿宋" w:eastAsia="仿宋" w:cs="仿宋"/>
          <w:color w:val="auto"/>
          <w:sz w:val="24"/>
          <w:szCs w:val="24"/>
        </w:rPr>
        <w:t>等实质性内容作出响应。</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14.3 响应文件应使用不能擦去的墨水书写或打印并加盖竞标人公章，磋商文件中要求竞标人的法定代表人或其授权代表签字的相应位置须按要求签字确认。授权代表签字的，响应文件应附法定代表人签字署名的授权委托书。响应文件应无涂改、行间插字或删除，如果出现上述情况，改动之处应加盖公章或由竞标人的法定代表人或其授权代表签字确认。</w:t>
      </w:r>
    </w:p>
    <w:p>
      <w:pPr>
        <w:spacing w:after="0" w:line="44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14.4 响应文件装订要求：具体要求见“竞标人须知前附表”。</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14.5响应文件正本一份，副本份数见竞标人须知前附表。正本和副本的封面上应清楚地标记“正本”或“副本”的字样。当副本和正本不一致时，以正本为准。</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14.6 响应文件的正本与副本应采用A4纸编制（图表页可例外），分别装订成册，并编制目录和页码，不得采用活页装订，须采用精装或胶装装订。</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 响应文件的密封和标识</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15.1 响应文件（含报价部分、资格证明部分、商务部分、技术部分</w:t>
      </w:r>
      <w:r>
        <w:rPr>
          <w:rFonts w:hint="eastAsia" w:ascii="仿宋" w:hAnsi="仿宋" w:eastAsia="仿宋" w:cs="仿宋"/>
          <w:color w:val="auto"/>
          <w:sz w:val="24"/>
          <w:szCs w:val="24"/>
          <w:lang w:eastAsia="zh-CN"/>
        </w:rPr>
        <w:t>装订成一册</w:t>
      </w:r>
      <w:r>
        <w:rPr>
          <w:rFonts w:hint="eastAsia" w:ascii="仿宋" w:hAnsi="仿宋" w:eastAsia="仿宋" w:cs="仿宋"/>
          <w:color w:val="auto"/>
          <w:sz w:val="24"/>
          <w:szCs w:val="24"/>
        </w:rPr>
        <w:t>）正、副本全部装入同一个响应文件袋（盒、箱）中并加以密封，封口处必须加盖公章和法定代表人（或其授权代表）签字，以示密封。</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15.2 响应文件袋（盒、箱）上应写明的内容详见竞标人须知前附表规定。</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15.3 未按</w:t>
      </w:r>
      <w:r>
        <w:rPr>
          <w:rFonts w:hint="eastAsia" w:ascii="仿宋" w:hAnsi="仿宋" w:eastAsia="仿宋" w:cs="仿宋"/>
          <w:color w:val="auto"/>
          <w:spacing w:val="2"/>
          <w:sz w:val="24"/>
          <w:szCs w:val="24"/>
        </w:rPr>
        <w:t>本章第15.1款或第15.2款要求密封和标记</w:t>
      </w:r>
      <w:r>
        <w:rPr>
          <w:rFonts w:hint="eastAsia" w:ascii="仿宋" w:hAnsi="仿宋" w:eastAsia="仿宋" w:cs="仿宋"/>
          <w:color w:val="auto"/>
          <w:sz w:val="24"/>
          <w:szCs w:val="24"/>
        </w:rPr>
        <w:t>的响应文件将按未实质性响应磋商文件要求作无效处理。采购人拒绝接收，由此造成的后果由竞标人承担。</w:t>
      </w:r>
    </w:p>
    <w:p>
      <w:pPr>
        <w:spacing w:after="0" w:line="440" w:lineRule="exact"/>
        <w:ind w:firstLine="488" w:firstLineChars="200"/>
        <w:rPr>
          <w:rFonts w:hint="eastAsia" w:ascii="仿宋" w:hAnsi="仿宋" w:eastAsia="仿宋" w:cs="仿宋"/>
          <w:bCs/>
          <w:color w:val="auto"/>
          <w:spacing w:val="2"/>
          <w:sz w:val="24"/>
          <w:szCs w:val="24"/>
        </w:rPr>
      </w:pPr>
      <w:r>
        <w:rPr>
          <w:rFonts w:hint="eastAsia" w:ascii="仿宋" w:hAnsi="仿宋" w:eastAsia="仿宋" w:cs="仿宋"/>
          <w:bCs/>
          <w:color w:val="auto"/>
          <w:spacing w:val="2"/>
          <w:sz w:val="24"/>
          <w:szCs w:val="24"/>
        </w:rPr>
        <w:t>16. 响应文件的提交</w:t>
      </w:r>
    </w:p>
    <w:p>
      <w:pPr>
        <w:spacing w:after="0" w:line="440" w:lineRule="exact"/>
        <w:ind w:firstLine="488" w:firstLineChars="200"/>
        <w:rPr>
          <w:rFonts w:hint="eastAsia" w:ascii="仿宋" w:hAnsi="仿宋" w:eastAsia="仿宋" w:cs="仿宋"/>
          <w:color w:val="auto"/>
          <w:spacing w:val="2"/>
          <w:sz w:val="24"/>
          <w:szCs w:val="24"/>
        </w:rPr>
      </w:pPr>
      <w:r>
        <w:rPr>
          <w:rFonts w:hint="eastAsia" w:ascii="仿宋" w:hAnsi="仿宋" w:eastAsia="仿宋" w:cs="仿宋"/>
          <w:bCs/>
          <w:color w:val="auto"/>
          <w:spacing w:val="2"/>
          <w:sz w:val="24"/>
          <w:szCs w:val="24"/>
        </w:rPr>
        <w:t xml:space="preserve">16.1 </w:t>
      </w:r>
      <w:r>
        <w:rPr>
          <w:rFonts w:hint="eastAsia" w:ascii="仿宋" w:hAnsi="仿宋" w:eastAsia="仿宋" w:cs="仿宋"/>
          <w:color w:val="auto"/>
          <w:spacing w:val="2"/>
          <w:sz w:val="24"/>
          <w:szCs w:val="24"/>
        </w:rPr>
        <w:t>竞标人应在</w:t>
      </w:r>
      <w:r>
        <w:rPr>
          <w:rFonts w:hint="eastAsia" w:ascii="仿宋" w:hAnsi="仿宋" w:eastAsia="仿宋" w:cs="仿宋"/>
          <w:color w:val="auto"/>
          <w:sz w:val="24"/>
          <w:szCs w:val="24"/>
        </w:rPr>
        <w:t>竞标人须知前附表</w:t>
      </w:r>
      <w:r>
        <w:rPr>
          <w:rFonts w:hint="eastAsia" w:ascii="仿宋" w:hAnsi="仿宋" w:eastAsia="仿宋" w:cs="仿宋"/>
          <w:color w:val="auto"/>
          <w:spacing w:val="2"/>
          <w:sz w:val="24"/>
          <w:szCs w:val="24"/>
        </w:rPr>
        <w:t>规定的截止时间前提交响应文件。凡逾期送达的响应文件将视为无效响应文件处理。</w:t>
      </w:r>
    </w:p>
    <w:p>
      <w:pPr>
        <w:spacing w:after="0" w:line="440" w:lineRule="exact"/>
        <w:ind w:firstLine="488" w:firstLineChars="200"/>
        <w:rPr>
          <w:rFonts w:hint="eastAsia" w:ascii="仿宋" w:hAnsi="仿宋" w:eastAsia="仿宋" w:cs="仿宋"/>
          <w:bCs/>
          <w:color w:val="auto"/>
          <w:spacing w:val="2"/>
          <w:sz w:val="24"/>
          <w:szCs w:val="24"/>
        </w:rPr>
      </w:pPr>
      <w:r>
        <w:rPr>
          <w:rFonts w:hint="eastAsia" w:ascii="仿宋" w:hAnsi="仿宋" w:eastAsia="仿宋" w:cs="仿宋"/>
          <w:bCs/>
          <w:color w:val="auto"/>
          <w:spacing w:val="2"/>
          <w:sz w:val="24"/>
          <w:szCs w:val="24"/>
        </w:rPr>
        <w:t>16.2 竞标人按照竞标人须知前附表规定的地点提交响应文件，并由采购人或采购代理机构签收。</w:t>
      </w:r>
    </w:p>
    <w:p>
      <w:pPr>
        <w:spacing w:after="0" w:line="440" w:lineRule="exact"/>
        <w:ind w:firstLine="488" w:firstLineChars="200"/>
        <w:rPr>
          <w:rFonts w:hint="eastAsia" w:ascii="仿宋" w:hAnsi="仿宋" w:eastAsia="仿宋" w:cs="仿宋"/>
          <w:bCs/>
          <w:color w:val="auto"/>
          <w:spacing w:val="2"/>
          <w:sz w:val="24"/>
          <w:szCs w:val="24"/>
        </w:rPr>
      </w:pPr>
      <w:r>
        <w:rPr>
          <w:rFonts w:hint="eastAsia" w:ascii="仿宋" w:hAnsi="仿宋" w:eastAsia="仿宋" w:cs="仿宋"/>
          <w:bCs/>
          <w:color w:val="auto"/>
          <w:spacing w:val="2"/>
          <w:sz w:val="24"/>
          <w:szCs w:val="24"/>
        </w:rPr>
        <w:t>16.3 提交响应文件的其他要求：详见竞标人须知前附表。</w:t>
      </w:r>
    </w:p>
    <w:p>
      <w:pPr>
        <w:spacing w:after="0" w:line="440" w:lineRule="exact"/>
        <w:ind w:firstLine="488" w:firstLineChars="200"/>
        <w:rPr>
          <w:rFonts w:hint="eastAsia" w:ascii="仿宋" w:hAnsi="仿宋" w:eastAsia="仿宋" w:cs="仿宋"/>
          <w:bCs/>
          <w:color w:val="auto"/>
          <w:spacing w:val="2"/>
          <w:sz w:val="24"/>
          <w:szCs w:val="24"/>
        </w:rPr>
      </w:pPr>
      <w:r>
        <w:rPr>
          <w:rFonts w:hint="eastAsia" w:ascii="仿宋" w:hAnsi="仿宋" w:eastAsia="仿宋" w:cs="仿宋"/>
          <w:bCs/>
          <w:color w:val="auto"/>
          <w:spacing w:val="2"/>
          <w:sz w:val="24"/>
          <w:szCs w:val="24"/>
        </w:rPr>
        <w:t>16.4 除磋商文件另有规定外，竞标人所提交的响应文件不予退还。</w:t>
      </w:r>
    </w:p>
    <w:p>
      <w:pPr>
        <w:spacing w:after="0" w:line="440" w:lineRule="exact"/>
        <w:ind w:firstLine="488" w:firstLineChars="200"/>
        <w:rPr>
          <w:rFonts w:hint="eastAsia" w:ascii="仿宋" w:hAnsi="仿宋" w:eastAsia="仿宋" w:cs="仿宋"/>
          <w:bCs/>
          <w:color w:val="auto"/>
          <w:spacing w:val="2"/>
          <w:sz w:val="24"/>
          <w:szCs w:val="24"/>
        </w:rPr>
      </w:pPr>
      <w:r>
        <w:rPr>
          <w:rFonts w:hint="eastAsia" w:ascii="仿宋" w:hAnsi="仿宋" w:eastAsia="仿宋" w:cs="仿宋"/>
          <w:bCs/>
          <w:color w:val="auto"/>
          <w:spacing w:val="2"/>
          <w:sz w:val="24"/>
          <w:szCs w:val="24"/>
        </w:rPr>
        <w:t>16.5 逾期送达的或者未送达指定地点的响应文件，作无效响应文件处理。</w:t>
      </w:r>
    </w:p>
    <w:p>
      <w:pPr>
        <w:spacing w:after="0" w:line="440" w:lineRule="exact"/>
        <w:ind w:firstLine="488" w:firstLineChars="200"/>
        <w:rPr>
          <w:rFonts w:hint="eastAsia" w:ascii="仿宋" w:hAnsi="仿宋" w:eastAsia="仿宋" w:cs="仿宋"/>
          <w:bCs/>
          <w:color w:val="auto"/>
          <w:spacing w:val="2"/>
          <w:sz w:val="24"/>
          <w:szCs w:val="24"/>
        </w:rPr>
      </w:pPr>
      <w:r>
        <w:rPr>
          <w:rFonts w:hint="eastAsia" w:ascii="仿宋" w:hAnsi="仿宋" w:eastAsia="仿宋" w:cs="仿宋"/>
          <w:bCs/>
          <w:color w:val="auto"/>
          <w:spacing w:val="2"/>
          <w:sz w:val="24"/>
          <w:szCs w:val="24"/>
        </w:rPr>
        <w:t>17. 响应文件的修改和撤回</w:t>
      </w:r>
    </w:p>
    <w:p>
      <w:pPr>
        <w:spacing w:after="0" w:line="440" w:lineRule="exact"/>
        <w:ind w:firstLine="488" w:firstLineChars="200"/>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17.1 在</w:t>
      </w:r>
      <w:r>
        <w:rPr>
          <w:rFonts w:hint="eastAsia" w:ascii="仿宋" w:hAnsi="仿宋" w:eastAsia="仿宋" w:cs="仿宋"/>
          <w:color w:val="auto"/>
          <w:sz w:val="24"/>
          <w:szCs w:val="24"/>
        </w:rPr>
        <w:t>竞标人须知前附表</w:t>
      </w:r>
      <w:r>
        <w:rPr>
          <w:rFonts w:hint="eastAsia" w:ascii="仿宋" w:hAnsi="仿宋" w:eastAsia="仿宋" w:cs="仿宋"/>
          <w:color w:val="auto"/>
          <w:spacing w:val="2"/>
          <w:sz w:val="24"/>
          <w:szCs w:val="24"/>
        </w:rPr>
        <w:t>规定的</w:t>
      </w:r>
      <w:r>
        <w:rPr>
          <w:rFonts w:hint="eastAsia" w:ascii="仿宋" w:hAnsi="仿宋" w:eastAsia="仿宋" w:cs="仿宋"/>
          <w:color w:val="auto"/>
          <w:sz w:val="24"/>
          <w:szCs w:val="24"/>
        </w:rPr>
        <w:t>提交响应文件</w:t>
      </w:r>
      <w:r>
        <w:rPr>
          <w:rFonts w:hint="eastAsia" w:ascii="仿宋" w:hAnsi="仿宋" w:eastAsia="仿宋" w:cs="仿宋"/>
          <w:color w:val="auto"/>
          <w:spacing w:val="2"/>
          <w:sz w:val="24"/>
          <w:szCs w:val="24"/>
        </w:rPr>
        <w:t>截止时间前，竞标人可以修改或撤回已提交的响应文件，但应以书面形式通知采购人或采购代理机构。</w:t>
      </w:r>
    </w:p>
    <w:p>
      <w:pPr>
        <w:spacing w:after="0" w:line="440" w:lineRule="exact"/>
        <w:ind w:firstLine="488" w:firstLineChars="200"/>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17.2 竞标人修改或撤回已提交响应文件的书面通知应按照本章第14.3款的要求签字或盖公章。采购人或采购代理机构收到书面通知后，向竞标人出具签收凭证。</w:t>
      </w:r>
    </w:p>
    <w:p>
      <w:pPr>
        <w:spacing w:after="0" w:line="440" w:lineRule="exact"/>
        <w:ind w:firstLine="488" w:firstLineChars="200"/>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17.3 修改的内容为响应文件的组成部分。修改的响应文件应按照本章第15条、第16条规定进行编制、密封、标记和提交，并标明“修改”字样。</w:t>
      </w:r>
    </w:p>
    <w:p>
      <w:pPr>
        <w:pStyle w:val="4"/>
        <w:spacing w:before="120" w:beforeLines="50" w:after="120" w:afterLines="50" w:line="440" w:lineRule="exact"/>
        <w:ind w:firstLine="480" w:firstLineChars="200"/>
        <w:rPr>
          <w:rFonts w:hint="eastAsia" w:ascii="仿宋" w:hAnsi="仿宋" w:eastAsia="仿宋" w:cs="仿宋"/>
          <w:color w:val="auto"/>
          <w:sz w:val="24"/>
          <w:szCs w:val="24"/>
        </w:rPr>
      </w:pPr>
      <w:bookmarkStart w:id="58" w:name="_Toc246094914"/>
      <w:bookmarkStart w:id="59" w:name="_Toc246095520"/>
      <w:bookmarkStart w:id="60" w:name="_Toc246095458"/>
      <w:bookmarkStart w:id="61" w:name="_Toc3029"/>
      <w:bookmarkStart w:id="62" w:name="_Toc22272"/>
      <w:bookmarkStart w:id="63" w:name="_Toc511082961"/>
      <w:bookmarkStart w:id="64" w:name="_Toc503024070"/>
      <w:r>
        <w:rPr>
          <w:rFonts w:hint="eastAsia" w:ascii="仿宋" w:hAnsi="仿宋" w:eastAsia="仿宋" w:cs="仿宋"/>
          <w:color w:val="auto"/>
          <w:sz w:val="24"/>
          <w:szCs w:val="24"/>
        </w:rPr>
        <w:t>四、</w:t>
      </w:r>
      <w:bookmarkEnd w:id="58"/>
      <w:bookmarkEnd w:id="59"/>
      <w:bookmarkEnd w:id="60"/>
      <w:r>
        <w:rPr>
          <w:rFonts w:hint="eastAsia" w:ascii="仿宋" w:hAnsi="仿宋" w:eastAsia="仿宋" w:cs="仿宋"/>
          <w:color w:val="auto"/>
          <w:sz w:val="24"/>
          <w:szCs w:val="24"/>
        </w:rPr>
        <w:t>截标</w:t>
      </w:r>
      <w:bookmarkEnd w:id="61"/>
      <w:bookmarkEnd w:id="62"/>
      <w:bookmarkEnd w:id="63"/>
      <w:bookmarkEnd w:id="64"/>
    </w:p>
    <w:p>
      <w:pPr>
        <w:pStyle w:val="25"/>
        <w:spacing w:line="440" w:lineRule="exact"/>
        <w:ind w:firstLine="480" w:firstLineChars="200"/>
        <w:rPr>
          <w:rFonts w:hint="eastAsia" w:ascii="仿宋" w:hAnsi="仿宋" w:eastAsia="仿宋" w:cs="仿宋"/>
          <w:color w:val="auto"/>
          <w:sz w:val="24"/>
          <w:szCs w:val="24"/>
        </w:rPr>
      </w:pPr>
      <w:bookmarkStart w:id="65" w:name="_Toc254970544"/>
      <w:bookmarkStart w:id="66" w:name="_Toc254970685"/>
      <w:r>
        <w:rPr>
          <w:rFonts w:hint="eastAsia" w:ascii="仿宋" w:hAnsi="仿宋" w:eastAsia="仿宋" w:cs="仿宋"/>
          <w:color w:val="auto"/>
          <w:sz w:val="24"/>
          <w:szCs w:val="24"/>
        </w:rPr>
        <w:t xml:space="preserve">18. </w:t>
      </w:r>
      <w:bookmarkEnd w:id="65"/>
      <w:bookmarkEnd w:id="66"/>
      <w:r>
        <w:rPr>
          <w:rFonts w:hint="eastAsia" w:ascii="仿宋" w:hAnsi="仿宋" w:eastAsia="仿宋" w:cs="仿宋"/>
          <w:color w:val="auto"/>
          <w:sz w:val="24"/>
          <w:szCs w:val="24"/>
        </w:rPr>
        <w:t>截标会议</w:t>
      </w:r>
    </w:p>
    <w:p>
      <w:pPr>
        <w:pStyle w:val="25"/>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18.1 截标会议的时间、地点和其他要求</w:t>
      </w:r>
    </w:p>
    <w:p>
      <w:pPr>
        <w:spacing w:after="0" w:line="440" w:lineRule="exact"/>
        <w:ind w:firstLine="488" w:firstLineChars="200"/>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采购代理机构将在竞标人须知前附表规定的时间和地点召开截标会议并邀请竞标人的法定代表人或其授权代表携带以下资料依时参加并签到：</w:t>
      </w:r>
    </w:p>
    <w:p>
      <w:pPr>
        <w:spacing w:after="0" w:line="440" w:lineRule="exact"/>
        <w:ind w:firstLine="490" w:firstLineChars="200"/>
        <w:rPr>
          <w:rFonts w:hint="eastAsia" w:ascii="仿宋" w:hAnsi="仿宋" w:eastAsia="仿宋" w:cs="仿宋"/>
          <w:b/>
          <w:bCs/>
          <w:color w:val="auto"/>
          <w:spacing w:val="2"/>
          <w:sz w:val="24"/>
          <w:szCs w:val="24"/>
        </w:rPr>
      </w:pPr>
      <w:r>
        <w:rPr>
          <w:rFonts w:hint="eastAsia" w:ascii="仿宋" w:hAnsi="仿宋" w:eastAsia="仿宋" w:cs="仿宋"/>
          <w:b/>
          <w:bCs/>
          <w:color w:val="auto"/>
          <w:spacing w:val="2"/>
          <w:sz w:val="24"/>
          <w:szCs w:val="24"/>
        </w:rPr>
        <w:t>法定代表人身份证原件（法定代表人到场参加时提供）、法定代表人身份证明书原件（法定代表人到场参加时提供）、法人授权委托书原件（授权委托人到场参加时提供）、被授权人身份证原件（授权委托人到场参加时提供）、磋商保证金递交证明复印件。</w:t>
      </w:r>
    </w:p>
    <w:p>
      <w:pPr>
        <w:spacing w:after="0" w:line="440" w:lineRule="exact"/>
        <w:ind w:firstLine="490" w:firstLineChars="200"/>
        <w:rPr>
          <w:rFonts w:hint="eastAsia" w:ascii="仿宋" w:hAnsi="仿宋" w:eastAsia="仿宋" w:cs="仿宋"/>
          <w:b/>
          <w:bCs/>
          <w:color w:val="auto"/>
          <w:spacing w:val="2"/>
          <w:sz w:val="24"/>
          <w:szCs w:val="24"/>
        </w:rPr>
      </w:pPr>
      <w:r>
        <w:rPr>
          <w:rFonts w:hint="eastAsia" w:ascii="仿宋" w:hAnsi="仿宋" w:eastAsia="仿宋" w:cs="仿宋"/>
          <w:b/>
          <w:bCs/>
          <w:color w:val="auto"/>
          <w:spacing w:val="2"/>
          <w:sz w:val="24"/>
          <w:szCs w:val="24"/>
        </w:rPr>
        <w:t>竞标人的法定代表人或其授权代表未按时签到或未能提供有效证明资料的，视同放弃截标会议的监督权利、认可截标会议结果。</w:t>
      </w:r>
    </w:p>
    <w:p>
      <w:pPr>
        <w:pStyle w:val="25"/>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18.2 截标程序</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（1）截标会议由采购代理机构主持，在提交首次响应文件的截止时间到后由主持人宣布截标会议开始。</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（2）介绍参加截标会议人员名单、竞标人名单。</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（3）由采购人、竞标人、监督部门的代表检查磋商文件的密封性和标识情况，并签字确认检查结果。</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（4）主持人宣布评审和磋商期间的有关事项，告知应当回避的情形，提请有关人员回避。</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（5）经确认符合签收条件的响应文件，由采购代理机构工作人员移交磋商小组。</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（6）截标会议结束。</w:t>
      </w:r>
    </w:p>
    <w:p>
      <w:pPr>
        <w:pStyle w:val="4"/>
        <w:spacing w:before="120" w:beforeLines="50" w:after="120" w:afterLines="50" w:line="440" w:lineRule="exact"/>
        <w:ind w:firstLine="480" w:firstLineChars="200"/>
        <w:rPr>
          <w:rFonts w:hint="eastAsia" w:ascii="仿宋" w:hAnsi="仿宋" w:eastAsia="仿宋" w:cs="仿宋"/>
          <w:color w:val="auto"/>
          <w:sz w:val="24"/>
          <w:szCs w:val="24"/>
        </w:rPr>
      </w:pPr>
      <w:bookmarkStart w:id="67" w:name="_Toc5121"/>
      <w:bookmarkStart w:id="68" w:name="_Toc511082962"/>
      <w:bookmarkStart w:id="69" w:name="_Toc24778"/>
      <w:r>
        <w:rPr>
          <w:rFonts w:hint="eastAsia" w:ascii="仿宋" w:hAnsi="仿宋" w:eastAsia="仿宋" w:cs="仿宋"/>
          <w:color w:val="auto"/>
          <w:sz w:val="24"/>
          <w:szCs w:val="24"/>
        </w:rPr>
        <w:t>五、磋商与评审</w:t>
      </w:r>
      <w:bookmarkEnd w:id="67"/>
      <w:bookmarkEnd w:id="68"/>
      <w:bookmarkEnd w:id="69"/>
    </w:p>
    <w:p>
      <w:pPr>
        <w:pStyle w:val="25"/>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19. 磋商时间、地点和其他要求</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采购代理机构将在竞标人须知前附表规定的时间和地点组织磋商，竞标人的法定代表人或其授权代表必须携带竞标人须知前附表规定的有效身份证件资料依时到现场参加磋商，否则作无效响应处理。</w:t>
      </w:r>
    </w:p>
    <w:p>
      <w:pPr>
        <w:pStyle w:val="25"/>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20. 磋商小组组建</w:t>
      </w:r>
    </w:p>
    <w:p>
      <w:pPr>
        <w:spacing w:after="0" w:line="440" w:lineRule="exact"/>
        <w:ind w:firstLine="488" w:firstLineChars="200"/>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20.1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pPr>
        <w:spacing w:after="0" w:line="440" w:lineRule="exact"/>
        <w:ind w:firstLine="488" w:firstLineChars="200"/>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20.2 评审专家从专家库内随机抽取。</w:t>
      </w:r>
    </w:p>
    <w:p>
      <w:pPr>
        <w:spacing w:after="0" w:line="440" w:lineRule="exact"/>
        <w:ind w:firstLine="482" w:firstLineChars="201"/>
        <w:rPr>
          <w:rFonts w:hint="eastAsia" w:ascii="仿宋" w:hAnsi="仿宋" w:eastAsia="仿宋" w:cs="仿宋"/>
          <w:color w:val="auto"/>
          <w:sz w:val="24"/>
          <w:szCs w:val="24"/>
        </w:rPr>
      </w:pPr>
      <w:r>
        <w:rPr>
          <w:rFonts w:hint="eastAsia" w:ascii="仿宋" w:hAnsi="仿宋" w:eastAsia="仿宋" w:cs="仿宋"/>
          <w:color w:val="auto"/>
          <w:sz w:val="24"/>
          <w:szCs w:val="24"/>
        </w:rPr>
        <w:t>21. 评审原则</w:t>
      </w:r>
    </w:p>
    <w:p>
      <w:pPr>
        <w:pStyle w:val="25"/>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评审活动遵循客观、公正、审慎的原则。</w:t>
      </w:r>
    </w:p>
    <w:p>
      <w:pPr>
        <w:spacing w:after="0" w:line="440" w:lineRule="exact"/>
        <w:ind w:firstLine="482" w:firstLineChars="201"/>
        <w:rPr>
          <w:rFonts w:hint="eastAsia" w:ascii="仿宋" w:hAnsi="仿宋" w:eastAsia="仿宋" w:cs="仿宋"/>
          <w:color w:val="auto"/>
          <w:sz w:val="24"/>
          <w:szCs w:val="24"/>
        </w:rPr>
      </w:pPr>
      <w:r>
        <w:rPr>
          <w:rFonts w:hint="eastAsia" w:ascii="仿宋" w:hAnsi="仿宋" w:eastAsia="仿宋" w:cs="仿宋"/>
          <w:color w:val="auto"/>
          <w:sz w:val="24"/>
          <w:szCs w:val="24"/>
        </w:rPr>
        <w:t>22. 评审方法</w:t>
      </w:r>
    </w:p>
    <w:p>
      <w:pPr>
        <w:pStyle w:val="25"/>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磋商小组应根据磋商文件第三章“评审方法及评审标准”规定的评审程序、评审方法和评审标准进行评审和磋商。磋商文件第三章没有规定的评审方法、评审标准，不能作为评审依据。</w:t>
      </w:r>
    </w:p>
    <w:p>
      <w:pPr>
        <w:pStyle w:val="59"/>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22.1.第一轮磋商</w:t>
      </w:r>
    </w:p>
    <w:p>
      <w:pPr>
        <w:pStyle w:val="59"/>
        <w:ind w:firstLine="488" w:firstLineChars="200"/>
        <w:rPr>
          <w:rFonts w:hint="eastAsia" w:ascii="仿宋" w:hAnsi="仿宋" w:eastAsia="仿宋" w:cs="仿宋"/>
          <w:color w:val="auto"/>
          <w:spacing w:val="2"/>
          <w:sz w:val="24"/>
          <w:szCs w:val="24"/>
          <w:lang w:val="en-US" w:eastAsia="zh-CN" w:bidi="ar-SA"/>
        </w:rPr>
      </w:pPr>
      <w:r>
        <w:rPr>
          <w:rFonts w:hint="eastAsia" w:ascii="仿宋" w:hAnsi="仿宋" w:eastAsia="仿宋" w:cs="仿宋"/>
          <w:color w:val="auto"/>
          <w:spacing w:val="2"/>
          <w:sz w:val="24"/>
          <w:szCs w:val="24"/>
          <w:lang w:val="en-US" w:eastAsia="zh-CN" w:bidi="ar-SA"/>
        </w:rPr>
        <w:t>磋商小组按已确定的磋商顺序，与单一竞标人分别就符合采购工程、质量和服务等进行磋商，并了解其报价组成情况。</w:t>
      </w:r>
    </w:p>
    <w:p>
      <w:pPr>
        <w:pStyle w:val="59"/>
        <w:ind w:firstLine="488" w:firstLineChars="200"/>
        <w:rPr>
          <w:rFonts w:hint="eastAsia" w:ascii="仿宋" w:hAnsi="仿宋" w:eastAsia="仿宋" w:cs="仿宋"/>
          <w:color w:val="auto"/>
          <w:spacing w:val="2"/>
          <w:sz w:val="24"/>
          <w:szCs w:val="24"/>
          <w:lang w:val="en-US" w:eastAsia="zh-CN" w:bidi="ar-SA"/>
        </w:rPr>
      </w:pPr>
      <w:r>
        <w:rPr>
          <w:rFonts w:hint="eastAsia" w:ascii="仿宋" w:hAnsi="仿宋" w:eastAsia="仿宋" w:cs="仿宋"/>
          <w:color w:val="auto"/>
          <w:spacing w:val="2"/>
          <w:sz w:val="24"/>
          <w:szCs w:val="24"/>
          <w:lang w:val="en-US" w:eastAsia="zh-CN" w:bidi="ar-SA"/>
        </w:rPr>
        <w:t>磋商中，磋商的任何一方不得透露与磋商有关的其他竞标人的技术资料、价格和其他信息。</w:t>
      </w:r>
    </w:p>
    <w:p>
      <w:pPr>
        <w:pStyle w:val="59"/>
        <w:ind w:firstLine="488" w:firstLineChars="200"/>
        <w:rPr>
          <w:rFonts w:hint="eastAsia" w:ascii="仿宋" w:hAnsi="仿宋" w:eastAsia="仿宋" w:cs="仿宋"/>
          <w:color w:val="auto"/>
          <w:spacing w:val="2"/>
          <w:sz w:val="24"/>
          <w:szCs w:val="24"/>
          <w:lang w:val="en-US" w:eastAsia="zh-CN" w:bidi="ar-SA"/>
        </w:rPr>
      </w:pPr>
      <w:r>
        <w:rPr>
          <w:rFonts w:hint="eastAsia" w:ascii="仿宋" w:hAnsi="仿宋" w:eastAsia="仿宋" w:cs="仿宋"/>
          <w:color w:val="auto"/>
          <w:spacing w:val="2"/>
          <w:sz w:val="24"/>
          <w:szCs w:val="24"/>
          <w:lang w:val="en-US" w:eastAsia="zh-CN" w:bidi="ar-SA"/>
        </w:rPr>
        <w:t>采购代理机构对磋商过程和重要磋商内容进行记录，磋商双方在记录上签字确认。</w:t>
      </w:r>
    </w:p>
    <w:p>
      <w:pPr>
        <w:pStyle w:val="59"/>
        <w:rPr>
          <w:rFonts w:hint="eastAsia" w:ascii="仿宋" w:hAnsi="仿宋" w:eastAsia="仿宋" w:cs="仿宋"/>
          <w:color w:val="auto"/>
          <w:spacing w:val="2"/>
          <w:sz w:val="24"/>
          <w:szCs w:val="24"/>
          <w:lang w:val="en-US" w:eastAsia="zh-CN" w:bidi="ar-SA"/>
        </w:rPr>
      </w:pPr>
      <w:r>
        <w:rPr>
          <w:rFonts w:hint="eastAsia" w:ascii="仿宋" w:hAnsi="仿宋" w:eastAsia="仿宋" w:cs="仿宋"/>
          <w:color w:val="auto"/>
          <w:spacing w:val="2"/>
          <w:sz w:val="24"/>
          <w:szCs w:val="24"/>
          <w:lang w:val="en-US" w:eastAsia="zh-CN" w:bidi="ar-SA"/>
        </w:rPr>
        <w:t>磋商小组一致确定响应供应商符合磋商文件要求的，按磋商文件设定的方法和标准确定成交候选人。第一轮磋商，磋商小组未能确定成交候选人的，对磋商文件修正后进行第二轮磋商。</w:t>
      </w:r>
    </w:p>
    <w:p>
      <w:pPr>
        <w:ind w:firstLine="244" w:firstLineChars="100"/>
        <w:rPr>
          <w:rFonts w:hint="eastAsia" w:ascii="仿宋" w:hAnsi="仿宋" w:eastAsia="仿宋" w:cs="仿宋"/>
          <w:color w:val="auto"/>
          <w:spacing w:val="2"/>
          <w:sz w:val="24"/>
          <w:szCs w:val="24"/>
          <w:lang w:val="en-US" w:eastAsia="zh-CN" w:bidi="ar-SA"/>
        </w:rPr>
      </w:pPr>
      <w:r>
        <w:rPr>
          <w:rFonts w:hint="eastAsia" w:ascii="仿宋" w:hAnsi="仿宋" w:eastAsia="仿宋" w:cs="仿宋"/>
          <w:color w:val="auto"/>
          <w:spacing w:val="2"/>
          <w:sz w:val="24"/>
          <w:szCs w:val="24"/>
          <w:lang w:val="en-US" w:eastAsia="zh-CN" w:bidi="ar-SA"/>
        </w:rPr>
        <w:t>22.2第二轮磋商</w:t>
      </w:r>
    </w:p>
    <w:p>
      <w:pPr>
        <w:ind w:firstLine="244" w:firstLineChars="100"/>
        <w:rPr>
          <w:rFonts w:hint="eastAsia" w:ascii="仿宋" w:hAnsi="仿宋" w:eastAsia="仿宋" w:cs="仿宋"/>
          <w:color w:val="auto"/>
          <w:spacing w:val="2"/>
          <w:sz w:val="24"/>
          <w:szCs w:val="24"/>
          <w:lang w:val="en-US" w:eastAsia="zh-CN" w:bidi="ar-SA"/>
        </w:rPr>
      </w:pPr>
      <w:r>
        <w:rPr>
          <w:rFonts w:hint="eastAsia" w:ascii="仿宋" w:hAnsi="仿宋" w:eastAsia="仿宋" w:cs="仿宋"/>
          <w:color w:val="auto"/>
          <w:spacing w:val="2"/>
          <w:sz w:val="24"/>
          <w:szCs w:val="24"/>
          <w:lang w:val="en-US" w:eastAsia="zh-CN" w:bidi="ar-SA"/>
        </w:rPr>
        <w:t>磋商小组就修正后的响应文件与响应供应商分别进行磋商。采购代理机构对磋商过程和重要磋商内容进行记录，磋商双方在记录上签字确认。磋商小组按磋商文件设定的方法和标准确定成交候选人。</w:t>
      </w:r>
    </w:p>
    <w:p>
      <w:pPr>
        <w:ind w:firstLine="244" w:firstLineChars="100"/>
        <w:rPr>
          <w:rFonts w:hint="eastAsia" w:ascii="仿宋" w:hAnsi="仿宋" w:eastAsia="仿宋" w:cs="仿宋"/>
          <w:color w:val="auto"/>
          <w:spacing w:val="2"/>
          <w:sz w:val="24"/>
          <w:szCs w:val="24"/>
          <w:lang w:val="en-US" w:eastAsia="zh-CN" w:bidi="ar-SA"/>
        </w:rPr>
      </w:pPr>
      <w:r>
        <w:rPr>
          <w:rFonts w:hint="eastAsia" w:ascii="仿宋" w:hAnsi="仿宋" w:eastAsia="仿宋" w:cs="仿宋"/>
          <w:color w:val="auto"/>
          <w:spacing w:val="2"/>
          <w:sz w:val="24"/>
          <w:szCs w:val="24"/>
          <w:lang w:val="en-US" w:eastAsia="zh-CN" w:bidi="ar-SA"/>
        </w:rPr>
        <w:t>第二轮磋商磋商小组未能确定成交候选人的，对磋商文件修正后进行第三轮磋商。以此类推。</w:t>
      </w:r>
    </w:p>
    <w:p>
      <w:pPr>
        <w:pStyle w:val="58"/>
        <w:ind w:firstLine="244" w:firstLineChars="100"/>
        <w:rPr>
          <w:rFonts w:hint="eastAsia" w:ascii="仿宋" w:hAnsi="仿宋" w:eastAsia="仿宋" w:cs="仿宋"/>
          <w:color w:val="auto"/>
          <w:spacing w:val="2"/>
          <w:sz w:val="24"/>
          <w:szCs w:val="24"/>
          <w:lang w:val="en-US" w:eastAsia="zh-CN" w:bidi="ar-SA"/>
        </w:rPr>
      </w:pPr>
      <w:r>
        <w:rPr>
          <w:rFonts w:hint="eastAsia" w:ascii="仿宋" w:hAnsi="仿宋" w:eastAsia="仿宋" w:cs="仿宋"/>
          <w:color w:val="auto"/>
          <w:spacing w:val="2"/>
          <w:sz w:val="24"/>
          <w:szCs w:val="24"/>
          <w:lang w:val="en-US" w:eastAsia="zh-CN" w:bidi="ar-SA"/>
        </w:rPr>
        <w:t>22.3最后报价</w:t>
      </w:r>
    </w:p>
    <w:p>
      <w:pPr>
        <w:pStyle w:val="58"/>
        <w:ind w:firstLine="244" w:firstLineChars="100"/>
        <w:rPr>
          <w:rFonts w:hint="eastAsia" w:ascii="仿宋" w:hAnsi="仿宋" w:eastAsia="仿宋" w:cs="仿宋"/>
          <w:color w:val="auto"/>
          <w:lang w:val="en-US" w:eastAsia="zh-CN"/>
        </w:rPr>
      </w:pPr>
      <w:r>
        <w:rPr>
          <w:rFonts w:hint="eastAsia" w:ascii="仿宋" w:hAnsi="仿宋" w:eastAsia="仿宋" w:cs="仿宋"/>
          <w:color w:val="auto"/>
          <w:spacing w:val="2"/>
          <w:sz w:val="24"/>
          <w:szCs w:val="24"/>
          <w:lang w:val="en-US" w:eastAsia="zh-CN" w:bidi="ar-SA"/>
        </w:rPr>
        <w:t>成交候选人作最后报价，密封递交磋商小组。最后报价不得高于首次报价。</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23. 重新采购</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有下列情形之一的，应予以重新采购：</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（1）符合专业条件的竞标人或者对磋商文件作实质响应的竞标人不足2家的；</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（2）出现影响采购公正的违法、违规行为的；</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（3）竞标人的报价均超过了采购预算，采购人不能支付的；</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（4）因重大变故，采购任务取消的。</w:t>
      </w:r>
    </w:p>
    <w:p>
      <w:pPr>
        <w:pStyle w:val="4"/>
        <w:spacing w:before="120" w:beforeLines="50" w:after="120" w:afterLines="50" w:line="440" w:lineRule="exact"/>
        <w:ind w:firstLine="480" w:firstLineChars="200"/>
        <w:rPr>
          <w:rFonts w:hint="eastAsia" w:ascii="仿宋" w:hAnsi="仿宋" w:eastAsia="仿宋" w:cs="仿宋"/>
          <w:color w:val="auto"/>
          <w:sz w:val="24"/>
          <w:szCs w:val="24"/>
        </w:rPr>
      </w:pPr>
      <w:bookmarkStart w:id="70" w:name="_Toc246094916"/>
      <w:bookmarkStart w:id="71" w:name="_Toc246095460"/>
      <w:bookmarkStart w:id="72" w:name="_Toc246095522"/>
      <w:bookmarkStart w:id="73" w:name="_Toc511082963"/>
      <w:bookmarkStart w:id="74" w:name="_Toc503024072"/>
      <w:bookmarkStart w:id="75" w:name="_Toc32077"/>
      <w:bookmarkStart w:id="76" w:name="_Toc8051"/>
      <w:r>
        <w:rPr>
          <w:rFonts w:hint="eastAsia" w:ascii="仿宋" w:hAnsi="仿宋" w:eastAsia="仿宋" w:cs="仿宋"/>
          <w:color w:val="auto"/>
          <w:sz w:val="24"/>
          <w:szCs w:val="24"/>
        </w:rPr>
        <w:t>六、</w:t>
      </w:r>
      <w:bookmarkEnd w:id="70"/>
      <w:bookmarkEnd w:id="71"/>
      <w:bookmarkEnd w:id="72"/>
      <w:r>
        <w:rPr>
          <w:rFonts w:hint="eastAsia" w:ascii="仿宋" w:hAnsi="仿宋" w:eastAsia="仿宋" w:cs="仿宋"/>
          <w:color w:val="auto"/>
          <w:sz w:val="24"/>
          <w:szCs w:val="24"/>
        </w:rPr>
        <w:t>评审结果</w:t>
      </w:r>
      <w:bookmarkEnd w:id="73"/>
      <w:bookmarkEnd w:id="74"/>
      <w:bookmarkEnd w:id="75"/>
      <w:bookmarkEnd w:id="76"/>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24. 评审结果确定</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代理机构应当在评审结束后2个工作日内将评审报告送采购人确认。采购人应当在收到评审报告后5个工作日内，从评审报告提出的成交候选竞标人中，按照排序由高到低的原则确定成交竞标人，也可以书面授权磋商小组直接确定成交竞标人。采购人逾期未确定成交竞标人且不提出异议的，视为确定评审报告提出的排序第一的竞标人为成交竞标人。</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25. 成交通知</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25.1 采购代理机构应当在成交竞标人确定后2个工作日内，在省级以上财政部门指定的媒体上公告成交结果，同时向成交竞标人发出成交通知书。采购人或采购代理机构发出成交通知书前，应当对成交竞标人信用进行查询，对列入失信被执行人、重大税收违法案件当事人名单、政府采购严重违法失信行为记录名单及其他不符合《中华人民共和国政府采购法》第二十二条规定条件的竞标人，取消其成交资格，并确定排名第二的成交候选竞标人为成交竞标人。</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排名第二的成交候选竞标人因前款规定的同样原因被取消成交资格的，采购人可以确定排名第三的成交候选竞标人为成交竞标人。</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以上信息查询记录及相关证据与采购文件一并保存。</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25.2 竞标人认为磋商文件、评审过程和成交结果使自己的权益受到损害的，可以在知道或者应知其权益受到损害之日起七个工作日内，以书面形式向采购代理机构提出质疑并及时索要书面回执。</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25.3 采购代理机构在收到竞标人的书面质疑后七个工作日内做出答复，但答复的内容不得涉及商业秘密。</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25.4 采购代理机构不退还竞标人的响应文件。</w:t>
      </w:r>
    </w:p>
    <w:p>
      <w:pPr>
        <w:pStyle w:val="4"/>
        <w:spacing w:before="120" w:beforeLines="50" w:after="120" w:afterLines="50" w:line="440" w:lineRule="exact"/>
        <w:ind w:firstLine="480" w:firstLineChars="200"/>
        <w:rPr>
          <w:rFonts w:hint="eastAsia" w:ascii="仿宋" w:hAnsi="仿宋" w:eastAsia="仿宋" w:cs="仿宋"/>
          <w:color w:val="auto"/>
          <w:sz w:val="24"/>
          <w:szCs w:val="24"/>
        </w:rPr>
      </w:pPr>
      <w:bookmarkStart w:id="77" w:name="_Toc503024073"/>
      <w:bookmarkStart w:id="78" w:name="_Toc511082964"/>
      <w:bookmarkStart w:id="79" w:name="_Toc12205"/>
      <w:bookmarkStart w:id="80" w:name="_Toc7244"/>
      <w:r>
        <w:rPr>
          <w:rFonts w:hint="eastAsia" w:ascii="仿宋" w:hAnsi="仿宋" w:eastAsia="仿宋" w:cs="仿宋"/>
          <w:color w:val="auto"/>
          <w:sz w:val="24"/>
          <w:szCs w:val="24"/>
        </w:rPr>
        <w:t>七、合同</w:t>
      </w:r>
      <w:bookmarkEnd w:id="77"/>
      <w:r>
        <w:rPr>
          <w:rFonts w:hint="eastAsia" w:ascii="仿宋" w:hAnsi="仿宋" w:eastAsia="仿宋" w:cs="仿宋"/>
          <w:color w:val="auto"/>
          <w:sz w:val="24"/>
          <w:szCs w:val="24"/>
        </w:rPr>
        <w:t>授予</w:t>
      </w:r>
      <w:bookmarkEnd w:id="78"/>
      <w:bookmarkEnd w:id="79"/>
      <w:bookmarkEnd w:id="80"/>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26. 合同授予标准</w:t>
      </w:r>
    </w:p>
    <w:p>
      <w:pPr>
        <w:spacing w:after="0" w:line="440" w:lineRule="exact"/>
        <w:ind w:firstLine="480" w:firstLineChars="200"/>
        <w:rPr>
          <w:rFonts w:hint="eastAsia" w:ascii="仿宋" w:hAnsi="仿宋" w:eastAsia="仿宋" w:cs="仿宋"/>
          <w:color w:val="auto"/>
          <w:kern w:val="82"/>
          <w:sz w:val="24"/>
          <w:szCs w:val="24"/>
        </w:rPr>
      </w:pPr>
      <w:r>
        <w:rPr>
          <w:rFonts w:hint="eastAsia" w:ascii="仿宋" w:hAnsi="仿宋" w:eastAsia="仿宋" w:cs="仿宋"/>
          <w:color w:val="auto"/>
          <w:sz w:val="24"/>
          <w:szCs w:val="24"/>
        </w:rPr>
        <w:t>合同将授予被确定质量和服务均能满足采购文件实质性要求，具备履行合同能力，评审报告中推荐的排名第一的成交竞标人。成交竞标人拒绝与采购人签订合同的，采购人可以按照评审报告推荐的成交候选竞标人名单排序，确定下一候选竞标人为成交竞标人，也可以重新开展政府采购活动。拒绝签订政府采购合同的成交竞标人不得参加对该项目重新开展的采购活动。</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27. 履约保证金</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27.1 成交竞标人应按竞标人须知前附表规定的履约保证金的金额、方式，在签订合同前缴纳给采购人指定账户。否则,不予签订合同。</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27.2 履约保证金作为违约金的一部分及用于补偿采购人因成交竞标人不能完成其合同义务而蒙受的损失。如成交竞标人不按双方签订的合同规定履约，则没收其全部履约保证金，履约保证金不足以赔偿损失的，按实际损失赔偿。</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27.3 履约担保的有效期应当自本合同生效之日起至采购人签认验收合格之日止。项目验收合格，成交竞标人向采购人办理成果移交手续后，由竞标人向采购人提供《政府采购项目履约保证金退付意见书》及《政府采购项目合同验收报告》（详见第五章“合同条款”附件），采购人在收到合格材料后28个日历日内扣减成交竞标人赔偿金和其他应从成交竞标人扣回的款项后，将履约保证金的余额退还成交竞标人（无息）。</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27.4 在履约保证金退还日期前，若成交竞标人的开户名称、开户银行、账号有变动的，请以书面形式通知采购人，否则由此产生的后果由成交竞标人自负。</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28. 签订合同</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28.1 成交竞标人应按成交通知书规定的时间、地点与采购人签订合同。磋商文件、成交竞标人的响应文件、应答文件等，均为签订政府采购合同的依据。</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28.2 如成交竞标人不按成交通知书的规定签订合同，则按成交竞标人违约处理，采购代理机构将没收成交竞标人递交的全部磋商保证金。</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28.3 成交竞标人因不可抗力或者自身原因不能履行采购合同的，采购人可以与排名第二的成交候选竞标人签订采购合同，以此类推。</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28.4 政府采购合同签订应当采用政府采购合同格式文本，合同应内容完整、盖章齐全；项目合同的各要素和内容应与磋商文件、成交竞标人的承诺、成交通知书等的内容一致；合同附件齐全；多页合同每页应顺序标出页码并盖骑缝章。</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28.5 采购人或成交竞标人不得单方面向合同另一方提出任何磋商文件没有约定的条件或不合理的要求，作为签订合同的条件，也不得协商另行订立背离磋商文件和合同实质性内容的协议。</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28.6 政府采购合同是政府采购项目验收的依据，成交竞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28.7 采购人在签订合同之前有权要求成交竞标人提供本项目必需的相关资料原件进行核查，成交竞标人不得拒绝。如成交竞标人拒绝提供，则自行承担由此产生的后果。</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29. 政府采购合同公告</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成交竞标人应在签订合同后1个工作日内，将政府采购合同副本送采购代理机构备案，以便及时退还磋商保证金。</w:t>
      </w:r>
    </w:p>
    <w:p>
      <w:pPr>
        <w:pStyle w:val="4"/>
        <w:spacing w:before="120" w:beforeLines="50" w:after="120" w:afterLines="50" w:line="440" w:lineRule="exact"/>
        <w:ind w:firstLine="480" w:firstLineChars="200"/>
        <w:rPr>
          <w:rFonts w:hint="eastAsia" w:ascii="仿宋" w:hAnsi="仿宋" w:eastAsia="仿宋" w:cs="仿宋"/>
          <w:color w:val="auto"/>
          <w:sz w:val="24"/>
          <w:szCs w:val="24"/>
        </w:rPr>
      </w:pPr>
      <w:bookmarkStart w:id="81" w:name="_Toc246095461"/>
      <w:bookmarkStart w:id="82" w:name="_Toc246095523"/>
      <w:bookmarkStart w:id="83" w:name="_Toc19453"/>
      <w:bookmarkStart w:id="84" w:name="_Toc246094917"/>
      <w:bookmarkStart w:id="85" w:name="_Toc15144"/>
      <w:bookmarkStart w:id="86" w:name="_Toc511082965"/>
      <w:bookmarkStart w:id="87" w:name="_Toc503024074"/>
      <w:r>
        <w:rPr>
          <w:rFonts w:hint="eastAsia" w:ascii="仿宋" w:hAnsi="仿宋" w:eastAsia="仿宋" w:cs="仿宋"/>
          <w:color w:val="auto"/>
          <w:sz w:val="24"/>
          <w:szCs w:val="24"/>
        </w:rPr>
        <w:t>八、其他</w:t>
      </w:r>
      <w:bookmarkEnd w:id="81"/>
      <w:bookmarkEnd w:id="82"/>
      <w:bookmarkEnd w:id="83"/>
      <w:bookmarkEnd w:id="84"/>
      <w:bookmarkEnd w:id="85"/>
      <w:bookmarkEnd w:id="86"/>
      <w:bookmarkEnd w:id="87"/>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30. 采购代理服务费</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30.1 本项目采购代理服务费按本章30.2款规定的费率标准，按差额定率累进法计算。成交竞标人领取成交通知书前，应向采购代理机构一次付清采购代理服务费，否则，采购代理机构将视之为违约。本项目的采购代理服务费按照工程类80%计算。</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30.2 采购代理服务费标准：</w:t>
      </w:r>
    </w:p>
    <w:tbl>
      <w:tblPr>
        <w:tblStyle w:val="48"/>
        <w:tblW w:w="8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1920"/>
        <w:gridCol w:w="1907"/>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3" w:type="dxa"/>
            <w:vMerge w:val="restart"/>
            <w:vAlign w:val="center"/>
          </w:tcPr>
          <w:p>
            <w:pPr>
              <w:spacing w:after="0"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成交金额</w:t>
            </w:r>
          </w:p>
        </w:tc>
        <w:tc>
          <w:tcPr>
            <w:tcW w:w="5510" w:type="dxa"/>
            <w:gridSpan w:val="3"/>
            <w:vAlign w:val="center"/>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3" w:type="dxa"/>
            <w:vMerge w:val="continue"/>
            <w:vAlign w:val="center"/>
          </w:tcPr>
          <w:p>
            <w:pPr>
              <w:spacing w:after="0" w:line="440" w:lineRule="exact"/>
              <w:jc w:val="center"/>
              <w:rPr>
                <w:rFonts w:hint="eastAsia" w:ascii="仿宋" w:hAnsi="仿宋" w:eastAsia="仿宋" w:cs="仿宋"/>
                <w:color w:val="auto"/>
                <w:sz w:val="24"/>
                <w:szCs w:val="24"/>
              </w:rPr>
            </w:pPr>
          </w:p>
        </w:tc>
        <w:tc>
          <w:tcPr>
            <w:tcW w:w="1920" w:type="dxa"/>
            <w:vAlign w:val="center"/>
          </w:tcPr>
          <w:p>
            <w:pPr>
              <w:spacing w:after="0"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货物类</w:t>
            </w:r>
          </w:p>
        </w:tc>
        <w:tc>
          <w:tcPr>
            <w:tcW w:w="1907" w:type="dxa"/>
            <w:vAlign w:val="center"/>
          </w:tcPr>
          <w:p>
            <w:pPr>
              <w:spacing w:after="0"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服务类</w:t>
            </w:r>
          </w:p>
        </w:tc>
        <w:tc>
          <w:tcPr>
            <w:tcW w:w="1683" w:type="dxa"/>
            <w:vAlign w:val="center"/>
          </w:tcPr>
          <w:p>
            <w:pPr>
              <w:spacing w:after="0"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3" w:type="dxa"/>
            <w:vAlign w:val="center"/>
          </w:tcPr>
          <w:p>
            <w:pPr>
              <w:spacing w:after="0"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100万元以下</w:t>
            </w:r>
          </w:p>
        </w:tc>
        <w:tc>
          <w:tcPr>
            <w:tcW w:w="1920" w:type="dxa"/>
            <w:vAlign w:val="center"/>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1907" w:type="dxa"/>
            <w:vAlign w:val="center"/>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1683" w:type="dxa"/>
            <w:vAlign w:val="center"/>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3" w:type="dxa"/>
            <w:vAlign w:val="center"/>
          </w:tcPr>
          <w:p>
            <w:pPr>
              <w:spacing w:after="0"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100～500万元</w:t>
            </w:r>
          </w:p>
        </w:tc>
        <w:tc>
          <w:tcPr>
            <w:tcW w:w="1920" w:type="dxa"/>
            <w:vAlign w:val="center"/>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1907" w:type="dxa"/>
            <w:vAlign w:val="center"/>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0.8%</w:t>
            </w:r>
          </w:p>
        </w:tc>
        <w:tc>
          <w:tcPr>
            <w:tcW w:w="1683" w:type="dxa"/>
            <w:vAlign w:val="center"/>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3" w:type="dxa"/>
            <w:vAlign w:val="center"/>
          </w:tcPr>
          <w:p>
            <w:pPr>
              <w:spacing w:after="0"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500～1000万元</w:t>
            </w:r>
          </w:p>
        </w:tc>
        <w:tc>
          <w:tcPr>
            <w:tcW w:w="1920" w:type="dxa"/>
            <w:vAlign w:val="center"/>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0.8%</w:t>
            </w:r>
          </w:p>
        </w:tc>
        <w:tc>
          <w:tcPr>
            <w:tcW w:w="1907" w:type="dxa"/>
            <w:vAlign w:val="center"/>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0.45%</w:t>
            </w:r>
          </w:p>
        </w:tc>
        <w:tc>
          <w:tcPr>
            <w:tcW w:w="1683" w:type="dxa"/>
            <w:vAlign w:val="center"/>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3" w:type="dxa"/>
            <w:gridSpan w:val="4"/>
            <w:vAlign w:val="center"/>
          </w:tcPr>
          <w:p>
            <w:pPr>
              <w:tabs>
                <w:tab w:val="left" w:pos="3350"/>
              </w:tabs>
              <w:spacing w:after="0"/>
              <w:rPr>
                <w:rFonts w:hint="eastAsia" w:ascii="仿宋" w:hAnsi="仿宋" w:eastAsia="仿宋" w:cs="仿宋"/>
                <w:color w:val="auto"/>
                <w:sz w:val="24"/>
                <w:szCs w:val="24"/>
              </w:rPr>
            </w:pPr>
            <w:r>
              <w:rPr>
                <w:rFonts w:hint="eastAsia" w:ascii="仿宋" w:hAnsi="仿宋" w:eastAsia="仿宋" w:cs="仿宋"/>
                <w:b/>
                <w:bCs/>
                <w:color w:val="auto"/>
                <w:sz w:val="24"/>
                <w:szCs w:val="24"/>
              </w:rPr>
              <w:t>采购代理服务费按本标准计算后，收费额少于</w:t>
            </w: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rPr>
              <w:t>000元的项目按</w:t>
            </w: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rPr>
              <w:t>000元收取，采购代理服务费包含在磋商报价中，但报价时不对该费用进行单列。</w:t>
            </w:r>
          </w:p>
        </w:tc>
      </w:tr>
    </w:tbl>
    <w:p>
      <w:pPr>
        <w:spacing w:after="0"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服务费收取账号：</w:t>
      </w:r>
    </w:p>
    <w:p>
      <w:pPr>
        <w:spacing w:after="0"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开户名称：广西振弘建设管理有限公司梧州分公司</w:t>
      </w:r>
    </w:p>
    <w:p>
      <w:pPr>
        <w:spacing w:after="0"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开户行：建设银行梧州河西支行</w:t>
      </w:r>
    </w:p>
    <w:p>
      <w:pPr>
        <w:spacing w:after="0"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账号：4505 0164 8656 0000 0062</w:t>
      </w:r>
    </w:p>
    <w:p>
      <w:pPr>
        <w:spacing w:after="0"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31. 质疑和投诉</w:t>
      </w:r>
    </w:p>
    <w:p>
      <w:pPr>
        <w:spacing w:after="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31.1 竞标人对政府采购活动事项有疑问的，可以向采购人、采购代理机构提出询问。</w:t>
      </w:r>
    </w:p>
    <w:p>
      <w:pPr>
        <w:spacing w:after="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31.2 竞标人认为采购文件、采购过程或成交结果使自己的合法权益受到损害的，应当在知道或者应知其权益受到损害之日起七个工作日内，以书面形式向采购人、采购代理机构提出质疑。提出质疑的竞标人应当是参与所质疑项目采购活动的竞标人，质疑函应按财政部发布《政府采购竞标人质疑函范本》编制，质疑函内容或格式不符合其规定的，竞标人应按该范本要求进行修改后重新提交。其必须在法定质疑期内一次性提出针对同一采购程序环节的质疑。竞标人对同一采购程序环节重复提出质疑的，采购代理机构将不予受理。且其质疑行为和质疑函内容应当符合《政府采购质疑和投诉办法》（中华人民共和国财政部令第94号）规定，质疑具体计算时间节点如下：</w:t>
      </w:r>
    </w:p>
    <w:p>
      <w:pPr>
        <w:spacing w:after="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（1）对可以质疑的采购文件提出质疑的，为收到采购文件之日；</w:t>
      </w:r>
    </w:p>
    <w:p>
      <w:pPr>
        <w:spacing w:after="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（2）对采购过程提出质疑的，为各采购程序环节结束之日；</w:t>
      </w:r>
    </w:p>
    <w:p>
      <w:pPr>
        <w:spacing w:after="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（3）对成交结果提出质疑的，为成交结果公告期限届满之日。</w:t>
      </w:r>
    </w:p>
    <w:p>
      <w:pPr>
        <w:spacing w:after="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竞标人对采购人、采购代理机构的质疑答复不满意，或者采购人、采购代理机构未在规定时间内作出答复的，可以在答复期满后十五个工作日内向同级财政部门提起投诉。</w:t>
      </w:r>
    </w:p>
    <w:p>
      <w:pPr>
        <w:spacing w:after="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31.3 质疑、投诉应当采用书面形式，质疑书、投诉书均应明确阐述竞标文件、采购过程或成交结果中使自己合法权益受到损害的实质性内容，提供相关事实、依据和证据及其来源或线索，便于有关单位调查、答复和处理。</w:t>
      </w:r>
    </w:p>
    <w:p>
      <w:pPr>
        <w:spacing w:after="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31.4 接收质疑函的方式：接收竞标人或其委托代理人以书面形式递交的质疑函原件，委托代理人提出质疑的，还应当提交竞标人签署的授权委托书。</w:t>
      </w:r>
    </w:p>
    <w:p>
      <w:pPr>
        <w:spacing w:after="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联系部门：广西振弘建设管理有限公司梧州分公司</w:t>
      </w:r>
    </w:p>
    <w:p>
      <w:pPr>
        <w:spacing w:after="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联系电话：0774-3889688</w:t>
      </w:r>
    </w:p>
    <w:p>
      <w:pPr>
        <w:spacing w:after="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通讯地址：梧州市金苑豪庭707室</w:t>
      </w:r>
    </w:p>
    <w:p>
      <w:pPr>
        <w:spacing w:after="0"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32. 适用法律</w:t>
      </w:r>
    </w:p>
    <w:p>
      <w:pPr>
        <w:spacing w:after="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采购当事人的一切活动均适用于《中华人民共和国政府采购法》、《中华人民共和国政府采购法实施条例》、《政府采购非招标采购方式管理办法》及相关规定。</w:t>
      </w:r>
    </w:p>
    <w:p>
      <w:pPr>
        <w:spacing w:after="0"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33. 解释权</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rPr>
        <w:t>本竞争性磋商文件是根据《中华人民共和国政府采购法》以及参照国际惯例编制，解释权属本采购代理机构。</w:t>
      </w:r>
    </w:p>
    <w:p>
      <w:pPr>
        <w:spacing w:after="0" w:line="440" w:lineRule="exact"/>
        <w:ind w:firstLine="480" w:firstLineChars="200"/>
        <w:rPr>
          <w:rFonts w:hint="eastAsia" w:ascii="仿宋" w:hAnsi="仿宋" w:eastAsia="仿宋" w:cs="仿宋"/>
          <w:color w:val="auto"/>
          <w:sz w:val="24"/>
          <w:szCs w:val="24"/>
        </w:rPr>
      </w:pPr>
    </w:p>
    <w:p>
      <w:pPr>
        <w:spacing w:after="0" w:line="440" w:lineRule="exact"/>
        <w:ind w:firstLine="480" w:firstLineChars="200"/>
        <w:rPr>
          <w:rFonts w:hint="eastAsia" w:ascii="仿宋" w:hAnsi="仿宋" w:eastAsia="仿宋" w:cs="仿宋"/>
          <w:color w:val="auto"/>
          <w:sz w:val="24"/>
          <w:szCs w:val="24"/>
        </w:rPr>
        <w:sectPr>
          <w:headerReference r:id="rId13" w:type="first"/>
          <w:footerReference r:id="rId14" w:type="default"/>
          <w:footerReference r:id="rId15" w:type="even"/>
          <w:pgSz w:w="11907" w:h="16840"/>
          <w:pgMar w:top="1134" w:right="1134" w:bottom="1134" w:left="1134" w:header="624" w:footer="737" w:gutter="0"/>
          <w:cols w:space="720" w:num="1"/>
          <w:docGrid w:linePitch="312" w:charSpace="0"/>
        </w:sectPr>
      </w:pPr>
    </w:p>
    <w:p>
      <w:pPr>
        <w:pStyle w:val="3"/>
        <w:rPr>
          <w:rFonts w:hint="eastAsia" w:ascii="仿宋" w:hAnsi="仿宋" w:eastAsia="仿宋" w:cs="仿宋"/>
          <w:b/>
          <w:color w:val="auto"/>
        </w:rPr>
      </w:pPr>
      <w:bookmarkStart w:id="88" w:name="_Toc511082966"/>
      <w:bookmarkStart w:id="89" w:name="_Toc8713"/>
      <w:bookmarkStart w:id="90" w:name="_Toc7864"/>
      <w:r>
        <w:rPr>
          <w:rFonts w:hint="eastAsia" w:ascii="仿宋" w:hAnsi="仿宋" w:eastAsia="仿宋" w:cs="仿宋"/>
          <w:b/>
          <w:color w:val="auto"/>
        </w:rPr>
        <w:t>第三章  评审方法及评审标准</w:t>
      </w:r>
      <w:bookmarkEnd w:id="88"/>
      <w:bookmarkEnd w:id="89"/>
      <w:bookmarkEnd w:id="90"/>
    </w:p>
    <w:p>
      <w:pPr>
        <w:spacing w:line="24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一、评审原则</w:t>
      </w:r>
    </w:p>
    <w:p>
      <w:pPr>
        <w:spacing w:line="24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（一</w:t>
      </w:r>
      <w:r>
        <w:rPr>
          <w:rFonts w:hint="eastAsia" w:ascii="仿宋" w:hAnsi="仿宋" w:eastAsia="仿宋" w:cs="仿宋"/>
          <w:b w:val="0"/>
          <w:color w:val="auto"/>
          <w:spacing w:val="-3"/>
          <w:sz w:val="24"/>
          <w:szCs w:val="24"/>
          <w:highlight w:val="none"/>
        </w:rPr>
        <w:t>）</w:t>
      </w:r>
      <w:r>
        <w:rPr>
          <w:rFonts w:hint="eastAsia" w:ascii="仿宋" w:hAnsi="仿宋" w:eastAsia="仿宋" w:cs="仿宋"/>
          <w:b w:val="0"/>
          <w:color w:val="auto"/>
          <w:spacing w:val="-5"/>
          <w:sz w:val="24"/>
          <w:szCs w:val="24"/>
          <w:highlight w:val="none"/>
        </w:rPr>
        <w:t>磋商小组成：磋商小组由采购人代表和评审专家共</w:t>
      </w:r>
      <w:r>
        <w:rPr>
          <w:rFonts w:hint="eastAsia" w:ascii="仿宋" w:hAnsi="仿宋" w:eastAsia="仿宋" w:cs="仿宋"/>
          <w:b w:val="0"/>
          <w:color w:val="auto"/>
          <w:sz w:val="24"/>
          <w:szCs w:val="24"/>
          <w:highlight w:val="none"/>
        </w:rPr>
        <w:t>3</w:t>
      </w:r>
      <w:r>
        <w:rPr>
          <w:rFonts w:hint="eastAsia" w:ascii="仿宋" w:hAnsi="仿宋" w:eastAsia="仿宋" w:cs="仿宋"/>
          <w:b w:val="0"/>
          <w:color w:val="auto"/>
          <w:spacing w:val="-7"/>
          <w:sz w:val="24"/>
          <w:szCs w:val="24"/>
          <w:highlight w:val="none"/>
        </w:rPr>
        <w:t>人以上单数组成，其中评审专家人</w:t>
      </w:r>
      <w:r>
        <w:rPr>
          <w:rFonts w:hint="eastAsia" w:ascii="仿宋" w:hAnsi="仿宋" w:eastAsia="仿宋" w:cs="仿宋"/>
          <w:b w:val="0"/>
          <w:color w:val="auto"/>
          <w:spacing w:val="-5"/>
          <w:sz w:val="24"/>
          <w:szCs w:val="24"/>
          <w:highlight w:val="none"/>
        </w:rPr>
        <w:t>数不得少于磋商小组成员总数的三分之二。</w:t>
      </w:r>
    </w:p>
    <w:p>
      <w:pPr>
        <w:spacing w:line="24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（二）评审依据：磋商小组将以磋商文件、响应文件为评审依据，对供应商的响应文件进行资格性及符合性审查，以确定其是否符合资格条件及满足采购文件的实质性要求</w:t>
      </w:r>
      <w:r>
        <w:rPr>
          <w:rFonts w:hint="eastAsia" w:ascii="仿宋" w:hAnsi="仿宋" w:eastAsia="仿宋" w:cs="仿宋"/>
          <w:b w:val="0"/>
          <w:color w:val="auto"/>
          <w:sz w:val="24"/>
          <w:szCs w:val="24"/>
          <w:highlight w:val="none"/>
          <w:lang w:val="en-US" w:eastAsia="zh-CN"/>
        </w:rPr>
        <w:t>,对通过</w:t>
      </w:r>
      <w:r>
        <w:rPr>
          <w:rFonts w:hint="eastAsia" w:ascii="仿宋" w:hAnsi="仿宋" w:eastAsia="仿宋" w:cs="仿宋"/>
          <w:b w:val="0"/>
          <w:color w:val="auto"/>
          <w:sz w:val="24"/>
          <w:szCs w:val="24"/>
          <w:highlight w:val="none"/>
        </w:rPr>
        <w:t>资格性及符合性审查</w:t>
      </w:r>
      <w:r>
        <w:rPr>
          <w:rFonts w:hint="eastAsia" w:ascii="仿宋" w:hAnsi="仿宋" w:eastAsia="仿宋" w:cs="仿宋"/>
          <w:b w:val="0"/>
          <w:color w:val="auto"/>
          <w:sz w:val="24"/>
          <w:szCs w:val="24"/>
          <w:highlight w:val="none"/>
          <w:lang w:eastAsia="zh-CN"/>
        </w:rPr>
        <w:t>的供应商</w:t>
      </w:r>
      <w:r>
        <w:rPr>
          <w:rFonts w:hint="eastAsia" w:ascii="仿宋" w:hAnsi="仿宋" w:eastAsia="仿宋" w:cs="仿宋"/>
          <w:b w:val="0"/>
          <w:color w:val="auto"/>
          <w:sz w:val="24"/>
          <w:szCs w:val="24"/>
          <w:highlight w:val="none"/>
        </w:rPr>
        <w:t>的磋商总报价、技术及商务等方面内容按百分制打分。</w:t>
      </w:r>
    </w:p>
    <w:p>
      <w:pPr>
        <w:spacing w:line="24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（三）评审方式：以封闭方式进行。</w:t>
      </w:r>
    </w:p>
    <w:p>
      <w:pPr>
        <w:spacing w:line="24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二、评定方法</w:t>
      </w:r>
    </w:p>
    <w:p>
      <w:pPr>
        <w:spacing w:line="24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（一）对进入详评的，采用百分制综合评分法。</w:t>
      </w:r>
    </w:p>
    <w:p>
      <w:pPr>
        <w:spacing w:line="24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（二）计分办法（按四舍五入取至百分位）。</w:t>
      </w:r>
    </w:p>
    <w:p>
      <w:pPr>
        <w:tabs>
          <w:tab w:val="left" w:leader="dot" w:pos="9028"/>
        </w:tabs>
        <w:spacing w:line="24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1、价格分</w:t>
      </w:r>
      <w:r>
        <w:rPr>
          <w:rFonts w:hint="eastAsia" w:ascii="仿宋" w:hAnsi="仿宋" w:eastAsia="仿宋" w:cs="仿宋"/>
          <w:b w:val="0"/>
          <w:color w:val="auto"/>
          <w:sz w:val="24"/>
          <w:szCs w:val="24"/>
          <w:highlight w:val="none"/>
          <w:lang w:val="en-US"/>
        </w:rPr>
        <w:t>................................................</w:t>
      </w:r>
      <w:r>
        <w:rPr>
          <w:rFonts w:hint="eastAsia" w:ascii="仿宋" w:hAnsi="仿宋" w:eastAsia="仿宋" w:cs="仿宋"/>
          <w:b w:val="0"/>
          <w:color w:val="auto"/>
          <w:sz w:val="24"/>
          <w:szCs w:val="24"/>
          <w:highlight w:val="none"/>
        </w:rPr>
        <w:t>满分20分</w:t>
      </w:r>
    </w:p>
    <w:p>
      <w:pPr>
        <w:spacing w:line="240" w:lineRule="auto"/>
        <w:ind w:firstLine="480" w:firstLineChars="200"/>
        <w:rPr>
          <w:rFonts w:hint="eastAsia" w:ascii="仿宋" w:hAnsi="仿宋" w:eastAsia="仿宋" w:cs="仿宋"/>
          <w:b w:val="0"/>
          <w:color w:val="auto"/>
          <w:sz w:val="24"/>
          <w:szCs w:val="24"/>
          <w:highlight w:val="none"/>
        </w:rPr>
      </w:pPr>
      <w:bookmarkStart w:id="91" w:name="_Toc27193"/>
      <w:r>
        <w:rPr>
          <w:rFonts w:hint="eastAsia" w:ascii="仿宋" w:hAnsi="仿宋" w:eastAsia="仿宋" w:cs="仿宋"/>
          <w:b w:val="0"/>
          <w:color w:val="auto"/>
          <w:sz w:val="24"/>
          <w:szCs w:val="24"/>
          <w:highlight w:val="none"/>
        </w:rPr>
        <w:t>（1）评</w:t>
      </w:r>
      <w:r>
        <w:rPr>
          <w:rFonts w:hint="eastAsia" w:ascii="仿宋" w:hAnsi="仿宋" w:eastAsia="仿宋" w:cs="仿宋"/>
          <w:b w:val="0"/>
          <w:color w:val="auto"/>
          <w:sz w:val="24"/>
          <w:szCs w:val="24"/>
          <w:highlight w:val="none"/>
          <w:lang w:val="en-US"/>
        </w:rPr>
        <w:t>审</w:t>
      </w:r>
      <w:r>
        <w:rPr>
          <w:rFonts w:hint="eastAsia" w:ascii="仿宋" w:hAnsi="仿宋" w:eastAsia="仿宋" w:cs="仿宋"/>
          <w:b w:val="0"/>
          <w:color w:val="auto"/>
          <w:sz w:val="24"/>
          <w:szCs w:val="24"/>
          <w:highlight w:val="none"/>
        </w:rPr>
        <w:t>报价为供应商的磋商总报价进行政策性扣除后的价格，评</w:t>
      </w:r>
      <w:r>
        <w:rPr>
          <w:rFonts w:hint="eastAsia" w:ascii="仿宋" w:hAnsi="仿宋" w:eastAsia="仿宋" w:cs="仿宋"/>
          <w:b w:val="0"/>
          <w:color w:val="auto"/>
          <w:sz w:val="24"/>
          <w:szCs w:val="24"/>
          <w:highlight w:val="none"/>
          <w:lang w:val="en-US"/>
        </w:rPr>
        <w:t>审</w:t>
      </w:r>
      <w:r>
        <w:rPr>
          <w:rFonts w:hint="eastAsia" w:ascii="仿宋" w:hAnsi="仿宋" w:eastAsia="仿宋" w:cs="仿宋"/>
          <w:b w:val="0"/>
          <w:color w:val="auto"/>
          <w:sz w:val="24"/>
          <w:szCs w:val="24"/>
          <w:highlight w:val="none"/>
        </w:rPr>
        <w:t>报价只是作为评</w:t>
      </w:r>
      <w:r>
        <w:rPr>
          <w:rFonts w:hint="eastAsia" w:ascii="仿宋" w:hAnsi="仿宋" w:eastAsia="仿宋" w:cs="仿宋"/>
          <w:b w:val="0"/>
          <w:color w:val="auto"/>
          <w:sz w:val="24"/>
          <w:szCs w:val="24"/>
          <w:highlight w:val="none"/>
          <w:lang w:val="en-US"/>
        </w:rPr>
        <w:t>审</w:t>
      </w:r>
      <w:r>
        <w:rPr>
          <w:rFonts w:hint="eastAsia" w:ascii="仿宋" w:hAnsi="仿宋" w:eastAsia="仿宋" w:cs="仿宋"/>
          <w:b w:val="0"/>
          <w:color w:val="auto"/>
          <w:sz w:val="24"/>
          <w:szCs w:val="24"/>
          <w:highlight w:val="none"/>
        </w:rPr>
        <w:t>时使用。最终成交人的成交金额＝磋商总报价。</w:t>
      </w:r>
      <w:bookmarkEnd w:id="91"/>
    </w:p>
    <w:p>
      <w:pPr>
        <w:spacing w:line="240" w:lineRule="auto"/>
        <w:ind w:firstLine="468" w:firstLineChars="200"/>
        <w:jc w:val="both"/>
        <w:rPr>
          <w:rFonts w:hint="eastAsia" w:ascii="仿宋" w:hAnsi="仿宋" w:eastAsia="仿宋" w:cs="仿宋"/>
          <w:b w:val="0"/>
          <w:color w:val="auto"/>
          <w:sz w:val="24"/>
          <w:szCs w:val="24"/>
          <w:highlight w:val="none"/>
        </w:rPr>
      </w:pPr>
      <w:r>
        <w:rPr>
          <w:rFonts w:hint="eastAsia" w:ascii="仿宋" w:hAnsi="仿宋" w:eastAsia="仿宋" w:cs="仿宋"/>
          <w:b w:val="0"/>
          <w:color w:val="auto"/>
          <w:spacing w:val="-3"/>
          <w:sz w:val="24"/>
          <w:szCs w:val="24"/>
          <w:highlight w:val="none"/>
        </w:rPr>
        <w:t>（</w:t>
      </w:r>
      <w:r>
        <w:rPr>
          <w:rFonts w:hint="eastAsia" w:ascii="仿宋" w:hAnsi="仿宋" w:eastAsia="仿宋" w:cs="仿宋"/>
          <w:b w:val="0"/>
          <w:color w:val="auto"/>
          <w:spacing w:val="-3"/>
          <w:sz w:val="24"/>
          <w:szCs w:val="24"/>
          <w:highlight w:val="none"/>
          <w:lang w:val="en-US"/>
        </w:rPr>
        <w:t>2</w:t>
      </w:r>
      <w:r>
        <w:rPr>
          <w:rFonts w:hint="eastAsia" w:ascii="仿宋" w:hAnsi="仿宋" w:eastAsia="仿宋" w:cs="仿宋"/>
          <w:b w:val="0"/>
          <w:color w:val="auto"/>
          <w:spacing w:val="-3"/>
          <w:sz w:val="24"/>
          <w:szCs w:val="24"/>
          <w:highlight w:val="none"/>
        </w:rPr>
        <w:t>）按照《政府采购促进中小企业发展暂行办法》</w:t>
      </w:r>
      <w:r>
        <w:rPr>
          <w:rFonts w:hint="eastAsia" w:ascii="仿宋" w:hAnsi="仿宋" w:eastAsia="仿宋" w:cs="仿宋"/>
          <w:b w:val="0"/>
          <w:color w:val="auto"/>
          <w:sz w:val="24"/>
          <w:szCs w:val="24"/>
          <w:highlight w:val="none"/>
        </w:rPr>
        <w:t>（</w:t>
      </w:r>
      <w:r>
        <w:rPr>
          <w:rFonts w:hint="eastAsia" w:ascii="仿宋" w:hAnsi="仿宋" w:eastAsia="仿宋" w:cs="仿宋"/>
          <w:b w:val="0"/>
          <w:color w:val="auto"/>
          <w:spacing w:val="-2"/>
          <w:sz w:val="24"/>
          <w:szCs w:val="24"/>
          <w:highlight w:val="none"/>
        </w:rPr>
        <w:t>财库[</w:t>
      </w:r>
      <w:r>
        <w:rPr>
          <w:rFonts w:hint="eastAsia" w:ascii="仿宋" w:hAnsi="仿宋" w:eastAsia="仿宋" w:cs="仿宋"/>
          <w:b w:val="0"/>
          <w:color w:val="auto"/>
          <w:sz w:val="24"/>
          <w:szCs w:val="24"/>
          <w:highlight w:val="none"/>
        </w:rPr>
        <w:t>2011]181</w:t>
      </w:r>
      <w:r>
        <w:rPr>
          <w:rFonts w:hint="eastAsia" w:ascii="仿宋" w:hAnsi="仿宋" w:eastAsia="仿宋" w:cs="仿宋"/>
          <w:b w:val="0"/>
          <w:color w:val="auto"/>
          <w:spacing w:val="15"/>
          <w:sz w:val="24"/>
          <w:szCs w:val="24"/>
          <w:highlight w:val="none"/>
        </w:rPr>
        <w:t xml:space="preserve"> 号</w:t>
      </w:r>
      <w:r>
        <w:rPr>
          <w:rFonts w:hint="eastAsia" w:ascii="仿宋" w:hAnsi="仿宋" w:eastAsia="仿宋" w:cs="仿宋"/>
          <w:b w:val="0"/>
          <w:color w:val="auto"/>
          <w:sz w:val="24"/>
          <w:szCs w:val="24"/>
          <w:highlight w:val="none"/>
        </w:rPr>
        <w:t>）</w:t>
      </w:r>
      <w:r>
        <w:rPr>
          <w:rFonts w:hint="eastAsia" w:ascii="仿宋" w:hAnsi="仿宋" w:eastAsia="仿宋" w:cs="仿宋"/>
          <w:b w:val="0"/>
          <w:color w:val="auto"/>
          <w:spacing w:val="-3"/>
          <w:sz w:val="24"/>
          <w:szCs w:val="24"/>
          <w:highlight w:val="none"/>
        </w:rPr>
        <w:t>，供应商认定为小型或微型企业且提供本企业制造的货物、承担的工程或者服务，或者所提供的产品均为小型、微型</w:t>
      </w:r>
      <w:r>
        <w:rPr>
          <w:rFonts w:hint="eastAsia" w:ascii="仿宋" w:hAnsi="仿宋" w:eastAsia="仿宋" w:cs="仿宋"/>
          <w:b w:val="0"/>
          <w:color w:val="auto"/>
          <w:spacing w:val="-5"/>
          <w:sz w:val="24"/>
          <w:szCs w:val="24"/>
          <w:highlight w:val="none"/>
        </w:rPr>
        <w:t>企业产品的</w:t>
      </w:r>
      <w:r>
        <w:rPr>
          <w:rFonts w:hint="eastAsia" w:ascii="仿宋" w:hAnsi="仿宋" w:eastAsia="仿宋" w:cs="仿宋"/>
          <w:b w:val="0"/>
          <w:color w:val="auto"/>
          <w:sz w:val="24"/>
          <w:szCs w:val="24"/>
          <w:highlight w:val="none"/>
        </w:rPr>
        <w:t>（</w:t>
      </w:r>
      <w:r>
        <w:rPr>
          <w:rFonts w:hint="eastAsia" w:ascii="仿宋" w:hAnsi="仿宋" w:eastAsia="仿宋" w:cs="仿宋"/>
          <w:b w:val="0"/>
          <w:color w:val="auto"/>
          <w:spacing w:val="-4"/>
          <w:sz w:val="24"/>
          <w:szCs w:val="24"/>
          <w:highlight w:val="none"/>
        </w:rPr>
        <w:t>必须提供中小企业声明函，否则不予以认定</w:t>
      </w:r>
      <w:r>
        <w:rPr>
          <w:rFonts w:hint="eastAsia" w:ascii="仿宋" w:hAnsi="仿宋" w:eastAsia="仿宋" w:cs="仿宋"/>
          <w:b w:val="0"/>
          <w:color w:val="auto"/>
          <w:spacing w:val="-10"/>
          <w:sz w:val="24"/>
          <w:szCs w:val="24"/>
          <w:highlight w:val="none"/>
        </w:rPr>
        <w:t>），</w:t>
      </w:r>
      <w:r>
        <w:rPr>
          <w:rFonts w:hint="eastAsia" w:ascii="仿宋" w:hAnsi="仿宋" w:eastAsia="仿宋" w:cs="仿宋"/>
          <w:b w:val="0"/>
          <w:color w:val="auto"/>
          <w:spacing w:val="-5"/>
          <w:sz w:val="24"/>
          <w:szCs w:val="24"/>
          <w:highlight w:val="none"/>
        </w:rPr>
        <w:t>对磋商总报价</w:t>
      </w:r>
      <w:r>
        <w:rPr>
          <w:rFonts w:hint="eastAsia" w:ascii="仿宋" w:hAnsi="仿宋" w:eastAsia="仿宋" w:cs="仿宋"/>
          <w:b w:val="0"/>
          <w:color w:val="auto"/>
          <w:spacing w:val="-3"/>
          <w:sz w:val="24"/>
          <w:szCs w:val="24"/>
          <w:highlight w:val="none"/>
        </w:rPr>
        <w:t>（</w:t>
      </w:r>
      <w:r>
        <w:rPr>
          <w:rFonts w:hint="eastAsia" w:ascii="仿宋" w:hAnsi="仿宋" w:eastAsia="仿宋" w:cs="仿宋"/>
          <w:b w:val="0"/>
          <w:color w:val="auto"/>
          <w:spacing w:val="-1"/>
          <w:sz w:val="24"/>
          <w:szCs w:val="24"/>
          <w:highlight w:val="none"/>
        </w:rPr>
        <w:t>最后报价</w:t>
      </w:r>
      <w:r>
        <w:rPr>
          <w:rFonts w:hint="eastAsia" w:ascii="仿宋" w:hAnsi="仿宋" w:eastAsia="仿宋" w:cs="仿宋"/>
          <w:b w:val="0"/>
          <w:color w:val="auto"/>
          <w:spacing w:val="-13"/>
          <w:sz w:val="24"/>
          <w:szCs w:val="24"/>
          <w:highlight w:val="none"/>
        </w:rPr>
        <w:t>）</w:t>
      </w:r>
      <w:r>
        <w:rPr>
          <w:rFonts w:hint="eastAsia" w:ascii="仿宋" w:hAnsi="仿宋" w:eastAsia="仿宋" w:cs="仿宋"/>
          <w:b w:val="0"/>
          <w:color w:val="auto"/>
          <w:spacing w:val="-8"/>
          <w:sz w:val="24"/>
          <w:szCs w:val="24"/>
          <w:highlight w:val="none"/>
        </w:rPr>
        <w:t>给予</w:t>
      </w:r>
      <w:r>
        <w:rPr>
          <w:rFonts w:hint="eastAsia" w:ascii="仿宋" w:hAnsi="仿宋" w:eastAsia="仿宋" w:cs="仿宋"/>
          <w:b w:val="0"/>
          <w:color w:val="auto"/>
          <w:sz w:val="24"/>
          <w:szCs w:val="24"/>
          <w:highlight w:val="none"/>
        </w:rPr>
        <w:t>6</w:t>
      </w:r>
      <w:r>
        <w:rPr>
          <w:rFonts w:hint="eastAsia" w:ascii="仿宋" w:hAnsi="仿宋" w:eastAsia="仿宋" w:cs="仿宋"/>
          <w:b w:val="0"/>
          <w:color w:val="auto"/>
          <w:spacing w:val="-3"/>
          <w:sz w:val="24"/>
          <w:szCs w:val="24"/>
          <w:highlight w:val="none"/>
        </w:rPr>
        <w:t>%的扣除，扣除后的价格为评审价，即评审价=磋商总报价×</w:t>
      </w:r>
      <w:r>
        <w:rPr>
          <w:rFonts w:hint="eastAsia" w:ascii="仿宋" w:hAnsi="仿宋" w:eastAsia="仿宋" w:cs="仿宋"/>
          <w:b w:val="0"/>
          <w:color w:val="auto"/>
          <w:sz w:val="24"/>
          <w:szCs w:val="24"/>
          <w:highlight w:val="none"/>
        </w:rPr>
        <w:t>（1-6%）。</w:t>
      </w:r>
    </w:p>
    <w:p>
      <w:pPr>
        <w:spacing w:line="240" w:lineRule="auto"/>
        <w:ind w:firstLine="456" w:firstLineChars="200"/>
        <w:jc w:val="both"/>
        <w:rPr>
          <w:rFonts w:hint="eastAsia" w:ascii="仿宋" w:hAnsi="仿宋" w:eastAsia="仿宋" w:cs="仿宋"/>
          <w:b w:val="0"/>
          <w:color w:val="auto"/>
          <w:sz w:val="24"/>
          <w:szCs w:val="24"/>
          <w:highlight w:val="none"/>
        </w:rPr>
      </w:pPr>
      <w:r>
        <w:rPr>
          <w:rFonts w:hint="eastAsia" w:ascii="仿宋" w:hAnsi="仿宋" w:eastAsia="仿宋" w:cs="仿宋"/>
          <w:b w:val="0"/>
          <w:color w:val="auto"/>
          <w:spacing w:val="-6"/>
          <w:sz w:val="24"/>
          <w:szCs w:val="24"/>
          <w:highlight w:val="none"/>
        </w:rPr>
        <w:t>（</w:t>
      </w:r>
      <w:r>
        <w:rPr>
          <w:rFonts w:hint="eastAsia" w:ascii="仿宋" w:hAnsi="仿宋" w:eastAsia="仿宋" w:cs="仿宋"/>
          <w:b w:val="0"/>
          <w:color w:val="auto"/>
          <w:spacing w:val="-6"/>
          <w:sz w:val="24"/>
          <w:szCs w:val="24"/>
          <w:highlight w:val="none"/>
          <w:lang w:val="en-US"/>
        </w:rPr>
        <w:t>3</w:t>
      </w:r>
      <w:r>
        <w:rPr>
          <w:rFonts w:hint="eastAsia" w:ascii="仿宋" w:hAnsi="仿宋" w:eastAsia="仿宋" w:cs="仿宋"/>
          <w:b w:val="0"/>
          <w:color w:val="auto"/>
          <w:spacing w:val="-6"/>
          <w:sz w:val="24"/>
          <w:szCs w:val="24"/>
          <w:highlight w:val="none"/>
        </w:rPr>
        <w:t>）按照《关于政府采购支持监狱企业发展有关问题的通知》(财库[</w:t>
      </w:r>
      <w:r>
        <w:rPr>
          <w:rFonts w:hint="eastAsia" w:ascii="仿宋" w:hAnsi="仿宋" w:eastAsia="仿宋" w:cs="仿宋"/>
          <w:b w:val="0"/>
          <w:color w:val="auto"/>
          <w:sz w:val="24"/>
          <w:szCs w:val="24"/>
          <w:highlight w:val="none"/>
        </w:rPr>
        <w:t>2014]68</w:t>
      </w:r>
      <w:r>
        <w:rPr>
          <w:rFonts w:hint="eastAsia" w:ascii="仿宋" w:hAnsi="仿宋" w:eastAsia="仿宋" w:cs="仿宋"/>
          <w:b w:val="0"/>
          <w:color w:val="auto"/>
          <w:spacing w:val="-8"/>
          <w:sz w:val="24"/>
          <w:szCs w:val="24"/>
          <w:highlight w:val="none"/>
        </w:rPr>
        <w:t>号)，供应商认定为监</w:t>
      </w:r>
      <w:r>
        <w:rPr>
          <w:rFonts w:hint="eastAsia" w:ascii="仿宋" w:hAnsi="仿宋" w:eastAsia="仿宋" w:cs="仿宋"/>
          <w:b w:val="0"/>
          <w:color w:val="auto"/>
          <w:spacing w:val="-5"/>
          <w:sz w:val="24"/>
          <w:szCs w:val="24"/>
          <w:highlight w:val="none"/>
        </w:rPr>
        <w:t>狱企业的，在政府采购活动中，监狱企业视同小型、微型企业。监狱企业以提供由省级以上监狱管</w:t>
      </w:r>
      <w:r>
        <w:rPr>
          <w:rFonts w:hint="eastAsia" w:ascii="仿宋" w:hAnsi="仿宋" w:eastAsia="仿宋" w:cs="仿宋"/>
          <w:b w:val="0"/>
          <w:color w:val="auto"/>
          <w:spacing w:val="-4"/>
          <w:sz w:val="24"/>
          <w:szCs w:val="24"/>
          <w:highlight w:val="none"/>
        </w:rPr>
        <w:t>理局、戒毒管理局(含新疆生产建设兵团)出具的属于监狱企业的证明文件为准。</w:t>
      </w:r>
    </w:p>
    <w:p>
      <w:pPr>
        <w:spacing w:line="240" w:lineRule="auto"/>
        <w:ind w:firstLine="468"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pacing w:val="-3"/>
          <w:sz w:val="24"/>
          <w:szCs w:val="24"/>
          <w:highlight w:val="none"/>
        </w:rPr>
        <w:t>（</w:t>
      </w:r>
      <w:r>
        <w:rPr>
          <w:rFonts w:hint="eastAsia" w:ascii="仿宋" w:hAnsi="仿宋" w:eastAsia="仿宋" w:cs="仿宋"/>
          <w:b w:val="0"/>
          <w:color w:val="auto"/>
          <w:spacing w:val="-3"/>
          <w:sz w:val="24"/>
          <w:szCs w:val="24"/>
          <w:highlight w:val="none"/>
          <w:lang w:val="en-US"/>
        </w:rPr>
        <w:t>4</w:t>
      </w:r>
      <w:r>
        <w:rPr>
          <w:rFonts w:hint="eastAsia" w:ascii="仿宋" w:hAnsi="仿宋" w:eastAsia="仿宋" w:cs="仿宋"/>
          <w:b w:val="0"/>
          <w:color w:val="auto"/>
          <w:spacing w:val="-3"/>
          <w:sz w:val="24"/>
          <w:szCs w:val="24"/>
          <w:highlight w:val="none"/>
        </w:rPr>
        <w:t>）根据《三部门联合发布关于促进残疾人就业政府采购政策的通知》</w:t>
      </w:r>
      <w:r>
        <w:rPr>
          <w:rFonts w:hint="eastAsia" w:ascii="仿宋" w:hAnsi="仿宋" w:eastAsia="仿宋" w:cs="仿宋"/>
          <w:b w:val="0"/>
          <w:color w:val="auto"/>
          <w:sz w:val="24"/>
          <w:szCs w:val="24"/>
          <w:highlight w:val="none"/>
        </w:rPr>
        <w:t>（</w:t>
      </w:r>
      <w:r>
        <w:rPr>
          <w:rFonts w:hint="eastAsia" w:ascii="仿宋" w:hAnsi="仿宋" w:eastAsia="仿宋" w:cs="仿宋"/>
          <w:b w:val="0"/>
          <w:color w:val="auto"/>
          <w:spacing w:val="-2"/>
          <w:sz w:val="24"/>
          <w:szCs w:val="24"/>
          <w:highlight w:val="none"/>
        </w:rPr>
        <w:t>财库[</w:t>
      </w:r>
      <w:r>
        <w:rPr>
          <w:rFonts w:hint="eastAsia" w:ascii="仿宋" w:hAnsi="仿宋" w:eastAsia="仿宋" w:cs="仿宋"/>
          <w:b w:val="0"/>
          <w:color w:val="auto"/>
          <w:sz w:val="24"/>
          <w:szCs w:val="24"/>
          <w:highlight w:val="none"/>
        </w:rPr>
        <w:t>2017]141</w:t>
      </w:r>
      <w:r>
        <w:rPr>
          <w:rFonts w:hint="eastAsia" w:ascii="仿宋" w:hAnsi="仿宋" w:eastAsia="仿宋" w:cs="仿宋"/>
          <w:b w:val="0"/>
          <w:color w:val="auto"/>
          <w:spacing w:val="7"/>
          <w:sz w:val="24"/>
          <w:szCs w:val="24"/>
          <w:highlight w:val="none"/>
        </w:rPr>
        <w:t>号</w:t>
      </w:r>
      <w:r>
        <w:rPr>
          <w:rFonts w:hint="eastAsia" w:ascii="仿宋" w:hAnsi="仿宋" w:eastAsia="仿宋" w:cs="仿宋"/>
          <w:b w:val="0"/>
          <w:color w:val="auto"/>
          <w:sz w:val="24"/>
          <w:szCs w:val="24"/>
          <w:highlight w:val="none"/>
        </w:rPr>
        <w:t>）</w:t>
      </w:r>
      <w:r>
        <w:rPr>
          <w:rFonts w:hint="eastAsia" w:ascii="仿宋" w:hAnsi="仿宋" w:eastAsia="仿宋" w:cs="仿宋"/>
          <w:b w:val="0"/>
          <w:color w:val="auto"/>
          <w:spacing w:val="-2"/>
          <w:sz w:val="24"/>
          <w:szCs w:val="24"/>
          <w:highlight w:val="none"/>
        </w:rPr>
        <w:t>的规</w:t>
      </w:r>
      <w:r>
        <w:rPr>
          <w:rFonts w:hint="eastAsia" w:ascii="仿宋" w:hAnsi="仿宋" w:eastAsia="仿宋" w:cs="仿宋"/>
          <w:b w:val="0"/>
          <w:color w:val="auto"/>
          <w:spacing w:val="-11"/>
          <w:sz w:val="24"/>
          <w:szCs w:val="24"/>
          <w:highlight w:val="none"/>
        </w:rPr>
        <w:t>定，残疾人福利性单位视同小型、微型企业，享受小型、微型企业评审中价格扣除的政府采购政策。</w:t>
      </w:r>
    </w:p>
    <w:p>
      <w:pPr>
        <w:spacing w:line="24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（5）政策性扣除计算方法。</w:t>
      </w:r>
    </w:p>
    <w:p>
      <w:pPr>
        <w:spacing w:line="24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供应商磋商</w:t>
      </w:r>
      <w:r>
        <w:rPr>
          <w:rFonts w:hint="eastAsia" w:ascii="仿宋" w:hAnsi="仿宋" w:eastAsia="仿宋" w:cs="仿宋"/>
          <w:b w:val="0"/>
          <w:color w:val="auto"/>
          <w:spacing w:val="-3"/>
          <w:sz w:val="24"/>
          <w:szCs w:val="24"/>
          <w:highlight w:val="none"/>
        </w:rPr>
        <w:t>提供本企业制造的货物、承担的工程或者服务</w:t>
      </w:r>
      <w:r>
        <w:rPr>
          <w:rFonts w:hint="eastAsia" w:ascii="仿宋" w:hAnsi="仿宋" w:eastAsia="仿宋" w:cs="仿宋"/>
          <w:b w:val="0"/>
          <w:color w:val="auto"/>
          <w:sz w:val="24"/>
          <w:szCs w:val="24"/>
          <w:highlight w:val="none"/>
        </w:rPr>
        <w:t>被认定为监狱企业或残疾人福利性单位或小型和微型企业</w:t>
      </w:r>
      <w:r>
        <w:rPr>
          <w:rFonts w:hint="eastAsia" w:ascii="仿宋" w:hAnsi="仿宋" w:eastAsia="仿宋" w:cs="仿宋"/>
          <w:b w:val="0"/>
          <w:color w:val="auto"/>
          <w:spacing w:val="-3"/>
          <w:sz w:val="24"/>
          <w:szCs w:val="24"/>
          <w:highlight w:val="none"/>
        </w:rPr>
        <w:t>提供制造的货物、承担的工程或者服务</w:t>
      </w:r>
      <w:r>
        <w:rPr>
          <w:rFonts w:hint="eastAsia" w:ascii="仿宋" w:hAnsi="仿宋" w:eastAsia="仿宋" w:cs="仿宋"/>
          <w:b w:val="0"/>
          <w:color w:val="auto"/>
          <w:sz w:val="24"/>
          <w:szCs w:val="24"/>
          <w:highlight w:val="none"/>
        </w:rPr>
        <w:t>的，该磋商总报价给予6%的扣除，扣除后的价格为评</w:t>
      </w:r>
      <w:r>
        <w:rPr>
          <w:rFonts w:hint="eastAsia" w:ascii="仿宋" w:hAnsi="仿宋" w:eastAsia="仿宋" w:cs="仿宋"/>
          <w:b w:val="0"/>
          <w:color w:val="auto"/>
          <w:sz w:val="24"/>
          <w:szCs w:val="24"/>
          <w:highlight w:val="none"/>
          <w:lang w:val="en-US"/>
        </w:rPr>
        <w:t>审</w:t>
      </w:r>
      <w:r>
        <w:rPr>
          <w:rFonts w:hint="eastAsia" w:ascii="仿宋" w:hAnsi="仿宋" w:eastAsia="仿宋" w:cs="仿宋"/>
          <w:b w:val="0"/>
          <w:color w:val="auto"/>
          <w:sz w:val="24"/>
          <w:szCs w:val="24"/>
          <w:highlight w:val="none"/>
        </w:rPr>
        <w:t>报价，即评</w:t>
      </w:r>
      <w:r>
        <w:rPr>
          <w:rFonts w:hint="eastAsia" w:ascii="仿宋" w:hAnsi="仿宋" w:eastAsia="仿宋" w:cs="仿宋"/>
          <w:b w:val="0"/>
          <w:color w:val="auto"/>
          <w:sz w:val="24"/>
          <w:szCs w:val="24"/>
          <w:highlight w:val="none"/>
          <w:lang w:val="en-US"/>
        </w:rPr>
        <w:t>审</w:t>
      </w:r>
      <w:r>
        <w:rPr>
          <w:rFonts w:hint="eastAsia" w:ascii="仿宋" w:hAnsi="仿宋" w:eastAsia="仿宋" w:cs="仿宋"/>
          <w:b w:val="0"/>
          <w:color w:val="auto"/>
          <w:sz w:val="24"/>
          <w:szCs w:val="24"/>
          <w:highlight w:val="none"/>
        </w:rPr>
        <w:t>报价=磋商总报价×（1-6%）；除上述情况外，评</w:t>
      </w:r>
      <w:r>
        <w:rPr>
          <w:rFonts w:hint="eastAsia" w:ascii="仿宋" w:hAnsi="仿宋" w:eastAsia="仿宋" w:cs="仿宋"/>
          <w:b w:val="0"/>
          <w:color w:val="auto"/>
          <w:sz w:val="24"/>
          <w:szCs w:val="24"/>
          <w:highlight w:val="none"/>
          <w:lang w:val="en-US"/>
        </w:rPr>
        <w:t>审</w:t>
      </w:r>
      <w:r>
        <w:rPr>
          <w:rFonts w:hint="eastAsia" w:ascii="仿宋" w:hAnsi="仿宋" w:eastAsia="仿宋" w:cs="仿宋"/>
          <w:b w:val="0"/>
          <w:color w:val="auto"/>
          <w:sz w:val="24"/>
          <w:szCs w:val="24"/>
          <w:highlight w:val="none"/>
        </w:rPr>
        <w:t>报价=磋商总报价。</w:t>
      </w:r>
    </w:p>
    <w:p>
      <w:pPr>
        <w:spacing w:line="24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（6）以进入综合评分环节的最低的评</w:t>
      </w:r>
      <w:r>
        <w:rPr>
          <w:rFonts w:hint="eastAsia" w:ascii="仿宋" w:hAnsi="仿宋" w:eastAsia="仿宋" w:cs="仿宋"/>
          <w:b w:val="0"/>
          <w:color w:val="auto"/>
          <w:sz w:val="24"/>
          <w:szCs w:val="24"/>
          <w:highlight w:val="none"/>
          <w:lang w:val="en-US"/>
        </w:rPr>
        <w:t>审</w:t>
      </w:r>
      <w:r>
        <w:rPr>
          <w:rFonts w:hint="eastAsia" w:ascii="仿宋" w:hAnsi="仿宋" w:eastAsia="仿宋" w:cs="仿宋"/>
          <w:b w:val="0"/>
          <w:color w:val="auto"/>
          <w:sz w:val="24"/>
          <w:szCs w:val="24"/>
          <w:highlight w:val="none"/>
        </w:rPr>
        <w:t>报价为基准价，基准价报价得分为</w:t>
      </w:r>
      <w:r>
        <w:rPr>
          <w:rFonts w:hint="eastAsia" w:ascii="仿宋" w:hAnsi="仿宋" w:eastAsia="仿宋" w:cs="仿宋"/>
          <w:b w:val="0"/>
          <w:color w:val="auto"/>
          <w:sz w:val="24"/>
          <w:szCs w:val="24"/>
          <w:highlight w:val="none"/>
          <w:lang w:val="en-US" w:eastAsia="zh-CN"/>
        </w:rPr>
        <w:t>2</w:t>
      </w:r>
      <w:r>
        <w:rPr>
          <w:rFonts w:hint="eastAsia" w:ascii="仿宋" w:hAnsi="仿宋" w:eastAsia="仿宋" w:cs="仿宋"/>
          <w:b w:val="0"/>
          <w:color w:val="auto"/>
          <w:sz w:val="24"/>
          <w:szCs w:val="24"/>
          <w:highlight w:val="none"/>
        </w:rPr>
        <w:t>0分。</w:t>
      </w:r>
    </w:p>
    <w:p>
      <w:pPr>
        <w:spacing w:line="24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（7）价格分计算公式：</w:t>
      </w:r>
    </w:p>
    <w:p>
      <w:pPr>
        <w:spacing w:line="240" w:lineRule="auto"/>
        <w:ind w:firstLine="482" w:firstLineChars="200"/>
        <w:rPr>
          <w:rFonts w:hint="eastAsia" w:ascii="仿宋" w:hAnsi="仿宋" w:eastAsia="仿宋" w:cs="仿宋"/>
          <w:color w:val="auto"/>
        </w:rPr>
      </w:pPr>
      <w:r>
        <w:rPr>
          <w:rFonts w:hint="eastAsia" w:ascii="仿宋" w:hAnsi="仿宋" w:eastAsia="仿宋" w:cs="仿宋"/>
          <w:b/>
          <w:bCs/>
          <w:color w:val="auto"/>
          <w:sz w:val="24"/>
          <w:szCs w:val="24"/>
          <w:highlight w:val="none"/>
        </w:rPr>
        <w:t>某供应商价格分=基准价/某供应商磋商总报价金额×20分</w:t>
      </w:r>
    </w:p>
    <w:p>
      <w:pPr>
        <w:spacing w:line="420" w:lineRule="exact"/>
        <w:ind w:firstLine="480" w:firstLineChars="200"/>
        <w:rPr>
          <w:rFonts w:hint="eastAsia" w:ascii="仿宋" w:hAnsi="仿宋" w:eastAsia="仿宋" w:cs="仿宋"/>
          <w:b w:val="0"/>
          <w:color w:val="auto"/>
          <w:sz w:val="24"/>
          <w:szCs w:val="24"/>
          <w:highlight w:val="none"/>
        </w:rPr>
      </w:pPr>
      <w:bookmarkStart w:id="92" w:name="_Toc502994532"/>
      <w:r>
        <w:rPr>
          <w:rFonts w:hint="eastAsia" w:ascii="仿宋" w:hAnsi="仿宋" w:eastAsia="仿宋" w:cs="仿宋"/>
          <w:b w:val="0"/>
          <w:color w:val="auto"/>
          <w:sz w:val="24"/>
          <w:szCs w:val="24"/>
          <w:highlight w:val="none"/>
        </w:rPr>
        <w:t>2、技术分</w:t>
      </w:r>
      <w:r>
        <w:rPr>
          <w:rFonts w:hint="eastAsia" w:ascii="仿宋" w:hAnsi="仿宋" w:eastAsia="仿宋" w:cs="仿宋"/>
          <w:b w:val="0"/>
          <w:color w:val="auto"/>
          <w:sz w:val="24"/>
          <w:szCs w:val="24"/>
          <w:highlight w:val="none"/>
          <w:lang w:val="en-US"/>
        </w:rPr>
        <w:t>................................................</w:t>
      </w:r>
      <w:r>
        <w:rPr>
          <w:rFonts w:hint="eastAsia" w:ascii="仿宋" w:hAnsi="仿宋" w:eastAsia="仿宋" w:cs="仿宋"/>
          <w:b w:val="0"/>
          <w:color w:val="auto"/>
          <w:sz w:val="24"/>
          <w:szCs w:val="24"/>
          <w:highlight w:val="none"/>
        </w:rPr>
        <w:t>满分</w:t>
      </w:r>
      <w:r>
        <w:rPr>
          <w:rFonts w:hint="eastAsia" w:ascii="仿宋" w:hAnsi="仿宋" w:eastAsia="仿宋" w:cs="仿宋"/>
          <w:b w:val="0"/>
          <w:color w:val="auto"/>
          <w:sz w:val="24"/>
          <w:szCs w:val="24"/>
          <w:highlight w:val="none"/>
          <w:lang w:val="en-US" w:eastAsia="zh-CN"/>
        </w:rPr>
        <w:t>8</w:t>
      </w:r>
      <w:r>
        <w:rPr>
          <w:rFonts w:hint="eastAsia" w:ascii="仿宋" w:hAnsi="仿宋" w:eastAsia="仿宋" w:cs="仿宋"/>
          <w:b w:val="0"/>
          <w:color w:val="auto"/>
          <w:sz w:val="24"/>
          <w:szCs w:val="24"/>
          <w:highlight w:val="none"/>
          <w:lang w:val="en-US"/>
        </w:rPr>
        <w:t>0</w:t>
      </w:r>
      <w:r>
        <w:rPr>
          <w:rFonts w:hint="eastAsia" w:ascii="仿宋" w:hAnsi="仿宋" w:eastAsia="仿宋" w:cs="仿宋"/>
          <w:b w:val="0"/>
          <w:color w:val="auto"/>
          <w:sz w:val="24"/>
          <w:szCs w:val="24"/>
          <w:highlight w:val="none"/>
        </w:rPr>
        <w:t>分</w:t>
      </w:r>
    </w:p>
    <w:p>
      <w:pPr>
        <w:pStyle w:val="218"/>
        <w:rPr>
          <w:rFonts w:hint="eastAsia" w:ascii="仿宋" w:hAnsi="仿宋" w:eastAsia="仿宋" w:cs="仿宋"/>
          <w:b w:val="0"/>
          <w:color w:val="auto"/>
          <w:kern w:val="0"/>
          <w:sz w:val="24"/>
          <w:szCs w:val="24"/>
          <w:highlight w:val="none"/>
          <w:lang w:val="zh-CN" w:eastAsia="zh-CN" w:bidi="zh-CN"/>
        </w:rPr>
      </w:pPr>
      <w:r>
        <w:rPr>
          <w:rFonts w:hint="eastAsia" w:ascii="仿宋" w:hAnsi="仿宋" w:eastAsia="仿宋" w:cs="仿宋"/>
          <w:b w:val="0"/>
          <w:color w:val="auto"/>
          <w:kern w:val="0"/>
          <w:sz w:val="24"/>
          <w:szCs w:val="24"/>
          <w:highlight w:val="none"/>
          <w:lang w:val="zh-CN" w:eastAsia="zh-CN" w:bidi="zh-CN"/>
        </w:rPr>
        <w:t>评标委员会按</w:t>
      </w:r>
      <w:r>
        <w:rPr>
          <w:rFonts w:hint="eastAsia" w:ascii="仿宋" w:hAnsi="仿宋" w:eastAsia="仿宋" w:cs="仿宋"/>
          <w:b w:val="0"/>
          <w:color w:val="auto"/>
          <w:kern w:val="0"/>
          <w:sz w:val="24"/>
          <w:szCs w:val="24"/>
          <w:highlight w:val="none"/>
          <w:lang w:eastAsia="zh-CN" w:bidi="zh-CN"/>
        </w:rPr>
        <w:t>下表</w:t>
      </w:r>
      <w:r>
        <w:rPr>
          <w:rFonts w:hint="eastAsia" w:ascii="仿宋" w:hAnsi="仿宋" w:eastAsia="仿宋" w:cs="仿宋"/>
          <w:b w:val="0"/>
          <w:color w:val="auto"/>
          <w:kern w:val="0"/>
          <w:sz w:val="24"/>
          <w:szCs w:val="24"/>
          <w:highlight w:val="none"/>
          <w:lang w:val="zh-CN" w:eastAsia="zh-CN" w:bidi="zh-CN"/>
        </w:rPr>
        <w:t>规定的量化因素和分值进行打分。</w:t>
      </w:r>
    </w:p>
    <w:tbl>
      <w:tblPr>
        <w:tblStyle w:val="48"/>
        <w:tblW w:w="9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620"/>
        <w:gridCol w:w="7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8" w:type="dxa"/>
            <w:vMerge w:val="restart"/>
            <w:noWrap w:val="0"/>
            <w:vAlign w:val="center"/>
          </w:tcPr>
          <w:p>
            <w:pPr>
              <w:adjustRightInd w:val="0"/>
              <w:snapToGrid w:val="0"/>
              <w:jc w:val="center"/>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工程总承包工作大纲评分标准</w:t>
            </w:r>
          </w:p>
          <w:p>
            <w:pPr>
              <w:pStyle w:val="2"/>
              <w:jc w:val="center"/>
              <w:rPr>
                <w:rFonts w:hint="eastAsia" w:ascii="仿宋" w:hAnsi="仿宋" w:eastAsia="仿宋" w:cs="仿宋"/>
                <w:b w:val="0"/>
                <w:bCs/>
                <w:color w:val="auto"/>
                <w:szCs w:val="21"/>
                <w:highlight w:val="none"/>
              </w:rPr>
            </w:pPr>
          </w:p>
          <w:p>
            <w:pPr>
              <w:adjustRightInd w:val="0"/>
              <w:snapToGrid w:val="0"/>
              <w:jc w:val="center"/>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2</w:t>
            </w:r>
            <w:r>
              <w:rPr>
                <w:rFonts w:hint="eastAsia" w:ascii="仿宋" w:hAnsi="仿宋" w:eastAsia="仿宋" w:cs="仿宋"/>
                <w:b w:val="0"/>
                <w:color w:val="auto"/>
                <w:szCs w:val="21"/>
                <w:highlight w:val="none"/>
                <w:lang w:val="en-US" w:eastAsia="zh-CN"/>
              </w:rPr>
              <w:t>5</w:t>
            </w:r>
            <w:r>
              <w:rPr>
                <w:rFonts w:hint="eastAsia" w:ascii="仿宋" w:hAnsi="仿宋" w:eastAsia="仿宋" w:cs="仿宋"/>
                <w:b w:val="0"/>
                <w:color w:val="auto"/>
                <w:szCs w:val="21"/>
                <w:highlight w:val="none"/>
              </w:rPr>
              <w:t>分</w:t>
            </w:r>
          </w:p>
        </w:tc>
        <w:tc>
          <w:tcPr>
            <w:tcW w:w="1620" w:type="dxa"/>
            <w:noWrap w:val="0"/>
            <w:vAlign w:val="center"/>
          </w:tcPr>
          <w:p>
            <w:pPr>
              <w:jc w:val="center"/>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总体实施方案</w:t>
            </w:r>
          </w:p>
          <w:p>
            <w:pPr>
              <w:jc w:val="center"/>
              <w:rPr>
                <w:rFonts w:hint="eastAsia" w:ascii="仿宋" w:hAnsi="仿宋" w:eastAsia="仿宋" w:cs="仿宋"/>
                <w:b w:val="0"/>
                <w:color w:val="auto"/>
                <w:szCs w:val="21"/>
                <w:highlight w:val="none"/>
              </w:rPr>
            </w:pPr>
            <w:r>
              <w:rPr>
                <w:rFonts w:hint="eastAsia" w:ascii="仿宋" w:hAnsi="仿宋" w:eastAsia="仿宋" w:cs="仿宋"/>
                <w:b w:val="0"/>
                <w:color w:val="auto"/>
                <w:highlight w:val="none"/>
              </w:rPr>
              <w:t>（</w:t>
            </w:r>
            <w:r>
              <w:rPr>
                <w:rFonts w:hint="eastAsia" w:ascii="仿宋" w:hAnsi="仿宋" w:eastAsia="仿宋" w:cs="仿宋"/>
                <w:b w:val="0"/>
                <w:color w:val="auto"/>
                <w:highlight w:val="none"/>
                <w:lang w:eastAsia="zh-CN"/>
              </w:rPr>
              <w:t>3</w:t>
            </w:r>
            <w:r>
              <w:rPr>
                <w:rFonts w:hint="eastAsia" w:ascii="仿宋" w:hAnsi="仿宋" w:eastAsia="仿宋" w:cs="仿宋"/>
                <w:b w:val="0"/>
                <w:color w:val="auto"/>
                <w:highlight w:val="none"/>
              </w:rPr>
              <w:t>分）</w:t>
            </w:r>
          </w:p>
        </w:tc>
        <w:tc>
          <w:tcPr>
            <w:tcW w:w="7075" w:type="dxa"/>
            <w:noWrap w:val="0"/>
            <w:vAlign w:val="center"/>
          </w:tcPr>
          <w:p>
            <w:pPr>
              <w:ind w:firstLine="220" w:firstLineChars="100"/>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主要结合</w:t>
            </w:r>
            <w:r>
              <w:rPr>
                <w:rFonts w:hint="eastAsia" w:ascii="仿宋" w:hAnsi="仿宋" w:eastAsia="仿宋" w:cs="仿宋"/>
                <w:b w:val="0"/>
                <w:color w:val="auto"/>
                <w:szCs w:val="21"/>
                <w:highlight w:val="none"/>
                <w:lang w:eastAsia="zh-CN"/>
              </w:rPr>
              <w:t>供应商</w:t>
            </w:r>
            <w:r>
              <w:rPr>
                <w:rFonts w:hint="eastAsia" w:ascii="仿宋" w:hAnsi="仿宋" w:eastAsia="仿宋" w:cs="仿宋"/>
                <w:b w:val="0"/>
                <w:color w:val="auto"/>
                <w:szCs w:val="21"/>
                <w:highlight w:val="none"/>
              </w:rPr>
              <w:t>提供的总体实施方案是否能够满足本项目的总体建设要求，各目标切实是否可行，科学合理进行评定。</w:t>
            </w:r>
          </w:p>
          <w:p>
            <w:pPr>
              <w:ind w:firstLine="220" w:firstLineChars="100"/>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一档（</w:t>
            </w:r>
            <w:r>
              <w:rPr>
                <w:rFonts w:hint="eastAsia" w:ascii="仿宋" w:hAnsi="仿宋" w:eastAsia="仿宋" w:cs="仿宋"/>
                <w:b w:val="0"/>
                <w:color w:val="auto"/>
                <w:szCs w:val="21"/>
                <w:highlight w:val="none"/>
                <w:lang w:eastAsia="zh-CN"/>
              </w:rPr>
              <w:t>1</w:t>
            </w:r>
            <w:r>
              <w:rPr>
                <w:rFonts w:hint="eastAsia" w:ascii="仿宋" w:hAnsi="仿宋" w:eastAsia="仿宋" w:cs="仿宋"/>
                <w:b w:val="0"/>
                <w:color w:val="auto"/>
                <w:szCs w:val="21"/>
                <w:highlight w:val="none"/>
              </w:rPr>
              <w:t>分）：总体实施方案难以能够满足本项目的总体建设要求，各目标不切合实际，可行性差；</w:t>
            </w:r>
          </w:p>
          <w:p>
            <w:pPr>
              <w:ind w:firstLine="220" w:firstLineChars="100"/>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二档（2分）：总体实施方案基本满足本项目的总体建设要求，各目标</w:t>
            </w:r>
            <w:r>
              <w:rPr>
                <w:rFonts w:hint="eastAsia" w:ascii="仿宋" w:hAnsi="仿宋" w:eastAsia="仿宋" w:cs="仿宋"/>
                <w:b w:val="0"/>
                <w:color w:val="auto"/>
                <w:szCs w:val="21"/>
                <w:highlight w:val="none"/>
                <w:lang w:val="en-US" w:eastAsia="zh-CN"/>
              </w:rPr>
              <w:t>基本切合</w:t>
            </w:r>
            <w:r>
              <w:rPr>
                <w:rFonts w:hint="eastAsia" w:ascii="仿宋" w:hAnsi="仿宋" w:eastAsia="仿宋" w:cs="仿宋"/>
                <w:b w:val="0"/>
                <w:color w:val="auto"/>
                <w:szCs w:val="21"/>
                <w:highlight w:val="none"/>
              </w:rPr>
              <w:t>实际且可行；</w:t>
            </w:r>
          </w:p>
          <w:p>
            <w:pPr>
              <w:ind w:firstLine="220" w:firstLineChars="100"/>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三档（3分）：总体实施方案能够满足本项目的总体建设要求，各目标切合实际，先进可行。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8" w:type="dxa"/>
            <w:vMerge w:val="continue"/>
            <w:noWrap w:val="0"/>
            <w:vAlign w:val="center"/>
          </w:tcPr>
          <w:p>
            <w:pPr>
              <w:adjustRightInd w:val="0"/>
              <w:snapToGrid w:val="0"/>
              <w:jc w:val="center"/>
              <w:rPr>
                <w:rFonts w:hint="eastAsia" w:ascii="仿宋" w:hAnsi="仿宋" w:eastAsia="仿宋" w:cs="仿宋"/>
                <w:b w:val="0"/>
                <w:color w:val="auto"/>
                <w:szCs w:val="21"/>
                <w:highlight w:val="none"/>
              </w:rPr>
            </w:pPr>
          </w:p>
        </w:tc>
        <w:tc>
          <w:tcPr>
            <w:tcW w:w="1620" w:type="dxa"/>
            <w:noWrap w:val="0"/>
            <w:vAlign w:val="center"/>
          </w:tcPr>
          <w:p>
            <w:pPr>
              <w:jc w:val="center"/>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项目实施要点</w:t>
            </w:r>
          </w:p>
          <w:p>
            <w:pPr>
              <w:jc w:val="center"/>
              <w:rPr>
                <w:rFonts w:hint="eastAsia" w:ascii="仿宋" w:hAnsi="仿宋" w:eastAsia="仿宋" w:cs="仿宋"/>
                <w:b w:val="0"/>
                <w:color w:val="auto"/>
                <w:szCs w:val="21"/>
                <w:highlight w:val="none"/>
              </w:rPr>
            </w:pPr>
            <w:r>
              <w:rPr>
                <w:rFonts w:hint="eastAsia" w:ascii="仿宋" w:hAnsi="仿宋" w:eastAsia="仿宋" w:cs="仿宋"/>
                <w:b w:val="0"/>
                <w:color w:val="auto"/>
                <w:highlight w:val="none"/>
              </w:rPr>
              <w:t>（</w:t>
            </w:r>
            <w:r>
              <w:rPr>
                <w:rFonts w:hint="eastAsia" w:ascii="仿宋" w:hAnsi="仿宋" w:eastAsia="仿宋" w:cs="仿宋"/>
                <w:b w:val="0"/>
                <w:color w:val="auto"/>
                <w:highlight w:val="none"/>
                <w:lang w:eastAsia="zh-CN"/>
              </w:rPr>
              <w:t>9</w:t>
            </w:r>
            <w:r>
              <w:rPr>
                <w:rFonts w:hint="eastAsia" w:ascii="仿宋" w:hAnsi="仿宋" w:eastAsia="仿宋" w:cs="仿宋"/>
                <w:b w:val="0"/>
                <w:color w:val="auto"/>
                <w:highlight w:val="none"/>
              </w:rPr>
              <w:t>分）</w:t>
            </w:r>
          </w:p>
        </w:tc>
        <w:tc>
          <w:tcPr>
            <w:tcW w:w="7075" w:type="dxa"/>
            <w:noWrap w:val="0"/>
            <w:vAlign w:val="center"/>
          </w:tcPr>
          <w:p>
            <w:pPr>
              <w:ind w:firstLine="220" w:firstLineChars="100"/>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根据实施要点，包括设计实施要点、采购实施要点、施工实施要点、试运行实施要点等。结合本项目特点，切合实际，先进可行，具有可操作性进行评定。</w:t>
            </w:r>
          </w:p>
          <w:p>
            <w:pPr>
              <w:ind w:firstLine="220" w:firstLineChars="100"/>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一档（</w:t>
            </w:r>
            <w:r>
              <w:rPr>
                <w:rFonts w:hint="eastAsia" w:ascii="仿宋" w:hAnsi="仿宋" w:eastAsia="仿宋" w:cs="仿宋"/>
                <w:b w:val="0"/>
                <w:color w:val="auto"/>
                <w:szCs w:val="21"/>
                <w:highlight w:val="none"/>
                <w:lang w:val="en-US" w:eastAsia="zh-CN"/>
              </w:rPr>
              <w:t>3</w:t>
            </w:r>
            <w:r>
              <w:rPr>
                <w:rFonts w:hint="eastAsia" w:ascii="仿宋" w:hAnsi="仿宋" w:eastAsia="仿宋" w:cs="仿宋"/>
                <w:b w:val="0"/>
                <w:color w:val="auto"/>
                <w:szCs w:val="21"/>
                <w:highlight w:val="none"/>
              </w:rPr>
              <w:t>分）：各实施要点不切合实际，可行性差，操作性差；</w:t>
            </w:r>
          </w:p>
          <w:p>
            <w:pPr>
              <w:ind w:firstLine="220" w:firstLineChars="100"/>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二档（</w:t>
            </w:r>
            <w:r>
              <w:rPr>
                <w:rFonts w:hint="eastAsia" w:ascii="仿宋" w:hAnsi="仿宋" w:eastAsia="仿宋" w:cs="仿宋"/>
                <w:b w:val="0"/>
                <w:color w:val="auto"/>
                <w:szCs w:val="21"/>
                <w:highlight w:val="none"/>
                <w:lang w:val="en-US" w:eastAsia="zh-CN"/>
              </w:rPr>
              <w:t>6</w:t>
            </w:r>
            <w:r>
              <w:rPr>
                <w:rFonts w:hint="eastAsia" w:ascii="仿宋" w:hAnsi="仿宋" w:eastAsia="仿宋" w:cs="仿宋"/>
                <w:b w:val="0"/>
                <w:color w:val="auto"/>
                <w:szCs w:val="21"/>
                <w:highlight w:val="none"/>
              </w:rPr>
              <w:t>分）：各实施要点基本切合实际且可行，操作性一般；</w:t>
            </w:r>
          </w:p>
          <w:p>
            <w:pPr>
              <w:ind w:firstLine="220" w:firstLineChars="100"/>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三档（9分）：各实施要点切合实际，先进可行，可操作性强。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8" w:type="dxa"/>
            <w:vMerge w:val="continue"/>
            <w:noWrap w:val="0"/>
            <w:vAlign w:val="center"/>
          </w:tcPr>
          <w:p>
            <w:pPr>
              <w:adjustRightInd w:val="0"/>
              <w:snapToGrid w:val="0"/>
              <w:jc w:val="center"/>
              <w:rPr>
                <w:rFonts w:hint="eastAsia" w:ascii="仿宋" w:hAnsi="仿宋" w:eastAsia="仿宋" w:cs="仿宋"/>
                <w:b w:val="0"/>
                <w:color w:val="auto"/>
                <w:szCs w:val="21"/>
                <w:highlight w:val="none"/>
              </w:rPr>
            </w:pPr>
          </w:p>
        </w:tc>
        <w:tc>
          <w:tcPr>
            <w:tcW w:w="1620" w:type="dxa"/>
            <w:noWrap w:val="0"/>
            <w:vAlign w:val="center"/>
          </w:tcPr>
          <w:p>
            <w:pPr>
              <w:jc w:val="center"/>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项目管理要点</w:t>
            </w:r>
          </w:p>
          <w:p>
            <w:pPr>
              <w:jc w:val="center"/>
              <w:rPr>
                <w:rFonts w:hint="eastAsia" w:ascii="仿宋" w:hAnsi="仿宋" w:eastAsia="仿宋" w:cs="仿宋"/>
                <w:b w:val="0"/>
                <w:color w:val="auto"/>
                <w:szCs w:val="21"/>
                <w:highlight w:val="none"/>
              </w:rPr>
            </w:pPr>
            <w:r>
              <w:rPr>
                <w:rFonts w:hint="eastAsia" w:ascii="仿宋" w:hAnsi="仿宋" w:eastAsia="仿宋" w:cs="仿宋"/>
                <w:b w:val="0"/>
                <w:color w:val="auto"/>
                <w:highlight w:val="none"/>
              </w:rPr>
              <w:t>（8分）</w:t>
            </w:r>
          </w:p>
        </w:tc>
        <w:tc>
          <w:tcPr>
            <w:tcW w:w="7075" w:type="dxa"/>
            <w:noWrap w:val="0"/>
            <w:vAlign w:val="center"/>
          </w:tcPr>
          <w:p>
            <w:pPr>
              <w:ind w:firstLine="220" w:firstLineChars="100"/>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根据管理目标是否明确，切合实际，先进可行，具有可操作性。包括：合同管理要点、资源管理要点、质量控制要点、进度控制要点、费用估算及控制要点、安全管理要点、职业健康管理要点、环境管理要点、沟通和协调管理要点、财务管理要点、风险管理要点、文件及信息管理要点、报告制度等进行评定。</w:t>
            </w:r>
          </w:p>
          <w:p>
            <w:pPr>
              <w:ind w:firstLine="220" w:firstLineChars="100"/>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一档（2</w:t>
            </w:r>
            <w:r>
              <w:rPr>
                <w:rFonts w:hint="eastAsia" w:ascii="仿宋" w:hAnsi="仿宋" w:eastAsia="仿宋" w:cs="仿宋"/>
                <w:b w:val="0"/>
                <w:color w:val="auto"/>
                <w:szCs w:val="21"/>
                <w:highlight w:val="none"/>
                <w:lang w:val="en-US" w:eastAsia="zh-CN"/>
              </w:rPr>
              <w:t>.6</w:t>
            </w:r>
            <w:r>
              <w:rPr>
                <w:rFonts w:hint="eastAsia" w:ascii="仿宋" w:hAnsi="仿宋" w:eastAsia="仿宋" w:cs="仿宋"/>
                <w:b w:val="0"/>
                <w:color w:val="auto"/>
                <w:szCs w:val="21"/>
                <w:highlight w:val="none"/>
              </w:rPr>
              <w:t>分）：项目管理目标不明确，不切合实际，可行性差，操作性差；</w:t>
            </w:r>
          </w:p>
          <w:p>
            <w:pPr>
              <w:ind w:firstLine="220" w:firstLineChars="100"/>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二档（5.2分）：项目管理目标基本明确，基本切合实际且可行，操作性一般；</w:t>
            </w:r>
          </w:p>
          <w:p>
            <w:pPr>
              <w:ind w:firstLine="220" w:firstLineChars="100"/>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三档（8分）：项目管理目标明确，切合实际，先进可行，可操作性强。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8" w:type="dxa"/>
            <w:vMerge w:val="continue"/>
            <w:noWrap w:val="0"/>
            <w:vAlign w:val="center"/>
          </w:tcPr>
          <w:p>
            <w:pPr>
              <w:adjustRightInd w:val="0"/>
              <w:snapToGrid w:val="0"/>
              <w:jc w:val="center"/>
              <w:rPr>
                <w:rFonts w:hint="eastAsia" w:ascii="仿宋" w:hAnsi="仿宋" w:eastAsia="仿宋" w:cs="仿宋"/>
                <w:b w:val="0"/>
                <w:color w:val="auto"/>
                <w:szCs w:val="21"/>
                <w:highlight w:val="none"/>
              </w:rPr>
            </w:pPr>
          </w:p>
        </w:tc>
        <w:tc>
          <w:tcPr>
            <w:tcW w:w="1620" w:type="dxa"/>
            <w:noWrap w:val="0"/>
            <w:vAlign w:val="center"/>
          </w:tcPr>
          <w:p>
            <w:pPr>
              <w:jc w:val="center"/>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设计及施工的配合</w:t>
            </w:r>
          </w:p>
          <w:p>
            <w:pPr>
              <w:jc w:val="center"/>
              <w:rPr>
                <w:rFonts w:hint="eastAsia" w:ascii="仿宋" w:hAnsi="仿宋" w:eastAsia="仿宋" w:cs="仿宋"/>
                <w:b w:val="0"/>
                <w:color w:val="auto"/>
                <w:szCs w:val="21"/>
                <w:highlight w:val="none"/>
              </w:rPr>
            </w:pPr>
            <w:r>
              <w:rPr>
                <w:rFonts w:hint="eastAsia" w:ascii="仿宋" w:hAnsi="仿宋" w:eastAsia="仿宋" w:cs="仿宋"/>
                <w:b w:val="0"/>
                <w:color w:val="auto"/>
                <w:highlight w:val="none"/>
              </w:rPr>
              <w:t>（3分）</w:t>
            </w:r>
          </w:p>
        </w:tc>
        <w:tc>
          <w:tcPr>
            <w:tcW w:w="7075" w:type="dxa"/>
            <w:noWrap w:val="0"/>
            <w:vAlign w:val="center"/>
          </w:tcPr>
          <w:p>
            <w:pPr>
              <w:ind w:firstLine="220" w:firstLineChars="100"/>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根据协调配合计划切合实际，满足项目实施需要，协调配合计划的可操作性等进行评定。</w:t>
            </w:r>
          </w:p>
          <w:p>
            <w:pPr>
              <w:ind w:firstLine="220" w:firstLineChars="100"/>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一档（1分）：协调配合计划不切合实际，难以能够满足本项目实施需要，操作性差；</w:t>
            </w:r>
          </w:p>
          <w:p>
            <w:pPr>
              <w:ind w:firstLine="220" w:firstLineChars="100"/>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二档（2分）：协调配合计划基本切合实际且可行，基本够满足本项目实施需要，操作性一般；</w:t>
            </w:r>
          </w:p>
          <w:p>
            <w:pPr>
              <w:ind w:firstLine="220" w:firstLineChars="100"/>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三档（3分）：协调配合计划切合实际</w:t>
            </w:r>
            <w:r>
              <w:rPr>
                <w:rFonts w:hint="eastAsia" w:ascii="仿宋" w:hAnsi="仿宋" w:eastAsia="仿宋" w:cs="仿宋"/>
                <w:b w:val="0"/>
                <w:color w:val="auto"/>
                <w:szCs w:val="21"/>
                <w:highlight w:val="none"/>
                <w:lang w:eastAsia="zh-CN"/>
              </w:rPr>
              <w:t>（</w:t>
            </w:r>
            <w:r>
              <w:rPr>
                <w:rFonts w:hint="eastAsia" w:ascii="仿宋" w:hAnsi="仿宋" w:eastAsia="仿宋" w:cs="仿宋"/>
                <w:b w:val="0"/>
                <w:color w:val="auto"/>
                <w:szCs w:val="21"/>
                <w:highlight w:val="none"/>
                <w:lang w:val="en-US" w:eastAsia="zh-CN"/>
              </w:rPr>
              <w:t>包括压缩工期时的具体措施）</w:t>
            </w:r>
            <w:r>
              <w:rPr>
                <w:rFonts w:hint="eastAsia" w:ascii="仿宋" w:hAnsi="仿宋" w:eastAsia="仿宋" w:cs="仿宋"/>
                <w:b w:val="0"/>
                <w:color w:val="auto"/>
                <w:szCs w:val="21"/>
                <w:highlight w:val="none"/>
              </w:rPr>
              <w:t>，先进可行，能够满足本项目实施需要，可操作性强。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8" w:type="dxa"/>
            <w:vMerge w:val="continue"/>
            <w:noWrap w:val="0"/>
            <w:vAlign w:val="center"/>
          </w:tcPr>
          <w:p>
            <w:pPr>
              <w:adjustRightInd w:val="0"/>
              <w:snapToGrid w:val="0"/>
              <w:jc w:val="center"/>
              <w:rPr>
                <w:rFonts w:hint="eastAsia" w:ascii="仿宋" w:hAnsi="仿宋" w:eastAsia="仿宋" w:cs="仿宋"/>
                <w:b w:val="0"/>
                <w:color w:val="auto"/>
                <w:szCs w:val="21"/>
                <w:highlight w:val="none"/>
              </w:rPr>
            </w:pPr>
          </w:p>
        </w:tc>
        <w:tc>
          <w:tcPr>
            <w:tcW w:w="1620" w:type="dxa"/>
            <w:noWrap w:val="0"/>
            <w:vAlign w:val="center"/>
          </w:tcPr>
          <w:p>
            <w:pPr>
              <w:jc w:val="center"/>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项目管理机构配备</w:t>
            </w:r>
          </w:p>
          <w:p>
            <w:pPr>
              <w:jc w:val="center"/>
              <w:rPr>
                <w:rFonts w:hint="eastAsia" w:ascii="仿宋" w:hAnsi="仿宋" w:eastAsia="仿宋" w:cs="仿宋"/>
                <w:b w:val="0"/>
                <w:color w:val="auto"/>
                <w:szCs w:val="21"/>
                <w:highlight w:val="none"/>
              </w:rPr>
            </w:pPr>
            <w:r>
              <w:rPr>
                <w:rFonts w:hint="eastAsia" w:ascii="仿宋" w:hAnsi="仿宋" w:eastAsia="仿宋" w:cs="仿宋"/>
                <w:b w:val="0"/>
                <w:color w:val="auto"/>
                <w:highlight w:val="none"/>
              </w:rPr>
              <w:t>（</w:t>
            </w:r>
            <w:r>
              <w:rPr>
                <w:rFonts w:hint="eastAsia" w:ascii="仿宋" w:hAnsi="仿宋" w:eastAsia="仿宋" w:cs="仿宋"/>
                <w:b w:val="0"/>
                <w:color w:val="auto"/>
                <w:highlight w:val="none"/>
                <w:lang w:val="en-US" w:eastAsia="zh-CN"/>
              </w:rPr>
              <w:t>2</w:t>
            </w:r>
            <w:r>
              <w:rPr>
                <w:rFonts w:hint="eastAsia" w:ascii="仿宋" w:hAnsi="仿宋" w:eastAsia="仿宋" w:cs="仿宋"/>
                <w:b w:val="0"/>
                <w:color w:val="auto"/>
                <w:highlight w:val="none"/>
              </w:rPr>
              <w:t>分）</w:t>
            </w:r>
          </w:p>
        </w:tc>
        <w:tc>
          <w:tcPr>
            <w:tcW w:w="7075" w:type="dxa"/>
            <w:noWrap w:val="0"/>
            <w:vAlign w:val="center"/>
          </w:tcPr>
          <w:p>
            <w:pPr>
              <w:keepNext w:val="0"/>
              <w:keepLines w:val="0"/>
              <w:pageBreakBefore w:val="0"/>
              <w:widowControl w:val="0"/>
              <w:kinsoku/>
              <w:wordWrap/>
              <w:overflowPunct/>
              <w:topLinePunct w:val="0"/>
              <w:autoSpaceDE/>
              <w:autoSpaceDN/>
              <w:bidi w:val="0"/>
              <w:adjustRightInd/>
              <w:snapToGrid/>
              <w:ind w:firstLine="220" w:firstLineChars="100"/>
              <w:textAlignment w:val="auto"/>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拟投入的设计项目负责人</w:t>
            </w:r>
            <w:r>
              <w:rPr>
                <w:rFonts w:hint="eastAsia" w:ascii="仿宋" w:hAnsi="仿宋" w:eastAsia="仿宋" w:cs="仿宋"/>
                <w:b w:val="0"/>
                <w:color w:val="auto"/>
                <w:highlight w:val="none"/>
                <w:lang w:val="en-US" w:eastAsia="zh-CN"/>
              </w:rPr>
              <w:t>同时具备贰级或以上注册建筑师、中级工程师资格，得</w:t>
            </w:r>
            <w:r>
              <w:rPr>
                <w:rFonts w:hint="eastAsia" w:ascii="仿宋" w:hAnsi="仿宋" w:eastAsia="仿宋" w:cs="仿宋"/>
                <w:b w:val="0"/>
                <w:color w:val="auto"/>
                <w:highlight w:val="none"/>
                <w:lang w:eastAsia="zh-CN"/>
              </w:rPr>
              <w:t>2</w:t>
            </w:r>
            <w:r>
              <w:rPr>
                <w:rFonts w:hint="eastAsia" w:ascii="仿宋" w:hAnsi="仿宋" w:eastAsia="仿宋" w:cs="仿宋"/>
                <w:b w:val="0"/>
                <w:color w:val="auto"/>
                <w:highlight w:val="none"/>
                <w:lang w:val="en-US" w:eastAsia="zh-CN"/>
              </w:rPr>
              <w:t>分</w:t>
            </w:r>
            <w:r>
              <w:rPr>
                <w:rFonts w:hint="eastAsia" w:ascii="仿宋" w:hAnsi="仿宋" w:eastAsia="仿宋" w:cs="仿宋"/>
                <w:b w:val="0"/>
                <w:color w:val="auto"/>
                <w:highlight w:val="none"/>
                <w:lang w:eastAsia="zh-CN"/>
              </w:rPr>
              <w:t>，满分2分。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8" w:type="dxa"/>
            <w:vMerge w:val="restart"/>
            <w:noWrap w:val="0"/>
            <w:vAlign w:val="center"/>
          </w:tcPr>
          <w:p>
            <w:pPr>
              <w:adjustRightInd w:val="0"/>
              <w:snapToGrid w:val="0"/>
              <w:jc w:val="center"/>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施工组织设计评分标准</w:t>
            </w:r>
          </w:p>
          <w:p>
            <w:pPr>
              <w:adjustRightInd w:val="0"/>
              <w:snapToGrid w:val="0"/>
              <w:jc w:val="center"/>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lang w:val="en-US" w:eastAsia="zh-CN"/>
              </w:rPr>
              <w:t>35</w:t>
            </w:r>
            <w:r>
              <w:rPr>
                <w:rFonts w:hint="eastAsia" w:ascii="仿宋" w:hAnsi="仿宋" w:eastAsia="仿宋" w:cs="仿宋"/>
                <w:b w:val="0"/>
                <w:color w:val="auto"/>
                <w:szCs w:val="21"/>
                <w:highlight w:val="none"/>
              </w:rPr>
              <w:t>分</w:t>
            </w:r>
          </w:p>
        </w:tc>
        <w:tc>
          <w:tcPr>
            <w:tcW w:w="1620" w:type="dxa"/>
            <w:noWrap w:val="0"/>
            <w:vAlign w:val="center"/>
          </w:tcPr>
          <w:p>
            <w:pPr>
              <w:adjustRightInd w:val="0"/>
              <w:snapToGrid w:val="0"/>
              <w:jc w:val="center"/>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主要施工方法</w:t>
            </w:r>
          </w:p>
          <w:p>
            <w:pPr>
              <w:adjustRightInd w:val="0"/>
              <w:snapToGrid w:val="0"/>
              <w:jc w:val="center"/>
              <w:rPr>
                <w:rFonts w:hint="eastAsia" w:ascii="仿宋" w:hAnsi="仿宋" w:eastAsia="仿宋" w:cs="仿宋"/>
                <w:b w:val="0"/>
                <w:color w:val="auto"/>
                <w:szCs w:val="21"/>
                <w:highlight w:val="none"/>
              </w:rPr>
            </w:pPr>
            <w:r>
              <w:rPr>
                <w:rFonts w:hint="eastAsia" w:ascii="仿宋" w:hAnsi="仿宋" w:eastAsia="仿宋" w:cs="仿宋"/>
                <w:b w:val="0"/>
                <w:color w:val="auto"/>
                <w:highlight w:val="none"/>
              </w:rPr>
              <w:t>（</w:t>
            </w:r>
            <w:r>
              <w:rPr>
                <w:rFonts w:hint="eastAsia" w:ascii="仿宋" w:hAnsi="仿宋" w:eastAsia="仿宋" w:cs="仿宋"/>
                <w:b w:val="0"/>
                <w:color w:val="auto"/>
                <w:highlight w:val="none"/>
                <w:lang w:val="en-US" w:eastAsia="zh-CN"/>
              </w:rPr>
              <w:t>4</w:t>
            </w:r>
            <w:r>
              <w:rPr>
                <w:rFonts w:hint="eastAsia" w:ascii="仿宋" w:hAnsi="仿宋" w:eastAsia="仿宋" w:cs="仿宋"/>
                <w:b w:val="0"/>
                <w:color w:val="auto"/>
                <w:highlight w:val="none"/>
              </w:rPr>
              <w:t>分）</w:t>
            </w:r>
          </w:p>
        </w:tc>
        <w:tc>
          <w:tcPr>
            <w:tcW w:w="7075" w:type="dxa"/>
            <w:noWrap w:val="0"/>
            <w:vAlign w:val="center"/>
          </w:tcPr>
          <w:p>
            <w:pPr>
              <w:ind w:firstLine="220" w:firstLineChars="100"/>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各主要分部施工方法符合项目实际，须有详尽的施工技术方案，工艺先进、方法科学合理、可行，能指导具体施工并确保安全。</w:t>
            </w:r>
          </w:p>
          <w:p>
            <w:pPr>
              <w:ind w:firstLine="220" w:firstLineChars="100"/>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一档（</w:t>
            </w:r>
            <w:r>
              <w:rPr>
                <w:rFonts w:hint="eastAsia" w:ascii="仿宋" w:hAnsi="仿宋" w:eastAsia="仿宋" w:cs="仿宋"/>
                <w:b w:val="0"/>
                <w:color w:val="auto"/>
                <w:szCs w:val="21"/>
                <w:highlight w:val="none"/>
                <w:lang w:val="en-US" w:eastAsia="zh-CN"/>
              </w:rPr>
              <w:t>2</w:t>
            </w:r>
            <w:r>
              <w:rPr>
                <w:rFonts w:hint="eastAsia" w:ascii="仿宋" w:hAnsi="仿宋" w:eastAsia="仿宋" w:cs="仿宋"/>
                <w:b w:val="0"/>
                <w:color w:val="auto"/>
                <w:szCs w:val="21"/>
                <w:highlight w:val="none"/>
              </w:rPr>
              <w:t>分）：施工方法不符合实际，施工技术方案简陋，难以指导具体施工和安全；</w:t>
            </w:r>
          </w:p>
          <w:p>
            <w:pPr>
              <w:ind w:firstLine="220" w:firstLineChars="100"/>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二档（</w:t>
            </w:r>
            <w:r>
              <w:rPr>
                <w:rFonts w:hint="eastAsia" w:ascii="仿宋" w:hAnsi="仿宋" w:eastAsia="仿宋" w:cs="仿宋"/>
                <w:b w:val="0"/>
                <w:color w:val="auto"/>
                <w:szCs w:val="21"/>
                <w:highlight w:val="none"/>
                <w:lang w:val="en-US" w:eastAsia="zh-CN"/>
              </w:rPr>
              <w:t>3</w:t>
            </w:r>
            <w:r>
              <w:rPr>
                <w:rFonts w:hint="eastAsia" w:ascii="仿宋" w:hAnsi="仿宋" w:eastAsia="仿宋" w:cs="仿宋"/>
                <w:b w:val="0"/>
                <w:color w:val="auto"/>
                <w:szCs w:val="21"/>
                <w:highlight w:val="none"/>
              </w:rPr>
              <w:t>分）：施工方法基本符合实际，施工技术方案可行，基本能够指导具体施工和安全；</w:t>
            </w:r>
          </w:p>
          <w:p>
            <w:pPr>
              <w:ind w:firstLine="220" w:firstLineChars="100"/>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三档（</w:t>
            </w:r>
            <w:r>
              <w:rPr>
                <w:rFonts w:hint="eastAsia" w:ascii="仿宋" w:hAnsi="仿宋" w:eastAsia="仿宋" w:cs="仿宋"/>
                <w:b w:val="0"/>
                <w:color w:val="auto"/>
                <w:szCs w:val="21"/>
                <w:highlight w:val="none"/>
                <w:lang w:val="en-US" w:eastAsia="zh-CN"/>
              </w:rPr>
              <w:t>4</w:t>
            </w:r>
            <w:r>
              <w:rPr>
                <w:rFonts w:hint="eastAsia" w:ascii="仿宋" w:hAnsi="仿宋" w:eastAsia="仿宋" w:cs="仿宋"/>
                <w:b w:val="0"/>
                <w:color w:val="auto"/>
                <w:szCs w:val="21"/>
                <w:highlight w:val="none"/>
              </w:rPr>
              <w:t>分）：施工方法符合实际，施工技术方案先进，能够科学指导具体施工和安全。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8" w:type="dxa"/>
            <w:vMerge w:val="continue"/>
            <w:noWrap w:val="0"/>
            <w:vAlign w:val="center"/>
          </w:tcPr>
          <w:p>
            <w:pPr>
              <w:adjustRightInd w:val="0"/>
              <w:snapToGrid w:val="0"/>
              <w:jc w:val="center"/>
              <w:rPr>
                <w:rFonts w:hint="eastAsia" w:ascii="仿宋" w:hAnsi="仿宋" w:eastAsia="仿宋" w:cs="仿宋"/>
                <w:b w:val="0"/>
                <w:color w:val="auto"/>
                <w:szCs w:val="21"/>
                <w:highlight w:val="none"/>
              </w:rPr>
            </w:pPr>
          </w:p>
        </w:tc>
        <w:tc>
          <w:tcPr>
            <w:tcW w:w="1620" w:type="dxa"/>
            <w:noWrap w:val="0"/>
            <w:vAlign w:val="center"/>
          </w:tcPr>
          <w:p>
            <w:pPr>
              <w:adjustRightInd w:val="0"/>
              <w:snapToGrid w:val="0"/>
              <w:jc w:val="center"/>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拟投入的主要物资计划</w:t>
            </w:r>
          </w:p>
          <w:p>
            <w:pPr>
              <w:adjustRightInd w:val="0"/>
              <w:snapToGrid w:val="0"/>
              <w:jc w:val="center"/>
              <w:rPr>
                <w:rFonts w:hint="eastAsia" w:ascii="仿宋" w:hAnsi="仿宋" w:eastAsia="仿宋" w:cs="仿宋"/>
                <w:b w:val="0"/>
                <w:color w:val="auto"/>
                <w:szCs w:val="21"/>
                <w:highlight w:val="none"/>
              </w:rPr>
            </w:pPr>
            <w:r>
              <w:rPr>
                <w:rFonts w:hint="eastAsia" w:ascii="仿宋" w:hAnsi="仿宋" w:eastAsia="仿宋" w:cs="仿宋"/>
                <w:b w:val="0"/>
                <w:color w:val="auto"/>
                <w:highlight w:val="none"/>
              </w:rPr>
              <w:t>（</w:t>
            </w:r>
            <w:r>
              <w:rPr>
                <w:rFonts w:hint="eastAsia" w:ascii="仿宋" w:hAnsi="仿宋" w:eastAsia="仿宋" w:cs="仿宋"/>
                <w:b w:val="0"/>
                <w:color w:val="auto"/>
                <w:highlight w:val="none"/>
                <w:lang w:val="en-US" w:eastAsia="zh-CN"/>
              </w:rPr>
              <w:t>3</w:t>
            </w:r>
            <w:r>
              <w:rPr>
                <w:rFonts w:hint="eastAsia" w:ascii="仿宋" w:hAnsi="仿宋" w:eastAsia="仿宋" w:cs="仿宋"/>
                <w:b w:val="0"/>
                <w:color w:val="auto"/>
                <w:highlight w:val="none"/>
              </w:rPr>
              <w:t>分）</w:t>
            </w:r>
          </w:p>
        </w:tc>
        <w:tc>
          <w:tcPr>
            <w:tcW w:w="7075" w:type="dxa"/>
            <w:noWrap w:val="0"/>
            <w:vAlign w:val="center"/>
          </w:tcPr>
          <w:p>
            <w:pPr>
              <w:ind w:firstLine="220" w:firstLineChars="100"/>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投入的施工材料有详细的组织计划且计划周密，数量、选型配置、进场时间安排合理，满足施工需要。</w:t>
            </w:r>
          </w:p>
          <w:p>
            <w:pPr>
              <w:ind w:firstLine="220" w:firstLineChars="100"/>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一档（</w:t>
            </w:r>
            <w:r>
              <w:rPr>
                <w:rFonts w:hint="eastAsia" w:ascii="仿宋" w:hAnsi="仿宋" w:eastAsia="仿宋" w:cs="仿宋"/>
                <w:b w:val="0"/>
                <w:color w:val="auto"/>
                <w:szCs w:val="21"/>
                <w:highlight w:val="none"/>
                <w:lang w:val="en-US" w:eastAsia="zh-CN"/>
              </w:rPr>
              <w:t>1</w:t>
            </w:r>
            <w:r>
              <w:rPr>
                <w:rFonts w:hint="eastAsia" w:ascii="仿宋" w:hAnsi="仿宋" w:eastAsia="仿宋" w:cs="仿宋"/>
                <w:b w:val="0"/>
                <w:color w:val="auto"/>
                <w:szCs w:val="21"/>
                <w:highlight w:val="none"/>
              </w:rPr>
              <w:t>分）：组织计划不符合实际，拟投入物资难以满足施工需要；</w:t>
            </w:r>
          </w:p>
          <w:p>
            <w:pPr>
              <w:ind w:firstLine="220" w:firstLineChars="100"/>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二档（</w:t>
            </w:r>
            <w:r>
              <w:rPr>
                <w:rFonts w:hint="eastAsia" w:ascii="仿宋" w:hAnsi="仿宋" w:eastAsia="仿宋" w:cs="仿宋"/>
                <w:b w:val="0"/>
                <w:color w:val="auto"/>
                <w:szCs w:val="21"/>
                <w:highlight w:val="none"/>
                <w:lang w:val="en-US" w:eastAsia="zh-CN"/>
              </w:rPr>
              <w:t>2</w:t>
            </w:r>
            <w:r>
              <w:rPr>
                <w:rFonts w:hint="eastAsia" w:ascii="仿宋" w:hAnsi="仿宋" w:eastAsia="仿宋" w:cs="仿宋"/>
                <w:b w:val="0"/>
                <w:color w:val="auto"/>
                <w:szCs w:val="21"/>
                <w:highlight w:val="none"/>
              </w:rPr>
              <w:t>分）：组织计划基本符合实际，拟投入物资基本能够满足施工需要；</w:t>
            </w:r>
          </w:p>
          <w:p>
            <w:pPr>
              <w:ind w:firstLine="220" w:firstLineChars="100"/>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三档（</w:t>
            </w:r>
            <w:r>
              <w:rPr>
                <w:rFonts w:hint="eastAsia" w:ascii="仿宋" w:hAnsi="仿宋" w:eastAsia="仿宋" w:cs="仿宋"/>
                <w:b w:val="0"/>
                <w:color w:val="auto"/>
                <w:szCs w:val="21"/>
                <w:highlight w:val="none"/>
                <w:lang w:val="en-US" w:eastAsia="zh-CN"/>
              </w:rPr>
              <w:t>3</w:t>
            </w:r>
            <w:r>
              <w:rPr>
                <w:rFonts w:hint="eastAsia" w:ascii="仿宋" w:hAnsi="仿宋" w:eastAsia="仿宋" w:cs="仿宋"/>
                <w:b w:val="0"/>
                <w:color w:val="auto"/>
                <w:szCs w:val="21"/>
                <w:highlight w:val="none"/>
              </w:rPr>
              <w:t>分）：组织计划符合实际，拟投入物资能够满足施工需要。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8" w:type="dxa"/>
            <w:vMerge w:val="continue"/>
            <w:noWrap w:val="0"/>
            <w:vAlign w:val="center"/>
          </w:tcPr>
          <w:p>
            <w:pPr>
              <w:adjustRightInd w:val="0"/>
              <w:snapToGrid w:val="0"/>
              <w:jc w:val="center"/>
              <w:rPr>
                <w:rFonts w:hint="eastAsia" w:ascii="仿宋" w:hAnsi="仿宋" w:eastAsia="仿宋" w:cs="仿宋"/>
                <w:b w:val="0"/>
                <w:color w:val="auto"/>
                <w:szCs w:val="21"/>
                <w:highlight w:val="none"/>
              </w:rPr>
            </w:pPr>
          </w:p>
        </w:tc>
        <w:tc>
          <w:tcPr>
            <w:tcW w:w="1620" w:type="dxa"/>
            <w:noWrap w:val="0"/>
            <w:vAlign w:val="center"/>
          </w:tcPr>
          <w:p>
            <w:pPr>
              <w:adjustRightInd w:val="0"/>
              <w:snapToGrid w:val="0"/>
              <w:jc w:val="center"/>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拟投入的主要施工机械、设备计划</w:t>
            </w:r>
          </w:p>
          <w:p>
            <w:pPr>
              <w:adjustRightInd w:val="0"/>
              <w:snapToGrid w:val="0"/>
              <w:jc w:val="center"/>
              <w:rPr>
                <w:rFonts w:hint="eastAsia" w:ascii="仿宋" w:hAnsi="仿宋" w:eastAsia="仿宋" w:cs="仿宋"/>
                <w:b w:val="0"/>
                <w:color w:val="auto"/>
                <w:szCs w:val="21"/>
                <w:highlight w:val="none"/>
              </w:rPr>
            </w:pPr>
            <w:r>
              <w:rPr>
                <w:rFonts w:hint="eastAsia" w:ascii="仿宋" w:hAnsi="仿宋" w:eastAsia="仿宋" w:cs="仿宋"/>
                <w:b w:val="0"/>
                <w:color w:val="auto"/>
                <w:highlight w:val="none"/>
              </w:rPr>
              <w:t>（</w:t>
            </w:r>
            <w:r>
              <w:rPr>
                <w:rFonts w:hint="eastAsia" w:ascii="仿宋" w:hAnsi="仿宋" w:eastAsia="仿宋" w:cs="仿宋"/>
                <w:b w:val="0"/>
                <w:color w:val="auto"/>
                <w:highlight w:val="none"/>
                <w:lang w:val="en-US" w:eastAsia="zh-CN"/>
              </w:rPr>
              <w:t>3</w:t>
            </w:r>
            <w:r>
              <w:rPr>
                <w:rFonts w:hint="eastAsia" w:ascii="仿宋" w:hAnsi="仿宋" w:eastAsia="仿宋" w:cs="仿宋"/>
                <w:b w:val="0"/>
                <w:color w:val="auto"/>
                <w:highlight w:val="none"/>
              </w:rPr>
              <w:t>分）</w:t>
            </w:r>
          </w:p>
        </w:tc>
        <w:tc>
          <w:tcPr>
            <w:tcW w:w="7075" w:type="dxa"/>
            <w:noWrap w:val="0"/>
            <w:vAlign w:val="center"/>
          </w:tcPr>
          <w:p>
            <w:pPr>
              <w:ind w:firstLine="220" w:firstLineChars="100"/>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投入的施工机械、设备、机具有详细的组织计划且计划周密，设备数量、选型配置、进场时间安排合理，满足施工需要。</w:t>
            </w:r>
          </w:p>
          <w:p>
            <w:pPr>
              <w:ind w:firstLine="220" w:firstLineChars="100"/>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一档（</w:t>
            </w:r>
            <w:r>
              <w:rPr>
                <w:rFonts w:hint="eastAsia" w:ascii="仿宋" w:hAnsi="仿宋" w:eastAsia="仿宋" w:cs="仿宋"/>
                <w:b w:val="0"/>
                <w:color w:val="auto"/>
                <w:szCs w:val="21"/>
                <w:highlight w:val="none"/>
                <w:lang w:val="en-US" w:eastAsia="zh-CN"/>
              </w:rPr>
              <w:t>1</w:t>
            </w:r>
            <w:r>
              <w:rPr>
                <w:rFonts w:hint="eastAsia" w:ascii="仿宋" w:hAnsi="仿宋" w:eastAsia="仿宋" w:cs="仿宋"/>
                <w:b w:val="0"/>
                <w:color w:val="auto"/>
                <w:szCs w:val="21"/>
                <w:highlight w:val="none"/>
              </w:rPr>
              <w:t>分）：组织计划不符合实际，拟投入施工机械、设备等难以满足施工需要；</w:t>
            </w:r>
          </w:p>
          <w:p>
            <w:pPr>
              <w:ind w:firstLine="220" w:firstLineChars="100"/>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二档（</w:t>
            </w:r>
            <w:r>
              <w:rPr>
                <w:rFonts w:hint="eastAsia" w:ascii="仿宋" w:hAnsi="仿宋" w:eastAsia="仿宋" w:cs="仿宋"/>
                <w:b w:val="0"/>
                <w:color w:val="auto"/>
                <w:szCs w:val="21"/>
                <w:highlight w:val="none"/>
                <w:lang w:val="en-US" w:eastAsia="zh-CN"/>
              </w:rPr>
              <w:t>2</w:t>
            </w:r>
            <w:r>
              <w:rPr>
                <w:rFonts w:hint="eastAsia" w:ascii="仿宋" w:hAnsi="仿宋" w:eastAsia="仿宋" w:cs="仿宋"/>
                <w:b w:val="0"/>
                <w:color w:val="auto"/>
                <w:szCs w:val="21"/>
                <w:highlight w:val="none"/>
              </w:rPr>
              <w:t>分）：组织计划基本符合实际，拟投入施工机械、设备基本能够满足施工需要；</w:t>
            </w:r>
          </w:p>
          <w:p>
            <w:pPr>
              <w:ind w:firstLine="220" w:firstLineChars="100"/>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三档（</w:t>
            </w:r>
            <w:r>
              <w:rPr>
                <w:rFonts w:hint="eastAsia" w:ascii="仿宋" w:hAnsi="仿宋" w:eastAsia="仿宋" w:cs="仿宋"/>
                <w:b w:val="0"/>
                <w:color w:val="auto"/>
                <w:szCs w:val="21"/>
                <w:highlight w:val="none"/>
                <w:lang w:val="en-US" w:eastAsia="zh-CN"/>
              </w:rPr>
              <w:t>3</w:t>
            </w:r>
            <w:r>
              <w:rPr>
                <w:rFonts w:hint="eastAsia" w:ascii="仿宋" w:hAnsi="仿宋" w:eastAsia="仿宋" w:cs="仿宋"/>
                <w:b w:val="0"/>
                <w:color w:val="auto"/>
                <w:szCs w:val="21"/>
                <w:highlight w:val="none"/>
              </w:rPr>
              <w:t>分）：组织计划符合实际并有针对性，拟投入施工机械、设备能够满足施工需要。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8" w:type="dxa"/>
            <w:vMerge w:val="continue"/>
            <w:noWrap w:val="0"/>
            <w:vAlign w:val="center"/>
          </w:tcPr>
          <w:p>
            <w:pPr>
              <w:adjustRightInd w:val="0"/>
              <w:snapToGrid w:val="0"/>
              <w:jc w:val="center"/>
              <w:rPr>
                <w:rFonts w:hint="eastAsia" w:ascii="仿宋" w:hAnsi="仿宋" w:eastAsia="仿宋" w:cs="仿宋"/>
                <w:b w:val="0"/>
                <w:color w:val="auto"/>
                <w:szCs w:val="21"/>
                <w:highlight w:val="none"/>
              </w:rPr>
            </w:pPr>
          </w:p>
        </w:tc>
        <w:tc>
          <w:tcPr>
            <w:tcW w:w="1620" w:type="dxa"/>
            <w:noWrap w:val="0"/>
            <w:vAlign w:val="center"/>
          </w:tcPr>
          <w:p>
            <w:pPr>
              <w:adjustRightInd w:val="0"/>
              <w:snapToGrid w:val="0"/>
              <w:jc w:val="center"/>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劳动力安排计划</w:t>
            </w:r>
          </w:p>
          <w:p>
            <w:pPr>
              <w:adjustRightInd w:val="0"/>
              <w:snapToGrid w:val="0"/>
              <w:jc w:val="center"/>
              <w:rPr>
                <w:rFonts w:hint="eastAsia" w:ascii="仿宋" w:hAnsi="仿宋" w:eastAsia="仿宋" w:cs="仿宋"/>
                <w:b w:val="0"/>
                <w:color w:val="auto"/>
                <w:szCs w:val="21"/>
                <w:highlight w:val="none"/>
              </w:rPr>
            </w:pPr>
            <w:r>
              <w:rPr>
                <w:rFonts w:hint="eastAsia" w:ascii="仿宋" w:hAnsi="仿宋" w:eastAsia="仿宋" w:cs="仿宋"/>
                <w:b w:val="0"/>
                <w:color w:val="auto"/>
                <w:highlight w:val="none"/>
              </w:rPr>
              <w:t>（</w:t>
            </w:r>
            <w:r>
              <w:rPr>
                <w:rFonts w:hint="eastAsia" w:ascii="仿宋" w:hAnsi="仿宋" w:eastAsia="仿宋" w:cs="仿宋"/>
                <w:b w:val="0"/>
                <w:color w:val="auto"/>
                <w:highlight w:val="none"/>
                <w:lang w:val="en-US" w:eastAsia="zh-CN"/>
              </w:rPr>
              <w:t>3</w:t>
            </w:r>
            <w:r>
              <w:rPr>
                <w:rFonts w:hint="eastAsia" w:ascii="仿宋" w:hAnsi="仿宋" w:eastAsia="仿宋" w:cs="仿宋"/>
                <w:b w:val="0"/>
                <w:color w:val="auto"/>
                <w:highlight w:val="none"/>
              </w:rPr>
              <w:t>分）</w:t>
            </w:r>
          </w:p>
        </w:tc>
        <w:tc>
          <w:tcPr>
            <w:tcW w:w="7075" w:type="dxa"/>
            <w:noWrap w:val="0"/>
            <w:vAlign w:val="center"/>
          </w:tcPr>
          <w:p>
            <w:pPr>
              <w:ind w:firstLine="220" w:firstLineChars="100"/>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各主要施工工序应有详细周密的劳动力安排计划，有各工种劳动力安排计划，劳动力投入合理，满足施工需要。</w:t>
            </w:r>
          </w:p>
          <w:p>
            <w:pPr>
              <w:ind w:firstLine="220" w:firstLineChars="100"/>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一档（</w:t>
            </w:r>
            <w:r>
              <w:rPr>
                <w:rFonts w:hint="eastAsia" w:ascii="仿宋" w:hAnsi="仿宋" w:eastAsia="仿宋" w:cs="仿宋"/>
                <w:b w:val="0"/>
                <w:color w:val="auto"/>
                <w:szCs w:val="21"/>
                <w:highlight w:val="none"/>
                <w:lang w:val="en-US" w:eastAsia="zh-CN"/>
              </w:rPr>
              <w:t>1</w:t>
            </w:r>
            <w:r>
              <w:rPr>
                <w:rFonts w:hint="eastAsia" w:ascii="仿宋" w:hAnsi="仿宋" w:eastAsia="仿宋" w:cs="仿宋"/>
                <w:b w:val="0"/>
                <w:color w:val="auto"/>
                <w:szCs w:val="21"/>
                <w:highlight w:val="none"/>
              </w:rPr>
              <w:t>分）：计划不符合实际，劳动力投入难以满足施工需要；</w:t>
            </w:r>
          </w:p>
          <w:p>
            <w:pPr>
              <w:ind w:firstLine="220" w:firstLineChars="100"/>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二档（</w:t>
            </w:r>
            <w:r>
              <w:rPr>
                <w:rFonts w:hint="eastAsia" w:ascii="仿宋" w:hAnsi="仿宋" w:eastAsia="仿宋" w:cs="仿宋"/>
                <w:b w:val="0"/>
                <w:color w:val="auto"/>
                <w:szCs w:val="21"/>
                <w:highlight w:val="none"/>
                <w:lang w:val="en-US" w:eastAsia="zh-CN"/>
              </w:rPr>
              <w:t>2</w:t>
            </w:r>
            <w:r>
              <w:rPr>
                <w:rFonts w:hint="eastAsia" w:ascii="仿宋" w:hAnsi="仿宋" w:eastAsia="仿宋" w:cs="仿宋"/>
                <w:b w:val="0"/>
                <w:color w:val="auto"/>
                <w:szCs w:val="21"/>
                <w:highlight w:val="none"/>
              </w:rPr>
              <w:t>分）：组织计划基本符合实际，劳动力投入基本能够满足施工需要；</w:t>
            </w:r>
          </w:p>
          <w:p>
            <w:pPr>
              <w:ind w:firstLine="220" w:firstLineChars="100"/>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三档（</w:t>
            </w:r>
            <w:r>
              <w:rPr>
                <w:rFonts w:hint="eastAsia" w:ascii="仿宋" w:hAnsi="仿宋" w:eastAsia="仿宋" w:cs="仿宋"/>
                <w:b w:val="0"/>
                <w:color w:val="auto"/>
                <w:szCs w:val="21"/>
                <w:highlight w:val="none"/>
                <w:lang w:val="en-US" w:eastAsia="zh-CN"/>
              </w:rPr>
              <w:t>3</w:t>
            </w:r>
            <w:r>
              <w:rPr>
                <w:rFonts w:hint="eastAsia" w:ascii="仿宋" w:hAnsi="仿宋" w:eastAsia="仿宋" w:cs="仿宋"/>
                <w:b w:val="0"/>
                <w:color w:val="auto"/>
                <w:szCs w:val="21"/>
                <w:highlight w:val="none"/>
              </w:rPr>
              <w:t>分）：组织计划符合实际，劳动力投入能够满足施工需要。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8" w:type="dxa"/>
            <w:vMerge w:val="continue"/>
            <w:noWrap w:val="0"/>
            <w:vAlign w:val="center"/>
          </w:tcPr>
          <w:p>
            <w:pPr>
              <w:adjustRightInd w:val="0"/>
              <w:snapToGrid w:val="0"/>
              <w:jc w:val="center"/>
              <w:rPr>
                <w:rFonts w:hint="eastAsia" w:ascii="仿宋" w:hAnsi="仿宋" w:eastAsia="仿宋" w:cs="仿宋"/>
                <w:b w:val="0"/>
                <w:color w:val="auto"/>
                <w:szCs w:val="21"/>
                <w:highlight w:val="none"/>
              </w:rPr>
            </w:pPr>
          </w:p>
        </w:tc>
        <w:tc>
          <w:tcPr>
            <w:tcW w:w="1620" w:type="dxa"/>
            <w:noWrap w:val="0"/>
            <w:vAlign w:val="center"/>
          </w:tcPr>
          <w:p>
            <w:pPr>
              <w:adjustRightInd w:val="0"/>
              <w:snapToGrid w:val="0"/>
              <w:jc w:val="center"/>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确保工程质量的技术组织措施</w:t>
            </w:r>
          </w:p>
          <w:p>
            <w:pPr>
              <w:adjustRightInd w:val="0"/>
              <w:snapToGrid w:val="0"/>
              <w:jc w:val="center"/>
              <w:rPr>
                <w:rFonts w:hint="eastAsia" w:ascii="仿宋" w:hAnsi="仿宋" w:eastAsia="仿宋" w:cs="仿宋"/>
                <w:b w:val="0"/>
                <w:color w:val="auto"/>
                <w:szCs w:val="21"/>
                <w:highlight w:val="none"/>
              </w:rPr>
            </w:pPr>
            <w:r>
              <w:rPr>
                <w:rFonts w:hint="eastAsia" w:ascii="仿宋" w:hAnsi="仿宋" w:eastAsia="仿宋" w:cs="仿宋"/>
                <w:b w:val="0"/>
                <w:color w:val="auto"/>
                <w:highlight w:val="none"/>
              </w:rPr>
              <w:t>（</w:t>
            </w:r>
            <w:r>
              <w:rPr>
                <w:rFonts w:hint="eastAsia" w:ascii="仿宋" w:hAnsi="仿宋" w:eastAsia="仿宋" w:cs="仿宋"/>
                <w:b w:val="0"/>
                <w:color w:val="auto"/>
                <w:highlight w:val="none"/>
                <w:lang w:val="en-US" w:eastAsia="zh-CN"/>
              </w:rPr>
              <w:t>4</w:t>
            </w:r>
            <w:r>
              <w:rPr>
                <w:rFonts w:hint="eastAsia" w:ascii="仿宋" w:hAnsi="仿宋" w:eastAsia="仿宋" w:cs="仿宋"/>
                <w:b w:val="0"/>
                <w:color w:val="auto"/>
                <w:highlight w:val="none"/>
              </w:rPr>
              <w:t>分）</w:t>
            </w:r>
          </w:p>
        </w:tc>
        <w:tc>
          <w:tcPr>
            <w:tcW w:w="7075" w:type="dxa"/>
            <w:noWrap w:val="0"/>
            <w:vAlign w:val="center"/>
          </w:tcPr>
          <w:p>
            <w:pPr>
              <w:ind w:firstLine="220" w:firstLineChars="100"/>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应有专门的质量技术管理班子和制度，且人员配备合理，制度健全。主要工序应有质量技术保证措施和手段，自控体系完整，能有效保证技术质量，达到承诺的质量标准。</w:t>
            </w:r>
          </w:p>
          <w:p>
            <w:pPr>
              <w:ind w:firstLine="220" w:firstLineChars="100"/>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一档（</w:t>
            </w:r>
            <w:r>
              <w:rPr>
                <w:rFonts w:hint="eastAsia" w:ascii="仿宋" w:hAnsi="仿宋" w:eastAsia="仿宋" w:cs="仿宋"/>
                <w:b w:val="0"/>
                <w:color w:val="auto"/>
                <w:szCs w:val="21"/>
                <w:highlight w:val="none"/>
                <w:lang w:val="en-US" w:eastAsia="zh-CN"/>
              </w:rPr>
              <w:t>1</w:t>
            </w:r>
            <w:r>
              <w:rPr>
                <w:rFonts w:hint="eastAsia" w:ascii="仿宋" w:hAnsi="仿宋" w:eastAsia="仿宋" w:cs="仿宋"/>
                <w:b w:val="0"/>
                <w:color w:val="auto"/>
                <w:szCs w:val="21"/>
                <w:highlight w:val="none"/>
              </w:rPr>
              <w:t>分）：没有专门的质量技术管理班子和制度，且人员配备不合理，制度不健全。主要工序没有质量技术保证措施和手段，自控体系不完整；</w:t>
            </w:r>
          </w:p>
          <w:p>
            <w:pPr>
              <w:ind w:firstLine="220" w:firstLineChars="100"/>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二档（</w:t>
            </w:r>
            <w:r>
              <w:rPr>
                <w:rFonts w:hint="eastAsia" w:ascii="仿宋" w:hAnsi="仿宋" w:eastAsia="仿宋" w:cs="仿宋"/>
                <w:b w:val="0"/>
                <w:color w:val="auto"/>
                <w:szCs w:val="21"/>
                <w:highlight w:val="none"/>
                <w:lang w:val="en-US" w:eastAsia="zh-CN"/>
              </w:rPr>
              <w:t>2</w:t>
            </w:r>
            <w:r>
              <w:rPr>
                <w:rFonts w:hint="eastAsia" w:ascii="仿宋" w:hAnsi="仿宋" w:eastAsia="仿宋" w:cs="仿宋"/>
                <w:b w:val="0"/>
                <w:color w:val="auto"/>
                <w:szCs w:val="21"/>
                <w:highlight w:val="none"/>
              </w:rPr>
              <w:t>分）：有专门的质量技术管理班子和制度，但人员配备基本合理，制度健全。主要工序有质量技术保证措施和手段但不全面，自控体系不够完整；</w:t>
            </w:r>
          </w:p>
          <w:p>
            <w:pPr>
              <w:ind w:firstLine="220" w:firstLineChars="100"/>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三档（</w:t>
            </w:r>
            <w:r>
              <w:rPr>
                <w:rFonts w:hint="eastAsia" w:ascii="仿宋" w:hAnsi="仿宋" w:eastAsia="仿宋" w:cs="仿宋"/>
                <w:b w:val="0"/>
                <w:color w:val="auto"/>
                <w:szCs w:val="21"/>
                <w:highlight w:val="none"/>
                <w:lang w:val="en-US" w:eastAsia="zh-CN"/>
              </w:rPr>
              <w:t>4</w:t>
            </w:r>
            <w:r>
              <w:rPr>
                <w:rFonts w:hint="eastAsia" w:ascii="仿宋" w:hAnsi="仿宋" w:eastAsia="仿宋" w:cs="仿宋"/>
                <w:b w:val="0"/>
                <w:color w:val="auto"/>
                <w:szCs w:val="21"/>
                <w:highlight w:val="none"/>
              </w:rPr>
              <w:t>分）：有专门的质量技术管理班子和制度，且人员配备合理，制度健全。主要工序有质量技术保证措施和手段，自控体系完整。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8" w:type="dxa"/>
            <w:vMerge w:val="continue"/>
            <w:noWrap w:val="0"/>
            <w:vAlign w:val="center"/>
          </w:tcPr>
          <w:p>
            <w:pPr>
              <w:adjustRightInd w:val="0"/>
              <w:snapToGrid w:val="0"/>
              <w:jc w:val="center"/>
              <w:rPr>
                <w:rFonts w:hint="eastAsia" w:ascii="仿宋" w:hAnsi="仿宋" w:eastAsia="仿宋" w:cs="仿宋"/>
                <w:b w:val="0"/>
                <w:color w:val="auto"/>
                <w:szCs w:val="21"/>
                <w:highlight w:val="none"/>
              </w:rPr>
            </w:pPr>
          </w:p>
        </w:tc>
        <w:tc>
          <w:tcPr>
            <w:tcW w:w="1620" w:type="dxa"/>
            <w:noWrap w:val="0"/>
            <w:vAlign w:val="center"/>
          </w:tcPr>
          <w:p>
            <w:pPr>
              <w:jc w:val="center"/>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确保安全生产的技术组织措施</w:t>
            </w:r>
          </w:p>
          <w:p>
            <w:pPr>
              <w:ind w:firstLine="220" w:firstLineChars="100"/>
              <w:jc w:val="center"/>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w:t>
            </w:r>
            <w:r>
              <w:rPr>
                <w:rFonts w:hint="eastAsia" w:ascii="仿宋" w:hAnsi="仿宋" w:eastAsia="仿宋" w:cs="仿宋"/>
                <w:b w:val="0"/>
                <w:color w:val="auto"/>
                <w:szCs w:val="21"/>
                <w:highlight w:val="none"/>
                <w:lang w:val="en-US" w:eastAsia="zh-CN"/>
              </w:rPr>
              <w:t>4</w:t>
            </w:r>
            <w:r>
              <w:rPr>
                <w:rFonts w:hint="eastAsia" w:ascii="仿宋" w:hAnsi="仿宋" w:eastAsia="仿宋" w:cs="仿宋"/>
                <w:b w:val="0"/>
                <w:color w:val="auto"/>
                <w:szCs w:val="21"/>
                <w:highlight w:val="none"/>
              </w:rPr>
              <w:t>分）</w:t>
            </w:r>
          </w:p>
        </w:tc>
        <w:tc>
          <w:tcPr>
            <w:tcW w:w="7075" w:type="dxa"/>
            <w:noWrap w:val="0"/>
            <w:vAlign w:val="center"/>
          </w:tcPr>
          <w:p>
            <w:pPr>
              <w:ind w:firstLine="220" w:firstLineChars="100"/>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应有专门的安全管理人员和制度，且人员配备合理，制度健全，各道工序安全技术措施针对性强，符合实际且满足有关安全技术标准要求。现场防火、应急救援、社会治安安全措施得力。</w:t>
            </w:r>
          </w:p>
          <w:p>
            <w:pPr>
              <w:ind w:firstLine="220" w:firstLineChars="100"/>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一档（1分）：没有专门的安全管理人员和制度，且人员配备不合理，制度不健全。措施针对性差，不符合实际且难以满足有关安全技术标准要求。没有现场防火、应急救援、社会治安安全措施；</w:t>
            </w:r>
          </w:p>
          <w:p>
            <w:pPr>
              <w:ind w:firstLine="220" w:firstLineChars="100"/>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二档（2分）：有专门的安全管理人员和制度，但人员配备不合理，制度不健全。措施针对性一般，基本符合实际且基本满足有关安全技术标准要求。现场防火、应急救援、社会治安安全措施一般；</w:t>
            </w:r>
          </w:p>
          <w:p>
            <w:pPr>
              <w:ind w:firstLine="220" w:firstLineChars="100"/>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三档（</w:t>
            </w:r>
            <w:r>
              <w:rPr>
                <w:rFonts w:hint="eastAsia" w:ascii="仿宋" w:hAnsi="仿宋" w:eastAsia="仿宋" w:cs="仿宋"/>
                <w:b w:val="0"/>
                <w:color w:val="auto"/>
                <w:szCs w:val="21"/>
                <w:highlight w:val="none"/>
                <w:lang w:val="en-US" w:eastAsia="zh-CN"/>
              </w:rPr>
              <w:t>4</w:t>
            </w:r>
            <w:r>
              <w:rPr>
                <w:rFonts w:hint="eastAsia" w:ascii="仿宋" w:hAnsi="仿宋" w:eastAsia="仿宋" w:cs="仿宋"/>
                <w:b w:val="0"/>
                <w:color w:val="auto"/>
                <w:szCs w:val="21"/>
                <w:highlight w:val="none"/>
              </w:rPr>
              <w:t>分）：有专门的安全管理人员和制度，且人员配备合理，制度健全。措施针对性强，符合实际且满足有关安全技术标准要求。现场防火、应急救援、社会治安安全措施齐全。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8" w:type="dxa"/>
            <w:vMerge w:val="continue"/>
            <w:noWrap w:val="0"/>
            <w:vAlign w:val="center"/>
          </w:tcPr>
          <w:p>
            <w:pPr>
              <w:adjustRightInd w:val="0"/>
              <w:snapToGrid w:val="0"/>
              <w:jc w:val="center"/>
              <w:rPr>
                <w:rFonts w:hint="eastAsia" w:ascii="仿宋" w:hAnsi="仿宋" w:eastAsia="仿宋" w:cs="仿宋"/>
                <w:b w:val="0"/>
                <w:color w:val="auto"/>
                <w:szCs w:val="21"/>
                <w:highlight w:val="none"/>
              </w:rPr>
            </w:pPr>
          </w:p>
        </w:tc>
        <w:tc>
          <w:tcPr>
            <w:tcW w:w="1620" w:type="dxa"/>
            <w:noWrap w:val="0"/>
            <w:vAlign w:val="center"/>
          </w:tcPr>
          <w:p>
            <w:pPr>
              <w:adjustRightInd w:val="0"/>
              <w:snapToGrid w:val="0"/>
              <w:jc w:val="center"/>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确保工期的技术组织措施</w:t>
            </w:r>
          </w:p>
          <w:p>
            <w:pPr>
              <w:adjustRightInd w:val="0"/>
              <w:snapToGrid w:val="0"/>
              <w:jc w:val="center"/>
              <w:rPr>
                <w:rFonts w:hint="eastAsia" w:ascii="仿宋" w:hAnsi="仿宋" w:eastAsia="仿宋" w:cs="仿宋"/>
                <w:b w:val="0"/>
                <w:color w:val="auto"/>
                <w:szCs w:val="21"/>
                <w:highlight w:val="none"/>
              </w:rPr>
            </w:pPr>
            <w:r>
              <w:rPr>
                <w:rFonts w:hint="eastAsia" w:ascii="仿宋" w:hAnsi="仿宋" w:eastAsia="仿宋" w:cs="仿宋"/>
                <w:b w:val="0"/>
                <w:color w:val="auto"/>
                <w:highlight w:val="none"/>
              </w:rPr>
              <w:t>（</w:t>
            </w:r>
            <w:r>
              <w:rPr>
                <w:rFonts w:hint="eastAsia" w:ascii="仿宋" w:hAnsi="仿宋" w:eastAsia="仿宋" w:cs="仿宋"/>
                <w:b w:val="0"/>
                <w:color w:val="auto"/>
                <w:highlight w:val="none"/>
                <w:lang w:val="en-US" w:eastAsia="zh-CN"/>
              </w:rPr>
              <w:t>4</w:t>
            </w:r>
            <w:r>
              <w:rPr>
                <w:rFonts w:hint="eastAsia" w:ascii="仿宋" w:hAnsi="仿宋" w:eastAsia="仿宋" w:cs="仿宋"/>
                <w:b w:val="0"/>
                <w:color w:val="auto"/>
                <w:highlight w:val="none"/>
              </w:rPr>
              <w:t>分）</w:t>
            </w:r>
          </w:p>
        </w:tc>
        <w:tc>
          <w:tcPr>
            <w:tcW w:w="7075" w:type="dxa"/>
            <w:noWrap w:val="0"/>
            <w:vAlign w:val="center"/>
          </w:tcPr>
          <w:p>
            <w:pPr>
              <w:adjustRightInd w:val="0"/>
              <w:snapToGrid w:val="0"/>
              <w:ind w:firstLine="220" w:firstLineChars="100"/>
              <w:jc w:val="left"/>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p>
            <w:pPr>
              <w:adjustRightInd w:val="0"/>
              <w:snapToGrid w:val="0"/>
              <w:ind w:firstLine="220" w:firstLineChars="100"/>
              <w:jc w:val="left"/>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一档（</w:t>
            </w:r>
            <w:r>
              <w:rPr>
                <w:rFonts w:hint="eastAsia" w:ascii="仿宋" w:hAnsi="仿宋" w:eastAsia="仿宋" w:cs="仿宋"/>
                <w:b w:val="0"/>
                <w:color w:val="auto"/>
                <w:szCs w:val="21"/>
                <w:highlight w:val="none"/>
                <w:lang w:val="en-US" w:eastAsia="zh-CN"/>
              </w:rPr>
              <w:t>1</w:t>
            </w:r>
            <w:r>
              <w:rPr>
                <w:rFonts w:hint="eastAsia" w:ascii="仿宋" w:hAnsi="仿宋" w:eastAsia="仿宋" w:cs="仿宋"/>
                <w:b w:val="0"/>
                <w:color w:val="auto"/>
                <w:szCs w:val="21"/>
                <w:highlight w:val="none"/>
              </w:rPr>
              <w:t>分）：没有具体措施。没有控制工期的施工进度计划。没有有施工总进度表或施工网络图，各项计划图表编制不完善，安排科学不合理，难以符合本项目施工实际要求；</w:t>
            </w:r>
          </w:p>
          <w:p>
            <w:pPr>
              <w:ind w:firstLine="220" w:firstLineChars="100"/>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二档（</w:t>
            </w:r>
            <w:r>
              <w:rPr>
                <w:rFonts w:hint="eastAsia" w:ascii="仿宋" w:hAnsi="仿宋" w:eastAsia="仿宋" w:cs="仿宋"/>
                <w:b w:val="0"/>
                <w:color w:val="auto"/>
                <w:szCs w:val="21"/>
                <w:highlight w:val="none"/>
                <w:lang w:val="en-US" w:eastAsia="zh-CN"/>
              </w:rPr>
              <w:t>2</w:t>
            </w:r>
            <w:r>
              <w:rPr>
                <w:rFonts w:hint="eastAsia" w:ascii="仿宋" w:hAnsi="仿宋" w:eastAsia="仿宋" w:cs="仿宋"/>
                <w:b w:val="0"/>
                <w:color w:val="auto"/>
                <w:szCs w:val="21"/>
                <w:highlight w:val="none"/>
              </w:rPr>
              <w:t>分）：有具体措施但措施一般。有控制工期的施工进度计划但计划一般。有施工总进度表或施工网络图，有有施工总进度表或施工网络图，各项计划图表编制基本完善，安排科学基本合理，基本符合本项目施工实际要求；</w:t>
            </w:r>
          </w:p>
          <w:p>
            <w:pPr>
              <w:adjustRightInd w:val="0"/>
              <w:snapToGrid w:val="0"/>
              <w:ind w:firstLine="220" w:firstLineChars="100"/>
              <w:jc w:val="left"/>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三档（</w:t>
            </w:r>
            <w:r>
              <w:rPr>
                <w:rFonts w:hint="eastAsia" w:ascii="仿宋" w:hAnsi="仿宋" w:eastAsia="仿宋" w:cs="仿宋"/>
                <w:b w:val="0"/>
                <w:color w:val="auto"/>
                <w:szCs w:val="21"/>
                <w:highlight w:val="none"/>
                <w:lang w:val="en-US" w:eastAsia="zh-CN"/>
              </w:rPr>
              <w:t>4</w:t>
            </w:r>
            <w:r>
              <w:rPr>
                <w:rFonts w:hint="eastAsia" w:ascii="仿宋" w:hAnsi="仿宋" w:eastAsia="仿宋" w:cs="仿宋"/>
                <w:b w:val="0"/>
                <w:color w:val="auto"/>
                <w:szCs w:val="21"/>
                <w:highlight w:val="none"/>
              </w:rPr>
              <w:t>分）：有具体措施且措施得当</w:t>
            </w:r>
            <w:r>
              <w:rPr>
                <w:rFonts w:hint="eastAsia" w:ascii="仿宋" w:hAnsi="仿宋" w:eastAsia="仿宋" w:cs="仿宋"/>
                <w:b w:val="0"/>
                <w:color w:val="auto"/>
                <w:szCs w:val="21"/>
                <w:highlight w:val="none"/>
                <w:lang w:eastAsia="zh-CN"/>
              </w:rPr>
              <w:t>（</w:t>
            </w:r>
            <w:r>
              <w:rPr>
                <w:rFonts w:hint="eastAsia" w:ascii="仿宋" w:hAnsi="仿宋" w:eastAsia="仿宋" w:cs="仿宋"/>
                <w:b w:val="0"/>
                <w:color w:val="auto"/>
                <w:szCs w:val="21"/>
                <w:highlight w:val="none"/>
                <w:lang w:val="en-US" w:eastAsia="zh-CN"/>
              </w:rPr>
              <w:t>包括压缩工期时的具体施工方案措施）</w:t>
            </w:r>
            <w:r>
              <w:rPr>
                <w:rFonts w:hint="eastAsia" w:ascii="仿宋" w:hAnsi="仿宋" w:eastAsia="仿宋" w:cs="仿宋"/>
                <w:b w:val="0"/>
                <w:color w:val="auto"/>
                <w:szCs w:val="21"/>
                <w:highlight w:val="none"/>
              </w:rPr>
              <w:t>。有控制工期的施工进度计划且计划得当。有施工总进度表或施工网络图，有有施工总进度表或施工网络图，各项计划图表编制完善，安排科学合理，符合本项目施工实际要求。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8" w:type="dxa"/>
            <w:vMerge w:val="continue"/>
            <w:noWrap w:val="0"/>
            <w:vAlign w:val="center"/>
          </w:tcPr>
          <w:p>
            <w:pPr>
              <w:adjustRightInd w:val="0"/>
              <w:snapToGrid w:val="0"/>
              <w:jc w:val="center"/>
              <w:rPr>
                <w:rFonts w:hint="eastAsia" w:ascii="仿宋" w:hAnsi="仿宋" w:eastAsia="仿宋" w:cs="仿宋"/>
                <w:b w:val="0"/>
                <w:color w:val="auto"/>
                <w:szCs w:val="21"/>
                <w:highlight w:val="none"/>
              </w:rPr>
            </w:pPr>
          </w:p>
        </w:tc>
        <w:tc>
          <w:tcPr>
            <w:tcW w:w="1620" w:type="dxa"/>
            <w:noWrap w:val="0"/>
            <w:vAlign w:val="center"/>
          </w:tcPr>
          <w:p>
            <w:pPr>
              <w:adjustRightInd w:val="0"/>
              <w:snapToGrid w:val="0"/>
              <w:jc w:val="center"/>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确保文明施工的技术组织措施</w:t>
            </w:r>
          </w:p>
          <w:p>
            <w:pPr>
              <w:adjustRightInd w:val="0"/>
              <w:snapToGrid w:val="0"/>
              <w:jc w:val="center"/>
              <w:rPr>
                <w:rFonts w:hint="eastAsia" w:ascii="仿宋" w:hAnsi="仿宋" w:eastAsia="仿宋" w:cs="仿宋"/>
                <w:b w:val="0"/>
                <w:color w:val="auto"/>
                <w:szCs w:val="21"/>
                <w:highlight w:val="none"/>
              </w:rPr>
            </w:pPr>
            <w:r>
              <w:rPr>
                <w:rFonts w:hint="eastAsia" w:ascii="仿宋" w:hAnsi="仿宋" w:eastAsia="仿宋" w:cs="仿宋"/>
                <w:b w:val="0"/>
                <w:color w:val="auto"/>
                <w:highlight w:val="none"/>
              </w:rPr>
              <w:t>（</w:t>
            </w:r>
            <w:r>
              <w:rPr>
                <w:rFonts w:hint="eastAsia" w:ascii="仿宋" w:hAnsi="仿宋" w:eastAsia="仿宋" w:cs="仿宋"/>
                <w:b w:val="0"/>
                <w:color w:val="auto"/>
                <w:highlight w:val="none"/>
                <w:lang w:val="en-US" w:eastAsia="zh-CN"/>
              </w:rPr>
              <w:t>3</w:t>
            </w:r>
            <w:r>
              <w:rPr>
                <w:rFonts w:hint="eastAsia" w:ascii="仿宋" w:hAnsi="仿宋" w:eastAsia="仿宋" w:cs="仿宋"/>
                <w:b w:val="0"/>
                <w:color w:val="auto"/>
                <w:highlight w:val="none"/>
              </w:rPr>
              <w:t>分）</w:t>
            </w:r>
          </w:p>
        </w:tc>
        <w:tc>
          <w:tcPr>
            <w:tcW w:w="7075" w:type="dxa"/>
            <w:noWrap w:val="0"/>
            <w:vAlign w:val="center"/>
          </w:tcPr>
          <w:p>
            <w:pPr>
              <w:adjustRightInd w:val="0"/>
              <w:snapToGrid w:val="0"/>
              <w:ind w:firstLine="220" w:firstLineChars="100"/>
              <w:jc w:val="left"/>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w:t>
            </w:r>
          </w:p>
          <w:p>
            <w:pPr>
              <w:adjustRightInd w:val="0"/>
              <w:snapToGrid w:val="0"/>
              <w:ind w:firstLine="220" w:firstLineChars="100"/>
              <w:jc w:val="left"/>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一档（</w:t>
            </w:r>
            <w:r>
              <w:rPr>
                <w:rFonts w:hint="eastAsia" w:ascii="仿宋" w:hAnsi="仿宋" w:eastAsia="仿宋" w:cs="仿宋"/>
                <w:b w:val="0"/>
                <w:color w:val="auto"/>
                <w:szCs w:val="21"/>
                <w:highlight w:val="none"/>
                <w:lang w:val="en-US" w:eastAsia="zh-CN"/>
              </w:rPr>
              <w:t>1</w:t>
            </w:r>
            <w:r>
              <w:rPr>
                <w:rFonts w:hint="eastAsia" w:ascii="仿宋" w:hAnsi="仿宋" w:eastAsia="仿宋" w:cs="仿宋"/>
                <w:b w:val="0"/>
                <w:color w:val="auto"/>
                <w:szCs w:val="21"/>
                <w:highlight w:val="none"/>
              </w:rPr>
              <w:t>分）：没有现场文明施工、环境保护具体措施，且措施内容达不到《建筑施工安全生产检查标准》（JGJ59-2011）合格标准难以符合《广西壮族自治区建筑工程文明施工导则》要求。没有具体实现现场文明施工目标的承诺；</w:t>
            </w:r>
          </w:p>
          <w:p>
            <w:pPr>
              <w:ind w:firstLine="220" w:firstLineChars="100"/>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二档（</w:t>
            </w:r>
            <w:r>
              <w:rPr>
                <w:rFonts w:hint="eastAsia" w:ascii="仿宋" w:hAnsi="仿宋" w:eastAsia="仿宋" w:cs="仿宋"/>
                <w:b w:val="0"/>
                <w:color w:val="auto"/>
                <w:szCs w:val="21"/>
                <w:highlight w:val="none"/>
                <w:lang w:val="en-US" w:eastAsia="zh-CN"/>
              </w:rPr>
              <w:t>2</w:t>
            </w:r>
            <w:r>
              <w:rPr>
                <w:rFonts w:hint="eastAsia" w:ascii="仿宋" w:hAnsi="仿宋" w:eastAsia="仿宋" w:cs="仿宋"/>
                <w:b w:val="0"/>
                <w:color w:val="auto"/>
                <w:szCs w:val="21"/>
                <w:highlight w:val="none"/>
              </w:rPr>
              <w:t>分）：有现场文明施工、环境保护措施但没有针对性，措施内容基本达到《建筑施工安全生产检查标准》（JGJ59-2011）合格标准并基本符合《广西壮族自治区建筑工程文明施工导则》要求。有具体实现现场文明施工目标的承诺；</w:t>
            </w:r>
          </w:p>
          <w:p>
            <w:pPr>
              <w:adjustRightInd w:val="0"/>
              <w:snapToGrid w:val="0"/>
              <w:ind w:firstLine="220" w:firstLineChars="100"/>
              <w:jc w:val="left"/>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三档（</w:t>
            </w:r>
            <w:r>
              <w:rPr>
                <w:rFonts w:hint="eastAsia" w:ascii="仿宋" w:hAnsi="仿宋" w:eastAsia="仿宋" w:cs="仿宋"/>
                <w:b w:val="0"/>
                <w:color w:val="auto"/>
                <w:szCs w:val="21"/>
                <w:highlight w:val="none"/>
                <w:lang w:val="en-US" w:eastAsia="zh-CN"/>
              </w:rPr>
              <w:t>3</w:t>
            </w:r>
            <w:r>
              <w:rPr>
                <w:rFonts w:hint="eastAsia" w:ascii="仿宋" w:hAnsi="仿宋" w:eastAsia="仿宋" w:cs="仿宋"/>
                <w:b w:val="0"/>
                <w:color w:val="auto"/>
                <w:szCs w:val="21"/>
                <w:highlight w:val="none"/>
              </w:rPr>
              <w:t>分）：有现场文明施工、环境保护措施并有针对性，且措施内容达到《建筑施工安全生产检查标准》（JGJ59-2011）合格标准并符合《广西壮族自治区建筑工程文明施工导则》要求。各项措施周全、具体、有效。有具体实现现场文明施工目标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8" w:type="dxa"/>
            <w:vMerge w:val="continue"/>
            <w:noWrap w:val="0"/>
            <w:vAlign w:val="center"/>
          </w:tcPr>
          <w:p>
            <w:pPr>
              <w:adjustRightInd w:val="0"/>
              <w:snapToGrid w:val="0"/>
              <w:jc w:val="center"/>
              <w:rPr>
                <w:rFonts w:hint="eastAsia" w:ascii="仿宋" w:hAnsi="仿宋" w:eastAsia="仿宋" w:cs="仿宋"/>
                <w:b w:val="0"/>
                <w:color w:val="auto"/>
                <w:szCs w:val="21"/>
                <w:highlight w:val="none"/>
              </w:rPr>
            </w:pPr>
          </w:p>
        </w:tc>
        <w:tc>
          <w:tcPr>
            <w:tcW w:w="1620" w:type="dxa"/>
            <w:noWrap w:val="0"/>
            <w:vAlign w:val="center"/>
          </w:tcPr>
          <w:p>
            <w:pPr>
              <w:adjustRightInd w:val="0"/>
              <w:snapToGrid w:val="0"/>
              <w:jc w:val="center"/>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工程施工的重点和难点及保证措施</w:t>
            </w:r>
          </w:p>
          <w:p>
            <w:pPr>
              <w:adjustRightInd w:val="0"/>
              <w:snapToGrid w:val="0"/>
              <w:jc w:val="center"/>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w:t>
            </w:r>
            <w:r>
              <w:rPr>
                <w:rFonts w:hint="eastAsia" w:ascii="仿宋" w:hAnsi="仿宋" w:eastAsia="仿宋" w:cs="仿宋"/>
                <w:b w:val="0"/>
                <w:color w:val="auto"/>
                <w:szCs w:val="21"/>
                <w:highlight w:val="none"/>
                <w:lang w:val="en-US" w:eastAsia="zh-CN"/>
              </w:rPr>
              <w:t>4</w:t>
            </w:r>
            <w:r>
              <w:rPr>
                <w:rFonts w:hint="eastAsia" w:ascii="仿宋" w:hAnsi="仿宋" w:eastAsia="仿宋" w:cs="仿宋"/>
                <w:b w:val="0"/>
                <w:color w:val="auto"/>
                <w:szCs w:val="21"/>
                <w:highlight w:val="none"/>
              </w:rPr>
              <w:t>分）</w:t>
            </w:r>
          </w:p>
        </w:tc>
        <w:tc>
          <w:tcPr>
            <w:tcW w:w="7075" w:type="dxa"/>
            <w:noWrap w:val="0"/>
            <w:vAlign w:val="center"/>
          </w:tcPr>
          <w:p>
            <w:pPr>
              <w:adjustRightInd w:val="0"/>
              <w:snapToGrid w:val="0"/>
              <w:ind w:firstLine="220" w:firstLineChars="100"/>
              <w:jc w:val="left"/>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针对本工程的特点，阐述本工程的重点和难点，解决重点和难点问题的方法是否合理。</w:t>
            </w:r>
          </w:p>
          <w:p>
            <w:pPr>
              <w:adjustRightInd w:val="0"/>
              <w:snapToGrid w:val="0"/>
              <w:ind w:firstLine="220" w:firstLineChars="100"/>
              <w:jc w:val="left"/>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一档（</w:t>
            </w:r>
            <w:r>
              <w:rPr>
                <w:rFonts w:hint="eastAsia" w:ascii="仿宋" w:hAnsi="仿宋" w:eastAsia="仿宋" w:cs="仿宋"/>
                <w:b w:val="0"/>
                <w:color w:val="auto"/>
                <w:szCs w:val="21"/>
                <w:highlight w:val="none"/>
                <w:lang w:val="en-US" w:eastAsia="zh-CN"/>
              </w:rPr>
              <w:t>1</w:t>
            </w:r>
            <w:r>
              <w:rPr>
                <w:rFonts w:hint="eastAsia" w:ascii="仿宋" w:hAnsi="仿宋" w:eastAsia="仿宋" w:cs="仿宋"/>
                <w:b w:val="0"/>
                <w:color w:val="auto"/>
                <w:szCs w:val="21"/>
                <w:highlight w:val="none"/>
              </w:rPr>
              <w:t>分）：针对本工程的特点，没有阐述本工程的重点和难点，也没有解决重点和难点问题的方法；</w:t>
            </w:r>
          </w:p>
          <w:p>
            <w:pPr>
              <w:adjustRightInd w:val="0"/>
              <w:snapToGrid w:val="0"/>
              <w:ind w:firstLine="220" w:firstLineChars="100"/>
              <w:jc w:val="left"/>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二档（</w:t>
            </w:r>
            <w:r>
              <w:rPr>
                <w:rFonts w:hint="eastAsia" w:ascii="仿宋" w:hAnsi="仿宋" w:eastAsia="仿宋" w:cs="仿宋"/>
                <w:b w:val="0"/>
                <w:color w:val="auto"/>
                <w:szCs w:val="21"/>
                <w:highlight w:val="none"/>
                <w:lang w:val="en-US" w:eastAsia="zh-CN"/>
              </w:rPr>
              <w:t>2</w:t>
            </w:r>
            <w:r>
              <w:rPr>
                <w:rFonts w:hint="eastAsia" w:ascii="仿宋" w:hAnsi="仿宋" w:eastAsia="仿宋" w:cs="仿宋"/>
                <w:b w:val="0"/>
                <w:color w:val="auto"/>
                <w:szCs w:val="21"/>
                <w:highlight w:val="none"/>
              </w:rPr>
              <w:t>分）：有阐述本工程的重点和难点但针对性差，解决重点和难点问题的方法基本合理；</w:t>
            </w:r>
          </w:p>
          <w:p>
            <w:pPr>
              <w:adjustRightInd w:val="0"/>
              <w:snapToGrid w:val="0"/>
              <w:ind w:firstLine="220" w:firstLineChars="100"/>
              <w:jc w:val="left"/>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三档（</w:t>
            </w:r>
            <w:r>
              <w:rPr>
                <w:rFonts w:hint="eastAsia" w:ascii="仿宋" w:hAnsi="仿宋" w:eastAsia="仿宋" w:cs="仿宋"/>
                <w:b w:val="0"/>
                <w:color w:val="auto"/>
                <w:szCs w:val="21"/>
                <w:highlight w:val="none"/>
                <w:lang w:val="en-US" w:eastAsia="zh-CN"/>
              </w:rPr>
              <w:t>4</w:t>
            </w:r>
            <w:r>
              <w:rPr>
                <w:rFonts w:hint="eastAsia" w:ascii="仿宋" w:hAnsi="仿宋" w:eastAsia="仿宋" w:cs="仿宋"/>
                <w:b w:val="0"/>
                <w:color w:val="auto"/>
                <w:szCs w:val="21"/>
                <w:highlight w:val="none"/>
              </w:rPr>
              <w:t>分）：有阐述本工程的重点和难点且针对性强，解决重点和难点问题的方法</w:t>
            </w:r>
            <w:r>
              <w:rPr>
                <w:rFonts w:hint="eastAsia" w:ascii="仿宋" w:hAnsi="仿宋" w:eastAsia="仿宋" w:cs="仿宋"/>
                <w:b w:val="0"/>
                <w:color w:val="auto"/>
                <w:szCs w:val="21"/>
                <w:highlight w:val="none"/>
                <w:lang w:val="en-US" w:eastAsia="zh-CN"/>
              </w:rPr>
              <w:t>先进</w:t>
            </w:r>
            <w:r>
              <w:rPr>
                <w:rFonts w:hint="eastAsia" w:ascii="仿宋" w:hAnsi="仿宋" w:eastAsia="仿宋" w:cs="仿宋"/>
                <w:b w:val="0"/>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7" w:hRule="atLeast"/>
          <w:jc w:val="center"/>
        </w:trPr>
        <w:tc>
          <w:tcPr>
            <w:tcW w:w="1058" w:type="dxa"/>
            <w:vMerge w:val="continue"/>
            <w:noWrap w:val="0"/>
            <w:vAlign w:val="center"/>
          </w:tcPr>
          <w:p>
            <w:pPr>
              <w:adjustRightInd w:val="0"/>
              <w:snapToGrid w:val="0"/>
              <w:jc w:val="center"/>
              <w:rPr>
                <w:rFonts w:hint="eastAsia" w:ascii="仿宋" w:hAnsi="仿宋" w:eastAsia="仿宋" w:cs="仿宋"/>
                <w:b w:val="0"/>
                <w:color w:val="auto"/>
                <w:szCs w:val="21"/>
                <w:highlight w:val="none"/>
              </w:rPr>
            </w:pPr>
          </w:p>
        </w:tc>
        <w:tc>
          <w:tcPr>
            <w:tcW w:w="1620" w:type="dxa"/>
            <w:noWrap w:val="0"/>
            <w:vAlign w:val="center"/>
          </w:tcPr>
          <w:p>
            <w:pPr>
              <w:adjustRightInd w:val="0"/>
              <w:snapToGrid w:val="0"/>
              <w:jc w:val="center"/>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施工总平面布置图</w:t>
            </w:r>
          </w:p>
          <w:p>
            <w:pPr>
              <w:adjustRightInd w:val="0"/>
              <w:snapToGrid w:val="0"/>
              <w:jc w:val="center"/>
              <w:rPr>
                <w:rFonts w:hint="eastAsia" w:ascii="仿宋" w:hAnsi="仿宋" w:eastAsia="仿宋" w:cs="仿宋"/>
                <w:b w:val="0"/>
                <w:color w:val="auto"/>
                <w:szCs w:val="21"/>
                <w:highlight w:val="none"/>
              </w:rPr>
            </w:pPr>
            <w:r>
              <w:rPr>
                <w:rFonts w:hint="eastAsia" w:ascii="仿宋" w:hAnsi="仿宋" w:eastAsia="仿宋" w:cs="仿宋"/>
                <w:b w:val="0"/>
                <w:color w:val="auto"/>
                <w:highlight w:val="none"/>
              </w:rPr>
              <w:t>（</w:t>
            </w:r>
            <w:r>
              <w:rPr>
                <w:rFonts w:hint="eastAsia" w:ascii="仿宋" w:hAnsi="仿宋" w:eastAsia="仿宋" w:cs="仿宋"/>
                <w:b w:val="0"/>
                <w:color w:val="auto"/>
                <w:highlight w:val="none"/>
                <w:lang w:val="en-US" w:eastAsia="zh-CN"/>
              </w:rPr>
              <w:t>3</w:t>
            </w:r>
            <w:r>
              <w:rPr>
                <w:rFonts w:hint="eastAsia" w:ascii="仿宋" w:hAnsi="仿宋" w:eastAsia="仿宋" w:cs="仿宋"/>
                <w:b w:val="0"/>
                <w:color w:val="auto"/>
                <w:highlight w:val="none"/>
              </w:rPr>
              <w:t>分）</w:t>
            </w:r>
          </w:p>
        </w:tc>
        <w:tc>
          <w:tcPr>
            <w:tcW w:w="7075" w:type="dxa"/>
            <w:noWrap w:val="0"/>
            <w:vAlign w:val="center"/>
          </w:tcPr>
          <w:p>
            <w:pPr>
              <w:adjustRightInd w:val="0"/>
              <w:snapToGrid w:val="0"/>
              <w:ind w:firstLine="220" w:firstLineChars="100"/>
              <w:jc w:val="left"/>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应有施工总平面布置图，安排科学合理，符合本项目施工实际要求。</w:t>
            </w:r>
          </w:p>
          <w:p>
            <w:pPr>
              <w:adjustRightInd w:val="0"/>
              <w:snapToGrid w:val="0"/>
              <w:ind w:firstLine="220" w:firstLineChars="100"/>
              <w:jc w:val="left"/>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一档（</w:t>
            </w:r>
            <w:r>
              <w:rPr>
                <w:rFonts w:hint="eastAsia" w:ascii="仿宋" w:hAnsi="仿宋" w:eastAsia="仿宋" w:cs="仿宋"/>
                <w:b w:val="0"/>
                <w:color w:val="auto"/>
                <w:szCs w:val="21"/>
                <w:highlight w:val="none"/>
                <w:lang w:val="en-US" w:eastAsia="zh-CN"/>
              </w:rPr>
              <w:t>1</w:t>
            </w:r>
            <w:r>
              <w:rPr>
                <w:rFonts w:hint="eastAsia" w:ascii="仿宋" w:hAnsi="仿宋" w:eastAsia="仿宋" w:cs="仿宋"/>
                <w:b w:val="0"/>
                <w:color w:val="auto"/>
                <w:szCs w:val="21"/>
                <w:highlight w:val="none"/>
              </w:rPr>
              <w:t>分）：没有施工总平面布置图，或有施工总平面布置图但安排不科学不合理，难以符合本项目施工实际要求；</w:t>
            </w:r>
          </w:p>
          <w:p>
            <w:pPr>
              <w:adjustRightInd w:val="0"/>
              <w:snapToGrid w:val="0"/>
              <w:ind w:firstLine="220" w:firstLineChars="100"/>
              <w:jc w:val="left"/>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二档（</w:t>
            </w:r>
            <w:r>
              <w:rPr>
                <w:rFonts w:hint="eastAsia" w:ascii="仿宋" w:hAnsi="仿宋" w:eastAsia="仿宋" w:cs="仿宋"/>
                <w:b w:val="0"/>
                <w:color w:val="auto"/>
                <w:szCs w:val="21"/>
                <w:highlight w:val="none"/>
                <w:lang w:val="en-US" w:eastAsia="zh-CN"/>
              </w:rPr>
              <w:t>2</w:t>
            </w:r>
            <w:r>
              <w:rPr>
                <w:rFonts w:hint="eastAsia" w:ascii="仿宋" w:hAnsi="仿宋" w:eastAsia="仿宋" w:cs="仿宋"/>
                <w:b w:val="0"/>
                <w:color w:val="auto"/>
                <w:szCs w:val="21"/>
                <w:highlight w:val="none"/>
              </w:rPr>
              <w:t>分）：有施工总平面布置图但安排基本科学基本合理，基本符合本项目施工实际要求；</w:t>
            </w:r>
          </w:p>
          <w:p>
            <w:pPr>
              <w:adjustRightInd w:val="0"/>
              <w:snapToGrid w:val="0"/>
              <w:ind w:firstLine="220" w:firstLineChars="100"/>
              <w:jc w:val="left"/>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三档（</w:t>
            </w:r>
            <w:r>
              <w:rPr>
                <w:rFonts w:hint="eastAsia" w:ascii="仿宋" w:hAnsi="仿宋" w:eastAsia="仿宋" w:cs="仿宋"/>
                <w:b w:val="0"/>
                <w:color w:val="auto"/>
                <w:szCs w:val="21"/>
                <w:highlight w:val="none"/>
                <w:lang w:val="en-US" w:eastAsia="zh-CN"/>
              </w:rPr>
              <w:t>3</w:t>
            </w:r>
            <w:r>
              <w:rPr>
                <w:rFonts w:hint="eastAsia" w:ascii="仿宋" w:hAnsi="仿宋" w:eastAsia="仿宋" w:cs="仿宋"/>
                <w:b w:val="0"/>
                <w:color w:val="auto"/>
                <w:szCs w:val="21"/>
                <w:highlight w:val="none"/>
              </w:rPr>
              <w:t>分）：有施工总平面布置图且安排科学合理，能够符合本项目施工实际要求。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1058" w:type="dxa"/>
            <w:noWrap w:val="0"/>
            <w:vAlign w:val="center"/>
          </w:tcPr>
          <w:p>
            <w:pPr>
              <w:jc w:val="center"/>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设计标评分标准</w:t>
            </w:r>
          </w:p>
          <w:p>
            <w:pPr>
              <w:pStyle w:val="2"/>
              <w:jc w:val="center"/>
              <w:rPr>
                <w:rFonts w:hint="eastAsia" w:ascii="仿宋" w:hAnsi="仿宋" w:eastAsia="仿宋" w:cs="仿宋"/>
                <w:b w:val="0"/>
                <w:color w:val="auto"/>
                <w:highlight w:val="none"/>
              </w:rPr>
            </w:pPr>
          </w:p>
          <w:p>
            <w:pPr>
              <w:jc w:val="center"/>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lang w:val="en-US" w:eastAsia="zh-CN"/>
              </w:rPr>
              <w:t>20</w:t>
            </w:r>
            <w:r>
              <w:rPr>
                <w:rFonts w:hint="eastAsia" w:ascii="仿宋" w:hAnsi="仿宋" w:eastAsia="仿宋" w:cs="仿宋"/>
                <w:b w:val="0"/>
                <w:color w:val="auto"/>
                <w:szCs w:val="21"/>
                <w:highlight w:val="none"/>
              </w:rPr>
              <w:t>分</w:t>
            </w:r>
          </w:p>
        </w:tc>
        <w:tc>
          <w:tcPr>
            <w:tcW w:w="1620" w:type="dxa"/>
            <w:noWrap w:val="0"/>
            <w:vAlign w:val="center"/>
          </w:tcPr>
          <w:p>
            <w:pPr>
              <w:jc w:val="center"/>
              <w:rPr>
                <w:rFonts w:hint="eastAsia" w:ascii="仿宋" w:hAnsi="仿宋" w:eastAsia="仿宋" w:cs="仿宋"/>
                <w:b w:val="0"/>
                <w:color w:val="auto"/>
                <w:highlight w:val="none"/>
              </w:rPr>
            </w:pPr>
            <w:r>
              <w:rPr>
                <w:rFonts w:hint="eastAsia" w:ascii="仿宋" w:hAnsi="仿宋" w:eastAsia="仿宋" w:cs="仿宋"/>
                <w:b w:val="0"/>
                <w:color w:val="auto"/>
                <w:highlight w:val="none"/>
              </w:rPr>
              <w:t>初步设计深化成果</w:t>
            </w:r>
          </w:p>
          <w:p>
            <w:pPr>
              <w:jc w:val="center"/>
              <w:rPr>
                <w:rFonts w:hint="eastAsia" w:ascii="仿宋" w:hAnsi="仿宋" w:eastAsia="仿宋" w:cs="仿宋"/>
                <w:b w:val="0"/>
                <w:color w:val="auto"/>
                <w:szCs w:val="21"/>
                <w:highlight w:val="none"/>
              </w:rPr>
            </w:pPr>
            <w:r>
              <w:rPr>
                <w:rFonts w:hint="eastAsia" w:ascii="仿宋" w:hAnsi="仿宋" w:eastAsia="仿宋" w:cs="仿宋"/>
                <w:b w:val="0"/>
                <w:color w:val="auto"/>
                <w:highlight w:val="none"/>
              </w:rPr>
              <w:t>（</w:t>
            </w:r>
            <w:r>
              <w:rPr>
                <w:rFonts w:hint="eastAsia" w:ascii="仿宋" w:hAnsi="仿宋" w:eastAsia="仿宋" w:cs="仿宋"/>
                <w:b w:val="0"/>
                <w:color w:val="auto"/>
                <w:highlight w:val="none"/>
                <w:lang w:val="en-US" w:eastAsia="zh-CN"/>
              </w:rPr>
              <w:t>2</w:t>
            </w:r>
            <w:r>
              <w:rPr>
                <w:rFonts w:hint="eastAsia" w:ascii="仿宋" w:hAnsi="仿宋" w:eastAsia="仿宋" w:cs="仿宋"/>
                <w:b w:val="0"/>
                <w:color w:val="auto"/>
                <w:highlight w:val="none"/>
              </w:rPr>
              <w:t>0分）</w:t>
            </w:r>
          </w:p>
        </w:tc>
        <w:tc>
          <w:tcPr>
            <w:tcW w:w="7075"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220" w:firstLineChars="100"/>
              <w:textAlignment w:val="auto"/>
              <w:outlineLvl w:val="9"/>
              <w:rPr>
                <w:rFonts w:hint="eastAsia" w:ascii="仿宋" w:hAnsi="仿宋" w:eastAsia="仿宋" w:cs="仿宋"/>
                <w:b w:val="0"/>
                <w:color w:val="auto"/>
                <w:highlight w:val="none"/>
              </w:rPr>
            </w:pPr>
            <w:r>
              <w:rPr>
                <w:rFonts w:hint="eastAsia" w:ascii="仿宋" w:hAnsi="仿宋" w:eastAsia="仿宋" w:cs="仿宋"/>
                <w:b w:val="0"/>
                <w:color w:val="auto"/>
                <w:highlight w:val="none"/>
              </w:rPr>
              <w:t>1、成果要求：深度须达到国家相关文件要求的初步设计深度。</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220" w:firstLineChars="100"/>
              <w:textAlignment w:val="auto"/>
              <w:outlineLvl w:val="9"/>
              <w:rPr>
                <w:rFonts w:hint="eastAsia" w:ascii="仿宋" w:hAnsi="仿宋" w:eastAsia="仿宋" w:cs="仿宋"/>
                <w:b w:val="0"/>
                <w:color w:val="auto"/>
                <w:highlight w:val="none"/>
              </w:rPr>
            </w:pPr>
            <w:r>
              <w:rPr>
                <w:rFonts w:hint="eastAsia" w:ascii="仿宋" w:hAnsi="仿宋" w:eastAsia="仿宋" w:cs="仿宋"/>
                <w:b w:val="0"/>
                <w:color w:val="auto"/>
                <w:highlight w:val="none"/>
              </w:rPr>
              <w:t>2、评分因素：</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220" w:firstLineChars="100"/>
              <w:textAlignment w:val="auto"/>
              <w:outlineLvl w:val="9"/>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（1）初步设计深化文件的先进性、合理性、实用性、可实施性。</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220" w:firstLineChars="100"/>
              <w:textAlignment w:val="auto"/>
              <w:outlineLvl w:val="9"/>
              <w:rPr>
                <w:rFonts w:hint="eastAsia" w:ascii="仿宋" w:hAnsi="仿宋" w:eastAsia="仿宋" w:cs="仿宋"/>
                <w:b w:val="0"/>
                <w:bCs/>
                <w:color w:val="auto"/>
                <w:szCs w:val="21"/>
                <w:highlight w:val="none"/>
              </w:rPr>
            </w:pPr>
            <w:r>
              <w:rPr>
                <w:rFonts w:hint="eastAsia" w:ascii="仿宋" w:hAnsi="仿宋" w:eastAsia="仿宋" w:cs="仿宋"/>
                <w:b w:val="0"/>
                <w:color w:val="auto"/>
                <w:szCs w:val="21"/>
                <w:highlight w:val="none"/>
              </w:rPr>
              <w:t>（2）是否对原初步设计提出合理性建议和深化优化建议</w:t>
            </w:r>
            <w:r>
              <w:rPr>
                <w:rFonts w:hint="eastAsia" w:ascii="仿宋" w:hAnsi="仿宋" w:eastAsia="仿宋" w:cs="仿宋"/>
                <w:b w:val="0"/>
                <w:bCs/>
                <w:color w:val="auto"/>
                <w:szCs w:val="21"/>
                <w:highlight w:val="none"/>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220" w:firstLineChars="100"/>
              <w:textAlignment w:val="auto"/>
              <w:outlineLvl w:val="9"/>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（3）是否对关键技术选用和实施有专篇进行论证。</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220" w:firstLineChars="100"/>
              <w:textAlignment w:val="auto"/>
              <w:outlineLvl w:val="9"/>
              <w:rPr>
                <w:rFonts w:hint="eastAsia" w:ascii="仿宋" w:hAnsi="仿宋" w:eastAsia="仿宋" w:cs="仿宋"/>
                <w:b w:val="0"/>
                <w:color w:val="auto"/>
                <w:szCs w:val="21"/>
                <w:highlight w:val="none"/>
              </w:rPr>
            </w:pPr>
            <w:r>
              <w:rPr>
                <w:rFonts w:hint="eastAsia" w:ascii="仿宋" w:hAnsi="仿宋" w:eastAsia="仿宋" w:cs="仿宋"/>
                <w:b w:val="0"/>
                <w:color w:val="auto"/>
                <w:szCs w:val="21"/>
                <w:highlight w:val="none"/>
              </w:rPr>
              <w:t>（4）各专业对经济性的控制是否有专项措施，经济性控制良好。</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220" w:firstLineChars="100"/>
              <w:textAlignment w:val="auto"/>
              <w:outlineLvl w:val="9"/>
              <w:rPr>
                <w:rFonts w:hint="eastAsia" w:ascii="仿宋" w:hAnsi="仿宋" w:eastAsia="仿宋" w:cs="仿宋"/>
                <w:b w:val="0"/>
                <w:color w:val="auto"/>
                <w:highlight w:val="none"/>
                <w:lang w:eastAsia="zh-CN"/>
              </w:rPr>
            </w:pPr>
            <w:r>
              <w:rPr>
                <w:rFonts w:hint="eastAsia" w:ascii="仿宋" w:hAnsi="仿宋" w:eastAsia="仿宋" w:cs="仿宋"/>
                <w:b w:val="0"/>
                <w:color w:val="auto"/>
                <w:highlight w:val="none"/>
                <w:lang w:eastAsia="zh-CN"/>
              </w:rPr>
              <w:t>3、评分标准：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220" w:firstLineChars="100"/>
              <w:textAlignment w:val="auto"/>
              <w:outlineLvl w:val="9"/>
              <w:rPr>
                <w:rFonts w:hint="eastAsia" w:ascii="仿宋" w:hAnsi="仿宋" w:eastAsia="仿宋" w:cs="仿宋"/>
                <w:b w:val="0"/>
                <w:color w:val="auto"/>
                <w:highlight w:val="none"/>
                <w:lang w:val="en-US" w:eastAsia="zh-CN"/>
              </w:rPr>
            </w:pPr>
            <w:r>
              <w:rPr>
                <w:rFonts w:hint="eastAsia" w:ascii="仿宋" w:hAnsi="仿宋" w:eastAsia="仿宋" w:cs="仿宋"/>
                <w:b w:val="0"/>
                <w:color w:val="auto"/>
                <w:highlight w:val="none"/>
                <w:lang w:eastAsia="zh-CN"/>
              </w:rPr>
              <w:t>一档</w:t>
            </w:r>
            <w:r>
              <w:rPr>
                <w:rFonts w:hint="eastAsia" w:ascii="仿宋" w:hAnsi="仿宋" w:eastAsia="仿宋" w:cs="仿宋"/>
                <w:b w:val="0"/>
                <w:color w:val="auto"/>
                <w:highlight w:val="none"/>
                <w:lang w:val="en-US" w:eastAsia="zh-CN"/>
              </w:rPr>
              <w:t>（6分）：设计图纸的质量、内容和深度基本达到原初步设计要求，基本符合有关规定和要求，但专项措施，经济性控较差，表述的内容存在较多欠缺、不符合实际、不可行。</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220" w:firstLineChars="100"/>
              <w:textAlignment w:val="auto"/>
              <w:outlineLvl w:val="9"/>
              <w:rPr>
                <w:rFonts w:hint="eastAsia" w:ascii="仿宋" w:hAnsi="仿宋" w:eastAsia="仿宋" w:cs="仿宋"/>
                <w:b w:val="0"/>
                <w:color w:val="auto"/>
                <w:highlight w:val="none"/>
              </w:rPr>
            </w:pPr>
            <w:r>
              <w:rPr>
                <w:rFonts w:hint="eastAsia" w:ascii="仿宋" w:hAnsi="仿宋" w:eastAsia="仿宋" w:cs="仿宋"/>
                <w:b w:val="0"/>
                <w:color w:val="auto"/>
                <w:highlight w:val="none"/>
                <w:lang w:eastAsia="zh-CN"/>
              </w:rPr>
              <w:t>二档</w:t>
            </w:r>
            <w:r>
              <w:rPr>
                <w:rFonts w:hint="eastAsia" w:ascii="仿宋" w:hAnsi="仿宋" w:eastAsia="仿宋" w:cs="仿宋"/>
                <w:b w:val="0"/>
                <w:color w:val="auto"/>
                <w:highlight w:val="none"/>
                <w:lang w:val="en-US" w:eastAsia="zh-CN"/>
              </w:rPr>
              <w:t xml:space="preserve">（12分）：设计图纸的质量、内容和深度基本达到原初步设计要求，基本符合有关规定和要求。基本符合项目需求，深化设计较为周密，解决方法较为合理，并具有专项措施，经济性控制较为合理。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220" w:firstLineChars="100"/>
              <w:textAlignment w:val="auto"/>
              <w:outlineLvl w:val="9"/>
              <w:rPr>
                <w:rFonts w:hint="eastAsia" w:ascii="仿宋" w:hAnsi="仿宋" w:eastAsia="仿宋" w:cs="仿宋"/>
                <w:b w:val="0"/>
                <w:color w:val="auto"/>
                <w:szCs w:val="21"/>
                <w:highlight w:val="none"/>
              </w:rPr>
            </w:pPr>
            <w:r>
              <w:rPr>
                <w:rFonts w:hint="eastAsia" w:ascii="仿宋" w:hAnsi="仿宋" w:eastAsia="仿宋" w:cs="仿宋"/>
                <w:b w:val="0"/>
                <w:color w:val="auto"/>
                <w:highlight w:val="none"/>
                <w:lang w:eastAsia="zh-CN"/>
              </w:rPr>
              <w:t>三档</w:t>
            </w:r>
            <w:r>
              <w:rPr>
                <w:rFonts w:hint="eastAsia" w:ascii="仿宋" w:hAnsi="仿宋" w:eastAsia="仿宋" w:cs="仿宋"/>
                <w:b w:val="0"/>
                <w:color w:val="auto"/>
                <w:highlight w:val="none"/>
                <w:lang w:val="en-US" w:eastAsia="zh-CN"/>
              </w:rPr>
              <w:t>（20分）：设计图纸的质量、内容和深度达到原初步设计要求，符合有关规定和要求。完全符合项目实际，深化设计详尽周密，解决方法详尽合理，科学可行，并具有专项措施，经济性控制良好，突出重点和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2678" w:type="dxa"/>
            <w:gridSpan w:val="2"/>
            <w:noWrap w:val="0"/>
            <w:vAlign w:val="center"/>
          </w:tcPr>
          <w:p>
            <w:pPr>
              <w:jc w:val="center"/>
              <w:rPr>
                <w:rFonts w:hint="eastAsia" w:ascii="仿宋" w:hAnsi="仿宋" w:eastAsia="仿宋" w:cs="仿宋"/>
                <w:b w:val="0"/>
                <w:color w:val="auto"/>
                <w:highlight w:val="none"/>
                <w:lang w:eastAsia="zh-CN"/>
              </w:rPr>
            </w:pPr>
            <w:r>
              <w:rPr>
                <w:rFonts w:hint="eastAsia" w:ascii="仿宋" w:hAnsi="仿宋" w:eastAsia="仿宋" w:cs="仿宋"/>
                <w:b w:val="0"/>
                <w:color w:val="auto"/>
                <w:highlight w:val="none"/>
                <w:lang w:eastAsia="zh-CN"/>
              </w:rPr>
              <w:t>总得分</w:t>
            </w:r>
          </w:p>
        </w:tc>
        <w:tc>
          <w:tcPr>
            <w:tcW w:w="7075"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220" w:firstLineChars="100"/>
              <w:textAlignment w:val="auto"/>
              <w:outlineLvl w:val="9"/>
              <w:rPr>
                <w:rFonts w:hint="eastAsia" w:ascii="仿宋" w:hAnsi="仿宋" w:eastAsia="仿宋" w:cs="仿宋"/>
                <w:b w:val="0"/>
                <w:color w:val="auto"/>
                <w:highlight w:val="none"/>
                <w:lang w:val="en-US" w:eastAsia="zh-CN"/>
              </w:rPr>
            </w:pPr>
            <w:r>
              <w:rPr>
                <w:rFonts w:hint="eastAsia" w:ascii="仿宋" w:hAnsi="仿宋" w:eastAsia="仿宋" w:cs="仿宋"/>
                <w:b w:val="0"/>
                <w:color w:val="auto"/>
                <w:highlight w:val="none"/>
                <w:lang w:eastAsia="zh-CN"/>
              </w:rPr>
              <w:t>价格分</w:t>
            </w:r>
            <w:r>
              <w:rPr>
                <w:rFonts w:hint="eastAsia" w:ascii="仿宋" w:hAnsi="仿宋" w:eastAsia="仿宋" w:cs="仿宋"/>
                <w:b w:val="0"/>
                <w:color w:val="auto"/>
                <w:highlight w:val="none"/>
                <w:lang w:val="en-US" w:eastAsia="zh-CN"/>
              </w:rPr>
              <w:t>+技术分=100分</w:t>
            </w:r>
          </w:p>
        </w:tc>
      </w:tr>
    </w:tbl>
    <w:p>
      <w:pPr>
        <w:spacing w:after="0" w:line="440" w:lineRule="exact"/>
        <w:ind w:firstLine="480" w:firstLineChars="200"/>
        <w:rPr>
          <w:rFonts w:hint="eastAsia" w:ascii="仿宋" w:hAnsi="仿宋" w:eastAsia="仿宋" w:cs="仿宋"/>
          <w:color w:val="auto"/>
          <w:sz w:val="24"/>
          <w:szCs w:val="24"/>
        </w:rPr>
        <w:sectPr>
          <w:pgSz w:w="11906" w:h="16838"/>
          <w:pgMar w:top="1588" w:right="1701" w:bottom="1418" w:left="1701" w:header="851" w:footer="851" w:gutter="0"/>
          <w:cols w:space="720" w:num="1"/>
          <w:docGrid w:linePitch="312" w:charSpace="0"/>
        </w:sectPr>
      </w:pPr>
    </w:p>
    <w:p>
      <w:pPr>
        <w:pStyle w:val="4"/>
        <w:spacing w:line="440" w:lineRule="exact"/>
        <w:ind w:firstLine="480" w:firstLineChars="200"/>
        <w:jc w:val="left"/>
        <w:rPr>
          <w:rFonts w:hint="eastAsia" w:ascii="仿宋" w:hAnsi="仿宋" w:eastAsia="仿宋" w:cs="仿宋"/>
          <w:bCs w:val="0"/>
          <w:color w:val="auto"/>
          <w:sz w:val="24"/>
          <w:szCs w:val="24"/>
        </w:rPr>
      </w:pPr>
      <w:bookmarkStart w:id="93" w:name="_Toc6564"/>
      <w:bookmarkStart w:id="94" w:name="_Toc20151"/>
      <w:bookmarkStart w:id="95" w:name="_Toc511082968"/>
      <w:r>
        <w:rPr>
          <w:rFonts w:hint="eastAsia" w:ascii="仿宋" w:hAnsi="仿宋" w:eastAsia="仿宋" w:cs="仿宋"/>
          <w:bCs w:val="0"/>
          <w:color w:val="auto"/>
          <w:sz w:val="24"/>
          <w:szCs w:val="24"/>
        </w:rPr>
        <w:t>一、评审方法</w:t>
      </w:r>
      <w:bookmarkEnd w:id="92"/>
      <w:bookmarkEnd w:id="93"/>
      <w:bookmarkEnd w:id="94"/>
      <w:bookmarkEnd w:id="95"/>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项目评审采用综合评分法，是指响应文件满足磋商文件全部实质性要求且按评审因素的量化指标评审得分最高的竞标人为成交竞标人的评审方法。磋商小组根据综合评分情况，按照评审得分由高到低顺序推荐2名成交候选竞标人。</w:t>
      </w:r>
    </w:p>
    <w:p>
      <w:pPr>
        <w:pStyle w:val="4"/>
        <w:spacing w:line="440" w:lineRule="exact"/>
        <w:ind w:firstLine="480" w:firstLineChars="200"/>
        <w:jc w:val="left"/>
        <w:rPr>
          <w:rFonts w:hint="eastAsia" w:ascii="仿宋" w:hAnsi="仿宋" w:eastAsia="仿宋" w:cs="仿宋"/>
          <w:bCs w:val="0"/>
          <w:color w:val="auto"/>
          <w:sz w:val="24"/>
          <w:szCs w:val="24"/>
        </w:rPr>
      </w:pPr>
      <w:bookmarkStart w:id="96" w:name="_Toc19887"/>
      <w:bookmarkStart w:id="97" w:name="_Toc511082969"/>
      <w:bookmarkStart w:id="98" w:name="_Toc4728"/>
      <w:bookmarkStart w:id="99" w:name="_Toc502994533"/>
      <w:r>
        <w:rPr>
          <w:rFonts w:hint="eastAsia" w:ascii="仿宋" w:hAnsi="仿宋" w:eastAsia="仿宋" w:cs="仿宋"/>
          <w:bCs w:val="0"/>
          <w:color w:val="auto"/>
          <w:sz w:val="24"/>
          <w:szCs w:val="24"/>
        </w:rPr>
        <w:t>二、评审标准</w:t>
      </w:r>
      <w:bookmarkEnd w:id="96"/>
      <w:bookmarkEnd w:id="97"/>
      <w:bookmarkEnd w:id="98"/>
      <w:bookmarkEnd w:id="99"/>
    </w:p>
    <w:p>
      <w:pPr>
        <w:pStyle w:val="25"/>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sz w:val="24"/>
          <w:szCs w:val="24"/>
        </w:rPr>
        <w:t>磋商小组成员按照客观、公正、审慎的原则，按照磋商文件规定的评审程序和根据</w:t>
      </w:r>
      <w:r>
        <w:rPr>
          <w:rFonts w:hint="eastAsia" w:ascii="仿宋" w:hAnsi="仿宋" w:eastAsia="仿宋" w:cs="仿宋"/>
          <w:color w:val="auto"/>
          <w:kern w:val="0"/>
          <w:sz w:val="24"/>
          <w:szCs w:val="24"/>
        </w:rPr>
        <w:t>磋商文件规定的</w:t>
      </w:r>
      <w:r>
        <w:rPr>
          <w:rFonts w:hint="eastAsia" w:ascii="仿宋" w:hAnsi="仿宋" w:eastAsia="仿宋" w:cs="仿宋"/>
          <w:color w:val="auto"/>
          <w:sz w:val="24"/>
          <w:szCs w:val="24"/>
        </w:rPr>
        <w:t>方法和标准对</w:t>
      </w:r>
      <w:r>
        <w:rPr>
          <w:rFonts w:hint="eastAsia" w:ascii="仿宋" w:hAnsi="仿宋" w:eastAsia="仿宋" w:cs="仿宋"/>
          <w:color w:val="auto"/>
          <w:kern w:val="0"/>
          <w:sz w:val="24"/>
          <w:szCs w:val="24"/>
        </w:rPr>
        <w:t>对竞标人的响应文件的有效性、完整性和响应程度进行审查，并对响应文件的磋商报价、技术方案、项目管理机构、业绩和企业实力等方面内容按百分制打分。</w:t>
      </w:r>
    </w:p>
    <w:p>
      <w:pPr>
        <w:pStyle w:val="4"/>
        <w:spacing w:line="440" w:lineRule="exact"/>
        <w:ind w:firstLine="480" w:firstLineChars="200"/>
        <w:jc w:val="left"/>
        <w:rPr>
          <w:rFonts w:hint="eastAsia" w:ascii="仿宋" w:hAnsi="仿宋" w:eastAsia="仿宋" w:cs="仿宋"/>
          <w:bCs w:val="0"/>
          <w:color w:val="auto"/>
          <w:sz w:val="24"/>
          <w:szCs w:val="24"/>
        </w:rPr>
      </w:pPr>
      <w:bookmarkStart w:id="100" w:name="_Toc502994534"/>
      <w:bookmarkStart w:id="101" w:name="_Toc1809"/>
      <w:bookmarkStart w:id="102" w:name="_Toc511082970"/>
      <w:bookmarkStart w:id="103" w:name="_Toc30136"/>
      <w:r>
        <w:rPr>
          <w:rFonts w:hint="eastAsia" w:ascii="仿宋" w:hAnsi="仿宋" w:eastAsia="仿宋" w:cs="仿宋"/>
          <w:bCs w:val="0"/>
          <w:color w:val="auto"/>
          <w:sz w:val="24"/>
          <w:szCs w:val="24"/>
        </w:rPr>
        <w:t>三、资格、符合性评审</w:t>
      </w:r>
      <w:bookmarkEnd w:id="100"/>
      <w:bookmarkEnd w:id="101"/>
      <w:bookmarkEnd w:id="102"/>
      <w:bookmarkEnd w:id="103"/>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3.1 资格性审查</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依据法律法规和磋商文件的规定对响应文件资格证明部分等进行审查，以确定竞标人是否具备磋商资格。资格审查的内容涉及到资格证明文件内容和签章的合格性、合法性等。如果竞标人不具备磋商资格，不满足磋商文件所规定的资格标准或提供资格证明文件不全的，其磋商将被拒绝。</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3.2 符合性检查</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依据磋商文件的规定，从响应文件的有效性、完整性和对磋商文件的响应程度进行审查，以确定是否符合对磋商文件的实质性要求作出响应。实质性偏离是指：</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（1）实质性影响合同的范围、质量和履行；</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（2）实质性违背磋商文件，限制了采购人的权利和成交竞标人合同项下的义务；</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（3）不公正地影响了其它作出实质性响应的竞标人的竞争地位。对没有实质性响应的响应文件将不进行评审，其磋商将被拒绝。</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3.3 响应文件评审无效响应处理</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出现下列情况之一的，视为未实质性响应磋商文件的响应文件，按无效响应处理。</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（1）响应文件未按磋商文件规定进行编制、签署、盖章、装订、密封的；</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（2）未按规定提交必须提供且有效的证明文件的；</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（3）未按规定应由法定代表人或授权代表在凡规定签名、盖章处逐一签名和加盖公章的；或签字人未经法定代表人有效授权委托的；</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（4）未按规定提交或足额提交磋商保证金的；</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（5）磋商有效期不满足磋商文件要求的；</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（6）响应文件的关键内容字迹模糊、无法辨认的；</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（7）竞标人提交的是可选择的报价的；</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（8）磋商内容与采购内容及要求存在重大偏离或保留的（如严重背离合同协议要求、等）；</w:t>
      </w:r>
    </w:p>
    <w:p>
      <w:pPr>
        <w:spacing w:after="0" w:line="44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（9）已标价工程量清单与招标人发布的工程量清单不一致；</w:t>
      </w:r>
      <w:r>
        <w:rPr>
          <w:rFonts w:hint="eastAsia" w:ascii="仿宋" w:hAnsi="仿宋" w:eastAsia="仿宋" w:cs="仿宋"/>
          <w:color w:val="auto"/>
          <w:sz w:val="24"/>
          <w:szCs w:val="24"/>
          <w:lang w:eastAsia="zh-CN"/>
        </w:rPr>
        <w:t>（如有）</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（10）响应文件中提供虚假或失实资料的；</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（11）不符合有关法律、法规和磋商文件中规定的其他实质性条款。</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3.4 澄清</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磋商小组在对响应文件的有效性、完整性和响应程度进行审查时，可以要求竞标人对响应文件中含义不明确、同类问题表述不一致或者有明显文字和计算错误的内容等作出必要的澄清、说明或者更正。竞标人的澄清、说明或者更正不得超出响应文件的范围或者改变响应文件的实质性内容。</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磋商小组要求竞标人澄清、说明或者更正响应文件应当以书面形式作出。竞标人的澄清、说明或者更正应当由法定代表人或其授权代表签字或者加盖公章。由授权代表签字的，应当附法定代表人授权书。竞标人为自然人的，应当由本人签字并附身份证明。</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（3）响应文件如果出现计算或表达上的错误，修正错误的原则如下：</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①响应文件的大写金额和小写金额不一致的，以大写金额为准；</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②总价金额与按单价汇总金额不一致的，以单价金额计算结果为准；</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③单价金额小数点有明显错位的，应以总价为准，并修改单价；</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④对不同文字文本响应文件的解释发生异议的，以中文文本为准。</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⑤按上述修正错误的原则及方法调整或修正响应文件的磋商报价，在竞标人确认后，调整后的磋商报价对竞标人起约束作用。如果竞标人拒绝确认，不接受修正后的价格或报价，则其响应文件将不予评审，其磋商将被拒绝。</w:t>
      </w:r>
    </w:p>
    <w:p>
      <w:pPr>
        <w:pStyle w:val="4"/>
        <w:spacing w:line="440" w:lineRule="exact"/>
        <w:ind w:firstLine="480" w:firstLineChars="200"/>
        <w:jc w:val="left"/>
        <w:rPr>
          <w:rFonts w:hint="eastAsia" w:ascii="仿宋" w:hAnsi="仿宋" w:eastAsia="仿宋" w:cs="仿宋"/>
          <w:bCs w:val="0"/>
          <w:color w:val="auto"/>
          <w:sz w:val="24"/>
          <w:szCs w:val="24"/>
        </w:rPr>
      </w:pPr>
      <w:bookmarkStart w:id="104" w:name="_Toc511082971"/>
      <w:bookmarkStart w:id="105" w:name="_Toc26616"/>
      <w:bookmarkStart w:id="106" w:name="_Toc7155"/>
      <w:bookmarkStart w:id="107" w:name="_Toc502994535"/>
      <w:r>
        <w:rPr>
          <w:rFonts w:hint="eastAsia" w:ascii="仿宋" w:hAnsi="仿宋" w:eastAsia="仿宋" w:cs="仿宋"/>
          <w:bCs w:val="0"/>
          <w:color w:val="auto"/>
          <w:sz w:val="24"/>
          <w:szCs w:val="24"/>
        </w:rPr>
        <w:t>四、磋商程序</w:t>
      </w:r>
      <w:bookmarkEnd w:id="104"/>
      <w:bookmarkEnd w:id="105"/>
      <w:bookmarkEnd w:id="106"/>
      <w:bookmarkEnd w:id="107"/>
    </w:p>
    <w:p>
      <w:pPr>
        <w:tabs>
          <w:tab w:val="left" w:pos="540"/>
        </w:tabs>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4.1 磋商</w:t>
      </w:r>
    </w:p>
    <w:p>
      <w:pPr>
        <w:tabs>
          <w:tab w:val="left" w:pos="540"/>
        </w:tabs>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（1）磋商时间及地点：按第二章“竞标人须知”竞标人须知前附表规定。</w:t>
      </w:r>
    </w:p>
    <w:p>
      <w:pPr>
        <w:tabs>
          <w:tab w:val="left" w:pos="540"/>
        </w:tabs>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（2）竞标人参加磋商需要携带的材料：按第二章“磋商须知”磋商须知前附表规定。</w:t>
      </w:r>
    </w:p>
    <w:p>
      <w:pPr>
        <w:tabs>
          <w:tab w:val="left" w:pos="540"/>
        </w:tabs>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（3）磋商小组成员集中与单一竞标人分别进行磋商，并给予所有参加磋商的竞标人平等的磋商机会。</w:t>
      </w:r>
    </w:p>
    <w:p>
      <w:pPr>
        <w:tabs>
          <w:tab w:val="left" w:pos="540"/>
        </w:tabs>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在磋商过程中，磋商小组可以根据磋商文件和磋商情况实质性变动采购需求中的技术、服务要求以及合同草案条款，但不得变动磋商文件中的其他内容。实质性变动的内容，须经采购人代表确认。</w:t>
      </w:r>
    </w:p>
    <w:p>
      <w:pPr>
        <w:tabs>
          <w:tab w:val="left" w:pos="540"/>
        </w:tabs>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对磋商文件作出的实质性变动是磋商文件的有效组成部分，磋商小组应当及时以书面形式同时通知所有参加磋商的竞标人。</w:t>
      </w:r>
    </w:p>
    <w:p>
      <w:pPr>
        <w:tabs>
          <w:tab w:val="left" w:pos="540"/>
        </w:tabs>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竞标人应当按照磋商文件的变动情况和磋商小组的要求重新提交响应文件，并由其法定代表人或授权代表签字或者加盖公章。由授权代表签字的，应当附法定代表人授权书。</w:t>
      </w:r>
    </w:p>
    <w:p>
      <w:pPr>
        <w:tabs>
          <w:tab w:val="left" w:pos="540"/>
        </w:tabs>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磋商中，磋商的任何一方不得透露与磋商有关的其他竞标人的技术资料、价格和其他信息。</w:t>
      </w:r>
    </w:p>
    <w:p>
      <w:pPr>
        <w:tabs>
          <w:tab w:val="left" w:pos="540"/>
        </w:tabs>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采购代理机构对磋商过程和重要磋商内容进行记录，磋商双方在记录上签字确认。</w:t>
      </w:r>
    </w:p>
    <w:p>
      <w:pPr>
        <w:tabs>
          <w:tab w:val="left" w:pos="540"/>
        </w:tabs>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竞标人未在通知的时间内到达现场参加磋商的，或未提交书面说明退出磋商的，或未在规定时间内提交书面应答文件和最后报价的，视为竞标人自动放弃磋商。</w:t>
      </w:r>
    </w:p>
    <w:p>
      <w:pPr>
        <w:tabs>
          <w:tab w:val="left" w:pos="540"/>
        </w:tabs>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磋商结束后，磋商小组不得再与竞标人进行任何形式的商谈。</w:t>
      </w:r>
    </w:p>
    <w:p>
      <w:pPr>
        <w:tabs>
          <w:tab w:val="left" w:pos="540"/>
        </w:tabs>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4.2 提交最后报价</w:t>
      </w:r>
    </w:p>
    <w:p>
      <w:pPr>
        <w:tabs>
          <w:tab w:val="left" w:pos="540"/>
        </w:tabs>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磋商文件不能详细列明采购标的的技术、服务要求，需经磋商由竞标人提供最终设计方案或解决方案的，磋商结束后，磋商小组应当按照少数服从多数的原则投票推荐2家以上竞标人的设计方案或者解决方案，并要求其在规定时间内密封提交最后报价。最后报价超过采购预算的竞标人将做为无效响应处理。</w:t>
      </w:r>
    </w:p>
    <w:p>
      <w:pPr>
        <w:tabs>
          <w:tab w:val="left" w:pos="540"/>
        </w:tabs>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（2）采购过程中提交最后报价的竞标人满足以上条件的，磋商采购活动继续进行，不满足以上条件时，采购人或者采购代理机构终止磋商采购活动，发布项目终止公告并说明原因，重新开展采购活动。</w:t>
      </w:r>
    </w:p>
    <w:p>
      <w:pPr>
        <w:tabs>
          <w:tab w:val="left" w:pos="540"/>
        </w:tabs>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（3）最后报价是竞标人响应文件的有效组成部分。</w:t>
      </w:r>
    </w:p>
    <w:p>
      <w:pPr>
        <w:tabs>
          <w:tab w:val="left" w:pos="540"/>
        </w:tabs>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（4）已经提交响应文件的竞标人，在提交最后报价之前，可以根据磋商情况退出磋商。采购人、采购代理机构将退还退出磋商的竞标人的保证金。</w:t>
      </w:r>
    </w:p>
    <w:p>
      <w:pPr>
        <w:tabs>
          <w:tab w:val="left" w:pos="540"/>
        </w:tabs>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（5）响应竞标人的最后报价均超过了采购预算，采购人不能支付的，磋商活动终止。</w:t>
      </w:r>
    </w:p>
    <w:p>
      <w:pPr>
        <w:pStyle w:val="4"/>
        <w:spacing w:line="440" w:lineRule="exact"/>
        <w:ind w:firstLine="480" w:firstLineChars="200"/>
        <w:jc w:val="left"/>
        <w:rPr>
          <w:rFonts w:hint="eastAsia" w:ascii="仿宋" w:hAnsi="仿宋" w:eastAsia="仿宋" w:cs="仿宋"/>
          <w:bCs w:val="0"/>
          <w:color w:val="auto"/>
          <w:sz w:val="24"/>
          <w:szCs w:val="24"/>
        </w:rPr>
      </w:pPr>
      <w:bookmarkStart w:id="108" w:name="_Toc19906"/>
      <w:bookmarkStart w:id="109" w:name="_Toc511082972"/>
      <w:bookmarkStart w:id="110" w:name="_Toc20041"/>
      <w:bookmarkStart w:id="111" w:name="_Toc502994536"/>
      <w:r>
        <w:rPr>
          <w:rFonts w:hint="eastAsia" w:ascii="仿宋" w:hAnsi="仿宋" w:eastAsia="仿宋" w:cs="仿宋"/>
          <w:bCs w:val="0"/>
          <w:color w:val="auto"/>
          <w:sz w:val="24"/>
          <w:szCs w:val="24"/>
        </w:rPr>
        <w:t>五、综合评分</w:t>
      </w:r>
      <w:bookmarkEnd w:id="108"/>
      <w:bookmarkEnd w:id="109"/>
      <w:bookmarkEnd w:id="110"/>
      <w:bookmarkEnd w:id="111"/>
    </w:p>
    <w:p>
      <w:pPr>
        <w:tabs>
          <w:tab w:val="left" w:pos="540"/>
        </w:tabs>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 综合评分原则</w:t>
      </w:r>
    </w:p>
    <w:p>
      <w:pPr>
        <w:tabs>
          <w:tab w:val="left" w:pos="540"/>
        </w:tabs>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经磋商确定最终采购需求和提交最后报价的竞标人后，由磋商小组采用综合评分法对提交最后报价的竞标人的响应文件和最后报价进行综合评分。评审时，磋商小组各成员应当独立对每个有效响应的文件进行评价、打分、然后汇总每个竞标人每项评分因素的得分。</w:t>
      </w:r>
    </w:p>
    <w:p>
      <w:pPr>
        <w:tabs>
          <w:tab w:val="left" w:pos="540"/>
        </w:tabs>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5.2 综合评分法评审标准的分值与量化标准：详见评审方法与评审标准前附表；</w:t>
      </w:r>
    </w:p>
    <w:p>
      <w:pPr>
        <w:pStyle w:val="4"/>
        <w:spacing w:line="440" w:lineRule="exact"/>
        <w:ind w:firstLine="480" w:firstLineChars="200"/>
        <w:jc w:val="left"/>
        <w:rPr>
          <w:rFonts w:hint="eastAsia" w:ascii="仿宋" w:hAnsi="仿宋" w:eastAsia="仿宋" w:cs="仿宋"/>
          <w:bCs w:val="0"/>
          <w:color w:val="auto"/>
          <w:sz w:val="24"/>
          <w:szCs w:val="24"/>
        </w:rPr>
      </w:pPr>
      <w:bookmarkStart w:id="112" w:name="_Toc511082973"/>
      <w:bookmarkStart w:id="113" w:name="_Toc12216"/>
      <w:bookmarkStart w:id="114" w:name="_Toc502994537"/>
      <w:bookmarkStart w:id="115" w:name="_Toc19843"/>
      <w:r>
        <w:rPr>
          <w:rFonts w:hint="eastAsia" w:ascii="仿宋" w:hAnsi="仿宋" w:eastAsia="仿宋" w:cs="仿宋"/>
          <w:bCs w:val="0"/>
          <w:color w:val="auto"/>
          <w:sz w:val="24"/>
          <w:szCs w:val="24"/>
        </w:rPr>
        <w:t>六、评审过程的其他事项</w:t>
      </w:r>
      <w:bookmarkEnd w:id="112"/>
      <w:bookmarkEnd w:id="113"/>
      <w:bookmarkEnd w:id="114"/>
      <w:bookmarkEnd w:id="115"/>
    </w:p>
    <w:p>
      <w:pPr>
        <w:tabs>
          <w:tab w:val="left" w:pos="540"/>
        </w:tabs>
        <w:spacing w:after="0"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color w:val="auto"/>
          <w:sz w:val="24"/>
          <w:szCs w:val="24"/>
        </w:rPr>
        <w:t xml:space="preserve">6.1 </w:t>
      </w:r>
      <w:r>
        <w:rPr>
          <w:rFonts w:hint="eastAsia" w:ascii="仿宋" w:hAnsi="仿宋" w:eastAsia="仿宋" w:cs="仿宋"/>
          <w:bCs/>
          <w:color w:val="auto"/>
          <w:sz w:val="24"/>
          <w:szCs w:val="24"/>
        </w:rPr>
        <w:t>在评审过程中出现法律法规和磋商文件均没有明确规定的情形时，由磋商小组现场协商解决，协商不一致的，由全体磋商小组投票表决，以得票率二分之一以上专家的意见为准。</w:t>
      </w:r>
    </w:p>
    <w:p>
      <w:pPr>
        <w:tabs>
          <w:tab w:val="left" w:pos="540"/>
        </w:tabs>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rPr>
        <w:t xml:space="preserve">6.2 </w:t>
      </w:r>
      <w:r>
        <w:rPr>
          <w:rFonts w:hint="eastAsia" w:ascii="仿宋" w:hAnsi="仿宋" w:eastAsia="仿宋" w:cs="仿宋"/>
          <w:color w:val="auto"/>
          <w:sz w:val="24"/>
          <w:szCs w:val="24"/>
        </w:rPr>
        <w:t>特别说明：</w:t>
      </w:r>
    </w:p>
    <w:p>
      <w:pPr>
        <w:pStyle w:val="25"/>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rPr>
        <w:t>6.</w:t>
      </w:r>
      <w:r>
        <w:rPr>
          <w:rFonts w:hint="eastAsia" w:ascii="仿宋" w:hAnsi="仿宋" w:eastAsia="仿宋" w:cs="仿宋"/>
          <w:color w:val="auto"/>
          <w:sz w:val="24"/>
          <w:szCs w:val="24"/>
        </w:rPr>
        <w:t>2.1 某竞标人参加本项目的磋商时，不得同时授权其他竞标人使用其生产的产品参与本项目的磋商。</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rPr>
        <w:t>6.</w:t>
      </w:r>
      <w:r>
        <w:rPr>
          <w:rFonts w:hint="eastAsia" w:ascii="仿宋" w:hAnsi="仿宋" w:eastAsia="仿宋" w:cs="仿宋"/>
          <w:color w:val="auto"/>
          <w:sz w:val="24"/>
          <w:szCs w:val="24"/>
        </w:rPr>
        <w:t>2.2 竞标人磋商所使用的资格、信誉、荣誉、业绩与企业认证必须为本法人所拥有。竞标人磋商所使用的采购项目实施人员必须为本法人员工（或必须为本法人或控股公司正式员工）。</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rPr>
        <w:t>6.</w:t>
      </w:r>
      <w:r>
        <w:rPr>
          <w:rFonts w:hint="eastAsia" w:ascii="仿宋" w:hAnsi="仿宋" w:eastAsia="仿宋" w:cs="仿宋"/>
          <w:color w:val="auto"/>
          <w:sz w:val="24"/>
          <w:szCs w:val="24"/>
        </w:rPr>
        <w:t>2.3 竞标人应仔细阅读竞争性磋商文件的所有内容，按照竞争性磋商文件的要求提交响应文件，并对所提供的全部资料的真实性承担法律责任。</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rPr>
        <w:t>6.</w:t>
      </w:r>
      <w:r>
        <w:rPr>
          <w:rFonts w:hint="eastAsia" w:ascii="仿宋" w:hAnsi="仿宋" w:eastAsia="仿宋" w:cs="仿宋"/>
          <w:color w:val="auto"/>
          <w:sz w:val="24"/>
          <w:szCs w:val="24"/>
        </w:rPr>
        <w:t>2.4 竞标人在磋商活动中提供任何虚假材料，其磋商无效，并报监管部门查处；中标后发现的，成交竞标人须依照《中华人民共和国消费者权益保护法》第49条之规定双倍赔偿采购人，且民事赔偿并不免除违法竞标人的行政与刑事责任。</w:t>
      </w:r>
    </w:p>
    <w:p>
      <w:pPr>
        <w:pStyle w:val="25"/>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rPr>
        <w:t>6.</w:t>
      </w:r>
      <w:r>
        <w:rPr>
          <w:rFonts w:hint="eastAsia" w:ascii="仿宋" w:hAnsi="仿宋" w:eastAsia="仿宋" w:cs="仿宋"/>
          <w:color w:val="auto"/>
          <w:sz w:val="24"/>
          <w:szCs w:val="24"/>
        </w:rPr>
        <w:t>2.5 有下列情形之一的视为竞标人相互串通投标，响应文件将被视为无效：</w:t>
      </w:r>
    </w:p>
    <w:p>
      <w:pPr>
        <w:pStyle w:val="25"/>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（1）不同竞标人的响应文件由同一单位或者个人编制；或不同竞标人报名的IP地址一致的；</w:t>
      </w:r>
    </w:p>
    <w:p>
      <w:pPr>
        <w:pStyle w:val="25"/>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（2）不同竞标人委托同一单位或者个人办理磋商事宜；</w:t>
      </w:r>
    </w:p>
    <w:p>
      <w:pPr>
        <w:pStyle w:val="25"/>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（3）不同的竞标人的响应文件载明的项目管理员为同一个人；</w:t>
      </w:r>
    </w:p>
    <w:p>
      <w:pPr>
        <w:pStyle w:val="25"/>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（4）不同竞标人的响应文件异常一致或报价呈规律性差异；</w:t>
      </w:r>
    </w:p>
    <w:p>
      <w:pPr>
        <w:pStyle w:val="25"/>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（5）不同竞标人的响应文件相互混装；</w:t>
      </w:r>
    </w:p>
    <w:p>
      <w:pPr>
        <w:pStyle w:val="25"/>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（6）不同竞标人的保证金从同一单位或者个人账户转出。</w:t>
      </w:r>
    </w:p>
    <w:p>
      <w:pPr>
        <w:pStyle w:val="25"/>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rPr>
        <w:t>6.</w:t>
      </w:r>
      <w:r>
        <w:rPr>
          <w:rFonts w:hint="eastAsia" w:ascii="仿宋" w:hAnsi="仿宋" w:eastAsia="仿宋" w:cs="仿宋"/>
          <w:color w:val="auto"/>
          <w:sz w:val="24"/>
          <w:szCs w:val="24"/>
        </w:rPr>
        <w:t>2.6 竞标人有下列情形之一的，属于恶意串通行为：</w:t>
      </w:r>
    </w:p>
    <w:p>
      <w:pPr>
        <w:pStyle w:val="25"/>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（1）竞标人直接或者间接从采购人或者采购代理机构处获得其他竞标人的相关信息并修改其响应文件：</w:t>
      </w:r>
    </w:p>
    <w:p>
      <w:pPr>
        <w:pStyle w:val="25"/>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（2）竞标人按照采购人或者采购代理机构的授意撤换、修改响应文件；</w:t>
      </w:r>
    </w:p>
    <w:p>
      <w:pPr>
        <w:pStyle w:val="25"/>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（3）竞标人之间协商报价、技术方案等响应文件的实质性内容；</w:t>
      </w:r>
    </w:p>
    <w:p>
      <w:pPr>
        <w:pStyle w:val="25"/>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（4）属于同一集团、协会、商会等组织成员的竞标人按照该组织要求协同参加采购活动；</w:t>
      </w:r>
    </w:p>
    <w:p>
      <w:pPr>
        <w:pStyle w:val="25"/>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（5）竞标人之间事先约定一致抬高或者压低报价,或者在采购项目中事先约定轮流以高价位或者低价位成交,或者事先约定由某一特定竞标人成交,然后再参加磋商；</w:t>
      </w:r>
    </w:p>
    <w:p>
      <w:pPr>
        <w:pStyle w:val="25"/>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（6）竞标人之间商定部分竞标人放弃参加采购活动或者放弃成交；</w:t>
      </w:r>
    </w:p>
    <w:p>
      <w:pPr>
        <w:pStyle w:val="25"/>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（7）竞标人与采购人或者采购代理机构之间、竞标人相互之间，为谋求特定竞标人成交或者排斥其他竞标人的其他串通行为。</w:t>
      </w:r>
    </w:p>
    <w:p>
      <w:pPr>
        <w:pStyle w:val="25"/>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rPr>
        <w:t>6.</w:t>
      </w:r>
      <w:r>
        <w:rPr>
          <w:rFonts w:hint="eastAsia" w:ascii="仿宋" w:hAnsi="仿宋" w:eastAsia="仿宋" w:cs="仿宋"/>
          <w:color w:val="auto"/>
          <w:sz w:val="24"/>
          <w:szCs w:val="24"/>
        </w:rPr>
        <w:t>2.7关联竞标人不得参加同一合同项下采购活动，否则响应文件将被视为无效：</w:t>
      </w:r>
    </w:p>
    <w:p>
      <w:pPr>
        <w:pStyle w:val="25"/>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（1）单位负责人为同一人或者存在直接控股、管理关系的不同的竞标人，不得参加同一合同项下的采购活动；</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（2）生产厂商授权给竞标人后自己不得参加同一合同项下的采购活动；生产厂商对同一品牌同一型号的货物，仅能委托一个代理商参加磋商。</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rPr>
        <w:t>6.</w:t>
      </w:r>
      <w:r>
        <w:rPr>
          <w:rFonts w:hint="eastAsia" w:ascii="仿宋" w:hAnsi="仿宋" w:eastAsia="仿宋" w:cs="仿宋"/>
          <w:color w:val="auto"/>
          <w:sz w:val="24"/>
          <w:szCs w:val="24"/>
        </w:rPr>
        <w:t>3. 出现下列情形之一的，采购人或者采购代理机构应当终止竞争性磋商采购活动，发布项目终止公告并说明原因，重新开展采购活动：</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rPr>
        <w:t>6.</w:t>
      </w:r>
      <w:r>
        <w:rPr>
          <w:rFonts w:hint="eastAsia" w:ascii="仿宋" w:hAnsi="仿宋" w:eastAsia="仿宋" w:cs="仿宋"/>
          <w:color w:val="auto"/>
          <w:sz w:val="24"/>
          <w:szCs w:val="24"/>
        </w:rPr>
        <w:t>3.1 因情况变化，不再符合规定的竞争性磋商采购方式适用情形的；</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rPr>
        <w:t>6.</w:t>
      </w:r>
      <w:r>
        <w:rPr>
          <w:rFonts w:hint="eastAsia" w:ascii="仿宋" w:hAnsi="仿宋" w:eastAsia="仿宋" w:cs="仿宋"/>
          <w:color w:val="auto"/>
          <w:sz w:val="24"/>
          <w:szCs w:val="24"/>
        </w:rPr>
        <w:t>3.2 出现影响采购公正的违法、违规行为的；</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rPr>
        <w:t>6.</w:t>
      </w:r>
      <w:r>
        <w:rPr>
          <w:rFonts w:hint="eastAsia" w:ascii="仿宋" w:hAnsi="仿宋" w:eastAsia="仿宋" w:cs="仿宋"/>
          <w:color w:val="auto"/>
          <w:sz w:val="24"/>
          <w:szCs w:val="24"/>
        </w:rPr>
        <w:t>3.3 在采购过程中符合要求的竞标人或者报价未超过采购预算的竞标人不足2家的。</w:t>
      </w:r>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rPr>
        <w:t>6.</w:t>
      </w:r>
      <w:r>
        <w:rPr>
          <w:rFonts w:hint="eastAsia" w:ascii="仿宋" w:hAnsi="仿宋" w:eastAsia="仿宋" w:cs="仿宋"/>
          <w:color w:val="auto"/>
          <w:sz w:val="24"/>
          <w:szCs w:val="24"/>
        </w:rPr>
        <w:t>4. 在采购活动中因重大变故，采购任务取消的，采购人或者采购代理机构应当终止采购活动，通知所有参加采购活动的竞标人，并将项目实施情况和采购任务取消原因报送本级监督部门。</w:t>
      </w:r>
    </w:p>
    <w:p>
      <w:pPr>
        <w:pStyle w:val="4"/>
        <w:spacing w:line="440" w:lineRule="exact"/>
        <w:ind w:firstLine="480" w:firstLineChars="200"/>
        <w:jc w:val="left"/>
        <w:rPr>
          <w:rFonts w:hint="eastAsia" w:ascii="仿宋" w:hAnsi="仿宋" w:eastAsia="仿宋" w:cs="仿宋"/>
          <w:bCs w:val="0"/>
          <w:color w:val="auto"/>
          <w:sz w:val="24"/>
          <w:szCs w:val="24"/>
        </w:rPr>
      </w:pPr>
      <w:bookmarkStart w:id="116" w:name="_Toc511082974"/>
      <w:bookmarkStart w:id="117" w:name="_Toc502994538"/>
      <w:bookmarkStart w:id="118" w:name="_Toc32760"/>
      <w:bookmarkStart w:id="119" w:name="_Toc18087"/>
      <w:r>
        <w:rPr>
          <w:rFonts w:hint="eastAsia" w:ascii="仿宋" w:hAnsi="仿宋" w:eastAsia="仿宋" w:cs="仿宋"/>
          <w:bCs w:val="0"/>
          <w:color w:val="auto"/>
          <w:sz w:val="24"/>
          <w:szCs w:val="24"/>
        </w:rPr>
        <w:t>七、成交候选人推荐原则</w:t>
      </w:r>
      <w:bookmarkEnd w:id="116"/>
      <w:bookmarkEnd w:id="117"/>
      <w:bookmarkEnd w:id="118"/>
      <w:bookmarkEnd w:id="119"/>
    </w:p>
    <w:p>
      <w:pPr>
        <w:spacing w:after="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磋商小组应当根据综合评分情况，按照评审得分由高到低顺序推荐2名成交候选竞标人。评审得分相同的，按照最后报价由低到高的顺序推荐。评审得分且最后报价相同的，按照技术指标优劣顺序推荐。</w:t>
      </w:r>
    </w:p>
    <w:p>
      <w:pPr>
        <w:adjustRightInd/>
        <w:snapToGrid/>
        <w:spacing w:after="0"/>
        <w:rPr>
          <w:rFonts w:hint="eastAsia" w:ascii="仿宋" w:hAnsi="仿宋" w:eastAsia="仿宋" w:cs="仿宋"/>
          <w:bCs/>
          <w:color w:val="auto"/>
          <w:sz w:val="24"/>
          <w:szCs w:val="24"/>
        </w:rPr>
      </w:pPr>
      <w:bookmarkStart w:id="120" w:name="_Toc246094919"/>
      <w:bookmarkStart w:id="121" w:name="_Toc246095525"/>
      <w:bookmarkStart w:id="122" w:name="_Toc246095463"/>
      <w:r>
        <w:rPr>
          <w:rFonts w:hint="eastAsia" w:ascii="仿宋" w:hAnsi="仿宋" w:eastAsia="仿宋" w:cs="仿宋"/>
          <w:bCs/>
          <w:color w:val="auto"/>
          <w:sz w:val="24"/>
          <w:szCs w:val="24"/>
        </w:rPr>
        <w:br w:type="page"/>
      </w:r>
    </w:p>
    <w:p>
      <w:pPr>
        <w:pStyle w:val="3"/>
        <w:ind w:right="-178"/>
        <w:rPr>
          <w:rFonts w:hint="eastAsia" w:ascii="仿宋" w:hAnsi="仿宋" w:eastAsia="仿宋" w:cs="仿宋"/>
          <w:color w:val="auto"/>
          <w:szCs w:val="36"/>
          <w:lang w:eastAsia="zh-CN"/>
        </w:rPr>
      </w:pPr>
      <w:bookmarkStart w:id="123" w:name="_Toc511082975"/>
      <w:bookmarkStart w:id="124" w:name="_Toc505334985"/>
      <w:bookmarkStart w:id="125" w:name="_Toc2611"/>
      <w:bookmarkStart w:id="126" w:name="_Toc23679"/>
      <w:bookmarkStart w:id="127" w:name="_Toc472856217"/>
      <w:bookmarkStart w:id="128" w:name="_Toc109727947"/>
      <w:bookmarkStart w:id="129" w:name="_Toc475440751"/>
      <w:bookmarkStart w:id="130" w:name="_Toc437540633"/>
      <w:bookmarkStart w:id="131" w:name="_Toc229189046"/>
      <w:bookmarkStart w:id="132" w:name="_Toc502994540"/>
      <w:r>
        <w:rPr>
          <w:rFonts w:hint="eastAsia" w:ascii="仿宋" w:hAnsi="仿宋" w:eastAsia="仿宋" w:cs="仿宋"/>
          <w:color w:val="auto"/>
          <w:szCs w:val="36"/>
        </w:rPr>
        <w:t xml:space="preserve">第四章  </w:t>
      </w:r>
      <w:bookmarkEnd w:id="123"/>
      <w:bookmarkEnd w:id="124"/>
      <w:bookmarkEnd w:id="125"/>
      <w:bookmarkEnd w:id="126"/>
      <w:r>
        <w:rPr>
          <w:rFonts w:hint="eastAsia" w:ascii="仿宋" w:hAnsi="仿宋" w:eastAsia="仿宋" w:cs="仿宋"/>
          <w:color w:val="auto"/>
          <w:szCs w:val="36"/>
          <w:lang w:eastAsia="zh-CN"/>
        </w:rPr>
        <w:t>项目要求</w:t>
      </w:r>
    </w:p>
    <w:p>
      <w:pPr>
        <w:pStyle w:val="25"/>
        <w:spacing w:line="440" w:lineRule="atLeast"/>
        <w:ind w:firstLine="480" w:firstLineChars="200"/>
        <w:rPr>
          <w:rFonts w:hint="eastAsia" w:ascii="仿宋" w:hAnsi="仿宋" w:eastAsia="仿宋" w:cs="仿宋"/>
          <w:color w:val="auto"/>
          <w:sz w:val="24"/>
          <w:szCs w:val="24"/>
        </w:rPr>
      </w:pPr>
    </w:p>
    <w:p>
      <w:pPr>
        <w:spacing w:line="240" w:lineRule="auto"/>
        <w:rPr>
          <w:rFonts w:hint="eastAsia" w:ascii="仿宋" w:hAnsi="仿宋" w:eastAsia="仿宋" w:cs="仿宋"/>
          <w:b/>
          <w:color w:val="auto"/>
          <w:sz w:val="24"/>
          <w:szCs w:val="24"/>
          <w:lang w:val="zh-TW" w:eastAsia="zh-TW"/>
        </w:rPr>
      </w:pPr>
      <w:r>
        <w:rPr>
          <w:rFonts w:hint="eastAsia" w:ascii="仿宋" w:hAnsi="仿宋" w:eastAsia="仿宋" w:cs="仿宋"/>
          <w:b/>
          <w:color w:val="auto"/>
          <w:sz w:val="24"/>
          <w:szCs w:val="24"/>
          <w:lang w:val="zh-TW" w:eastAsia="zh-TW"/>
        </w:rPr>
        <w:t>一、项目概况</w:t>
      </w:r>
    </w:p>
    <w:p>
      <w:pPr>
        <w:spacing w:line="240" w:lineRule="auto"/>
        <w:rPr>
          <w:rFonts w:hint="eastAsia" w:ascii="仿宋" w:hAnsi="仿宋" w:eastAsia="仿宋" w:cs="仿宋"/>
          <w:color w:val="auto"/>
          <w:sz w:val="24"/>
          <w:szCs w:val="24"/>
          <w:lang w:val="zh-TW" w:eastAsia="zh-TW"/>
        </w:rPr>
      </w:pPr>
      <w:r>
        <w:rPr>
          <w:rFonts w:hint="eastAsia" w:ascii="仿宋" w:hAnsi="仿宋" w:eastAsia="仿宋" w:cs="仿宋"/>
          <w:color w:val="auto"/>
          <w:sz w:val="24"/>
          <w:szCs w:val="24"/>
          <w:lang w:val="zh-TW" w:eastAsia="zh-TW"/>
        </w:rPr>
        <w:t>（一）建设单位：梧州市人民医院</w:t>
      </w:r>
    </w:p>
    <w:p>
      <w:pPr>
        <w:spacing w:line="240" w:lineRule="auto"/>
        <w:rPr>
          <w:rFonts w:hint="eastAsia" w:ascii="仿宋" w:hAnsi="仿宋" w:eastAsia="仿宋" w:cs="仿宋"/>
          <w:color w:val="auto"/>
          <w:sz w:val="24"/>
          <w:szCs w:val="24"/>
          <w:lang w:val="zh-TW" w:eastAsia="zh-TW"/>
        </w:rPr>
      </w:pPr>
      <w:r>
        <w:rPr>
          <w:rFonts w:hint="eastAsia" w:ascii="仿宋" w:hAnsi="仿宋" w:eastAsia="仿宋" w:cs="仿宋"/>
          <w:color w:val="auto"/>
          <w:sz w:val="24"/>
          <w:szCs w:val="24"/>
          <w:lang w:val="zh-TW" w:eastAsia="zh-TW"/>
        </w:rPr>
        <w:t>（二）项目名称、预算：</w:t>
      </w:r>
    </w:p>
    <w:p>
      <w:pPr>
        <w:spacing w:line="240" w:lineRule="auto"/>
        <w:ind w:firstLine="640"/>
        <w:rPr>
          <w:rFonts w:hint="eastAsia" w:ascii="仿宋" w:hAnsi="仿宋" w:eastAsia="仿宋" w:cs="仿宋"/>
          <w:color w:val="auto"/>
          <w:sz w:val="24"/>
          <w:szCs w:val="24"/>
          <w:lang w:val="zh-TW" w:eastAsia="zh-TW"/>
        </w:rPr>
      </w:pPr>
      <w:r>
        <w:rPr>
          <w:rFonts w:hint="eastAsia" w:ascii="仿宋" w:hAnsi="仿宋" w:eastAsia="仿宋" w:cs="仿宋"/>
          <w:color w:val="auto"/>
          <w:sz w:val="24"/>
          <w:szCs w:val="24"/>
          <w:lang w:val="zh-TW" w:eastAsia="zh-CN"/>
        </w:rPr>
        <w:t>梧州市人民医院新冠肺炎应急医院病区建设项目总承包</w:t>
      </w:r>
      <w:r>
        <w:rPr>
          <w:rFonts w:hint="eastAsia" w:ascii="仿宋" w:hAnsi="仿宋" w:eastAsia="仿宋" w:cs="仿宋"/>
          <w:color w:val="auto"/>
          <w:sz w:val="24"/>
          <w:szCs w:val="24"/>
          <w:lang w:val="zh-TW" w:eastAsia="zh-TW"/>
        </w:rPr>
        <w:t>，预算约</w:t>
      </w:r>
      <w:r>
        <w:rPr>
          <w:rFonts w:hint="eastAsia" w:ascii="仿宋" w:hAnsi="仿宋" w:eastAsia="仿宋" w:cs="仿宋"/>
          <w:color w:val="auto"/>
          <w:sz w:val="24"/>
          <w:szCs w:val="24"/>
          <w:lang w:val="zh-TW"/>
        </w:rPr>
        <w:t>29</w:t>
      </w:r>
      <w:r>
        <w:rPr>
          <w:rFonts w:hint="eastAsia" w:ascii="仿宋" w:hAnsi="仿宋" w:eastAsia="仿宋" w:cs="仿宋"/>
          <w:color w:val="auto"/>
          <w:sz w:val="24"/>
          <w:szCs w:val="24"/>
          <w:lang w:val="zh-TW" w:eastAsia="zh-TW"/>
        </w:rPr>
        <w:t>0万元。</w:t>
      </w:r>
    </w:p>
    <w:p>
      <w:pPr>
        <w:spacing w:line="240" w:lineRule="auto"/>
        <w:jc w:val="left"/>
        <w:rPr>
          <w:rFonts w:hint="eastAsia" w:ascii="仿宋" w:hAnsi="仿宋" w:eastAsia="仿宋" w:cs="仿宋"/>
          <w:color w:val="auto"/>
          <w:sz w:val="24"/>
          <w:szCs w:val="24"/>
          <w:lang w:val="zh-TW" w:eastAsia="zh-TW"/>
        </w:rPr>
      </w:pPr>
      <w:r>
        <w:rPr>
          <w:rFonts w:hint="eastAsia" w:ascii="仿宋" w:hAnsi="仿宋" w:eastAsia="仿宋" w:cs="仿宋"/>
          <w:color w:val="auto"/>
          <w:sz w:val="24"/>
          <w:szCs w:val="24"/>
          <w:lang w:val="zh-TW" w:eastAsia="zh-TW"/>
        </w:rPr>
        <w:t>（三）主要建设内容</w:t>
      </w:r>
    </w:p>
    <w:p>
      <w:pPr>
        <w:spacing w:line="240" w:lineRule="auto"/>
        <w:ind w:firstLine="480" w:firstLineChars="200"/>
        <w:rPr>
          <w:rFonts w:hint="eastAsia" w:ascii="仿宋" w:hAnsi="仿宋" w:eastAsia="仿宋" w:cs="仿宋"/>
          <w:color w:val="auto"/>
          <w:sz w:val="24"/>
          <w:szCs w:val="24"/>
          <w:lang w:val="zh-TW" w:eastAsia="zh-TW"/>
        </w:rPr>
      </w:pPr>
      <w:r>
        <w:rPr>
          <w:rFonts w:hint="eastAsia" w:ascii="仿宋" w:hAnsi="仿宋" w:eastAsia="仿宋" w:cs="仿宋"/>
          <w:color w:val="auto"/>
          <w:sz w:val="24"/>
          <w:szCs w:val="24"/>
          <w:lang w:val="zh-TW" w:eastAsia="zh-TW"/>
        </w:rPr>
        <w:t>建设内容为</w:t>
      </w:r>
      <w:r>
        <w:rPr>
          <w:rFonts w:hint="eastAsia" w:ascii="仿宋" w:hAnsi="仿宋" w:eastAsia="仿宋" w:cs="仿宋"/>
          <w:color w:val="auto"/>
          <w:sz w:val="24"/>
          <w:szCs w:val="24"/>
          <w:lang w:val="zh-TW" w:eastAsia="zh-CN"/>
        </w:rPr>
        <w:t>梧州市人民医院新冠肺炎应急医院病区建设项目总承包</w:t>
      </w:r>
      <w:r>
        <w:rPr>
          <w:rFonts w:hint="eastAsia" w:ascii="仿宋" w:hAnsi="仿宋" w:eastAsia="仿宋" w:cs="仿宋"/>
          <w:color w:val="auto"/>
          <w:sz w:val="24"/>
          <w:szCs w:val="24"/>
          <w:lang w:val="zh-TW" w:eastAsia="zh-TW"/>
        </w:rPr>
        <w:t>，按新标准进行后备病区改造，进行楼地面、墙面、布局、水电、空调、送排风系统、天花、消防等施工内容改造。</w:t>
      </w:r>
    </w:p>
    <w:p>
      <w:pPr>
        <w:widowControl/>
        <w:spacing w:line="240" w:lineRule="auto"/>
        <w:jc w:val="left"/>
        <w:rPr>
          <w:rFonts w:hint="eastAsia" w:ascii="仿宋" w:hAnsi="仿宋" w:eastAsia="仿宋" w:cs="仿宋"/>
          <w:b/>
          <w:color w:val="auto"/>
          <w:sz w:val="24"/>
          <w:szCs w:val="24"/>
          <w:lang w:val="zh-TW" w:eastAsia="zh-TW"/>
        </w:rPr>
      </w:pPr>
      <w:r>
        <w:rPr>
          <w:rFonts w:hint="eastAsia" w:ascii="仿宋" w:hAnsi="仿宋" w:eastAsia="仿宋" w:cs="仿宋"/>
          <w:b/>
          <w:color w:val="auto"/>
          <w:sz w:val="24"/>
          <w:szCs w:val="24"/>
          <w:lang w:val="zh-TW" w:eastAsia="zh-TW"/>
        </w:rPr>
        <w:t>二、背景、必要性、可行性等</w:t>
      </w:r>
    </w:p>
    <w:p>
      <w:pPr>
        <w:spacing w:line="240" w:lineRule="auto"/>
        <w:jc w:val="left"/>
        <w:rPr>
          <w:rFonts w:hint="eastAsia" w:ascii="仿宋" w:hAnsi="仿宋" w:eastAsia="仿宋" w:cs="仿宋"/>
          <w:color w:val="auto"/>
          <w:sz w:val="24"/>
          <w:szCs w:val="24"/>
          <w:lang w:val="zh-TW" w:eastAsia="zh-TW"/>
        </w:rPr>
      </w:pPr>
      <w:r>
        <w:rPr>
          <w:rFonts w:hint="eastAsia" w:ascii="仿宋" w:hAnsi="仿宋" w:eastAsia="仿宋" w:cs="仿宋"/>
          <w:color w:val="auto"/>
          <w:sz w:val="24"/>
          <w:szCs w:val="24"/>
          <w:lang w:val="zh-TW" w:eastAsia="zh-TW"/>
        </w:rPr>
        <w:t>（一）背景</w:t>
      </w:r>
    </w:p>
    <w:p>
      <w:pPr>
        <w:spacing w:line="240" w:lineRule="auto"/>
        <w:jc w:val="left"/>
        <w:rPr>
          <w:rFonts w:hint="eastAsia" w:ascii="仿宋" w:hAnsi="仿宋" w:eastAsia="仿宋" w:cs="仿宋"/>
          <w:color w:val="auto"/>
          <w:sz w:val="24"/>
          <w:szCs w:val="24"/>
          <w:lang w:val="zh-TW" w:eastAsia="zh-TW"/>
        </w:rPr>
      </w:pPr>
      <w:r>
        <w:rPr>
          <w:rFonts w:hint="eastAsia" w:ascii="仿宋" w:hAnsi="仿宋" w:eastAsia="仿宋" w:cs="仿宋"/>
          <w:color w:val="auto"/>
          <w:sz w:val="24"/>
          <w:szCs w:val="24"/>
          <w:lang w:val="zh-TW" w:eastAsia="zh-TW"/>
        </w:rPr>
        <w:t xml:space="preserve">    2020年1月，我国新型冠状病毒感染肺炎流行，为有效防控疫情，进一步加强对新冠肺炎病人的救治工作，打赢抗击新冠肺炎阻击战。新型冠状病毒感染的肺炎纳入法定传染病管理，各级人民政府、卫生健康行政部门、其他政府部门、医疗卫生机构可以依法采取病人隔离治疗、密切接触者隔离医学观察等系列防控措施，共同预防控制新型冠状病毒感染的肺炎疫情的传播。</w:t>
      </w:r>
    </w:p>
    <w:p>
      <w:pPr>
        <w:spacing w:line="240" w:lineRule="auto"/>
        <w:jc w:val="left"/>
        <w:rPr>
          <w:rFonts w:hint="eastAsia" w:ascii="仿宋" w:hAnsi="仿宋" w:eastAsia="仿宋" w:cs="仿宋"/>
          <w:color w:val="auto"/>
          <w:sz w:val="24"/>
          <w:szCs w:val="24"/>
          <w:lang w:val="zh-TW" w:eastAsia="zh-TW"/>
        </w:rPr>
      </w:pPr>
      <w:r>
        <w:rPr>
          <w:rFonts w:hint="eastAsia" w:ascii="仿宋" w:hAnsi="仿宋" w:eastAsia="仿宋" w:cs="仿宋"/>
          <w:color w:val="auto"/>
          <w:sz w:val="24"/>
          <w:szCs w:val="24"/>
          <w:lang w:val="zh-TW" w:eastAsia="zh-TW"/>
        </w:rPr>
        <w:t>（二) 应急医院病区建设的必要性</w:t>
      </w:r>
    </w:p>
    <w:p>
      <w:pPr>
        <w:spacing w:line="240" w:lineRule="auto"/>
        <w:ind w:firstLine="480" w:firstLineChars="200"/>
        <w:rPr>
          <w:rFonts w:hint="eastAsia" w:ascii="仿宋" w:hAnsi="仿宋" w:eastAsia="仿宋" w:cs="仿宋"/>
          <w:color w:val="auto"/>
          <w:sz w:val="24"/>
          <w:szCs w:val="24"/>
          <w:lang w:val="zh-TW"/>
        </w:rPr>
      </w:pPr>
      <w:r>
        <w:rPr>
          <w:rFonts w:hint="eastAsia" w:ascii="仿宋" w:hAnsi="仿宋" w:eastAsia="仿宋" w:cs="仿宋"/>
          <w:color w:val="auto"/>
          <w:sz w:val="24"/>
          <w:szCs w:val="24"/>
          <w:lang w:val="zh-TW" w:eastAsia="zh-TW"/>
        </w:rPr>
        <w:t>根据《梧州市卫生健康委员会关于确定梧州市人民医院作为新型冠状病毒感染的肺炎市级后备医疗救治定点医院的通知》，对我院5号楼进行改造。用于医疗救治定点收治，服从上级政府和卫生健康行政部门对医疗救治资源的统一调度、指挥，进一步提升救治能力，确保患者得到及时、有效救治。</w:t>
      </w:r>
    </w:p>
    <w:p>
      <w:pPr>
        <w:spacing w:line="240" w:lineRule="auto"/>
        <w:ind w:firstLine="480" w:firstLineChars="200"/>
        <w:jc w:val="left"/>
        <w:rPr>
          <w:rFonts w:hint="eastAsia" w:ascii="仿宋" w:hAnsi="仿宋" w:eastAsia="仿宋" w:cs="仿宋"/>
          <w:color w:val="auto"/>
          <w:sz w:val="24"/>
          <w:szCs w:val="24"/>
          <w:lang w:val="zh-TW"/>
        </w:rPr>
      </w:pPr>
      <w:r>
        <w:rPr>
          <w:rFonts w:hint="eastAsia" w:ascii="仿宋" w:hAnsi="仿宋" w:eastAsia="仿宋" w:cs="仿宋"/>
          <w:color w:val="auto"/>
          <w:sz w:val="24"/>
          <w:szCs w:val="24"/>
          <w:lang w:val="zh-TW" w:eastAsia="zh-TW"/>
        </w:rPr>
        <w:t>目前我院对5号楼进行了隔离病房的初步改造，只能满足</w:t>
      </w:r>
      <w:r>
        <w:rPr>
          <w:rFonts w:hint="eastAsia" w:ascii="仿宋" w:hAnsi="仿宋" w:eastAsia="仿宋" w:cs="仿宋"/>
          <w:color w:val="auto"/>
          <w:sz w:val="24"/>
          <w:szCs w:val="24"/>
          <w:lang w:val="zh-TW"/>
        </w:rPr>
        <w:t>普通病区使用</w:t>
      </w:r>
      <w:r>
        <w:rPr>
          <w:rFonts w:hint="eastAsia" w:ascii="仿宋" w:hAnsi="仿宋" w:eastAsia="仿宋" w:cs="仿宋"/>
          <w:color w:val="auto"/>
          <w:sz w:val="24"/>
          <w:szCs w:val="24"/>
          <w:lang w:val="zh-TW" w:eastAsia="zh-TW"/>
        </w:rPr>
        <w:t>，无法满足突发公共卫生事件、疫情防控病区的使用，需按新标准进行后备病区改造，进行楼地面、墙面、布局、水电、空调、送排风系统、天花、消防等施工内容改造。</w:t>
      </w:r>
    </w:p>
    <w:p>
      <w:pPr>
        <w:spacing w:line="240" w:lineRule="auto"/>
        <w:jc w:val="left"/>
        <w:rPr>
          <w:rFonts w:hint="eastAsia" w:ascii="仿宋" w:hAnsi="仿宋" w:eastAsia="仿宋" w:cs="仿宋"/>
          <w:color w:val="auto"/>
          <w:sz w:val="24"/>
          <w:szCs w:val="24"/>
          <w:lang w:val="zh-TW" w:eastAsia="zh-TW"/>
        </w:rPr>
      </w:pPr>
      <w:r>
        <w:rPr>
          <w:rFonts w:hint="eastAsia" w:ascii="仿宋" w:hAnsi="仿宋" w:eastAsia="仿宋" w:cs="仿宋"/>
          <w:color w:val="auto"/>
          <w:sz w:val="24"/>
          <w:szCs w:val="24"/>
          <w:lang w:val="zh-TW" w:eastAsia="zh-TW"/>
        </w:rPr>
        <w:t xml:space="preserve"> (三) 应急医院病区建设的可行性</w:t>
      </w:r>
    </w:p>
    <w:p>
      <w:pPr>
        <w:spacing w:line="240" w:lineRule="auto"/>
        <w:ind w:firstLine="480" w:firstLineChars="200"/>
        <w:jc w:val="left"/>
        <w:rPr>
          <w:rFonts w:hint="eastAsia" w:ascii="仿宋" w:hAnsi="仿宋" w:eastAsia="仿宋" w:cs="仿宋"/>
          <w:color w:val="auto"/>
          <w:sz w:val="24"/>
          <w:szCs w:val="24"/>
          <w:lang w:val="zh-TW" w:eastAsia="zh-TW"/>
        </w:rPr>
      </w:pPr>
      <w:r>
        <w:rPr>
          <w:rFonts w:hint="eastAsia" w:ascii="仿宋" w:hAnsi="仿宋" w:eastAsia="仿宋" w:cs="仿宋"/>
          <w:color w:val="auto"/>
          <w:sz w:val="24"/>
          <w:szCs w:val="24"/>
          <w:lang w:val="zh-TW" w:eastAsia="zh-TW"/>
        </w:rPr>
        <w:t>根据《新型冠状病毒肺炎应急救治设施设计导则（试行）》，出具后备病区改造方案，严格按照“三区两通道”设置，严格实施医患分区，严格控制空气压力梯度等。</w:t>
      </w:r>
    </w:p>
    <w:p>
      <w:pPr>
        <w:widowControl/>
        <w:spacing w:line="240" w:lineRule="auto"/>
        <w:jc w:val="left"/>
        <w:rPr>
          <w:rFonts w:hint="eastAsia" w:ascii="仿宋" w:hAnsi="仿宋" w:eastAsia="仿宋" w:cs="仿宋"/>
          <w:b/>
          <w:color w:val="auto"/>
          <w:sz w:val="24"/>
          <w:szCs w:val="24"/>
          <w:lang w:val="zh-TW" w:eastAsia="zh-TW"/>
        </w:rPr>
      </w:pPr>
      <w:r>
        <w:rPr>
          <w:rFonts w:hint="eastAsia" w:ascii="仿宋" w:hAnsi="仿宋" w:eastAsia="仿宋" w:cs="仿宋"/>
          <w:b/>
          <w:color w:val="auto"/>
          <w:sz w:val="24"/>
          <w:szCs w:val="24"/>
          <w:lang w:val="zh-TW" w:eastAsia="zh-TW"/>
        </w:rPr>
        <w:t>三、项目建设地址</w:t>
      </w:r>
    </w:p>
    <w:p>
      <w:pPr>
        <w:widowControl/>
        <w:spacing w:line="240" w:lineRule="auto"/>
        <w:ind w:firstLine="460" w:firstLineChars="192"/>
        <w:jc w:val="left"/>
        <w:rPr>
          <w:rFonts w:hint="eastAsia" w:ascii="仿宋" w:hAnsi="仿宋" w:eastAsia="仿宋" w:cs="仿宋"/>
          <w:color w:val="auto"/>
          <w:sz w:val="24"/>
          <w:szCs w:val="24"/>
          <w:lang w:val="zh-TW" w:eastAsia="zh-TW"/>
        </w:rPr>
      </w:pPr>
      <w:r>
        <w:rPr>
          <w:rFonts w:hint="eastAsia" w:ascii="仿宋" w:hAnsi="仿宋" w:eastAsia="仿宋" w:cs="仿宋"/>
          <w:color w:val="auto"/>
          <w:sz w:val="24"/>
          <w:szCs w:val="24"/>
          <w:lang w:val="zh-TW" w:eastAsia="zh-CN"/>
        </w:rPr>
        <w:t>梧州市人民医院新冠肺炎应急医院病区建设项目总承包</w:t>
      </w:r>
      <w:r>
        <w:rPr>
          <w:rFonts w:hint="eastAsia" w:ascii="仿宋" w:hAnsi="仿宋" w:eastAsia="仿宋" w:cs="仿宋"/>
          <w:color w:val="auto"/>
          <w:sz w:val="24"/>
          <w:szCs w:val="24"/>
          <w:lang w:val="zh-TW" w:eastAsia="zh-TW"/>
        </w:rPr>
        <w:t>，位于梧州市人民医院5号楼，与医院普通门（急）诊及住院部相对隔离，通风良好。</w:t>
      </w:r>
    </w:p>
    <w:p>
      <w:pPr>
        <w:spacing w:after="0" w:line="440" w:lineRule="atLeas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pPr>
        <w:pStyle w:val="3"/>
        <w:tabs>
          <w:tab w:val="left" w:pos="1286"/>
        </w:tabs>
        <w:spacing w:before="26"/>
        <w:ind w:right="20"/>
        <w:rPr>
          <w:rFonts w:hint="eastAsia" w:ascii="仿宋" w:hAnsi="仿宋" w:eastAsia="仿宋" w:cs="仿宋"/>
          <w:b w:val="0"/>
          <w:color w:val="auto"/>
          <w:highlight w:val="none"/>
        </w:rPr>
      </w:pPr>
      <w:bookmarkStart w:id="133" w:name="_Toc10778"/>
      <w:bookmarkStart w:id="134" w:name="_Toc7751"/>
      <w:bookmarkStart w:id="135" w:name="_Toc511082976"/>
      <w:r>
        <w:rPr>
          <w:rFonts w:hint="eastAsia" w:ascii="仿宋" w:hAnsi="仿宋" w:eastAsia="仿宋" w:cs="仿宋"/>
          <w:b/>
          <w:color w:val="auto"/>
        </w:rPr>
        <w:t>第五章</w:t>
      </w:r>
      <w:bookmarkEnd w:id="127"/>
      <w:bookmarkEnd w:id="128"/>
      <w:bookmarkEnd w:id="129"/>
      <w:bookmarkEnd w:id="130"/>
      <w:bookmarkEnd w:id="131"/>
      <w:r>
        <w:rPr>
          <w:rFonts w:hint="eastAsia" w:ascii="仿宋" w:hAnsi="仿宋" w:eastAsia="仿宋" w:cs="仿宋"/>
          <w:b/>
          <w:color w:val="auto"/>
        </w:rPr>
        <w:t xml:space="preserve">  </w:t>
      </w:r>
      <w:bookmarkEnd w:id="132"/>
      <w:bookmarkEnd w:id="133"/>
      <w:bookmarkEnd w:id="134"/>
      <w:bookmarkEnd w:id="135"/>
      <w:r>
        <w:rPr>
          <w:rFonts w:hint="eastAsia" w:ascii="仿宋" w:hAnsi="仿宋" w:eastAsia="仿宋" w:cs="仿宋"/>
          <w:b w:val="0"/>
          <w:bCs w:val="0"/>
          <w:color w:val="auto"/>
          <w:sz w:val="44"/>
          <w:szCs w:val="22"/>
          <w:highlight w:val="none"/>
          <w:lang w:val="zh-CN" w:eastAsia="zh-CN" w:bidi="zh-CN"/>
        </w:rPr>
        <w:t>合同主要条款</w:t>
      </w:r>
    </w:p>
    <w:p>
      <w:pPr>
        <w:pStyle w:val="19"/>
        <w:spacing w:before="3"/>
        <w:rPr>
          <w:rFonts w:hint="eastAsia" w:ascii="仿宋" w:hAnsi="仿宋" w:eastAsia="仿宋" w:cs="仿宋"/>
          <w:b w:val="0"/>
          <w:color w:val="auto"/>
          <w:sz w:val="34"/>
          <w:highlight w:val="none"/>
        </w:rPr>
      </w:pPr>
    </w:p>
    <w:p>
      <w:pPr>
        <w:ind w:firstLine="420"/>
        <w:rPr>
          <w:rFonts w:hint="eastAsia" w:ascii="仿宋" w:hAnsi="仿宋" w:eastAsia="仿宋" w:cs="仿宋"/>
          <w:b w:val="0"/>
          <w:color w:val="auto"/>
          <w:sz w:val="24"/>
          <w:highlight w:val="none"/>
        </w:rPr>
      </w:pPr>
      <w:bookmarkStart w:id="136" w:name="_bookmark5"/>
      <w:bookmarkEnd w:id="136"/>
    </w:p>
    <w:p>
      <w:pPr>
        <w:jc w:val="center"/>
        <w:rPr>
          <w:rFonts w:hint="eastAsia" w:ascii="仿宋" w:hAnsi="仿宋" w:eastAsia="仿宋" w:cs="仿宋"/>
          <w:b w:val="0"/>
          <w:color w:val="auto"/>
          <w:sz w:val="44"/>
          <w:highlight w:val="none"/>
        </w:rPr>
      </w:pPr>
      <w:r>
        <w:rPr>
          <w:rFonts w:hint="eastAsia" w:ascii="仿宋" w:hAnsi="仿宋" w:eastAsia="仿宋" w:cs="仿宋"/>
          <w:b w:val="0"/>
          <w:color w:val="auto"/>
          <w:sz w:val="44"/>
          <w:highlight w:val="none"/>
          <w:u w:val="single"/>
        </w:rPr>
        <w:t>（项目名称）</w:t>
      </w:r>
      <w:r>
        <w:rPr>
          <w:rFonts w:hint="eastAsia" w:ascii="仿宋" w:hAnsi="仿宋" w:eastAsia="仿宋" w:cs="仿宋"/>
          <w:b w:val="0"/>
          <w:color w:val="auto"/>
          <w:sz w:val="44"/>
          <w:highlight w:val="none"/>
        </w:rPr>
        <w:t>工程总承包</w:t>
      </w:r>
    </w:p>
    <w:p>
      <w:pPr>
        <w:ind w:firstLine="1446"/>
        <w:jc w:val="center"/>
        <w:rPr>
          <w:rFonts w:hint="eastAsia" w:ascii="仿宋" w:hAnsi="仿宋" w:eastAsia="仿宋" w:cs="仿宋"/>
          <w:b w:val="0"/>
          <w:color w:val="auto"/>
          <w:sz w:val="72"/>
          <w:highlight w:val="none"/>
        </w:rPr>
      </w:pPr>
    </w:p>
    <w:p>
      <w:pPr>
        <w:jc w:val="center"/>
        <w:rPr>
          <w:rFonts w:hint="eastAsia" w:ascii="仿宋" w:hAnsi="仿宋" w:eastAsia="仿宋" w:cs="仿宋"/>
          <w:b w:val="0"/>
          <w:color w:val="auto"/>
          <w:sz w:val="72"/>
          <w:highlight w:val="none"/>
        </w:rPr>
      </w:pPr>
      <w:r>
        <w:rPr>
          <w:rFonts w:hint="eastAsia" w:ascii="仿宋" w:hAnsi="仿宋" w:eastAsia="仿宋" w:cs="仿宋"/>
          <w:b w:val="0"/>
          <w:color w:val="auto"/>
          <w:sz w:val="72"/>
          <w:highlight w:val="none"/>
        </w:rPr>
        <w:t>总承包合同</w:t>
      </w:r>
    </w:p>
    <w:p>
      <w:pPr>
        <w:ind w:firstLine="643"/>
        <w:rPr>
          <w:rFonts w:hint="eastAsia" w:ascii="仿宋" w:hAnsi="仿宋" w:eastAsia="仿宋" w:cs="仿宋"/>
          <w:b w:val="0"/>
          <w:color w:val="auto"/>
          <w:sz w:val="32"/>
          <w:highlight w:val="none"/>
        </w:rPr>
      </w:pPr>
    </w:p>
    <w:p>
      <w:pPr>
        <w:ind w:firstLine="640"/>
        <w:rPr>
          <w:rFonts w:hint="eastAsia" w:ascii="仿宋" w:hAnsi="仿宋" w:eastAsia="仿宋" w:cs="仿宋"/>
          <w:b w:val="0"/>
          <w:color w:val="auto"/>
          <w:sz w:val="32"/>
          <w:highlight w:val="none"/>
        </w:rPr>
      </w:pPr>
    </w:p>
    <w:p>
      <w:pPr>
        <w:ind w:firstLine="640"/>
        <w:rPr>
          <w:rFonts w:hint="eastAsia" w:ascii="仿宋" w:hAnsi="仿宋" w:eastAsia="仿宋" w:cs="仿宋"/>
          <w:b w:val="0"/>
          <w:color w:val="auto"/>
          <w:sz w:val="32"/>
          <w:highlight w:val="none"/>
        </w:rPr>
      </w:pPr>
    </w:p>
    <w:p>
      <w:pPr>
        <w:ind w:firstLine="640"/>
        <w:rPr>
          <w:rFonts w:hint="eastAsia" w:ascii="仿宋" w:hAnsi="仿宋" w:eastAsia="仿宋" w:cs="仿宋"/>
          <w:b w:val="0"/>
          <w:color w:val="auto"/>
          <w:sz w:val="32"/>
          <w:highlight w:val="none"/>
        </w:rPr>
      </w:pPr>
    </w:p>
    <w:p>
      <w:pPr>
        <w:ind w:firstLine="640"/>
        <w:rPr>
          <w:rFonts w:hint="eastAsia" w:ascii="仿宋" w:hAnsi="仿宋" w:eastAsia="仿宋" w:cs="仿宋"/>
          <w:b w:val="0"/>
          <w:color w:val="auto"/>
          <w:sz w:val="32"/>
          <w:highlight w:val="none"/>
        </w:rPr>
      </w:pPr>
    </w:p>
    <w:p>
      <w:pPr>
        <w:ind w:firstLine="640"/>
        <w:rPr>
          <w:rFonts w:hint="eastAsia" w:ascii="仿宋" w:hAnsi="仿宋" w:eastAsia="仿宋" w:cs="仿宋"/>
          <w:b w:val="0"/>
          <w:color w:val="auto"/>
          <w:sz w:val="32"/>
          <w:highlight w:val="none"/>
        </w:rPr>
      </w:pPr>
    </w:p>
    <w:p>
      <w:pPr>
        <w:ind w:firstLine="640"/>
        <w:rPr>
          <w:rFonts w:hint="eastAsia" w:ascii="仿宋" w:hAnsi="仿宋" w:eastAsia="仿宋" w:cs="仿宋"/>
          <w:b w:val="0"/>
          <w:color w:val="auto"/>
          <w:sz w:val="32"/>
          <w:highlight w:val="none"/>
        </w:rPr>
      </w:pPr>
    </w:p>
    <w:p>
      <w:pPr>
        <w:ind w:firstLine="640"/>
        <w:rPr>
          <w:rFonts w:hint="eastAsia" w:ascii="仿宋" w:hAnsi="仿宋" w:eastAsia="仿宋" w:cs="仿宋"/>
          <w:b w:val="0"/>
          <w:color w:val="auto"/>
          <w:sz w:val="32"/>
          <w:highlight w:val="none"/>
        </w:rPr>
      </w:pPr>
    </w:p>
    <w:p>
      <w:pPr>
        <w:ind w:firstLine="640"/>
        <w:rPr>
          <w:rFonts w:hint="eastAsia" w:ascii="仿宋" w:hAnsi="仿宋" w:eastAsia="仿宋" w:cs="仿宋"/>
          <w:b w:val="0"/>
          <w:color w:val="auto"/>
          <w:sz w:val="32"/>
          <w:highlight w:val="none"/>
        </w:rPr>
      </w:pPr>
    </w:p>
    <w:p>
      <w:pPr>
        <w:ind w:firstLine="640"/>
        <w:rPr>
          <w:rFonts w:hint="eastAsia" w:ascii="仿宋" w:hAnsi="仿宋" w:eastAsia="仿宋" w:cs="仿宋"/>
          <w:b w:val="0"/>
          <w:color w:val="auto"/>
          <w:sz w:val="28"/>
          <w:highlight w:val="none"/>
        </w:rPr>
      </w:pPr>
      <w:r>
        <w:rPr>
          <w:rFonts w:hint="eastAsia" w:ascii="仿宋" w:hAnsi="仿宋" w:eastAsia="仿宋" w:cs="仿宋"/>
          <w:b w:val="0"/>
          <w:color w:val="auto"/>
          <w:sz w:val="28"/>
          <w:highlight w:val="none"/>
        </w:rPr>
        <w:t>发包方（甲方）：</w:t>
      </w:r>
      <w:r>
        <w:rPr>
          <w:rFonts w:hint="eastAsia" w:ascii="仿宋" w:hAnsi="仿宋" w:eastAsia="仿宋" w:cs="仿宋"/>
          <w:b w:val="0"/>
          <w:color w:val="auto"/>
          <w:sz w:val="28"/>
          <w:highlight w:val="none"/>
          <w:u w:val="single"/>
        </w:rPr>
        <w:t xml:space="preserve">                            </w:t>
      </w:r>
    </w:p>
    <w:p>
      <w:pPr>
        <w:ind w:firstLine="640"/>
        <w:rPr>
          <w:rFonts w:hint="eastAsia" w:ascii="仿宋" w:hAnsi="仿宋" w:eastAsia="仿宋" w:cs="仿宋"/>
          <w:b w:val="0"/>
          <w:color w:val="auto"/>
          <w:sz w:val="28"/>
          <w:highlight w:val="none"/>
        </w:rPr>
      </w:pPr>
    </w:p>
    <w:p>
      <w:pPr>
        <w:ind w:firstLine="640"/>
        <w:rPr>
          <w:rFonts w:hint="eastAsia" w:ascii="仿宋" w:hAnsi="仿宋" w:eastAsia="仿宋" w:cs="仿宋"/>
          <w:b w:val="0"/>
          <w:color w:val="auto"/>
          <w:sz w:val="28"/>
          <w:highlight w:val="none"/>
        </w:rPr>
      </w:pPr>
      <w:r>
        <w:rPr>
          <w:rFonts w:hint="eastAsia" w:ascii="仿宋" w:hAnsi="仿宋" w:eastAsia="仿宋" w:cs="仿宋"/>
          <w:b w:val="0"/>
          <w:color w:val="auto"/>
          <w:sz w:val="28"/>
          <w:highlight w:val="none"/>
        </w:rPr>
        <w:t>承包方牵头单位（乙方）：</w:t>
      </w:r>
      <w:r>
        <w:rPr>
          <w:rFonts w:hint="eastAsia" w:ascii="仿宋" w:hAnsi="仿宋" w:eastAsia="仿宋" w:cs="仿宋"/>
          <w:b w:val="0"/>
          <w:color w:val="auto"/>
          <w:sz w:val="28"/>
          <w:highlight w:val="none"/>
          <w:u w:val="single"/>
        </w:rPr>
        <w:t xml:space="preserve">                    </w:t>
      </w:r>
    </w:p>
    <w:p>
      <w:pPr>
        <w:ind w:firstLine="640"/>
        <w:rPr>
          <w:rFonts w:hint="eastAsia" w:ascii="仿宋" w:hAnsi="仿宋" w:eastAsia="仿宋" w:cs="仿宋"/>
          <w:b w:val="0"/>
          <w:color w:val="auto"/>
          <w:sz w:val="28"/>
          <w:highlight w:val="none"/>
        </w:rPr>
      </w:pPr>
    </w:p>
    <w:p>
      <w:pPr>
        <w:ind w:firstLine="640"/>
        <w:rPr>
          <w:rFonts w:hint="eastAsia" w:ascii="仿宋" w:hAnsi="仿宋" w:eastAsia="仿宋" w:cs="仿宋"/>
          <w:b w:val="0"/>
          <w:color w:val="auto"/>
          <w:sz w:val="28"/>
          <w:highlight w:val="none"/>
          <w:u w:val="single"/>
        </w:rPr>
      </w:pPr>
      <w:r>
        <w:rPr>
          <w:rFonts w:hint="eastAsia" w:ascii="仿宋" w:hAnsi="仿宋" w:eastAsia="仿宋" w:cs="仿宋"/>
          <w:b w:val="0"/>
          <w:color w:val="auto"/>
          <w:sz w:val="28"/>
          <w:highlight w:val="none"/>
        </w:rPr>
        <w:t>承包方成员单位（丙方）：</w:t>
      </w:r>
      <w:r>
        <w:rPr>
          <w:rFonts w:hint="eastAsia" w:ascii="仿宋" w:hAnsi="仿宋" w:eastAsia="仿宋" w:cs="仿宋"/>
          <w:b w:val="0"/>
          <w:color w:val="auto"/>
          <w:sz w:val="28"/>
          <w:highlight w:val="none"/>
          <w:u w:val="single"/>
        </w:rPr>
        <w:t xml:space="preserve">                    </w:t>
      </w:r>
    </w:p>
    <w:p>
      <w:pPr>
        <w:ind w:firstLine="640"/>
        <w:jc w:val="center"/>
        <w:rPr>
          <w:rFonts w:hint="eastAsia" w:ascii="仿宋" w:hAnsi="仿宋" w:eastAsia="仿宋" w:cs="仿宋"/>
          <w:b w:val="0"/>
          <w:color w:val="auto"/>
          <w:sz w:val="32"/>
          <w:highlight w:val="none"/>
        </w:rPr>
      </w:pPr>
    </w:p>
    <w:p>
      <w:pPr>
        <w:ind w:firstLine="640"/>
        <w:jc w:val="center"/>
        <w:rPr>
          <w:rFonts w:hint="eastAsia" w:ascii="仿宋" w:hAnsi="仿宋" w:eastAsia="仿宋" w:cs="仿宋"/>
          <w:b w:val="0"/>
          <w:color w:val="auto"/>
          <w:sz w:val="32"/>
          <w:highlight w:val="none"/>
        </w:rPr>
      </w:pPr>
    </w:p>
    <w:p>
      <w:pPr>
        <w:jc w:val="center"/>
        <w:rPr>
          <w:rFonts w:hint="eastAsia" w:ascii="仿宋" w:hAnsi="仿宋" w:eastAsia="仿宋" w:cs="仿宋"/>
          <w:b w:val="0"/>
          <w:color w:val="auto"/>
          <w:sz w:val="28"/>
          <w:highlight w:val="none"/>
        </w:rPr>
      </w:pPr>
    </w:p>
    <w:p>
      <w:pPr>
        <w:jc w:val="center"/>
        <w:rPr>
          <w:rFonts w:hint="eastAsia" w:ascii="仿宋" w:hAnsi="仿宋" w:eastAsia="仿宋" w:cs="仿宋"/>
          <w:b w:val="0"/>
          <w:color w:val="auto"/>
          <w:sz w:val="28"/>
          <w:highlight w:val="none"/>
        </w:rPr>
      </w:pPr>
      <w:r>
        <w:rPr>
          <w:rFonts w:hint="eastAsia" w:ascii="仿宋" w:hAnsi="仿宋" w:eastAsia="仿宋" w:cs="仿宋"/>
          <w:b w:val="0"/>
          <w:color w:val="auto"/>
          <w:sz w:val="28"/>
          <w:highlight w:val="none"/>
        </w:rPr>
        <w:t>目 录</w:t>
      </w:r>
    </w:p>
    <w:p>
      <w:pPr>
        <w:ind w:firstLine="640"/>
        <w:jc w:val="center"/>
        <w:rPr>
          <w:rFonts w:hint="eastAsia" w:ascii="仿宋" w:hAnsi="仿宋" w:eastAsia="仿宋" w:cs="仿宋"/>
          <w:b w:val="0"/>
          <w:color w:val="auto"/>
          <w:sz w:val="28"/>
          <w:highlight w:val="none"/>
        </w:rPr>
      </w:pPr>
    </w:p>
    <w:p>
      <w:pPr>
        <w:ind w:firstLine="600"/>
        <w:rPr>
          <w:rFonts w:hint="eastAsia" w:ascii="仿宋" w:hAnsi="仿宋" w:eastAsia="仿宋" w:cs="仿宋"/>
          <w:b w:val="0"/>
          <w:color w:val="auto"/>
          <w:sz w:val="28"/>
          <w:highlight w:val="none"/>
        </w:rPr>
      </w:pPr>
      <w:r>
        <w:rPr>
          <w:rFonts w:hint="eastAsia" w:ascii="仿宋" w:hAnsi="仿宋" w:eastAsia="仿宋" w:cs="仿宋"/>
          <w:b w:val="0"/>
          <w:color w:val="auto"/>
          <w:sz w:val="28"/>
          <w:highlight w:val="none"/>
        </w:rPr>
        <w:t>第一部分  合同协议书</w:t>
      </w:r>
    </w:p>
    <w:p>
      <w:pPr>
        <w:ind w:firstLine="600"/>
        <w:rPr>
          <w:rFonts w:hint="eastAsia" w:ascii="仿宋" w:hAnsi="仿宋" w:eastAsia="仿宋" w:cs="仿宋"/>
          <w:b w:val="0"/>
          <w:color w:val="auto"/>
          <w:sz w:val="28"/>
          <w:highlight w:val="none"/>
        </w:rPr>
      </w:pPr>
      <w:r>
        <w:rPr>
          <w:rFonts w:hint="eastAsia" w:ascii="仿宋" w:hAnsi="仿宋" w:eastAsia="仿宋" w:cs="仿宋"/>
          <w:b w:val="0"/>
          <w:color w:val="auto"/>
          <w:sz w:val="28"/>
          <w:highlight w:val="none"/>
        </w:rPr>
        <w:t>第二部分  通用合同条款</w:t>
      </w:r>
    </w:p>
    <w:p>
      <w:pPr>
        <w:ind w:firstLine="600"/>
        <w:rPr>
          <w:rFonts w:hint="eastAsia" w:ascii="仿宋" w:hAnsi="仿宋" w:eastAsia="仿宋" w:cs="仿宋"/>
          <w:b w:val="0"/>
          <w:color w:val="auto"/>
          <w:sz w:val="28"/>
          <w:highlight w:val="none"/>
        </w:rPr>
      </w:pPr>
      <w:r>
        <w:rPr>
          <w:rFonts w:hint="eastAsia" w:ascii="仿宋" w:hAnsi="仿宋" w:eastAsia="仿宋" w:cs="仿宋"/>
          <w:b w:val="0"/>
          <w:color w:val="auto"/>
          <w:sz w:val="28"/>
          <w:highlight w:val="none"/>
        </w:rPr>
        <w:t>第三部分  专用合同条款</w:t>
      </w:r>
    </w:p>
    <w:p>
      <w:pPr>
        <w:ind w:firstLine="600"/>
        <w:rPr>
          <w:rFonts w:hint="eastAsia" w:ascii="仿宋" w:hAnsi="仿宋" w:eastAsia="仿宋" w:cs="仿宋"/>
          <w:b w:val="0"/>
          <w:color w:val="auto"/>
          <w:sz w:val="28"/>
          <w:highlight w:val="none"/>
        </w:rPr>
        <w:sectPr>
          <w:pgSz w:w="11906" w:h="16838"/>
          <w:pgMar w:top="1440" w:right="1440" w:bottom="1440" w:left="1797" w:header="851" w:footer="851" w:gutter="0"/>
          <w:pgBorders>
            <w:top w:val="none" w:sz="0" w:space="0"/>
            <w:left w:val="none" w:sz="0" w:space="0"/>
            <w:bottom w:val="none" w:sz="0" w:space="0"/>
            <w:right w:val="none" w:sz="0" w:space="0"/>
          </w:pgBorders>
          <w:lnNumType w:countBy="0" w:distance="360"/>
          <w:pgNumType w:fmt="decimal"/>
          <w:cols w:space="720" w:num="1"/>
          <w:docGrid w:linePitch="312" w:charSpace="0"/>
        </w:sectPr>
      </w:pPr>
      <w:r>
        <w:rPr>
          <w:rFonts w:hint="eastAsia" w:ascii="仿宋" w:hAnsi="仿宋" w:eastAsia="仿宋" w:cs="仿宋"/>
          <w:b w:val="0"/>
          <w:color w:val="auto"/>
          <w:sz w:val="28"/>
          <w:highlight w:val="none"/>
        </w:rPr>
        <w:t>第四部分  合同附件</w:t>
      </w:r>
    </w:p>
    <w:p>
      <w:pPr>
        <w:pStyle w:val="4"/>
        <w:ind w:left="0" w:leftChars="0" w:firstLine="0" w:firstLineChars="0"/>
        <w:jc w:val="center"/>
        <w:rPr>
          <w:rFonts w:hint="eastAsia" w:ascii="仿宋" w:hAnsi="仿宋" w:eastAsia="仿宋" w:cs="仿宋"/>
          <w:b w:val="0"/>
          <w:color w:val="auto"/>
          <w:sz w:val="28"/>
          <w:highlight w:val="none"/>
        </w:rPr>
      </w:pPr>
      <w:bookmarkStart w:id="137" w:name="_Toc419321242"/>
      <w:bookmarkStart w:id="138" w:name="_Toc832314542"/>
      <w:bookmarkStart w:id="139" w:name="_Toc433988695"/>
      <w:bookmarkStart w:id="140" w:name="_Toc1794428434"/>
      <w:bookmarkStart w:id="141" w:name="_Toc1916716437"/>
      <w:bookmarkStart w:id="142" w:name="_Toc419364333"/>
      <w:bookmarkStart w:id="143" w:name="_Toc419320206"/>
      <w:bookmarkStart w:id="144" w:name="_Toc1101548524"/>
      <w:bookmarkStart w:id="145" w:name="_Toc1209274881"/>
      <w:bookmarkStart w:id="146" w:name="_Toc29122"/>
      <w:bookmarkStart w:id="147" w:name="_Toc1915846326"/>
      <w:bookmarkStart w:id="148" w:name="_Toc499379754"/>
      <w:bookmarkStart w:id="149" w:name="_Toc224196181"/>
      <w:bookmarkStart w:id="150" w:name="_Toc698177041"/>
      <w:bookmarkStart w:id="151" w:name="_Toc1495448874"/>
      <w:bookmarkStart w:id="152" w:name="_Toc419363662"/>
      <w:r>
        <w:rPr>
          <w:rFonts w:hint="eastAsia" w:ascii="仿宋" w:hAnsi="仿宋" w:eastAsia="仿宋" w:cs="仿宋"/>
          <w:b w:val="0"/>
          <w:color w:val="auto"/>
          <w:sz w:val="28"/>
          <w:highlight w:val="none"/>
        </w:rPr>
        <w:t>第一部分  合同协议书</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pPr>
        <w:spacing w:line="300" w:lineRule="auto"/>
        <w:rPr>
          <w:rFonts w:hint="eastAsia" w:ascii="仿宋" w:hAnsi="仿宋" w:eastAsia="仿宋" w:cs="仿宋"/>
          <w:b w:val="0"/>
          <w:color w:val="auto"/>
          <w:sz w:val="24"/>
          <w:highlight w:val="none"/>
        </w:rPr>
      </w:pPr>
    </w:p>
    <w:p>
      <w:pPr>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合同协议书</w:t>
      </w:r>
    </w:p>
    <w:p>
      <w:pPr>
        <w:rPr>
          <w:rFonts w:hint="eastAsia" w:ascii="仿宋" w:hAnsi="仿宋" w:eastAsia="仿宋" w:cs="仿宋"/>
          <w:b w:val="0"/>
          <w:color w:val="auto"/>
          <w:sz w:val="24"/>
          <w:highlight w:val="none"/>
        </w:rPr>
      </w:pP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u w:val="single"/>
        </w:rPr>
        <w:t xml:space="preserve">     </w:t>
      </w:r>
      <w:r>
        <w:rPr>
          <w:rFonts w:hint="eastAsia" w:ascii="仿宋" w:hAnsi="仿宋" w:eastAsia="仿宋" w:cs="仿宋"/>
          <w:b w:val="0"/>
          <w:color w:val="auto"/>
          <w:sz w:val="24"/>
          <w:szCs w:val="24"/>
          <w:highlight w:val="none"/>
        </w:rPr>
        <w:t>（发包人名称，以下简称“发包人”）为实施</w:t>
      </w:r>
      <w:r>
        <w:rPr>
          <w:rFonts w:hint="eastAsia" w:ascii="仿宋" w:hAnsi="仿宋" w:eastAsia="仿宋" w:cs="仿宋"/>
          <w:b w:val="0"/>
          <w:color w:val="auto"/>
          <w:sz w:val="24"/>
          <w:szCs w:val="24"/>
          <w:highlight w:val="none"/>
          <w:u w:val="single"/>
        </w:rPr>
        <w:t xml:space="preserve">     </w:t>
      </w:r>
      <w:r>
        <w:rPr>
          <w:rFonts w:hint="eastAsia" w:ascii="仿宋" w:hAnsi="仿宋" w:eastAsia="仿宋" w:cs="仿宋"/>
          <w:b w:val="0"/>
          <w:color w:val="auto"/>
          <w:sz w:val="24"/>
          <w:szCs w:val="24"/>
          <w:highlight w:val="none"/>
        </w:rPr>
        <w:t>（项目名称）已接受</w:t>
      </w:r>
      <w:r>
        <w:rPr>
          <w:rFonts w:hint="eastAsia" w:ascii="仿宋" w:hAnsi="仿宋" w:eastAsia="仿宋" w:cs="仿宋"/>
          <w:b w:val="0"/>
          <w:color w:val="auto"/>
          <w:sz w:val="24"/>
          <w:szCs w:val="24"/>
          <w:highlight w:val="none"/>
          <w:u w:val="single"/>
        </w:rPr>
        <w:t xml:space="preserve">     </w:t>
      </w:r>
      <w:r>
        <w:rPr>
          <w:rFonts w:hint="eastAsia" w:ascii="仿宋" w:hAnsi="仿宋" w:eastAsia="仿宋" w:cs="仿宋"/>
          <w:b w:val="0"/>
          <w:color w:val="auto"/>
          <w:sz w:val="24"/>
          <w:szCs w:val="24"/>
          <w:highlight w:val="none"/>
        </w:rPr>
        <w:t>（承包人名称，以下简称“承包人”）对该项目的工程总承包投标。发包人和承包人共同达成如下协议。</w:t>
      </w:r>
    </w:p>
    <w:p>
      <w:pPr>
        <w:spacing w:after="0" w:line="360" w:lineRule="auto"/>
        <w:ind w:firstLine="480" w:firstLineChars="200"/>
        <w:rPr>
          <w:rFonts w:hint="eastAsia" w:ascii="仿宋" w:hAnsi="仿宋" w:eastAsia="仿宋" w:cs="仿宋"/>
          <w:b w:val="0"/>
          <w:color w:val="auto"/>
          <w:sz w:val="24"/>
          <w:szCs w:val="24"/>
          <w:highlight w:val="none"/>
        </w:rPr>
      </w:pPr>
      <w:bookmarkStart w:id="153" w:name="_Toc144974828"/>
      <w:bookmarkStart w:id="154" w:name="_Toc152042548"/>
      <w:r>
        <w:rPr>
          <w:rFonts w:hint="eastAsia" w:ascii="仿宋" w:hAnsi="仿宋" w:eastAsia="仿宋" w:cs="仿宋"/>
          <w:b w:val="0"/>
          <w:color w:val="auto"/>
          <w:sz w:val="24"/>
          <w:szCs w:val="24"/>
          <w:highlight w:val="none"/>
        </w:rPr>
        <w:t>1. 本协议书与下列文件一起构成合同文件：</w:t>
      </w:r>
      <w:bookmarkEnd w:id="153"/>
      <w:bookmarkEnd w:id="154"/>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（1）本合同协议书</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（2）本合同专用条款</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（3）中标通知书</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（4）招投标文件及其附件</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（5）本合同通用条款</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（6）合同附件</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（7）标准、规范及有关技术文件</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（8）设计文件、资料和图纸</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（9）双方约定构成合同组成部分的其它文件</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双方在履行合同过程中形成的双方授权代表签署的会议纪要、备忘录、补充文件、变更和洽商等书面形式的文件构成本合同的组成部分。</w:t>
      </w:r>
      <w:bookmarkStart w:id="155" w:name="_Toc144974829"/>
      <w:bookmarkStart w:id="156" w:name="_Toc152042549"/>
    </w:p>
    <w:p>
      <w:pPr>
        <w:numPr>
          <w:ilvl w:val="0"/>
          <w:numId w:val="4"/>
        </w:num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上述文件互相补充和解释，如有不明确或不一致之处，以合同约定次序在先者为准。</w:t>
      </w:r>
      <w:bookmarkEnd w:id="155"/>
      <w:bookmarkEnd w:id="156"/>
    </w:p>
    <w:p>
      <w:pPr>
        <w:numPr>
          <w:ilvl w:val="0"/>
          <w:numId w:val="4"/>
        </w:numPr>
        <w:spacing w:after="0" w:line="360" w:lineRule="auto"/>
        <w:ind w:firstLine="480" w:firstLineChars="200"/>
        <w:rPr>
          <w:rFonts w:hint="eastAsia" w:ascii="仿宋" w:hAnsi="仿宋" w:eastAsia="仿宋" w:cs="仿宋"/>
          <w:b w:val="0"/>
          <w:color w:val="auto"/>
          <w:sz w:val="24"/>
          <w:szCs w:val="24"/>
          <w:highlight w:val="none"/>
          <w:u w:val="single"/>
        </w:rPr>
      </w:pPr>
      <w:r>
        <w:rPr>
          <w:rFonts w:hint="eastAsia" w:ascii="仿宋" w:hAnsi="仿宋" w:eastAsia="仿宋" w:cs="仿宋"/>
          <w:b w:val="0"/>
          <w:color w:val="auto"/>
          <w:sz w:val="24"/>
          <w:szCs w:val="24"/>
          <w:highlight w:val="none"/>
        </w:rPr>
        <w:t>工程概况</w:t>
      </w:r>
    </w:p>
    <w:p>
      <w:pPr>
        <w:spacing w:after="0" w:line="360" w:lineRule="auto"/>
        <w:ind w:firstLine="480" w:firstLineChars="200"/>
        <w:rPr>
          <w:rFonts w:hint="eastAsia" w:ascii="仿宋" w:hAnsi="仿宋" w:eastAsia="仿宋" w:cs="仿宋"/>
          <w:b w:val="0"/>
          <w:color w:val="auto"/>
          <w:sz w:val="24"/>
          <w:szCs w:val="24"/>
          <w:highlight w:val="none"/>
          <w:u w:val="single"/>
        </w:rPr>
      </w:pPr>
      <w:r>
        <w:rPr>
          <w:rFonts w:hint="eastAsia" w:ascii="仿宋" w:hAnsi="仿宋" w:eastAsia="仿宋" w:cs="仿宋"/>
          <w:b w:val="0"/>
          <w:color w:val="auto"/>
          <w:sz w:val="24"/>
          <w:szCs w:val="24"/>
          <w:highlight w:val="none"/>
        </w:rPr>
        <w:t>（1）工程名称：</w:t>
      </w:r>
      <w:r>
        <w:rPr>
          <w:rFonts w:hint="eastAsia" w:ascii="仿宋" w:hAnsi="仿宋" w:eastAsia="仿宋" w:cs="仿宋"/>
          <w:b w:val="0"/>
          <w:color w:val="auto"/>
          <w:sz w:val="24"/>
          <w:szCs w:val="24"/>
          <w:highlight w:val="none"/>
          <w:u w:val="single"/>
        </w:rPr>
        <w:t xml:space="preserve">          </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（2）工程地点：</w:t>
      </w:r>
      <w:r>
        <w:rPr>
          <w:rFonts w:hint="eastAsia" w:ascii="仿宋" w:hAnsi="仿宋" w:eastAsia="仿宋" w:cs="仿宋"/>
          <w:b w:val="0"/>
          <w:color w:val="auto"/>
          <w:sz w:val="24"/>
          <w:szCs w:val="24"/>
          <w:highlight w:val="none"/>
          <w:u w:val="single"/>
        </w:rPr>
        <w:t xml:space="preserve">          </w:t>
      </w:r>
      <w:r>
        <w:rPr>
          <w:rFonts w:hint="eastAsia" w:ascii="仿宋" w:hAnsi="仿宋" w:eastAsia="仿宋" w:cs="仿宋"/>
          <w:b w:val="0"/>
          <w:color w:val="auto"/>
          <w:sz w:val="24"/>
          <w:szCs w:val="24"/>
          <w:highlight w:val="none"/>
        </w:rPr>
        <w:t xml:space="preserve"> </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（3）工程内容：</w:t>
      </w:r>
      <w:r>
        <w:rPr>
          <w:rFonts w:hint="eastAsia" w:ascii="仿宋" w:hAnsi="仿宋" w:eastAsia="仿宋" w:cs="仿宋"/>
          <w:b w:val="0"/>
          <w:color w:val="auto"/>
          <w:sz w:val="24"/>
          <w:szCs w:val="24"/>
          <w:highlight w:val="none"/>
          <w:u w:val="single"/>
        </w:rPr>
        <w:t xml:space="preserve">          </w:t>
      </w:r>
    </w:p>
    <w:p>
      <w:pPr>
        <w:spacing w:after="0" w:line="360" w:lineRule="auto"/>
        <w:ind w:firstLine="480" w:firstLineChars="200"/>
        <w:rPr>
          <w:rFonts w:hint="eastAsia" w:ascii="仿宋" w:hAnsi="仿宋" w:eastAsia="仿宋" w:cs="仿宋"/>
          <w:b w:val="0"/>
          <w:color w:val="auto"/>
          <w:sz w:val="24"/>
          <w:szCs w:val="24"/>
          <w:highlight w:val="none"/>
          <w:u w:val="single"/>
        </w:rPr>
      </w:pPr>
      <w:r>
        <w:rPr>
          <w:rFonts w:hint="eastAsia" w:ascii="仿宋" w:hAnsi="仿宋" w:eastAsia="仿宋" w:cs="仿宋"/>
          <w:b w:val="0"/>
          <w:color w:val="auto"/>
          <w:sz w:val="24"/>
          <w:szCs w:val="24"/>
          <w:highlight w:val="none"/>
        </w:rPr>
        <w:t>（4）工程承包范围：</w:t>
      </w:r>
      <w:r>
        <w:rPr>
          <w:rFonts w:hint="eastAsia" w:ascii="仿宋" w:hAnsi="仿宋" w:eastAsia="仿宋" w:cs="仿宋"/>
          <w:b w:val="0"/>
          <w:color w:val="auto"/>
          <w:sz w:val="24"/>
          <w:szCs w:val="24"/>
          <w:highlight w:val="none"/>
          <w:u w:val="single"/>
        </w:rPr>
        <w:t xml:space="preserve">          </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 本合同采用</w:t>
      </w:r>
      <w:r>
        <w:rPr>
          <w:rFonts w:hint="eastAsia" w:ascii="仿宋" w:hAnsi="仿宋" w:eastAsia="仿宋" w:cs="仿宋"/>
          <w:b w:val="0"/>
          <w:color w:val="auto"/>
          <w:sz w:val="24"/>
          <w:szCs w:val="24"/>
          <w:highlight w:val="none"/>
        </w:rPr>
        <w:sym w:font="Wingdings 2" w:char="0052"/>
      </w:r>
      <w:r>
        <w:rPr>
          <w:rFonts w:hint="eastAsia" w:ascii="仿宋" w:hAnsi="仿宋" w:eastAsia="仿宋" w:cs="仿宋"/>
          <w:b w:val="0"/>
          <w:color w:val="auto"/>
          <w:sz w:val="24"/>
          <w:szCs w:val="24"/>
          <w:highlight w:val="none"/>
        </w:rPr>
        <w:t>固定总价□固定单价的计价方式，合同价格为人民币（大写）</w:t>
      </w:r>
      <w:r>
        <w:rPr>
          <w:rFonts w:hint="eastAsia" w:ascii="仿宋" w:hAnsi="仿宋" w:eastAsia="仿宋" w:cs="仿宋"/>
          <w:b w:val="0"/>
          <w:color w:val="auto"/>
          <w:sz w:val="24"/>
          <w:szCs w:val="24"/>
          <w:highlight w:val="none"/>
          <w:u w:val="single"/>
        </w:rPr>
        <w:t xml:space="preserve">       </w:t>
      </w:r>
      <w:r>
        <w:rPr>
          <w:rFonts w:hint="eastAsia" w:ascii="仿宋" w:hAnsi="仿宋" w:eastAsia="仿宋" w:cs="仿宋"/>
          <w:b w:val="0"/>
          <w:color w:val="auto"/>
          <w:sz w:val="24"/>
          <w:szCs w:val="24"/>
          <w:highlight w:val="none"/>
        </w:rPr>
        <w:t>元，</w:t>
      </w:r>
      <w:r>
        <w:rPr>
          <w:rFonts w:hint="eastAsia" w:ascii="仿宋" w:hAnsi="仿宋" w:eastAsia="仿宋" w:cs="仿宋"/>
          <w:b w:val="0"/>
          <w:color w:val="auto"/>
          <w:sz w:val="24"/>
          <w:szCs w:val="24"/>
          <w:highlight w:val="none"/>
          <w:u w:val="single"/>
        </w:rPr>
        <w:t xml:space="preserve">（¥         ）   </w:t>
      </w:r>
      <w:r>
        <w:rPr>
          <w:rFonts w:hint="eastAsia" w:ascii="仿宋" w:hAnsi="仿宋" w:eastAsia="仿宋" w:cs="仿宋"/>
          <w:b w:val="0"/>
          <w:color w:val="auto"/>
          <w:sz w:val="24"/>
          <w:szCs w:val="24"/>
          <w:highlight w:val="none"/>
        </w:rPr>
        <w:t xml:space="preserve"> ，其中：设计费 </w:t>
      </w:r>
      <w:r>
        <w:rPr>
          <w:rFonts w:hint="eastAsia" w:ascii="仿宋" w:hAnsi="仿宋" w:eastAsia="仿宋" w:cs="仿宋"/>
          <w:b w:val="0"/>
          <w:color w:val="auto"/>
          <w:sz w:val="24"/>
          <w:szCs w:val="24"/>
          <w:highlight w:val="none"/>
          <w:u w:val="single"/>
        </w:rPr>
        <w:t xml:space="preserve">        元</w:t>
      </w:r>
      <w:r>
        <w:rPr>
          <w:rFonts w:hint="eastAsia" w:ascii="仿宋" w:hAnsi="仿宋" w:eastAsia="仿宋" w:cs="仿宋"/>
          <w:b w:val="0"/>
          <w:color w:val="auto"/>
          <w:sz w:val="24"/>
          <w:szCs w:val="24"/>
          <w:highlight w:val="none"/>
        </w:rPr>
        <w:t>，设备购置费</w:t>
      </w:r>
      <w:r>
        <w:rPr>
          <w:rFonts w:hint="eastAsia" w:ascii="仿宋" w:hAnsi="仿宋" w:eastAsia="仿宋" w:cs="仿宋"/>
          <w:b w:val="0"/>
          <w:color w:val="auto"/>
          <w:sz w:val="24"/>
          <w:szCs w:val="24"/>
          <w:highlight w:val="none"/>
          <w:u w:val="single"/>
        </w:rPr>
        <w:t xml:space="preserve">            </w:t>
      </w:r>
      <w:r>
        <w:rPr>
          <w:rFonts w:hint="eastAsia" w:ascii="仿宋" w:hAnsi="仿宋" w:eastAsia="仿宋" w:cs="仿宋"/>
          <w:b w:val="0"/>
          <w:color w:val="auto"/>
          <w:sz w:val="24"/>
          <w:szCs w:val="24"/>
          <w:highlight w:val="none"/>
        </w:rPr>
        <w:t>元（如有），建筑安装工程费</w:t>
      </w:r>
      <w:r>
        <w:rPr>
          <w:rFonts w:hint="eastAsia" w:ascii="仿宋" w:hAnsi="仿宋" w:eastAsia="仿宋" w:cs="仿宋"/>
          <w:b w:val="0"/>
          <w:color w:val="auto"/>
          <w:sz w:val="24"/>
          <w:szCs w:val="24"/>
          <w:highlight w:val="none"/>
          <w:u w:val="single"/>
        </w:rPr>
        <w:t xml:space="preserve">            元</w:t>
      </w:r>
      <w:r>
        <w:rPr>
          <w:rFonts w:hint="eastAsia" w:ascii="仿宋" w:hAnsi="仿宋" w:eastAsia="仿宋" w:cs="仿宋"/>
          <w:b w:val="0"/>
          <w:color w:val="auto"/>
          <w:sz w:val="24"/>
          <w:szCs w:val="24"/>
          <w:highlight w:val="none"/>
        </w:rPr>
        <w:t>，暂列费用</w:t>
      </w:r>
      <w:r>
        <w:rPr>
          <w:rFonts w:hint="eastAsia" w:ascii="仿宋" w:hAnsi="仿宋" w:eastAsia="仿宋" w:cs="仿宋"/>
          <w:b w:val="0"/>
          <w:color w:val="auto"/>
          <w:sz w:val="24"/>
          <w:szCs w:val="24"/>
          <w:highlight w:val="none"/>
          <w:u w:val="single"/>
        </w:rPr>
        <w:t xml:space="preserve">            元</w:t>
      </w:r>
      <w:r>
        <w:rPr>
          <w:rFonts w:hint="eastAsia" w:ascii="仿宋" w:hAnsi="仿宋" w:eastAsia="仿宋" w:cs="仿宋"/>
          <w:b w:val="0"/>
          <w:color w:val="auto"/>
          <w:sz w:val="24"/>
          <w:szCs w:val="24"/>
          <w:highlight w:val="none"/>
        </w:rPr>
        <w:t>（如有）。</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按规定应由发包人承担的费用不包括在本合同价格内。</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暂列费用不包括在本合同价格内。暂列费用主要为以下情况：</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（1）在批准的初步设计范围内，技术设计、施工图设计及施工过程中所增加的工程费用；经批准的设计变更，工程变更、材料代用、局部地基处理等增加的费用。</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（2）一般自然灾害造成的损失和预防自然灾害所采取的措施费用。</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（3）竣工验收时为鉴定工程质量对隐蔽工程进行必要的挖掘和修复费用。</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（4）地下障碍物处理、超规超限设备运输等发生的费用。</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 工程总承包项目经理（项目总负责人）：</w:t>
      </w:r>
      <w:r>
        <w:rPr>
          <w:rFonts w:hint="eastAsia" w:ascii="仿宋" w:hAnsi="仿宋" w:eastAsia="仿宋" w:cs="仿宋"/>
          <w:b w:val="0"/>
          <w:color w:val="auto"/>
          <w:sz w:val="24"/>
          <w:szCs w:val="24"/>
          <w:highlight w:val="none"/>
          <w:u w:val="single"/>
        </w:rPr>
        <w:t xml:space="preserve">          </w:t>
      </w:r>
      <w:r>
        <w:rPr>
          <w:rFonts w:hint="eastAsia" w:ascii="仿宋" w:hAnsi="仿宋" w:eastAsia="仿宋" w:cs="仿宋"/>
          <w:b w:val="0"/>
          <w:color w:val="auto"/>
          <w:sz w:val="24"/>
          <w:szCs w:val="24"/>
          <w:highlight w:val="none"/>
        </w:rPr>
        <w:t>；项目设计负责人：</w:t>
      </w:r>
      <w:r>
        <w:rPr>
          <w:rFonts w:hint="eastAsia" w:ascii="仿宋" w:hAnsi="仿宋" w:eastAsia="仿宋" w:cs="仿宋"/>
          <w:b w:val="0"/>
          <w:color w:val="auto"/>
          <w:sz w:val="24"/>
          <w:szCs w:val="24"/>
          <w:highlight w:val="none"/>
          <w:u w:val="single"/>
        </w:rPr>
        <w:t xml:space="preserve">          </w:t>
      </w:r>
      <w:r>
        <w:rPr>
          <w:rFonts w:hint="eastAsia" w:ascii="仿宋" w:hAnsi="仿宋" w:eastAsia="仿宋" w:cs="仿宋"/>
          <w:b w:val="0"/>
          <w:color w:val="auto"/>
          <w:sz w:val="24"/>
          <w:szCs w:val="24"/>
          <w:highlight w:val="none"/>
        </w:rPr>
        <w:t>；项目采购负责人（如有）：</w:t>
      </w:r>
      <w:r>
        <w:rPr>
          <w:rFonts w:hint="eastAsia" w:ascii="仿宋" w:hAnsi="仿宋" w:eastAsia="仿宋" w:cs="仿宋"/>
          <w:b w:val="0"/>
          <w:color w:val="auto"/>
          <w:sz w:val="24"/>
          <w:szCs w:val="24"/>
          <w:highlight w:val="none"/>
          <w:u w:val="single"/>
        </w:rPr>
        <w:t xml:space="preserve">          </w:t>
      </w:r>
      <w:r>
        <w:rPr>
          <w:rFonts w:hint="eastAsia" w:ascii="仿宋" w:hAnsi="仿宋" w:eastAsia="仿宋" w:cs="仿宋"/>
          <w:b w:val="0"/>
          <w:color w:val="auto"/>
          <w:sz w:val="24"/>
          <w:szCs w:val="24"/>
          <w:highlight w:val="none"/>
        </w:rPr>
        <w:t>施工项目负责众：</w:t>
      </w:r>
      <w:r>
        <w:rPr>
          <w:rFonts w:hint="eastAsia" w:ascii="仿宋" w:hAnsi="仿宋" w:eastAsia="仿宋" w:cs="仿宋"/>
          <w:b w:val="0"/>
          <w:color w:val="auto"/>
          <w:sz w:val="24"/>
          <w:szCs w:val="24"/>
          <w:highlight w:val="none"/>
          <w:u w:val="single"/>
        </w:rPr>
        <w:t xml:space="preserve">          ；</w:t>
      </w:r>
      <w:r>
        <w:rPr>
          <w:rFonts w:hint="eastAsia" w:ascii="仿宋" w:hAnsi="仿宋" w:eastAsia="仿宋" w:cs="仿宋"/>
          <w:b w:val="0"/>
          <w:color w:val="auto"/>
          <w:sz w:val="24"/>
          <w:szCs w:val="24"/>
          <w:highlight w:val="none"/>
        </w:rPr>
        <w:t>专职安全员：</w:t>
      </w:r>
      <w:r>
        <w:rPr>
          <w:rFonts w:hint="eastAsia" w:ascii="仿宋" w:hAnsi="仿宋" w:eastAsia="仿宋" w:cs="仿宋"/>
          <w:b w:val="0"/>
          <w:color w:val="auto"/>
          <w:sz w:val="24"/>
          <w:szCs w:val="24"/>
          <w:highlight w:val="none"/>
          <w:u w:val="single"/>
        </w:rPr>
        <w:t xml:space="preserve">          </w:t>
      </w:r>
      <w:r>
        <w:rPr>
          <w:rFonts w:hint="eastAsia" w:ascii="仿宋" w:hAnsi="仿宋" w:eastAsia="仿宋" w:cs="仿宋"/>
          <w:b w:val="0"/>
          <w:color w:val="auto"/>
          <w:sz w:val="24"/>
          <w:szCs w:val="24"/>
          <w:highlight w:val="none"/>
        </w:rPr>
        <w:t xml:space="preserve">。  </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6. 工程质量符合的标准和要求：</w:t>
      </w:r>
      <w:r>
        <w:rPr>
          <w:rFonts w:hint="eastAsia" w:ascii="仿宋" w:hAnsi="仿宋" w:eastAsia="仿宋" w:cs="仿宋"/>
          <w:b w:val="0"/>
          <w:color w:val="auto"/>
          <w:sz w:val="24"/>
          <w:szCs w:val="24"/>
          <w:highlight w:val="none"/>
          <w:u w:val="single"/>
        </w:rPr>
        <w:t xml:space="preserve">               </w:t>
      </w:r>
      <w:r>
        <w:rPr>
          <w:rFonts w:hint="eastAsia" w:ascii="仿宋" w:hAnsi="仿宋" w:eastAsia="仿宋" w:cs="仿宋"/>
          <w:b w:val="0"/>
          <w:color w:val="auto"/>
          <w:sz w:val="24"/>
          <w:szCs w:val="24"/>
          <w:highlight w:val="none"/>
        </w:rPr>
        <w:t>。</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 承包人承诺按合同约定承担工程的设计、实施、竣工及缺陷修复。</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8. 发包人承诺按合同约定的条件、时间和方式向承包人支付合同价款。</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9. 承包人计划开始工作时间：设计开始时间</w:t>
      </w:r>
      <w:r>
        <w:rPr>
          <w:rFonts w:hint="eastAsia" w:ascii="仿宋" w:hAnsi="仿宋" w:eastAsia="仿宋" w:cs="仿宋"/>
          <w:b w:val="0"/>
          <w:color w:val="auto"/>
          <w:sz w:val="24"/>
          <w:szCs w:val="24"/>
          <w:highlight w:val="none"/>
          <w:u w:val="single"/>
        </w:rPr>
        <w:t xml:space="preserve">   </w:t>
      </w:r>
      <w:r>
        <w:rPr>
          <w:rFonts w:hint="eastAsia" w:ascii="仿宋" w:hAnsi="仿宋" w:eastAsia="仿宋" w:cs="仿宋"/>
          <w:b w:val="0"/>
          <w:color w:val="auto"/>
          <w:sz w:val="24"/>
          <w:szCs w:val="24"/>
          <w:highlight w:val="none"/>
        </w:rPr>
        <w:t>，施工开始时间_____，实际开始工作时间按照监理人开始工作通知中载明的开始工作时间为准。工期为</w:t>
      </w:r>
      <w:r>
        <w:rPr>
          <w:rFonts w:hint="eastAsia" w:ascii="仿宋" w:hAnsi="仿宋" w:eastAsia="仿宋" w:cs="仿宋"/>
          <w:b w:val="0"/>
          <w:color w:val="auto"/>
          <w:sz w:val="24"/>
          <w:szCs w:val="24"/>
          <w:highlight w:val="none"/>
          <w:u w:val="single"/>
        </w:rPr>
        <w:t xml:space="preserve">   </w:t>
      </w:r>
      <w:r>
        <w:rPr>
          <w:rFonts w:hint="eastAsia" w:ascii="仿宋" w:hAnsi="仿宋" w:eastAsia="仿宋" w:cs="仿宋"/>
          <w:b w:val="0"/>
          <w:color w:val="auto"/>
          <w:sz w:val="24"/>
          <w:szCs w:val="24"/>
          <w:highlight w:val="none"/>
        </w:rPr>
        <w:t>天，其中设计工期</w:t>
      </w:r>
      <w:r>
        <w:rPr>
          <w:rFonts w:hint="eastAsia" w:ascii="仿宋" w:hAnsi="仿宋" w:eastAsia="仿宋" w:cs="仿宋"/>
          <w:b w:val="0"/>
          <w:color w:val="auto"/>
          <w:sz w:val="24"/>
          <w:szCs w:val="24"/>
          <w:highlight w:val="none"/>
          <w:u w:val="single"/>
        </w:rPr>
        <w:t xml:space="preserve">   </w:t>
      </w:r>
      <w:r>
        <w:rPr>
          <w:rFonts w:hint="eastAsia" w:ascii="仿宋" w:hAnsi="仿宋" w:eastAsia="仿宋" w:cs="仿宋"/>
          <w:b w:val="0"/>
          <w:color w:val="auto"/>
          <w:sz w:val="24"/>
          <w:szCs w:val="24"/>
          <w:highlight w:val="none"/>
        </w:rPr>
        <w:t>天，施工工期</w:t>
      </w:r>
      <w:r>
        <w:rPr>
          <w:rFonts w:hint="eastAsia" w:ascii="仿宋" w:hAnsi="仿宋" w:eastAsia="仿宋" w:cs="仿宋"/>
          <w:b w:val="0"/>
          <w:color w:val="auto"/>
          <w:sz w:val="24"/>
          <w:szCs w:val="24"/>
          <w:highlight w:val="none"/>
          <w:u w:val="single"/>
        </w:rPr>
        <w:t xml:space="preserve">   </w:t>
      </w:r>
      <w:r>
        <w:rPr>
          <w:rFonts w:hint="eastAsia" w:ascii="仿宋" w:hAnsi="仿宋" w:eastAsia="仿宋" w:cs="仿宋"/>
          <w:b w:val="0"/>
          <w:color w:val="auto"/>
          <w:sz w:val="24"/>
          <w:szCs w:val="24"/>
          <w:highlight w:val="none"/>
        </w:rPr>
        <w:t>天（合同履行期业主承担义务的工作影响占用承包人进度计划时间，如包括但不限于业主选择方案、审图、报建、论证及承包人有证据证明非承包人责任引起工期延误等，工期相应顺延。）。</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10. 本协议书中有关的词语含义与通用条款中赋予的定义与解释相同。</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 合同生效：本合同自</w:t>
      </w:r>
      <w:r>
        <w:rPr>
          <w:rFonts w:hint="eastAsia" w:ascii="仿宋" w:hAnsi="仿宋" w:eastAsia="仿宋" w:cs="仿宋"/>
          <w:b w:val="0"/>
          <w:color w:val="auto"/>
          <w:sz w:val="24"/>
          <w:szCs w:val="24"/>
          <w:highlight w:val="none"/>
          <w:u w:val="single"/>
        </w:rPr>
        <w:t xml:space="preserve">           </w:t>
      </w:r>
      <w:r>
        <w:rPr>
          <w:rFonts w:hint="eastAsia" w:ascii="仿宋" w:hAnsi="仿宋" w:eastAsia="仿宋" w:cs="仿宋"/>
          <w:b w:val="0"/>
          <w:color w:val="auto"/>
          <w:sz w:val="24"/>
          <w:szCs w:val="24"/>
          <w:highlight w:val="none"/>
        </w:rPr>
        <w:t>之日起生效。</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12. 合同订立时间：</w:t>
      </w:r>
      <w:r>
        <w:rPr>
          <w:rFonts w:hint="eastAsia" w:ascii="仿宋" w:hAnsi="仿宋" w:eastAsia="仿宋" w:cs="仿宋"/>
          <w:b w:val="0"/>
          <w:color w:val="auto"/>
          <w:sz w:val="24"/>
          <w:szCs w:val="24"/>
          <w:highlight w:val="none"/>
          <w:u w:val="single"/>
        </w:rPr>
        <w:t xml:space="preserve">    </w:t>
      </w:r>
      <w:r>
        <w:rPr>
          <w:rFonts w:hint="eastAsia" w:ascii="仿宋" w:hAnsi="仿宋" w:eastAsia="仿宋" w:cs="仿宋"/>
          <w:b w:val="0"/>
          <w:color w:val="auto"/>
          <w:sz w:val="24"/>
          <w:szCs w:val="24"/>
          <w:highlight w:val="none"/>
        </w:rPr>
        <w:t>年</w:t>
      </w:r>
      <w:r>
        <w:rPr>
          <w:rFonts w:hint="eastAsia" w:ascii="仿宋" w:hAnsi="仿宋" w:eastAsia="仿宋" w:cs="仿宋"/>
          <w:b w:val="0"/>
          <w:color w:val="auto"/>
          <w:sz w:val="24"/>
          <w:szCs w:val="24"/>
          <w:highlight w:val="none"/>
          <w:u w:val="single"/>
        </w:rPr>
        <w:t xml:space="preserve">   </w:t>
      </w:r>
      <w:r>
        <w:rPr>
          <w:rFonts w:hint="eastAsia" w:ascii="仿宋" w:hAnsi="仿宋" w:eastAsia="仿宋" w:cs="仿宋"/>
          <w:b w:val="0"/>
          <w:color w:val="auto"/>
          <w:sz w:val="24"/>
          <w:szCs w:val="24"/>
          <w:highlight w:val="none"/>
        </w:rPr>
        <w:t>月</w:t>
      </w:r>
      <w:r>
        <w:rPr>
          <w:rFonts w:hint="eastAsia" w:ascii="仿宋" w:hAnsi="仿宋" w:eastAsia="仿宋" w:cs="仿宋"/>
          <w:b w:val="0"/>
          <w:color w:val="auto"/>
          <w:sz w:val="24"/>
          <w:szCs w:val="24"/>
          <w:highlight w:val="none"/>
          <w:u w:val="single"/>
        </w:rPr>
        <w:t xml:space="preserve">   </w:t>
      </w:r>
      <w:r>
        <w:rPr>
          <w:rFonts w:hint="eastAsia" w:ascii="仿宋" w:hAnsi="仿宋" w:eastAsia="仿宋" w:cs="仿宋"/>
          <w:b w:val="0"/>
          <w:color w:val="auto"/>
          <w:sz w:val="24"/>
          <w:szCs w:val="24"/>
          <w:highlight w:val="none"/>
        </w:rPr>
        <w:t>日；合同订立地点：</w:t>
      </w:r>
      <w:r>
        <w:rPr>
          <w:rFonts w:hint="eastAsia" w:ascii="仿宋" w:hAnsi="仿宋" w:eastAsia="仿宋" w:cs="仿宋"/>
          <w:b w:val="0"/>
          <w:color w:val="auto"/>
          <w:sz w:val="24"/>
          <w:szCs w:val="24"/>
          <w:highlight w:val="none"/>
          <w:u w:val="single"/>
        </w:rPr>
        <w:t xml:space="preserve">          </w:t>
      </w:r>
      <w:r>
        <w:rPr>
          <w:rFonts w:hint="eastAsia" w:ascii="仿宋" w:hAnsi="仿宋" w:eastAsia="仿宋" w:cs="仿宋"/>
          <w:b w:val="0"/>
          <w:color w:val="auto"/>
          <w:sz w:val="24"/>
          <w:szCs w:val="24"/>
          <w:highlight w:val="none"/>
        </w:rPr>
        <w:t>。</w:t>
      </w:r>
    </w:p>
    <w:p>
      <w:pPr>
        <w:spacing w:after="0" w:line="360" w:lineRule="auto"/>
        <w:ind w:firstLine="480" w:firstLineChars="200"/>
        <w:rPr>
          <w:rFonts w:hint="eastAsia" w:ascii="仿宋" w:hAnsi="仿宋" w:eastAsia="仿宋" w:cs="仿宋"/>
          <w:b w:val="0"/>
          <w:color w:val="auto"/>
          <w:sz w:val="24"/>
          <w:szCs w:val="24"/>
          <w:highlight w:val="none"/>
        </w:rPr>
      </w:pPr>
      <w:bookmarkStart w:id="157" w:name="_Toc144974830"/>
      <w:bookmarkStart w:id="158" w:name="_Toc152042550"/>
      <w:r>
        <w:rPr>
          <w:rFonts w:hint="eastAsia" w:ascii="仿宋" w:hAnsi="仿宋" w:eastAsia="仿宋" w:cs="仿宋"/>
          <w:b w:val="0"/>
          <w:color w:val="auto"/>
          <w:sz w:val="24"/>
          <w:szCs w:val="24"/>
          <w:highlight w:val="none"/>
        </w:rPr>
        <w:t>13. 本协议书一式</w:t>
      </w:r>
      <w:r>
        <w:rPr>
          <w:rFonts w:hint="eastAsia" w:ascii="仿宋" w:hAnsi="仿宋" w:eastAsia="仿宋" w:cs="仿宋"/>
          <w:b w:val="0"/>
          <w:color w:val="auto"/>
          <w:sz w:val="24"/>
          <w:szCs w:val="24"/>
          <w:highlight w:val="none"/>
          <w:u w:val="single"/>
        </w:rPr>
        <w:t xml:space="preserve">     </w:t>
      </w:r>
      <w:r>
        <w:rPr>
          <w:rFonts w:hint="eastAsia" w:ascii="仿宋" w:hAnsi="仿宋" w:eastAsia="仿宋" w:cs="仿宋"/>
          <w:b w:val="0"/>
          <w:color w:val="auto"/>
          <w:sz w:val="24"/>
          <w:szCs w:val="24"/>
          <w:highlight w:val="none"/>
        </w:rPr>
        <w:t>份，均具有同等法律效力，发包人执</w:t>
      </w:r>
      <w:r>
        <w:rPr>
          <w:rFonts w:hint="eastAsia" w:ascii="仿宋" w:hAnsi="仿宋" w:eastAsia="仿宋" w:cs="仿宋"/>
          <w:b w:val="0"/>
          <w:color w:val="auto"/>
          <w:sz w:val="24"/>
          <w:szCs w:val="24"/>
          <w:highlight w:val="none"/>
          <w:u w:val="single"/>
        </w:rPr>
        <w:t xml:space="preserve">     </w:t>
      </w:r>
      <w:r>
        <w:rPr>
          <w:rFonts w:hint="eastAsia" w:ascii="仿宋" w:hAnsi="仿宋" w:eastAsia="仿宋" w:cs="仿宋"/>
          <w:b w:val="0"/>
          <w:color w:val="auto"/>
          <w:sz w:val="24"/>
          <w:szCs w:val="24"/>
          <w:highlight w:val="none"/>
        </w:rPr>
        <w:t>份，承包人执</w:t>
      </w:r>
      <w:r>
        <w:rPr>
          <w:rFonts w:hint="eastAsia" w:ascii="仿宋" w:hAnsi="仿宋" w:eastAsia="仿宋" w:cs="仿宋"/>
          <w:b w:val="0"/>
          <w:color w:val="auto"/>
          <w:sz w:val="24"/>
          <w:szCs w:val="24"/>
          <w:highlight w:val="none"/>
          <w:u w:val="single"/>
        </w:rPr>
        <w:t xml:space="preserve">     </w:t>
      </w:r>
      <w:r>
        <w:rPr>
          <w:rFonts w:hint="eastAsia" w:ascii="仿宋" w:hAnsi="仿宋" w:eastAsia="仿宋" w:cs="仿宋"/>
          <w:b w:val="0"/>
          <w:color w:val="auto"/>
          <w:sz w:val="24"/>
          <w:szCs w:val="24"/>
          <w:highlight w:val="none"/>
        </w:rPr>
        <w:t>份。</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14. 合同未尽事宜，双方另行签订补充协议。补充协议是合同的组成部分。</w:t>
      </w:r>
      <w:bookmarkEnd w:id="157"/>
      <w:bookmarkEnd w:id="158"/>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 xml:space="preserve"> </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 xml:space="preserve">发包人： </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（公章或合同专用章）</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法定代表人（签字或盖章）：</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地   址：</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邮政编码：</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电话：</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传真：</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日   期：</w:t>
      </w:r>
    </w:p>
    <w:p>
      <w:pPr>
        <w:spacing w:after="0" w:line="360" w:lineRule="auto"/>
        <w:ind w:firstLine="480" w:firstLineChars="200"/>
        <w:rPr>
          <w:rFonts w:hint="eastAsia" w:ascii="仿宋" w:hAnsi="仿宋" w:eastAsia="仿宋" w:cs="仿宋"/>
          <w:b w:val="0"/>
          <w:color w:val="auto"/>
          <w:sz w:val="24"/>
          <w:szCs w:val="24"/>
          <w:highlight w:val="none"/>
        </w:rPr>
      </w:pP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承包人（联合体牵头人）：</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（公章或合同专用章）</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法定代表人（签字或盖章）：</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地   址：</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邮政编码：</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电话：</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传真：</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日   期：</w:t>
      </w:r>
    </w:p>
    <w:p>
      <w:pPr>
        <w:spacing w:after="0" w:line="360" w:lineRule="auto"/>
        <w:ind w:firstLine="480" w:firstLineChars="200"/>
        <w:rPr>
          <w:rFonts w:hint="eastAsia" w:ascii="仿宋" w:hAnsi="仿宋" w:eastAsia="仿宋" w:cs="仿宋"/>
          <w:b w:val="0"/>
          <w:color w:val="auto"/>
          <w:sz w:val="24"/>
          <w:szCs w:val="24"/>
          <w:highlight w:val="none"/>
        </w:rPr>
      </w:pP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 xml:space="preserve">承包人（联合体成员）： </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（公章或合同专用章）</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法定代表人（签字或盖章）：</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地   址：</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邮政编码：</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电话：</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传真：</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日   期：</w:t>
      </w:r>
    </w:p>
    <w:p>
      <w:pPr>
        <w:spacing w:after="0" w:line="360" w:lineRule="auto"/>
        <w:ind w:firstLine="480" w:firstLineChars="200"/>
        <w:rPr>
          <w:rFonts w:hint="eastAsia" w:ascii="仿宋" w:hAnsi="仿宋" w:eastAsia="仿宋" w:cs="仿宋"/>
          <w:b w:val="0"/>
          <w:color w:val="auto"/>
          <w:sz w:val="24"/>
          <w:szCs w:val="24"/>
          <w:highlight w:val="none"/>
        </w:rPr>
      </w:pPr>
    </w:p>
    <w:p>
      <w:pPr>
        <w:spacing w:after="0" w:line="360" w:lineRule="auto"/>
        <w:ind w:firstLine="480" w:firstLineChars="200"/>
        <w:rPr>
          <w:rFonts w:hint="eastAsia" w:ascii="仿宋" w:hAnsi="仿宋" w:eastAsia="仿宋" w:cs="仿宋"/>
          <w:b w:val="0"/>
          <w:color w:val="auto"/>
          <w:sz w:val="24"/>
          <w:szCs w:val="24"/>
          <w:highlight w:val="none"/>
        </w:rPr>
      </w:pPr>
    </w:p>
    <w:p>
      <w:pPr>
        <w:pStyle w:val="4"/>
        <w:keepLines w:val="0"/>
        <w:widowControl/>
        <w:spacing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br w:type="page"/>
      </w:r>
      <w:bookmarkStart w:id="159" w:name="_Toc2008104477"/>
      <w:bookmarkStart w:id="160" w:name="_Toc1378897229"/>
      <w:bookmarkStart w:id="161" w:name="_Toc30945"/>
      <w:bookmarkStart w:id="162" w:name="_Toc269522081"/>
      <w:bookmarkStart w:id="163" w:name="_Toc709433002"/>
      <w:bookmarkStart w:id="164" w:name="_Toc497689759"/>
      <w:bookmarkStart w:id="165" w:name="_Toc410880879"/>
      <w:bookmarkStart w:id="166" w:name="_Toc1998451659"/>
      <w:bookmarkStart w:id="167" w:name="_Toc259397964"/>
      <w:bookmarkStart w:id="168" w:name="_Toc1845835417"/>
      <w:bookmarkStart w:id="169" w:name="_Toc2030836"/>
      <w:bookmarkStart w:id="170" w:name="_Toc433988696"/>
      <w:r>
        <w:rPr>
          <w:rFonts w:hint="eastAsia" w:ascii="仿宋" w:hAnsi="仿宋" w:eastAsia="仿宋" w:cs="仿宋"/>
          <w:b w:val="0"/>
          <w:color w:val="auto"/>
          <w:sz w:val="24"/>
          <w:szCs w:val="24"/>
          <w:highlight w:val="none"/>
        </w:rPr>
        <w:t>第二部分  通用合同条款</w:t>
      </w:r>
      <w:bookmarkEnd w:id="159"/>
      <w:bookmarkEnd w:id="160"/>
      <w:bookmarkEnd w:id="161"/>
      <w:bookmarkEnd w:id="162"/>
      <w:bookmarkEnd w:id="163"/>
      <w:bookmarkEnd w:id="164"/>
      <w:bookmarkEnd w:id="165"/>
      <w:bookmarkEnd w:id="166"/>
      <w:bookmarkEnd w:id="167"/>
      <w:bookmarkEnd w:id="168"/>
      <w:bookmarkEnd w:id="169"/>
      <w:bookmarkEnd w:id="170"/>
    </w:p>
    <w:p>
      <w:pPr>
        <w:spacing w:after="0" w:line="360" w:lineRule="auto"/>
        <w:ind w:firstLine="480" w:firstLineChars="200"/>
        <w:rPr>
          <w:rFonts w:hint="eastAsia" w:ascii="仿宋" w:hAnsi="仿宋" w:eastAsia="仿宋" w:cs="仿宋"/>
          <w:b w:val="0"/>
          <w:color w:val="auto"/>
          <w:sz w:val="24"/>
          <w:szCs w:val="24"/>
          <w:highlight w:val="none"/>
        </w:rPr>
      </w:pPr>
      <w:bookmarkStart w:id="171" w:name="_Toc419363664"/>
      <w:bookmarkStart w:id="172" w:name="_Toc407088957"/>
      <w:bookmarkStart w:id="173" w:name="_Toc1515008248"/>
      <w:bookmarkStart w:id="174" w:name="_Toc419321244"/>
      <w:bookmarkStart w:id="175" w:name="_Toc433988697"/>
      <w:bookmarkStart w:id="176" w:name="_Toc358948687"/>
      <w:bookmarkStart w:id="177" w:name="_Toc1629693026"/>
      <w:bookmarkStart w:id="178" w:name="_Toc419364335"/>
      <w:bookmarkStart w:id="179" w:name="_Toc8285"/>
      <w:bookmarkStart w:id="180" w:name="_Toc222974448"/>
      <w:bookmarkStart w:id="181" w:name="_Toc419320208"/>
      <w:bookmarkStart w:id="182" w:name="_Toc814603844"/>
      <w:bookmarkStart w:id="183" w:name="_Toc1332793733"/>
      <w:bookmarkStart w:id="184" w:name="_Toc1920005947"/>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第1条 一般规定</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pPr>
        <w:spacing w:after="0" w:line="360" w:lineRule="auto"/>
        <w:ind w:firstLine="480" w:firstLineChars="200"/>
        <w:rPr>
          <w:rFonts w:hint="eastAsia" w:ascii="仿宋" w:hAnsi="仿宋" w:eastAsia="仿宋" w:cs="仿宋"/>
          <w:b w:val="0"/>
          <w:color w:val="auto"/>
          <w:sz w:val="24"/>
          <w:szCs w:val="24"/>
          <w:highlight w:val="none"/>
        </w:rPr>
      </w:pPr>
      <w:bookmarkStart w:id="185" w:name="_Toc433988698"/>
      <w:bookmarkStart w:id="186" w:name="_Toc419321245"/>
      <w:bookmarkStart w:id="187" w:name="_Toc17358"/>
      <w:bookmarkStart w:id="188" w:name="_Toc419320209"/>
      <w:bookmarkStart w:id="189" w:name="_Toc419363665"/>
      <w:bookmarkStart w:id="190" w:name="_Toc419364336"/>
      <w:r>
        <w:rPr>
          <w:rFonts w:hint="eastAsia" w:ascii="仿宋" w:hAnsi="仿宋" w:eastAsia="仿宋" w:cs="仿宋"/>
          <w:b w:val="0"/>
          <w:color w:val="auto"/>
          <w:sz w:val="24"/>
          <w:szCs w:val="24"/>
          <w:highlight w:val="none"/>
        </w:rPr>
        <w:t>1.1 定义与解释</w:t>
      </w:r>
      <w:bookmarkEnd w:id="185"/>
      <w:bookmarkEnd w:id="186"/>
      <w:bookmarkEnd w:id="187"/>
      <w:bookmarkEnd w:id="188"/>
      <w:bookmarkEnd w:id="189"/>
      <w:bookmarkEnd w:id="190"/>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1.1.1 合同，指由第1.2.1项所述的各项文件所构成的整体。</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1.1.2 通用条款，指合同当事人在履行工程总承包合同过程中所遵守的一般性条款，由本文件第1条至第20条组成。</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1.1.3 专用条款，指合同当事人根据工程总承包项目的具体情况，对通用条款进行细化、完善、补充、修改或另行约定，并同意共同遵守的条款。</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1.1.4 工程总承包，指承包人受发包人委托，按照合同约定对工程建设项目的设计、采购、施工（含竣工试验）、试运行等阶段实行全过程或若干阶段的工程承包。</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1.1.5 发包人，指在合同协议书中约定的，具有项目发包主体资格和支付工程价款能力的当事人或取得该当事人资格的合法继承人。</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1.1.6 承包人，指在合同协议书中约定的，被发包人接受的具有工程总承包主体资格的当事人，包括其合法继承人。</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1.1.7 联合体，指经发包人同意由两个或两个以上法人或者其它组织组成的，作为工程承包人的临时机构，联合体各方向发包人承担连带责任。联合体各方应指定其中一方作为牵头人。</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1.1.8 分包人，指接受承包人根据合同约定对外分包的部分工程或服务的，具有相应资格的法人或其它组织。</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1.1.9 发包人代表，指发包人指定的履行本合同的代表。</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1.1.10 监理人，指发包人委托的具有相应资质的工程监理单位。</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1.1.11 工程总监，指由监理人授权、负责履行监理合同的总监理工程师。</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1.1.12 项目总负责人，指承包人按照合同约定任命的负责履行合同的代表。</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1.1.13 项目设计负责人，指承包人指定负责组织指导协调设计工作并具有相应资格的人员。</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1.1.14 项目经理，指承包人指定负责组织指导协调施工工作并具有相应资格的人员。</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1.1.15 项目采购负责人，指承包人指定负责组织协调采购工作的人员。</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1.1.16 项目施工专职安全员，指承包人指定负责项目施工过程安全管理并具有相应资格的人员。</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1.1.17 工程，指永久性工程和（或）临时性工程。</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1.1.18 永久性工程，指承包人根据合同约定，进行设计、采购、施工、竣工试验、竣工后试验和试运行考核并交付发包人进行生产操作或使用的工程。</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1.1.19 单项工程，指专用条件中列明的具有某项独立功能的工程单元，是永久性工程的组成部分。</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1.1.20 临时性工程，指为实施、完成永久性工程及修补任何质量缺陷，在现场所需搭建的临时建筑物、构筑物，以及不构成永久性工程实体的其它临时设施。</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1.1.21 现场或场地，指合同约定的由发包人提供的用于承包人现场办公，工程物资、机具设施存放和工程实施的任何地点。</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1.1.22 项目基础资料，指发包人提供给承包人的经有关部门对项目批准或核准的文件、报告（如选厂报告、资源报告、勘察报告等）、资料（如气象、水文、地质等）、协议（如原料、燃料、水、电、气、运输等）和有关数据等，以及设计所需的其它基础资料。</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1.1.23 现场障碍资料，指发包人需向承包人提供的进行工程设计、现场施工所需的地上和地下已有的建筑物、构筑物、线缆、管道、受保护的古建筑、古树木等坐标方位、数据和其它相关资料。</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1.1.24 设计阶段，指规划设计、总体设计、初步设计、技术设计和施工图设计等阶段。设计阶段的组成，视项目情况而定。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1.1.25 工程物资，指设计文件规定的将构成永久性工程实体的设备、材料和部件，以及进行竣工试验和竣工后试验所需的材料等。</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1.1.26 施工，指承包人把设计文件转化为永久性工程的过程，包括土建、安装和竣工试验等作业。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1.1.27 竣工试验，指工程和（或）单项工程被发包人接收前，应由承包人负责进行的机械、设备、部件、线缆和管道能性能试验。</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1.1.28 变更，指在不改变工程功能和规模的情况下，发包人书面通知或书面批准的，对工程所作的任何更改。</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1.1.29 施工竣工，指工程已按合同约定和设计要求完成土建、安装，并通过竣工试验。</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1.1.30 工程接收，指工程和（或）单项工程通过竣工试验后，为使发包人的操作人员、使用人员进入岗位进行竣工后试验、试运行准备，由承包人与发包人进行工程交接，并由发包人颁发接收证书的过程。</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1.1.31 竣工后试验，指工程被发包人接收后，按合同约定由发包人自行或在发包人组织领导下由承包人指导进行的工程的生产和（或）使用功能试验。</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1.1.32 试运行考核，指根据合同约定，在工程完成竣工试验后，由发包人自行或在发包人的组织领导下由承包人指导进行的包括合同目标考核验收在内的全部试验。</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1.1.33 考核验收证书，指试运行考核的全部试验完成并通过验收后，由发包人签发的验收证书。</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1.1.34 工程竣工验收，指承包人接到考核验收证书、完成扫尾工程和缺陷修复，并按合同约定提交竣工验收报告、竣工资料、竣工结算资料，由发包人组织的工程结算与验收。</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1.1.35 合同期限，指从合同生效之日起，至双方在合同下的义务履行完毕之日止的期间。</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1.1.36 基准日期，指递交投标文件截止日期之前30日的日期。</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1.1.37 项目进度计划，指自合同生效之日起，按合同约定的工程全部实施阶段（包括设计、采购、施工、竣工试验、工程接收、竣工后试验至试运行考核等阶段）或若干实施阶段的时间计划安排。</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1.1.38 工期，指承包人在投标函中承诺的完成合同工作所需的期限，包括按第13条约定所作的变更。</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1.1.39 设计开工日期，指合同协议书中约定的，承包人开始设计工作的绝对日期或相对日期。</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1.1.40 施工开工日期，指合同协议书中约定的，承包人开始现场施工的绝对日期或相对日期。</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1.1.41 竣工日期，指合同协议书中约定的，由承包人完成工程施工（含竣工试验）的绝对日期或相对日期，包括按合同约定的任何延长日期。</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1.1.42 绝对日期，指以公历年、月、日所表明的具体期限。</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1.1.43 相对日期，指以公历天数表明的具体期限。</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1.1.44 关键路径，指项目进度计划中直接影响到竣工日期的时间计划线路。该关键路径由合同双方在讨论项目进度计划时商定。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1.1.45 日、月、年，指公历的日、月、年。本合同中所使用的任何期间的起点均指相应事件发生之日的下一日。如果任何时间的起算是以某一期间届满为条件，则起算点为该期间届满之日的下一日。任何期间的到期日均为该期间届满之日的当日。</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1.1.46 工作日，指除中国法定节假日之外的其它公历日。</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1.1.47 合同价格，指合同协议书中约定的、承包人进行设计、采购、施工、竣工试验、竣工后试验、试运行考核和服务等工作的价款。</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1.1.48 合同价格调整，指依据法律及合同约定需要增减的费用而对合同价格进行的相应调整。</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1.1.49 合同总价，指根据合同约定，经调整后的合同结算价格。</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1.1.50 预付款，是指根据合同约定，由发包人预先支付给承包人的款项。</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1.1.51 工程进度款，指发包人根据合同约定的支付内容、支付条件，分期向承包人支付的设计、采购、施工和竣工试验的进度款，竣工后试验和试运行考核的服务费以及工程总承包管理费等款项。</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1.1.52 工程质量保修责任书，指依据有关质量保修的法律规定，发包人与承包人就工程质量保修相关事宜所签订的协议。</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1.1.53 缺陷责任保修金，指按合同约定发包人从工程进度款中暂时扣除的，作为承包人在施工过程及缺陷责任期内履行缺陷责任担保的金额。</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1.1.54 缺陷责任期，指承包人按合同约定承担缺陷保修责任的期间，一般应为12个月。因缺陷责任的延长，最长不超过24个月。具体期限在专用条款约定。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1.1.55 书面形式，指合同书、信件和数据电文等可以有形地表现所载内容的形式。数据电文包括：电传、传真、电子数据交换和电子邮件。</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1.1.56 违约责任，指合同一方不履行合同义务或履行合同义务不符合合同约定所须承担的责任。</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1.1.57 不可抗力，指不能预见、不能避免并不能克服的客观情况，具体情形由双方在专用条款中约定。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1.1.58 联络，与合同有关的通知、批准、证明、证书、指示、指令、要求、请求、同意、意见、确定和决定等，均应采用书面形式，并应在合同约定的期限内送达接收人和送达地点。任何一方合同当事人指定的接收人或送达地点发生变动的，应提前3天以书面形式通知对方。发包人和承包人应当及时签收另一方送达至送达地点和指定接收人的来往信函。拒不签收的，由此增加的费用和（或）延误的工期由拒绝接收一方承担。</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1.1.59 根据本合同工程的特点，需补充约定的其它定义。在专用条款中约定。</w:t>
      </w:r>
    </w:p>
    <w:p>
      <w:pPr>
        <w:spacing w:after="0" w:line="360" w:lineRule="auto"/>
        <w:ind w:firstLine="480" w:firstLineChars="200"/>
        <w:rPr>
          <w:rFonts w:hint="eastAsia" w:ascii="仿宋" w:hAnsi="仿宋" w:eastAsia="仿宋" w:cs="仿宋"/>
          <w:b w:val="0"/>
          <w:color w:val="auto"/>
          <w:sz w:val="24"/>
          <w:szCs w:val="24"/>
          <w:highlight w:val="none"/>
        </w:rPr>
      </w:pPr>
      <w:bookmarkStart w:id="191" w:name="_Toc433988699"/>
      <w:bookmarkStart w:id="192" w:name="_Toc419363666"/>
      <w:bookmarkStart w:id="193" w:name="_Toc419321246"/>
      <w:bookmarkStart w:id="194" w:name="_Toc23166"/>
      <w:bookmarkStart w:id="195" w:name="_Toc419364337"/>
      <w:bookmarkStart w:id="196" w:name="_Toc419320210"/>
      <w:r>
        <w:rPr>
          <w:rFonts w:hint="eastAsia" w:ascii="仿宋" w:hAnsi="仿宋" w:eastAsia="仿宋" w:cs="仿宋"/>
          <w:b w:val="0"/>
          <w:color w:val="auto"/>
          <w:sz w:val="24"/>
          <w:szCs w:val="24"/>
          <w:highlight w:val="none"/>
        </w:rPr>
        <w:t>1.2 合同文件</w:t>
      </w:r>
      <w:bookmarkEnd w:id="191"/>
      <w:bookmarkEnd w:id="192"/>
      <w:bookmarkEnd w:id="193"/>
      <w:bookmarkEnd w:id="194"/>
      <w:bookmarkEnd w:id="195"/>
      <w:bookmarkEnd w:id="196"/>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1.2.1 合同文件的组成。合同文件相互解释，互为说明。除专用条款另有约定外，组成本合同的文件及优先解释顺序如下：</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（1）本合同协议书</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（2）本合同专用条款</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（3）中标通知书</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（4）招投标文件及其附件</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（5）本合同通用条款</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（6）合同附件</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（7）标准、规范及有关技术文件</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（8）设计文件、资料和图纸</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（9）双方约定构成合同组成部分的其它文件</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双方在履行合同过程中形成的双方授权代表签署的会议纪要、备忘录、补充文件、变更和洽商等书面形式的文件构成本合同的组成部分。</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1.2.2 当合同文件的条款内容含糊不清或不相一致，并且不能依据合同约定的解释顺序阐述清楚时，在不影响工程正常进行的情况下，由当事人协商解决，当事人经协商未能达成一致，根据第16.3款关于争议和裁决的约定解决。</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1.2.3 合同中的条款标题仅为阅读方便，不作为对合同条款进行解释的依据。</w:t>
      </w:r>
    </w:p>
    <w:p>
      <w:pPr>
        <w:spacing w:after="0" w:line="360" w:lineRule="auto"/>
        <w:ind w:firstLine="480" w:firstLineChars="200"/>
        <w:rPr>
          <w:rFonts w:hint="eastAsia" w:ascii="仿宋" w:hAnsi="仿宋" w:eastAsia="仿宋" w:cs="仿宋"/>
          <w:b w:val="0"/>
          <w:color w:val="auto"/>
          <w:sz w:val="24"/>
          <w:szCs w:val="24"/>
          <w:highlight w:val="none"/>
        </w:rPr>
      </w:pPr>
      <w:bookmarkStart w:id="197" w:name="_Toc419321247"/>
      <w:bookmarkStart w:id="198" w:name="_Toc419364338"/>
      <w:bookmarkStart w:id="199" w:name="_Toc419320211"/>
      <w:bookmarkStart w:id="200" w:name="_Toc419363667"/>
      <w:bookmarkStart w:id="201" w:name="_Toc433988700"/>
      <w:bookmarkStart w:id="202" w:name="_Toc26451"/>
      <w:r>
        <w:rPr>
          <w:rFonts w:hint="eastAsia" w:ascii="仿宋" w:hAnsi="仿宋" w:eastAsia="仿宋" w:cs="仿宋"/>
          <w:b w:val="0"/>
          <w:color w:val="auto"/>
          <w:sz w:val="24"/>
          <w:szCs w:val="24"/>
          <w:highlight w:val="none"/>
        </w:rPr>
        <w:t>1.3 语言文字</w:t>
      </w:r>
      <w:bookmarkEnd w:id="197"/>
      <w:bookmarkEnd w:id="198"/>
      <w:bookmarkEnd w:id="199"/>
      <w:bookmarkEnd w:id="200"/>
      <w:bookmarkEnd w:id="201"/>
      <w:bookmarkEnd w:id="202"/>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合同文件以中国的汉语简体语言文字编写、解释和说明。合同当事人在专用条款约定使用两种及以上语言时，汉语为优先解释和说明本合同的主导语言。</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在少数民族地区，当事人可以约定使用少数民族语言编写、解释和说明本合同文件。</w:t>
      </w:r>
    </w:p>
    <w:p>
      <w:pPr>
        <w:spacing w:after="0" w:line="360" w:lineRule="auto"/>
        <w:ind w:firstLine="480" w:firstLineChars="200"/>
        <w:rPr>
          <w:rFonts w:hint="eastAsia" w:ascii="仿宋" w:hAnsi="仿宋" w:eastAsia="仿宋" w:cs="仿宋"/>
          <w:b w:val="0"/>
          <w:color w:val="auto"/>
          <w:sz w:val="24"/>
          <w:szCs w:val="24"/>
          <w:highlight w:val="none"/>
        </w:rPr>
      </w:pPr>
      <w:bookmarkStart w:id="203" w:name="_Toc419320212"/>
      <w:bookmarkStart w:id="204" w:name="_Toc433988701"/>
      <w:bookmarkStart w:id="205" w:name="_Toc419364339"/>
      <w:bookmarkStart w:id="206" w:name="_Toc419321248"/>
      <w:bookmarkStart w:id="207" w:name="_Toc419363668"/>
      <w:bookmarkStart w:id="208" w:name="_Toc4698"/>
      <w:r>
        <w:rPr>
          <w:rFonts w:hint="eastAsia" w:ascii="仿宋" w:hAnsi="仿宋" w:eastAsia="仿宋" w:cs="仿宋"/>
          <w:b w:val="0"/>
          <w:color w:val="auto"/>
          <w:sz w:val="24"/>
          <w:szCs w:val="24"/>
          <w:highlight w:val="none"/>
        </w:rPr>
        <w:t>1.4 适用法律</w:t>
      </w:r>
      <w:bookmarkEnd w:id="203"/>
      <w:bookmarkEnd w:id="204"/>
      <w:bookmarkEnd w:id="205"/>
      <w:bookmarkEnd w:id="206"/>
      <w:bookmarkEnd w:id="207"/>
      <w:bookmarkEnd w:id="208"/>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本合同遵循中华人民共和国法律，指中华人民共和国法律、行政法规、部门规章以及工程所在地的地方法规、自治条例、单行条例和地方政府规章。需要明示的国家和地方的具体适用法律的名称在专用条款中约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在基准日期之后，因法律变化导致承包人的费用增加的，发包人应合理增加合同价格；如果因法律变化导致关键路径工期延误的，应合理延长工期。</w:t>
      </w:r>
    </w:p>
    <w:p>
      <w:pPr>
        <w:spacing w:after="0" w:line="360" w:lineRule="auto"/>
        <w:ind w:firstLine="480" w:firstLineChars="200"/>
        <w:rPr>
          <w:rFonts w:hint="eastAsia" w:ascii="仿宋" w:hAnsi="仿宋" w:eastAsia="仿宋" w:cs="仿宋"/>
          <w:b w:val="0"/>
          <w:color w:val="auto"/>
          <w:sz w:val="24"/>
          <w:szCs w:val="24"/>
          <w:highlight w:val="none"/>
        </w:rPr>
      </w:pPr>
      <w:bookmarkStart w:id="209" w:name="_Toc433988702"/>
      <w:bookmarkStart w:id="210" w:name="_Toc419320213"/>
      <w:bookmarkStart w:id="211" w:name="_Toc419363669"/>
      <w:bookmarkStart w:id="212" w:name="_Toc419321249"/>
      <w:bookmarkStart w:id="213" w:name="_Toc4131"/>
      <w:bookmarkStart w:id="214" w:name="_Toc419364340"/>
      <w:r>
        <w:rPr>
          <w:rFonts w:hint="eastAsia" w:ascii="仿宋" w:hAnsi="仿宋" w:eastAsia="仿宋" w:cs="仿宋"/>
          <w:b w:val="0"/>
          <w:color w:val="auto"/>
          <w:sz w:val="24"/>
          <w:szCs w:val="24"/>
          <w:highlight w:val="none"/>
        </w:rPr>
        <w:t>1.5 标准、规范</w:t>
      </w:r>
      <w:bookmarkEnd w:id="209"/>
      <w:bookmarkEnd w:id="210"/>
      <w:bookmarkEnd w:id="211"/>
      <w:bookmarkEnd w:id="212"/>
      <w:bookmarkEnd w:id="213"/>
      <w:bookmarkEnd w:id="214"/>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1.5.1 适用于本工程的国家标准规范、和（或）行业标准规范、和（或）工程所在地方的标准规范、和（或）企业标准规范的名称（或编号），在专用条款中约定。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1.5.2 发包人使用国外标准、规范的，负责提供原文版本和中文译本，并在专用条款中约定提供的标准、规范的名称、份数和时间。</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1.5.3 没有相应成文规定的标准、规范时，由发包人在专用条款中约定的时间向承包人列明技术要求，承包人按约定的时间和技术要求提出实施方法，经发包人认可后执行。承包人需要对实施方法进行研发试验的，或须对施工人员进行特殊培训的，除合同价格已包含此项费用外，双方应另行签订协议作为本合同附件，其费用由发包人承担。</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1.5.4 在基准日期之后，因国家颁布新的强制性规范、标准导致承包人的费用增加的，发包人应合理增加合同价格；导致关键路径工期延误的，发包人应合理延长工期。</w:t>
      </w:r>
    </w:p>
    <w:p>
      <w:pPr>
        <w:spacing w:after="0" w:line="360" w:lineRule="auto"/>
        <w:ind w:firstLine="480" w:firstLineChars="200"/>
        <w:rPr>
          <w:rFonts w:hint="eastAsia" w:ascii="仿宋" w:hAnsi="仿宋" w:eastAsia="仿宋" w:cs="仿宋"/>
          <w:b w:val="0"/>
          <w:color w:val="auto"/>
          <w:sz w:val="24"/>
          <w:szCs w:val="24"/>
          <w:highlight w:val="none"/>
        </w:rPr>
      </w:pPr>
      <w:bookmarkStart w:id="215" w:name="_Toc433988703"/>
      <w:bookmarkStart w:id="216" w:name="_Toc32735"/>
      <w:bookmarkStart w:id="217" w:name="_Toc419320214"/>
      <w:bookmarkStart w:id="218" w:name="_Toc419321250"/>
      <w:bookmarkStart w:id="219" w:name="_Toc419364341"/>
      <w:bookmarkStart w:id="220" w:name="_Toc419363670"/>
      <w:r>
        <w:rPr>
          <w:rFonts w:hint="eastAsia" w:ascii="仿宋" w:hAnsi="仿宋" w:eastAsia="仿宋" w:cs="仿宋"/>
          <w:b w:val="0"/>
          <w:color w:val="auto"/>
          <w:sz w:val="24"/>
          <w:szCs w:val="24"/>
          <w:highlight w:val="none"/>
        </w:rPr>
        <w:t>1.6 保密事项</w:t>
      </w:r>
      <w:bookmarkEnd w:id="215"/>
      <w:bookmarkEnd w:id="216"/>
      <w:bookmarkEnd w:id="217"/>
      <w:bookmarkEnd w:id="218"/>
      <w:bookmarkEnd w:id="219"/>
      <w:bookmarkEnd w:id="220"/>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当事人一方对在订立和履行合同过程中知悉的另一方的商业秘密、技术秘密，以及任何一方明确要求保密的其它信息，负有保密责任，未经同意，不得对外泄露或用于本合同以外的目的。一方泄露或者在本合同以外使用该商业秘密、技术秘密等保密信息给另一方造成损失的，应承担损害赔偿责任。当事人为履行合同所需要的信息，另一方应予以提供。当事人认为必要时，可签订保密协议，作为合同附件。</w:t>
      </w:r>
    </w:p>
    <w:p>
      <w:pPr>
        <w:spacing w:after="0" w:line="360" w:lineRule="auto"/>
        <w:ind w:firstLine="480" w:firstLineChars="200"/>
        <w:rPr>
          <w:rFonts w:hint="eastAsia" w:ascii="仿宋" w:hAnsi="仿宋" w:eastAsia="仿宋" w:cs="仿宋"/>
          <w:b w:val="0"/>
          <w:color w:val="auto"/>
          <w:sz w:val="24"/>
          <w:szCs w:val="24"/>
          <w:highlight w:val="none"/>
        </w:rPr>
      </w:pPr>
      <w:bookmarkStart w:id="221" w:name="_Toc419320215"/>
      <w:bookmarkStart w:id="222" w:name="_Toc30021657"/>
      <w:bookmarkStart w:id="223" w:name="_Toc433988704"/>
      <w:bookmarkStart w:id="224" w:name="_Toc172583521"/>
      <w:bookmarkStart w:id="225" w:name="_Toc1110"/>
      <w:bookmarkStart w:id="226" w:name="_Toc1450671407"/>
      <w:bookmarkStart w:id="227" w:name="_Toc1244254144"/>
      <w:bookmarkStart w:id="228" w:name="_Toc419363671"/>
      <w:bookmarkStart w:id="229" w:name="_Toc61200957"/>
      <w:bookmarkStart w:id="230" w:name="_Toc419364342"/>
      <w:bookmarkStart w:id="231" w:name="_Toc2009832321"/>
      <w:bookmarkStart w:id="232" w:name="_Toc569017986"/>
      <w:bookmarkStart w:id="233" w:name="_Toc419321251"/>
      <w:bookmarkStart w:id="234" w:name="_Toc838556483"/>
      <w:r>
        <w:rPr>
          <w:rFonts w:hint="eastAsia" w:ascii="仿宋" w:hAnsi="仿宋" w:eastAsia="仿宋" w:cs="仿宋"/>
          <w:b w:val="0"/>
          <w:color w:val="auto"/>
          <w:sz w:val="24"/>
          <w:szCs w:val="24"/>
          <w:highlight w:val="none"/>
        </w:rPr>
        <w:t>第2条 发包人</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pPr>
        <w:spacing w:after="0" w:line="360" w:lineRule="auto"/>
        <w:ind w:firstLine="480" w:firstLineChars="200"/>
        <w:rPr>
          <w:rFonts w:hint="eastAsia" w:ascii="仿宋" w:hAnsi="仿宋" w:eastAsia="仿宋" w:cs="仿宋"/>
          <w:b w:val="0"/>
          <w:color w:val="auto"/>
          <w:sz w:val="24"/>
          <w:szCs w:val="24"/>
          <w:highlight w:val="none"/>
        </w:rPr>
      </w:pPr>
      <w:bookmarkStart w:id="235" w:name="_Toc419320216"/>
      <w:bookmarkStart w:id="236" w:name="_Toc419363672"/>
      <w:bookmarkStart w:id="237" w:name="_Toc3871"/>
      <w:bookmarkStart w:id="238" w:name="_Toc419364343"/>
      <w:bookmarkStart w:id="239" w:name="_Toc433988705"/>
      <w:bookmarkStart w:id="240" w:name="_Toc419321252"/>
      <w:r>
        <w:rPr>
          <w:rFonts w:hint="eastAsia" w:ascii="仿宋" w:hAnsi="仿宋" w:eastAsia="仿宋" w:cs="仿宋"/>
          <w:b w:val="0"/>
          <w:color w:val="auto"/>
          <w:sz w:val="24"/>
          <w:szCs w:val="24"/>
          <w:highlight w:val="none"/>
        </w:rPr>
        <w:t>2.1 发包人的主要权利和义务</w:t>
      </w:r>
      <w:bookmarkEnd w:id="235"/>
      <w:bookmarkEnd w:id="236"/>
      <w:bookmarkEnd w:id="237"/>
      <w:bookmarkEnd w:id="238"/>
      <w:bookmarkEnd w:id="239"/>
      <w:bookmarkEnd w:id="240"/>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2.1.1 负责办理项目的审批、核准或备案手续，取得项目用地的使用权，完成拆迁补偿工作，使项目具备法律规定的及合同约定的开工条件，并提供立项文件。</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2.1.2 履行合同中约定的合同价格调整、付款、竣工结算义务。</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2.1.3 有权按照合同约定和适用法律关于安全、质量、环境保护和职业健康等强制性标准、规范的规定，对承包人的设计、采购、施工、竣工试验等实施工作提议、修改和变更，但不得违反国家强制性标准、规范的规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2.1.4 有权根据合同约定，对因承包人原因给发包人带来的任何损失和损害，提出赔偿。</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2.1.5 发包人认为必要时，有权以书面形式发出暂停通知。其中，因发包人原因造成的暂停，给承包人造成的费用增加由发包人承担，造成关键路径延误的，竣工日期相应顺延。</w:t>
      </w:r>
    </w:p>
    <w:p>
      <w:pPr>
        <w:spacing w:after="0" w:line="360" w:lineRule="auto"/>
        <w:ind w:firstLine="480" w:firstLineChars="200"/>
        <w:rPr>
          <w:rFonts w:hint="eastAsia" w:ascii="仿宋" w:hAnsi="仿宋" w:eastAsia="仿宋" w:cs="仿宋"/>
          <w:b w:val="0"/>
          <w:color w:val="auto"/>
          <w:sz w:val="24"/>
          <w:szCs w:val="24"/>
          <w:highlight w:val="none"/>
        </w:rPr>
      </w:pPr>
      <w:bookmarkStart w:id="241" w:name="_Toc419364344"/>
      <w:bookmarkStart w:id="242" w:name="_Toc11430"/>
      <w:bookmarkStart w:id="243" w:name="_Toc419321253"/>
      <w:bookmarkStart w:id="244" w:name="_Toc433988706"/>
      <w:bookmarkStart w:id="245" w:name="_Toc419363673"/>
      <w:bookmarkStart w:id="246" w:name="_Toc419320217"/>
      <w:r>
        <w:rPr>
          <w:rFonts w:hint="eastAsia" w:ascii="仿宋" w:hAnsi="仿宋" w:eastAsia="仿宋" w:cs="仿宋"/>
          <w:b w:val="0"/>
          <w:color w:val="auto"/>
          <w:sz w:val="24"/>
          <w:szCs w:val="24"/>
          <w:highlight w:val="none"/>
        </w:rPr>
        <w:t>2.2 发包人代表</w:t>
      </w:r>
      <w:bookmarkEnd w:id="241"/>
      <w:bookmarkEnd w:id="242"/>
      <w:bookmarkEnd w:id="243"/>
      <w:bookmarkEnd w:id="244"/>
      <w:bookmarkEnd w:id="245"/>
      <w:bookmarkEnd w:id="246"/>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发包人委派代表，行使发包人委托的权利，履行发包人的义务，但发包人代表无权修改合同。发包人代表依据本合同并在其授权范回内履行其职责。发包人代表根据合同约定的范围和事项，向承包人发出的书面通知，由其本人签字后送交项目总负责人。发包人代表的姓名、职务和职责在专用条款约定。发包人决定替换其代表时，应将新任代表的姓名、职务、职权和任命时间在其到任的15日前，以书面形式通知承包人。</w:t>
      </w:r>
    </w:p>
    <w:p>
      <w:pPr>
        <w:spacing w:after="0" w:line="360" w:lineRule="auto"/>
        <w:ind w:firstLine="480" w:firstLineChars="200"/>
        <w:rPr>
          <w:rFonts w:hint="eastAsia" w:ascii="仿宋" w:hAnsi="仿宋" w:eastAsia="仿宋" w:cs="仿宋"/>
          <w:b w:val="0"/>
          <w:color w:val="auto"/>
          <w:sz w:val="24"/>
          <w:szCs w:val="24"/>
          <w:highlight w:val="none"/>
        </w:rPr>
      </w:pPr>
      <w:bookmarkStart w:id="247" w:name="_Toc419363674"/>
      <w:bookmarkStart w:id="248" w:name="_Toc419321254"/>
      <w:bookmarkStart w:id="249" w:name="_Toc419364345"/>
      <w:bookmarkStart w:id="250" w:name="_Toc419320218"/>
      <w:bookmarkStart w:id="251" w:name="_Toc433988707"/>
      <w:r>
        <w:rPr>
          <w:rFonts w:hint="eastAsia" w:ascii="仿宋" w:hAnsi="仿宋" w:eastAsia="仿宋" w:cs="仿宋"/>
          <w:b w:val="0"/>
          <w:color w:val="auto"/>
          <w:sz w:val="24"/>
          <w:szCs w:val="24"/>
          <w:highlight w:val="none"/>
        </w:rPr>
        <w:t>2.3 监理人</w:t>
      </w:r>
      <w:bookmarkEnd w:id="247"/>
      <w:bookmarkEnd w:id="248"/>
      <w:bookmarkEnd w:id="249"/>
      <w:bookmarkEnd w:id="250"/>
      <w:bookmarkEnd w:id="251"/>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2.3.1 发包人对工程实行监理的，监理人的名称、工程总监、监理范围、内容和权限在专用条款中写明。</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监理人按发包人委托监理的范围、内容、职权利权限，代表发包人对承包人实施监督。监理人向承包人发出的通知，以书面形式由工程总监签字后送交承包人实施，并抄送发包人。</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2.3.2 工程总监的职权与发包人代表的职权相重叠或不明确时，由发包人予以协调和明确，并以书面形式通知承包人。</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2.3.3 除专用条款另有约定外，工程总监无权改变本合同当事人的任何权利和义务。</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2.3.4 发包人更换工程总监时，应提前5日以书面形式通知承包人，并在通知中写明替换者的姓名、职务、职权、权限和任命时间。</w:t>
      </w:r>
    </w:p>
    <w:p>
      <w:pPr>
        <w:spacing w:after="0" w:line="360" w:lineRule="auto"/>
        <w:ind w:firstLine="480" w:firstLineChars="200"/>
        <w:rPr>
          <w:rFonts w:hint="eastAsia" w:ascii="仿宋" w:hAnsi="仿宋" w:eastAsia="仿宋" w:cs="仿宋"/>
          <w:b w:val="0"/>
          <w:color w:val="auto"/>
          <w:sz w:val="24"/>
          <w:szCs w:val="24"/>
          <w:highlight w:val="none"/>
        </w:rPr>
      </w:pPr>
      <w:bookmarkStart w:id="252" w:name="_Toc419321255"/>
      <w:bookmarkStart w:id="253" w:name="_Toc419363675"/>
      <w:bookmarkStart w:id="254" w:name="_Toc22693"/>
      <w:bookmarkStart w:id="255" w:name="_Toc433988708"/>
      <w:bookmarkStart w:id="256" w:name="_Toc419364346"/>
      <w:bookmarkStart w:id="257" w:name="_Toc419320219"/>
      <w:r>
        <w:rPr>
          <w:rFonts w:hint="eastAsia" w:ascii="仿宋" w:hAnsi="仿宋" w:eastAsia="仿宋" w:cs="仿宋"/>
          <w:b w:val="0"/>
          <w:color w:val="auto"/>
          <w:sz w:val="24"/>
          <w:szCs w:val="24"/>
          <w:highlight w:val="none"/>
        </w:rPr>
        <w:t>2.4 安全保证</w:t>
      </w:r>
      <w:bookmarkEnd w:id="252"/>
      <w:bookmarkEnd w:id="253"/>
      <w:bookmarkEnd w:id="254"/>
      <w:bookmarkEnd w:id="255"/>
      <w:bookmarkEnd w:id="256"/>
      <w:bookmarkEnd w:id="257"/>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2.4.1 除专用条款另有约定外，发包人应负责协调处理施工现场周围的地下、地上已有设施和邻近建筑物、构筑物、古树名本、文物及坟墓等的安全保护工作，维护现场周围的正常秩序，并承担相关费用。</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2.4.2 除专用条款另有约定外，发包人应负货对工程现场临近发包人正在使用、运行、或由发包人用于生产的建筑物、构筑物、生产装置、设施、设备等，设置隔离设施，竖立禁止入内、禁止动火的明显标志，并以书面形式通知承包人须遵守的安全规定和位置范围。因发包人的原因给承包人造成的损失和伤害，由发包人负责。</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2.4.3 本合同未作约定，而在工程主体结构或工程主要装置完成后，发包人要求进行涉及建筑主体及承重结构变动、或涉及重大工艺变化的装修工程时，双方可另行签订委托合同，作为本合同附件。</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发包人自行决定此类装修或发包人与第三方签订委托合同，由发包人或发包人另行委托的第三方提出设计方案及施工的，由此造成的损失、损害由发包人负责.</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2.4.4 发包人负责对其代表、雇员、监理人及其委托的其它人员进行安全教育，并遵守承包人工程现场的安全规定。承包人应在工程现场以标牌明示相关安全规定，或将安全规定发送给发包人。因发包人的代表、雇员、监理人及其委托的其它人员未能遵守承包人工程现场的安全规定所发生的人身伤害、安全事故，由发包人负责。</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2.4.5 发包人、发包人代表、雇员、监理人及其委托的其它人员应遵守第7.8款健康、安全和环境保护的相关约定。</w:t>
      </w:r>
    </w:p>
    <w:p>
      <w:pPr>
        <w:spacing w:after="0" w:line="360" w:lineRule="auto"/>
        <w:ind w:firstLine="480" w:firstLineChars="200"/>
        <w:rPr>
          <w:rFonts w:hint="eastAsia" w:ascii="仿宋" w:hAnsi="仿宋" w:eastAsia="仿宋" w:cs="仿宋"/>
          <w:b w:val="0"/>
          <w:color w:val="auto"/>
          <w:sz w:val="24"/>
          <w:szCs w:val="24"/>
          <w:highlight w:val="none"/>
        </w:rPr>
      </w:pPr>
      <w:bookmarkStart w:id="258" w:name="_Toc419321256"/>
      <w:bookmarkStart w:id="259" w:name="_Toc5006"/>
      <w:bookmarkStart w:id="260" w:name="_Toc419320220"/>
      <w:bookmarkStart w:id="261" w:name="_Toc433988709"/>
      <w:bookmarkStart w:id="262" w:name="_Toc419363676"/>
      <w:bookmarkStart w:id="263" w:name="_Toc419364347"/>
      <w:r>
        <w:rPr>
          <w:rFonts w:hint="eastAsia" w:ascii="仿宋" w:hAnsi="仿宋" w:eastAsia="仿宋" w:cs="仿宋"/>
          <w:b w:val="0"/>
          <w:color w:val="auto"/>
          <w:sz w:val="24"/>
          <w:szCs w:val="24"/>
          <w:highlight w:val="none"/>
        </w:rPr>
        <w:t>2.5 保安责任</w:t>
      </w:r>
      <w:bookmarkEnd w:id="258"/>
      <w:bookmarkEnd w:id="259"/>
      <w:bookmarkEnd w:id="260"/>
      <w:bookmarkEnd w:id="261"/>
      <w:bookmarkEnd w:id="262"/>
      <w:bookmarkEnd w:id="263"/>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2.5.1 现场保安工作的责任主体由专用条款约定。承担现场保安工作的一方负责与当地有关治安部门的联系、沟通和协调，并承担所发生的相关费用。</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2.5.2 发包人与承包人商定工程实施阶段及区域的保安责任划分，并编制各自的相关保安制度、责任制度和报告制度，作为合同附件。</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2.5.3 发包人按合同约定占用的区域、接收的单项工程和工程，由发包人承担相关保安工作，及因此产生的费用、损害和责任。</w:t>
      </w:r>
    </w:p>
    <w:p>
      <w:pPr>
        <w:spacing w:after="0" w:line="360" w:lineRule="auto"/>
        <w:ind w:firstLine="480" w:firstLineChars="200"/>
        <w:rPr>
          <w:rFonts w:hint="eastAsia" w:ascii="仿宋" w:hAnsi="仿宋" w:eastAsia="仿宋" w:cs="仿宋"/>
          <w:b w:val="0"/>
          <w:color w:val="auto"/>
          <w:sz w:val="24"/>
          <w:szCs w:val="24"/>
          <w:highlight w:val="none"/>
        </w:rPr>
      </w:pPr>
      <w:bookmarkStart w:id="264" w:name="_Toc1052493058"/>
      <w:bookmarkStart w:id="265" w:name="_Toc2131127369"/>
      <w:bookmarkStart w:id="266" w:name="_Toc1508313997"/>
      <w:bookmarkStart w:id="267" w:name="_Toc419363677"/>
      <w:bookmarkStart w:id="268" w:name="_Toc740610611"/>
      <w:bookmarkStart w:id="269" w:name="_Toc433988710"/>
      <w:bookmarkStart w:id="270" w:name="_Toc2062815801"/>
      <w:bookmarkStart w:id="271" w:name="_Toc7560"/>
      <w:bookmarkStart w:id="272" w:name="_Toc419364348"/>
      <w:bookmarkStart w:id="273" w:name="_Toc1481535384"/>
      <w:bookmarkStart w:id="274" w:name="_Toc1831118167"/>
      <w:bookmarkStart w:id="275" w:name="_Toc419321257"/>
      <w:bookmarkStart w:id="276" w:name="_Toc419320221"/>
      <w:bookmarkStart w:id="277" w:name="_Toc2107301033"/>
      <w:r>
        <w:rPr>
          <w:rFonts w:hint="eastAsia" w:ascii="仿宋" w:hAnsi="仿宋" w:eastAsia="仿宋" w:cs="仿宋"/>
          <w:b w:val="0"/>
          <w:color w:val="auto"/>
          <w:sz w:val="24"/>
          <w:szCs w:val="24"/>
          <w:highlight w:val="none"/>
        </w:rPr>
        <w:t>第3条 承包人</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pPr>
        <w:spacing w:after="0" w:line="360" w:lineRule="auto"/>
        <w:ind w:firstLine="480" w:firstLineChars="200"/>
        <w:rPr>
          <w:rFonts w:hint="eastAsia" w:ascii="仿宋" w:hAnsi="仿宋" w:eastAsia="仿宋" w:cs="仿宋"/>
          <w:b w:val="0"/>
          <w:color w:val="auto"/>
          <w:sz w:val="24"/>
          <w:szCs w:val="24"/>
          <w:highlight w:val="none"/>
        </w:rPr>
      </w:pPr>
      <w:bookmarkStart w:id="278" w:name="_Toc419321258"/>
      <w:bookmarkStart w:id="279" w:name="_Toc433988711"/>
      <w:bookmarkStart w:id="280" w:name="_Toc29482"/>
      <w:bookmarkStart w:id="281" w:name="_Toc419320222"/>
      <w:bookmarkStart w:id="282" w:name="_Toc419363678"/>
      <w:bookmarkStart w:id="283" w:name="_Toc419364349"/>
      <w:r>
        <w:rPr>
          <w:rFonts w:hint="eastAsia" w:ascii="仿宋" w:hAnsi="仿宋" w:eastAsia="仿宋" w:cs="仿宋"/>
          <w:b w:val="0"/>
          <w:color w:val="auto"/>
          <w:sz w:val="24"/>
          <w:szCs w:val="24"/>
          <w:highlight w:val="none"/>
        </w:rPr>
        <w:t>3.1 承包人的主要权利和义务</w:t>
      </w:r>
      <w:bookmarkEnd w:id="278"/>
      <w:bookmarkEnd w:id="279"/>
      <w:bookmarkEnd w:id="280"/>
      <w:bookmarkEnd w:id="281"/>
      <w:bookmarkEnd w:id="282"/>
      <w:bookmarkEnd w:id="283"/>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3.1.1 承包人应按照合同约定的标准、规范、工程的功能、规模、考核目标和竣工日期，完成设计、采购、施工、竣工试验和（或）指导竣工后试验等工作，不得违反国家强制性标准、规范的规定。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本工程的具体承包范围，应依据合同协议书第一项“工程概况”中有关“工程承包范围”的约定。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3.1.2 承包人应按合同约定，自费修复因承包人原因引起的设计、文件、设备、材料、部件、施工中存在的缺陷、或在竣工试验和竣工后试验中发现的缺陷。</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3.1.3 承包人应按合同约定和发包人的要求，提交相关报表。报表的类别、名称、内容、报告期、提交时间和份数，在专用条款中约定。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3.1.4 承包人有权根据第4.6.4项承包人的复工要求、第14.9款付款时间延误和第17条不可抗力的约定，以书面形式向发包人发出暂停迫知。除此之外，凡因承包人原因的暂停，造成承包人的费用增加由其自负，造成关键路径延误的应自费赶上。</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3.1.5 对因发包人原因给承包人带来任何损失、损失或造成工程关键路径延误的，承包人有权要求赔偿和（或）延长竣工日期。</w:t>
      </w:r>
    </w:p>
    <w:p>
      <w:pPr>
        <w:spacing w:after="0" w:line="360" w:lineRule="auto"/>
        <w:ind w:firstLine="480" w:firstLineChars="200"/>
        <w:rPr>
          <w:rFonts w:hint="eastAsia" w:ascii="仿宋" w:hAnsi="仿宋" w:eastAsia="仿宋" w:cs="仿宋"/>
          <w:b w:val="0"/>
          <w:color w:val="auto"/>
          <w:sz w:val="24"/>
          <w:szCs w:val="24"/>
          <w:highlight w:val="none"/>
        </w:rPr>
      </w:pPr>
      <w:bookmarkStart w:id="284" w:name="_Toc433988712"/>
      <w:bookmarkStart w:id="285" w:name="_Toc419364350"/>
      <w:bookmarkStart w:id="286" w:name="_Toc419321259"/>
      <w:bookmarkStart w:id="287" w:name="_Toc27780"/>
      <w:bookmarkStart w:id="288" w:name="_Toc419363679"/>
      <w:bookmarkStart w:id="289" w:name="_Toc419320223"/>
      <w:r>
        <w:rPr>
          <w:rFonts w:hint="eastAsia" w:ascii="仿宋" w:hAnsi="仿宋" w:eastAsia="仿宋" w:cs="仿宋"/>
          <w:b w:val="0"/>
          <w:color w:val="auto"/>
          <w:sz w:val="24"/>
          <w:szCs w:val="24"/>
          <w:highlight w:val="none"/>
        </w:rPr>
        <w:t>3.2 项目总负责人</w:t>
      </w:r>
      <w:bookmarkEnd w:id="284"/>
      <w:bookmarkEnd w:id="285"/>
      <w:bookmarkEnd w:id="286"/>
      <w:bookmarkEnd w:id="287"/>
      <w:bookmarkEnd w:id="288"/>
      <w:bookmarkEnd w:id="289"/>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3.2.1 项目总负责人，应是当事人双方所确认的人选。项目总负责人经授权并代表承包人负责履行本合同。项目总负责人的姓名、职责和权限在专用条款中约定。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3.2.2 项目总负责人应是承包人的员工，承包人应在合同生效后10日内向发包人提交项目总负责人与承包人之间的劳动合同，以及承包人为项目总负责人缴纳社会保险的有效证明，承包人不提交上述文件的，项目总负责人无权履行职责，由此影响工程进度或发生其它问题的，由承包人承担责任。</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承包人违反上述约定的，按照专用条款的约定，承担违约责任。</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3.2.3 项目总负责人按合同约定的项目进度计划，并按发包人代表和（或)工程总监依据合同发出的指令组织项目实施。在紧急情况下，且无法与发包人代表和（或)工程总监取得联系时，项目总负责人有权采取必要的措施保证人身、工程和财产的安全，但须在事后48小时内向发包人代表和（或)工程总监送交书面报告。</w:t>
      </w:r>
    </w:p>
    <w:p>
      <w:pPr>
        <w:spacing w:after="0" w:line="360" w:lineRule="auto"/>
        <w:ind w:firstLine="480" w:firstLineChars="200"/>
        <w:rPr>
          <w:rFonts w:hint="eastAsia" w:ascii="仿宋" w:hAnsi="仿宋" w:eastAsia="仿宋" w:cs="仿宋"/>
          <w:b w:val="0"/>
          <w:color w:val="auto"/>
          <w:sz w:val="24"/>
          <w:szCs w:val="24"/>
          <w:highlight w:val="none"/>
        </w:rPr>
      </w:pPr>
      <w:bookmarkStart w:id="290" w:name="_Toc419320224"/>
      <w:bookmarkStart w:id="291" w:name="_Toc21226"/>
      <w:bookmarkStart w:id="292" w:name="_Toc419321260"/>
      <w:bookmarkStart w:id="293" w:name="_Toc433988713"/>
      <w:bookmarkStart w:id="294" w:name="_Toc419363680"/>
      <w:bookmarkStart w:id="295" w:name="_Toc419364351"/>
      <w:r>
        <w:rPr>
          <w:rFonts w:hint="eastAsia" w:ascii="仿宋" w:hAnsi="仿宋" w:eastAsia="仿宋" w:cs="仿宋"/>
          <w:b w:val="0"/>
          <w:color w:val="auto"/>
          <w:sz w:val="24"/>
          <w:szCs w:val="24"/>
          <w:highlight w:val="none"/>
        </w:rPr>
        <w:t>3.3 项目设计负责人</w:t>
      </w:r>
      <w:bookmarkEnd w:id="290"/>
      <w:bookmarkEnd w:id="291"/>
      <w:bookmarkEnd w:id="292"/>
      <w:bookmarkEnd w:id="293"/>
      <w:bookmarkEnd w:id="294"/>
      <w:bookmarkEnd w:id="295"/>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3.3.1 项目设计负责人，应是当事人双方所确认的人选。设计负责人的姓名、职责和权限在专用条款中约定。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3.3.2 项目设计负责人应是承包人的员工，并具备相应的资格，在承包人项目总负责人的授权下负责组织指导协调设计工作，同时在授权范围内具有代表承包人签署（或盖章）设计相关文件的权利。</w:t>
      </w:r>
    </w:p>
    <w:p>
      <w:pPr>
        <w:spacing w:after="0" w:line="360" w:lineRule="auto"/>
        <w:ind w:firstLine="480" w:firstLineChars="200"/>
        <w:rPr>
          <w:rFonts w:hint="eastAsia" w:ascii="仿宋" w:hAnsi="仿宋" w:eastAsia="仿宋" w:cs="仿宋"/>
          <w:b w:val="0"/>
          <w:color w:val="auto"/>
          <w:sz w:val="24"/>
          <w:szCs w:val="24"/>
          <w:highlight w:val="none"/>
        </w:rPr>
      </w:pPr>
      <w:bookmarkStart w:id="296" w:name="_Toc9418"/>
      <w:bookmarkStart w:id="297" w:name="_Toc419363681"/>
      <w:bookmarkStart w:id="298" w:name="_Toc419320225"/>
      <w:bookmarkStart w:id="299" w:name="_Toc433988714"/>
      <w:bookmarkStart w:id="300" w:name="_Toc419321261"/>
      <w:bookmarkStart w:id="301" w:name="_Toc419364352"/>
      <w:r>
        <w:rPr>
          <w:rFonts w:hint="eastAsia" w:ascii="仿宋" w:hAnsi="仿宋" w:eastAsia="仿宋" w:cs="仿宋"/>
          <w:b w:val="0"/>
          <w:color w:val="auto"/>
          <w:sz w:val="24"/>
          <w:szCs w:val="24"/>
          <w:highlight w:val="none"/>
        </w:rPr>
        <w:t>3.4 项目经理</w:t>
      </w:r>
      <w:bookmarkEnd w:id="296"/>
      <w:bookmarkEnd w:id="297"/>
      <w:bookmarkEnd w:id="298"/>
      <w:bookmarkEnd w:id="299"/>
      <w:bookmarkEnd w:id="300"/>
      <w:bookmarkEnd w:id="301"/>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3.4.1 项目经理，应是当事人双方所确认的人选。项目经理的姓名、职责和权限在专用条款中约定。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3.4.2 项目经理应是承包人的员工，并具备相应的资格，在项目总负责人的授权下负责组织指导现场施工工作，同时在授权范围内具有代表承包人签署（或盖章）现场施工相关文件的权利。</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3.4.3 项目经理应常驻项目现场，且每月在现场时间不得少于专用条款约定的天数。项目经理不得同时担任其它项目的项目经理。项目经理确需离开项目现场时应事先取得发包人同意，并指定一名有经验的人员临时代行其职责。</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3.4.4 承包人更换项目经理时，提前15日以书面形式通知发包人，并征得发包人的同意，继任的项目经理须继续履行第3.4款约定的职责和权限。未经发包人同意，承包人不得擅自更换项目经理。承包人擅自更换项目经理的，按专用条款的约定，承担违约责任。</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3.4.5 发包人有权以书而形式通知更换其认为不称职的项目经理，应说明更换因由，承包人应在接到更换通知后15日内向发包人提出书面的改进报告。发包人收到改进报告后仍以书面形式通知更换的，承包人应在接到第二次更换通知后的30日内进行更换，并将新任命的项目经理的姓名、简历以书面形式通知发包人。新任项目经理继续履行第3.4款约定的职责和权限。</w:t>
      </w:r>
    </w:p>
    <w:p>
      <w:pPr>
        <w:spacing w:after="0" w:line="360" w:lineRule="auto"/>
        <w:ind w:firstLine="480" w:firstLineChars="200"/>
        <w:rPr>
          <w:rFonts w:hint="eastAsia" w:ascii="仿宋" w:hAnsi="仿宋" w:eastAsia="仿宋" w:cs="仿宋"/>
          <w:b w:val="0"/>
          <w:color w:val="auto"/>
          <w:sz w:val="24"/>
          <w:szCs w:val="24"/>
          <w:highlight w:val="none"/>
        </w:rPr>
      </w:pPr>
      <w:bookmarkStart w:id="302" w:name="_Toc433988715"/>
      <w:bookmarkStart w:id="303" w:name="_Toc27298"/>
      <w:bookmarkStart w:id="304" w:name="_Toc419320226"/>
      <w:bookmarkStart w:id="305" w:name="_Toc419364353"/>
      <w:bookmarkStart w:id="306" w:name="_Toc419363682"/>
      <w:bookmarkStart w:id="307" w:name="_Toc419321262"/>
      <w:r>
        <w:rPr>
          <w:rFonts w:hint="eastAsia" w:ascii="仿宋" w:hAnsi="仿宋" w:eastAsia="仿宋" w:cs="仿宋"/>
          <w:b w:val="0"/>
          <w:color w:val="auto"/>
          <w:sz w:val="24"/>
          <w:szCs w:val="24"/>
          <w:highlight w:val="none"/>
        </w:rPr>
        <w:t>3.5 项目采购负责人</w:t>
      </w:r>
      <w:bookmarkEnd w:id="302"/>
      <w:bookmarkEnd w:id="303"/>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3.5.1 在项目总负责人和项目经理的授权下负责项目设备和材料的采购工作，特别是大宗、特种设备的采购。</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3.5.2 负责制定项目的采购计划，配合做好采购及合同管理；并根据项目实际情况确定设备、材料的进场安排。</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3.5.3 负责对采购的设备和材料的质量把关，对不合格品进行退换货处理。</w:t>
      </w:r>
    </w:p>
    <w:p>
      <w:pPr>
        <w:spacing w:after="0" w:line="360" w:lineRule="auto"/>
        <w:ind w:firstLine="480" w:firstLineChars="200"/>
        <w:rPr>
          <w:rFonts w:hint="eastAsia" w:ascii="仿宋" w:hAnsi="仿宋" w:eastAsia="仿宋" w:cs="仿宋"/>
          <w:b w:val="0"/>
          <w:color w:val="auto"/>
          <w:sz w:val="24"/>
          <w:szCs w:val="24"/>
          <w:highlight w:val="none"/>
        </w:rPr>
      </w:pPr>
      <w:bookmarkStart w:id="308" w:name="_Toc18083"/>
      <w:bookmarkStart w:id="309" w:name="_Toc433988716"/>
      <w:r>
        <w:rPr>
          <w:rFonts w:hint="eastAsia" w:ascii="仿宋" w:hAnsi="仿宋" w:eastAsia="仿宋" w:cs="仿宋"/>
          <w:b w:val="0"/>
          <w:color w:val="auto"/>
          <w:sz w:val="24"/>
          <w:szCs w:val="24"/>
          <w:highlight w:val="none"/>
        </w:rPr>
        <w:t>3.6 项目施工专职安全员</w:t>
      </w:r>
      <w:bookmarkEnd w:id="308"/>
      <w:bookmarkEnd w:id="309"/>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3.6.1 认真贯彻执行《建筑法》和有关的建筑工程安全生产法令、法规，坚持“安全第一。预防为主”的方针，具体落实各项安全生产规章制度。</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3.6.2 参与HSE计划及各项施组措施方案的编制(安全相关内容)，有权行使安全一票否决制。</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3.6.3 配合有关部门做好对施工人员的三级安全教育、节假日的安全教育、各工种换岗教育和特殊工种培训取证工作，并记录在案。健全各种安全管理台帐。</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3.6.4 参加每周一次以上的定期安全检查，及时处观工现场安全隐患，签发限时整改通知单。</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3.6.5 监督、检查操作人员的遵章守纪。制止违章作业，严格安全纪律，当安全与生产发生冲突时，有权制止冒险作业。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3.6.6 组织、参与安全技术交底，对施工全过程的安全实施控制，并做好记录。</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3.6.7 掌握安全动态，发现事故苗子并及时采取预防措施，组织班组开展安全活动，提供安全技术咨询。</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3.6.8 检查劳动保护用品的质量，反馈使用信息，对进入现场使用的各种安全用品及机械设备，配合材料部门进行验收检查工作。</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3.6.9 贯彻安全保证体系中的各项安全技术措施，组织参与安全设施、施工用电、施工机械的验收。</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3.6.10 协助上级部门的安全检查，如实汇报工程项目或生产中的安全状况；</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3.6.11 负责一般事故的调查、分析，提出处理意见，协助处理重大工伤事故、机械事故，并参与制订纠正和预防措施，防止事故再发生；</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3.612 参与对施工班组和分包单位的安全技术交底、教育工作，负责对分包单位在施工过程中的安全连续监控，并作好监控记录；</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3.6.13 参与协助对项目存在隐患的安全设施、过程和行为进行控制，参与制定纠正和预防措施，并验证纠正预防措施。</w:t>
      </w:r>
    </w:p>
    <w:p>
      <w:pPr>
        <w:spacing w:after="0" w:line="360" w:lineRule="auto"/>
        <w:ind w:firstLine="480" w:firstLineChars="200"/>
        <w:rPr>
          <w:rFonts w:hint="eastAsia" w:ascii="仿宋" w:hAnsi="仿宋" w:eastAsia="仿宋" w:cs="仿宋"/>
          <w:b w:val="0"/>
          <w:color w:val="auto"/>
          <w:sz w:val="24"/>
          <w:szCs w:val="24"/>
          <w:highlight w:val="none"/>
        </w:rPr>
      </w:pPr>
      <w:bookmarkStart w:id="310" w:name="_Toc433988717"/>
      <w:bookmarkStart w:id="311" w:name="_Toc18993"/>
      <w:r>
        <w:rPr>
          <w:rFonts w:hint="eastAsia" w:ascii="仿宋" w:hAnsi="仿宋" w:eastAsia="仿宋" w:cs="仿宋"/>
          <w:b w:val="0"/>
          <w:color w:val="auto"/>
          <w:sz w:val="24"/>
          <w:szCs w:val="24"/>
          <w:highlight w:val="none"/>
        </w:rPr>
        <w:t>3.7 工程质量保证</w:t>
      </w:r>
      <w:bookmarkEnd w:id="304"/>
      <w:bookmarkEnd w:id="305"/>
      <w:bookmarkEnd w:id="306"/>
      <w:bookmarkEnd w:id="307"/>
      <w:bookmarkEnd w:id="310"/>
      <w:bookmarkEnd w:id="311"/>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应按合同约定的质量标准规范，确保设计、采购、加工制造、施工、竣工试验等各项工作的质量，建立有效的质量保证体系，并按照国家有关规定，通过质量保修责任书的形式约定保修范固、保修期限和保修责任。</w:t>
      </w:r>
    </w:p>
    <w:p>
      <w:pPr>
        <w:spacing w:after="0" w:line="360" w:lineRule="auto"/>
        <w:ind w:firstLine="480" w:firstLineChars="200"/>
        <w:rPr>
          <w:rFonts w:hint="eastAsia" w:ascii="仿宋" w:hAnsi="仿宋" w:eastAsia="仿宋" w:cs="仿宋"/>
          <w:b w:val="0"/>
          <w:color w:val="auto"/>
          <w:sz w:val="24"/>
          <w:szCs w:val="24"/>
          <w:highlight w:val="none"/>
        </w:rPr>
      </w:pPr>
      <w:bookmarkStart w:id="312" w:name="_Toc419320227"/>
      <w:bookmarkStart w:id="313" w:name="_Toc22596"/>
      <w:bookmarkStart w:id="314" w:name="_Toc419364354"/>
      <w:bookmarkStart w:id="315" w:name="_Toc419363683"/>
      <w:bookmarkStart w:id="316" w:name="_Toc419321263"/>
      <w:bookmarkStart w:id="317" w:name="_Toc433988718"/>
      <w:r>
        <w:rPr>
          <w:rFonts w:hint="eastAsia" w:ascii="仿宋" w:hAnsi="仿宋" w:eastAsia="仿宋" w:cs="仿宋"/>
          <w:b w:val="0"/>
          <w:color w:val="auto"/>
          <w:sz w:val="24"/>
          <w:szCs w:val="24"/>
          <w:highlight w:val="none"/>
        </w:rPr>
        <w:t>3.8 安全保证</w:t>
      </w:r>
      <w:bookmarkEnd w:id="312"/>
      <w:bookmarkEnd w:id="313"/>
      <w:bookmarkEnd w:id="314"/>
      <w:bookmarkEnd w:id="315"/>
      <w:bookmarkEnd w:id="316"/>
      <w:bookmarkEnd w:id="317"/>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3.8.1 工程安全性能</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承包人应按照合同约定和国家有关安全生严的法律规定，进行设计、采购、施工、竣工试验，保证工程的安全性能。</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3.8.2 安全施工</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承包人应遵守第7.8款职业健康、安全和环境保护的约定。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3.8.3 因承包人未遵守发包人按第2.4.2项通知的安全规定和位置范围限定所造成的损失和伤害，由承包人负责。</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3.8.4 承包人全面负责其施工场地的安全管理，保障所有进入施工场地的人员的安全。因承包人原因所发生的人身伤害、安全事故，由承包人负责。</w:t>
      </w:r>
    </w:p>
    <w:p>
      <w:pPr>
        <w:spacing w:after="0" w:line="360" w:lineRule="auto"/>
        <w:ind w:firstLine="480" w:firstLineChars="200"/>
        <w:rPr>
          <w:rFonts w:hint="eastAsia" w:ascii="仿宋" w:hAnsi="仿宋" w:eastAsia="仿宋" w:cs="仿宋"/>
          <w:b w:val="0"/>
          <w:color w:val="auto"/>
          <w:sz w:val="24"/>
          <w:szCs w:val="24"/>
          <w:highlight w:val="none"/>
        </w:rPr>
      </w:pPr>
      <w:bookmarkStart w:id="318" w:name="_Toc1413"/>
      <w:bookmarkStart w:id="319" w:name="_Toc433988719"/>
      <w:bookmarkStart w:id="320" w:name="_Toc419321264"/>
      <w:bookmarkStart w:id="321" w:name="_Toc419320228"/>
      <w:bookmarkStart w:id="322" w:name="_Toc419363684"/>
      <w:bookmarkStart w:id="323" w:name="_Toc419364355"/>
      <w:r>
        <w:rPr>
          <w:rFonts w:hint="eastAsia" w:ascii="仿宋" w:hAnsi="仿宋" w:eastAsia="仿宋" w:cs="仿宋"/>
          <w:b w:val="0"/>
          <w:color w:val="auto"/>
          <w:sz w:val="24"/>
          <w:szCs w:val="24"/>
          <w:highlight w:val="none"/>
        </w:rPr>
        <w:t>3.9 职业健康和环境保护保证</w:t>
      </w:r>
      <w:bookmarkEnd w:id="318"/>
      <w:bookmarkEnd w:id="319"/>
      <w:bookmarkEnd w:id="320"/>
      <w:bookmarkEnd w:id="321"/>
      <w:bookmarkEnd w:id="322"/>
      <w:bookmarkEnd w:id="323"/>
    </w:p>
    <w:p>
      <w:pPr>
        <w:spacing w:after="0" w:line="360" w:lineRule="auto"/>
        <w:ind w:firstLine="480" w:firstLineChars="200"/>
        <w:rPr>
          <w:rFonts w:hint="eastAsia" w:ascii="仿宋" w:hAnsi="仿宋" w:eastAsia="仿宋" w:cs="仿宋"/>
          <w:b w:val="0"/>
          <w:color w:val="auto"/>
          <w:sz w:val="24"/>
          <w:szCs w:val="24"/>
          <w:highlight w:val="none"/>
        </w:rPr>
      </w:pPr>
      <w:bookmarkStart w:id="324" w:name="_Toc419321265"/>
      <w:bookmarkStart w:id="325" w:name="_Toc419320229"/>
      <w:r>
        <w:rPr>
          <w:rFonts w:hint="eastAsia" w:ascii="仿宋" w:hAnsi="仿宋" w:eastAsia="仿宋" w:cs="仿宋"/>
          <w:b w:val="0"/>
          <w:color w:val="auto"/>
          <w:sz w:val="24"/>
          <w:szCs w:val="24"/>
          <w:highlight w:val="none"/>
        </w:rPr>
        <w:t>3.9.1 工程设计</w:t>
      </w:r>
      <w:bookmarkEnd w:id="324"/>
      <w:bookmarkEnd w:id="325"/>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应按照合同约定，并遵照《建设工程勘察设计管理条例》、《建设工程环境保护条例》及其它相关法律规定进行工程的环境保护设计及职业健康防护设计，保证工程符合环统保护和职业健康相关法律和标准规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3.9.2 职业健康和环境保护</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承包人应遵守第7.8款职业健康、安全和环境保护的约定。</w:t>
      </w:r>
    </w:p>
    <w:p>
      <w:pPr>
        <w:spacing w:after="0" w:line="360" w:lineRule="auto"/>
        <w:ind w:firstLine="480" w:firstLineChars="200"/>
        <w:rPr>
          <w:rFonts w:hint="eastAsia" w:ascii="仿宋" w:hAnsi="仿宋" w:eastAsia="仿宋" w:cs="仿宋"/>
          <w:b w:val="0"/>
          <w:color w:val="auto"/>
          <w:sz w:val="24"/>
          <w:szCs w:val="24"/>
          <w:highlight w:val="none"/>
        </w:rPr>
      </w:pPr>
      <w:bookmarkStart w:id="326" w:name="_Toc419320230"/>
      <w:bookmarkStart w:id="327" w:name="_Toc419364356"/>
      <w:bookmarkStart w:id="328" w:name="_Toc419321266"/>
      <w:bookmarkStart w:id="329" w:name="_Toc433988720"/>
      <w:bookmarkStart w:id="330" w:name="_Toc419363685"/>
      <w:bookmarkStart w:id="331" w:name="_Toc21062"/>
      <w:r>
        <w:rPr>
          <w:rFonts w:hint="eastAsia" w:ascii="仿宋" w:hAnsi="仿宋" w:eastAsia="仿宋" w:cs="仿宋"/>
          <w:b w:val="0"/>
          <w:color w:val="auto"/>
          <w:sz w:val="24"/>
          <w:szCs w:val="24"/>
          <w:highlight w:val="none"/>
        </w:rPr>
        <w:t>3.10 进度保证</w:t>
      </w:r>
      <w:bookmarkEnd w:id="326"/>
      <w:bookmarkEnd w:id="327"/>
      <w:bookmarkEnd w:id="328"/>
      <w:bookmarkEnd w:id="329"/>
      <w:bookmarkEnd w:id="330"/>
      <w:bookmarkEnd w:id="331"/>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承包人按第4.1款约定的项目进度计划，合理有序地组织设计、采购、施工、竣工试验所需要的各类资源，以及派出有经验的竣工后试验的指导人员，采用有效的实施方法和组织措施，保证项目进度计划的实现。</w:t>
      </w:r>
    </w:p>
    <w:p>
      <w:pPr>
        <w:spacing w:after="0" w:line="360" w:lineRule="auto"/>
        <w:ind w:firstLine="480" w:firstLineChars="200"/>
        <w:rPr>
          <w:rFonts w:hint="eastAsia" w:ascii="仿宋" w:hAnsi="仿宋" w:eastAsia="仿宋" w:cs="仿宋"/>
          <w:b w:val="0"/>
          <w:color w:val="auto"/>
          <w:sz w:val="24"/>
          <w:szCs w:val="24"/>
          <w:highlight w:val="none"/>
        </w:rPr>
      </w:pPr>
      <w:bookmarkStart w:id="332" w:name="_Toc419363686"/>
      <w:bookmarkStart w:id="333" w:name="_Toc419364357"/>
      <w:bookmarkStart w:id="334" w:name="_Toc7596"/>
      <w:bookmarkStart w:id="335" w:name="_Toc433988721"/>
      <w:bookmarkStart w:id="336" w:name="_Toc419320231"/>
      <w:bookmarkStart w:id="337" w:name="_Toc419321267"/>
      <w:r>
        <w:rPr>
          <w:rFonts w:hint="eastAsia" w:ascii="仿宋" w:hAnsi="仿宋" w:eastAsia="仿宋" w:cs="仿宋"/>
          <w:b w:val="0"/>
          <w:color w:val="auto"/>
          <w:sz w:val="24"/>
          <w:szCs w:val="24"/>
          <w:highlight w:val="none"/>
        </w:rPr>
        <w:t>3.11 现场保安</w:t>
      </w:r>
      <w:bookmarkEnd w:id="332"/>
      <w:bookmarkEnd w:id="333"/>
      <w:bookmarkEnd w:id="334"/>
      <w:bookmarkEnd w:id="335"/>
      <w:bookmarkEnd w:id="336"/>
      <w:bookmarkEnd w:id="337"/>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承包人承担其进入现场、施工开工至发包人接收单项工程和（或）工程之前的现场保安责任（含承包人的预制加工场地、办公及生活营区）。并负责编制相关的保安制度、责任制度和报告制度，提交给发包人。</w:t>
      </w:r>
    </w:p>
    <w:p>
      <w:pPr>
        <w:spacing w:after="0" w:line="360" w:lineRule="auto"/>
        <w:ind w:firstLine="480" w:firstLineChars="200"/>
        <w:rPr>
          <w:rFonts w:hint="eastAsia" w:ascii="仿宋" w:hAnsi="仿宋" w:eastAsia="仿宋" w:cs="仿宋"/>
          <w:b w:val="0"/>
          <w:color w:val="auto"/>
          <w:sz w:val="24"/>
          <w:szCs w:val="24"/>
          <w:highlight w:val="none"/>
        </w:rPr>
      </w:pPr>
      <w:bookmarkStart w:id="338" w:name="_Toc22764"/>
      <w:bookmarkStart w:id="339" w:name="_Toc419363687"/>
      <w:bookmarkStart w:id="340" w:name="_Toc419321268"/>
      <w:bookmarkStart w:id="341" w:name="_Toc419364358"/>
      <w:bookmarkStart w:id="342" w:name="_Toc419320232"/>
      <w:bookmarkStart w:id="343" w:name="_Toc433988722"/>
      <w:r>
        <w:rPr>
          <w:rFonts w:hint="eastAsia" w:ascii="仿宋" w:hAnsi="仿宋" w:eastAsia="仿宋" w:cs="仿宋"/>
          <w:b w:val="0"/>
          <w:color w:val="auto"/>
          <w:sz w:val="24"/>
          <w:szCs w:val="24"/>
          <w:highlight w:val="none"/>
        </w:rPr>
        <w:t>3.12 分包</w:t>
      </w:r>
      <w:bookmarkEnd w:id="338"/>
      <w:bookmarkEnd w:id="339"/>
      <w:bookmarkEnd w:id="340"/>
      <w:bookmarkEnd w:id="341"/>
      <w:bookmarkEnd w:id="342"/>
      <w:bookmarkEnd w:id="343"/>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3.12.1 分包约定</w:t>
      </w:r>
      <w:r>
        <w:rPr>
          <w:rFonts w:hint="eastAsia" w:ascii="仿宋" w:hAnsi="仿宋" w:eastAsia="仿宋" w:cs="仿宋"/>
          <w:b w:val="0"/>
          <w:color w:val="auto"/>
          <w:sz w:val="24"/>
          <w:szCs w:val="24"/>
          <w:highlight w:val="none"/>
        </w:rPr>
        <w:tab/>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承包人只能对专用条款约定列出的工作事项（含设计、采购、施工、劳务服务、竣工试验等）进行分包。</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专用条款未列出的分包事项，承包人可在工程实施阶段分批分期就分包事项向发包人提交申请，发包人在接到分包事项申请后的15日内，予以批准或提出意见。发包人未能在15日批准亦未提出意见的，承包人有权在提交该分包事项后的第16日开始，将提出的拟分包事项对外分包。</w:t>
      </w:r>
    </w:p>
    <w:p>
      <w:pPr>
        <w:spacing w:after="0" w:line="360" w:lineRule="auto"/>
        <w:ind w:firstLine="480" w:firstLineChars="200"/>
        <w:rPr>
          <w:rFonts w:hint="eastAsia" w:ascii="仿宋" w:hAnsi="仿宋" w:eastAsia="仿宋" w:cs="仿宋"/>
          <w:b w:val="0"/>
          <w:color w:val="auto"/>
          <w:sz w:val="24"/>
          <w:szCs w:val="24"/>
          <w:highlight w:val="none"/>
        </w:rPr>
      </w:pPr>
      <w:bookmarkStart w:id="344" w:name="_Toc419363688"/>
      <w:r>
        <w:rPr>
          <w:rFonts w:hint="eastAsia" w:ascii="仿宋" w:hAnsi="仿宋" w:eastAsia="仿宋" w:cs="仿宋"/>
          <w:b w:val="0"/>
          <w:color w:val="auto"/>
          <w:sz w:val="24"/>
          <w:szCs w:val="24"/>
          <w:highlight w:val="none"/>
        </w:rPr>
        <w:t>3.12.2 分包人资质</w:t>
      </w:r>
      <w:bookmarkEnd w:id="344"/>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分包人应符合国家法律规定的企业资质等级，否则不能作为分包人。承包人有义务对分包人的资质进行审查。</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3.12.3 承包人不得将承包的工程对外转包，也不得以肢解方式将承包的全部工程对外分包。</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3.12.4 设计、施工和工程物资等分包人，应严格执行国家有关分包事项的管理规定。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3.12.5 对分包人的付款</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承包人应按分包合同约定，按时向分包人支付合同价款。除非专用条款另有约定外，未经承包人同意，发包人不得以任何形式向分包人支付任何款项。</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3.12.6 承包人对分包人负责</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承包人对分包人的行为向发包人负责，承包人和分包人就分包工作向发包人承担连带责任。</w:t>
      </w:r>
    </w:p>
    <w:p>
      <w:pPr>
        <w:spacing w:after="0" w:line="360" w:lineRule="auto"/>
        <w:ind w:firstLine="480" w:firstLineChars="200"/>
        <w:rPr>
          <w:rFonts w:hint="eastAsia" w:ascii="仿宋" w:hAnsi="仿宋" w:eastAsia="仿宋" w:cs="仿宋"/>
          <w:b w:val="0"/>
          <w:color w:val="auto"/>
          <w:sz w:val="24"/>
          <w:szCs w:val="24"/>
          <w:highlight w:val="none"/>
        </w:rPr>
      </w:pPr>
      <w:bookmarkStart w:id="345" w:name="_Toc1108155307"/>
      <w:bookmarkStart w:id="346" w:name="_Toc419321269"/>
      <w:bookmarkStart w:id="347" w:name="_Toc428025467"/>
      <w:bookmarkStart w:id="348" w:name="_Toc419320233"/>
      <w:bookmarkStart w:id="349" w:name="_Toc433988723"/>
      <w:bookmarkStart w:id="350" w:name="_Toc1336378391"/>
      <w:bookmarkStart w:id="351" w:name="_Toc419363689"/>
      <w:bookmarkStart w:id="352" w:name="_Toc30596"/>
      <w:bookmarkStart w:id="353" w:name="_Toc419364359"/>
      <w:bookmarkStart w:id="354" w:name="_Toc769170239"/>
      <w:bookmarkStart w:id="355" w:name="_Toc92311923"/>
      <w:bookmarkStart w:id="356" w:name="_Toc14887612"/>
      <w:bookmarkStart w:id="357" w:name="_Toc627321065"/>
      <w:bookmarkStart w:id="358" w:name="_Toc2125426117"/>
      <w:r>
        <w:rPr>
          <w:rFonts w:hint="eastAsia" w:ascii="仿宋" w:hAnsi="仿宋" w:eastAsia="仿宋" w:cs="仿宋"/>
          <w:b w:val="0"/>
          <w:color w:val="auto"/>
          <w:sz w:val="24"/>
          <w:szCs w:val="24"/>
          <w:highlight w:val="none"/>
        </w:rPr>
        <w:t>第4条 进度计划、延误和暂停</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pPr>
        <w:spacing w:after="0" w:line="360" w:lineRule="auto"/>
        <w:ind w:firstLine="480" w:firstLineChars="200"/>
        <w:rPr>
          <w:rFonts w:hint="eastAsia" w:ascii="仿宋" w:hAnsi="仿宋" w:eastAsia="仿宋" w:cs="仿宋"/>
          <w:b w:val="0"/>
          <w:color w:val="auto"/>
          <w:sz w:val="24"/>
          <w:szCs w:val="24"/>
          <w:highlight w:val="none"/>
        </w:rPr>
      </w:pPr>
      <w:bookmarkStart w:id="359" w:name="_Toc419320234"/>
      <w:bookmarkStart w:id="360" w:name="_Toc419321270"/>
      <w:bookmarkStart w:id="361" w:name="_Toc28835"/>
      <w:bookmarkStart w:id="362" w:name="_Toc433988724"/>
      <w:bookmarkStart w:id="363" w:name="_Toc419363690"/>
      <w:bookmarkStart w:id="364" w:name="_Toc419364360"/>
      <w:r>
        <w:rPr>
          <w:rFonts w:hint="eastAsia" w:ascii="仿宋" w:hAnsi="仿宋" w:eastAsia="仿宋" w:cs="仿宋"/>
          <w:b w:val="0"/>
          <w:color w:val="auto"/>
          <w:sz w:val="24"/>
          <w:szCs w:val="24"/>
          <w:highlight w:val="none"/>
        </w:rPr>
        <w:t>4.1 项目进度计划</w:t>
      </w:r>
      <w:bookmarkEnd w:id="359"/>
      <w:bookmarkEnd w:id="360"/>
      <w:bookmarkEnd w:id="361"/>
      <w:bookmarkEnd w:id="362"/>
      <w:bookmarkEnd w:id="363"/>
      <w:bookmarkEnd w:id="364"/>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4.1.1 项目进度计划</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承包人负责编制项目进度计划，项目进度计划中的施工期限(含竣工试验)，应符合合同协议书的约定。关键路径及关键路径变化的确定原则、承包人提交项目进度计划的份数和时间，在专用条款约定。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项目进度计划经发包人批准后实施，但发包人的批准并不能减轻或免除承包人的合同责任。</w:t>
      </w:r>
    </w:p>
    <w:p>
      <w:pPr>
        <w:spacing w:after="0" w:line="360" w:lineRule="auto"/>
        <w:ind w:firstLine="480" w:firstLineChars="200"/>
        <w:rPr>
          <w:rFonts w:hint="eastAsia" w:ascii="仿宋" w:hAnsi="仿宋" w:eastAsia="仿宋" w:cs="仿宋"/>
          <w:b w:val="0"/>
          <w:color w:val="auto"/>
          <w:sz w:val="24"/>
          <w:szCs w:val="24"/>
          <w:highlight w:val="none"/>
        </w:rPr>
      </w:pPr>
      <w:bookmarkStart w:id="365" w:name="_Toc419321271"/>
      <w:bookmarkStart w:id="366" w:name="_Toc419320235"/>
      <w:bookmarkStart w:id="367" w:name="_Toc419363691"/>
      <w:r>
        <w:rPr>
          <w:rFonts w:hint="eastAsia" w:ascii="仿宋" w:hAnsi="仿宋" w:eastAsia="仿宋" w:cs="仿宋"/>
          <w:b w:val="0"/>
          <w:color w:val="auto"/>
          <w:sz w:val="24"/>
          <w:szCs w:val="24"/>
          <w:highlight w:val="none"/>
        </w:rPr>
        <w:t>4.1.2 自费赶上项目进度计划</w:t>
      </w:r>
      <w:bookmarkEnd w:id="365"/>
      <w:bookmarkEnd w:id="366"/>
      <w:bookmarkEnd w:id="367"/>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因承包人原因使工程实际进度明显落后于项目进度计划时，承包人有义务、发包人也有权利要求承包人自费采取措施，赶上项目进度计划。</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4.1.3 项目进度计划的调整</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出现下列情况，竣工日期相应顺延，并对项目进度计划进行调整：</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发包人根据第5.2.1项提供的项目基础资料和现场障碍资料不真实、不准确、不齐全、不及时，或未能按14.3.1款约定的预付款金额和（或）第14.3.2项约定的预付款时间付款，导致第4.2.2项约定的设计开工日期延误，或第4.3.2项约定的采购开始日期延误，或造成第4.4.2项施工开工日期延误的。</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（2）根据第4.2.4项第（2）项的约定，因发包人原因，导致某个设计阶段审核会议时间的延误。</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（3）根据第4.2.4项第（3）项的约定，相关设计审查部门批准时间较合同约定的时间延长的。</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（4）根据合同约定的其它延长竣工日期的情况。</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4.1.4 发包人的赶工要求</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合同实施过程中发包人书面提出加快设计、采购、施工、竣工试验的赶工要求，被承包人接受时，承包人应提交赶工方案，采取赶工措施。因赶工引起的费用增加，按第13.2.4项的变更约定执行。</w:t>
      </w:r>
    </w:p>
    <w:p>
      <w:pPr>
        <w:spacing w:after="0" w:line="360" w:lineRule="auto"/>
        <w:ind w:firstLine="480" w:firstLineChars="200"/>
        <w:rPr>
          <w:rFonts w:hint="eastAsia" w:ascii="仿宋" w:hAnsi="仿宋" w:eastAsia="仿宋" w:cs="仿宋"/>
          <w:b w:val="0"/>
          <w:color w:val="auto"/>
          <w:sz w:val="24"/>
          <w:szCs w:val="24"/>
          <w:highlight w:val="none"/>
        </w:rPr>
      </w:pPr>
      <w:bookmarkStart w:id="368" w:name="_Toc419363692"/>
      <w:bookmarkStart w:id="369" w:name="_Toc419321272"/>
      <w:bookmarkStart w:id="370" w:name="_Toc433988725"/>
      <w:bookmarkStart w:id="371" w:name="_Toc29892"/>
      <w:bookmarkStart w:id="372" w:name="_Toc419364361"/>
      <w:bookmarkStart w:id="373" w:name="_Toc419320236"/>
      <w:r>
        <w:rPr>
          <w:rFonts w:hint="eastAsia" w:ascii="仿宋" w:hAnsi="仿宋" w:eastAsia="仿宋" w:cs="仿宋"/>
          <w:b w:val="0"/>
          <w:color w:val="auto"/>
          <w:sz w:val="24"/>
          <w:szCs w:val="24"/>
          <w:highlight w:val="none"/>
        </w:rPr>
        <w:t>4.2 设计进度计划</w:t>
      </w:r>
      <w:bookmarkEnd w:id="368"/>
      <w:bookmarkEnd w:id="369"/>
      <w:bookmarkEnd w:id="370"/>
      <w:bookmarkEnd w:id="371"/>
      <w:bookmarkEnd w:id="372"/>
      <w:bookmarkEnd w:id="373"/>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4.2.1 设计进度计划</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根据批准的项目进度计划和第5.3.1项约定的设计审查阶段及发包人组织的设计阶段审查会议的时间安排，编制设计进度计划。设计进度计划经发包人认可后执行。发包人的认可并不能解除承包人的合同责任。</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4.2.2 设计开工日期</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承包人收到发包人按第5.2.1项提供的项目基础资料、现场障碍资料，及第14.3.2项的预付款收到后的第5日，作为设计开工日期。</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4.2.3 设计开工日期延误</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因发包人未能按第5.2.1款的约定提供设计基础资料、现场障碍资料等相关资料、或未按第14.3.1项和第14.3.2项约定的预付款金额和支付时间支付预付款，造成设计开工日期延误的，设计开工日期和工程竣工日期相应顺延；因承包人原因造成设计开工日期延误的，按第4.1.2项的约定，自费赶上。因发包人原因给承包人造成经济损失的，应支付相应费用。</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4.2.4 设计阶段审查日期的延误</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因承包人原因，未能按照合同约定的设计审查阶段及其审查会议的时间安排提交相关阶段的设计文件、或提交的相关设计文件不符合相关审核阶段的设计深度要求时，造成设计审查会议延误的，由承包人依据第4.1.2项的约定，自费采取措施赶上；造成关键路径延误，或给发包人造成损失（审核会议准备费用）的，由承包人承担。</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（2）因发包人原因，未能按照合同约定的设计阶段审查会议的时间安排，造成某个设计阶段审查会议延误的，竣工日期相应顺延。因此给承包人带来的窝工损失，由发包人承担。</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（3）政府相关设计审查部门批准时间较合同约定时间延长的，竣工日期相应顺延。因此给双方带来的费用增加和（或）工期延误的，由发包人承担。</w:t>
      </w:r>
    </w:p>
    <w:p>
      <w:pPr>
        <w:spacing w:after="0" w:line="360" w:lineRule="auto"/>
        <w:ind w:firstLine="480" w:firstLineChars="200"/>
        <w:rPr>
          <w:rFonts w:hint="eastAsia" w:ascii="仿宋" w:hAnsi="仿宋" w:eastAsia="仿宋" w:cs="仿宋"/>
          <w:b w:val="0"/>
          <w:color w:val="auto"/>
          <w:sz w:val="24"/>
          <w:szCs w:val="24"/>
          <w:highlight w:val="none"/>
        </w:rPr>
      </w:pPr>
      <w:bookmarkStart w:id="374" w:name="_Toc419364362"/>
      <w:bookmarkStart w:id="375" w:name="_Toc433988726"/>
      <w:bookmarkStart w:id="376" w:name="_Toc3925"/>
      <w:bookmarkStart w:id="377" w:name="_Toc419320237"/>
      <w:bookmarkStart w:id="378" w:name="_Toc419363693"/>
      <w:bookmarkStart w:id="379" w:name="_Toc419321273"/>
      <w:r>
        <w:rPr>
          <w:rFonts w:hint="eastAsia" w:ascii="仿宋" w:hAnsi="仿宋" w:eastAsia="仿宋" w:cs="仿宋"/>
          <w:b w:val="0"/>
          <w:color w:val="auto"/>
          <w:sz w:val="24"/>
          <w:szCs w:val="24"/>
          <w:highlight w:val="none"/>
        </w:rPr>
        <w:t>4.3 采购进度计划</w:t>
      </w:r>
      <w:bookmarkEnd w:id="374"/>
      <w:bookmarkEnd w:id="375"/>
      <w:bookmarkEnd w:id="376"/>
      <w:bookmarkEnd w:id="377"/>
      <w:bookmarkEnd w:id="378"/>
      <w:bookmarkEnd w:id="379"/>
    </w:p>
    <w:p>
      <w:pPr>
        <w:spacing w:after="0" w:line="360" w:lineRule="auto"/>
        <w:ind w:firstLine="480" w:firstLineChars="200"/>
        <w:rPr>
          <w:rFonts w:hint="eastAsia" w:ascii="仿宋" w:hAnsi="仿宋" w:eastAsia="仿宋" w:cs="仿宋"/>
          <w:b w:val="0"/>
          <w:color w:val="auto"/>
          <w:sz w:val="24"/>
          <w:szCs w:val="24"/>
          <w:highlight w:val="none"/>
        </w:rPr>
      </w:pPr>
      <w:bookmarkStart w:id="380" w:name="_Toc433988727"/>
      <w:bookmarkStart w:id="381" w:name="_Toc10869"/>
      <w:r>
        <w:rPr>
          <w:rFonts w:hint="eastAsia" w:ascii="仿宋" w:hAnsi="仿宋" w:eastAsia="仿宋" w:cs="仿宋"/>
          <w:b w:val="0"/>
          <w:color w:val="auto"/>
          <w:sz w:val="24"/>
          <w:szCs w:val="24"/>
          <w:highlight w:val="none"/>
        </w:rPr>
        <w:t>4.3.1 采购进度计划</w:t>
      </w:r>
      <w:bookmarkEnd w:id="380"/>
      <w:bookmarkEnd w:id="381"/>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承包人的采购进度计划符合项目进度计划的时间安排，并与设计、施工、和（或）竣工试验及竣工后试验的进度计划相衔接。采购进度计划的提交份数和日期，在专用条款约定。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4.3.2 采购开始日期</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采购开始日期在专用条款约定。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4.3.3 采购进度延误</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因承包人的原因导致采购延误，造成的停工、窝工损失和竣工日期延误，由承包人负责。因发包人原因导致采购延误，给承包人造成的停工、窝工损失，由发包人承担，若造成关键路径延误的，竣工日期相应顺延。</w:t>
      </w:r>
    </w:p>
    <w:p>
      <w:pPr>
        <w:spacing w:after="0" w:line="360" w:lineRule="auto"/>
        <w:ind w:firstLine="480" w:firstLineChars="200"/>
        <w:rPr>
          <w:rFonts w:hint="eastAsia" w:ascii="仿宋" w:hAnsi="仿宋" w:eastAsia="仿宋" w:cs="仿宋"/>
          <w:b w:val="0"/>
          <w:color w:val="auto"/>
          <w:sz w:val="24"/>
          <w:szCs w:val="24"/>
          <w:highlight w:val="none"/>
        </w:rPr>
      </w:pPr>
      <w:bookmarkStart w:id="382" w:name="_Toc419364363"/>
      <w:bookmarkStart w:id="383" w:name="_Toc14731"/>
      <w:bookmarkStart w:id="384" w:name="_Toc419320238"/>
      <w:bookmarkStart w:id="385" w:name="_Toc419363694"/>
      <w:bookmarkStart w:id="386" w:name="_Toc433988728"/>
      <w:bookmarkStart w:id="387" w:name="_Toc419321274"/>
      <w:r>
        <w:rPr>
          <w:rFonts w:hint="eastAsia" w:ascii="仿宋" w:hAnsi="仿宋" w:eastAsia="仿宋" w:cs="仿宋"/>
          <w:b w:val="0"/>
          <w:color w:val="auto"/>
          <w:sz w:val="24"/>
          <w:szCs w:val="24"/>
          <w:highlight w:val="none"/>
        </w:rPr>
        <w:t>4.4  施工进度计划</w:t>
      </w:r>
      <w:bookmarkEnd w:id="382"/>
      <w:bookmarkEnd w:id="383"/>
      <w:bookmarkEnd w:id="384"/>
      <w:bookmarkEnd w:id="385"/>
      <w:bookmarkEnd w:id="386"/>
      <w:bookmarkEnd w:id="387"/>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4.4.1 施工进度计划</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应在现场施工开工15日前向发包人提交份包括施工进度计划在内的总体施工组织设计。施工进度计划的开竣工时间，应符合合同协议书对施工开工和工程竣工日期的约定，并与项目进度计划的安排协调一致。发包人需承包人提交关键单项工程和（或）关键分部分项工程施工进度计划的，在专用条款中约定提交的份数和时间。</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4.4.2 施工开工日期延误</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施工开工日期延误的，根据下列约定确定延长竣工日期：</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（1）因发包人原因造成承包人不能按时开工的，开竣工日期相应顺延。给承包人造成经济损失的应支付相应费用。</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（2）因承包人原因不能按时开工的，需说明正当理由，自费采取措施及早开工，竣工日期不予延长。</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（3）因不可抗力造成施工开工日期延误的，竣工日期相应顺延。</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4.4.3 竣工日期</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（1）承包项目的试试阶段含竣工试验阶段时，按以下方式确定计划竣工日期和实际竣工日期：</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1）根据专用条款（第9.1款工程接收）约定单项工程竣工日期，为单项工程的计划竣工日期；工程中最后一个单项工程的计划竣工日期，为工程的计划竣工日期；</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2）单项工程中最后一项竣工试验通过的日期，为该单项工程的实际竣工日期；</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3）工程中最后一个单项工程通过竣工试验的日期，为工程的实际竣工日期。</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（2）承包项目的实施阶段不含竣工试验阶段时，按以下方式确定计划竣工日期和实际竣工日期：</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1）根据专用条款（第9.1款工程接收）中所约定的单项工程竣工日期，为单项工程的计划竣工日期；工程中最后一个单项工程的计划竣工日期，为工程的计划竣工日期；</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2）承包人按合同约定，完成施工图纸规定的单项工程中的全部施工作业，并符合约定的质量标准的日期，为单项工程的实际竣工日期；</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3）承包人按合同约定，完成施工图纸规定的工程中最后一个单项工程的全部施工作业，且符合合同约定的质量标准的日期，为工程的实际竣工日期。</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（3）承包人为竣工试验、或竣工后试验预留的施工部位、或发包人要求预留的施工部位、不影响发包人实质操作使用的零星扫尾工程和缺陷修复，不影响竣工日期的确定。</w:t>
      </w:r>
    </w:p>
    <w:p>
      <w:pPr>
        <w:spacing w:after="0" w:line="360" w:lineRule="auto"/>
        <w:ind w:firstLine="480" w:firstLineChars="200"/>
        <w:rPr>
          <w:rFonts w:hint="eastAsia" w:ascii="仿宋" w:hAnsi="仿宋" w:eastAsia="仿宋" w:cs="仿宋"/>
          <w:b w:val="0"/>
          <w:color w:val="auto"/>
          <w:sz w:val="24"/>
          <w:szCs w:val="24"/>
          <w:highlight w:val="none"/>
        </w:rPr>
      </w:pPr>
      <w:bookmarkStart w:id="388" w:name="_Toc419364364"/>
      <w:bookmarkStart w:id="389" w:name="_Toc419363695"/>
      <w:bookmarkStart w:id="390" w:name="_Toc18455"/>
      <w:bookmarkStart w:id="391" w:name="_Toc419321275"/>
      <w:bookmarkStart w:id="392" w:name="_Toc433988729"/>
      <w:bookmarkStart w:id="393" w:name="_Toc419320239"/>
      <w:r>
        <w:rPr>
          <w:rFonts w:hint="eastAsia" w:ascii="仿宋" w:hAnsi="仿宋" w:eastAsia="仿宋" w:cs="仿宋"/>
          <w:b w:val="0"/>
          <w:color w:val="auto"/>
          <w:sz w:val="24"/>
          <w:szCs w:val="24"/>
          <w:highlight w:val="none"/>
        </w:rPr>
        <w:t>4.5 误期赔偿</w:t>
      </w:r>
      <w:bookmarkEnd w:id="388"/>
      <w:bookmarkEnd w:id="389"/>
      <w:bookmarkEnd w:id="390"/>
      <w:bookmarkEnd w:id="391"/>
      <w:bookmarkEnd w:id="392"/>
      <w:bookmarkEnd w:id="393"/>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因承包人原因，造成工程竣工日期延误的，由承包人承担误期误害赔偿责任。每日延误的赔偿金额，及累计的最高赔偿金额在专用条款中约定。发包人有权从工程进度款、竣工结算款或约定提交的履约保函中扣除赔偿金额。</w:t>
      </w:r>
    </w:p>
    <w:p>
      <w:pPr>
        <w:spacing w:after="0" w:line="360" w:lineRule="auto"/>
        <w:ind w:firstLine="480" w:firstLineChars="200"/>
        <w:rPr>
          <w:rFonts w:hint="eastAsia" w:ascii="仿宋" w:hAnsi="仿宋" w:eastAsia="仿宋" w:cs="仿宋"/>
          <w:b w:val="0"/>
          <w:color w:val="auto"/>
          <w:sz w:val="24"/>
          <w:szCs w:val="24"/>
          <w:highlight w:val="none"/>
        </w:rPr>
      </w:pPr>
      <w:bookmarkStart w:id="394" w:name="_Toc419363696"/>
      <w:bookmarkStart w:id="395" w:name="_Toc419364365"/>
      <w:bookmarkStart w:id="396" w:name="_Toc419321276"/>
      <w:bookmarkStart w:id="397" w:name="_Toc419320240"/>
      <w:bookmarkStart w:id="398" w:name="_Toc433988730"/>
      <w:bookmarkStart w:id="399" w:name="_Toc4470"/>
      <w:r>
        <w:rPr>
          <w:rFonts w:hint="eastAsia" w:ascii="仿宋" w:hAnsi="仿宋" w:eastAsia="仿宋" w:cs="仿宋"/>
          <w:b w:val="0"/>
          <w:color w:val="auto"/>
          <w:sz w:val="24"/>
          <w:szCs w:val="24"/>
          <w:highlight w:val="none"/>
        </w:rPr>
        <w:t>4.6 暂停</w:t>
      </w:r>
      <w:bookmarkEnd w:id="394"/>
      <w:bookmarkEnd w:id="395"/>
      <w:bookmarkEnd w:id="396"/>
      <w:bookmarkEnd w:id="397"/>
      <w:bookmarkEnd w:id="398"/>
      <w:bookmarkEnd w:id="399"/>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4.6.1 因发包人原因的暂停</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因发包人原因通知的暂停，应列明暂停的日期及预计暂停的期限。双方应遵守第2.1.5项和第3.1.4项的相关约定。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4.6.2 因不可抗力造成的暂停</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因不可抗力造成工程暂停时，双方根据第17.1款不可抗力发生时的义务和第17.2款不可抗力的后果的条款的约定，安排各自的工作。</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4.6.3 暂停时承包人的工作</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当发生第4.6.1项发包人的暂停和第4.6.2项因不可抗力约定的暂停时，承包人应立即停止现场的实施工作。并根据合同约定负责在暂停期间，对工程、工程物资及承包人文件等进行照管和保护。因承包人未能尽到照管、保护的责任，造成损坏、丢失等，使发包人的费用增加，和（或）竣工日期延误的，由承包人负责。</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4.6.4 承包人的复工要求</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根据发包人通知暂停的，承包人有权在暂停45日后向发包人发出要求复工的通知。不能复工时，承包人有权根据第13.2.5项调减部分工程的约定，以变更方式调减受暂停影响的部分工程。</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发包人的暂停超过45日且暂停影响到整个工程，或发包人的暂停超过180日，或因不可抗力的暂停致使合同无法履行，承包人有权根据第18.2款由承包人解除合同的约定，发出解除合同的通知。</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4.6.5 发包人的复工</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发包人发出复工通知后，有权组织承包人对受暂停影响的工程、工程物资进行检查，承包人应将检查结果及需要恢复、修复的内容和估算通知发包人，经发包人确认后，所发生的恢复、修复价款由发包人承担。因恢复、修复造成工程关键路径延误的，竣工日期相应延长。</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4.6.6 因承包人原因的暂停</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因承包人原因所造成部分工程或工程的暂停，所发生的损失、损害及竣工日期延误，由承包人负责。</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4.6.7 工程暂停时的付款</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因发包人原因暂停的复工后，未影响到整个工程实施时，双方应依据第2.1.5项的约定商定因该暂停给承包人所增加的合理费用，承包人应将其款项纳入当期的付款申请，由发包人审查支付。</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因发包人原因暂停的复工后，影响到部分工程实施时，且承包人根据第4.6.4项要求调减部分工程并经发包人批准，发包人应从合同价格中调减该部分款项，双方还应依据第2.1.5项的约定商定承包人因该暂停所增加的合理费用，承包人应将其增减的款项纳入当期付款申请，由发包人审查支付。</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因发包人原因的暂停，致使合同无法履行时，且承包人根据第4.6.4项第二段的约定发出解除合同的通知后，双方应根据第18.2款由承包人解除合同的相关约定，办理结算和付款。</w:t>
      </w:r>
    </w:p>
    <w:p>
      <w:pPr>
        <w:spacing w:after="0" w:line="360" w:lineRule="auto"/>
        <w:ind w:firstLine="480" w:firstLineChars="200"/>
        <w:rPr>
          <w:rFonts w:hint="eastAsia" w:ascii="仿宋" w:hAnsi="仿宋" w:eastAsia="仿宋" w:cs="仿宋"/>
          <w:b w:val="0"/>
          <w:color w:val="auto"/>
          <w:sz w:val="24"/>
          <w:szCs w:val="24"/>
          <w:highlight w:val="none"/>
        </w:rPr>
      </w:pPr>
      <w:bookmarkStart w:id="400" w:name="_Toc419320241"/>
      <w:bookmarkStart w:id="401" w:name="_Toc7427"/>
      <w:bookmarkStart w:id="402" w:name="_Toc419364366"/>
      <w:bookmarkStart w:id="403" w:name="_Toc419363697"/>
      <w:bookmarkStart w:id="404" w:name="_Toc1901290066"/>
      <w:bookmarkStart w:id="405" w:name="_Toc419321277"/>
      <w:bookmarkStart w:id="406" w:name="_Toc1387916332"/>
      <w:bookmarkStart w:id="407" w:name="_Toc793764221"/>
      <w:bookmarkStart w:id="408" w:name="_Toc2127637211"/>
      <w:bookmarkStart w:id="409" w:name="_Toc1107991832"/>
      <w:bookmarkStart w:id="410" w:name="_Toc433988731"/>
      <w:bookmarkStart w:id="411" w:name="_Toc1003296727"/>
      <w:bookmarkStart w:id="412" w:name="_Toc1788057965"/>
      <w:bookmarkStart w:id="413" w:name="_Toc1740135580"/>
      <w:r>
        <w:rPr>
          <w:rFonts w:hint="eastAsia" w:ascii="仿宋" w:hAnsi="仿宋" w:eastAsia="仿宋" w:cs="仿宋"/>
          <w:b w:val="0"/>
          <w:color w:val="auto"/>
          <w:sz w:val="24"/>
          <w:szCs w:val="24"/>
          <w:highlight w:val="none"/>
        </w:rPr>
        <w:t>第5条 技术与设计</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pPr>
        <w:spacing w:after="0" w:line="360" w:lineRule="auto"/>
        <w:ind w:firstLine="480" w:firstLineChars="200"/>
        <w:rPr>
          <w:rFonts w:hint="eastAsia" w:ascii="仿宋" w:hAnsi="仿宋" w:eastAsia="仿宋" w:cs="仿宋"/>
          <w:b w:val="0"/>
          <w:color w:val="auto"/>
          <w:sz w:val="24"/>
          <w:szCs w:val="24"/>
          <w:highlight w:val="none"/>
        </w:rPr>
      </w:pPr>
      <w:bookmarkStart w:id="414" w:name="_Toc419321278"/>
      <w:bookmarkStart w:id="415" w:name="_Toc419320242"/>
      <w:bookmarkStart w:id="416" w:name="_Toc419364367"/>
      <w:bookmarkStart w:id="417" w:name="_Toc419363698"/>
      <w:bookmarkStart w:id="418" w:name="_Toc12109"/>
      <w:bookmarkStart w:id="419" w:name="_Toc433988732"/>
      <w:r>
        <w:rPr>
          <w:rFonts w:hint="eastAsia" w:ascii="仿宋" w:hAnsi="仿宋" w:eastAsia="仿宋" w:cs="仿宋"/>
          <w:b w:val="0"/>
          <w:color w:val="auto"/>
          <w:sz w:val="24"/>
          <w:szCs w:val="24"/>
          <w:highlight w:val="none"/>
        </w:rPr>
        <w:t>5.1 生产工艺技术、建筑设计方案</w:t>
      </w:r>
      <w:bookmarkEnd w:id="414"/>
      <w:bookmarkEnd w:id="415"/>
      <w:bookmarkEnd w:id="416"/>
      <w:bookmarkEnd w:id="417"/>
      <w:bookmarkEnd w:id="418"/>
      <w:bookmarkEnd w:id="419"/>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5.1.1 承包人提供的工艺技术和（或）建筑设计方案</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负责提供生产工艺技术（含专利技术、专有技术、工艺包）和（或）建筑设计方案（含总体布局、功能分区、建筑造型和主体结构等）时，应对所提供的工艺流程、工艺技术数据、工艺条件、软件、分析手册、操作指导书、设备制造指导书和其它资料要求，和（或）总体布局、功能分区、建筑造型及其结构设计等负责。</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承包人应对专用条款约定的试运行考核保证值、和（或）使用功能保证的说明负责。该试运行考核保证值、和（或）使用功能保证的说明，作为发包人根据第10.3.3项进行试运行考核的评价依据。</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5.1.2 发包人提供的工艺技术和（或）建筑设计方案</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发包人负责提供的生产工艺技术（含专利技术、专有技术、工艺包）和（或）建筑设计方案（含总体布局、功能分区、建筑造型和主体结构，或发包人委托第三方设计单位提供的建筑设计方案）时，应对所提供的工艺流程、工艺技术数据、工艺条件、软件、分析手册、操作指导书、设备制造指导书和其它承包人的文件资料、发包人的要求，和（或）总体布局、功能分区、建筑造型和主体结构等，或第三方设计单位提供的建筑设计方案负责。</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发包人有义务指导、审查由承包人根据发包人提供的上述资料所进行的生产工艺设计和（或）建筑设计，并予以确认。工程和（或）单项工程试运行考核的各项保证值、或使用功能保证说明及双方各自应承担的考核责任，在专用条款中约定，并作为发包人根据第10.3.3项进行试运行考核和考核责任的评价依据。</w:t>
      </w:r>
    </w:p>
    <w:p>
      <w:pPr>
        <w:spacing w:after="0" w:line="360" w:lineRule="auto"/>
        <w:ind w:firstLine="480" w:firstLineChars="200"/>
        <w:rPr>
          <w:rFonts w:hint="eastAsia" w:ascii="仿宋" w:hAnsi="仿宋" w:eastAsia="仿宋" w:cs="仿宋"/>
          <w:b w:val="0"/>
          <w:color w:val="auto"/>
          <w:sz w:val="24"/>
          <w:szCs w:val="24"/>
          <w:highlight w:val="none"/>
        </w:rPr>
      </w:pPr>
      <w:bookmarkStart w:id="420" w:name="_Toc419321279"/>
      <w:bookmarkStart w:id="421" w:name="_Toc419320243"/>
      <w:bookmarkStart w:id="422" w:name="_Toc419364368"/>
      <w:bookmarkStart w:id="423" w:name="_Toc433988733"/>
      <w:bookmarkStart w:id="424" w:name="_Toc419363699"/>
      <w:bookmarkStart w:id="425" w:name="_Toc21963"/>
      <w:r>
        <w:rPr>
          <w:rFonts w:hint="eastAsia" w:ascii="仿宋" w:hAnsi="仿宋" w:eastAsia="仿宋" w:cs="仿宋"/>
          <w:b w:val="0"/>
          <w:color w:val="auto"/>
          <w:sz w:val="24"/>
          <w:szCs w:val="24"/>
          <w:highlight w:val="none"/>
        </w:rPr>
        <w:t>5.2 设计</w:t>
      </w:r>
      <w:bookmarkEnd w:id="420"/>
      <w:bookmarkEnd w:id="421"/>
      <w:bookmarkEnd w:id="422"/>
      <w:bookmarkEnd w:id="423"/>
      <w:bookmarkEnd w:id="424"/>
      <w:bookmarkEnd w:id="425"/>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5.2.1 发包人的义务</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提供项目基础资料。发包人应按合同约定、法律或行业规定，向承包人提供设计需要的项目基础资料，并对其真实性、准确性、齐全性和及时性负责。上述项目基础资料不真实、不准确或不齐全时，发包人有义务按约定的时间向承包人提供进一步补充资料。提供项目基础资料的类别、内容、份数和时间在专用条款中约定。其中，工程场地的基准坐标资料（包括基准控制点、基准控制标高和基准坐标控制线），发包人应按约定的时间，有义务配合承包人在现场的实测复验。承包人因纠正坐标资料中的错误，造成费用增加和（或）工期延误，由发包人负责其相关费用增加，竣工日期给予合理延长。</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发包人提供的项目基础资料中有专利商提供的技术或工艺包，或是第三方设计单位提供的建筑造型等，发包人应组织专利商或第三方设计单位与承包人进行数据、条件和资料的交换、协调和交接。</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发包人未能按约定时间提供项目基础资料及其补充资料、或提供的资料不真实、不准确、不齐全、或发包人计划变更，造成承包人设计停工、返工或修改的，发包人应按承包人额外增加的设计工作量赔偿其损失。造成工程关键路径延误的，竣工日期相应顺延。</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提供现场障碍资料。除专用条款另有约定外，发包人应按合同约定和适用法律规定，在设计开始前，提供与设计、施工有关的地上、地下已有的建筑物、构筑物等现场障碍资料，并对其真实性、准确性、齐全性和及时性负责。因提供的资料不真实、不准确、不齐全、不及时，造承包人的设计停工、返工和修改的，发包人应按承包人额外增加的设计工作量赔偿其损失。造成工程关键路径延误的，竣工日期相应顺延。提供项目障碍资料的类别、内容、份数和时间安排，在专用条款中约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（3）承包人无法核实发包人所提供的项目基础资料中的数据、条件和资料的，发包人有义务给予进一步确认。</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5.2.2 承包人的义务</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承包人与发包人（及其专利商、第三方设计单位）应以书面形式交接发包人按第5.2.1项第（1）项提供与设计有关的项目基础资料、第（2）项提供的与设计有关的现场障碍资料。对这些资料中的短缺、遗漏、错误、疑问，承包人应在收到发包人提供的上述资料后15日内向发包人提出进一步的要求。因承包人未能在上述时间内提出要求而发生的损失由承包人自行承担；由此造成工程关键路径延误的，竣工日期不予顺延。其中，对工程场地的基准坐标资料（包括基准控制点、基准控制标高和基准坐标控制线），承包人有义务约定实测复验的时间并纠正其错误（如果有），因承包人对此项工作的延误，导致的费用增加和关键路线延误，由承包人承担。</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承包人有义务按照发包人提供的项目基础资料、现场障碍资料和国家有关部门、行业工程建设标准规范规定的设计深度开展工程设计，并对其设计的工艺技术和（或）建筑功能，及工程的安全、环境保护、职业健康的标准，设备材料的质量、工程质量和完成时间负责。因承包人设计的原因，造成的费用增加、竣工日期延误，由承包人承担。</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5.2.3 遵守标准、规范</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（1）第1.5款约定的标准、规范，适用于发包人按单项工程接收和（或）整个工程接收。</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在合同实施过程中国家颁布了新的标准或规范时，承包人应向发包人提交有关新标准、新规范的建议书。对其中的强制性标准、规范，承包人应严格遵守，发包人作为变更处理；对于非强制性的标准、规范，发包人可决定采用或不采用，决定采用时，作为变更处理。</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（3）依据适用法律和合同约定的标准、规范所完成的设计图纸、设计文件中的技术数据和技术条件，是工程物资采购质量、施工质量及竣工试验质量的依据。</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5.2.4 操作维修手册</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由承包人指导竣工后试验和试运行考核试验，并编制操作维修手册的，发包人应按第5.2.1项第（1）项第二段的约定，责令其专利商或发包人的其它承包人向承包人提供其操作指南及分析手册，并对其资料的真实性、准确性、齐全性和及时性负责，专用条款另有约定时除外。发包人提交操作指南、分析手册，及承包人提交操作维修手册的份数、提交期限，在专用条款中约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5.2.5 设计文件的份数和提交时间</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相关设计阶段的设计文件、资料和图纸的提交份数和时间在专用条款中约定。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5.3.6 设计缺陷的自费修复，自费赶上</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因承包人原因，造成设计文件存在遗漏、错误、缺陷和不足的，承包人应自费修复、弥补、纠正和完善。造成设计进度延误时，应自费采取措施赶上。</w:t>
      </w:r>
    </w:p>
    <w:p>
      <w:pPr>
        <w:spacing w:after="0" w:line="360" w:lineRule="auto"/>
        <w:ind w:firstLine="480" w:firstLineChars="200"/>
        <w:rPr>
          <w:rFonts w:hint="eastAsia" w:ascii="仿宋" w:hAnsi="仿宋" w:eastAsia="仿宋" w:cs="仿宋"/>
          <w:b w:val="0"/>
          <w:color w:val="auto"/>
          <w:sz w:val="24"/>
          <w:szCs w:val="24"/>
          <w:highlight w:val="none"/>
        </w:rPr>
      </w:pPr>
      <w:bookmarkStart w:id="426" w:name="_Toc433988734"/>
      <w:bookmarkStart w:id="427" w:name="_Toc419321280"/>
      <w:bookmarkStart w:id="428" w:name="_Toc419363700"/>
      <w:bookmarkStart w:id="429" w:name="_Toc419320244"/>
      <w:bookmarkStart w:id="430" w:name="_Toc5549"/>
      <w:bookmarkStart w:id="431" w:name="_Toc419364369"/>
      <w:r>
        <w:rPr>
          <w:rFonts w:hint="eastAsia" w:ascii="仿宋" w:hAnsi="仿宋" w:eastAsia="仿宋" w:cs="仿宋"/>
          <w:b w:val="0"/>
          <w:color w:val="auto"/>
          <w:sz w:val="24"/>
          <w:szCs w:val="24"/>
          <w:highlight w:val="none"/>
        </w:rPr>
        <w:t>5.3 设计阶段审查</w:t>
      </w:r>
      <w:bookmarkEnd w:id="426"/>
      <w:bookmarkEnd w:id="427"/>
      <w:bookmarkEnd w:id="428"/>
      <w:bookmarkEnd w:id="429"/>
      <w:bookmarkEnd w:id="430"/>
      <w:bookmarkEnd w:id="431"/>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5.3.1 本工程的设计阶段、设计阶段审查会议的组织和时间安排，在专用条款约定。发包人负责组织设计阶段审查会议，并承担会议费用及发包人的上级单位、政府有关部门参加审查会议的费用。</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5.3.2 承包人应根据第5.3.1项的约定，向发包人提交相关设计审查阶段的设计文件，设计文件应符合国家有关部门、行业工程建设标准规范对相关设计阶段的设计文件、图纸和资料的深度规定。承包人有义务自费参加发包人组织的设计审查会议、向审查者介绍、解答、解释其设计文件，并自费提供审查过程中需提供的补充资料。</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5.3.3 发包人有义务向承包人提供设计审查会议的批准文件和纪要。承包人有义务按相关设计审查阶段批准的文件和纪要，并依据合同约定及相关设计规定，对相关设计进行修改、补充和完善。</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5.3.4 因承包人原因，未能按第5.2.5项约定的时间，向发包人提交相关设计审查阶段的完整设计文件、图纸和资料，致使相关设计审查阶段的会议无法进行或无法按期进行，造成的竣工日期延误、窝工损失，及发包人增加的组织会议费用，由承包人承担。</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5.3.5 发包人有权在第5.3.1项约定的各设计审查阶段之前，对相关设计阶段的设计文件、图纸和资料提出建议、进行预审和确认，发包人的任何建议、预审和确认，并不能减轻或免除承包人的合同责任和义务。</w:t>
      </w:r>
    </w:p>
    <w:p>
      <w:pPr>
        <w:spacing w:after="0" w:line="360" w:lineRule="auto"/>
        <w:ind w:firstLine="480" w:firstLineChars="200"/>
        <w:rPr>
          <w:rFonts w:hint="eastAsia" w:ascii="仿宋" w:hAnsi="仿宋" w:eastAsia="仿宋" w:cs="仿宋"/>
          <w:b w:val="0"/>
          <w:color w:val="auto"/>
          <w:sz w:val="24"/>
          <w:szCs w:val="24"/>
          <w:highlight w:val="none"/>
        </w:rPr>
      </w:pPr>
      <w:bookmarkStart w:id="432" w:name="_Toc433988735"/>
      <w:bookmarkStart w:id="433" w:name="_Toc419364370"/>
      <w:bookmarkStart w:id="434" w:name="_Toc419320245"/>
      <w:bookmarkStart w:id="435" w:name="_Toc419363701"/>
      <w:bookmarkStart w:id="436" w:name="_Toc419321281"/>
      <w:r>
        <w:rPr>
          <w:rFonts w:hint="eastAsia" w:ascii="仿宋" w:hAnsi="仿宋" w:eastAsia="仿宋" w:cs="仿宋"/>
          <w:b w:val="0"/>
          <w:color w:val="auto"/>
          <w:sz w:val="24"/>
          <w:szCs w:val="24"/>
          <w:highlight w:val="none"/>
        </w:rPr>
        <w:t>5.4 操作维修人员的培训</w:t>
      </w:r>
      <w:bookmarkEnd w:id="432"/>
      <w:bookmarkEnd w:id="433"/>
      <w:bookmarkEnd w:id="434"/>
      <w:bookmarkEnd w:id="435"/>
      <w:bookmarkEnd w:id="436"/>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发包人委托承包人对发包人的操作维修人员进行培训的，另行签订培训委托合同，作为本合同的附件。</w:t>
      </w:r>
    </w:p>
    <w:p>
      <w:pPr>
        <w:spacing w:after="0" w:line="360" w:lineRule="auto"/>
        <w:ind w:firstLine="480" w:firstLineChars="200"/>
        <w:rPr>
          <w:rFonts w:hint="eastAsia" w:ascii="仿宋" w:hAnsi="仿宋" w:eastAsia="仿宋" w:cs="仿宋"/>
          <w:b w:val="0"/>
          <w:color w:val="auto"/>
          <w:sz w:val="24"/>
          <w:szCs w:val="24"/>
          <w:highlight w:val="none"/>
        </w:rPr>
      </w:pPr>
      <w:bookmarkStart w:id="437" w:name="_Toc433988736"/>
      <w:bookmarkStart w:id="438" w:name="_Toc419363702"/>
      <w:bookmarkStart w:id="439" w:name="_Toc27096"/>
      <w:bookmarkStart w:id="440" w:name="_Toc419320246"/>
      <w:bookmarkStart w:id="441" w:name="_Toc419364371"/>
      <w:bookmarkStart w:id="442" w:name="_Toc419321282"/>
      <w:r>
        <w:rPr>
          <w:rFonts w:hint="eastAsia" w:ascii="仿宋" w:hAnsi="仿宋" w:eastAsia="仿宋" w:cs="仿宋"/>
          <w:b w:val="0"/>
          <w:color w:val="auto"/>
          <w:sz w:val="24"/>
          <w:szCs w:val="24"/>
          <w:highlight w:val="none"/>
        </w:rPr>
        <w:t>5.5 知识产权</w:t>
      </w:r>
      <w:bookmarkEnd w:id="437"/>
      <w:bookmarkEnd w:id="438"/>
      <w:bookmarkEnd w:id="439"/>
      <w:bookmarkEnd w:id="440"/>
      <w:bookmarkEnd w:id="441"/>
      <w:bookmarkEnd w:id="442"/>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双方可就本合同涉及的合同一方、或合同双方（含一方或双方相关的专利商、第三方设计单位或设计人)的技术专利、建筑设计方案、专有技术、设计文件著作权等知识产权，签订知识产权及保密协议，作为本合同的组成部分。</w:t>
      </w:r>
    </w:p>
    <w:p>
      <w:pPr>
        <w:spacing w:after="0" w:line="360" w:lineRule="auto"/>
        <w:ind w:firstLine="480" w:firstLineChars="200"/>
        <w:rPr>
          <w:rFonts w:hint="eastAsia" w:ascii="仿宋" w:hAnsi="仿宋" w:eastAsia="仿宋" w:cs="仿宋"/>
          <w:b w:val="0"/>
          <w:color w:val="auto"/>
          <w:sz w:val="24"/>
          <w:szCs w:val="24"/>
          <w:highlight w:val="none"/>
        </w:rPr>
      </w:pPr>
      <w:bookmarkStart w:id="443" w:name="_Toc626847183"/>
      <w:bookmarkStart w:id="444" w:name="_Toc1188017287"/>
      <w:bookmarkStart w:id="445" w:name="_Toc366494445"/>
      <w:bookmarkStart w:id="446" w:name="_Toc12322"/>
      <w:bookmarkStart w:id="447" w:name="_Toc742418210"/>
      <w:bookmarkStart w:id="448" w:name="_Toc419321283"/>
      <w:bookmarkStart w:id="449" w:name="_Toc425471902"/>
      <w:bookmarkStart w:id="450" w:name="_Toc433988737"/>
      <w:bookmarkStart w:id="451" w:name="_Toc419364372"/>
      <w:bookmarkStart w:id="452" w:name="_Toc419320247"/>
      <w:bookmarkStart w:id="453" w:name="_Toc419363703"/>
      <w:bookmarkStart w:id="454" w:name="_Toc2026388214"/>
      <w:bookmarkStart w:id="455" w:name="_Toc1448399080"/>
      <w:bookmarkStart w:id="456" w:name="_Toc4061637"/>
      <w:r>
        <w:rPr>
          <w:rFonts w:hint="eastAsia" w:ascii="仿宋" w:hAnsi="仿宋" w:eastAsia="仿宋" w:cs="仿宋"/>
          <w:b w:val="0"/>
          <w:color w:val="auto"/>
          <w:sz w:val="24"/>
          <w:szCs w:val="24"/>
          <w:highlight w:val="none"/>
        </w:rPr>
        <w:t>第6条 工程物资</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pPr>
        <w:spacing w:after="0" w:line="360" w:lineRule="auto"/>
        <w:ind w:firstLine="480" w:firstLineChars="200"/>
        <w:rPr>
          <w:rFonts w:hint="eastAsia" w:ascii="仿宋" w:hAnsi="仿宋" w:eastAsia="仿宋" w:cs="仿宋"/>
          <w:b w:val="0"/>
          <w:color w:val="auto"/>
          <w:sz w:val="24"/>
          <w:szCs w:val="24"/>
          <w:highlight w:val="none"/>
        </w:rPr>
      </w:pPr>
      <w:bookmarkStart w:id="457" w:name="_Toc419321284"/>
      <w:bookmarkStart w:id="458" w:name="_Toc419364373"/>
      <w:bookmarkStart w:id="459" w:name="_Toc419320248"/>
      <w:bookmarkStart w:id="460" w:name="_Toc419363704"/>
      <w:bookmarkStart w:id="461" w:name="_Toc5892"/>
      <w:bookmarkStart w:id="462" w:name="_Toc433988738"/>
      <w:r>
        <w:rPr>
          <w:rFonts w:hint="eastAsia" w:ascii="仿宋" w:hAnsi="仿宋" w:eastAsia="仿宋" w:cs="仿宋"/>
          <w:b w:val="0"/>
          <w:color w:val="auto"/>
          <w:sz w:val="24"/>
          <w:szCs w:val="24"/>
          <w:highlight w:val="none"/>
        </w:rPr>
        <w:t>6.1 工程物资的提供</w:t>
      </w:r>
      <w:bookmarkEnd w:id="457"/>
      <w:bookmarkEnd w:id="458"/>
      <w:bookmarkEnd w:id="459"/>
      <w:bookmarkEnd w:id="460"/>
      <w:bookmarkEnd w:id="461"/>
      <w:bookmarkEnd w:id="462"/>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6.1.1 发包人提供的工程物资</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发包人依据第5.2.3项第（3）项设计文件规定的技术参数、技术条件、性能要求、使用要求和数量，负责组织工程物资（包括其备品备件、专用工具及厂商提交的技术文件）的采购，负责运抵现场，并对其需用量、质量检查结果和性能负责。</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由发包人负责提供的工程物资的类别、数量，在专用条款中列出。</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因发包人采购提供的工程物资（包括建筑构件等）不符合国家强制性标准、规范的规定，存在质量缺陷、延误抵达现场，给承包人造成窝工、停工、或导致关键路径延误的，按第13条变更和合同价调整的约定执行。</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在履行合同过程中，由于国家新颁布的强制性标准、规范，造成发包人负责提供的工程物资（包括建筑构件等）不符合新颁布的强制性标准时，由发包人负责修复或重新订货。如委托承包人修复，作为变更处理。</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（3）发包人请承包人参加境外采购工作时，所发生的费用由发包人承担。</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6.1.2 承包人提供的工程物资</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承包人应依据第5.2.3项第（3）项设计文件规定的技术参数、技术条件、性能要求、使用要求和数量，负责组织工程物资采购（包括备品备件、专用工具及厂商提供的技术文件），负责运抵现场，并对其需用量、质量检查结果和性能负责。</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由承包人负责提供的工程物资的类别、数量，在专用条款中列出。</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（2）因承包人提供的工程物资（包括建筑构件等）不符合国家强制性标准、规范的规定或合同约定的标准、规范，所造成的质量缺陷，由承包人自费修复，竣工日期不予延长。</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在履行合同过程中，由于国家新颁布的强制性标准、规范，造成承包人负责提供的工程物资（包括建筑构件等），虽符合合同约定的标准，但不符合新颁布的强制性标准时，由承包人负责修复或重新订货，并作为一项变更。</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（3）由承包人提供的竣工后试验的生产性材料，在专用条款中列出类别或（和）清单。</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6.1.3 承包人对供应商的选择</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承包人应通过招标等竞争性方式选择相关工程物资的供货商或制造厂。对于依法必须进行招标的工程建设项目，应按国家相关规定进行招标。</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承包人不得在设计文件中或以口头暗示方式指定供应商和制造厂，只有唯一厂家的除外。发包人不得以任何方式指定供应商和制造厂。</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6.1.4 工程物资所有权</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根据第6.1.2项约定提供的工程物资，在运抵现场的交货地点且发包人已支付了采购进度款，其所有权转为发包人所有。在发包人接收工程前，承包人有义务对工程物资进行保管、维护和保养，未经发包人批准不得运出现场。</w:t>
      </w:r>
    </w:p>
    <w:p>
      <w:pPr>
        <w:spacing w:after="0" w:line="360" w:lineRule="auto"/>
        <w:ind w:firstLine="480" w:firstLineChars="200"/>
        <w:rPr>
          <w:rFonts w:hint="eastAsia" w:ascii="仿宋" w:hAnsi="仿宋" w:eastAsia="仿宋" w:cs="仿宋"/>
          <w:b w:val="0"/>
          <w:color w:val="auto"/>
          <w:sz w:val="24"/>
          <w:szCs w:val="24"/>
          <w:highlight w:val="none"/>
        </w:rPr>
      </w:pPr>
      <w:bookmarkStart w:id="463" w:name="_Toc419364374"/>
      <w:bookmarkStart w:id="464" w:name="_Toc433988739"/>
      <w:bookmarkStart w:id="465" w:name="_Toc22988"/>
      <w:bookmarkStart w:id="466" w:name="_Toc419320249"/>
      <w:bookmarkStart w:id="467" w:name="_Toc419321285"/>
      <w:bookmarkStart w:id="468" w:name="_Toc419363705"/>
      <w:r>
        <w:rPr>
          <w:rFonts w:hint="eastAsia" w:ascii="仿宋" w:hAnsi="仿宋" w:eastAsia="仿宋" w:cs="仿宋"/>
          <w:b w:val="0"/>
          <w:color w:val="auto"/>
          <w:sz w:val="24"/>
          <w:szCs w:val="24"/>
          <w:highlight w:val="none"/>
        </w:rPr>
        <w:t>6.2 检验</w:t>
      </w:r>
      <w:bookmarkEnd w:id="463"/>
      <w:bookmarkEnd w:id="464"/>
      <w:bookmarkEnd w:id="465"/>
      <w:bookmarkEnd w:id="466"/>
      <w:bookmarkEnd w:id="467"/>
      <w:bookmarkEnd w:id="468"/>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6.2.1 工厂检验与报告</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（1）承包人应遵守相关法律规定，负责第6.1.2项约定的工程物资的强制性检查、检验、监测和试验，并向发包人提供相关报告。报告提供日期、报告内容和提交份数，在专用条款中约定。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（2）承包人邀请发包人参检时，在进行相关加工制造阶段的检查、检验、监测和试验之前，以书面形式通知发包人参检的内容、地点和时间。发包人在接到邀请后的5日内，以书面形式通知承包人参检或不参检。</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（3）发包人承担其参检人员在参检期间的工资、补贴、差旅费和住宿费等，承包人负责办理进入相关厂家的许可，并提供方便。</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（4）发包人委托有资格、有经验的第三方代表发包人自费参检的，应在接到承包人邀请函后5日内，以书面形式通知承包人，并写明受托单位及受托人员的名称、姓名及授予的职权。</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（5）发包人及其委托人的参检，并不能解除承包人对其采购的工程物资的质量责任。</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6.2.2 覆盖和包装的后果</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发包人已在第6.2.1项约定的日期内以书面形式通知承包人参检，并依据约定日期提前或按时到达指定地点，但加工制造的工程物资未经发包人现场检验已经被覆盖、包装或已运抵启运地点时，发包人有权责令承包人将其运回原地、拆除覆盖、包装，重新进行检查或检验或检测或试验及复原，承包人应承担因此发生的费用。造成工程关键路径延误的，竣工日期不予延长。</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6.2.3 未能按时参检</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发包人未能按第6.2.1项的约定时间参检，承包人可自行组织检查、检验、检测和试验，质检结果视为是真实的。发包人有权在此后，以变更指令通知承包人重新检查、检验、检测和试验，或增加试验细节或改变试验地点。工程物资经质检合格的，所发生的费用由发包人承担，造成工程关键路径延误的，竣工日期相应顺延；工程物资经质检不合格时，所发生的费用由承包人承担，竣工日期不予延长。</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6.2.4 现场清点与检查</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发包人应在其根据第6.1.1项约定负责提供的工程物资运抵现场前5日通知承包人。发包人（或包括为发包人提供工程物资的供应商）与承包人（或包括其分包人）按每批货物的提货单据清点箱件数量及进行外观检查，并根据装箱单清点箱内数量、出厂合格证、图纸、文件资料等，并进行外观检查。经检查清点后双方人员签署交接清单。</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经现场检查清点发现箱件短缺，箱件内的物资数量、图纸、资料短缺，或有外观缺陷的，发包人应负责补齐或自费修复，工程物资在缺陷未能修复之前不得用于工程。当发包人委托承包人修复缺陷时，另行签订追加合同。因上述情况造成工程关键路径延误的，竣工日期相应顺延。</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承包人应在其根据第6.1.2项约定负责提供的工程物资运抵现场前5日通知发包人。承包人（或包括为承包人提供工程物资的供应商、或分包人）与发包人（包括代表、或其监理人）按每批货物的提货单据清点箱件数量及进行外观检查，并根据装箱单清点箱内数量、出场合格证、图纸、文件资料等，并进行外观检查。经检查清点后，双方人员签署开箱检验证明。</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经现场检查清点发现箱件短缺，箱件内的数量、图纸、资料短缺，或有外观缺陷的，承包人应负责补齐或自费修复，工程物资在缺陷未能修复之前不得用于工程。因此造成的费用增加、竣工日期延误，由承包人负责。</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6.2.5 质量监督部门及消防、环保等部门的参检</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发包人、承包人随时接受质量监督部门、消防部门、环保部门、行业等专业检查人员对制造、安装及试验过程的现场检查，其费用由发包人承担。承包人为此提供方便。造成工程关键路径延误的，竣工日期相应顺延。</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因上述部门在参检中提出的修改、更换等意见所增加的相关费用，应根据第6.1.1项或第6.1.2项约定的提供工程物资的责任方来承担；因此造成工程关键路径延误的，责任方为承包人时，竣工日期不予延长；责任方为发包人时，竣工日期相应顺延。</w:t>
      </w:r>
    </w:p>
    <w:p>
      <w:pPr>
        <w:spacing w:after="0" w:line="360" w:lineRule="auto"/>
        <w:ind w:firstLine="480" w:firstLineChars="200"/>
        <w:rPr>
          <w:rFonts w:hint="eastAsia" w:ascii="仿宋" w:hAnsi="仿宋" w:eastAsia="仿宋" w:cs="仿宋"/>
          <w:b w:val="0"/>
          <w:color w:val="auto"/>
          <w:sz w:val="24"/>
          <w:szCs w:val="24"/>
          <w:highlight w:val="none"/>
        </w:rPr>
      </w:pPr>
      <w:bookmarkStart w:id="469" w:name="_Toc32031"/>
      <w:bookmarkStart w:id="470" w:name="_Toc419364375"/>
      <w:bookmarkStart w:id="471" w:name="_Toc419363706"/>
      <w:bookmarkStart w:id="472" w:name="_Toc433988740"/>
      <w:bookmarkStart w:id="473" w:name="_Toc419321286"/>
      <w:bookmarkStart w:id="474" w:name="_Toc419320250"/>
      <w:r>
        <w:rPr>
          <w:rFonts w:hint="eastAsia" w:ascii="仿宋" w:hAnsi="仿宋" w:eastAsia="仿宋" w:cs="仿宋"/>
          <w:b w:val="0"/>
          <w:color w:val="auto"/>
          <w:sz w:val="24"/>
          <w:szCs w:val="24"/>
          <w:highlight w:val="none"/>
        </w:rPr>
        <w:t>6.3 进口工程物资的采购、报关、清关和商检</w:t>
      </w:r>
      <w:bookmarkEnd w:id="469"/>
      <w:bookmarkEnd w:id="470"/>
      <w:bookmarkEnd w:id="471"/>
      <w:bookmarkEnd w:id="472"/>
      <w:bookmarkEnd w:id="473"/>
      <w:bookmarkEnd w:id="474"/>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6.3.1 工程物资的进口采购责任方，及采购方式，在专用条款中约定。采购责任方负责报关、清关和商检，另一方有义务协助。</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6.3.2 因工程物资报关、清关和商检的延误，造成工程关键路径延误时，承包人负责进口采购的，竣工日期不予延长，增加的费用由承包人承担；发包人负责进口采购的，竣工日期给予相应延长，承包人由此增加的费用由发包人承担。</w:t>
      </w:r>
    </w:p>
    <w:p>
      <w:pPr>
        <w:spacing w:after="0" w:line="360" w:lineRule="auto"/>
        <w:ind w:firstLine="480" w:firstLineChars="200"/>
        <w:rPr>
          <w:rFonts w:hint="eastAsia" w:ascii="仿宋" w:hAnsi="仿宋" w:eastAsia="仿宋" w:cs="仿宋"/>
          <w:b w:val="0"/>
          <w:color w:val="auto"/>
          <w:sz w:val="24"/>
          <w:szCs w:val="24"/>
          <w:highlight w:val="none"/>
        </w:rPr>
      </w:pPr>
      <w:bookmarkStart w:id="475" w:name="_Toc419363707"/>
      <w:bookmarkStart w:id="476" w:name="_Toc419320251"/>
      <w:bookmarkStart w:id="477" w:name="_Toc6735"/>
      <w:bookmarkStart w:id="478" w:name="_Toc433988741"/>
      <w:bookmarkStart w:id="479" w:name="_Toc419364376"/>
      <w:bookmarkStart w:id="480" w:name="_Toc419321287"/>
      <w:r>
        <w:rPr>
          <w:rFonts w:hint="eastAsia" w:ascii="仿宋" w:hAnsi="仿宋" w:eastAsia="仿宋" w:cs="仿宋"/>
          <w:b w:val="0"/>
          <w:color w:val="auto"/>
          <w:sz w:val="24"/>
          <w:szCs w:val="24"/>
          <w:highlight w:val="none"/>
        </w:rPr>
        <w:t>6.4 运输与超限物资运输</w:t>
      </w:r>
      <w:bookmarkEnd w:id="475"/>
      <w:bookmarkEnd w:id="476"/>
      <w:bookmarkEnd w:id="477"/>
      <w:bookmarkEnd w:id="478"/>
      <w:bookmarkEnd w:id="479"/>
      <w:bookmarkEnd w:id="480"/>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负责采购的超限工程物资（超重、超长、超宽、超高）的运输，由承包人负责，该超限物资的运输费用及其运输途中的特殊措施、拆迁、赔偿等全部费用，包含在合同价格内。运输过程中的费用增加，由承包人承担。造成工程关键路径延误时，竣工日期不予延长。专用条款另有约定除外。</w:t>
      </w:r>
    </w:p>
    <w:p>
      <w:pPr>
        <w:spacing w:after="0" w:line="360" w:lineRule="auto"/>
        <w:ind w:firstLine="480" w:firstLineChars="200"/>
        <w:rPr>
          <w:rFonts w:hint="eastAsia" w:ascii="仿宋" w:hAnsi="仿宋" w:eastAsia="仿宋" w:cs="仿宋"/>
          <w:b w:val="0"/>
          <w:color w:val="auto"/>
          <w:sz w:val="24"/>
          <w:szCs w:val="24"/>
          <w:highlight w:val="none"/>
        </w:rPr>
      </w:pPr>
      <w:bookmarkStart w:id="481" w:name="_Toc3762"/>
      <w:bookmarkStart w:id="482" w:name="_Toc419320252"/>
      <w:bookmarkStart w:id="483" w:name="_Toc419363708"/>
      <w:bookmarkStart w:id="484" w:name="_Toc419364377"/>
      <w:bookmarkStart w:id="485" w:name="_Toc433988742"/>
      <w:bookmarkStart w:id="486" w:name="_Toc419321288"/>
      <w:r>
        <w:rPr>
          <w:rFonts w:hint="eastAsia" w:ascii="仿宋" w:hAnsi="仿宋" w:eastAsia="仿宋" w:cs="仿宋"/>
          <w:b w:val="0"/>
          <w:color w:val="auto"/>
          <w:sz w:val="24"/>
          <w:szCs w:val="24"/>
          <w:highlight w:val="none"/>
        </w:rPr>
        <w:t>6.5 重新订货及后果</w:t>
      </w:r>
      <w:bookmarkEnd w:id="481"/>
      <w:bookmarkEnd w:id="482"/>
      <w:bookmarkEnd w:id="483"/>
      <w:bookmarkEnd w:id="484"/>
      <w:bookmarkEnd w:id="485"/>
      <w:bookmarkEnd w:id="486"/>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6.5.1 依据第6.1.1项及第6.3.1项的约定，由发包人负责提供的工程物资存在缺陷时，经发包人组织修复仍不合格的，由发包人负责重新订货并运抵现场。因此造成承包人停工、窝工的，由发包人承担所发生的实际费用；导致关键路径延误时，竣工日期相应顺延。</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6.5.2 依据第6.1.2项及第6.3.1项的约定，由承包人负责提供的工程物资存在缺陷时，经承包人修复仍不合格的，由承包人负责重新订货并运抵现场。因此造成的费用增加、竣工日期延误，由承包人负责。</w:t>
      </w:r>
    </w:p>
    <w:p>
      <w:pPr>
        <w:spacing w:after="0" w:line="360" w:lineRule="auto"/>
        <w:ind w:firstLine="480" w:firstLineChars="200"/>
        <w:rPr>
          <w:rFonts w:hint="eastAsia" w:ascii="仿宋" w:hAnsi="仿宋" w:eastAsia="仿宋" w:cs="仿宋"/>
          <w:b w:val="0"/>
          <w:color w:val="auto"/>
          <w:sz w:val="24"/>
          <w:szCs w:val="24"/>
          <w:highlight w:val="none"/>
        </w:rPr>
      </w:pPr>
      <w:bookmarkStart w:id="487" w:name="_Toc419363709"/>
      <w:bookmarkStart w:id="488" w:name="_Toc26977"/>
      <w:bookmarkStart w:id="489" w:name="_Toc419320253"/>
      <w:bookmarkStart w:id="490" w:name="_Toc419321289"/>
      <w:bookmarkStart w:id="491" w:name="_Toc419364378"/>
      <w:bookmarkStart w:id="492" w:name="_Toc433988743"/>
      <w:r>
        <w:rPr>
          <w:rFonts w:hint="eastAsia" w:ascii="仿宋" w:hAnsi="仿宋" w:eastAsia="仿宋" w:cs="仿宋"/>
          <w:b w:val="0"/>
          <w:color w:val="auto"/>
          <w:sz w:val="24"/>
          <w:szCs w:val="24"/>
          <w:highlight w:val="none"/>
        </w:rPr>
        <w:t>6.6 工程物资保管与剩余</w:t>
      </w:r>
      <w:bookmarkEnd w:id="487"/>
      <w:bookmarkEnd w:id="488"/>
      <w:bookmarkEnd w:id="489"/>
      <w:bookmarkEnd w:id="490"/>
      <w:bookmarkEnd w:id="491"/>
      <w:bookmarkEnd w:id="492"/>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6.6.1 工程物资保管</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根据第6.1.1项由发包人负责提供的工程物资、第6.1.2项由承包人负责提供的工程物资的约定并委托承包人保管的，工程物资的类别和数量在专用条款中约定。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应按说明书的相关规定对工程物资进行保管、维护、保养，防止变形、变质、污染和对人身造成伤害。承包人提交保管维护方案的时间在专用条款中约定，保管维护方案应包括：工程物资分类和保管、保养、保安、领用制度，以及库房、特殊保管库房、堆场、道路、照明、消防、设施、器具等规划。保管所需的费用由发包人承担，但已标价工程量清单或预算书已经列支或专用合同条款另有约定除外。由发包人提供的库房、堆场、设施和设备，在专用条款中约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6.6.2 剩余工程物资的移交</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承包人保管的工程物资（含承包人负责采购提供的工程物资并受到了采购进度款，及发包人委托保管的工程物资），在竣工试验完成后，剩余部分由承包人无偿移交给发包人，专用条款另有约定时除外。</w:t>
      </w:r>
    </w:p>
    <w:p>
      <w:pPr>
        <w:spacing w:after="0" w:line="360" w:lineRule="auto"/>
        <w:ind w:firstLine="480" w:firstLineChars="200"/>
        <w:rPr>
          <w:rFonts w:hint="eastAsia" w:ascii="仿宋" w:hAnsi="仿宋" w:eastAsia="仿宋" w:cs="仿宋"/>
          <w:b w:val="0"/>
          <w:color w:val="auto"/>
          <w:sz w:val="24"/>
          <w:szCs w:val="24"/>
          <w:highlight w:val="none"/>
        </w:rPr>
      </w:pPr>
      <w:bookmarkStart w:id="493" w:name="_Toc689037519"/>
      <w:bookmarkStart w:id="494" w:name="_Toc1691940002"/>
      <w:bookmarkStart w:id="495" w:name="_Toc7874"/>
      <w:bookmarkStart w:id="496" w:name="_Toc419364379"/>
      <w:bookmarkStart w:id="497" w:name="_Toc2013316146"/>
      <w:bookmarkStart w:id="498" w:name="_Toc1516198815"/>
      <w:bookmarkStart w:id="499" w:name="_Toc419321290"/>
      <w:bookmarkStart w:id="500" w:name="_Toc942866400"/>
      <w:bookmarkStart w:id="501" w:name="_Toc1851076450"/>
      <w:bookmarkStart w:id="502" w:name="_Toc433988744"/>
      <w:bookmarkStart w:id="503" w:name="_Toc563554925"/>
      <w:bookmarkStart w:id="504" w:name="_Toc419320254"/>
      <w:bookmarkStart w:id="505" w:name="_Toc419363710"/>
      <w:bookmarkStart w:id="506" w:name="_Toc1933196051"/>
      <w:r>
        <w:rPr>
          <w:rFonts w:hint="eastAsia" w:ascii="仿宋" w:hAnsi="仿宋" w:eastAsia="仿宋" w:cs="仿宋"/>
          <w:b w:val="0"/>
          <w:color w:val="auto"/>
          <w:sz w:val="24"/>
          <w:szCs w:val="24"/>
          <w:highlight w:val="none"/>
        </w:rPr>
        <w:t>第7条 施工</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pPr>
        <w:spacing w:after="0" w:line="360" w:lineRule="auto"/>
        <w:ind w:firstLine="480" w:firstLineChars="200"/>
        <w:rPr>
          <w:rFonts w:hint="eastAsia" w:ascii="仿宋" w:hAnsi="仿宋" w:eastAsia="仿宋" w:cs="仿宋"/>
          <w:b w:val="0"/>
          <w:color w:val="auto"/>
          <w:sz w:val="24"/>
          <w:szCs w:val="24"/>
          <w:highlight w:val="none"/>
        </w:rPr>
      </w:pPr>
      <w:bookmarkStart w:id="507" w:name="_Toc419321291"/>
      <w:bookmarkStart w:id="508" w:name="_Toc10121"/>
      <w:bookmarkStart w:id="509" w:name="_Toc419363711"/>
      <w:bookmarkStart w:id="510" w:name="_Toc433988745"/>
      <w:bookmarkStart w:id="511" w:name="_Toc419364380"/>
      <w:bookmarkStart w:id="512" w:name="_Toc419320255"/>
      <w:r>
        <w:rPr>
          <w:rFonts w:hint="eastAsia" w:ascii="仿宋" w:hAnsi="仿宋" w:eastAsia="仿宋" w:cs="仿宋"/>
          <w:b w:val="0"/>
          <w:color w:val="auto"/>
          <w:sz w:val="24"/>
          <w:szCs w:val="24"/>
          <w:highlight w:val="none"/>
        </w:rPr>
        <w:t>7.1 发包人的义务</w:t>
      </w:r>
      <w:bookmarkEnd w:id="507"/>
      <w:bookmarkEnd w:id="508"/>
      <w:bookmarkEnd w:id="509"/>
      <w:bookmarkEnd w:id="510"/>
      <w:bookmarkEnd w:id="511"/>
      <w:bookmarkEnd w:id="512"/>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7.1.1 基准坐标资料</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承包人因放线需请发包人与相关单位联系的事项，发包人有义务协助。</w:t>
      </w:r>
    </w:p>
    <w:p>
      <w:pPr>
        <w:spacing w:after="0" w:line="360" w:lineRule="auto"/>
        <w:ind w:firstLine="480" w:firstLineChars="200"/>
        <w:rPr>
          <w:rFonts w:hint="eastAsia" w:ascii="仿宋" w:hAnsi="仿宋" w:eastAsia="仿宋" w:cs="仿宋"/>
          <w:b w:val="0"/>
          <w:color w:val="auto"/>
          <w:sz w:val="24"/>
          <w:szCs w:val="24"/>
          <w:highlight w:val="none"/>
        </w:rPr>
      </w:pPr>
      <w:bookmarkStart w:id="513" w:name="_Toc433988746"/>
      <w:r>
        <w:rPr>
          <w:rFonts w:hint="eastAsia" w:ascii="仿宋" w:hAnsi="仿宋" w:eastAsia="仿宋" w:cs="仿宋"/>
          <w:b w:val="0"/>
          <w:color w:val="auto"/>
          <w:sz w:val="24"/>
          <w:szCs w:val="24"/>
          <w:highlight w:val="none"/>
        </w:rPr>
        <w:t>7.1.2 审查总体施工组织设计</w:t>
      </w:r>
      <w:bookmarkEnd w:id="513"/>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发包人有权对承包人根据第7.2.2项约定提交的总体施工组织设计进行审查，并在接到总体施工组织设计后20日内提出建议和要求。发包人的建议和要求，并不能减轻或免除承包人的任何合同责任。发包人未能在20日内提出任何建议和要求的，承包人有权按提交的总体施工组织设计实施。</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7.1.3 进场条件和进场日期</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除专用条款另有约定外，发包人应根据批准的初步设计和第7.2.3项约定由承包人提交的临时占地资料，与承包人约定进场条件，确定进场日期。发包人应提供施工场地、完成进场道路、用地许可、拆迁及补偿等工作，保证承包人能够按时进入现场开始准备工作。进场条件和进场日期在专用条款约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因发包人原因造成承包人的进场时间延误，竣工日期相应顺延。发包人承担承包人因此发生的相关窝工费用。</w:t>
      </w:r>
    </w:p>
    <w:p>
      <w:pPr>
        <w:spacing w:after="0" w:line="360" w:lineRule="auto"/>
        <w:ind w:firstLine="480" w:firstLineChars="200"/>
        <w:rPr>
          <w:rFonts w:hint="eastAsia" w:ascii="仿宋" w:hAnsi="仿宋" w:eastAsia="仿宋" w:cs="仿宋"/>
          <w:b w:val="0"/>
          <w:color w:val="auto"/>
          <w:sz w:val="24"/>
          <w:szCs w:val="24"/>
          <w:highlight w:val="none"/>
        </w:rPr>
      </w:pPr>
      <w:bookmarkStart w:id="514" w:name="_Toc433988747"/>
      <w:r>
        <w:rPr>
          <w:rFonts w:hint="eastAsia" w:ascii="仿宋" w:hAnsi="仿宋" w:eastAsia="仿宋" w:cs="仿宋"/>
          <w:b w:val="0"/>
          <w:color w:val="auto"/>
          <w:sz w:val="24"/>
          <w:szCs w:val="24"/>
          <w:highlight w:val="none"/>
        </w:rPr>
        <w:t>7.1.4 提供临时用水、用电等和节点铺设</w:t>
      </w:r>
      <w:bookmarkEnd w:id="514"/>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除专用条款另有约定外，发包人应按第7.2.4项的约定，在承包人进场前将施工临时用水、用电等接至约定的节点位置，并保证其需要。上述临时使用的水、电等的类别、取费单价在专用条款中约定，发包人按实际计量结果收费。发包人无法提供的水、电等在专用条款中约定，相关费用由承包人纳入报价并承担相关责任。</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发包人未能按约定的类别和时间完成节点铺设，使开工时间延误，竣工日期相应顺延。未能按约定的品质、数量和时间提供水、电等，给承包人造成的损失由发包人承担，导致工程关键路径延误的，竣工日期相应顺延。</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7.1.5 办理开工等批准手续</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发包人在开工日期前，办妥须要由发包人办理的开工批准或施工许可证、工程质量监督手续及其它所需的许可、证件和批文等。</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7.1.6 施工过程中须由发包人办理的批准</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承包人在施工过程中根据第7.2.6项的约定，通知须由发包人办理的各项批准手续，由发包人申请办理。</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因发包人未能按时办妥上述批准手续，给承包人造成的窝工损失，由发包人承担。导致工程关键路径延误的，竣工日期相相应顺延。</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7.1.7 提供施工障碍资料</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发包人按合同约定的内容和时间提供与施工场地相关的地下和地上的建筑物、构筑物和其它设施的坐标位置。发包人根据第5.2.1项第（1）项、第（2）项的约定，已经提供的可不再提供。承包人对发包人在合同约定时间之后提供的障碍资料，可依据第13.2.3项施工变更的约定提交变更申请，对于承包人的合理请求发包人应予以批准。因发包人未能提供上述施工障碍资料或提供的资料不真实、不准确、不齐全，给承包人造成损失或损害的，由发包人承担赔偿责任。导致工程关键路径延误的，竣工日期相应顺延。</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7.1.8 承包人新发现的施工障碍</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发包人根据承包人按照第7.2.8项的约定发出的通知，与有关单位进行联系、协调、处理施工场地周围及临近的影响工程实施的建筑物、构筑物、文物建筑、古树、名木、地下管线、线缆、设施以及地下文物、化石和坟墓等的保护工作，并承担相关费用。</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对于新发现的施工障碍，承包人可依据第13.2.3项施工变更范围第（3）项的约定提交变更申请，对于承包人的合理请求发包人应予以批准。施工障碍导致工程关键路径延误的，竣工日期相应顺延。</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7.1.9 职业健康、安全、环境保护管理计划确认</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发包人在收到承包人根据第7.8款约定提交的“职业健康、安全、环境保护”管理计划后20日内对之进行确认。发包人有权检查其实施情况并对检查中发现的问题提出整改建议，承包人应按照发包人合理建议自费整改。</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7.1.10 其它义务</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发包人应履行专用条款中约定的由发包人履行的其它义务。</w:t>
      </w:r>
    </w:p>
    <w:p>
      <w:pPr>
        <w:spacing w:after="0" w:line="360" w:lineRule="auto"/>
        <w:ind w:firstLine="480" w:firstLineChars="200"/>
        <w:rPr>
          <w:rFonts w:hint="eastAsia" w:ascii="仿宋" w:hAnsi="仿宋" w:eastAsia="仿宋" w:cs="仿宋"/>
          <w:b w:val="0"/>
          <w:color w:val="auto"/>
          <w:sz w:val="24"/>
          <w:szCs w:val="24"/>
          <w:highlight w:val="none"/>
        </w:rPr>
      </w:pPr>
      <w:bookmarkStart w:id="515" w:name="_Toc419363712"/>
      <w:bookmarkStart w:id="516" w:name="_Toc419364381"/>
      <w:bookmarkStart w:id="517" w:name="_Toc419321292"/>
      <w:bookmarkStart w:id="518" w:name="_Toc26341"/>
      <w:bookmarkStart w:id="519" w:name="_Toc433988748"/>
      <w:bookmarkStart w:id="520" w:name="_Toc419320256"/>
      <w:r>
        <w:rPr>
          <w:rFonts w:hint="eastAsia" w:ascii="仿宋" w:hAnsi="仿宋" w:eastAsia="仿宋" w:cs="仿宋"/>
          <w:b w:val="0"/>
          <w:color w:val="auto"/>
          <w:sz w:val="24"/>
          <w:szCs w:val="24"/>
          <w:highlight w:val="none"/>
        </w:rPr>
        <w:t>7.2 承包人的义务</w:t>
      </w:r>
      <w:bookmarkEnd w:id="515"/>
      <w:bookmarkEnd w:id="516"/>
      <w:bookmarkEnd w:id="517"/>
      <w:bookmarkEnd w:id="518"/>
      <w:bookmarkEnd w:id="519"/>
      <w:bookmarkEnd w:id="520"/>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7.2.1 放线。</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承包人负责对工程、单项工程、施工部位放线，并对放线的准确性负责。</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7.2.2 施工组织设计。</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应在施工开工15日前或双方约定的其它时间内，向发包人提交总体施工组织设计。随着施工进展向发包人提交主要单项工程和主要分部分项工程的施工组织设计。对发包人提出的合理建议和要求，承包人应自费修改完善。</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总体施工组织设计提交的份数和时间，及需提交施工组织设计的主要单项工程和主要分部分项工程的名称、份数和时间，在专用条款中约定。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7.2.3 提交临时占地资料</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承包人应按专用条款约定的时间向发包人提交以下临时占用资料：</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（1）根据第6.6.1项保管工程物资所需的库房、堆场、道路用地的坐标位置、面积、占用时间、用途说明，并须单列需要由发包人租地的坐标位置、面积、占用时间和用途说明；</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（2）施工用地的坐标位置、面积、占用时间、用途说明，并须单列要求发包人租地的坐标位置、面积、占用时间和用途说明；</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（3）进入施工现场道路的入口坐标位置，并须指明要求发包人铺设与城乡公共道路相连接的道路走向、长度、路宽、等级、桥涵承重、转弯半径和时间要求。</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因承包人未能按时提交上述资料，导致7.1.3项约定的进场日期延误的，由此增加的费用和（或）竣工日期延误，由承包人负责。</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7.2.4 临时用水、用电等</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应在施工开工日期30日前或双方约定的其它时间，按本专用条款中约定的发包人能够提供的临时用水、用电等类别，向发包人提交施工（含工程物资保管）所需的临时用水、用电等的品质、正常用量、高峰用量、使用时间和节点位置等资料。承包人自费负责计量仪器的购买、安装和维护，并依据第7.1.4项专用条款中约定的单价向发包人交费，双方另有约定时除外。</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因承包人未能按合约约定提交上述资料，造成发包人费用增加和竣工日期延误时，由承包人负责。</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7.2.5 协助发包人办理开工等批准手续</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应在工程开工20日前，通知发包人向有关部门办理须由发包人办理的开工批准或施工许可证、工程质量监督手续及其它许可、证件、批件等。发包人需要时，承包人有义务提供协助。发包人委托承包人代办并被承包人接受时，双方可另行签订协议，作为本合同的附件。</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7.2.6 施工过程中需通知办理的批准</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在施工过程中因增加场外临时用地，临时要求停水、停电、中断道路交通，爆破作业，或可能损坏道路、管线、电力、邮电、通讯等公共设施的，应提前10日通知发包人办理相关申请批准手续。并按发包人的要求，提供需要承包人提供的相关文件、资料、证件等。</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因承包人未能在10日前通知发包人或未能按时提供由发包人办理申请所需的承包人的相关文件、资料和证件等，造成承包人窝工、停工和竣工日期延误的，由承包人负责。</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7.2.7 提供施工障碍资料</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应按合同约定，在每项地下或地上施工部位开工20日前，向发包人提交施工场地的具体范围及其坐标位置，发包人须对上述范围内提供相关的地下和地下的建筑物、构筑物和其它设施的坐标位置（不包括发包人根据第5.2.1项第（1）项、第（2）项中已提供的现场障碍资料）。发包人在合同约定时间之后提出的现场障碍资料，按照第13.2.3项的施工变更的约定办理。</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发包人已提供上述相关资料，因承包人未能履行保护义务，造成的损失、损害和责任，由承包人负责。因此造成工程关键路径延误的，承包人按第4.1.2项的约定，自费赶上。</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7.2.8 新发现的施工障碍</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对在施工过程中新发现的场地周围及临近影响施工的建筑物、构筑物、文物建筑、古树、名木，以及地下管线、线缆、构筑物、文物、化石和坟墓等，立即采取保护措施，并及时通知发包人。新发现的施工障碍，按照第13.2.3项的施工变更约定办理。</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7.2.9 施工资源</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承包人应保证其人力、机具、设备、设施、措施材料、消耗材料、周转材料及其它施工资源，满足实施工程的需求。</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7.2.10 设计文件的说明和解释</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承包人应在施工开工前向施工分包人和监理人说明设计文件的意圈，解释设计文件，及时解决施工过程中出现的有关问题。</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7.2.11 工程的保护与维护</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承包人应在开工之日起至发包人接收工程或单项工程之日止，负责工程或单项工程的照管、保护、维护和保安责任，保证工程或单项工程除不可抗力外，不受到任何损失、损害。</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7.2.12 清理现场</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负责在施工过程中及完工后对现场进行清理、分类堆放，将残余物、废弃物、垃圾等运往发包人、或当地有关部门指定的地点。消理现场的费用在专用条款中写明。承包人应将不再使用的机具、设备、设施和临时工程等撤离现场，或运到发包人指定的场地。</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7.2.13 其它义务</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承包人应履行专用条款中约定的应由承包人履行的其它相关义务。</w:t>
      </w:r>
    </w:p>
    <w:p>
      <w:pPr>
        <w:spacing w:after="0" w:line="360" w:lineRule="auto"/>
        <w:ind w:firstLine="480" w:firstLineChars="200"/>
        <w:rPr>
          <w:rFonts w:hint="eastAsia" w:ascii="仿宋" w:hAnsi="仿宋" w:eastAsia="仿宋" w:cs="仿宋"/>
          <w:b w:val="0"/>
          <w:color w:val="auto"/>
          <w:sz w:val="24"/>
          <w:szCs w:val="24"/>
          <w:highlight w:val="none"/>
        </w:rPr>
      </w:pPr>
      <w:bookmarkStart w:id="521" w:name="_Toc433988749"/>
      <w:bookmarkStart w:id="522" w:name="_Toc419364382"/>
      <w:bookmarkStart w:id="523" w:name="_Toc419320257"/>
      <w:bookmarkStart w:id="524" w:name="_Toc24174"/>
      <w:bookmarkStart w:id="525" w:name="_Toc419321293"/>
      <w:bookmarkStart w:id="526" w:name="_Toc419363713"/>
      <w:r>
        <w:rPr>
          <w:rFonts w:hint="eastAsia" w:ascii="仿宋" w:hAnsi="仿宋" w:eastAsia="仿宋" w:cs="仿宋"/>
          <w:b w:val="0"/>
          <w:color w:val="auto"/>
          <w:sz w:val="24"/>
          <w:szCs w:val="24"/>
          <w:highlight w:val="none"/>
        </w:rPr>
        <w:t>7.3 施工技术方法</w:t>
      </w:r>
      <w:bookmarkEnd w:id="521"/>
      <w:bookmarkEnd w:id="522"/>
      <w:bookmarkEnd w:id="523"/>
      <w:bookmarkEnd w:id="524"/>
      <w:bookmarkEnd w:id="525"/>
      <w:bookmarkEnd w:id="526"/>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承包人的施工技术方法符合有关操作规程、安全规程及质量标准。</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发包人应在收到承包人提交的该方法后的5日内予以确认或提出建议，发包人的任何此类确认和建议，并不能减轻或免除承包人的合同责任。</w:t>
      </w:r>
    </w:p>
    <w:p>
      <w:pPr>
        <w:spacing w:after="0" w:line="360" w:lineRule="auto"/>
        <w:ind w:firstLine="480" w:firstLineChars="200"/>
        <w:rPr>
          <w:rFonts w:hint="eastAsia" w:ascii="仿宋" w:hAnsi="仿宋" w:eastAsia="仿宋" w:cs="仿宋"/>
          <w:b w:val="0"/>
          <w:color w:val="auto"/>
          <w:sz w:val="24"/>
          <w:szCs w:val="24"/>
          <w:highlight w:val="none"/>
        </w:rPr>
      </w:pPr>
      <w:bookmarkStart w:id="527" w:name="_Toc419320258"/>
      <w:bookmarkStart w:id="528" w:name="_Toc419363714"/>
      <w:bookmarkStart w:id="529" w:name="_Toc419321294"/>
      <w:bookmarkStart w:id="530" w:name="_Toc20202"/>
      <w:bookmarkStart w:id="531" w:name="_Toc433988750"/>
      <w:bookmarkStart w:id="532" w:name="_Toc419364383"/>
      <w:r>
        <w:rPr>
          <w:rFonts w:hint="eastAsia" w:ascii="仿宋" w:hAnsi="仿宋" w:eastAsia="仿宋" w:cs="仿宋"/>
          <w:b w:val="0"/>
          <w:color w:val="auto"/>
          <w:sz w:val="24"/>
          <w:szCs w:val="24"/>
          <w:highlight w:val="none"/>
        </w:rPr>
        <w:t>7.4 人力和机具资源</w:t>
      </w:r>
      <w:bookmarkEnd w:id="527"/>
      <w:bookmarkEnd w:id="528"/>
      <w:bookmarkEnd w:id="529"/>
      <w:bookmarkEnd w:id="530"/>
      <w:bookmarkEnd w:id="531"/>
      <w:bookmarkEnd w:id="532"/>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7.4.1 承包人应按专用条款约定的格式、内容、份数和提交时间，向发包人提交施工人力资源计划一览表。施工人力资源计划应符合施工进度计划的需要；并按专用条款约定的报表格式、内容、份数和报告期，向发包人提供实际进场的人力资源信息。</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未能按施工人力资源计划一览表投入足够工种和人力，导致实际施工进度明显落后于施工进度计划时，发包人有权通知承包人按计划一览表列出的工种和人数，在合理时间内调派人员进入现场，并自费赶上进度。否则，发包人有权责令承包人将某些单项工程、分部分项工程的施工另行分包，因此发生的费用及延误的时间由承包人承担。</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7.4.2 承包人应按专用条款约定的格式、内容、份数和提交时间，向发包人提交主要施工机具资源计划一览表。施工机具资源计划符合施工进度计划的需要。并按专用条款约定的报表格式、内容、份数和报告期，向发包人提供实际进场的主要施工机具信息。</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未能按施工机具资源计划一览表投入足够的机具，导致实际施工进度落后于施工进度计划时，发包人有权通知承包人按该一览表列出的机具数量，在合理时间内调派机具进入现场。否则，发包人有权向承包人提供相关机具，因此所发生的费用及延误的时间由承包人承担。</w:t>
      </w:r>
    </w:p>
    <w:p>
      <w:pPr>
        <w:spacing w:after="0" w:line="360" w:lineRule="auto"/>
        <w:ind w:firstLine="480" w:firstLineChars="200"/>
        <w:rPr>
          <w:rFonts w:hint="eastAsia" w:ascii="仿宋" w:hAnsi="仿宋" w:eastAsia="仿宋" w:cs="仿宋"/>
          <w:b w:val="0"/>
          <w:color w:val="auto"/>
          <w:sz w:val="24"/>
          <w:szCs w:val="24"/>
          <w:highlight w:val="none"/>
        </w:rPr>
      </w:pPr>
      <w:bookmarkStart w:id="533" w:name="_Toc419364384"/>
      <w:bookmarkStart w:id="534" w:name="_Toc419321295"/>
      <w:bookmarkStart w:id="535" w:name="_Toc20573"/>
      <w:bookmarkStart w:id="536" w:name="_Toc419320259"/>
      <w:bookmarkStart w:id="537" w:name="_Toc433988751"/>
      <w:bookmarkStart w:id="538" w:name="_Toc419363715"/>
      <w:r>
        <w:rPr>
          <w:rFonts w:hint="eastAsia" w:ascii="仿宋" w:hAnsi="仿宋" w:eastAsia="仿宋" w:cs="仿宋"/>
          <w:b w:val="0"/>
          <w:color w:val="auto"/>
          <w:sz w:val="24"/>
          <w:szCs w:val="24"/>
          <w:highlight w:val="none"/>
        </w:rPr>
        <w:t>7.5 质量与检验</w:t>
      </w:r>
      <w:bookmarkEnd w:id="533"/>
      <w:bookmarkEnd w:id="534"/>
      <w:bookmarkEnd w:id="535"/>
      <w:bookmarkEnd w:id="536"/>
      <w:bookmarkEnd w:id="537"/>
      <w:bookmarkEnd w:id="538"/>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7.5.1 质量与检验</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（1）承包人及其分包人随时接受发包人、监理人所进行的安全、质量的监督和检查。承包人应为此类监督、检查提供方便。</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（2）发包人委托第三方对施工质量进行检查、检验、检测和试验时，应以书面形式通知承包人。第三方的验收结果视为发包人的验收结果。</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（3）承包人应遵守施工质量管理的有关规定，负有对其操作人员进行培训、考核、图纸交底、技术交底、操作规程交底、安全程序交底和质量标准交底，及消除事故隐患的责任。</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承包人应按照设计文件、施工标准和合同约定，负责编写施工试验和检测方案，对工程物资（包括建筑构配件）进行检查、检验、检测和试验，不合格的不得使用。并有义务自费修复和（或）更换不合格的工程物资、因此造成竣工日期延误的，由承包人负责；发包人提供的工程物资经承包人检查、检验、检测和试验不合格的，发包人应自费修复和（或）更换，因此造成关键路径延误的，竣工日期相应顺延。承包人因此增加的费用，由发包人承担。</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承包人的施工应符合合同约定的质量标准。施工质量评定以合同中约定的质量检验评定标准为依据。对不符合质量标准的施工部位，承包人应自费修复、返工、更换等。因此造成竣工日期延误的，由承包人负责。</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7.5.2 质检部位与参检方。质检部位分为：发包人、监理人与承包人三方参检的部位；监理人与承包人两方参检的部位；第三方和（或）承包人一方参检的部位。对施工质量进行检查的部位、检查标准及验收的表格格式在专用条款中约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承包人应将按上述约定，经其一方检查合格的部位报发包人或监理人备案。发包人和工程总监有权随时对备案的部位进行抽查或全面检查。</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7.5.3 通知参检方的参检。承包人自行检查、检验、检测和试验合格的，按第7.5.2项专用条款约定的质检部位和参检方，通知相关参检单位在24小时内参加检查。参检方未能按时参加的，承包人应将自检合格的结果于其后的24小时内送交发包人和（或）监理人签字，24小时后未能签字，视为质检结果已被发包人认可。此后3日内，承包人可发出视为发包人和（或）览理人已确认该质检结果的通知。</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7.5.4 质量检查的权利。发包人及其授权的监理人或第三方，在不妨碍承包人正常作业的情况下，具有对任何施工区域进行质量监督、检查、检验、检测和试验的权利。承包人应为此类质量检查活动提供便利。经质检发现因承包人原因引起的质量缺陷时，发包人有权下达修复、暂停、拆除、返工、重新施工、更换等指令。由此增加的费用由承包人承担，竣工日期不予延民。</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7.5.5 重新进行质量检查。按第7.5.3项的约定，经质量检查合格的工程部位，发包人有权在不影响工程正常施工的条件下，重新进行质量检查。检查、检验、检测、试验结果不合格时，因此发生的费用由承包人承担，造成工程关键路径延误的，竣工日期不予延长；检查、检验、检测、试验的结果合格时，承包人增加的费用由发包人承担，工程关键路径延误的，竣工日期相应顺延。</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7.5.6 因发包人代表和（或）监理人的指令失误，或其它非承包人原因发生的追加施工费用，由发包人承担。造成工程关键路径延误，竣工日期相应顺延。</w:t>
      </w:r>
    </w:p>
    <w:p>
      <w:pPr>
        <w:spacing w:after="0" w:line="360" w:lineRule="auto"/>
        <w:ind w:firstLine="480" w:firstLineChars="200"/>
        <w:rPr>
          <w:rFonts w:hint="eastAsia" w:ascii="仿宋" w:hAnsi="仿宋" w:eastAsia="仿宋" w:cs="仿宋"/>
          <w:b w:val="0"/>
          <w:color w:val="auto"/>
          <w:sz w:val="24"/>
          <w:szCs w:val="24"/>
          <w:highlight w:val="none"/>
        </w:rPr>
      </w:pPr>
      <w:bookmarkStart w:id="539" w:name="_Toc419364385"/>
      <w:bookmarkStart w:id="540" w:name="_Toc2750"/>
      <w:bookmarkStart w:id="541" w:name="_Toc433988752"/>
      <w:bookmarkStart w:id="542" w:name="_Toc419321296"/>
      <w:bookmarkStart w:id="543" w:name="_Toc419320260"/>
      <w:bookmarkStart w:id="544" w:name="_Toc419363716"/>
      <w:r>
        <w:rPr>
          <w:rFonts w:hint="eastAsia" w:ascii="仿宋" w:hAnsi="仿宋" w:eastAsia="仿宋" w:cs="仿宋"/>
          <w:b w:val="0"/>
          <w:color w:val="auto"/>
          <w:sz w:val="24"/>
          <w:szCs w:val="24"/>
          <w:highlight w:val="none"/>
        </w:rPr>
        <w:t>7.6 隐蔽工程和中间验收</w:t>
      </w:r>
      <w:bookmarkEnd w:id="539"/>
      <w:bookmarkEnd w:id="540"/>
      <w:bookmarkEnd w:id="541"/>
      <w:bookmarkEnd w:id="542"/>
      <w:bookmarkEnd w:id="543"/>
      <w:bookmarkEnd w:id="544"/>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7.6.1 隐蔽工程和中间验收。需要质检的隐蔽工程和中间验收部位的分类、部位、质检内容、质检标准、质检表格和参检方在专用条款中约定。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7.6.2 验收通知和验收。承包人对自检合格的隐蔽工程或中间验收部位，应在隐蔽工程或中间验收前的48小时以书面形式通知发包人和（或）监理人验收。通知应包括隐蔽和中间验收的内容、验收时间和地点。验收合格，双方在验收记录上签字后，方可覆盖、进行紧后作业，编制并提交隐蔽工程竣工资料以及发包人或监理人要求提供的相关资料。</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发包人和（或）监理人在验收合格24小时后不在验收记录上签字的，视为发包人和（或）监理人已经认可验收记录，承包人可隐蔽或进行紧后作业。经发包人和（或）监理人验收不合格的，承包人需在发包人和（或）监理人限定的时间内修正，重新通知发包人和（或）监理人验收。</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7.6.3 未能按时参加验收。发包人和（或）监理人不能按时参加隐蔽工程或中间验收部位验收的，应在收到验收通知24小时内以书面形式向承包人提出延期要求，延期不能超过48小时。发包人未能按以上时间提出延期验收，又未能参加验收的，承包人可自行组织验收，其验收记录视为已被发包人、监理人认可。</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因应发包人和（或）监理人要求所进行延期验收造成关键路径延误的，竣工日期相应顺延：给承包人造成的停工、窝工损失，由发包人承担。</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7.6.4 再检验。发包人和（或）监理人在任何时间内，均有权要求对已经验收的隐蔽工程重新检验，承包人应按要求拆除覆盖、剥离或开孔，并在检验后重新覆盖或修复。隐蔽工程经重新检验不合格时，由此发生的费用由承包人承担，竣工日期不予延长；经检验合格时，承包人因此增加的费用由发包人承担、工程关键路径的延误，竣工日期相应顺延。</w:t>
      </w:r>
    </w:p>
    <w:p>
      <w:pPr>
        <w:spacing w:after="0" w:line="360" w:lineRule="auto"/>
        <w:ind w:firstLine="480" w:firstLineChars="200"/>
        <w:rPr>
          <w:rFonts w:hint="eastAsia" w:ascii="仿宋" w:hAnsi="仿宋" w:eastAsia="仿宋" w:cs="仿宋"/>
          <w:b w:val="0"/>
          <w:color w:val="auto"/>
          <w:sz w:val="24"/>
          <w:szCs w:val="24"/>
          <w:highlight w:val="none"/>
        </w:rPr>
      </w:pPr>
      <w:bookmarkStart w:id="545" w:name="_Toc419364386"/>
      <w:bookmarkStart w:id="546" w:name="_Toc14619"/>
      <w:bookmarkStart w:id="547" w:name="_Toc433988753"/>
      <w:bookmarkStart w:id="548" w:name="_Toc419363717"/>
      <w:bookmarkStart w:id="549" w:name="_Toc419320261"/>
      <w:bookmarkStart w:id="550" w:name="_Toc419321297"/>
      <w:r>
        <w:rPr>
          <w:rFonts w:hint="eastAsia" w:ascii="仿宋" w:hAnsi="仿宋" w:eastAsia="仿宋" w:cs="仿宋"/>
          <w:b w:val="0"/>
          <w:color w:val="auto"/>
          <w:sz w:val="24"/>
          <w:szCs w:val="24"/>
          <w:highlight w:val="none"/>
        </w:rPr>
        <w:t>7.7 对施工质量结果的争议</w:t>
      </w:r>
      <w:bookmarkEnd w:id="545"/>
      <w:bookmarkEnd w:id="546"/>
      <w:bookmarkEnd w:id="547"/>
      <w:bookmarkEnd w:id="548"/>
      <w:bookmarkEnd w:id="549"/>
      <w:bookmarkEnd w:id="550"/>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7.7.1 双方对施工质量结果有争议时，应首先协商解决。经协商未达成一致意见的，委托双方一致同意的具有相应资格的工程质量检测机构进行检测。</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根据检测机构的鉴定结果，责任方为承包人时，因此造成的费用增加或竣工日期延误，由承包人负责；责任方为发包人时，因此造成的费用增加由发包人承担，工程关键路径因争议受到延误的，竣工日期相应顺延。</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7.7.2 根据检测机构的鉴定结果，合同双方均有责任时，根据各方的责任大小，协商分担发生的费用；因此造成工程关键路径延误时，商定对竣工日期的延长时间。双方对分担的费用、竣工日期延长不能达成一致时，按第16.3款争议和裁决的约定程序解决。</w:t>
      </w:r>
    </w:p>
    <w:p>
      <w:pPr>
        <w:spacing w:after="0" w:line="360" w:lineRule="auto"/>
        <w:ind w:firstLine="480" w:firstLineChars="200"/>
        <w:rPr>
          <w:rFonts w:hint="eastAsia" w:ascii="仿宋" w:hAnsi="仿宋" w:eastAsia="仿宋" w:cs="仿宋"/>
          <w:b w:val="0"/>
          <w:color w:val="auto"/>
          <w:sz w:val="24"/>
          <w:szCs w:val="24"/>
          <w:highlight w:val="none"/>
        </w:rPr>
      </w:pPr>
      <w:bookmarkStart w:id="551" w:name="_Toc2164"/>
      <w:bookmarkStart w:id="552" w:name="_Toc419363718"/>
      <w:bookmarkStart w:id="553" w:name="_Toc419320262"/>
      <w:bookmarkStart w:id="554" w:name="_Toc419364387"/>
      <w:bookmarkStart w:id="555" w:name="_Toc419321298"/>
      <w:bookmarkStart w:id="556" w:name="_Toc433988754"/>
      <w:r>
        <w:rPr>
          <w:rFonts w:hint="eastAsia" w:ascii="仿宋" w:hAnsi="仿宋" w:eastAsia="仿宋" w:cs="仿宋"/>
          <w:b w:val="0"/>
          <w:color w:val="auto"/>
          <w:sz w:val="24"/>
          <w:szCs w:val="24"/>
          <w:highlight w:val="none"/>
        </w:rPr>
        <w:t>7.8 职业健康、安全、环境保护</w:t>
      </w:r>
      <w:bookmarkEnd w:id="551"/>
      <w:bookmarkEnd w:id="552"/>
      <w:bookmarkEnd w:id="553"/>
      <w:bookmarkEnd w:id="554"/>
      <w:bookmarkEnd w:id="555"/>
      <w:bookmarkEnd w:id="556"/>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7.8.1 职业健康、安全、环境保护管理</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（1）遵守有关健康、安全、环境保护的各项法律规定，是双方的义务。</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职业健康、安全、环境保护管理实施计划。承包人应在现场开工前或约定的其它时间内，将职业健康、安全、环境保护管理实施计划提交给发包人。该计划的管理、实施费用包括在合同价格中。发包人应在收到该计划后15日内提出建议，并于以确认。承包人应根据发包人的建议自费修正.职业健康、安全、环境保护管理实施计划的提交份数和提交时间，在专用条款中约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（3）在承包人实施职业健康、安全、环境保护管理实施计划的过程中，发包人需要在该计划之外采取特殊措施的，按第13条变更和合同价格调整的约定，作为变更处理。</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（4）承包人应确保其在现场的所有雇员及其分包人的雇员都经过了足够的培训并具有经验，能够胜任职业健康、安全、环境保护管理工作。</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（5）承包人应遵守所有与实施本工程和使用施工设备相关的现场职业健康、安全和环境保护的法律规定，并按规定各自办理相关手续。</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6）承包人应为现场开工部分的工程建立职业健康保障条件、搭设安全设施并采取环保措施等，为发包人办理施工许可证提供条件。因承包人原因导致施工许可的批准推迟，造成费用增加或工程关键路径延误时，由承包人负责。</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（7）承包人应配备专职工程师或管理人员，负责管理、监督、指导职工职业健康、安全保护和环境保护工作。承包人应对其分包人的行为负责。</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（8）承包人应随时接受政府有关行政部门、行业机构、发包人、监理人的职业健康、安全、环境保护检查人员的监督和检查，并为此提供方便。</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7.8.2 现场职业健康管理</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（1）承包人应遵守适用的职业健康的法律和合同约定（包括对雇用、职业健康、安全、福利等方面的规定），负责现场实施过程中其人员的职业健康和保护。</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 xml:space="preserve">（2）承包人应遵守适用的劳动法规，保护其雇员的合法休假权等合法权益，并为其现场人员提供劳动保护用品、防护器具、防暑降温用品、必要的现场食宿条件和安全生产设施。 </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（3）承包人应对其施工人员进行相关作业的职业健康知识培训、危险及危害因素交底、安全操作规程交底、采取有效措施，按有关规定提供防止人身伤害的保护用具。</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（4）承包人应在有毒有害作业区域设置警示标志和说明。发包人及其委托人员未经承包人允许、未配备相关保护器具，进入该作业区域所造成的伤害，由发包人承担责任和费用。</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（5）承包人应对有毒有害岗位进行防治检查，对不合格的防护设施、器具、搭设等及时整改，消除危害职业健康的隐患。</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（6）承包人应采取卫生防疫措施，配备医务人员、急救设施，保持食堂的饮食卫生，保持住地及其周围的环境卫生，维护施工人员的健康。</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7.8.3 现场安全管理</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发包人、监理人应对其在现场的人员进行安全教育，提供必要的个人安全用品，并对他们所造成的安全事故负责。发包人、监理人不得强令承包人违反安全施工、安全操作及竣工试验和（或）竣工后试验的有关安全规定。因发包人、监理人及其现场工作人员的原因，导致的人身伤害和财产损失，由发包人承担相关责任及所发生的费用。工程关键路径延误时，竣工日期给予顺延。</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因承包人原因，违反安全施工、安全操作、竣工试验和（或）竣工后试验的有关安全规定，导致的人身伤害和财产损失，工程关键路径延误时，由承包人承担。</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（2）双方人员应遵守有关禁止通行的须知，包括禁止进入工作场地以及临近工作场地的特定区域。未能遵守此约定，造成伤害、损坏和损失的，由未能遵守此项约定的一方负责。</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承包人应按合同约定负责现场的安全工作，包括其分包人的现场。对有条件的现场实行封闭管理。应根据工程特点，在施工组织设计文件中制定相应的安全技术措施，并对专业性较强的工程部分编制专项安全施工组织设计，包括维护安全、防范危险和预防火灾等措施。</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承包人（包括承包人的分包人、供应商及其运输单位）应对其现场内及进出现场途中的道路、桥梁、地下设施等，采取防范措施使其免遭损坏，专用条款另有约定除外。因未按约定采取防范措施所造成的损坏和（或）竣工日期延误，由承包人负责。</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（5）承包人应对其施工人员进行安全操作培训，安全操作规程交底，采取安全防护措施，设置安全警示标志和说明，进行安全检查，消除事故隐患。</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6）承包人在动力设备、输电线路、地下管道、密封防震车间、高温高压、易燃易爆区域和地段，以及临街交通要道附近作业时，应对施工现场及毗邻的建筑物、构筑物和特殊作业环境可能造成的损害采取安全防护措施。施工开始前承包人须向发包人和（或）监理人提交安全防护措施方案，经认可后实施。发包人和（或）监理人的认可，并不能减轻或免除承包人的责任。</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承包人实施爆破、放射性、带电、毒害性及使用易燃易爆、毒害性、腐蚀性物品作业（含运输、储存、保管）时，应在施工前10日以书面形式通知发包人和（或）监理人，并提交相应的安全防护措施方案，经认可后实施。发包人和（或）监理人的认可， 并不能减轻或免除承包人的责任。</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8）安全防护检查。承包人应在作业开始前，通知发包人代表和（或）监理人对其提交的安全措施方案，及现场安全设施搭设、安全通道、安全器具和消防器具配置、对周围环境安全可能带来的隐患等进行检查，并根据发包人和（或）监理人提出的整改建议自费整改。发包人和（或）监理人的检查、建议，并不能减轻或免除承包人的合同责任。</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7.8.4 现场的环境保护管理</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承包人负责在现场施工过程中保护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（2）承包人应采取措施，并负责控制和（或）处理现场的粉尘、废气、废水、固体废物和噪声对环境的污染和危害。因此发生的伤害、赔偿、罚款等费用增加，和（或）竣工日期延误，由承包人负责。</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承包人及时或定期将施工现场残留、废弃的垃圾运到发包人或当地有关行政部门指定的地点，防止对周围环境的污染及对作业的影响。因违反上述约定导致当地行政部门的罚款、赔偿等增加的费用，由承包人承担。</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7.8.5 事故处理</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承包人（包括其分包人）的人员，在现场作业过程中发生死亡、伤害事件时，承包人应立即采取救护措施，并立即报告发包人和（或）救援单位，发包人有义务为此项抢救提供必要条件。承包人应维护好现场并采取防止事故蔓延的相应措施。</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（2）对重大伤亡、重大财产、环境损害及其它安全事故，承包人应按有关规定立即上报有关部门，并立即通知发包人代表和监理人。同时，按政府有关部门的要求处理。</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（3）合同双方对事故责任有争议时，依据第16.3款争议和裁决的约定程序解决。</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（4）因承包人的原因致使建筑工程在合理使用期限、设备保证期内造成人身和财产损害的，由承包人承担损害赔偿责任。</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（5）因承包人原因发生员工食物中毒及职业健康事件的，承包人应承担相关责任。</w:t>
      </w:r>
    </w:p>
    <w:p>
      <w:pPr>
        <w:spacing w:after="0" w:line="360" w:lineRule="auto"/>
        <w:ind w:firstLine="480" w:firstLineChars="200"/>
        <w:rPr>
          <w:rFonts w:hint="eastAsia" w:ascii="仿宋" w:hAnsi="仿宋" w:eastAsia="仿宋" w:cs="仿宋"/>
          <w:b w:val="0"/>
          <w:color w:val="auto"/>
          <w:sz w:val="24"/>
          <w:szCs w:val="24"/>
          <w:highlight w:val="none"/>
        </w:rPr>
      </w:pPr>
      <w:bookmarkStart w:id="557" w:name="_Toc712528403"/>
      <w:bookmarkStart w:id="558" w:name="_Toc419364388"/>
      <w:bookmarkStart w:id="559" w:name="_Toc1945933694"/>
      <w:bookmarkStart w:id="560" w:name="_Toc419320263"/>
      <w:bookmarkStart w:id="561" w:name="_Toc419321299"/>
      <w:bookmarkStart w:id="562" w:name="_Toc1604643687"/>
      <w:bookmarkStart w:id="563" w:name="_Toc1264741205"/>
      <w:bookmarkStart w:id="564" w:name="_Toc419363719"/>
      <w:bookmarkStart w:id="565" w:name="_Toc1421757209"/>
      <w:bookmarkStart w:id="566" w:name="_Toc2052123690"/>
      <w:bookmarkStart w:id="567" w:name="_Toc29256"/>
      <w:bookmarkStart w:id="568" w:name="_Toc433988755"/>
      <w:bookmarkStart w:id="569" w:name="_Toc473753587"/>
      <w:bookmarkStart w:id="570" w:name="_Toc446301061"/>
      <w:r>
        <w:rPr>
          <w:rFonts w:hint="eastAsia" w:ascii="仿宋" w:hAnsi="仿宋" w:eastAsia="仿宋" w:cs="仿宋"/>
          <w:b w:val="0"/>
          <w:color w:val="auto"/>
          <w:sz w:val="24"/>
          <w:szCs w:val="24"/>
          <w:highlight w:val="none"/>
        </w:rPr>
        <w:t>第8条 竣工试验</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本合同工程包含竣工试验，遵守本条约定。</w:t>
      </w:r>
    </w:p>
    <w:p>
      <w:pPr>
        <w:spacing w:after="0" w:line="360" w:lineRule="auto"/>
        <w:ind w:firstLine="480" w:firstLineChars="200"/>
        <w:rPr>
          <w:rFonts w:hint="eastAsia" w:ascii="仿宋" w:hAnsi="仿宋" w:eastAsia="仿宋" w:cs="仿宋"/>
          <w:b w:val="0"/>
          <w:color w:val="auto"/>
          <w:sz w:val="24"/>
          <w:szCs w:val="24"/>
          <w:highlight w:val="none"/>
        </w:rPr>
      </w:pPr>
      <w:bookmarkStart w:id="571" w:name="_Toc419364389"/>
      <w:bookmarkStart w:id="572" w:name="_Toc419321300"/>
      <w:bookmarkStart w:id="573" w:name="_Toc433988756"/>
      <w:bookmarkStart w:id="574" w:name="_Toc419363720"/>
      <w:bookmarkStart w:id="575" w:name="_Toc14237"/>
      <w:bookmarkStart w:id="576" w:name="_Toc419320264"/>
      <w:r>
        <w:rPr>
          <w:rFonts w:hint="eastAsia" w:ascii="仿宋" w:hAnsi="仿宋" w:eastAsia="仿宋" w:cs="仿宋"/>
          <w:b w:val="0"/>
          <w:color w:val="auto"/>
          <w:sz w:val="24"/>
          <w:szCs w:val="24"/>
          <w:highlight w:val="none"/>
        </w:rPr>
        <w:t>8.1 竣工试验的义务</w:t>
      </w:r>
      <w:bookmarkEnd w:id="571"/>
      <w:bookmarkEnd w:id="572"/>
      <w:bookmarkEnd w:id="573"/>
      <w:bookmarkEnd w:id="574"/>
      <w:bookmarkEnd w:id="575"/>
      <w:bookmarkEnd w:id="576"/>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8.1.1 承包人的义务</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承包人应在单项工程和（或）工程的竣工试验开始前，完成相应单项工程和（或）工程的施工作业（不包括：为竣工试验、竣工后试验必须预留的施工部位、不影响竣工试验的缺陷修复和零星扫尾工程）；并在竣工试验开始前，按合同约定需完成对施工作业部位的检查、检验、检测和试验。</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（2）承包人应在竣工试验开始前，根据第7.6款隐蔽工程和中间验收部位的约定，向发包人提交相关的质检资料及其竣工资料。</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（3）根据第10条竣工后试验的约定，由承包人指导发包人进行竣工后试验的，承包人须完成第5.4款约定的操作维修人员培训，并在竣工试验前提交第5.2.4项约定的操作维修手册。</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承包人应在达到竣工试验条件20日前，将竣工试验方案提交给发包人。发包人应在10日内对方案提出建议和意见，承包人应根据发包人提出的合理建议和意见，自费对竣工试验方案进行修正。竣工试验方案经发包人确认后，作为合同附件，由承包人负责实施。发包人的确认并不能减轻或免除承包人的合同责任。竣工试验方案应包括以下内容：</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1）竣工试验方案编制的依据和原则；</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2）组织机构设置、责任分工；</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3）单项工程竣工试验的试验程序、试验条件；</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4）单件、单体、联动试验的试验程序、试验条件；</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5）竣工试验的设备、材料和部件的类别、性能标准、试验及验收格式；</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6）水、电、动力等条件的品质和用量要求；</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7）安全程序、安全措施及防护设施；</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8）竣工试验的进度计划、措施方案、人力及机具计划安排；</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9）其它。</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竣工试验方案提交的份数和提交时间，在专用条款中约定。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（5）承包人的竣工试验包括根据第6.1.2项约定的由承包人提供的工程物资的竣工试验，及根据8.1.2款第（3）项发包人委托给承包人进行工程物资的竣工试验。</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（6）承包人按照试验条件、试验程序，及第5.2.3项第（3）项约定的标准、规范和数据，完成竣工试验。</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8.1.2 发包人的义务</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（1）发包人应按经发包人确认后的竣工试验方案，提供电力、水、动力及由发包人提供的消耗材料等。提供的电力、水、动力及相关消耗材料等须满足竣工试验对其品质、用量及时间的要求。</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当合同约定应由承包人提供的竣工试验的消耗材料和备品备件用完或不足时，发包人有义务提供其库存的竣工试验所需的相关消耗材料和备品备件。其中：因承包人原因造成损坏的或承包人提供不足的，发包人有权从合同价格中扣除相应款项；因合理耗损或发包人原因造成的，发包人应免费提供。</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发包人委托承包人对根据第6.1.1项约定由发包人提供的工程物资进行竣工试验的服务费，已包含在合同价格中。发包人在合同实施过程中委托承包人进行竣工试验的，依据13条变更和合同价格调整的约定，作为变更处理。</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承包人应按发包人提供的试验条件、试验程序对发包人根据本款第（3）项委托给承包人工程物资进行竣工试验，其试验结果须符合第5.2.3项第（3）项约定的标准、规范和数据，发包人对该部分的试验结果负责。</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8.1.3 竣工试验领导机构。竣工试验领导机构负责竣工试验的领导、组织和协调。承包人提供竣工试验所需的人力、机具并负责完成试验。发包人负责组织、协调、提供竣工试验方案中约定的相关条件及竣工试验的验收。</w:t>
      </w:r>
    </w:p>
    <w:p>
      <w:pPr>
        <w:spacing w:after="0" w:line="360" w:lineRule="auto"/>
        <w:ind w:firstLine="480" w:firstLineChars="200"/>
        <w:rPr>
          <w:rFonts w:hint="eastAsia" w:ascii="仿宋" w:hAnsi="仿宋" w:eastAsia="仿宋" w:cs="仿宋"/>
          <w:b w:val="0"/>
          <w:color w:val="auto"/>
          <w:sz w:val="24"/>
          <w:szCs w:val="24"/>
          <w:highlight w:val="none"/>
        </w:rPr>
      </w:pPr>
      <w:bookmarkStart w:id="577" w:name="_Toc419321301"/>
      <w:bookmarkStart w:id="578" w:name="_Toc32733"/>
      <w:bookmarkStart w:id="579" w:name="_Toc433988757"/>
      <w:bookmarkStart w:id="580" w:name="_Toc419363721"/>
      <w:bookmarkStart w:id="581" w:name="_Toc419320265"/>
      <w:bookmarkStart w:id="582" w:name="_Toc419364390"/>
      <w:r>
        <w:rPr>
          <w:rFonts w:hint="eastAsia" w:ascii="仿宋" w:hAnsi="仿宋" w:eastAsia="仿宋" w:cs="仿宋"/>
          <w:b w:val="0"/>
          <w:color w:val="auto"/>
          <w:sz w:val="24"/>
          <w:szCs w:val="24"/>
          <w:highlight w:val="none"/>
        </w:rPr>
        <w:t>8.2 竣工试验的检验和验收</w:t>
      </w:r>
      <w:bookmarkEnd w:id="577"/>
      <w:bookmarkEnd w:id="578"/>
      <w:bookmarkEnd w:id="579"/>
      <w:bookmarkEnd w:id="580"/>
      <w:bookmarkEnd w:id="581"/>
      <w:bookmarkEnd w:id="582"/>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8.2.1 承包人应根据第5.2.3项第（3）项约定的标准、规范、数据，及第8.1.1项第（4）项竣工试验方案的第5）子项的约定进行检验和验收。</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8.2.2 承包人应在竣工试验开始前，依据第8.1.1项的约定，对各方提供的试验条件进行检查落实，条件满足的，双方人员应签字确认。因发包人提供的竣工试验条件的延误，给承包人带来窝工损失，由发包人负责。导致竣工试验进度延误的，竣工日期相应顺延；因承包人原因未能按时落实竣工试验条件 ，使竣工试验进度延误时，承包人应按第4.1.2项的约定自费赶上。</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8.2.3 承包人应在某项竣工试验开始36小时前，向发包人和（或）监理人发出通知，通知应包括试验的项目、内容、地点和验收时间。发包人和（或）监理人应在接到通知后的24小时内，以书面形式作出回复，试验合格后，双方应在试验记录及验收表格上签字。</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发包人和（或）监理人在验收合格的24小时后，不在试验记录和验收表格上签字，视为发包人和（或）监理人已经认可此项验收，承包人可进行隐蔽和（或）紧后作业。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验收不合格的，承包人应在发包人和（或）监理人指定的时间内修正，并通知发包人和（或）监理人重新验收。</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8.2.4 发包人和（或）监理人不能按时参加试验和验收时，应在接到通知后的24小时内以书面形式向承包人提出延期要求，延期不能超过24小时。未能按以上时间提出延期试验，又未能参加试验和验收的，承包人可按通知的试验项目内容自行组织试验，试验结果视为经发包人和（或）监理人认可。</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8.2.5 不论发包人和（或）监理人是否参加竣工试验和验收，发包人均有权责令重新试验。如因承包人的原因重新试验不合格，承包人应承担由此所增加的费用，造成竣工试验进度延误时，竣工日期不予延长；如重新试验合格，承包人增加的费用，和（或）竣工日期的延长，按照13条变更和合同价格调整的约定，作为变更处理。</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8.2.6 竣工试验验收日期的约定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（1）某项竣工试验的验收日期和时间：按该项竣工试验通过的日期和时间，作为该项竣工试验验收的日期和时间；</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（2）单项工程竣工试验的验收日期和时间：按其中最后一项竣工试验通过的日期和时间，作为该单项工程竣工试验验收的日期和时间；</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（3）工程的竣工试验日期和时间。按最后一个单项工程通过竣工试验的日期和时间，作为整个工程竣工试验验收的日期和时间。</w:t>
      </w:r>
    </w:p>
    <w:p>
      <w:pPr>
        <w:spacing w:after="0" w:line="360" w:lineRule="auto"/>
        <w:ind w:firstLine="480" w:firstLineChars="200"/>
        <w:rPr>
          <w:rFonts w:hint="eastAsia" w:ascii="仿宋" w:hAnsi="仿宋" w:eastAsia="仿宋" w:cs="仿宋"/>
          <w:b w:val="0"/>
          <w:color w:val="auto"/>
          <w:sz w:val="24"/>
          <w:szCs w:val="24"/>
          <w:highlight w:val="none"/>
        </w:rPr>
      </w:pPr>
      <w:bookmarkStart w:id="583" w:name="_Toc419363722"/>
      <w:bookmarkStart w:id="584" w:name="_Toc419321302"/>
      <w:bookmarkStart w:id="585" w:name="_Toc419364391"/>
      <w:bookmarkStart w:id="586" w:name="_Toc419320266"/>
      <w:bookmarkStart w:id="587" w:name="_Toc433988758"/>
      <w:bookmarkStart w:id="588" w:name="_Toc15443"/>
      <w:r>
        <w:rPr>
          <w:rFonts w:hint="eastAsia" w:ascii="仿宋" w:hAnsi="仿宋" w:eastAsia="仿宋" w:cs="仿宋"/>
          <w:b w:val="0"/>
          <w:color w:val="auto"/>
          <w:sz w:val="24"/>
          <w:szCs w:val="24"/>
          <w:highlight w:val="none"/>
        </w:rPr>
        <w:t>8.3 竣工试验的安全和检查</w:t>
      </w:r>
      <w:bookmarkEnd w:id="583"/>
      <w:bookmarkEnd w:id="584"/>
      <w:bookmarkEnd w:id="585"/>
      <w:bookmarkEnd w:id="586"/>
      <w:bookmarkEnd w:id="587"/>
      <w:bookmarkEnd w:id="588"/>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8.3.1 承包人应按第7.8款职业健康、安全和环境保护的约定，并结合竣工试验的通电、通水、通气、试压、试漏、吹扫、转动等特点，对触电危险、易燃易爆、高温高压、压力试验、机械设备运转等制定竣工试验的安全程序、安全制度、防火措施、事故报告制度及事故处理方案在内的安全操作方案，并将该方案提交给发包人确认，承包人应按照发包人提出的合理建议、意见和要求，自费对方案修正，并经发包人确认后实施。发包人的确认并不能减轻或免除承包人的合同责任。承包人为竣工试验提供安全防护措施和防护用品的费用已包含在合同价格中。</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8.3.2 承包人应对其人员进行竣工试验的安全培训，并对竣工试验的安全操作程序、场地环境、操作制度、应急处理措施等进行交底。</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8.3.3 发包人和（或）监理人有义务按照经确认的竣工试验安全方案中的安全规程、安全制度、安全措施等，对其管理人员和操作维修人员进行竣工试验的安全教育，自费提供参加监督、检查人员的防护设施。</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8.3.4 发包人和（或）监理人有权监督、检查承包人在竣工试验安全方案中列出的工作及落实情况，有权提出安全整改及发出整顿指令。承包人有义务按照指令进行整改、整顿，所增加的费用由承包人承担。因此造成工程竣工试验进度计划延误时，承包人应遵照第4.1.2项的约定自费赶上。</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8.3.5 按第8.1.3项竣工试验领导机构的决定，双方密切配合开展竣工试验的组织、协调和实施工作，防止人身伤害和事故发生。</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因发包人的原因造成的事故，由发包人承担相应责任、费用和赔偿。造成工程竣工试验进度计划延误时，竣工日期相应顺延。</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因承包人的原因造成的事故，由承包人承担相应责任、费用和赔偿。造成工程竣工试验进度计划延误时，承包人应按第4.1.2项的约定自费赶上。</w:t>
      </w:r>
    </w:p>
    <w:p>
      <w:pPr>
        <w:spacing w:after="0" w:line="360" w:lineRule="auto"/>
        <w:ind w:firstLine="480" w:firstLineChars="200"/>
        <w:rPr>
          <w:rFonts w:hint="eastAsia" w:ascii="仿宋" w:hAnsi="仿宋" w:eastAsia="仿宋" w:cs="仿宋"/>
          <w:b w:val="0"/>
          <w:color w:val="auto"/>
          <w:sz w:val="24"/>
          <w:szCs w:val="24"/>
          <w:highlight w:val="none"/>
        </w:rPr>
      </w:pPr>
      <w:bookmarkStart w:id="589" w:name="_Toc419321303"/>
      <w:bookmarkStart w:id="590" w:name="_Toc419363723"/>
      <w:bookmarkStart w:id="591" w:name="_Toc433988759"/>
      <w:bookmarkStart w:id="592" w:name="_Toc28037"/>
      <w:bookmarkStart w:id="593" w:name="_Toc419320267"/>
      <w:bookmarkStart w:id="594" w:name="_Toc419364392"/>
      <w:r>
        <w:rPr>
          <w:rFonts w:hint="eastAsia" w:ascii="仿宋" w:hAnsi="仿宋" w:eastAsia="仿宋" w:cs="仿宋"/>
          <w:b w:val="0"/>
          <w:color w:val="auto"/>
          <w:sz w:val="24"/>
          <w:szCs w:val="24"/>
          <w:highlight w:val="none"/>
        </w:rPr>
        <w:t>8.4 延误的竣工试验</w:t>
      </w:r>
      <w:bookmarkEnd w:id="589"/>
      <w:bookmarkEnd w:id="590"/>
      <w:bookmarkEnd w:id="591"/>
      <w:bookmarkEnd w:id="592"/>
      <w:bookmarkEnd w:id="593"/>
      <w:bookmarkEnd w:id="594"/>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8.4.1 因承包人的原因使某项、某单项工程落后于竣工试验进度计划的，承包人按第4.1.2项的约定自费采取措施，赶上竣工试验进度计划。</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8.4.2 因承包人的原因造成竣工试验延误，致使合同约定的工程竣工日期延误时，承包人应根据第4.5款误期损害赔偿的约定，承包误期赔偿责任。</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8.4.3 承包人无正当理由，未能按竣工试验领导机构决定的竣工试验进度计划进行某项竣工试验，且在收到试验领导机构发出的通知后的10日内仍未进行该项竣工试验时，造成竣工日期延误时，由承包人承担误期赔偿责任。且发包人有权自行组织该项竣工试验，由此产生的费用由承包人承担。</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8.4.4 发包人未能根据第8.1.2项的约定履行其义务，导致承包人竣工试验延误，发包人应承担承包人因此发生的合理费用，竣工试验进度计划延误时，竣工日期相应顺延。</w:t>
      </w:r>
    </w:p>
    <w:p>
      <w:pPr>
        <w:spacing w:after="0" w:line="360" w:lineRule="auto"/>
        <w:ind w:firstLine="480" w:firstLineChars="200"/>
        <w:rPr>
          <w:rFonts w:hint="eastAsia" w:ascii="仿宋" w:hAnsi="仿宋" w:eastAsia="仿宋" w:cs="仿宋"/>
          <w:b w:val="0"/>
          <w:color w:val="auto"/>
          <w:sz w:val="24"/>
          <w:szCs w:val="24"/>
          <w:highlight w:val="none"/>
        </w:rPr>
      </w:pPr>
      <w:bookmarkStart w:id="595" w:name="_Toc419320268"/>
      <w:bookmarkStart w:id="596" w:name="_Toc419364393"/>
      <w:bookmarkStart w:id="597" w:name="_Toc29600"/>
      <w:bookmarkStart w:id="598" w:name="_Toc433988760"/>
      <w:bookmarkStart w:id="599" w:name="_Toc419321304"/>
      <w:bookmarkStart w:id="600" w:name="_Toc419363724"/>
      <w:r>
        <w:rPr>
          <w:rFonts w:hint="eastAsia" w:ascii="仿宋" w:hAnsi="仿宋" w:eastAsia="仿宋" w:cs="仿宋"/>
          <w:b w:val="0"/>
          <w:color w:val="auto"/>
          <w:sz w:val="24"/>
          <w:szCs w:val="24"/>
          <w:highlight w:val="none"/>
        </w:rPr>
        <w:t>8.5 重新试验和验收</w:t>
      </w:r>
      <w:bookmarkEnd w:id="595"/>
      <w:bookmarkEnd w:id="596"/>
      <w:bookmarkEnd w:id="597"/>
      <w:bookmarkEnd w:id="598"/>
      <w:bookmarkEnd w:id="599"/>
      <w:bookmarkEnd w:id="600"/>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8.5.1 承包人未能通过相关的竣工试验，可依据第8.1.1项第（6）项的约定重新进行此项试验，并按第8.2款的约定进行检验和验收。</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8.5.2 不论发包人和（或）监理人是否参加竣工试验和验收，承包人未能通过的竣工试验，发包人均有权通知承包人再次按第8.1.1项第（6）项的约定进行此项竣工试验，并按第8.2款的约定进行检验和验收。</w:t>
      </w:r>
    </w:p>
    <w:p>
      <w:pPr>
        <w:spacing w:after="0" w:line="360" w:lineRule="auto"/>
        <w:ind w:firstLine="480" w:firstLineChars="200"/>
        <w:rPr>
          <w:rFonts w:hint="eastAsia" w:ascii="仿宋" w:hAnsi="仿宋" w:eastAsia="仿宋" w:cs="仿宋"/>
          <w:b w:val="0"/>
          <w:color w:val="auto"/>
          <w:sz w:val="24"/>
          <w:szCs w:val="24"/>
          <w:highlight w:val="none"/>
        </w:rPr>
      </w:pPr>
      <w:bookmarkStart w:id="601" w:name="_Toc419321305"/>
      <w:bookmarkStart w:id="602" w:name="_Toc419320269"/>
      <w:bookmarkStart w:id="603" w:name="_Toc419363725"/>
      <w:bookmarkStart w:id="604" w:name="_Toc27626"/>
      <w:bookmarkStart w:id="605" w:name="_Toc433988761"/>
      <w:bookmarkStart w:id="606" w:name="_Toc419364394"/>
      <w:r>
        <w:rPr>
          <w:rFonts w:hint="eastAsia" w:ascii="仿宋" w:hAnsi="仿宋" w:eastAsia="仿宋" w:cs="仿宋"/>
          <w:b w:val="0"/>
          <w:color w:val="auto"/>
          <w:sz w:val="24"/>
          <w:szCs w:val="24"/>
          <w:highlight w:val="none"/>
        </w:rPr>
        <w:t>8.6 未能通过竣工试验</w:t>
      </w:r>
      <w:bookmarkEnd w:id="601"/>
      <w:bookmarkEnd w:id="602"/>
      <w:bookmarkEnd w:id="603"/>
      <w:bookmarkEnd w:id="604"/>
      <w:bookmarkEnd w:id="605"/>
      <w:bookmarkEnd w:id="606"/>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8.6.1 因发包人的下述原因导致竣工试验未能通过的，承包人进行竣工试验的费用由发包人承担，使竣工试验进度计划延误时，竣工日期相应延长：</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（1）发包人未能按确认的竣工试验方案中的技术参数、时间及数量提供电力、动力、水等试验条件，导致竣工试验未能通过；</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（2）发包人指令承包人按发包人的竣工试验条件、试验程序和试验方法进行试验和竣工试验，导致该项竣工试验未能通过；</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（3）发包人对承包人竣工试验的干扰，导致竣工试验未能通过；</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（4）因发包人的其它原因，导致竣工试验未能通过。</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8.6.2 因承包人原因未能通过竣工试验，该项竣工试验允许再进行，但再进行最多为两次，两次试验后仍不符合验收条件的，相关费用、竣工日期及相关事项，下述约定处理：</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（1）该项竣工试验未能通过，对该项操作或使用不存在实质影响，承包人自费修复。无法修复时，发包人有权扣减该部分的相应付款，视为通过；</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（2）该项竣工试验未能通过，对该单项工程未产生实质性操作和使用影响，发包人可相应扣减该单项工程的合同价款，可视为通过；若使竣工日期延误的，承包人承担误期损害赔偿责任。</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（3）该项竣工试验未能通过，对操作或使用有实质性影响，发包人有权指令承包人更换相关部分，并进行竣工试验。发包人因此增加的费用，由承包人承担。使竣工日期延误时，承包人承担误期损害赔偿责任。</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未能通过竣工试验，使单项工程的任何主要部分丧失了生产、使用功能时，发包人有权指令承包人更换相关部分，承包人自行承担因此增加的费用；竣工日期延误，并应承担误期损害赔偿责任。发包人因此增加费用的，由承包人负责赔偿。</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未能通过的工试验，使整个工程丧失了生产和（或）使用功能时，发包人有权指令承包人重新设计、重置相关部分，承包人承担因此增加的费用（包括发包人的费用）；竣工日期延误的，并应承担误期损害赔偿责任。发包人有权根据第16.2.1项发包人的索赔约定，向承包人提出索赔，或根据第18.1.2项第（7）项的约定，解除合同。</w:t>
      </w:r>
    </w:p>
    <w:p>
      <w:pPr>
        <w:spacing w:after="0" w:line="360" w:lineRule="auto"/>
        <w:ind w:firstLine="480" w:firstLineChars="200"/>
        <w:rPr>
          <w:rFonts w:hint="eastAsia" w:ascii="仿宋" w:hAnsi="仿宋" w:eastAsia="仿宋" w:cs="仿宋"/>
          <w:b w:val="0"/>
          <w:color w:val="auto"/>
          <w:sz w:val="24"/>
          <w:szCs w:val="24"/>
          <w:highlight w:val="none"/>
        </w:rPr>
      </w:pPr>
      <w:bookmarkStart w:id="607" w:name="_Toc433988762"/>
      <w:bookmarkStart w:id="608" w:name="_Toc419320270"/>
      <w:bookmarkStart w:id="609" w:name="_Toc419321306"/>
      <w:bookmarkStart w:id="610" w:name="_Toc419363726"/>
      <w:bookmarkStart w:id="611" w:name="_Toc7215"/>
      <w:bookmarkStart w:id="612" w:name="_Toc419364395"/>
      <w:r>
        <w:rPr>
          <w:rFonts w:hint="eastAsia" w:ascii="仿宋" w:hAnsi="仿宋" w:eastAsia="仿宋" w:cs="仿宋"/>
          <w:b w:val="0"/>
          <w:color w:val="auto"/>
          <w:sz w:val="24"/>
          <w:szCs w:val="24"/>
          <w:highlight w:val="none"/>
        </w:rPr>
        <w:t>8.7 竣工试验结果的争议</w:t>
      </w:r>
      <w:bookmarkEnd w:id="607"/>
      <w:bookmarkEnd w:id="608"/>
      <w:bookmarkEnd w:id="609"/>
      <w:bookmarkEnd w:id="610"/>
      <w:bookmarkEnd w:id="611"/>
      <w:bookmarkEnd w:id="612"/>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8.7.1 协商解决。双方对竣工试验结果有争议的，应首先通过协商解决。</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8.7.2 委托鉴定机构。双方经协商，对竣工试验结果仍有争议的，共同委托一个具有相应资格的检测机构进行鉴定。经检测鉴定后，按下述约定处理：</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（1）责任方为承包人时，所需的鉴定费用及因此造成发包人增加的合理费用由承包人承担，竣工日期不予延长；</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（2）责任方为发包人时，所需的鉴定费用及因此造成承包人增加的合理费用由发包人承担，竣工日期相应顺延。</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（3）双方均有责任时，根据责任大小协商分担费用，并按竣工试验计划的延误情况协商竣工日期延长。</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8.7.3 当双方对检测机构的鉴定结果有争议，依据第16.3款争议和裁决的约定解决。</w:t>
      </w:r>
    </w:p>
    <w:p>
      <w:pPr>
        <w:spacing w:after="0" w:line="360" w:lineRule="auto"/>
        <w:ind w:firstLine="480" w:firstLineChars="200"/>
        <w:rPr>
          <w:rFonts w:hint="eastAsia" w:ascii="仿宋" w:hAnsi="仿宋" w:eastAsia="仿宋" w:cs="仿宋"/>
          <w:b w:val="0"/>
          <w:color w:val="auto"/>
          <w:sz w:val="24"/>
          <w:szCs w:val="24"/>
          <w:highlight w:val="none"/>
        </w:rPr>
      </w:pPr>
      <w:bookmarkStart w:id="613" w:name="_Toc1654657280"/>
      <w:bookmarkStart w:id="614" w:name="_Toc422871494"/>
      <w:bookmarkStart w:id="615" w:name="_Toc1969036903"/>
      <w:bookmarkStart w:id="616" w:name="_Toc419320271"/>
      <w:bookmarkStart w:id="617" w:name="_Toc1455487010"/>
      <w:bookmarkStart w:id="618" w:name="_Toc419363727"/>
      <w:bookmarkStart w:id="619" w:name="_Toc712294429"/>
      <w:bookmarkStart w:id="620" w:name="_Toc433988763"/>
      <w:bookmarkStart w:id="621" w:name="_Toc1096053549"/>
      <w:bookmarkStart w:id="622" w:name="_Toc1279134895"/>
      <w:bookmarkStart w:id="623" w:name="_Toc21796"/>
      <w:bookmarkStart w:id="624" w:name="_Toc1146808383"/>
      <w:bookmarkStart w:id="625" w:name="_Toc419321307"/>
      <w:bookmarkStart w:id="626" w:name="_Toc419364396"/>
      <w:r>
        <w:rPr>
          <w:rFonts w:hint="eastAsia" w:ascii="仿宋" w:hAnsi="仿宋" w:eastAsia="仿宋" w:cs="仿宋"/>
          <w:b w:val="0"/>
          <w:color w:val="auto"/>
          <w:sz w:val="24"/>
          <w:szCs w:val="24"/>
          <w:highlight w:val="none"/>
        </w:rPr>
        <w:t>第9条 工程接收</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pPr>
        <w:spacing w:after="0" w:line="360" w:lineRule="auto"/>
        <w:ind w:firstLine="480" w:firstLineChars="200"/>
        <w:rPr>
          <w:rFonts w:hint="eastAsia" w:ascii="仿宋" w:hAnsi="仿宋" w:eastAsia="仿宋" w:cs="仿宋"/>
          <w:b w:val="0"/>
          <w:color w:val="auto"/>
          <w:sz w:val="24"/>
          <w:szCs w:val="24"/>
          <w:highlight w:val="none"/>
        </w:rPr>
      </w:pPr>
      <w:bookmarkStart w:id="627" w:name="_Toc419321308"/>
      <w:bookmarkStart w:id="628" w:name="_Toc419364397"/>
      <w:bookmarkStart w:id="629" w:name="_Toc433988764"/>
      <w:bookmarkStart w:id="630" w:name="_Toc419363728"/>
      <w:bookmarkStart w:id="631" w:name="_Toc419320272"/>
      <w:bookmarkStart w:id="632" w:name="_Toc19814"/>
      <w:r>
        <w:rPr>
          <w:rFonts w:hint="eastAsia" w:ascii="仿宋" w:hAnsi="仿宋" w:eastAsia="仿宋" w:cs="仿宋"/>
          <w:b w:val="0"/>
          <w:color w:val="auto"/>
          <w:sz w:val="24"/>
          <w:szCs w:val="24"/>
          <w:highlight w:val="none"/>
        </w:rPr>
        <w:t>9.1 工程接收</w:t>
      </w:r>
      <w:bookmarkEnd w:id="627"/>
      <w:bookmarkEnd w:id="628"/>
      <w:bookmarkEnd w:id="629"/>
      <w:bookmarkEnd w:id="630"/>
      <w:bookmarkEnd w:id="631"/>
      <w:bookmarkEnd w:id="632"/>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9.1.1 按单项工程和（或）按工程接收。根据工程项目的具体情况和特点，在专用条款约定按单项工程和（或）按工程进行接收。</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（1）根据第10条竣工后试验的约定，由承包人负责指导发包人进行单项工程和（或）工程竣工后试验，并承担试运行考核责任的。在专用条款中约定接收单项工程的先后顺序及时间安排，或接收工程的时间安排。</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由发包人负责单项工程和（或）工程竣工后试验及其试运行考核责任的，在专用条款中约定接收工程的日期或接收单项工程的先后顺序及时间安排。</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（2）对不存在竣工试验或竣工后试验的单项工程和（或）工程，承包人完成扫尾工程和缺陷修复，并符合合同约定的验收标准的，按合同约定办理工程接收和竣工验收。</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9.1.2 接收工程时承包人提交的资料。除按第8.1.1项（1）至（3）项约定已经提交的资料外，需提交竣工试验完成的验收资料的类别、内容、份数和提交时间，在专用条款中约定。</w:t>
      </w:r>
    </w:p>
    <w:p>
      <w:pPr>
        <w:spacing w:after="0" w:line="360" w:lineRule="auto"/>
        <w:ind w:firstLine="480" w:firstLineChars="200"/>
        <w:rPr>
          <w:rFonts w:hint="eastAsia" w:ascii="仿宋" w:hAnsi="仿宋" w:eastAsia="仿宋" w:cs="仿宋"/>
          <w:b w:val="0"/>
          <w:color w:val="auto"/>
          <w:sz w:val="24"/>
          <w:szCs w:val="24"/>
          <w:highlight w:val="none"/>
        </w:rPr>
      </w:pPr>
      <w:bookmarkStart w:id="633" w:name="_Toc419364398"/>
      <w:bookmarkStart w:id="634" w:name="_Toc14832"/>
      <w:bookmarkStart w:id="635" w:name="_Toc433988765"/>
      <w:bookmarkStart w:id="636" w:name="_Toc419321309"/>
      <w:bookmarkStart w:id="637" w:name="_Toc419363729"/>
      <w:bookmarkStart w:id="638" w:name="_Toc419320273"/>
      <w:r>
        <w:rPr>
          <w:rFonts w:hint="eastAsia" w:ascii="仿宋" w:hAnsi="仿宋" w:eastAsia="仿宋" w:cs="仿宋"/>
          <w:b w:val="0"/>
          <w:color w:val="auto"/>
          <w:sz w:val="24"/>
          <w:szCs w:val="24"/>
          <w:highlight w:val="none"/>
        </w:rPr>
        <w:t>9.2 接收证书</w:t>
      </w:r>
      <w:bookmarkEnd w:id="633"/>
      <w:bookmarkEnd w:id="634"/>
      <w:bookmarkEnd w:id="635"/>
      <w:bookmarkEnd w:id="636"/>
      <w:bookmarkEnd w:id="637"/>
      <w:bookmarkEnd w:id="638"/>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9.2.1 承包人应在工程和（或）单项工程具备接收条件后的10日内，向发包人提交接收证书申请，发包人应在接到申请后的10日内组织接收，并签发工程和（或）单项工程接收证书。</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单项工程的接收以第8.2.6项第（2）项约定的日期，作为接收日期。</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工程的接收以第8.2.6项第（3）项约定的日期，作为接收日期。</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9.2.2 扫尾工程和缺陷修复。对工程或（和）单项工程的操作、使用没有实质影响的扫尾工程和缺陷修复，不能作为发包人不接收工程的理由。经发包人与承包人协商确定的承包人完成该扫尾工程和缺陷修复的合理时间，作为接收证书的附件。</w:t>
      </w:r>
    </w:p>
    <w:p>
      <w:pPr>
        <w:spacing w:after="0" w:line="360" w:lineRule="auto"/>
        <w:ind w:firstLine="480" w:firstLineChars="200"/>
        <w:rPr>
          <w:rFonts w:hint="eastAsia" w:ascii="仿宋" w:hAnsi="仿宋" w:eastAsia="仿宋" w:cs="仿宋"/>
          <w:b w:val="0"/>
          <w:color w:val="auto"/>
          <w:sz w:val="24"/>
          <w:szCs w:val="24"/>
          <w:highlight w:val="none"/>
        </w:rPr>
      </w:pPr>
      <w:bookmarkStart w:id="639" w:name="_Toc419320274"/>
      <w:bookmarkStart w:id="640" w:name="_Toc419364399"/>
      <w:bookmarkStart w:id="641" w:name="_Toc419363730"/>
      <w:bookmarkStart w:id="642" w:name="_Toc419321310"/>
      <w:bookmarkStart w:id="643" w:name="_Toc30802"/>
      <w:bookmarkStart w:id="644" w:name="_Toc433988766"/>
      <w:r>
        <w:rPr>
          <w:rFonts w:hint="eastAsia" w:ascii="仿宋" w:hAnsi="仿宋" w:eastAsia="仿宋" w:cs="仿宋"/>
          <w:b w:val="0"/>
          <w:color w:val="auto"/>
          <w:sz w:val="24"/>
          <w:szCs w:val="24"/>
          <w:highlight w:val="none"/>
        </w:rPr>
        <w:t>9.3 接收工程的责任</w:t>
      </w:r>
      <w:bookmarkEnd w:id="639"/>
      <w:bookmarkEnd w:id="640"/>
      <w:bookmarkEnd w:id="641"/>
      <w:bookmarkEnd w:id="642"/>
      <w:bookmarkEnd w:id="643"/>
      <w:bookmarkEnd w:id="644"/>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9.3.1 保安责任。自单项工程和（或）工程接收之日起，发包人承担其保安责任。</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9.3.2 照管责任。自单项工程和（或）工程接收之日起，发包人承担其照管责任。发包人负责单项工程和（或）工程的维护、保养、维修，但不包括需由承包人完成的缺陷修复和零星扫尾的工程部位及其区域。</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9.3.3 投保责任。如合同约定施工期间工程的应投保方是承包人时，承包人应负责对工程进行投保并将保险期限保持到第9.2.1项约定的发包人接收工程的日期。该日期之后由发包人负责对工程投保。</w:t>
      </w:r>
    </w:p>
    <w:p>
      <w:pPr>
        <w:spacing w:after="0" w:line="360" w:lineRule="auto"/>
        <w:ind w:firstLine="480" w:firstLineChars="200"/>
        <w:rPr>
          <w:rFonts w:hint="eastAsia" w:ascii="仿宋" w:hAnsi="仿宋" w:eastAsia="仿宋" w:cs="仿宋"/>
          <w:b w:val="0"/>
          <w:color w:val="auto"/>
          <w:sz w:val="24"/>
          <w:szCs w:val="24"/>
          <w:highlight w:val="none"/>
        </w:rPr>
      </w:pPr>
      <w:bookmarkStart w:id="645" w:name="_Toc433988767"/>
      <w:bookmarkStart w:id="646" w:name="_Toc419320275"/>
      <w:bookmarkStart w:id="647" w:name="_Toc419363731"/>
      <w:bookmarkStart w:id="648" w:name="_Toc25948"/>
      <w:bookmarkStart w:id="649" w:name="_Toc419364400"/>
      <w:bookmarkStart w:id="650" w:name="_Toc419321311"/>
      <w:r>
        <w:rPr>
          <w:rFonts w:hint="eastAsia" w:ascii="仿宋" w:hAnsi="仿宋" w:eastAsia="仿宋" w:cs="仿宋"/>
          <w:b w:val="0"/>
          <w:color w:val="auto"/>
          <w:sz w:val="24"/>
          <w:szCs w:val="24"/>
          <w:highlight w:val="none"/>
        </w:rPr>
        <w:t>9.4 未能接收工程</w:t>
      </w:r>
      <w:bookmarkEnd w:id="645"/>
      <w:bookmarkEnd w:id="646"/>
      <w:bookmarkEnd w:id="647"/>
      <w:bookmarkEnd w:id="648"/>
      <w:bookmarkEnd w:id="649"/>
      <w:bookmarkEnd w:id="650"/>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9.4.1 不接收工程。如发包人收到承包人送交的单项工程和（或）工程接收证书申请后的15日内不组织接收，视为单项工程、和（或）工程的接收证书申请已被发包人认可。从第16日起，发包人应根据第9.3款的约定承担相关责任。</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9.4.2 未按约定接收工程。承包人未按约定提交单项工程和（或）工程接收证书申请的、或未符合单项工程或工程接收条件的，发包人有权拒绝接收单项工程和（或）工程。</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发包人未能遵守本款约定，使用或强令接收不符合接受条件的单项工程和（或）工程的，将承担第9.3款接收工程约定的相关责任，以及已被使用或强令接收的单项工程和（或）工程后进行操作、使用等所造成的损失、损坏、损害和（或）赔偿责任。</w:t>
      </w:r>
    </w:p>
    <w:p>
      <w:pPr>
        <w:spacing w:after="0" w:line="360" w:lineRule="auto"/>
        <w:ind w:firstLine="480" w:firstLineChars="200"/>
        <w:rPr>
          <w:rFonts w:hint="eastAsia" w:ascii="仿宋" w:hAnsi="仿宋" w:eastAsia="仿宋" w:cs="仿宋"/>
          <w:b w:val="0"/>
          <w:color w:val="auto"/>
          <w:sz w:val="24"/>
          <w:szCs w:val="24"/>
          <w:highlight w:val="none"/>
        </w:rPr>
      </w:pPr>
      <w:bookmarkStart w:id="651" w:name="_Toc742761256"/>
      <w:bookmarkStart w:id="652" w:name="_Toc880228451"/>
      <w:bookmarkStart w:id="653" w:name="_Toc419364401"/>
      <w:bookmarkStart w:id="654" w:name="_Toc2108873795"/>
      <w:bookmarkStart w:id="655" w:name="_Toc2059159957"/>
      <w:bookmarkStart w:id="656" w:name="_Toc383954093"/>
      <w:bookmarkStart w:id="657" w:name="_Toc433988768"/>
      <w:bookmarkStart w:id="658" w:name="_Toc419320276"/>
      <w:bookmarkStart w:id="659" w:name="_Toc257274077"/>
      <w:bookmarkStart w:id="660" w:name="_Toc1458619825"/>
      <w:bookmarkStart w:id="661" w:name="_Toc18713"/>
      <w:bookmarkStart w:id="662" w:name="_Toc1177811735"/>
      <w:bookmarkStart w:id="663" w:name="_Toc419363732"/>
      <w:bookmarkStart w:id="664" w:name="_Toc419321312"/>
      <w:r>
        <w:rPr>
          <w:rFonts w:hint="eastAsia" w:ascii="仿宋" w:hAnsi="仿宋" w:eastAsia="仿宋" w:cs="仿宋"/>
          <w:b w:val="0"/>
          <w:color w:val="auto"/>
          <w:sz w:val="24"/>
          <w:szCs w:val="24"/>
          <w:highlight w:val="none"/>
        </w:rPr>
        <w:t>第10条 竣工后试验</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本合同工程包含竣工后试验的，遵守本条约定。</w:t>
      </w:r>
    </w:p>
    <w:p>
      <w:pPr>
        <w:spacing w:after="0" w:line="360" w:lineRule="auto"/>
        <w:ind w:firstLine="480" w:firstLineChars="200"/>
        <w:rPr>
          <w:rFonts w:hint="eastAsia" w:ascii="仿宋" w:hAnsi="仿宋" w:eastAsia="仿宋" w:cs="仿宋"/>
          <w:b w:val="0"/>
          <w:color w:val="auto"/>
          <w:sz w:val="24"/>
          <w:szCs w:val="24"/>
          <w:highlight w:val="none"/>
        </w:rPr>
      </w:pPr>
      <w:bookmarkStart w:id="665" w:name="_Toc419320277"/>
      <w:bookmarkStart w:id="666" w:name="_Toc419363733"/>
      <w:bookmarkStart w:id="667" w:name="_Toc419321313"/>
      <w:bookmarkStart w:id="668" w:name="_Toc433988769"/>
      <w:bookmarkStart w:id="669" w:name="_Toc29446"/>
      <w:bookmarkStart w:id="670" w:name="_Toc419364402"/>
      <w:r>
        <w:rPr>
          <w:rFonts w:hint="eastAsia" w:ascii="仿宋" w:hAnsi="仿宋" w:eastAsia="仿宋" w:cs="仿宋"/>
          <w:b w:val="0"/>
          <w:color w:val="auto"/>
          <w:sz w:val="24"/>
          <w:szCs w:val="24"/>
          <w:highlight w:val="none"/>
        </w:rPr>
        <w:t>10.1 权力与义务</w:t>
      </w:r>
      <w:bookmarkEnd w:id="665"/>
      <w:bookmarkEnd w:id="666"/>
      <w:bookmarkEnd w:id="667"/>
      <w:bookmarkEnd w:id="668"/>
      <w:bookmarkEnd w:id="669"/>
      <w:bookmarkEnd w:id="670"/>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10.1.1 发包人的权利与义务</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（1）发包人有权对第10.1.2项第（2）项约定的由承包人协助发包人编制的竣工后试验方案进行审查并批准，发包人的批准并不能减轻或免除承包人的合同责任。</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竣工后试验联合协调领导机构由发包人组建，在发包人的组织领导下，由承包人知道，依据批准的竣工后试验方案进行分工、组织完成竣工后试验的各项准备工作、进行竣工后试验和试运行考核。联合协调领导机构的设置方案及其分工职责等作为本合同的组成部分。</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（3）发包人对承包人根据第10.1.2项第（4）项提出的建议，有权向承包人发出不接受或接受的通知。</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发包人未能接受承包人的上述建议，承包人有义务扔按本款第（2）项的组织安排执行。承包人因执行发包人的此项安排而发生事故、人身伤害和工程损害时，由发包人承担其责任。</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（4）发包人在竣工后试验阶段向承包人发出的组织安排、指令和通知，应以书面形式送达承包人的项目经理，由项目经理在回执上签署收到日期、时间和签名。</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发包人有权在紧急情况下，以口头、或书面形式向承包人发出紧急指令，承包人应立即执行。如承包人未能按发包人的指令执行，因此造成的事故责任、人身伤害和工程损害，由承包人承担。发包人应在发出口头指令后12小时内，将该口头指令再以书面送达承包人的项目经理。</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（6）发包人在竣工后试验阶段的其它义务和工作，在专用条款中约定。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10.1.2 承包人的责任和义务</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承包人在发包人组建的竣工后试验联合协调领导机构的统一安排下，派出具有相应资格和经验的人员指导竣工后试验。承包人派出的开车经理或指导人员在竣工后试验期间开现场，必须事先得到发包人批准。</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承包人应根据合同约定和工程竣工后试验的特点，协助发包人编制竣工后试验方案，并在竣工试验开始前编制完成。竣工后试验方案应包括：工程、单项工程及其相关部位的操作试验程序、资源条件、试验条件、操作规程、安全规程、事故处理程序及进度计划等。竣工后试验方案经发包人审查批准后实施。竣工后试验方案的份数和时间在专用条款约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（3）因承包人未能执行发包人的安排、指令和通知，而发生的事故、人身伤害和工程损害，由发包人承担其责任。</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（4）承包人有义务对发包人的组织安排、指令和通知提出建议，并说明因由。</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（5）在紧急情况下，发包人以口头指令承包人进行的操作、工作及作业，承包人应立即执行。承包人应对此项指令做好记录，并做好实施的记录。发包人应在12小时内，将上述口头指令再以书面形式送达承包人。</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发包人未能在12小时内将此项口头指令以书面形式送达承包人时，承包人及其项目经理有权在接到口头指令后的24小时内，以书面形式将该口头指令交发包人，发包人须在回执上签字确认，并签署接到的日期和时间。当发包人未能在24小时内在回执上签字确认，视为已被发包人确认。</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承包人因执行发包人的口头指令而发生事故责任、人身伤害、工程损害和费用增加时，由发包人承担。但承包人错误执行上述口头指令而发生事故责任、人身伤害、工程损害和费用增加时，由承包人负责。</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6）操作维修手册的缺陷责任。因承包人负责编制的操作维修手册存在缺陷所造成的事故责任、人身伤害和工程损害，由承包人承担；因发包人（包括其专利商）提供的操作指南存在缺陷，造成承包人操作手册的缺陷，因此发生事故责任、人身伤害、工程损害和承包人的费用增加时，由发包人负责。</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（7）承包人根据合同约定和（或）行业规定，在竣工后试验阶段的其它义务和工作，在专用条款中约定。</w:t>
      </w:r>
    </w:p>
    <w:p>
      <w:pPr>
        <w:spacing w:after="0" w:line="360" w:lineRule="auto"/>
        <w:ind w:firstLine="480" w:firstLineChars="200"/>
        <w:rPr>
          <w:rFonts w:hint="eastAsia" w:ascii="仿宋" w:hAnsi="仿宋" w:eastAsia="仿宋" w:cs="仿宋"/>
          <w:b w:val="0"/>
          <w:color w:val="auto"/>
          <w:sz w:val="24"/>
          <w:szCs w:val="24"/>
          <w:highlight w:val="none"/>
        </w:rPr>
      </w:pPr>
      <w:bookmarkStart w:id="671" w:name="_Toc419320278"/>
      <w:bookmarkStart w:id="672" w:name="_Toc419364403"/>
      <w:bookmarkStart w:id="673" w:name="_Toc419363734"/>
      <w:bookmarkStart w:id="674" w:name="_Toc433988770"/>
      <w:bookmarkStart w:id="675" w:name="_Toc13509"/>
      <w:bookmarkStart w:id="676" w:name="_Toc419321314"/>
      <w:r>
        <w:rPr>
          <w:rFonts w:hint="eastAsia" w:ascii="仿宋" w:hAnsi="仿宋" w:eastAsia="仿宋" w:cs="仿宋"/>
          <w:b w:val="0"/>
          <w:color w:val="auto"/>
          <w:sz w:val="24"/>
          <w:szCs w:val="24"/>
          <w:highlight w:val="none"/>
        </w:rPr>
        <w:t>10.2 竣工后试验程序</w:t>
      </w:r>
      <w:bookmarkEnd w:id="671"/>
      <w:bookmarkEnd w:id="672"/>
      <w:bookmarkEnd w:id="673"/>
      <w:bookmarkEnd w:id="674"/>
      <w:bookmarkEnd w:id="675"/>
      <w:bookmarkEnd w:id="676"/>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10.2.1 发包人应根据联合协调领导机构批准的竣工后试验方案，提供全部电力、水、燃料、动力、原材料、辅助材料、消耗材料以及其它试验条件，并组织安排其管理人员、操作维修人员和其它各项准备工作。</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10.2.2 承包人应根据经批准的竣工后试验方案，提供竣工后试验所需要的其它临时辅助设备、设施、工具和器具，及应由承包人完成的其它准备工作。</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10.2.3 发包人应根据批准的竣工后试验方案，按照单项工程内的任何部分、单项工程、单项工程之间、或（和）工程的竣工后试验程序和试验条件，组织竣工后试验。</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10.2.4 联合协调领导机构组织全面检查并落实工程、单项工程及工程的任何部分竣工后试验所需要的资源条件、试验条件、安全设施条件、消防设施条件、紧急事故处理设施条件和（或）相关措施，保证记录仪器、专用记录表格的齐全和数量的充分。</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10.2.5 竣工后试验日期的通知。发包人应在接收单项工程或（和）接收工程日期后的15日内通知承包人开始竣工后试验的日期。专用条款另有约定时除外。</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因发包人原因未能在接收单项工程和（或）工程的20日内，或在专用条款中约定的日期内进行竣工后试验，发包人应自第21日开始或自专用条款中约定的开始日期后的第二日开始，承担承包人由此发生的相关窝工费用，包括人工费、临时辅助设备、设施的闲置费、管理费及其合理利润。</w:t>
      </w:r>
    </w:p>
    <w:p>
      <w:pPr>
        <w:spacing w:after="0" w:line="360" w:lineRule="auto"/>
        <w:ind w:firstLine="480" w:firstLineChars="200"/>
        <w:rPr>
          <w:rFonts w:hint="eastAsia" w:ascii="仿宋" w:hAnsi="仿宋" w:eastAsia="仿宋" w:cs="仿宋"/>
          <w:b w:val="0"/>
          <w:color w:val="auto"/>
          <w:sz w:val="24"/>
          <w:szCs w:val="24"/>
          <w:highlight w:val="none"/>
        </w:rPr>
      </w:pPr>
      <w:bookmarkStart w:id="677" w:name="_Toc419320279"/>
      <w:bookmarkStart w:id="678" w:name="_Toc419363735"/>
      <w:bookmarkStart w:id="679" w:name="_Toc13346"/>
      <w:bookmarkStart w:id="680" w:name="_Toc419364404"/>
      <w:bookmarkStart w:id="681" w:name="_Toc433988771"/>
      <w:bookmarkStart w:id="682" w:name="_Toc419321315"/>
      <w:r>
        <w:rPr>
          <w:rFonts w:hint="eastAsia" w:ascii="仿宋" w:hAnsi="仿宋" w:eastAsia="仿宋" w:cs="仿宋"/>
          <w:b w:val="0"/>
          <w:color w:val="auto"/>
          <w:sz w:val="24"/>
          <w:szCs w:val="24"/>
          <w:highlight w:val="none"/>
        </w:rPr>
        <w:t>10.3 竣工后试验及试运行考核</w:t>
      </w:r>
      <w:bookmarkEnd w:id="677"/>
      <w:bookmarkEnd w:id="678"/>
      <w:bookmarkEnd w:id="679"/>
      <w:bookmarkEnd w:id="680"/>
      <w:bookmarkEnd w:id="681"/>
      <w:bookmarkEnd w:id="682"/>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10.3.1 按照批准的竣工后试验方案的试验程序、试验条件、操作程序进行试验，达到合同约定的工程和（或）单项工程的生产功能和（或）使用功能。</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10.3.2 发包人的操作人员和承包人的指导人员，在竣工后试验过程中的同一个岗位上的试验条件记录、试验记录及表格上，应如实填写数据、条件、情况、时间、姓名及约定的其它内容。</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10.3.3 试运行考核</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（1）根据第5.1.1项约定，由承包人提供生产工艺技术和（或）建筑设计方案的，承包人应保证工程在试运行考核周期内，达到第5.1.1项专用条款中约定的考核保证值和（或）使用功能。</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根据第5.1.2项约定，由发包人提供生产工艺技术和（或）建筑设计方案的，承包人应保证在试运行考核周期内达到第5.1.2项专用条款中约定的，应由承包人承担的工程相关部分的考核保证值和（或）使用功能。</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（3）试运行考核的时间周期由双方根据相关行业对试运行考核周期的规定，在专用条款中约定。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试运行考核通过后或使用功能通过后，双方应共同整理竣工后试验及其试运行考核结果，并编写评价报告。报告一式两份，经合同双方签字或盖章后各持一份，作为本合同组成部分。发包人并应根据第10.7款的约定颁发考核验收证书。</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10.3.4 产品和（或）服务收益的所有权。单项工程和（或）工程竣工后试验及试运行考核期间的任何产品收益和（或）服务收益，均属发包人所有。</w:t>
      </w:r>
    </w:p>
    <w:p>
      <w:pPr>
        <w:spacing w:after="0" w:line="360" w:lineRule="auto"/>
        <w:ind w:firstLine="480" w:firstLineChars="200"/>
        <w:rPr>
          <w:rFonts w:hint="eastAsia" w:ascii="仿宋" w:hAnsi="仿宋" w:eastAsia="仿宋" w:cs="仿宋"/>
          <w:b w:val="0"/>
          <w:color w:val="auto"/>
          <w:sz w:val="24"/>
          <w:szCs w:val="24"/>
          <w:highlight w:val="none"/>
        </w:rPr>
      </w:pPr>
      <w:bookmarkStart w:id="683" w:name="_Toc419364405"/>
      <w:bookmarkStart w:id="684" w:name="_Toc419363736"/>
      <w:bookmarkStart w:id="685" w:name="_Toc419320280"/>
      <w:bookmarkStart w:id="686" w:name="_Toc433988772"/>
      <w:bookmarkStart w:id="687" w:name="_Toc419321316"/>
      <w:bookmarkStart w:id="688" w:name="_Toc7851"/>
      <w:r>
        <w:rPr>
          <w:rFonts w:hint="eastAsia" w:ascii="仿宋" w:hAnsi="仿宋" w:eastAsia="仿宋" w:cs="仿宋"/>
          <w:b w:val="0"/>
          <w:color w:val="auto"/>
          <w:sz w:val="24"/>
          <w:szCs w:val="24"/>
          <w:highlight w:val="none"/>
        </w:rPr>
        <w:t>10.4 竣工后试验的延误</w:t>
      </w:r>
      <w:bookmarkEnd w:id="683"/>
      <w:bookmarkEnd w:id="684"/>
      <w:bookmarkEnd w:id="685"/>
      <w:bookmarkEnd w:id="686"/>
      <w:bookmarkEnd w:id="687"/>
      <w:bookmarkEnd w:id="688"/>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10.4.1 根据第10.2.5项竣工后试验日期通知的约定，非因承包人原因，发包人未能在发出竣工后试验通知后的90日内开始竣工后试验的，工程和（或）单项工程视为通过了竣工后试验和试运行考核。除非专用条款另有规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10.4.2 因承包人的原因造成竣工后试验延误时，承包人应采取措施，尽快组织，配合发包人开始并通过竣工后试验。当延误造成发包人的费用增加时，发包人有权根据第16.2.1项的约定向承包人提出索赔。</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10.4.3 按第10.3.3项第（3）项试运行考核时间周期的约定，在试运行考核期间，因发包人原因导致考核中断或停止，且中断或停止的累计天数超过第10.3.3项第（3）项专用条款中约定的试运行考核周期时，试运行考核应在中断或停止后的60日内重新开始，超过此期限视为单项工程和（或）工程已通过了试运行考核。</w:t>
      </w:r>
    </w:p>
    <w:p>
      <w:pPr>
        <w:spacing w:after="0" w:line="360" w:lineRule="auto"/>
        <w:ind w:firstLine="480" w:firstLineChars="200"/>
        <w:rPr>
          <w:rFonts w:hint="eastAsia" w:ascii="仿宋" w:hAnsi="仿宋" w:eastAsia="仿宋" w:cs="仿宋"/>
          <w:b w:val="0"/>
          <w:color w:val="auto"/>
          <w:sz w:val="24"/>
          <w:szCs w:val="24"/>
          <w:highlight w:val="none"/>
        </w:rPr>
      </w:pPr>
      <w:bookmarkStart w:id="689" w:name="_Toc433988773"/>
      <w:bookmarkStart w:id="690" w:name="_Toc16867"/>
      <w:bookmarkStart w:id="691" w:name="_Toc419320281"/>
      <w:bookmarkStart w:id="692" w:name="_Toc419321317"/>
      <w:bookmarkStart w:id="693" w:name="_Toc419364406"/>
      <w:bookmarkStart w:id="694" w:name="_Toc419363737"/>
      <w:r>
        <w:rPr>
          <w:rFonts w:hint="eastAsia" w:ascii="仿宋" w:hAnsi="仿宋" w:eastAsia="仿宋" w:cs="仿宋"/>
          <w:b w:val="0"/>
          <w:color w:val="auto"/>
          <w:sz w:val="24"/>
          <w:szCs w:val="24"/>
          <w:highlight w:val="none"/>
        </w:rPr>
        <w:t>10.5 重新进行竣工后试验</w:t>
      </w:r>
      <w:bookmarkEnd w:id="689"/>
      <w:bookmarkEnd w:id="690"/>
      <w:bookmarkEnd w:id="691"/>
      <w:bookmarkEnd w:id="692"/>
      <w:bookmarkEnd w:id="693"/>
      <w:bookmarkEnd w:id="694"/>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10.5.1 根据第5.1.1项或第5.1.2项及其专用条款中的约定，因承包人原因导致工程、单项工程或工程的任何部分未能通过竣工后试验，承包人应自费修补其缺陷，由发包人依据第10.2.3项约定的试验程序、试验条件，重新组织进行此项试验。</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10.5.2 承包人根据第10.5.1项重新进行试验，仍未能通过该项试验时，承包人应自费继续修补缺陷，并在发包人的组织领导下，按第10.2.3项约定的试验程序、试验条件，再次进行此项试验。</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10.5.3 因承包人原因，重新进行竣工后试验，给发包人增加了额外费用时，发包人有权根据第16.2.1项的约定向承包人提出索赔。</w:t>
      </w:r>
    </w:p>
    <w:p>
      <w:pPr>
        <w:spacing w:after="0" w:line="360" w:lineRule="auto"/>
        <w:ind w:firstLine="480" w:firstLineChars="200"/>
        <w:rPr>
          <w:rFonts w:hint="eastAsia" w:ascii="仿宋" w:hAnsi="仿宋" w:eastAsia="仿宋" w:cs="仿宋"/>
          <w:b w:val="0"/>
          <w:color w:val="auto"/>
          <w:sz w:val="24"/>
          <w:szCs w:val="24"/>
          <w:highlight w:val="none"/>
        </w:rPr>
      </w:pPr>
      <w:bookmarkStart w:id="695" w:name="_Toc419321318"/>
      <w:bookmarkStart w:id="696" w:name="_Toc419320282"/>
      <w:bookmarkStart w:id="697" w:name="_Toc419363738"/>
      <w:bookmarkStart w:id="698" w:name="_Toc433988774"/>
      <w:bookmarkStart w:id="699" w:name="_Toc6582"/>
      <w:bookmarkStart w:id="700" w:name="_Toc419364407"/>
      <w:r>
        <w:rPr>
          <w:rFonts w:hint="eastAsia" w:ascii="仿宋" w:hAnsi="仿宋" w:eastAsia="仿宋" w:cs="仿宋"/>
          <w:b w:val="0"/>
          <w:color w:val="auto"/>
          <w:sz w:val="24"/>
          <w:szCs w:val="24"/>
          <w:highlight w:val="none"/>
        </w:rPr>
        <w:t>10.6 未能通过考核</w:t>
      </w:r>
      <w:bookmarkEnd w:id="695"/>
      <w:bookmarkEnd w:id="696"/>
      <w:bookmarkEnd w:id="697"/>
      <w:bookmarkEnd w:id="698"/>
      <w:bookmarkEnd w:id="699"/>
      <w:bookmarkEnd w:id="700"/>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因承包人原因使工程和（或）单项工程未能通过考核，但尚具有生产功能、使用功能时，按以下约定处理：</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（1）未能通过试运行考核的赔偿</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1）承包人提供的生产工艺技术或建筑设计方案未能通过试运行考核</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提供的生产工艺技术和（或）建筑设计方案未能通过试运行考核时，承包人在根据第5.1.1款专用条款约定的工程和（或）单项工程试运行考核保证值和（或）使用功能保证的说明书，并按照在本项专用条款中约定的未能通过试运行考核的赔偿金额、或赔偿计算公式计算的金额，向发包人支付相应赔偿金额后，视为承包人通过了试运行考核。</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2）发包人提供的生产工艺技术或建筑设计方案未能通过试运行考核</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发包人提供的生产工艺技术和（或）建筑设计方案未能通过试运行考核时，承包人根据第5.1.2项专用条款约定的工程和（或）单项工程试运行考核中应由承包人承担的相关责任，并按照在本项专用条款对相关责任约定的赔偿金额、或赔偿公式计算的金额，向发包人支付相应赔偿金额后，视为承包人通过了试运行考核。</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承包人对未能通过试运行考核的工程和（或）单项工程，若提出自费调查、调整和修正并被发包人接受时，双方商定相应的调查、修正和试验期限，发包人应为此提供方便。在通过该项考核之前，发包人可暂不按第10.6款第（1）项约定提出赔偿。</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（3）发包人接受了本款第（2）项约定，但在商定的期限内发包人未能给承包人提供方便，致使承包人无法在约定期限内进行调查、调整和修正的，视为该项试运行考核已被通过。</w:t>
      </w:r>
    </w:p>
    <w:p>
      <w:pPr>
        <w:spacing w:after="0" w:line="360" w:lineRule="auto"/>
        <w:ind w:firstLine="480" w:firstLineChars="200"/>
        <w:rPr>
          <w:rFonts w:hint="eastAsia" w:ascii="仿宋" w:hAnsi="仿宋" w:eastAsia="仿宋" w:cs="仿宋"/>
          <w:b w:val="0"/>
          <w:color w:val="auto"/>
          <w:sz w:val="24"/>
          <w:szCs w:val="24"/>
          <w:highlight w:val="none"/>
        </w:rPr>
      </w:pPr>
      <w:bookmarkStart w:id="701" w:name="_Toc419321319"/>
      <w:bookmarkStart w:id="702" w:name="_Toc419320283"/>
      <w:bookmarkStart w:id="703" w:name="_Toc20474"/>
      <w:bookmarkStart w:id="704" w:name="_Toc433988775"/>
      <w:bookmarkStart w:id="705" w:name="_Toc419364408"/>
      <w:bookmarkStart w:id="706" w:name="_Toc419363739"/>
      <w:r>
        <w:rPr>
          <w:rFonts w:hint="eastAsia" w:ascii="仿宋" w:hAnsi="仿宋" w:eastAsia="仿宋" w:cs="仿宋"/>
          <w:b w:val="0"/>
          <w:color w:val="auto"/>
          <w:sz w:val="24"/>
          <w:szCs w:val="24"/>
          <w:highlight w:val="none"/>
        </w:rPr>
        <w:t>10.7 竣工后试验及考核验收证书</w:t>
      </w:r>
      <w:bookmarkEnd w:id="701"/>
      <w:bookmarkEnd w:id="702"/>
      <w:bookmarkEnd w:id="703"/>
      <w:bookmarkEnd w:id="704"/>
      <w:bookmarkEnd w:id="705"/>
      <w:bookmarkEnd w:id="706"/>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10.7.1 在专用条款中约定按工程和（或）按单项工程颁发竣工后试验及考核验收证书。</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10.7.2 发包人根据第10.3款、第10.4款、第10.5.1项、第10.5.2项及第10.6款的约定对通过或视为通过竣工后试验和（或）试运行考核的，应按第10.7.1项颁发竣工后试验及考核验收证书。该证书中写明的试运行考核通过的日期和时间，为实际完成考核或视为通过试运行考核的日期和时间。</w:t>
      </w:r>
    </w:p>
    <w:p>
      <w:pPr>
        <w:spacing w:after="0" w:line="360" w:lineRule="auto"/>
        <w:ind w:firstLine="480" w:firstLineChars="200"/>
        <w:rPr>
          <w:rFonts w:hint="eastAsia" w:ascii="仿宋" w:hAnsi="仿宋" w:eastAsia="仿宋" w:cs="仿宋"/>
          <w:b w:val="0"/>
          <w:color w:val="auto"/>
          <w:sz w:val="24"/>
          <w:szCs w:val="24"/>
          <w:highlight w:val="none"/>
        </w:rPr>
      </w:pPr>
      <w:bookmarkStart w:id="707" w:name="_Toc11615"/>
      <w:bookmarkStart w:id="708" w:name="_Toc419364409"/>
      <w:bookmarkStart w:id="709" w:name="_Toc419363740"/>
      <w:bookmarkStart w:id="710" w:name="_Toc419320284"/>
      <w:bookmarkStart w:id="711" w:name="_Toc419321320"/>
      <w:bookmarkStart w:id="712" w:name="_Toc433988776"/>
      <w:r>
        <w:rPr>
          <w:rFonts w:hint="eastAsia" w:ascii="仿宋" w:hAnsi="仿宋" w:eastAsia="仿宋" w:cs="仿宋"/>
          <w:b w:val="0"/>
          <w:color w:val="auto"/>
          <w:sz w:val="24"/>
          <w:szCs w:val="24"/>
          <w:highlight w:val="none"/>
        </w:rPr>
        <w:t>10.8 丧失了生产价值和使用价值</w:t>
      </w:r>
      <w:bookmarkEnd w:id="707"/>
      <w:bookmarkEnd w:id="708"/>
      <w:bookmarkEnd w:id="709"/>
      <w:bookmarkEnd w:id="710"/>
      <w:bookmarkEnd w:id="711"/>
      <w:bookmarkEnd w:id="712"/>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因承包人的原因，工程和（或）单项工程未能通过竣工后试验，并使整个工程丧失了生产价值或使用价值时，发包人有权提出未能履约的索赔，并扣罚已提交的履约保函。但发包人不得将本合同以外的连带合同损失包括在未履约索赔之中。</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连带合同损失指市场销售合同损失、市场预计盈利、生产流动资金贷款利息、竣工后试验及试运行考核周期以外所签订的原材料、辅助材料、电力、水、燃料等供应合同损失，以及运输合同等损失，适用法律另有规定除外。</w:t>
      </w:r>
    </w:p>
    <w:p>
      <w:pPr>
        <w:spacing w:after="0" w:line="360" w:lineRule="auto"/>
        <w:ind w:firstLine="480" w:firstLineChars="200"/>
        <w:rPr>
          <w:rFonts w:hint="eastAsia" w:ascii="仿宋" w:hAnsi="仿宋" w:eastAsia="仿宋" w:cs="仿宋"/>
          <w:b w:val="0"/>
          <w:color w:val="auto"/>
          <w:sz w:val="24"/>
          <w:szCs w:val="24"/>
          <w:highlight w:val="none"/>
        </w:rPr>
      </w:pPr>
      <w:bookmarkStart w:id="713" w:name="_Toc265989581"/>
      <w:bookmarkStart w:id="714" w:name="_Toc10317"/>
      <w:bookmarkStart w:id="715" w:name="_Toc1602425894"/>
      <w:bookmarkStart w:id="716" w:name="_Toc1771762477"/>
      <w:bookmarkStart w:id="717" w:name="_Toc419321321"/>
      <w:bookmarkStart w:id="718" w:name="_Toc433988777"/>
      <w:bookmarkStart w:id="719" w:name="_Toc419364410"/>
      <w:bookmarkStart w:id="720" w:name="_Toc2132215421"/>
      <w:bookmarkStart w:id="721" w:name="_Toc419363741"/>
      <w:bookmarkStart w:id="722" w:name="_Toc1120830728"/>
      <w:bookmarkStart w:id="723" w:name="_Toc2075565463"/>
      <w:bookmarkStart w:id="724" w:name="_Toc419320285"/>
      <w:bookmarkStart w:id="725" w:name="_Toc1497568270"/>
      <w:bookmarkStart w:id="726" w:name="_Toc2125055746"/>
      <w:r>
        <w:rPr>
          <w:rFonts w:hint="eastAsia" w:ascii="仿宋" w:hAnsi="仿宋" w:eastAsia="仿宋" w:cs="仿宋"/>
          <w:b w:val="0"/>
          <w:color w:val="auto"/>
          <w:sz w:val="24"/>
          <w:szCs w:val="24"/>
          <w:highlight w:val="none"/>
        </w:rPr>
        <w:t>第11条 质量保修责任</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pPr>
        <w:spacing w:after="0" w:line="360" w:lineRule="auto"/>
        <w:ind w:firstLine="480" w:firstLineChars="200"/>
        <w:rPr>
          <w:rFonts w:hint="eastAsia" w:ascii="仿宋" w:hAnsi="仿宋" w:eastAsia="仿宋" w:cs="仿宋"/>
          <w:b w:val="0"/>
          <w:color w:val="auto"/>
          <w:sz w:val="24"/>
          <w:szCs w:val="24"/>
          <w:highlight w:val="none"/>
        </w:rPr>
      </w:pPr>
      <w:bookmarkStart w:id="727" w:name="_Toc419321322"/>
      <w:bookmarkStart w:id="728" w:name="_Toc419363742"/>
      <w:bookmarkStart w:id="729" w:name="_Toc797"/>
      <w:bookmarkStart w:id="730" w:name="_Toc419320286"/>
      <w:bookmarkStart w:id="731" w:name="_Toc433988778"/>
      <w:bookmarkStart w:id="732" w:name="_Toc419364411"/>
      <w:r>
        <w:rPr>
          <w:rFonts w:hint="eastAsia" w:ascii="仿宋" w:hAnsi="仿宋" w:eastAsia="仿宋" w:cs="仿宋"/>
          <w:b w:val="0"/>
          <w:color w:val="auto"/>
          <w:sz w:val="24"/>
          <w:szCs w:val="24"/>
          <w:highlight w:val="none"/>
        </w:rPr>
        <w:t>11.1 质量保修责任书</w:t>
      </w:r>
      <w:bookmarkEnd w:id="727"/>
      <w:bookmarkEnd w:id="728"/>
      <w:bookmarkEnd w:id="729"/>
      <w:bookmarkEnd w:id="730"/>
      <w:bookmarkEnd w:id="731"/>
      <w:bookmarkEnd w:id="732"/>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11.1.1 质量保修责任书。</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按照相关法律规定签订质量保修责任书是竣工验收的条件之一。双方应按法律规定的保修内容、范围、期限和责任，签订质量保修责任书，作为本合同附件。第9.2.1项接收证书中写明的单项工程和（或）工程的接收日期，或单项工程和（或）工程视为被接收的日期，是承包人保修责任开始的日期，也是缺陷责任期的开始日期。</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11.1.2 未能提交质量保修责任书</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承包人未能提交质量保修责任书、无正当理由不与发包人签订质量保修责任书，发包人可不与承包人办理竣工结算，不承担尚未支付的竣工结算款项的相应利息，即使合同已约定延期支付利息。</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如承包人提交了质量保修责任书，提请与发包人签订该责任书并在合同中约定了延期付款利息，但因发包人原因未能及时签署质量保修责任书，发包人应从接到该责任书的第11日起承担竣工结算款项延期支付的利息。</w:t>
      </w:r>
    </w:p>
    <w:p>
      <w:pPr>
        <w:spacing w:after="0" w:line="360" w:lineRule="auto"/>
        <w:ind w:firstLine="480" w:firstLineChars="200"/>
        <w:rPr>
          <w:rFonts w:hint="eastAsia" w:ascii="仿宋" w:hAnsi="仿宋" w:eastAsia="仿宋" w:cs="仿宋"/>
          <w:b w:val="0"/>
          <w:color w:val="auto"/>
          <w:sz w:val="24"/>
          <w:szCs w:val="24"/>
          <w:highlight w:val="none"/>
        </w:rPr>
      </w:pPr>
      <w:bookmarkStart w:id="733" w:name="_Toc419364412"/>
      <w:bookmarkStart w:id="734" w:name="_Toc16654"/>
      <w:bookmarkStart w:id="735" w:name="_Toc419320287"/>
      <w:bookmarkStart w:id="736" w:name="_Toc419321323"/>
      <w:bookmarkStart w:id="737" w:name="_Toc419363743"/>
      <w:bookmarkStart w:id="738" w:name="_Toc433988779"/>
      <w:r>
        <w:rPr>
          <w:rFonts w:hint="eastAsia" w:ascii="仿宋" w:hAnsi="仿宋" w:eastAsia="仿宋" w:cs="仿宋"/>
          <w:b w:val="0"/>
          <w:color w:val="auto"/>
          <w:sz w:val="24"/>
          <w:szCs w:val="24"/>
          <w:highlight w:val="none"/>
        </w:rPr>
        <w:t>11.2 缺陷责任保修金</w:t>
      </w:r>
      <w:bookmarkEnd w:id="733"/>
      <w:bookmarkEnd w:id="734"/>
      <w:bookmarkEnd w:id="735"/>
      <w:bookmarkEnd w:id="736"/>
      <w:bookmarkEnd w:id="737"/>
      <w:bookmarkEnd w:id="738"/>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11.2.1 缺陷责任保修金金额</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缺陷责任保修金的金额，在专用条款中的约定。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11.2.2 缺陷责任保修金的暂扣</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缺陷责任保修金的暂扣方式，在专用条款中约定。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11.2.3 缺陷责任保修金的支付。</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发包人应依据第14.5.2项缺陷责任保修金支付的约定，支付被暂扣的缺陷责任保修金。</w:t>
      </w:r>
    </w:p>
    <w:p>
      <w:pPr>
        <w:spacing w:after="0" w:line="360" w:lineRule="auto"/>
        <w:ind w:firstLine="480" w:firstLineChars="200"/>
        <w:rPr>
          <w:rFonts w:hint="eastAsia" w:ascii="仿宋" w:hAnsi="仿宋" w:eastAsia="仿宋" w:cs="仿宋"/>
          <w:b w:val="0"/>
          <w:color w:val="auto"/>
          <w:sz w:val="24"/>
          <w:szCs w:val="24"/>
          <w:highlight w:val="none"/>
        </w:rPr>
      </w:pPr>
      <w:bookmarkStart w:id="739" w:name="_Toc304374773"/>
      <w:bookmarkStart w:id="740" w:name="_Toc1011389765"/>
      <w:bookmarkStart w:id="741" w:name="_Toc1003701637"/>
      <w:bookmarkStart w:id="742" w:name="_Toc1573418460"/>
      <w:bookmarkStart w:id="743" w:name="_Toc433988780"/>
      <w:bookmarkStart w:id="744" w:name="_Toc419364413"/>
      <w:bookmarkStart w:id="745" w:name="_Toc75494012"/>
      <w:bookmarkStart w:id="746" w:name="_Toc18572"/>
      <w:bookmarkStart w:id="747" w:name="_Toc419320288"/>
      <w:bookmarkStart w:id="748" w:name="_Toc379583431"/>
      <w:bookmarkStart w:id="749" w:name="_Toc1121571050"/>
      <w:bookmarkStart w:id="750" w:name="_Toc419363744"/>
      <w:bookmarkStart w:id="751" w:name="_Toc419321324"/>
      <w:bookmarkStart w:id="752" w:name="_Toc1084963258"/>
      <w:r>
        <w:rPr>
          <w:rFonts w:hint="eastAsia" w:ascii="仿宋" w:hAnsi="仿宋" w:eastAsia="仿宋" w:cs="仿宋"/>
          <w:b w:val="0"/>
          <w:color w:val="auto"/>
          <w:sz w:val="24"/>
          <w:szCs w:val="24"/>
          <w:highlight w:val="none"/>
        </w:rPr>
        <w:t>第12条 工程竣工验收</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p>
      <w:pPr>
        <w:spacing w:after="0" w:line="360" w:lineRule="auto"/>
        <w:ind w:firstLine="480" w:firstLineChars="200"/>
        <w:rPr>
          <w:rFonts w:hint="eastAsia" w:ascii="仿宋" w:hAnsi="仿宋" w:eastAsia="仿宋" w:cs="仿宋"/>
          <w:b w:val="0"/>
          <w:color w:val="auto"/>
          <w:sz w:val="24"/>
          <w:szCs w:val="24"/>
          <w:highlight w:val="none"/>
        </w:rPr>
      </w:pPr>
      <w:bookmarkStart w:id="753" w:name="_Toc10453"/>
      <w:bookmarkStart w:id="754" w:name="_Toc419363745"/>
      <w:bookmarkStart w:id="755" w:name="_Toc419320289"/>
      <w:bookmarkStart w:id="756" w:name="_Toc419364414"/>
      <w:bookmarkStart w:id="757" w:name="_Toc433988781"/>
      <w:bookmarkStart w:id="758" w:name="_Toc419321325"/>
      <w:r>
        <w:rPr>
          <w:rFonts w:hint="eastAsia" w:ascii="仿宋" w:hAnsi="仿宋" w:eastAsia="仿宋" w:cs="仿宋"/>
          <w:b w:val="0"/>
          <w:color w:val="auto"/>
          <w:sz w:val="24"/>
          <w:szCs w:val="24"/>
          <w:highlight w:val="none"/>
        </w:rPr>
        <w:t>12.1 竣工验收报告及完整的竣工资料</w:t>
      </w:r>
      <w:bookmarkEnd w:id="753"/>
      <w:bookmarkEnd w:id="754"/>
      <w:bookmarkEnd w:id="755"/>
      <w:bookmarkEnd w:id="756"/>
      <w:bookmarkEnd w:id="757"/>
      <w:bookmarkEnd w:id="758"/>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12.1.1 工程符合第9.1款工程接收的相关约定，和（或）发包人已按第10.7款的约定颁发了竣工后试验及考核验收证书，且承包人完成了第9.2.2项约定的扫尾工程和缺陷修复，经发包人或监理人验收后，承包人应依据第8.1.1项（1）、（2）、（3）项、第8.2款竣工试验的检验与验收、第10.3.3项第（4）项竣工后试验及其试运行考核结果等资料，向发包人提交竣工验收报告和完整的工程竣工资料。竣工验收报告和完整的竣工资料的格式、内容和份数在专用条款约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12.1.2 发包人应在接到竣工验收报告和完整的竣工资料后25日内提出修改意见或予以确认，承包人应按照发包人的意见自费对竣工验收报告和竣工资料进行修改。25日内发包人未提出修改意见，视为竣工资料和竣工验收报告已被确认。</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12.1.3 分期建设、分期投产或分期使用的工程，按第12.1.1项及第12.1.2项的约定办理。</w:t>
      </w:r>
    </w:p>
    <w:p>
      <w:pPr>
        <w:spacing w:after="0" w:line="360" w:lineRule="auto"/>
        <w:ind w:firstLine="480" w:firstLineChars="200"/>
        <w:rPr>
          <w:rFonts w:hint="eastAsia" w:ascii="仿宋" w:hAnsi="仿宋" w:eastAsia="仿宋" w:cs="仿宋"/>
          <w:b w:val="0"/>
          <w:color w:val="auto"/>
          <w:sz w:val="24"/>
          <w:szCs w:val="24"/>
          <w:highlight w:val="none"/>
        </w:rPr>
      </w:pPr>
      <w:bookmarkStart w:id="759" w:name="_Toc419320290"/>
      <w:bookmarkStart w:id="760" w:name="_Toc419321326"/>
      <w:bookmarkStart w:id="761" w:name="_Toc419364415"/>
      <w:bookmarkStart w:id="762" w:name="_Toc13216"/>
      <w:bookmarkStart w:id="763" w:name="_Toc419363746"/>
      <w:bookmarkStart w:id="764" w:name="_Toc433988782"/>
      <w:r>
        <w:rPr>
          <w:rFonts w:hint="eastAsia" w:ascii="仿宋" w:hAnsi="仿宋" w:eastAsia="仿宋" w:cs="仿宋"/>
          <w:b w:val="0"/>
          <w:color w:val="auto"/>
          <w:sz w:val="24"/>
          <w:szCs w:val="24"/>
          <w:highlight w:val="none"/>
        </w:rPr>
        <w:t>12.2 竣工验收</w:t>
      </w:r>
      <w:bookmarkEnd w:id="759"/>
      <w:bookmarkEnd w:id="760"/>
      <w:bookmarkEnd w:id="761"/>
      <w:bookmarkEnd w:id="762"/>
      <w:bookmarkEnd w:id="763"/>
      <w:bookmarkEnd w:id="764"/>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12.2.1 组织竣工验收</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发包人应在接到竣工验收报告和完整的竣工资料，并根据第12.1.2项的约定被确认后的30日内，组织竣工验收。</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12.2.2 延后组织的竣工验收</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发包人未能根据第12.2.1项的约定，在30日内组织竣工验收时，按照第14.12.1项至第14.12.3项的约定，结清竣工结算的款项。</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在第12.2.1项约定的时间之后，发包人进行竣工验收时，承包人有义务参加。发包人在验收后的25日内，对承包人的竣工验收报告或竣工资料提出的进一步修改意见，承包人应按照发包人的意见自费修改。</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12.2.3 分期竣工验收</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分期建设、分期投产或分期使用的合同工程的竣工验收，按第12.1.3项、第12.2.1项的约定，分期组织竣工验收。</w:t>
      </w:r>
    </w:p>
    <w:p>
      <w:pPr>
        <w:spacing w:after="0" w:line="360" w:lineRule="auto"/>
        <w:ind w:firstLine="480" w:firstLineChars="200"/>
        <w:rPr>
          <w:rFonts w:hint="eastAsia" w:ascii="仿宋" w:hAnsi="仿宋" w:eastAsia="仿宋" w:cs="仿宋"/>
          <w:b w:val="0"/>
          <w:color w:val="auto"/>
          <w:sz w:val="24"/>
          <w:szCs w:val="24"/>
          <w:highlight w:val="none"/>
        </w:rPr>
      </w:pPr>
      <w:bookmarkStart w:id="765" w:name="_Toc1812507954"/>
      <w:bookmarkStart w:id="766" w:name="_Toc729365874"/>
      <w:bookmarkStart w:id="767" w:name="_Toc693830529"/>
      <w:bookmarkStart w:id="768" w:name="_Toc1094714350"/>
      <w:bookmarkStart w:id="769" w:name="_Toc1780667631"/>
      <w:bookmarkStart w:id="770" w:name="_Toc8317"/>
      <w:bookmarkStart w:id="771" w:name="_Toc320762657"/>
      <w:bookmarkStart w:id="772" w:name="_Toc419363747"/>
      <w:bookmarkStart w:id="773" w:name="_Toc419321327"/>
      <w:bookmarkStart w:id="774" w:name="_Toc419364416"/>
      <w:bookmarkStart w:id="775" w:name="_Toc419320291"/>
      <w:bookmarkStart w:id="776" w:name="_Toc433988783"/>
      <w:bookmarkStart w:id="777" w:name="_Toc1632293227"/>
      <w:bookmarkStart w:id="778" w:name="_Toc330428062"/>
      <w:r>
        <w:rPr>
          <w:rFonts w:hint="eastAsia" w:ascii="仿宋" w:hAnsi="仿宋" w:eastAsia="仿宋" w:cs="仿宋"/>
          <w:b w:val="0"/>
          <w:color w:val="auto"/>
          <w:sz w:val="24"/>
          <w:szCs w:val="24"/>
          <w:highlight w:val="none"/>
        </w:rPr>
        <w:t>第13条 变更和合同价格调整</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pPr>
        <w:spacing w:after="0" w:line="360" w:lineRule="auto"/>
        <w:ind w:firstLine="480" w:firstLineChars="200"/>
        <w:rPr>
          <w:rFonts w:hint="eastAsia" w:ascii="仿宋" w:hAnsi="仿宋" w:eastAsia="仿宋" w:cs="仿宋"/>
          <w:b w:val="0"/>
          <w:color w:val="auto"/>
          <w:sz w:val="24"/>
          <w:szCs w:val="24"/>
          <w:highlight w:val="none"/>
        </w:rPr>
      </w:pPr>
      <w:bookmarkStart w:id="779" w:name="_Toc433988784"/>
      <w:bookmarkStart w:id="780" w:name="_Toc419364417"/>
      <w:bookmarkStart w:id="781" w:name="_Toc419320292"/>
      <w:bookmarkStart w:id="782" w:name="_Toc419321328"/>
      <w:bookmarkStart w:id="783" w:name="_Toc16798"/>
      <w:bookmarkStart w:id="784" w:name="_Toc419363748"/>
      <w:r>
        <w:rPr>
          <w:rFonts w:hint="eastAsia" w:ascii="仿宋" w:hAnsi="仿宋" w:eastAsia="仿宋" w:cs="仿宋"/>
          <w:b w:val="0"/>
          <w:color w:val="auto"/>
          <w:sz w:val="24"/>
          <w:szCs w:val="24"/>
          <w:highlight w:val="none"/>
        </w:rPr>
        <w:t>13.1 变更权</w:t>
      </w:r>
      <w:bookmarkEnd w:id="779"/>
      <w:bookmarkEnd w:id="780"/>
      <w:bookmarkEnd w:id="781"/>
      <w:bookmarkEnd w:id="782"/>
      <w:bookmarkEnd w:id="783"/>
      <w:bookmarkEnd w:id="784"/>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13.1.1 变更权</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发包人拥有批准变更的权限。自合同生效后至工程竣工验收前的任何时间内，发包人有权依据监理人的建议、承包人的建议，及第13.2款约定的变更范围，下达变更指令。变更指令以书面形式发出。</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13.1.2 变更</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由发包人批准并发出的书面变更指令，属于变更。包括发包人直接下达的变更指令、或经发包人批准的由监理人下达的变更指令。</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承包人对自身的设计、采购、施工、竣工试验、竣工后试验存在的缺陷，应自费修正、调整和完善，不属于变更。</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13.1.3 变更建议权</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有义务随时向发包人提交书面变更建议，包括缩短工期，降低发包人的工程、施工、维护、营运的费用，提高竣工工程的效率或价值，给发包人带来的长远利益和其它利益。发包人接到此类建议后，应发出不采纳、采纳或补充进一步资料的书面通知。</w:t>
      </w:r>
    </w:p>
    <w:p>
      <w:pPr>
        <w:spacing w:after="0" w:line="360" w:lineRule="auto"/>
        <w:ind w:firstLine="480" w:firstLineChars="200"/>
        <w:rPr>
          <w:rFonts w:hint="eastAsia" w:ascii="仿宋" w:hAnsi="仿宋" w:eastAsia="仿宋" w:cs="仿宋"/>
          <w:b w:val="0"/>
          <w:color w:val="auto"/>
          <w:sz w:val="24"/>
          <w:szCs w:val="24"/>
          <w:highlight w:val="none"/>
        </w:rPr>
      </w:pPr>
      <w:bookmarkStart w:id="785" w:name="_Toc419363749"/>
      <w:bookmarkStart w:id="786" w:name="_Toc419364418"/>
      <w:bookmarkStart w:id="787" w:name="_Toc14530"/>
      <w:bookmarkStart w:id="788" w:name="_Toc419320293"/>
      <w:bookmarkStart w:id="789" w:name="_Toc433988785"/>
      <w:bookmarkStart w:id="790" w:name="_Toc419321329"/>
      <w:r>
        <w:rPr>
          <w:rFonts w:hint="eastAsia" w:ascii="仿宋" w:hAnsi="仿宋" w:eastAsia="仿宋" w:cs="仿宋"/>
          <w:b w:val="0"/>
          <w:color w:val="auto"/>
          <w:sz w:val="24"/>
          <w:szCs w:val="24"/>
          <w:highlight w:val="none"/>
        </w:rPr>
        <w:t>13.2 变更范围</w:t>
      </w:r>
      <w:bookmarkEnd w:id="785"/>
      <w:bookmarkEnd w:id="786"/>
      <w:bookmarkEnd w:id="787"/>
      <w:bookmarkEnd w:id="788"/>
      <w:bookmarkEnd w:id="789"/>
      <w:bookmarkEnd w:id="790"/>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13.2.1 设计变更范围</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（1）对生产工艺流程的调整，但未扩大或缩小初步设计批准的生产路线和规模、或未扩大或缩小合同约定的生产路线和规模；</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（2）对平面布置、竖面布置、局部使用功能的调整，但未扩大初步设计批准的建筑规模，未改变初步设计批准的使用功能；或未扩大合同约定的建筑规模，未改变合同约定的使用功能；</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（3）对配套工程系统的工艺调整、使用功能调整；</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（4）对区域内基准控制点、基准标高和基准线的调整；</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（5）对设备、材料、部件的性能、规格和数量的调整；</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（6）因执行基准日期之后新颁布的法律、标准、规范引起的变更；</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（7）其它超出合同约定的设计事项；</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（8）上述变更所需的附加工作。</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13.2.2 采购变更范围</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（1）承包人已按发包人批准的名单，与相关供货商签订采购合同或已开始加工制造、供货、运输等，发包人通知承包人选择该名单中的另一家供货商；</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（2）因执行基准日期之后新颁布的法律、标准、规范引起的变更；</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（3）发包人要求改变检查、检验、检测、试验的地点和增加的附加试验；</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（4）发包人要求增减合同中约定的备品备件、专用工具、竣工后试验物资的采购数量；</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（5）上述变更所需的附加工作。</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13.2.3 施工变更范围</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（1）根据第13.2.1项的设计变更，造成施工方法改变、设备、材料、部件、人工和工程量的增减；</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（2）发包人要求增加的附加试验、改变试验地点；</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（3）根据第5.2.1项第（1）项、第（2）项之外，新增加的施工障碍处理；</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（4）发包人对竣工试验经验收或视为验收合格的项目，通知重新进行竣工试验；</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（5）因执行基准日期之后新颁布的法律、标准、规范引起的变更。</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（6）现场其他签证；</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（7）上述变更所需的附加工作。</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13.2.4 发包人的赶工指令。承包人接受了发包人的书面指示，以发包人认为必要的方式加快设计、施工或其它任何部分的进度时，承包人为实施该赶工指令需对项目进度计划进行调整，并对所增加的措施和资源提出估算，经发包人批准后，作为变更处理。当发包人未能批准此项变更，承包人有权按合同约定的相关阶段的进度计划执行。</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因承包人原因，实际进度明显落后于上述批准的项目进度计划时，承包人应按第4.1.2项的约定，自费赶上；竣工日期延误时，按第4.5款的约定承担误期赔偿责任。</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13.2.5 调减部分工程。发包人的暂停超过45日，承包人请求复工时仍不能复工，或因不可抗力持续而无法继续施工的，双方可按合同约定以变更方式调减受暂停影响的部分工程。</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13.2.6 其它变更。根据工程的具体特点，在专用条款中约定。</w:t>
      </w:r>
    </w:p>
    <w:p>
      <w:pPr>
        <w:spacing w:after="0" w:line="360" w:lineRule="auto"/>
        <w:ind w:firstLine="480" w:firstLineChars="200"/>
        <w:rPr>
          <w:rFonts w:hint="eastAsia" w:ascii="仿宋" w:hAnsi="仿宋" w:eastAsia="仿宋" w:cs="仿宋"/>
          <w:b w:val="0"/>
          <w:color w:val="auto"/>
          <w:sz w:val="24"/>
          <w:szCs w:val="24"/>
          <w:highlight w:val="none"/>
        </w:rPr>
      </w:pPr>
      <w:bookmarkStart w:id="791" w:name="_Toc419363750"/>
      <w:bookmarkStart w:id="792" w:name="_Toc419321330"/>
      <w:bookmarkStart w:id="793" w:name="_Toc419320294"/>
      <w:bookmarkStart w:id="794" w:name="_Toc20147"/>
      <w:bookmarkStart w:id="795" w:name="_Toc433988786"/>
      <w:bookmarkStart w:id="796" w:name="_Toc419364419"/>
      <w:r>
        <w:rPr>
          <w:rFonts w:hint="eastAsia" w:ascii="仿宋" w:hAnsi="仿宋" w:eastAsia="仿宋" w:cs="仿宋"/>
          <w:b w:val="0"/>
          <w:color w:val="auto"/>
          <w:sz w:val="24"/>
          <w:szCs w:val="24"/>
          <w:highlight w:val="none"/>
        </w:rPr>
        <w:t>13.3 变更程序</w:t>
      </w:r>
      <w:bookmarkEnd w:id="791"/>
      <w:bookmarkEnd w:id="792"/>
      <w:bookmarkEnd w:id="793"/>
      <w:bookmarkEnd w:id="794"/>
      <w:bookmarkEnd w:id="795"/>
      <w:bookmarkEnd w:id="796"/>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13.3.1 变更通知。发包人的变更应事先以书面形式通知承包人。</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13.3.2 变更通知的建议报告。承包人接到发包人的变更通知后，有义务在10日内向发包人提交书面建议报告，</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如承包人接受发包人变更通知中的变更时，建议报告中应包括：支持此项变更的理由、实施此项变更的工作内容、设备、材料、人力、机具、周转材料、消耗材料等资源消耗，以及相关管理费用和合理利润的估算。相关管理费用和合理利润的百分比，应在专用条款约定。此项变更引起竣工日期延长时，应在报告中说明理由，并提交与此变更相关的进度计划。</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承包人未提交增加费用的估算及竣工日期延长，视为该项变更不涉及合同价格调整和竣工日期延长，发包人不再承担此项变更的任何费用及竣工日期延长的责任。</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（2）如承包人不接受发包人变更通知中的变更时，建议报告中应包括不支持此项变更的理由，理由包括：</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1）此变更不符合法律、法规等有关规定；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2）承包人难以取得变更所需的特殊设备、材料、部件；</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3）承包人难以取得变更所需的工艺、技术；</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4）变更将降低工程的安全性、稳定性、适用性；</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5）对生产性能保证值、使用功能保证的实现产生不利影响等。</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13.3.3 发包人的审查和批准。发包人应在接到承包人根据第13.3.2项约定提交的书面建议报告后10日内对此项建议给予审查，并发出批准、撤销、改变、提出进一步要求的书面通知。承包人在等待发包人回复的时间内，不能停止或延误任何工作。</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（1）发包人接到承包人根据第13.3.2项第（1）项的约定提交的建议报告，对其理由、估算、和（或）竣工日期延长经审查批准后，应以书面形式下达变更指令。</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发包人在下达的变更指令中，未能确认承包人对此项变更提出的估算和（或）竣工日期延长亦未提出异议的，自发包人接到此项书面建议报告后的第11日开始，视为承包人提交的变更估算、和（或）竣工日期延长，已被发包人批准。</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（2）发包人对承包人根据第13.3.2项第（2）项提交的不接受此项变更的理由进行审查后，发出继续执行、改变、提出进一步补充资料的书面通知，承包人应予以执行。</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13.3.4 承包人根据第13.1.3项的约定提交变更建议书的，其变更程序按照本变更程序的约定办理。</w:t>
      </w:r>
    </w:p>
    <w:p>
      <w:pPr>
        <w:spacing w:after="0" w:line="360" w:lineRule="auto"/>
        <w:ind w:firstLine="480" w:firstLineChars="200"/>
        <w:rPr>
          <w:rFonts w:hint="eastAsia" w:ascii="仿宋" w:hAnsi="仿宋" w:eastAsia="仿宋" w:cs="仿宋"/>
          <w:b w:val="0"/>
          <w:color w:val="auto"/>
          <w:sz w:val="24"/>
          <w:szCs w:val="24"/>
          <w:highlight w:val="none"/>
        </w:rPr>
      </w:pPr>
      <w:bookmarkStart w:id="797" w:name="_Toc419363751"/>
      <w:bookmarkStart w:id="798" w:name="_Toc419320295"/>
      <w:bookmarkStart w:id="799" w:name="_Toc419321331"/>
      <w:bookmarkStart w:id="800" w:name="_Toc433988787"/>
      <w:bookmarkStart w:id="801" w:name="_Toc419364420"/>
      <w:bookmarkStart w:id="802" w:name="_Toc14837"/>
      <w:r>
        <w:rPr>
          <w:rFonts w:hint="eastAsia" w:ascii="仿宋" w:hAnsi="仿宋" w:eastAsia="仿宋" w:cs="仿宋"/>
          <w:b w:val="0"/>
          <w:color w:val="auto"/>
          <w:sz w:val="24"/>
          <w:szCs w:val="24"/>
          <w:highlight w:val="none"/>
        </w:rPr>
        <w:t>13.4 紧急性变更程序</w:t>
      </w:r>
      <w:bookmarkEnd w:id="797"/>
      <w:bookmarkEnd w:id="798"/>
      <w:bookmarkEnd w:id="799"/>
      <w:bookmarkEnd w:id="800"/>
      <w:bookmarkEnd w:id="801"/>
      <w:bookmarkEnd w:id="802"/>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13.4.1 发包人有权以书面形式或口头形式发出紧急性变更指令，责令承包人立即执行此项变更。承包人接到此类指令后，应立即执行。发包人以口头形式发出紧急性变更指令的，须在48小时内以书面方式确认此项变更，并送交承包人项目经理。</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13.4.2 承包人应在紧急性变更指令执行完成后的10日内，向发包人提交实施此项变更的工作内容，资源消耗和估算。因执行此项变更造成工程关键路径延误时，可提出竣工日期延长要求，但应说明理由，并提交与此项变更相关的进度计划。</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承包人未能在此项变更完成后的10日内提交实际消耗的估算、和（或）延长竣工日期的书面资料，视为该项变更不涉及合同价格调整和竣工日期延长，发包人不再承担此项变更的任何责任。</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13.4.3  发包人应在接到承包人根据第13.4.2项提交的书面资料后的10日内，以书面形式通知承包人被批准的合理估算，和（或）给予竣工日期的合理延长。</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发包人在接到承包人的此项书面报告后的10日内，未能批准承包人的估算和（或）竣工日期延长亦未说明理由的，自接到该报告的第11日后，视为承包人提交的估算、和（或）竣工日期延长已被发包人批准。</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承包人对发包人批准的变更费用、竣工日期的延长存有争议时，双方应友好协商解决，协商不成时，依据第16.3款争议和裁决的程序解决。</w:t>
      </w:r>
    </w:p>
    <w:p>
      <w:pPr>
        <w:spacing w:after="0" w:line="360" w:lineRule="auto"/>
        <w:ind w:firstLine="480" w:firstLineChars="200"/>
        <w:rPr>
          <w:rFonts w:hint="eastAsia" w:ascii="仿宋" w:hAnsi="仿宋" w:eastAsia="仿宋" w:cs="仿宋"/>
          <w:b w:val="0"/>
          <w:color w:val="auto"/>
          <w:sz w:val="24"/>
          <w:szCs w:val="24"/>
          <w:highlight w:val="none"/>
        </w:rPr>
      </w:pPr>
      <w:bookmarkStart w:id="803" w:name="_Toc419363752"/>
      <w:bookmarkStart w:id="804" w:name="_Toc419320296"/>
      <w:bookmarkStart w:id="805" w:name="_Toc419321332"/>
      <w:bookmarkStart w:id="806" w:name="_Toc21341"/>
      <w:bookmarkStart w:id="807" w:name="_Toc433988788"/>
      <w:bookmarkStart w:id="808" w:name="_Toc419364421"/>
      <w:r>
        <w:rPr>
          <w:rFonts w:hint="eastAsia" w:ascii="仿宋" w:hAnsi="仿宋" w:eastAsia="仿宋" w:cs="仿宋"/>
          <w:b w:val="0"/>
          <w:color w:val="auto"/>
          <w:sz w:val="24"/>
          <w:szCs w:val="24"/>
          <w:highlight w:val="none"/>
        </w:rPr>
        <w:t>13.5 变更价款确定</w:t>
      </w:r>
      <w:bookmarkEnd w:id="803"/>
      <w:bookmarkEnd w:id="804"/>
      <w:bookmarkEnd w:id="805"/>
      <w:bookmarkEnd w:id="806"/>
      <w:bookmarkEnd w:id="807"/>
      <w:bookmarkEnd w:id="808"/>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变更价款按以下方法确定：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13.5.1 合同中已有相应人工、机具、工程量等单价（含取费）的，按合同中已有的相应人工、机具、工程量等单价（含取费）确定变更价款；</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13.5.2 合同中无相应人工、机具、工程量等单价（含取费）的，按类似于变更工程的价格确定变更价款；</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13.5.3 合同中无相应人工、机具、工程量等单价（含取费），亦无类似于变更工程的价格的，双方通过协商确定变更价款。</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13.5.4 专用条款中约定的其它方法。</w:t>
      </w:r>
    </w:p>
    <w:p>
      <w:pPr>
        <w:spacing w:after="0" w:line="360" w:lineRule="auto"/>
        <w:ind w:firstLine="480" w:firstLineChars="200"/>
        <w:rPr>
          <w:rFonts w:hint="eastAsia" w:ascii="仿宋" w:hAnsi="仿宋" w:eastAsia="仿宋" w:cs="仿宋"/>
          <w:b w:val="0"/>
          <w:color w:val="auto"/>
          <w:sz w:val="24"/>
          <w:szCs w:val="24"/>
          <w:highlight w:val="none"/>
        </w:rPr>
      </w:pPr>
      <w:bookmarkStart w:id="809" w:name="_Toc419320297"/>
      <w:bookmarkStart w:id="810" w:name="_Toc3659"/>
      <w:bookmarkStart w:id="811" w:name="_Toc419321333"/>
      <w:bookmarkStart w:id="812" w:name="_Toc433988789"/>
      <w:bookmarkStart w:id="813" w:name="_Toc419363753"/>
      <w:bookmarkStart w:id="814" w:name="_Toc419364422"/>
      <w:r>
        <w:rPr>
          <w:rFonts w:hint="eastAsia" w:ascii="仿宋" w:hAnsi="仿宋" w:eastAsia="仿宋" w:cs="仿宋"/>
          <w:b w:val="0"/>
          <w:color w:val="auto"/>
          <w:sz w:val="24"/>
          <w:szCs w:val="24"/>
          <w:highlight w:val="none"/>
        </w:rPr>
        <w:t>13.6 建议变更的利益分享</w:t>
      </w:r>
      <w:bookmarkEnd w:id="809"/>
      <w:bookmarkEnd w:id="810"/>
      <w:bookmarkEnd w:id="811"/>
      <w:bookmarkEnd w:id="812"/>
      <w:bookmarkEnd w:id="813"/>
      <w:bookmarkEnd w:id="814"/>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因发包人批准采用承包人根据第13.1.3项提出的变更建议，使工程的投资减少、工期缩短、发包人获得长期运营效益或其它利益的，双方可按专用条款的约定进行利益分享，必要时双发可另行签订利益分享补充协议，作为合同附件。</w:t>
      </w:r>
    </w:p>
    <w:p>
      <w:pPr>
        <w:spacing w:after="0" w:line="360" w:lineRule="auto"/>
        <w:ind w:firstLine="480" w:firstLineChars="200"/>
        <w:rPr>
          <w:rFonts w:hint="eastAsia" w:ascii="仿宋" w:hAnsi="仿宋" w:eastAsia="仿宋" w:cs="仿宋"/>
          <w:b w:val="0"/>
          <w:color w:val="auto"/>
          <w:sz w:val="24"/>
          <w:szCs w:val="24"/>
          <w:highlight w:val="none"/>
        </w:rPr>
      </w:pPr>
      <w:bookmarkStart w:id="815" w:name="_Toc433988790"/>
      <w:bookmarkStart w:id="816" w:name="_Toc419363754"/>
      <w:bookmarkStart w:id="817" w:name="_Toc419321334"/>
      <w:bookmarkStart w:id="818" w:name="_Toc15875"/>
      <w:bookmarkStart w:id="819" w:name="_Toc419364423"/>
      <w:bookmarkStart w:id="820" w:name="_Toc419320298"/>
      <w:r>
        <w:rPr>
          <w:rFonts w:hint="eastAsia" w:ascii="仿宋" w:hAnsi="仿宋" w:eastAsia="仿宋" w:cs="仿宋"/>
          <w:b w:val="0"/>
          <w:color w:val="auto"/>
          <w:sz w:val="24"/>
          <w:szCs w:val="24"/>
          <w:highlight w:val="none"/>
        </w:rPr>
        <w:t>13.7 合同价格调整</w:t>
      </w:r>
      <w:bookmarkEnd w:id="815"/>
      <w:bookmarkEnd w:id="816"/>
      <w:bookmarkEnd w:id="817"/>
      <w:bookmarkEnd w:id="818"/>
      <w:bookmarkEnd w:id="819"/>
      <w:bookmarkEnd w:id="820"/>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在下述情况发生后30日内，合同双方均有权将调整合同价格的原因及调整金额，以书面形式通知对方或监理人。经发包人确认的合理金额，作为合同价格的调整金额，并在支付当期工程进度款时支付或扣减调整的金额。一方收到另一方通知后15日内不予确认，也未能提出修改意见的，视为已经同意该项价格的调整。合同价格调整包括以下情况：</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（1）合同签订后，因法律、国家政策和需遵守的行业规定发生变化，影响到合同价格增减的；</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（2）合同执行过程中，工程造价管理部门公布的价格调整，涉及承包人投入成本增减的；</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（3）一周内非承包人原因的停水、停电、停气、道路中断等，造成工程现场停工累计超过8小时的（承包人须提交报告并提供可证实的证明和估算）；</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（4）发包人根据第13.3款至第13.5款变更程序中批准的变更估算的增减；</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（5）本合同约定的其它增减的款项调整。</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对于合同中未约定的增减款项，发包人不承担调整合同价格的责任。除非法律另有规定时除外。合同价格的调整不包括合同变更。</w:t>
      </w:r>
    </w:p>
    <w:p>
      <w:pPr>
        <w:spacing w:after="0" w:line="360" w:lineRule="auto"/>
        <w:ind w:firstLine="480" w:firstLineChars="200"/>
        <w:rPr>
          <w:rFonts w:hint="eastAsia" w:ascii="仿宋" w:hAnsi="仿宋" w:eastAsia="仿宋" w:cs="仿宋"/>
          <w:b w:val="0"/>
          <w:color w:val="auto"/>
          <w:sz w:val="24"/>
          <w:szCs w:val="24"/>
          <w:highlight w:val="none"/>
        </w:rPr>
      </w:pPr>
      <w:bookmarkStart w:id="821" w:name="_Toc419363755"/>
      <w:bookmarkStart w:id="822" w:name="_Toc433988791"/>
      <w:bookmarkStart w:id="823" w:name="_Toc419320299"/>
      <w:bookmarkStart w:id="824" w:name="_Toc419364424"/>
      <w:bookmarkStart w:id="825" w:name="_Toc419321335"/>
      <w:bookmarkStart w:id="826" w:name="_Toc27524"/>
      <w:r>
        <w:rPr>
          <w:rFonts w:hint="eastAsia" w:ascii="仿宋" w:hAnsi="仿宋" w:eastAsia="仿宋" w:cs="仿宋"/>
          <w:b w:val="0"/>
          <w:color w:val="auto"/>
          <w:sz w:val="24"/>
          <w:szCs w:val="24"/>
          <w:highlight w:val="none"/>
        </w:rPr>
        <w:t>13.8 合同价格调整的争议</w:t>
      </w:r>
      <w:bookmarkEnd w:id="821"/>
      <w:bookmarkEnd w:id="822"/>
      <w:bookmarkEnd w:id="823"/>
      <w:bookmarkEnd w:id="824"/>
      <w:bookmarkEnd w:id="825"/>
      <w:bookmarkEnd w:id="826"/>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经协商，双方未能对工程变更的费用、合同价格的调整或竣工日期的延长达成一致，根据第16.3款关于争议和裁决的约定解决。</w:t>
      </w:r>
    </w:p>
    <w:p>
      <w:pPr>
        <w:spacing w:after="0" w:line="360" w:lineRule="auto"/>
        <w:ind w:firstLine="480" w:firstLineChars="200"/>
        <w:rPr>
          <w:rFonts w:hint="eastAsia" w:ascii="仿宋" w:hAnsi="仿宋" w:eastAsia="仿宋" w:cs="仿宋"/>
          <w:b w:val="0"/>
          <w:color w:val="auto"/>
          <w:sz w:val="24"/>
          <w:szCs w:val="24"/>
          <w:highlight w:val="none"/>
        </w:rPr>
      </w:pPr>
      <w:bookmarkStart w:id="827" w:name="_Toc373497693"/>
      <w:bookmarkStart w:id="828" w:name="_Toc615587242"/>
      <w:bookmarkStart w:id="829" w:name="_Toc348769625"/>
      <w:bookmarkStart w:id="830" w:name="_Toc765650183"/>
      <w:bookmarkStart w:id="831" w:name="_Toc419363756"/>
      <w:bookmarkStart w:id="832" w:name="_Toc419321336"/>
      <w:bookmarkStart w:id="833" w:name="_Toc433988792"/>
      <w:bookmarkStart w:id="834" w:name="_Toc874022229"/>
      <w:bookmarkStart w:id="835" w:name="_Toc1371676601"/>
      <w:bookmarkStart w:id="836" w:name="_Toc111726892"/>
      <w:bookmarkStart w:id="837" w:name="_Toc419320300"/>
      <w:bookmarkStart w:id="838" w:name="_Toc419364425"/>
      <w:bookmarkStart w:id="839" w:name="_Toc21106"/>
      <w:bookmarkStart w:id="840" w:name="_Toc1996159411"/>
      <w:r>
        <w:rPr>
          <w:rFonts w:hint="eastAsia" w:ascii="仿宋" w:hAnsi="仿宋" w:eastAsia="仿宋" w:cs="仿宋"/>
          <w:b w:val="0"/>
          <w:color w:val="auto"/>
          <w:sz w:val="24"/>
          <w:szCs w:val="24"/>
          <w:highlight w:val="none"/>
        </w:rPr>
        <w:t>第14条 合同总价和付款</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p>
    <w:p>
      <w:pPr>
        <w:spacing w:after="0" w:line="360" w:lineRule="auto"/>
        <w:ind w:firstLine="480" w:firstLineChars="200"/>
        <w:rPr>
          <w:rFonts w:hint="eastAsia" w:ascii="仿宋" w:hAnsi="仿宋" w:eastAsia="仿宋" w:cs="仿宋"/>
          <w:b w:val="0"/>
          <w:color w:val="auto"/>
          <w:sz w:val="24"/>
          <w:szCs w:val="24"/>
          <w:highlight w:val="none"/>
        </w:rPr>
      </w:pPr>
      <w:bookmarkStart w:id="841" w:name="_Toc419320301"/>
      <w:bookmarkStart w:id="842" w:name="_Toc433988793"/>
      <w:bookmarkStart w:id="843" w:name="_Toc7945"/>
      <w:bookmarkStart w:id="844" w:name="_Toc419364426"/>
      <w:bookmarkStart w:id="845" w:name="_Toc419321337"/>
      <w:bookmarkStart w:id="846" w:name="_Toc419363757"/>
      <w:r>
        <w:rPr>
          <w:rFonts w:hint="eastAsia" w:ascii="仿宋" w:hAnsi="仿宋" w:eastAsia="仿宋" w:cs="仿宋"/>
          <w:b w:val="0"/>
          <w:color w:val="auto"/>
          <w:sz w:val="24"/>
          <w:szCs w:val="24"/>
          <w:highlight w:val="none"/>
        </w:rPr>
        <w:t>14.1 合同总价和付款</w:t>
      </w:r>
      <w:bookmarkEnd w:id="841"/>
      <w:bookmarkEnd w:id="842"/>
      <w:bookmarkEnd w:id="843"/>
      <w:bookmarkEnd w:id="844"/>
      <w:bookmarkEnd w:id="845"/>
      <w:bookmarkEnd w:id="846"/>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14.1.1 发包人和承包人应在合同协议书中选择下列一种合同价格形式：</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（1）单价合同</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单价合同是指合同当事人约定以工程量清单及其综合单价进行合同价格计算、调整和确认的建设工程总承包合同，在约定的范围内合同单价不作调整。合同当事人应在专用合同条款中约定综合单价包含的风险范围和风险费用的计算方法，并约定风险范围以外的合同价格的调整方法。</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（2）总价合同</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总价合同是指合同当事人约定以施工图、已标价工程量清单或预算书及有关条件进行合同价格计算、调整和确认的建设工程总承包合同，在约定的范围内合同总价不作调整。合同当事人应在专用合同条款中约定总价包含的风险范围和风险费用的计算方法，并约定风险范围以外的合同价格的调整方法。</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14.1.2 付款</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（1）合同价款的货币币种为人民币，由发包人在中国境内支付给承包人。</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（2）发包人应依据合同约定的应付款类别和付款时间安排，向承包人支付合同价款。承包人指定的银行账户，在专用条款中约定。</w:t>
      </w:r>
    </w:p>
    <w:p>
      <w:pPr>
        <w:spacing w:after="0" w:line="360" w:lineRule="auto"/>
        <w:ind w:firstLine="480" w:firstLineChars="200"/>
        <w:rPr>
          <w:rFonts w:hint="eastAsia" w:ascii="仿宋" w:hAnsi="仿宋" w:eastAsia="仿宋" w:cs="仿宋"/>
          <w:b w:val="0"/>
          <w:color w:val="auto"/>
          <w:sz w:val="24"/>
          <w:szCs w:val="24"/>
          <w:highlight w:val="none"/>
        </w:rPr>
      </w:pPr>
      <w:bookmarkStart w:id="847" w:name="_Toc419364427"/>
      <w:bookmarkStart w:id="848" w:name="_Toc433988794"/>
      <w:bookmarkStart w:id="849" w:name="_Toc419321338"/>
      <w:bookmarkStart w:id="850" w:name="_Toc1557"/>
      <w:bookmarkStart w:id="851" w:name="_Toc419363758"/>
      <w:bookmarkStart w:id="852" w:name="_Toc419320302"/>
      <w:r>
        <w:rPr>
          <w:rFonts w:hint="eastAsia" w:ascii="仿宋" w:hAnsi="仿宋" w:eastAsia="仿宋" w:cs="仿宋"/>
          <w:b w:val="0"/>
          <w:color w:val="auto"/>
          <w:sz w:val="24"/>
          <w:szCs w:val="24"/>
          <w:highlight w:val="none"/>
        </w:rPr>
        <w:t>14.2 担保</w:t>
      </w:r>
      <w:bookmarkEnd w:id="847"/>
      <w:bookmarkEnd w:id="848"/>
      <w:bookmarkEnd w:id="849"/>
      <w:bookmarkEnd w:id="850"/>
      <w:bookmarkEnd w:id="851"/>
      <w:bookmarkEnd w:id="852"/>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14.2.1 履约保函</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合同约定由承包人向发包人提交履约保函时，履约保函的格式、金额和提交时间等具体内容，在专用合同条款中约定。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14.2.2 支付保函</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除专用合同条款另有约定外，发包人要求承包人提供履约担保的，发包人应当向承包人提供支付担保。支付保函的格式、内容和提交时间等具体内容在专用合同条款中约定。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14.2.3 预付款保函</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合同约定由承包人向发包人提交预付款保函时，预付款保函的格式、金额和提交时间在专用条款中约定。</w:t>
      </w:r>
    </w:p>
    <w:p>
      <w:pPr>
        <w:spacing w:after="0" w:line="360" w:lineRule="auto"/>
        <w:ind w:firstLine="480" w:firstLineChars="200"/>
        <w:rPr>
          <w:rFonts w:hint="eastAsia" w:ascii="仿宋" w:hAnsi="仿宋" w:eastAsia="仿宋" w:cs="仿宋"/>
          <w:b w:val="0"/>
          <w:color w:val="auto"/>
          <w:sz w:val="24"/>
          <w:szCs w:val="24"/>
          <w:highlight w:val="none"/>
        </w:rPr>
      </w:pPr>
      <w:bookmarkStart w:id="853" w:name="_Toc419363759"/>
      <w:bookmarkStart w:id="854" w:name="_Toc419364428"/>
      <w:bookmarkStart w:id="855" w:name="_Toc419320303"/>
      <w:bookmarkStart w:id="856" w:name="_Toc433988795"/>
      <w:bookmarkStart w:id="857" w:name="_Toc14251"/>
      <w:bookmarkStart w:id="858" w:name="_Toc419321339"/>
      <w:r>
        <w:rPr>
          <w:rFonts w:hint="eastAsia" w:ascii="仿宋" w:hAnsi="仿宋" w:eastAsia="仿宋" w:cs="仿宋"/>
          <w:b w:val="0"/>
          <w:color w:val="auto"/>
          <w:sz w:val="24"/>
          <w:szCs w:val="24"/>
          <w:highlight w:val="none"/>
        </w:rPr>
        <w:t>14.3 预付款</w:t>
      </w:r>
      <w:bookmarkEnd w:id="853"/>
      <w:bookmarkEnd w:id="854"/>
      <w:bookmarkEnd w:id="855"/>
      <w:bookmarkEnd w:id="856"/>
      <w:bookmarkEnd w:id="857"/>
      <w:bookmarkEnd w:id="858"/>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14.3.1 预付款金额</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发包人同意将按合同价格的一定比例作为预付款金额，具体金额在专用条款中约定。</w:t>
      </w:r>
    </w:p>
    <w:p>
      <w:pPr>
        <w:spacing w:after="0" w:line="360" w:lineRule="auto"/>
        <w:ind w:firstLine="480" w:firstLineChars="200"/>
        <w:rPr>
          <w:rFonts w:hint="eastAsia" w:ascii="仿宋" w:hAnsi="仿宋" w:eastAsia="仿宋" w:cs="仿宋"/>
          <w:b w:val="0"/>
          <w:color w:val="auto"/>
          <w:sz w:val="24"/>
          <w:szCs w:val="24"/>
          <w:highlight w:val="none"/>
        </w:rPr>
      </w:pPr>
      <w:bookmarkStart w:id="859" w:name="_Toc419363760"/>
      <w:r>
        <w:rPr>
          <w:rFonts w:hint="eastAsia" w:ascii="仿宋" w:hAnsi="仿宋" w:eastAsia="仿宋" w:cs="仿宋"/>
          <w:b w:val="0"/>
          <w:color w:val="auto"/>
          <w:sz w:val="24"/>
          <w:szCs w:val="24"/>
          <w:highlight w:val="none"/>
        </w:rPr>
        <w:t>14.3.2 预付款支付</w:t>
      </w:r>
      <w:bookmarkEnd w:id="859"/>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合同约定了预付款保函时，在合同生效后，发包人收到承包人提交的预付款保函后10日内，根据第14.3.1款约定的预付款金额，一次支付给承包人；未约定预付款保函时，发包人应在合同生效后10日内，根据第14.3.1款约定的预付款金额，一次支付给承包人。</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14.3.3 预付款抵扣</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（1）预付款的抵扣方式、抵扣比例和抵扣时间安排，在专用条款中约定。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（2）在发包人签发工程接收证书或合同解除时，预付款尚未抵扣完的，发包人有权要求承包人支付尚未抵扣完的预付款。承包人未能支付的，发包人有权按如下程序扣回预付款的余额：</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1）从应付给承包人的款项中或属于承包人的款项中一次或多次扣除；</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2）应付给承包人的款项或属于承包人的款项不足以抵扣时，发包人有权从预付款保函（如约定提交）中扣除尚未抵扣完的预付款；</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3）应付给承包人或属于承包人的款项不足以抵扣且合同未约定承包人提交预付款保函时，承包人应与发包人签订支付尚未抵扣完的预付款支付时间安排协议书；</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4）承包人未能按上述协议书执行，发包人有权从履约保函（如有）中抵扣尚未扣完的预付款。</w:t>
      </w:r>
    </w:p>
    <w:p>
      <w:pPr>
        <w:spacing w:after="0" w:line="360" w:lineRule="auto"/>
        <w:ind w:firstLine="480" w:firstLineChars="200"/>
        <w:rPr>
          <w:rFonts w:hint="eastAsia" w:ascii="仿宋" w:hAnsi="仿宋" w:eastAsia="仿宋" w:cs="仿宋"/>
          <w:b w:val="0"/>
          <w:color w:val="auto"/>
          <w:sz w:val="24"/>
          <w:szCs w:val="24"/>
          <w:highlight w:val="none"/>
        </w:rPr>
      </w:pPr>
      <w:bookmarkStart w:id="860" w:name="_Toc433988796"/>
      <w:bookmarkStart w:id="861" w:name="_Toc419321340"/>
      <w:bookmarkStart w:id="862" w:name="_Toc18214"/>
      <w:bookmarkStart w:id="863" w:name="_Toc419364429"/>
      <w:bookmarkStart w:id="864" w:name="_Toc419363761"/>
      <w:bookmarkStart w:id="865" w:name="_Toc419320304"/>
      <w:r>
        <w:rPr>
          <w:rFonts w:hint="eastAsia" w:ascii="仿宋" w:hAnsi="仿宋" w:eastAsia="仿宋" w:cs="仿宋"/>
          <w:b w:val="0"/>
          <w:color w:val="auto"/>
          <w:sz w:val="24"/>
          <w:szCs w:val="24"/>
          <w:highlight w:val="none"/>
        </w:rPr>
        <w:t>14.4 工程进度款</w:t>
      </w:r>
      <w:bookmarkEnd w:id="860"/>
      <w:bookmarkEnd w:id="861"/>
      <w:bookmarkEnd w:id="862"/>
      <w:bookmarkEnd w:id="863"/>
      <w:bookmarkEnd w:id="864"/>
      <w:bookmarkEnd w:id="865"/>
    </w:p>
    <w:p>
      <w:pPr>
        <w:spacing w:after="0" w:line="360" w:lineRule="auto"/>
        <w:ind w:firstLine="480" w:firstLineChars="200"/>
        <w:rPr>
          <w:rFonts w:hint="eastAsia" w:ascii="仿宋" w:hAnsi="仿宋" w:eastAsia="仿宋" w:cs="仿宋"/>
          <w:b w:val="0"/>
          <w:color w:val="auto"/>
          <w:sz w:val="24"/>
          <w:szCs w:val="24"/>
          <w:highlight w:val="none"/>
        </w:rPr>
      </w:pPr>
      <w:bookmarkStart w:id="866" w:name="_Toc419363762"/>
      <w:r>
        <w:rPr>
          <w:rFonts w:hint="eastAsia" w:ascii="仿宋" w:hAnsi="仿宋" w:eastAsia="仿宋" w:cs="仿宋"/>
          <w:b w:val="0"/>
          <w:color w:val="auto"/>
          <w:sz w:val="24"/>
          <w:szCs w:val="24"/>
          <w:highlight w:val="none"/>
        </w:rPr>
        <w:t>14.4.1 工程进度款。工程进度款支付方式、支付条件和支付时间等，在专用条款中约定。</w:t>
      </w:r>
      <w:bookmarkEnd w:id="866"/>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14.4.2 根据工程具体情况，应付的其它进度款，在专用条款约定。</w:t>
      </w:r>
    </w:p>
    <w:p>
      <w:pPr>
        <w:spacing w:after="0" w:line="360" w:lineRule="auto"/>
        <w:ind w:firstLine="480" w:firstLineChars="200"/>
        <w:rPr>
          <w:rFonts w:hint="eastAsia" w:ascii="仿宋" w:hAnsi="仿宋" w:eastAsia="仿宋" w:cs="仿宋"/>
          <w:b w:val="0"/>
          <w:color w:val="auto"/>
          <w:sz w:val="24"/>
          <w:szCs w:val="24"/>
          <w:highlight w:val="none"/>
        </w:rPr>
      </w:pPr>
      <w:bookmarkStart w:id="867" w:name="_Toc25259"/>
      <w:bookmarkStart w:id="868" w:name="_Toc419320305"/>
      <w:bookmarkStart w:id="869" w:name="_Toc433988797"/>
      <w:bookmarkStart w:id="870" w:name="_Toc419321341"/>
      <w:bookmarkStart w:id="871" w:name="_Toc419363763"/>
      <w:bookmarkStart w:id="872" w:name="_Toc419364430"/>
      <w:r>
        <w:rPr>
          <w:rFonts w:hint="eastAsia" w:ascii="仿宋" w:hAnsi="仿宋" w:eastAsia="仿宋" w:cs="仿宋"/>
          <w:b w:val="0"/>
          <w:color w:val="auto"/>
          <w:sz w:val="24"/>
          <w:szCs w:val="24"/>
          <w:highlight w:val="none"/>
        </w:rPr>
        <w:t>14.5 缺陷责任保修金的暂扣与支付</w:t>
      </w:r>
      <w:bookmarkEnd w:id="867"/>
      <w:bookmarkEnd w:id="868"/>
      <w:bookmarkEnd w:id="869"/>
      <w:bookmarkEnd w:id="870"/>
      <w:bookmarkEnd w:id="871"/>
      <w:bookmarkEnd w:id="872"/>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14.5.1 缺陷责任保修金的暂时扣减。发包人可根据第11.2.1项约定的缺陷责任保修金金额和第11.2.2项缺陷责任保修金暂扣的约定，暂时扣减缺陷责任保修金。</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14.5.2 缺陷责任保修金的支付</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发包人应在办理工程竣工验收和竣工结算时，将按第14.5.1项暂时扣减的全部缺陷责任保修金金额的一半支付给承包人，专用条款另有约定时除外。此后，承包人未能按发包人通知修复缺陷责任期内出现的缺陷或委托发包人修复该缺陷的，修复缺陷的费用，从余下的缺陷责任保修金金额中扣除。发包人应在缺陷责任期届满后15日内，将暂扣的缺陷责任保修金余额支付给承包人。</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专用条款约定承包人可提交缺陷责任保修金保函的，在办理工程竣工验收和竣工结算时，如承包人请求提供用于替代剩余的缺陷责任保修金的保函，发包人应在接到承包人按合同约定提交的缺陷责任保修金保函后，向承包人支付保修金的剩余金额。此后，如承包人未能自费修复缺陷责任期内出现的缺陷或委托发包人修复该缺陷的，修复缺陷的费用从该保函中扣除。发包人应在缺陷责任期届满后15日内，退还该保函。保函的格式、金额和提交时间，在专用条款约定.</w:t>
      </w:r>
    </w:p>
    <w:p>
      <w:pPr>
        <w:spacing w:after="0" w:line="360" w:lineRule="auto"/>
        <w:ind w:firstLine="480" w:firstLineChars="200"/>
        <w:rPr>
          <w:rFonts w:hint="eastAsia" w:ascii="仿宋" w:hAnsi="仿宋" w:eastAsia="仿宋" w:cs="仿宋"/>
          <w:b w:val="0"/>
          <w:color w:val="auto"/>
          <w:sz w:val="24"/>
          <w:szCs w:val="24"/>
          <w:highlight w:val="none"/>
        </w:rPr>
      </w:pPr>
      <w:bookmarkStart w:id="873" w:name="_Toc419320306"/>
      <w:bookmarkStart w:id="874" w:name="_Toc433988798"/>
      <w:bookmarkStart w:id="875" w:name="_Toc419321342"/>
      <w:bookmarkStart w:id="876" w:name="_Toc419363764"/>
      <w:bookmarkStart w:id="877" w:name="_Toc419364431"/>
      <w:bookmarkStart w:id="878" w:name="_Toc20010"/>
      <w:r>
        <w:rPr>
          <w:rFonts w:hint="eastAsia" w:ascii="仿宋" w:hAnsi="仿宋" w:eastAsia="仿宋" w:cs="仿宋"/>
          <w:b w:val="0"/>
          <w:color w:val="auto"/>
          <w:sz w:val="24"/>
          <w:szCs w:val="24"/>
          <w:highlight w:val="none"/>
        </w:rPr>
        <w:t>14.6 按月工程进度申请付款</w:t>
      </w:r>
      <w:bookmarkEnd w:id="873"/>
      <w:bookmarkEnd w:id="874"/>
      <w:bookmarkEnd w:id="875"/>
      <w:bookmarkEnd w:id="876"/>
      <w:bookmarkEnd w:id="877"/>
      <w:bookmarkEnd w:id="878"/>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14.6.1 按月申请付款。按月申请付款的，承包人应以合同协议书约定的合同价格为基础，按每月实际完成的工程量（含设计、采购、施工、竣工试验和竣工后试验等）的合同金额，向发包人或监理人提交付款申请。承包人提交付款申请报告的格式、内容、份数和时间，在专用条款约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按月付款申请报告中的款项包括：</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（1）按第14.4款工程进度款约定的款项类别；</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（2）按第13.7款合同价格调整约定的增减款项；</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（3）按第14.3款预付款约定的支付及扣减的款项；</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（4）按第14.5款缺陷责任保修金约定暂扣及支付的款项；</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（5）根据第16.2款索赔结果增减的款项；</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（6）根据另行签订的本合同补充协议增减的款项。</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14.6.2 如双方约定了第14.6.1项按月工程进度申请付款的方式时，则不能再约定按第14.7款按付款计划表申请付款的方式。</w:t>
      </w:r>
    </w:p>
    <w:p>
      <w:pPr>
        <w:spacing w:after="0" w:line="360" w:lineRule="auto"/>
        <w:ind w:firstLine="480" w:firstLineChars="200"/>
        <w:rPr>
          <w:rFonts w:hint="eastAsia" w:ascii="仿宋" w:hAnsi="仿宋" w:eastAsia="仿宋" w:cs="仿宋"/>
          <w:b w:val="0"/>
          <w:color w:val="auto"/>
          <w:sz w:val="24"/>
          <w:szCs w:val="24"/>
          <w:highlight w:val="none"/>
        </w:rPr>
      </w:pPr>
      <w:bookmarkStart w:id="879" w:name="_Toc419364432"/>
      <w:bookmarkStart w:id="880" w:name="_Toc419321343"/>
      <w:bookmarkStart w:id="881" w:name="_Toc419363765"/>
      <w:bookmarkStart w:id="882" w:name="_Toc419320307"/>
      <w:bookmarkStart w:id="883" w:name="_Toc15797"/>
      <w:bookmarkStart w:id="884" w:name="_Toc433988799"/>
      <w:r>
        <w:rPr>
          <w:rFonts w:hint="eastAsia" w:ascii="仿宋" w:hAnsi="仿宋" w:eastAsia="仿宋" w:cs="仿宋"/>
          <w:b w:val="0"/>
          <w:color w:val="auto"/>
          <w:sz w:val="24"/>
          <w:szCs w:val="24"/>
          <w:highlight w:val="none"/>
        </w:rPr>
        <w:t>14.7 按付款计划表申请付款</w:t>
      </w:r>
      <w:bookmarkEnd w:id="879"/>
      <w:bookmarkEnd w:id="880"/>
      <w:bookmarkEnd w:id="881"/>
      <w:bookmarkEnd w:id="882"/>
      <w:bookmarkEnd w:id="883"/>
      <w:bookmarkEnd w:id="884"/>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14.7.1 按付款计划表申请付款</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按付款计划表申请付款的，承包人应以合同协议书约定的合同价格为基础，按照专用条款约定的付款期数、计划每期达到的主要形象进度和（或）完成的主要计划工程量（含设计、采购、施工、竣工试验和竣工后试验等）等目标任务，以及每期付款金额，并依据专用条款约定的格式、内容、份数和提交时间，向发包人或监理人提交当期付款申请报告。</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每期付款申请报告中的款项包括：</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（1）按专用条款中约定的当期计划申请付款的金额；</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（2）按第13.7款合同价款调整约定的增减款项；</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（3）按第14.3款预付款约定的，支付及扣减的款项；</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（4）按第14.5款缺陷责任保修金约定暂扣及支付的款项；</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（5）根据第16.2款索赔结果增减的款项；</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（6）根据另行签订的本合同的补充协议增减的款项。</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14.7.2 发包人按付款计划表付款时，承包人的实际工作和（或）实际进度比付款计划表约定的关键路径的目标任务落后30日及以上时，发包人有权与承包人商定减少当期付款金额，并有权与承包人共同调整付款计划表。承包人以后各期的付款申请及发包人的付款，以调整后的付款计划表为依据。</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14.7.3 如双方约定了按第14.7款付款计划表的方式申请付款时，不能再约定按第14.6款按月工程进度付款申请的方式。</w:t>
      </w:r>
    </w:p>
    <w:p>
      <w:pPr>
        <w:spacing w:after="0" w:line="360" w:lineRule="auto"/>
        <w:ind w:firstLine="480" w:firstLineChars="200"/>
        <w:rPr>
          <w:rFonts w:hint="eastAsia" w:ascii="仿宋" w:hAnsi="仿宋" w:eastAsia="仿宋" w:cs="仿宋"/>
          <w:b w:val="0"/>
          <w:color w:val="auto"/>
          <w:sz w:val="24"/>
          <w:szCs w:val="24"/>
          <w:highlight w:val="none"/>
        </w:rPr>
      </w:pPr>
      <w:bookmarkStart w:id="885" w:name="_Toc419321344"/>
      <w:bookmarkStart w:id="886" w:name="_Toc433988800"/>
      <w:bookmarkStart w:id="887" w:name="_Toc419364433"/>
      <w:bookmarkStart w:id="888" w:name="_Toc21614"/>
      <w:bookmarkStart w:id="889" w:name="_Toc419363766"/>
      <w:bookmarkStart w:id="890" w:name="_Toc419320308"/>
      <w:r>
        <w:rPr>
          <w:rFonts w:hint="eastAsia" w:ascii="仿宋" w:hAnsi="仿宋" w:eastAsia="仿宋" w:cs="仿宋"/>
          <w:b w:val="0"/>
          <w:color w:val="auto"/>
          <w:sz w:val="24"/>
          <w:szCs w:val="24"/>
          <w:highlight w:val="none"/>
        </w:rPr>
        <w:t>14.8 付款条件与时间安排</w:t>
      </w:r>
      <w:bookmarkEnd w:id="885"/>
      <w:bookmarkEnd w:id="886"/>
      <w:bookmarkEnd w:id="887"/>
      <w:bookmarkEnd w:id="888"/>
      <w:bookmarkEnd w:id="889"/>
      <w:bookmarkEnd w:id="890"/>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14.8.1 付款条件</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双方约定由承包人提交履约保函时，履约保函的提交应为发包人支付各项款项的前提条件；未约定履约保函时，发包人按约定支付各项款项。</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14.8.2 预付款的支付</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工程预付款的支付依据第14.3.2项预付款支付的约定执行。预付款抵扣完后，发包人应及时向承包人退还付款保函。</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14.8.3 工程进度款</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（1）按月工程进度申请与付款。依据第14.6.1项按月工程进度申请付款和付款时，发包人应在收到承包人按第14.6.1项提交的每月付款申请报告之日起的25日内审查并支付。</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（2）按付款计划表申请与付款。依据第14.7.1项按付款计划表申请付款和付款时，发包人应在收到承包人按第14.7.1项提交的每期付款申请报告之日起的25日内审查并支付。</w:t>
      </w:r>
    </w:p>
    <w:p>
      <w:pPr>
        <w:spacing w:after="0" w:line="360" w:lineRule="auto"/>
        <w:ind w:firstLine="480" w:firstLineChars="200"/>
        <w:rPr>
          <w:rFonts w:hint="eastAsia" w:ascii="仿宋" w:hAnsi="仿宋" w:eastAsia="仿宋" w:cs="仿宋"/>
          <w:b w:val="0"/>
          <w:color w:val="auto"/>
          <w:sz w:val="24"/>
          <w:szCs w:val="24"/>
          <w:highlight w:val="none"/>
        </w:rPr>
      </w:pPr>
      <w:bookmarkStart w:id="891" w:name="_Toc419363767"/>
      <w:bookmarkStart w:id="892" w:name="_Toc419321345"/>
      <w:bookmarkStart w:id="893" w:name="_Toc11756"/>
      <w:bookmarkStart w:id="894" w:name="_Toc419364434"/>
      <w:bookmarkStart w:id="895" w:name="_Toc419320309"/>
      <w:bookmarkStart w:id="896" w:name="_Toc433988801"/>
      <w:r>
        <w:rPr>
          <w:rFonts w:hint="eastAsia" w:ascii="仿宋" w:hAnsi="仿宋" w:eastAsia="仿宋" w:cs="仿宋"/>
          <w:b w:val="0"/>
          <w:color w:val="auto"/>
          <w:sz w:val="24"/>
          <w:szCs w:val="24"/>
          <w:highlight w:val="none"/>
        </w:rPr>
        <w:t>14.9 付款时间延误</w:t>
      </w:r>
      <w:bookmarkEnd w:id="891"/>
      <w:bookmarkEnd w:id="892"/>
      <w:bookmarkEnd w:id="893"/>
      <w:bookmarkEnd w:id="894"/>
      <w:bookmarkEnd w:id="895"/>
      <w:bookmarkEnd w:id="896"/>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14.9.1 因发包人的原因未能按第14.8.3项约定的时间向承包人支付工程进度款的，应从发包人收到付款申请报告后的第26日开始，以中国人民银行颁布的同期同类贷款利率向承包人支付延期付款的利息，作为延期付款的违约金额。</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14.9.2 发包人延误付款15日以上，承包人有权向发包人发出要求付款的通知，发包人收到通知后仍不能付款，承包人可暂停部分工作，视为发包人导致的暂停，并遵照第4.6.1项发包人的暂停的约定执行。</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双方协商签订延期付款协议书的，发包人应按延期付款协议书中约定的期数、时间、金额和利息付款；当双方未能达成延期付款协议，导致工程无法实施，承包人可停止部分或全部工程，发包人应承担违约责任，导致工程关键路径延误时，竣工日期顺延。</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14.9.3 发包人的延误付款达60日以上，并影响到整个工程实施的，承包人有权根据第18.2款的约定向发包人发出解除合同的通知，并有权就因此增加的相关费用向发包人提出索赔。</w:t>
      </w:r>
    </w:p>
    <w:p>
      <w:pPr>
        <w:spacing w:after="0" w:line="360" w:lineRule="auto"/>
        <w:ind w:firstLine="480" w:firstLineChars="200"/>
        <w:rPr>
          <w:rFonts w:hint="eastAsia" w:ascii="仿宋" w:hAnsi="仿宋" w:eastAsia="仿宋" w:cs="仿宋"/>
          <w:b w:val="0"/>
          <w:color w:val="auto"/>
          <w:sz w:val="24"/>
          <w:szCs w:val="24"/>
          <w:highlight w:val="none"/>
        </w:rPr>
      </w:pPr>
      <w:bookmarkStart w:id="897" w:name="_Toc433988802"/>
      <w:bookmarkStart w:id="898" w:name="_Toc419363768"/>
      <w:bookmarkStart w:id="899" w:name="_Toc8039"/>
      <w:bookmarkStart w:id="900" w:name="_Toc419320310"/>
      <w:bookmarkStart w:id="901" w:name="_Toc419321346"/>
      <w:bookmarkStart w:id="902" w:name="_Toc419364435"/>
      <w:r>
        <w:rPr>
          <w:rFonts w:hint="eastAsia" w:ascii="仿宋" w:hAnsi="仿宋" w:eastAsia="仿宋" w:cs="仿宋"/>
          <w:b w:val="0"/>
          <w:color w:val="auto"/>
          <w:sz w:val="24"/>
          <w:szCs w:val="24"/>
          <w:highlight w:val="none"/>
        </w:rPr>
        <w:t>14.10 税务与关税</w:t>
      </w:r>
      <w:bookmarkEnd w:id="897"/>
      <w:bookmarkEnd w:id="898"/>
      <w:bookmarkEnd w:id="899"/>
      <w:bookmarkEnd w:id="900"/>
      <w:bookmarkEnd w:id="901"/>
      <w:bookmarkEnd w:id="902"/>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14.10.1 发包人与承包人按国家有关纳税规定，各自履行各自的纳税义务，含与进口工程物资相关的各项纳税义务。</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14.10.2 合同一方享有本合同进口工程设备、材料、设备配件等进口增值税和关税减免时，另一方有义务就办理减免税手续给予协助和配合。</w:t>
      </w:r>
    </w:p>
    <w:p>
      <w:pPr>
        <w:spacing w:after="0" w:line="360" w:lineRule="auto"/>
        <w:ind w:firstLine="480" w:firstLineChars="200"/>
        <w:rPr>
          <w:rFonts w:hint="eastAsia" w:ascii="仿宋" w:hAnsi="仿宋" w:eastAsia="仿宋" w:cs="仿宋"/>
          <w:b w:val="0"/>
          <w:color w:val="auto"/>
          <w:sz w:val="24"/>
          <w:szCs w:val="24"/>
          <w:highlight w:val="none"/>
        </w:rPr>
      </w:pPr>
      <w:bookmarkStart w:id="903" w:name="_Toc433988803"/>
      <w:bookmarkStart w:id="904" w:name="_Toc419320311"/>
      <w:bookmarkStart w:id="905" w:name="_Toc419363769"/>
      <w:bookmarkStart w:id="906" w:name="_Toc419321347"/>
      <w:bookmarkStart w:id="907" w:name="_Toc3142"/>
      <w:bookmarkStart w:id="908" w:name="_Toc419364436"/>
      <w:r>
        <w:rPr>
          <w:rFonts w:hint="eastAsia" w:ascii="仿宋" w:hAnsi="仿宋" w:eastAsia="仿宋" w:cs="仿宋"/>
          <w:b w:val="0"/>
          <w:color w:val="auto"/>
          <w:sz w:val="24"/>
          <w:szCs w:val="24"/>
          <w:highlight w:val="none"/>
        </w:rPr>
        <w:t>14.11 索赔款项的支付</w:t>
      </w:r>
      <w:bookmarkEnd w:id="903"/>
      <w:bookmarkEnd w:id="904"/>
      <w:bookmarkEnd w:id="905"/>
      <w:bookmarkEnd w:id="906"/>
      <w:bookmarkEnd w:id="907"/>
      <w:bookmarkEnd w:id="908"/>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14.11.1 经协商或调解确定的、或经仲裁裁定的、或法院判决的发包人应得的索赔款项，发包人可从应支付给承包人的当月工程进度款或当期付款计划表的付款中扣减该索赔款项。当支付给承包人的各期工程进度款中不足以抵扣发包人的索赔款项时，承包人应当另行支付。承包人未能支付，可协商支付协议，仍未支付时，发包人可从履约保函（如有）中抵扣。如履约保函不足以抵扣时，承包人须另行支付该索赔款项，或以双方协商一致的支付协议的期限支付。</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14.11.2 经协商或调解确定的、或经仲裁裁决的、或法院判决的承包人应得的索赔款项，承包人可在当月工程进度款或当期付款计划表的付款申请中单列该索赔款项，发包人应在当期付款中支付该索赔款项。发包人未能支付该索赔款项时，承包人有权从发包人提交的支付保函（如有）中抵扣。如未约定支付保函时，发包人须另行支付该索赔款项。</w:t>
      </w:r>
    </w:p>
    <w:p>
      <w:pPr>
        <w:spacing w:after="0" w:line="360" w:lineRule="auto"/>
        <w:ind w:firstLine="480" w:firstLineChars="200"/>
        <w:rPr>
          <w:rFonts w:hint="eastAsia" w:ascii="仿宋" w:hAnsi="仿宋" w:eastAsia="仿宋" w:cs="仿宋"/>
          <w:b w:val="0"/>
          <w:color w:val="auto"/>
          <w:sz w:val="24"/>
          <w:szCs w:val="24"/>
          <w:highlight w:val="none"/>
        </w:rPr>
      </w:pPr>
      <w:bookmarkStart w:id="909" w:name="_Toc4133"/>
      <w:bookmarkStart w:id="910" w:name="_Toc433988804"/>
      <w:bookmarkStart w:id="911" w:name="_Toc419363770"/>
      <w:bookmarkStart w:id="912" w:name="_Toc419364437"/>
      <w:bookmarkStart w:id="913" w:name="_Toc419321348"/>
      <w:bookmarkStart w:id="914" w:name="_Toc419320312"/>
      <w:r>
        <w:rPr>
          <w:rFonts w:hint="eastAsia" w:ascii="仿宋" w:hAnsi="仿宋" w:eastAsia="仿宋" w:cs="仿宋"/>
          <w:b w:val="0"/>
          <w:color w:val="auto"/>
          <w:sz w:val="24"/>
          <w:szCs w:val="24"/>
          <w:highlight w:val="none"/>
        </w:rPr>
        <w:t>14.12 竣工结算</w:t>
      </w:r>
      <w:bookmarkEnd w:id="909"/>
      <w:bookmarkEnd w:id="910"/>
      <w:bookmarkEnd w:id="911"/>
      <w:bookmarkEnd w:id="912"/>
      <w:bookmarkEnd w:id="913"/>
      <w:bookmarkEnd w:id="914"/>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14.12.1 提交竣工结算资料</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承包人应在根据第12.1款的约定提交的竣工验收报告和完整的竣工资料被发包人确定后的30日内，向发包人递交竣工结算报告和完整的竣工结算资料。竣工结算资料的格式、内容和份数，在专用条款中约定。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14.12.2 最终竣工结算资料</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发包人应在收到承包人提交的竣工结算报告和完整的竣工结算资料后的30日内，进行审查并提出修改意见，双方就竣工结算报告和完整的竣工结算资料的修改达成一致意见后，由承包人自费进行修正，并提交最终的竣工结算报告和最终的结算资料。</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14.12.3 结清竣工结算的款项</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发包人应在收到承包人按第14.12.2项的约定提交的最终竣工结算资料的30日内，结清竣工结算的款项。竣工款结清后5日内，发包人应将承包人按第14.2.1项约定提交的履约保函返还给承包人；承包人应将发包人按第14.2.2项约定提交的支付保函返还给发包人。</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14.12.4 未能答复竣工结算报告</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发包人在接到承包人根据第14.12.1项约定提交的竣工结算报告和完整的竣工结算资料的30日内，未能提出修改意见，也未予答复的，视为发包人认可了该竣工结算资料作为最终竣工结算资料。发包人应根据第14.12.3项的约定，结清竣工结算的款项。</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14.12.5 发包人未能结清竣工结算的款项</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（1）发包人未能按第14.12.3项的约定，结清应付给承包人的竣工结算的款项余额的，承包人有权从发包人根据第14.2.2项约定提交的支付保函中扣减该款项的余额。</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合同未约定发包人按第14.2.2项提交支付保函或支付保函不足以抵偿应向承包人支付的竣工结算款项时，发包人从承包人提交最终结算资料后的第31日起，支付拖欠的竣工结算款项的余额，并按中国人民银行同期同类贷款利率支付相应利息。</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根据第14.12.4项的约定，发包人未能在约定的30日内对竣工结算资料提出修改意见和答复，也未能向承包人支付竣工结算款项的余额的，应从承包人提交该报告后的第31日起，支付拖欠的竣工结算款项的余额，并按中国人民银行同期同类的贷款利率支付相应利息。</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发包人在承包人提交最终竣工结算资料的90日内，仍未结清竣工结算款项的，承包人可依据第16.3款争议和裁决的约定解决。</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14.12.6 未能按时提交竣工结算报告及完整的结算资料</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工程竣工验收报告经发包人认可后的30日内，承包人未能向发包人提交竣工结算报告及完整的结算资料，造成工程竣工结算不能正常进行、或工程竣工结算不能按时结清，发包人要求承包人交付工程时，承包人应进行交付；发包人未要求交付工程时，承包人须承担保管、维护和保养的费用和责任，不包括根据第9条工程接收的约定已被发包人使用、接收的单项工程和工程的任何部分。</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14.12.7 承包人未能支付竣工结算的款项</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（1）承包人未能按第14.12.3项的约定，结清应付给发包人的竣工结算中的款项余额时，发包人有权从承包人根据第14.2.1项约定提交的履约保函中扣减该款项的余额。</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履约保函的金额不足以抵偿时，承包人应从最终竣工结算资料提交之后的31日起，支付拖欠的竣工结算款项的余额，并按中国人民银行同期同类贷款利率支付相应利息。承包人在最终竣工结算资料提交后的90日内仍未支付时，发包人有权根据第16.3款争议和裁决的约定解决。</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合同未约定履约保函时，承包人应从最终竣工结算资料提交后的第31日起，支付拖欠的竣工结算款项的余额，并按中国人民银行同期同类贷款利率支付相应利息。如承包人在最终竣工结算资料提交后的90日内仍未支付时，发包人有权根据第16.3款争议和裁决的约定解决。</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14.12.8 竣工结算的争议</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如在发包人收到承包人递交的竣工结算报告及完整的结算资料后的30日内，双方对工程竣工结算的价款发生争议时，应共同委托一家具有相应资质等级的工程造价咨询单位进行竣工结算审核，按审核结果，结清竣工结算的款项。审核周期由合同双方与工程造价审核单位约定。对审核结果仍有争议时，依据第16.3款争议和裁决的约定解决。</w:t>
      </w:r>
    </w:p>
    <w:p>
      <w:pPr>
        <w:spacing w:after="0" w:line="360" w:lineRule="auto"/>
        <w:ind w:firstLine="480" w:firstLineChars="200"/>
        <w:rPr>
          <w:rFonts w:hint="eastAsia" w:ascii="仿宋" w:hAnsi="仿宋" w:eastAsia="仿宋" w:cs="仿宋"/>
          <w:b w:val="0"/>
          <w:color w:val="auto"/>
          <w:sz w:val="24"/>
          <w:szCs w:val="24"/>
          <w:highlight w:val="none"/>
        </w:rPr>
      </w:pPr>
      <w:bookmarkStart w:id="915" w:name="_Toc419320313"/>
      <w:bookmarkStart w:id="916" w:name="_Toc419364438"/>
      <w:bookmarkStart w:id="917" w:name="_Toc903457323"/>
      <w:bookmarkStart w:id="918" w:name="_Toc531682462"/>
      <w:bookmarkStart w:id="919" w:name="_Toc419321349"/>
      <w:bookmarkStart w:id="920" w:name="_Toc560612857"/>
      <w:bookmarkStart w:id="921" w:name="_Toc281026070"/>
      <w:bookmarkStart w:id="922" w:name="_Toc433988805"/>
      <w:bookmarkStart w:id="923" w:name="_Toc1746048695"/>
      <w:bookmarkStart w:id="924" w:name="_Toc419363771"/>
      <w:bookmarkStart w:id="925" w:name="_Toc893166366"/>
      <w:bookmarkStart w:id="926" w:name="_Toc1288214712"/>
      <w:bookmarkStart w:id="927" w:name="_Toc1461687243"/>
      <w:bookmarkStart w:id="928" w:name="_Toc14786"/>
      <w:r>
        <w:rPr>
          <w:rFonts w:hint="eastAsia" w:ascii="仿宋" w:hAnsi="仿宋" w:eastAsia="仿宋" w:cs="仿宋"/>
          <w:b w:val="0"/>
          <w:color w:val="auto"/>
          <w:sz w:val="24"/>
          <w:szCs w:val="24"/>
          <w:highlight w:val="none"/>
        </w:rPr>
        <w:t>第15条 保险</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pPr>
        <w:spacing w:after="0" w:line="360" w:lineRule="auto"/>
        <w:ind w:firstLine="480" w:firstLineChars="200"/>
        <w:rPr>
          <w:rFonts w:hint="eastAsia" w:ascii="仿宋" w:hAnsi="仿宋" w:eastAsia="仿宋" w:cs="仿宋"/>
          <w:b w:val="0"/>
          <w:color w:val="auto"/>
          <w:sz w:val="24"/>
          <w:szCs w:val="24"/>
          <w:highlight w:val="none"/>
        </w:rPr>
      </w:pPr>
      <w:bookmarkStart w:id="929" w:name="_Toc419320314"/>
      <w:bookmarkStart w:id="930" w:name="_Toc419321350"/>
      <w:bookmarkStart w:id="931" w:name="_Toc419363772"/>
      <w:bookmarkStart w:id="932" w:name="_Toc419364439"/>
      <w:bookmarkStart w:id="933" w:name="_Toc433988806"/>
      <w:bookmarkStart w:id="934" w:name="_Toc7986"/>
      <w:r>
        <w:rPr>
          <w:rFonts w:hint="eastAsia" w:ascii="仿宋" w:hAnsi="仿宋" w:eastAsia="仿宋" w:cs="仿宋"/>
          <w:b w:val="0"/>
          <w:color w:val="auto"/>
          <w:sz w:val="24"/>
          <w:szCs w:val="24"/>
          <w:highlight w:val="none"/>
        </w:rPr>
        <w:t>15.1 承包人的投保</w:t>
      </w:r>
      <w:bookmarkEnd w:id="929"/>
      <w:bookmarkEnd w:id="930"/>
      <w:bookmarkEnd w:id="931"/>
      <w:bookmarkEnd w:id="932"/>
      <w:bookmarkEnd w:id="933"/>
      <w:bookmarkEnd w:id="934"/>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15.1.1 按适用法律和专用条款约定的投保类别，由承包人投保的保险种类，其投保费用包含在合同价格中。由承包人投保的保险种类、保险范围、投保金额、保险期限和持续有效的时间等在专用条款中约定。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（1）适用法律规定及专用条款约定的，由承包人负责投保的，承包人应依据工程实施阶段的需要按期投保；</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（2）在合同执行过程中，新颁布的适用法律规定由承包人投保的强制性保险，根据第13条变更和合同价格调整的约定调整合同价格。</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15.1.2 保险单对联合被保险人提供保险时，保险赔偿对每个联合被保险人分别施用。承包人应代表自己的被保险人，保证其被保险人遵守保险单约定的条件及其赔偿金额。</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15.1.3 承包人从保险人收到的理赔款项，应用于保单约定的损失、损害、伤害的修复、购置、重建和赔偿。</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15.1.4 承包人应在投保项目及其投保期限内，向发包人提供保险单副本、保费支付单据复印件和保险单生效的证明。</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承包人未提交上述证明文件的，视为未按合同约定投保，发包人可以自己名义投保相应保险，由此引起的费用及理赔损失，由承包人承担。</w:t>
      </w:r>
    </w:p>
    <w:p>
      <w:pPr>
        <w:spacing w:after="0" w:line="360" w:lineRule="auto"/>
        <w:ind w:firstLine="480" w:firstLineChars="200"/>
        <w:rPr>
          <w:rFonts w:hint="eastAsia" w:ascii="仿宋" w:hAnsi="仿宋" w:eastAsia="仿宋" w:cs="仿宋"/>
          <w:b w:val="0"/>
          <w:color w:val="auto"/>
          <w:sz w:val="24"/>
          <w:szCs w:val="24"/>
          <w:highlight w:val="none"/>
        </w:rPr>
      </w:pPr>
      <w:bookmarkStart w:id="935" w:name="_Toc433988807"/>
      <w:bookmarkStart w:id="936" w:name="_Toc567"/>
      <w:bookmarkStart w:id="937" w:name="_Toc419320315"/>
      <w:bookmarkStart w:id="938" w:name="_Toc419363773"/>
      <w:bookmarkStart w:id="939" w:name="_Toc419364440"/>
      <w:bookmarkStart w:id="940" w:name="_Toc419321351"/>
      <w:r>
        <w:rPr>
          <w:rFonts w:hint="eastAsia" w:ascii="仿宋" w:hAnsi="仿宋" w:eastAsia="仿宋" w:cs="仿宋"/>
          <w:b w:val="0"/>
          <w:color w:val="auto"/>
          <w:sz w:val="24"/>
          <w:szCs w:val="24"/>
          <w:highlight w:val="none"/>
        </w:rPr>
        <w:t>15.2 一切险和第三方责任险</w:t>
      </w:r>
      <w:bookmarkEnd w:id="935"/>
      <w:bookmarkEnd w:id="936"/>
      <w:bookmarkEnd w:id="937"/>
      <w:bookmarkEnd w:id="938"/>
      <w:bookmarkEnd w:id="939"/>
      <w:bookmarkEnd w:id="940"/>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对于建筑工程一切险、安装工程一切险和第三者责任险，无论应投保方是任何一方，其在投保时均应将本合同的另一方、本合同项下分包商、供货商、服务商同时列为保险合同项下的被保险人。具体的应投保方在专用条款中约定。</w:t>
      </w:r>
    </w:p>
    <w:p>
      <w:pPr>
        <w:spacing w:after="0" w:line="360" w:lineRule="auto"/>
        <w:ind w:firstLine="480" w:firstLineChars="200"/>
        <w:rPr>
          <w:rFonts w:hint="eastAsia" w:ascii="仿宋" w:hAnsi="仿宋" w:eastAsia="仿宋" w:cs="仿宋"/>
          <w:b w:val="0"/>
          <w:color w:val="auto"/>
          <w:sz w:val="24"/>
          <w:szCs w:val="24"/>
          <w:highlight w:val="none"/>
        </w:rPr>
      </w:pPr>
      <w:bookmarkStart w:id="941" w:name="_Toc419320316"/>
      <w:bookmarkStart w:id="942" w:name="_Toc419364441"/>
      <w:bookmarkStart w:id="943" w:name="_Toc419363774"/>
      <w:bookmarkStart w:id="944" w:name="_Toc433988808"/>
      <w:bookmarkStart w:id="945" w:name="_Toc12440"/>
      <w:bookmarkStart w:id="946" w:name="_Toc419321352"/>
      <w:r>
        <w:rPr>
          <w:rFonts w:hint="eastAsia" w:ascii="仿宋" w:hAnsi="仿宋" w:eastAsia="仿宋" w:cs="仿宋"/>
          <w:b w:val="0"/>
          <w:color w:val="auto"/>
          <w:sz w:val="24"/>
          <w:szCs w:val="24"/>
          <w:highlight w:val="none"/>
        </w:rPr>
        <w:t>15.3 保险的其它规定</w:t>
      </w:r>
      <w:bookmarkEnd w:id="941"/>
      <w:bookmarkEnd w:id="942"/>
      <w:bookmarkEnd w:id="943"/>
      <w:bookmarkEnd w:id="944"/>
      <w:bookmarkEnd w:id="945"/>
      <w:bookmarkEnd w:id="946"/>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15.3.1 由承包人负责采购运输的设备、材料、部件的运输险，由承包人投保。此项保险费用已包含在合同价格中，专用条款中另有约定时除外。</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15.3.2 保险事项的意外事件发生时，在场的各方均有责任努力采取必要措施，防止损失、损害的扩大。</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15.3.3 本合同约定以外的险种，根据各自的需要自行投保，保险费用由各自承担。</w:t>
      </w:r>
    </w:p>
    <w:p>
      <w:pPr>
        <w:spacing w:after="0" w:line="360" w:lineRule="auto"/>
        <w:ind w:firstLine="480" w:firstLineChars="200"/>
        <w:rPr>
          <w:rFonts w:hint="eastAsia" w:ascii="仿宋" w:hAnsi="仿宋" w:eastAsia="仿宋" w:cs="仿宋"/>
          <w:b w:val="0"/>
          <w:color w:val="auto"/>
          <w:sz w:val="24"/>
          <w:szCs w:val="24"/>
          <w:highlight w:val="none"/>
        </w:rPr>
      </w:pPr>
      <w:bookmarkStart w:id="947" w:name="_Toc1512055068"/>
      <w:bookmarkStart w:id="948" w:name="_Toc419320317"/>
      <w:bookmarkStart w:id="949" w:name="_Toc1697843371"/>
      <w:bookmarkStart w:id="950" w:name="_Toc419364442"/>
      <w:bookmarkStart w:id="951" w:name="_Toc419321353"/>
      <w:bookmarkStart w:id="952" w:name="_Toc888618737"/>
      <w:bookmarkStart w:id="953" w:name="_Toc1209528210"/>
      <w:bookmarkStart w:id="954" w:name="_Toc10968"/>
      <w:bookmarkStart w:id="955" w:name="_Toc433988809"/>
      <w:bookmarkStart w:id="956" w:name="_Toc476380610"/>
      <w:bookmarkStart w:id="957" w:name="_Toc536420832"/>
      <w:bookmarkStart w:id="958" w:name="_Toc94535530"/>
      <w:bookmarkStart w:id="959" w:name="_Toc307683667"/>
      <w:bookmarkStart w:id="960" w:name="_Toc419363775"/>
      <w:r>
        <w:rPr>
          <w:rFonts w:hint="eastAsia" w:ascii="仿宋" w:hAnsi="仿宋" w:eastAsia="仿宋" w:cs="仿宋"/>
          <w:b w:val="0"/>
          <w:color w:val="auto"/>
          <w:sz w:val="24"/>
          <w:szCs w:val="24"/>
          <w:highlight w:val="none"/>
        </w:rPr>
        <w:t>第16条 违约、索赔和争议</w:t>
      </w:r>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p>
    <w:p>
      <w:pPr>
        <w:spacing w:after="0" w:line="360" w:lineRule="auto"/>
        <w:ind w:firstLine="480" w:firstLineChars="200"/>
        <w:rPr>
          <w:rFonts w:hint="eastAsia" w:ascii="仿宋" w:hAnsi="仿宋" w:eastAsia="仿宋" w:cs="仿宋"/>
          <w:b w:val="0"/>
          <w:color w:val="auto"/>
          <w:sz w:val="24"/>
          <w:szCs w:val="24"/>
          <w:highlight w:val="none"/>
        </w:rPr>
      </w:pPr>
      <w:bookmarkStart w:id="961" w:name="_Toc419320318"/>
      <w:bookmarkStart w:id="962" w:name="_Toc419363776"/>
      <w:bookmarkStart w:id="963" w:name="_Toc18655"/>
      <w:bookmarkStart w:id="964" w:name="_Toc419364443"/>
      <w:bookmarkStart w:id="965" w:name="_Toc433988810"/>
      <w:bookmarkStart w:id="966" w:name="_Toc419321354"/>
      <w:r>
        <w:rPr>
          <w:rFonts w:hint="eastAsia" w:ascii="仿宋" w:hAnsi="仿宋" w:eastAsia="仿宋" w:cs="仿宋"/>
          <w:b w:val="0"/>
          <w:color w:val="auto"/>
          <w:sz w:val="24"/>
          <w:szCs w:val="24"/>
          <w:highlight w:val="none"/>
        </w:rPr>
        <w:t>16.1 违约责任</w:t>
      </w:r>
      <w:bookmarkEnd w:id="961"/>
      <w:bookmarkEnd w:id="962"/>
      <w:bookmarkEnd w:id="963"/>
      <w:bookmarkEnd w:id="964"/>
      <w:bookmarkEnd w:id="965"/>
      <w:bookmarkEnd w:id="966"/>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16.1.1 发包人的违约责任</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当发生下列情况时：</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（1）发包人未能履行第5.1.2项、第5.2.1项第（1）、（2）项的约定，未能按时提供真实、准确、齐全的工艺技术和（或）建筑设计方案、项目基础资料和现场障碍资料；</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（2）发包人未能按第13条的约定调整合同价格，未能按14条有关预付款、工程进度款、竣工结算约定的款项类别、金额、承包人指定的账户和时间支付相应款项；</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（3）发包人未能履行合同中约定的其它责任和义务。</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发包人应采取补救措施，并赔偿因上述违约行为给承包人造成的损失。因其违约行为造成工程关键路径延误时，竣工日期顺延。发包人承担违约责任，并不能减轻或免除合同中约定的应由发包人继续履行的其它责任和义务。</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16.1.2 承包人的违约责任</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当发生下列情况时：</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（1）承包人未能履行第6.2款对其提供的工程物资进行检验的约定、第7.5款施工质量与检验的约定，未能修复缺陷；</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（2）承包人经三次试验仍未能通过竣工试验、或经三次试验仍未能通过竣工后试验，导致的工程任何主要部分或整个工程丧失了使用价值、生产价值、使用利益；</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（3）承包人未经发包人同意、或未经必要的许可、或适用法律不允许分包的，将工程分包给他人；</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（4）承包人未能履行合同约定的其他责任和义务。</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承包人应采取补救措施，并赔偿因上述违约行为给发包人造成的损失。承包人承担违约责任，并不能减轻或免除合同中约定的由承包人继续履行的其它责任和义务。</w:t>
      </w:r>
    </w:p>
    <w:p>
      <w:pPr>
        <w:spacing w:after="0" w:line="360" w:lineRule="auto"/>
        <w:ind w:firstLine="480" w:firstLineChars="200"/>
        <w:rPr>
          <w:rFonts w:hint="eastAsia" w:ascii="仿宋" w:hAnsi="仿宋" w:eastAsia="仿宋" w:cs="仿宋"/>
          <w:b w:val="0"/>
          <w:color w:val="auto"/>
          <w:sz w:val="24"/>
          <w:szCs w:val="24"/>
          <w:highlight w:val="none"/>
        </w:rPr>
      </w:pPr>
      <w:bookmarkStart w:id="967" w:name="_Toc419364444"/>
      <w:bookmarkStart w:id="968" w:name="_Toc419320319"/>
      <w:bookmarkStart w:id="969" w:name="_Toc419363777"/>
      <w:bookmarkStart w:id="970" w:name="_Toc433988811"/>
      <w:bookmarkStart w:id="971" w:name="_Toc419321355"/>
      <w:bookmarkStart w:id="972" w:name="_Toc12705"/>
      <w:r>
        <w:rPr>
          <w:rFonts w:hint="eastAsia" w:ascii="仿宋" w:hAnsi="仿宋" w:eastAsia="仿宋" w:cs="仿宋"/>
          <w:b w:val="0"/>
          <w:color w:val="auto"/>
          <w:sz w:val="24"/>
          <w:szCs w:val="24"/>
          <w:highlight w:val="none"/>
        </w:rPr>
        <w:t>16.2 索赔</w:t>
      </w:r>
      <w:bookmarkEnd w:id="967"/>
      <w:bookmarkEnd w:id="968"/>
      <w:bookmarkEnd w:id="969"/>
      <w:bookmarkEnd w:id="970"/>
      <w:bookmarkEnd w:id="971"/>
      <w:bookmarkEnd w:id="972"/>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16.2.1 发包人的索赔</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发包人认为，承包人未能履行合同约定的职责、责任、义务，且根据本合同约定、与本合同有关的文件、资料的相关情况与事项，承包人应承担损失、损害赔偿责任，但承包人未能按合同约定履行其赔偿责任时，发包人有权向承包人提出索赔。索赔依据法律及合同约定，并遵循如下程序进行：</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（1）发包人应在索赔事件发生后的30日内，向承包人送交索赔通知。未能在索赔事件发生后的30日内发出索赔通知，承包人不再承担任何责任，法律另有规定的除外；</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（2）发包人应在发出索赔通知后的30日内，以书面形式向承包人提供说明索赔事件的正当理由、条款根据、有效的可证实的证据和索赔估算等相关资料；</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（3）承包人应在收到发包人送交的索赔资料后30日内与发包人协商解决，或给予答复，或要求发包人进一步补充提供索赔的理由和证据；</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（4）承包人在收到发包人送交的索赔资料后30日内未与发包人协商、未于答复、或未向发包人提出进一步要求，视为该项索赔已被承包人认可。</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当发包人提出的索赔事件持续影响时，发包人每周应向承包人发出索赔事件的延续影响情况，在该索赔事件延续影响停止后的30日内，发包人应向承包人送交最终索赔报告和最终索赔估算。索赔程序与本款第（1）项至第（4）项的约定相同。</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16.2.2 承包人的索赔</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认为，发包人未能履行合同约定的职责、责任和义务，且根据本合同的任何条款的约定、与本合同有关的文件、资料的相关情况和事项，发包人应承担损失、损害赔偿责任及延长竣工日期的，发包人未能按合同约定履行其赔偿义务或延长竣工日期时，承包人有权向发包人提出索赔。索赔依据法律和合同约定，并遵循如下程序进行：</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（1）承包人应在索赔事件发生后30日内，向发包人发出索赔通知。未在索赔事件发生后的30日内发出索赔通知，发包人不再承担任何责任，法律另有规定除外，</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（2）承包人应在发出索赔事件通知后的30日内，以书面形式向发包人提交说明索赔事件的正当理由、条款根据、有效的可证实的证据和索赔估算资料的报告；</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（3）发包人应在收到承包人送交的有关索赔资料的报告后30日内与承包人协商解决，或给予答复，或要求承包人进一步补充索赔理由和证据；</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（4）发包人在收到承包人按本款第（3）项提交的报告和补充资料后的30日内未与承包人协商、或未予答复、或未向承包人提出进一步补充要求，视为该项索赔已被发包人认可。</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当承包人提出的索赔事件持续影响时，承包人每周应向发包人发出索赔事件的延续影响情况，在该索赔事件延续影响停止后的30日内，承包人向发包人送交最终索赔报告和最终索赔估算。索赔程序与本款第（1）项至第（4）项的约定相同。</w:t>
      </w:r>
    </w:p>
    <w:p>
      <w:pPr>
        <w:spacing w:after="0" w:line="360" w:lineRule="auto"/>
        <w:ind w:firstLine="480" w:firstLineChars="200"/>
        <w:rPr>
          <w:rFonts w:hint="eastAsia" w:ascii="仿宋" w:hAnsi="仿宋" w:eastAsia="仿宋" w:cs="仿宋"/>
          <w:b w:val="0"/>
          <w:color w:val="auto"/>
          <w:sz w:val="24"/>
          <w:szCs w:val="24"/>
          <w:highlight w:val="none"/>
        </w:rPr>
      </w:pPr>
      <w:bookmarkStart w:id="973" w:name="_Toc433988812"/>
      <w:bookmarkStart w:id="974" w:name="_Toc13127"/>
      <w:bookmarkStart w:id="975" w:name="_Toc419363778"/>
      <w:bookmarkStart w:id="976" w:name="_Toc419321356"/>
      <w:bookmarkStart w:id="977" w:name="_Toc419320320"/>
      <w:bookmarkStart w:id="978" w:name="_Toc419364445"/>
      <w:r>
        <w:rPr>
          <w:rFonts w:hint="eastAsia" w:ascii="仿宋" w:hAnsi="仿宋" w:eastAsia="仿宋" w:cs="仿宋"/>
          <w:b w:val="0"/>
          <w:color w:val="auto"/>
          <w:sz w:val="24"/>
          <w:szCs w:val="24"/>
          <w:highlight w:val="none"/>
        </w:rPr>
        <w:t>16.3 争议和裁决</w:t>
      </w:r>
      <w:bookmarkEnd w:id="973"/>
      <w:bookmarkEnd w:id="974"/>
      <w:bookmarkEnd w:id="975"/>
      <w:bookmarkEnd w:id="976"/>
      <w:bookmarkEnd w:id="977"/>
      <w:bookmarkEnd w:id="978"/>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16.3.1 争议的解决程序</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根据本合同或与本合同相关的事项所发生的任何索赔争议，合同双方首先应通过友好协商解决。争议的一方，应以书面形式通知另一方，说明争议的内容、细节及因由。在上述书面通知发出之日起的30日内，经友好协商后仍存争议时，合同双方可提请双方一致同意的工程所在地有关单位或权威机构对此项争议进行调解；在争议提交调解之日起30日内，双方仍存争议时，或合同任何一方不同意调解的，按专用条款的约定通过仲裁或诉讼方式解决争议事顷。</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16.3.2 争议不应影响履约</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发生争议后，须继续履行其合同约定的责任和义务，保持工程继续实施。除非出现下列情况，任何一方不得停止工程或部分工程的实施，</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（1）当事人一方违约导致合同确已无法履行，经合同双方协议停止实施；</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（2）仲裁机构或法院责令停止实施。</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16.3.3 停止实施的工程保护</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根据第16.3.2项约定，停止实施的工程或部分工程，当事人按合同约定的职责、责任和义务，保护好与合同工程有关的各种文件、资料、图纸、已完工程，以及尚未使用的工程物资。</w:t>
      </w:r>
    </w:p>
    <w:p>
      <w:pPr>
        <w:spacing w:after="0" w:line="360" w:lineRule="auto"/>
        <w:ind w:firstLine="480" w:firstLineChars="200"/>
        <w:rPr>
          <w:rFonts w:hint="eastAsia" w:ascii="仿宋" w:hAnsi="仿宋" w:eastAsia="仿宋" w:cs="仿宋"/>
          <w:b w:val="0"/>
          <w:color w:val="auto"/>
          <w:sz w:val="24"/>
          <w:szCs w:val="24"/>
          <w:highlight w:val="none"/>
        </w:rPr>
      </w:pPr>
      <w:bookmarkStart w:id="979" w:name="_Toc433988813"/>
      <w:bookmarkStart w:id="980" w:name="_Toc1868237577"/>
      <w:bookmarkStart w:id="981" w:name="_Toc419364446"/>
      <w:bookmarkStart w:id="982" w:name="_Toc460422968"/>
      <w:bookmarkStart w:id="983" w:name="_Toc419321357"/>
      <w:bookmarkStart w:id="984" w:name="_Toc419363779"/>
      <w:bookmarkStart w:id="985" w:name="_Toc2038318708"/>
      <w:bookmarkStart w:id="986" w:name="_Toc98769293"/>
      <w:bookmarkStart w:id="987" w:name="_Toc11583"/>
      <w:bookmarkStart w:id="988" w:name="_Toc709876254"/>
      <w:bookmarkStart w:id="989" w:name="_Toc419320321"/>
      <w:bookmarkStart w:id="990" w:name="_Toc1935532925"/>
      <w:bookmarkStart w:id="991" w:name="_Toc1413831521"/>
      <w:bookmarkStart w:id="992" w:name="_Toc488573318"/>
      <w:r>
        <w:rPr>
          <w:rFonts w:hint="eastAsia" w:ascii="仿宋" w:hAnsi="仿宋" w:eastAsia="仿宋" w:cs="仿宋"/>
          <w:b w:val="0"/>
          <w:color w:val="auto"/>
          <w:sz w:val="24"/>
          <w:szCs w:val="24"/>
          <w:highlight w:val="none"/>
        </w:rPr>
        <w:t>第17条 不可抗力</w:t>
      </w:r>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p>
    <w:p>
      <w:pPr>
        <w:spacing w:after="0" w:line="360" w:lineRule="auto"/>
        <w:ind w:firstLine="480" w:firstLineChars="200"/>
        <w:rPr>
          <w:rFonts w:hint="eastAsia" w:ascii="仿宋" w:hAnsi="仿宋" w:eastAsia="仿宋" w:cs="仿宋"/>
          <w:b w:val="0"/>
          <w:color w:val="auto"/>
          <w:sz w:val="24"/>
          <w:szCs w:val="24"/>
          <w:highlight w:val="none"/>
        </w:rPr>
      </w:pPr>
      <w:bookmarkStart w:id="993" w:name="_Toc433988814"/>
      <w:bookmarkStart w:id="994" w:name="_Toc419363780"/>
      <w:bookmarkStart w:id="995" w:name="_Toc419320322"/>
      <w:bookmarkStart w:id="996" w:name="_Toc419364447"/>
      <w:bookmarkStart w:id="997" w:name="_Toc419321358"/>
      <w:bookmarkStart w:id="998" w:name="_Toc27276"/>
      <w:r>
        <w:rPr>
          <w:rFonts w:hint="eastAsia" w:ascii="仿宋" w:hAnsi="仿宋" w:eastAsia="仿宋" w:cs="仿宋"/>
          <w:b w:val="0"/>
          <w:color w:val="auto"/>
          <w:sz w:val="24"/>
          <w:szCs w:val="24"/>
          <w:highlight w:val="none"/>
        </w:rPr>
        <w:t>17.1 不可抗力发生时的义务</w:t>
      </w:r>
      <w:bookmarkEnd w:id="993"/>
      <w:bookmarkEnd w:id="994"/>
      <w:bookmarkEnd w:id="995"/>
      <w:bookmarkEnd w:id="996"/>
      <w:bookmarkEnd w:id="997"/>
      <w:bookmarkEnd w:id="998"/>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17.1.1 通知义务</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觉察或发现不可抗力事件发生的一方，有义务立即通知另一方。根据本合同约定，工程现场照管的责任方，在不可抗力事件发生时，应在力所能及的条件下迅速采取措施，尽力减少损失；另一方全力协助并采取措施。需暂停实施的施工或工作，立即停止。</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17.1.2 通报义务</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工程现场发生不可抗力时，在不可抗力事件结束后的48小时内，承包人（如为工程现场的照管方）须向发包人通报受害和损失情况。当不可抗力事件持续发生时，承包人每周应向发包人和工程总监报告受害情况。对报告周期另有约定时除外。</w:t>
      </w:r>
    </w:p>
    <w:p>
      <w:pPr>
        <w:spacing w:after="0" w:line="360" w:lineRule="auto"/>
        <w:ind w:firstLine="480" w:firstLineChars="200"/>
        <w:rPr>
          <w:rFonts w:hint="eastAsia" w:ascii="仿宋" w:hAnsi="仿宋" w:eastAsia="仿宋" w:cs="仿宋"/>
          <w:b w:val="0"/>
          <w:color w:val="auto"/>
          <w:sz w:val="24"/>
          <w:szCs w:val="24"/>
          <w:highlight w:val="none"/>
        </w:rPr>
      </w:pPr>
      <w:bookmarkStart w:id="999" w:name="_Toc419321359"/>
      <w:bookmarkStart w:id="1000" w:name="_Toc433988815"/>
      <w:bookmarkStart w:id="1001" w:name="_Toc419320323"/>
      <w:bookmarkStart w:id="1002" w:name="_Toc31032"/>
      <w:bookmarkStart w:id="1003" w:name="_Toc419364448"/>
      <w:bookmarkStart w:id="1004" w:name="_Toc419363781"/>
      <w:r>
        <w:rPr>
          <w:rFonts w:hint="eastAsia" w:ascii="仿宋" w:hAnsi="仿宋" w:eastAsia="仿宋" w:cs="仿宋"/>
          <w:b w:val="0"/>
          <w:color w:val="auto"/>
          <w:sz w:val="24"/>
          <w:szCs w:val="24"/>
          <w:highlight w:val="none"/>
        </w:rPr>
        <w:t>17.2 不可抗力的后果</w:t>
      </w:r>
      <w:bookmarkEnd w:id="999"/>
      <w:bookmarkEnd w:id="1000"/>
      <w:bookmarkEnd w:id="1001"/>
      <w:bookmarkEnd w:id="1002"/>
      <w:bookmarkEnd w:id="1003"/>
      <w:bookmarkEnd w:id="1004"/>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因不可抗力事件导致的损失、损害、伤害所发生的费用及延误的竣工日期，按如下约定处理：</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（1）永久性工程和工程物资等的损失、损害，由发包人承担；</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（2）受雇人员的伤害，分别按照各自的雇用合同关系负责处理；</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（3）承包人的机具、设备、财产和临时工程的损失、损害，由承包人承担；</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（4）承包人的停工损失，由承包人承担；</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（5）不可抗力事件发生后，因一方迟延履行合同约定的保护义务导致的延续损失、损害，由迟延履行义务的一方承担相应责任及其损失；</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6）发包人通知恢复建设时，承包人应在接到通知后的20日内、或双方根据具体情况约定的时间内，提交清理、修复的方案及其估算，以及进度计划安排的资料和报告，经发包人确认后，所需的清理、修复费用由发包人承担。恢复建设的竣工日期相应顺延。</w:t>
      </w:r>
    </w:p>
    <w:p>
      <w:pPr>
        <w:spacing w:after="0" w:line="360" w:lineRule="auto"/>
        <w:ind w:firstLine="480" w:firstLineChars="200"/>
        <w:rPr>
          <w:rFonts w:hint="eastAsia" w:ascii="仿宋" w:hAnsi="仿宋" w:eastAsia="仿宋" w:cs="仿宋"/>
          <w:b w:val="0"/>
          <w:color w:val="auto"/>
          <w:sz w:val="24"/>
          <w:szCs w:val="24"/>
          <w:highlight w:val="none"/>
        </w:rPr>
      </w:pPr>
      <w:bookmarkStart w:id="1005" w:name="_Toc1621773145"/>
      <w:bookmarkStart w:id="1006" w:name="_Toc419363782"/>
      <w:bookmarkStart w:id="1007" w:name="_Toc433988816"/>
      <w:bookmarkStart w:id="1008" w:name="_Toc10648320"/>
      <w:bookmarkStart w:id="1009" w:name="_Toc1618541893"/>
      <w:bookmarkStart w:id="1010" w:name="_Toc419585719"/>
      <w:bookmarkStart w:id="1011" w:name="_Toc419320324"/>
      <w:bookmarkStart w:id="1012" w:name="_Toc24810"/>
      <w:bookmarkStart w:id="1013" w:name="_Toc1110553852"/>
      <w:bookmarkStart w:id="1014" w:name="_Toc419364449"/>
      <w:bookmarkStart w:id="1015" w:name="_Toc359819392"/>
      <w:bookmarkStart w:id="1016" w:name="_Toc945243035"/>
      <w:bookmarkStart w:id="1017" w:name="_Toc1363388412"/>
      <w:bookmarkStart w:id="1018" w:name="_Toc419321360"/>
      <w:r>
        <w:rPr>
          <w:rFonts w:hint="eastAsia" w:ascii="仿宋" w:hAnsi="仿宋" w:eastAsia="仿宋" w:cs="仿宋"/>
          <w:b w:val="0"/>
          <w:color w:val="auto"/>
          <w:sz w:val="24"/>
          <w:szCs w:val="24"/>
          <w:highlight w:val="none"/>
        </w:rPr>
        <w:t>第18条 合同解除</w:t>
      </w:r>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p>
    <w:p>
      <w:pPr>
        <w:spacing w:after="0" w:line="360" w:lineRule="auto"/>
        <w:ind w:firstLine="480" w:firstLineChars="200"/>
        <w:rPr>
          <w:rFonts w:hint="eastAsia" w:ascii="仿宋" w:hAnsi="仿宋" w:eastAsia="仿宋" w:cs="仿宋"/>
          <w:b w:val="0"/>
          <w:color w:val="auto"/>
          <w:sz w:val="24"/>
          <w:szCs w:val="24"/>
          <w:highlight w:val="none"/>
        </w:rPr>
      </w:pPr>
      <w:bookmarkStart w:id="1019" w:name="_Toc30817"/>
      <w:bookmarkStart w:id="1020" w:name="_Toc419363783"/>
      <w:bookmarkStart w:id="1021" w:name="_Toc419320325"/>
      <w:bookmarkStart w:id="1022" w:name="_Toc433988817"/>
      <w:bookmarkStart w:id="1023" w:name="_Toc419364450"/>
      <w:bookmarkStart w:id="1024" w:name="_Toc419321361"/>
      <w:r>
        <w:rPr>
          <w:rFonts w:hint="eastAsia" w:ascii="仿宋" w:hAnsi="仿宋" w:eastAsia="仿宋" w:cs="仿宋"/>
          <w:b w:val="0"/>
          <w:color w:val="auto"/>
          <w:sz w:val="24"/>
          <w:szCs w:val="24"/>
          <w:highlight w:val="none"/>
        </w:rPr>
        <w:t>18.1 由发包人解除合同</w:t>
      </w:r>
      <w:bookmarkEnd w:id="1019"/>
      <w:bookmarkEnd w:id="1020"/>
      <w:bookmarkEnd w:id="1021"/>
      <w:bookmarkEnd w:id="1022"/>
      <w:bookmarkEnd w:id="1023"/>
      <w:bookmarkEnd w:id="1024"/>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18.1.1 通知改正</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承包人未能按合同履行其职责、责任和义务，发包人可通知承包人，在合理的时间内纠正并补救其违约行为。</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18.1.2 由发包人解除合同</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发包人有权基于下列原因，以书面形式通知解除合同或解除合同的部分工作。发包人应在发出解除合同通知15日前告知承包人。发包人解除合同并不影响其根据合同约定享有的任何其它权利。</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（1）承包人未能遵守第14.2.1项履约保函的约定；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（2）承包人未能执行第18.1.1项通知改正的约定；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（3）承包人未能遵守第3.8.1项至第3.8.4项的有关分包和转包的约定；</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（4）承包人实际进度明显落后于进度计划，发包人指令其采取措施并修正进度计划时，承包人无作为；</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（5）工程质量有严重缺陷，承包人无正当理由使修复开始日期拖延达30日以上；</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（6）承包人明确表示或以自己的行为明显表明不履行合同、或经发包人以书面形式通知其履约后仍未能依约履行合同、或以明显不适当的方式履行合同；</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（7）根据第8.6.2项第（4）项（或）和第10.8款的约定，未能通过的竣工试验、未能通过的竣工后试验，使工程的任何部分和（或）整个工程丧失了主要使用功能、生产功能；</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（8）承包人破产、停业清理或进入清算程序，或情况表明承包人将进入破产和（或）清算程序。</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发包人不能为另行安排其它承包人实施工程而解除合同或解除合同的部分工作。发包人违反该约定时，承包人有权依据本项约定，提出仲裁或诉讼。</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18.1.3 解除合同通知后停止和进行的工作</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承包人收到解除合同通知后的工作。承包人应在解除合同30日内或双方约定的时间内，完成以下工作：</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（1）除了为保护生命、财产或工程安全、清理和必须执行的工作外，停止执行所有被通知解除的工作；</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（2）将发包人提供的所有信息及承包人为本工程编制的设计文件、技术资料及其它文件移交给发包人。在承包人留有的资料文件中，销毁与发包人提供的所有信息相关的数据及资料的备份；</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（3）移交已完成的永久性工程及负责已运抵现场的永久性工程物资。在移交前，妥善做好已完工程和已运抵现场的永久性工程物资的保管、维护和保养；</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（4）移交相应实施阶段已经付款的并已完成的和尚待完成的设计文件、图纸、资料、操作维修手册、施工组织设计、质检资料、竣工资料等；</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向发包人提交全部分包合同及执行情况说明。其中包括：承包人提供的工程物资（含在现场保管的、已经订货的、正在加工的、运输途中的、运抵现场尚未交接的），发包人承担解除合同通知之日之前发生的、合同约定的此类款项。承包人有义务协助并配合处理与其有合同关系的分包人的关系；</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6）经发包人批准，承包人应将其与被解除合同或被解除合同中的部分工作相关的和正在执行的分包合同及相关的责任和义务转让至发包人和（或）发包人指定方的名下，包括永久性工程及工程物资，以及相关工作；</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（7）承包人按照合同约定，继续履行其未被解除的合同部分工作；</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（8）在解除合同的结算尚未结清之前，承包人不得将其机具、设备、设施、周转材料、措施材料撤离现场和（或）拆除，除非得到发包人同意。</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18.1.4 解除日期的结算</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根据第18.1.2项的约定，承包人收到解除合同或解除合同部分工作的通知后，发包人应立即与承包人商定已发生的合同款项，包括第14.3款的预付款、第14.4款的工程进度款、第13.7款的合同价格调整的款项、第14.5款的缺陷责任保修金暂扣的款项、第16.2款的索赔款项、本合同补充协议的款项，及合同约定的任何应增减的款项。经双方协商一致的合同款项，作为解除日期的结算资料。</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18.1.5 解除合同后的结算</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双方应根据第18.1.4项解除合同日期的结算资料，结清双方应收应付款项的余额。此后，发包人应将承包人根据第14.2.1项约定提交的履约保函返还给承包人，承包人应将发包人根据第14.2.2项约定提交的支付保函返还给发包人。</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（2）如合同解除时仍有未被扣减完的预付款，发包人应根据第14.3.3项预付款抵扣的约定扣除，并在此后将约定提交的预付款保函返还给承包人。</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（3）发包人尚有其它未能扣减完的应收款余额时，有权从第14.2.1项约定的承包人提交的履约保函中扣减，并在此后将履约保函返还给承包人。</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发包人按上述约定扣减后，仍有未能收回的款项时；或合同未能约定提交履约保函和预付款保函时，仍有未能扣减应收款项的余额时，可扣留与应收款价值相当的承包人的机具、设备、设施、周转材料等作为抵偿。</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18.1.6 承包人的撤离</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（1）全部合同解除的撤离。承包人有权按第18.1.5项第（4）项的约定，承将未被因抵偿扣留的机具、设备、设施等自行撤离现场。并承担撤离和拆除临时设施的费用。发包人为此提供必要条件。</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部分合同解除的撤离。承包人接到发包人发出撤离现场的通知后，将其多余的机具、设备、设施等自费拆除并自费撤离现场（不包括根据第18.1.5项第（4）项约定被抵偿的机具等）。发包人为此提供必要条件。</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18.1.7 解除合同后继续实施工程的权利。发包人可继续完成工程或委托其他承包人继续完成工程。发包人有权与其它承包人使用已移交的永久性工程的物资，及承包人为本工程编制的设计文件、实施文件及资料，以及使用根据第18.1.5项第（4）项约定扣留抵偿的设施、机具和设备。</w:t>
      </w:r>
    </w:p>
    <w:p>
      <w:pPr>
        <w:spacing w:after="0" w:line="360" w:lineRule="auto"/>
        <w:ind w:firstLine="480" w:firstLineChars="200"/>
        <w:rPr>
          <w:rFonts w:hint="eastAsia" w:ascii="仿宋" w:hAnsi="仿宋" w:eastAsia="仿宋" w:cs="仿宋"/>
          <w:b w:val="0"/>
          <w:color w:val="auto"/>
          <w:sz w:val="24"/>
          <w:szCs w:val="24"/>
          <w:highlight w:val="none"/>
        </w:rPr>
      </w:pPr>
      <w:bookmarkStart w:id="1025" w:name="_Toc433988818"/>
      <w:bookmarkStart w:id="1026" w:name="_Toc419363784"/>
      <w:bookmarkStart w:id="1027" w:name="_Toc419321362"/>
      <w:bookmarkStart w:id="1028" w:name="_Toc419364451"/>
      <w:bookmarkStart w:id="1029" w:name="_Toc419320326"/>
      <w:bookmarkStart w:id="1030" w:name="_Toc26953"/>
      <w:r>
        <w:rPr>
          <w:rFonts w:hint="eastAsia" w:ascii="仿宋" w:hAnsi="仿宋" w:eastAsia="仿宋" w:cs="仿宋"/>
          <w:b w:val="0"/>
          <w:color w:val="auto"/>
          <w:sz w:val="24"/>
          <w:szCs w:val="24"/>
          <w:highlight w:val="none"/>
        </w:rPr>
        <w:t>18.2 由承包人解除合同</w:t>
      </w:r>
      <w:bookmarkEnd w:id="1025"/>
      <w:bookmarkEnd w:id="1026"/>
      <w:bookmarkEnd w:id="1027"/>
      <w:bookmarkEnd w:id="1028"/>
      <w:bookmarkEnd w:id="1029"/>
      <w:bookmarkEnd w:id="1030"/>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18.2.1 由承包人解除合同。基于下列原因，承包人有权以书面形式通知发包人解除合同，但在发出解除合同通知15日前告知发包人：</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（1）发包人延误付款达60日以上，或根据第4.6.4项承包人要求复工，但发包人在180日内仍未通知复工的；</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（2）发包人实质上未能根据合同约定履行其义务，影响承包人实施工作停止30日以上；</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（3）发包人未能按第14.2.2项的约定提交支付保函；</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（4）出现第17条约定的不可抗力事件，导致继续履行合同主要义务已成为不可能或不必要；</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（5）发包人破产、停业清理或进入清算程序、或情况表明发包人将进入破产和（或）清算程序，或发包人无力支付合同款项。</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发包人接到承包人根据本款第（1）项、（2）项、（3）项解除合同的通知后，发包人随后给予了付款，或同意复工、或继续履行其义务、或提供了支付保函时，承包人应尽快安排并恢复正常工作。因此造成关键路线延误时，竣工日期顺延；承包人因此增加的费用，由发包人承担。</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18.2.2 承包人发出解除合同的通知后，有权停止和必须进行的工作如下：</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（1）除为保护生命、财产、工程安全、清理和必须执行的工作外，停止所有进一步的工作；</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移交已完成的永久性工程及承包人提供的工程物资（包括现场保管的、已经订货的、正在加工制造的、正在运输途中的、现场尚未交接的）。在未移交之前，承包人有义务妥善做好已完工程和已购工程物资的保管、维护和保养；</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移交已经付款并已经完成和尚待完成的设计文件、图纸、资料、操作维修手册、施工组织设计、质检资料、竣工资料等。应发包人的要求，对已经完成但尚未付款的相关设计文件、图纸和资料等，按商定的价格付款后，承包人按约定的时间提交给发包人。</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（4）向发包人提交全部分包合同及执行情况说明，由发包人承担其费用。</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（5）应发包人的要求，承包人将分包合同转让至发包人和（或）发包人指定方的名下，包括永久性工程及其物资，以及相关工作；</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（6）在承包人自留文件资料中，销毁发包人提供的所有信息及其相关的数据及资料的备份。</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18.2.3 解除合同日期的结算资料</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根据第18.2.1项的约定，发包人收到解除合同的通知后，应与承包人商定已发生的工程款项，包括：第14.3款预付款、第14.4款工程进度款、第13.7款合同价格调整的款项、第14.5款保修金暂扣与支付的款项、第16.2款索赔的款项、本合同补充协议的款项，及合同任何条款约定的增减款项，以及承包人拆除临时设施和机具、设备等撤离到承包人企业所在地的费用（当出现第18.2.1项第（4）项不可抗力的情况，撤离费用由承包人承担）。经双方协商一致的合同款项，作为解除日期的结算依据。</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18.2.4 解除合同后的结算</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双方应根据第18.2.3项解除合同日期的结算资料，结清解除合同时双方的应收应付款项的余额。此后，承包人应将发包人根据第14.2.2项约定提交的支付保函返还给发包人，发包人将承包人根据第14.2.1款约定提交的履约保函返还给承包人。</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（2）如合同解除时发包人仍有未被扣减完的预付款，发包人可根据第14.3.3项预付款抵扣的约定扣除，此后，应将预付款保函返还给承包人。</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（3）如合同解除时承包人尚有其它未能收回的应收款余额，承包人可从第14.2.2项约定的发包人提交的支付保函中扣减，此后，应将支付保函返还给发包人。</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如合同解除时承包人尚有其它未能收回的应收款余额，而合同未约定发包人按第14.2.2项提交支付保函时，发包人应根据第18.2.3项的约定，经协商一致的解除合同日期结算资料后的第1日起，按中国人民银行同期同类贷款利率，支付拖欠的余额和利息。发包人在此后的60日内仍未支付，承包人有权根据第16.3款争议和裁决的约定解决。</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（5）如合同解除时承包人尚有未能付给发包人的付款余额，发包人有权根据第18.1.5项约定的解除合同后的结算中的第（2）项至第（4）项进行结算。</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18.2.5 承包人的撤离。在合同解除后，承包人应将除为安全需要以外的所有其它物资、机具、设备和设施，全部撤离现场。</w:t>
      </w:r>
    </w:p>
    <w:p>
      <w:pPr>
        <w:spacing w:after="0" w:line="360" w:lineRule="auto"/>
        <w:ind w:firstLine="480" w:firstLineChars="200"/>
        <w:rPr>
          <w:rFonts w:hint="eastAsia" w:ascii="仿宋" w:hAnsi="仿宋" w:eastAsia="仿宋" w:cs="仿宋"/>
          <w:b w:val="0"/>
          <w:color w:val="auto"/>
          <w:sz w:val="24"/>
          <w:szCs w:val="24"/>
          <w:highlight w:val="none"/>
        </w:rPr>
      </w:pPr>
      <w:bookmarkStart w:id="1031" w:name="_Toc419363785"/>
      <w:bookmarkStart w:id="1032" w:name="_Toc419321363"/>
      <w:bookmarkStart w:id="1033" w:name="_Toc433988819"/>
      <w:bookmarkStart w:id="1034" w:name="_Toc419320327"/>
      <w:bookmarkStart w:id="1035" w:name="_Toc419364452"/>
      <w:bookmarkStart w:id="1036" w:name="_Toc18395"/>
      <w:r>
        <w:rPr>
          <w:rFonts w:hint="eastAsia" w:ascii="仿宋" w:hAnsi="仿宋" w:eastAsia="仿宋" w:cs="仿宋"/>
          <w:b w:val="0"/>
          <w:color w:val="auto"/>
          <w:sz w:val="24"/>
          <w:szCs w:val="24"/>
          <w:highlight w:val="none"/>
        </w:rPr>
        <w:t>18.3 合同解除后的事项</w:t>
      </w:r>
      <w:bookmarkEnd w:id="1031"/>
      <w:bookmarkEnd w:id="1032"/>
      <w:bookmarkEnd w:id="1033"/>
      <w:bookmarkEnd w:id="1034"/>
      <w:bookmarkEnd w:id="1035"/>
      <w:bookmarkEnd w:id="1036"/>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18.3.1 付款约定仍然有效</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合同解除后，由发包人或由承包人解除合同的结算及结算后的付款约定仍然有效，直至解除合同的结算工作结清。</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18.3.2 解除合同的争议</w:t>
      </w:r>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合同双方对解除合同或对解除日期的结算有争议的，应采取友好协商方式解决。经友好协商仍存在争议、或有一方不接受友好协商时，根据第16.3款争议和裁决的约定解决。</w:t>
      </w:r>
    </w:p>
    <w:p>
      <w:pPr>
        <w:spacing w:after="0" w:line="360" w:lineRule="auto"/>
        <w:ind w:firstLine="480" w:firstLineChars="200"/>
        <w:rPr>
          <w:rFonts w:hint="eastAsia" w:ascii="仿宋" w:hAnsi="仿宋" w:eastAsia="仿宋" w:cs="仿宋"/>
          <w:b w:val="0"/>
          <w:color w:val="auto"/>
          <w:sz w:val="24"/>
          <w:szCs w:val="24"/>
          <w:highlight w:val="none"/>
        </w:rPr>
      </w:pPr>
      <w:bookmarkStart w:id="1037" w:name="_Toc419364453"/>
      <w:bookmarkStart w:id="1038" w:name="_Toc1788366132"/>
      <w:bookmarkStart w:id="1039" w:name="_Toc419363786"/>
      <w:bookmarkStart w:id="1040" w:name="_Toc419321364"/>
      <w:bookmarkStart w:id="1041" w:name="_Toc170571392"/>
      <w:bookmarkStart w:id="1042" w:name="_Toc21171"/>
      <w:bookmarkStart w:id="1043" w:name="_Toc658239102"/>
      <w:bookmarkStart w:id="1044" w:name="_Toc725171539"/>
      <w:bookmarkStart w:id="1045" w:name="_Toc818526994"/>
      <w:bookmarkStart w:id="1046" w:name="_Toc433988820"/>
      <w:bookmarkStart w:id="1047" w:name="_Toc1763152386"/>
      <w:bookmarkStart w:id="1048" w:name="_Toc1298214487"/>
      <w:bookmarkStart w:id="1049" w:name="_Toc419320328"/>
      <w:bookmarkStart w:id="1050" w:name="_Toc1278800291"/>
      <w:r>
        <w:rPr>
          <w:rFonts w:hint="eastAsia" w:ascii="仿宋" w:hAnsi="仿宋" w:eastAsia="仿宋" w:cs="仿宋"/>
          <w:b w:val="0"/>
          <w:color w:val="auto"/>
          <w:sz w:val="24"/>
          <w:szCs w:val="24"/>
          <w:highlight w:val="none"/>
        </w:rPr>
        <w:t>第19条 合同生效与终止</w:t>
      </w:r>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p>
      <w:pPr>
        <w:spacing w:after="0" w:line="360" w:lineRule="auto"/>
        <w:ind w:firstLine="480" w:firstLineChars="200"/>
        <w:rPr>
          <w:rFonts w:hint="eastAsia" w:ascii="仿宋" w:hAnsi="仿宋" w:eastAsia="仿宋" w:cs="仿宋"/>
          <w:b w:val="0"/>
          <w:color w:val="auto"/>
          <w:sz w:val="24"/>
          <w:szCs w:val="24"/>
          <w:highlight w:val="none"/>
        </w:rPr>
      </w:pPr>
      <w:bookmarkStart w:id="1051" w:name="_Toc20278"/>
      <w:bookmarkStart w:id="1052" w:name="_Toc433988821"/>
      <w:bookmarkStart w:id="1053" w:name="_Toc419321365"/>
      <w:bookmarkStart w:id="1054" w:name="_Toc419363787"/>
      <w:bookmarkStart w:id="1055" w:name="_Toc419364454"/>
      <w:bookmarkStart w:id="1056" w:name="_Toc419320329"/>
      <w:r>
        <w:rPr>
          <w:rFonts w:hint="eastAsia" w:ascii="仿宋" w:hAnsi="仿宋" w:eastAsia="仿宋" w:cs="仿宋"/>
          <w:b w:val="0"/>
          <w:color w:val="auto"/>
          <w:sz w:val="24"/>
          <w:szCs w:val="24"/>
          <w:highlight w:val="none"/>
        </w:rPr>
        <w:t>19.1 合同生效</w:t>
      </w:r>
      <w:bookmarkEnd w:id="1051"/>
      <w:bookmarkEnd w:id="1052"/>
      <w:bookmarkEnd w:id="1053"/>
      <w:bookmarkEnd w:id="1054"/>
      <w:bookmarkEnd w:id="1055"/>
      <w:bookmarkEnd w:id="1056"/>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在合同协议书中约定的合同生效条件满足之日生效。</w:t>
      </w:r>
    </w:p>
    <w:p>
      <w:pPr>
        <w:spacing w:after="0" w:line="360" w:lineRule="auto"/>
        <w:ind w:firstLine="480" w:firstLineChars="200"/>
        <w:rPr>
          <w:rFonts w:hint="eastAsia" w:ascii="仿宋" w:hAnsi="仿宋" w:eastAsia="仿宋" w:cs="仿宋"/>
          <w:b w:val="0"/>
          <w:color w:val="auto"/>
          <w:sz w:val="24"/>
          <w:szCs w:val="24"/>
          <w:highlight w:val="none"/>
        </w:rPr>
      </w:pPr>
      <w:bookmarkStart w:id="1057" w:name="_Toc419321366"/>
      <w:bookmarkStart w:id="1058" w:name="_Toc419320330"/>
      <w:bookmarkStart w:id="1059" w:name="_Toc419363788"/>
      <w:bookmarkStart w:id="1060" w:name="_Toc419364455"/>
      <w:bookmarkStart w:id="1061" w:name="_Toc433988822"/>
      <w:bookmarkStart w:id="1062" w:name="_Toc4221"/>
      <w:r>
        <w:rPr>
          <w:rFonts w:hint="eastAsia" w:ascii="仿宋" w:hAnsi="仿宋" w:eastAsia="仿宋" w:cs="仿宋"/>
          <w:b w:val="0"/>
          <w:color w:val="auto"/>
          <w:sz w:val="24"/>
          <w:szCs w:val="24"/>
          <w:highlight w:val="none"/>
        </w:rPr>
        <w:t>19.2 合同份数</w:t>
      </w:r>
      <w:bookmarkEnd w:id="1057"/>
      <w:bookmarkEnd w:id="1058"/>
      <w:bookmarkEnd w:id="1059"/>
      <w:bookmarkEnd w:id="1060"/>
      <w:bookmarkEnd w:id="1061"/>
      <w:bookmarkEnd w:id="1062"/>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合同正本、合同副本的份数，及合同双方应持的份数，在专用条款中约定。</w:t>
      </w:r>
    </w:p>
    <w:p>
      <w:pPr>
        <w:spacing w:after="0" w:line="360" w:lineRule="auto"/>
        <w:ind w:firstLine="480" w:firstLineChars="200"/>
        <w:rPr>
          <w:rFonts w:hint="eastAsia" w:ascii="仿宋" w:hAnsi="仿宋" w:eastAsia="仿宋" w:cs="仿宋"/>
          <w:b w:val="0"/>
          <w:color w:val="auto"/>
          <w:sz w:val="24"/>
          <w:szCs w:val="24"/>
          <w:highlight w:val="none"/>
        </w:rPr>
      </w:pPr>
      <w:bookmarkStart w:id="1063" w:name="_Toc419321367"/>
      <w:bookmarkStart w:id="1064" w:name="_Toc433988823"/>
      <w:bookmarkStart w:id="1065" w:name="_Toc15977"/>
      <w:bookmarkStart w:id="1066" w:name="_Toc419320331"/>
      <w:bookmarkStart w:id="1067" w:name="_Toc419364456"/>
      <w:bookmarkStart w:id="1068" w:name="_Toc419363789"/>
      <w:r>
        <w:rPr>
          <w:rFonts w:hint="eastAsia" w:ascii="仿宋" w:hAnsi="仿宋" w:eastAsia="仿宋" w:cs="仿宋"/>
          <w:b w:val="0"/>
          <w:color w:val="auto"/>
          <w:sz w:val="24"/>
          <w:szCs w:val="24"/>
          <w:highlight w:val="none"/>
        </w:rPr>
        <w:t>19.3 后合同义务</w:t>
      </w:r>
      <w:bookmarkEnd w:id="1063"/>
      <w:bookmarkEnd w:id="1064"/>
      <w:bookmarkEnd w:id="1065"/>
      <w:bookmarkEnd w:id="1066"/>
      <w:bookmarkEnd w:id="1067"/>
      <w:bookmarkEnd w:id="1068"/>
    </w:p>
    <w:p>
      <w:pPr>
        <w:spacing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合同双方应在合同终止后，遵循诚实信用原则，履行通知、协助、保密等义务。</w:t>
      </w:r>
    </w:p>
    <w:p>
      <w:pPr>
        <w:spacing w:after="0" w:line="360" w:lineRule="auto"/>
        <w:ind w:firstLine="480" w:firstLineChars="200"/>
        <w:rPr>
          <w:rFonts w:hint="eastAsia" w:ascii="仿宋" w:hAnsi="仿宋" w:eastAsia="仿宋" w:cs="仿宋"/>
          <w:b w:val="0"/>
          <w:color w:val="auto"/>
          <w:sz w:val="24"/>
          <w:szCs w:val="24"/>
          <w:highlight w:val="none"/>
        </w:rPr>
      </w:pPr>
      <w:bookmarkStart w:id="1069" w:name="_Toc780151661"/>
      <w:bookmarkStart w:id="1070" w:name="_Toc419320332"/>
      <w:bookmarkStart w:id="1071" w:name="_Toc657029489"/>
      <w:bookmarkStart w:id="1072" w:name="_Toc433988824"/>
      <w:bookmarkStart w:id="1073" w:name="_Toc202945476"/>
      <w:bookmarkStart w:id="1074" w:name="_Toc888457112"/>
      <w:bookmarkStart w:id="1075" w:name="_Toc988359248"/>
      <w:bookmarkStart w:id="1076" w:name="_Toc23763"/>
      <w:bookmarkStart w:id="1077" w:name="_Toc419363790"/>
      <w:bookmarkStart w:id="1078" w:name="_Toc419321368"/>
      <w:bookmarkStart w:id="1079" w:name="_Toc175306549"/>
      <w:bookmarkStart w:id="1080" w:name="_Toc2050200246"/>
      <w:bookmarkStart w:id="1081" w:name="_Toc1336321617"/>
      <w:bookmarkStart w:id="1082" w:name="_Toc419364457"/>
      <w:r>
        <w:rPr>
          <w:rFonts w:hint="eastAsia" w:ascii="仿宋" w:hAnsi="仿宋" w:eastAsia="仿宋" w:cs="仿宋"/>
          <w:b w:val="0"/>
          <w:color w:val="auto"/>
          <w:sz w:val="24"/>
          <w:szCs w:val="24"/>
          <w:highlight w:val="none"/>
        </w:rPr>
        <w:t>第20条 补充条款</w:t>
      </w:r>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szCs w:val="24"/>
          <w:highlight w:val="none"/>
        </w:rPr>
        <w:t>双方对本通用条款内容的具体约定、补充或修改在专用条款中约定。</w:t>
      </w:r>
    </w:p>
    <w:p>
      <w:pPr>
        <w:rPr>
          <w:rFonts w:hint="eastAsia" w:ascii="仿宋" w:hAnsi="仿宋" w:eastAsia="仿宋" w:cs="仿宋"/>
          <w:b w:val="0"/>
          <w:color w:val="auto"/>
          <w:sz w:val="24"/>
          <w:highlight w:val="none"/>
        </w:rPr>
        <w:sectPr>
          <w:pgSz w:w="11906" w:h="16838"/>
          <w:pgMar w:top="1418" w:right="1134" w:bottom="1418" w:left="1134" w:header="851" w:footer="851" w:gutter="0"/>
          <w:pgBorders>
            <w:top w:val="none" w:sz="0" w:space="0"/>
            <w:left w:val="none" w:sz="0" w:space="0"/>
            <w:bottom w:val="none" w:sz="0" w:space="0"/>
            <w:right w:val="none" w:sz="0" w:space="0"/>
          </w:pgBorders>
          <w:lnNumType w:countBy="0" w:distance="360"/>
          <w:pgNumType w:fmt="decimal"/>
          <w:cols w:space="720" w:num="1"/>
          <w:docGrid w:linePitch="312" w:charSpace="0"/>
        </w:sectPr>
      </w:pPr>
    </w:p>
    <w:p>
      <w:pPr>
        <w:pStyle w:val="4"/>
        <w:keepLines w:val="0"/>
        <w:widowControl/>
        <w:rPr>
          <w:rFonts w:hint="eastAsia" w:ascii="仿宋" w:hAnsi="仿宋" w:eastAsia="仿宋" w:cs="仿宋"/>
          <w:b w:val="0"/>
          <w:color w:val="auto"/>
          <w:sz w:val="28"/>
          <w:highlight w:val="none"/>
        </w:rPr>
      </w:pPr>
      <w:bookmarkStart w:id="1083" w:name="_Toc567871591"/>
      <w:bookmarkStart w:id="1084" w:name="_Toc419320333"/>
      <w:bookmarkStart w:id="1085" w:name="_Toc419321369"/>
      <w:bookmarkStart w:id="1086" w:name="_Toc1340418407"/>
      <w:bookmarkStart w:id="1087" w:name="_Toc29605359"/>
      <w:bookmarkStart w:id="1088" w:name="_Toc419363791"/>
      <w:bookmarkStart w:id="1089" w:name="_Toc309777538"/>
      <w:bookmarkStart w:id="1090" w:name="_Toc419364458"/>
      <w:bookmarkStart w:id="1091" w:name="_Toc1173436593"/>
      <w:bookmarkStart w:id="1092" w:name="_Toc700583696"/>
      <w:bookmarkStart w:id="1093" w:name="_Toc333708749"/>
      <w:bookmarkStart w:id="1094" w:name="_Toc611256470"/>
      <w:bookmarkStart w:id="1095" w:name="_Toc844883793"/>
      <w:bookmarkStart w:id="1096" w:name="_Toc20666"/>
      <w:bookmarkStart w:id="1097" w:name="_Toc1621301492"/>
      <w:bookmarkStart w:id="1098" w:name="_Toc433988825"/>
      <w:r>
        <w:rPr>
          <w:rFonts w:hint="eastAsia" w:ascii="仿宋" w:hAnsi="仿宋" w:eastAsia="仿宋" w:cs="仿宋"/>
          <w:b w:val="0"/>
          <w:color w:val="auto"/>
          <w:sz w:val="28"/>
          <w:highlight w:val="none"/>
        </w:rPr>
        <w:t>第三部分  专用合同条款</w:t>
      </w:r>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
    <w:p>
      <w:pPr>
        <w:rPr>
          <w:rFonts w:hint="eastAsia" w:ascii="仿宋" w:hAnsi="仿宋" w:eastAsia="仿宋" w:cs="仿宋"/>
          <w:b w:val="0"/>
          <w:color w:val="auto"/>
          <w:sz w:val="24"/>
          <w:highlight w:val="none"/>
        </w:rPr>
      </w:pPr>
      <w:bookmarkStart w:id="1099" w:name="_Toc800502669"/>
      <w:bookmarkStart w:id="1100" w:name="_Toc1308709419"/>
      <w:bookmarkStart w:id="1101" w:name="_Toc1563142126"/>
      <w:bookmarkStart w:id="1102" w:name="_Toc1606488150"/>
      <w:bookmarkStart w:id="1103" w:name="_Toc419364459"/>
      <w:bookmarkStart w:id="1104" w:name="_Toc28805"/>
      <w:bookmarkStart w:id="1105" w:name="_Toc1941662908"/>
      <w:bookmarkStart w:id="1106" w:name="_Toc419321370"/>
      <w:bookmarkStart w:id="1107" w:name="_Toc800034987"/>
      <w:bookmarkStart w:id="1108" w:name="_Toc57342171"/>
      <w:bookmarkStart w:id="1109" w:name="_Toc14115"/>
      <w:bookmarkStart w:id="1110" w:name="_Toc419363792"/>
      <w:bookmarkStart w:id="1111" w:name="_Toc419320334"/>
      <w:bookmarkStart w:id="1112" w:name="_Toc433988826"/>
      <w:bookmarkStart w:id="1113" w:name="_Toc1508546256"/>
      <w:bookmarkStart w:id="1114" w:name="_Toc24080"/>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第1条 一般规定</w:t>
      </w:r>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p>
    <w:p>
      <w:pPr>
        <w:pStyle w:val="219"/>
        <w:keepNext/>
        <w:keepLines/>
        <w:spacing w:after="0" w:line="360" w:lineRule="auto"/>
        <w:ind w:firstLine="480" w:firstLineChars="200"/>
        <w:rPr>
          <w:rFonts w:hint="eastAsia" w:ascii="仿宋" w:hAnsi="仿宋" w:eastAsia="仿宋" w:cs="仿宋"/>
          <w:b w:val="0"/>
          <w:color w:val="auto"/>
          <w:sz w:val="24"/>
          <w:highlight w:val="none"/>
        </w:rPr>
      </w:pPr>
      <w:bookmarkStart w:id="1115" w:name="_Toc419321371"/>
      <w:bookmarkStart w:id="1116" w:name="_Toc419363793"/>
      <w:bookmarkStart w:id="1117" w:name="_Toc9173"/>
      <w:bookmarkStart w:id="1118" w:name="_Toc419320335"/>
      <w:bookmarkStart w:id="1119" w:name="_Toc433988827"/>
      <w:bookmarkStart w:id="1120" w:name="_Toc419364460"/>
      <w:r>
        <w:rPr>
          <w:rFonts w:hint="eastAsia" w:ascii="仿宋" w:hAnsi="仿宋" w:eastAsia="仿宋" w:cs="仿宋"/>
          <w:b w:val="0"/>
          <w:color w:val="auto"/>
          <w:sz w:val="24"/>
          <w:highlight w:val="none"/>
        </w:rPr>
        <w:t>1.1 定义与解释</w:t>
      </w:r>
      <w:bookmarkEnd w:id="1115"/>
      <w:bookmarkEnd w:id="1116"/>
      <w:bookmarkEnd w:id="1117"/>
      <w:bookmarkEnd w:id="1118"/>
      <w:bookmarkEnd w:id="1119"/>
      <w:bookmarkEnd w:id="1120"/>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1.1.38 工期：为</w:t>
      </w:r>
      <w:r>
        <w:rPr>
          <w:rFonts w:hint="eastAsia" w:ascii="仿宋" w:hAnsi="仿宋" w:eastAsia="仿宋" w:cs="仿宋"/>
          <w:b w:val="0"/>
          <w:color w:val="auto"/>
          <w:sz w:val="24"/>
          <w:highlight w:val="none"/>
          <w:u w:val="single"/>
        </w:rPr>
        <w:t xml:space="preserve">   </w:t>
      </w:r>
      <w:r>
        <w:rPr>
          <w:rFonts w:hint="eastAsia" w:ascii="仿宋" w:hAnsi="仿宋" w:eastAsia="仿宋" w:cs="仿宋"/>
          <w:b w:val="0"/>
          <w:color w:val="auto"/>
          <w:sz w:val="24"/>
          <w:highlight w:val="none"/>
        </w:rPr>
        <w:t>天。</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1.1.54 缺陷责任期期限：12个月。</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1.1.57 双方约定的视为不可抗力时间处理的其它情形如下：</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（1）6级以上的地震；</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（2）10级以上持续1天的大风；</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（3）暴雨级以上持续1天的降雨；</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（4）50年以上未发生过，持续2天的高温天气；</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（5）50年以上未发生过，持续2天的低温天气；</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（6）50年以上未发生过的洪水。</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对上述几种形式，应以造成灾害和影响施工时为准。</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1.1.58 双方根据本合同工程的特点，补充约定的其它定义：</w:t>
      </w:r>
      <w:r>
        <w:rPr>
          <w:rFonts w:hint="eastAsia" w:ascii="仿宋" w:hAnsi="仿宋" w:eastAsia="仿宋" w:cs="仿宋"/>
          <w:b w:val="0"/>
          <w:color w:val="auto"/>
          <w:sz w:val="24"/>
          <w:highlight w:val="none"/>
          <w:u w:val="single"/>
        </w:rPr>
        <w:t>无。</w:t>
      </w:r>
    </w:p>
    <w:p>
      <w:pPr>
        <w:pStyle w:val="219"/>
        <w:keepNext/>
        <w:keepLines/>
        <w:spacing w:after="0" w:line="360" w:lineRule="auto"/>
        <w:ind w:firstLine="480" w:firstLineChars="200"/>
        <w:rPr>
          <w:rFonts w:hint="eastAsia" w:ascii="仿宋" w:hAnsi="仿宋" w:eastAsia="仿宋" w:cs="仿宋"/>
          <w:b w:val="0"/>
          <w:color w:val="auto"/>
          <w:sz w:val="24"/>
          <w:highlight w:val="none"/>
        </w:rPr>
      </w:pPr>
      <w:bookmarkStart w:id="1121" w:name="_Toc575"/>
      <w:bookmarkStart w:id="1122" w:name="_Toc419364461"/>
      <w:bookmarkStart w:id="1123" w:name="_Toc419320336"/>
      <w:bookmarkStart w:id="1124" w:name="_Toc419321372"/>
      <w:bookmarkStart w:id="1125" w:name="_Toc433988828"/>
      <w:bookmarkStart w:id="1126" w:name="_Toc419363794"/>
      <w:r>
        <w:rPr>
          <w:rFonts w:hint="eastAsia" w:ascii="仿宋" w:hAnsi="仿宋" w:eastAsia="仿宋" w:cs="仿宋"/>
          <w:b w:val="0"/>
          <w:color w:val="auto"/>
          <w:sz w:val="24"/>
          <w:highlight w:val="none"/>
        </w:rPr>
        <w:t>1.3 语言文字</w:t>
      </w:r>
      <w:bookmarkEnd w:id="1121"/>
      <w:bookmarkEnd w:id="1122"/>
      <w:bookmarkEnd w:id="1123"/>
      <w:bookmarkEnd w:id="1124"/>
      <w:bookmarkEnd w:id="1125"/>
      <w:bookmarkEnd w:id="1126"/>
    </w:p>
    <w:p>
      <w:pPr>
        <w:pStyle w:val="219"/>
        <w:spacing w:after="0" w:line="360" w:lineRule="auto"/>
        <w:ind w:firstLine="480" w:firstLineChars="200"/>
        <w:rPr>
          <w:rFonts w:hint="eastAsia" w:ascii="仿宋" w:hAnsi="仿宋" w:eastAsia="仿宋" w:cs="仿宋"/>
          <w:b w:val="0"/>
          <w:color w:val="auto"/>
          <w:sz w:val="24"/>
          <w:highlight w:val="none"/>
        </w:rPr>
      </w:pPr>
      <w:bookmarkStart w:id="1127" w:name="_Toc419364462"/>
      <w:bookmarkStart w:id="1128" w:name="_Toc419321373"/>
      <w:bookmarkStart w:id="1129" w:name="_Toc433988829"/>
      <w:bookmarkStart w:id="1130" w:name="_Toc419363795"/>
      <w:bookmarkStart w:id="1131" w:name="_Toc11422"/>
      <w:bookmarkStart w:id="1132" w:name="_Toc419320337"/>
      <w:r>
        <w:rPr>
          <w:rFonts w:hint="eastAsia" w:ascii="仿宋" w:hAnsi="仿宋" w:eastAsia="仿宋" w:cs="仿宋"/>
          <w:b w:val="0"/>
          <w:color w:val="auto"/>
          <w:sz w:val="24"/>
          <w:highlight w:val="none"/>
        </w:rPr>
        <w:t>除专用术语外，语言均使用中文。必要时专用术语应附有中文注释。</w:t>
      </w:r>
    </w:p>
    <w:p>
      <w:pPr>
        <w:pStyle w:val="219"/>
        <w:keepNext/>
        <w:keepLines/>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1.4 适用法律</w:t>
      </w:r>
      <w:bookmarkEnd w:id="1127"/>
      <w:bookmarkEnd w:id="1128"/>
      <w:bookmarkEnd w:id="1129"/>
      <w:bookmarkEnd w:id="1130"/>
      <w:bookmarkEnd w:id="1131"/>
      <w:bookmarkEnd w:id="1132"/>
    </w:p>
    <w:p>
      <w:pPr>
        <w:pStyle w:val="219"/>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rPr>
        <w:t>合同双方需要明示的法律、行政法规、地方性法规：</w:t>
      </w:r>
      <w:r>
        <w:rPr>
          <w:rFonts w:hint="eastAsia" w:ascii="仿宋" w:hAnsi="仿宋" w:eastAsia="仿宋" w:cs="仿宋"/>
          <w:b w:val="0"/>
          <w:color w:val="auto"/>
          <w:sz w:val="24"/>
          <w:highlight w:val="none"/>
          <w:u w:val="single"/>
        </w:rPr>
        <w:t>工程所在地的政府及相关主管部门制定的规范性文件。</w:t>
      </w:r>
    </w:p>
    <w:p>
      <w:pPr>
        <w:pStyle w:val="219"/>
        <w:keepNext/>
        <w:keepLines/>
        <w:spacing w:after="0" w:line="360" w:lineRule="auto"/>
        <w:ind w:firstLine="480" w:firstLineChars="200"/>
        <w:rPr>
          <w:rFonts w:hint="eastAsia" w:ascii="仿宋" w:hAnsi="仿宋" w:eastAsia="仿宋" w:cs="仿宋"/>
          <w:b w:val="0"/>
          <w:color w:val="auto"/>
          <w:sz w:val="24"/>
          <w:highlight w:val="none"/>
        </w:rPr>
      </w:pPr>
      <w:bookmarkStart w:id="1133" w:name="_Toc433988830"/>
      <w:bookmarkStart w:id="1134" w:name="_Toc4253"/>
      <w:bookmarkStart w:id="1135" w:name="_Toc419320338"/>
      <w:bookmarkStart w:id="1136" w:name="_Toc419364463"/>
      <w:bookmarkStart w:id="1137" w:name="_Toc419321374"/>
      <w:bookmarkStart w:id="1138" w:name="_Toc419363796"/>
      <w:r>
        <w:rPr>
          <w:rFonts w:hint="eastAsia" w:ascii="仿宋" w:hAnsi="仿宋" w:eastAsia="仿宋" w:cs="仿宋"/>
          <w:b w:val="0"/>
          <w:color w:val="auto"/>
          <w:sz w:val="24"/>
          <w:highlight w:val="none"/>
        </w:rPr>
        <w:t>1.5 标准、规范</w:t>
      </w:r>
      <w:bookmarkEnd w:id="1133"/>
      <w:bookmarkEnd w:id="1134"/>
      <w:bookmarkEnd w:id="1135"/>
      <w:bookmarkEnd w:id="1136"/>
      <w:bookmarkEnd w:id="1137"/>
      <w:bookmarkEnd w:id="1138"/>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1.5.1 本合同适用的标准、规范（名称）：</w:t>
      </w:r>
      <w:r>
        <w:rPr>
          <w:rFonts w:hint="eastAsia" w:ascii="仿宋" w:hAnsi="仿宋" w:eastAsia="仿宋" w:cs="仿宋"/>
          <w:b w:val="0"/>
          <w:color w:val="auto"/>
          <w:sz w:val="24"/>
          <w:highlight w:val="none"/>
          <w:u w:val="single"/>
        </w:rPr>
        <w:t>现行的国家标准、行业标准、地方规范性文件。</w:t>
      </w:r>
    </w:p>
    <w:p>
      <w:pPr>
        <w:pStyle w:val="219"/>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rPr>
        <w:t>1.5.2 发包人提供的国外标准、规范的名称、份数和时间：</w:t>
      </w:r>
      <w:r>
        <w:rPr>
          <w:rFonts w:hint="eastAsia" w:ascii="仿宋" w:hAnsi="仿宋" w:eastAsia="仿宋" w:cs="仿宋"/>
          <w:b w:val="0"/>
          <w:color w:val="auto"/>
          <w:sz w:val="24"/>
          <w:highlight w:val="none"/>
          <w:u w:val="single"/>
        </w:rPr>
        <w:t xml:space="preserve">  /  </w:t>
      </w:r>
      <w:r>
        <w:rPr>
          <w:rFonts w:hint="eastAsia" w:ascii="仿宋" w:hAnsi="仿宋" w:eastAsia="仿宋" w:cs="仿宋"/>
          <w:b w:val="0"/>
          <w:color w:val="auto"/>
          <w:sz w:val="24"/>
          <w:highlight w:val="none"/>
        </w:rPr>
        <w:t>。</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1.5.3 没有成文规范、标准规定的约定：</w:t>
      </w:r>
      <w:r>
        <w:rPr>
          <w:rFonts w:hint="eastAsia" w:ascii="仿宋" w:hAnsi="仿宋" w:eastAsia="仿宋" w:cs="仿宋"/>
          <w:b w:val="0"/>
          <w:color w:val="auto"/>
          <w:sz w:val="24"/>
          <w:highlight w:val="none"/>
          <w:u w:val="single"/>
        </w:rPr>
        <w:t xml:space="preserve">  /  。</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发包人的技术要求及提交时间：</w:t>
      </w:r>
      <w:r>
        <w:rPr>
          <w:rFonts w:hint="eastAsia" w:ascii="仿宋" w:hAnsi="仿宋" w:eastAsia="仿宋" w:cs="仿宋"/>
          <w:b w:val="0"/>
          <w:color w:val="auto"/>
          <w:sz w:val="24"/>
          <w:highlight w:val="none"/>
          <w:u w:val="single"/>
        </w:rPr>
        <w:t>如有另行约定。</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承包人提交实施方法的时间：</w:t>
      </w:r>
      <w:r>
        <w:rPr>
          <w:rFonts w:hint="eastAsia" w:ascii="仿宋" w:hAnsi="仿宋" w:eastAsia="仿宋" w:cs="仿宋"/>
          <w:b w:val="0"/>
          <w:color w:val="auto"/>
          <w:sz w:val="24"/>
          <w:highlight w:val="none"/>
          <w:u w:val="single"/>
        </w:rPr>
        <w:t>实施前15天。</w:t>
      </w:r>
    </w:p>
    <w:p>
      <w:pPr>
        <w:pStyle w:val="219"/>
        <w:keepNext/>
        <w:keepLines/>
        <w:spacing w:after="0" w:line="360" w:lineRule="auto"/>
        <w:ind w:firstLine="480" w:firstLineChars="200"/>
        <w:rPr>
          <w:rFonts w:hint="eastAsia" w:ascii="仿宋" w:hAnsi="仿宋" w:eastAsia="仿宋" w:cs="仿宋"/>
          <w:b w:val="0"/>
          <w:color w:val="auto"/>
          <w:sz w:val="24"/>
          <w:highlight w:val="none"/>
        </w:rPr>
      </w:pPr>
      <w:bookmarkStart w:id="1139" w:name="_Toc433988831"/>
      <w:bookmarkStart w:id="1140" w:name="_Toc419363797"/>
      <w:bookmarkStart w:id="1141" w:name="_Toc24445"/>
      <w:bookmarkStart w:id="1142" w:name="_Toc419364464"/>
      <w:bookmarkStart w:id="1143" w:name="_Toc419321375"/>
      <w:bookmarkStart w:id="1144" w:name="_Toc419320339"/>
      <w:r>
        <w:rPr>
          <w:rFonts w:hint="eastAsia" w:ascii="仿宋" w:hAnsi="仿宋" w:eastAsia="仿宋" w:cs="仿宋"/>
          <w:b w:val="0"/>
          <w:color w:val="auto"/>
          <w:sz w:val="24"/>
          <w:highlight w:val="none"/>
        </w:rPr>
        <w:t>1.6 保密事项</w:t>
      </w:r>
      <w:bookmarkEnd w:id="1139"/>
      <w:bookmarkEnd w:id="1140"/>
      <w:bookmarkEnd w:id="1141"/>
      <w:bookmarkEnd w:id="1142"/>
      <w:bookmarkEnd w:id="1143"/>
      <w:bookmarkEnd w:id="1144"/>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双方签订的商业保密协议（名称）：</w:t>
      </w:r>
      <w:r>
        <w:rPr>
          <w:rFonts w:hint="eastAsia" w:ascii="仿宋" w:hAnsi="仿宋" w:eastAsia="仿宋" w:cs="仿宋"/>
          <w:b w:val="0"/>
          <w:color w:val="auto"/>
          <w:sz w:val="24"/>
          <w:highlight w:val="none"/>
          <w:u w:val="single"/>
        </w:rPr>
        <w:t>如有时另行签订，作为本合同附件。</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双方签订的技术保密协议（名称）：</w:t>
      </w:r>
      <w:r>
        <w:rPr>
          <w:rFonts w:hint="eastAsia" w:ascii="仿宋" w:hAnsi="仿宋" w:eastAsia="仿宋" w:cs="仿宋"/>
          <w:b w:val="0"/>
          <w:color w:val="auto"/>
          <w:sz w:val="24"/>
          <w:highlight w:val="none"/>
          <w:u w:val="single"/>
        </w:rPr>
        <w:t>如有时另行签订，作为本合同附件。</w:t>
      </w:r>
    </w:p>
    <w:p>
      <w:pPr>
        <w:spacing w:after="0" w:line="360" w:lineRule="auto"/>
        <w:ind w:firstLine="480" w:firstLineChars="200"/>
        <w:rPr>
          <w:rFonts w:hint="eastAsia" w:ascii="仿宋" w:hAnsi="仿宋" w:eastAsia="仿宋" w:cs="仿宋"/>
          <w:b w:val="0"/>
          <w:color w:val="auto"/>
          <w:sz w:val="24"/>
          <w:highlight w:val="none"/>
        </w:rPr>
      </w:pPr>
      <w:bookmarkStart w:id="1145" w:name="_Toc951692559"/>
      <w:bookmarkStart w:id="1146" w:name="_Toc1367"/>
      <w:bookmarkStart w:id="1147" w:name="_Toc433988832"/>
      <w:bookmarkStart w:id="1148" w:name="_Toc1562257931"/>
      <w:bookmarkStart w:id="1149" w:name="_Toc2081926966"/>
      <w:bookmarkStart w:id="1150" w:name="_Toc419321376"/>
      <w:bookmarkStart w:id="1151" w:name="_Toc63309428"/>
      <w:bookmarkStart w:id="1152" w:name="_Toc21940"/>
      <w:bookmarkStart w:id="1153" w:name="_Toc419320340"/>
      <w:bookmarkStart w:id="1154" w:name="_Toc792912642"/>
      <w:bookmarkStart w:id="1155" w:name="_Toc1677194141"/>
      <w:bookmarkStart w:id="1156" w:name="_Toc419363798"/>
      <w:bookmarkStart w:id="1157" w:name="_Toc28438"/>
      <w:bookmarkStart w:id="1158" w:name="_Toc419364465"/>
      <w:bookmarkStart w:id="1159" w:name="_Toc366994944"/>
      <w:bookmarkStart w:id="1160" w:name="_Toc944988110"/>
      <w:r>
        <w:rPr>
          <w:rFonts w:hint="eastAsia" w:ascii="仿宋" w:hAnsi="仿宋" w:eastAsia="仿宋" w:cs="仿宋"/>
          <w:b w:val="0"/>
          <w:color w:val="auto"/>
          <w:sz w:val="24"/>
          <w:highlight w:val="none"/>
        </w:rPr>
        <w:t>第2条 发包人</w:t>
      </w:r>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p>
    <w:p>
      <w:pPr>
        <w:pStyle w:val="219"/>
        <w:keepNext/>
        <w:keepLines/>
        <w:spacing w:after="0" w:line="360" w:lineRule="auto"/>
        <w:ind w:firstLine="480" w:firstLineChars="200"/>
        <w:rPr>
          <w:rFonts w:hint="eastAsia" w:ascii="仿宋" w:hAnsi="仿宋" w:eastAsia="仿宋" w:cs="仿宋"/>
          <w:b w:val="0"/>
          <w:color w:val="auto"/>
          <w:sz w:val="24"/>
          <w:highlight w:val="none"/>
        </w:rPr>
      </w:pPr>
      <w:bookmarkStart w:id="1161" w:name="_Toc419364466"/>
      <w:bookmarkStart w:id="1162" w:name="_Toc419321377"/>
      <w:bookmarkStart w:id="1163" w:name="_Toc419320341"/>
      <w:bookmarkStart w:id="1164" w:name="_Toc4157"/>
      <w:bookmarkStart w:id="1165" w:name="_Toc433988833"/>
      <w:bookmarkStart w:id="1166" w:name="_Toc419363799"/>
      <w:r>
        <w:rPr>
          <w:rFonts w:hint="eastAsia" w:ascii="仿宋" w:hAnsi="仿宋" w:eastAsia="仿宋" w:cs="仿宋"/>
          <w:b w:val="0"/>
          <w:color w:val="auto"/>
          <w:sz w:val="24"/>
          <w:highlight w:val="none"/>
        </w:rPr>
        <w:t>2.2 发包人代表</w:t>
      </w:r>
      <w:bookmarkEnd w:id="1161"/>
      <w:bookmarkEnd w:id="1162"/>
      <w:bookmarkEnd w:id="1163"/>
      <w:bookmarkEnd w:id="1164"/>
      <w:bookmarkEnd w:id="1165"/>
      <w:bookmarkEnd w:id="1166"/>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发包人代表的姓名：</w:t>
      </w:r>
      <w:r>
        <w:rPr>
          <w:rFonts w:hint="eastAsia" w:ascii="仿宋" w:hAnsi="仿宋" w:eastAsia="仿宋" w:cs="仿宋"/>
          <w:b w:val="0"/>
          <w:color w:val="auto"/>
          <w:sz w:val="24"/>
          <w:highlight w:val="none"/>
          <w:u w:val="single"/>
        </w:rPr>
        <w:t xml:space="preserve">     </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发包人代表的职务：</w:t>
      </w:r>
      <w:r>
        <w:rPr>
          <w:rFonts w:hint="eastAsia" w:ascii="仿宋" w:hAnsi="仿宋" w:eastAsia="仿宋" w:cs="仿宋"/>
          <w:b w:val="0"/>
          <w:color w:val="auto"/>
          <w:sz w:val="24"/>
          <w:highlight w:val="none"/>
          <w:u w:val="single"/>
        </w:rPr>
        <w:t xml:space="preserve">     </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联系电话：</w:t>
      </w:r>
      <w:r>
        <w:rPr>
          <w:rFonts w:hint="eastAsia" w:ascii="仿宋" w:hAnsi="仿宋" w:eastAsia="仿宋" w:cs="仿宋"/>
          <w:b w:val="0"/>
          <w:color w:val="auto"/>
          <w:sz w:val="24"/>
          <w:highlight w:val="none"/>
          <w:u w:val="single"/>
        </w:rPr>
        <w:t xml:space="preserve">     </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联系邮箱：</w:t>
      </w:r>
      <w:r>
        <w:rPr>
          <w:rFonts w:hint="eastAsia" w:ascii="仿宋" w:hAnsi="仿宋" w:eastAsia="仿宋" w:cs="仿宋"/>
          <w:b w:val="0"/>
          <w:color w:val="auto"/>
          <w:sz w:val="24"/>
          <w:highlight w:val="none"/>
          <w:u w:val="single"/>
        </w:rPr>
        <w:t xml:space="preserve">     </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发包人代表的职责：</w:t>
      </w:r>
      <w:r>
        <w:rPr>
          <w:rFonts w:hint="eastAsia" w:ascii="仿宋" w:hAnsi="仿宋" w:eastAsia="仿宋" w:cs="仿宋"/>
          <w:b w:val="0"/>
          <w:color w:val="auto"/>
          <w:sz w:val="24"/>
          <w:highlight w:val="none"/>
          <w:u w:val="single"/>
        </w:rPr>
        <w:t xml:space="preserve">     </w:t>
      </w:r>
    </w:p>
    <w:p>
      <w:pPr>
        <w:pStyle w:val="219"/>
        <w:keepNext/>
        <w:keepLines/>
        <w:spacing w:after="0" w:line="360" w:lineRule="auto"/>
        <w:ind w:firstLine="480" w:firstLineChars="200"/>
        <w:rPr>
          <w:rFonts w:hint="eastAsia" w:ascii="仿宋" w:hAnsi="仿宋" w:eastAsia="仿宋" w:cs="仿宋"/>
          <w:b w:val="0"/>
          <w:color w:val="auto"/>
          <w:sz w:val="24"/>
          <w:highlight w:val="none"/>
        </w:rPr>
      </w:pPr>
      <w:bookmarkStart w:id="1167" w:name="_Toc30724"/>
      <w:bookmarkStart w:id="1168" w:name="_Toc419363800"/>
      <w:bookmarkStart w:id="1169" w:name="_Toc419364467"/>
      <w:bookmarkStart w:id="1170" w:name="_Toc419320342"/>
      <w:bookmarkStart w:id="1171" w:name="_Toc433988834"/>
      <w:bookmarkStart w:id="1172" w:name="_Toc419321378"/>
      <w:r>
        <w:rPr>
          <w:rFonts w:hint="eastAsia" w:ascii="仿宋" w:hAnsi="仿宋" w:eastAsia="仿宋" w:cs="仿宋"/>
          <w:b w:val="0"/>
          <w:color w:val="auto"/>
          <w:sz w:val="24"/>
          <w:highlight w:val="none"/>
        </w:rPr>
        <w:t>2.3 监理人</w:t>
      </w:r>
      <w:bookmarkEnd w:id="1167"/>
      <w:bookmarkEnd w:id="1168"/>
      <w:bookmarkEnd w:id="1169"/>
      <w:bookmarkEnd w:id="1170"/>
      <w:bookmarkEnd w:id="1171"/>
      <w:bookmarkEnd w:id="1172"/>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2.3.1 监理单位名称：</w:t>
      </w:r>
      <w:r>
        <w:rPr>
          <w:rFonts w:hint="eastAsia" w:ascii="仿宋" w:hAnsi="仿宋" w:eastAsia="仿宋" w:cs="仿宋"/>
          <w:b w:val="0"/>
          <w:color w:val="auto"/>
          <w:sz w:val="24"/>
          <w:highlight w:val="none"/>
          <w:u w:val="single"/>
        </w:rPr>
        <w:t xml:space="preserve">     </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工程总监理姓名：</w:t>
      </w:r>
      <w:r>
        <w:rPr>
          <w:rFonts w:hint="eastAsia" w:ascii="仿宋" w:hAnsi="仿宋" w:eastAsia="仿宋" w:cs="仿宋"/>
          <w:b w:val="0"/>
          <w:color w:val="auto"/>
          <w:sz w:val="24"/>
          <w:highlight w:val="none"/>
          <w:u w:val="single"/>
        </w:rPr>
        <w:t xml:space="preserve">     </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监理的范围：</w:t>
      </w:r>
      <w:r>
        <w:rPr>
          <w:rFonts w:hint="eastAsia" w:ascii="仿宋" w:hAnsi="仿宋" w:eastAsia="仿宋" w:cs="仿宋"/>
          <w:b w:val="0"/>
          <w:color w:val="auto"/>
          <w:sz w:val="24"/>
          <w:highlight w:val="none"/>
          <w:u w:val="single"/>
        </w:rPr>
        <w:t xml:space="preserve">     </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监理的内容：</w:t>
      </w:r>
      <w:r>
        <w:rPr>
          <w:rFonts w:hint="eastAsia" w:ascii="仿宋" w:hAnsi="仿宋" w:eastAsia="仿宋" w:cs="仿宋"/>
          <w:b w:val="0"/>
          <w:color w:val="auto"/>
          <w:sz w:val="24"/>
          <w:highlight w:val="none"/>
          <w:u w:val="single"/>
        </w:rPr>
        <w:t xml:space="preserve">     </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监理的权限：</w:t>
      </w:r>
      <w:r>
        <w:rPr>
          <w:rFonts w:hint="eastAsia" w:ascii="仿宋" w:hAnsi="仿宋" w:eastAsia="仿宋" w:cs="仿宋"/>
          <w:b w:val="0"/>
          <w:color w:val="auto"/>
          <w:sz w:val="24"/>
          <w:highlight w:val="none"/>
          <w:u w:val="single"/>
        </w:rPr>
        <w:t xml:space="preserve">     </w:t>
      </w:r>
    </w:p>
    <w:p>
      <w:pPr>
        <w:pStyle w:val="219"/>
        <w:keepNext/>
        <w:keepLines/>
        <w:spacing w:after="0" w:line="360" w:lineRule="auto"/>
        <w:ind w:firstLine="480" w:firstLineChars="200"/>
        <w:rPr>
          <w:rFonts w:hint="eastAsia" w:ascii="仿宋" w:hAnsi="仿宋" w:eastAsia="仿宋" w:cs="仿宋"/>
          <w:b w:val="0"/>
          <w:color w:val="auto"/>
          <w:sz w:val="24"/>
          <w:highlight w:val="none"/>
        </w:rPr>
      </w:pPr>
      <w:bookmarkStart w:id="1173" w:name="_Toc28087"/>
      <w:bookmarkStart w:id="1174" w:name="_Toc419320343"/>
      <w:bookmarkStart w:id="1175" w:name="_Toc419363801"/>
      <w:bookmarkStart w:id="1176" w:name="_Toc433988835"/>
      <w:bookmarkStart w:id="1177" w:name="_Toc419321379"/>
      <w:bookmarkStart w:id="1178" w:name="_Toc419364468"/>
      <w:r>
        <w:rPr>
          <w:rFonts w:hint="eastAsia" w:ascii="仿宋" w:hAnsi="仿宋" w:eastAsia="仿宋" w:cs="仿宋"/>
          <w:b w:val="0"/>
          <w:color w:val="auto"/>
          <w:sz w:val="24"/>
          <w:highlight w:val="none"/>
        </w:rPr>
        <w:t>2.5 保安责任</w:t>
      </w:r>
      <w:bookmarkEnd w:id="1173"/>
      <w:bookmarkEnd w:id="1174"/>
      <w:bookmarkEnd w:id="1175"/>
      <w:bookmarkEnd w:id="1176"/>
      <w:bookmarkEnd w:id="1177"/>
      <w:bookmarkEnd w:id="1178"/>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2.5.1 现场保安责任的约定。在以下两者中选择其一，作为合同双方对现场保安责任的约定。</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sym w:font="Wingdings 2" w:char="00A3"/>
      </w:r>
      <w:r>
        <w:rPr>
          <w:rFonts w:hint="eastAsia" w:ascii="仿宋" w:hAnsi="仿宋" w:eastAsia="仿宋" w:cs="仿宋"/>
          <w:b w:val="0"/>
          <w:color w:val="auto"/>
          <w:sz w:val="24"/>
          <w:highlight w:val="none"/>
        </w:rPr>
        <w:t>发包人负责保安的归口管理</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sym w:font="Wingdings 2" w:char="0052"/>
      </w:r>
      <w:r>
        <w:rPr>
          <w:rFonts w:hint="eastAsia" w:ascii="仿宋" w:hAnsi="仿宋" w:eastAsia="仿宋" w:cs="仿宋"/>
          <w:b w:val="0"/>
          <w:color w:val="auto"/>
          <w:sz w:val="24"/>
          <w:highlight w:val="none"/>
        </w:rPr>
        <w:t>委托承包人负责保安管理</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2.5.2 保安区域责任划分及双方相关保安制度、责任制度和报告制度的约定：</w:t>
      </w:r>
      <w:r>
        <w:rPr>
          <w:rFonts w:hint="eastAsia" w:ascii="仿宋" w:hAnsi="仿宋" w:eastAsia="仿宋" w:cs="仿宋"/>
          <w:b w:val="0"/>
          <w:color w:val="auto"/>
          <w:sz w:val="24"/>
          <w:highlight w:val="none"/>
          <w:u w:val="single"/>
        </w:rPr>
        <w:t>承包人应当负责统一管理施工场地的治安保卫事项，履行合同工程的治安保卫职责。施工场地治安管理计划和突发治安事件紧急预案编制后报发包人备案。</w:t>
      </w:r>
    </w:p>
    <w:p>
      <w:pPr>
        <w:spacing w:after="0" w:line="360" w:lineRule="auto"/>
        <w:ind w:firstLine="480" w:firstLineChars="200"/>
        <w:rPr>
          <w:rFonts w:hint="eastAsia" w:ascii="仿宋" w:hAnsi="仿宋" w:eastAsia="仿宋" w:cs="仿宋"/>
          <w:b w:val="0"/>
          <w:color w:val="auto"/>
          <w:sz w:val="24"/>
          <w:highlight w:val="none"/>
        </w:rPr>
      </w:pPr>
      <w:bookmarkStart w:id="1179" w:name="_Toc419320344"/>
      <w:bookmarkStart w:id="1180" w:name="_Toc419364469"/>
      <w:bookmarkStart w:id="1181" w:name="_Toc29904"/>
      <w:bookmarkStart w:id="1182" w:name="_Toc27640"/>
      <w:bookmarkStart w:id="1183" w:name="_Toc1733978095"/>
      <w:bookmarkStart w:id="1184" w:name="_Toc1773595205"/>
      <w:bookmarkStart w:id="1185" w:name="_Toc1995456991"/>
      <w:bookmarkStart w:id="1186" w:name="_Toc1346744459"/>
      <w:bookmarkStart w:id="1187" w:name="_Toc638636257"/>
      <w:bookmarkStart w:id="1188" w:name="_Toc419363802"/>
      <w:bookmarkStart w:id="1189" w:name="_Toc433988836"/>
      <w:bookmarkStart w:id="1190" w:name="_Toc731577265"/>
      <w:bookmarkStart w:id="1191" w:name="_Toc510989624"/>
      <w:bookmarkStart w:id="1192" w:name="_Toc3656"/>
      <w:bookmarkStart w:id="1193" w:name="_Toc1037151131"/>
      <w:bookmarkStart w:id="1194" w:name="_Toc419321380"/>
      <w:r>
        <w:rPr>
          <w:rFonts w:hint="eastAsia" w:ascii="仿宋" w:hAnsi="仿宋" w:eastAsia="仿宋" w:cs="仿宋"/>
          <w:b w:val="0"/>
          <w:color w:val="auto"/>
          <w:sz w:val="24"/>
          <w:highlight w:val="none"/>
        </w:rPr>
        <w:t>第3条 承包人</w:t>
      </w:r>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p>
    <w:p>
      <w:pPr>
        <w:pStyle w:val="219"/>
        <w:keepNext/>
        <w:keepLines/>
        <w:spacing w:after="0" w:line="360" w:lineRule="auto"/>
        <w:ind w:firstLine="480" w:firstLineChars="200"/>
        <w:rPr>
          <w:rFonts w:hint="eastAsia" w:ascii="仿宋" w:hAnsi="仿宋" w:eastAsia="仿宋" w:cs="仿宋"/>
          <w:b w:val="0"/>
          <w:color w:val="auto"/>
          <w:sz w:val="24"/>
          <w:highlight w:val="none"/>
        </w:rPr>
      </w:pPr>
      <w:bookmarkStart w:id="1195" w:name="_Toc419363803"/>
      <w:bookmarkStart w:id="1196" w:name="_Toc419364470"/>
      <w:bookmarkStart w:id="1197" w:name="_Toc433988837"/>
      <w:bookmarkStart w:id="1198" w:name="_Toc24531"/>
      <w:bookmarkStart w:id="1199" w:name="_Toc419321381"/>
      <w:bookmarkStart w:id="1200" w:name="_Toc419320345"/>
      <w:r>
        <w:rPr>
          <w:rFonts w:hint="eastAsia" w:ascii="仿宋" w:hAnsi="仿宋" w:eastAsia="仿宋" w:cs="仿宋"/>
          <w:b w:val="0"/>
          <w:color w:val="auto"/>
          <w:sz w:val="24"/>
          <w:highlight w:val="none"/>
        </w:rPr>
        <w:t>3.1 承包人的一般义务和权力</w:t>
      </w:r>
      <w:bookmarkEnd w:id="1195"/>
      <w:bookmarkEnd w:id="1196"/>
      <w:bookmarkEnd w:id="1197"/>
      <w:bookmarkEnd w:id="1198"/>
      <w:bookmarkEnd w:id="1199"/>
      <w:bookmarkEnd w:id="1200"/>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3.1.3 经合同双方商定，承包人应提交的报表类别、名称、要求、报告期、提交的时间和份数：</w:t>
      </w:r>
    </w:p>
    <w:p>
      <w:pPr>
        <w:pStyle w:val="219"/>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u w:val="single"/>
        </w:rPr>
        <w:t>（1）合同签订后7天内承包人向监理人、发包人提交详细施工组织设计文件。</w:t>
      </w:r>
    </w:p>
    <w:p>
      <w:pPr>
        <w:pStyle w:val="219"/>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u w:val="single"/>
        </w:rPr>
        <w:t>（2）项目开工建设后，承包人每月向监理人、发包人提交施工月报。</w:t>
      </w:r>
    </w:p>
    <w:p>
      <w:pPr>
        <w:pStyle w:val="219"/>
        <w:keepNext/>
        <w:keepLines/>
        <w:spacing w:after="0" w:line="360" w:lineRule="auto"/>
        <w:ind w:firstLine="480" w:firstLineChars="200"/>
        <w:rPr>
          <w:rFonts w:hint="eastAsia" w:ascii="仿宋" w:hAnsi="仿宋" w:eastAsia="仿宋" w:cs="仿宋"/>
          <w:b w:val="0"/>
          <w:color w:val="auto"/>
          <w:sz w:val="24"/>
          <w:highlight w:val="none"/>
        </w:rPr>
      </w:pPr>
      <w:bookmarkStart w:id="1201" w:name="_Toc419321382"/>
      <w:bookmarkStart w:id="1202" w:name="_Toc419320346"/>
      <w:bookmarkStart w:id="1203" w:name="_Toc419364471"/>
      <w:bookmarkStart w:id="1204" w:name="_Toc21083"/>
      <w:bookmarkStart w:id="1205" w:name="_Toc433988838"/>
      <w:bookmarkStart w:id="1206" w:name="_Toc419363804"/>
      <w:r>
        <w:rPr>
          <w:rFonts w:hint="eastAsia" w:ascii="仿宋" w:hAnsi="仿宋" w:eastAsia="仿宋" w:cs="仿宋"/>
          <w:b w:val="0"/>
          <w:color w:val="auto"/>
          <w:sz w:val="24"/>
          <w:highlight w:val="none"/>
        </w:rPr>
        <w:t>3.2 项目总负责人</w:t>
      </w:r>
      <w:bookmarkEnd w:id="1201"/>
      <w:bookmarkEnd w:id="1202"/>
      <w:bookmarkEnd w:id="1203"/>
      <w:bookmarkEnd w:id="1204"/>
      <w:bookmarkEnd w:id="1205"/>
      <w:bookmarkEnd w:id="1206"/>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3.2.1 工程总承包项目经理（项目总负责人）姓名：</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执业资格等级：</w:t>
      </w:r>
      <w:r>
        <w:rPr>
          <w:rFonts w:hint="eastAsia" w:ascii="仿宋" w:hAnsi="仿宋" w:eastAsia="仿宋" w:cs="仿宋"/>
          <w:b w:val="0"/>
          <w:color w:val="auto"/>
          <w:sz w:val="24"/>
          <w:highlight w:val="none"/>
          <w:u w:val="single"/>
        </w:rPr>
        <w:t xml:space="preserve">     </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执业资格证书号：</w:t>
      </w:r>
      <w:r>
        <w:rPr>
          <w:rFonts w:hint="eastAsia" w:ascii="仿宋" w:hAnsi="仿宋" w:eastAsia="仿宋" w:cs="仿宋"/>
          <w:b w:val="0"/>
          <w:color w:val="auto"/>
          <w:sz w:val="24"/>
          <w:highlight w:val="none"/>
          <w:u w:val="single"/>
        </w:rPr>
        <w:t xml:space="preserve">     </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注册证书号：</w:t>
      </w:r>
      <w:r>
        <w:rPr>
          <w:rFonts w:hint="eastAsia" w:ascii="仿宋" w:hAnsi="仿宋" w:eastAsia="仿宋" w:cs="仿宋"/>
          <w:b w:val="0"/>
          <w:color w:val="auto"/>
          <w:sz w:val="24"/>
          <w:highlight w:val="none"/>
          <w:u w:val="single"/>
        </w:rPr>
        <w:t xml:space="preserve">     </w:t>
      </w:r>
    </w:p>
    <w:p>
      <w:pPr>
        <w:pStyle w:val="219"/>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rPr>
        <w:t>执业印章号：</w:t>
      </w:r>
      <w:r>
        <w:rPr>
          <w:rFonts w:hint="eastAsia" w:ascii="仿宋" w:hAnsi="仿宋" w:eastAsia="仿宋" w:cs="仿宋"/>
          <w:b w:val="0"/>
          <w:color w:val="auto"/>
          <w:sz w:val="24"/>
          <w:highlight w:val="none"/>
          <w:u w:val="single"/>
        </w:rPr>
        <w:t xml:space="preserve">     </w:t>
      </w:r>
    </w:p>
    <w:p>
      <w:pPr>
        <w:pStyle w:val="219"/>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rPr>
        <w:t>项目总负责人职责：</w:t>
      </w:r>
      <w:r>
        <w:rPr>
          <w:rFonts w:hint="eastAsia" w:ascii="仿宋" w:hAnsi="仿宋" w:eastAsia="仿宋" w:cs="仿宋"/>
          <w:b w:val="0"/>
          <w:color w:val="auto"/>
          <w:sz w:val="24"/>
          <w:highlight w:val="none"/>
          <w:u w:val="single"/>
        </w:rPr>
        <w:t>经授权代表工程总承包企业负责执行项目合同，负责项目实施的计划、组织、领导和控制，对项目的质量、安全、费用和进度全面负责。</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项目总负责人权限：</w:t>
      </w:r>
    </w:p>
    <w:p>
      <w:pPr>
        <w:pStyle w:val="219"/>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u w:val="single"/>
        </w:rPr>
        <w:t>（1）经授权组建工程总承包管理项目部，提出项目部的组织机构，选择、聘用项目部成员，确定项目部人员的职责；</w:t>
      </w:r>
    </w:p>
    <w:p>
      <w:pPr>
        <w:pStyle w:val="219"/>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u w:val="single"/>
        </w:rPr>
        <w:t>（2）在授权范围内，按以上项目总负责人职责规定的职责，行使相应的管理权；</w:t>
      </w:r>
    </w:p>
    <w:p>
      <w:pPr>
        <w:pStyle w:val="219"/>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u w:val="single"/>
        </w:rPr>
        <w:t>（3）在合同范围内，有权按规定程序使用工程总承包企业的相关资源，并取得有关部门的支持；</w:t>
      </w:r>
    </w:p>
    <w:p>
      <w:pPr>
        <w:pStyle w:val="219"/>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u w:val="single"/>
        </w:rPr>
        <w:t>（4）主持项目部的工作，组织制定项目的各项管理规定；</w:t>
      </w:r>
    </w:p>
    <w:p>
      <w:pPr>
        <w:pStyle w:val="219"/>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u w:val="single"/>
        </w:rPr>
        <w:t>（5）根据企业法定代表人授权，协调和处理与项目有关的内、外部事项。</w:t>
      </w:r>
    </w:p>
    <w:p>
      <w:pPr>
        <w:pStyle w:val="219"/>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rPr>
        <w:t>3.2.2 因擅自更换项目总负责人或项目总负责人兼职其它项目经理的违约约定：</w:t>
      </w:r>
      <w:r>
        <w:rPr>
          <w:rFonts w:hint="eastAsia" w:ascii="仿宋" w:hAnsi="仿宋" w:eastAsia="仿宋" w:cs="仿宋"/>
          <w:b w:val="0"/>
          <w:color w:val="auto"/>
          <w:sz w:val="24"/>
          <w:highlight w:val="none"/>
          <w:u w:val="single"/>
        </w:rPr>
        <w:t>每发现一次支付1000元。</w:t>
      </w:r>
    </w:p>
    <w:p>
      <w:pPr>
        <w:pStyle w:val="219"/>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u w:val="single"/>
        </w:rPr>
        <w:t>项目总负责人每月在现场时间未达到合同约定天数的，每少一天应向发包人支付违约金1000元。</w:t>
      </w:r>
    </w:p>
    <w:p>
      <w:pPr>
        <w:pStyle w:val="219"/>
        <w:keepNext/>
        <w:keepLines/>
        <w:spacing w:after="0" w:line="360" w:lineRule="auto"/>
        <w:ind w:firstLine="480" w:firstLineChars="200"/>
        <w:rPr>
          <w:rFonts w:hint="eastAsia" w:ascii="仿宋" w:hAnsi="仿宋" w:eastAsia="仿宋" w:cs="仿宋"/>
          <w:b w:val="0"/>
          <w:color w:val="auto"/>
          <w:sz w:val="24"/>
          <w:highlight w:val="none"/>
        </w:rPr>
      </w:pPr>
      <w:bookmarkStart w:id="1207" w:name="_Toc419363805"/>
      <w:bookmarkStart w:id="1208" w:name="_Toc419364472"/>
      <w:bookmarkStart w:id="1209" w:name="_Toc419321383"/>
      <w:bookmarkStart w:id="1210" w:name="_Toc685"/>
      <w:bookmarkStart w:id="1211" w:name="_Toc433988839"/>
      <w:bookmarkStart w:id="1212" w:name="_Toc419320347"/>
      <w:r>
        <w:rPr>
          <w:rFonts w:hint="eastAsia" w:ascii="仿宋" w:hAnsi="仿宋" w:eastAsia="仿宋" w:cs="仿宋"/>
          <w:b w:val="0"/>
          <w:color w:val="auto"/>
          <w:sz w:val="24"/>
          <w:highlight w:val="none"/>
        </w:rPr>
        <w:t>3.3 项目设计负责人</w:t>
      </w:r>
      <w:bookmarkEnd w:id="1207"/>
      <w:bookmarkEnd w:id="1208"/>
      <w:bookmarkEnd w:id="1209"/>
      <w:bookmarkEnd w:id="1210"/>
      <w:bookmarkEnd w:id="1211"/>
      <w:bookmarkEnd w:id="1212"/>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项目设计负责人姓名：</w:t>
      </w:r>
      <w:r>
        <w:rPr>
          <w:rFonts w:hint="eastAsia" w:ascii="仿宋" w:hAnsi="仿宋" w:eastAsia="仿宋" w:cs="仿宋"/>
          <w:b w:val="0"/>
          <w:color w:val="auto"/>
          <w:sz w:val="24"/>
          <w:highlight w:val="none"/>
          <w:u w:val="single"/>
        </w:rPr>
        <w:t xml:space="preserve">     </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执业资格等级：</w:t>
      </w:r>
      <w:r>
        <w:rPr>
          <w:rFonts w:hint="eastAsia" w:ascii="仿宋" w:hAnsi="仿宋" w:eastAsia="仿宋" w:cs="仿宋"/>
          <w:b w:val="0"/>
          <w:color w:val="auto"/>
          <w:sz w:val="24"/>
          <w:highlight w:val="none"/>
          <w:u w:val="single"/>
        </w:rPr>
        <w:t xml:space="preserve">     </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执业资格证书号：</w:t>
      </w:r>
      <w:r>
        <w:rPr>
          <w:rFonts w:hint="eastAsia" w:ascii="仿宋" w:hAnsi="仿宋" w:eastAsia="仿宋" w:cs="仿宋"/>
          <w:b w:val="0"/>
          <w:color w:val="auto"/>
          <w:sz w:val="24"/>
          <w:highlight w:val="none"/>
          <w:u w:val="single"/>
        </w:rPr>
        <w:t xml:space="preserve">     </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注册证书号：</w:t>
      </w:r>
      <w:r>
        <w:rPr>
          <w:rFonts w:hint="eastAsia" w:ascii="仿宋" w:hAnsi="仿宋" w:eastAsia="仿宋" w:cs="仿宋"/>
          <w:b w:val="0"/>
          <w:color w:val="auto"/>
          <w:sz w:val="24"/>
          <w:highlight w:val="none"/>
          <w:u w:val="single"/>
        </w:rPr>
        <w:t xml:space="preserve">     </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执业印章号：</w:t>
      </w:r>
      <w:r>
        <w:rPr>
          <w:rFonts w:hint="eastAsia" w:ascii="仿宋" w:hAnsi="仿宋" w:eastAsia="仿宋" w:cs="仿宋"/>
          <w:b w:val="0"/>
          <w:color w:val="auto"/>
          <w:sz w:val="24"/>
          <w:highlight w:val="none"/>
          <w:u w:val="single"/>
        </w:rPr>
        <w:t xml:space="preserve">     </w:t>
      </w:r>
    </w:p>
    <w:p>
      <w:pPr>
        <w:pStyle w:val="219"/>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rPr>
        <w:t>设计负责人职责：</w:t>
      </w:r>
      <w:r>
        <w:rPr>
          <w:rFonts w:hint="eastAsia" w:ascii="仿宋" w:hAnsi="仿宋" w:eastAsia="仿宋" w:cs="仿宋"/>
          <w:b w:val="0"/>
          <w:color w:val="auto"/>
          <w:sz w:val="24"/>
          <w:highlight w:val="none"/>
          <w:u w:val="single"/>
        </w:rPr>
        <w:t>设计阶段每日在项目现场，施工阶段在接到业主通知后6小时内到位。</w:t>
      </w:r>
    </w:p>
    <w:p>
      <w:pPr>
        <w:pStyle w:val="219"/>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rPr>
        <w:t>设计负责人权限：</w:t>
      </w:r>
      <w:r>
        <w:rPr>
          <w:rFonts w:hint="eastAsia" w:ascii="仿宋" w:hAnsi="仿宋" w:eastAsia="仿宋" w:cs="仿宋"/>
          <w:b w:val="0"/>
          <w:color w:val="auto"/>
          <w:sz w:val="24"/>
          <w:highlight w:val="none"/>
          <w:u w:val="single"/>
        </w:rPr>
        <w:t>经授权代表工程总承包企业负责执行项目合同，负责项目设计实施的计划、组织、领导和控制，对项目设计的质量、安全、费用和进度全面负责。</w:t>
      </w:r>
    </w:p>
    <w:p>
      <w:pPr>
        <w:pStyle w:val="219"/>
        <w:keepNext/>
        <w:keepLines/>
        <w:spacing w:after="0" w:line="360" w:lineRule="auto"/>
        <w:ind w:firstLine="480" w:firstLineChars="200"/>
        <w:rPr>
          <w:rFonts w:hint="eastAsia" w:ascii="仿宋" w:hAnsi="仿宋" w:eastAsia="仿宋" w:cs="仿宋"/>
          <w:b w:val="0"/>
          <w:color w:val="auto"/>
          <w:sz w:val="24"/>
          <w:highlight w:val="none"/>
        </w:rPr>
      </w:pPr>
      <w:bookmarkStart w:id="1213" w:name="_Toc419320348"/>
      <w:bookmarkStart w:id="1214" w:name="_Toc17252"/>
      <w:bookmarkStart w:id="1215" w:name="_Toc419363806"/>
      <w:bookmarkStart w:id="1216" w:name="_Toc419364473"/>
      <w:bookmarkStart w:id="1217" w:name="_Toc419321384"/>
      <w:bookmarkStart w:id="1218" w:name="_Toc433988840"/>
      <w:r>
        <w:rPr>
          <w:rFonts w:hint="eastAsia" w:ascii="仿宋" w:hAnsi="仿宋" w:eastAsia="仿宋" w:cs="仿宋"/>
          <w:b w:val="0"/>
          <w:color w:val="auto"/>
          <w:sz w:val="24"/>
          <w:highlight w:val="none"/>
        </w:rPr>
        <w:t xml:space="preserve">3.4 </w:t>
      </w:r>
      <w:bookmarkEnd w:id="1213"/>
      <w:bookmarkEnd w:id="1214"/>
      <w:bookmarkEnd w:id="1215"/>
      <w:bookmarkEnd w:id="1216"/>
      <w:bookmarkEnd w:id="1217"/>
      <w:bookmarkEnd w:id="1218"/>
      <w:r>
        <w:rPr>
          <w:rFonts w:hint="eastAsia" w:ascii="仿宋" w:hAnsi="仿宋" w:eastAsia="仿宋" w:cs="仿宋"/>
          <w:b w:val="0"/>
          <w:color w:val="auto"/>
          <w:sz w:val="24"/>
          <w:highlight w:val="none"/>
        </w:rPr>
        <w:t>施工负责人</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姓名：</w:t>
      </w:r>
      <w:r>
        <w:rPr>
          <w:rFonts w:hint="eastAsia" w:ascii="仿宋" w:hAnsi="仿宋" w:eastAsia="仿宋" w:cs="仿宋"/>
          <w:b w:val="0"/>
          <w:color w:val="auto"/>
          <w:sz w:val="24"/>
          <w:highlight w:val="none"/>
          <w:u w:val="single"/>
        </w:rPr>
        <w:t xml:space="preserve">     </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执业资格等级：</w:t>
      </w:r>
      <w:r>
        <w:rPr>
          <w:rFonts w:hint="eastAsia" w:ascii="仿宋" w:hAnsi="仿宋" w:eastAsia="仿宋" w:cs="仿宋"/>
          <w:b w:val="0"/>
          <w:color w:val="auto"/>
          <w:sz w:val="24"/>
          <w:highlight w:val="none"/>
          <w:u w:val="single"/>
        </w:rPr>
        <w:t xml:space="preserve">     </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执业资格证书号：</w:t>
      </w:r>
      <w:r>
        <w:rPr>
          <w:rFonts w:hint="eastAsia" w:ascii="仿宋" w:hAnsi="仿宋" w:eastAsia="仿宋" w:cs="仿宋"/>
          <w:b w:val="0"/>
          <w:color w:val="auto"/>
          <w:sz w:val="24"/>
          <w:highlight w:val="none"/>
          <w:u w:val="single"/>
        </w:rPr>
        <w:t xml:space="preserve">     </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注册证书号：</w:t>
      </w:r>
      <w:r>
        <w:rPr>
          <w:rFonts w:hint="eastAsia" w:ascii="仿宋" w:hAnsi="仿宋" w:eastAsia="仿宋" w:cs="仿宋"/>
          <w:b w:val="0"/>
          <w:color w:val="auto"/>
          <w:sz w:val="24"/>
          <w:highlight w:val="none"/>
          <w:u w:val="single"/>
        </w:rPr>
        <w:t xml:space="preserve">     </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执业印章号：</w:t>
      </w:r>
      <w:r>
        <w:rPr>
          <w:rFonts w:hint="eastAsia" w:ascii="仿宋" w:hAnsi="仿宋" w:eastAsia="仿宋" w:cs="仿宋"/>
          <w:b w:val="0"/>
          <w:color w:val="auto"/>
          <w:sz w:val="24"/>
          <w:highlight w:val="none"/>
          <w:u w:val="single"/>
        </w:rPr>
        <w:t xml:space="preserve">     </w:t>
      </w:r>
    </w:p>
    <w:p>
      <w:pPr>
        <w:pStyle w:val="219"/>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rPr>
        <w:t>职责：</w:t>
      </w:r>
      <w:r>
        <w:rPr>
          <w:rFonts w:hint="eastAsia" w:ascii="仿宋" w:hAnsi="仿宋" w:eastAsia="仿宋" w:cs="仿宋"/>
          <w:b w:val="0"/>
          <w:color w:val="auto"/>
          <w:sz w:val="24"/>
          <w:highlight w:val="none"/>
          <w:u w:val="single"/>
        </w:rPr>
        <w:t>在授权范围内履行本项目的建筑施工总承包管理职责，为工程参与各方做好协调和服务，在资金、质量、安全、环境保护、文明施工等合约目标范围向业主直接负责，项目全过程在岗。</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权限：合同约定范围的权利、义务。</w:t>
      </w:r>
    </w:p>
    <w:p>
      <w:pPr>
        <w:pStyle w:val="219"/>
        <w:keepNext/>
        <w:keepLines/>
        <w:spacing w:after="0" w:line="360" w:lineRule="auto"/>
        <w:ind w:firstLine="480" w:firstLineChars="200"/>
        <w:rPr>
          <w:rFonts w:hint="eastAsia" w:ascii="仿宋" w:hAnsi="仿宋" w:eastAsia="仿宋" w:cs="仿宋"/>
          <w:b w:val="0"/>
          <w:color w:val="auto"/>
          <w:sz w:val="24"/>
          <w:highlight w:val="none"/>
        </w:rPr>
      </w:pPr>
      <w:bookmarkStart w:id="1219" w:name="_Toc4073"/>
      <w:bookmarkStart w:id="1220" w:name="_Toc433988841"/>
      <w:r>
        <w:rPr>
          <w:rFonts w:hint="eastAsia" w:ascii="仿宋" w:hAnsi="仿宋" w:eastAsia="仿宋" w:cs="仿宋"/>
          <w:b w:val="0"/>
          <w:color w:val="auto"/>
          <w:sz w:val="24"/>
          <w:highlight w:val="none"/>
        </w:rPr>
        <w:t>3.5 项目采购负责人（如有）</w:t>
      </w:r>
      <w:bookmarkEnd w:id="1219"/>
      <w:bookmarkEnd w:id="1220"/>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项目采购负责人姓名：</w:t>
      </w:r>
      <w:r>
        <w:rPr>
          <w:rFonts w:hint="eastAsia" w:ascii="仿宋" w:hAnsi="仿宋" w:eastAsia="仿宋" w:cs="仿宋"/>
          <w:b w:val="0"/>
          <w:color w:val="auto"/>
          <w:sz w:val="24"/>
          <w:highlight w:val="none"/>
          <w:u w:val="single"/>
        </w:rPr>
        <w:t xml:space="preserve">     </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项目采购负责人职责：</w:t>
      </w:r>
      <w:r>
        <w:rPr>
          <w:rFonts w:hint="eastAsia" w:ascii="仿宋" w:hAnsi="仿宋" w:eastAsia="仿宋" w:cs="仿宋"/>
          <w:b w:val="0"/>
          <w:color w:val="auto"/>
          <w:sz w:val="24"/>
          <w:highlight w:val="none"/>
          <w:u w:val="single"/>
        </w:rPr>
        <w:t xml:space="preserve">     </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项目采购负责人权限：</w:t>
      </w:r>
      <w:r>
        <w:rPr>
          <w:rFonts w:hint="eastAsia" w:ascii="仿宋" w:hAnsi="仿宋" w:eastAsia="仿宋" w:cs="仿宋"/>
          <w:b w:val="0"/>
          <w:color w:val="auto"/>
          <w:sz w:val="24"/>
          <w:highlight w:val="none"/>
          <w:u w:val="single"/>
        </w:rPr>
        <w:t xml:space="preserve">     </w:t>
      </w:r>
    </w:p>
    <w:p>
      <w:pPr>
        <w:pStyle w:val="219"/>
        <w:keepNext/>
        <w:keepLines/>
        <w:spacing w:after="0" w:line="360" w:lineRule="auto"/>
        <w:ind w:firstLine="480" w:firstLineChars="200"/>
        <w:rPr>
          <w:rFonts w:hint="eastAsia" w:ascii="仿宋" w:hAnsi="仿宋" w:eastAsia="仿宋" w:cs="仿宋"/>
          <w:b w:val="0"/>
          <w:color w:val="auto"/>
          <w:sz w:val="24"/>
          <w:highlight w:val="none"/>
        </w:rPr>
      </w:pPr>
      <w:bookmarkStart w:id="1221" w:name="_Toc433988842"/>
      <w:bookmarkStart w:id="1222" w:name="_Toc13134"/>
      <w:r>
        <w:rPr>
          <w:rFonts w:hint="eastAsia" w:ascii="仿宋" w:hAnsi="仿宋" w:eastAsia="仿宋" w:cs="仿宋"/>
          <w:b w:val="0"/>
          <w:color w:val="auto"/>
          <w:sz w:val="24"/>
          <w:highlight w:val="none"/>
        </w:rPr>
        <w:t>3.6 专职安全员</w:t>
      </w:r>
      <w:bookmarkEnd w:id="1221"/>
      <w:bookmarkEnd w:id="1222"/>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3.6.1 专职安全员1</w:t>
      </w:r>
    </w:p>
    <w:p>
      <w:pPr>
        <w:pStyle w:val="219"/>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rPr>
        <w:t>姓名：</w:t>
      </w:r>
      <w:r>
        <w:rPr>
          <w:rFonts w:hint="eastAsia" w:ascii="仿宋" w:hAnsi="仿宋" w:eastAsia="仿宋" w:cs="仿宋"/>
          <w:b w:val="0"/>
          <w:color w:val="auto"/>
          <w:sz w:val="24"/>
          <w:highlight w:val="none"/>
          <w:u w:val="single"/>
        </w:rPr>
        <w:t xml:space="preserve">     </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C证证书号：</w:t>
      </w:r>
      <w:r>
        <w:rPr>
          <w:rFonts w:hint="eastAsia" w:ascii="仿宋" w:hAnsi="仿宋" w:eastAsia="仿宋" w:cs="仿宋"/>
          <w:b w:val="0"/>
          <w:color w:val="auto"/>
          <w:sz w:val="24"/>
          <w:highlight w:val="none"/>
          <w:u w:val="single"/>
        </w:rPr>
        <w:t xml:space="preserve">     </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3.6.2 专职安全员2</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姓名：</w:t>
      </w:r>
      <w:r>
        <w:rPr>
          <w:rFonts w:hint="eastAsia" w:ascii="仿宋" w:hAnsi="仿宋" w:eastAsia="仿宋" w:cs="仿宋"/>
          <w:b w:val="0"/>
          <w:color w:val="auto"/>
          <w:sz w:val="24"/>
          <w:highlight w:val="none"/>
          <w:u w:val="single"/>
        </w:rPr>
        <w:t xml:space="preserve">     </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C证证书号：</w:t>
      </w:r>
      <w:r>
        <w:rPr>
          <w:rFonts w:hint="eastAsia" w:ascii="仿宋" w:hAnsi="仿宋" w:eastAsia="仿宋" w:cs="仿宋"/>
          <w:b w:val="0"/>
          <w:color w:val="auto"/>
          <w:sz w:val="24"/>
          <w:highlight w:val="none"/>
          <w:u w:val="single"/>
        </w:rPr>
        <w:t xml:space="preserve">     </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3.6.3 专职安全员3</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姓名：</w:t>
      </w:r>
      <w:r>
        <w:rPr>
          <w:rFonts w:hint="eastAsia" w:ascii="仿宋" w:hAnsi="仿宋" w:eastAsia="仿宋" w:cs="仿宋"/>
          <w:b w:val="0"/>
          <w:color w:val="auto"/>
          <w:sz w:val="24"/>
          <w:highlight w:val="none"/>
          <w:u w:val="single"/>
        </w:rPr>
        <w:t xml:space="preserve">     </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C证证书号：</w:t>
      </w:r>
      <w:r>
        <w:rPr>
          <w:rFonts w:hint="eastAsia" w:ascii="仿宋" w:hAnsi="仿宋" w:eastAsia="仿宋" w:cs="仿宋"/>
          <w:b w:val="0"/>
          <w:color w:val="auto"/>
          <w:sz w:val="24"/>
          <w:highlight w:val="none"/>
          <w:u w:val="single"/>
        </w:rPr>
        <w:t xml:space="preserve">     </w:t>
      </w:r>
    </w:p>
    <w:p>
      <w:pPr>
        <w:pStyle w:val="219"/>
        <w:keepNext/>
        <w:keepLines/>
        <w:spacing w:after="0" w:line="360" w:lineRule="auto"/>
        <w:ind w:firstLine="480" w:firstLineChars="200"/>
        <w:rPr>
          <w:rFonts w:hint="eastAsia" w:ascii="仿宋" w:hAnsi="仿宋" w:eastAsia="仿宋" w:cs="仿宋"/>
          <w:b w:val="0"/>
          <w:color w:val="auto"/>
          <w:sz w:val="24"/>
          <w:highlight w:val="none"/>
        </w:rPr>
      </w:pPr>
      <w:bookmarkStart w:id="1223" w:name="_Toc419321385"/>
      <w:bookmarkStart w:id="1224" w:name="_Toc433988843"/>
      <w:bookmarkStart w:id="1225" w:name="_Toc419320349"/>
      <w:bookmarkStart w:id="1226" w:name="_Toc419364474"/>
      <w:bookmarkStart w:id="1227" w:name="_Toc419363807"/>
      <w:bookmarkStart w:id="1228" w:name="_Toc20332"/>
      <w:r>
        <w:rPr>
          <w:rFonts w:hint="eastAsia" w:ascii="仿宋" w:hAnsi="仿宋" w:eastAsia="仿宋" w:cs="仿宋"/>
          <w:b w:val="0"/>
          <w:color w:val="auto"/>
          <w:sz w:val="24"/>
          <w:highlight w:val="none"/>
        </w:rPr>
        <w:t>3.12 分包</w:t>
      </w:r>
      <w:bookmarkEnd w:id="1223"/>
      <w:bookmarkEnd w:id="1224"/>
      <w:bookmarkEnd w:id="1225"/>
      <w:bookmarkEnd w:id="1226"/>
      <w:bookmarkEnd w:id="1227"/>
      <w:bookmarkEnd w:id="1228"/>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3.12.1 分包约定</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约定的分包工作事项：</w:t>
      </w:r>
      <w:r>
        <w:rPr>
          <w:rFonts w:hint="eastAsia" w:ascii="仿宋" w:hAnsi="仿宋" w:eastAsia="仿宋" w:cs="仿宋"/>
          <w:b w:val="0"/>
          <w:color w:val="auto"/>
          <w:sz w:val="24"/>
          <w:highlight w:val="none"/>
          <w:u w:val="single"/>
        </w:rPr>
        <w:t>无特别约定。</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3.12.7 工程总承包企业可以在其资质证书许可的工程项目范围内自行实施设计、采购和施工，也可以根据合同约定或者经建设单位同意，不再通过招标方式直接将工程项目的设计或施工分包给具有相应资质的企业。但工程总承包企业不得将工程总承包项目转包，不得把设计和施工一并或分别分包给其他单位。仅具有设计资质的企业承接工程总承包项目时，应当将工程总承包项目中的施工业务依法分包给具有相应施工资质的企业。仅具有施工资质的企业承接工程总承包业务时，应当将工程总承包项目中的设计业务依法分包给具有相应资质的设计企业。工程总承包企业自行实施设计的，不得将工程总承包项目工程主体部分的设计业务分包给其他单位。工程总承包企业自行实施施工的，不得将工程总承包项目工程主体结构的施工业务分包给其他单位。承包人承包范围内的专业分包，由承包人在中标造价范围内自行选择合法分包人，发包人不参与定价。</w:t>
      </w:r>
    </w:p>
    <w:p>
      <w:pPr>
        <w:spacing w:after="0" w:line="360" w:lineRule="auto"/>
        <w:ind w:firstLine="480" w:firstLineChars="200"/>
        <w:rPr>
          <w:rFonts w:hint="eastAsia" w:ascii="仿宋" w:hAnsi="仿宋" w:eastAsia="仿宋" w:cs="仿宋"/>
          <w:b w:val="0"/>
          <w:color w:val="auto"/>
          <w:sz w:val="24"/>
          <w:highlight w:val="none"/>
        </w:rPr>
      </w:pPr>
      <w:bookmarkStart w:id="1229" w:name="_Toc419321386"/>
      <w:bookmarkStart w:id="1230" w:name="_Toc1741590075"/>
      <w:bookmarkStart w:id="1231" w:name="_Toc419364475"/>
      <w:bookmarkStart w:id="1232" w:name="_Toc17567"/>
      <w:bookmarkStart w:id="1233" w:name="_Toc419320350"/>
      <w:bookmarkStart w:id="1234" w:name="_Toc393532538"/>
      <w:bookmarkStart w:id="1235" w:name="_Toc1275213780"/>
      <w:bookmarkStart w:id="1236" w:name="_Toc419363808"/>
      <w:bookmarkStart w:id="1237" w:name="_Toc433988844"/>
      <w:bookmarkStart w:id="1238" w:name="_Toc10223"/>
      <w:bookmarkStart w:id="1239" w:name="_Toc1276"/>
      <w:bookmarkStart w:id="1240" w:name="_Toc256483033"/>
      <w:bookmarkStart w:id="1241" w:name="_Toc1616752875"/>
      <w:bookmarkStart w:id="1242" w:name="_Toc415506215"/>
      <w:bookmarkStart w:id="1243" w:name="_Toc436303693"/>
      <w:bookmarkStart w:id="1244" w:name="_Toc274296018"/>
      <w:r>
        <w:rPr>
          <w:rFonts w:hint="eastAsia" w:ascii="仿宋" w:hAnsi="仿宋" w:eastAsia="仿宋" w:cs="仿宋"/>
          <w:b w:val="0"/>
          <w:color w:val="auto"/>
          <w:sz w:val="24"/>
          <w:highlight w:val="none"/>
        </w:rPr>
        <w:t>第4条 进度计划、延误和暂停</w:t>
      </w:r>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p>
    <w:p>
      <w:pPr>
        <w:pStyle w:val="219"/>
        <w:keepNext/>
        <w:keepLines/>
        <w:spacing w:after="0" w:line="360" w:lineRule="auto"/>
        <w:ind w:firstLine="480" w:firstLineChars="200"/>
        <w:rPr>
          <w:rFonts w:hint="eastAsia" w:ascii="仿宋" w:hAnsi="仿宋" w:eastAsia="仿宋" w:cs="仿宋"/>
          <w:b w:val="0"/>
          <w:color w:val="auto"/>
          <w:sz w:val="24"/>
          <w:highlight w:val="none"/>
        </w:rPr>
      </w:pPr>
      <w:bookmarkStart w:id="1245" w:name="_Toc419321387"/>
      <w:bookmarkStart w:id="1246" w:name="_Toc419364476"/>
      <w:bookmarkStart w:id="1247" w:name="_Toc433988845"/>
      <w:bookmarkStart w:id="1248" w:name="_Toc13076"/>
      <w:bookmarkStart w:id="1249" w:name="_Toc419363809"/>
      <w:bookmarkStart w:id="1250" w:name="_Toc419320351"/>
      <w:r>
        <w:rPr>
          <w:rFonts w:hint="eastAsia" w:ascii="仿宋" w:hAnsi="仿宋" w:eastAsia="仿宋" w:cs="仿宋"/>
          <w:b w:val="0"/>
          <w:color w:val="auto"/>
          <w:sz w:val="24"/>
          <w:highlight w:val="none"/>
        </w:rPr>
        <w:t>4.1 项目进度计划</w:t>
      </w:r>
      <w:bookmarkEnd w:id="1245"/>
      <w:bookmarkEnd w:id="1246"/>
      <w:bookmarkEnd w:id="1247"/>
      <w:bookmarkEnd w:id="1248"/>
      <w:bookmarkEnd w:id="1249"/>
      <w:bookmarkEnd w:id="1250"/>
    </w:p>
    <w:p>
      <w:pPr>
        <w:pStyle w:val="219"/>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rPr>
        <w:t>4.1.1 项目进度计划中的关键路径及关键路径变化的确定原则：</w:t>
      </w:r>
      <w:r>
        <w:rPr>
          <w:rFonts w:hint="eastAsia" w:ascii="仿宋" w:hAnsi="仿宋" w:eastAsia="仿宋" w:cs="仿宋"/>
          <w:b w:val="0"/>
          <w:color w:val="auto"/>
          <w:sz w:val="24"/>
          <w:highlight w:val="none"/>
          <w:u w:val="single"/>
        </w:rPr>
        <w:t>需经监理和发包人确认。</w:t>
      </w:r>
    </w:p>
    <w:p>
      <w:pPr>
        <w:pStyle w:val="219"/>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rPr>
        <w:t>承包人提交项目进度计划的份数和时间：</w:t>
      </w:r>
      <w:r>
        <w:rPr>
          <w:rFonts w:hint="eastAsia" w:ascii="仿宋" w:hAnsi="仿宋" w:eastAsia="仿宋" w:cs="仿宋"/>
          <w:b w:val="0"/>
          <w:color w:val="auto"/>
          <w:sz w:val="24"/>
          <w:highlight w:val="none"/>
          <w:u w:val="single"/>
        </w:rPr>
        <w:t>根据实际情况提供。</w:t>
      </w:r>
    </w:p>
    <w:p>
      <w:pPr>
        <w:pStyle w:val="219"/>
        <w:keepNext/>
        <w:keepLines/>
        <w:spacing w:after="0" w:line="360" w:lineRule="auto"/>
        <w:ind w:firstLine="480" w:firstLineChars="200"/>
        <w:rPr>
          <w:rFonts w:hint="eastAsia" w:ascii="仿宋" w:hAnsi="仿宋" w:eastAsia="仿宋" w:cs="仿宋"/>
          <w:b w:val="0"/>
          <w:color w:val="auto"/>
          <w:sz w:val="24"/>
          <w:highlight w:val="none"/>
        </w:rPr>
      </w:pPr>
      <w:bookmarkStart w:id="1251" w:name="_Toc419363810"/>
      <w:bookmarkStart w:id="1252" w:name="_Toc433988846"/>
      <w:bookmarkStart w:id="1253" w:name="_Toc15735"/>
      <w:bookmarkStart w:id="1254" w:name="_Toc419320352"/>
      <w:bookmarkStart w:id="1255" w:name="_Toc419321388"/>
      <w:bookmarkStart w:id="1256" w:name="_Toc419364477"/>
      <w:r>
        <w:rPr>
          <w:rFonts w:hint="eastAsia" w:ascii="仿宋" w:hAnsi="仿宋" w:eastAsia="仿宋" w:cs="仿宋"/>
          <w:b w:val="0"/>
          <w:color w:val="auto"/>
          <w:sz w:val="24"/>
          <w:highlight w:val="none"/>
        </w:rPr>
        <w:t>4.2 设计进度计划</w:t>
      </w:r>
      <w:bookmarkEnd w:id="1251"/>
      <w:bookmarkEnd w:id="1252"/>
      <w:bookmarkEnd w:id="1253"/>
      <w:bookmarkEnd w:id="1254"/>
      <w:bookmarkEnd w:id="1255"/>
      <w:bookmarkEnd w:id="1256"/>
    </w:p>
    <w:p>
      <w:pPr>
        <w:pStyle w:val="219"/>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rPr>
        <w:t>4.2.1 承包人提交设计进度计划的时间节点和要求：</w:t>
      </w:r>
      <w:r>
        <w:rPr>
          <w:rFonts w:hint="eastAsia" w:ascii="仿宋" w:hAnsi="仿宋" w:eastAsia="仿宋" w:cs="仿宋"/>
          <w:b w:val="0"/>
          <w:color w:val="auto"/>
          <w:sz w:val="24"/>
          <w:highlight w:val="none"/>
          <w:u w:val="single"/>
        </w:rPr>
        <w:t>根据总体项目进度要求提供。</w:t>
      </w:r>
    </w:p>
    <w:p>
      <w:pPr>
        <w:pStyle w:val="219"/>
        <w:keepNext/>
        <w:keepLines/>
        <w:spacing w:after="0" w:line="360" w:lineRule="auto"/>
        <w:ind w:firstLine="480" w:firstLineChars="200"/>
        <w:rPr>
          <w:rFonts w:hint="eastAsia" w:ascii="仿宋" w:hAnsi="仿宋" w:eastAsia="仿宋" w:cs="仿宋"/>
          <w:b w:val="0"/>
          <w:color w:val="auto"/>
          <w:sz w:val="24"/>
          <w:highlight w:val="none"/>
        </w:rPr>
      </w:pPr>
      <w:bookmarkStart w:id="1257" w:name="_Toc7479"/>
      <w:bookmarkStart w:id="1258" w:name="_Toc419321389"/>
      <w:bookmarkStart w:id="1259" w:name="_Toc419363811"/>
      <w:bookmarkStart w:id="1260" w:name="_Toc419320353"/>
      <w:bookmarkStart w:id="1261" w:name="_Toc419364478"/>
      <w:bookmarkStart w:id="1262" w:name="_Toc433988847"/>
      <w:r>
        <w:rPr>
          <w:rFonts w:hint="eastAsia" w:ascii="仿宋" w:hAnsi="仿宋" w:eastAsia="仿宋" w:cs="仿宋"/>
          <w:b w:val="0"/>
          <w:color w:val="auto"/>
          <w:sz w:val="24"/>
          <w:highlight w:val="none"/>
        </w:rPr>
        <w:t>4.3 采购进度计划</w:t>
      </w:r>
      <w:bookmarkEnd w:id="1257"/>
      <w:bookmarkEnd w:id="1258"/>
      <w:bookmarkEnd w:id="1259"/>
      <w:bookmarkEnd w:id="1260"/>
      <w:bookmarkEnd w:id="1261"/>
      <w:bookmarkEnd w:id="1262"/>
    </w:p>
    <w:p>
      <w:pPr>
        <w:pStyle w:val="219"/>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rPr>
        <w:t>4.3.1 采购进度计划提交的份数和日期：</w:t>
      </w:r>
      <w:r>
        <w:rPr>
          <w:rFonts w:hint="eastAsia" w:ascii="仿宋" w:hAnsi="仿宋" w:eastAsia="仿宋" w:cs="仿宋"/>
          <w:b w:val="0"/>
          <w:color w:val="auto"/>
          <w:sz w:val="24"/>
          <w:highlight w:val="none"/>
          <w:u w:val="single"/>
        </w:rPr>
        <w:t>根据实际情况提供。</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4.3.2 采购开始日期：</w:t>
      </w:r>
      <w:r>
        <w:rPr>
          <w:rFonts w:hint="eastAsia" w:ascii="仿宋" w:hAnsi="仿宋" w:eastAsia="仿宋" w:cs="仿宋"/>
          <w:b w:val="0"/>
          <w:color w:val="auto"/>
          <w:sz w:val="24"/>
          <w:highlight w:val="none"/>
          <w:u w:val="single"/>
        </w:rPr>
        <w:t>根据总体项目进度要求制定。</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4.3.3 采购形式：</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sym w:font="Wingdings 2" w:char="00A3"/>
      </w:r>
      <w:r>
        <w:rPr>
          <w:rFonts w:hint="eastAsia" w:ascii="仿宋" w:hAnsi="仿宋" w:eastAsia="仿宋" w:cs="仿宋"/>
          <w:b w:val="0"/>
          <w:color w:val="auto"/>
          <w:sz w:val="24"/>
          <w:highlight w:val="none"/>
        </w:rPr>
        <w:t>发包人自行采购</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sym w:font="Wingdings 2" w:char="0052"/>
      </w:r>
      <w:r>
        <w:rPr>
          <w:rFonts w:hint="eastAsia" w:ascii="仿宋" w:hAnsi="仿宋" w:eastAsia="仿宋" w:cs="仿宋"/>
          <w:b w:val="0"/>
          <w:color w:val="auto"/>
          <w:sz w:val="24"/>
          <w:highlight w:val="none"/>
        </w:rPr>
        <w:t>承包人负责采购，发包人有一定的知情权与参与权</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sym w:font="Wingdings 2" w:char="00A3"/>
      </w:r>
      <w:r>
        <w:rPr>
          <w:rFonts w:hint="eastAsia" w:ascii="仿宋" w:hAnsi="仿宋" w:eastAsia="仿宋" w:cs="仿宋"/>
          <w:b w:val="0"/>
          <w:color w:val="auto"/>
          <w:sz w:val="24"/>
          <w:highlight w:val="none"/>
        </w:rPr>
        <w:t>承包人自行采购。</w:t>
      </w:r>
    </w:p>
    <w:p>
      <w:pPr>
        <w:pStyle w:val="219"/>
        <w:keepNext/>
        <w:keepLines/>
        <w:spacing w:after="0" w:line="360" w:lineRule="auto"/>
        <w:ind w:firstLine="480" w:firstLineChars="200"/>
        <w:rPr>
          <w:rFonts w:hint="eastAsia" w:ascii="仿宋" w:hAnsi="仿宋" w:eastAsia="仿宋" w:cs="仿宋"/>
          <w:b w:val="0"/>
          <w:color w:val="auto"/>
          <w:sz w:val="24"/>
          <w:highlight w:val="none"/>
        </w:rPr>
      </w:pPr>
      <w:bookmarkStart w:id="1263" w:name="_Toc419321390"/>
      <w:bookmarkStart w:id="1264" w:name="_Toc419364479"/>
      <w:bookmarkStart w:id="1265" w:name="_Toc419363812"/>
      <w:bookmarkStart w:id="1266" w:name="_Toc433988848"/>
      <w:bookmarkStart w:id="1267" w:name="_Toc419320354"/>
      <w:bookmarkStart w:id="1268" w:name="_Toc16556"/>
      <w:r>
        <w:rPr>
          <w:rFonts w:hint="eastAsia" w:ascii="仿宋" w:hAnsi="仿宋" w:eastAsia="仿宋" w:cs="仿宋"/>
          <w:b w:val="0"/>
          <w:color w:val="auto"/>
          <w:sz w:val="24"/>
          <w:highlight w:val="none"/>
        </w:rPr>
        <w:t>4.4 施工进度计划</w:t>
      </w:r>
      <w:bookmarkEnd w:id="1263"/>
      <w:bookmarkEnd w:id="1264"/>
      <w:bookmarkEnd w:id="1265"/>
      <w:bookmarkEnd w:id="1266"/>
      <w:bookmarkEnd w:id="1267"/>
      <w:bookmarkEnd w:id="1268"/>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4.4.1 施工进度计划（以表格或文字表述）</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提交关键单项工程施工计划的名称、份数和时间：根据实际情况提供。</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提交关键分部分项工程施工计划的名称、份数和时间：根据实际情况提供。</w:t>
      </w:r>
    </w:p>
    <w:p>
      <w:pPr>
        <w:pStyle w:val="219"/>
        <w:keepNext/>
        <w:keepLines/>
        <w:spacing w:after="0" w:line="360" w:lineRule="auto"/>
        <w:ind w:firstLine="480" w:firstLineChars="200"/>
        <w:rPr>
          <w:rFonts w:hint="eastAsia" w:ascii="仿宋" w:hAnsi="仿宋" w:eastAsia="仿宋" w:cs="仿宋"/>
          <w:b w:val="0"/>
          <w:color w:val="auto"/>
          <w:sz w:val="24"/>
          <w:highlight w:val="none"/>
        </w:rPr>
      </w:pPr>
      <w:bookmarkStart w:id="1269" w:name="_Toc419321391"/>
      <w:bookmarkStart w:id="1270" w:name="_Toc419363813"/>
      <w:bookmarkStart w:id="1271" w:name="_Toc433988849"/>
      <w:bookmarkStart w:id="1272" w:name="_Toc419364480"/>
      <w:bookmarkStart w:id="1273" w:name="_Toc4063"/>
      <w:bookmarkStart w:id="1274" w:name="_Toc419320355"/>
      <w:r>
        <w:rPr>
          <w:rFonts w:hint="eastAsia" w:ascii="仿宋" w:hAnsi="仿宋" w:eastAsia="仿宋" w:cs="仿宋"/>
          <w:b w:val="0"/>
          <w:color w:val="auto"/>
          <w:sz w:val="24"/>
          <w:highlight w:val="none"/>
        </w:rPr>
        <w:t>4.5 误期赔偿</w:t>
      </w:r>
      <w:bookmarkEnd w:id="1269"/>
      <w:bookmarkEnd w:id="1270"/>
      <w:bookmarkEnd w:id="1271"/>
      <w:bookmarkEnd w:id="1272"/>
      <w:bookmarkEnd w:id="1273"/>
      <w:bookmarkEnd w:id="1274"/>
    </w:p>
    <w:p>
      <w:pPr>
        <w:pStyle w:val="219"/>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u w:val="single"/>
        </w:rPr>
        <w:t>因承包人原因使竣工日期延误，每延误1日的误期赔偿金额为人民币2000元；累计最高赔偿金额为合同总价款的 1 % 。</w:t>
      </w:r>
    </w:p>
    <w:p>
      <w:pPr>
        <w:pStyle w:val="219"/>
        <w:keepNext/>
        <w:keepLines/>
        <w:spacing w:after="0" w:line="360" w:lineRule="auto"/>
        <w:ind w:firstLine="480" w:firstLineChars="200"/>
        <w:rPr>
          <w:rFonts w:hint="eastAsia" w:ascii="仿宋" w:hAnsi="仿宋" w:eastAsia="仿宋" w:cs="仿宋"/>
          <w:b w:val="0"/>
          <w:color w:val="auto"/>
          <w:sz w:val="24"/>
          <w:highlight w:val="none"/>
        </w:rPr>
      </w:pPr>
      <w:bookmarkStart w:id="1275" w:name="_Toc12415"/>
      <w:r>
        <w:rPr>
          <w:rFonts w:hint="eastAsia" w:ascii="仿宋" w:hAnsi="仿宋" w:eastAsia="仿宋" w:cs="仿宋"/>
          <w:b w:val="0"/>
          <w:color w:val="auto"/>
          <w:sz w:val="24"/>
          <w:highlight w:val="none"/>
        </w:rPr>
        <w:t>4.6 暂停</w:t>
      </w:r>
      <w:bookmarkEnd w:id="1275"/>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4.6.8 因非承包人原因导致工期延误：</w:t>
      </w:r>
    </w:p>
    <w:p>
      <w:pPr>
        <w:pStyle w:val="219"/>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（1）重大图纸变更影响关健线路工序施工；</w:t>
      </w:r>
    </w:p>
    <w:p>
      <w:pPr>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u w:val="single"/>
        </w:rPr>
        <w:t>（2）施工期间如因停电、停水连续4小时以上或一周内间歇性停水、停电累计8小时（含8小时）影响正常施工的；</w:t>
      </w:r>
    </w:p>
    <w:p>
      <w:pPr>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u w:val="single"/>
        </w:rPr>
        <w:t>（3）政府指令性停工；</w:t>
      </w:r>
    </w:p>
    <w:p>
      <w:pPr>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u w:val="single"/>
        </w:rPr>
        <w:t>（4）在施工过程中遇到地下障碍物、溶洞、岩石、文物或地下管线的；</w:t>
      </w:r>
    </w:p>
    <w:p>
      <w:pPr>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u w:val="single"/>
        </w:rPr>
        <w:t>（5）因发包人未能及时确认变更价格或甲供材料提供延误的；</w:t>
      </w:r>
    </w:p>
    <w:p>
      <w:pPr>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u w:val="single"/>
        </w:rPr>
        <w:t>（6）气象部门发布的气温在摄氏4度及以下的寒冷天气；</w:t>
      </w:r>
    </w:p>
    <w:p>
      <w:pPr>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u w:val="single"/>
        </w:rPr>
        <w:t>（7）持续两小时及以上、气象部门界定为中雨以上的天气；</w:t>
      </w:r>
    </w:p>
    <w:p>
      <w:pPr>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u w:val="single"/>
        </w:rPr>
        <w:t>（8）由于雨天导致施工现场及道路中断运输；</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u w:val="single"/>
        </w:rPr>
        <w:t>（9）六级及以上的台风天气。</w:t>
      </w:r>
    </w:p>
    <w:p>
      <w:pPr>
        <w:spacing w:after="0" w:line="360" w:lineRule="auto"/>
        <w:ind w:firstLine="480" w:firstLineChars="200"/>
        <w:rPr>
          <w:rFonts w:hint="eastAsia" w:ascii="仿宋" w:hAnsi="仿宋" w:eastAsia="仿宋" w:cs="仿宋"/>
          <w:b w:val="0"/>
          <w:color w:val="auto"/>
          <w:sz w:val="24"/>
          <w:highlight w:val="none"/>
        </w:rPr>
      </w:pPr>
      <w:bookmarkStart w:id="1276" w:name="_Toc1446997393"/>
      <w:bookmarkStart w:id="1277" w:name="_Toc419363814"/>
      <w:bookmarkStart w:id="1278" w:name="_Toc419321392"/>
      <w:bookmarkStart w:id="1279" w:name="_Toc13089"/>
      <w:bookmarkStart w:id="1280" w:name="_Toc419364481"/>
      <w:bookmarkStart w:id="1281" w:name="_Toc1593268064"/>
      <w:bookmarkStart w:id="1282" w:name="_Toc419320356"/>
      <w:bookmarkStart w:id="1283" w:name="_Toc654984634"/>
      <w:bookmarkStart w:id="1284" w:name="_Toc433988850"/>
      <w:bookmarkStart w:id="1285" w:name="_Toc710656102"/>
      <w:bookmarkStart w:id="1286" w:name="_Toc1943619108"/>
      <w:bookmarkStart w:id="1287" w:name="_Toc1999217053"/>
      <w:bookmarkStart w:id="1288" w:name="_Toc13726"/>
      <w:bookmarkStart w:id="1289" w:name="_Toc26550"/>
      <w:bookmarkStart w:id="1290" w:name="_Toc631203400"/>
      <w:bookmarkStart w:id="1291" w:name="_Toc702281915"/>
      <w:r>
        <w:rPr>
          <w:rFonts w:hint="eastAsia" w:ascii="仿宋" w:hAnsi="仿宋" w:eastAsia="仿宋" w:cs="仿宋"/>
          <w:b w:val="0"/>
          <w:color w:val="auto"/>
          <w:sz w:val="24"/>
          <w:highlight w:val="none"/>
        </w:rPr>
        <w:t>第5条 技术与设计</w:t>
      </w:r>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p>
    <w:p>
      <w:pPr>
        <w:pStyle w:val="219"/>
        <w:keepNext/>
        <w:keepLines/>
        <w:spacing w:after="0" w:line="360" w:lineRule="auto"/>
        <w:ind w:firstLine="480" w:firstLineChars="200"/>
        <w:rPr>
          <w:rFonts w:hint="eastAsia" w:ascii="仿宋" w:hAnsi="仿宋" w:eastAsia="仿宋" w:cs="仿宋"/>
          <w:b w:val="0"/>
          <w:color w:val="auto"/>
          <w:sz w:val="24"/>
          <w:highlight w:val="none"/>
        </w:rPr>
      </w:pPr>
      <w:bookmarkStart w:id="1292" w:name="_Toc4135"/>
      <w:bookmarkStart w:id="1293" w:name="_Toc433988851"/>
      <w:bookmarkStart w:id="1294" w:name="_Toc419321393"/>
      <w:bookmarkStart w:id="1295" w:name="_Toc419363815"/>
      <w:bookmarkStart w:id="1296" w:name="_Toc419320357"/>
      <w:bookmarkStart w:id="1297" w:name="_Toc419364482"/>
      <w:r>
        <w:rPr>
          <w:rFonts w:hint="eastAsia" w:ascii="仿宋" w:hAnsi="仿宋" w:eastAsia="仿宋" w:cs="仿宋"/>
          <w:b w:val="0"/>
          <w:color w:val="auto"/>
          <w:sz w:val="24"/>
          <w:highlight w:val="none"/>
        </w:rPr>
        <w:t>5.1 生产工艺技术、建筑设计方案</w:t>
      </w:r>
      <w:bookmarkEnd w:id="1292"/>
      <w:bookmarkEnd w:id="1293"/>
      <w:bookmarkEnd w:id="1294"/>
      <w:bookmarkEnd w:id="1295"/>
      <w:bookmarkEnd w:id="1296"/>
      <w:bookmarkEnd w:id="1297"/>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5.1.1 承包人提供的生产工艺技术和（或）建筑设计方案</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根据工程考核特点，在以下类型中选择其一，作为双方的约定。</w:t>
      </w:r>
    </w:p>
    <w:p>
      <w:pPr>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rPr>
        <w:sym w:font="Wingdings 2" w:char="0052"/>
      </w:r>
      <w:r>
        <w:rPr>
          <w:rFonts w:hint="eastAsia" w:ascii="仿宋" w:hAnsi="仿宋" w:eastAsia="仿宋" w:cs="仿宋"/>
          <w:b w:val="0"/>
          <w:color w:val="auto"/>
          <w:sz w:val="24"/>
          <w:highlight w:val="none"/>
        </w:rPr>
        <w:t>按工程量考核，工程考核保证值和（或）使用功能说明：</w:t>
      </w:r>
      <w:r>
        <w:rPr>
          <w:rFonts w:hint="eastAsia" w:ascii="仿宋" w:hAnsi="仿宋" w:eastAsia="仿宋" w:cs="仿宋"/>
          <w:b w:val="0"/>
          <w:color w:val="auto"/>
          <w:sz w:val="24"/>
          <w:highlight w:val="none"/>
          <w:u w:val="single"/>
        </w:rPr>
        <w:t>按相关规定。</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sym w:font="Wingdings 2" w:char="00A3"/>
      </w:r>
      <w:r>
        <w:rPr>
          <w:rFonts w:hint="eastAsia" w:ascii="仿宋" w:hAnsi="仿宋" w:eastAsia="仿宋" w:cs="仿宋"/>
          <w:b w:val="0"/>
          <w:color w:val="auto"/>
          <w:sz w:val="24"/>
          <w:highlight w:val="none"/>
        </w:rPr>
        <w:t>按单项工程考核，各单项工程考核保证值和（或）使用功能说明：</w:t>
      </w:r>
      <w:r>
        <w:rPr>
          <w:rFonts w:hint="eastAsia" w:ascii="仿宋" w:hAnsi="仿宋" w:eastAsia="仿宋" w:cs="仿宋"/>
          <w:b w:val="0"/>
          <w:color w:val="auto"/>
          <w:sz w:val="24"/>
          <w:highlight w:val="none"/>
          <w:u w:val="single"/>
        </w:rPr>
        <w:t xml:space="preserve">  /  </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5.1.2 发包人提供生产工艺技术和（或）建筑设计方案</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其中，</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发包人应承担的工程和（或）单项工程试运行考核保证值和（或）使用功能说明如下：</w:t>
      </w:r>
      <w:r>
        <w:rPr>
          <w:rFonts w:hint="eastAsia" w:ascii="仿宋" w:hAnsi="仿宋" w:eastAsia="仿宋" w:cs="仿宋"/>
          <w:b w:val="0"/>
          <w:color w:val="auto"/>
          <w:sz w:val="24"/>
          <w:highlight w:val="none"/>
          <w:u w:val="single"/>
        </w:rPr>
        <w:t xml:space="preserve">  /  </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承包人应承担的工程和（或）单项工程试运行考核保证值和（或）使用功能说明如下：</w:t>
      </w:r>
      <w:r>
        <w:rPr>
          <w:rFonts w:hint="eastAsia" w:ascii="仿宋" w:hAnsi="仿宋" w:eastAsia="仿宋" w:cs="仿宋"/>
          <w:b w:val="0"/>
          <w:color w:val="auto"/>
          <w:sz w:val="24"/>
          <w:highlight w:val="none"/>
          <w:u w:val="single"/>
        </w:rPr>
        <w:t xml:space="preserve">  /  </w:t>
      </w:r>
    </w:p>
    <w:p>
      <w:pPr>
        <w:spacing w:after="0" w:line="360" w:lineRule="auto"/>
        <w:ind w:firstLine="480" w:firstLineChars="200"/>
        <w:rPr>
          <w:rFonts w:hint="eastAsia" w:ascii="仿宋" w:hAnsi="仿宋" w:eastAsia="仿宋" w:cs="仿宋"/>
          <w:b w:val="0"/>
          <w:color w:val="auto"/>
          <w:sz w:val="24"/>
          <w:highlight w:val="none"/>
        </w:rPr>
      </w:pPr>
      <w:bookmarkStart w:id="1298" w:name="_Toc419321394"/>
      <w:bookmarkStart w:id="1299" w:name="_Toc21254"/>
      <w:bookmarkStart w:id="1300" w:name="_Toc419363816"/>
      <w:bookmarkStart w:id="1301" w:name="_Toc419320358"/>
      <w:bookmarkStart w:id="1302" w:name="_Toc419364483"/>
      <w:bookmarkStart w:id="1303" w:name="_Toc433988852"/>
      <w:r>
        <w:rPr>
          <w:rFonts w:hint="eastAsia" w:ascii="仿宋" w:hAnsi="仿宋" w:eastAsia="仿宋" w:cs="仿宋"/>
          <w:b w:val="0"/>
          <w:color w:val="auto"/>
          <w:sz w:val="24"/>
          <w:highlight w:val="none"/>
        </w:rPr>
        <w:t>5.2 设计</w:t>
      </w:r>
      <w:bookmarkEnd w:id="1298"/>
      <w:bookmarkEnd w:id="1299"/>
      <w:bookmarkEnd w:id="1300"/>
      <w:bookmarkEnd w:id="1301"/>
      <w:bookmarkEnd w:id="1302"/>
      <w:bookmarkEnd w:id="1303"/>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5.2.1 发包人的义务</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（1）提供项目基础资料。发包人提供的项目基础资料的类别、内容、份数和时间：</w:t>
      </w:r>
      <w:r>
        <w:rPr>
          <w:rFonts w:hint="eastAsia" w:ascii="仿宋" w:hAnsi="仿宋" w:eastAsia="仿宋" w:cs="仿宋"/>
          <w:b w:val="0"/>
          <w:color w:val="auto"/>
          <w:sz w:val="24"/>
          <w:highlight w:val="none"/>
          <w:u w:val="single"/>
        </w:rPr>
        <w:t>合同签订5个工作日内提供项目立项批复、控制性详细规划、规划红线、规划设计条件、地形图、勘察、测量成果。</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（2）提供现场障碍资料。发包人提供的现场障碍资料的类别、内容、份数和时间：</w:t>
      </w:r>
      <w:r>
        <w:rPr>
          <w:rFonts w:hint="eastAsia" w:ascii="仿宋" w:hAnsi="仿宋" w:eastAsia="仿宋" w:cs="仿宋"/>
          <w:b w:val="0"/>
          <w:color w:val="auto"/>
          <w:sz w:val="24"/>
          <w:highlight w:val="none"/>
          <w:u w:val="single"/>
        </w:rPr>
        <w:t>如有，按实际情况提供。</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5.2.2 承包人的义务</w:t>
      </w:r>
    </w:p>
    <w:p>
      <w:pPr>
        <w:numPr>
          <w:ilvl w:val="0"/>
          <w:numId w:val="5"/>
        </w:num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经合同双方商定，发包人提供的项目基础资料、现场障碍资料的如下部分，可按本款中约定的如下时间期限，提出进一步要求。</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本条款约定的发包人提供的项目基础资料、现场障碍资料：</w:t>
      </w:r>
      <w:r>
        <w:rPr>
          <w:rFonts w:hint="eastAsia" w:ascii="仿宋" w:hAnsi="仿宋" w:eastAsia="仿宋" w:cs="仿宋"/>
          <w:b w:val="0"/>
          <w:color w:val="auto"/>
          <w:sz w:val="24"/>
          <w:highlight w:val="none"/>
          <w:u w:val="single"/>
        </w:rPr>
        <w:t xml:space="preserve">  /  </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5.2.4 操作维修手册</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发包人提交的操作指南、分析手册的份数和提交期限：</w:t>
      </w:r>
      <w:r>
        <w:rPr>
          <w:rFonts w:hint="eastAsia" w:ascii="仿宋" w:hAnsi="仿宋" w:eastAsia="仿宋" w:cs="仿宋"/>
          <w:b w:val="0"/>
          <w:color w:val="auto"/>
          <w:sz w:val="24"/>
          <w:highlight w:val="none"/>
          <w:u w:val="single"/>
        </w:rPr>
        <w:t xml:space="preserve">  /  </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承包人提交的操作维修手册的份数和最终提交期限：</w:t>
      </w:r>
      <w:r>
        <w:rPr>
          <w:rFonts w:hint="eastAsia" w:ascii="仿宋" w:hAnsi="仿宋" w:eastAsia="仿宋" w:cs="仿宋"/>
          <w:b w:val="0"/>
          <w:color w:val="auto"/>
          <w:sz w:val="24"/>
          <w:highlight w:val="none"/>
          <w:u w:val="single"/>
        </w:rPr>
        <w:t xml:space="preserve">  /  </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5.2.5 设计文件的份数和提交时间</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规划设计阶段设计文件、资料和图纸的份数和提交时间：</w:t>
      </w:r>
      <w:r>
        <w:rPr>
          <w:rFonts w:hint="eastAsia" w:ascii="仿宋" w:hAnsi="仿宋" w:eastAsia="仿宋" w:cs="仿宋"/>
          <w:b w:val="0"/>
          <w:color w:val="auto"/>
          <w:sz w:val="24"/>
          <w:highlight w:val="none"/>
          <w:u w:val="single"/>
        </w:rPr>
        <w:t>根据实际需要双方另行约定。</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初步设计阶段设计文件、资料和图纸的份数和提交时间：</w:t>
      </w:r>
      <w:r>
        <w:rPr>
          <w:rFonts w:hint="eastAsia" w:ascii="仿宋" w:hAnsi="仿宋" w:eastAsia="仿宋" w:cs="仿宋"/>
          <w:b w:val="0"/>
          <w:color w:val="auto"/>
          <w:sz w:val="24"/>
          <w:highlight w:val="none"/>
          <w:u w:val="single"/>
        </w:rPr>
        <w:t>根据实际需要双方另行约定。</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技术设计阶段设计文件、资料和图纸的份数和提交时间：</w:t>
      </w:r>
      <w:r>
        <w:rPr>
          <w:rFonts w:hint="eastAsia" w:ascii="仿宋" w:hAnsi="仿宋" w:eastAsia="仿宋" w:cs="仿宋"/>
          <w:b w:val="0"/>
          <w:color w:val="auto"/>
          <w:sz w:val="24"/>
          <w:highlight w:val="none"/>
          <w:u w:val="single"/>
        </w:rPr>
        <w:t>根据实际需要双方另行约定。</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施工图设计阶段设计文件、资料和图纸的份数和提交时间：</w:t>
      </w:r>
      <w:r>
        <w:rPr>
          <w:rFonts w:hint="eastAsia" w:ascii="仿宋" w:hAnsi="仿宋" w:eastAsia="仿宋" w:cs="仿宋"/>
          <w:b w:val="0"/>
          <w:color w:val="auto"/>
          <w:sz w:val="24"/>
          <w:highlight w:val="none"/>
          <w:u w:val="single"/>
        </w:rPr>
        <w:t>根据实际需要双方另行约定。</w:t>
      </w:r>
    </w:p>
    <w:p>
      <w:pPr>
        <w:spacing w:after="0" w:line="360" w:lineRule="auto"/>
        <w:ind w:firstLine="480" w:firstLineChars="200"/>
        <w:rPr>
          <w:rFonts w:hint="eastAsia" w:ascii="仿宋" w:hAnsi="仿宋" w:eastAsia="仿宋" w:cs="仿宋"/>
          <w:b w:val="0"/>
          <w:color w:val="auto"/>
          <w:sz w:val="24"/>
          <w:highlight w:val="none"/>
        </w:rPr>
      </w:pPr>
      <w:bookmarkStart w:id="1304" w:name="_Toc419364484"/>
      <w:bookmarkStart w:id="1305" w:name="_Toc433988853"/>
      <w:bookmarkStart w:id="1306" w:name="_Toc419321395"/>
      <w:bookmarkStart w:id="1307" w:name="_Toc419320359"/>
      <w:bookmarkStart w:id="1308" w:name="_Toc419363817"/>
      <w:bookmarkStart w:id="1309" w:name="_Toc8839"/>
      <w:r>
        <w:rPr>
          <w:rFonts w:hint="eastAsia" w:ascii="仿宋" w:hAnsi="仿宋" w:eastAsia="仿宋" w:cs="仿宋"/>
          <w:b w:val="0"/>
          <w:color w:val="auto"/>
          <w:sz w:val="24"/>
          <w:highlight w:val="none"/>
        </w:rPr>
        <w:t>5.3 设计阶段审查</w:t>
      </w:r>
      <w:bookmarkEnd w:id="1304"/>
      <w:bookmarkEnd w:id="1305"/>
      <w:bookmarkEnd w:id="1306"/>
      <w:bookmarkEnd w:id="1307"/>
      <w:bookmarkEnd w:id="1308"/>
      <w:bookmarkEnd w:id="1309"/>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5.3.1 设计审查阶段及审查会议时间</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本工程的设计阶段（名称）：</w:t>
      </w:r>
      <w:r>
        <w:rPr>
          <w:rFonts w:hint="eastAsia" w:ascii="仿宋" w:hAnsi="仿宋" w:eastAsia="仿宋" w:cs="仿宋"/>
          <w:b w:val="0"/>
          <w:color w:val="auto"/>
          <w:sz w:val="24"/>
          <w:highlight w:val="none"/>
          <w:u w:val="single"/>
        </w:rPr>
        <w:t>根据实际情况制定。</w:t>
      </w:r>
    </w:p>
    <w:p>
      <w:pPr>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rPr>
        <w:t>设计审查阶段及其审查会议的时间安排：</w:t>
      </w:r>
      <w:r>
        <w:rPr>
          <w:rFonts w:hint="eastAsia" w:ascii="仿宋" w:hAnsi="仿宋" w:eastAsia="仿宋" w:cs="仿宋"/>
          <w:b w:val="0"/>
          <w:color w:val="auto"/>
          <w:sz w:val="24"/>
          <w:highlight w:val="none"/>
          <w:u w:val="single"/>
        </w:rPr>
        <w:t>根据实际情况安排。</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5.3.2 施工图设计文件审查：</w:t>
      </w:r>
      <w:r>
        <w:rPr>
          <w:rFonts w:hint="eastAsia" w:ascii="仿宋" w:hAnsi="仿宋" w:eastAsia="仿宋" w:cs="仿宋"/>
          <w:b w:val="0"/>
          <w:color w:val="auto"/>
          <w:sz w:val="24"/>
          <w:highlight w:val="none"/>
          <w:u w:val="single"/>
        </w:rPr>
        <w:t>按照相关法规规定须进行施工图设计文件审查的工程总承包项目，发包人根据项目实施情况施工图审查可依法分阶段将施工图报施工图审查机构审查并由发包人承担费用。</w:t>
      </w:r>
    </w:p>
    <w:p>
      <w:pPr>
        <w:spacing w:after="0" w:line="360" w:lineRule="auto"/>
        <w:ind w:firstLine="480" w:firstLineChars="200"/>
        <w:rPr>
          <w:rFonts w:hint="eastAsia" w:ascii="仿宋" w:hAnsi="仿宋" w:eastAsia="仿宋" w:cs="仿宋"/>
          <w:b w:val="0"/>
          <w:color w:val="auto"/>
          <w:sz w:val="24"/>
          <w:highlight w:val="none"/>
        </w:rPr>
      </w:pPr>
      <w:bookmarkStart w:id="1310" w:name="_Toc1311868809"/>
      <w:bookmarkStart w:id="1311" w:name="_Toc419364485"/>
      <w:bookmarkStart w:id="1312" w:name="_Toc14514"/>
      <w:bookmarkStart w:id="1313" w:name="_Toc1032593639"/>
      <w:bookmarkStart w:id="1314" w:name="_Toc682021493"/>
      <w:bookmarkStart w:id="1315" w:name="_Toc419363818"/>
      <w:bookmarkStart w:id="1316" w:name="_Toc325569116"/>
      <w:bookmarkStart w:id="1317" w:name="_Toc433988854"/>
      <w:bookmarkStart w:id="1318" w:name="_Toc1840545347"/>
      <w:bookmarkStart w:id="1319" w:name="_Toc14811"/>
      <w:bookmarkStart w:id="1320" w:name="_Toc419321396"/>
      <w:bookmarkStart w:id="1321" w:name="_Toc1082757205"/>
      <w:bookmarkStart w:id="1322" w:name="_Toc31647"/>
      <w:bookmarkStart w:id="1323" w:name="_Toc1580365523"/>
      <w:bookmarkStart w:id="1324" w:name="_Toc66327620"/>
      <w:bookmarkStart w:id="1325" w:name="_Toc419320360"/>
      <w:r>
        <w:rPr>
          <w:rFonts w:hint="eastAsia" w:ascii="仿宋" w:hAnsi="仿宋" w:eastAsia="仿宋" w:cs="仿宋"/>
          <w:b w:val="0"/>
          <w:color w:val="auto"/>
          <w:sz w:val="24"/>
          <w:highlight w:val="none"/>
        </w:rPr>
        <w:t>第6条 工程物资</w:t>
      </w:r>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p>
    <w:p>
      <w:pPr>
        <w:pStyle w:val="219"/>
        <w:keepNext/>
        <w:keepLines/>
        <w:spacing w:after="0" w:line="360" w:lineRule="auto"/>
        <w:ind w:firstLine="480" w:firstLineChars="200"/>
        <w:rPr>
          <w:rFonts w:hint="eastAsia" w:ascii="仿宋" w:hAnsi="仿宋" w:eastAsia="仿宋" w:cs="仿宋"/>
          <w:b w:val="0"/>
          <w:color w:val="auto"/>
          <w:sz w:val="24"/>
          <w:highlight w:val="none"/>
        </w:rPr>
      </w:pPr>
      <w:bookmarkStart w:id="1326" w:name="_Toc419320361"/>
      <w:bookmarkStart w:id="1327" w:name="_Toc419363819"/>
      <w:bookmarkStart w:id="1328" w:name="_Toc419321397"/>
      <w:bookmarkStart w:id="1329" w:name="_Toc433988855"/>
      <w:bookmarkStart w:id="1330" w:name="_Toc14283"/>
      <w:bookmarkStart w:id="1331" w:name="_Toc419364486"/>
      <w:r>
        <w:rPr>
          <w:rFonts w:hint="eastAsia" w:ascii="仿宋" w:hAnsi="仿宋" w:eastAsia="仿宋" w:cs="仿宋"/>
          <w:b w:val="0"/>
          <w:color w:val="auto"/>
          <w:sz w:val="24"/>
          <w:highlight w:val="none"/>
        </w:rPr>
        <w:t>6.1 工程物资的提供</w:t>
      </w:r>
      <w:bookmarkEnd w:id="1326"/>
      <w:bookmarkEnd w:id="1327"/>
      <w:bookmarkEnd w:id="1328"/>
      <w:bookmarkEnd w:id="1329"/>
      <w:bookmarkEnd w:id="1330"/>
      <w:bookmarkEnd w:id="1331"/>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6.1.1 发包人提供的工程物资</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（1）工程物资的类别、估算数量：</w:t>
      </w:r>
      <w:r>
        <w:rPr>
          <w:rFonts w:hint="eastAsia" w:ascii="仿宋" w:hAnsi="仿宋" w:eastAsia="仿宋" w:cs="仿宋"/>
          <w:b w:val="0"/>
          <w:color w:val="auto"/>
          <w:sz w:val="24"/>
          <w:highlight w:val="none"/>
          <w:u w:val="single"/>
        </w:rPr>
        <w:t>如有，双方在签另行约定。</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6.1.2 承包人提供的工程物资</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（1）工程物资的类别、估算数量：</w:t>
      </w:r>
      <w:r>
        <w:rPr>
          <w:rFonts w:hint="eastAsia" w:ascii="仿宋" w:hAnsi="仿宋" w:eastAsia="仿宋" w:cs="仿宋"/>
          <w:b w:val="0"/>
          <w:color w:val="auto"/>
          <w:sz w:val="24"/>
          <w:highlight w:val="none"/>
          <w:u w:val="single"/>
        </w:rPr>
        <w:t>根据项目需求提供。</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（3）竣工后试验的生产性材料的类别或（和）清单：</w:t>
      </w:r>
      <w:r>
        <w:rPr>
          <w:rFonts w:hint="eastAsia" w:ascii="仿宋" w:hAnsi="仿宋" w:eastAsia="仿宋" w:cs="仿宋"/>
          <w:b w:val="0"/>
          <w:color w:val="auto"/>
          <w:sz w:val="24"/>
          <w:highlight w:val="none"/>
          <w:u w:val="single"/>
        </w:rPr>
        <w:t xml:space="preserve">  /  </w:t>
      </w:r>
    </w:p>
    <w:p>
      <w:pPr>
        <w:pStyle w:val="219"/>
        <w:keepNext/>
        <w:keepLines/>
        <w:spacing w:after="0" w:line="360" w:lineRule="auto"/>
        <w:ind w:firstLine="480" w:firstLineChars="200"/>
        <w:rPr>
          <w:rFonts w:hint="eastAsia" w:ascii="仿宋" w:hAnsi="仿宋" w:eastAsia="仿宋" w:cs="仿宋"/>
          <w:b w:val="0"/>
          <w:color w:val="auto"/>
          <w:sz w:val="24"/>
          <w:highlight w:val="none"/>
        </w:rPr>
      </w:pPr>
      <w:bookmarkStart w:id="1332" w:name="_Toc433988856"/>
      <w:bookmarkStart w:id="1333" w:name="_Toc419321398"/>
      <w:bookmarkStart w:id="1334" w:name="_Toc419364487"/>
      <w:bookmarkStart w:id="1335" w:name="_Toc12773"/>
      <w:bookmarkStart w:id="1336" w:name="_Toc419363820"/>
      <w:bookmarkStart w:id="1337" w:name="_Toc419320362"/>
      <w:r>
        <w:rPr>
          <w:rFonts w:hint="eastAsia" w:ascii="仿宋" w:hAnsi="仿宋" w:eastAsia="仿宋" w:cs="仿宋"/>
          <w:b w:val="0"/>
          <w:color w:val="auto"/>
          <w:sz w:val="24"/>
          <w:highlight w:val="none"/>
        </w:rPr>
        <w:t>6.2 检验</w:t>
      </w:r>
      <w:bookmarkEnd w:id="1332"/>
      <w:bookmarkEnd w:id="1333"/>
      <w:bookmarkEnd w:id="1334"/>
      <w:bookmarkEnd w:id="1335"/>
      <w:bookmarkEnd w:id="1336"/>
      <w:bookmarkEnd w:id="1337"/>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6.2.1 工程检验与报告</w:t>
      </w:r>
    </w:p>
    <w:p>
      <w:pPr>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rPr>
        <w:t>（1）报告提交日期、报告内容和提交份数：</w:t>
      </w:r>
      <w:r>
        <w:rPr>
          <w:rFonts w:hint="eastAsia" w:ascii="仿宋" w:hAnsi="仿宋" w:eastAsia="仿宋" w:cs="仿宋"/>
          <w:b w:val="0"/>
          <w:color w:val="auto"/>
          <w:sz w:val="24"/>
          <w:highlight w:val="none"/>
          <w:u w:val="single"/>
        </w:rPr>
        <w:t>根据项目需求双方另行约定。</w:t>
      </w:r>
    </w:p>
    <w:p>
      <w:pPr>
        <w:pStyle w:val="219"/>
        <w:keepNext/>
        <w:keepLines/>
        <w:spacing w:after="0" w:line="360" w:lineRule="auto"/>
        <w:ind w:firstLine="480" w:firstLineChars="200"/>
        <w:rPr>
          <w:rFonts w:hint="eastAsia" w:ascii="仿宋" w:hAnsi="仿宋" w:eastAsia="仿宋" w:cs="仿宋"/>
          <w:b w:val="0"/>
          <w:color w:val="auto"/>
          <w:sz w:val="24"/>
          <w:highlight w:val="none"/>
        </w:rPr>
      </w:pPr>
      <w:bookmarkStart w:id="1338" w:name="_Toc419320363"/>
      <w:bookmarkStart w:id="1339" w:name="_Toc26822"/>
      <w:bookmarkStart w:id="1340" w:name="_Toc419363821"/>
      <w:bookmarkStart w:id="1341" w:name="_Toc419364488"/>
      <w:bookmarkStart w:id="1342" w:name="_Toc419321399"/>
      <w:bookmarkStart w:id="1343" w:name="_Toc433988857"/>
      <w:r>
        <w:rPr>
          <w:rFonts w:hint="eastAsia" w:ascii="仿宋" w:hAnsi="仿宋" w:eastAsia="仿宋" w:cs="仿宋"/>
          <w:b w:val="0"/>
          <w:color w:val="auto"/>
          <w:sz w:val="24"/>
          <w:highlight w:val="none"/>
        </w:rPr>
        <w:t>6.3 进口工程物资的采购</w:t>
      </w:r>
      <w:bookmarkEnd w:id="1338"/>
      <w:bookmarkEnd w:id="1339"/>
      <w:bookmarkEnd w:id="1340"/>
      <w:bookmarkEnd w:id="1341"/>
      <w:bookmarkEnd w:id="1342"/>
      <w:bookmarkEnd w:id="1343"/>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6.3.1 采购责任方及采购方式：</w:t>
      </w:r>
      <w:r>
        <w:rPr>
          <w:rFonts w:hint="eastAsia" w:ascii="仿宋" w:hAnsi="仿宋" w:eastAsia="仿宋" w:cs="仿宋"/>
          <w:b w:val="0"/>
          <w:color w:val="auto"/>
          <w:sz w:val="24"/>
          <w:highlight w:val="none"/>
          <w:u w:val="single"/>
        </w:rPr>
        <w:t xml:space="preserve"> / </w:t>
      </w:r>
    </w:p>
    <w:p>
      <w:pPr>
        <w:spacing w:after="0" w:line="360" w:lineRule="auto"/>
        <w:ind w:firstLine="480" w:firstLineChars="200"/>
        <w:rPr>
          <w:rFonts w:hint="eastAsia" w:ascii="仿宋" w:hAnsi="仿宋" w:eastAsia="仿宋" w:cs="仿宋"/>
          <w:b w:val="0"/>
          <w:color w:val="auto"/>
          <w:sz w:val="24"/>
          <w:highlight w:val="none"/>
        </w:rPr>
      </w:pPr>
      <w:bookmarkStart w:id="1344" w:name="_Toc419320364"/>
      <w:bookmarkStart w:id="1345" w:name="_Toc419321400"/>
      <w:bookmarkStart w:id="1346" w:name="_Toc433988858"/>
      <w:bookmarkStart w:id="1347" w:name="_Toc419364489"/>
      <w:bookmarkStart w:id="1348" w:name="_Toc4554"/>
      <w:bookmarkStart w:id="1349" w:name="_Toc419363822"/>
      <w:r>
        <w:rPr>
          <w:rFonts w:hint="eastAsia" w:ascii="仿宋" w:hAnsi="仿宋" w:eastAsia="仿宋" w:cs="仿宋"/>
          <w:b w:val="0"/>
          <w:color w:val="auto"/>
          <w:sz w:val="24"/>
          <w:highlight w:val="none"/>
        </w:rPr>
        <w:t>6.6 工程物资保管与剩余</w:t>
      </w:r>
      <w:bookmarkEnd w:id="1344"/>
      <w:bookmarkEnd w:id="1345"/>
      <w:bookmarkEnd w:id="1346"/>
      <w:bookmarkEnd w:id="1347"/>
      <w:bookmarkEnd w:id="1348"/>
      <w:bookmarkEnd w:id="1349"/>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6.6.1 工程物资保管</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委托承包人保管的工程物资的类别和估算数量：</w:t>
      </w:r>
      <w:r>
        <w:rPr>
          <w:rFonts w:hint="eastAsia" w:ascii="仿宋" w:hAnsi="仿宋" w:eastAsia="仿宋" w:cs="仿宋"/>
          <w:b w:val="0"/>
          <w:color w:val="auto"/>
          <w:sz w:val="24"/>
          <w:highlight w:val="none"/>
          <w:u w:val="single"/>
        </w:rPr>
        <w:t>根据项目需求双方另行约定。</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承包人提交保管、维护方案的时间：</w:t>
      </w:r>
      <w:r>
        <w:rPr>
          <w:rFonts w:hint="eastAsia" w:ascii="仿宋" w:hAnsi="仿宋" w:eastAsia="仿宋" w:cs="仿宋"/>
          <w:b w:val="0"/>
          <w:color w:val="auto"/>
          <w:sz w:val="24"/>
          <w:highlight w:val="none"/>
          <w:u w:val="single"/>
        </w:rPr>
        <w:t>根据项目需求双方另行约定。</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由发包人提供的库房、堆场、设施及设备：</w:t>
      </w:r>
      <w:r>
        <w:rPr>
          <w:rFonts w:hint="eastAsia" w:ascii="仿宋" w:hAnsi="仿宋" w:eastAsia="仿宋" w:cs="仿宋"/>
          <w:b w:val="0"/>
          <w:color w:val="auto"/>
          <w:sz w:val="24"/>
          <w:highlight w:val="none"/>
          <w:u w:val="single"/>
        </w:rPr>
        <w:t>根据项目需求双方另行约定。</w:t>
      </w:r>
    </w:p>
    <w:p>
      <w:pPr>
        <w:spacing w:after="0" w:line="360" w:lineRule="auto"/>
        <w:ind w:firstLine="480" w:firstLineChars="200"/>
        <w:rPr>
          <w:rFonts w:hint="eastAsia" w:ascii="仿宋" w:hAnsi="仿宋" w:eastAsia="仿宋" w:cs="仿宋"/>
          <w:b w:val="0"/>
          <w:color w:val="auto"/>
          <w:sz w:val="24"/>
          <w:highlight w:val="none"/>
        </w:rPr>
      </w:pPr>
      <w:bookmarkStart w:id="1350" w:name="_Toc364469114"/>
      <w:bookmarkStart w:id="1351" w:name="_Toc419320365"/>
      <w:bookmarkStart w:id="1352" w:name="_Toc123919757"/>
      <w:bookmarkStart w:id="1353" w:name="_Toc419321401"/>
      <w:bookmarkStart w:id="1354" w:name="_Toc985939266"/>
      <w:bookmarkStart w:id="1355" w:name="_Toc419363823"/>
      <w:bookmarkStart w:id="1356" w:name="_Toc51800056"/>
      <w:bookmarkStart w:id="1357" w:name="_Toc1125598965"/>
      <w:bookmarkStart w:id="1358" w:name="_Toc224296547"/>
      <w:bookmarkStart w:id="1359" w:name="_Toc13880"/>
      <w:bookmarkStart w:id="1360" w:name="_Toc419364490"/>
      <w:bookmarkStart w:id="1361" w:name="_Toc1615008812"/>
      <w:bookmarkStart w:id="1362" w:name="_Toc28640"/>
      <w:bookmarkStart w:id="1363" w:name="_Toc12597"/>
      <w:bookmarkStart w:id="1364" w:name="_Toc433988859"/>
      <w:bookmarkStart w:id="1365" w:name="_Toc1691195641"/>
      <w:r>
        <w:rPr>
          <w:rFonts w:hint="eastAsia" w:ascii="仿宋" w:hAnsi="仿宋" w:eastAsia="仿宋" w:cs="仿宋"/>
          <w:b w:val="0"/>
          <w:color w:val="auto"/>
          <w:sz w:val="24"/>
          <w:highlight w:val="none"/>
        </w:rPr>
        <w:t>第7条 施工</w:t>
      </w:r>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p>
    <w:p>
      <w:pPr>
        <w:spacing w:after="0" w:line="360" w:lineRule="auto"/>
        <w:ind w:firstLine="480" w:firstLineChars="200"/>
        <w:rPr>
          <w:rFonts w:hint="eastAsia" w:ascii="仿宋" w:hAnsi="仿宋" w:eastAsia="仿宋" w:cs="仿宋"/>
          <w:b w:val="0"/>
          <w:color w:val="auto"/>
          <w:sz w:val="24"/>
          <w:highlight w:val="none"/>
        </w:rPr>
      </w:pPr>
      <w:bookmarkStart w:id="1366" w:name="_Toc419364491"/>
      <w:bookmarkStart w:id="1367" w:name="_Toc419320366"/>
      <w:bookmarkStart w:id="1368" w:name="_Toc4399"/>
      <w:bookmarkStart w:id="1369" w:name="_Toc433988860"/>
      <w:bookmarkStart w:id="1370" w:name="_Toc419363824"/>
      <w:bookmarkStart w:id="1371" w:name="_Toc419321402"/>
      <w:r>
        <w:rPr>
          <w:rFonts w:hint="eastAsia" w:ascii="仿宋" w:hAnsi="仿宋" w:eastAsia="仿宋" w:cs="仿宋"/>
          <w:b w:val="0"/>
          <w:color w:val="auto"/>
          <w:sz w:val="24"/>
          <w:highlight w:val="none"/>
        </w:rPr>
        <w:t>7.1 发包人的义务</w:t>
      </w:r>
      <w:bookmarkEnd w:id="1366"/>
      <w:bookmarkEnd w:id="1367"/>
      <w:bookmarkEnd w:id="1368"/>
      <w:bookmarkEnd w:id="1369"/>
      <w:bookmarkEnd w:id="1370"/>
      <w:bookmarkEnd w:id="1371"/>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7.1.3 进场条件和进场日期</w:t>
      </w:r>
    </w:p>
    <w:p>
      <w:pPr>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rPr>
        <w:t>承包人的进场条件：</w:t>
      </w:r>
      <w:r>
        <w:rPr>
          <w:rFonts w:hint="eastAsia" w:ascii="仿宋" w:hAnsi="仿宋" w:eastAsia="仿宋" w:cs="仿宋"/>
          <w:b w:val="0"/>
          <w:color w:val="auto"/>
          <w:sz w:val="24"/>
          <w:highlight w:val="none"/>
          <w:u w:val="single"/>
        </w:rPr>
        <w:t>满足施工需要。</w:t>
      </w:r>
    </w:p>
    <w:p>
      <w:pPr>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rPr>
        <w:t>承包人的进场日期：</w:t>
      </w:r>
      <w:r>
        <w:rPr>
          <w:rFonts w:hint="eastAsia" w:ascii="仿宋" w:hAnsi="仿宋" w:eastAsia="仿宋" w:cs="仿宋"/>
          <w:b w:val="0"/>
          <w:color w:val="auto"/>
          <w:sz w:val="24"/>
          <w:highlight w:val="none"/>
          <w:u w:val="single"/>
        </w:rPr>
        <w:t>根据项目需求双方另行约定。</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7.1.4 临时用水电等提供和节点铺设</w:t>
      </w:r>
    </w:p>
    <w:p>
      <w:pPr>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rPr>
        <w:t>发包人提供的临时用水、用电等类别、取费单价：</w:t>
      </w:r>
      <w:r>
        <w:rPr>
          <w:rFonts w:hint="eastAsia" w:ascii="仿宋" w:hAnsi="仿宋" w:eastAsia="仿宋" w:cs="仿宋"/>
          <w:b w:val="0"/>
          <w:color w:val="auto"/>
          <w:sz w:val="24"/>
          <w:highlight w:val="none"/>
          <w:u w:val="single"/>
        </w:rPr>
        <w:t>费用按照当地标准价格计费。</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7.1.10 由发包人履行的其它义务：</w:t>
      </w:r>
    </w:p>
    <w:p>
      <w:pPr>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rPr>
        <w:t>（1）施工场地具备施工条件的要求及完成的时间：</w:t>
      </w:r>
      <w:r>
        <w:rPr>
          <w:rFonts w:hint="eastAsia" w:ascii="仿宋" w:hAnsi="仿宋" w:eastAsia="仿宋" w:cs="仿宋"/>
          <w:b w:val="0"/>
          <w:color w:val="auto"/>
          <w:sz w:val="24"/>
          <w:highlight w:val="none"/>
          <w:u w:val="single"/>
        </w:rPr>
        <w:t>开工前7天，办理土地征用、拆迁补偿、三通一平等工作，使施工场地具备施工条件，在开工后继续负责解决以上事项遗留问题。</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（2）工程地质和地下管线资料的提供时间：</w:t>
      </w:r>
      <w:r>
        <w:rPr>
          <w:rFonts w:hint="eastAsia" w:ascii="仿宋" w:hAnsi="仿宋" w:eastAsia="仿宋" w:cs="仿宋"/>
          <w:b w:val="0"/>
          <w:color w:val="auto"/>
          <w:sz w:val="24"/>
          <w:highlight w:val="none"/>
          <w:u w:val="single"/>
        </w:rPr>
        <w:t>开工前7天，随施工图一起配套提供给承包人，并对资料的真实性、准确性负责。</w:t>
      </w:r>
    </w:p>
    <w:p>
      <w:pPr>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rPr>
        <w:t>（3）由发包人办理的施工所需证件、批件的名称和完成时间：</w:t>
      </w:r>
      <w:r>
        <w:rPr>
          <w:rFonts w:hint="eastAsia" w:ascii="仿宋" w:hAnsi="仿宋" w:eastAsia="仿宋" w:cs="仿宋"/>
          <w:b w:val="0"/>
          <w:color w:val="auto"/>
          <w:sz w:val="24"/>
          <w:highlight w:val="none"/>
          <w:u w:val="single"/>
        </w:rPr>
        <w:t>办理施工许可证；按施工进度的需要，办理好临时用地、停水、停电等申请事项</w:t>
      </w:r>
      <w:r>
        <w:rPr>
          <w:rFonts w:hint="eastAsia" w:ascii="仿宋" w:hAnsi="仿宋" w:eastAsia="仿宋" w:cs="仿宋"/>
          <w:b w:val="0"/>
          <w:color w:val="auto"/>
          <w:sz w:val="24"/>
          <w:highlight w:val="none"/>
        </w:rPr>
        <w:t>。</w:t>
      </w:r>
    </w:p>
    <w:p>
      <w:pPr>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rPr>
        <w:t>（4）水准点与坐标控制点交验要求：</w:t>
      </w:r>
      <w:r>
        <w:rPr>
          <w:rFonts w:hint="eastAsia" w:ascii="仿宋" w:hAnsi="仿宋" w:eastAsia="仿宋" w:cs="仿宋"/>
          <w:b w:val="0"/>
          <w:color w:val="auto"/>
          <w:sz w:val="24"/>
          <w:highlight w:val="none"/>
          <w:u w:val="single"/>
        </w:rPr>
        <w:t>开工前3天确定水准点与坐标控制点，发包人以书面形式交给承包人，双方在现场进行交验。</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（5）协调处理施工场地周围地下管线和邻近建筑物、构筑物（含文物保护建筑）、古树名木的保护工作，以及地上附着物处理。</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（6）因发包人未按本合同约定完成上述工作，造成损失由发包人承担。</w:t>
      </w:r>
    </w:p>
    <w:p>
      <w:pPr>
        <w:spacing w:after="0" w:line="360" w:lineRule="auto"/>
        <w:ind w:firstLine="480" w:firstLineChars="200"/>
        <w:rPr>
          <w:rFonts w:hint="eastAsia" w:ascii="仿宋" w:hAnsi="仿宋" w:eastAsia="仿宋" w:cs="仿宋"/>
          <w:b w:val="0"/>
          <w:color w:val="auto"/>
          <w:sz w:val="24"/>
          <w:highlight w:val="none"/>
        </w:rPr>
      </w:pPr>
      <w:bookmarkStart w:id="1372" w:name="_Toc419364492"/>
      <w:bookmarkStart w:id="1373" w:name="_Toc419320367"/>
      <w:bookmarkStart w:id="1374" w:name="_Toc29555"/>
      <w:bookmarkStart w:id="1375" w:name="_Toc419321403"/>
      <w:bookmarkStart w:id="1376" w:name="_Toc433988861"/>
      <w:bookmarkStart w:id="1377" w:name="_Toc419363825"/>
      <w:r>
        <w:rPr>
          <w:rFonts w:hint="eastAsia" w:ascii="仿宋" w:hAnsi="仿宋" w:eastAsia="仿宋" w:cs="仿宋"/>
          <w:b w:val="0"/>
          <w:color w:val="auto"/>
          <w:sz w:val="24"/>
          <w:highlight w:val="none"/>
        </w:rPr>
        <w:t>7.2 承包人的义务</w:t>
      </w:r>
      <w:bookmarkEnd w:id="1372"/>
      <w:bookmarkEnd w:id="1373"/>
      <w:bookmarkEnd w:id="1374"/>
      <w:bookmarkEnd w:id="1375"/>
      <w:bookmarkEnd w:id="1376"/>
      <w:bookmarkEnd w:id="1377"/>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7.2.2 施工组织设计</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提交工程总体施工组织设计的份数和时间：</w:t>
      </w:r>
      <w:r>
        <w:rPr>
          <w:rFonts w:hint="eastAsia" w:ascii="仿宋" w:hAnsi="仿宋" w:eastAsia="仿宋" w:cs="仿宋"/>
          <w:b w:val="0"/>
          <w:color w:val="auto"/>
          <w:sz w:val="24"/>
          <w:highlight w:val="none"/>
          <w:u w:val="single"/>
        </w:rPr>
        <w:t>根据项目需求双方另行约定。</w:t>
      </w:r>
    </w:p>
    <w:p>
      <w:pPr>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rPr>
        <w:t>需要提交的主要单项工程、主要分部分项工程施工组织设计的名称、份数和时间：</w:t>
      </w:r>
      <w:r>
        <w:rPr>
          <w:rFonts w:hint="eastAsia" w:ascii="仿宋" w:hAnsi="仿宋" w:eastAsia="仿宋" w:cs="仿宋"/>
          <w:b w:val="0"/>
          <w:color w:val="auto"/>
          <w:sz w:val="24"/>
          <w:highlight w:val="none"/>
          <w:u w:val="single"/>
        </w:rPr>
        <w:t>根据项目需求双方另行约定。</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7.2.3 提交临时占地资料</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提交临时占地资料的时间：</w:t>
      </w:r>
      <w:r>
        <w:rPr>
          <w:rFonts w:hint="eastAsia" w:ascii="仿宋" w:hAnsi="仿宋" w:eastAsia="仿宋" w:cs="仿宋"/>
          <w:b w:val="0"/>
          <w:color w:val="auto"/>
          <w:sz w:val="24"/>
          <w:highlight w:val="none"/>
          <w:u w:val="single"/>
        </w:rPr>
        <w:t>根据项目需求双方另行约定。</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7.2.4 提供临时用水电等资料</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承包人需要水电等品质、正常用量、高峰量和使用时间：</w:t>
      </w:r>
      <w:r>
        <w:rPr>
          <w:rFonts w:hint="eastAsia" w:ascii="仿宋" w:hAnsi="仿宋" w:eastAsia="仿宋" w:cs="仿宋"/>
          <w:b w:val="0"/>
          <w:color w:val="auto"/>
          <w:sz w:val="24"/>
          <w:highlight w:val="none"/>
          <w:u w:val="single"/>
        </w:rPr>
        <w:t>根据项目需求双方另行约定。</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发包人能够满足施工临时用水、电等类别和数量：</w:t>
      </w:r>
      <w:r>
        <w:rPr>
          <w:rFonts w:hint="eastAsia" w:ascii="仿宋" w:hAnsi="仿宋" w:eastAsia="仿宋" w:cs="仿宋"/>
          <w:b w:val="0"/>
          <w:color w:val="auto"/>
          <w:sz w:val="24"/>
          <w:highlight w:val="none"/>
          <w:u w:val="single"/>
        </w:rPr>
        <w:t>根据项目需求双方另行约定。</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水电等节点位置资料的提交时间：</w:t>
      </w:r>
      <w:r>
        <w:rPr>
          <w:rFonts w:hint="eastAsia" w:ascii="仿宋" w:hAnsi="仿宋" w:eastAsia="仿宋" w:cs="仿宋"/>
          <w:b w:val="0"/>
          <w:color w:val="auto"/>
          <w:sz w:val="24"/>
          <w:highlight w:val="none"/>
          <w:u w:val="single"/>
        </w:rPr>
        <w:t>根据项目需求双方另行约定。</w:t>
      </w:r>
    </w:p>
    <w:p>
      <w:pPr>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rPr>
        <w:t>7.2.12 清理现场的费用：</w:t>
      </w:r>
      <w:r>
        <w:rPr>
          <w:rFonts w:hint="eastAsia" w:ascii="仿宋" w:hAnsi="仿宋" w:eastAsia="仿宋" w:cs="仿宋"/>
          <w:b w:val="0"/>
          <w:color w:val="auto"/>
          <w:sz w:val="24"/>
          <w:highlight w:val="none"/>
          <w:u w:val="single"/>
        </w:rPr>
        <w:t>移交施工现场后清理现场的费用由承包人承担。</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7.2.13 由承包人履行的其它义务：</w:t>
      </w:r>
    </w:p>
    <w:p>
      <w:pPr>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rPr>
        <w:t>（1）施工场地周围地下管线和邻近建筑物、构筑物（含文物保护建筑）、古树名木的保护要求及费用承担：</w:t>
      </w:r>
      <w:r>
        <w:rPr>
          <w:rFonts w:hint="eastAsia" w:ascii="仿宋" w:hAnsi="仿宋" w:eastAsia="仿宋" w:cs="仿宋"/>
          <w:b w:val="0"/>
          <w:color w:val="auto"/>
          <w:sz w:val="24"/>
          <w:highlight w:val="none"/>
          <w:u w:val="single"/>
        </w:rPr>
        <w:t>承包人施工时因承包人原因损坏地下管线、邻近建筑物、构筑物，所发生费用由承包人承担。若因发包人提供的资料有误等非承包人原因造成的地下管线、邻近建筑物、构筑物损坏的，所发生的费用由发包人承担。</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（2）图纸会审和设计交底时间：</w:t>
      </w:r>
      <w:r>
        <w:rPr>
          <w:rFonts w:hint="eastAsia" w:ascii="仿宋" w:hAnsi="仿宋" w:eastAsia="仿宋" w:cs="仿宋"/>
          <w:b w:val="0"/>
          <w:color w:val="auto"/>
          <w:sz w:val="24"/>
          <w:highlight w:val="none"/>
          <w:u w:val="single"/>
        </w:rPr>
        <w:t>在开工前15天，由承包人组织设计负责人、施工负责人、发包人指定代表进行图纸会审和设计交底。</w:t>
      </w:r>
    </w:p>
    <w:p>
      <w:pPr>
        <w:spacing w:after="0" w:line="360" w:lineRule="auto"/>
        <w:ind w:firstLine="480" w:firstLineChars="200"/>
        <w:rPr>
          <w:rFonts w:hint="eastAsia" w:ascii="仿宋" w:hAnsi="仿宋" w:eastAsia="仿宋" w:cs="仿宋"/>
          <w:b w:val="0"/>
          <w:color w:val="auto"/>
          <w:sz w:val="24"/>
          <w:highlight w:val="none"/>
        </w:rPr>
      </w:pPr>
      <w:bookmarkStart w:id="1378" w:name="_Toc20316"/>
      <w:bookmarkStart w:id="1379" w:name="_Toc433988862"/>
      <w:bookmarkStart w:id="1380" w:name="_Toc419320368"/>
      <w:bookmarkStart w:id="1381" w:name="_Toc419321404"/>
      <w:bookmarkStart w:id="1382" w:name="_Toc419363826"/>
      <w:bookmarkStart w:id="1383" w:name="_Toc419364493"/>
      <w:r>
        <w:rPr>
          <w:rFonts w:hint="eastAsia" w:ascii="仿宋" w:hAnsi="仿宋" w:eastAsia="仿宋" w:cs="仿宋"/>
          <w:b w:val="0"/>
          <w:color w:val="auto"/>
          <w:sz w:val="24"/>
          <w:highlight w:val="none"/>
        </w:rPr>
        <w:t>7.4 人力和机具资源</w:t>
      </w:r>
      <w:bookmarkEnd w:id="1378"/>
      <w:bookmarkEnd w:id="1379"/>
      <w:bookmarkEnd w:id="1380"/>
      <w:bookmarkEnd w:id="1381"/>
      <w:bookmarkEnd w:id="1382"/>
      <w:bookmarkEnd w:id="1383"/>
    </w:p>
    <w:p>
      <w:pPr>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rPr>
        <w:t>7.4.1 人力资源计划一览表的格式、内容、份数和提交时间：</w:t>
      </w:r>
      <w:r>
        <w:rPr>
          <w:rFonts w:hint="eastAsia" w:ascii="仿宋" w:hAnsi="仿宋" w:eastAsia="仿宋" w:cs="仿宋"/>
          <w:b w:val="0"/>
          <w:color w:val="auto"/>
          <w:sz w:val="24"/>
          <w:highlight w:val="none"/>
          <w:u w:val="single"/>
        </w:rPr>
        <w:t>根据项目需求双方另行约定。</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人力资源实际进场的报表格式、份数和报告期：</w:t>
      </w:r>
      <w:r>
        <w:rPr>
          <w:rFonts w:hint="eastAsia" w:ascii="仿宋" w:hAnsi="仿宋" w:eastAsia="仿宋" w:cs="仿宋"/>
          <w:b w:val="0"/>
          <w:color w:val="auto"/>
          <w:sz w:val="24"/>
          <w:highlight w:val="none"/>
          <w:u w:val="single"/>
        </w:rPr>
        <w:t>根据项目需求双方另行约定。</w:t>
      </w:r>
    </w:p>
    <w:p>
      <w:pPr>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rPr>
        <w:t>7.4.2 主要机具计划一览表的格式、内容、份数和提交时间：</w:t>
      </w:r>
      <w:r>
        <w:rPr>
          <w:rFonts w:hint="eastAsia" w:ascii="仿宋" w:hAnsi="仿宋" w:eastAsia="仿宋" w:cs="仿宋"/>
          <w:b w:val="0"/>
          <w:color w:val="auto"/>
          <w:sz w:val="24"/>
          <w:highlight w:val="none"/>
          <w:u w:val="single"/>
        </w:rPr>
        <w:t>根据项目需求双方另行约定。</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主要机具实际进场的报表格式、份数和报告期：</w:t>
      </w:r>
      <w:r>
        <w:rPr>
          <w:rFonts w:hint="eastAsia" w:ascii="仿宋" w:hAnsi="仿宋" w:eastAsia="仿宋" w:cs="仿宋"/>
          <w:b w:val="0"/>
          <w:color w:val="auto"/>
          <w:sz w:val="24"/>
          <w:highlight w:val="none"/>
          <w:u w:val="single"/>
        </w:rPr>
        <w:t>根据项目需求双方另行约定。</w:t>
      </w:r>
    </w:p>
    <w:p>
      <w:pPr>
        <w:spacing w:after="0" w:line="360" w:lineRule="auto"/>
        <w:ind w:firstLine="480" w:firstLineChars="200"/>
        <w:rPr>
          <w:rFonts w:hint="eastAsia" w:ascii="仿宋" w:hAnsi="仿宋" w:eastAsia="仿宋" w:cs="仿宋"/>
          <w:b w:val="0"/>
          <w:color w:val="auto"/>
          <w:sz w:val="24"/>
          <w:highlight w:val="none"/>
        </w:rPr>
      </w:pPr>
      <w:bookmarkStart w:id="1384" w:name="_Toc419363827"/>
      <w:bookmarkStart w:id="1385" w:name="_Toc419364494"/>
      <w:bookmarkStart w:id="1386" w:name="_Toc419321405"/>
      <w:bookmarkStart w:id="1387" w:name="_Toc419320369"/>
      <w:bookmarkStart w:id="1388" w:name="_Toc433988863"/>
      <w:bookmarkStart w:id="1389" w:name="_Toc24307"/>
      <w:r>
        <w:rPr>
          <w:rFonts w:hint="eastAsia" w:ascii="仿宋" w:hAnsi="仿宋" w:eastAsia="仿宋" w:cs="仿宋"/>
          <w:b w:val="0"/>
          <w:color w:val="auto"/>
          <w:sz w:val="24"/>
          <w:highlight w:val="none"/>
        </w:rPr>
        <w:t>7.5 质量与检验</w:t>
      </w:r>
      <w:bookmarkEnd w:id="1384"/>
      <w:bookmarkEnd w:id="1385"/>
      <w:bookmarkEnd w:id="1386"/>
      <w:bookmarkEnd w:id="1387"/>
      <w:bookmarkEnd w:id="1388"/>
      <w:bookmarkEnd w:id="1389"/>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7.5.2 质检部位与参检方</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三方参检的部位、标准及表格形式：</w:t>
      </w:r>
      <w:r>
        <w:rPr>
          <w:rFonts w:hint="eastAsia" w:ascii="仿宋" w:hAnsi="仿宋" w:eastAsia="仿宋" w:cs="仿宋"/>
          <w:b w:val="0"/>
          <w:color w:val="auto"/>
          <w:sz w:val="24"/>
          <w:highlight w:val="none"/>
          <w:u w:val="single"/>
        </w:rPr>
        <w:t>按相关规定执行。</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两方参检的部位、标准及表格形式：</w:t>
      </w:r>
      <w:r>
        <w:rPr>
          <w:rFonts w:hint="eastAsia" w:ascii="仿宋" w:hAnsi="仿宋" w:eastAsia="仿宋" w:cs="仿宋"/>
          <w:b w:val="0"/>
          <w:color w:val="auto"/>
          <w:sz w:val="24"/>
          <w:highlight w:val="none"/>
          <w:u w:val="single"/>
        </w:rPr>
        <w:t xml:space="preserve">按相关规定执行。 </w:t>
      </w:r>
    </w:p>
    <w:p>
      <w:pPr>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rPr>
        <w:t>第三方检查的部位、标准及表格形式：</w:t>
      </w:r>
      <w:r>
        <w:rPr>
          <w:rFonts w:hint="eastAsia" w:ascii="仿宋" w:hAnsi="仿宋" w:eastAsia="仿宋" w:cs="仿宋"/>
          <w:b w:val="0"/>
          <w:color w:val="auto"/>
          <w:sz w:val="24"/>
          <w:highlight w:val="none"/>
          <w:u w:val="single"/>
        </w:rPr>
        <w:t>按相关规定执行。</w:t>
      </w:r>
    </w:p>
    <w:p>
      <w:pPr>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rPr>
        <w:t>承包人自检的部位、标准及表格形式：</w:t>
      </w:r>
      <w:r>
        <w:rPr>
          <w:rFonts w:hint="eastAsia" w:ascii="仿宋" w:hAnsi="仿宋" w:eastAsia="仿宋" w:cs="仿宋"/>
          <w:b w:val="0"/>
          <w:color w:val="auto"/>
          <w:sz w:val="24"/>
          <w:highlight w:val="none"/>
          <w:u w:val="single"/>
        </w:rPr>
        <w:t>由承包人自行制定。</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根据有关规定进行的专项检测和见证取样等由发包人委托有检测资质的第三方检测机构进行，其发生的费用由发包人承担。</w:t>
      </w:r>
    </w:p>
    <w:p>
      <w:pPr>
        <w:spacing w:after="0" w:line="360" w:lineRule="auto"/>
        <w:ind w:firstLine="480" w:firstLineChars="200"/>
        <w:rPr>
          <w:rFonts w:hint="eastAsia" w:ascii="仿宋" w:hAnsi="仿宋" w:eastAsia="仿宋" w:cs="仿宋"/>
          <w:b w:val="0"/>
          <w:color w:val="auto"/>
          <w:sz w:val="24"/>
          <w:highlight w:val="none"/>
        </w:rPr>
      </w:pPr>
      <w:bookmarkStart w:id="1390" w:name="_Toc419363828"/>
      <w:bookmarkStart w:id="1391" w:name="_Toc433988864"/>
      <w:bookmarkStart w:id="1392" w:name="_Toc419320370"/>
      <w:bookmarkStart w:id="1393" w:name="_Toc995"/>
      <w:bookmarkStart w:id="1394" w:name="_Toc419321406"/>
      <w:bookmarkStart w:id="1395" w:name="_Toc419364495"/>
      <w:r>
        <w:rPr>
          <w:rFonts w:hint="eastAsia" w:ascii="仿宋" w:hAnsi="仿宋" w:eastAsia="仿宋" w:cs="仿宋"/>
          <w:b w:val="0"/>
          <w:color w:val="auto"/>
          <w:sz w:val="24"/>
          <w:highlight w:val="none"/>
        </w:rPr>
        <w:t>7.6 隐蔽工程和中间验收</w:t>
      </w:r>
      <w:bookmarkEnd w:id="1390"/>
      <w:bookmarkEnd w:id="1391"/>
      <w:bookmarkEnd w:id="1392"/>
      <w:bookmarkEnd w:id="1393"/>
      <w:bookmarkEnd w:id="1394"/>
      <w:bookmarkEnd w:id="1395"/>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7.6.1 隐蔽工程和中间验收。</w:t>
      </w:r>
    </w:p>
    <w:p>
      <w:pPr>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rPr>
        <w:t>需要质检的隐蔽工程和中间验收部位的分类、部位、质检内容、标准、表格和参检方的约定：</w:t>
      </w:r>
      <w:r>
        <w:rPr>
          <w:rFonts w:hint="eastAsia" w:ascii="仿宋" w:hAnsi="仿宋" w:eastAsia="仿宋" w:cs="仿宋"/>
          <w:b w:val="0"/>
          <w:color w:val="auto"/>
          <w:sz w:val="24"/>
          <w:highlight w:val="none"/>
          <w:u w:val="single"/>
        </w:rPr>
        <w:t>工程隐蔽或中间验收前48小时以内书面形式通知发包人和监理工程师验收的内容、时间、地点，承包人准备验收记录单（印制的表格）由双方签字。验收合格，承包人可进行隐蔽和继续施工；验收不合格，双方商订时限内修改后按上述程序重新验收。</w:t>
      </w:r>
    </w:p>
    <w:p>
      <w:pPr>
        <w:spacing w:after="0" w:line="360" w:lineRule="auto"/>
        <w:ind w:firstLine="480" w:firstLineChars="200"/>
        <w:rPr>
          <w:rFonts w:hint="eastAsia" w:ascii="仿宋" w:hAnsi="仿宋" w:eastAsia="仿宋" w:cs="仿宋"/>
          <w:b w:val="0"/>
          <w:color w:val="auto"/>
          <w:sz w:val="24"/>
          <w:highlight w:val="none"/>
        </w:rPr>
      </w:pPr>
      <w:bookmarkStart w:id="1396" w:name="_Toc8421"/>
      <w:bookmarkStart w:id="1397" w:name="_Toc419320371"/>
      <w:bookmarkStart w:id="1398" w:name="_Toc419364496"/>
      <w:bookmarkStart w:id="1399" w:name="_Toc419321407"/>
      <w:bookmarkStart w:id="1400" w:name="_Toc433988865"/>
      <w:bookmarkStart w:id="1401" w:name="_Toc419363829"/>
      <w:r>
        <w:rPr>
          <w:rFonts w:hint="eastAsia" w:ascii="仿宋" w:hAnsi="仿宋" w:eastAsia="仿宋" w:cs="仿宋"/>
          <w:b w:val="0"/>
          <w:color w:val="auto"/>
          <w:sz w:val="24"/>
          <w:highlight w:val="none"/>
        </w:rPr>
        <w:t>7.8 职业健康、安全、环境保护</w:t>
      </w:r>
      <w:bookmarkEnd w:id="1396"/>
      <w:bookmarkEnd w:id="1397"/>
      <w:bookmarkEnd w:id="1398"/>
      <w:bookmarkEnd w:id="1399"/>
      <w:bookmarkEnd w:id="1400"/>
      <w:bookmarkEnd w:id="1401"/>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7.8.1 职业健康、安全、环境保护管理</w:t>
      </w:r>
    </w:p>
    <w:p>
      <w:pPr>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rPr>
        <w:t>（2）提交职业健康、安全、环境管理计划的份数和时间：</w:t>
      </w:r>
      <w:r>
        <w:rPr>
          <w:rFonts w:hint="eastAsia" w:ascii="仿宋" w:hAnsi="仿宋" w:eastAsia="仿宋" w:cs="仿宋"/>
          <w:b w:val="0"/>
          <w:color w:val="auto"/>
          <w:sz w:val="24"/>
          <w:highlight w:val="none"/>
          <w:u w:val="single"/>
        </w:rPr>
        <w:t>根据项目需求双方届时约定。</w:t>
      </w:r>
    </w:p>
    <w:p>
      <w:pPr>
        <w:spacing w:after="0" w:line="360" w:lineRule="auto"/>
        <w:ind w:firstLine="480" w:firstLineChars="200"/>
        <w:rPr>
          <w:rFonts w:hint="eastAsia" w:ascii="仿宋" w:hAnsi="仿宋" w:eastAsia="仿宋" w:cs="仿宋"/>
          <w:b w:val="0"/>
          <w:color w:val="auto"/>
          <w:sz w:val="24"/>
          <w:highlight w:val="none"/>
        </w:rPr>
      </w:pPr>
      <w:bookmarkStart w:id="1402" w:name="_Toc419364497"/>
      <w:bookmarkStart w:id="1403" w:name="_Toc1009037754"/>
      <w:bookmarkStart w:id="1404" w:name="_Toc16509"/>
      <w:bookmarkStart w:id="1405" w:name="_Toc1979070242"/>
      <w:bookmarkStart w:id="1406" w:name="_Toc697423410"/>
      <w:bookmarkStart w:id="1407" w:name="_Toc1807701956"/>
      <w:bookmarkStart w:id="1408" w:name="_Toc20893"/>
      <w:bookmarkStart w:id="1409" w:name="_Toc758358332"/>
      <w:bookmarkStart w:id="1410" w:name="_Toc872664157"/>
      <w:bookmarkStart w:id="1411" w:name="_Toc433988866"/>
      <w:bookmarkStart w:id="1412" w:name="_Toc17917"/>
      <w:bookmarkStart w:id="1413" w:name="_Toc1407288851"/>
      <w:bookmarkStart w:id="1414" w:name="_Toc918264944"/>
      <w:bookmarkStart w:id="1415" w:name="_Toc419321408"/>
      <w:bookmarkStart w:id="1416" w:name="_Toc419363830"/>
      <w:bookmarkStart w:id="1417" w:name="_Toc419320372"/>
      <w:r>
        <w:rPr>
          <w:rFonts w:hint="eastAsia" w:ascii="仿宋" w:hAnsi="仿宋" w:eastAsia="仿宋" w:cs="仿宋"/>
          <w:b w:val="0"/>
          <w:color w:val="auto"/>
          <w:sz w:val="24"/>
          <w:highlight w:val="none"/>
        </w:rPr>
        <w:t>第8条 竣工试验</w:t>
      </w:r>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本合同工程，包含□竣工试验阶段/□不包含竣工试验阶段。保留其一，作为双方约定。</w:t>
      </w:r>
    </w:p>
    <w:p>
      <w:pPr>
        <w:spacing w:after="0" w:line="360" w:lineRule="auto"/>
        <w:ind w:firstLine="480" w:firstLineChars="200"/>
        <w:rPr>
          <w:rFonts w:hint="eastAsia" w:ascii="仿宋" w:hAnsi="仿宋" w:eastAsia="仿宋" w:cs="仿宋"/>
          <w:b w:val="0"/>
          <w:color w:val="auto"/>
          <w:sz w:val="24"/>
          <w:highlight w:val="none"/>
        </w:rPr>
      </w:pPr>
      <w:bookmarkStart w:id="1418" w:name="_Toc419363831"/>
      <w:bookmarkStart w:id="1419" w:name="_Toc433988867"/>
      <w:bookmarkStart w:id="1420" w:name="_Toc26287"/>
      <w:bookmarkStart w:id="1421" w:name="_Toc419321409"/>
      <w:bookmarkStart w:id="1422" w:name="_Toc419364498"/>
      <w:bookmarkStart w:id="1423" w:name="_Toc419320373"/>
      <w:r>
        <w:rPr>
          <w:rFonts w:hint="eastAsia" w:ascii="仿宋" w:hAnsi="仿宋" w:eastAsia="仿宋" w:cs="仿宋"/>
          <w:b w:val="0"/>
          <w:color w:val="auto"/>
          <w:sz w:val="24"/>
          <w:highlight w:val="none"/>
        </w:rPr>
        <w:t>8.1 竣工试验的义务</w:t>
      </w:r>
      <w:bookmarkEnd w:id="1418"/>
      <w:bookmarkEnd w:id="1419"/>
      <w:bookmarkEnd w:id="1420"/>
      <w:bookmarkEnd w:id="1421"/>
      <w:bookmarkEnd w:id="1422"/>
      <w:bookmarkEnd w:id="1423"/>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8.1.1 承包人的一般义务</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（4）竣工试验方案</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提交竣工试验方案的份数和时间：</w:t>
      </w:r>
      <w:r>
        <w:rPr>
          <w:rFonts w:hint="eastAsia" w:ascii="仿宋" w:hAnsi="仿宋" w:eastAsia="仿宋" w:cs="仿宋"/>
          <w:b w:val="0"/>
          <w:color w:val="auto"/>
          <w:sz w:val="24"/>
          <w:highlight w:val="none"/>
          <w:u w:val="single"/>
        </w:rPr>
        <w:t xml:space="preserve"> / </w:t>
      </w:r>
    </w:p>
    <w:p>
      <w:pPr>
        <w:spacing w:after="0" w:line="360" w:lineRule="auto"/>
        <w:ind w:firstLine="480" w:firstLineChars="200"/>
        <w:rPr>
          <w:rFonts w:hint="eastAsia" w:ascii="仿宋" w:hAnsi="仿宋" w:eastAsia="仿宋" w:cs="仿宋"/>
          <w:b w:val="0"/>
          <w:color w:val="auto"/>
          <w:sz w:val="24"/>
          <w:highlight w:val="none"/>
        </w:rPr>
      </w:pPr>
      <w:bookmarkStart w:id="1424" w:name="_Toc419320374"/>
      <w:bookmarkStart w:id="1425" w:name="_Toc13986"/>
      <w:bookmarkStart w:id="1426" w:name="_Toc13948"/>
      <w:bookmarkStart w:id="1427" w:name="_Toc419321410"/>
      <w:bookmarkStart w:id="1428" w:name="_Toc419363832"/>
      <w:bookmarkStart w:id="1429" w:name="_Toc1700661336"/>
      <w:bookmarkStart w:id="1430" w:name="_Toc1461426466"/>
      <w:bookmarkStart w:id="1431" w:name="_Toc433988868"/>
      <w:bookmarkStart w:id="1432" w:name="_Toc23034"/>
      <w:bookmarkStart w:id="1433" w:name="_Toc2006832558"/>
      <w:bookmarkStart w:id="1434" w:name="_Toc219171119"/>
      <w:bookmarkStart w:id="1435" w:name="_Toc2066314346"/>
      <w:bookmarkStart w:id="1436" w:name="_Toc413040979"/>
      <w:bookmarkStart w:id="1437" w:name="_Toc419364499"/>
      <w:bookmarkStart w:id="1438" w:name="_Toc1595620383"/>
      <w:bookmarkStart w:id="1439" w:name="_Toc629506544"/>
      <w:r>
        <w:rPr>
          <w:rFonts w:hint="eastAsia" w:ascii="仿宋" w:hAnsi="仿宋" w:eastAsia="仿宋" w:cs="仿宋"/>
          <w:b w:val="0"/>
          <w:color w:val="auto"/>
          <w:sz w:val="24"/>
          <w:highlight w:val="none"/>
        </w:rPr>
        <w:t>第9条 工程接收</w:t>
      </w:r>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p>
    <w:p>
      <w:pPr>
        <w:spacing w:after="0" w:line="360" w:lineRule="auto"/>
        <w:ind w:firstLine="480" w:firstLineChars="200"/>
        <w:rPr>
          <w:rFonts w:hint="eastAsia" w:ascii="仿宋" w:hAnsi="仿宋" w:eastAsia="仿宋" w:cs="仿宋"/>
          <w:b w:val="0"/>
          <w:color w:val="auto"/>
          <w:sz w:val="24"/>
          <w:highlight w:val="none"/>
        </w:rPr>
      </w:pPr>
      <w:bookmarkStart w:id="1440" w:name="_Toc419363833"/>
      <w:bookmarkStart w:id="1441" w:name="_Toc419320375"/>
      <w:bookmarkStart w:id="1442" w:name="_Toc433988869"/>
      <w:bookmarkStart w:id="1443" w:name="_Toc419321411"/>
      <w:bookmarkStart w:id="1444" w:name="_Toc19449"/>
      <w:bookmarkStart w:id="1445" w:name="_Toc419364500"/>
      <w:r>
        <w:rPr>
          <w:rFonts w:hint="eastAsia" w:ascii="仿宋" w:hAnsi="仿宋" w:eastAsia="仿宋" w:cs="仿宋"/>
          <w:b w:val="0"/>
          <w:color w:val="auto"/>
          <w:sz w:val="24"/>
          <w:highlight w:val="none"/>
        </w:rPr>
        <w:t>9.1 工程接收</w:t>
      </w:r>
      <w:bookmarkEnd w:id="1440"/>
      <w:bookmarkEnd w:id="1441"/>
      <w:bookmarkEnd w:id="1442"/>
      <w:bookmarkEnd w:id="1443"/>
      <w:bookmarkEnd w:id="1444"/>
      <w:bookmarkEnd w:id="1445"/>
    </w:p>
    <w:p>
      <w:pPr>
        <w:spacing w:after="0" w:line="360" w:lineRule="auto"/>
        <w:ind w:firstLine="480" w:firstLineChars="200"/>
        <w:rPr>
          <w:rFonts w:hint="eastAsia" w:ascii="仿宋" w:hAnsi="仿宋" w:eastAsia="仿宋" w:cs="仿宋"/>
          <w:b w:val="0"/>
          <w:color w:val="auto"/>
          <w:sz w:val="24"/>
          <w:highlight w:val="none"/>
        </w:rPr>
      </w:pPr>
      <w:bookmarkStart w:id="1446" w:name="_Toc419321412"/>
      <w:bookmarkStart w:id="1447" w:name="_Toc419363834"/>
      <w:bookmarkStart w:id="1448" w:name="_Toc419320376"/>
      <w:r>
        <w:rPr>
          <w:rFonts w:hint="eastAsia" w:ascii="仿宋" w:hAnsi="仿宋" w:eastAsia="仿宋" w:cs="仿宋"/>
          <w:b w:val="0"/>
          <w:color w:val="auto"/>
          <w:sz w:val="24"/>
          <w:highlight w:val="none"/>
        </w:rPr>
        <w:t>9.1.1 按单项工程或（和）按工程接收</w:t>
      </w:r>
      <w:bookmarkEnd w:id="1446"/>
      <w:bookmarkEnd w:id="1447"/>
      <w:bookmarkEnd w:id="1448"/>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在以下两种情况中选择其一，作为双方对工程接受的约定。</w:t>
      </w:r>
    </w:p>
    <w:p>
      <w:pPr>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rPr>
        <w:t>□ 由承包人负责指导发包人进行单项工程或（和）工程竣工后试验，并承担试运行考核责任的，接收单项工程的先后顺序及时间安排，或接受工程的时间安排如下：</w:t>
      </w:r>
      <w:r>
        <w:rPr>
          <w:rFonts w:hint="eastAsia" w:ascii="仿宋" w:hAnsi="仿宋" w:eastAsia="仿宋" w:cs="仿宋"/>
          <w:b w:val="0"/>
          <w:color w:val="auto"/>
          <w:sz w:val="24"/>
          <w:highlight w:val="none"/>
          <w:u w:val="single"/>
        </w:rPr>
        <w:t xml:space="preserve"> / </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sym w:font="Wingdings" w:char="00FE"/>
      </w:r>
      <w:r>
        <w:rPr>
          <w:rFonts w:hint="eastAsia" w:ascii="仿宋" w:hAnsi="仿宋" w:eastAsia="仿宋" w:cs="仿宋"/>
          <w:b w:val="0"/>
          <w:color w:val="auto"/>
          <w:sz w:val="24"/>
          <w:highlight w:val="none"/>
        </w:rPr>
        <w:t>由发包人负责单项工程或（和）工程竣工后试验及其试运行考核责任的，接收单项工程的先后顺序及时间安排，或接受工程的时间安排如下：</w:t>
      </w:r>
      <w:r>
        <w:rPr>
          <w:rFonts w:hint="eastAsia" w:ascii="仿宋" w:hAnsi="仿宋" w:eastAsia="仿宋" w:cs="仿宋"/>
          <w:b w:val="0"/>
          <w:color w:val="auto"/>
          <w:sz w:val="24"/>
          <w:highlight w:val="none"/>
          <w:u w:val="single"/>
        </w:rPr>
        <w:t xml:space="preserve"> / </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9.1.2 接收工程提交的资料</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提交竣工试验资料的类别、内容、份数和时间：</w:t>
      </w:r>
      <w:r>
        <w:rPr>
          <w:rFonts w:hint="eastAsia" w:ascii="仿宋" w:hAnsi="仿宋" w:eastAsia="仿宋" w:cs="仿宋"/>
          <w:b w:val="0"/>
          <w:color w:val="auto"/>
          <w:sz w:val="24"/>
          <w:highlight w:val="none"/>
          <w:u w:val="single"/>
        </w:rPr>
        <w:t>根据项目需求双方另行约定。</w:t>
      </w:r>
    </w:p>
    <w:p>
      <w:pPr>
        <w:spacing w:after="0" w:line="360" w:lineRule="auto"/>
        <w:ind w:firstLine="480" w:firstLineChars="200"/>
        <w:rPr>
          <w:rFonts w:hint="eastAsia" w:ascii="仿宋" w:hAnsi="仿宋" w:eastAsia="仿宋" w:cs="仿宋"/>
          <w:b w:val="0"/>
          <w:color w:val="auto"/>
          <w:sz w:val="24"/>
          <w:highlight w:val="none"/>
        </w:rPr>
      </w:pPr>
      <w:bookmarkStart w:id="1449" w:name="_Toc1612039886"/>
      <w:bookmarkStart w:id="1450" w:name="_Toc1963476992"/>
      <w:bookmarkStart w:id="1451" w:name="_Toc674542428"/>
      <w:bookmarkStart w:id="1452" w:name="_Toc419320377"/>
      <w:bookmarkStart w:id="1453" w:name="_Toc433988870"/>
      <w:bookmarkStart w:id="1454" w:name="_Toc1312586949"/>
      <w:bookmarkStart w:id="1455" w:name="_Toc31979"/>
      <w:bookmarkStart w:id="1456" w:name="_Toc1587157585"/>
      <w:bookmarkStart w:id="1457" w:name="_Toc9989"/>
      <w:bookmarkStart w:id="1458" w:name="_Toc1424143323"/>
      <w:bookmarkStart w:id="1459" w:name="_Toc456642524"/>
      <w:bookmarkStart w:id="1460" w:name="_Toc7732582"/>
      <w:bookmarkStart w:id="1461" w:name="_Toc419364501"/>
      <w:bookmarkStart w:id="1462" w:name="_Toc419321413"/>
      <w:bookmarkStart w:id="1463" w:name="_Toc419363835"/>
      <w:bookmarkStart w:id="1464" w:name="_Toc3640"/>
      <w:r>
        <w:rPr>
          <w:rFonts w:hint="eastAsia" w:ascii="仿宋" w:hAnsi="仿宋" w:eastAsia="仿宋" w:cs="仿宋"/>
          <w:b w:val="0"/>
          <w:color w:val="auto"/>
          <w:sz w:val="24"/>
          <w:highlight w:val="none"/>
        </w:rPr>
        <w:t>第10条 竣工后试验</w:t>
      </w:r>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本合同包含承包人指导</w:t>
      </w:r>
      <w:r>
        <w:rPr>
          <w:rFonts w:hint="eastAsia" w:ascii="仿宋" w:hAnsi="仿宋" w:eastAsia="仿宋" w:cs="仿宋"/>
          <w:b w:val="0"/>
          <w:color w:val="auto"/>
          <w:sz w:val="24"/>
          <w:highlight w:val="none"/>
          <w:u w:val="single"/>
        </w:rPr>
        <w:sym w:font="Wingdings 2" w:char="0052"/>
      </w:r>
      <w:r>
        <w:rPr>
          <w:rFonts w:hint="eastAsia" w:ascii="仿宋" w:hAnsi="仿宋" w:eastAsia="仿宋" w:cs="仿宋"/>
          <w:b w:val="0"/>
          <w:color w:val="auto"/>
          <w:sz w:val="24"/>
          <w:highlight w:val="none"/>
          <w:u w:val="single"/>
        </w:rPr>
        <w:t>竣工后试验/□不含承包人指导竣工后试验</w:t>
      </w:r>
      <w:r>
        <w:rPr>
          <w:rFonts w:hint="eastAsia" w:ascii="仿宋" w:hAnsi="仿宋" w:eastAsia="仿宋" w:cs="仿宋"/>
          <w:b w:val="0"/>
          <w:color w:val="auto"/>
          <w:sz w:val="24"/>
          <w:highlight w:val="none"/>
        </w:rPr>
        <w:t>。保留其一，作为双方约定。</w:t>
      </w:r>
    </w:p>
    <w:p>
      <w:pPr>
        <w:spacing w:after="0" w:line="360" w:lineRule="auto"/>
        <w:ind w:firstLine="480" w:firstLineChars="200"/>
        <w:rPr>
          <w:rFonts w:hint="eastAsia" w:ascii="仿宋" w:hAnsi="仿宋" w:eastAsia="仿宋" w:cs="仿宋"/>
          <w:b w:val="0"/>
          <w:color w:val="auto"/>
          <w:sz w:val="24"/>
          <w:highlight w:val="none"/>
        </w:rPr>
      </w:pPr>
      <w:bookmarkStart w:id="1465" w:name="_Toc419363836"/>
      <w:bookmarkStart w:id="1466" w:name="_Toc419321414"/>
      <w:bookmarkStart w:id="1467" w:name="_Toc433988871"/>
      <w:bookmarkStart w:id="1468" w:name="_Toc419320378"/>
      <w:bookmarkStart w:id="1469" w:name="_Toc419364502"/>
      <w:bookmarkStart w:id="1470" w:name="_Toc1227"/>
      <w:r>
        <w:rPr>
          <w:rFonts w:hint="eastAsia" w:ascii="仿宋" w:hAnsi="仿宋" w:eastAsia="仿宋" w:cs="仿宋"/>
          <w:b w:val="0"/>
          <w:color w:val="auto"/>
          <w:sz w:val="24"/>
          <w:highlight w:val="none"/>
        </w:rPr>
        <w:t>10.1 权利和义务</w:t>
      </w:r>
      <w:bookmarkEnd w:id="1465"/>
      <w:bookmarkEnd w:id="1466"/>
      <w:bookmarkEnd w:id="1467"/>
      <w:bookmarkEnd w:id="1468"/>
      <w:bookmarkEnd w:id="1469"/>
      <w:bookmarkEnd w:id="1470"/>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10.1.1 发包人的权利和义务</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（6）其它义务和工作：</w:t>
      </w:r>
      <w:r>
        <w:rPr>
          <w:rFonts w:hint="eastAsia" w:ascii="仿宋" w:hAnsi="仿宋" w:eastAsia="仿宋" w:cs="仿宋"/>
          <w:b w:val="0"/>
          <w:color w:val="auto"/>
          <w:sz w:val="24"/>
          <w:highlight w:val="none"/>
          <w:u w:val="single"/>
        </w:rPr>
        <w:t xml:space="preserve"> / </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10.1.2 承包人的责任和义务</w:t>
      </w:r>
    </w:p>
    <w:p>
      <w:pPr>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rPr>
        <w:t>（2）竣工后试验方案的份数和完成时间：</w:t>
      </w:r>
      <w:r>
        <w:rPr>
          <w:rFonts w:hint="eastAsia" w:ascii="仿宋" w:hAnsi="仿宋" w:eastAsia="仿宋" w:cs="仿宋"/>
          <w:b w:val="0"/>
          <w:color w:val="auto"/>
          <w:sz w:val="24"/>
          <w:highlight w:val="none"/>
          <w:u w:val="single"/>
        </w:rPr>
        <w:t xml:space="preserve"> / </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（7）其它义务和工作：</w:t>
      </w:r>
      <w:r>
        <w:rPr>
          <w:rFonts w:hint="eastAsia" w:ascii="仿宋" w:hAnsi="仿宋" w:eastAsia="仿宋" w:cs="仿宋"/>
          <w:b w:val="0"/>
          <w:color w:val="auto"/>
          <w:sz w:val="24"/>
          <w:highlight w:val="none"/>
          <w:u w:val="single"/>
        </w:rPr>
        <w:t xml:space="preserve"> / </w:t>
      </w:r>
    </w:p>
    <w:p>
      <w:pPr>
        <w:spacing w:after="0" w:line="360" w:lineRule="auto"/>
        <w:ind w:firstLine="480" w:firstLineChars="200"/>
        <w:rPr>
          <w:rFonts w:hint="eastAsia" w:ascii="仿宋" w:hAnsi="仿宋" w:eastAsia="仿宋" w:cs="仿宋"/>
          <w:b w:val="0"/>
          <w:color w:val="auto"/>
          <w:sz w:val="24"/>
          <w:highlight w:val="none"/>
        </w:rPr>
      </w:pPr>
      <w:bookmarkStart w:id="1471" w:name="_Toc419364503"/>
      <w:bookmarkStart w:id="1472" w:name="_Toc419321415"/>
      <w:bookmarkStart w:id="1473" w:name="_Toc6761"/>
      <w:bookmarkStart w:id="1474" w:name="_Toc433988872"/>
      <w:bookmarkStart w:id="1475" w:name="_Toc419363837"/>
      <w:bookmarkStart w:id="1476" w:name="_Toc419320379"/>
      <w:r>
        <w:rPr>
          <w:rFonts w:hint="eastAsia" w:ascii="仿宋" w:hAnsi="仿宋" w:eastAsia="仿宋" w:cs="仿宋"/>
          <w:b w:val="0"/>
          <w:color w:val="auto"/>
          <w:sz w:val="24"/>
          <w:highlight w:val="none"/>
        </w:rPr>
        <w:t>10.2 竣工后试验程序</w:t>
      </w:r>
      <w:bookmarkEnd w:id="1471"/>
      <w:bookmarkEnd w:id="1472"/>
      <w:bookmarkEnd w:id="1473"/>
      <w:bookmarkEnd w:id="1474"/>
      <w:bookmarkEnd w:id="1475"/>
      <w:bookmarkEnd w:id="1476"/>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10.2.5 竣工后试验日期的通知</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单项工程或（和）工程竣工后试验开始日期的约定：</w:t>
      </w:r>
      <w:r>
        <w:rPr>
          <w:rFonts w:hint="eastAsia" w:ascii="仿宋" w:hAnsi="仿宋" w:eastAsia="仿宋" w:cs="仿宋"/>
          <w:b w:val="0"/>
          <w:color w:val="auto"/>
          <w:sz w:val="24"/>
          <w:highlight w:val="none"/>
          <w:u w:val="single"/>
        </w:rPr>
        <w:t xml:space="preserve"> / </w:t>
      </w:r>
    </w:p>
    <w:p>
      <w:pPr>
        <w:spacing w:after="0" w:line="360" w:lineRule="auto"/>
        <w:ind w:firstLine="480" w:firstLineChars="200"/>
        <w:rPr>
          <w:rFonts w:hint="eastAsia" w:ascii="仿宋" w:hAnsi="仿宋" w:eastAsia="仿宋" w:cs="仿宋"/>
          <w:b w:val="0"/>
          <w:color w:val="auto"/>
          <w:sz w:val="24"/>
          <w:highlight w:val="none"/>
        </w:rPr>
      </w:pPr>
      <w:bookmarkStart w:id="1477" w:name="_Toc419321416"/>
      <w:bookmarkStart w:id="1478" w:name="_Toc6580"/>
      <w:bookmarkStart w:id="1479" w:name="_Toc433988873"/>
      <w:bookmarkStart w:id="1480" w:name="_Toc419320380"/>
      <w:bookmarkStart w:id="1481" w:name="_Toc419364504"/>
      <w:bookmarkStart w:id="1482" w:name="_Toc419363838"/>
      <w:r>
        <w:rPr>
          <w:rFonts w:hint="eastAsia" w:ascii="仿宋" w:hAnsi="仿宋" w:eastAsia="仿宋" w:cs="仿宋"/>
          <w:b w:val="0"/>
          <w:color w:val="auto"/>
          <w:sz w:val="24"/>
          <w:highlight w:val="none"/>
        </w:rPr>
        <w:t>10.3 竣工后试验及试运行考核</w:t>
      </w:r>
      <w:bookmarkEnd w:id="1477"/>
      <w:bookmarkEnd w:id="1478"/>
      <w:bookmarkEnd w:id="1479"/>
      <w:bookmarkEnd w:id="1480"/>
      <w:bookmarkEnd w:id="1481"/>
      <w:bookmarkEnd w:id="1482"/>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10.3.3 试运行考核</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（3）试运行考核周期：</w:t>
      </w:r>
      <w:r>
        <w:rPr>
          <w:rFonts w:hint="eastAsia" w:ascii="仿宋" w:hAnsi="仿宋" w:eastAsia="仿宋" w:cs="仿宋"/>
          <w:b w:val="0"/>
          <w:color w:val="auto"/>
          <w:sz w:val="24"/>
          <w:highlight w:val="none"/>
          <w:u w:val="single"/>
        </w:rPr>
        <w:t xml:space="preserve"> / </w:t>
      </w:r>
      <w:r>
        <w:rPr>
          <w:rFonts w:hint="eastAsia" w:ascii="仿宋" w:hAnsi="仿宋" w:eastAsia="仿宋" w:cs="仿宋"/>
          <w:b w:val="0"/>
          <w:color w:val="auto"/>
          <w:sz w:val="24"/>
          <w:highlight w:val="none"/>
        </w:rPr>
        <w:t>小时（或日、周、月、年）</w:t>
      </w:r>
    </w:p>
    <w:p>
      <w:pPr>
        <w:spacing w:after="0" w:line="360" w:lineRule="auto"/>
        <w:ind w:firstLine="480" w:firstLineChars="200"/>
        <w:rPr>
          <w:rFonts w:hint="eastAsia" w:ascii="仿宋" w:hAnsi="仿宋" w:eastAsia="仿宋" w:cs="仿宋"/>
          <w:b w:val="0"/>
          <w:color w:val="auto"/>
          <w:sz w:val="24"/>
          <w:highlight w:val="none"/>
        </w:rPr>
      </w:pPr>
      <w:bookmarkStart w:id="1483" w:name="_Toc13460"/>
      <w:bookmarkStart w:id="1484" w:name="_Toc419363839"/>
      <w:bookmarkStart w:id="1485" w:name="_Toc419364505"/>
      <w:bookmarkStart w:id="1486" w:name="_Toc419320381"/>
      <w:bookmarkStart w:id="1487" w:name="_Toc433988874"/>
      <w:bookmarkStart w:id="1488" w:name="_Toc419321417"/>
      <w:r>
        <w:rPr>
          <w:rFonts w:hint="eastAsia" w:ascii="仿宋" w:hAnsi="仿宋" w:eastAsia="仿宋" w:cs="仿宋"/>
          <w:b w:val="0"/>
          <w:color w:val="auto"/>
          <w:sz w:val="24"/>
          <w:highlight w:val="none"/>
        </w:rPr>
        <w:t>10.6 未能通过考核</w:t>
      </w:r>
      <w:bookmarkEnd w:id="1483"/>
      <w:bookmarkEnd w:id="1484"/>
      <w:bookmarkEnd w:id="1485"/>
      <w:bookmarkEnd w:id="1486"/>
      <w:bookmarkEnd w:id="1487"/>
      <w:bookmarkEnd w:id="1488"/>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（1）未能通过试运行考核的赔偿</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1）承包人提供的生产工艺技术或建筑设计方案未能通过试运行考核的赔偿</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根据工程情况，在以下方式中选择一项，作为双方的考核赔偿约定，</w:t>
      </w:r>
    </w:p>
    <w:p>
      <w:pPr>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rPr>
        <w:t>各单项工程的赔偿金额（或赔偿公式）分别为：</w:t>
      </w:r>
      <w:r>
        <w:rPr>
          <w:rFonts w:hint="eastAsia" w:ascii="仿宋" w:hAnsi="仿宋" w:eastAsia="仿宋" w:cs="仿宋"/>
          <w:b w:val="0"/>
          <w:color w:val="auto"/>
          <w:sz w:val="24"/>
          <w:highlight w:val="none"/>
          <w:u w:val="single"/>
        </w:rPr>
        <w:t xml:space="preserve"> / </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工程的赔偿金额（或赔偿公式）：</w:t>
      </w:r>
      <w:r>
        <w:rPr>
          <w:rFonts w:hint="eastAsia" w:ascii="仿宋" w:hAnsi="仿宋" w:eastAsia="仿宋" w:cs="仿宋"/>
          <w:b w:val="0"/>
          <w:color w:val="auto"/>
          <w:sz w:val="24"/>
          <w:highlight w:val="none"/>
          <w:u w:val="single"/>
        </w:rPr>
        <w:t xml:space="preserve"> / </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2）发包人提供的生产工艺技术或建筑设计方案未能通过试运行考核的赔偿。其中承包人应承担相关责任的赔偿金额（或赔偿公式）分别为：</w:t>
      </w:r>
      <w:bookmarkStart w:id="1489" w:name="_Toc433988875"/>
      <w:bookmarkStart w:id="1490" w:name="_Toc419363840"/>
      <w:bookmarkStart w:id="1491" w:name="_Toc19995"/>
      <w:bookmarkStart w:id="1492" w:name="_Toc419320382"/>
      <w:bookmarkStart w:id="1493" w:name="_Toc419364506"/>
      <w:bookmarkStart w:id="1494" w:name="_Toc419321418"/>
      <w:r>
        <w:rPr>
          <w:rFonts w:hint="eastAsia" w:ascii="仿宋" w:hAnsi="仿宋" w:eastAsia="仿宋" w:cs="仿宋"/>
          <w:b w:val="0"/>
          <w:color w:val="auto"/>
          <w:sz w:val="24"/>
          <w:highlight w:val="none"/>
          <w:u w:val="single"/>
        </w:rPr>
        <w:t>发包人无提供。</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10.7 考核验收证书</w:t>
      </w:r>
      <w:bookmarkEnd w:id="1489"/>
      <w:bookmarkEnd w:id="1490"/>
      <w:bookmarkEnd w:id="1491"/>
      <w:bookmarkEnd w:id="1492"/>
      <w:bookmarkEnd w:id="1493"/>
      <w:bookmarkEnd w:id="1494"/>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10.7.1 在以下方式中选择其一，作为颁发竣工后试验及考核验收证书的约定。</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 按工程颁发竣工后试验及考核验收证书</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sym w:font="Wingdings" w:char="00FE"/>
      </w:r>
      <w:r>
        <w:rPr>
          <w:rFonts w:hint="eastAsia" w:ascii="仿宋" w:hAnsi="仿宋" w:eastAsia="仿宋" w:cs="仿宋"/>
          <w:b w:val="0"/>
          <w:color w:val="auto"/>
          <w:sz w:val="24"/>
          <w:highlight w:val="none"/>
        </w:rPr>
        <w:t xml:space="preserve"> 按单项工程和工程颁发竣工后试验及考核验收证书</w:t>
      </w:r>
    </w:p>
    <w:p>
      <w:pPr>
        <w:spacing w:after="0" w:line="360" w:lineRule="auto"/>
        <w:ind w:firstLine="480" w:firstLineChars="200"/>
        <w:rPr>
          <w:rFonts w:hint="eastAsia" w:ascii="仿宋" w:hAnsi="仿宋" w:eastAsia="仿宋" w:cs="仿宋"/>
          <w:b w:val="0"/>
          <w:color w:val="auto"/>
          <w:sz w:val="24"/>
          <w:highlight w:val="none"/>
        </w:rPr>
      </w:pPr>
      <w:bookmarkStart w:id="1495" w:name="_Toc900673450"/>
      <w:bookmarkStart w:id="1496" w:name="_Toc433988876"/>
      <w:bookmarkStart w:id="1497" w:name="_Toc1871583846"/>
      <w:bookmarkStart w:id="1498" w:name="_Toc26044"/>
      <w:bookmarkStart w:id="1499" w:name="_Toc12761"/>
      <w:bookmarkStart w:id="1500" w:name="_Toc18249"/>
      <w:bookmarkStart w:id="1501" w:name="_Toc1924084742"/>
      <w:bookmarkStart w:id="1502" w:name="_Toc1463151708"/>
      <w:bookmarkStart w:id="1503" w:name="_Toc468414883"/>
      <w:bookmarkStart w:id="1504" w:name="_Toc1112486854"/>
      <w:bookmarkStart w:id="1505" w:name="_Toc419364507"/>
      <w:bookmarkStart w:id="1506" w:name="_Toc1696829859"/>
      <w:bookmarkStart w:id="1507" w:name="_Toc419321419"/>
      <w:bookmarkStart w:id="1508" w:name="_Toc1831830137"/>
      <w:bookmarkStart w:id="1509" w:name="_Toc419320383"/>
      <w:bookmarkStart w:id="1510" w:name="_Toc419363841"/>
      <w:r>
        <w:rPr>
          <w:rFonts w:hint="eastAsia" w:ascii="仿宋" w:hAnsi="仿宋" w:eastAsia="仿宋" w:cs="仿宋"/>
          <w:b w:val="0"/>
          <w:color w:val="auto"/>
          <w:sz w:val="24"/>
          <w:highlight w:val="none"/>
        </w:rPr>
        <w:t>第11条 质量保修责任</w:t>
      </w:r>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p>
    <w:p>
      <w:pPr>
        <w:spacing w:after="0" w:line="360" w:lineRule="auto"/>
        <w:ind w:firstLine="480" w:firstLineChars="200"/>
        <w:rPr>
          <w:rFonts w:hint="eastAsia" w:ascii="仿宋" w:hAnsi="仿宋" w:eastAsia="仿宋" w:cs="仿宋"/>
          <w:b w:val="0"/>
          <w:color w:val="auto"/>
          <w:sz w:val="24"/>
          <w:highlight w:val="none"/>
        </w:rPr>
      </w:pPr>
      <w:bookmarkStart w:id="1511" w:name="_Toc18985"/>
      <w:bookmarkStart w:id="1512" w:name="_Toc419364508"/>
      <w:bookmarkStart w:id="1513" w:name="_Toc419320384"/>
      <w:bookmarkStart w:id="1514" w:name="_Toc419363842"/>
      <w:bookmarkStart w:id="1515" w:name="_Toc433988877"/>
      <w:bookmarkStart w:id="1516" w:name="_Toc419321420"/>
      <w:r>
        <w:rPr>
          <w:rFonts w:hint="eastAsia" w:ascii="仿宋" w:hAnsi="仿宋" w:eastAsia="仿宋" w:cs="仿宋"/>
          <w:b w:val="0"/>
          <w:color w:val="auto"/>
          <w:sz w:val="24"/>
          <w:highlight w:val="none"/>
        </w:rPr>
        <w:t>11.2 缺陷责任保修金</w:t>
      </w:r>
      <w:bookmarkEnd w:id="1511"/>
      <w:bookmarkEnd w:id="1512"/>
      <w:bookmarkEnd w:id="1513"/>
      <w:bookmarkEnd w:id="1514"/>
      <w:bookmarkEnd w:id="1515"/>
      <w:bookmarkEnd w:id="1516"/>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11.2.1 缺陷责任保修金金额</w:t>
      </w:r>
    </w:p>
    <w:p>
      <w:pPr>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u w:val="single"/>
        </w:rPr>
        <w:t>缺陷责任保修金金额为合同协议书约定的建筑安装工程费的3%（根据建质〔2017〕138号文，最高不超过建筑安装工程费的3%。形式可采用现金或银行保函或工程保险保证）</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11.2.2 缺陷责任保修金金额的暂扣</w:t>
      </w:r>
    </w:p>
    <w:p>
      <w:pPr>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rPr>
        <w:t>缺陷责任保修金金额的暂扣方式：</w:t>
      </w:r>
      <w:r>
        <w:rPr>
          <w:rFonts w:hint="eastAsia" w:ascii="仿宋" w:hAnsi="仿宋" w:eastAsia="仿宋" w:cs="仿宋"/>
          <w:b w:val="0"/>
          <w:color w:val="auto"/>
          <w:sz w:val="24"/>
          <w:highlight w:val="none"/>
          <w:u w:val="single"/>
        </w:rPr>
        <w:t>工程款中对应缺陷责任保修金金额部分暂扣，缺陷责任期满后28日内将相应缺陷责任保修金无息返支付给承包人。</w:t>
      </w:r>
    </w:p>
    <w:p>
      <w:pPr>
        <w:spacing w:after="0" w:line="360" w:lineRule="auto"/>
        <w:ind w:firstLine="480" w:firstLineChars="200"/>
        <w:rPr>
          <w:rFonts w:hint="eastAsia" w:ascii="仿宋" w:hAnsi="仿宋" w:eastAsia="仿宋" w:cs="仿宋"/>
          <w:b w:val="0"/>
          <w:color w:val="auto"/>
          <w:sz w:val="24"/>
          <w:highlight w:val="none"/>
        </w:rPr>
      </w:pPr>
      <w:bookmarkStart w:id="1517" w:name="_Toc419364509"/>
      <w:bookmarkStart w:id="1518" w:name="_Toc1573924396"/>
      <w:bookmarkStart w:id="1519" w:name="_Toc2121372326"/>
      <w:bookmarkStart w:id="1520" w:name="_Toc26469"/>
      <w:bookmarkStart w:id="1521" w:name="_Toc419363843"/>
      <w:bookmarkStart w:id="1522" w:name="_Toc1516722113"/>
      <w:bookmarkStart w:id="1523" w:name="_Toc355514559"/>
      <w:bookmarkStart w:id="1524" w:name="_Toc419320385"/>
      <w:bookmarkStart w:id="1525" w:name="_Toc1283502268"/>
      <w:bookmarkStart w:id="1526" w:name="_Toc6446447"/>
      <w:bookmarkStart w:id="1527" w:name="_Toc13796"/>
      <w:bookmarkStart w:id="1528" w:name="_Toc433988878"/>
      <w:bookmarkStart w:id="1529" w:name="_Toc21282"/>
      <w:bookmarkStart w:id="1530" w:name="_Toc419321421"/>
      <w:bookmarkStart w:id="1531" w:name="_Toc36608053"/>
      <w:bookmarkStart w:id="1532" w:name="_Toc1243549167"/>
      <w:r>
        <w:rPr>
          <w:rFonts w:hint="eastAsia" w:ascii="仿宋" w:hAnsi="仿宋" w:eastAsia="仿宋" w:cs="仿宋"/>
          <w:b w:val="0"/>
          <w:color w:val="auto"/>
          <w:sz w:val="24"/>
          <w:highlight w:val="none"/>
        </w:rPr>
        <w:t>第12条 工程竣工验收</w:t>
      </w:r>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p>
    <w:p>
      <w:pPr>
        <w:spacing w:after="0" w:line="360" w:lineRule="auto"/>
        <w:ind w:firstLine="480" w:firstLineChars="200"/>
        <w:rPr>
          <w:rFonts w:hint="eastAsia" w:ascii="仿宋" w:hAnsi="仿宋" w:eastAsia="仿宋" w:cs="仿宋"/>
          <w:b w:val="0"/>
          <w:color w:val="auto"/>
          <w:sz w:val="24"/>
          <w:highlight w:val="none"/>
        </w:rPr>
      </w:pPr>
      <w:bookmarkStart w:id="1533" w:name="_Toc419363844"/>
      <w:bookmarkStart w:id="1534" w:name="_Toc419320386"/>
      <w:bookmarkStart w:id="1535" w:name="_Toc419364510"/>
      <w:bookmarkStart w:id="1536" w:name="_Toc11499"/>
      <w:bookmarkStart w:id="1537" w:name="_Toc433988879"/>
      <w:bookmarkStart w:id="1538" w:name="_Toc419321422"/>
      <w:r>
        <w:rPr>
          <w:rFonts w:hint="eastAsia" w:ascii="仿宋" w:hAnsi="仿宋" w:eastAsia="仿宋" w:cs="仿宋"/>
          <w:b w:val="0"/>
          <w:color w:val="auto"/>
          <w:sz w:val="24"/>
          <w:highlight w:val="none"/>
        </w:rPr>
        <w:t>12.1 竣工资料及竣工验收报告</w:t>
      </w:r>
      <w:bookmarkEnd w:id="1533"/>
      <w:bookmarkEnd w:id="1534"/>
      <w:bookmarkEnd w:id="1535"/>
      <w:bookmarkEnd w:id="1536"/>
      <w:bookmarkEnd w:id="1537"/>
      <w:bookmarkEnd w:id="1538"/>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12.1.1 竣工资料和竣工验收报告</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竣工验收报告的格式、份数和提交时间：</w:t>
      </w:r>
      <w:r>
        <w:rPr>
          <w:rFonts w:hint="eastAsia" w:ascii="仿宋" w:hAnsi="仿宋" w:eastAsia="仿宋" w:cs="仿宋"/>
          <w:b w:val="0"/>
          <w:color w:val="auto"/>
          <w:sz w:val="24"/>
          <w:highlight w:val="none"/>
          <w:u w:val="single"/>
        </w:rPr>
        <w:t>根据项目需求双方另行约定。</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完整竣工资料的格式、份数和提交时间：</w:t>
      </w:r>
      <w:r>
        <w:rPr>
          <w:rFonts w:hint="eastAsia" w:ascii="仿宋" w:hAnsi="仿宋" w:eastAsia="仿宋" w:cs="仿宋"/>
          <w:b w:val="0"/>
          <w:color w:val="auto"/>
          <w:sz w:val="24"/>
          <w:highlight w:val="none"/>
          <w:u w:val="single"/>
        </w:rPr>
        <w:t>根据项目需求双方另行约定。</w:t>
      </w:r>
    </w:p>
    <w:p>
      <w:pPr>
        <w:spacing w:after="0" w:line="360" w:lineRule="auto"/>
        <w:ind w:firstLine="480" w:firstLineChars="200"/>
        <w:rPr>
          <w:rFonts w:hint="eastAsia" w:ascii="仿宋" w:hAnsi="仿宋" w:eastAsia="仿宋" w:cs="仿宋"/>
          <w:b w:val="0"/>
          <w:color w:val="auto"/>
          <w:sz w:val="24"/>
          <w:highlight w:val="none"/>
        </w:rPr>
      </w:pPr>
      <w:bookmarkStart w:id="1539" w:name="_Toc1381175588"/>
      <w:bookmarkStart w:id="1540" w:name="_Toc1091223729"/>
      <w:bookmarkStart w:id="1541" w:name="_Toc15142"/>
      <w:bookmarkStart w:id="1542" w:name="_Toc349384161"/>
      <w:bookmarkStart w:id="1543" w:name="_Toc243759826"/>
      <w:bookmarkStart w:id="1544" w:name="_Toc419363845"/>
      <w:bookmarkStart w:id="1545" w:name="_Toc419364511"/>
      <w:bookmarkStart w:id="1546" w:name="_Toc419320387"/>
      <w:bookmarkStart w:id="1547" w:name="_Toc32536"/>
      <w:bookmarkStart w:id="1548" w:name="_Toc433988880"/>
      <w:bookmarkStart w:id="1549" w:name="_Toc419321423"/>
      <w:bookmarkStart w:id="1550" w:name="_Toc833687159"/>
      <w:bookmarkStart w:id="1551" w:name="_Toc1019997165"/>
      <w:bookmarkStart w:id="1552" w:name="_Toc971252379"/>
      <w:bookmarkStart w:id="1553" w:name="_Toc917663301"/>
      <w:bookmarkStart w:id="1554" w:name="_Toc21169"/>
      <w:r>
        <w:rPr>
          <w:rFonts w:hint="eastAsia" w:ascii="仿宋" w:hAnsi="仿宋" w:eastAsia="仿宋" w:cs="仿宋"/>
          <w:b w:val="0"/>
          <w:color w:val="auto"/>
          <w:sz w:val="24"/>
          <w:highlight w:val="none"/>
        </w:rPr>
        <w:t>第13条 变更和合同价格调整</w:t>
      </w:r>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p>
    <w:p>
      <w:pPr>
        <w:spacing w:after="0" w:line="360" w:lineRule="auto"/>
        <w:ind w:firstLine="480" w:firstLineChars="200"/>
        <w:rPr>
          <w:rFonts w:hint="eastAsia" w:ascii="仿宋" w:hAnsi="仿宋" w:eastAsia="仿宋" w:cs="仿宋"/>
          <w:b w:val="0"/>
          <w:color w:val="auto"/>
          <w:sz w:val="24"/>
          <w:highlight w:val="none"/>
        </w:rPr>
      </w:pPr>
      <w:bookmarkStart w:id="1555" w:name="_Toc433988881"/>
      <w:bookmarkStart w:id="1556" w:name="_Toc419321424"/>
      <w:bookmarkStart w:id="1557" w:name="_Toc419364512"/>
      <w:bookmarkStart w:id="1558" w:name="_Toc22256"/>
      <w:bookmarkStart w:id="1559" w:name="_Toc419320388"/>
      <w:bookmarkStart w:id="1560" w:name="_Toc419363846"/>
      <w:r>
        <w:rPr>
          <w:rFonts w:hint="eastAsia" w:ascii="仿宋" w:hAnsi="仿宋" w:eastAsia="仿宋" w:cs="仿宋"/>
          <w:b w:val="0"/>
          <w:color w:val="auto"/>
          <w:sz w:val="24"/>
          <w:highlight w:val="none"/>
        </w:rPr>
        <w:t>13.2 变更范围</w:t>
      </w:r>
      <w:bookmarkEnd w:id="1555"/>
      <w:bookmarkEnd w:id="1556"/>
      <w:bookmarkEnd w:id="1557"/>
      <w:bookmarkEnd w:id="1558"/>
      <w:bookmarkEnd w:id="1559"/>
      <w:bookmarkEnd w:id="1560"/>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13.2.6 其它变更</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双方根据本工程特点，商定的其它变更范围：</w:t>
      </w:r>
      <w:r>
        <w:rPr>
          <w:rFonts w:hint="eastAsia" w:ascii="仿宋" w:hAnsi="仿宋" w:eastAsia="仿宋" w:cs="仿宋"/>
          <w:b w:val="0"/>
          <w:color w:val="auto"/>
          <w:sz w:val="24"/>
          <w:highlight w:val="none"/>
          <w:u w:val="single"/>
        </w:rPr>
        <w:t>无。</w:t>
      </w:r>
    </w:p>
    <w:p>
      <w:pPr>
        <w:spacing w:after="0" w:line="360" w:lineRule="auto"/>
        <w:ind w:firstLine="480" w:firstLineChars="200"/>
        <w:rPr>
          <w:rFonts w:hint="eastAsia" w:ascii="仿宋" w:hAnsi="仿宋" w:eastAsia="仿宋" w:cs="仿宋"/>
          <w:b w:val="0"/>
          <w:color w:val="auto"/>
          <w:sz w:val="24"/>
          <w:highlight w:val="none"/>
        </w:rPr>
      </w:pPr>
      <w:bookmarkStart w:id="1561" w:name="_Toc6721"/>
      <w:bookmarkStart w:id="1562" w:name="_Toc419321425"/>
      <w:bookmarkStart w:id="1563" w:name="_Toc433988882"/>
      <w:bookmarkStart w:id="1564" w:name="_Toc419363847"/>
      <w:bookmarkStart w:id="1565" w:name="_Toc419320389"/>
      <w:bookmarkStart w:id="1566" w:name="_Toc419364513"/>
      <w:r>
        <w:rPr>
          <w:rFonts w:hint="eastAsia" w:ascii="仿宋" w:hAnsi="仿宋" w:eastAsia="仿宋" w:cs="仿宋"/>
          <w:b w:val="0"/>
          <w:color w:val="auto"/>
          <w:sz w:val="24"/>
          <w:highlight w:val="none"/>
        </w:rPr>
        <w:t>13.5 变更价款确定</w:t>
      </w:r>
      <w:bookmarkEnd w:id="1561"/>
      <w:bookmarkEnd w:id="1562"/>
      <w:bookmarkEnd w:id="1563"/>
      <w:bookmarkEnd w:id="1564"/>
      <w:bookmarkEnd w:id="1565"/>
      <w:bookmarkEnd w:id="1566"/>
    </w:p>
    <w:p>
      <w:pPr>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rPr>
        <w:t>13.5.4变更价款约定的其他方法：</w:t>
      </w:r>
      <w:r>
        <w:rPr>
          <w:rFonts w:hint="eastAsia" w:ascii="仿宋" w:hAnsi="仿宋" w:eastAsia="仿宋" w:cs="仿宋"/>
          <w:b w:val="0"/>
          <w:color w:val="auto"/>
          <w:sz w:val="24"/>
          <w:highlight w:val="none"/>
          <w:u w:val="single"/>
        </w:rPr>
        <w:t>因相关签证引起工程项目、工程量任何变化的，变更合同价款按下列方法进行：</w:t>
      </w:r>
    </w:p>
    <w:p>
      <w:pPr>
        <w:numPr>
          <w:ilvl w:val="0"/>
          <w:numId w:val="6"/>
        </w:numPr>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u w:val="single"/>
        </w:rPr>
        <w:t>合同中已有相同子目的，按合同该子目价格进行计算；</w:t>
      </w:r>
    </w:p>
    <w:p>
      <w:pPr>
        <w:numPr>
          <w:ilvl w:val="0"/>
          <w:numId w:val="6"/>
        </w:numPr>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u w:val="single"/>
        </w:rPr>
        <w:t>合同中只有类似子目的，参照该类似子目价格进行计算；</w:t>
      </w:r>
    </w:p>
    <w:p>
      <w:pPr>
        <w:numPr>
          <w:ilvl w:val="0"/>
          <w:numId w:val="6"/>
        </w:numPr>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u w:val="single"/>
        </w:rPr>
        <w:t>合同中没有适用或类似子目的价格计算方法：有定额的套定额，并乘以下浮系数（中标价/最高投标限价）计算，其中材料价格按施工期间的《梧州市建设工程造价信息》相应价格信息进行计算；《梧州市建设工程造价信息》没有相应价格信息的按市场价计算；无定额可套的，根据市场价格协商确定综合价格；新增项目的单价必须经发包人审定，且按合同约定的类似项目审定办法评定。</w:t>
      </w:r>
    </w:p>
    <w:p>
      <w:pPr>
        <w:spacing w:after="0" w:line="360" w:lineRule="auto"/>
        <w:ind w:firstLine="480" w:firstLineChars="200"/>
        <w:rPr>
          <w:rFonts w:hint="eastAsia" w:ascii="仿宋" w:hAnsi="仿宋" w:eastAsia="仿宋" w:cs="仿宋"/>
          <w:b w:val="0"/>
          <w:color w:val="auto"/>
          <w:sz w:val="24"/>
          <w:highlight w:val="none"/>
        </w:rPr>
      </w:pPr>
      <w:bookmarkStart w:id="1567" w:name="_Toc419364514"/>
      <w:bookmarkStart w:id="1568" w:name="_Toc419363848"/>
      <w:bookmarkStart w:id="1569" w:name="_Toc419321426"/>
      <w:bookmarkStart w:id="1570" w:name="_Toc433988883"/>
      <w:bookmarkStart w:id="1571" w:name="_Toc419320390"/>
      <w:bookmarkStart w:id="1572" w:name="_Toc3619"/>
      <w:r>
        <w:rPr>
          <w:rFonts w:hint="eastAsia" w:ascii="仿宋" w:hAnsi="仿宋" w:eastAsia="仿宋" w:cs="仿宋"/>
          <w:b w:val="0"/>
          <w:color w:val="auto"/>
          <w:sz w:val="24"/>
          <w:highlight w:val="none"/>
        </w:rPr>
        <w:t>13.6 建议变更的利益分享</w:t>
      </w:r>
      <w:bookmarkEnd w:id="1567"/>
      <w:bookmarkEnd w:id="1568"/>
      <w:bookmarkEnd w:id="1569"/>
      <w:bookmarkEnd w:id="1570"/>
      <w:bookmarkEnd w:id="1571"/>
      <w:bookmarkEnd w:id="1572"/>
    </w:p>
    <w:p>
      <w:pPr>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rPr>
        <w:t>建议变更的利益分享的约定：</w:t>
      </w:r>
      <w:r>
        <w:rPr>
          <w:rFonts w:hint="eastAsia" w:ascii="仿宋" w:hAnsi="仿宋" w:eastAsia="仿宋" w:cs="仿宋"/>
          <w:b w:val="0"/>
          <w:color w:val="auto"/>
          <w:sz w:val="24"/>
          <w:highlight w:val="none"/>
          <w:u w:val="single"/>
        </w:rPr>
        <w:t>无约定。</w:t>
      </w:r>
    </w:p>
    <w:p>
      <w:pPr>
        <w:spacing w:after="0" w:line="360" w:lineRule="auto"/>
        <w:ind w:firstLine="480" w:firstLineChars="200"/>
        <w:rPr>
          <w:rFonts w:hint="eastAsia" w:ascii="仿宋" w:hAnsi="仿宋" w:eastAsia="仿宋" w:cs="仿宋"/>
          <w:b w:val="0"/>
          <w:color w:val="auto"/>
          <w:sz w:val="24"/>
          <w:highlight w:val="none"/>
        </w:rPr>
      </w:pPr>
      <w:bookmarkStart w:id="1573" w:name="_Toc14058"/>
      <w:r>
        <w:rPr>
          <w:rFonts w:hint="eastAsia" w:ascii="仿宋" w:hAnsi="仿宋" w:eastAsia="仿宋" w:cs="仿宋"/>
          <w:b w:val="0"/>
          <w:color w:val="auto"/>
          <w:sz w:val="24"/>
          <w:highlight w:val="none"/>
        </w:rPr>
        <w:t>13.7 合同价格调整</w:t>
      </w:r>
      <w:bookmarkEnd w:id="1573"/>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（5）合同约定的其它增减的款项调整。</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1）较差的地质条件：</w:t>
      </w:r>
      <w:r>
        <w:rPr>
          <w:rFonts w:hint="eastAsia" w:ascii="仿宋" w:hAnsi="仿宋" w:eastAsia="仿宋" w:cs="仿宋"/>
          <w:b w:val="0"/>
          <w:color w:val="auto"/>
          <w:sz w:val="24"/>
          <w:highlight w:val="none"/>
          <w:u w:val="single"/>
        </w:rPr>
        <w:t>地质条件与勘察报告不一致时。</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2）关于基准价格的约定：基准价格按开标当月的《梧州市建设工程造价信息》价格信息计价，无信息价的由发包人组织监理人、财政评审部门等相关单位进行市场询价。除法律规定或专用合同条款另有约定外，合同价格不因物价波动进行调整。</w:t>
      </w:r>
    </w:p>
    <w:p>
      <w:pPr>
        <w:spacing w:after="0" w:line="360" w:lineRule="auto"/>
        <w:ind w:firstLine="480" w:firstLineChars="200"/>
        <w:rPr>
          <w:rFonts w:hint="eastAsia" w:ascii="仿宋" w:hAnsi="仿宋" w:eastAsia="仿宋" w:cs="仿宋"/>
          <w:b w:val="0"/>
          <w:color w:val="auto"/>
          <w:sz w:val="24"/>
          <w:highlight w:val="none"/>
        </w:rPr>
      </w:pPr>
      <w:bookmarkStart w:id="1574" w:name="_Toc2087030800"/>
      <w:bookmarkStart w:id="1575" w:name="_Toc1596768285"/>
      <w:bookmarkStart w:id="1576" w:name="_Toc13698"/>
      <w:bookmarkStart w:id="1577" w:name="_Toc419363849"/>
      <w:bookmarkStart w:id="1578" w:name="_Toc3371"/>
      <w:bookmarkStart w:id="1579" w:name="_Toc815533006"/>
      <w:bookmarkStart w:id="1580" w:name="_Toc433988884"/>
      <w:bookmarkStart w:id="1581" w:name="_Toc1620080753"/>
      <w:bookmarkStart w:id="1582" w:name="_Toc1877881801"/>
      <w:bookmarkStart w:id="1583" w:name="_Toc538"/>
      <w:bookmarkStart w:id="1584" w:name="_Toc419364515"/>
      <w:bookmarkStart w:id="1585" w:name="_Toc1267367093"/>
      <w:bookmarkStart w:id="1586" w:name="_Toc686867923"/>
      <w:bookmarkStart w:id="1587" w:name="_Toc419321427"/>
      <w:bookmarkStart w:id="1588" w:name="_Toc879303029"/>
      <w:bookmarkStart w:id="1589" w:name="_Toc419320391"/>
      <w:r>
        <w:rPr>
          <w:rFonts w:hint="eastAsia" w:ascii="仿宋" w:hAnsi="仿宋" w:eastAsia="仿宋" w:cs="仿宋"/>
          <w:b w:val="0"/>
          <w:color w:val="auto"/>
          <w:sz w:val="24"/>
          <w:highlight w:val="none"/>
        </w:rPr>
        <w:t>第14条 合同总价和付款</w:t>
      </w:r>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p>
    <w:p>
      <w:pPr>
        <w:spacing w:after="0" w:line="360" w:lineRule="auto"/>
        <w:ind w:firstLine="480" w:firstLineChars="200"/>
        <w:rPr>
          <w:rFonts w:hint="eastAsia" w:ascii="仿宋" w:hAnsi="仿宋" w:eastAsia="仿宋" w:cs="仿宋"/>
          <w:b w:val="0"/>
          <w:color w:val="auto"/>
          <w:sz w:val="24"/>
          <w:highlight w:val="none"/>
        </w:rPr>
      </w:pPr>
      <w:bookmarkStart w:id="1590" w:name="_Toc31843"/>
      <w:bookmarkStart w:id="1591" w:name="_Toc433988885"/>
      <w:bookmarkStart w:id="1592" w:name="_Toc419321428"/>
      <w:bookmarkStart w:id="1593" w:name="_Toc419364516"/>
      <w:bookmarkStart w:id="1594" w:name="_Toc419363850"/>
      <w:bookmarkStart w:id="1595" w:name="_Toc419320392"/>
      <w:r>
        <w:rPr>
          <w:rFonts w:hint="eastAsia" w:ascii="仿宋" w:hAnsi="仿宋" w:eastAsia="仿宋" w:cs="仿宋"/>
          <w:b w:val="0"/>
          <w:color w:val="auto"/>
          <w:sz w:val="24"/>
          <w:highlight w:val="none"/>
        </w:rPr>
        <w:t>14.1 合同总价和付款</w:t>
      </w:r>
      <w:bookmarkEnd w:id="1590"/>
      <w:bookmarkEnd w:id="1591"/>
      <w:bookmarkEnd w:id="1592"/>
      <w:bookmarkEnd w:id="1593"/>
      <w:bookmarkEnd w:id="1594"/>
      <w:bookmarkEnd w:id="1595"/>
    </w:p>
    <w:p>
      <w:pPr>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rPr>
        <w:t>14.1.1 合同价格形式：</w:t>
      </w:r>
      <w:r>
        <w:rPr>
          <w:rFonts w:hint="eastAsia" w:ascii="仿宋" w:hAnsi="仿宋" w:eastAsia="仿宋" w:cs="仿宋"/>
          <w:b w:val="0"/>
          <w:color w:val="auto"/>
          <w:sz w:val="24"/>
          <w:highlight w:val="none"/>
          <w:u w:val="single"/>
        </w:rPr>
        <w:t>总价合同</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备注：（1）政府投资类项目，合同价格形式建议选择总价合同，最终结算价款以经财政评审中心评审且双方确认后的价款为准。（2）为非政府投资项目，合同价格形式可选择总价合同或单价合同，最终以合同约定进行结算。（3）单价合同；明确双方确定综合单价的期限要求，同时需要约定综合单价包含的风险范围：除工程变更、政策性调整、《承包人提供主要材料和设备一览表》约定的材料、设备价格变动风险、不可抗力以外因素。</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风险范围以外合同价格的调整方法：</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①工程变更：按变更估价原则的约定调整。</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②政策性调整：按自治区建设行政主管部门颁布的文件执行。</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③材料价格风险：按约定调整。</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14.1.1.2 在施工图审图完成后，由</w:t>
      </w:r>
      <w:r>
        <w:rPr>
          <w:rFonts w:hint="eastAsia" w:ascii="仿宋" w:hAnsi="仿宋" w:eastAsia="仿宋" w:cs="仿宋"/>
          <w:b w:val="0"/>
          <w:color w:val="auto"/>
          <w:sz w:val="24"/>
          <w:highlight w:val="none"/>
          <w:lang w:eastAsia="zh-CN"/>
        </w:rPr>
        <w:t>承</w:t>
      </w:r>
      <w:r>
        <w:rPr>
          <w:rFonts w:hint="eastAsia" w:ascii="仿宋" w:hAnsi="仿宋" w:eastAsia="仿宋" w:cs="仿宋"/>
          <w:b w:val="0"/>
          <w:color w:val="auto"/>
          <w:sz w:val="24"/>
          <w:highlight w:val="none"/>
        </w:rPr>
        <w:t>包人委托第三方中介造价公司按招标文件约定计价依据和计价规范分阶段进行施工图预算和工程量清单编制。双方在施工图预算或工程量清单完成后</w:t>
      </w:r>
      <w:r>
        <w:rPr>
          <w:rFonts w:hint="eastAsia" w:ascii="仿宋" w:hAnsi="仿宋" w:eastAsia="仿宋" w:cs="仿宋"/>
          <w:b w:val="0"/>
          <w:color w:val="auto"/>
          <w:sz w:val="24"/>
          <w:highlight w:val="none"/>
          <w:u w:val="single"/>
        </w:rPr>
        <w:t xml:space="preserve"> 10 </w:t>
      </w:r>
      <w:r>
        <w:rPr>
          <w:rFonts w:hint="eastAsia" w:ascii="仿宋" w:hAnsi="仿宋" w:eastAsia="仿宋" w:cs="仿宋"/>
          <w:b w:val="0"/>
          <w:color w:val="auto"/>
          <w:sz w:val="24"/>
          <w:highlight w:val="none"/>
        </w:rPr>
        <w:t>天内限期进行施工图预算进行初步核对。初步核对后由</w:t>
      </w:r>
      <w:r>
        <w:rPr>
          <w:rFonts w:hint="eastAsia" w:ascii="仿宋" w:hAnsi="仿宋" w:eastAsia="仿宋" w:cs="仿宋"/>
          <w:b w:val="0"/>
          <w:color w:val="auto"/>
          <w:sz w:val="24"/>
          <w:highlight w:val="none"/>
          <w:lang w:eastAsia="zh-CN"/>
        </w:rPr>
        <w:t>承</w:t>
      </w:r>
      <w:r>
        <w:rPr>
          <w:rFonts w:hint="eastAsia" w:ascii="仿宋" w:hAnsi="仿宋" w:eastAsia="仿宋" w:cs="仿宋"/>
          <w:b w:val="0"/>
          <w:color w:val="auto"/>
          <w:sz w:val="24"/>
          <w:highlight w:val="none"/>
        </w:rPr>
        <w:t>包人报送有关财审部门。</w:t>
      </w:r>
      <w:r>
        <w:rPr>
          <w:rFonts w:hint="eastAsia" w:ascii="仿宋" w:hAnsi="仿宋" w:eastAsia="仿宋" w:cs="仿宋"/>
          <w:b w:val="0"/>
          <w:color w:val="auto"/>
          <w:sz w:val="24"/>
          <w:highlight w:val="none"/>
          <w:lang w:eastAsia="zh-CN"/>
        </w:rPr>
        <w:t>承</w:t>
      </w:r>
      <w:r>
        <w:rPr>
          <w:rFonts w:hint="eastAsia" w:ascii="仿宋" w:hAnsi="仿宋" w:eastAsia="仿宋" w:cs="仿宋"/>
          <w:b w:val="0"/>
          <w:color w:val="auto"/>
          <w:sz w:val="24"/>
          <w:highlight w:val="none"/>
        </w:rPr>
        <w:t>包人按财政投资评审要求送财政部门进行工程施工图预算评审，同时报审合同范围内的工程大宗设备采购材料（如有，包括设备型号、规格、品牌等指标），财审部门收到之日起60天内按招标文件及合同约定评审并通知承包人核对，经评审后的总承包费用（即各单项费用之和）乘以中标下浮系数（中标价/工程最高投标限价）后的总额与中标价格比较，低者作为工程总承包项目的实际合同总价，除招标文件或工程总承包合同约定的调价原则外，实际合同总价或综合单价一般不予调整。(主要材料设备清单仅列出合同范围内可能涉及到的主要材料、设备、专业工程、具体的品牌和档次由招标人根据项目需求和所批复的项目投资在施工图预算报审核对时确定，之后发包人不得在履约过程干涉采购价格要求承包人再优惠。)逾期不评审的视为确认。）</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14.1.1.3 无论采取何种合同价格形式，项目竣工结算时总承包项目合同价格结余按照梧州市建设和财政主管部门现行的指导性文件执行。</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14.1.2 付款</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（2）承包人指定的开户银行及银行账户：</w:t>
      </w:r>
    </w:p>
    <w:p>
      <w:pPr>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rPr>
        <w:t>单位名称：</w:t>
      </w:r>
      <w:r>
        <w:rPr>
          <w:rFonts w:hint="eastAsia" w:ascii="仿宋" w:hAnsi="仿宋" w:eastAsia="仿宋" w:cs="仿宋"/>
          <w:b w:val="0"/>
          <w:color w:val="auto"/>
          <w:sz w:val="24"/>
          <w:highlight w:val="none"/>
          <w:u w:val="single"/>
        </w:rPr>
        <w:t xml:space="preserve">   </w:t>
      </w:r>
    </w:p>
    <w:p>
      <w:pPr>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rPr>
        <w:t>开户银行：</w:t>
      </w:r>
      <w:r>
        <w:rPr>
          <w:rFonts w:hint="eastAsia" w:ascii="仿宋" w:hAnsi="仿宋" w:eastAsia="仿宋" w:cs="仿宋"/>
          <w:b w:val="0"/>
          <w:color w:val="auto"/>
          <w:sz w:val="24"/>
          <w:highlight w:val="none"/>
          <w:u w:val="single"/>
        </w:rPr>
        <w:t xml:space="preserve">   </w:t>
      </w:r>
    </w:p>
    <w:p>
      <w:pPr>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rPr>
        <w:t>账　　号：</w:t>
      </w:r>
      <w:r>
        <w:rPr>
          <w:rFonts w:hint="eastAsia" w:ascii="仿宋" w:hAnsi="仿宋" w:eastAsia="仿宋" w:cs="仿宋"/>
          <w:b w:val="0"/>
          <w:color w:val="auto"/>
          <w:sz w:val="24"/>
          <w:highlight w:val="none"/>
          <w:u w:val="single"/>
        </w:rPr>
        <w:t xml:space="preserve">   </w:t>
      </w:r>
    </w:p>
    <w:p>
      <w:pPr>
        <w:spacing w:after="0" w:line="360" w:lineRule="auto"/>
        <w:ind w:firstLine="480" w:firstLineChars="200"/>
        <w:rPr>
          <w:rFonts w:hint="eastAsia" w:ascii="仿宋" w:hAnsi="仿宋" w:eastAsia="仿宋" w:cs="仿宋"/>
          <w:b w:val="0"/>
          <w:color w:val="auto"/>
          <w:sz w:val="24"/>
          <w:highlight w:val="none"/>
        </w:rPr>
      </w:pPr>
      <w:bookmarkStart w:id="1596" w:name="_Toc419320393"/>
      <w:bookmarkStart w:id="1597" w:name="_Toc419363851"/>
      <w:bookmarkStart w:id="1598" w:name="_Toc419364517"/>
      <w:bookmarkStart w:id="1599" w:name="_Toc419321429"/>
      <w:bookmarkStart w:id="1600" w:name="_Toc6002"/>
      <w:bookmarkStart w:id="1601" w:name="_Toc433988886"/>
      <w:r>
        <w:rPr>
          <w:rFonts w:hint="eastAsia" w:ascii="仿宋" w:hAnsi="仿宋" w:eastAsia="仿宋" w:cs="仿宋"/>
          <w:b w:val="0"/>
          <w:color w:val="auto"/>
          <w:sz w:val="24"/>
          <w:highlight w:val="none"/>
        </w:rPr>
        <w:t>14.2 担保</w:t>
      </w:r>
      <w:bookmarkEnd w:id="1596"/>
      <w:bookmarkEnd w:id="1597"/>
      <w:bookmarkEnd w:id="1598"/>
      <w:bookmarkEnd w:id="1599"/>
      <w:bookmarkEnd w:id="1600"/>
      <w:bookmarkEnd w:id="1601"/>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14.2.1 履约保函</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在以下方式中选择其一，作为双方对履约保函的约定。</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sym w:font="Wingdings 2" w:char="00A3"/>
      </w:r>
      <w:r>
        <w:rPr>
          <w:rFonts w:hint="eastAsia" w:ascii="仿宋" w:hAnsi="仿宋" w:eastAsia="仿宋" w:cs="仿宋"/>
          <w:b w:val="0"/>
          <w:color w:val="auto"/>
          <w:sz w:val="24"/>
          <w:highlight w:val="none"/>
        </w:rPr>
        <w:t xml:space="preserve"> 承包人不提交履约保函。</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sym w:font="Wingdings 2" w:char="0052"/>
      </w:r>
      <w:r>
        <w:rPr>
          <w:rFonts w:hint="eastAsia" w:ascii="仿宋" w:hAnsi="仿宋" w:eastAsia="仿宋" w:cs="仿宋"/>
          <w:b w:val="0"/>
          <w:color w:val="auto"/>
          <w:sz w:val="24"/>
          <w:highlight w:val="none"/>
        </w:rPr>
        <w:t xml:space="preserve"> 承包人提交履约保函的格式、金额和时间：</w:t>
      </w:r>
      <w:r>
        <w:rPr>
          <w:rFonts w:hint="eastAsia" w:ascii="仿宋" w:hAnsi="仿宋" w:eastAsia="仿宋" w:cs="仿宋"/>
          <w:b w:val="0"/>
          <w:color w:val="auto"/>
          <w:sz w:val="24"/>
          <w:highlight w:val="none"/>
          <w:u w:val="single"/>
        </w:rPr>
        <w:t>履约保证金金额按招标文件第二章“</w:t>
      </w:r>
      <w:r>
        <w:rPr>
          <w:rFonts w:hint="eastAsia" w:ascii="仿宋" w:hAnsi="仿宋" w:eastAsia="仿宋" w:cs="仿宋"/>
          <w:b w:val="0"/>
          <w:color w:val="auto"/>
          <w:sz w:val="24"/>
          <w:highlight w:val="none"/>
          <w:u w:val="single"/>
          <w:lang w:eastAsia="zh-CN"/>
        </w:rPr>
        <w:t>供应商</w:t>
      </w:r>
      <w:r>
        <w:rPr>
          <w:rFonts w:hint="eastAsia" w:ascii="仿宋" w:hAnsi="仿宋" w:eastAsia="仿宋" w:cs="仿宋"/>
          <w:b w:val="0"/>
          <w:color w:val="auto"/>
          <w:sz w:val="24"/>
          <w:highlight w:val="none"/>
          <w:u w:val="single"/>
        </w:rPr>
        <w:t>须知”内容提交。在收到中标通知书后，中标人须在7个工作日内向招标人提交履约保证金，否则招标人将取消其中标资格。</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14.2.2 支付保函</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在以下方式中选择其一，作为双方对支付保函的约定。</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sym w:font="Wingdings" w:char="00FE"/>
      </w:r>
      <w:r>
        <w:rPr>
          <w:rFonts w:hint="eastAsia" w:ascii="仿宋" w:hAnsi="仿宋" w:eastAsia="仿宋" w:cs="仿宋"/>
          <w:b w:val="0"/>
          <w:color w:val="auto"/>
          <w:sz w:val="24"/>
          <w:highlight w:val="none"/>
        </w:rPr>
        <w:t xml:space="preserve"> 发包人不提交支付保函。</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 发包人提交支付保函的格式、金额和时间：</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14.2.3 预付款保函</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在以下方式中选择其一，作为双方对预付款保函的约定。</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sym w:font="Wingdings" w:char="00FE"/>
      </w:r>
      <w:r>
        <w:rPr>
          <w:rFonts w:hint="eastAsia" w:ascii="仿宋" w:hAnsi="仿宋" w:eastAsia="仿宋" w:cs="仿宋"/>
          <w:b w:val="0"/>
          <w:color w:val="auto"/>
          <w:sz w:val="24"/>
          <w:highlight w:val="none"/>
        </w:rPr>
        <w:t xml:space="preserve"> 承包人不提交预付款保函。</w:t>
      </w:r>
    </w:p>
    <w:p>
      <w:pPr>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rPr>
        <w:t>□ 承包人提交预付款保函的格式、金额和时间：</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14.2.4 履约担保和支付担保的形式：</w:t>
      </w:r>
      <w:r>
        <w:rPr>
          <w:rFonts w:hint="eastAsia" w:ascii="仿宋" w:hAnsi="仿宋" w:eastAsia="仿宋" w:cs="仿宋"/>
          <w:b w:val="0"/>
          <w:color w:val="auto"/>
          <w:sz w:val="24"/>
          <w:highlight w:val="none"/>
          <w:u w:val="single"/>
        </w:rPr>
        <w:t>履约担保和支付担保可以银行保函、担保、工程保证保险等方式缴纳，严禁要求只能以现金方式缴纳的行为。</w:t>
      </w:r>
    </w:p>
    <w:p>
      <w:pPr>
        <w:spacing w:after="0" w:line="360" w:lineRule="auto"/>
        <w:ind w:firstLine="480" w:firstLineChars="200"/>
        <w:rPr>
          <w:rFonts w:hint="eastAsia" w:ascii="仿宋" w:hAnsi="仿宋" w:eastAsia="仿宋" w:cs="仿宋"/>
          <w:b w:val="0"/>
          <w:color w:val="auto"/>
          <w:sz w:val="24"/>
          <w:highlight w:val="none"/>
        </w:rPr>
      </w:pPr>
      <w:bookmarkStart w:id="1602" w:name="_Toc433988887"/>
      <w:bookmarkStart w:id="1603" w:name="_Toc419321430"/>
      <w:bookmarkStart w:id="1604" w:name="_Toc419320394"/>
      <w:bookmarkStart w:id="1605" w:name="_Toc4129"/>
      <w:bookmarkStart w:id="1606" w:name="_Toc419363852"/>
      <w:bookmarkStart w:id="1607" w:name="_Toc419364518"/>
      <w:r>
        <w:rPr>
          <w:rFonts w:hint="eastAsia" w:ascii="仿宋" w:hAnsi="仿宋" w:eastAsia="仿宋" w:cs="仿宋"/>
          <w:b w:val="0"/>
          <w:color w:val="auto"/>
          <w:sz w:val="24"/>
          <w:highlight w:val="none"/>
        </w:rPr>
        <w:t>14.3 预付款</w:t>
      </w:r>
      <w:bookmarkEnd w:id="1602"/>
      <w:bookmarkEnd w:id="1603"/>
      <w:bookmarkEnd w:id="1604"/>
      <w:bookmarkEnd w:id="1605"/>
      <w:bookmarkEnd w:id="1606"/>
      <w:bookmarkEnd w:id="1607"/>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14.3.1 预付款金额</w:t>
      </w:r>
    </w:p>
    <w:p>
      <w:pPr>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rPr>
        <w:t>预付款的金额与支付：</w:t>
      </w:r>
      <w:r>
        <w:rPr>
          <w:rFonts w:hint="eastAsia" w:ascii="仿宋" w:hAnsi="仿宋" w:eastAsia="仿宋" w:cs="仿宋"/>
          <w:b w:val="0"/>
          <w:color w:val="auto"/>
          <w:sz w:val="24"/>
          <w:highlight w:val="none"/>
          <w:u w:val="single"/>
        </w:rPr>
        <w:t>无。</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预付款支付期限：</w:t>
      </w:r>
      <w:r>
        <w:rPr>
          <w:rFonts w:hint="eastAsia" w:ascii="仿宋" w:hAnsi="仿宋" w:eastAsia="仿宋" w:cs="仿宋"/>
          <w:b w:val="0"/>
          <w:color w:val="auto"/>
          <w:sz w:val="24"/>
          <w:highlight w:val="none"/>
          <w:u w:val="single"/>
        </w:rPr>
        <w:t>约定开工日的7天前支付预付款</w:t>
      </w:r>
      <w:r>
        <w:rPr>
          <w:rFonts w:hint="eastAsia" w:ascii="仿宋" w:hAnsi="仿宋" w:eastAsia="仿宋" w:cs="仿宋"/>
          <w:b w:val="0"/>
          <w:color w:val="auto"/>
          <w:sz w:val="24"/>
          <w:highlight w:val="none"/>
        </w:rPr>
        <w:t>。</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14.3.3 预付款抵扣</w:t>
      </w:r>
    </w:p>
    <w:p>
      <w:pPr>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rPr>
        <w:t>（1）预付款的抵扣方式、抵扣比例和抵扣时间安排：</w:t>
      </w:r>
      <w:r>
        <w:rPr>
          <w:rFonts w:hint="eastAsia" w:ascii="仿宋" w:hAnsi="仿宋" w:eastAsia="仿宋" w:cs="仿宋"/>
          <w:b w:val="0"/>
          <w:color w:val="auto"/>
          <w:sz w:val="24"/>
          <w:highlight w:val="none"/>
          <w:u w:val="single"/>
        </w:rPr>
        <w:t xml:space="preserve">  / 。</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14.3.4 发包人的责任：</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发包人没有按时支付预付款的，承包人可催告发包人支付；发包人在付款期满后的</w:t>
      </w:r>
      <w:r>
        <w:rPr>
          <w:rFonts w:hint="eastAsia" w:ascii="仿宋" w:hAnsi="仿宋" w:eastAsia="仿宋" w:cs="仿宋"/>
          <w:b w:val="0"/>
          <w:color w:val="auto"/>
          <w:sz w:val="24"/>
          <w:highlight w:val="none"/>
          <w:u w:val="single"/>
        </w:rPr>
        <w:t xml:space="preserve"> 3 </w:t>
      </w:r>
      <w:r>
        <w:rPr>
          <w:rFonts w:hint="eastAsia" w:ascii="仿宋" w:hAnsi="仿宋" w:eastAsia="仿宋" w:cs="仿宋"/>
          <w:b w:val="0"/>
          <w:color w:val="auto"/>
          <w:sz w:val="24"/>
          <w:highlight w:val="none"/>
        </w:rPr>
        <w:t>天内仍未支付的，承包人可在付款期满后的第</w:t>
      </w:r>
      <w:r>
        <w:rPr>
          <w:rFonts w:hint="eastAsia" w:ascii="仿宋" w:hAnsi="仿宋" w:eastAsia="仿宋" w:cs="仿宋"/>
          <w:b w:val="0"/>
          <w:color w:val="auto"/>
          <w:sz w:val="24"/>
          <w:highlight w:val="none"/>
          <w:u w:val="single"/>
        </w:rPr>
        <w:t xml:space="preserve"> 5 </w:t>
      </w:r>
      <w:r>
        <w:rPr>
          <w:rFonts w:hint="eastAsia" w:ascii="仿宋" w:hAnsi="仿宋" w:eastAsia="仿宋" w:cs="仿宋"/>
          <w:b w:val="0"/>
          <w:color w:val="auto"/>
          <w:sz w:val="24"/>
          <w:highlight w:val="none"/>
        </w:rPr>
        <w:t>天起暂停施工。发包人应承担由此增加的费用和（或）顺延工期。</w:t>
      </w:r>
    </w:p>
    <w:p>
      <w:pPr>
        <w:spacing w:after="0" w:line="360" w:lineRule="auto"/>
        <w:ind w:firstLine="480" w:firstLineChars="200"/>
        <w:rPr>
          <w:rFonts w:hint="eastAsia" w:ascii="仿宋" w:hAnsi="仿宋" w:eastAsia="仿宋" w:cs="仿宋"/>
          <w:b w:val="0"/>
          <w:color w:val="auto"/>
          <w:sz w:val="24"/>
          <w:highlight w:val="none"/>
        </w:rPr>
      </w:pPr>
      <w:bookmarkStart w:id="1608" w:name="_Toc15793"/>
      <w:bookmarkStart w:id="1609" w:name="_Toc419321431"/>
      <w:bookmarkStart w:id="1610" w:name="_Toc419363853"/>
      <w:bookmarkStart w:id="1611" w:name="_Toc419364519"/>
      <w:bookmarkStart w:id="1612" w:name="_Toc433988888"/>
      <w:bookmarkStart w:id="1613" w:name="_Toc419320395"/>
      <w:r>
        <w:rPr>
          <w:rFonts w:hint="eastAsia" w:ascii="仿宋" w:hAnsi="仿宋" w:eastAsia="仿宋" w:cs="仿宋"/>
          <w:b w:val="0"/>
          <w:color w:val="auto"/>
          <w:sz w:val="24"/>
          <w:highlight w:val="none"/>
        </w:rPr>
        <w:t>14.4 工程进度款</w:t>
      </w:r>
      <w:bookmarkEnd w:id="1608"/>
      <w:bookmarkEnd w:id="1609"/>
      <w:bookmarkEnd w:id="1610"/>
      <w:bookmarkEnd w:id="1611"/>
      <w:bookmarkEnd w:id="1612"/>
      <w:bookmarkEnd w:id="1613"/>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14.4.1 工程进度款</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设计费支付方式、支付条款和支付时间：</w:t>
      </w:r>
      <w:r>
        <w:rPr>
          <w:rFonts w:hint="eastAsia" w:ascii="仿宋" w:hAnsi="仿宋" w:eastAsia="仿宋" w:cs="仿宋"/>
          <w:b w:val="0"/>
          <w:color w:val="auto"/>
          <w:sz w:val="24"/>
          <w:highlight w:val="none"/>
          <w:u w:val="single"/>
        </w:rPr>
        <w:t>设计费：承包人的施工图设计等工作完成并通过管理部门备案后，实际合同价确认前发包人向设计单位支付设计费中标价的60%，实际合同价确定之后发包人向设计单位支付设计费至实际合同价的80%，工程结算经财政或审计部门评审审核确认后支付余下款项。</w:t>
      </w:r>
    </w:p>
    <w:p>
      <w:pPr>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rPr>
        <w:t>采购货物款及工程进度款的支付方式、支付条件和支付时间：</w:t>
      </w:r>
      <w:r>
        <w:rPr>
          <w:rFonts w:hint="eastAsia" w:ascii="仿宋" w:hAnsi="仿宋" w:eastAsia="仿宋" w:cs="仿宋"/>
          <w:b w:val="0"/>
          <w:color w:val="auto"/>
          <w:sz w:val="24"/>
          <w:highlight w:val="none"/>
          <w:u w:val="single"/>
        </w:rPr>
        <w:t>按月支付。实际合同价确认前，建筑安装工程费进度款按每月完成工程量乘以送审预算综合单价的60%支付,进度款累计不能超过中标价的85%。实际合同价确定之后，建筑安装工程费进度款按每月完成工程量乘以实际合同综合单价的80%支付，进度款累计不能超过合同价的85%。合同结算价经财政部门评审确认后支付到本项且结算总价的97%，余3%作为缺陷责任保修金。缺陷责任期(按国家有关规定)满并移交相关接管部门后付清。</w:t>
      </w:r>
    </w:p>
    <w:p>
      <w:pPr>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u w:val="single"/>
        </w:rPr>
        <w:t>建筑工人工资根据有关要求按月足额支付至施工单位在银行开设的工资专用账户。</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14.4.2 其它进度款</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其它进度款有：</w:t>
      </w:r>
      <w:r>
        <w:rPr>
          <w:rFonts w:hint="eastAsia" w:ascii="仿宋" w:hAnsi="仿宋" w:eastAsia="仿宋" w:cs="仿宋"/>
          <w:b w:val="0"/>
          <w:color w:val="auto"/>
          <w:sz w:val="24"/>
          <w:highlight w:val="none"/>
          <w:u w:val="single"/>
        </w:rPr>
        <w:t>如因项目需要，发包人要求承包人在该工程的预算或工程量清单未通过财评审核确认价款前，即要求进场施工作业的，该部分工程综合单价参照送审的预算的综合单价执行，在施工工程量经监理方及发包人确认并取得报批手续后，该部分工程进度款按照已完成工程量的80%支付。</w:t>
      </w:r>
    </w:p>
    <w:p>
      <w:pPr>
        <w:spacing w:after="0" w:line="360" w:lineRule="auto"/>
        <w:ind w:firstLine="480" w:firstLineChars="200"/>
        <w:rPr>
          <w:rFonts w:hint="eastAsia" w:ascii="仿宋" w:hAnsi="仿宋" w:eastAsia="仿宋" w:cs="仿宋"/>
          <w:b w:val="0"/>
          <w:color w:val="auto"/>
          <w:sz w:val="24"/>
          <w:highlight w:val="none"/>
        </w:rPr>
      </w:pPr>
      <w:bookmarkStart w:id="1614" w:name="_Toc419320396"/>
      <w:bookmarkStart w:id="1615" w:name="_Toc419363854"/>
      <w:bookmarkStart w:id="1616" w:name="_Toc20121"/>
      <w:bookmarkStart w:id="1617" w:name="_Toc433988889"/>
      <w:bookmarkStart w:id="1618" w:name="_Toc419364520"/>
      <w:bookmarkStart w:id="1619" w:name="_Toc419321432"/>
      <w:r>
        <w:rPr>
          <w:rFonts w:hint="eastAsia" w:ascii="仿宋" w:hAnsi="仿宋" w:eastAsia="仿宋" w:cs="仿宋"/>
          <w:b w:val="0"/>
          <w:color w:val="auto"/>
          <w:sz w:val="24"/>
          <w:highlight w:val="none"/>
        </w:rPr>
        <w:t>14.5 缺陷责任保修金的暂扣与支付</w:t>
      </w:r>
      <w:bookmarkEnd w:id="1614"/>
      <w:bookmarkEnd w:id="1615"/>
      <w:bookmarkEnd w:id="1616"/>
      <w:bookmarkEnd w:id="1617"/>
      <w:bookmarkEnd w:id="1618"/>
      <w:bookmarkEnd w:id="1619"/>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14.5.2 缺陷责任保修金的支付</w:t>
      </w:r>
    </w:p>
    <w:p>
      <w:pPr>
        <w:spacing w:after="0" w:line="360" w:lineRule="auto"/>
        <w:ind w:firstLine="480" w:firstLineChars="200"/>
        <w:rPr>
          <w:rFonts w:hint="eastAsia" w:ascii="仿宋" w:hAnsi="仿宋" w:eastAsia="仿宋" w:cs="仿宋"/>
          <w:b w:val="0"/>
          <w:color w:val="auto"/>
          <w:sz w:val="24"/>
          <w:highlight w:val="none"/>
        </w:rPr>
      </w:pPr>
      <w:bookmarkStart w:id="1620" w:name="_Toc419364521"/>
      <w:bookmarkStart w:id="1621" w:name="_Toc419321433"/>
      <w:bookmarkStart w:id="1622" w:name="_Toc419320397"/>
      <w:bookmarkStart w:id="1623" w:name="_Toc28104"/>
      <w:bookmarkStart w:id="1624" w:name="_Toc433988890"/>
      <w:bookmarkStart w:id="1625" w:name="_Toc419363855"/>
      <w:r>
        <w:rPr>
          <w:rFonts w:hint="eastAsia" w:ascii="仿宋" w:hAnsi="仿宋" w:eastAsia="仿宋" w:cs="仿宋"/>
          <w:b w:val="0"/>
          <w:color w:val="auto"/>
          <w:sz w:val="24"/>
          <w:highlight w:val="none"/>
        </w:rPr>
        <w:t>（2）缺陷责任保修金保函的格式、金额和时间：</w:t>
      </w:r>
      <w:r>
        <w:rPr>
          <w:rFonts w:hint="eastAsia" w:ascii="仿宋" w:hAnsi="仿宋" w:eastAsia="仿宋" w:cs="仿宋"/>
          <w:b w:val="0"/>
          <w:color w:val="auto"/>
          <w:sz w:val="24"/>
          <w:highlight w:val="none"/>
          <w:u w:val="single"/>
        </w:rPr>
        <w:t>按通用条款执行。</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14.6 按月工程进度申请付款</w:t>
      </w:r>
      <w:bookmarkEnd w:id="1620"/>
      <w:bookmarkEnd w:id="1621"/>
      <w:bookmarkEnd w:id="1622"/>
      <w:bookmarkEnd w:id="1623"/>
      <w:bookmarkEnd w:id="1624"/>
      <w:bookmarkEnd w:id="1625"/>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按月付款申请报告的格式、内容、份数和提交时间：</w:t>
      </w:r>
      <w:r>
        <w:rPr>
          <w:rFonts w:hint="eastAsia" w:ascii="仿宋" w:hAnsi="仿宋" w:eastAsia="仿宋" w:cs="仿宋"/>
          <w:b w:val="0"/>
          <w:color w:val="auto"/>
          <w:sz w:val="24"/>
          <w:highlight w:val="none"/>
          <w:u w:val="single"/>
        </w:rPr>
        <w:t>根据项目需求双方另行约定。</w:t>
      </w:r>
    </w:p>
    <w:p>
      <w:pPr>
        <w:spacing w:after="0" w:line="360" w:lineRule="auto"/>
        <w:ind w:firstLine="480" w:firstLineChars="200"/>
        <w:rPr>
          <w:rFonts w:hint="eastAsia" w:ascii="仿宋" w:hAnsi="仿宋" w:eastAsia="仿宋" w:cs="仿宋"/>
          <w:b w:val="0"/>
          <w:color w:val="auto"/>
          <w:sz w:val="24"/>
          <w:highlight w:val="none"/>
        </w:rPr>
      </w:pPr>
      <w:bookmarkStart w:id="1626" w:name="_Toc32371"/>
      <w:bookmarkStart w:id="1627" w:name="_Toc433988891"/>
      <w:bookmarkStart w:id="1628" w:name="_Toc419363856"/>
      <w:bookmarkStart w:id="1629" w:name="_Toc419320398"/>
      <w:bookmarkStart w:id="1630" w:name="_Toc419364522"/>
      <w:bookmarkStart w:id="1631" w:name="_Toc419321434"/>
      <w:r>
        <w:rPr>
          <w:rFonts w:hint="eastAsia" w:ascii="仿宋" w:hAnsi="仿宋" w:eastAsia="仿宋" w:cs="仿宋"/>
          <w:b w:val="0"/>
          <w:color w:val="auto"/>
          <w:sz w:val="24"/>
          <w:highlight w:val="none"/>
        </w:rPr>
        <w:t>14.7 按付款计划表申请付款</w:t>
      </w:r>
      <w:bookmarkEnd w:id="1626"/>
      <w:bookmarkEnd w:id="1627"/>
      <w:bookmarkEnd w:id="1628"/>
      <w:bookmarkEnd w:id="1629"/>
      <w:bookmarkEnd w:id="1630"/>
      <w:bookmarkEnd w:id="1631"/>
    </w:p>
    <w:p>
      <w:pPr>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rPr>
        <w:t>付款期数、每期付款金额、每期需达到的主要计划形象进度和主要计划工程量进度：</w:t>
      </w:r>
      <w:r>
        <w:rPr>
          <w:rFonts w:hint="eastAsia" w:ascii="仿宋" w:hAnsi="仿宋" w:eastAsia="仿宋" w:cs="仿宋"/>
          <w:b w:val="0"/>
          <w:color w:val="auto"/>
          <w:sz w:val="24"/>
          <w:highlight w:val="none"/>
          <w:u w:val="single"/>
        </w:rPr>
        <w:t>根据项目需求双方另行约定。</w:t>
      </w:r>
    </w:p>
    <w:p>
      <w:pPr>
        <w:spacing w:after="0" w:line="360" w:lineRule="auto"/>
        <w:ind w:firstLine="480" w:firstLineChars="20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rPr>
        <w:t>付款申请报告的格式、内容、份数和提交时间：</w:t>
      </w:r>
      <w:r>
        <w:rPr>
          <w:rFonts w:hint="eastAsia" w:ascii="仿宋" w:hAnsi="仿宋" w:eastAsia="仿宋" w:cs="仿宋"/>
          <w:b w:val="0"/>
          <w:color w:val="auto"/>
          <w:sz w:val="24"/>
          <w:highlight w:val="none"/>
          <w:u w:val="single"/>
        </w:rPr>
        <w:t>根据有关规定执行。</w:t>
      </w:r>
    </w:p>
    <w:p>
      <w:pPr>
        <w:spacing w:after="0" w:line="360" w:lineRule="auto"/>
        <w:ind w:firstLine="480" w:firstLineChars="200"/>
        <w:rPr>
          <w:rFonts w:hint="eastAsia" w:ascii="仿宋" w:hAnsi="仿宋" w:eastAsia="仿宋" w:cs="仿宋"/>
          <w:b w:val="0"/>
          <w:color w:val="auto"/>
          <w:sz w:val="24"/>
          <w:highlight w:val="none"/>
        </w:rPr>
      </w:pPr>
      <w:bookmarkStart w:id="1632" w:name="_Toc419364523"/>
      <w:bookmarkStart w:id="1633" w:name="_Toc419363857"/>
      <w:bookmarkStart w:id="1634" w:name="_Toc419320399"/>
      <w:bookmarkStart w:id="1635" w:name="_Toc433988892"/>
      <w:bookmarkStart w:id="1636" w:name="_Toc419321435"/>
      <w:bookmarkStart w:id="1637" w:name="_Toc5628"/>
      <w:r>
        <w:rPr>
          <w:rFonts w:hint="eastAsia" w:ascii="仿宋" w:hAnsi="仿宋" w:eastAsia="仿宋" w:cs="仿宋"/>
          <w:b w:val="0"/>
          <w:color w:val="auto"/>
          <w:sz w:val="24"/>
          <w:highlight w:val="none"/>
        </w:rPr>
        <w:t>14.12 竣工结算</w:t>
      </w:r>
      <w:bookmarkEnd w:id="1632"/>
      <w:bookmarkEnd w:id="1633"/>
      <w:bookmarkEnd w:id="1634"/>
      <w:bookmarkEnd w:id="1635"/>
      <w:bookmarkEnd w:id="1636"/>
      <w:bookmarkEnd w:id="1637"/>
    </w:p>
    <w:p>
      <w:pPr>
        <w:spacing w:after="0" w:line="360" w:lineRule="auto"/>
        <w:ind w:firstLine="480" w:firstLineChars="200"/>
        <w:rPr>
          <w:rFonts w:hint="eastAsia" w:ascii="仿宋" w:hAnsi="仿宋" w:eastAsia="仿宋" w:cs="仿宋"/>
          <w:b w:val="0"/>
          <w:color w:val="auto"/>
          <w:sz w:val="24"/>
          <w:highlight w:val="none"/>
        </w:rPr>
      </w:pPr>
      <w:bookmarkStart w:id="1638" w:name="_Toc419320400"/>
      <w:bookmarkStart w:id="1639" w:name="_Toc419321436"/>
      <w:bookmarkStart w:id="1640" w:name="_Toc419363858"/>
      <w:r>
        <w:rPr>
          <w:rFonts w:hint="eastAsia" w:ascii="仿宋" w:hAnsi="仿宋" w:eastAsia="仿宋" w:cs="仿宋"/>
          <w:b w:val="0"/>
          <w:color w:val="auto"/>
          <w:sz w:val="24"/>
          <w:highlight w:val="none"/>
        </w:rPr>
        <w:t>14.12.1 提交竣工结算资料</w:t>
      </w:r>
      <w:bookmarkEnd w:id="1638"/>
      <w:bookmarkEnd w:id="1639"/>
      <w:bookmarkEnd w:id="1640"/>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竣工结算资料的格式、内容和份数：</w:t>
      </w:r>
      <w:r>
        <w:rPr>
          <w:rFonts w:hint="eastAsia" w:ascii="仿宋" w:hAnsi="仿宋" w:eastAsia="仿宋" w:cs="仿宋"/>
          <w:b w:val="0"/>
          <w:color w:val="auto"/>
          <w:sz w:val="24"/>
          <w:highlight w:val="none"/>
          <w:u w:val="single"/>
        </w:rPr>
        <w:t>根据有关规定执行。</w:t>
      </w:r>
    </w:p>
    <w:p>
      <w:pPr>
        <w:spacing w:after="0" w:line="360" w:lineRule="auto"/>
        <w:ind w:firstLine="480" w:firstLineChars="200"/>
        <w:rPr>
          <w:rFonts w:hint="eastAsia" w:ascii="仿宋" w:hAnsi="仿宋" w:eastAsia="仿宋" w:cs="仿宋"/>
          <w:b w:val="0"/>
          <w:color w:val="auto"/>
          <w:sz w:val="24"/>
          <w:highlight w:val="none"/>
        </w:rPr>
      </w:pPr>
      <w:bookmarkStart w:id="1641" w:name="_Toc18438"/>
      <w:bookmarkStart w:id="1642" w:name="_Toc419364524"/>
      <w:bookmarkStart w:id="1643" w:name="_Toc433988893"/>
      <w:bookmarkStart w:id="1644" w:name="_Toc752055358"/>
      <w:bookmarkStart w:id="1645" w:name="_Toc1464579236"/>
      <w:bookmarkStart w:id="1646" w:name="_Toc1611033396"/>
      <w:bookmarkStart w:id="1647" w:name="_Toc419363859"/>
      <w:bookmarkStart w:id="1648" w:name="_Toc419321437"/>
      <w:bookmarkStart w:id="1649" w:name="_Toc1895921105"/>
      <w:bookmarkStart w:id="1650" w:name="_Toc17457"/>
      <w:bookmarkStart w:id="1651" w:name="_Toc419320401"/>
      <w:bookmarkStart w:id="1652" w:name="_Toc1928913083"/>
      <w:bookmarkStart w:id="1653" w:name="_Toc2139753095"/>
      <w:bookmarkStart w:id="1654" w:name="_Toc1422596688"/>
      <w:bookmarkStart w:id="1655" w:name="_Toc30260"/>
      <w:bookmarkStart w:id="1656" w:name="_Toc1876249149"/>
      <w:r>
        <w:rPr>
          <w:rFonts w:hint="eastAsia" w:ascii="仿宋" w:hAnsi="仿宋" w:eastAsia="仿宋" w:cs="仿宋"/>
          <w:b w:val="0"/>
          <w:color w:val="auto"/>
          <w:sz w:val="24"/>
          <w:highlight w:val="none"/>
        </w:rPr>
        <w:t>第15条 保险</w:t>
      </w:r>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p>
    <w:p>
      <w:pPr>
        <w:spacing w:after="0" w:line="360" w:lineRule="auto"/>
        <w:ind w:firstLine="480" w:firstLineChars="200"/>
        <w:rPr>
          <w:rFonts w:hint="eastAsia" w:ascii="仿宋" w:hAnsi="仿宋" w:eastAsia="仿宋" w:cs="仿宋"/>
          <w:b w:val="0"/>
          <w:color w:val="auto"/>
          <w:sz w:val="24"/>
          <w:highlight w:val="none"/>
        </w:rPr>
      </w:pPr>
      <w:bookmarkStart w:id="1657" w:name="_Toc419363860"/>
      <w:bookmarkStart w:id="1658" w:name="_Toc419320402"/>
      <w:bookmarkStart w:id="1659" w:name="_Toc5829"/>
      <w:bookmarkStart w:id="1660" w:name="_Toc433988894"/>
      <w:bookmarkStart w:id="1661" w:name="_Toc419321438"/>
      <w:bookmarkStart w:id="1662" w:name="_Toc419364525"/>
      <w:r>
        <w:rPr>
          <w:rFonts w:hint="eastAsia" w:ascii="仿宋" w:hAnsi="仿宋" w:eastAsia="仿宋" w:cs="仿宋"/>
          <w:b w:val="0"/>
          <w:color w:val="auto"/>
          <w:sz w:val="24"/>
          <w:highlight w:val="none"/>
        </w:rPr>
        <w:t>15.1 承包人的投保</w:t>
      </w:r>
      <w:bookmarkEnd w:id="1657"/>
      <w:bookmarkEnd w:id="1658"/>
      <w:bookmarkEnd w:id="1659"/>
      <w:bookmarkEnd w:id="1660"/>
      <w:bookmarkEnd w:id="1661"/>
      <w:bookmarkEnd w:id="1662"/>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15.1.1 合同双方商定，由承包人负责投保的保险种类、保险范围、投保金额、保险期限和持续有效的时间：</w:t>
      </w:r>
      <w:r>
        <w:rPr>
          <w:rFonts w:hint="eastAsia" w:ascii="仿宋" w:hAnsi="仿宋" w:eastAsia="仿宋" w:cs="仿宋"/>
          <w:b w:val="0"/>
          <w:color w:val="auto"/>
          <w:sz w:val="24"/>
          <w:highlight w:val="none"/>
          <w:u w:val="single"/>
        </w:rPr>
        <w:t>根据有关规定执行。</w:t>
      </w:r>
    </w:p>
    <w:p>
      <w:pPr>
        <w:spacing w:after="0" w:line="360" w:lineRule="auto"/>
        <w:ind w:firstLine="480" w:firstLineChars="200"/>
        <w:rPr>
          <w:rFonts w:hint="eastAsia" w:ascii="仿宋" w:hAnsi="仿宋" w:eastAsia="仿宋" w:cs="仿宋"/>
          <w:b w:val="0"/>
          <w:color w:val="auto"/>
          <w:sz w:val="24"/>
          <w:highlight w:val="none"/>
        </w:rPr>
      </w:pPr>
      <w:bookmarkStart w:id="1663" w:name="_Toc419363861"/>
      <w:bookmarkStart w:id="1664" w:name="_Toc433988895"/>
      <w:bookmarkStart w:id="1665" w:name="_Toc419320403"/>
      <w:bookmarkStart w:id="1666" w:name="_Toc419364526"/>
      <w:bookmarkStart w:id="1667" w:name="_Toc419321439"/>
      <w:bookmarkStart w:id="1668" w:name="_Toc4178"/>
      <w:r>
        <w:rPr>
          <w:rFonts w:hint="eastAsia" w:ascii="仿宋" w:hAnsi="仿宋" w:eastAsia="仿宋" w:cs="仿宋"/>
          <w:b w:val="0"/>
          <w:color w:val="auto"/>
          <w:sz w:val="24"/>
          <w:highlight w:val="none"/>
        </w:rPr>
        <w:t>15.2 一切险和第三方责任</w:t>
      </w:r>
      <w:bookmarkEnd w:id="1663"/>
      <w:bookmarkEnd w:id="1664"/>
      <w:bookmarkEnd w:id="1665"/>
      <w:bookmarkEnd w:id="1666"/>
      <w:bookmarkEnd w:id="1667"/>
      <w:bookmarkEnd w:id="1668"/>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土建工程一切险的投保方及对投保的相关要求：</w:t>
      </w:r>
      <w:r>
        <w:rPr>
          <w:rFonts w:hint="eastAsia" w:ascii="仿宋" w:hAnsi="仿宋" w:eastAsia="仿宋" w:cs="仿宋"/>
          <w:b w:val="0"/>
          <w:color w:val="auto"/>
          <w:sz w:val="24"/>
          <w:highlight w:val="none"/>
          <w:u w:val="single"/>
        </w:rPr>
        <w:t>根据有关规定执行。</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安装工程及竣工试验一切险的投保方及对投保的相关要求：</w:t>
      </w:r>
      <w:r>
        <w:rPr>
          <w:rFonts w:hint="eastAsia" w:ascii="仿宋" w:hAnsi="仿宋" w:eastAsia="仿宋" w:cs="仿宋"/>
          <w:b w:val="0"/>
          <w:color w:val="auto"/>
          <w:sz w:val="24"/>
          <w:highlight w:val="none"/>
          <w:u w:val="single"/>
        </w:rPr>
        <w:t>约定投标方为承包人。投保内容按有关规定执行。</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第三者责任险的应投保方及对投保的相关要求：</w:t>
      </w:r>
      <w:r>
        <w:rPr>
          <w:rFonts w:hint="eastAsia" w:ascii="仿宋" w:hAnsi="仿宋" w:eastAsia="仿宋" w:cs="仿宋"/>
          <w:b w:val="0"/>
          <w:color w:val="auto"/>
          <w:sz w:val="24"/>
          <w:highlight w:val="none"/>
          <w:u w:val="single"/>
        </w:rPr>
        <w:t>约定投标方为承包人。投保内容按有关规定执行。</w:t>
      </w:r>
    </w:p>
    <w:p>
      <w:pPr>
        <w:spacing w:after="0" w:line="360" w:lineRule="auto"/>
        <w:ind w:firstLine="480" w:firstLineChars="200"/>
        <w:rPr>
          <w:rFonts w:hint="eastAsia" w:ascii="仿宋" w:hAnsi="仿宋" w:eastAsia="仿宋" w:cs="仿宋"/>
          <w:b w:val="0"/>
          <w:color w:val="auto"/>
          <w:sz w:val="24"/>
          <w:highlight w:val="none"/>
        </w:rPr>
      </w:pPr>
      <w:bookmarkStart w:id="1669" w:name="_Toc469574695"/>
      <w:bookmarkStart w:id="1670" w:name="_Toc419320404"/>
      <w:bookmarkStart w:id="1671" w:name="_Toc1164465196"/>
      <w:bookmarkStart w:id="1672" w:name="_Toc419363862"/>
      <w:bookmarkStart w:id="1673" w:name="_Toc1069115003"/>
      <w:bookmarkStart w:id="1674" w:name="_Toc829050869"/>
      <w:bookmarkStart w:id="1675" w:name="_Toc725657538"/>
      <w:bookmarkStart w:id="1676" w:name="_Toc1647093165"/>
      <w:bookmarkStart w:id="1677" w:name="_Toc419364527"/>
      <w:bookmarkStart w:id="1678" w:name="_Toc24644"/>
      <w:bookmarkStart w:id="1679" w:name="_Toc1853139311"/>
      <w:bookmarkStart w:id="1680" w:name="_Toc16845"/>
      <w:bookmarkStart w:id="1681" w:name="_Toc419321440"/>
      <w:bookmarkStart w:id="1682" w:name="_Toc433988896"/>
      <w:bookmarkStart w:id="1683" w:name="_Toc29983"/>
      <w:bookmarkStart w:id="1684" w:name="_Toc383657549"/>
      <w:r>
        <w:rPr>
          <w:rFonts w:hint="eastAsia" w:ascii="仿宋" w:hAnsi="仿宋" w:eastAsia="仿宋" w:cs="仿宋"/>
          <w:b w:val="0"/>
          <w:color w:val="auto"/>
          <w:sz w:val="24"/>
          <w:highlight w:val="none"/>
        </w:rPr>
        <w:t>第16条 违约、索赔和裁决</w:t>
      </w:r>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p>
    <w:p>
      <w:pPr>
        <w:spacing w:after="0" w:line="360" w:lineRule="auto"/>
        <w:ind w:firstLine="480" w:firstLineChars="200"/>
        <w:rPr>
          <w:rFonts w:hint="eastAsia" w:ascii="仿宋" w:hAnsi="仿宋" w:eastAsia="仿宋" w:cs="仿宋"/>
          <w:b w:val="0"/>
          <w:color w:val="auto"/>
          <w:sz w:val="24"/>
          <w:highlight w:val="none"/>
        </w:rPr>
      </w:pPr>
      <w:bookmarkStart w:id="1685" w:name="_Toc26831"/>
      <w:bookmarkStart w:id="1686" w:name="_Toc433988897"/>
      <w:bookmarkStart w:id="1687" w:name="_Toc419363863"/>
      <w:bookmarkStart w:id="1688" w:name="_Toc419320405"/>
      <w:bookmarkStart w:id="1689" w:name="_Toc419321441"/>
      <w:bookmarkStart w:id="1690" w:name="_Toc419364528"/>
      <w:r>
        <w:rPr>
          <w:rFonts w:hint="eastAsia" w:ascii="仿宋" w:hAnsi="仿宋" w:eastAsia="仿宋" w:cs="仿宋"/>
          <w:b w:val="0"/>
          <w:color w:val="auto"/>
          <w:sz w:val="24"/>
          <w:highlight w:val="none"/>
        </w:rPr>
        <w:t>16.1 违约责任</w:t>
      </w:r>
      <w:bookmarkEnd w:id="1685"/>
      <w:bookmarkEnd w:id="1686"/>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16.1.1 发包人的违约责任</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（1）发包人未能按合同约定时间支付工程款或结算款的，从违约之日起，发包人每日按延付金额的</w:t>
      </w:r>
      <w:r>
        <w:rPr>
          <w:rFonts w:hint="eastAsia" w:ascii="仿宋" w:hAnsi="仿宋" w:eastAsia="仿宋" w:cs="仿宋"/>
          <w:b w:val="0"/>
          <w:color w:val="auto"/>
          <w:sz w:val="24"/>
          <w:highlight w:val="none"/>
          <w:u w:val="single"/>
        </w:rPr>
        <w:t xml:space="preserve"> 0.02% </w:t>
      </w:r>
      <w:r>
        <w:rPr>
          <w:rFonts w:hint="eastAsia" w:ascii="仿宋" w:hAnsi="仿宋" w:eastAsia="仿宋" w:cs="仿宋"/>
          <w:b w:val="0"/>
          <w:color w:val="auto"/>
          <w:sz w:val="24"/>
          <w:highlight w:val="none"/>
        </w:rPr>
        <w:t>向承包人支付违约金，承包人的损失按实际发生计，所耽误的工期相应顺延。对于违约金超过合同总价</w:t>
      </w:r>
      <w:r>
        <w:rPr>
          <w:rFonts w:hint="eastAsia" w:ascii="仿宋" w:hAnsi="仿宋" w:eastAsia="仿宋" w:cs="仿宋"/>
          <w:b w:val="0"/>
          <w:color w:val="auto"/>
          <w:sz w:val="24"/>
          <w:highlight w:val="none"/>
          <w:u w:val="single"/>
        </w:rPr>
        <w:t xml:space="preserve"> 3% </w:t>
      </w:r>
      <w:r>
        <w:rPr>
          <w:rFonts w:hint="eastAsia" w:ascii="仿宋" w:hAnsi="仿宋" w:eastAsia="仿宋" w:cs="仿宋"/>
          <w:b w:val="0"/>
          <w:color w:val="auto"/>
          <w:sz w:val="24"/>
          <w:highlight w:val="none"/>
        </w:rPr>
        <w:t>或发包人拒不支付时，承包人可按专用条款第16.3款的规定进入争议解决程序。</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（2）其他：</w:t>
      </w:r>
      <w:r>
        <w:rPr>
          <w:rFonts w:hint="eastAsia" w:ascii="仿宋" w:hAnsi="仿宋" w:eastAsia="仿宋" w:cs="仿宋"/>
          <w:b w:val="0"/>
          <w:color w:val="auto"/>
          <w:sz w:val="24"/>
          <w:highlight w:val="none"/>
          <w:u w:val="single"/>
        </w:rPr>
        <w:t>无</w:t>
      </w:r>
      <w:r>
        <w:rPr>
          <w:rFonts w:hint="eastAsia" w:ascii="仿宋" w:hAnsi="仿宋" w:eastAsia="仿宋" w:cs="仿宋"/>
          <w:b w:val="0"/>
          <w:color w:val="auto"/>
          <w:sz w:val="24"/>
          <w:highlight w:val="none"/>
        </w:rPr>
        <w:t>。</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16.1.2 承包人的违约责任</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承包人未能按合同约定时间且因承包人自身原因导致工程延期竣工或无法验收时，每日延误的赔偿金额及累计的最高赔偿金额按专用条款第4.5款的规定执行。当承包人拒不支付时，发包人可按专用条款第16.3款的规定进入争议解决程序。</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2）合同解除后，承包人不按合同约定撤离，或由于承包人与他方存在纠纷（包括但不限于与材料供应商、民工、分包人等发生一切纠纷），导致发包人无法正常接收、使用场地的，每拖延一日支付违约金1000元，直至发包人能正常使用场地之日止。</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3）合同解除通知送达承包人后，合同解除。若承包人不按约定办理相关交接手续，每延误一天，支付违约金1000元。从合同约定交接期满之日起，承包人有权自行接管场地，将场地交付给第三方或自行使用，由此产生的损失，全部由乙方承担。</w:t>
      </w:r>
    </w:p>
    <w:p>
      <w:pPr>
        <w:spacing w:after="0" w:line="360" w:lineRule="auto"/>
        <w:ind w:firstLine="480" w:firstLineChars="200"/>
        <w:rPr>
          <w:rFonts w:hint="eastAsia" w:ascii="仿宋" w:hAnsi="仿宋" w:eastAsia="仿宋" w:cs="仿宋"/>
          <w:b w:val="0"/>
          <w:color w:val="auto"/>
          <w:sz w:val="24"/>
          <w:highlight w:val="none"/>
        </w:rPr>
      </w:pPr>
      <w:bookmarkStart w:id="1691" w:name="_Toc9255"/>
      <w:bookmarkStart w:id="1692" w:name="_Toc433988898"/>
      <w:r>
        <w:rPr>
          <w:rFonts w:hint="eastAsia" w:ascii="仿宋" w:hAnsi="仿宋" w:eastAsia="仿宋" w:cs="仿宋"/>
          <w:b w:val="0"/>
          <w:color w:val="auto"/>
          <w:sz w:val="24"/>
          <w:highlight w:val="none"/>
        </w:rPr>
        <w:t>16.2 索赔</w:t>
      </w:r>
      <w:bookmarkEnd w:id="1691"/>
      <w:bookmarkEnd w:id="1692"/>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16.2.2 承包人的索赔</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索赔金额按国家及地方相关规定计算，并在承包人提交给发包人的索赔报告中说明理由。并与工程进度款同期支付。</w:t>
      </w:r>
    </w:p>
    <w:p>
      <w:pPr>
        <w:spacing w:after="0" w:line="360" w:lineRule="auto"/>
        <w:ind w:firstLine="480" w:firstLineChars="200"/>
        <w:rPr>
          <w:rFonts w:hint="eastAsia" w:ascii="仿宋" w:hAnsi="仿宋" w:eastAsia="仿宋" w:cs="仿宋"/>
          <w:b w:val="0"/>
          <w:color w:val="auto"/>
          <w:sz w:val="24"/>
          <w:highlight w:val="none"/>
        </w:rPr>
      </w:pPr>
      <w:bookmarkStart w:id="1693" w:name="_Toc433988899"/>
      <w:bookmarkStart w:id="1694" w:name="_Toc30931"/>
      <w:r>
        <w:rPr>
          <w:rFonts w:hint="eastAsia" w:ascii="仿宋" w:hAnsi="仿宋" w:eastAsia="仿宋" w:cs="仿宋"/>
          <w:b w:val="0"/>
          <w:color w:val="auto"/>
          <w:sz w:val="24"/>
          <w:highlight w:val="none"/>
        </w:rPr>
        <w:t>16.3 争议和裁决</w:t>
      </w:r>
      <w:bookmarkEnd w:id="1687"/>
      <w:bookmarkEnd w:id="1688"/>
      <w:bookmarkEnd w:id="1689"/>
      <w:bookmarkEnd w:id="1690"/>
      <w:bookmarkEnd w:id="1693"/>
      <w:bookmarkEnd w:id="1694"/>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16.3.1 争议的解决程序</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在争议提交调解之日起30日内，双方仍存有争议时，或合同任何一方不同意调解的，在以下方式中选择其一，作为双方解决争议事项的约定。</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 提交仲裁委员会，按照申请仲裁时该会有效的仲裁规则进行仲裁。仲裁裁决是终局的，对双方均有约束力。</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sym w:font="Wingdings" w:char="00FE"/>
      </w:r>
      <w:r>
        <w:rPr>
          <w:rFonts w:hint="eastAsia" w:ascii="仿宋" w:hAnsi="仿宋" w:eastAsia="仿宋" w:cs="仿宋"/>
          <w:b w:val="0"/>
          <w:color w:val="auto"/>
          <w:sz w:val="24"/>
          <w:highlight w:val="none"/>
        </w:rPr>
        <w:t>向</w:t>
      </w:r>
      <w:r>
        <w:rPr>
          <w:rFonts w:hint="eastAsia" w:ascii="仿宋" w:hAnsi="仿宋" w:eastAsia="仿宋" w:cs="仿宋"/>
          <w:b w:val="0"/>
          <w:color w:val="auto"/>
          <w:sz w:val="24"/>
          <w:highlight w:val="none"/>
          <w:u w:val="single"/>
        </w:rPr>
        <w:t xml:space="preserve"> 工程 </w:t>
      </w:r>
      <w:r>
        <w:rPr>
          <w:rFonts w:hint="eastAsia" w:ascii="仿宋" w:hAnsi="仿宋" w:eastAsia="仿宋" w:cs="仿宋"/>
          <w:b w:val="0"/>
          <w:color w:val="auto"/>
          <w:sz w:val="24"/>
          <w:highlight w:val="none"/>
        </w:rPr>
        <w:t>所在地人民法院提起诉讼。</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16.3.4 双方在合同履约过程中针对本合同的条款及合同附件中的约定存在争议的，由双方友好协商解决。</w:t>
      </w:r>
    </w:p>
    <w:p>
      <w:pPr>
        <w:spacing w:after="0" w:line="360" w:lineRule="auto"/>
        <w:ind w:firstLine="480" w:firstLineChars="200"/>
        <w:rPr>
          <w:rFonts w:hint="eastAsia" w:ascii="仿宋" w:hAnsi="仿宋" w:eastAsia="仿宋" w:cs="仿宋"/>
          <w:b w:val="0"/>
          <w:color w:val="auto"/>
          <w:sz w:val="24"/>
          <w:highlight w:val="none"/>
        </w:rPr>
      </w:pPr>
      <w:bookmarkStart w:id="1695" w:name="_Toc433988900"/>
      <w:bookmarkStart w:id="1696" w:name="_Toc23013"/>
      <w:bookmarkStart w:id="1697" w:name="_Toc1630614325"/>
      <w:bookmarkStart w:id="1698" w:name="_Toc757067536"/>
      <w:bookmarkStart w:id="1699" w:name="_Toc419363864"/>
      <w:bookmarkStart w:id="1700" w:name="_Toc419364529"/>
      <w:bookmarkStart w:id="1701" w:name="_Toc1148074061"/>
      <w:bookmarkStart w:id="1702" w:name="_Toc419321442"/>
      <w:bookmarkStart w:id="1703" w:name="_Toc2005"/>
      <w:bookmarkStart w:id="1704" w:name="_Toc23027"/>
      <w:bookmarkStart w:id="1705" w:name="_Toc1386517749"/>
      <w:bookmarkStart w:id="1706" w:name="_Toc419320406"/>
      <w:bookmarkStart w:id="1707" w:name="_Toc566609853"/>
      <w:bookmarkStart w:id="1708" w:name="_Toc620180972"/>
      <w:bookmarkStart w:id="1709" w:name="_Toc984053547"/>
      <w:bookmarkStart w:id="1710" w:name="_Toc139496140"/>
      <w:r>
        <w:rPr>
          <w:rFonts w:hint="eastAsia" w:ascii="仿宋" w:hAnsi="仿宋" w:eastAsia="仿宋" w:cs="仿宋"/>
          <w:b w:val="0"/>
          <w:color w:val="auto"/>
          <w:sz w:val="24"/>
          <w:highlight w:val="none"/>
        </w:rPr>
        <w:t>第19条 合同生效与合同终止</w:t>
      </w:r>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p>
    <w:p>
      <w:pPr>
        <w:spacing w:after="0" w:line="360" w:lineRule="auto"/>
        <w:ind w:firstLine="480" w:firstLineChars="200"/>
        <w:rPr>
          <w:rFonts w:hint="eastAsia" w:ascii="仿宋" w:hAnsi="仿宋" w:eastAsia="仿宋" w:cs="仿宋"/>
          <w:b w:val="0"/>
          <w:color w:val="auto"/>
          <w:sz w:val="24"/>
          <w:highlight w:val="none"/>
        </w:rPr>
      </w:pPr>
      <w:bookmarkStart w:id="1711" w:name="_Toc419321443"/>
      <w:bookmarkStart w:id="1712" w:name="_Toc419364530"/>
      <w:bookmarkStart w:id="1713" w:name="_Toc12606"/>
      <w:bookmarkStart w:id="1714" w:name="_Toc433988901"/>
      <w:bookmarkStart w:id="1715" w:name="_Toc419363865"/>
      <w:bookmarkStart w:id="1716" w:name="_Toc419320407"/>
      <w:r>
        <w:rPr>
          <w:rFonts w:hint="eastAsia" w:ascii="仿宋" w:hAnsi="仿宋" w:eastAsia="仿宋" w:cs="仿宋"/>
          <w:b w:val="0"/>
          <w:color w:val="auto"/>
          <w:sz w:val="24"/>
          <w:highlight w:val="none"/>
        </w:rPr>
        <w:t>19.2 合同份数</w:t>
      </w:r>
      <w:bookmarkEnd w:id="1711"/>
      <w:bookmarkEnd w:id="1712"/>
      <w:bookmarkEnd w:id="1713"/>
      <w:bookmarkEnd w:id="1714"/>
      <w:bookmarkEnd w:id="1715"/>
      <w:bookmarkEnd w:id="1716"/>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本合同正本一式</w:t>
      </w:r>
      <w:r>
        <w:rPr>
          <w:rFonts w:hint="eastAsia" w:ascii="仿宋" w:hAnsi="仿宋" w:eastAsia="仿宋" w:cs="仿宋"/>
          <w:b w:val="0"/>
          <w:color w:val="auto"/>
          <w:sz w:val="24"/>
          <w:highlight w:val="none"/>
          <w:u w:val="single"/>
        </w:rPr>
        <w:t xml:space="preserve">   </w:t>
      </w:r>
      <w:r>
        <w:rPr>
          <w:rFonts w:hint="eastAsia" w:ascii="仿宋" w:hAnsi="仿宋" w:eastAsia="仿宋" w:cs="仿宋"/>
          <w:b w:val="0"/>
          <w:color w:val="auto"/>
          <w:sz w:val="24"/>
          <w:highlight w:val="none"/>
        </w:rPr>
        <w:t>份，发包人执</w:t>
      </w:r>
      <w:r>
        <w:rPr>
          <w:rFonts w:hint="eastAsia" w:ascii="仿宋" w:hAnsi="仿宋" w:eastAsia="仿宋" w:cs="仿宋"/>
          <w:b w:val="0"/>
          <w:color w:val="auto"/>
          <w:sz w:val="24"/>
          <w:highlight w:val="none"/>
          <w:u w:val="single"/>
        </w:rPr>
        <w:t xml:space="preserve">   </w:t>
      </w:r>
      <w:r>
        <w:rPr>
          <w:rFonts w:hint="eastAsia" w:ascii="仿宋" w:hAnsi="仿宋" w:eastAsia="仿宋" w:cs="仿宋"/>
          <w:b w:val="0"/>
          <w:color w:val="auto"/>
          <w:sz w:val="24"/>
          <w:highlight w:val="none"/>
        </w:rPr>
        <w:t>份，承包人执</w:t>
      </w:r>
      <w:r>
        <w:rPr>
          <w:rFonts w:hint="eastAsia" w:ascii="仿宋" w:hAnsi="仿宋" w:eastAsia="仿宋" w:cs="仿宋"/>
          <w:b w:val="0"/>
          <w:color w:val="auto"/>
          <w:sz w:val="24"/>
          <w:highlight w:val="none"/>
          <w:u w:val="single"/>
        </w:rPr>
        <w:t xml:space="preserve">   </w:t>
      </w:r>
      <w:r>
        <w:rPr>
          <w:rFonts w:hint="eastAsia" w:ascii="仿宋" w:hAnsi="仿宋" w:eastAsia="仿宋" w:cs="仿宋"/>
          <w:b w:val="0"/>
          <w:color w:val="auto"/>
          <w:sz w:val="24"/>
          <w:highlight w:val="none"/>
        </w:rPr>
        <w:t>份；合同副本一式</w:t>
      </w:r>
      <w:r>
        <w:rPr>
          <w:rFonts w:hint="eastAsia" w:ascii="仿宋" w:hAnsi="仿宋" w:eastAsia="仿宋" w:cs="仿宋"/>
          <w:b w:val="0"/>
          <w:color w:val="auto"/>
          <w:sz w:val="24"/>
          <w:highlight w:val="none"/>
          <w:u w:val="single"/>
        </w:rPr>
        <w:t xml:space="preserve">   </w:t>
      </w:r>
      <w:r>
        <w:rPr>
          <w:rFonts w:hint="eastAsia" w:ascii="仿宋" w:hAnsi="仿宋" w:eastAsia="仿宋" w:cs="仿宋"/>
          <w:b w:val="0"/>
          <w:color w:val="auto"/>
          <w:sz w:val="24"/>
          <w:highlight w:val="none"/>
        </w:rPr>
        <w:t>份，发包人执</w:t>
      </w:r>
      <w:r>
        <w:rPr>
          <w:rFonts w:hint="eastAsia" w:ascii="仿宋" w:hAnsi="仿宋" w:eastAsia="仿宋" w:cs="仿宋"/>
          <w:b w:val="0"/>
          <w:color w:val="auto"/>
          <w:sz w:val="24"/>
          <w:highlight w:val="none"/>
          <w:u w:val="single"/>
        </w:rPr>
        <w:t xml:space="preserve">   </w:t>
      </w:r>
      <w:r>
        <w:rPr>
          <w:rFonts w:hint="eastAsia" w:ascii="仿宋" w:hAnsi="仿宋" w:eastAsia="仿宋" w:cs="仿宋"/>
          <w:b w:val="0"/>
          <w:color w:val="auto"/>
          <w:sz w:val="24"/>
          <w:highlight w:val="none"/>
        </w:rPr>
        <w:t>份，承包人执</w:t>
      </w:r>
      <w:r>
        <w:rPr>
          <w:rFonts w:hint="eastAsia" w:ascii="仿宋" w:hAnsi="仿宋" w:eastAsia="仿宋" w:cs="仿宋"/>
          <w:b w:val="0"/>
          <w:color w:val="auto"/>
          <w:sz w:val="24"/>
          <w:highlight w:val="none"/>
          <w:u w:val="single"/>
        </w:rPr>
        <w:t xml:space="preserve">   </w:t>
      </w:r>
      <w:r>
        <w:rPr>
          <w:rFonts w:hint="eastAsia" w:ascii="仿宋" w:hAnsi="仿宋" w:eastAsia="仿宋" w:cs="仿宋"/>
          <w:b w:val="0"/>
          <w:color w:val="auto"/>
          <w:sz w:val="24"/>
          <w:highlight w:val="none"/>
        </w:rPr>
        <w:t>份。当正本与副本内容不一致时，以正本为准。</w:t>
      </w:r>
    </w:p>
    <w:p>
      <w:pPr>
        <w:spacing w:after="0" w:line="360" w:lineRule="auto"/>
        <w:ind w:firstLine="480" w:firstLineChars="200"/>
        <w:rPr>
          <w:rFonts w:hint="eastAsia" w:ascii="仿宋" w:hAnsi="仿宋" w:eastAsia="仿宋" w:cs="仿宋"/>
          <w:b w:val="0"/>
          <w:color w:val="auto"/>
          <w:sz w:val="24"/>
          <w:highlight w:val="none"/>
        </w:rPr>
      </w:pPr>
      <w:bookmarkStart w:id="1717" w:name="_Toc419363866"/>
      <w:bookmarkStart w:id="1718" w:name="_Toc1606966103"/>
      <w:bookmarkStart w:id="1719" w:name="_Toc13317"/>
      <w:bookmarkStart w:id="1720" w:name="_Toc1696140908"/>
      <w:bookmarkStart w:id="1721" w:name="_Toc419321444"/>
      <w:bookmarkStart w:id="1722" w:name="_Toc858753846"/>
      <w:bookmarkStart w:id="1723" w:name="_Toc433988902"/>
      <w:bookmarkStart w:id="1724" w:name="_Toc540174932"/>
      <w:bookmarkStart w:id="1725" w:name="_Toc1216398882"/>
      <w:bookmarkStart w:id="1726" w:name="_Toc1643457513"/>
      <w:bookmarkStart w:id="1727" w:name="_Toc419320408"/>
      <w:bookmarkStart w:id="1728" w:name="_Toc1069308573"/>
      <w:bookmarkStart w:id="1729" w:name="_Toc193469077"/>
      <w:bookmarkStart w:id="1730" w:name="_Toc25697"/>
      <w:bookmarkStart w:id="1731" w:name="_Toc26455"/>
      <w:bookmarkStart w:id="1732" w:name="_Toc419364531"/>
      <w:r>
        <w:rPr>
          <w:rFonts w:hint="eastAsia" w:ascii="仿宋" w:hAnsi="仿宋" w:eastAsia="仿宋" w:cs="仿宋"/>
          <w:b w:val="0"/>
          <w:color w:val="auto"/>
          <w:sz w:val="24"/>
          <w:highlight w:val="none"/>
        </w:rPr>
        <w:t>第20条 补充条款</w:t>
      </w:r>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20.1 本工程合同价款已包含安全防护、文明施工措施费。使用要求：专款专用，具体按《广西壮族自治区建设工程安全文明施工费使用管理细则》（桂建质【2015】16号）和梧州市相关规定执行。安全防护、文明施工措施费与工程款同步支付（按相关规定缴纳及支付）。安全防护、文明施工措施费暂定为</w:t>
      </w:r>
      <w:r>
        <w:rPr>
          <w:rFonts w:hint="eastAsia" w:ascii="仿宋" w:hAnsi="仿宋" w:eastAsia="仿宋" w:cs="仿宋"/>
          <w:b w:val="0"/>
          <w:color w:val="auto"/>
          <w:sz w:val="24"/>
          <w:highlight w:val="none"/>
          <w:u w:val="single"/>
        </w:rPr>
        <w:t xml:space="preserve">  </w:t>
      </w:r>
      <w:r>
        <w:rPr>
          <w:rFonts w:hint="eastAsia" w:ascii="仿宋" w:hAnsi="仿宋" w:eastAsia="仿宋" w:cs="仿宋"/>
          <w:b w:val="0"/>
          <w:color w:val="auto"/>
          <w:sz w:val="24"/>
          <w:highlight w:val="none"/>
        </w:rPr>
        <w:t>元。</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20.2 实现债权的费用承担：因任何一方违约致使相对方采取诉讼方式实现债权的，违约方应承担相对方为此支付的合理费用，包括但不限于诉讼费、律师费、差旅费等。</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20.3 承包人在合同期内，完成合同约定的全部工程，且质量合格，竣工验收后十五天内发包人返还给承包人全部与工期有关（或里程碑罚款）的违约处罚金(不包括利息)。</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20.4 与本合同有关的通知应以书面形式作出并直接送达有关方，或经电子邮件、专递方式送达有关方或其代表人（包括：发包人现场代表、承包人项目总负责人、总监理工程师）在本合同中注明的电子信箱或通信地址。除接受通知一方可另行证明，一方以电子邮件发出的通知应视为接受通知一方于通知发出当日收悉该通知，一方以专递方式发出的通知应视为接受通知一方于通知发出当日后第二个工作日收悉该通知。</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20.5 项目结余分成。项目结余分成条款不适用本合同。</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20.6 发包人与承包人的风险分担：</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20.6.1 发包人承担的风险包括：</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（1）发包人提出的工期或建设标准调整、设计变更、主要工艺标准、使用功能或者工程规模的调整；</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（2）因国家政策、法律法规、规范变化引起的工程费变化；</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（3）主要工程材料价格和招标时基价相比，波动幅度超过本合同约定幅度的部分；</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（4）难以预见的地质自然灾害、不可预知的地下溶洞、采空区或障碍物、有毒气体等重大地质变化，其损失与处置费由发包人承担；</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（5）保护周边建筑物、构筑物及地下设施等费用由发包人承担；</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（6）其他不可抗力所造成的工程费的增加。</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20.6.2 承包人承担的风险包括：</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（1）主要工程材料价格和预算编制时基价相比，波动幅度未超过本合同约定幅度的部分；</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（2）项目管理能力风险。因承包人组织、管理不当造成损失的，由承包人承担所造成的损失；</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（3）项目管理能力风险。因承包人组织、管理不当造成损失的，由承包人承担所造成的损失；</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（4）如遇到难以预见的地质自然灾害、不可预知的地下溶洞、采空区或障碍物、有毒气体等重大地质变化，因承包人施工组织、措施不当等造成的损失，其损失和处置费由承包人承担。</w:t>
      </w:r>
    </w:p>
    <w:p>
      <w:pPr>
        <w:spacing w:after="0"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20.7 专用条款未约定的条款均按本合同通用条款执行。</w:t>
      </w:r>
    </w:p>
    <w:p>
      <w:pPr>
        <w:pStyle w:val="5"/>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2"/>
        <w:rPr>
          <w:rStyle w:val="122"/>
          <w:rFonts w:hint="eastAsia" w:ascii="仿宋" w:hAnsi="仿宋" w:eastAsia="仿宋" w:cs="仿宋"/>
          <w:b w:val="0"/>
          <w:bCs/>
          <w:color w:val="auto"/>
          <w:sz w:val="28"/>
          <w:highlight w:val="none"/>
        </w:rPr>
      </w:pPr>
      <w:bookmarkStart w:id="1733" w:name="_Toc433988903"/>
      <w:bookmarkStart w:id="1734" w:name="_Toc16196"/>
      <w:r>
        <w:rPr>
          <w:rFonts w:hint="eastAsia" w:ascii="仿宋" w:hAnsi="仿宋" w:eastAsia="仿宋" w:cs="仿宋"/>
          <w:b w:val="0"/>
          <w:color w:val="auto"/>
          <w:sz w:val="24"/>
          <w:highlight w:val="none"/>
        </w:rPr>
        <w:br w:type="page"/>
      </w:r>
      <w:bookmarkStart w:id="1735" w:name="_Toc344535581"/>
      <w:bookmarkStart w:id="1736" w:name="_Toc1342310478"/>
      <w:bookmarkStart w:id="1737" w:name="_Toc2119173981"/>
      <w:bookmarkStart w:id="1738" w:name="_Toc1524948449"/>
      <w:bookmarkStart w:id="1739" w:name="_Toc930720838"/>
      <w:bookmarkStart w:id="1740" w:name="_Toc1985781882"/>
      <w:bookmarkStart w:id="1741" w:name="_Toc1306706255"/>
      <w:bookmarkStart w:id="1742" w:name="_Toc1726028315"/>
      <w:bookmarkStart w:id="1743" w:name="_Toc655753277"/>
      <w:bookmarkStart w:id="1744" w:name="_Toc1973207689"/>
      <w:r>
        <w:rPr>
          <w:rStyle w:val="122"/>
          <w:rFonts w:hint="eastAsia" w:ascii="仿宋" w:hAnsi="仿宋" w:eastAsia="仿宋" w:cs="仿宋"/>
          <w:b w:val="0"/>
          <w:bCs/>
          <w:color w:val="auto"/>
          <w:sz w:val="28"/>
          <w:highlight w:val="none"/>
        </w:rPr>
        <w:t>第四部分  合同附件</w:t>
      </w:r>
      <w:bookmarkEnd w:id="1733"/>
      <w:bookmarkEnd w:id="1734"/>
      <w:bookmarkEnd w:id="1735"/>
      <w:bookmarkEnd w:id="1736"/>
      <w:bookmarkEnd w:id="1737"/>
      <w:bookmarkEnd w:id="1738"/>
      <w:bookmarkEnd w:id="1739"/>
      <w:bookmarkEnd w:id="1740"/>
      <w:bookmarkEnd w:id="1741"/>
      <w:bookmarkEnd w:id="1742"/>
      <w:bookmarkEnd w:id="1743"/>
      <w:bookmarkEnd w:id="1744"/>
    </w:p>
    <w:p>
      <w:pPr>
        <w:pStyle w:val="4"/>
        <w:rPr>
          <w:rFonts w:hint="eastAsia" w:ascii="仿宋" w:hAnsi="仿宋" w:eastAsia="仿宋" w:cs="仿宋"/>
          <w:b w:val="0"/>
          <w:color w:val="auto"/>
          <w:sz w:val="28"/>
          <w:highlight w:val="none"/>
        </w:rPr>
      </w:pPr>
      <w:bookmarkStart w:id="1745" w:name="_Toc1738739045"/>
      <w:bookmarkStart w:id="1746" w:name="_Toc433988904"/>
      <w:bookmarkStart w:id="1747" w:name="_Toc419320410"/>
      <w:bookmarkStart w:id="1748" w:name="_Toc1148786529"/>
      <w:bookmarkStart w:id="1749" w:name="_Toc419363869"/>
      <w:bookmarkStart w:id="1750" w:name="_Toc940813172"/>
      <w:bookmarkStart w:id="1751" w:name="_Toc359250135"/>
      <w:bookmarkStart w:id="1752" w:name="_Toc419364533"/>
      <w:bookmarkStart w:id="1753" w:name="_Toc896492011"/>
      <w:bookmarkStart w:id="1754" w:name="_Toc419321446"/>
      <w:bookmarkStart w:id="1755" w:name="_Toc992732747"/>
      <w:bookmarkStart w:id="1756" w:name="_Toc21828"/>
      <w:bookmarkStart w:id="1757" w:name="_Toc1644253563"/>
      <w:bookmarkStart w:id="1758" w:name="_Toc993597555"/>
      <w:bookmarkStart w:id="1759" w:name="_Toc247514200"/>
      <w:bookmarkStart w:id="1760" w:name="_Toc152045769"/>
      <w:bookmarkStart w:id="1761" w:name="_Toc247527801"/>
      <w:bookmarkStart w:id="1762" w:name="_Toc389647392"/>
      <w:bookmarkStart w:id="1763" w:name="_Toc403896982"/>
      <w:bookmarkStart w:id="1764" w:name="_Toc152042551"/>
    </w:p>
    <w:p>
      <w:pPr>
        <w:pStyle w:val="4"/>
        <w:rPr>
          <w:rFonts w:hint="eastAsia" w:ascii="仿宋" w:hAnsi="仿宋" w:eastAsia="仿宋" w:cs="仿宋"/>
          <w:b w:val="0"/>
          <w:color w:val="auto"/>
          <w:sz w:val="28"/>
          <w:highlight w:val="none"/>
        </w:rPr>
      </w:pPr>
      <w:bookmarkStart w:id="1765" w:name="_Toc354239518"/>
      <w:bookmarkStart w:id="1766" w:name="_Toc111668402"/>
      <w:r>
        <w:rPr>
          <w:rFonts w:hint="eastAsia" w:ascii="仿宋" w:hAnsi="仿宋" w:eastAsia="仿宋" w:cs="仿宋"/>
          <w:b w:val="0"/>
          <w:color w:val="auto"/>
          <w:sz w:val="28"/>
          <w:highlight w:val="none"/>
        </w:rPr>
        <w:t>附件一：房屋建筑及市政工程主要材料设备清单</w:t>
      </w:r>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65"/>
      <w:bookmarkEnd w:id="1766"/>
    </w:p>
    <w:p>
      <w:pPr>
        <w:rPr>
          <w:rFonts w:hint="eastAsia" w:ascii="仿宋" w:hAnsi="仿宋" w:eastAsia="仿宋" w:cs="仿宋"/>
          <w:b w:val="0"/>
          <w:color w:val="auto"/>
          <w:sz w:val="24"/>
          <w:highlight w:val="none"/>
        </w:rPr>
      </w:pPr>
    </w:p>
    <w:p>
      <w:pPr>
        <w:ind w:firstLine="562"/>
        <w:rPr>
          <w:rFonts w:hint="eastAsia" w:ascii="仿宋" w:hAnsi="仿宋" w:eastAsia="仿宋" w:cs="仿宋"/>
          <w:b w:val="0"/>
          <w:color w:val="auto"/>
          <w:sz w:val="28"/>
          <w:highlight w:val="none"/>
        </w:rPr>
      </w:pPr>
      <w:r>
        <w:rPr>
          <w:rFonts w:hint="eastAsia" w:ascii="仿宋" w:hAnsi="仿宋" w:eastAsia="仿宋" w:cs="仿宋"/>
          <w:b w:val="0"/>
          <w:color w:val="auto"/>
          <w:sz w:val="28"/>
          <w:highlight w:val="none"/>
        </w:rPr>
        <w:t>1、房屋建筑工程主要材料设备清单</w:t>
      </w:r>
    </w:p>
    <w:tbl>
      <w:tblPr>
        <w:tblStyle w:val="48"/>
        <w:tblpPr w:leftFromText="180" w:rightFromText="180" w:vertAnchor="text" w:horzAnchor="page" w:tblpX="1759" w:tblpY="2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2350"/>
        <w:gridCol w:w="1673"/>
        <w:gridCol w:w="1674"/>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序号</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名称</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参考品牌</w:t>
            </w: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档次</w:t>
            </w: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36" w:type="dxa"/>
            <w:gridSpan w:val="5"/>
            <w:tcBorders>
              <w:top w:val="single" w:color="auto" w:sz="4" w:space="0"/>
              <w:left w:val="single" w:color="auto" w:sz="4" w:space="0"/>
              <w:bottom w:val="single" w:color="auto" w:sz="4" w:space="0"/>
              <w:right w:val="single" w:color="auto" w:sz="4" w:space="0"/>
            </w:tcBorders>
            <w:noWrap w:val="0"/>
            <w:vAlign w:val="center"/>
          </w:tcPr>
          <w:p>
            <w:pPr>
              <w:spacing w:after="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一、土建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2</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3</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4</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5</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6</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7</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36" w:type="dxa"/>
            <w:gridSpan w:val="5"/>
            <w:tcBorders>
              <w:top w:val="single" w:color="auto" w:sz="4" w:space="0"/>
              <w:left w:val="single" w:color="auto" w:sz="4" w:space="0"/>
              <w:bottom w:val="single" w:color="auto" w:sz="4" w:space="0"/>
              <w:right w:val="single" w:color="auto" w:sz="4" w:space="0"/>
            </w:tcBorders>
            <w:noWrap w:val="0"/>
            <w:vAlign w:val="center"/>
          </w:tcPr>
          <w:p>
            <w:pPr>
              <w:spacing w:after="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二、装饰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8</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9</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10</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11</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12</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13</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14</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15</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16</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17</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18</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19</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20</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36" w:type="dxa"/>
            <w:gridSpan w:val="5"/>
            <w:tcBorders>
              <w:top w:val="single" w:color="auto" w:sz="4" w:space="0"/>
              <w:left w:val="single" w:color="auto" w:sz="4" w:space="0"/>
              <w:bottom w:val="single" w:color="auto" w:sz="4" w:space="0"/>
              <w:right w:val="single" w:color="auto" w:sz="4" w:space="0"/>
            </w:tcBorders>
            <w:noWrap w:val="0"/>
            <w:vAlign w:val="center"/>
          </w:tcPr>
          <w:p>
            <w:pPr>
              <w:spacing w:after="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三、给排水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21</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22</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23</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24</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25</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26</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27</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36" w:type="dxa"/>
            <w:gridSpan w:val="5"/>
            <w:tcBorders>
              <w:top w:val="single" w:color="auto" w:sz="4" w:space="0"/>
              <w:left w:val="single" w:color="auto" w:sz="4" w:space="0"/>
              <w:bottom w:val="single" w:color="auto" w:sz="4" w:space="0"/>
              <w:right w:val="single" w:color="auto" w:sz="4" w:space="0"/>
            </w:tcBorders>
            <w:noWrap w:val="0"/>
            <w:vAlign w:val="center"/>
          </w:tcPr>
          <w:p>
            <w:pPr>
              <w:spacing w:after="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四、水消防系统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28</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29</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30</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31</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32</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33</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34</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35</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36</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37</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38</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36" w:type="dxa"/>
            <w:gridSpan w:val="5"/>
            <w:tcBorders>
              <w:top w:val="single" w:color="auto" w:sz="4" w:space="0"/>
              <w:left w:val="single" w:color="auto" w:sz="4" w:space="0"/>
              <w:bottom w:val="single" w:color="auto" w:sz="4" w:space="0"/>
              <w:right w:val="single" w:color="auto" w:sz="4" w:space="0"/>
            </w:tcBorders>
            <w:noWrap w:val="0"/>
            <w:vAlign w:val="center"/>
          </w:tcPr>
          <w:p>
            <w:pPr>
              <w:spacing w:after="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五、通风空调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40</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41</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42</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43</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44</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45</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46</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47</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48</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36" w:type="dxa"/>
            <w:gridSpan w:val="5"/>
            <w:tcBorders>
              <w:top w:val="single" w:color="auto" w:sz="4" w:space="0"/>
              <w:left w:val="single" w:color="auto" w:sz="4" w:space="0"/>
              <w:bottom w:val="single" w:color="auto" w:sz="4" w:space="0"/>
              <w:right w:val="single" w:color="auto" w:sz="4" w:space="0"/>
            </w:tcBorders>
            <w:noWrap w:val="0"/>
            <w:vAlign w:val="center"/>
          </w:tcPr>
          <w:p>
            <w:pPr>
              <w:spacing w:after="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六、强电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49</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50</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51</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52</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53</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54</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55</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56</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57</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58</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36" w:type="dxa"/>
            <w:gridSpan w:val="5"/>
            <w:tcBorders>
              <w:top w:val="single" w:color="auto" w:sz="4" w:space="0"/>
              <w:left w:val="single" w:color="auto" w:sz="4" w:space="0"/>
              <w:bottom w:val="single" w:color="auto" w:sz="4" w:space="0"/>
              <w:right w:val="single" w:color="auto" w:sz="4" w:space="0"/>
            </w:tcBorders>
            <w:noWrap w:val="0"/>
            <w:vAlign w:val="center"/>
          </w:tcPr>
          <w:p>
            <w:pPr>
              <w:spacing w:after="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七、电消防系统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59</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60</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61</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62</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63</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64</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65</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66</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67</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68</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36" w:type="dxa"/>
            <w:gridSpan w:val="5"/>
            <w:tcBorders>
              <w:top w:val="single" w:color="auto" w:sz="4" w:space="0"/>
              <w:left w:val="single" w:color="auto" w:sz="4" w:space="0"/>
              <w:bottom w:val="single" w:color="auto" w:sz="4" w:space="0"/>
              <w:right w:val="single" w:color="auto" w:sz="4" w:space="0"/>
            </w:tcBorders>
            <w:noWrap w:val="0"/>
            <w:vAlign w:val="center"/>
          </w:tcPr>
          <w:p>
            <w:pPr>
              <w:spacing w:after="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八、安全防范系统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69</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70</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36" w:type="dxa"/>
            <w:gridSpan w:val="5"/>
            <w:tcBorders>
              <w:top w:val="single" w:color="auto" w:sz="4" w:space="0"/>
              <w:left w:val="single" w:color="auto" w:sz="4" w:space="0"/>
              <w:bottom w:val="single" w:color="auto" w:sz="4" w:space="0"/>
              <w:right w:val="single" w:color="auto" w:sz="4" w:space="0"/>
            </w:tcBorders>
            <w:noWrap w:val="0"/>
            <w:vAlign w:val="center"/>
          </w:tcPr>
          <w:p>
            <w:pPr>
              <w:spacing w:after="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九、大宗设备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71</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72</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bl>
    <w:p>
      <w:pPr>
        <w:ind w:firstLine="420"/>
        <w:rPr>
          <w:rFonts w:hint="eastAsia" w:ascii="仿宋" w:hAnsi="仿宋" w:eastAsia="仿宋" w:cs="仿宋"/>
          <w:b w:val="0"/>
          <w:color w:val="auto"/>
          <w:sz w:val="24"/>
          <w:highlight w:val="none"/>
        </w:rPr>
      </w:pPr>
    </w:p>
    <w:p>
      <w:pPr>
        <w:ind w:firstLine="562"/>
        <w:rPr>
          <w:rFonts w:hint="eastAsia" w:ascii="仿宋" w:hAnsi="仿宋" w:eastAsia="仿宋" w:cs="仿宋"/>
          <w:b w:val="0"/>
          <w:color w:val="auto"/>
          <w:sz w:val="28"/>
          <w:highlight w:val="none"/>
        </w:rPr>
      </w:pPr>
      <w:r>
        <w:rPr>
          <w:rFonts w:hint="eastAsia" w:ascii="仿宋" w:hAnsi="仿宋" w:eastAsia="仿宋" w:cs="仿宋"/>
          <w:b w:val="0"/>
          <w:color w:val="auto"/>
          <w:sz w:val="28"/>
          <w:highlight w:val="none"/>
        </w:rPr>
        <w:t>（根据项目实际情况调整填入上表）</w:t>
      </w:r>
    </w:p>
    <w:p>
      <w:pPr>
        <w:ind w:firstLine="562"/>
        <w:rPr>
          <w:rFonts w:hint="eastAsia" w:ascii="仿宋" w:hAnsi="仿宋" w:eastAsia="仿宋" w:cs="仿宋"/>
          <w:b w:val="0"/>
          <w:color w:val="auto"/>
          <w:sz w:val="28"/>
          <w:highlight w:val="none"/>
        </w:rPr>
        <w:sectPr>
          <w:pgSz w:w="11906" w:h="16838"/>
          <w:pgMar w:top="1134" w:right="1134" w:bottom="1134" w:left="1134" w:header="851" w:footer="850" w:gutter="0"/>
          <w:pgBorders>
            <w:top w:val="none" w:sz="0" w:space="0"/>
            <w:left w:val="none" w:sz="0" w:space="0"/>
            <w:bottom w:val="none" w:sz="0" w:space="0"/>
            <w:right w:val="none" w:sz="0" w:space="0"/>
          </w:pgBorders>
          <w:lnNumType w:countBy="0" w:distance="360"/>
          <w:pgNumType w:fmt="decimal"/>
          <w:cols w:space="720" w:num="1"/>
          <w:docGrid w:linePitch="312" w:charSpace="0"/>
        </w:sectPr>
      </w:pPr>
    </w:p>
    <w:p>
      <w:pPr>
        <w:ind w:firstLine="562"/>
        <w:rPr>
          <w:rFonts w:hint="eastAsia" w:ascii="仿宋" w:hAnsi="仿宋" w:eastAsia="仿宋" w:cs="仿宋"/>
          <w:b w:val="0"/>
          <w:color w:val="auto"/>
          <w:sz w:val="28"/>
          <w:highlight w:val="none"/>
        </w:rPr>
      </w:pPr>
    </w:p>
    <w:p>
      <w:pPr>
        <w:numPr>
          <w:ilvl w:val="0"/>
          <w:numId w:val="7"/>
        </w:numPr>
        <w:ind w:firstLine="562"/>
        <w:rPr>
          <w:rFonts w:hint="eastAsia" w:ascii="仿宋" w:hAnsi="仿宋" w:eastAsia="仿宋" w:cs="仿宋"/>
          <w:b w:val="0"/>
          <w:color w:val="auto"/>
          <w:sz w:val="28"/>
          <w:highlight w:val="none"/>
        </w:rPr>
      </w:pPr>
      <w:r>
        <w:rPr>
          <w:rFonts w:hint="eastAsia" w:ascii="仿宋" w:hAnsi="仿宋" w:eastAsia="仿宋" w:cs="仿宋"/>
          <w:b w:val="0"/>
          <w:color w:val="auto"/>
          <w:sz w:val="28"/>
          <w:highlight w:val="none"/>
        </w:rPr>
        <w:t>市政工程主要材料设备清单</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2350"/>
        <w:gridCol w:w="1673"/>
        <w:gridCol w:w="1674"/>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序号</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名称</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参考品牌</w:t>
            </w: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档次</w:t>
            </w: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2</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3</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4</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5</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6</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7</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8</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9</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10</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11</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12</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13</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仿宋"/>
                <w:b w:val="0"/>
                <w:color w:val="auto"/>
                <w:sz w:val="24"/>
                <w:highlight w:val="none"/>
              </w:rPr>
            </w:pPr>
          </w:p>
        </w:tc>
      </w:tr>
    </w:tbl>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 xml:space="preserve">                                               </w:t>
      </w:r>
    </w:p>
    <w:p>
      <w:pPr>
        <w:ind w:firstLine="562"/>
        <w:rPr>
          <w:rFonts w:hint="eastAsia" w:ascii="仿宋" w:hAnsi="仿宋" w:eastAsia="仿宋" w:cs="仿宋"/>
          <w:b w:val="0"/>
          <w:color w:val="auto"/>
          <w:sz w:val="28"/>
          <w:highlight w:val="none"/>
        </w:rPr>
      </w:pPr>
      <w:r>
        <w:rPr>
          <w:rFonts w:hint="eastAsia" w:ascii="仿宋" w:hAnsi="仿宋" w:eastAsia="仿宋" w:cs="仿宋"/>
          <w:b w:val="0"/>
          <w:color w:val="auto"/>
          <w:sz w:val="28"/>
          <w:highlight w:val="none"/>
        </w:rPr>
        <w:t>（根据项目实际情况调整填入上表）</w:t>
      </w:r>
    </w:p>
    <w:p>
      <w:pPr>
        <w:pStyle w:val="4"/>
        <w:rPr>
          <w:rFonts w:hint="eastAsia" w:ascii="仿宋" w:hAnsi="仿宋" w:eastAsia="仿宋" w:cs="仿宋"/>
          <w:b w:val="0"/>
          <w:color w:val="auto"/>
          <w:sz w:val="28"/>
          <w:highlight w:val="none"/>
        </w:rPr>
      </w:pPr>
      <w:r>
        <w:rPr>
          <w:rFonts w:hint="eastAsia" w:ascii="仿宋" w:hAnsi="仿宋" w:eastAsia="仿宋" w:cs="仿宋"/>
          <w:b w:val="0"/>
          <w:color w:val="auto"/>
          <w:sz w:val="28"/>
          <w:highlight w:val="none"/>
        </w:rPr>
        <w:br w:type="page"/>
      </w:r>
      <w:bookmarkStart w:id="1767" w:name="_Toc561267813"/>
      <w:bookmarkStart w:id="1768" w:name="_Toc21664"/>
      <w:bookmarkStart w:id="1769" w:name="_Toc595961525"/>
      <w:bookmarkStart w:id="1770" w:name="_Toc433988905"/>
      <w:bookmarkStart w:id="1771" w:name="_Toc1058825286"/>
      <w:bookmarkStart w:id="1772" w:name="_Toc1340487228"/>
      <w:bookmarkStart w:id="1773" w:name="_Toc2057608583"/>
      <w:bookmarkStart w:id="1774" w:name="_Toc419321447"/>
      <w:bookmarkStart w:id="1775" w:name="_Toc1150063745"/>
      <w:bookmarkStart w:id="1776" w:name="_Toc419364534"/>
      <w:bookmarkStart w:id="1777" w:name="_Toc29660939"/>
      <w:bookmarkStart w:id="1778" w:name="_Toc878909542"/>
      <w:bookmarkStart w:id="1779" w:name="_Toc324888943"/>
      <w:bookmarkStart w:id="1780" w:name="_Toc419363870"/>
      <w:bookmarkStart w:id="1781" w:name="_Toc419320411"/>
      <w:bookmarkStart w:id="1782" w:name="_Toc1777206373"/>
      <w:r>
        <w:rPr>
          <w:rFonts w:hint="eastAsia" w:ascii="仿宋" w:hAnsi="仿宋" w:eastAsia="仿宋" w:cs="仿宋"/>
          <w:b w:val="0"/>
          <w:color w:val="auto"/>
          <w:sz w:val="28"/>
          <w:highlight w:val="none"/>
        </w:rPr>
        <w:t>附件二：履约担保格式</w:t>
      </w:r>
      <w:bookmarkEnd w:id="1759"/>
      <w:bookmarkEnd w:id="1760"/>
      <w:bookmarkEnd w:id="1761"/>
      <w:bookmarkEnd w:id="1762"/>
      <w:bookmarkEnd w:id="1763"/>
      <w:bookmarkEnd w:id="1764"/>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p>
    <w:p>
      <w:pPr>
        <w:spacing w:line="440" w:lineRule="exact"/>
        <w:jc w:val="center"/>
        <w:rPr>
          <w:rFonts w:hint="eastAsia" w:ascii="仿宋" w:hAnsi="仿宋" w:eastAsia="仿宋" w:cs="仿宋"/>
          <w:b w:val="0"/>
          <w:color w:val="auto"/>
          <w:sz w:val="28"/>
          <w:highlight w:val="none"/>
        </w:rPr>
      </w:pPr>
      <w:r>
        <w:rPr>
          <w:rFonts w:hint="eastAsia" w:ascii="仿宋" w:hAnsi="仿宋" w:eastAsia="仿宋" w:cs="仿宋"/>
          <w:b w:val="0"/>
          <w:color w:val="auto"/>
          <w:sz w:val="28"/>
          <w:highlight w:val="none"/>
        </w:rPr>
        <w:t>履约担保</w:t>
      </w:r>
    </w:p>
    <w:p>
      <w:pPr>
        <w:spacing w:line="440" w:lineRule="exact"/>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u w:val="single"/>
        </w:rPr>
        <w:t xml:space="preserve">              </w:t>
      </w:r>
      <w:r>
        <w:rPr>
          <w:rFonts w:hint="eastAsia" w:ascii="仿宋" w:hAnsi="仿宋" w:eastAsia="仿宋" w:cs="仿宋"/>
          <w:b w:val="0"/>
          <w:color w:val="auto"/>
          <w:sz w:val="24"/>
          <w:highlight w:val="none"/>
        </w:rPr>
        <w:t>（发包人名称）：</w:t>
      </w:r>
    </w:p>
    <w:p>
      <w:pPr>
        <w:spacing w:line="440" w:lineRule="exact"/>
        <w:ind w:firstLine="420"/>
        <w:rPr>
          <w:rFonts w:hint="eastAsia" w:ascii="仿宋" w:hAnsi="仿宋" w:eastAsia="仿宋" w:cs="仿宋"/>
          <w:b w:val="0"/>
          <w:color w:val="auto"/>
          <w:sz w:val="24"/>
          <w:highlight w:val="none"/>
        </w:rPr>
      </w:pPr>
    </w:p>
    <w:p>
      <w:pPr>
        <w:spacing w:line="440" w:lineRule="exact"/>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鉴于</w:t>
      </w:r>
      <w:r>
        <w:rPr>
          <w:rFonts w:hint="eastAsia" w:ascii="仿宋" w:hAnsi="仿宋" w:eastAsia="仿宋" w:cs="仿宋"/>
          <w:b w:val="0"/>
          <w:color w:val="auto"/>
          <w:sz w:val="24"/>
          <w:highlight w:val="none"/>
          <w:u w:val="single"/>
        </w:rPr>
        <w:t xml:space="preserve">                </w:t>
      </w:r>
      <w:r>
        <w:rPr>
          <w:rFonts w:hint="eastAsia" w:ascii="仿宋" w:hAnsi="仿宋" w:eastAsia="仿宋" w:cs="仿宋"/>
          <w:b w:val="0"/>
          <w:color w:val="auto"/>
          <w:sz w:val="24"/>
          <w:highlight w:val="none"/>
        </w:rPr>
        <w:t xml:space="preserve">（发包人名称，以下简称“发包人”）接受 </w:t>
      </w:r>
      <w:r>
        <w:rPr>
          <w:rFonts w:hint="eastAsia" w:ascii="仿宋" w:hAnsi="仿宋" w:eastAsia="仿宋" w:cs="仿宋"/>
          <w:b w:val="0"/>
          <w:color w:val="auto"/>
          <w:sz w:val="24"/>
          <w:highlight w:val="none"/>
          <w:u w:val="single"/>
        </w:rPr>
        <w:t xml:space="preserve">      </w:t>
      </w:r>
      <w:r>
        <w:rPr>
          <w:rFonts w:hint="eastAsia" w:ascii="仿宋" w:hAnsi="仿宋" w:eastAsia="仿宋" w:cs="仿宋"/>
          <w:b w:val="0"/>
          <w:color w:val="auto"/>
          <w:sz w:val="24"/>
          <w:highlight w:val="none"/>
        </w:rPr>
        <w:t>（承包人名称，以下称“承包人”）于</w:t>
      </w:r>
      <w:r>
        <w:rPr>
          <w:rFonts w:hint="eastAsia" w:ascii="仿宋" w:hAnsi="仿宋" w:eastAsia="仿宋" w:cs="仿宋"/>
          <w:b w:val="0"/>
          <w:color w:val="auto"/>
          <w:sz w:val="24"/>
          <w:highlight w:val="none"/>
          <w:u w:val="single"/>
        </w:rPr>
        <w:t xml:space="preserve">    </w:t>
      </w:r>
      <w:r>
        <w:rPr>
          <w:rFonts w:hint="eastAsia" w:ascii="仿宋" w:hAnsi="仿宋" w:eastAsia="仿宋" w:cs="仿宋"/>
          <w:b w:val="0"/>
          <w:color w:val="auto"/>
          <w:sz w:val="24"/>
          <w:highlight w:val="none"/>
        </w:rPr>
        <w:t>年</w:t>
      </w:r>
      <w:r>
        <w:rPr>
          <w:rFonts w:hint="eastAsia" w:ascii="仿宋" w:hAnsi="仿宋" w:eastAsia="仿宋" w:cs="仿宋"/>
          <w:b w:val="0"/>
          <w:color w:val="auto"/>
          <w:sz w:val="24"/>
          <w:highlight w:val="none"/>
          <w:u w:val="single"/>
        </w:rPr>
        <w:t xml:space="preserve">   </w:t>
      </w:r>
      <w:r>
        <w:rPr>
          <w:rFonts w:hint="eastAsia" w:ascii="仿宋" w:hAnsi="仿宋" w:eastAsia="仿宋" w:cs="仿宋"/>
          <w:b w:val="0"/>
          <w:color w:val="auto"/>
          <w:sz w:val="24"/>
          <w:highlight w:val="none"/>
        </w:rPr>
        <w:t>月</w:t>
      </w:r>
      <w:r>
        <w:rPr>
          <w:rFonts w:hint="eastAsia" w:ascii="仿宋" w:hAnsi="仿宋" w:eastAsia="仿宋" w:cs="仿宋"/>
          <w:b w:val="0"/>
          <w:color w:val="auto"/>
          <w:sz w:val="24"/>
          <w:highlight w:val="none"/>
          <w:u w:val="single"/>
        </w:rPr>
        <w:t xml:space="preserve">   </w:t>
      </w:r>
      <w:r>
        <w:rPr>
          <w:rFonts w:hint="eastAsia" w:ascii="仿宋" w:hAnsi="仿宋" w:eastAsia="仿宋" w:cs="仿宋"/>
          <w:b w:val="0"/>
          <w:color w:val="auto"/>
          <w:sz w:val="24"/>
          <w:highlight w:val="none"/>
        </w:rPr>
        <w:t>日参加</w:t>
      </w:r>
      <w:r>
        <w:rPr>
          <w:rFonts w:hint="eastAsia" w:ascii="仿宋" w:hAnsi="仿宋" w:eastAsia="仿宋" w:cs="仿宋"/>
          <w:b w:val="0"/>
          <w:color w:val="auto"/>
          <w:sz w:val="24"/>
          <w:highlight w:val="none"/>
          <w:u w:val="single"/>
        </w:rPr>
        <w:t xml:space="preserve">         </w:t>
      </w:r>
      <w:r>
        <w:rPr>
          <w:rFonts w:hint="eastAsia" w:ascii="仿宋" w:hAnsi="仿宋" w:eastAsia="仿宋" w:cs="仿宋"/>
          <w:b w:val="0"/>
          <w:color w:val="auto"/>
          <w:sz w:val="24"/>
          <w:highlight w:val="none"/>
        </w:rPr>
        <w:t xml:space="preserve">（项目名称）的投标。我方愿意就承包人履行与你方订立的合同，向你方提供担保。 </w:t>
      </w:r>
    </w:p>
    <w:p>
      <w:pPr>
        <w:spacing w:line="440" w:lineRule="exact"/>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 担保金额人民币（大写）</w:t>
      </w:r>
      <w:r>
        <w:rPr>
          <w:rFonts w:hint="eastAsia" w:ascii="仿宋" w:hAnsi="仿宋" w:eastAsia="仿宋" w:cs="仿宋"/>
          <w:b w:val="0"/>
          <w:color w:val="auto"/>
          <w:sz w:val="24"/>
          <w:highlight w:val="none"/>
          <w:u w:val="single"/>
        </w:rPr>
        <w:t xml:space="preserve">                </w:t>
      </w:r>
      <w:r>
        <w:rPr>
          <w:rFonts w:hint="eastAsia" w:ascii="仿宋" w:hAnsi="仿宋" w:eastAsia="仿宋" w:cs="仿宋"/>
          <w:b w:val="0"/>
          <w:color w:val="auto"/>
          <w:sz w:val="24"/>
          <w:highlight w:val="none"/>
        </w:rPr>
        <w:t xml:space="preserve">（¥ </w:t>
      </w:r>
      <w:r>
        <w:rPr>
          <w:rFonts w:hint="eastAsia" w:ascii="仿宋" w:hAnsi="仿宋" w:eastAsia="仿宋" w:cs="仿宋"/>
          <w:b w:val="0"/>
          <w:color w:val="auto"/>
          <w:sz w:val="24"/>
          <w:highlight w:val="none"/>
          <w:u w:val="single"/>
        </w:rPr>
        <w:t xml:space="preserve">            </w:t>
      </w:r>
      <w:r>
        <w:rPr>
          <w:rFonts w:hint="eastAsia" w:ascii="仿宋" w:hAnsi="仿宋" w:eastAsia="仿宋" w:cs="仿宋"/>
          <w:b w:val="0"/>
          <w:color w:val="auto"/>
          <w:sz w:val="24"/>
          <w:highlight w:val="none"/>
        </w:rPr>
        <w:t>）。</w:t>
      </w:r>
    </w:p>
    <w:p>
      <w:pPr>
        <w:spacing w:line="440" w:lineRule="exact"/>
        <w:ind w:firstLine="420"/>
        <w:rPr>
          <w:rFonts w:hint="eastAsia" w:ascii="仿宋" w:hAnsi="仿宋" w:eastAsia="仿宋" w:cs="仿宋"/>
          <w:b w:val="0"/>
          <w:color w:val="auto"/>
          <w:sz w:val="24"/>
          <w:highlight w:val="none"/>
        </w:rPr>
      </w:pPr>
      <w:bookmarkStart w:id="1783" w:name="_Toc419363871"/>
      <w:r>
        <w:rPr>
          <w:rFonts w:hint="eastAsia" w:ascii="仿宋" w:hAnsi="仿宋" w:eastAsia="仿宋" w:cs="仿宋"/>
          <w:b w:val="0"/>
          <w:color w:val="auto"/>
          <w:sz w:val="24"/>
          <w:highlight w:val="none"/>
        </w:rPr>
        <w:t>2. 担保有效期自发包人与承包人签订的合同生效之日起至发包人签发工程接收证书之日止。</w:t>
      </w:r>
      <w:bookmarkEnd w:id="1783"/>
    </w:p>
    <w:p>
      <w:pPr>
        <w:spacing w:line="440" w:lineRule="exact"/>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3. 担保有效期自发包人与承包人签订的合同生效之日起至承包人通过竣工后试验之日止。</w:t>
      </w:r>
    </w:p>
    <w:p>
      <w:pPr>
        <w:spacing w:line="440" w:lineRule="exact"/>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4. 在本担保有效期内，因承包人违反合同约定的义务给你方造成经济损失时，我方在收到你方以书面形式提出的在担保金额内的赔偿要求后，在7天内支付。</w:t>
      </w:r>
    </w:p>
    <w:p>
      <w:pPr>
        <w:spacing w:line="440" w:lineRule="exact"/>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5. 发包人和承包人按《通用合同条款》第13条变更合同时，我方承担本担保规定的义务不变。</w:t>
      </w:r>
    </w:p>
    <w:p>
      <w:pPr>
        <w:spacing w:line="600" w:lineRule="exact"/>
        <w:ind w:firstLine="3907" w:firstLineChars="1628"/>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担 保 人：</w:t>
      </w:r>
      <w:r>
        <w:rPr>
          <w:rFonts w:hint="eastAsia" w:ascii="仿宋" w:hAnsi="仿宋" w:eastAsia="仿宋" w:cs="仿宋"/>
          <w:b w:val="0"/>
          <w:color w:val="auto"/>
          <w:sz w:val="24"/>
          <w:highlight w:val="none"/>
          <w:u w:val="single"/>
        </w:rPr>
        <w:t xml:space="preserve">                        </w:t>
      </w:r>
      <w:r>
        <w:rPr>
          <w:rFonts w:hint="eastAsia" w:ascii="仿宋" w:hAnsi="仿宋" w:eastAsia="仿宋" w:cs="仿宋"/>
          <w:b w:val="0"/>
          <w:color w:val="auto"/>
          <w:sz w:val="24"/>
          <w:highlight w:val="none"/>
        </w:rPr>
        <w:t>（盖单位章）</w:t>
      </w:r>
    </w:p>
    <w:p>
      <w:pPr>
        <w:spacing w:line="600" w:lineRule="exact"/>
        <w:ind w:firstLine="3907" w:firstLineChars="1628"/>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法定代表人：</w:t>
      </w:r>
      <w:r>
        <w:rPr>
          <w:rFonts w:hint="eastAsia" w:ascii="仿宋" w:hAnsi="仿宋" w:eastAsia="仿宋" w:cs="仿宋"/>
          <w:b w:val="0"/>
          <w:color w:val="auto"/>
          <w:sz w:val="24"/>
          <w:highlight w:val="none"/>
          <w:u w:val="single"/>
        </w:rPr>
        <w:t xml:space="preserve">                    </w:t>
      </w:r>
      <w:r>
        <w:rPr>
          <w:rFonts w:hint="eastAsia" w:ascii="仿宋" w:hAnsi="仿宋" w:eastAsia="仿宋" w:cs="仿宋"/>
          <w:b w:val="0"/>
          <w:color w:val="auto"/>
          <w:sz w:val="24"/>
          <w:highlight w:val="none"/>
        </w:rPr>
        <w:t>（签字或盖章）</w:t>
      </w:r>
    </w:p>
    <w:p>
      <w:pPr>
        <w:spacing w:line="600" w:lineRule="exact"/>
        <w:ind w:firstLine="3907" w:firstLineChars="1628"/>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地    址：</w:t>
      </w:r>
      <w:r>
        <w:rPr>
          <w:rFonts w:hint="eastAsia" w:ascii="仿宋" w:hAnsi="仿宋" w:eastAsia="仿宋" w:cs="仿宋"/>
          <w:b w:val="0"/>
          <w:color w:val="auto"/>
          <w:sz w:val="24"/>
          <w:highlight w:val="none"/>
          <w:u w:val="single"/>
        </w:rPr>
        <w:t xml:space="preserve">                                   </w:t>
      </w:r>
    </w:p>
    <w:p>
      <w:pPr>
        <w:spacing w:line="600" w:lineRule="exact"/>
        <w:ind w:firstLine="3907" w:firstLineChars="1628"/>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邮政编码：</w:t>
      </w:r>
      <w:r>
        <w:rPr>
          <w:rFonts w:hint="eastAsia" w:ascii="仿宋" w:hAnsi="仿宋" w:eastAsia="仿宋" w:cs="仿宋"/>
          <w:b w:val="0"/>
          <w:color w:val="auto"/>
          <w:sz w:val="24"/>
          <w:highlight w:val="none"/>
          <w:u w:val="single"/>
        </w:rPr>
        <w:t xml:space="preserve">                                   </w:t>
      </w:r>
    </w:p>
    <w:p>
      <w:pPr>
        <w:spacing w:line="600" w:lineRule="exact"/>
        <w:ind w:firstLine="3907" w:firstLineChars="1628"/>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电    话：</w:t>
      </w:r>
      <w:r>
        <w:rPr>
          <w:rFonts w:hint="eastAsia" w:ascii="仿宋" w:hAnsi="仿宋" w:eastAsia="仿宋" w:cs="仿宋"/>
          <w:b w:val="0"/>
          <w:color w:val="auto"/>
          <w:sz w:val="24"/>
          <w:highlight w:val="none"/>
          <w:u w:val="single"/>
        </w:rPr>
        <w:t xml:space="preserve">                                   </w:t>
      </w:r>
    </w:p>
    <w:p>
      <w:pPr>
        <w:spacing w:line="600" w:lineRule="exact"/>
        <w:ind w:firstLine="4867" w:firstLineChars="2028"/>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 xml:space="preserve">           年     月     日</w:t>
      </w:r>
    </w:p>
    <w:p>
      <w:pPr>
        <w:pStyle w:val="4"/>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br w:type="page"/>
      </w:r>
      <w:bookmarkStart w:id="1784" w:name="_Toc1627082760"/>
      <w:bookmarkStart w:id="1785" w:name="_Toc419364535"/>
      <w:bookmarkStart w:id="1786" w:name="_Toc1505034327"/>
      <w:bookmarkStart w:id="1787" w:name="_Toc419321448"/>
      <w:bookmarkStart w:id="1788" w:name="_Toc461621067"/>
      <w:bookmarkStart w:id="1789" w:name="_Toc1479955467"/>
      <w:bookmarkStart w:id="1790" w:name="_Toc618"/>
      <w:bookmarkStart w:id="1791" w:name="_Toc389647394"/>
      <w:bookmarkStart w:id="1792" w:name="_Toc295195669"/>
      <w:bookmarkStart w:id="1793" w:name="_Toc157464888"/>
      <w:bookmarkStart w:id="1794" w:name="_Toc419320412"/>
      <w:bookmarkStart w:id="1795" w:name="_Toc403896984"/>
      <w:bookmarkStart w:id="1796" w:name="_Toc419363872"/>
      <w:bookmarkStart w:id="1797" w:name="_Toc1440148328"/>
      <w:bookmarkStart w:id="1798" w:name="_Toc1768539215"/>
      <w:bookmarkStart w:id="1799" w:name="_Toc433988906"/>
      <w:bookmarkStart w:id="1800" w:name="_Toc1298286840"/>
      <w:bookmarkStart w:id="1801" w:name="_Toc317900319"/>
      <w:r>
        <w:rPr>
          <w:rFonts w:hint="eastAsia" w:ascii="仿宋" w:hAnsi="仿宋" w:eastAsia="仿宋" w:cs="仿宋"/>
          <w:b w:val="0"/>
          <w:color w:val="auto"/>
          <w:sz w:val="28"/>
          <w:highlight w:val="none"/>
        </w:rPr>
        <w:t>附件三：工程质量保修书</w:t>
      </w:r>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p>
    <w:p>
      <w:pPr>
        <w:jc w:val="center"/>
        <w:rPr>
          <w:rFonts w:hint="eastAsia" w:ascii="仿宋" w:hAnsi="仿宋" w:eastAsia="仿宋" w:cs="仿宋"/>
          <w:b w:val="0"/>
          <w:color w:val="auto"/>
          <w:sz w:val="28"/>
          <w:highlight w:val="none"/>
        </w:rPr>
      </w:pPr>
      <w:r>
        <w:rPr>
          <w:rFonts w:hint="eastAsia" w:ascii="仿宋" w:hAnsi="仿宋" w:eastAsia="仿宋" w:cs="仿宋"/>
          <w:b w:val="0"/>
          <w:color w:val="auto"/>
          <w:sz w:val="28"/>
          <w:highlight w:val="none"/>
        </w:rPr>
        <w:t>工程质量保修书</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发包人(全称)：</w:t>
      </w:r>
      <w:r>
        <w:rPr>
          <w:rFonts w:hint="eastAsia" w:ascii="仿宋" w:hAnsi="仿宋" w:eastAsia="仿宋" w:cs="仿宋"/>
          <w:b w:val="0"/>
          <w:color w:val="auto"/>
          <w:sz w:val="24"/>
          <w:highlight w:val="none"/>
          <w:u w:val="single"/>
        </w:rPr>
        <w:t xml:space="preserve">                                </w:t>
      </w:r>
    </w:p>
    <w:p>
      <w:pPr>
        <w:ind w:firstLine="42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rPr>
        <w:t>承包人(全称)：</w:t>
      </w:r>
      <w:r>
        <w:rPr>
          <w:rFonts w:hint="eastAsia" w:ascii="仿宋" w:hAnsi="仿宋" w:eastAsia="仿宋" w:cs="仿宋"/>
          <w:b w:val="0"/>
          <w:color w:val="auto"/>
          <w:sz w:val="24"/>
          <w:highlight w:val="none"/>
          <w:u w:val="single"/>
        </w:rPr>
        <w:t>（联合体牵头人）、（联合体成员）</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为保证</w:t>
      </w:r>
      <w:r>
        <w:rPr>
          <w:rFonts w:hint="eastAsia" w:ascii="仿宋" w:hAnsi="仿宋" w:eastAsia="仿宋" w:cs="仿宋"/>
          <w:b w:val="0"/>
          <w:color w:val="auto"/>
          <w:sz w:val="24"/>
          <w:highlight w:val="none"/>
          <w:u w:val="single"/>
        </w:rPr>
        <w:t xml:space="preserve">       </w:t>
      </w:r>
      <w:r>
        <w:rPr>
          <w:rFonts w:hint="eastAsia" w:ascii="仿宋" w:hAnsi="仿宋" w:eastAsia="仿宋" w:cs="仿宋"/>
          <w:b w:val="0"/>
          <w:color w:val="auto"/>
          <w:sz w:val="24"/>
          <w:highlight w:val="none"/>
        </w:rPr>
        <w:t>在合理使用期限内正常使用，发包人和承包人协商一致签订工程质量保修书。承包人在质量保修期内按照有关管理规定及双方约定承担工程质量保修责任。</w:t>
      </w:r>
    </w:p>
    <w:p>
      <w:pPr>
        <w:ind w:firstLine="420"/>
        <w:rPr>
          <w:rFonts w:hint="eastAsia" w:ascii="仿宋" w:hAnsi="仿宋" w:eastAsia="仿宋" w:cs="仿宋"/>
          <w:b w:val="0"/>
          <w:color w:val="auto"/>
          <w:sz w:val="24"/>
          <w:highlight w:val="none"/>
        </w:rPr>
      </w:pPr>
      <w:bookmarkStart w:id="1802" w:name="_Toc419363873"/>
      <w:r>
        <w:rPr>
          <w:rFonts w:hint="eastAsia" w:ascii="仿宋" w:hAnsi="仿宋" w:eastAsia="仿宋" w:cs="仿宋"/>
          <w:b w:val="0"/>
          <w:color w:val="auto"/>
          <w:sz w:val="24"/>
          <w:highlight w:val="none"/>
        </w:rPr>
        <w:t>一、工程质量保修范围和内容</w:t>
      </w:r>
      <w:bookmarkEnd w:id="1802"/>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质量保修范围包括合同及施工图纸所包括的工程。具体质量保修内容双方约定如下：</w:t>
      </w:r>
      <w:r>
        <w:rPr>
          <w:rFonts w:hint="eastAsia" w:ascii="仿宋" w:hAnsi="仿宋" w:eastAsia="仿宋" w:cs="仿宋"/>
          <w:b w:val="0"/>
          <w:color w:val="auto"/>
          <w:sz w:val="24"/>
          <w:highlight w:val="none"/>
          <w:u w:val="single"/>
        </w:rPr>
        <w:t>在承包人承包范围内，属承包人责任造成的工程质量问题，由承包人承担保修责任。</w:t>
      </w:r>
    </w:p>
    <w:p>
      <w:pPr>
        <w:ind w:firstLine="420"/>
        <w:rPr>
          <w:rFonts w:hint="eastAsia" w:ascii="仿宋" w:hAnsi="仿宋" w:eastAsia="仿宋" w:cs="仿宋"/>
          <w:b w:val="0"/>
          <w:color w:val="auto"/>
          <w:sz w:val="24"/>
          <w:highlight w:val="none"/>
        </w:rPr>
      </w:pPr>
      <w:bookmarkStart w:id="1803" w:name="_Toc419363874"/>
      <w:r>
        <w:rPr>
          <w:rFonts w:hint="eastAsia" w:ascii="仿宋" w:hAnsi="仿宋" w:eastAsia="仿宋" w:cs="仿宋"/>
          <w:b w:val="0"/>
          <w:color w:val="auto"/>
          <w:sz w:val="24"/>
          <w:highlight w:val="none"/>
        </w:rPr>
        <w:t>二、质量保修期</w:t>
      </w:r>
      <w:bookmarkEnd w:id="1803"/>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1．双方根据《建设工程质量管理条例》及有关规定，约定本工程的质量保修期如下：</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地基基础工程和主体结构工程为设计文件规定的该工程合理使用年限；</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屋面防水工程、有防水要求的卫生间、房间和外墙面的防渗漏为</w:t>
      </w:r>
      <w:r>
        <w:rPr>
          <w:rFonts w:hint="eastAsia" w:ascii="仿宋" w:hAnsi="仿宋" w:eastAsia="仿宋" w:cs="仿宋"/>
          <w:b w:val="0"/>
          <w:color w:val="auto"/>
          <w:sz w:val="24"/>
          <w:highlight w:val="none"/>
          <w:u w:val="single"/>
        </w:rPr>
        <w:t xml:space="preserve">5  </w:t>
      </w:r>
      <w:r>
        <w:rPr>
          <w:rFonts w:hint="eastAsia" w:ascii="仿宋" w:hAnsi="仿宋" w:eastAsia="仿宋" w:cs="仿宋"/>
          <w:b w:val="0"/>
          <w:color w:val="auto"/>
          <w:sz w:val="24"/>
          <w:highlight w:val="none"/>
        </w:rPr>
        <w:t>年；</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装修工程为</w:t>
      </w:r>
      <w:r>
        <w:rPr>
          <w:rFonts w:hint="eastAsia" w:ascii="仿宋" w:hAnsi="仿宋" w:eastAsia="仿宋" w:cs="仿宋"/>
          <w:b w:val="0"/>
          <w:color w:val="auto"/>
          <w:sz w:val="24"/>
          <w:highlight w:val="none"/>
          <w:u w:val="single"/>
        </w:rPr>
        <w:t xml:space="preserve">  2  </w:t>
      </w:r>
      <w:r>
        <w:rPr>
          <w:rFonts w:hint="eastAsia" w:ascii="仿宋" w:hAnsi="仿宋" w:eastAsia="仿宋" w:cs="仿宋"/>
          <w:b w:val="0"/>
          <w:color w:val="auto"/>
          <w:sz w:val="24"/>
          <w:highlight w:val="none"/>
        </w:rPr>
        <w:t>年；</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电气管线、给排水管道、设备安装工程为</w:t>
      </w:r>
      <w:r>
        <w:rPr>
          <w:rFonts w:hint="eastAsia" w:ascii="仿宋" w:hAnsi="仿宋" w:eastAsia="仿宋" w:cs="仿宋"/>
          <w:b w:val="0"/>
          <w:color w:val="auto"/>
          <w:sz w:val="24"/>
          <w:highlight w:val="none"/>
          <w:u w:val="single"/>
        </w:rPr>
        <w:t xml:space="preserve">  2  </w:t>
      </w:r>
      <w:r>
        <w:rPr>
          <w:rFonts w:hint="eastAsia" w:ascii="仿宋" w:hAnsi="仿宋" w:eastAsia="仿宋" w:cs="仿宋"/>
          <w:b w:val="0"/>
          <w:color w:val="auto"/>
          <w:sz w:val="24"/>
          <w:highlight w:val="none"/>
        </w:rPr>
        <w:t>年；</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供热与供冷系统为</w:t>
      </w:r>
      <w:r>
        <w:rPr>
          <w:rFonts w:hint="eastAsia" w:ascii="仿宋" w:hAnsi="仿宋" w:eastAsia="仿宋" w:cs="仿宋"/>
          <w:b w:val="0"/>
          <w:color w:val="auto"/>
          <w:sz w:val="24"/>
          <w:highlight w:val="none"/>
          <w:u w:val="single"/>
        </w:rPr>
        <w:t xml:space="preserve">  2  </w:t>
      </w:r>
      <w:r>
        <w:rPr>
          <w:rFonts w:hint="eastAsia" w:ascii="仿宋" w:hAnsi="仿宋" w:eastAsia="仿宋" w:cs="仿宋"/>
          <w:b w:val="0"/>
          <w:color w:val="auto"/>
          <w:sz w:val="24"/>
          <w:highlight w:val="none"/>
        </w:rPr>
        <w:t>个采暖期、供冷期；</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景观绿化工程管养期为</w:t>
      </w:r>
      <w:r>
        <w:rPr>
          <w:rFonts w:hint="eastAsia" w:ascii="仿宋" w:hAnsi="仿宋" w:eastAsia="仿宋" w:cs="仿宋"/>
          <w:b w:val="0"/>
          <w:color w:val="auto"/>
          <w:sz w:val="24"/>
          <w:highlight w:val="none"/>
          <w:u w:val="single"/>
        </w:rPr>
        <w:t xml:space="preserve">  1  </w:t>
      </w:r>
      <w:r>
        <w:rPr>
          <w:rFonts w:hint="eastAsia" w:ascii="仿宋" w:hAnsi="仿宋" w:eastAsia="仿宋" w:cs="仿宋"/>
          <w:b w:val="0"/>
          <w:color w:val="auto"/>
          <w:sz w:val="24"/>
          <w:highlight w:val="none"/>
        </w:rPr>
        <w:t>年；</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其他项目保修期限约定如下：</w:t>
      </w:r>
      <w:r>
        <w:rPr>
          <w:rFonts w:hint="eastAsia" w:ascii="仿宋" w:hAnsi="仿宋" w:eastAsia="仿宋" w:cs="仿宋"/>
          <w:b w:val="0"/>
          <w:color w:val="auto"/>
          <w:sz w:val="24"/>
          <w:highlight w:val="none"/>
          <w:u w:val="single"/>
        </w:rPr>
        <w:t xml:space="preserve">      </w:t>
      </w:r>
      <w:r>
        <w:rPr>
          <w:rFonts w:hint="eastAsia" w:ascii="仿宋" w:hAnsi="仿宋" w:eastAsia="仿宋" w:cs="仿宋"/>
          <w:b w:val="0"/>
          <w:color w:val="auto"/>
          <w:sz w:val="24"/>
          <w:highlight w:val="none"/>
        </w:rPr>
        <w:t>。</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质量保修期自工程竣工验收合格之日起计算。</w:t>
      </w:r>
    </w:p>
    <w:p>
      <w:pPr>
        <w:numPr>
          <w:ilvl w:val="0"/>
          <w:numId w:val="8"/>
        </w:num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质量保修期自本合同工程签发的工程竣工验收合格交工证书中写明的竣工日期起计算。分单项竣工验收的工程，按单项工程分别计算质量保修期。</w:t>
      </w:r>
    </w:p>
    <w:p>
      <w:pPr>
        <w:numPr>
          <w:ilvl w:val="0"/>
          <w:numId w:val="8"/>
        </w:num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其他约定：</w:t>
      </w:r>
      <w:r>
        <w:rPr>
          <w:rFonts w:hint="eastAsia" w:ascii="仿宋" w:hAnsi="仿宋" w:eastAsia="仿宋" w:cs="仿宋"/>
          <w:b w:val="0"/>
          <w:color w:val="auto"/>
          <w:sz w:val="24"/>
          <w:highlight w:val="none"/>
          <w:u w:val="single"/>
        </w:rPr>
        <w:t xml:space="preserve">         /               </w:t>
      </w:r>
    </w:p>
    <w:p>
      <w:pPr>
        <w:ind w:firstLine="420"/>
        <w:rPr>
          <w:rFonts w:hint="eastAsia" w:ascii="仿宋" w:hAnsi="仿宋" w:eastAsia="仿宋" w:cs="仿宋"/>
          <w:b w:val="0"/>
          <w:color w:val="auto"/>
          <w:sz w:val="24"/>
          <w:highlight w:val="none"/>
        </w:rPr>
      </w:pPr>
      <w:bookmarkStart w:id="1804" w:name="_Toc419363875"/>
      <w:r>
        <w:rPr>
          <w:rFonts w:hint="eastAsia" w:ascii="仿宋" w:hAnsi="仿宋" w:eastAsia="仿宋" w:cs="仿宋"/>
          <w:b w:val="0"/>
          <w:color w:val="auto"/>
          <w:sz w:val="24"/>
          <w:highlight w:val="none"/>
        </w:rPr>
        <w:t>三、质量保修保质责任</w:t>
      </w:r>
      <w:bookmarkEnd w:id="1804"/>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1．质量保修期自工程竣工验收合格之日起计算。</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2．质量保修责任</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2.1 属于保修范围、内容的项目，承包人应当在接到保修通知之日起七日内派人保修。承包人不在约定期限内派人保修的，发包人可以委托他人修理，修理费用由承包人承担。</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2.2 发生紧急抢修事故的，承包人在接到事故通知后，应当立即到达事故现场抢修。非承包人施工质量引起的事故，抢修费用由发包人承担。</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2.3 对于涉及结构安全的质量问题，应当按照有关的规定，立即向当地建设行政主管部门报告，采取安全防范措施；由原设计单位或者具有相应资质等级的设计单位提出保修方案，承包人实施保修。</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2.4 质量保修完成后，由发包人组织验收。</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3．保修费用</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保修费用由造成质量缺陷的责任方承担。</w:t>
      </w:r>
    </w:p>
    <w:p>
      <w:pPr>
        <w:ind w:firstLine="420"/>
        <w:rPr>
          <w:rFonts w:hint="eastAsia" w:ascii="仿宋" w:hAnsi="仿宋" w:eastAsia="仿宋" w:cs="仿宋"/>
          <w:b w:val="0"/>
          <w:color w:val="auto"/>
          <w:sz w:val="24"/>
          <w:highlight w:val="none"/>
        </w:rPr>
      </w:pPr>
      <w:bookmarkStart w:id="1805" w:name="_Toc419363876"/>
      <w:r>
        <w:rPr>
          <w:rFonts w:hint="eastAsia" w:ascii="仿宋" w:hAnsi="仿宋" w:eastAsia="仿宋" w:cs="仿宋"/>
          <w:b w:val="0"/>
          <w:color w:val="auto"/>
          <w:sz w:val="24"/>
          <w:highlight w:val="none"/>
        </w:rPr>
        <w:t>四、质量保修金的支付</w:t>
      </w:r>
      <w:bookmarkEnd w:id="1805"/>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本工程约定的工程质量保修金为建筑安装工程结算价（建筑安装工程费）的</w:t>
      </w:r>
      <w:r>
        <w:rPr>
          <w:rFonts w:hint="eastAsia" w:ascii="仿宋" w:hAnsi="仿宋" w:eastAsia="仿宋" w:cs="仿宋"/>
          <w:b w:val="0"/>
          <w:color w:val="auto"/>
          <w:sz w:val="24"/>
          <w:highlight w:val="none"/>
          <w:u w:val="single"/>
        </w:rPr>
        <w:t>3%</w:t>
      </w:r>
      <w:r>
        <w:rPr>
          <w:rFonts w:hint="eastAsia" w:ascii="仿宋" w:hAnsi="仿宋" w:eastAsia="仿宋" w:cs="仿宋"/>
          <w:b w:val="0"/>
          <w:color w:val="auto"/>
          <w:sz w:val="24"/>
          <w:highlight w:val="none"/>
        </w:rPr>
        <w:t>。质量保修金不计利息。</w:t>
      </w:r>
    </w:p>
    <w:p>
      <w:pPr>
        <w:ind w:firstLine="420"/>
        <w:rPr>
          <w:rFonts w:hint="eastAsia" w:ascii="仿宋" w:hAnsi="仿宋" w:eastAsia="仿宋" w:cs="仿宋"/>
          <w:b w:val="0"/>
          <w:color w:val="auto"/>
          <w:sz w:val="24"/>
          <w:highlight w:val="none"/>
        </w:rPr>
      </w:pPr>
      <w:bookmarkStart w:id="1806" w:name="_Toc419363877"/>
      <w:r>
        <w:rPr>
          <w:rFonts w:hint="eastAsia" w:ascii="仿宋" w:hAnsi="仿宋" w:eastAsia="仿宋" w:cs="仿宋"/>
          <w:b w:val="0"/>
          <w:color w:val="auto"/>
          <w:sz w:val="24"/>
          <w:highlight w:val="none"/>
        </w:rPr>
        <w:t>五、质量保修金的返还</w:t>
      </w:r>
      <w:bookmarkEnd w:id="1806"/>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在工程交付验收合格之日起满一年后的15日内，发包人将保修金的</w:t>
      </w:r>
      <w:r>
        <w:rPr>
          <w:rFonts w:hint="eastAsia" w:ascii="仿宋" w:hAnsi="仿宋" w:eastAsia="仿宋" w:cs="仿宋"/>
          <w:b w:val="0"/>
          <w:color w:val="auto"/>
          <w:sz w:val="24"/>
          <w:highlight w:val="none"/>
          <w:u w:val="single"/>
        </w:rPr>
        <w:t xml:space="preserve">     </w:t>
      </w:r>
      <w:r>
        <w:rPr>
          <w:rFonts w:hint="eastAsia" w:ascii="仿宋" w:hAnsi="仿宋" w:eastAsia="仿宋" w:cs="仿宋"/>
          <w:b w:val="0"/>
          <w:color w:val="auto"/>
          <w:sz w:val="24"/>
          <w:highlight w:val="none"/>
        </w:rPr>
        <w:t>（无息）退还给承包人；在工程交付验收合格之日起满两年后的15日内，发包人将剩余保修金（无息）全部退还给承包人。</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在保修期内承包人应按保修内容进行保修，若承包人接到发包人保修通知书在七天内未派人进行修理的，发包人则安排其它公司修理，在保修期内发生的修理费用由承包人负责或由发包人从保修金中扣除。</w:t>
      </w:r>
    </w:p>
    <w:p>
      <w:pPr>
        <w:ind w:firstLine="420"/>
        <w:rPr>
          <w:rFonts w:hint="eastAsia" w:ascii="仿宋" w:hAnsi="仿宋" w:eastAsia="仿宋" w:cs="仿宋"/>
          <w:b w:val="0"/>
          <w:color w:val="auto"/>
          <w:sz w:val="24"/>
          <w:highlight w:val="none"/>
        </w:rPr>
      </w:pPr>
      <w:bookmarkStart w:id="1807" w:name="_Toc419363878"/>
      <w:r>
        <w:rPr>
          <w:rFonts w:hint="eastAsia" w:ascii="仿宋" w:hAnsi="仿宋" w:eastAsia="仿宋" w:cs="仿宋"/>
          <w:b w:val="0"/>
          <w:color w:val="auto"/>
          <w:sz w:val="24"/>
          <w:highlight w:val="none"/>
        </w:rPr>
        <w:t>六、其他</w:t>
      </w:r>
      <w:bookmarkEnd w:id="1807"/>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双方约定的其他工程质量保修事项：保修期内，如发生属承包人责任的质量问题，按本保修书第2.1款约定，发包人委托他人修理,其费用由发包人在质量保修金中扣除。</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本工程质量保修书作为主合同附件，正本和副本份数与本合同专用条款第19.2条的约定相同，，由总承包合同发包人和承包人双方共同签署。</w:t>
      </w:r>
    </w:p>
    <w:p>
      <w:pPr>
        <w:ind w:firstLine="420"/>
        <w:rPr>
          <w:rFonts w:hint="eastAsia" w:ascii="仿宋" w:hAnsi="仿宋" w:eastAsia="仿宋" w:cs="仿宋"/>
          <w:b w:val="0"/>
          <w:color w:val="auto"/>
          <w:sz w:val="24"/>
          <w:highlight w:val="none"/>
        </w:rPr>
      </w:pP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 xml:space="preserve">发包人： </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 xml:space="preserve">（公章或合同专用章）          </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 xml:space="preserve">法定代表人：        </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（签字或盖章）                     　　</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地   址：</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日   期：</w:t>
      </w:r>
    </w:p>
    <w:p>
      <w:pPr>
        <w:ind w:firstLine="420"/>
        <w:rPr>
          <w:rFonts w:hint="eastAsia" w:ascii="仿宋" w:hAnsi="仿宋" w:eastAsia="仿宋" w:cs="仿宋"/>
          <w:b w:val="0"/>
          <w:color w:val="auto"/>
          <w:sz w:val="24"/>
          <w:highlight w:val="none"/>
        </w:rPr>
      </w:pP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承包人：            （联合体牵头人）</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 xml:space="preserve">（公章或合同专用章）          </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 xml:space="preserve">法定代表人：       </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（签字或盖章）                      　</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地   址：</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日   期：</w:t>
      </w:r>
    </w:p>
    <w:p>
      <w:pPr>
        <w:ind w:firstLine="420"/>
        <w:rPr>
          <w:rFonts w:hint="eastAsia" w:ascii="仿宋" w:hAnsi="仿宋" w:eastAsia="仿宋" w:cs="仿宋"/>
          <w:b w:val="0"/>
          <w:color w:val="auto"/>
          <w:sz w:val="24"/>
          <w:highlight w:val="none"/>
        </w:rPr>
      </w:pP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承包人：                  （联合体成员）</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 xml:space="preserve">（公章或合同专用章）          </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 xml:space="preserve">法定代表人：      </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（签字或盖章）                      　</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地   址：</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日   期：</w:t>
      </w:r>
    </w:p>
    <w:p>
      <w:pPr>
        <w:pStyle w:val="4"/>
        <w:rPr>
          <w:rFonts w:hint="eastAsia" w:ascii="仿宋" w:hAnsi="仿宋" w:eastAsia="仿宋" w:cs="仿宋"/>
          <w:b w:val="0"/>
          <w:color w:val="auto"/>
          <w:sz w:val="24"/>
          <w:highlight w:val="none"/>
        </w:rPr>
      </w:pPr>
      <w:bookmarkStart w:id="1808" w:name="_Toc419321449"/>
      <w:bookmarkStart w:id="1809" w:name="_Toc433988907"/>
      <w:bookmarkStart w:id="1810" w:name="_Toc419363879"/>
      <w:bookmarkStart w:id="1811" w:name="_Toc26016"/>
      <w:bookmarkStart w:id="1812" w:name="_Toc389647395"/>
      <w:bookmarkStart w:id="1813" w:name="_Toc419364536"/>
      <w:bookmarkStart w:id="1814" w:name="_Toc419320413"/>
      <w:bookmarkStart w:id="1815" w:name="_Toc403896985"/>
      <w:r>
        <w:rPr>
          <w:rFonts w:hint="eastAsia" w:ascii="仿宋" w:hAnsi="仿宋" w:eastAsia="仿宋" w:cs="仿宋"/>
          <w:b w:val="0"/>
          <w:color w:val="auto"/>
          <w:sz w:val="28"/>
          <w:highlight w:val="none"/>
        </w:rPr>
        <w:br w:type="page"/>
      </w:r>
      <w:bookmarkStart w:id="1816" w:name="_Toc666384313"/>
      <w:bookmarkStart w:id="1817" w:name="_Toc517428378"/>
      <w:bookmarkStart w:id="1818" w:name="_Toc11347697"/>
      <w:bookmarkStart w:id="1819" w:name="_Toc1754340105"/>
      <w:bookmarkStart w:id="1820" w:name="_Toc284763359"/>
      <w:bookmarkStart w:id="1821" w:name="_Toc2049539523"/>
      <w:bookmarkStart w:id="1822" w:name="_Toc812519512"/>
      <w:bookmarkStart w:id="1823" w:name="_Toc1873066360"/>
      <w:bookmarkStart w:id="1824" w:name="_Toc323186422"/>
      <w:bookmarkStart w:id="1825" w:name="_Toc1455934315"/>
      <w:r>
        <w:rPr>
          <w:rFonts w:hint="eastAsia" w:ascii="仿宋" w:hAnsi="仿宋" w:eastAsia="仿宋" w:cs="仿宋"/>
          <w:b w:val="0"/>
          <w:color w:val="auto"/>
          <w:sz w:val="28"/>
          <w:highlight w:val="none"/>
        </w:rPr>
        <w:t>附件四：廉政合同</w:t>
      </w:r>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p>
    <w:p>
      <w:pPr>
        <w:jc w:val="center"/>
        <w:rPr>
          <w:rFonts w:hint="eastAsia" w:ascii="仿宋" w:hAnsi="仿宋" w:eastAsia="仿宋" w:cs="仿宋"/>
          <w:b w:val="0"/>
          <w:color w:val="auto"/>
          <w:sz w:val="28"/>
          <w:highlight w:val="none"/>
        </w:rPr>
      </w:pPr>
      <w:r>
        <w:rPr>
          <w:rFonts w:hint="eastAsia" w:ascii="仿宋" w:hAnsi="仿宋" w:eastAsia="仿宋" w:cs="仿宋"/>
          <w:b w:val="0"/>
          <w:color w:val="auto"/>
          <w:sz w:val="28"/>
          <w:highlight w:val="none"/>
        </w:rPr>
        <w:t>廉政合同</w:t>
      </w:r>
    </w:p>
    <w:p>
      <w:pPr>
        <w:jc w:val="center"/>
        <w:rPr>
          <w:rFonts w:hint="eastAsia" w:ascii="仿宋" w:hAnsi="仿宋" w:eastAsia="仿宋" w:cs="仿宋"/>
          <w:b w:val="0"/>
          <w:color w:val="auto"/>
          <w:sz w:val="28"/>
          <w:highlight w:val="none"/>
        </w:rPr>
      </w:pPr>
    </w:p>
    <w:p>
      <w:pPr>
        <w:ind w:firstLine="420"/>
        <w:rPr>
          <w:rFonts w:hint="eastAsia" w:ascii="仿宋" w:hAnsi="仿宋" w:eastAsia="仿宋" w:cs="仿宋"/>
          <w:b w:val="0"/>
          <w:color w:val="auto"/>
          <w:sz w:val="24"/>
          <w:highlight w:val="none"/>
          <w:u w:val="single"/>
        </w:rPr>
      </w:pPr>
      <w:r>
        <w:rPr>
          <w:rFonts w:hint="eastAsia" w:ascii="仿宋" w:hAnsi="仿宋" w:eastAsia="仿宋" w:cs="仿宋"/>
          <w:b w:val="0"/>
          <w:color w:val="auto"/>
          <w:sz w:val="24"/>
          <w:highlight w:val="none"/>
        </w:rPr>
        <w:t>根据国家有关工程建设、廉政建设的规定，为做好工程建设中的党风廉政建设，保证工程建设高效优质，保证建设资金的安全和有效使用以及投资效益，建设工程的项目法人</w:t>
      </w:r>
      <w:r>
        <w:rPr>
          <w:rFonts w:hint="eastAsia" w:ascii="仿宋" w:hAnsi="仿宋" w:eastAsia="仿宋" w:cs="仿宋"/>
          <w:b w:val="0"/>
          <w:color w:val="auto"/>
          <w:sz w:val="24"/>
          <w:highlight w:val="none"/>
          <w:u w:val="single"/>
        </w:rPr>
        <w:t xml:space="preserve">    </w:t>
      </w:r>
      <w:r>
        <w:rPr>
          <w:rFonts w:hint="eastAsia" w:ascii="仿宋" w:hAnsi="仿宋" w:eastAsia="仿宋" w:cs="仿宋"/>
          <w:b w:val="0"/>
          <w:color w:val="auto"/>
          <w:sz w:val="24"/>
          <w:highlight w:val="none"/>
        </w:rPr>
        <w:t>（以下简称“甲方”）与总承包单位</w:t>
      </w:r>
      <w:r>
        <w:rPr>
          <w:rFonts w:hint="eastAsia" w:ascii="仿宋" w:hAnsi="仿宋" w:eastAsia="仿宋" w:cs="仿宋"/>
          <w:b w:val="0"/>
          <w:color w:val="auto"/>
          <w:sz w:val="24"/>
          <w:highlight w:val="none"/>
          <w:u w:val="single"/>
        </w:rPr>
        <w:t xml:space="preserve"> （联合体牵头人）、（联合体成员）</w:t>
      </w:r>
      <w:r>
        <w:rPr>
          <w:rFonts w:hint="eastAsia" w:ascii="仿宋" w:hAnsi="仿宋" w:eastAsia="仿宋" w:cs="仿宋"/>
          <w:b w:val="0"/>
          <w:color w:val="auto"/>
          <w:sz w:val="24"/>
          <w:highlight w:val="none"/>
        </w:rPr>
        <w:t>（以下简称“乙方”），特订立如下合同。</w:t>
      </w:r>
    </w:p>
    <w:p>
      <w:pPr>
        <w:numPr>
          <w:ilvl w:val="0"/>
          <w:numId w:val="9"/>
        </w:numPr>
        <w:ind w:firstLine="422"/>
        <w:rPr>
          <w:rFonts w:hint="eastAsia" w:ascii="仿宋" w:hAnsi="仿宋" w:eastAsia="仿宋" w:cs="仿宋"/>
          <w:b w:val="0"/>
          <w:color w:val="auto"/>
          <w:sz w:val="24"/>
          <w:highlight w:val="none"/>
        </w:rPr>
      </w:pPr>
      <w:bookmarkStart w:id="1826" w:name="_Toc419363880"/>
      <w:r>
        <w:rPr>
          <w:rFonts w:hint="eastAsia" w:ascii="仿宋" w:hAnsi="仿宋" w:eastAsia="仿宋" w:cs="仿宋"/>
          <w:b w:val="0"/>
          <w:color w:val="auto"/>
          <w:sz w:val="24"/>
          <w:highlight w:val="none"/>
        </w:rPr>
        <w:t>甲乙双方的权利和义务</w:t>
      </w:r>
      <w:bookmarkEnd w:id="1826"/>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（1）严格遵守党和国家的有关法律法规及中纪委监察部的有关规定。</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（2）严格执行</w:t>
      </w:r>
      <w:r>
        <w:rPr>
          <w:rFonts w:hint="eastAsia" w:ascii="仿宋" w:hAnsi="仿宋" w:eastAsia="仿宋" w:cs="仿宋"/>
          <w:b w:val="0"/>
          <w:color w:val="auto"/>
          <w:sz w:val="24"/>
          <w:highlight w:val="none"/>
          <w:u w:val="single"/>
        </w:rPr>
        <w:t xml:space="preserve">            </w:t>
      </w:r>
      <w:r>
        <w:rPr>
          <w:rFonts w:hint="eastAsia" w:ascii="仿宋" w:hAnsi="仿宋" w:eastAsia="仿宋" w:cs="仿宋"/>
          <w:b w:val="0"/>
          <w:color w:val="auto"/>
          <w:sz w:val="24"/>
          <w:highlight w:val="none"/>
        </w:rPr>
        <w:t>工程的合同文件，自觉按合同办事。</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（3）双方的业务活动坚持公开、公正、诚信、透明的原则（法律认定的商业秘密和合同文件另有规定除外），不得损害国家和集体利益，违反工程建设管理规章制度。</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（4）建立健全廉政制度，开展廉政教育，设立廉政告示牌，公布举报电话，监督并认真查处违法违纪行为。</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（5）发现对方在业务活动中有违反廉政规定的行为，有及时提醒对方纠正的权利及义务。</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（6）发现对方严重违反本合同义务条款的行为，有向其上级有关部门举报、建议给予处理并要求告知处理结果的权利。</w:t>
      </w:r>
    </w:p>
    <w:p>
      <w:pPr>
        <w:ind w:firstLine="422"/>
        <w:rPr>
          <w:rFonts w:hint="eastAsia" w:ascii="仿宋" w:hAnsi="仿宋" w:eastAsia="仿宋" w:cs="仿宋"/>
          <w:b w:val="0"/>
          <w:color w:val="auto"/>
          <w:sz w:val="24"/>
          <w:highlight w:val="none"/>
        </w:rPr>
      </w:pPr>
      <w:bookmarkStart w:id="1827" w:name="_Toc419363881"/>
      <w:r>
        <w:rPr>
          <w:rFonts w:hint="eastAsia" w:ascii="仿宋" w:hAnsi="仿宋" w:eastAsia="仿宋" w:cs="仿宋"/>
          <w:b w:val="0"/>
          <w:color w:val="auto"/>
          <w:sz w:val="24"/>
          <w:highlight w:val="none"/>
        </w:rPr>
        <w:t>2. 甲方的义务</w:t>
      </w:r>
      <w:bookmarkEnd w:id="1827"/>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（1）甲方及其工作人员不得索要或接受乙方的礼金、有价证券和贵重物品，不得在乙方报销任何应由甲方或甲方工作人员个人支付的费用等。</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（2）甲方工作人员不得参加乙方安排的超标准宴请和娱乐活动；不得接受乙方提供的通讯工具、交通工具和高档办公用品等。</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（3）甲方及其工作人员不得要求或者接受乙方为其住房装修、婚丧嫁娶活动、配偶子女的工作安排以及出国出境、旅游等提供方便等。</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（4）甲方工作人及其配偶、子女不得从事与甲方工程有关的材料设备供应、工程分包、劳务等经济活动等。</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（5）甲方及其工作人员不得以任何理由向乙方推荐分包单位或推销材料，不得要求乙方购买合同规定外的材料和设备。</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（6）甲方工作人员要秉公办事，不准营私舞弊，不准利用职权从事各种个人有偿中介活动和安排个人施工队伍。</w:t>
      </w:r>
    </w:p>
    <w:p>
      <w:pPr>
        <w:ind w:firstLine="422"/>
        <w:rPr>
          <w:rFonts w:hint="eastAsia" w:ascii="仿宋" w:hAnsi="仿宋" w:eastAsia="仿宋" w:cs="仿宋"/>
          <w:b w:val="0"/>
          <w:color w:val="auto"/>
          <w:sz w:val="24"/>
          <w:highlight w:val="none"/>
        </w:rPr>
      </w:pPr>
      <w:bookmarkStart w:id="1828" w:name="_Toc419363882"/>
      <w:r>
        <w:rPr>
          <w:rFonts w:hint="eastAsia" w:ascii="仿宋" w:hAnsi="仿宋" w:eastAsia="仿宋" w:cs="仿宋"/>
          <w:b w:val="0"/>
          <w:color w:val="auto"/>
          <w:sz w:val="24"/>
          <w:highlight w:val="none"/>
        </w:rPr>
        <w:t>3. 乙方义务</w:t>
      </w:r>
      <w:bookmarkEnd w:id="1828"/>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（1）乙方不得以任何理由向甲方及其工作人员行贿或馈赠礼金、有价证券、贵重礼品。</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（2）乙方不得以任何名义为甲方及其工作人员报销应由甲方单位或个人支付的任何费用。</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（3）乙方不得以任何理由安排甲方工作人员参加超标准宴请及娱乐活动。</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（4）乙方不得为甲方单位和个人购置或提供通讯工具、交通工具和高档办公用品等。</w:t>
      </w:r>
    </w:p>
    <w:p>
      <w:pPr>
        <w:ind w:firstLine="422"/>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4. 违约责任</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（1）甲方及其工作人员违反本合同第一、二条，按管理权限，依据有关规定给予党纪、政纪或组织处理；涉嫌犯罪的，移交司法机关追究刑事责任；给乙方单位造成经济损失的，应予以赔偿。</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2）乙方及其工作人员违反本合同第一、三条，按管理权限，依据有关规定给予党纪、政纪或组织处理；给甲方单位造成经济损失的，应予以赔偿；情节严重的，甲方建议工程建设主管部门给予乙方一至三年内不得进入其主管的工程建设市场的处罚。</w:t>
      </w:r>
    </w:p>
    <w:p>
      <w:pPr>
        <w:ind w:firstLine="422"/>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5. 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6. 本合同有效期为甲乙双签署之日起至该工程项目竣工验收后止。</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7. 本合同作为</w:t>
      </w:r>
      <w:r>
        <w:rPr>
          <w:rFonts w:hint="eastAsia" w:ascii="仿宋" w:hAnsi="仿宋" w:eastAsia="仿宋" w:cs="仿宋"/>
          <w:b w:val="0"/>
          <w:color w:val="auto"/>
          <w:sz w:val="24"/>
          <w:highlight w:val="none"/>
          <w:u w:val="single"/>
        </w:rPr>
        <w:t xml:space="preserve">             </w:t>
      </w:r>
      <w:r>
        <w:rPr>
          <w:rFonts w:hint="eastAsia" w:ascii="仿宋" w:hAnsi="仿宋" w:eastAsia="仿宋" w:cs="仿宋"/>
          <w:b w:val="0"/>
          <w:color w:val="auto"/>
          <w:sz w:val="24"/>
          <w:highlight w:val="none"/>
        </w:rPr>
        <w:t>工程总承包合同的附件，与工程施工合同具有同等的法律效力。</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8. 本合同作为主合同附件，正本和副本份数与本合同专用条款第19.2款的约定相同。由双方法定代表人或其授权的代理人签署与加盖公章后生效，全部工程竣工验收后失效。</w:t>
      </w:r>
    </w:p>
    <w:p>
      <w:pPr>
        <w:ind w:firstLine="420"/>
        <w:rPr>
          <w:rFonts w:hint="eastAsia" w:ascii="仿宋" w:hAnsi="仿宋" w:eastAsia="仿宋" w:cs="仿宋"/>
          <w:b w:val="0"/>
          <w:color w:val="auto"/>
          <w:sz w:val="24"/>
          <w:highlight w:val="none"/>
        </w:rPr>
      </w:pP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 xml:space="preserve">发包人： </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 xml:space="preserve">（公章或合同专用章）          </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 xml:space="preserve">法定代表人：        </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（签字或盖章）                     　　</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地   址：</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日   期：</w:t>
      </w:r>
    </w:p>
    <w:p>
      <w:pPr>
        <w:ind w:firstLine="420"/>
        <w:rPr>
          <w:rFonts w:hint="eastAsia" w:ascii="仿宋" w:hAnsi="仿宋" w:eastAsia="仿宋" w:cs="仿宋"/>
          <w:b w:val="0"/>
          <w:color w:val="auto"/>
          <w:sz w:val="24"/>
          <w:highlight w:val="none"/>
        </w:rPr>
      </w:pP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承包人：           （联合体牵头人）</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 xml:space="preserve">（公章或合同专用章）          </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 xml:space="preserve">法定代表人：       </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（签字或盖章）                      　</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地   址：</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日   期：</w:t>
      </w:r>
    </w:p>
    <w:p>
      <w:pPr>
        <w:ind w:firstLine="420"/>
        <w:rPr>
          <w:rFonts w:hint="eastAsia" w:ascii="仿宋" w:hAnsi="仿宋" w:eastAsia="仿宋" w:cs="仿宋"/>
          <w:b w:val="0"/>
          <w:color w:val="auto"/>
          <w:sz w:val="24"/>
          <w:highlight w:val="none"/>
        </w:rPr>
      </w:pP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承包人：               （联合体成员）</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 xml:space="preserve">（公章或合同专用章）          </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 xml:space="preserve">法定代表人：      </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（签字或盖章）                      　</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地   址：</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日   期：</w:t>
      </w:r>
    </w:p>
    <w:p>
      <w:pPr>
        <w:pStyle w:val="4"/>
        <w:ind w:left="0" w:leftChars="0" w:right="0" w:rightChars="0" w:firstLine="0" w:firstLineChars="0"/>
        <w:jc w:val="center"/>
        <w:rPr>
          <w:rFonts w:hint="eastAsia" w:ascii="仿宋" w:hAnsi="仿宋" w:eastAsia="仿宋" w:cs="仿宋"/>
          <w:b w:val="0"/>
          <w:color w:val="auto"/>
          <w:sz w:val="28"/>
          <w:highlight w:val="none"/>
        </w:rPr>
      </w:pPr>
      <w:bookmarkStart w:id="1829" w:name="_Toc26032"/>
      <w:bookmarkStart w:id="1830" w:name="_Toc419363883"/>
      <w:bookmarkStart w:id="1831" w:name="_Toc419364537"/>
      <w:bookmarkStart w:id="1832" w:name="_Toc419321450"/>
      <w:bookmarkStart w:id="1833" w:name="_Toc419320414"/>
      <w:bookmarkStart w:id="1834" w:name="_Toc433988908"/>
      <w:bookmarkStart w:id="1835" w:name="_Toc403896986"/>
      <w:bookmarkStart w:id="1836" w:name="_Toc389647396"/>
      <w:r>
        <w:rPr>
          <w:rFonts w:hint="eastAsia" w:ascii="仿宋" w:hAnsi="仿宋" w:eastAsia="仿宋" w:cs="仿宋"/>
          <w:b w:val="0"/>
          <w:color w:val="auto"/>
          <w:sz w:val="28"/>
          <w:highlight w:val="none"/>
        </w:rPr>
        <w:br w:type="page"/>
      </w:r>
      <w:bookmarkStart w:id="1837" w:name="_Toc1424209197"/>
      <w:bookmarkStart w:id="1838" w:name="_Toc1742182543"/>
      <w:bookmarkStart w:id="1839" w:name="_Toc1459358287"/>
      <w:bookmarkStart w:id="1840" w:name="_Toc808051291"/>
      <w:bookmarkStart w:id="1841" w:name="_Toc663531147"/>
      <w:bookmarkStart w:id="1842" w:name="_Toc243671425"/>
      <w:bookmarkStart w:id="1843" w:name="_Toc973065181"/>
      <w:bookmarkStart w:id="1844" w:name="_Toc793929486"/>
      <w:bookmarkStart w:id="1845" w:name="_Toc1257462343"/>
      <w:bookmarkStart w:id="1846" w:name="_Toc166926911"/>
      <w:r>
        <w:rPr>
          <w:rFonts w:hint="eastAsia" w:ascii="仿宋" w:hAnsi="仿宋" w:eastAsia="仿宋" w:cs="仿宋"/>
          <w:b w:val="0"/>
          <w:color w:val="auto"/>
          <w:sz w:val="28"/>
          <w:highlight w:val="none"/>
        </w:rPr>
        <w:t>附件五：安全生产合同</w:t>
      </w:r>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p>
    <w:p>
      <w:pPr>
        <w:jc w:val="center"/>
        <w:rPr>
          <w:rFonts w:hint="eastAsia" w:ascii="仿宋" w:hAnsi="仿宋" w:eastAsia="仿宋" w:cs="仿宋"/>
          <w:b w:val="0"/>
          <w:color w:val="auto"/>
          <w:sz w:val="28"/>
          <w:highlight w:val="none"/>
        </w:rPr>
      </w:pPr>
    </w:p>
    <w:p>
      <w:pPr>
        <w:jc w:val="center"/>
        <w:rPr>
          <w:rFonts w:hint="eastAsia" w:ascii="仿宋" w:hAnsi="仿宋" w:eastAsia="仿宋" w:cs="仿宋"/>
          <w:b w:val="0"/>
          <w:color w:val="auto"/>
          <w:sz w:val="28"/>
          <w:highlight w:val="none"/>
        </w:rPr>
      </w:pPr>
      <w:r>
        <w:rPr>
          <w:rFonts w:hint="eastAsia" w:ascii="仿宋" w:hAnsi="仿宋" w:eastAsia="仿宋" w:cs="仿宋"/>
          <w:b w:val="0"/>
          <w:color w:val="auto"/>
          <w:sz w:val="28"/>
          <w:highlight w:val="none"/>
        </w:rPr>
        <w:t>安全生产合同</w:t>
      </w:r>
    </w:p>
    <w:p>
      <w:pPr>
        <w:spacing w:after="0" w:line="480" w:lineRule="atLeast"/>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为在</w:t>
      </w:r>
      <w:r>
        <w:rPr>
          <w:rFonts w:hint="eastAsia" w:ascii="仿宋" w:hAnsi="仿宋" w:eastAsia="仿宋" w:cs="仿宋"/>
          <w:b w:val="0"/>
          <w:color w:val="auto"/>
          <w:sz w:val="24"/>
          <w:highlight w:val="none"/>
          <w:u w:val="single"/>
        </w:rPr>
        <w:t xml:space="preserve">         </w:t>
      </w:r>
      <w:r>
        <w:rPr>
          <w:rFonts w:hint="eastAsia" w:ascii="仿宋" w:hAnsi="仿宋" w:eastAsia="仿宋" w:cs="仿宋"/>
          <w:b w:val="0"/>
          <w:color w:val="auto"/>
          <w:sz w:val="24"/>
          <w:highlight w:val="none"/>
        </w:rPr>
        <w:t>施工合同的实施过程中创造安全、高效的施工环境，切实搞好本项目的安全管理工作，本项目业主</w:t>
      </w:r>
      <w:r>
        <w:rPr>
          <w:rFonts w:hint="eastAsia" w:ascii="仿宋" w:hAnsi="仿宋" w:eastAsia="仿宋" w:cs="仿宋"/>
          <w:b w:val="0"/>
          <w:color w:val="auto"/>
          <w:sz w:val="24"/>
          <w:highlight w:val="none"/>
          <w:u w:val="single"/>
        </w:rPr>
        <w:t xml:space="preserve">           </w:t>
      </w:r>
      <w:r>
        <w:rPr>
          <w:rFonts w:hint="eastAsia" w:ascii="仿宋" w:hAnsi="仿宋" w:eastAsia="仿宋" w:cs="仿宋"/>
          <w:b w:val="0"/>
          <w:color w:val="auto"/>
          <w:sz w:val="24"/>
          <w:highlight w:val="none"/>
        </w:rPr>
        <w:t>（以下简称“甲方”）与承包人</w:t>
      </w:r>
      <w:r>
        <w:rPr>
          <w:rFonts w:hint="eastAsia" w:ascii="仿宋" w:hAnsi="仿宋" w:eastAsia="仿宋" w:cs="仿宋"/>
          <w:b w:val="0"/>
          <w:color w:val="auto"/>
          <w:sz w:val="24"/>
          <w:highlight w:val="none"/>
          <w:u w:val="single"/>
        </w:rPr>
        <w:t>（联合体牵头人）、（联合体成员）</w:t>
      </w:r>
      <w:r>
        <w:rPr>
          <w:rFonts w:hint="eastAsia" w:ascii="仿宋" w:hAnsi="仿宋" w:eastAsia="仿宋" w:cs="仿宋"/>
          <w:b w:val="0"/>
          <w:color w:val="auto"/>
          <w:sz w:val="24"/>
          <w:highlight w:val="none"/>
        </w:rPr>
        <w:t>（以下简称“乙方”）特此签订安全生产合同：</w:t>
      </w:r>
    </w:p>
    <w:p>
      <w:pPr>
        <w:spacing w:after="0" w:line="480" w:lineRule="atLeast"/>
        <w:ind w:firstLine="480" w:firstLineChars="200"/>
        <w:rPr>
          <w:rFonts w:hint="eastAsia" w:ascii="仿宋" w:hAnsi="仿宋" w:eastAsia="仿宋" w:cs="仿宋"/>
          <w:b w:val="0"/>
          <w:color w:val="auto"/>
          <w:sz w:val="24"/>
          <w:highlight w:val="none"/>
        </w:rPr>
      </w:pPr>
      <w:bookmarkStart w:id="1847" w:name="_Toc419363884"/>
      <w:r>
        <w:rPr>
          <w:rFonts w:hint="eastAsia" w:ascii="仿宋" w:hAnsi="仿宋" w:eastAsia="仿宋" w:cs="仿宋"/>
          <w:b w:val="0"/>
          <w:color w:val="auto"/>
          <w:sz w:val="24"/>
          <w:highlight w:val="none"/>
        </w:rPr>
        <w:t>一、甲方职责</w:t>
      </w:r>
      <w:bookmarkEnd w:id="1847"/>
    </w:p>
    <w:p>
      <w:pPr>
        <w:spacing w:after="0" w:line="480" w:lineRule="atLeast"/>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 严格遵守国家有关安全生产的法律法规，认真执行工程承包合同中的有关安全要求。</w:t>
      </w:r>
    </w:p>
    <w:p>
      <w:pPr>
        <w:spacing w:after="0" w:line="480" w:lineRule="atLeast"/>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2. 按照“安全第一、预防为主”和坚持“管生产必须管安全”的原则进行安全生产管理，做到生产与安全工作同时计划、布置、检查、总结和评比。</w:t>
      </w:r>
    </w:p>
    <w:p>
      <w:pPr>
        <w:spacing w:after="0" w:line="480" w:lineRule="atLeast"/>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3. 重要的安全设施必须坚持与主体工程“三同时”的原则，即：同时设计、审批，同时施工，同时验收，投入使用。</w:t>
      </w:r>
    </w:p>
    <w:p>
      <w:pPr>
        <w:spacing w:after="0" w:line="480" w:lineRule="atLeast"/>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4. 定期召开安全生产调度会，及时传达中央及地方有关安全生产的精神。</w:t>
      </w:r>
    </w:p>
    <w:p>
      <w:pPr>
        <w:spacing w:after="0" w:line="480" w:lineRule="atLeast"/>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5. 组织对乙方施工现场安全生产检查，监督乙方及时处理发现的各种安全隐患。</w:t>
      </w:r>
    </w:p>
    <w:p>
      <w:pPr>
        <w:spacing w:after="0" w:line="480" w:lineRule="atLeast"/>
        <w:ind w:firstLine="480" w:firstLineChars="200"/>
        <w:rPr>
          <w:rFonts w:hint="eastAsia" w:ascii="仿宋" w:hAnsi="仿宋" w:eastAsia="仿宋" w:cs="仿宋"/>
          <w:b w:val="0"/>
          <w:color w:val="auto"/>
          <w:sz w:val="24"/>
          <w:highlight w:val="none"/>
        </w:rPr>
      </w:pPr>
      <w:bookmarkStart w:id="1848" w:name="_Toc419363885"/>
      <w:r>
        <w:rPr>
          <w:rFonts w:hint="eastAsia" w:ascii="仿宋" w:hAnsi="仿宋" w:eastAsia="仿宋" w:cs="仿宋"/>
          <w:b w:val="0"/>
          <w:color w:val="auto"/>
          <w:sz w:val="24"/>
          <w:highlight w:val="none"/>
        </w:rPr>
        <w:t>二、乙方职责</w:t>
      </w:r>
      <w:bookmarkEnd w:id="1848"/>
    </w:p>
    <w:p>
      <w:pPr>
        <w:spacing w:after="0" w:line="480" w:lineRule="atLeast"/>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 严格遵守国家有关安全生产的法律法规及建筑工程有关安全生产的规定，认真执行工程承包合同中的有关安全要求。</w:t>
      </w:r>
    </w:p>
    <w:p>
      <w:pPr>
        <w:spacing w:after="0" w:line="480" w:lineRule="atLeast"/>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after="0" w:line="480" w:lineRule="atLeast"/>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3. 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pacing w:after="0" w:line="480" w:lineRule="atLeast"/>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4. 乙方在任何时候都应采取各种合理的预防措施，防止其员工发生任何违法、违禁、暴力或妨碍治安的行为。</w:t>
      </w:r>
    </w:p>
    <w:p>
      <w:pPr>
        <w:spacing w:after="0" w:line="480" w:lineRule="atLeast"/>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5. 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负责人必须承担管理责任。</w:t>
      </w:r>
    </w:p>
    <w:p>
      <w:pPr>
        <w:spacing w:after="0" w:line="480" w:lineRule="atLeast"/>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6. 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spacing w:after="0" w:line="480" w:lineRule="atLeast"/>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7. 操作人员上岗，必须按规定穿戴防护用品。项目经理和安全检查员应随时检查劳动防护用品的穿戴情况，不按规定穿戴防护用品的人员不得上岗。</w:t>
      </w:r>
    </w:p>
    <w:p>
      <w:pPr>
        <w:spacing w:after="0" w:line="480" w:lineRule="atLeast"/>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8. 所有施工机械设备和高空作业的设备均应定期检查，并有安全员的签字记录，保证其经常处于完好状态；不合格的机具、设备和劳动保护用品严禁使用。</w:t>
      </w:r>
    </w:p>
    <w:p>
      <w:pPr>
        <w:spacing w:after="0" w:line="480" w:lineRule="atLeast"/>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9. 施工中采用新技术、新工艺、新设备、新材料时，必须制定相应的安全技术措施，施工现场必须具有相关的安全标志牌。</w:t>
      </w:r>
    </w:p>
    <w:p>
      <w:pPr>
        <w:spacing w:after="0" w:line="480" w:lineRule="atLeast"/>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10. 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pPr>
        <w:spacing w:after="0" w:line="480" w:lineRule="atLeast"/>
        <w:ind w:firstLine="480" w:firstLineChars="200"/>
        <w:rPr>
          <w:rFonts w:hint="eastAsia" w:ascii="仿宋" w:hAnsi="仿宋" w:eastAsia="仿宋" w:cs="仿宋"/>
          <w:b w:val="0"/>
          <w:color w:val="auto"/>
          <w:sz w:val="24"/>
          <w:highlight w:val="none"/>
        </w:rPr>
      </w:pPr>
      <w:bookmarkStart w:id="1849" w:name="_Toc419363886"/>
      <w:r>
        <w:rPr>
          <w:rFonts w:hint="eastAsia" w:ascii="仿宋" w:hAnsi="仿宋" w:eastAsia="仿宋" w:cs="仿宋"/>
          <w:b w:val="0"/>
          <w:color w:val="auto"/>
          <w:sz w:val="24"/>
          <w:highlight w:val="none"/>
        </w:rPr>
        <w:t>三、违约责任</w:t>
      </w:r>
      <w:bookmarkEnd w:id="1849"/>
    </w:p>
    <w:p>
      <w:pPr>
        <w:spacing w:after="0" w:line="480" w:lineRule="atLeast"/>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如因甲方或乙方违约造成安全事故，将依法追究责任。</w:t>
      </w:r>
    </w:p>
    <w:p>
      <w:pPr>
        <w:spacing w:after="0" w:line="480" w:lineRule="atLeast"/>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本合同作为主合同附件，正本和副本份数与本合同专用条款第19.2款的约定相同。由双方法定代表人或其授权的代理人签署与加盖公章后生效，全部工程竣工验收后失效。</w:t>
      </w:r>
    </w:p>
    <w:p>
      <w:pPr>
        <w:ind w:firstLine="420"/>
        <w:rPr>
          <w:rFonts w:hint="eastAsia" w:ascii="仿宋" w:hAnsi="仿宋" w:eastAsia="仿宋" w:cs="仿宋"/>
          <w:b w:val="0"/>
          <w:color w:val="auto"/>
          <w:sz w:val="24"/>
          <w:highlight w:val="none"/>
        </w:rPr>
      </w:pP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 xml:space="preserve">发包人： </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 xml:space="preserve">（公章或合同专用章）          </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 xml:space="preserve">法定代表人：        </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（签字或盖章）                     　　</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地   址：</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日   期：</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承包人：                     （联合体牵头人）</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 xml:space="preserve">（公章或合同专用章）          </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 xml:space="preserve">法定代表人：       </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（签字或盖章）                      　</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地   址：</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日   期：</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承包人：                          （联合体成员）</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 xml:space="preserve">（公章或合同专用章）          </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 xml:space="preserve">法定代表人：      </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（签字或盖章）                      　</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地   址：</w:t>
      </w:r>
    </w:p>
    <w:p>
      <w:pPr>
        <w:ind w:firstLine="42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日   期：</w:t>
      </w:r>
    </w:p>
    <w:p>
      <w:pPr>
        <w:spacing w:line="500" w:lineRule="exact"/>
        <w:rPr>
          <w:rFonts w:hint="eastAsia" w:ascii="仿宋" w:hAnsi="仿宋" w:eastAsia="仿宋" w:cs="仿宋"/>
          <w:color w:val="auto"/>
        </w:rPr>
      </w:pPr>
    </w:p>
    <w:p>
      <w:pPr>
        <w:pStyle w:val="3"/>
        <w:rPr>
          <w:rFonts w:hint="eastAsia" w:ascii="仿宋" w:hAnsi="仿宋" w:eastAsia="仿宋" w:cs="仿宋"/>
          <w:color w:val="auto"/>
        </w:rPr>
      </w:pPr>
    </w:p>
    <w:p>
      <w:pPr>
        <w:pStyle w:val="3"/>
        <w:rPr>
          <w:rFonts w:hint="eastAsia" w:ascii="仿宋" w:hAnsi="仿宋" w:eastAsia="仿宋" w:cs="仿宋"/>
          <w:b/>
          <w:color w:val="auto"/>
        </w:rPr>
      </w:pPr>
      <w:r>
        <w:rPr>
          <w:rFonts w:hint="eastAsia" w:ascii="仿宋" w:hAnsi="仿宋" w:eastAsia="仿宋" w:cs="仿宋"/>
          <w:color w:val="auto"/>
        </w:rPr>
        <w:br w:type="page"/>
      </w:r>
      <w:bookmarkStart w:id="1850" w:name="_Toc21829"/>
      <w:bookmarkStart w:id="1851" w:name="_Toc502994539"/>
      <w:bookmarkStart w:id="1852" w:name="_Toc511082980"/>
      <w:bookmarkStart w:id="1853" w:name="_Toc25717"/>
      <w:r>
        <w:rPr>
          <w:rFonts w:hint="eastAsia" w:ascii="仿宋" w:hAnsi="仿宋" w:eastAsia="仿宋" w:cs="仿宋"/>
          <w:b/>
          <w:color w:val="auto"/>
        </w:rPr>
        <w:t>第六章</w:t>
      </w:r>
      <w:bookmarkEnd w:id="120"/>
      <w:bookmarkEnd w:id="121"/>
      <w:bookmarkEnd w:id="122"/>
      <w:r>
        <w:rPr>
          <w:rFonts w:hint="eastAsia" w:ascii="仿宋" w:hAnsi="仿宋" w:eastAsia="仿宋" w:cs="仿宋"/>
          <w:b/>
          <w:color w:val="auto"/>
        </w:rPr>
        <w:t xml:space="preserve">  响应文件格式</w:t>
      </w:r>
      <w:bookmarkEnd w:id="1850"/>
      <w:bookmarkEnd w:id="1851"/>
      <w:bookmarkEnd w:id="1852"/>
      <w:bookmarkEnd w:id="1853"/>
    </w:p>
    <w:p>
      <w:pPr>
        <w:pStyle w:val="3"/>
        <w:rPr>
          <w:rFonts w:hint="eastAsia" w:ascii="仿宋" w:hAnsi="仿宋" w:eastAsia="仿宋" w:cs="仿宋"/>
          <w:b/>
          <w:color w:val="auto"/>
        </w:rPr>
      </w:pPr>
    </w:p>
    <w:p>
      <w:pPr>
        <w:rPr>
          <w:rFonts w:hint="eastAsia" w:ascii="仿宋" w:hAnsi="仿宋" w:eastAsia="仿宋" w:cs="仿宋"/>
          <w:b/>
          <w:color w:val="auto"/>
        </w:rPr>
      </w:pPr>
    </w:p>
    <w:p>
      <w:pPr>
        <w:spacing w:before="120" w:beforeLines="50" w:after="50"/>
        <w:rPr>
          <w:rFonts w:hint="eastAsia" w:ascii="仿宋" w:hAnsi="仿宋" w:eastAsia="仿宋" w:cs="仿宋"/>
          <w:color w:val="auto"/>
          <w:sz w:val="28"/>
          <w:szCs w:val="28"/>
        </w:rPr>
      </w:pPr>
      <w:r>
        <w:rPr>
          <w:rFonts w:hint="eastAsia" w:ascii="仿宋" w:hAnsi="仿宋" w:eastAsia="仿宋" w:cs="仿宋"/>
          <w:b/>
          <w:color w:val="auto"/>
        </w:rPr>
        <w:tab/>
      </w:r>
      <w:r>
        <w:rPr>
          <w:rFonts w:hint="eastAsia" w:ascii="仿宋" w:hAnsi="仿宋" w:eastAsia="仿宋" w:cs="仿宋"/>
          <w:color w:val="auto"/>
          <w:sz w:val="28"/>
          <w:szCs w:val="28"/>
        </w:rPr>
        <w:t>【响应文件封面格式】</w:t>
      </w:r>
    </w:p>
    <w:p>
      <w:pPr>
        <w:spacing w:before="120" w:beforeLines="50" w:after="50"/>
        <w:rPr>
          <w:rFonts w:hint="eastAsia" w:ascii="仿宋" w:hAnsi="仿宋" w:eastAsia="仿宋" w:cs="仿宋"/>
          <w:color w:val="auto"/>
          <w:sz w:val="24"/>
          <w:szCs w:val="20"/>
        </w:rPr>
      </w:pPr>
    </w:p>
    <w:p>
      <w:pPr>
        <w:spacing w:before="120" w:beforeLines="50" w:after="50" w:line="360" w:lineRule="auto"/>
        <w:jc w:val="center"/>
        <w:rPr>
          <w:rFonts w:hint="eastAsia" w:ascii="仿宋" w:hAnsi="仿宋" w:eastAsia="仿宋" w:cs="仿宋"/>
          <w:bCs/>
          <w:color w:val="auto"/>
          <w:sz w:val="32"/>
          <w:szCs w:val="20"/>
        </w:rPr>
      </w:pPr>
    </w:p>
    <w:p>
      <w:pPr>
        <w:spacing w:before="120" w:beforeLines="50" w:after="50" w:line="360" w:lineRule="auto"/>
        <w:jc w:val="center"/>
        <w:rPr>
          <w:rFonts w:hint="eastAsia" w:ascii="仿宋" w:hAnsi="仿宋" w:eastAsia="仿宋" w:cs="仿宋"/>
          <w:bCs/>
          <w:color w:val="auto"/>
          <w:sz w:val="24"/>
          <w:szCs w:val="20"/>
        </w:rPr>
      </w:pPr>
    </w:p>
    <w:p>
      <w:pPr>
        <w:spacing w:before="120" w:beforeLines="50" w:after="50" w:line="360" w:lineRule="auto"/>
        <w:jc w:val="center"/>
        <w:rPr>
          <w:rFonts w:hint="eastAsia" w:ascii="仿宋" w:hAnsi="仿宋" w:eastAsia="仿宋" w:cs="仿宋"/>
          <w:bCs/>
          <w:color w:val="auto"/>
          <w:sz w:val="72"/>
          <w:szCs w:val="72"/>
        </w:rPr>
      </w:pPr>
      <w:r>
        <w:rPr>
          <w:rFonts w:hint="eastAsia" w:ascii="仿宋" w:hAnsi="仿宋" w:eastAsia="仿宋" w:cs="仿宋"/>
          <w:bCs/>
          <w:color w:val="auto"/>
          <w:sz w:val="72"/>
          <w:szCs w:val="72"/>
        </w:rPr>
        <w:t>响应文件</w:t>
      </w:r>
    </w:p>
    <w:p>
      <w:pPr>
        <w:spacing w:before="120" w:beforeLines="50" w:after="50" w:line="360" w:lineRule="auto"/>
        <w:jc w:val="center"/>
        <w:rPr>
          <w:rFonts w:hint="eastAsia" w:ascii="仿宋" w:hAnsi="仿宋" w:eastAsia="仿宋" w:cs="仿宋"/>
          <w:bCs/>
          <w:color w:val="auto"/>
          <w:sz w:val="32"/>
          <w:szCs w:val="32"/>
        </w:rPr>
      </w:pPr>
      <w:r>
        <w:rPr>
          <w:rFonts w:hint="eastAsia" w:ascii="仿宋" w:hAnsi="仿宋" w:eastAsia="仿宋" w:cs="仿宋"/>
          <w:bCs/>
          <w:color w:val="auto"/>
          <w:sz w:val="32"/>
          <w:szCs w:val="32"/>
        </w:rPr>
        <w:t>正本（副本）</w:t>
      </w:r>
    </w:p>
    <w:p>
      <w:pPr>
        <w:spacing w:before="120" w:beforeLines="50" w:after="50" w:line="360" w:lineRule="auto"/>
        <w:rPr>
          <w:rFonts w:hint="eastAsia" w:ascii="仿宋" w:hAnsi="仿宋" w:eastAsia="仿宋" w:cs="仿宋"/>
          <w:bCs/>
          <w:color w:val="auto"/>
          <w:sz w:val="24"/>
          <w:szCs w:val="20"/>
        </w:rPr>
      </w:pPr>
    </w:p>
    <w:p>
      <w:pPr>
        <w:spacing w:before="120" w:beforeLines="50" w:after="50" w:line="400" w:lineRule="exact"/>
        <w:rPr>
          <w:rFonts w:hint="eastAsia" w:ascii="仿宋" w:hAnsi="仿宋" w:eastAsia="仿宋" w:cs="仿宋"/>
          <w:bCs/>
          <w:color w:val="auto"/>
          <w:sz w:val="24"/>
          <w:szCs w:val="20"/>
        </w:rPr>
      </w:pPr>
    </w:p>
    <w:p>
      <w:pPr>
        <w:spacing w:before="120" w:beforeLines="50" w:after="50" w:line="400" w:lineRule="exact"/>
        <w:rPr>
          <w:rFonts w:hint="eastAsia" w:ascii="仿宋" w:hAnsi="仿宋" w:eastAsia="仿宋" w:cs="仿宋"/>
          <w:bCs/>
          <w:color w:val="auto"/>
          <w:sz w:val="24"/>
          <w:szCs w:val="20"/>
        </w:rPr>
      </w:pPr>
    </w:p>
    <w:p>
      <w:pPr>
        <w:spacing w:before="120" w:beforeLines="50" w:after="50" w:line="400" w:lineRule="exact"/>
        <w:rPr>
          <w:rFonts w:hint="eastAsia" w:ascii="仿宋" w:hAnsi="仿宋" w:eastAsia="仿宋" w:cs="仿宋"/>
          <w:bCs/>
          <w:color w:val="auto"/>
          <w:sz w:val="24"/>
          <w:szCs w:val="20"/>
        </w:rPr>
      </w:pPr>
    </w:p>
    <w:p>
      <w:pPr>
        <w:spacing w:before="120" w:beforeLines="50" w:after="50" w:line="400" w:lineRule="exact"/>
        <w:rPr>
          <w:rFonts w:hint="eastAsia" w:ascii="仿宋" w:hAnsi="仿宋" w:eastAsia="仿宋" w:cs="仿宋"/>
          <w:bCs/>
          <w:color w:val="auto"/>
          <w:sz w:val="24"/>
          <w:szCs w:val="20"/>
        </w:rPr>
      </w:pPr>
    </w:p>
    <w:p>
      <w:pPr>
        <w:spacing w:before="100" w:beforeAutospacing="1" w:after="100" w:afterAutospacing="1"/>
        <w:ind w:firstLine="960" w:firstLineChars="400"/>
        <w:rPr>
          <w:rFonts w:hint="eastAsia" w:ascii="仿宋" w:hAnsi="仿宋" w:eastAsia="仿宋" w:cs="仿宋"/>
          <w:bCs/>
          <w:color w:val="auto"/>
          <w:sz w:val="24"/>
        </w:rPr>
      </w:pPr>
      <w:r>
        <w:rPr>
          <w:rFonts w:hint="eastAsia" w:ascii="仿宋" w:hAnsi="仿宋" w:eastAsia="仿宋" w:cs="仿宋"/>
          <w:bCs/>
          <w:color w:val="auto"/>
          <w:sz w:val="24"/>
        </w:rPr>
        <w:t>项目名称：</w:t>
      </w:r>
    </w:p>
    <w:p>
      <w:pPr>
        <w:spacing w:before="100" w:beforeAutospacing="1" w:after="100" w:afterAutospacing="1"/>
        <w:ind w:firstLine="960" w:firstLineChars="400"/>
        <w:rPr>
          <w:rFonts w:hint="eastAsia" w:ascii="仿宋" w:hAnsi="仿宋" w:eastAsia="仿宋" w:cs="仿宋"/>
          <w:bCs/>
          <w:color w:val="auto"/>
          <w:sz w:val="24"/>
        </w:rPr>
      </w:pPr>
      <w:r>
        <w:rPr>
          <w:rFonts w:hint="eastAsia" w:ascii="仿宋" w:hAnsi="仿宋" w:eastAsia="仿宋" w:cs="仿宋"/>
          <w:bCs/>
          <w:color w:val="auto"/>
          <w:sz w:val="24"/>
        </w:rPr>
        <w:t>项目编号：</w:t>
      </w:r>
    </w:p>
    <w:p>
      <w:pPr>
        <w:spacing w:before="100" w:beforeAutospacing="1" w:after="100" w:afterAutospacing="1"/>
        <w:ind w:firstLine="960" w:firstLineChars="400"/>
        <w:rPr>
          <w:rFonts w:hint="eastAsia" w:ascii="仿宋" w:hAnsi="仿宋" w:eastAsia="仿宋" w:cs="仿宋"/>
          <w:bCs/>
          <w:color w:val="auto"/>
          <w:sz w:val="24"/>
        </w:rPr>
      </w:pPr>
      <w:r>
        <w:rPr>
          <w:rFonts w:hint="eastAsia" w:ascii="仿宋" w:hAnsi="仿宋" w:eastAsia="仿宋" w:cs="仿宋"/>
          <w:bCs/>
          <w:color w:val="auto"/>
          <w:sz w:val="24"/>
        </w:rPr>
        <w:t>竞标人名称（盖章）：</w:t>
      </w:r>
    </w:p>
    <w:p>
      <w:pPr>
        <w:spacing w:before="100" w:beforeAutospacing="1" w:after="100" w:afterAutospacing="1"/>
        <w:ind w:firstLine="960" w:firstLineChars="400"/>
        <w:rPr>
          <w:rFonts w:hint="eastAsia" w:ascii="仿宋" w:hAnsi="仿宋" w:eastAsia="仿宋" w:cs="仿宋"/>
          <w:bCs/>
          <w:color w:val="auto"/>
          <w:sz w:val="24"/>
        </w:rPr>
      </w:pPr>
      <w:r>
        <w:rPr>
          <w:rFonts w:hint="eastAsia" w:ascii="仿宋" w:hAnsi="仿宋" w:eastAsia="仿宋" w:cs="仿宋"/>
          <w:bCs/>
          <w:color w:val="auto"/>
          <w:sz w:val="24"/>
        </w:rPr>
        <w:t>竞标人地址：</w:t>
      </w:r>
    </w:p>
    <w:p>
      <w:pPr>
        <w:spacing w:before="100" w:beforeAutospacing="1" w:after="100" w:afterAutospacing="1"/>
        <w:ind w:firstLine="960" w:firstLineChars="400"/>
        <w:rPr>
          <w:rFonts w:hint="eastAsia" w:ascii="仿宋" w:hAnsi="仿宋" w:eastAsia="仿宋" w:cs="仿宋"/>
          <w:bCs/>
          <w:color w:val="auto"/>
          <w:sz w:val="24"/>
        </w:rPr>
      </w:pPr>
      <w:r>
        <w:rPr>
          <w:rFonts w:hint="eastAsia" w:ascii="仿宋" w:hAnsi="仿宋" w:eastAsia="仿宋" w:cs="仿宋"/>
          <w:bCs/>
          <w:color w:val="auto"/>
          <w:sz w:val="24"/>
        </w:rPr>
        <w:t>法定代表人或其授权代表（签字）：</w:t>
      </w:r>
    </w:p>
    <w:p>
      <w:pPr>
        <w:spacing w:before="100" w:beforeAutospacing="1" w:after="100" w:afterAutospacing="1"/>
        <w:ind w:firstLine="960" w:firstLineChars="400"/>
        <w:rPr>
          <w:rFonts w:hint="eastAsia" w:ascii="仿宋" w:hAnsi="仿宋" w:eastAsia="仿宋" w:cs="仿宋"/>
          <w:bCs/>
          <w:color w:val="auto"/>
          <w:sz w:val="24"/>
        </w:rPr>
        <w:sectPr>
          <w:pgSz w:w="11905" w:h="16838"/>
          <w:pgMar w:top="1134" w:right="1134" w:bottom="1134" w:left="1134" w:header="624" w:footer="737" w:gutter="0"/>
          <w:cols w:space="720" w:num="1"/>
          <w:docGrid w:linePitch="312" w:charSpace="0"/>
        </w:sectPr>
      </w:pPr>
      <w:r>
        <w:rPr>
          <w:rFonts w:hint="eastAsia" w:ascii="仿宋" w:hAnsi="仿宋" w:eastAsia="仿宋" w:cs="仿宋"/>
          <w:bCs/>
          <w:color w:val="auto"/>
          <w:sz w:val="24"/>
        </w:rPr>
        <w:t>日期：年月日</w:t>
      </w:r>
    </w:p>
    <w:p>
      <w:pPr>
        <w:keepNext/>
        <w:keepLines/>
        <w:spacing w:line="480" w:lineRule="exact"/>
        <w:jc w:val="center"/>
        <w:outlineLvl w:val="1"/>
        <w:rPr>
          <w:rFonts w:hint="eastAsia" w:ascii="仿宋" w:hAnsi="仿宋" w:eastAsia="仿宋" w:cs="仿宋"/>
          <w:color w:val="auto"/>
          <w:sz w:val="24"/>
        </w:rPr>
        <w:sectPr>
          <w:headerReference r:id="rId16" w:type="default"/>
          <w:pgSz w:w="11905" w:h="16838"/>
          <w:pgMar w:top="1134" w:right="1134" w:bottom="1134" w:left="1134" w:header="624" w:footer="737" w:gutter="0"/>
          <w:cols w:space="720" w:num="1"/>
          <w:docGrid w:linePitch="312" w:charSpace="0"/>
        </w:sectPr>
      </w:pPr>
      <w:bookmarkStart w:id="1854" w:name="_Toc29690"/>
      <w:bookmarkStart w:id="1855" w:name="_Toc502477926"/>
      <w:bookmarkStart w:id="1856" w:name="_Toc511082981"/>
      <w:bookmarkStart w:id="1857" w:name="_Toc6691"/>
      <w:bookmarkStart w:id="1858" w:name="_Toc441070221"/>
      <w:bookmarkStart w:id="1859" w:name="_Toc503051338"/>
      <w:r>
        <w:rPr>
          <w:rFonts w:hint="eastAsia" w:ascii="仿宋" w:hAnsi="仿宋" w:eastAsia="仿宋" w:cs="仿宋"/>
          <w:bCs/>
          <w:color w:val="auto"/>
          <w:sz w:val="28"/>
          <w:szCs w:val="28"/>
        </w:rPr>
        <w:t>一、响应文件报价部分格式</w:t>
      </w:r>
      <w:bookmarkEnd w:id="1854"/>
      <w:bookmarkEnd w:id="1855"/>
      <w:bookmarkEnd w:id="1856"/>
      <w:bookmarkEnd w:id="1857"/>
      <w:bookmarkEnd w:id="1858"/>
      <w:bookmarkEnd w:id="1859"/>
    </w:p>
    <w:p>
      <w:pPr>
        <w:pStyle w:val="25"/>
        <w:spacing w:line="600" w:lineRule="exact"/>
        <w:ind w:right="-178"/>
        <w:jc w:val="center"/>
        <w:rPr>
          <w:rFonts w:hint="eastAsia" w:ascii="仿宋" w:hAnsi="仿宋" w:eastAsia="仿宋" w:cs="仿宋"/>
          <w:b/>
          <w:color w:val="auto"/>
          <w:sz w:val="24"/>
          <w:szCs w:val="24"/>
        </w:rPr>
      </w:pPr>
      <w:r>
        <w:rPr>
          <w:rFonts w:hint="eastAsia" w:ascii="仿宋" w:hAnsi="仿宋" w:eastAsia="仿宋" w:cs="仿宋"/>
          <w:b/>
          <w:bCs/>
          <w:color w:val="auto"/>
          <w:sz w:val="30"/>
          <w:szCs w:val="30"/>
        </w:rPr>
        <w:t>磋商函（格式）</w:t>
      </w:r>
    </w:p>
    <w:p>
      <w:pPr>
        <w:pStyle w:val="25"/>
        <w:spacing w:line="600" w:lineRule="exact"/>
        <w:ind w:right="-178"/>
        <w:rPr>
          <w:rFonts w:hint="eastAsia" w:ascii="仿宋" w:hAnsi="仿宋" w:eastAsia="仿宋" w:cs="仿宋"/>
          <w:bCs/>
          <w:color w:val="auto"/>
          <w:kern w:val="0"/>
          <w:szCs w:val="21"/>
        </w:rPr>
      </w:pPr>
      <w:r>
        <w:rPr>
          <w:rFonts w:hint="eastAsia" w:ascii="仿宋" w:hAnsi="仿宋" w:eastAsia="仿宋" w:cs="仿宋"/>
          <w:bCs/>
          <w:color w:val="auto"/>
          <w:kern w:val="0"/>
          <w:szCs w:val="21"/>
        </w:rPr>
        <w:t>致：</w:t>
      </w:r>
      <w:r>
        <w:rPr>
          <w:rFonts w:hint="eastAsia" w:ascii="仿宋" w:hAnsi="仿宋" w:eastAsia="仿宋" w:cs="仿宋"/>
          <w:bCs/>
          <w:color w:val="auto"/>
          <w:kern w:val="0"/>
          <w:szCs w:val="21"/>
          <w:u w:val="single"/>
        </w:rPr>
        <w:t>（采购代理机构名称）</w:t>
      </w:r>
    </w:p>
    <w:p>
      <w:pPr>
        <w:spacing w:after="0" w:line="360" w:lineRule="auto"/>
        <w:ind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我单位收到贵公司</w:t>
      </w:r>
      <w:r>
        <w:rPr>
          <w:rFonts w:hint="eastAsia" w:ascii="仿宋" w:hAnsi="仿宋" w:eastAsia="仿宋" w:cs="仿宋"/>
          <w:bCs/>
          <w:color w:val="auto"/>
          <w:sz w:val="21"/>
          <w:szCs w:val="21"/>
          <w:u w:val="single"/>
        </w:rPr>
        <w:t xml:space="preserve"> （项目名称、编号） </w:t>
      </w:r>
      <w:r>
        <w:rPr>
          <w:rFonts w:hint="eastAsia" w:ascii="仿宋" w:hAnsi="仿宋" w:eastAsia="仿宋" w:cs="仿宋"/>
          <w:bCs/>
          <w:color w:val="auto"/>
          <w:sz w:val="21"/>
          <w:szCs w:val="21"/>
        </w:rPr>
        <w:t>竞争性磋商文件，经详细研究，我们决定参加本项目的竞争性磋商活动，为此，我方愿以人民币（大写）</w:t>
      </w:r>
      <w:r>
        <w:rPr>
          <w:rFonts w:hint="eastAsia" w:ascii="仿宋" w:hAnsi="仿宋" w:eastAsia="仿宋" w:cs="仿宋"/>
          <w:bCs/>
          <w:color w:val="auto"/>
          <w:sz w:val="21"/>
          <w:szCs w:val="21"/>
          <w:u w:val="single"/>
        </w:rPr>
        <w:t xml:space="preserve">    </w:t>
      </w:r>
      <w:r>
        <w:rPr>
          <w:rFonts w:hint="eastAsia" w:ascii="仿宋" w:hAnsi="仿宋" w:eastAsia="仿宋" w:cs="仿宋"/>
          <w:bCs/>
          <w:color w:val="auto"/>
          <w:sz w:val="21"/>
          <w:szCs w:val="21"/>
        </w:rPr>
        <w:t>元（￥</w:t>
      </w:r>
      <w:r>
        <w:rPr>
          <w:rFonts w:hint="eastAsia" w:ascii="仿宋" w:hAnsi="仿宋" w:eastAsia="仿宋" w:cs="仿宋"/>
          <w:bCs/>
          <w:color w:val="auto"/>
          <w:sz w:val="21"/>
          <w:szCs w:val="21"/>
          <w:u w:val="single"/>
        </w:rPr>
        <w:t xml:space="preserve">    </w:t>
      </w:r>
      <w:r>
        <w:rPr>
          <w:rFonts w:hint="eastAsia" w:ascii="仿宋" w:hAnsi="仿宋" w:eastAsia="仿宋" w:cs="仿宋"/>
          <w:bCs/>
          <w:color w:val="auto"/>
          <w:sz w:val="21"/>
          <w:szCs w:val="21"/>
        </w:rPr>
        <w:t>）的竞标总报价承包竞标范围内全部工程。工期为</w:t>
      </w:r>
      <w:r>
        <w:rPr>
          <w:rFonts w:hint="eastAsia" w:ascii="仿宋" w:hAnsi="仿宋" w:eastAsia="仿宋" w:cs="仿宋"/>
          <w:bCs/>
          <w:color w:val="auto"/>
          <w:sz w:val="21"/>
          <w:szCs w:val="21"/>
          <w:u w:val="single"/>
        </w:rPr>
        <w:t xml:space="preserve">       </w:t>
      </w:r>
      <w:r>
        <w:rPr>
          <w:rFonts w:hint="eastAsia" w:ascii="仿宋" w:hAnsi="仿宋" w:eastAsia="仿宋" w:cs="仿宋"/>
          <w:bCs/>
          <w:color w:val="auto"/>
          <w:sz w:val="21"/>
          <w:szCs w:val="21"/>
        </w:rPr>
        <w:t>日历天，按合同约定实施和完成承包工程，修补工程中的任何缺陷，工程质量达到</w:t>
      </w:r>
      <w:r>
        <w:rPr>
          <w:rFonts w:hint="eastAsia" w:ascii="仿宋" w:hAnsi="仿宋" w:eastAsia="仿宋" w:cs="仿宋"/>
          <w:bCs/>
          <w:color w:val="auto"/>
          <w:sz w:val="21"/>
          <w:szCs w:val="21"/>
          <w:u w:val="single"/>
        </w:rPr>
        <w:t xml:space="preserve">         </w:t>
      </w:r>
      <w:r>
        <w:rPr>
          <w:rFonts w:hint="eastAsia" w:ascii="仿宋" w:hAnsi="仿宋" w:eastAsia="仿宋" w:cs="仿宋"/>
          <w:bCs/>
          <w:color w:val="auto"/>
          <w:sz w:val="21"/>
          <w:szCs w:val="21"/>
        </w:rPr>
        <w:t>。</w:t>
      </w:r>
    </w:p>
    <w:p>
      <w:pPr>
        <w:spacing w:after="0" w:line="360" w:lineRule="auto"/>
        <w:ind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我方承诺：</w:t>
      </w:r>
    </w:p>
    <w:p>
      <w:pPr>
        <w:spacing w:after="0" w:line="360" w:lineRule="auto"/>
        <w:ind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１、我方愿意按照竞争性磋商响应文件中的一切要求提供货物、工程与服务。</w:t>
      </w:r>
    </w:p>
    <w:p>
      <w:pPr>
        <w:spacing w:after="0" w:line="360" w:lineRule="auto"/>
        <w:ind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２、我方承诺已经具备《中华人民共和国政府采购法》中规定的参加政府采购活动的竞标人应当具备的条件：</w:t>
      </w:r>
    </w:p>
    <w:p>
      <w:pPr>
        <w:spacing w:after="0" w:line="360" w:lineRule="auto"/>
        <w:ind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（１）具有独立承担民事责任的能力；</w:t>
      </w:r>
    </w:p>
    <w:p>
      <w:pPr>
        <w:spacing w:after="0" w:line="360" w:lineRule="auto"/>
        <w:ind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 xml:space="preserve">（２）具有良好的商业信誉和健全的财务会计制度； </w:t>
      </w:r>
    </w:p>
    <w:p>
      <w:pPr>
        <w:spacing w:after="0" w:line="360" w:lineRule="auto"/>
        <w:ind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 xml:space="preserve">（３）具有履行合同所必需的设备和专业技术能力； </w:t>
      </w:r>
    </w:p>
    <w:p>
      <w:pPr>
        <w:spacing w:after="0" w:line="360" w:lineRule="auto"/>
        <w:ind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（４）有依法缴纳税收和社会保障资金的良好记录；</w:t>
      </w:r>
    </w:p>
    <w:p>
      <w:pPr>
        <w:spacing w:after="0" w:line="360" w:lineRule="auto"/>
        <w:ind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（５）参加此项采购活动前三年内，在经营活动中没有重大违法记录。</w:t>
      </w:r>
    </w:p>
    <w:p>
      <w:pPr>
        <w:spacing w:after="0" w:line="360" w:lineRule="auto"/>
        <w:ind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３、提供磋商须知规定的全部磋商响应文件，包括磋商响应文件正本1份、副本4份</w:t>
      </w:r>
      <w:r>
        <w:rPr>
          <w:rFonts w:hint="eastAsia" w:ascii="仿宋" w:hAnsi="仿宋" w:eastAsia="仿宋" w:cs="仿宋"/>
          <w:bCs/>
          <w:color w:val="auto"/>
          <w:sz w:val="21"/>
          <w:szCs w:val="21"/>
          <w:lang w:eastAsia="zh-CN"/>
        </w:rPr>
        <w:t>、投标文件电子版</w:t>
      </w:r>
      <w:r>
        <w:rPr>
          <w:rFonts w:hint="eastAsia" w:ascii="仿宋" w:hAnsi="仿宋" w:eastAsia="仿宋" w:cs="仿宋"/>
          <w:bCs/>
          <w:color w:val="auto"/>
          <w:sz w:val="21"/>
          <w:szCs w:val="21"/>
          <w:lang w:val="en-US" w:eastAsia="zh-CN"/>
        </w:rPr>
        <w:t>1份</w:t>
      </w:r>
      <w:r>
        <w:rPr>
          <w:rFonts w:hint="eastAsia" w:ascii="仿宋" w:hAnsi="仿宋" w:eastAsia="仿宋" w:cs="仿宋"/>
          <w:bCs/>
          <w:color w:val="auto"/>
          <w:sz w:val="21"/>
          <w:szCs w:val="21"/>
        </w:rPr>
        <w:t>。</w:t>
      </w:r>
    </w:p>
    <w:p>
      <w:pPr>
        <w:spacing w:after="0" w:line="360" w:lineRule="auto"/>
        <w:ind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４、按磋商文件要求提供和交付货物、工程与服务的磋商报价详见磋商报价表。</w:t>
      </w:r>
    </w:p>
    <w:p>
      <w:pPr>
        <w:spacing w:after="0" w:line="360" w:lineRule="auto"/>
        <w:ind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５、我方承诺：完全理解磋商报价超过磋商时公布的预算金额时，竞标将被拒绝。</w:t>
      </w:r>
    </w:p>
    <w:p>
      <w:pPr>
        <w:spacing w:after="0" w:line="360" w:lineRule="auto"/>
        <w:ind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６、保证忠实地执行双方所签订的合同，并承担合同规定的责任和义务。</w:t>
      </w:r>
    </w:p>
    <w:p>
      <w:pPr>
        <w:spacing w:after="0" w:line="360" w:lineRule="auto"/>
        <w:ind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７、承诺完全满足和响应磋商文件中的各项商务和技术要求，若有偏差，已在磋商响应文件商务条款偏离表中予以明确特别说明。</w:t>
      </w:r>
    </w:p>
    <w:p>
      <w:pPr>
        <w:spacing w:after="0" w:line="360" w:lineRule="auto"/>
        <w:ind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８、保证遵守磋商文件的规定。</w:t>
      </w:r>
    </w:p>
    <w:p>
      <w:pPr>
        <w:spacing w:after="0" w:line="360" w:lineRule="auto"/>
        <w:ind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９、我方完全理解贵方不一定接受最低价的磋商或收到的任何投标。</w:t>
      </w:r>
    </w:p>
    <w:p>
      <w:pPr>
        <w:spacing w:after="0" w:line="360" w:lineRule="auto"/>
        <w:ind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１０、我方愿意向贵方提供任何与本项磋商有关的数据、情况和技术资料。若贵方需要，我方愿意提供我方作出的一切承诺的证明材料。</w:t>
      </w:r>
    </w:p>
    <w:p>
      <w:pPr>
        <w:spacing w:after="0" w:line="360" w:lineRule="auto"/>
        <w:ind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１１、我方已详细审核全部磋商响应文件，包括磋商响应文件修改书（如有的话）、参考资料及有关附件，确认无误。</w:t>
      </w:r>
    </w:p>
    <w:p>
      <w:pPr>
        <w:spacing w:after="0" w:line="360" w:lineRule="auto"/>
        <w:ind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１２、我方承诺：采购人若需追回采购本项目磋商文件所列相关服务的，在不改变合同其他实质性条款的前提下，按相同或更优惠的折扣率保证供货。</w:t>
      </w:r>
    </w:p>
    <w:p>
      <w:pPr>
        <w:spacing w:after="0" w:line="360" w:lineRule="auto"/>
        <w:ind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１３、我方承诺接受磋商文件中《商务主要条款》的全部条款且无任何异议。</w:t>
      </w:r>
    </w:p>
    <w:p>
      <w:pPr>
        <w:spacing w:after="0" w:line="360" w:lineRule="auto"/>
        <w:ind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１４、我方将严格遵守《中华人民共和国政府采购法》的有关规定，若有下列情形之一的，将被处理以采购金额５％以上１０％以下的罚款，列入不良行为记录名单，在一至三年内禁止参加政府采购活动；有违法所得的，并处没收违法所得；情节严重的，由工商行政管理机关吊销营业执照；构成犯罪的，依法追究刑事责任；</w:t>
      </w:r>
    </w:p>
    <w:p>
      <w:pPr>
        <w:spacing w:after="0" w:line="360" w:lineRule="auto"/>
        <w:ind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（１）提供虚假材料谋取中标、成交的；</w:t>
      </w:r>
    </w:p>
    <w:p>
      <w:pPr>
        <w:spacing w:after="0" w:line="360" w:lineRule="auto"/>
        <w:ind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（２）采取不正当手段诋毁、排挤其他竞标人的；</w:t>
      </w:r>
    </w:p>
    <w:p>
      <w:pPr>
        <w:spacing w:after="0" w:line="360" w:lineRule="auto"/>
        <w:ind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 xml:space="preserve">（３）与采购人、其它竞标人或者代理机构工作人员恶意串通的； </w:t>
      </w:r>
    </w:p>
    <w:p>
      <w:pPr>
        <w:spacing w:after="0" w:line="360" w:lineRule="auto"/>
        <w:ind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 xml:space="preserve">（４）向采购人、代理机构工作人员行贿或提供其他不正当利益的； </w:t>
      </w:r>
    </w:p>
    <w:p>
      <w:pPr>
        <w:spacing w:after="0" w:line="360" w:lineRule="auto"/>
        <w:ind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（５）未经代理机构同意，在采购过程中与采购人进行协商</w:t>
      </w:r>
      <w:r>
        <w:rPr>
          <w:rFonts w:hint="eastAsia" w:ascii="仿宋" w:hAnsi="仿宋" w:eastAsia="仿宋" w:cs="仿宋"/>
          <w:bCs/>
          <w:color w:val="auto"/>
          <w:sz w:val="21"/>
          <w:szCs w:val="21"/>
          <w:lang w:eastAsia="zh-CN"/>
        </w:rPr>
        <w:t>磋商</w:t>
      </w:r>
      <w:r>
        <w:rPr>
          <w:rFonts w:hint="eastAsia" w:ascii="仿宋" w:hAnsi="仿宋" w:eastAsia="仿宋" w:cs="仿宋"/>
          <w:bCs/>
          <w:color w:val="auto"/>
          <w:sz w:val="21"/>
          <w:szCs w:val="21"/>
        </w:rPr>
        <w:t xml:space="preserve">的； </w:t>
      </w:r>
    </w:p>
    <w:p>
      <w:pPr>
        <w:spacing w:after="0" w:line="360" w:lineRule="auto"/>
        <w:ind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（６）拒绝有关部门监督检查虚假情况的。</w:t>
      </w:r>
    </w:p>
    <w:p>
      <w:pPr>
        <w:spacing w:after="0" w:line="360" w:lineRule="auto"/>
        <w:ind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１５、所有关于本次磋商的函电，请按下列地址联系。</w:t>
      </w:r>
    </w:p>
    <w:p>
      <w:pPr>
        <w:spacing w:after="0" w:line="360" w:lineRule="auto"/>
        <w:ind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竞标人名称</w:t>
      </w:r>
      <w:r>
        <w:rPr>
          <w:rFonts w:hint="eastAsia" w:ascii="仿宋" w:hAnsi="仿宋" w:eastAsia="仿宋" w:cs="仿宋"/>
          <w:bCs/>
          <w:color w:val="auto"/>
          <w:sz w:val="21"/>
          <w:szCs w:val="21"/>
          <w:lang w:eastAsia="zh-CN"/>
        </w:rPr>
        <w:t>（联合体则各方盖章）</w:t>
      </w:r>
      <w:r>
        <w:rPr>
          <w:rFonts w:hint="eastAsia" w:ascii="仿宋" w:hAnsi="仿宋" w:eastAsia="仿宋" w:cs="仿宋"/>
          <w:bCs/>
          <w:color w:val="auto"/>
          <w:sz w:val="21"/>
          <w:szCs w:val="21"/>
        </w:rPr>
        <w:t>（盖公章）：</w:t>
      </w:r>
    </w:p>
    <w:p>
      <w:pPr>
        <w:spacing w:after="0" w:line="360" w:lineRule="auto"/>
        <w:ind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 xml:space="preserve">地 址： </w:t>
      </w:r>
    </w:p>
    <w:p>
      <w:pPr>
        <w:spacing w:after="0" w:line="360" w:lineRule="auto"/>
        <w:ind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开户银行：</w:t>
      </w:r>
    </w:p>
    <w:p>
      <w:pPr>
        <w:spacing w:after="0" w:line="360" w:lineRule="auto"/>
        <w:ind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帐 号：</w:t>
      </w:r>
    </w:p>
    <w:p>
      <w:pPr>
        <w:spacing w:after="0" w:line="360" w:lineRule="auto"/>
        <w:ind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 xml:space="preserve">电 话： </w:t>
      </w:r>
    </w:p>
    <w:p>
      <w:pPr>
        <w:spacing w:after="0" w:line="360" w:lineRule="auto"/>
        <w:ind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传 真：</w:t>
      </w:r>
    </w:p>
    <w:p>
      <w:pPr>
        <w:spacing w:after="0" w:line="360" w:lineRule="auto"/>
        <w:ind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邮 编：</w:t>
      </w:r>
    </w:p>
    <w:p>
      <w:pPr>
        <w:spacing w:after="0" w:line="360" w:lineRule="auto"/>
        <w:ind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法定代表或代理人签字：</w:t>
      </w:r>
    </w:p>
    <w:p>
      <w:pPr>
        <w:spacing w:after="0" w:line="360" w:lineRule="auto"/>
        <w:ind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年 月 日</w:t>
      </w:r>
    </w:p>
    <w:p>
      <w:pPr>
        <w:widowControl/>
        <w:jc w:val="center"/>
        <w:rPr>
          <w:rFonts w:hint="eastAsia" w:ascii="仿宋" w:hAnsi="仿宋" w:eastAsia="仿宋" w:cs="仿宋"/>
          <w:b/>
          <w:bCs/>
          <w:color w:val="auto"/>
          <w:sz w:val="32"/>
          <w:szCs w:val="32"/>
          <w:highlight w:val="none"/>
        </w:rPr>
      </w:pPr>
      <w:r>
        <w:rPr>
          <w:rFonts w:hint="eastAsia" w:ascii="仿宋" w:hAnsi="仿宋" w:eastAsia="仿宋" w:cs="仿宋"/>
          <w:bCs/>
          <w:color w:val="auto"/>
          <w:szCs w:val="21"/>
        </w:rPr>
        <w:br w:type="page"/>
      </w:r>
      <w:r>
        <w:rPr>
          <w:rFonts w:hint="eastAsia" w:ascii="仿宋" w:hAnsi="仿宋" w:eastAsia="仿宋" w:cs="仿宋"/>
          <w:b/>
          <w:bCs/>
          <w:color w:val="auto"/>
          <w:sz w:val="32"/>
          <w:szCs w:val="32"/>
          <w:highlight w:val="none"/>
        </w:rPr>
        <w:t>磋商报价汇总表</w:t>
      </w:r>
    </w:p>
    <w:p>
      <w:pPr>
        <w:widowControl/>
        <w:jc w:val="left"/>
        <w:rPr>
          <w:rFonts w:hint="eastAsia" w:ascii="仿宋" w:hAnsi="仿宋" w:eastAsia="仿宋" w:cs="仿宋"/>
          <w:b w:val="0"/>
          <w:color w:val="auto"/>
          <w:sz w:val="24"/>
          <w:highlight w:val="none"/>
          <w:lang w:eastAsia="zh-CN"/>
        </w:rPr>
      </w:pPr>
      <w:r>
        <w:rPr>
          <w:rFonts w:hint="eastAsia" w:ascii="仿宋" w:hAnsi="仿宋" w:eastAsia="仿宋" w:cs="仿宋"/>
          <w:b w:val="0"/>
          <w:color w:val="auto"/>
          <w:sz w:val="24"/>
          <w:highlight w:val="none"/>
          <w:lang w:eastAsia="zh-CN"/>
        </w:rPr>
        <w:t>项目名称：</w:t>
      </w:r>
    </w:p>
    <w:p>
      <w:pPr>
        <w:pStyle w:val="2"/>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lang w:eastAsia="zh-CN"/>
        </w:rPr>
        <w:t>项目编号：</w:t>
      </w:r>
    </w:p>
    <w:tbl>
      <w:tblPr>
        <w:tblStyle w:val="48"/>
        <w:tblW w:w="9836" w:type="dxa"/>
        <w:jc w:val="center"/>
        <w:tblLayout w:type="fixed"/>
        <w:tblCellMar>
          <w:top w:w="0" w:type="dxa"/>
          <w:left w:w="108" w:type="dxa"/>
          <w:bottom w:w="0" w:type="dxa"/>
          <w:right w:w="108" w:type="dxa"/>
        </w:tblCellMar>
      </w:tblPr>
      <w:tblGrid>
        <w:gridCol w:w="720"/>
        <w:gridCol w:w="5251"/>
        <w:gridCol w:w="3865"/>
      </w:tblGrid>
      <w:tr>
        <w:tblPrEx>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5251" w:type="dxa"/>
            <w:tcBorders>
              <w:top w:val="single" w:color="auto" w:sz="8"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内容</w:t>
            </w:r>
          </w:p>
        </w:tc>
        <w:tc>
          <w:tcPr>
            <w:tcW w:w="3865" w:type="dxa"/>
            <w:tcBorders>
              <w:top w:val="single" w:color="auto" w:sz="8"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报价及响应</w:t>
            </w:r>
          </w:p>
        </w:tc>
      </w:tr>
      <w:tr>
        <w:tblPrEx>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一</w:t>
            </w:r>
          </w:p>
        </w:tc>
        <w:tc>
          <w:tcPr>
            <w:tcW w:w="5251" w:type="dxa"/>
            <w:tcBorders>
              <w:top w:val="single" w:color="auto" w:sz="8"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磋商总报价</w:t>
            </w:r>
          </w:p>
        </w:tc>
        <w:tc>
          <w:tcPr>
            <w:tcW w:w="3865" w:type="dxa"/>
            <w:tcBorders>
              <w:top w:val="single" w:color="auto" w:sz="8"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元</w:t>
            </w:r>
          </w:p>
        </w:tc>
      </w:tr>
      <w:tr>
        <w:tblPrEx>
          <w:tblCellMar>
            <w:top w:w="0" w:type="dxa"/>
            <w:left w:w="108" w:type="dxa"/>
            <w:bottom w:w="0" w:type="dxa"/>
            <w:right w:w="108" w:type="dxa"/>
          </w:tblCellMar>
        </w:tblPrEx>
        <w:trPr>
          <w:trHeight w:val="454" w:hRule="atLeast"/>
          <w:jc w:val="center"/>
        </w:trPr>
        <w:tc>
          <w:tcPr>
            <w:tcW w:w="720"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二</w:t>
            </w:r>
          </w:p>
        </w:tc>
        <w:tc>
          <w:tcPr>
            <w:tcW w:w="52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缺陷责任期</w:t>
            </w:r>
          </w:p>
        </w:tc>
        <w:tc>
          <w:tcPr>
            <w:tcW w:w="3865"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val="0"/>
                <w:color w:val="auto"/>
                <w:sz w:val="24"/>
                <w:highlight w:val="none"/>
                <w:lang w:eastAsia="zh-CN"/>
              </w:rPr>
            </w:pPr>
            <w:r>
              <w:rPr>
                <w:rFonts w:hint="eastAsia" w:ascii="仿宋" w:hAnsi="仿宋" w:eastAsia="仿宋" w:cs="仿宋"/>
                <w:b w:val="0"/>
                <w:color w:val="auto"/>
                <w:sz w:val="24"/>
                <w:highlight w:val="none"/>
              </w:rPr>
              <w:t>月</w:t>
            </w:r>
          </w:p>
        </w:tc>
      </w:tr>
      <w:tr>
        <w:tblPrEx>
          <w:tblCellMar>
            <w:top w:w="0" w:type="dxa"/>
            <w:left w:w="108" w:type="dxa"/>
            <w:bottom w:w="0" w:type="dxa"/>
            <w:right w:w="108" w:type="dxa"/>
          </w:tblCellMar>
        </w:tblPrEx>
        <w:trPr>
          <w:trHeight w:val="1666" w:hRule="atLeast"/>
          <w:jc w:val="center"/>
        </w:trPr>
        <w:tc>
          <w:tcPr>
            <w:tcW w:w="72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三</w:t>
            </w:r>
          </w:p>
        </w:tc>
        <w:tc>
          <w:tcPr>
            <w:tcW w:w="52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lang w:eastAsia="zh-CN"/>
              </w:rPr>
              <w:t>工程总承包项目经理（项目总负责人）</w:t>
            </w:r>
          </w:p>
          <w:p>
            <w:pPr>
              <w:keepNext w:val="0"/>
              <w:keepLines w:val="0"/>
              <w:pageBreakBefore w:val="0"/>
              <w:widowControl/>
              <w:kinsoku/>
              <w:wordWrap/>
              <w:overflowPunct/>
              <w:topLinePunct w:val="0"/>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项目设计负责人</w:t>
            </w:r>
          </w:p>
          <w:p>
            <w:pPr>
              <w:keepNext w:val="0"/>
              <w:keepLines w:val="0"/>
              <w:pageBreakBefore w:val="0"/>
              <w:widowControl/>
              <w:kinsoku/>
              <w:wordWrap/>
              <w:overflowPunct/>
              <w:topLinePunct w:val="0"/>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项目施工负责人</w:t>
            </w:r>
          </w:p>
          <w:p>
            <w:pPr>
              <w:keepNext w:val="0"/>
              <w:keepLines w:val="0"/>
              <w:pageBreakBefore w:val="0"/>
              <w:widowControl/>
              <w:kinsoku/>
              <w:wordWrap/>
              <w:overflowPunct/>
              <w:topLinePunct w:val="0"/>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val="0"/>
                <w:color w:val="auto"/>
                <w:sz w:val="24"/>
                <w:highlight w:val="none"/>
                <w:lang w:val="zh-CN" w:eastAsia="zh-CN"/>
              </w:rPr>
            </w:pPr>
            <w:r>
              <w:rPr>
                <w:rFonts w:hint="eastAsia" w:ascii="仿宋" w:hAnsi="仿宋" w:eastAsia="仿宋" w:cs="仿宋"/>
                <w:b w:val="0"/>
                <w:color w:val="auto"/>
                <w:sz w:val="24"/>
                <w:highlight w:val="none"/>
              </w:rPr>
              <w:t>专职安全员</w:t>
            </w:r>
          </w:p>
        </w:tc>
        <w:tc>
          <w:tcPr>
            <w:tcW w:w="3865"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姓名：</w:t>
            </w:r>
          </w:p>
          <w:p>
            <w:pPr>
              <w:keepNext w:val="0"/>
              <w:keepLines w:val="0"/>
              <w:pageBreakBefore w:val="0"/>
              <w:widowControl/>
              <w:kinsoku/>
              <w:wordWrap/>
              <w:overflowPunct/>
              <w:topLinePunct w:val="0"/>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姓名：</w:t>
            </w:r>
          </w:p>
          <w:p>
            <w:pPr>
              <w:keepNext w:val="0"/>
              <w:keepLines w:val="0"/>
              <w:pageBreakBefore w:val="0"/>
              <w:widowControl/>
              <w:kinsoku/>
              <w:wordWrap/>
              <w:overflowPunct/>
              <w:topLinePunct w:val="0"/>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姓名：</w:t>
            </w:r>
          </w:p>
          <w:p>
            <w:pPr>
              <w:keepNext w:val="0"/>
              <w:keepLines w:val="0"/>
              <w:pageBreakBefore w:val="0"/>
              <w:widowControl/>
              <w:kinsoku/>
              <w:wordWrap/>
              <w:overflowPunct/>
              <w:topLinePunct w:val="0"/>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姓名：</w:t>
            </w:r>
          </w:p>
        </w:tc>
      </w:tr>
      <w:tr>
        <w:tblPrEx>
          <w:tblCellMar>
            <w:top w:w="0" w:type="dxa"/>
            <w:left w:w="108" w:type="dxa"/>
            <w:bottom w:w="0" w:type="dxa"/>
            <w:right w:w="108" w:type="dxa"/>
          </w:tblCellMar>
        </w:tblPrEx>
        <w:trPr>
          <w:trHeight w:val="1666" w:hRule="atLeast"/>
          <w:jc w:val="center"/>
        </w:trPr>
        <w:tc>
          <w:tcPr>
            <w:tcW w:w="72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四</w:t>
            </w:r>
          </w:p>
        </w:tc>
        <w:tc>
          <w:tcPr>
            <w:tcW w:w="52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总承包计划工期</w:t>
            </w:r>
          </w:p>
        </w:tc>
        <w:tc>
          <w:tcPr>
            <w:tcW w:w="3865"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日历天</w:t>
            </w:r>
          </w:p>
        </w:tc>
      </w:tr>
      <w:tr>
        <w:tblPrEx>
          <w:tblCellMar>
            <w:top w:w="0" w:type="dxa"/>
            <w:left w:w="108" w:type="dxa"/>
            <w:bottom w:w="0" w:type="dxa"/>
            <w:right w:w="108" w:type="dxa"/>
          </w:tblCellMar>
        </w:tblPrEx>
        <w:trPr>
          <w:trHeight w:val="666" w:hRule="atLeast"/>
          <w:jc w:val="center"/>
        </w:trPr>
        <w:tc>
          <w:tcPr>
            <w:tcW w:w="72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五</w:t>
            </w:r>
          </w:p>
        </w:tc>
        <w:tc>
          <w:tcPr>
            <w:tcW w:w="52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设计要求的质量标准</w:t>
            </w:r>
          </w:p>
          <w:p>
            <w:pPr>
              <w:pStyle w:val="218"/>
              <w:keepNext w:val="0"/>
              <w:keepLines w:val="0"/>
              <w:pageBreakBefore w:val="0"/>
              <w:widowControl/>
              <w:kinsoku/>
              <w:wordWrap/>
              <w:overflowPunct/>
              <w:topLinePunct w:val="0"/>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highlight w:val="none"/>
              </w:rPr>
            </w:pPr>
            <w:r>
              <w:rPr>
                <w:rFonts w:hint="eastAsia" w:ascii="仿宋" w:hAnsi="仿宋" w:eastAsia="仿宋" w:cs="仿宋"/>
                <w:b w:val="0"/>
                <w:color w:val="auto"/>
                <w:sz w:val="24"/>
                <w:highlight w:val="none"/>
              </w:rPr>
              <w:t>施工要求的质量标准</w:t>
            </w:r>
          </w:p>
        </w:tc>
        <w:tc>
          <w:tcPr>
            <w:tcW w:w="3865"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设计要求的质量标准：</w:t>
            </w:r>
          </w:p>
          <w:p>
            <w:pPr>
              <w:keepNext w:val="0"/>
              <w:keepLines w:val="0"/>
              <w:pageBreakBefore w:val="0"/>
              <w:widowControl/>
              <w:kinsoku/>
              <w:wordWrap/>
              <w:overflowPunct/>
              <w:topLinePunct w:val="0"/>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施工要求的质量标准：</w:t>
            </w:r>
          </w:p>
        </w:tc>
      </w:tr>
    </w:tbl>
    <w:p>
      <w:pPr>
        <w:widowControl/>
        <w:rPr>
          <w:rFonts w:hint="eastAsia" w:ascii="仿宋" w:hAnsi="仿宋" w:eastAsia="仿宋" w:cs="仿宋"/>
          <w:b w:val="0"/>
          <w:color w:val="auto"/>
          <w:sz w:val="24"/>
          <w:highlight w:val="none"/>
        </w:rPr>
      </w:pPr>
    </w:p>
    <w:p>
      <w:pPr>
        <w:pStyle w:val="2"/>
        <w:rPr>
          <w:rFonts w:hint="eastAsia" w:ascii="仿宋" w:hAnsi="仿宋" w:eastAsia="仿宋" w:cs="仿宋"/>
          <w:b w:val="0"/>
          <w:color w:val="auto"/>
          <w:highlight w:val="none"/>
        </w:rPr>
      </w:pPr>
    </w:p>
    <w:p>
      <w:pPr>
        <w:tabs>
          <w:tab w:val="left" w:pos="3848"/>
        </w:tabs>
        <w:spacing w:line="360" w:lineRule="auto"/>
        <w:ind w:left="1116"/>
        <w:rPr>
          <w:rFonts w:hint="eastAsia" w:ascii="仿宋" w:hAnsi="仿宋" w:eastAsia="仿宋" w:cs="仿宋"/>
          <w:b w:val="0"/>
          <w:color w:val="auto"/>
          <w:sz w:val="24"/>
          <w:szCs w:val="24"/>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供应商名称（填写供应商名称并盖章）：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法定代表人或授权代表（签字）：</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color w:val="auto"/>
          <w:sz w:val="24"/>
        </w:rPr>
        <w:sectPr>
          <w:pgSz w:w="11905" w:h="16838"/>
          <w:pgMar w:top="1134" w:right="1134" w:bottom="1134" w:left="1134" w:header="624" w:footer="737" w:gutter="0"/>
          <w:cols w:space="720" w:num="1"/>
          <w:docGrid w:linePitch="312" w:charSpace="0"/>
        </w:sectPr>
      </w:pPr>
      <w:r>
        <w:rPr>
          <w:rFonts w:hint="eastAsia" w:ascii="仿宋" w:hAnsi="仿宋" w:eastAsia="仿宋" w:cs="仿宋"/>
          <w:b/>
          <w:bCs/>
          <w:color w:val="auto"/>
          <w:sz w:val="24"/>
          <w:szCs w:val="24"/>
          <w:highlight w:val="none"/>
          <w:u w:val="none"/>
        </w:rPr>
        <w:t>日期：  年  月  日</w:t>
      </w:r>
    </w:p>
    <w:p>
      <w:pPr>
        <w:spacing w:before="120" w:beforeLines="50" w:after="50"/>
        <w:rPr>
          <w:rFonts w:hint="eastAsia" w:ascii="仿宋" w:hAnsi="仿宋" w:eastAsia="仿宋" w:cs="仿宋"/>
          <w:color w:val="auto"/>
        </w:rPr>
      </w:pPr>
    </w:p>
    <w:p>
      <w:pPr>
        <w:keepNext/>
        <w:keepLines/>
        <w:spacing w:line="480" w:lineRule="exact"/>
        <w:jc w:val="center"/>
        <w:outlineLvl w:val="1"/>
        <w:rPr>
          <w:rFonts w:hint="eastAsia" w:ascii="仿宋" w:hAnsi="仿宋" w:eastAsia="仿宋" w:cs="仿宋"/>
          <w:bCs/>
          <w:color w:val="auto"/>
          <w:sz w:val="28"/>
          <w:szCs w:val="28"/>
        </w:rPr>
      </w:pPr>
      <w:bookmarkStart w:id="1860" w:name="_Toc503051339"/>
      <w:bookmarkStart w:id="1861" w:name="_Toc25284"/>
      <w:bookmarkStart w:id="1862" w:name="_Toc511082982"/>
      <w:bookmarkStart w:id="1863" w:name="_Toc29192"/>
      <w:r>
        <w:rPr>
          <w:rFonts w:hint="eastAsia" w:ascii="仿宋" w:hAnsi="仿宋" w:eastAsia="仿宋" w:cs="仿宋"/>
          <w:bCs/>
          <w:color w:val="auto"/>
          <w:sz w:val="28"/>
          <w:szCs w:val="28"/>
        </w:rPr>
        <w:t>二、响应文件资格证明部分格式</w:t>
      </w:r>
      <w:bookmarkEnd w:id="1860"/>
      <w:bookmarkEnd w:id="1861"/>
      <w:bookmarkEnd w:id="1862"/>
      <w:bookmarkEnd w:id="1863"/>
    </w:p>
    <w:p>
      <w:pPr>
        <w:spacing w:before="120" w:beforeLines="50" w:after="50"/>
        <w:rPr>
          <w:rFonts w:hint="eastAsia" w:ascii="仿宋" w:hAnsi="仿宋" w:eastAsia="仿宋" w:cs="仿宋"/>
          <w:color w:val="auto"/>
          <w:sz w:val="24"/>
        </w:rPr>
        <w:sectPr>
          <w:pgSz w:w="11905" w:h="16838"/>
          <w:pgMar w:top="1134" w:right="1134" w:bottom="1134" w:left="1134" w:header="624" w:footer="737" w:gutter="0"/>
          <w:cols w:space="720" w:num="1"/>
          <w:docGrid w:linePitch="312" w:charSpace="0"/>
        </w:sectPr>
      </w:pPr>
    </w:p>
    <w:p>
      <w:pPr>
        <w:spacing w:line="360" w:lineRule="auto"/>
        <w:ind w:left="0" w:leftChars="0" w:firstLine="0" w:firstLineChars="0"/>
        <w:jc w:val="center"/>
        <w:rPr>
          <w:rFonts w:hint="eastAsia" w:ascii="仿宋" w:hAnsi="仿宋" w:eastAsia="仿宋" w:cs="仿宋"/>
          <w:b w:val="0"/>
          <w:color w:val="auto"/>
          <w:sz w:val="28"/>
          <w:szCs w:val="28"/>
          <w:highlight w:val="none"/>
          <w:lang w:val="en-US"/>
        </w:rPr>
      </w:pPr>
      <w:r>
        <w:rPr>
          <w:rFonts w:hint="eastAsia" w:ascii="仿宋" w:hAnsi="仿宋" w:eastAsia="仿宋" w:cs="仿宋"/>
          <w:b w:val="0"/>
          <w:color w:val="auto"/>
          <w:sz w:val="28"/>
          <w:szCs w:val="28"/>
          <w:highlight w:val="none"/>
        </w:rPr>
        <w:t>【</w:t>
      </w:r>
      <w:r>
        <w:rPr>
          <w:rFonts w:hint="eastAsia" w:ascii="仿宋" w:hAnsi="仿宋" w:eastAsia="仿宋" w:cs="仿宋"/>
          <w:b w:val="0"/>
          <w:color w:val="auto"/>
          <w:sz w:val="28"/>
          <w:szCs w:val="28"/>
          <w:highlight w:val="none"/>
          <w:lang w:val="en-US"/>
        </w:rPr>
        <w:t>近</w:t>
      </w:r>
      <w:r>
        <w:rPr>
          <w:rFonts w:hint="eastAsia" w:ascii="仿宋" w:hAnsi="仿宋" w:eastAsia="仿宋" w:cs="仿宋"/>
          <w:b w:val="0"/>
          <w:color w:val="auto"/>
          <w:sz w:val="28"/>
          <w:szCs w:val="28"/>
          <w:highlight w:val="none"/>
        </w:rPr>
        <w:t>三</w:t>
      </w:r>
      <w:r>
        <w:rPr>
          <w:rFonts w:hint="eastAsia" w:ascii="仿宋" w:hAnsi="仿宋" w:eastAsia="仿宋" w:cs="仿宋"/>
          <w:b w:val="0"/>
          <w:color w:val="auto"/>
          <w:sz w:val="28"/>
          <w:szCs w:val="28"/>
          <w:highlight w:val="none"/>
          <w:lang w:val="en-US"/>
        </w:rPr>
        <w:t>年内在经营活动中没有重大违法记录的书面声明</w:t>
      </w:r>
      <w:r>
        <w:rPr>
          <w:rFonts w:hint="eastAsia" w:ascii="仿宋" w:hAnsi="仿宋" w:eastAsia="仿宋" w:cs="仿宋"/>
          <w:b w:val="0"/>
          <w:color w:val="auto"/>
          <w:sz w:val="28"/>
          <w:szCs w:val="28"/>
          <w:highlight w:val="none"/>
        </w:rPr>
        <w:t>格式】</w:t>
      </w:r>
    </w:p>
    <w:p>
      <w:pPr>
        <w:spacing w:before="120" w:beforeLines="50" w:after="50"/>
        <w:ind w:right="480" w:firstLine="240" w:firstLineChars="100"/>
        <w:jc w:val="center"/>
        <w:rPr>
          <w:rFonts w:hint="eastAsia" w:ascii="仿宋" w:hAnsi="仿宋" w:eastAsia="仿宋" w:cs="仿宋"/>
          <w:b w:val="0"/>
          <w:color w:val="auto"/>
          <w:sz w:val="24"/>
          <w:szCs w:val="24"/>
          <w:highlight w:val="none"/>
        </w:rPr>
      </w:pPr>
    </w:p>
    <w:p>
      <w:pPr>
        <w:spacing w:before="120" w:beforeLines="50" w:after="50"/>
        <w:ind w:left="0" w:leftChars="0" w:right="480" w:firstLine="0" w:firstLine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近三年在经营活动中没有重大违法记录的书面声明</w:t>
      </w:r>
    </w:p>
    <w:p>
      <w:pPr>
        <w:pStyle w:val="181"/>
        <w:spacing w:before="0" w:beforeAutospacing="0" w:after="0" w:afterAutospacing="0" w:line="400" w:lineRule="exact"/>
        <w:ind w:firstLine="480" w:firstLineChars="200"/>
        <w:rPr>
          <w:rFonts w:hint="eastAsia" w:ascii="仿宋" w:hAnsi="仿宋" w:eastAsia="仿宋" w:cs="仿宋"/>
          <w:b w:val="0"/>
          <w:color w:val="auto"/>
          <w:highlight w:val="none"/>
        </w:rPr>
      </w:pPr>
    </w:p>
    <w:p>
      <w:pPr>
        <w:pStyle w:val="181"/>
        <w:keepNext w:val="0"/>
        <w:keepLines w:val="0"/>
        <w:pageBreakBefore w:val="0"/>
        <w:widowControl w:val="0"/>
        <w:kinsoku/>
        <w:wordWrap/>
        <w:overflowPunct/>
        <w:topLinePunct w:val="0"/>
        <w:autoSpaceDE w:val="0"/>
        <w:autoSpaceDN w:val="0"/>
        <w:bidi w:val="0"/>
        <w:adjustRightInd/>
        <w:spacing w:before="0" w:beforeAutospacing="0" w:after="0" w:afterAutospacing="0" w:line="360" w:lineRule="auto"/>
        <w:ind w:left="0" w:leftChars="0" w:right="0" w:rightChars="0"/>
        <w:textAlignment w:val="auto"/>
        <w:outlineLvl w:val="9"/>
        <w:rPr>
          <w:rFonts w:hint="eastAsia" w:ascii="仿宋" w:hAnsi="仿宋" w:eastAsia="仿宋" w:cs="仿宋"/>
          <w:b w:val="0"/>
          <w:color w:val="auto"/>
          <w:highlight w:val="none"/>
          <w:lang w:val="en-US"/>
        </w:rPr>
      </w:pPr>
      <w:r>
        <w:rPr>
          <w:rFonts w:hint="eastAsia" w:ascii="仿宋" w:hAnsi="仿宋" w:eastAsia="仿宋" w:cs="仿宋"/>
          <w:b w:val="0"/>
          <w:color w:val="auto"/>
          <w:highlight w:val="none"/>
        </w:rPr>
        <w:t>致：</w:t>
      </w:r>
      <w:r>
        <w:rPr>
          <w:rFonts w:hint="eastAsia" w:ascii="仿宋" w:hAnsi="仿宋" w:eastAsia="仿宋" w:cs="仿宋"/>
          <w:b w:val="0"/>
          <w:color w:val="auto"/>
          <w:highlight w:val="none"/>
          <w:u w:val="single"/>
          <w:lang w:val="en-US"/>
        </w:rPr>
        <w:t xml:space="preserve">   </w:t>
      </w:r>
      <w:r>
        <w:rPr>
          <w:rFonts w:hint="eastAsia" w:ascii="仿宋" w:hAnsi="仿宋" w:eastAsia="仿宋" w:cs="仿宋"/>
          <w:b w:val="0"/>
          <w:color w:val="auto"/>
          <w:highlight w:val="none"/>
          <w:u w:val="single"/>
        </w:rPr>
        <w:t>（采购人）</w:t>
      </w:r>
      <w:r>
        <w:rPr>
          <w:rFonts w:hint="eastAsia" w:ascii="仿宋" w:hAnsi="仿宋" w:eastAsia="仿宋" w:cs="仿宋"/>
          <w:b w:val="0"/>
          <w:color w:val="auto"/>
          <w:highlight w:val="none"/>
          <w:u w:val="single"/>
          <w:lang w:val="en-US"/>
        </w:rPr>
        <w:t xml:space="preserve">   </w:t>
      </w: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我单位参加贵公司组织的</w:t>
      </w:r>
      <w:r>
        <w:rPr>
          <w:rFonts w:hint="eastAsia" w:ascii="仿宋" w:hAnsi="仿宋" w:eastAsia="仿宋" w:cs="仿宋"/>
          <w:b w:val="0"/>
          <w:color w:val="auto"/>
          <w:sz w:val="24"/>
          <w:highlight w:val="none"/>
          <w:u w:val="single"/>
        </w:rPr>
        <w:t xml:space="preserve">  （项目名称）  （项目编号）  </w:t>
      </w:r>
      <w:r>
        <w:rPr>
          <w:rFonts w:hint="eastAsia" w:ascii="仿宋" w:hAnsi="仿宋" w:eastAsia="仿宋" w:cs="仿宋"/>
          <w:b w:val="0"/>
          <w:color w:val="auto"/>
          <w:sz w:val="24"/>
          <w:highlight w:val="none"/>
        </w:rPr>
        <w:t>政府采购活动。我单位在此郑重声明，我单位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480" w:firstLineChars="200"/>
        <w:textAlignment w:val="auto"/>
        <w:outlineLvl w:val="9"/>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特此声明！</w:t>
      </w:r>
    </w:p>
    <w:p>
      <w:pPr>
        <w:pStyle w:val="181"/>
        <w:shd w:val="clear" w:color="auto" w:fill="FFFFFF"/>
        <w:spacing w:before="0" w:beforeAutospacing="0" w:after="0" w:afterAutospacing="0" w:line="400" w:lineRule="exact"/>
        <w:ind w:firstLine="480" w:firstLineChars="200"/>
        <w:jc w:val="right"/>
        <w:rPr>
          <w:rFonts w:hint="eastAsia" w:ascii="仿宋" w:hAnsi="仿宋" w:eastAsia="仿宋" w:cs="仿宋"/>
          <w:b w:val="0"/>
          <w:color w:val="auto"/>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供应商名称（</w:t>
      </w:r>
      <w:r>
        <w:rPr>
          <w:rFonts w:hint="eastAsia" w:ascii="仿宋" w:hAnsi="仿宋" w:eastAsia="仿宋" w:cs="仿宋"/>
          <w:b/>
          <w:bCs/>
          <w:color w:val="auto"/>
          <w:sz w:val="24"/>
          <w:szCs w:val="24"/>
          <w:highlight w:val="none"/>
          <w:lang w:eastAsia="zh-CN"/>
        </w:rPr>
        <w:t>单位</w:t>
      </w:r>
      <w:r>
        <w:rPr>
          <w:rFonts w:hint="eastAsia" w:ascii="仿宋" w:hAnsi="仿宋" w:eastAsia="仿宋" w:cs="仿宋"/>
          <w:b/>
          <w:bCs/>
          <w:color w:val="auto"/>
          <w:sz w:val="24"/>
          <w:szCs w:val="24"/>
          <w:highlight w:val="none"/>
        </w:rPr>
        <w:t>名称并盖章）：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法定代表人或授权代表（签字）：</w:t>
      </w:r>
    </w:p>
    <w:p>
      <w:pPr>
        <w:spacing w:line="480" w:lineRule="auto"/>
        <w:rPr>
          <w:rFonts w:hint="eastAsia" w:ascii="仿宋" w:hAnsi="仿宋" w:eastAsia="仿宋" w:cs="仿宋"/>
          <w:b/>
          <w:bCs/>
          <w:color w:val="auto"/>
          <w:sz w:val="24"/>
          <w:szCs w:val="24"/>
          <w:highlight w:val="none"/>
          <w:u w:val="none"/>
        </w:rPr>
      </w:pPr>
      <w:r>
        <w:rPr>
          <w:rFonts w:hint="eastAsia" w:ascii="仿宋" w:hAnsi="仿宋" w:eastAsia="仿宋" w:cs="仿宋"/>
          <w:b/>
          <w:bCs/>
          <w:color w:val="auto"/>
          <w:sz w:val="24"/>
          <w:szCs w:val="24"/>
          <w:highlight w:val="none"/>
          <w:u w:val="none"/>
        </w:rPr>
        <w:t>日期：  年  月  日</w:t>
      </w:r>
    </w:p>
    <w:p>
      <w:pPr>
        <w:spacing w:line="480" w:lineRule="auto"/>
        <w:rPr>
          <w:rFonts w:hint="eastAsia" w:ascii="仿宋" w:hAnsi="仿宋" w:eastAsia="仿宋" w:cs="仿宋"/>
          <w:b/>
          <w:bCs/>
          <w:color w:val="auto"/>
          <w:sz w:val="24"/>
          <w:szCs w:val="24"/>
          <w:highlight w:val="none"/>
          <w:u w:val="none"/>
        </w:rPr>
      </w:pPr>
    </w:p>
    <w:p>
      <w:pPr>
        <w:spacing w:line="480" w:lineRule="auto"/>
        <w:rPr>
          <w:rFonts w:hint="eastAsia" w:ascii="仿宋" w:hAnsi="仿宋" w:eastAsia="仿宋" w:cs="仿宋"/>
          <w:b/>
          <w:bCs/>
          <w:color w:val="auto"/>
          <w:sz w:val="24"/>
          <w:szCs w:val="24"/>
          <w:highlight w:val="none"/>
          <w:u w:val="none"/>
          <w:lang w:eastAsia="zh-CN"/>
        </w:rPr>
      </w:pPr>
      <w:r>
        <w:rPr>
          <w:rFonts w:hint="eastAsia" w:ascii="仿宋" w:hAnsi="仿宋" w:eastAsia="仿宋" w:cs="仿宋"/>
          <w:b/>
          <w:bCs/>
          <w:color w:val="auto"/>
          <w:sz w:val="24"/>
          <w:szCs w:val="24"/>
          <w:highlight w:val="none"/>
          <w:u w:val="none"/>
          <w:lang w:eastAsia="zh-CN"/>
        </w:rPr>
        <w:t>注：联合体的则须联合体各方的单位名称及盖章。</w:t>
      </w:r>
    </w:p>
    <w:p>
      <w:pPr>
        <w:rPr>
          <w:rFonts w:hint="eastAsia" w:ascii="仿宋" w:hAnsi="仿宋" w:eastAsia="仿宋" w:cs="仿宋"/>
          <w:b/>
          <w:bCs/>
          <w:color w:val="auto"/>
          <w:sz w:val="24"/>
          <w:szCs w:val="24"/>
          <w:highlight w:val="none"/>
          <w:u w:val="none"/>
          <w:lang w:eastAsia="zh-CN"/>
        </w:rPr>
      </w:pPr>
      <w:r>
        <w:rPr>
          <w:rFonts w:hint="eastAsia" w:ascii="仿宋" w:hAnsi="仿宋" w:eastAsia="仿宋" w:cs="仿宋"/>
          <w:b/>
          <w:bCs/>
          <w:color w:val="auto"/>
          <w:sz w:val="24"/>
          <w:szCs w:val="24"/>
          <w:highlight w:val="none"/>
          <w:u w:val="none"/>
          <w:lang w:eastAsia="zh-CN"/>
        </w:rPr>
        <w:br w:type="page"/>
      </w:r>
    </w:p>
    <w:p>
      <w:pPr>
        <w:jc w:val="center"/>
        <w:rPr>
          <w:rFonts w:hint="eastAsia" w:ascii="仿宋" w:hAnsi="仿宋" w:eastAsia="仿宋" w:cs="仿宋"/>
          <w:b w:val="0"/>
          <w:bCs/>
          <w:color w:val="auto"/>
          <w:spacing w:val="-3"/>
          <w:sz w:val="28"/>
          <w:szCs w:val="28"/>
          <w:highlight w:val="none"/>
        </w:rPr>
      </w:pPr>
      <w:r>
        <w:rPr>
          <w:rFonts w:hint="default" w:ascii="FangSong_GB2312 Regular" w:hAnsi="FangSong_GB2312 Regular" w:eastAsia="FangSong_GB2312 Regular" w:cs="FangSong_GB2312 Regular"/>
          <w:b w:val="0"/>
          <w:bCs/>
          <w:color w:val="auto"/>
          <w:spacing w:val="-3"/>
          <w:sz w:val="28"/>
          <w:szCs w:val="28"/>
          <w:highlight w:val="none"/>
        </w:rPr>
        <w:t>【</w:t>
      </w:r>
      <w:r>
        <w:rPr>
          <w:rFonts w:hint="eastAsia" w:ascii="仿宋" w:hAnsi="仿宋" w:eastAsia="仿宋" w:cs="仿宋"/>
          <w:b w:val="0"/>
          <w:bCs/>
          <w:color w:val="auto"/>
          <w:spacing w:val="-3"/>
          <w:sz w:val="28"/>
          <w:szCs w:val="28"/>
          <w:highlight w:val="none"/>
        </w:rPr>
        <w:t>农民工工资保障金交纳与使用承诺书格式】</w:t>
      </w:r>
    </w:p>
    <w:p>
      <w:pPr>
        <w:pStyle w:val="47"/>
        <w:ind w:firstLine="240"/>
        <w:rPr>
          <w:rFonts w:hint="eastAsia" w:ascii="仿宋" w:hAnsi="仿宋" w:eastAsia="仿宋" w:cs="仿宋"/>
          <w:b w:val="0"/>
          <w:color w:val="auto"/>
          <w:highlight w:val="none"/>
        </w:rPr>
      </w:pPr>
    </w:p>
    <w:p>
      <w:pPr>
        <w:pStyle w:val="25"/>
        <w:jc w:val="center"/>
        <w:rPr>
          <w:rFonts w:hint="eastAsia" w:ascii="仿宋" w:hAnsi="仿宋" w:eastAsia="仿宋" w:cs="仿宋"/>
          <w:b/>
          <w:bCs/>
          <w:color w:val="auto"/>
          <w:sz w:val="28"/>
          <w:szCs w:val="18"/>
          <w:highlight w:val="none"/>
        </w:rPr>
      </w:pPr>
      <w:r>
        <w:rPr>
          <w:rFonts w:hint="eastAsia" w:ascii="仿宋" w:hAnsi="仿宋" w:eastAsia="仿宋" w:cs="仿宋"/>
          <w:b/>
          <w:bCs/>
          <w:color w:val="auto"/>
          <w:sz w:val="28"/>
          <w:szCs w:val="18"/>
          <w:highlight w:val="none"/>
        </w:rPr>
        <w:t>农民工工资保障金交纳与使用承诺书</w:t>
      </w:r>
    </w:p>
    <w:p>
      <w:pPr>
        <w:autoSpaceDE/>
        <w:autoSpaceDN/>
        <w:spacing w:line="360" w:lineRule="auto"/>
        <w:rPr>
          <w:rFonts w:hint="eastAsia" w:ascii="仿宋" w:hAnsi="仿宋" w:eastAsia="仿宋" w:cs="仿宋"/>
          <w:b w:val="0"/>
          <w:color w:val="auto"/>
          <w:highlight w:val="none"/>
        </w:rPr>
      </w:pPr>
    </w:p>
    <w:p>
      <w:pPr>
        <w:autoSpaceDE/>
        <w:autoSpaceDN/>
        <w:spacing w:line="360"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致：</w:t>
      </w:r>
      <w:r>
        <w:rPr>
          <w:rFonts w:hint="eastAsia" w:ascii="仿宋" w:hAnsi="仿宋" w:eastAsia="仿宋" w:cs="仿宋"/>
          <w:b w:val="0"/>
          <w:color w:val="auto"/>
          <w:sz w:val="24"/>
          <w:szCs w:val="24"/>
          <w:highlight w:val="none"/>
          <w:u w:val="single"/>
        </w:rPr>
        <w:t xml:space="preserve">   （采购人）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我方在此承诺：</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1、我方参与磋商的</w:t>
      </w:r>
      <w:r>
        <w:rPr>
          <w:rFonts w:hint="eastAsia" w:ascii="仿宋" w:hAnsi="仿宋" w:eastAsia="仿宋" w:cs="仿宋"/>
          <w:b w:val="0"/>
          <w:color w:val="auto"/>
          <w:sz w:val="24"/>
          <w:szCs w:val="24"/>
          <w:highlight w:val="none"/>
          <w:u w:val="single"/>
        </w:rPr>
        <w:t xml:space="preserve">  （项目名称）  </w:t>
      </w:r>
      <w:r>
        <w:rPr>
          <w:rFonts w:hint="eastAsia" w:ascii="仿宋" w:hAnsi="仿宋" w:eastAsia="仿宋" w:cs="仿宋"/>
          <w:b w:val="0"/>
          <w:color w:val="auto"/>
          <w:sz w:val="24"/>
          <w:szCs w:val="24"/>
          <w:highlight w:val="none"/>
        </w:rPr>
        <w:t>，一旦成交，我方保证在签订施工合同后，及时并足额将农民工工资保障金足额存入采购人指定的账户，作为本项目农民工工资保障金。</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2、如我方在承包的</w:t>
      </w:r>
      <w:r>
        <w:rPr>
          <w:rFonts w:hint="eastAsia" w:ascii="仿宋" w:hAnsi="仿宋" w:eastAsia="仿宋" w:cs="仿宋"/>
          <w:b w:val="0"/>
          <w:color w:val="auto"/>
          <w:sz w:val="24"/>
          <w:szCs w:val="24"/>
          <w:highlight w:val="none"/>
          <w:u w:val="single"/>
        </w:rPr>
        <w:t xml:space="preserve">  （项目名称）  </w:t>
      </w:r>
      <w:r>
        <w:rPr>
          <w:rFonts w:hint="eastAsia" w:ascii="仿宋" w:hAnsi="仿宋" w:eastAsia="仿宋" w:cs="仿宋"/>
          <w:b w:val="0"/>
          <w:color w:val="auto"/>
          <w:sz w:val="24"/>
          <w:szCs w:val="24"/>
          <w:highlight w:val="none"/>
        </w:rPr>
        <w:t>中出现拖欠农民工和工人工资情况的，由采购人从其农民工工资保证金中先予划支。</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3、如我方不按时、足额存入农民工工资保障金，采购人有权取消我方承包资格。</w:t>
      </w:r>
    </w:p>
    <w:p>
      <w:pPr>
        <w:keepNext w:val="0"/>
        <w:keepLines w:val="0"/>
        <w:pageBreakBefore w:val="0"/>
        <w:widowControl w:val="0"/>
        <w:kinsoku/>
        <w:wordWrap/>
        <w:overflowPunct/>
        <w:topLinePunct w:val="0"/>
        <w:autoSpaceDE w:val="0"/>
        <w:autoSpaceDN w:val="0"/>
        <w:bidi w:val="0"/>
        <w:adjustRightInd/>
        <w:snapToGrid/>
        <w:spacing w:line="480" w:lineRule="auto"/>
        <w:ind w:left="0" w:leftChars="0" w:right="0" w:rightChars="0" w:firstLine="480" w:firstLineChars="200"/>
        <w:jc w:val="left"/>
        <w:textAlignment w:val="auto"/>
        <w:outlineLvl w:val="9"/>
        <w:rPr>
          <w:rFonts w:hint="eastAsia" w:ascii="仿宋" w:hAnsi="仿宋" w:eastAsia="仿宋" w:cs="仿宋"/>
          <w:b w:val="0"/>
          <w:color w:val="auto"/>
          <w:sz w:val="24"/>
          <w:szCs w:val="24"/>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供应商名称（填写供应商名称并盖章）：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法定代表人或授权代表（签字）：</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auto"/>
          <w:sz w:val="24"/>
          <w:szCs w:val="24"/>
          <w:highlight w:val="none"/>
          <w:u w:val="none"/>
        </w:rPr>
      </w:pPr>
      <w:r>
        <w:rPr>
          <w:rFonts w:hint="eastAsia" w:ascii="仿宋" w:hAnsi="仿宋" w:eastAsia="仿宋" w:cs="仿宋"/>
          <w:b/>
          <w:bCs/>
          <w:color w:val="auto"/>
          <w:sz w:val="24"/>
          <w:szCs w:val="24"/>
          <w:highlight w:val="none"/>
          <w:u w:val="none"/>
        </w:rPr>
        <w:t>日期：  年  月  日</w:t>
      </w:r>
    </w:p>
    <w:p>
      <w:pPr>
        <w:pStyle w:val="2"/>
        <w:rPr>
          <w:rFonts w:hint="eastAsia" w:ascii="仿宋" w:hAnsi="仿宋" w:eastAsia="仿宋" w:cs="仿宋"/>
          <w:b/>
          <w:bCs/>
          <w:color w:val="auto"/>
          <w:sz w:val="24"/>
          <w:szCs w:val="24"/>
          <w:highlight w:val="none"/>
          <w:u w:val="none"/>
        </w:rPr>
      </w:pPr>
    </w:p>
    <w:p>
      <w:pPr>
        <w:spacing w:line="480" w:lineRule="auto"/>
        <w:rPr>
          <w:rFonts w:hint="eastAsia" w:ascii="仿宋" w:hAnsi="仿宋" w:eastAsia="仿宋" w:cs="仿宋"/>
          <w:b/>
          <w:bCs/>
          <w:color w:val="auto"/>
          <w:sz w:val="24"/>
          <w:szCs w:val="24"/>
          <w:highlight w:val="none"/>
          <w:u w:val="none"/>
          <w:lang w:eastAsia="zh-CN"/>
        </w:rPr>
      </w:pPr>
      <w:r>
        <w:rPr>
          <w:rFonts w:hint="eastAsia" w:ascii="仿宋" w:hAnsi="仿宋" w:eastAsia="仿宋" w:cs="仿宋"/>
          <w:b/>
          <w:bCs/>
          <w:color w:val="auto"/>
          <w:sz w:val="24"/>
          <w:szCs w:val="24"/>
          <w:highlight w:val="none"/>
          <w:u w:val="none"/>
          <w:lang w:eastAsia="zh-CN"/>
        </w:rPr>
        <w:t>注：联合体的则须联合体各方的单位名称及盖章。</w:t>
      </w:r>
    </w:p>
    <w:p>
      <w:pPr>
        <w:rPr>
          <w:rFonts w:hint="eastAsia" w:ascii="仿宋" w:hAnsi="仿宋" w:eastAsia="仿宋" w:cs="仿宋"/>
          <w:b/>
          <w:bCs/>
          <w:color w:val="auto"/>
          <w:sz w:val="24"/>
          <w:szCs w:val="24"/>
          <w:highlight w:val="none"/>
          <w:u w:val="none"/>
        </w:rPr>
      </w:pPr>
      <w:r>
        <w:rPr>
          <w:rFonts w:hint="eastAsia" w:ascii="仿宋" w:hAnsi="仿宋" w:eastAsia="仿宋" w:cs="仿宋"/>
          <w:b/>
          <w:bCs/>
          <w:color w:val="auto"/>
          <w:sz w:val="24"/>
          <w:szCs w:val="24"/>
          <w:highlight w:val="none"/>
          <w:u w:val="none"/>
        </w:rPr>
        <w:br w:type="page"/>
      </w:r>
    </w:p>
    <w:p>
      <w:pPr>
        <w:jc w:val="center"/>
        <w:rPr>
          <w:rFonts w:hint="eastAsia" w:ascii="仿宋" w:hAnsi="仿宋" w:eastAsia="仿宋" w:cs="仿宋"/>
          <w:b/>
          <w:bCs w:val="0"/>
          <w:color w:val="auto"/>
          <w:spacing w:val="-7"/>
          <w:sz w:val="32"/>
          <w:szCs w:val="32"/>
          <w:highlight w:val="none"/>
        </w:rPr>
      </w:pPr>
      <w:r>
        <w:rPr>
          <w:rFonts w:hint="eastAsia" w:ascii="仿宋" w:hAnsi="仿宋" w:eastAsia="仿宋" w:cs="仿宋"/>
          <w:b/>
          <w:bCs w:val="0"/>
          <w:color w:val="auto"/>
          <w:spacing w:val="-7"/>
          <w:sz w:val="28"/>
          <w:szCs w:val="28"/>
          <w:highlight w:val="none"/>
        </w:rPr>
        <w:t>【中小企业声明函格式】</w:t>
      </w:r>
    </w:p>
    <w:p>
      <w:pPr>
        <w:rPr>
          <w:rFonts w:hint="eastAsia" w:ascii="仿宋" w:hAnsi="仿宋" w:eastAsia="仿宋" w:cs="仿宋"/>
          <w:b w:val="0"/>
          <w:bCs/>
          <w:color w:val="auto"/>
          <w:sz w:val="32"/>
          <w:szCs w:val="32"/>
          <w:highlight w:val="none"/>
        </w:rPr>
      </w:pPr>
    </w:p>
    <w:p>
      <w:pPr>
        <w:spacing w:before="72" w:line="480" w:lineRule="auto"/>
        <w:rPr>
          <w:rFonts w:hint="eastAsia" w:ascii="仿宋" w:hAnsi="仿宋" w:eastAsia="仿宋" w:cs="仿宋"/>
          <w:b w:val="0"/>
          <w:color w:val="auto"/>
          <w:sz w:val="21"/>
          <w:highlight w:val="none"/>
        </w:rPr>
      </w:pPr>
    </w:p>
    <w:p>
      <w:pPr>
        <w:spacing w:before="26"/>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中小企业声明函</w:t>
      </w:r>
    </w:p>
    <w:p>
      <w:pPr>
        <w:pStyle w:val="19"/>
        <w:rPr>
          <w:rFonts w:hint="eastAsia" w:ascii="仿宋" w:hAnsi="仿宋" w:eastAsia="仿宋" w:cs="仿宋"/>
          <w:b w:val="0"/>
          <w:color w:val="auto"/>
          <w:sz w:val="32"/>
          <w:highlight w:val="none"/>
        </w:rPr>
      </w:pPr>
    </w:p>
    <w:p>
      <w:pPr>
        <w:pStyle w:val="19"/>
        <w:spacing w:before="10"/>
        <w:rPr>
          <w:rFonts w:hint="eastAsia" w:ascii="仿宋" w:hAnsi="仿宋" w:eastAsia="仿宋" w:cs="仿宋"/>
          <w:b w:val="0"/>
          <w:color w:val="auto"/>
          <w:sz w:val="30"/>
          <w:highlight w:val="none"/>
        </w:rPr>
      </w:pPr>
    </w:p>
    <w:p>
      <w:pPr>
        <w:keepNext w:val="0"/>
        <w:keepLines w:val="0"/>
        <w:pageBreakBefore w:val="0"/>
        <w:widowControl w:val="0"/>
        <w:tabs>
          <w:tab w:val="left" w:pos="9573"/>
        </w:tabs>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本公</w:t>
      </w:r>
      <w:r>
        <w:rPr>
          <w:rFonts w:hint="eastAsia" w:ascii="仿宋" w:hAnsi="仿宋" w:eastAsia="仿宋" w:cs="仿宋"/>
          <w:b w:val="0"/>
          <w:color w:val="auto"/>
          <w:spacing w:val="-3"/>
          <w:sz w:val="24"/>
          <w:szCs w:val="24"/>
          <w:highlight w:val="none"/>
        </w:rPr>
        <w:t>司</w:t>
      </w:r>
      <w:r>
        <w:rPr>
          <w:rFonts w:hint="eastAsia" w:ascii="仿宋" w:hAnsi="仿宋" w:eastAsia="仿宋" w:cs="仿宋"/>
          <w:b w:val="0"/>
          <w:color w:val="auto"/>
          <w:sz w:val="24"/>
          <w:szCs w:val="24"/>
          <w:highlight w:val="none"/>
        </w:rPr>
        <w:t>郑</w:t>
      </w:r>
      <w:r>
        <w:rPr>
          <w:rFonts w:hint="eastAsia" w:ascii="仿宋" w:hAnsi="仿宋" w:eastAsia="仿宋" w:cs="仿宋"/>
          <w:b w:val="0"/>
          <w:color w:val="auto"/>
          <w:spacing w:val="-3"/>
          <w:sz w:val="24"/>
          <w:szCs w:val="24"/>
          <w:highlight w:val="none"/>
        </w:rPr>
        <w:t>重</w:t>
      </w:r>
      <w:r>
        <w:rPr>
          <w:rFonts w:hint="eastAsia" w:ascii="仿宋" w:hAnsi="仿宋" w:eastAsia="仿宋" w:cs="仿宋"/>
          <w:b w:val="0"/>
          <w:color w:val="auto"/>
          <w:sz w:val="24"/>
          <w:szCs w:val="24"/>
          <w:highlight w:val="none"/>
        </w:rPr>
        <w:t>声</w:t>
      </w:r>
      <w:r>
        <w:rPr>
          <w:rFonts w:hint="eastAsia" w:ascii="仿宋" w:hAnsi="仿宋" w:eastAsia="仿宋" w:cs="仿宋"/>
          <w:b w:val="0"/>
          <w:color w:val="auto"/>
          <w:spacing w:val="-3"/>
          <w:sz w:val="24"/>
          <w:szCs w:val="24"/>
          <w:highlight w:val="none"/>
        </w:rPr>
        <w:t>明</w:t>
      </w:r>
      <w:r>
        <w:rPr>
          <w:rFonts w:hint="eastAsia" w:ascii="仿宋" w:hAnsi="仿宋" w:eastAsia="仿宋" w:cs="仿宋"/>
          <w:b w:val="0"/>
          <w:color w:val="auto"/>
          <w:spacing w:val="-17"/>
          <w:sz w:val="24"/>
          <w:szCs w:val="24"/>
          <w:highlight w:val="none"/>
        </w:rPr>
        <w:t>，</w:t>
      </w:r>
      <w:r>
        <w:rPr>
          <w:rFonts w:hint="eastAsia" w:ascii="仿宋" w:hAnsi="仿宋" w:eastAsia="仿宋" w:cs="仿宋"/>
          <w:b w:val="0"/>
          <w:color w:val="auto"/>
          <w:sz w:val="24"/>
          <w:szCs w:val="24"/>
          <w:highlight w:val="none"/>
        </w:rPr>
        <w:t>根</w:t>
      </w:r>
      <w:r>
        <w:rPr>
          <w:rFonts w:hint="eastAsia" w:ascii="仿宋" w:hAnsi="仿宋" w:eastAsia="仿宋" w:cs="仿宋"/>
          <w:b w:val="0"/>
          <w:color w:val="auto"/>
          <w:spacing w:val="-17"/>
          <w:sz w:val="24"/>
          <w:szCs w:val="24"/>
          <w:highlight w:val="none"/>
        </w:rPr>
        <w:t>据</w:t>
      </w:r>
      <w:r>
        <w:rPr>
          <w:rFonts w:hint="eastAsia" w:ascii="仿宋" w:hAnsi="仿宋" w:eastAsia="仿宋" w:cs="仿宋"/>
          <w:b w:val="0"/>
          <w:color w:val="auto"/>
          <w:spacing w:val="-3"/>
          <w:sz w:val="24"/>
          <w:szCs w:val="24"/>
          <w:highlight w:val="none"/>
        </w:rPr>
        <w:t>《</w:t>
      </w:r>
      <w:r>
        <w:rPr>
          <w:rFonts w:hint="eastAsia" w:ascii="仿宋" w:hAnsi="仿宋" w:eastAsia="仿宋" w:cs="仿宋"/>
          <w:b w:val="0"/>
          <w:color w:val="auto"/>
          <w:sz w:val="24"/>
          <w:szCs w:val="24"/>
          <w:highlight w:val="none"/>
        </w:rPr>
        <w:t>政府</w:t>
      </w:r>
      <w:r>
        <w:rPr>
          <w:rFonts w:hint="eastAsia" w:ascii="仿宋" w:hAnsi="仿宋" w:eastAsia="仿宋" w:cs="仿宋"/>
          <w:b w:val="0"/>
          <w:color w:val="auto"/>
          <w:spacing w:val="-3"/>
          <w:sz w:val="24"/>
          <w:szCs w:val="24"/>
          <w:highlight w:val="none"/>
        </w:rPr>
        <w:t>采</w:t>
      </w:r>
      <w:r>
        <w:rPr>
          <w:rFonts w:hint="eastAsia" w:ascii="仿宋" w:hAnsi="仿宋" w:eastAsia="仿宋" w:cs="仿宋"/>
          <w:b w:val="0"/>
          <w:color w:val="auto"/>
          <w:sz w:val="24"/>
          <w:szCs w:val="24"/>
          <w:highlight w:val="none"/>
        </w:rPr>
        <w:t>购</w:t>
      </w:r>
      <w:r>
        <w:rPr>
          <w:rFonts w:hint="eastAsia" w:ascii="仿宋" w:hAnsi="仿宋" w:eastAsia="仿宋" w:cs="仿宋"/>
          <w:b w:val="0"/>
          <w:color w:val="auto"/>
          <w:spacing w:val="-3"/>
          <w:sz w:val="24"/>
          <w:szCs w:val="24"/>
          <w:highlight w:val="none"/>
        </w:rPr>
        <w:t>促</w:t>
      </w:r>
      <w:r>
        <w:rPr>
          <w:rFonts w:hint="eastAsia" w:ascii="仿宋" w:hAnsi="仿宋" w:eastAsia="仿宋" w:cs="仿宋"/>
          <w:b w:val="0"/>
          <w:color w:val="auto"/>
          <w:sz w:val="24"/>
          <w:szCs w:val="24"/>
          <w:highlight w:val="none"/>
        </w:rPr>
        <w:t>进</w:t>
      </w:r>
      <w:r>
        <w:rPr>
          <w:rFonts w:hint="eastAsia" w:ascii="仿宋" w:hAnsi="仿宋" w:eastAsia="仿宋" w:cs="仿宋"/>
          <w:b w:val="0"/>
          <w:color w:val="auto"/>
          <w:spacing w:val="-3"/>
          <w:sz w:val="24"/>
          <w:szCs w:val="24"/>
          <w:highlight w:val="none"/>
        </w:rPr>
        <w:t>中</w:t>
      </w:r>
      <w:r>
        <w:rPr>
          <w:rFonts w:hint="eastAsia" w:ascii="仿宋" w:hAnsi="仿宋" w:eastAsia="仿宋" w:cs="仿宋"/>
          <w:b w:val="0"/>
          <w:color w:val="auto"/>
          <w:sz w:val="24"/>
          <w:szCs w:val="24"/>
          <w:highlight w:val="none"/>
        </w:rPr>
        <w:t>小</w:t>
      </w:r>
      <w:r>
        <w:rPr>
          <w:rFonts w:hint="eastAsia" w:ascii="仿宋" w:hAnsi="仿宋" w:eastAsia="仿宋" w:cs="仿宋"/>
          <w:b w:val="0"/>
          <w:color w:val="auto"/>
          <w:spacing w:val="-3"/>
          <w:sz w:val="24"/>
          <w:szCs w:val="24"/>
          <w:highlight w:val="none"/>
        </w:rPr>
        <w:t>企</w:t>
      </w:r>
      <w:r>
        <w:rPr>
          <w:rFonts w:hint="eastAsia" w:ascii="仿宋" w:hAnsi="仿宋" w:eastAsia="仿宋" w:cs="仿宋"/>
          <w:b w:val="0"/>
          <w:color w:val="auto"/>
          <w:sz w:val="24"/>
          <w:szCs w:val="24"/>
          <w:highlight w:val="none"/>
        </w:rPr>
        <w:t>业</w:t>
      </w:r>
      <w:r>
        <w:rPr>
          <w:rFonts w:hint="eastAsia" w:ascii="仿宋" w:hAnsi="仿宋" w:eastAsia="仿宋" w:cs="仿宋"/>
          <w:b w:val="0"/>
          <w:color w:val="auto"/>
          <w:spacing w:val="-3"/>
          <w:sz w:val="24"/>
          <w:szCs w:val="24"/>
          <w:highlight w:val="none"/>
        </w:rPr>
        <w:t>发</w:t>
      </w:r>
      <w:r>
        <w:rPr>
          <w:rFonts w:hint="eastAsia" w:ascii="仿宋" w:hAnsi="仿宋" w:eastAsia="仿宋" w:cs="仿宋"/>
          <w:b w:val="0"/>
          <w:color w:val="auto"/>
          <w:sz w:val="24"/>
          <w:szCs w:val="24"/>
          <w:highlight w:val="none"/>
        </w:rPr>
        <w:t>展暂</w:t>
      </w:r>
      <w:r>
        <w:rPr>
          <w:rFonts w:hint="eastAsia" w:ascii="仿宋" w:hAnsi="仿宋" w:eastAsia="仿宋" w:cs="仿宋"/>
          <w:b w:val="0"/>
          <w:color w:val="auto"/>
          <w:spacing w:val="-3"/>
          <w:sz w:val="24"/>
          <w:szCs w:val="24"/>
          <w:highlight w:val="none"/>
        </w:rPr>
        <w:t>行</w:t>
      </w:r>
      <w:r>
        <w:rPr>
          <w:rFonts w:hint="eastAsia" w:ascii="仿宋" w:hAnsi="仿宋" w:eastAsia="仿宋" w:cs="仿宋"/>
          <w:b w:val="0"/>
          <w:color w:val="auto"/>
          <w:sz w:val="24"/>
          <w:szCs w:val="24"/>
          <w:highlight w:val="none"/>
        </w:rPr>
        <w:t>办</w:t>
      </w:r>
      <w:r>
        <w:rPr>
          <w:rFonts w:hint="eastAsia" w:ascii="仿宋" w:hAnsi="仿宋" w:eastAsia="仿宋" w:cs="仿宋"/>
          <w:b w:val="0"/>
          <w:color w:val="auto"/>
          <w:spacing w:val="-3"/>
          <w:sz w:val="24"/>
          <w:szCs w:val="24"/>
          <w:highlight w:val="none"/>
        </w:rPr>
        <w:t>法</w:t>
      </w:r>
      <w:r>
        <w:rPr>
          <w:rFonts w:hint="eastAsia" w:ascii="仿宋" w:hAnsi="仿宋" w:eastAsia="仿宋" w:cs="仿宋"/>
          <w:b w:val="0"/>
          <w:color w:val="auto"/>
          <w:spacing w:val="-32"/>
          <w:sz w:val="24"/>
          <w:szCs w:val="24"/>
          <w:highlight w:val="none"/>
        </w:rPr>
        <w:t>》</w:t>
      </w:r>
      <w:r>
        <w:rPr>
          <w:rFonts w:hint="eastAsia" w:ascii="仿宋" w:hAnsi="仿宋" w:eastAsia="仿宋" w:cs="仿宋"/>
          <w:b w:val="0"/>
          <w:color w:val="auto"/>
          <w:sz w:val="24"/>
          <w:szCs w:val="24"/>
          <w:highlight w:val="none"/>
        </w:rPr>
        <w:t>（</w:t>
      </w:r>
      <w:r>
        <w:rPr>
          <w:rFonts w:hint="eastAsia" w:ascii="仿宋" w:hAnsi="仿宋" w:eastAsia="仿宋" w:cs="仿宋"/>
          <w:b w:val="0"/>
          <w:color w:val="auto"/>
          <w:spacing w:val="-3"/>
          <w:sz w:val="24"/>
          <w:szCs w:val="24"/>
          <w:highlight w:val="none"/>
        </w:rPr>
        <w:t>财</w:t>
      </w:r>
      <w:r>
        <w:rPr>
          <w:rFonts w:hint="eastAsia" w:ascii="仿宋" w:hAnsi="仿宋" w:eastAsia="仿宋" w:cs="仿宋"/>
          <w:b w:val="0"/>
          <w:color w:val="auto"/>
          <w:sz w:val="24"/>
          <w:szCs w:val="24"/>
          <w:highlight w:val="none"/>
        </w:rPr>
        <w:t>库[2011]181</w:t>
      </w:r>
      <w:r>
        <w:rPr>
          <w:rFonts w:hint="eastAsia" w:ascii="仿宋" w:hAnsi="仿宋" w:eastAsia="仿宋" w:cs="仿宋"/>
          <w:b w:val="0"/>
          <w:color w:val="auto"/>
          <w:spacing w:val="-23"/>
          <w:sz w:val="24"/>
          <w:szCs w:val="24"/>
          <w:highlight w:val="none"/>
        </w:rPr>
        <w:t xml:space="preserve"> </w:t>
      </w:r>
      <w:r>
        <w:rPr>
          <w:rFonts w:hint="eastAsia" w:ascii="仿宋" w:hAnsi="仿宋" w:eastAsia="仿宋" w:cs="仿宋"/>
          <w:b w:val="0"/>
          <w:color w:val="auto"/>
          <w:sz w:val="24"/>
          <w:szCs w:val="24"/>
          <w:highlight w:val="none"/>
        </w:rPr>
        <w:t>号</w:t>
      </w:r>
      <w:r>
        <w:rPr>
          <w:rFonts w:hint="eastAsia" w:ascii="仿宋" w:hAnsi="仿宋" w:eastAsia="仿宋" w:cs="仿宋"/>
          <w:b w:val="0"/>
          <w:color w:val="auto"/>
          <w:spacing w:val="-17"/>
          <w:sz w:val="24"/>
          <w:szCs w:val="24"/>
          <w:highlight w:val="none"/>
        </w:rPr>
        <w:t>）</w:t>
      </w:r>
      <w:r>
        <w:rPr>
          <w:rFonts w:hint="eastAsia" w:ascii="仿宋" w:hAnsi="仿宋" w:eastAsia="仿宋" w:cs="仿宋"/>
          <w:b w:val="0"/>
          <w:color w:val="auto"/>
          <w:spacing w:val="-29"/>
          <w:sz w:val="24"/>
          <w:szCs w:val="24"/>
          <w:highlight w:val="none"/>
        </w:rPr>
        <w:t>、</w:t>
      </w:r>
      <w:r>
        <w:rPr>
          <w:rFonts w:hint="eastAsia" w:ascii="仿宋" w:hAnsi="仿宋" w:eastAsia="仿宋" w:cs="仿宋"/>
          <w:b w:val="0"/>
          <w:color w:val="auto"/>
          <w:spacing w:val="-3"/>
          <w:sz w:val="24"/>
          <w:szCs w:val="24"/>
          <w:highlight w:val="none"/>
        </w:rPr>
        <w:t>《</w:t>
      </w:r>
      <w:r>
        <w:rPr>
          <w:rFonts w:hint="eastAsia" w:ascii="仿宋" w:hAnsi="仿宋" w:eastAsia="仿宋" w:cs="仿宋"/>
          <w:b w:val="0"/>
          <w:color w:val="auto"/>
          <w:sz w:val="24"/>
          <w:szCs w:val="24"/>
          <w:highlight w:val="none"/>
        </w:rPr>
        <w:t>关</w:t>
      </w:r>
      <w:r>
        <w:rPr>
          <w:rFonts w:hint="eastAsia" w:ascii="仿宋" w:hAnsi="仿宋" w:eastAsia="仿宋" w:cs="仿宋"/>
          <w:b w:val="0"/>
          <w:color w:val="auto"/>
          <w:spacing w:val="-3"/>
          <w:sz w:val="24"/>
          <w:szCs w:val="24"/>
          <w:highlight w:val="none"/>
        </w:rPr>
        <w:t>于</w:t>
      </w:r>
      <w:r>
        <w:rPr>
          <w:rFonts w:hint="eastAsia" w:ascii="仿宋" w:hAnsi="仿宋" w:eastAsia="仿宋" w:cs="仿宋"/>
          <w:b w:val="0"/>
          <w:color w:val="auto"/>
          <w:sz w:val="24"/>
          <w:szCs w:val="24"/>
          <w:highlight w:val="none"/>
        </w:rPr>
        <w:t>我区政</w:t>
      </w:r>
      <w:r>
        <w:rPr>
          <w:rFonts w:hint="eastAsia" w:ascii="仿宋" w:hAnsi="仿宋" w:eastAsia="仿宋" w:cs="仿宋"/>
          <w:b w:val="0"/>
          <w:color w:val="auto"/>
          <w:spacing w:val="-3"/>
          <w:sz w:val="24"/>
          <w:szCs w:val="24"/>
          <w:highlight w:val="none"/>
        </w:rPr>
        <w:t>府</w:t>
      </w:r>
      <w:r>
        <w:rPr>
          <w:rFonts w:hint="eastAsia" w:ascii="仿宋" w:hAnsi="仿宋" w:eastAsia="仿宋" w:cs="仿宋"/>
          <w:b w:val="0"/>
          <w:color w:val="auto"/>
          <w:sz w:val="24"/>
          <w:szCs w:val="24"/>
          <w:highlight w:val="none"/>
        </w:rPr>
        <w:t>采</w:t>
      </w:r>
      <w:r>
        <w:rPr>
          <w:rFonts w:hint="eastAsia" w:ascii="仿宋" w:hAnsi="仿宋" w:eastAsia="仿宋" w:cs="仿宋"/>
          <w:b w:val="0"/>
          <w:color w:val="auto"/>
          <w:spacing w:val="-3"/>
          <w:sz w:val="24"/>
          <w:szCs w:val="24"/>
          <w:highlight w:val="none"/>
        </w:rPr>
        <w:t>购</w:t>
      </w:r>
      <w:r>
        <w:rPr>
          <w:rFonts w:hint="eastAsia" w:ascii="仿宋" w:hAnsi="仿宋" w:eastAsia="仿宋" w:cs="仿宋"/>
          <w:b w:val="0"/>
          <w:color w:val="auto"/>
          <w:sz w:val="24"/>
          <w:szCs w:val="24"/>
          <w:highlight w:val="none"/>
        </w:rPr>
        <w:t>支</w:t>
      </w:r>
      <w:r>
        <w:rPr>
          <w:rFonts w:hint="eastAsia" w:ascii="仿宋" w:hAnsi="仿宋" w:eastAsia="仿宋" w:cs="仿宋"/>
          <w:b w:val="0"/>
          <w:color w:val="auto"/>
          <w:spacing w:val="-3"/>
          <w:sz w:val="24"/>
          <w:szCs w:val="24"/>
          <w:highlight w:val="none"/>
        </w:rPr>
        <w:t>持</w:t>
      </w:r>
      <w:r>
        <w:rPr>
          <w:rFonts w:hint="eastAsia" w:ascii="仿宋" w:hAnsi="仿宋" w:eastAsia="仿宋" w:cs="仿宋"/>
          <w:b w:val="0"/>
          <w:color w:val="auto"/>
          <w:sz w:val="24"/>
          <w:szCs w:val="24"/>
          <w:highlight w:val="none"/>
        </w:rPr>
        <w:t>监</w:t>
      </w:r>
      <w:r>
        <w:rPr>
          <w:rFonts w:hint="eastAsia" w:ascii="仿宋" w:hAnsi="仿宋" w:eastAsia="仿宋" w:cs="仿宋"/>
          <w:b w:val="0"/>
          <w:color w:val="auto"/>
          <w:spacing w:val="-3"/>
          <w:sz w:val="24"/>
          <w:szCs w:val="24"/>
          <w:highlight w:val="none"/>
        </w:rPr>
        <w:t>狱</w:t>
      </w:r>
      <w:r>
        <w:rPr>
          <w:rFonts w:hint="eastAsia" w:ascii="仿宋" w:hAnsi="仿宋" w:eastAsia="仿宋" w:cs="仿宋"/>
          <w:b w:val="0"/>
          <w:color w:val="auto"/>
          <w:sz w:val="24"/>
          <w:szCs w:val="24"/>
          <w:highlight w:val="none"/>
        </w:rPr>
        <w:t>企</w:t>
      </w:r>
      <w:r>
        <w:rPr>
          <w:rFonts w:hint="eastAsia" w:ascii="仿宋" w:hAnsi="仿宋" w:eastAsia="仿宋" w:cs="仿宋"/>
          <w:b w:val="0"/>
          <w:color w:val="auto"/>
          <w:spacing w:val="-3"/>
          <w:sz w:val="24"/>
          <w:szCs w:val="24"/>
          <w:highlight w:val="none"/>
        </w:rPr>
        <w:t>业</w:t>
      </w:r>
      <w:r>
        <w:rPr>
          <w:rFonts w:hint="eastAsia" w:ascii="仿宋" w:hAnsi="仿宋" w:eastAsia="仿宋" w:cs="仿宋"/>
          <w:b w:val="0"/>
          <w:color w:val="auto"/>
          <w:sz w:val="24"/>
          <w:szCs w:val="24"/>
          <w:highlight w:val="none"/>
        </w:rPr>
        <w:t>发展</w:t>
      </w:r>
      <w:r>
        <w:rPr>
          <w:rFonts w:hint="eastAsia" w:ascii="仿宋" w:hAnsi="仿宋" w:eastAsia="仿宋" w:cs="仿宋"/>
          <w:b w:val="0"/>
          <w:color w:val="auto"/>
          <w:spacing w:val="-3"/>
          <w:sz w:val="24"/>
          <w:szCs w:val="24"/>
          <w:highlight w:val="none"/>
        </w:rPr>
        <w:t>有</w:t>
      </w:r>
      <w:r>
        <w:rPr>
          <w:rFonts w:hint="eastAsia" w:ascii="仿宋" w:hAnsi="仿宋" w:eastAsia="仿宋" w:cs="仿宋"/>
          <w:b w:val="0"/>
          <w:color w:val="auto"/>
          <w:sz w:val="24"/>
          <w:szCs w:val="24"/>
          <w:highlight w:val="none"/>
        </w:rPr>
        <w:t>关</w:t>
      </w:r>
      <w:r>
        <w:rPr>
          <w:rFonts w:hint="eastAsia" w:ascii="仿宋" w:hAnsi="仿宋" w:eastAsia="仿宋" w:cs="仿宋"/>
          <w:b w:val="0"/>
          <w:color w:val="auto"/>
          <w:spacing w:val="-3"/>
          <w:sz w:val="24"/>
          <w:szCs w:val="24"/>
          <w:highlight w:val="none"/>
        </w:rPr>
        <w:t>问</w:t>
      </w:r>
      <w:r>
        <w:rPr>
          <w:rFonts w:hint="eastAsia" w:ascii="仿宋" w:hAnsi="仿宋" w:eastAsia="仿宋" w:cs="仿宋"/>
          <w:b w:val="0"/>
          <w:color w:val="auto"/>
          <w:sz w:val="24"/>
          <w:szCs w:val="24"/>
          <w:highlight w:val="none"/>
        </w:rPr>
        <w:t>题</w:t>
      </w:r>
      <w:r>
        <w:rPr>
          <w:rFonts w:hint="eastAsia" w:ascii="仿宋" w:hAnsi="仿宋" w:eastAsia="仿宋" w:cs="仿宋"/>
          <w:b w:val="0"/>
          <w:color w:val="auto"/>
          <w:spacing w:val="-3"/>
          <w:sz w:val="24"/>
          <w:szCs w:val="24"/>
          <w:highlight w:val="none"/>
        </w:rPr>
        <w:t>的</w:t>
      </w:r>
      <w:r>
        <w:rPr>
          <w:rFonts w:hint="eastAsia" w:ascii="仿宋" w:hAnsi="仿宋" w:eastAsia="仿宋" w:cs="仿宋"/>
          <w:b w:val="0"/>
          <w:color w:val="auto"/>
          <w:sz w:val="24"/>
          <w:szCs w:val="24"/>
          <w:highlight w:val="none"/>
        </w:rPr>
        <w:t>通</w:t>
      </w:r>
      <w:r>
        <w:rPr>
          <w:rFonts w:hint="eastAsia" w:ascii="仿宋" w:hAnsi="仿宋" w:eastAsia="仿宋" w:cs="仿宋"/>
          <w:b w:val="0"/>
          <w:color w:val="auto"/>
          <w:spacing w:val="-3"/>
          <w:sz w:val="24"/>
          <w:szCs w:val="24"/>
          <w:highlight w:val="none"/>
        </w:rPr>
        <w:t>知</w:t>
      </w:r>
      <w:r>
        <w:rPr>
          <w:rFonts w:hint="eastAsia" w:ascii="仿宋" w:hAnsi="仿宋" w:eastAsia="仿宋" w:cs="仿宋"/>
          <w:b w:val="0"/>
          <w:color w:val="auto"/>
          <w:sz w:val="24"/>
          <w:szCs w:val="24"/>
          <w:highlight w:val="none"/>
        </w:rPr>
        <w:t>》</w:t>
      </w:r>
      <w:r>
        <w:rPr>
          <w:rFonts w:hint="eastAsia" w:ascii="仿宋" w:hAnsi="仿宋" w:eastAsia="仿宋" w:cs="仿宋"/>
          <w:b w:val="0"/>
          <w:color w:val="auto"/>
          <w:spacing w:val="-3"/>
          <w:sz w:val="24"/>
          <w:szCs w:val="24"/>
          <w:highlight w:val="none"/>
        </w:rPr>
        <w:t>（</w:t>
      </w:r>
      <w:r>
        <w:rPr>
          <w:rFonts w:hint="eastAsia" w:ascii="仿宋" w:hAnsi="仿宋" w:eastAsia="仿宋" w:cs="仿宋"/>
          <w:b w:val="0"/>
          <w:color w:val="auto"/>
          <w:sz w:val="24"/>
          <w:szCs w:val="24"/>
          <w:highlight w:val="none"/>
        </w:rPr>
        <w:t>桂财</w:t>
      </w:r>
      <w:r>
        <w:rPr>
          <w:rFonts w:hint="eastAsia" w:ascii="仿宋" w:hAnsi="仿宋" w:eastAsia="仿宋" w:cs="仿宋"/>
          <w:b w:val="0"/>
          <w:color w:val="auto"/>
          <w:spacing w:val="-3"/>
          <w:sz w:val="24"/>
          <w:szCs w:val="24"/>
          <w:highlight w:val="none"/>
        </w:rPr>
        <w:t>采</w:t>
      </w:r>
      <w:r>
        <w:rPr>
          <w:rFonts w:hint="eastAsia" w:ascii="仿宋" w:hAnsi="仿宋" w:eastAsia="仿宋" w:cs="仿宋"/>
          <w:b w:val="0"/>
          <w:color w:val="auto"/>
          <w:sz w:val="24"/>
          <w:szCs w:val="24"/>
          <w:highlight w:val="none"/>
        </w:rPr>
        <w:t>[2015]24</w:t>
      </w:r>
      <w:r>
        <w:rPr>
          <w:rFonts w:hint="eastAsia" w:ascii="仿宋" w:hAnsi="仿宋" w:eastAsia="仿宋" w:cs="仿宋"/>
          <w:b w:val="0"/>
          <w:color w:val="auto"/>
          <w:spacing w:val="-43"/>
          <w:sz w:val="24"/>
          <w:szCs w:val="24"/>
          <w:highlight w:val="none"/>
        </w:rPr>
        <w:t xml:space="preserve"> </w:t>
      </w:r>
      <w:r>
        <w:rPr>
          <w:rFonts w:hint="eastAsia" w:ascii="仿宋" w:hAnsi="仿宋" w:eastAsia="仿宋" w:cs="仿宋"/>
          <w:b w:val="0"/>
          <w:color w:val="auto"/>
          <w:spacing w:val="-3"/>
          <w:sz w:val="24"/>
          <w:szCs w:val="24"/>
          <w:highlight w:val="none"/>
        </w:rPr>
        <w:t>号</w:t>
      </w:r>
      <w:r>
        <w:rPr>
          <w:rFonts w:hint="eastAsia" w:ascii="仿宋" w:hAnsi="仿宋" w:eastAsia="仿宋" w:cs="仿宋"/>
          <w:b w:val="0"/>
          <w:color w:val="auto"/>
          <w:sz w:val="24"/>
          <w:szCs w:val="24"/>
          <w:highlight w:val="none"/>
        </w:rPr>
        <w:t>）</w:t>
      </w:r>
      <w:r>
        <w:rPr>
          <w:rFonts w:hint="eastAsia" w:ascii="仿宋" w:hAnsi="仿宋" w:eastAsia="仿宋" w:cs="仿宋"/>
          <w:b w:val="0"/>
          <w:color w:val="auto"/>
          <w:spacing w:val="-3"/>
          <w:sz w:val="24"/>
          <w:szCs w:val="24"/>
          <w:highlight w:val="none"/>
        </w:rPr>
        <w:t>的规</w:t>
      </w:r>
      <w:r>
        <w:rPr>
          <w:rFonts w:hint="eastAsia" w:ascii="仿宋" w:hAnsi="仿宋" w:eastAsia="仿宋" w:cs="仿宋"/>
          <w:b w:val="0"/>
          <w:color w:val="auto"/>
          <w:sz w:val="24"/>
          <w:szCs w:val="24"/>
          <w:highlight w:val="none"/>
        </w:rPr>
        <w:t>定，</w:t>
      </w:r>
      <w:r>
        <w:rPr>
          <w:rFonts w:hint="eastAsia" w:ascii="仿宋" w:hAnsi="仿宋" w:eastAsia="仿宋" w:cs="仿宋"/>
          <w:b w:val="0"/>
          <w:color w:val="auto"/>
          <w:spacing w:val="-3"/>
          <w:sz w:val="24"/>
          <w:szCs w:val="24"/>
          <w:highlight w:val="none"/>
        </w:rPr>
        <w:t>本</w:t>
      </w:r>
      <w:r>
        <w:rPr>
          <w:rFonts w:hint="eastAsia" w:ascii="仿宋" w:hAnsi="仿宋" w:eastAsia="仿宋" w:cs="仿宋"/>
          <w:b w:val="0"/>
          <w:color w:val="auto"/>
          <w:sz w:val="24"/>
          <w:szCs w:val="24"/>
          <w:highlight w:val="none"/>
        </w:rPr>
        <w:t>公</w:t>
      </w:r>
      <w:r>
        <w:rPr>
          <w:rFonts w:hint="eastAsia" w:ascii="仿宋" w:hAnsi="仿宋" w:eastAsia="仿宋" w:cs="仿宋"/>
          <w:b w:val="0"/>
          <w:color w:val="auto"/>
          <w:spacing w:val="-3"/>
          <w:sz w:val="24"/>
          <w:szCs w:val="24"/>
          <w:highlight w:val="none"/>
        </w:rPr>
        <w:t>司</w:t>
      </w:r>
      <w:r>
        <w:rPr>
          <w:rFonts w:hint="eastAsia" w:ascii="仿宋" w:hAnsi="仿宋" w:eastAsia="仿宋" w:cs="仿宋"/>
          <w:b w:val="0"/>
          <w:color w:val="auto"/>
          <w:sz w:val="24"/>
          <w:szCs w:val="24"/>
          <w:highlight w:val="none"/>
        </w:rPr>
        <w:t>为</w:t>
      </w:r>
      <w:r>
        <w:rPr>
          <w:rFonts w:hint="eastAsia" w:ascii="仿宋" w:hAnsi="仿宋" w:eastAsia="仿宋" w:cs="仿宋"/>
          <w:b w:val="0"/>
          <w:color w:val="auto"/>
          <w:sz w:val="24"/>
          <w:szCs w:val="24"/>
          <w:highlight w:val="none"/>
          <w:u w:val="single"/>
        </w:rPr>
        <w:t xml:space="preserve">    </w:t>
      </w:r>
      <w:r>
        <w:rPr>
          <w:rFonts w:hint="eastAsia" w:ascii="仿宋" w:hAnsi="仿宋" w:eastAsia="仿宋" w:cs="仿宋"/>
          <w:b w:val="0"/>
          <w:color w:val="auto"/>
          <w:sz w:val="24"/>
          <w:szCs w:val="24"/>
          <w:highlight w:val="none"/>
        </w:rPr>
        <w:t>（请填写</w:t>
      </w:r>
      <w:r>
        <w:rPr>
          <w:rFonts w:hint="eastAsia" w:ascii="仿宋" w:hAnsi="仿宋" w:eastAsia="仿宋" w:cs="仿宋"/>
          <w:b w:val="0"/>
          <w:color w:val="auto"/>
          <w:spacing w:val="-3"/>
          <w:sz w:val="24"/>
          <w:szCs w:val="24"/>
          <w:highlight w:val="none"/>
        </w:rPr>
        <w:t>：</w:t>
      </w:r>
      <w:r>
        <w:rPr>
          <w:rFonts w:hint="eastAsia" w:ascii="仿宋" w:hAnsi="仿宋" w:eastAsia="仿宋" w:cs="仿宋"/>
          <w:b w:val="0"/>
          <w:color w:val="auto"/>
          <w:sz w:val="24"/>
          <w:szCs w:val="24"/>
          <w:highlight w:val="none"/>
        </w:rPr>
        <w:t>中</w:t>
      </w:r>
      <w:r>
        <w:rPr>
          <w:rFonts w:hint="eastAsia" w:ascii="仿宋" w:hAnsi="仿宋" w:eastAsia="仿宋" w:cs="仿宋"/>
          <w:b w:val="0"/>
          <w:color w:val="auto"/>
          <w:spacing w:val="-3"/>
          <w:sz w:val="24"/>
          <w:szCs w:val="24"/>
          <w:highlight w:val="none"/>
        </w:rPr>
        <w:t>型</w:t>
      </w:r>
      <w:r>
        <w:rPr>
          <w:rFonts w:hint="eastAsia" w:ascii="仿宋" w:hAnsi="仿宋" w:eastAsia="仿宋" w:cs="仿宋"/>
          <w:b w:val="0"/>
          <w:color w:val="auto"/>
          <w:sz w:val="24"/>
          <w:szCs w:val="24"/>
          <w:highlight w:val="none"/>
        </w:rPr>
        <w:t>、</w:t>
      </w:r>
      <w:r>
        <w:rPr>
          <w:rFonts w:hint="eastAsia" w:ascii="仿宋" w:hAnsi="仿宋" w:eastAsia="仿宋" w:cs="仿宋"/>
          <w:b w:val="0"/>
          <w:color w:val="auto"/>
          <w:spacing w:val="-3"/>
          <w:sz w:val="24"/>
          <w:szCs w:val="24"/>
          <w:highlight w:val="none"/>
        </w:rPr>
        <w:t>小</w:t>
      </w:r>
      <w:r>
        <w:rPr>
          <w:rFonts w:hint="eastAsia" w:ascii="仿宋" w:hAnsi="仿宋" w:eastAsia="仿宋" w:cs="仿宋"/>
          <w:b w:val="0"/>
          <w:color w:val="auto"/>
          <w:sz w:val="24"/>
          <w:szCs w:val="24"/>
          <w:highlight w:val="none"/>
        </w:rPr>
        <w:t>型</w:t>
      </w:r>
      <w:r>
        <w:rPr>
          <w:rFonts w:hint="eastAsia" w:ascii="仿宋" w:hAnsi="仿宋" w:eastAsia="仿宋" w:cs="仿宋"/>
          <w:b w:val="0"/>
          <w:color w:val="auto"/>
          <w:spacing w:val="-3"/>
          <w:sz w:val="24"/>
          <w:szCs w:val="24"/>
          <w:highlight w:val="none"/>
        </w:rPr>
        <w:t>、</w:t>
      </w:r>
      <w:r>
        <w:rPr>
          <w:rFonts w:hint="eastAsia" w:ascii="仿宋" w:hAnsi="仿宋" w:eastAsia="仿宋" w:cs="仿宋"/>
          <w:b w:val="0"/>
          <w:color w:val="auto"/>
          <w:sz w:val="24"/>
          <w:szCs w:val="24"/>
          <w:highlight w:val="none"/>
        </w:rPr>
        <w:t>微</w:t>
      </w:r>
      <w:r>
        <w:rPr>
          <w:rFonts w:hint="eastAsia" w:ascii="仿宋" w:hAnsi="仿宋" w:eastAsia="仿宋" w:cs="仿宋"/>
          <w:b w:val="0"/>
          <w:color w:val="auto"/>
          <w:spacing w:val="-3"/>
          <w:sz w:val="24"/>
          <w:szCs w:val="24"/>
          <w:highlight w:val="none"/>
        </w:rPr>
        <w:t>型</w:t>
      </w:r>
      <w:r>
        <w:rPr>
          <w:rFonts w:hint="eastAsia" w:ascii="仿宋" w:hAnsi="仿宋" w:eastAsia="仿宋" w:cs="仿宋"/>
          <w:b w:val="0"/>
          <w:color w:val="auto"/>
          <w:sz w:val="24"/>
          <w:szCs w:val="24"/>
          <w:highlight w:val="none"/>
        </w:rPr>
        <w:t>）企</w:t>
      </w:r>
      <w:r>
        <w:rPr>
          <w:rFonts w:hint="eastAsia" w:ascii="仿宋" w:hAnsi="仿宋" w:eastAsia="仿宋" w:cs="仿宋"/>
          <w:b w:val="0"/>
          <w:color w:val="auto"/>
          <w:spacing w:val="-3"/>
          <w:sz w:val="24"/>
          <w:szCs w:val="24"/>
          <w:highlight w:val="none"/>
        </w:rPr>
        <w:t>业</w:t>
      </w:r>
      <w:r>
        <w:rPr>
          <w:rFonts w:hint="eastAsia" w:ascii="仿宋" w:hAnsi="仿宋" w:eastAsia="仿宋" w:cs="仿宋"/>
          <w:b w:val="0"/>
          <w:color w:val="auto"/>
          <w:sz w:val="24"/>
          <w:szCs w:val="24"/>
          <w:highlight w:val="none"/>
        </w:rPr>
        <w:t>。</w:t>
      </w:r>
      <w:r>
        <w:rPr>
          <w:rFonts w:hint="eastAsia" w:ascii="仿宋" w:hAnsi="仿宋" w:eastAsia="仿宋" w:cs="仿宋"/>
          <w:b w:val="0"/>
          <w:color w:val="auto"/>
          <w:spacing w:val="-3"/>
          <w:sz w:val="24"/>
          <w:szCs w:val="24"/>
          <w:highlight w:val="none"/>
        </w:rPr>
        <w:t>即</w:t>
      </w:r>
      <w:r>
        <w:rPr>
          <w:rFonts w:hint="eastAsia" w:ascii="仿宋" w:hAnsi="仿宋" w:eastAsia="仿宋" w:cs="仿宋"/>
          <w:b w:val="0"/>
          <w:color w:val="auto"/>
          <w:sz w:val="24"/>
          <w:szCs w:val="24"/>
          <w:highlight w:val="none"/>
        </w:rPr>
        <w:t>，</w:t>
      </w:r>
      <w:r>
        <w:rPr>
          <w:rFonts w:hint="eastAsia" w:ascii="仿宋" w:hAnsi="仿宋" w:eastAsia="仿宋" w:cs="仿宋"/>
          <w:b w:val="0"/>
          <w:color w:val="auto"/>
          <w:spacing w:val="-3"/>
          <w:sz w:val="24"/>
          <w:szCs w:val="24"/>
          <w:highlight w:val="none"/>
        </w:rPr>
        <w:t>本</w:t>
      </w:r>
      <w:r>
        <w:rPr>
          <w:rFonts w:hint="eastAsia" w:ascii="仿宋" w:hAnsi="仿宋" w:eastAsia="仿宋" w:cs="仿宋"/>
          <w:b w:val="0"/>
          <w:color w:val="auto"/>
          <w:sz w:val="24"/>
          <w:szCs w:val="24"/>
          <w:highlight w:val="none"/>
        </w:rPr>
        <w:t>公</w:t>
      </w:r>
      <w:r>
        <w:rPr>
          <w:rFonts w:hint="eastAsia" w:ascii="仿宋" w:hAnsi="仿宋" w:eastAsia="仿宋" w:cs="仿宋"/>
          <w:b w:val="0"/>
          <w:color w:val="auto"/>
          <w:spacing w:val="-3"/>
          <w:sz w:val="24"/>
          <w:szCs w:val="24"/>
          <w:highlight w:val="none"/>
        </w:rPr>
        <w:t>司</w:t>
      </w:r>
      <w:r>
        <w:rPr>
          <w:rFonts w:hint="eastAsia" w:ascii="仿宋" w:hAnsi="仿宋" w:eastAsia="仿宋" w:cs="仿宋"/>
          <w:b w:val="0"/>
          <w:color w:val="auto"/>
          <w:sz w:val="24"/>
          <w:szCs w:val="24"/>
          <w:highlight w:val="none"/>
        </w:rPr>
        <w:t>同</w:t>
      </w:r>
      <w:r>
        <w:rPr>
          <w:rFonts w:hint="eastAsia" w:ascii="仿宋" w:hAnsi="仿宋" w:eastAsia="仿宋" w:cs="仿宋"/>
          <w:b w:val="0"/>
          <w:color w:val="auto"/>
          <w:spacing w:val="-3"/>
          <w:sz w:val="24"/>
          <w:szCs w:val="24"/>
          <w:highlight w:val="none"/>
        </w:rPr>
        <w:t>时</w:t>
      </w:r>
      <w:r>
        <w:rPr>
          <w:rFonts w:hint="eastAsia" w:ascii="仿宋" w:hAnsi="仿宋" w:eastAsia="仿宋" w:cs="仿宋"/>
          <w:b w:val="0"/>
          <w:color w:val="auto"/>
          <w:sz w:val="24"/>
          <w:szCs w:val="24"/>
          <w:highlight w:val="none"/>
        </w:rPr>
        <w:t>满足</w:t>
      </w:r>
      <w:r>
        <w:rPr>
          <w:rFonts w:hint="eastAsia" w:ascii="仿宋" w:hAnsi="仿宋" w:eastAsia="仿宋" w:cs="仿宋"/>
          <w:b w:val="0"/>
          <w:color w:val="auto"/>
          <w:spacing w:val="-3"/>
          <w:sz w:val="24"/>
          <w:szCs w:val="24"/>
          <w:highlight w:val="none"/>
        </w:rPr>
        <w:t>以</w:t>
      </w:r>
      <w:r>
        <w:rPr>
          <w:rFonts w:hint="eastAsia" w:ascii="仿宋" w:hAnsi="仿宋" w:eastAsia="仿宋" w:cs="仿宋"/>
          <w:b w:val="0"/>
          <w:color w:val="auto"/>
          <w:sz w:val="24"/>
          <w:szCs w:val="24"/>
          <w:highlight w:val="none"/>
        </w:rPr>
        <w:t>下</w:t>
      </w:r>
      <w:r>
        <w:rPr>
          <w:rFonts w:hint="eastAsia" w:ascii="仿宋" w:hAnsi="仿宋" w:eastAsia="仿宋" w:cs="仿宋"/>
          <w:b w:val="0"/>
          <w:color w:val="auto"/>
          <w:spacing w:val="-3"/>
          <w:sz w:val="24"/>
          <w:szCs w:val="24"/>
          <w:highlight w:val="none"/>
        </w:rPr>
        <w:t>条</w:t>
      </w:r>
      <w:r>
        <w:rPr>
          <w:rFonts w:hint="eastAsia" w:ascii="仿宋" w:hAnsi="仿宋" w:eastAsia="仿宋" w:cs="仿宋"/>
          <w:b w:val="0"/>
          <w:color w:val="auto"/>
          <w:sz w:val="24"/>
          <w:szCs w:val="24"/>
          <w:highlight w:val="none"/>
        </w:rPr>
        <w:t>件：</w:t>
      </w:r>
    </w:p>
    <w:p>
      <w:pPr>
        <w:keepNext w:val="0"/>
        <w:keepLines w:val="0"/>
        <w:pageBreakBefore w:val="0"/>
        <w:widowControl w:val="0"/>
        <w:tabs>
          <w:tab w:val="left" w:pos="9573"/>
        </w:tabs>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1、根据《工业和信息化部、国家统计局、国家发展和改革委员会、财政部关于印发中小企业划型标准规定的通知》（工信部联企业[2011]300 号）规定的划分标准，本公司为</w:t>
      </w:r>
      <w:r>
        <w:rPr>
          <w:rFonts w:hint="eastAsia" w:ascii="仿宋" w:hAnsi="仿宋" w:eastAsia="仿宋" w:cs="仿宋"/>
          <w:b w:val="0"/>
          <w:color w:val="auto"/>
          <w:sz w:val="24"/>
          <w:szCs w:val="24"/>
          <w:highlight w:val="none"/>
          <w:u w:val="single"/>
        </w:rPr>
        <w:t xml:space="preserve">    </w:t>
      </w:r>
      <w:r>
        <w:rPr>
          <w:rFonts w:hint="eastAsia" w:ascii="仿宋" w:hAnsi="仿宋" w:eastAsia="仿宋" w:cs="仿宋"/>
          <w:b w:val="0"/>
          <w:color w:val="auto"/>
          <w:sz w:val="24"/>
          <w:szCs w:val="24"/>
          <w:highlight w:val="none"/>
        </w:rPr>
        <w:t>（请填写：中型、小型、微型）企业。</w:t>
      </w:r>
    </w:p>
    <w:p>
      <w:pPr>
        <w:keepNext w:val="0"/>
        <w:keepLines w:val="0"/>
        <w:pageBreakBefore w:val="0"/>
        <w:widowControl w:val="0"/>
        <w:tabs>
          <w:tab w:val="left" w:pos="9573"/>
        </w:tabs>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2、本公司参加</w:t>
      </w:r>
      <w:r>
        <w:rPr>
          <w:rFonts w:hint="eastAsia" w:ascii="仿宋" w:hAnsi="仿宋" w:eastAsia="仿宋" w:cs="仿宋"/>
          <w:b w:val="0"/>
          <w:color w:val="auto"/>
          <w:sz w:val="24"/>
          <w:szCs w:val="24"/>
          <w:highlight w:val="none"/>
          <w:u w:val="single"/>
        </w:rPr>
        <w:t xml:space="preserve">  （采购人名称）  </w:t>
      </w:r>
      <w:r>
        <w:rPr>
          <w:rFonts w:hint="eastAsia" w:ascii="仿宋" w:hAnsi="仿宋" w:eastAsia="仿宋" w:cs="仿宋"/>
          <w:b w:val="0"/>
          <w:color w:val="auto"/>
          <w:sz w:val="24"/>
          <w:szCs w:val="24"/>
          <w:highlight w:val="none"/>
        </w:rPr>
        <w:t>的</w:t>
      </w:r>
      <w:r>
        <w:rPr>
          <w:rFonts w:hint="eastAsia" w:ascii="仿宋" w:hAnsi="仿宋" w:eastAsia="仿宋" w:cs="仿宋"/>
          <w:b w:val="0"/>
          <w:color w:val="auto"/>
          <w:sz w:val="24"/>
          <w:szCs w:val="24"/>
          <w:highlight w:val="none"/>
          <w:u w:val="single"/>
        </w:rPr>
        <w:t xml:space="preserve">  （项目名称）  </w:t>
      </w:r>
      <w:r>
        <w:rPr>
          <w:rFonts w:hint="eastAsia" w:ascii="仿宋" w:hAnsi="仿宋" w:eastAsia="仿宋" w:cs="仿宋"/>
          <w:b w:val="0"/>
          <w:color w:val="auto"/>
          <w:sz w:val="24"/>
          <w:szCs w:val="24"/>
          <w:highlight w:val="none"/>
        </w:rPr>
        <w:t>采购活动提供本企业制造的货物，由本企业承担工程、提供服务，或者提供其他</w:t>
      </w:r>
      <w:r>
        <w:rPr>
          <w:rFonts w:hint="eastAsia" w:ascii="仿宋" w:hAnsi="仿宋" w:eastAsia="仿宋" w:cs="仿宋"/>
          <w:b w:val="0"/>
          <w:color w:val="auto"/>
          <w:sz w:val="24"/>
          <w:szCs w:val="24"/>
          <w:highlight w:val="none"/>
          <w:u w:val="single"/>
        </w:rPr>
        <w:t xml:space="preserve"> </w:t>
      </w:r>
      <w:r>
        <w:rPr>
          <w:rFonts w:hint="eastAsia" w:ascii="仿宋" w:hAnsi="仿宋" w:eastAsia="仿宋" w:cs="仿宋"/>
          <w:b w:val="0"/>
          <w:color w:val="auto"/>
          <w:sz w:val="24"/>
          <w:szCs w:val="24"/>
          <w:highlight w:val="none"/>
          <w:u w:val="single"/>
          <w:lang w:val="en-US"/>
        </w:rPr>
        <w:t xml:space="preserve">   </w:t>
      </w:r>
      <w:r>
        <w:rPr>
          <w:rFonts w:hint="eastAsia" w:ascii="仿宋" w:hAnsi="仿宋" w:eastAsia="仿宋" w:cs="仿宋"/>
          <w:b w:val="0"/>
          <w:color w:val="auto"/>
          <w:sz w:val="24"/>
          <w:szCs w:val="24"/>
          <w:highlight w:val="none"/>
          <w:u w:val="single"/>
        </w:rPr>
        <w:t xml:space="preserve"> </w:t>
      </w:r>
      <w:r>
        <w:rPr>
          <w:rFonts w:hint="eastAsia" w:ascii="仿宋" w:hAnsi="仿宋" w:eastAsia="仿宋" w:cs="仿宋"/>
          <w:b w:val="0"/>
          <w:color w:val="auto"/>
          <w:sz w:val="24"/>
          <w:szCs w:val="24"/>
          <w:highlight w:val="none"/>
        </w:rPr>
        <w:t>（请填写：中型、小型、微型）企业制造的货物。本条所称货物不包括使用大型企业注册商标的货物。</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textAlignment w:val="auto"/>
        <w:outlineLvl w:val="9"/>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本公司对上述声明的真实性负责。如有虚假，将依法承担相应责任。</w:t>
      </w:r>
    </w:p>
    <w:p>
      <w:pPr>
        <w:pStyle w:val="19"/>
        <w:keepNext w:val="0"/>
        <w:keepLines w:val="0"/>
        <w:pageBreakBefore w:val="0"/>
        <w:widowControl w:val="0"/>
        <w:kinsoku/>
        <w:wordWrap/>
        <w:overflowPunct/>
        <w:topLinePunct w:val="0"/>
        <w:autoSpaceDE w:val="0"/>
        <w:autoSpaceDN w:val="0"/>
        <w:bidi w:val="0"/>
        <w:adjustRightInd/>
        <w:snapToGrid/>
        <w:ind w:left="0" w:leftChars="0" w:right="0" w:rightChars="0" w:firstLine="1040" w:firstLineChars="200"/>
        <w:textAlignment w:val="auto"/>
        <w:outlineLvl w:val="9"/>
        <w:rPr>
          <w:rFonts w:hint="eastAsia" w:ascii="仿宋" w:hAnsi="仿宋" w:eastAsia="仿宋" w:cs="仿宋"/>
          <w:b w:val="0"/>
          <w:color w:val="auto"/>
          <w:highlight w:val="none"/>
        </w:rPr>
      </w:pPr>
    </w:p>
    <w:p>
      <w:pPr>
        <w:pStyle w:val="19"/>
        <w:keepNext w:val="0"/>
        <w:keepLines w:val="0"/>
        <w:pageBreakBefore w:val="0"/>
        <w:widowControl w:val="0"/>
        <w:kinsoku/>
        <w:wordWrap/>
        <w:overflowPunct/>
        <w:topLinePunct w:val="0"/>
        <w:autoSpaceDE w:val="0"/>
        <w:autoSpaceDN w:val="0"/>
        <w:bidi w:val="0"/>
        <w:adjustRightInd/>
        <w:snapToGrid/>
        <w:ind w:left="0" w:leftChars="0" w:right="0" w:rightChars="0" w:firstLine="1040" w:firstLineChars="200"/>
        <w:textAlignment w:val="auto"/>
        <w:outlineLvl w:val="9"/>
        <w:rPr>
          <w:rFonts w:hint="eastAsia" w:ascii="仿宋" w:hAnsi="仿宋" w:eastAsia="仿宋" w:cs="仿宋"/>
          <w:b w:val="0"/>
          <w:color w:val="auto"/>
          <w:highlight w:val="none"/>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482" w:firstLineChars="200"/>
        <w:jc w:val="lef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企业名称（填写企业名称并盖章）：</w:t>
      </w:r>
    </w:p>
    <w:p>
      <w:pPr>
        <w:pStyle w:val="19"/>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1044" w:firstLineChars="200"/>
        <w:jc w:val="left"/>
        <w:textAlignment w:val="auto"/>
        <w:outlineLvl w:val="9"/>
        <w:rPr>
          <w:rFonts w:hint="eastAsia" w:ascii="仿宋" w:hAnsi="仿宋" w:eastAsia="仿宋" w:cs="仿宋"/>
          <w:b/>
          <w:bCs/>
          <w:color w:val="auto"/>
          <w:highlight w:val="none"/>
        </w:rPr>
      </w:pPr>
    </w:p>
    <w:p>
      <w:pPr>
        <w:keepNext w:val="0"/>
        <w:keepLines w:val="0"/>
        <w:pageBreakBefore w:val="0"/>
        <w:widowControl w:val="0"/>
        <w:tabs>
          <w:tab w:val="left" w:pos="7270"/>
          <w:tab w:val="left" w:pos="7797"/>
          <w:tab w:val="left" w:pos="8320"/>
        </w:tabs>
        <w:kinsoku/>
        <w:wordWrap/>
        <w:overflowPunct/>
        <w:topLinePunct w:val="0"/>
        <w:autoSpaceDE w:val="0"/>
        <w:autoSpaceDN w:val="0"/>
        <w:bidi w:val="0"/>
        <w:adjustRightInd/>
        <w:snapToGrid/>
        <w:spacing w:line="240" w:lineRule="auto"/>
        <w:ind w:left="0" w:leftChars="0" w:right="0" w:rightChars="0" w:firstLine="470" w:firstLineChars="200"/>
        <w:jc w:val="lef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pacing w:val="-3"/>
          <w:sz w:val="24"/>
          <w:szCs w:val="24"/>
          <w:highlight w:val="none"/>
        </w:rPr>
        <w:t>日</w:t>
      </w:r>
      <w:r>
        <w:rPr>
          <w:rFonts w:hint="eastAsia" w:ascii="仿宋" w:hAnsi="仿宋" w:eastAsia="仿宋" w:cs="仿宋"/>
          <w:b/>
          <w:bCs/>
          <w:color w:val="auto"/>
          <w:sz w:val="24"/>
          <w:szCs w:val="24"/>
          <w:highlight w:val="none"/>
        </w:rPr>
        <w:t>期：  年  月  日</w:t>
      </w:r>
    </w:p>
    <w:p>
      <w:pPr>
        <w:pStyle w:val="19"/>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1040" w:firstLineChars="200"/>
        <w:jc w:val="left"/>
        <w:textAlignment w:val="auto"/>
        <w:outlineLvl w:val="9"/>
        <w:rPr>
          <w:rFonts w:hint="eastAsia" w:ascii="仿宋" w:hAnsi="仿宋" w:eastAsia="仿宋" w:cs="仿宋"/>
          <w:b w:val="0"/>
          <w:color w:val="auto"/>
          <w:highlight w:val="none"/>
        </w:rPr>
      </w:pPr>
    </w:p>
    <w:p>
      <w:pPr>
        <w:pStyle w:val="19"/>
        <w:rPr>
          <w:rFonts w:hint="eastAsia" w:ascii="仿宋" w:hAnsi="仿宋" w:eastAsia="仿宋" w:cs="仿宋"/>
          <w:b w:val="0"/>
          <w:color w:val="auto"/>
          <w:highlight w:val="none"/>
        </w:rPr>
      </w:pPr>
    </w:p>
    <w:p>
      <w:pPr>
        <w:pStyle w:val="19"/>
        <w:spacing w:before="11"/>
        <w:rPr>
          <w:rFonts w:hint="eastAsia" w:ascii="仿宋" w:hAnsi="仿宋" w:eastAsia="仿宋" w:cs="仿宋"/>
          <w:b w:val="0"/>
          <w:color w:val="auto"/>
          <w:highlight w:val="none"/>
        </w:rPr>
      </w:pPr>
    </w:p>
    <w:p>
      <w:pPr>
        <w:spacing w:line="410" w:lineRule="auto"/>
        <w:rPr>
          <w:rFonts w:hint="eastAsia" w:ascii="仿宋" w:hAnsi="仿宋" w:eastAsia="仿宋" w:cs="仿宋"/>
          <w:b w:val="0"/>
          <w:color w:val="auto"/>
          <w:sz w:val="21"/>
          <w:highlight w:val="none"/>
        </w:rPr>
      </w:pPr>
    </w:p>
    <w:p>
      <w:pPr>
        <w:snapToGrid w:val="0"/>
        <w:spacing w:before="120" w:beforeLines="50" w:after="50" w:line="320" w:lineRule="exact"/>
        <w:jc w:val="center"/>
        <w:rPr>
          <w:rFonts w:hint="eastAsia" w:ascii="仿宋" w:hAnsi="仿宋" w:eastAsia="仿宋" w:cs="仿宋"/>
          <w:b w:val="0"/>
          <w:color w:val="auto"/>
          <w:sz w:val="28"/>
          <w:szCs w:val="28"/>
          <w:highlight w:val="none"/>
        </w:rPr>
      </w:pPr>
      <w:r>
        <w:rPr>
          <w:rFonts w:hint="eastAsia" w:ascii="仿宋" w:hAnsi="仿宋" w:eastAsia="仿宋" w:cs="仿宋"/>
          <w:b w:val="0"/>
          <w:color w:val="auto"/>
          <w:sz w:val="21"/>
          <w:highlight w:val="none"/>
        </w:rPr>
        <w:br w:type="page"/>
      </w:r>
      <w:r>
        <w:rPr>
          <w:rFonts w:hint="eastAsia" w:ascii="仿宋" w:hAnsi="仿宋" w:eastAsia="仿宋" w:cs="仿宋"/>
          <w:b/>
          <w:bCs/>
          <w:color w:val="auto"/>
          <w:sz w:val="28"/>
          <w:szCs w:val="28"/>
          <w:highlight w:val="none"/>
        </w:rPr>
        <w:t>【残疾人福利性单位声明函格式】</w:t>
      </w:r>
    </w:p>
    <w:p>
      <w:pPr>
        <w:snapToGrid w:val="0"/>
        <w:spacing w:before="120" w:beforeLines="50" w:after="50" w:line="320" w:lineRule="exact"/>
        <w:jc w:val="center"/>
        <w:rPr>
          <w:rFonts w:hint="eastAsia" w:ascii="仿宋" w:hAnsi="仿宋" w:eastAsia="仿宋" w:cs="仿宋"/>
          <w:b w:val="0"/>
          <w:color w:val="auto"/>
          <w:sz w:val="21"/>
          <w:highlight w:val="none"/>
        </w:rPr>
      </w:pPr>
    </w:p>
    <w:p>
      <w:pPr>
        <w:pStyle w:val="47"/>
        <w:ind w:firstLine="240"/>
        <w:rPr>
          <w:rFonts w:hint="eastAsia" w:ascii="仿宋" w:hAnsi="仿宋" w:eastAsia="仿宋" w:cs="仿宋"/>
          <w:b w:val="0"/>
          <w:color w:val="auto"/>
          <w:highlight w:val="none"/>
        </w:rPr>
      </w:pPr>
    </w:p>
    <w:p>
      <w:pPr>
        <w:snapToGrid w:val="0"/>
        <w:spacing w:before="120" w:beforeLines="50" w:after="50" w:line="32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28"/>
          <w:szCs w:val="28"/>
          <w:highlight w:val="none"/>
        </w:rPr>
        <w:t>残疾人福利性单位声明函</w:t>
      </w:r>
    </w:p>
    <w:p>
      <w:pPr>
        <w:spacing w:line="588" w:lineRule="exact"/>
        <w:rPr>
          <w:rFonts w:hint="eastAsia" w:ascii="仿宋" w:hAnsi="仿宋" w:eastAsia="仿宋" w:cs="仿宋"/>
          <w:b w:val="0"/>
          <w:bCs/>
          <w:color w:val="auto"/>
          <w:spacing w:val="6"/>
          <w:sz w:val="30"/>
          <w:szCs w:val="30"/>
          <w:highlight w:val="none"/>
        </w:rPr>
      </w:pPr>
      <w:r>
        <w:rPr>
          <w:rFonts w:hint="eastAsia" w:ascii="仿宋" w:hAnsi="仿宋" w:eastAsia="仿宋" w:cs="仿宋"/>
          <w:b w:val="0"/>
          <w:bCs/>
          <w:color w:val="auto"/>
          <w:spacing w:val="6"/>
          <w:sz w:val="30"/>
          <w:szCs w:val="30"/>
          <w:highlight w:val="none"/>
        </w:rPr>
        <w:t xml:space="preserve"> </w:t>
      </w:r>
    </w:p>
    <w:p>
      <w:pPr>
        <w:spacing w:line="588" w:lineRule="exact"/>
        <w:ind w:firstLine="504" w:firstLineChars="200"/>
        <w:rPr>
          <w:rFonts w:hint="eastAsia" w:ascii="仿宋" w:hAnsi="仿宋" w:eastAsia="仿宋" w:cs="仿宋"/>
          <w:b w:val="0"/>
          <w:color w:val="auto"/>
          <w:spacing w:val="6"/>
          <w:sz w:val="24"/>
          <w:highlight w:val="none"/>
        </w:rPr>
      </w:pPr>
      <w:r>
        <w:rPr>
          <w:rFonts w:hint="eastAsia" w:ascii="仿宋" w:hAnsi="仿宋" w:eastAsia="仿宋" w:cs="仿宋"/>
          <w:b w:val="0"/>
          <w:color w:val="auto"/>
          <w:spacing w:val="6"/>
          <w:sz w:val="24"/>
          <w:highlight w:val="none"/>
        </w:rPr>
        <w:t>本单位郑重声明，根据《财政部 民政部 中国残疾人联合会关于促进残疾人就业政府采购政策的通知》（财库</w:t>
      </w:r>
      <w:r>
        <w:rPr>
          <w:rFonts w:hint="eastAsia" w:ascii="仿宋" w:hAnsi="仿宋" w:eastAsia="仿宋" w:cs="仿宋"/>
          <w:b w:val="0"/>
          <w:color w:val="auto"/>
          <w:sz w:val="24"/>
          <w:highlight w:val="none"/>
        </w:rPr>
        <w:t>〔2018〕 141</w:t>
      </w:r>
      <w:r>
        <w:rPr>
          <w:rFonts w:hint="eastAsia" w:ascii="仿宋" w:hAnsi="仿宋" w:eastAsia="仿宋" w:cs="仿宋"/>
          <w:b w:val="0"/>
          <w:color w:val="auto"/>
          <w:spacing w:val="6"/>
          <w:sz w:val="24"/>
          <w:highlight w:val="none"/>
        </w:rPr>
        <w:t>号）的规定，本单位为符合条件的残疾人福利性单位，且本单位参加</w:t>
      </w:r>
      <w:r>
        <w:rPr>
          <w:rFonts w:hint="eastAsia" w:ascii="仿宋" w:hAnsi="仿宋" w:eastAsia="仿宋" w:cs="仿宋"/>
          <w:b w:val="0"/>
          <w:color w:val="auto"/>
          <w:spacing w:val="6"/>
          <w:sz w:val="24"/>
          <w:highlight w:val="none"/>
          <w:u w:val="single"/>
        </w:rPr>
        <w:t xml:space="preserve">  （采购人名称）  </w:t>
      </w:r>
      <w:r>
        <w:rPr>
          <w:rFonts w:hint="eastAsia" w:ascii="仿宋" w:hAnsi="仿宋" w:eastAsia="仿宋" w:cs="仿宋"/>
          <w:b w:val="0"/>
          <w:color w:val="auto"/>
          <w:spacing w:val="6"/>
          <w:sz w:val="24"/>
          <w:highlight w:val="none"/>
        </w:rPr>
        <w:t>的</w:t>
      </w:r>
      <w:r>
        <w:rPr>
          <w:rFonts w:hint="eastAsia" w:ascii="仿宋" w:hAnsi="仿宋" w:eastAsia="仿宋" w:cs="仿宋"/>
          <w:b w:val="0"/>
          <w:color w:val="auto"/>
          <w:spacing w:val="6"/>
          <w:sz w:val="24"/>
          <w:highlight w:val="none"/>
          <w:u w:val="single"/>
        </w:rPr>
        <w:t xml:space="preserve">  （项目名称）  </w:t>
      </w:r>
      <w:r>
        <w:rPr>
          <w:rFonts w:hint="eastAsia" w:ascii="仿宋" w:hAnsi="仿宋" w:eastAsia="仿宋" w:cs="仿宋"/>
          <w:b w:val="0"/>
          <w:color w:val="auto"/>
          <w:spacing w:val="6"/>
          <w:sz w:val="24"/>
          <w:highlight w:val="none"/>
        </w:rPr>
        <w:t>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仿宋" w:hAnsi="仿宋" w:eastAsia="仿宋" w:cs="仿宋"/>
          <w:b w:val="0"/>
          <w:color w:val="auto"/>
          <w:spacing w:val="6"/>
          <w:sz w:val="24"/>
          <w:highlight w:val="none"/>
        </w:rPr>
      </w:pPr>
      <w:r>
        <w:rPr>
          <w:rFonts w:hint="eastAsia" w:ascii="仿宋" w:hAnsi="仿宋" w:eastAsia="仿宋" w:cs="仿宋"/>
          <w:b w:val="0"/>
          <w:color w:val="auto"/>
          <w:spacing w:val="6"/>
          <w:sz w:val="24"/>
          <w:highlight w:val="none"/>
        </w:rPr>
        <w:t>本单位对上述声明的真实性负责。如有虚假，将依法承担相应责任。</w:t>
      </w:r>
    </w:p>
    <w:p>
      <w:pPr>
        <w:spacing w:line="588" w:lineRule="exact"/>
        <w:ind w:firstLine="504" w:firstLineChars="200"/>
        <w:rPr>
          <w:rFonts w:hint="eastAsia" w:ascii="仿宋" w:hAnsi="仿宋" w:eastAsia="仿宋" w:cs="仿宋"/>
          <w:b w:val="0"/>
          <w:color w:val="auto"/>
          <w:spacing w:val="6"/>
          <w:sz w:val="24"/>
          <w:highlight w:val="none"/>
        </w:rPr>
      </w:pPr>
      <w:r>
        <w:rPr>
          <w:rFonts w:hint="eastAsia" w:ascii="仿宋" w:hAnsi="仿宋" w:eastAsia="仿宋" w:cs="仿宋"/>
          <w:b w:val="0"/>
          <w:color w:val="auto"/>
          <w:spacing w:val="6"/>
          <w:sz w:val="24"/>
          <w:highlight w:val="none"/>
        </w:rPr>
        <w:t xml:space="preserve"> </w:t>
      </w:r>
    </w:p>
    <w:p>
      <w:pPr>
        <w:spacing w:line="588" w:lineRule="exact"/>
        <w:ind w:firstLine="504" w:firstLineChars="200"/>
        <w:rPr>
          <w:rFonts w:hint="eastAsia" w:ascii="仿宋" w:hAnsi="仿宋" w:eastAsia="仿宋" w:cs="仿宋"/>
          <w:b w:val="0"/>
          <w:color w:val="auto"/>
          <w:spacing w:val="6"/>
          <w:sz w:val="24"/>
          <w:highlight w:val="none"/>
        </w:rPr>
      </w:pPr>
      <w:r>
        <w:rPr>
          <w:rFonts w:hint="eastAsia" w:ascii="仿宋" w:hAnsi="仿宋" w:eastAsia="仿宋" w:cs="仿宋"/>
          <w:b w:val="0"/>
          <w:color w:val="auto"/>
          <w:spacing w:val="6"/>
          <w:sz w:val="24"/>
          <w:highlight w:val="none"/>
        </w:rPr>
        <w:t xml:space="preserve"> </w:t>
      </w:r>
    </w:p>
    <w:p>
      <w:pPr>
        <w:spacing w:line="588" w:lineRule="exact"/>
        <w:ind w:right="1560" w:firstLine="506" w:firstLineChars="200"/>
        <w:jc w:val="left"/>
        <w:rPr>
          <w:rFonts w:hint="eastAsia"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单位名称（填写单位名称并盖章）：</w:t>
      </w:r>
    </w:p>
    <w:p>
      <w:pPr>
        <w:spacing w:line="588" w:lineRule="exact"/>
        <w:ind w:right="1560" w:firstLine="506" w:firstLineChars="200"/>
        <w:jc w:val="left"/>
        <w:rPr>
          <w:rFonts w:hint="eastAsia"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日期：  年  月  日</w:t>
      </w:r>
    </w:p>
    <w:p>
      <w:pPr>
        <w:pStyle w:val="2"/>
        <w:rPr>
          <w:rFonts w:hint="eastAsia" w:ascii="仿宋" w:hAnsi="仿宋" w:eastAsia="仿宋" w:cs="仿宋"/>
          <w:b/>
          <w:bCs/>
          <w:color w:val="auto"/>
          <w:sz w:val="24"/>
          <w:szCs w:val="24"/>
          <w:highlight w:val="none"/>
          <w:u w:val="none"/>
        </w:rPr>
      </w:pPr>
    </w:p>
    <w:p>
      <w:pPr>
        <w:spacing w:line="480" w:lineRule="auto"/>
        <w:rPr>
          <w:rFonts w:hint="eastAsia" w:ascii="仿宋" w:hAnsi="仿宋" w:eastAsia="仿宋" w:cs="仿宋"/>
          <w:color w:val="auto"/>
        </w:rPr>
      </w:pPr>
      <w:r>
        <w:rPr>
          <w:rFonts w:hint="eastAsia" w:ascii="仿宋" w:hAnsi="仿宋" w:eastAsia="仿宋" w:cs="仿宋"/>
          <w:color w:val="auto"/>
        </w:rPr>
        <w:br w:type="page"/>
      </w:r>
    </w:p>
    <w:p>
      <w:pPr>
        <w:keepNext/>
        <w:keepLines/>
        <w:spacing w:line="480" w:lineRule="exact"/>
        <w:jc w:val="center"/>
        <w:outlineLvl w:val="1"/>
        <w:rPr>
          <w:rFonts w:hint="eastAsia" w:ascii="仿宋" w:hAnsi="仿宋" w:eastAsia="仿宋" w:cs="仿宋"/>
          <w:bCs/>
          <w:color w:val="auto"/>
          <w:sz w:val="28"/>
          <w:szCs w:val="28"/>
        </w:rPr>
      </w:pPr>
      <w:bookmarkStart w:id="1864" w:name="_Toc13272"/>
      <w:bookmarkStart w:id="1865" w:name="_Toc18938"/>
      <w:bookmarkStart w:id="1866" w:name="_Toc511082983"/>
      <w:r>
        <w:rPr>
          <w:rFonts w:hint="eastAsia" w:ascii="仿宋" w:hAnsi="仿宋" w:eastAsia="仿宋" w:cs="仿宋"/>
          <w:bCs/>
          <w:color w:val="auto"/>
          <w:sz w:val="28"/>
          <w:szCs w:val="28"/>
        </w:rPr>
        <w:t>三、响应文件商务部分格式</w:t>
      </w:r>
      <w:bookmarkEnd w:id="1864"/>
      <w:bookmarkEnd w:id="1865"/>
      <w:bookmarkEnd w:id="1866"/>
    </w:p>
    <w:p>
      <w:pPr>
        <w:spacing w:before="120" w:beforeLines="50" w:after="50"/>
        <w:rPr>
          <w:rFonts w:hint="eastAsia" w:ascii="仿宋" w:hAnsi="仿宋" w:eastAsia="仿宋" w:cs="仿宋"/>
          <w:color w:val="auto"/>
          <w:sz w:val="24"/>
        </w:rPr>
        <w:sectPr>
          <w:pgSz w:w="11905" w:h="16838"/>
          <w:pgMar w:top="1134" w:right="1134" w:bottom="1134" w:left="1134" w:header="624" w:footer="737" w:gutter="0"/>
          <w:cols w:space="720" w:num="1"/>
          <w:docGrid w:linePitch="312" w:charSpace="0"/>
        </w:sectPr>
      </w:pPr>
    </w:p>
    <w:p>
      <w:pPr>
        <w:spacing w:before="120" w:beforeLines="50" w:after="50"/>
        <w:jc w:val="center"/>
        <w:rPr>
          <w:rFonts w:hint="eastAsia" w:ascii="仿宋" w:hAnsi="仿宋" w:eastAsia="仿宋" w:cs="仿宋"/>
          <w:color w:val="auto"/>
          <w:sz w:val="28"/>
          <w:szCs w:val="28"/>
        </w:rPr>
      </w:pPr>
      <w:r>
        <w:rPr>
          <w:rFonts w:hint="eastAsia" w:ascii="仿宋" w:hAnsi="仿宋" w:eastAsia="仿宋" w:cs="仿宋"/>
          <w:color w:val="auto"/>
          <w:sz w:val="28"/>
          <w:szCs w:val="28"/>
        </w:rPr>
        <w:t>【磋商保证金证明格式】</w:t>
      </w:r>
    </w:p>
    <w:p>
      <w:pPr>
        <w:spacing w:before="120" w:beforeLines="50" w:after="50" w:line="320" w:lineRule="exact"/>
        <w:jc w:val="center"/>
        <w:rPr>
          <w:rFonts w:hint="eastAsia" w:ascii="仿宋" w:hAnsi="仿宋" w:eastAsia="仿宋" w:cs="仿宋"/>
          <w:color w:val="auto"/>
          <w:sz w:val="32"/>
          <w:szCs w:val="32"/>
        </w:rPr>
      </w:pPr>
    </w:p>
    <w:p>
      <w:pPr>
        <w:spacing w:before="120" w:beforeLines="50" w:after="50" w:line="32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磋商保证金证明</w:t>
      </w:r>
    </w:p>
    <w:p>
      <w:pPr>
        <w:spacing w:before="120" w:beforeLines="50" w:after="50" w:line="320" w:lineRule="exact"/>
        <w:jc w:val="center"/>
        <w:rPr>
          <w:rFonts w:hint="eastAsia" w:ascii="仿宋" w:hAnsi="仿宋" w:eastAsia="仿宋" w:cs="仿宋"/>
          <w:color w:val="auto"/>
          <w:sz w:val="32"/>
          <w:szCs w:val="32"/>
        </w:rPr>
      </w:pPr>
    </w:p>
    <w:p>
      <w:pPr>
        <w:spacing w:line="400" w:lineRule="exact"/>
        <w:rPr>
          <w:rFonts w:hint="eastAsia" w:ascii="仿宋" w:hAnsi="仿宋" w:eastAsia="仿宋" w:cs="仿宋"/>
          <w:color w:val="auto"/>
          <w:sz w:val="24"/>
          <w:szCs w:val="20"/>
        </w:rPr>
      </w:pPr>
      <w:r>
        <w:rPr>
          <w:rFonts w:hint="eastAsia" w:ascii="仿宋" w:hAnsi="仿宋" w:eastAsia="仿宋" w:cs="仿宋"/>
          <w:color w:val="auto"/>
          <w:sz w:val="24"/>
        </w:rPr>
        <w:t>致：广西振弘建设管理有限公司</w:t>
      </w:r>
    </w:p>
    <w:p>
      <w:pPr>
        <w:pStyle w:val="2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我方参加</w:t>
      </w:r>
      <w:r>
        <w:rPr>
          <w:rFonts w:hint="eastAsia" w:ascii="仿宋" w:hAnsi="仿宋" w:eastAsia="仿宋" w:cs="仿宋"/>
          <w:color w:val="auto"/>
          <w:sz w:val="24"/>
          <w:szCs w:val="24"/>
          <w:u w:val="single"/>
        </w:rPr>
        <w:t>（项目名称）（项目编号）</w:t>
      </w:r>
      <w:r>
        <w:rPr>
          <w:rFonts w:hint="eastAsia" w:ascii="仿宋" w:hAnsi="仿宋" w:eastAsia="仿宋" w:cs="仿宋"/>
          <w:color w:val="auto"/>
          <w:sz w:val="24"/>
          <w:szCs w:val="24"/>
        </w:rPr>
        <w:t>的磋商，已缴纳磋商保证金人民币（大写）元整（￥），附磋商保证金缴纳凭证复印件。</w:t>
      </w:r>
    </w:p>
    <w:p>
      <w:pPr>
        <w:pStyle w:val="25"/>
        <w:spacing w:line="360" w:lineRule="auto"/>
        <w:ind w:firstLine="480" w:firstLineChars="200"/>
        <w:rPr>
          <w:rFonts w:hint="eastAsia" w:ascii="仿宋" w:hAnsi="仿宋" w:eastAsia="仿宋" w:cs="仿宋"/>
          <w:color w:val="auto"/>
          <w:sz w:val="24"/>
          <w:szCs w:val="24"/>
          <w:u w:val="single"/>
        </w:rPr>
      </w:pPr>
    </w:p>
    <w:p>
      <w:pPr>
        <w:pStyle w:val="25"/>
        <w:spacing w:line="480" w:lineRule="exact"/>
        <w:jc w:val="center"/>
        <w:rPr>
          <w:rFonts w:hint="eastAsia" w:ascii="仿宋" w:hAnsi="仿宋" w:eastAsia="仿宋" w:cs="仿宋"/>
          <w:color w:val="auto"/>
        </w:rPr>
      </w:pP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竞标人名称（盖公章）：</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法定代表人或其授权代表（签字）：</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日期：年月日</w:t>
      </w:r>
    </w:p>
    <w:p>
      <w:pPr>
        <w:spacing w:line="480" w:lineRule="auto"/>
        <w:rPr>
          <w:rFonts w:hint="eastAsia" w:ascii="仿宋" w:hAnsi="仿宋" w:eastAsia="仿宋" w:cs="仿宋"/>
          <w:b/>
          <w:bCs/>
          <w:color w:val="auto"/>
          <w:sz w:val="24"/>
          <w:szCs w:val="24"/>
          <w:highlight w:val="none"/>
          <w:u w:val="none"/>
          <w:lang w:eastAsia="zh-CN"/>
        </w:rPr>
      </w:pPr>
      <w:r>
        <w:rPr>
          <w:rFonts w:hint="eastAsia" w:ascii="仿宋" w:hAnsi="仿宋" w:eastAsia="仿宋" w:cs="仿宋"/>
          <w:b/>
          <w:bCs/>
          <w:color w:val="auto"/>
          <w:sz w:val="24"/>
          <w:szCs w:val="24"/>
          <w:highlight w:val="none"/>
          <w:u w:val="none"/>
          <w:lang w:eastAsia="zh-CN"/>
        </w:rPr>
        <w:t>注：联合体的则须联合体各方的单位名称及盖章。</w:t>
      </w:r>
    </w:p>
    <w:p>
      <w:pPr>
        <w:pStyle w:val="2"/>
        <w:rPr>
          <w:rFonts w:hint="eastAsia"/>
          <w:color w:val="auto"/>
        </w:rPr>
      </w:pPr>
    </w:p>
    <w:p>
      <w:pPr>
        <w:rPr>
          <w:rFonts w:hint="eastAsia" w:ascii="仿宋" w:hAnsi="仿宋" w:eastAsia="仿宋" w:cs="仿宋"/>
          <w:color w:val="auto"/>
          <w:sz w:val="24"/>
        </w:rPr>
      </w:pPr>
      <w:r>
        <w:rPr>
          <w:rFonts w:hint="eastAsia" w:ascii="仿宋" w:hAnsi="仿宋" w:eastAsia="仿宋" w:cs="仿宋"/>
          <w:color w:val="auto"/>
          <w:sz w:val="24"/>
        </w:rPr>
        <w:br w:type="page"/>
      </w:r>
    </w:p>
    <w:p>
      <w:pPr>
        <w:spacing w:after="0" w:line="360" w:lineRule="auto"/>
        <w:jc w:val="center"/>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【联合体协议书格式】</w:t>
      </w:r>
    </w:p>
    <w:p>
      <w:pPr>
        <w:spacing w:after="0" w:line="360" w:lineRule="auto"/>
        <w:jc w:val="center"/>
        <w:rPr>
          <w:rFonts w:hint="eastAsia" w:ascii="仿宋" w:hAnsi="仿宋" w:eastAsia="仿宋" w:cs="仿宋"/>
          <w:b w:val="0"/>
          <w:color w:val="auto"/>
          <w:sz w:val="28"/>
          <w:szCs w:val="28"/>
          <w:highlight w:val="none"/>
        </w:rPr>
      </w:pPr>
    </w:p>
    <w:p>
      <w:pPr>
        <w:spacing w:after="0" w:line="360" w:lineRule="auto"/>
        <w:jc w:val="center"/>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联合体协议书</w:t>
      </w:r>
    </w:p>
    <w:p>
      <w:pPr>
        <w:topLinePunct/>
        <w:spacing w:after="0" w:line="360" w:lineRule="auto"/>
        <w:ind w:firstLine="482"/>
        <w:rPr>
          <w:rFonts w:hint="eastAsia" w:ascii="仿宋" w:hAnsi="仿宋" w:eastAsia="仿宋" w:cs="仿宋"/>
          <w:b w:val="0"/>
          <w:color w:val="auto"/>
          <w:sz w:val="24"/>
          <w:szCs w:val="24"/>
          <w:highlight w:val="none"/>
          <w:u w:val="single"/>
        </w:rPr>
      </w:pPr>
    </w:p>
    <w:p>
      <w:pPr>
        <w:topLinePunct/>
        <w:spacing w:after="0" w:line="360" w:lineRule="auto"/>
        <w:ind w:firstLine="482"/>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u w:val="single"/>
        </w:rPr>
        <w:t>（所有成员单位名称）</w:t>
      </w:r>
      <w:r>
        <w:rPr>
          <w:rFonts w:hint="eastAsia" w:ascii="仿宋" w:hAnsi="仿宋" w:eastAsia="仿宋" w:cs="仿宋"/>
          <w:b w:val="0"/>
          <w:color w:val="auto"/>
          <w:sz w:val="24"/>
          <w:szCs w:val="24"/>
          <w:highlight w:val="none"/>
        </w:rPr>
        <w:t>自愿组成</w:t>
      </w:r>
      <w:r>
        <w:rPr>
          <w:rFonts w:hint="eastAsia" w:ascii="仿宋" w:hAnsi="仿宋" w:eastAsia="仿宋" w:cs="仿宋"/>
          <w:b w:val="0"/>
          <w:color w:val="auto"/>
          <w:sz w:val="24"/>
          <w:szCs w:val="24"/>
          <w:highlight w:val="none"/>
          <w:u w:val="single"/>
        </w:rPr>
        <w:t>（联合体名称）</w:t>
      </w:r>
      <w:r>
        <w:rPr>
          <w:rFonts w:hint="eastAsia" w:ascii="仿宋" w:hAnsi="仿宋" w:eastAsia="仿宋" w:cs="仿宋"/>
          <w:b w:val="0"/>
          <w:color w:val="auto"/>
          <w:sz w:val="24"/>
          <w:szCs w:val="24"/>
          <w:highlight w:val="none"/>
        </w:rPr>
        <w:t>联合体，共同参加</w:t>
      </w:r>
      <w:r>
        <w:rPr>
          <w:rFonts w:hint="eastAsia" w:ascii="仿宋" w:hAnsi="仿宋" w:eastAsia="仿宋" w:cs="仿宋"/>
          <w:b w:val="0"/>
          <w:color w:val="auto"/>
          <w:sz w:val="24"/>
          <w:szCs w:val="24"/>
          <w:highlight w:val="none"/>
          <w:u w:val="single"/>
        </w:rPr>
        <w:t>（项目名称）（项目编号：  ）</w:t>
      </w:r>
      <w:r>
        <w:rPr>
          <w:rFonts w:hint="eastAsia" w:ascii="仿宋" w:hAnsi="仿宋" w:eastAsia="仿宋" w:cs="仿宋"/>
          <w:b w:val="0"/>
          <w:color w:val="auto"/>
          <w:sz w:val="24"/>
          <w:szCs w:val="24"/>
          <w:highlight w:val="none"/>
        </w:rPr>
        <w:t>工程总承包竞标。现就联合体</w:t>
      </w:r>
      <w:r>
        <w:rPr>
          <w:rFonts w:hint="eastAsia" w:ascii="仿宋" w:hAnsi="仿宋" w:eastAsia="仿宋" w:cs="仿宋"/>
          <w:b w:val="0"/>
          <w:color w:val="auto"/>
          <w:sz w:val="24"/>
          <w:szCs w:val="24"/>
          <w:highlight w:val="none"/>
          <w:lang w:eastAsia="zh-CN"/>
        </w:rPr>
        <w:t>磋商</w:t>
      </w:r>
      <w:r>
        <w:rPr>
          <w:rFonts w:hint="eastAsia" w:ascii="仿宋" w:hAnsi="仿宋" w:eastAsia="仿宋" w:cs="仿宋"/>
          <w:b w:val="0"/>
          <w:color w:val="auto"/>
          <w:sz w:val="24"/>
          <w:szCs w:val="24"/>
          <w:highlight w:val="none"/>
        </w:rPr>
        <w:t>事宜订立如下协议。</w:t>
      </w:r>
    </w:p>
    <w:p>
      <w:pPr>
        <w:topLinePunct/>
        <w:spacing w:after="0" w:line="360" w:lineRule="auto"/>
        <w:ind w:firstLine="48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w:t>
      </w:r>
      <w:r>
        <w:rPr>
          <w:rFonts w:hint="eastAsia" w:ascii="仿宋" w:hAnsi="仿宋" w:eastAsia="仿宋" w:cs="仿宋"/>
          <w:b w:val="0"/>
          <w:color w:val="auto"/>
          <w:sz w:val="24"/>
          <w:szCs w:val="24"/>
          <w:highlight w:val="none"/>
          <w:u w:val="single"/>
        </w:rPr>
        <w:t>（某成员单位名称）</w:t>
      </w:r>
      <w:r>
        <w:rPr>
          <w:rFonts w:hint="eastAsia" w:ascii="仿宋" w:hAnsi="仿宋" w:eastAsia="仿宋" w:cs="仿宋"/>
          <w:b w:val="0"/>
          <w:color w:val="auto"/>
          <w:sz w:val="24"/>
          <w:szCs w:val="24"/>
          <w:highlight w:val="none"/>
        </w:rPr>
        <w:t>为</w:t>
      </w:r>
      <w:r>
        <w:rPr>
          <w:rFonts w:hint="eastAsia" w:ascii="仿宋" w:hAnsi="仿宋" w:eastAsia="仿宋" w:cs="仿宋"/>
          <w:b w:val="0"/>
          <w:color w:val="auto"/>
          <w:sz w:val="24"/>
          <w:szCs w:val="24"/>
          <w:highlight w:val="none"/>
          <w:u w:val="single"/>
        </w:rPr>
        <w:t>（联合体名称）</w:t>
      </w:r>
      <w:r>
        <w:rPr>
          <w:rFonts w:hint="eastAsia" w:ascii="仿宋" w:hAnsi="仿宋" w:eastAsia="仿宋" w:cs="仿宋"/>
          <w:b w:val="0"/>
          <w:color w:val="auto"/>
          <w:sz w:val="24"/>
          <w:szCs w:val="24"/>
          <w:highlight w:val="none"/>
        </w:rPr>
        <w:t>牵头人。</w:t>
      </w:r>
    </w:p>
    <w:p>
      <w:pPr>
        <w:topLinePunct/>
        <w:spacing w:after="0" w:line="360" w:lineRule="auto"/>
        <w:ind w:firstLine="48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联合体牵头人合法代表联合体各成员负责本采购项目响应文件编制和合同谈判活动，并代表联合体提交和接收相关的资料、信息及指示，并处理与之有关的一切事务，负责合同实施阶段的主办、组织和协调工作。</w:t>
      </w:r>
    </w:p>
    <w:p>
      <w:pPr>
        <w:topLinePunct/>
        <w:spacing w:after="0" w:line="360" w:lineRule="auto"/>
        <w:ind w:firstLine="48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3、联合体将严格按照采购文件的各项要求，递交响应文件，履行合同，并对外承担连带责任。</w:t>
      </w:r>
    </w:p>
    <w:p>
      <w:pPr>
        <w:topLinePunct/>
        <w:spacing w:after="0" w:line="360" w:lineRule="auto"/>
        <w:ind w:firstLine="48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4、联合体各成员单位内部的职责分工如下：</w:t>
      </w:r>
      <w:r>
        <w:rPr>
          <w:rFonts w:hint="eastAsia" w:ascii="仿宋" w:hAnsi="仿宋" w:eastAsia="仿宋" w:cs="仿宋"/>
          <w:b w:val="0"/>
          <w:color w:val="auto"/>
          <w:sz w:val="24"/>
          <w:szCs w:val="24"/>
          <w:highlight w:val="none"/>
          <w:u w:val="single"/>
        </w:rPr>
        <w:t xml:space="preserve">             </w:t>
      </w:r>
      <w:r>
        <w:rPr>
          <w:rFonts w:hint="eastAsia" w:ascii="仿宋" w:hAnsi="仿宋" w:eastAsia="仿宋" w:cs="仿宋"/>
          <w:b w:val="0"/>
          <w:color w:val="auto"/>
          <w:sz w:val="24"/>
          <w:szCs w:val="24"/>
          <w:highlight w:val="none"/>
        </w:rPr>
        <w:t>，且</w:t>
      </w:r>
      <w:r>
        <w:rPr>
          <w:rFonts w:hint="eastAsia" w:ascii="仿宋" w:hAnsi="仿宋" w:eastAsia="仿宋" w:cs="仿宋"/>
          <w:b w:val="0"/>
          <w:color w:val="auto"/>
          <w:sz w:val="24"/>
          <w:szCs w:val="24"/>
          <w:highlight w:val="none"/>
          <w:lang w:eastAsia="zh-CN"/>
        </w:rPr>
        <w:t>磋商</w:t>
      </w:r>
      <w:r>
        <w:rPr>
          <w:rFonts w:hint="eastAsia" w:ascii="仿宋" w:hAnsi="仿宋" w:eastAsia="仿宋" w:cs="仿宋"/>
          <w:b w:val="0"/>
          <w:color w:val="auto"/>
          <w:sz w:val="24"/>
          <w:szCs w:val="24"/>
          <w:highlight w:val="none"/>
        </w:rPr>
        <w:t>保证金由</w:t>
      </w:r>
      <w:r>
        <w:rPr>
          <w:rFonts w:hint="eastAsia" w:ascii="仿宋" w:hAnsi="仿宋" w:eastAsia="仿宋" w:cs="仿宋"/>
          <w:b w:val="0"/>
          <w:color w:val="auto"/>
          <w:sz w:val="24"/>
          <w:szCs w:val="24"/>
          <w:highlight w:val="none"/>
          <w:u w:val="single"/>
        </w:rPr>
        <w:t>（某成员单位名称）</w:t>
      </w:r>
      <w:r>
        <w:rPr>
          <w:rFonts w:hint="eastAsia" w:ascii="仿宋" w:hAnsi="仿宋" w:eastAsia="仿宋" w:cs="仿宋"/>
          <w:b w:val="0"/>
          <w:color w:val="auto"/>
          <w:sz w:val="24"/>
          <w:szCs w:val="24"/>
          <w:highlight w:val="none"/>
        </w:rPr>
        <w:t>缴纳。</w:t>
      </w:r>
    </w:p>
    <w:p>
      <w:pPr>
        <w:topLinePunct/>
        <w:spacing w:after="0" w:line="360" w:lineRule="auto"/>
        <w:ind w:firstLine="48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5、本协议书自签署之日起生效，合同履行完毕后自动失效。</w:t>
      </w:r>
    </w:p>
    <w:p>
      <w:pPr>
        <w:topLinePunct/>
        <w:spacing w:after="0" w:line="360" w:lineRule="auto"/>
        <w:ind w:firstLine="48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6、本协议书一式</w:t>
      </w:r>
      <w:r>
        <w:rPr>
          <w:rFonts w:hint="eastAsia" w:ascii="仿宋" w:hAnsi="仿宋" w:eastAsia="仿宋" w:cs="仿宋"/>
          <w:b w:val="0"/>
          <w:color w:val="auto"/>
          <w:sz w:val="24"/>
          <w:szCs w:val="24"/>
          <w:highlight w:val="none"/>
          <w:u w:val="single"/>
        </w:rPr>
        <w:t xml:space="preserve">    </w:t>
      </w:r>
      <w:r>
        <w:rPr>
          <w:rFonts w:hint="eastAsia" w:ascii="仿宋" w:hAnsi="仿宋" w:eastAsia="仿宋" w:cs="仿宋"/>
          <w:b w:val="0"/>
          <w:color w:val="auto"/>
          <w:sz w:val="24"/>
          <w:szCs w:val="24"/>
          <w:highlight w:val="none"/>
        </w:rPr>
        <w:t>份，联合体成员和牵头人各执</w:t>
      </w:r>
      <w:r>
        <w:rPr>
          <w:rFonts w:hint="eastAsia" w:ascii="仿宋" w:hAnsi="仿宋" w:eastAsia="仿宋" w:cs="仿宋"/>
          <w:b w:val="0"/>
          <w:color w:val="auto"/>
          <w:sz w:val="24"/>
          <w:szCs w:val="24"/>
          <w:highlight w:val="none"/>
          <w:u w:val="single"/>
        </w:rPr>
        <w:t xml:space="preserve">    </w:t>
      </w:r>
      <w:r>
        <w:rPr>
          <w:rFonts w:hint="eastAsia" w:ascii="仿宋" w:hAnsi="仿宋" w:eastAsia="仿宋" w:cs="仿宋"/>
          <w:b w:val="0"/>
          <w:color w:val="auto"/>
          <w:sz w:val="24"/>
          <w:szCs w:val="24"/>
          <w:highlight w:val="none"/>
        </w:rPr>
        <w:t>份。</w:t>
      </w:r>
    </w:p>
    <w:p>
      <w:pPr>
        <w:topLinePunct/>
        <w:spacing w:after="0" w:line="360" w:lineRule="auto"/>
        <w:ind w:firstLine="480"/>
        <w:rPr>
          <w:rFonts w:hint="eastAsia" w:ascii="仿宋" w:hAnsi="仿宋" w:eastAsia="仿宋" w:cs="仿宋"/>
          <w:b w:val="0"/>
          <w:color w:val="auto"/>
          <w:sz w:val="24"/>
          <w:szCs w:val="24"/>
          <w:highlight w:val="none"/>
        </w:rPr>
      </w:pPr>
    </w:p>
    <w:p>
      <w:pPr>
        <w:topLinePunct/>
        <w:spacing w:after="0" w:line="360" w:lineRule="auto"/>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牵头人名称（填写单位名称并盖公章）：</w:t>
      </w:r>
    </w:p>
    <w:p>
      <w:pPr>
        <w:topLinePunct/>
        <w:spacing w:after="0" w:line="360" w:lineRule="auto"/>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法定代表人或其委托代理人（签字）：</w:t>
      </w:r>
    </w:p>
    <w:p>
      <w:pPr>
        <w:topLinePunct/>
        <w:spacing w:after="0" w:line="360" w:lineRule="auto"/>
        <w:ind w:firstLine="480"/>
        <w:rPr>
          <w:rFonts w:hint="eastAsia" w:ascii="仿宋" w:hAnsi="仿宋" w:eastAsia="仿宋" w:cs="仿宋"/>
          <w:b/>
          <w:bCs/>
          <w:color w:val="auto"/>
          <w:sz w:val="24"/>
          <w:szCs w:val="24"/>
          <w:highlight w:val="none"/>
        </w:rPr>
      </w:pPr>
    </w:p>
    <w:p>
      <w:pPr>
        <w:topLinePunct/>
        <w:spacing w:after="0" w:line="360" w:lineRule="auto"/>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成员名称（填写单位名称并盖公章）：</w:t>
      </w:r>
    </w:p>
    <w:p>
      <w:pPr>
        <w:topLinePunct/>
        <w:spacing w:after="0" w:line="360" w:lineRule="auto"/>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法定代表人或其委托代理人（签字）：</w:t>
      </w:r>
    </w:p>
    <w:p>
      <w:pPr>
        <w:topLinePunct/>
        <w:spacing w:after="0" w:line="360" w:lineRule="auto"/>
        <w:ind w:firstLine="480"/>
        <w:rPr>
          <w:rFonts w:hint="eastAsia" w:ascii="仿宋" w:hAnsi="仿宋" w:eastAsia="仿宋" w:cs="仿宋"/>
          <w:b/>
          <w:bCs/>
          <w:color w:val="auto"/>
          <w:sz w:val="24"/>
          <w:szCs w:val="24"/>
          <w:highlight w:val="none"/>
        </w:rPr>
      </w:pPr>
    </w:p>
    <w:p>
      <w:pPr>
        <w:spacing w:after="0" w:line="360" w:lineRule="auto"/>
        <w:ind w:firstLine="480"/>
        <w:rPr>
          <w:rFonts w:hint="eastAsia" w:ascii="仿宋" w:hAnsi="仿宋" w:eastAsia="仿宋" w:cs="仿宋"/>
          <w:b/>
          <w:bCs/>
          <w:color w:val="auto"/>
          <w:sz w:val="24"/>
          <w:szCs w:val="24"/>
          <w:highlight w:val="none"/>
          <w:u w:val="none"/>
        </w:rPr>
      </w:pPr>
      <w:r>
        <w:rPr>
          <w:rFonts w:hint="eastAsia" w:ascii="仿宋" w:hAnsi="仿宋" w:eastAsia="仿宋" w:cs="仿宋"/>
          <w:b/>
          <w:bCs/>
          <w:color w:val="auto"/>
          <w:sz w:val="24"/>
          <w:szCs w:val="24"/>
          <w:highlight w:val="none"/>
          <w:u w:val="none"/>
        </w:rPr>
        <w:t>日期：  年  月  日</w:t>
      </w:r>
    </w:p>
    <w:p>
      <w:pPr>
        <w:spacing w:after="0" w:line="360" w:lineRule="auto"/>
        <w:ind w:firstLine="480"/>
        <w:rPr>
          <w:rFonts w:hint="eastAsia" w:ascii="仿宋" w:hAnsi="仿宋" w:eastAsia="仿宋" w:cs="仿宋"/>
          <w:b w:val="0"/>
          <w:color w:val="auto"/>
          <w:sz w:val="24"/>
          <w:szCs w:val="24"/>
          <w:highlight w:val="none"/>
        </w:rPr>
      </w:pPr>
    </w:p>
    <w:p>
      <w:pPr>
        <w:spacing w:after="0" w:line="360" w:lineRule="auto"/>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备注：联合体</w:t>
      </w:r>
      <w:r>
        <w:rPr>
          <w:rFonts w:hint="eastAsia" w:ascii="仿宋" w:hAnsi="仿宋" w:eastAsia="仿宋" w:cs="仿宋"/>
          <w:b/>
          <w:bCs/>
          <w:color w:val="auto"/>
          <w:sz w:val="24"/>
          <w:szCs w:val="24"/>
          <w:highlight w:val="none"/>
          <w:lang w:eastAsia="zh-CN"/>
        </w:rPr>
        <w:t>磋商</w:t>
      </w:r>
      <w:r>
        <w:rPr>
          <w:rFonts w:hint="eastAsia" w:ascii="仿宋" w:hAnsi="仿宋" w:eastAsia="仿宋" w:cs="仿宋"/>
          <w:b/>
          <w:bCs/>
          <w:color w:val="auto"/>
          <w:sz w:val="24"/>
          <w:szCs w:val="24"/>
          <w:highlight w:val="none"/>
        </w:rPr>
        <w:t>的由联合体中双方共同签署授权委托书；联合体各方均须附其法定代表人身份证明及身份证、企业法人营业执照副本复印件，以上复印件均须加盖联合体的各方单位公章。委托代理人签字的，除以上资料外，还需提供法定代表人签字的授权委托书、委托代理人身份证。</w:t>
      </w:r>
    </w:p>
    <w:p>
      <w:pPr>
        <w:pStyle w:val="2"/>
        <w:rPr>
          <w:rFonts w:hint="eastAsia"/>
          <w:color w:val="auto"/>
        </w:rPr>
      </w:pPr>
    </w:p>
    <w:p>
      <w:pPr>
        <w:spacing w:before="120" w:beforeLines="50" w:after="50"/>
        <w:jc w:val="center"/>
        <w:rPr>
          <w:rFonts w:hint="eastAsia" w:ascii="仿宋" w:hAnsi="仿宋" w:eastAsia="仿宋" w:cs="仿宋"/>
          <w:color w:val="auto"/>
          <w:sz w:val="28"/>
          <w:szCs w:val="28"/>
        </w:rPr>
      </w:pPr>
      <w:r>
        <w:rPr>
          <w:rFonts w:hint="eastAsia" w:ascii="仿宋" w:hAnsi="仿宋" w:eastAsia="仿宋" w:cs="仿宋"/>
          <w:color w:val="auto"/>
          <w:sz w:val="28"/>
          <w:szCs w:val="28"/>
        </w:rPr>
        <w:t>【法定代表人身份证明书格式】</w:t>
      </w:r>
    </w:p>
    <w:p>
      <w:pPr>
        <w:spacing w:before="120" w:beforeLines="50" w:after="50" w:line="320" w:lineRule="exact"/>
        <w:jc w:val="center"/>
        <w:rPr>
          <w:rFonts w:hint="eastAsia" w:ascii="仿宋" w:hAnsi="仿宋" w:eastAsia="仿宋" w:cs="仿宋"/>
          <w:color w:val="auto"/>
          <w:sz w:val="32"/>
          <w:szCs w:val="32"/>
        </w:rPr>
      </w:pPr>
    </w:p>
    <w:p>
      <w:pPr>
        <w:spacing w:before="120" w:beforeLines="50" w:after="50" w:line="32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法定代表人身份证明书</w:t>
      </w:r>
    </w:p>
    <w:p>
      <w:pPr>
        <w:spacing w:before="120" w:beforeLines="50" w:after="50" w:line="320" w:lineRule="exact"/>
        <w:jc w:val="center"/>
        <w:rPr>
          <w:rFonts w:hint="eastAsia" w:ascii="仿宋" w:hAnsi="仿宋" w:eastAsia="仿宋" w:cs="仿宋"/>
          <w:color w:val="auto"/>
          <w:sz w:val="32"/>
          <w:szCs w:val="32"/>
        </w:rPr>
      </w:pPr>
    </w:p>
    <w:p>
      <w:pPr>
        <w:pStyle w:val="25"/>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竞标人名称：</w:t>
      </w:r>
    </w:p>
    <w:p>
      <w:pPr>
        <w:pStyle w:val="2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单位性质：</w:t>
      </w:r>
    </w:p>
    <w:p>
      <w:pPr>
        <w:pStyle w:val="2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地址：</w:t>
      </w:r>
    </w:p>
    <w:p>
      <w:pPr>
        <w:pStyle w:val="2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成立时间：年月日</w:t>
      </w:r>
    </w:p>
    <w:p>
      <w:pPr>
        <w:pStyle w:val="25"/>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经营期限：</w:t>
      </w:r>
    </w:p>
    <w:p>
      <w:pPr>
        <w:pStyle w:val="2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姓名：性别：年龄：职务：</w:t>
      </w:r>
    </w:p>
    <w:p>
      <w:pPr>
        <w:pStyle w:val="2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（竞标人名称）</w:t>
      </w:r>
      <w:r>
        <w:rPr>
          <w:rFonts w:hint="eastAsia" w:ascii="仿宋" w:hAnsi="仿宋" w:eastAsia="仿宋" w:cs="仿宋"/>
          <w:color w:val="auto"/>
          <w:sz w:val="24"/>
          <w:szCs w:val="24"/>
        </w:rPr>
        <w:t>的法定代表人。</w:t>
      </w:r>
    </w:p>
    <w:p>
      <w:pPr>
        <w:pStyle w:val="2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特此证明。</w:t>
      </w:r>
    </w:p>
    <w:p>
      <w:pPr>
        <w:spacing w:after="0" w:line="360" w:lineRule="auto"/>
        <w:ind w:firstLine="480" w:firstLineChars="200"/>
        <w:rPr>
          <w:rFonts w:hint="eastAsia" w:ascii="仿宋" w:hAnsi="仿宋" w:eastAsia="仿宋" w:cs="仿宋"/>
          <w:color w:val="auto"/>
          <w:sz w:val="24"/>
        </w:rPr>
      </w:pPr>
    </w:p>
    <w:p>
      <w:pPr>
        <w:spacing w:after="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附法定代表人身份证复印件。</w:t>
      </w:r>
    </w:p>
    <w:p>
      <w:pPr>
        <w:spacing w:after="0" w:line="360" w:lineRule="auto"/>
        <w:ind w:firstLine="480" w:firstLineChars="200"/>
        <w:rPr>
          <w:rFonts w:hint="eastAsia" w:ascii="仿宋" w:hAnsi="仿宋" w:eastAsia="仿宋" w:cs="仿宋"/>
          <w:color w:val="auto"/>
          <w:sz w:val="24"/>
        </w:rPr>
      </w:pP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竞标人名称（盖公章）：</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法定代表人（签字）：</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日期：年月日</w:t>
      </w:r>
    </w:p>
    <w:p>
      <w:pPr>
        <w:spacing w:line="360" w:lineRule="auto"/>
        <w:ind w:firstLine="480" w:firstLineChars="200"/>
        <w:rPr>
          <w:rFonts w:hint="eastAsia" w:ascii="仿宋" w:hAnsi="仿宋" w:eastAsia="仿宋" w:cs="仿宋"/>
          <w:color w:val="auto"/>
          <w:sz w:val="24"/>
        </w:rPr>
      </w:pPr>
    </w:p>
    <w:p>
      <w:pPr>
        <w:spacing w:line="480" w:lineRule="auto"/>
        <w:rPr>
          <w:rFonts w:hint="eastAsia" w:ascii="仿宋" w:hAnsi="仿宋" w:eastAsia="仿宋" w:cs="仿宋"/>
          <w:b/>
          <w:bCs/>
          <w:color w:val="auto"/>
          <w:sz w:val="24"/>
          <w:szCs w:val="24"/>
          <w:highlight w:val="none"/>
          <w:u w:val="none"/>
          <w:lang w:eastAsia="zh-CN"/>
        </w:rPr>
      </w:pPr>
    </w:p>
    <w:p>
      <w:pPr>
        <w:pStyle w:val="2"/>
        <w:rPr>
          <w:rFonts w:hint="eastAsia"/>
          <w:color w:val="auto"/>
        </w:rPr>
        <w:sectPr>
          <w:pgSz w:w="11905" w:h="16838"/>
          <w:pgMar w:top="1134" w:right="1134" w:bottom="1134" w:left="1134" w:header="624" w:footer="737" w:gutter="0"/>
          <w:cols w:space="720" w:num="1"/>
          <w:docGrid w:linePitch="312" w:charSpace="0"/>
        </w:sectPr>
      </w:pPr>
    </w:p>
    <w:p>
      <w:pPr>
        <w:spacing w:before="120" w:beforeLines="50" w:after="50"/>
        <w:rPr>
          <w:rFonts w:hint="eastAsia" w:ascii="仿宋" w:hAnsi="仿宋" w:eastAsia="仿宋" w:cs="仿宋"/>
          <w:color w:val="auto"/>
          <w:sz w:val="28"/>
          <w:szCs w:val="28"/>
        </w:rPr>
      </w:pPr>
      <w:r>
        <w:rPr>
          <w:rFonts w:hint="eastAsia" w:ascii="仿宋" w:hAnsi="仿宋" w:eastAsia="仿宋" w:cs="仿宋"/>
          <w:color w:val="auto"/>
          <w:sz w:val="28"/>
          <w:szCs w:val="28"/>
        </w:rPr>
        <w:t>【法定代表人授权委托书格式（如有请提供）】</w:t>
      </w:r>
    </w:p>
    <w:p>
      <w:pPr>
        <w:spacing w:before="120" w:beforeLines="50" w:after="50" w:line="320" w:lineRule="exact"/>
        <w:jc w:val="center"/>
        <w:rPr>
          <w:rFonts w:hint="eastAsia" w:ascii="仿宋" w:hAnsi="仿宋" w:eastAsia="仿宋" w:cs="仿宋"/>
          <w:color w:val="auto"/>
          <w:sz w:val="32"/>
          <w:szCs w:val="32"/>
        </w:rPr>
      </w:pPr>
    </w:p>
    <w:p>
      <w:pPr>
        <w:spacing w:before="120" w:beforeLines="50" w:after="50" w:line="32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法定代表人授权委托书</w:t>
      </w:r>
    </w:p>
    <w:p>
      <w:pPr>
        <w:spacing w:before="120" w:beforeLines="50" w:after="50" w:line="320" w:lineRule="exact"/>
        <w:jc w:val="center"/>
        <w:rPr>
          <w:rFonts w:hint="eastAsia" w:ascii="仿宋" w:hAnsi="仿宋" w:eastAsia="仿宋" w:cs="仿宋"/>
          <w:color w:val="auto"/>
          <w:sz w:val="32"/>
          <w:szCs w:val="32"/>
        </w:rPr>
      </w:pPr>
    </w:p>
    <w:p>
      <w:pPr>
        <w:spacing w:after="0" w:line="360" w:lineRule="auto"/>
        <w:rPr>
          <w:rFonts w:hint="eastAsia" w:ascii="仿宋" w:hAnsi="仿宋" w:eastAsia="仿宋" w:cs="仿宋"/>
          <w:bCs/>
          <w:color w:val="auto"/>
          <w:sz w:val="24"/>
        </w:rPr>
      </w:pPr>
      <w:r>
        <w:rPr>
          <w:rFonts w:hint="eastAsia" w:ascii="仿宋" w:hAnsi="仿宋" w:eastAsia="仿宋" w:cs="仿宋"/>
          <w:bCs/>
          <w:color w:val="auto"/>
          <w:sz w:val="24"/>
        </w:rPr>
        <w:t>致：</w:t>
      </w:r>
      <w:r>
        <w:rPr>
          <w:rFonts w:hint="eastAsia" w:ascii="仿宋" w:hAnsi="仿宋" w:eastAsia="仿宋" w:cs="仿宋"/>
          <w:color w:val="auto"/>
          <w:sz w:val="24"/>
        </w:rPr>
        <w:t>广西振弘建设管理有限公司</w:t>
      </w:r>
    </w:p>
    <w:p>
      <w:pPr>
        <w:spacing w:after="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w:t>
      </w:r>
      <w:r>
        <w:rPr>
          <w:rFonts w:hint="eastAsia" w:ascii="仿宋" w:hAnsi="仿宋" w:eastAsia="仿宋" w:cs="仿宋"/>
          <w:color w:val="auto"/>
          <w:sz w:val="24"/>
          <w:u w:val="single"/>
        </w:rPr>
        <w:t>（姓名）</w:t>
      </w:r>
      <w:r>
        <w:rPr>
          <w:rFonts w:hint="eastAsia" w:ascii="仿宋" w:hAnsi="仿宋" w:eastAsia="仿宋" w:cs="仿宋"/>
          <w:color w:val="auto"/>
          <w:sz w:val="24"/>
        </w:rPr>
        <w:t>系</w:t>
      </w:r>
      <w:r>
        <w:rPr>
          <w:rFonts w:hint="eastAsia" w:ascii="仿宋" w:hAnsi="仿宋" w:eastAsia="仿宋" w:cs="仿宋"/>
          <w:color w:val="auto"/>
          <w:sz w:val="24"/>
          <w:u w:val="single"/>
        </w:rPr>
        <w:t>（竞标人名称）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（姓名）</w:t>
      </w:r>
      <w:r>
        <w:rPr>
          <w:rFonts w:hint="eastAsia" w:ascii="仿宋" w:hAnsi="仿宋" w:eastAsia="仿宋" w:cs="仿宋"/>
          <w:color w:val="auto"/>
          <w:sz w:val="24"/>
        </w:rPr>
        <w:t>以我方的名义参加</w:t>
      </w:r>
      <w:r>
        <w:rPr>
          <w:rFonts w:hint="eastAsia" w:ascii="仿宋" w:hAnsi="仿宋" w:eastAsia="仿宋" w:cs="仿宋"/>
          <w:color w:val="auto"/>
          <w:sz w:val="24"/>
          <w:u w:val="single"/>
        </w:rPr>
        <w:t>（项目名称）</w:t>
      </w:r>
      <w:r>
        <w:rPr>
          <w:rFonts w:hint="eastAsia" w:ascii="仿宋" w:hAnsi="仿宋" w:eastAsia="仿宋" w:cs="仿宋"/>
          <w:color w:val="auto"/>
          <w:sz w:val="24"/>
        </w:rPr>
        <w:t>项目磋商活动，并代表我方全权办理针对上述项目的响应文件提交、磋商、签约等具体事务和签署相关文件的被授权委托代理人。我方对被授权委托代理人的签字事项负全部责任。</w:t>
      </w:r>
    </w:p>
    <w:p>
      <w:pPr>
        <w:spacing w:after="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代理期限从年月日至年月日止。</w:t>
      </w:r>
    </w:p>
    <w:p>
      <w:pPr>
        <w:spacing w:after="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被授权委托代理人无转委托权，特此委托。</w:t>
      </w:r>
    </w:p>
    <w:p>
      <w:pPr>
        <w:spacing w:after="0" w:line="360" w:lineRule="auto"/>
        <w:ind w:firstLine="480" w:firstLineChars="200"/>
        <w:rPr>
          <w:rFonts w:hint="eastAsia" w:ascii="仿宋" w:hAnsi="仿宋" w:eastAsia="仿宋" w:cs="仿宋"/>
          <w:color w:val="auto"/>
          <w:sz w:val="24"/>
        </w:rPr>
      </w:pPr>
    </w:p>
    <w:p>
      <w:pPr>
        <w:spacing w:after="0" w:line="360" w:lineRule="auto"/>
        <w:ind w:firstLine="480" w:firstLineChars="200"/>
        <w:rPr>
          <w:rFonts w:hint="eastAsia" w:ascii="仿宋" w:hAnsi="仿宋" w:eastAsia="仿宋" w:cs="仿宋"/>
          <w:color w:val="auto"/>
          <w:sz w:val="24"/>
        </w:rPr>
      </w:pPr>
    </w:p>
    <w:p>
      <w:pPr>
        <w:spacing w:after="0"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被授权代表（签字）：</w:t>
      </w:r>
    </w:p>
    <w:p>
      <w:pPr>
        <w:spacing w:after="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被授权代表职务：</w:t>
      </w:r>
    </w:p>
    <w:p>
      <w:pPr>
        <w:spacing w:after="0"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身份证号码：</w:t>
      </w:r>
    </w:p>
    <w:p>
      <w:pPr>
        <w:spacing w:after="0" w:line="360" w:lineRule="auto"/>
        <w:ind w:firstLine="480" w:firstLineChars="200"/>
        <w:rPr>
          <w:rFonts w:hint="eastAsia" w:ascii="仿宋" w:hAnsi="仿宋" w:eastAsia="仿宋" w:cs="仿宋"/>
          <w:color w:val="auto"/>
          <w:sz w:val="24"/>
        </w:rPr>
      </w:pPr>
    </w:p>
    <w:p>
      <w:pPr>
        <w:spacing w:after="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竞标人名称（盖公章）：</w:t>
      </w:r>
    </w:p>
    <w:p>
      <w:pPr>
        <w:spacing w:after="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法定代表人（签字）：</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日期：年月日</w:t>
      </w:r>
    </w:p>
    <w:p>
      <w:pPr>
        <w:spacing w:after="0" w:line="360" w:lineRule="auto"/>
        <w:ind w:firstLine="480" w:firstLineChars="200"/>
        <w:rPr>
          <w:rFonts w:hint="eastAsia" w:ascii="仿宋" w:hAnsi="仿宋" w:eastAsia="仿宋" w:cs="仿宋"/>
          <w:color w:val="auto"/>
          <w:sz w:val="24"/>
        </w:rPr>
      </w:pPr>
    </w:p>
    <w:p>
      <w:pPr>
        <w:spacing w:line="360" w:lineRule="auto"/>
        <w:ind w:firstLine="480" w:firstLineChars="200"/>
        <w:jc w:val="center"/>
        <w:rPr>
          <w:rFonts w:hint="eastAsia" w:ascii="仿宋" w:hAnsi="仿宋" w:eastAsia="仿宋" w:cs="仿宋"/>
          <w:color w:val="auto"/>
          <w:sz w:val="24"/>
        </w:rPr>
        <w:sectPr>
          <w:pgSz w:w="11905" w:h="16838"/>
          <w:pgMar w:top="1134" w:right="1134" w:bottom="1134" w:left="1134" w:header="624" w:footer="737" w:gutter="0"/>
          <w:cols w:space="720" w:num="1"/>
          <w:docGrid w:linePitch="312" w:charSpace="0"/>
        </w:sectPr>
      </w:pPr>
    </w:p>
    <w:p>
      <w:pPr>
        <w:keepNext/>
        <w:keepLines/>
        <w:spacing w:line="480" w:lineRule="exact"/>
        <w:jc w:val="center"/>
        <w:outlineLvl w:val="1"/>
        <w:rPr>
          <w:rFonts w:hint="eastAsia" w:ascii="仿宋" w:hAnsi="仿宋" w:eastAsia="仿宋" w:cs="仿宋"/>
          <w:bCs/>
          <w:color w:val="auto"/>
          <w:sz w:val="28"/>
          <w:szCs w:val="28"/>
        </w:rPr>
        <w:sectPr>
          <w:pgSz w:w="11905" w:h="16838"/>
          <w:pgMar w:top="1134" w:right="1134" w:bottom="1134" w:left="1134" w:header="624" w:footer="737" w:gutter="0"/>
          <w:cols w:space="720" w:num="1"/>
          <w:docGrid w:linePitch="312" w:charSpace="0"/>
        </w:sectPr>
      </w:pPr>
      <w:bookmarkStart w:id="1867" w:name="_Toc11700"/>
      <w:bookmarkStart w:id="1868" w:name="_Toc1010"/>
      <w:bookmarkStart w:id="1869" w:name="_Toc503051341"/>
      <w:bookmarkStart w:id="1870" w:name="_Toc511082984"/>
      <w:bookmarkStart w:id="1871" w:name="_Toc475633728"/>
      <w:r>
        <w:rPr>
          <w:rFonts w:hint="eastAsia" w:ascii="仿宋" w:hAnsi="仿宋" w:eastAsia="仿宋" w:cs="仿宋"/>
          <w:bCs/>
          <w:color w:val="auto"/>
          <w:sz w:val="28"/>
          <w:szCs w:val="28"/>
        </w:rPr>
        <w:t>四、响应文件技术部分格式</w:t>
      </w:r>
      <w:bookmarkEnd w:id="1867"/>
      <w:bookmarkEnd w:id="1868"/>
      <w:bookmarkEnd w:id="1869"/>
      <w:bookmarkEnd w:id="1870"/>
    </w:p>
    <w:bookmarkEnd w:id="1871"/>
    <w:p>
      <w:pPr>
        <w:spacing w:line="360" w:lineRule="auto"/>
        <w:ind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rPr>
        <w:t>一、</w:t>
      </w:r>
      <w:r>
        <w:rPr>
          <w:rFonts w:hint="eastAsia" w:ascii="仿宋" w:hAnsi="仿宋" w:eastAsia="仿宋" w:cs="仿宋"/>
          <w:color w:val="auto"/>
          <w:sz w:val="21"/>
          <w:szCs w:val="21"/>
          <w:lang w:eastAsia="zh-CN"/>
        </w:rPr>
        <w:t>工程总承包工作大纲；（自行编制，格式自拟。）</w:t>
      </w:r>
    </w:p>
    <w:p>
      <w:pPr>
        <w:spacing w:line="360" w:lineRule="auto"/>
        <w:ind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rPr>
        <w:t>二、</w:t>
      </w:r>
      <w:r>
        <w:rPr>
          <w:rFonts w:hint="eastAsia" w:ascii="仿宋" w:hAnsi="仿宋" w:eastAsia="仿宋" w:cs="仿宋"/>
          <w:color w:val="auto"/>
          <w:sz w:val="21"/>
          <w:szCs w:val="21"/>
          <w:lang w:eastAsia="zh-CN"/>
        </w:rPr>
        <w:t>施工组织设计；（自行编制，格式自拟。）</w:t>
      </w:r>
    </w:p>
    <w:p>
      <w:pPr>
        <w:pStyle w:val="2"/>
        <w:ind w:firstLine="420"/>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三、资信业绩（如有）；（自行编制，格式自拟。）</w:t>
      </w:r>
    </w:p>
    <w:p>
      <w:pPr>
        <w:pStyle w:val="2"/>
        <w:ind w:firstLine="420"/>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四、设计标；（自行编制，格式自拟。）</w:t>
      </w:r>
    </w:p>
    <w:p>
      <w:pPr>
        <w:rPr>
          <w:rFonts w:hint="eastAsia" w:eastAsia="仿宋"/>
          <w:color w:val="auto"/>
          <w:lang w:eastAsia="zh-CN"/>
        </w:rPr>
        <w:sectPr>
          <w:pgSz w:w="11905" w:h="16838"/>
          <w:pgMar w:top="1134" w:right="1134" w:bottom="1134" w:left="1134" w:header="624" w:footer="737" w:gutter="0"/>
          <w:cols w:space="720" w:num="1"/>
          <w:docGrid w:linePitch="312" w:charSpace="0"/>
        </w:sectPr>
      </w:pPr>
      <w:bookmarkStart w:id="1872" w:name="_Toc456692925"/>
    </w:p>
    <w:bookmarkEnd w:id="1872"/>
    <w:p>
      <w:pPr>
        <w:keepNext/>
        <w:keepLines/>
        <w:spacing w:before="260" w:after="260" w:line="400" w:lineRule="exact"/>
        <w:jc w:val="left"/>
        <w:rPr>
          <w:rStyle w:val="134"/>
          <w:rFonts w:hint="eastAsia" w:ascii="仿宋" w:hAnsi="仿宋" w:eastAsia="仿宋" w:cs="仿宋"/>
          <w:b/>
          <w:bCs/>
          <w:color w:val="auto"/>
          <w:sz w:val="28"/>
          <w:szCs w:val="28"/>
          <w:lang w:eastAsia="zh-CN"/>
        </w:rPr>
      </w:pPr>
      <w:r>
        <w:rPr>
          <w:rStyle w:val="134"/>
          <w:rFonts w:hint="eastAsia" w:ascii="仿宋" w:hAnsi="仿宋" w:eastAsia="仿宋" w:cs="仿宋"/>
          <w:b/>
          <w:bCs/>
          <w:color w:val="auto"/>
          <w:sz w:val="28"/>
          <w:szCs w:val="28"/>
          <w:lang w:eastAsia="zh-CN"/>
        </w:rPr>
        <w:t>附件：格式仅供参考</w:t>
      </w:r>
    </w:p>
    <w:p>
      <w:pPr>
        <w:keepNext/>
        <w:keepLines/>
        <w:spacing w:before="260" w:after="260" w:line="400" w:lineRule="exact"/>
        <w:jc w:val="center"/>
        <w:rPr>
          <w:rStyle w:val="134"/>
          <w:rFonts w:hint="eastAsia" w:ascii="仿宋" w:hAnsi="仿宋" w:eastAsia="仿宋" w:cs="仿宋"/>
          <w:b/>
          <w:bCs/>
          <w:color w:val="auto"/>
          <w:sz w:val="28"/>
          <w:szCs w:val="28"/>
        </w:rPr>
      </w:pPr>
      <w:r>
        <w:rPr>
          <w:rStyle w:val="134"/>
          <w:rFonts w:hint="eastAsia" w:ascii="仿宋" w:hAnsi="仿宋" w:eastAsia="仿宋" w:cs="仿宋"/>
          <w:b/>
          <w:bCs/>
          <w:color w:val="auto"/>
          <w:sz w:val="28"/>
          <w:szCs w:val="28"/>
        </w:rPr>
        <w:t>1、拟投入本合同工程施工的项目管理机构组成表</w:t>
      </w:r>
    </w:p>
    <w:tbl>
      <w:tblPr>
        <w:tblStyle w:val="48"/>
        <w:tblW w:w="8716" w:type="dxa"/>
        <w:jc w:val="center"/>
        <w:tblLayout w:type="fixed"/>
        <w:tblCellMar>
          <w:top w:w="0" w:type="dxa"/>
          <w:left w:w="0" w:type="dxa"/>
          <w:bottom w:w="0" w:type="dxa"/>
          <w:right w:w="0" w:type="dxa"/>
        </w:tblCellMar>
      </w:tblPr>
      <w:tblGrid>
        <w:gridCol w:w="2558"/>
        <w:gridCol w:w="900"/>
        <w:gridCol w:w="752"/>
        <w:gridCol w:w="620"/>
        <w:gridCol w:w="709"/>
        <w:gridCol w:w="745"/>
        <w:gridCol w:w="782"/>
        <w:gridCol w:w="736"/>
        <w:gridCol w:w="914"/>
      </w:tblGrid>
      <w:tr>
        <w:tblPrEx>
          <w:tblCellMar>
            <w:top w:w="0" w:type="dxa"/>
            <w:left w:w="0" w:type="dxa"/>
            <w:bottom w:w="0" w:type="dxa"/>
            <w:right w:w="0" w:type="dxa"/>
          </w:tblCellMar>
        </w:tblPrEx>
        <w:trPr>
          <w:trHeight w:val="1166" w:hRule="exact"/>
          <w:jc w:val="center"/>
        </w:trPr>
        <w:tc>
          <w:tcPr>
            <w:tcW w:w="25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r>
              <w:rPr>
                <w:rFonts w:hint="eastAsia" w:ascii="仿宋" w:hAnsi="仿宋" w:eastAsia="仿宋" w:cs="仿宋"/>
                <w:color w:val="auto"/>
                <w:szCs w:val="21"/>
              </w:rPr>
              <w:t>工作岗位名称</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r>
              <w:rPr>
                <w:rFonts w:hint="eastAsia" w:ascii="仿宋" w:hAnsi="仿宋" w:eastAsia="仿宋" w:cs="仿宋"/>
                <w:color w:val="auto"/>
                <w:szCs w:val="21"/>
              </w:rPr>
              <w:t>姓名</w:t>
            </w:r>
          </w:p>
        </w:tc>
        <w:tc>
          <w:tcPr>
            <w:tcW w:w="75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r>
              <w:rPr>
                <w:rFonts w:hint="eastAsia" w:ascii="仿宋" w:hAnsi="仿宋" w:eastAsia="仿宋" w:cs="仿宋"/>
                <w:color w:val="auto"/>
                <w:szCs w:val="21"/>
              </w:rPr>
              <w:t>性别</w:t>
            </w:r>
          </w:p>
        </w:tc>
        <w:tc>
          <w:tcPr>
            <w:tcW w:w="6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r>
              <w:rPr>
                <w:rFonts w:hint="eastAsia" w:ascii="仿宋" w:hAnsi="仿宋" w:eastAsia="仿宋" w:cs="仿宋"/>
                <w:color w:val="auto"/>
                <w:szCs w:val="21"/>
              </w:rPr>
              <w:t>工作职责</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r>
              <w:rPr>
                <w:rFonts w:hint="eastAsia" w:ascii="仿宋" w:hAnsi="仿宋" w:eastAsia="仿宋" w:cs="仿宋"/>
                <w:color w:val="auto"/>
                <w:szCs w:val="21"/>
              </w:rPr>
              <w:t>职称</w:t>
            </w:r>
          </w:p>
        </w:tc>
        <w:tc>
          <w:tcPr>
            <w:tcW w:w="74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r>
              <w:rPr>
                <w:rFonts w:hint="eastAsia" w:ascii="仿宋" w:hAnsi="仿宋" w:eastAsia="仿宋" w:cs="仿宋"/>
                <w:color w:val="auto"/>
                <w:szCs w:val="21"/>
              </w:rPr>
              <w:t>专业</w:t>
            </w:r>
          </w:p>
        </w:tc>
        <w:tc>
          <w:tcPr>
            <w:tcW w:w="78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r>
              <w:rPr>
                <w:rFonts w:hint="eastAsia" w:ascii="仿宋" w:hAnsi="仿宋" w:eastAsia="仿宋" w:cs="仿宋"/>
                <w:bCs/>
                <w:color w:val="auto"/>
                <w:szCs w:val="21"/>
              </w:rPr>
              <w:t>相关证书名称及编号</w:t>
            </w:r>
          </w:p>
        </w:tc>
        <w:tc>
          <w:tcPr>
            <w:tcW w:w="73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r>
              <w:rPr>
                <w:rFonts w:hint="eastAsia" w:ascii="仿宋" w:hAnsi="仿宋" w:eastAsia="仿宋" w:cs="仿宋"/>
                <w:color w:val="auto"/>
                <w:szCs w:val="21"/>
              </w:rPr>
              <w:t>相关工作年限</w:t>
            </w:r>
          </w:p>
        </w:tc>
        <w:tc>
          <w:tcPr>
            <w:tcW w:w="9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r>
              <w:rPr>
                <w:rFonts w:hint="eastAsia" w:ascii="仿宋" w:hAnsi="仿宋" w:eastAsia="仿宋" w:cs="仿宋"/>
                <w:color w:val="auto"/>
                <w:szCs w:val="21"/>
              </w:rPr>
              <w:t>工作</w:t>
            </w:r>
          </w:p>
          <w:p>
            <w:pPr>
              <w:spacing w:after="0"/>
              <w:jc w:val="center"/>
              <w:rPr>
                <w:rFonts w:hint="eastAsia" w:ascii="仿宋" w:hAnsi="仿宋" w:eastAsia="仿宋" w:cs="仿宋"/>
                <w:color w:val="auto"/>
                <w:szCs w:val="21"/>
              </w:rPr>
            </w:pPr>
            <w:r>
              <w:rPr>
                <w:rFonts w:hint="eastAsia" w:ascii="仿宋" w:hAnsi="仿宋" w:eastAsia="仿宋" w:cs="仿宋"/>
                <w:color w:val="auto"/>
                <w:szCs w:val="21"/>
              </w:rPr>
              <w:t>简历</w:t>
            </w:r>
          </w:p>
        </w:tc>
      </w:tr>
      <w:tr>
        <w:tblPrEx>
          <w:tblCellMar>
            <w:top w:w="0" w:type="dxa"/>
            <w:left w:w="0" w:type="dxa"/>
            <w:bottom w:w="0" w:type="dxa"/>
            <w:right w:w="0" w:type="dxa"/>
          </w:tblCellMar>
        </w:tblPrEx>
        <w:trPr>
          <w:trHeight w:val="567" w:hRule="exact"/>
          <w:jc w:val="center"/>
        </w:trPr>
        <w:tc>
          <w:tcPr>
            <w:tcW w:w="2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0"/>
              <w:rPr>
                <w:rFonts w:hint="eastAsia" w:ascii="仿宋" w:hAnsi="仿宋" w:eastAsia="仿宋" w:cs="仿宋"/>
                <w:color w:val="auto"/>
                <w:szCs w:val="21"/>
              </w:rPr>
            </w:pP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7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62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709"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74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78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73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9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r>
      <w:tr>
        <w:tblPrEx>
          <w:tblCellMar>
            <w:top w:w="0" w:type="dxa"/>
            <w:left w:w="0" w:type="dxa"/>
            <w:bottom w:w="0" w:type="dxa"/>
            <w:right w:w="0" w:type="dxa"/>
          </w:tblCellMar>
        </w:tblPrEx>
        <w:trPr>
          <w:trHeight w:val="847" w:hRule="exact"/>
          <w:jc w:val="center"/>
        </w:trPr>
        <w:tc>
          <w:tcPr>
            <w:tcW w:w="2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0"/>
              <w:rPr>
                <w:rFonts w:hint="eastAsia" w:ascii="仿宋" w:hAnsi="仿宋" w:eastAsia="仿宋" w:cs="仿宋"/>
                <w:color w:val="auto"/>
                <w:szCs w:val="21"/>
              </w:rPr>
            </w:pP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7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62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709"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74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78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73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9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r>
      <w:tr>
        <w:tblPrEx>
          <w:tblCellMar>
            <w:top w:w="0" w:type="dxa"/>
            <w:left w:w="0" w:type="dxa"/>
            <w:bottom w:w="0" w:type="dxa"/>
            <w:right w:w="0" w:type="dxa"/>
          </w:tblCellMar>
        </w:tblPrEx>
        <w:trPr>
          <w:trHeight w:val="567" w:hRule="exact"/>
          <w:jc w:val="center"/>
        </w:trPr>
        <w:tc>
          <w:tcPr>
            <w:tcW w:w="2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0"/>
              <w:rPr>
                <w:rFonts w:hint="eastAsia" w:ascii="仿宋" w:hAnsi="仿宋" w:eastAsia="仿宋" w:cs="仿宋"/>
                <w:color w:val="auto"/>
                <w:szCs w:val="21"/>
              </w:rPr>
            </w:pP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7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62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709" w:type="dxa"/>
            <w:tcBorders>
              <w:top w:val="nil"/>
              <w:left w:val="nil"/>
              <w:bottom w:val="single" w:color="auto" w:sz="4" w:space="0"/>
              <w:right w:val="single" w:color="auto" w:sz="4" w:space="0"/>
            </w:tcBorders>
            <w:tcMar>
              <w:top w:w="15" w:type="dxa"/>
              <w:left w:w="15" w:type="dxa"/>
              <w:bottom w:w="0" w:type="dxa"/>
              <w:right w:w="15" w:type="dxa"/>
            </w:tcMar>
            <w:vAlign w:val="center"/>
          </w:tcPr>
          <w:p>
            <w:pPr>
              <w:pStyle w:val="193"/>
              <w:overflowPunct/>
              <w:autoSpaceDE/>
              <w:autoSpaceDN/>
              <w:adjustRightInd/>
              <w:spacing w:before="0" w:after="0" w:line="240" w:lineRule="auto"/>
              <w:jc w:val="center"/>
              <w:textAlignment w:val="auto"/>
              <w:rPr>
                <w:rFonts w:hint="eastAsia" w:ascii="仿宋" w:hAnsi="仿宋" w:eastAsia="仿宋" w:cs="仿宋"/>
                <w:color w:val="auto"/>
                <w:kern w:val="2"/>
                <w:sz w:val="21"/>
                <w:szCs w:val="21"/>
              </w:rPr>
            </w:pPr>
          </w:p>
        </w:tc>
        <w:tc>
          <w:tcPr>
            <w:tcW w:w="74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78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73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9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r>
      <w:tr>
        <w:tblPrEx>
          <w:tblCellMar>
            <w:top w:w="0" w:type="dxa"/>
            <w:left w:w="0" w:type="dxa"/>
            <w:bottom w:w="0" w:type="dxa"/>
            <w:right w:w="0" w:type="dxa"/>
          </w:tblCellMar>
        </w:tblPrEx>
        <w:trPr>
          <w:trHeight w:val="567" w:hRule="exact"/>
          <w:jc w:val="center"/>
        </w:trPr>
        <w:tc>
          <w:tcPr>
            <w:tcW w:w="2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0"/>
              <w:rPr>
                <w:rFonts w:hint="eastAsia" w:ascii="仿宋" w:hAnsi="仿宋" w:eastAsia="仿宋" w:cs="仿宋"/>
                <w:color w:val="auto"/>
                <w:szCs w:val="21"/>
              </w:rPr>
            </w:pP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7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62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709"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74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78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73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9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r>
      <w:tr>
        <w:tblPrEx>
          <w:tblCellMar>
            <w:top w:w="0" w:type="dxa"/>
            <w:left w:w="0" w:type="dxa"/>
            <w:bottom w:w="0" w:type="dxa"/>
            <w:right w:w="0" w:type="dxa"/>
          </w:tblCellMar>
        </w:tblPrEx>
        <w:trPr>
          <w:trHeight w:val="567" w:hRule="exact"/>
          <w:jc w:val="center"/>
        </w:trPr>
        <w:tc>
          <w:tcPr>
            <w:tcW w:w="2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0"/>
              <w:rPr>
                <w:rFonts w:hint="eastAsia" w:ascii="仿宋" w:hAnsi="仿宋" w:eastAsia="仿宋" w:cs="仿宋"/>
                <w:color w:val="auto"/>
                <w:szCs w:val="21"/>
              </w:rPr>
            </w:pP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7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62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709"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74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78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73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9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r>
      <w:tr>
        <w:tblPrEx>
          <w:tblCellMar>
            <w:top w:w="0" w:type="dxa"/>
            <w:left w:w="0" w:type="dxa"/>
            <w:bottom w:w="0" w:type="dxa"/>
            <w:right w:w="0" w:type="dxa"/>
          </w:tblCellMar>
        </w:tblPrEx>
        <w:trPr>
          <w:trHeight w:val="567" w:hRule="exact"/>
          <w:jc w:val="center"/>
        </w:trPr>
        <w:tc>
          <w:tcPr>
            <w:tcW w:w="2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0"/>
              <w:rPr>
                <w:rFonts w:hint="eastAsia" w:ascii="仿宋" w:hAnsi="仿宋" w:eastAsia="仿宋" w:cs="仿宋"/>
                <w:color w:val="auto"/>
                <w:szCs w:val="21"/>
              </w:rPr>
            </w:pP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7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62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709"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74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78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73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9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r>
      <w:tr>
        <w:tblPrEx>
          <w:tblCellMar>
            <w:top w:w="0" w:type="dxa"/>
            <w:left w:w="0" w:type="dxa"/>
            <w:bottom w:w="0" w:type="dxa"/>
            <w:right w:w="0" w:type="dxa"/>
          </w:tblCellMar>
        </w:tblPrEx>
        <w:trPr>
          <w:trHeight w:val="567" w:hRule="exact"/>
          <w:jc w:val="center"/>
        </w:trPr>
        <w:tc>
          <w:tcPr>
            <w:tcW w:w="2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0"/>
              <w:rPr>
                <w:rFonts w:hint="eastAsia" w:ascii="仿宋" w:hAnsi="仿宋" w:eastAsia="仿宋" w:cs="仿宋"/>
                <w:color w:val="auto"/>
                <w:szCs w:val="21"/>
              </w:rPr>
            </w:pP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7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62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709"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74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78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73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9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r>
      <w:tr>
        <w:tblPrEx>
          <w:tblCellMar>
            <w:top w:w="0" w:type="dxa"/>
            <w:left w:w="0" w:type="dxa"/>
            <w:bottom w:w="0" w:type="dxa"/>
            <w:right w:w="0" w:type="dxa"/>
          </w:tblCellMar>
        </w:tblPrEx>
        <w:trPr>
          <w:trHeight w:val="567" w:hRule="exact"/>
          <w:jc w:val="center"/>
        </w:trPr>
        <w:tc>
          <w:tcPr>
            <w:tcW w:w="2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0"/>
              <w:rPr>
                <w:rFonts w:hint="eastAsia" w:ascii="仿宋" w:hAnsi="仿宋" w:eastAsia="仿宋" w:cs="仿宋"/>
                <w:color w:val="auto"/>
                <w:szCs w:val="21"/>
              </w:rPr>
            </w:pP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7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62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709"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74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78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73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c>
          <w:tcPr>
            <w:tcW w:w="9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ascii="仿宋" w:hAnsi="仿宋" w:eastAsia="仿宋" w:cs="仿宋"/>
                <w:color w:val="auto"/>
                <w:szCs w:val="21"/>
              </w:rPr>
            </w:pPr>
          </w:p>
        </w:tc>
      </w:tr>
    </w:tbl>
    <w:p>
      <w:pPr>
        <w:spacing w:line="500" w:lineRule="exact"/>
        <w:ind w:firstLine="3600" w:firstLineChars="1500"/>
        <w:rPr>
          <w:rFonts w:hint="eastAsia" w:ascii="仿宋" w:hAnsi="仿宋" w:eastAsia="仿宋" w:cs="仿宋"/>
          <w:color w:val="auto"/>
          <w:sz w:val="24"/>
        </w:rPr>
      </w:pPr>
    </w:p>
    <w:p>
      <w:pPr>
        <w:spacing w:line="400" w:lineRule="exact"/>
        <w:ind w:firstLine="2880" w:firstLineChars="1200"/>
        <w:rPr>
          <w:rFonts w:hint="eastAsia" w:ascii="仿宋" w:hAnsi="仿宋" w:eastAsia="仿宋" w:cs="仿宋"/>
          <w:color w:val="auto"/>
          <w:sz w:val="24"/>
        </w:rPr>
      </w:pPr>
      <w:r>
        <w:rPr>
          <w:rFonts w:hint="eastAsia" w:ascii="仿宋" w:hAnsi="仿宋" w:eastAsia="仿宋" w:cs="仿宋"/>
          <w:color w:val="auto"/>
          <w:sz w:val="24"/>
        </w:rPr>
        <w:t>竞标人名称：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（盖公章）</w:t>
      </w:r>
    </w:p>
    <w:p>
      <w:pPr>
        <w:spacing w:line="400" w:lineRule="exact"/>
        <w:ind w:firstLine="2880" w:firstLineChars="1200"/>
        <w:rPr>
          <w:rFonts w:hint="eastAsia" w:ascii="仿宋" w:hAnsi="仿宋" w:eastAsia="仿宋" w:cs="仿宋"/>
          <w:color w:val="auto"/>
          <w:sz w:val="24"/>
        </w:rPr>
      </w:pPr>
      <w:r>
        <w:rPr>
          <w:rFonts w:hint="eastAsia" w:ascii="仿宋" w:hAnsi="仿宋" w:eastAsia="仿宋" w:cs="仿宋"/>
          <w:color w:val="auto"/>
          <w:sz w:val="24"/>
        </w:rPr>
        <w:t>法定代表人（或授权委托代理人）：</w:t>
      </w:r>
      <w:r>
        <w:rPr>
          <w:rFonts w:hint="eastAsia" w:ascii="仿宋" w:hAnsi="仿宋" w:eastAsia="仿宋" w:cs="仿宋"/>
          <w:color w:val="auto"/>
          <w:sz w:val="24"/>
          <w:u w:val="single"/>
        </w:rPr>
        <w:t xml:space="preserve">        </w:t>
      </w:r>
      <w:r>
        <w:rPr>
          <w:rFonts w:hint="eastAsia" w:ascii="仿宋" w:hAnsi="仿宋" w:eastAsia="仿宋" w:cs="仿宋"/>
          <w:color w:val="auto"/>
          <w:sz w:val="24"/>
        </w:rPr>
        <w:t>（签名）</w:t>
      </w:r>
    </w:p>
    <w:p>
      <w:pPr>
        <w:spacing w:line="400" w:lineRule="exact"/>
        <w:ind w:firstLine="2880" w:firstLineChars="1200"/>
        <w:rPr>
          <w:rFonts w:hint="eastAsia" w:ascii="仿宋" w:hAnsi="仿宋" w:eastAsia="仿宋" w:cs="仿宋"/>
          <w:color w:val="auto"/>
          <w:sz w:val="24"/>
        </w:rPr>
      </w:pP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spacing w:line="400" w:lineRule="exact"/>
        <w:rPr>
          <w:rFonts w:hint="eastAsia" w:ascii="仿宋" w:hAnsi="仿宋" w:eastAsia="仿宋" w:cs="仿宋"/>
          <w:color w:val="auto"/>
          <w:sz w:val="28"/>
          <w:szCs w:val="28"/>
        </w:rPr>
      </w:pPr>
    </w:p>
    <w:p>
      <w:pPr>
        <w:spacing w:after="0" w:line="360" w:lineRule="auto"/>
        <w:rPr>
          <w:rFonts w:hint="eastAsia" w:ascii="仿宋" w:hAnsi="仿宋" w:eastAsia="仿宋" w:cs="仿宋"/>
          <w:color w:val="auto"/>
          <w:sz w:val="24"/>
        </w:rPr>
      </w:pPr>
      <w:r>
        <w:rPr>
          <w:rFonts w:hint="eastAsia" w:ascii="仿宋" w:hAnsi="仿宋" w:eastAsia="仿宋" w:cs="仿宋"/>
          <w:color w:val="auto"/>
          <w:sz w:val="24"/>
        </w:rPr>
        <w:t>注：</w:t>
      </w:r>
    </w:p>
    <w:p>
      <w:pPr>
        <w:numPr>
          <w:ilvl w:val="0"/>
          <w:numId w:val="10"/>
        </w:numPr>
        <w:spacing w:after="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本表所列岗位的所有管理人员的情况均应如实填写。可按以上格式扩展为多页填写，每一页均应加盖</w:t>
      </w:r>
      <w:r>
        <w:rPr>
          <w:rFonts w:hint="eastAsia" w:ascii="仿宋" w:hAnsi="仿宋" w:eastAsia="仿宋" w:cs="仿宋"/>
          <w:bCs/>
          <w:color w:val="auto"/>
          <w:sz w:val="24"/>
        </w:rPr>
        <w:t>竞标人</w:t>
      </w:r>
      <w:r>
        <w:rPr>
          <w:rFonts w:hint="eastAsia" w:ascii="仿宋" w:hAnsi="仿宋" w:eastAsia="仿宋" w:cs="仿宋"/>
          <w:color w:val="auto"/>
          <w:sz w:val="24"/>
        </w:rPr>
        <w:t>单位章（联合体则各方盖章）和由法定代表人（或授权委托代理人）签名。</w:t>
      </w:r>
    </w:p>
    <w:p>
      <w:pPr>
        <w:spacing w:after="0" w:line="360" w:lineRule="auto"/>
        <w:rPr>
          <w:rFonts w:hint="eastAsia" w:ascii="仿宋" w:hAnsi="仿宋" w:eastAsia="仿宋" w:cs="仿宋"/>
          <w:color w:val="auto"/>
          <w:sz w:val="24"/>
        </w:rPr>
      </w:pPr>
    </w:p>
    <w:p>
      <w:pPr>
        <w:spacing w:after="0" w:line="360" w:lineRule="auto"/>
        <w:rPr>
          <w:rFonts w:hint="eastAsia" w:ascii="仿宋" w:hAnsi="仿宋" w:eastAsia="仿宋" w:cs="仿宋"/>
          <w:color w:val="auto"/>
          <w:sz w:val="24"/>
        </w:rPr>
      </w:pPr>
    </w:p>
    <w:p>
      <w:pPr>
        <w:spacing w:after="0" w:line="360" w:lineRule="auto"/>
        <w:rPr>
          <w:rFonts w:hint="eastAsia" w:ascii="仿宋" w:hAnsi="仿宋" w:eastAsia="仿宋" w:cs="仿宋"/>
          <w:color w:val="auto"/>
          <w:sz w:val="24"/>
        </w:rPr>
      </w:pPr>
    </w:p>
    <w:p>
      <w:pPr>
        <w:spacing w:after="0" w:line="360" w:lineRule="auto"/>
        <w:rPr>
          <w:rFonts w:hint="eastAsia" w:ascii="仿宋" w:hAnsi="仿宋" w:eastAsia="仿宋" w:cs="仿宋"/>
          <w:color w:val="auto"/>
          <w:sz w:val="24"/>
        </w:rPr>
      </w:pPr>
    </w:p>
    <w:p>
      <w:pPr>
        <w:spacing w:after="0" w:line="360" w:lineRule="auto"/>
        <w:rPr>
          <w:rFonts w:hint="eastAsia" w:ascii="仿宋" w:hAnsi="仿宋" w:eastAsia="仿宋" w:cs="仿宋"/>
          <w:color w:val="auto"/>
          <w:sz w:val="24"/>
        </w:rPr>
      </w:pPr>
    </w:p>
    <w:p>
      <w:pPr>
        <w:spacing w:after="0" w:line="360" w:lineRule="auto"/>
        <w:rPr>
          <w:rFonts w:hint="eastAsia" w:ascii="仿宋" w:hAnsi="仿宋" w:eastAsia="仿宋" w:cs="仿宋"/>
          <w:color w:val="auto"/>
          <w:sz w:val="24"/>
        </w:rPr>
      </w:pPr>
    </w:p>
    <w:p>
      <w:pPr>
        <w:spacing w:after="0" w:line="360" w:lineRule="auto"/>
        <w:rPr>
          <w:rFonts w:hint="eastAsia" w:ascii="仿宋" w:hAnsi="仿宋" w:eastAsia="仿宋" w:cs="仿宋"/>
          <w:color w:val="auto"/>
          <w:sz w:val="24"/>
        </w:rPr>
      </w:pPr>
    </w:p>
    <w:p>
      <w:pPr>
        <w:pStyle w:val="19"/>
        <w:numPr>
          <w:ilvl w:val="0"/>
          <w:numId w:val="11"/>
        </w:numPr>
        <w:rPr>
          <w:rFonts w:hint="eastAsia" w:ascii="仿宋" w:hAnsi="仿宋" w:eastAsia="仿宋" w:cs="仿宋"/>
          <w:b/>
          <w:bCs/>
          <w:color w:val="auto"/>
          <w:sz w:val="28"/>
          <w:szCs w:val="28"/>
        </w:rPr>
      </w:pPr>
      <w:bookmarkStart w:id="1873" w:name="_Toc493855919"/>
      <w:r>
        <w:rPr>
          <w:rFonts w:hint="eastAsia" w:ascii="仿宋" w:hAnsi="仿宋" w:eastAsia="仿宋" w:cs="仿宋"/>
          <w:b/>
          <w:bCs/>
          <w:color w:val="auto"/>
          <w:sz w:val="28"/>
          <w:szCs w:val="28"/>
        </w:rPr>
        <w:t>拟投入本合同工程施工的主要人员简历表</w:t>
      </w:r>
      <w:bookmarkEnd w:id="1873"/>
    </w:p>
    <w:p>
      <w:pPr>
        <w:pStyle w:val="19"/>
        <w:jc w:val="both"/>
        <w:rPr>
          <w:rFonts w:hint="eastAsia" w:ascii="仿宋" w:hAnsi="仿宋" w:eastAsia="仿宋" w:cs="仿宋"/>
          <w:b/>
          <w:bCs/>
          <w:color w:val="auto"/>
          <w:sz w:val="28"/>
          <w:szCs w:val="28"/>
        </w:rPr>
      </w:pPr>
    </w:p>
    <w:tbl>
      <w:tblPr>
        <w:tblStyle w:val="48"/>
        <w:tblW w:w="90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64"/>
        <w:gridCol w:w="1478"/>
        <w:gridCol w:w="866"/>
        <w:gridCol w:w="210"/>
        <w:gridCol w:w="720"/>
        <w:gridCol w:w="1463"/>
        <w:gridCol w:w="1902"/>
        <w:gridCol w:w="11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264" w:type="dxa"/>
            <w:tcBorders>
              <w:top w:val="single" w:color="auto" w:sz="6" w:space="0"/>
              <w:left w:val="single" w:color="auto" w:sz="6" w:space="0"/>
              <w:bottom w:val="single" w:color="auto" w:sz="6" w:space="0"/>
              <w:right w:val="single" w:color="auto" w:sz="6" w:space="0"/>
            </w:tcBorders>
            <w:vAlign w:val="center"/>
          </w:tcPr>
          <w:p>
            <w:pPr>
              <w:spacing w:after="0"/>
              <w:jc w:val="center"/>
              <w:rPr>
                <w:rFonts w:hint="eastAsia" w:ascii="仿宋" w:hAnsi="仿宋" w:eastAsia="仿宋" w:cs="仿宋"/>
                <w:color w:val="auto"/>
                <w:szCs w:val="21"/>
              </w:rPr>
            </w:pPr>
            <w:r>
              <w:rPr>
                <w:rFonts w:hint="eastAsia" w:ascii="仿宋" w:hAnsi="仿宋" w:eastAsia="仿宋" w:cs="仿宋"/>
                <w:color w:val="auto"/>
                <w:szCs w:val="21"/>
              </w:rPr>
              <w:t>姓名</w:t>
            </w:r>
          </w:p>
        </w:tc>
        <w:tc>
          <w:tcPr>
            <w:tcW w:w="1478" w:type="dxa"/>
            <w:tcBorders>
              <w:top w:val="single" w:color="auto" w:sz="6" w:space="0"/>
              <w:left w:val="single" w:color="auto" w:sz="6" w:space="0"/>
              <w:bottom w:val="single" w:color="auto" w:sz="6" w:space="0"/>
              <w:right w:val="single" w:color="auto" w:sz="6" w:space="0"/>
            </w:tcBorders>
            <w:vAlign w:val="center"/>
          </w:tcPr>
          <w:p>
            <w:pPr>
              <w:spacing w:after="0"/>
              <w:jc w:val="center"/>
              <w:rPr>
                <w:rFonts w:hint="eastAsia" w:ascii="仿宋" w:hAnsi="仿宋" w:eastAsia="仿宋" w:cs="仿宋"/>
                <w:color w:val="auto"/>
                <w:szCs w:val="21"/>
              </w:rPr>
            </w:pPr>
          </w:p>
        </w:tc>
        <w:tc>
          <w:tcPr>
            <w:tcW w:w="866" w:type="dxa"/>
            <w:tcBorders>
              <w:top w:val="single" w:color="auto" w:sz="6" w:space="0"/>
              <w:left w:val="single" w:color="auto" w:sz="6" w:space="0"/>
              <w:bottom w:val="single" w:color="auto" w:sz="6" w:space="0"/>
              <w:right w:val="single" w:color="auto" w:sz="6" w:space="0"/>
            </w:tcBorders>
            <w:vAlign w:val="center"/>
          </w:tcPr>
          <w:p>
            <w:pPr>
              <w:spacing w:after="0"/>
              <w:jc w:val="center"/>
              <w:rPr>
                <w:rFonts w:hint="eastAsia" w:ascii="仿宋" w:hAnsi="仿宋" w:eastAsia="仿宋" w:cs="仿宋"/>
                <w:color w:val="auto"/>
                <w:szCs w:val="21"/>
              </w:rPr>
            </w:pPr>
            <w:r>
              <w:rPr>
                <w:rFonts w:hint="eastAsia" w:ascii="仿宋" w:hAnsi="仿宋" w:eastAsia="仿宋" w:cs="仿宋"/>
                <w:color w:val="auto"/>
                <w:szCs w:val="21"/>
              </w:rPr>
              <w:t>性别</w:t>
            </w:r>
          </w:p>
        </w:tc>
        <w:tc>
          <w:tcPr>
            <w:tcW w:w="930" w:type="dxa"/>
            <w:gridSpan w:val="2"/>
            <w:tcBorders>
              <w:top w:val="single" w:color="auto" w:sz="6" w:space="0"/>
              <w:left w:val="single" w:color="auto" w:sz="6" w:space="0"/>
              <w:bottom w:val="single" w:color="auto" w:sz="6" w:space="0"/>
              <w:right w:val="single" w:color="auto" w:sz="6" w:space="0"/>
            </w:tcBorders>
            <w:vAlign w:val="center"/>
          </w:tcPr>
          <w:p>
            <w:pPr>
              <w:spacing w:after="0"/>
              <w:jc w:val="center"/>
              <w:rPr>
                <w:rFonts w:hint="eastAsia" w:ascii="仿宋" w:hAnsi="仿宋" w:eastAsia="仿宋" w:cs="仿宋"/>
                <w:color w:val="auto"/>
                <w:szCs w:val="21"/>
              </w:rPr>
            </w:pPr>
          </w:p>
        </w:tc>
        <w:tc>
          <w:tcPr>
            <w:tcW w:w="1463" w:type="dxa"/>
            <w:tcBorders>
              <w:top w:val="single" w:color="auto" w:sz="6" w:space="0"/>
              <w:left w:val="single" w:color="auto" w:sz="6" w:space="0"/>
              <w:bottom w:val="single" w:color="auto" w:sz="6" w:space="0"/>
              <w:right w:val="single" w:color="auto" w:sz="6" w:space="0"/>
            </w:tcBorders>
            <w:vAlign w:val="center"/>
          </w:tcPr>
          <w:p>
            <w:pPr>
              <w:spacing w:after="0"/>
              <w:jc w:val="center"/>
              <w:rPr>
                <w:rFonts w:hint="eastAsia" w:ascii="仿宋" w:hAnsi="仿宋" w:eastAsia="仿宋" w:cs="仿宋"/>
                <w:color w:val="auto"/>
                <w:szCs w:val="21"/>
              </w:rPr>
            </w:pPr>
            <w:r>
              <w:rPr>
                <w:rFonts w:hint="eastAsia" w:ascii="仿宋" w:hAnsi="仿宋" w:eastAsia="仿宋" w:cs="仿宋"/>
                <w:color w:val="auto"/>
                <w:szCs w:val="21"/>
              </w:rPr>
              <w:t>年龄</w:t>
            </w:r>
          </w:p>
        </w:tc>
        <w:tc>
          <w:tcPr>
            <w:tcW w:w="3098" w:type="dxa"/>
            <w:gridSpan w:val="2"/>
            <w:tcBorders>
              <w:top w:val="single" w:color="auto" w:sz="6" w:space="0"/>
              <w:left w:val="single" w:color="auto" w:sz="6" w:space="0"/>
              <w:bottom w:val="single" w:color="auto" w:sz="6" w:space="0"/>
              <w:right w:val="single" w:color="auto" w:sz="6" w:space="0"/>
            </w:tcBorders>
            <w:vAlign w:val="center"/>
          </w:tcPr>
          <w:p>
            <w:pPr>
              <w:spacing w:after="0"/>
              <w:jc w:val="center"/>
              <w:rPr>
                <w:rFonts w:hint="eastAsia" w:ascii="仿宋" w:hAnsi="仿宋" w:eastAsia="仿宋" w:cs="仿宋"/>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264" w:type="dxa"/>
            <w:tcBorders>
              <w:top w:val="single" w:color="auto" w:sz="6" w:space="0"/>
              <w:left w:val="single" w:color="auto" w:sz="6" w:space="0"/>
              <w:bottom w:val="single" w:color="auto" w:sz="6" w:space="0"/>
              <w:right w:val="single" w:color="auto" w:sz="6" w:space="0"/>
            </w:tcBorders>
            <w:vAlign w:val="center"/>
          </w:tcPr>
          <w:p>
            <w:pPr>
              <w:spacing w:after="0"/>
              <w:jc w:val="center"/>
              <w:rPr>
                <w:rFonts w:hint="eastAsia" w:ascii="仿宋" w:hAnsi="仿宋" w:eastAsia="仿宋" w:cs="仿宋"/>
                <w:color w:val="auto"/>
                <w:szCs w:val="21"/>
              </w:rPr>
            </w:pPr>
            <w:r>
              <w:rPr>
                <w:rFonts w:hint="eastAsia" w:ascii="仿宋" w:hAnsi="仿宋" w:eastAsia="仿宋" w:cs="仿宋"/>
                <w:color w:val="auto"/>
                <w:szCs w:val="21"/>
              </w:rPr>
              <w:t>职务</w:t>
            </w:r>
          </w:p>
        </w:tc>
        <w:tc>
          <w:tcPr>
            <w:tcW w:w="1478" w:type="dxa"/>
            <w:tcBorders>
              <w:top w:val="single" w:color="auto" w:sz="6" w:space="0"/>
              <w:left w:val="single" w:color="auto" w:sz="6" w:space="0"/>
              <w:bottom w:val="single" w:color="auto" w:sz="6" w:space="0"/>
              <w:right w:val="single" w:color="auto" w:sz="6" w:space="0"/>
            </w:tcBorders>
            <w:vAlign w:val="center"/>
          </w:tcPr>
          <w:p>
            <w:pPr>
              <w:spacing w:after="0"/>
              <w:jc w:val="center"/>
              <w:rPr>
                <w:rFonts w:hint="eastAsia" w:ascii="仿宋" w:hAnsi="仿宋" w:eastAsia="仿宋" w:cs="仿宋"/>
                <w:color w:val="auto"/>
                <w:szCs w:val="21"/>
              </w:rPr>
            </w:pPr>
          </w:p>
        </w:tc>
        <w:tc>
          <w:tcPr>
            <w:tcW w:w="866" w:type="dxa"/>
            <w:tcBorders>
              <w:top w:val="single" w:color="auto" w:sz="6" w:space="0"/>
              <w:left w:val="single" w:color="auto" w:sz="6" w:space="0"/>
              <w:bottom w:val="single" w:color="auto" w:sz="6" w:space="0"/>
              <w:right w:val="single" w:color="auto" w:sz="6" w:space="0"/>
            </w:tcBorders>
            <w:vAlign w:val="center"/>
          </w:tcPr>
          <w:p>
            <w:pPr>
              <w:spacing w:after="0"/>
              <w:jc w:val="center"/>
              <w:rPr>
                <w:rFonts w:hint="eastAsia" w:ascii="仿宋" w:hAnsi="仿宋" w:eastAsia="仿宋" w:cs="仿宋"/>
                <w:color w:val="auto"/>
                <w:szCs w:val="21"/>
              </w:rPr>
            </w:pPr>
            <w:r>
              <w:rPr>
                <w:rFonts w:hint="eastAsia" w:ascii="仿宋" w:hAnsi="仿宋" w:eastAsia="仿宋" w:cs="仿宋"/>
                <w:color w:val="auto"/>
                <w:szCs w:val="21"/>
              </w:rPr>
              <w:t>职称</w:t>
            </w:r>
          </w:p>
        </w:tc>
        <w:tc>
          <w:tcPr>
            <w:tcW w:w="930" w:type="dxa"/>
            <w:gridSpan w:val="2"/>
            <w:tcBorders>
              <w:top w:val="single" w:color="auto" w:sz="6" w:space="0"/>
              <w:left w:val="single" w:color="auto" w:sz="6" w:space="0"/>
              <w:bottom w:val="single" w:color="auto" w:sz="6" w:space="0"/>
              <w:right w:val="single" w:color="auto" w:sz="6" w:space="0"/>
            </w:tcBorders>
            <w:vAlign w:val="center"/>
          </w:tcPr>
          <w:p>
            <w:pPr>
              <w:spacing w:after="0"/>
              <w:jc w:val="center"/>
              <w:rPr>
                <w:rFonts w:hint="eastAsia" w:ascii="仿宋" w:hAnsi="仿宋" w:eastAsia="仿宋" w:cs="仿宋"/>
                <w:color w:val="auto"/>
                <w:szCs w:val="21"/>
              </w:rPr>
            </w:pPr>
          </w:p>
        </w:tc>
        <w:tc>
          <w:tcPr>
            <w:tcW w:w="1463" w:type="dxa"/>
            <w:tcBorders>
              <w:top w:val="single" w:color="auto" w:sz="6" w:space="0"/>
              <w:left w:val="single" w:color="auto" w:sz="6" w:space="0"/>
              <w:bottom w:val="single" w:color="auto" w:sz="6" w:space="0"/>
              <w:right w:val="single" w:color="auto" w:sz="6" w:space="0"/>
            </w:tcBorders>
            <w:vAlign w:val="center"/>
          </w:tcPr>
          <w:p>
            <w:pPr>
              <w:spacing w:after="0"/>
              <w:jc w:val="center"/>
              <w:rPr>
                <w:rFonts w:hint="eastAsia" w:ascii="仿宋" w:hAnsi="仿宋" w:eastAsia="仿宋" w:cs="仿宋"/>
                <w:color w:val="auto"/>
                <w:szCs w:val="21"/>
              </w:rPr>
            </w:pPr>
            <w:r>
              <w:rPr>
                <w:rFonts w:hint="eastAsia" w:ascii="仿宋" w:hAnsi="仿宋" w:eastAsia="仿宋" w:cs="仿宋"/>
                <w:color w:val="auto"/>
                <w:szCs w:val="21"/>
              </w:rPr>
              <w:t>学历</w:t>
            </w:r>
          </w:p>
        </w:tc>
        <w:tc>
          <w:tcPr>
            <w:tcW w:w="3098" w:type="dxa"/>
            <w:gridSpan w:val="2"/>
            <w:tcBorders>
              <w:top w:val="single" w:color="auto" w:sz="6" w:space="0"/>
              <w:left w:val="single" w:color="auto" w:sz="6" w:space="0"/>
              <w:bottom w:val="single" w:color="auto" w:sz="6" w:space="0"/>
              <w:right w:val="single" w:color="auto" w:sz="6" w:space="0"/>
            </w:tcBorders>
            <w:vAlign w:val="center"/>
          </w:tcPr>
          <w:p>
            <w:pPr>
              <w:spacing w:after="0"/>
              <w:jc w:val="center"/>
              <w:rPr>
                <w:rFonts w:hint="eastAsia" w:ascii="仿宋" w:hAnsi="仿宋" w:eastAsia="仿宋" w:cs="仿宋"/>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2742" w:type="dxa"/>
            <w:gridSpan w:val="2"/>
            <w:tcBorders>
              <w:top w:val="single" w:color="auto" w:sz="6" w:space="0"/>
              <w:left w:val="single" w:color="auto" w:sz="6" w:space="0"/>
              <w:bottom w:val="single" w:color="auto" w:sz="6" w:space="0"/>
              <w:right w:val="single" w:color="auto" w:sz="6" w:space="0"/>
            </w:tcBorders>
            <w:vAlign w:val="center"/>
          </w:tcPr>
          <w:p>
            <w:pPr>
              <w:spacing w:after="0"/>
              <w:jc w:val="center"/>
              <w:rPr>
                <w:rFonts w:hint="eastAsia" w:ascii="仿宋" w:hAnsi="仿宋" w:eastAsia="仿宋" w:cs="仿宋"/>
                <w:color w:val="auto"/>
                <w:szCs w:val="21"/>
              </w:rPr>
            </w:pPr>
            <w:r>
              <w:rPr>
                <w:rFonts w:hint="eastAsia" w:ascii="仿宋" w:hAnsi="仿宋" w:eastAsia="仿宋" w:cs="仿宋"/>
                <w:color w:val="auto"/>
                <w:szCs w:val="21"/>
              </w:rPr>
              <w:t>执业或职业资格证书</w:t>
            </w:r>
          </w:p>
          <w:p>
            <w:pPr>
              <w:spacing w:after="0"/>
              <w:jc w:val="center"/>
              <w:rPr>
                <w:rFonts w:hint="eastAsia" w:ascii="仿宋" w:hAnsi="仿宋" w:eastAsia="仿宋" w:cs="仿宋"/>
                <w:color w:val="auto"/>
                <w:szCs w:val="21"/>
              </w:rPr>
            </w:pPr>
            <w:r>
              <w:rPr>
                <w:rFonts w:hint="eastAsia" w:ascii="仿宋" w:hAnsi="仿宋" w:eastAsia="仿宋" w:cs="仿宋"/>
                <w:color w:val="auto"/>
                <w:szCs w:val="21"/>
              </w:rPr>
              <w:t>名称及编号</w:t>
            </w:r>
          </w:p>
        </w:tc>
        <w:tc>
          <w:tcPr>
            <w:tcW w:w="1796" w:type="dxa"/>
            <w:gridSpan w:val="3"/>
            <w:tcBorders>
              <w:top w:val="single" w:color="auto" w:sz="6" w:space="0"/>
              <w:left w:val="single" w:color="auto" w:sz="6" w:space="0"/>
              <w:bottom w:val="single" w:color="auto" w:sz="6" w:space="0"/>
              <w:right w:val="single" w:color="auto" w:sz="4" w:space="0"/>
            </w:tcBorders>
            <w:vAlign w:val="center"/>
          </w:tcPr>
          <w:p>
            <w:pPr>
              <w:spacing w:after="0"/>
              <w:jc w:val="center"/>
              <w:rPr>
                <w:rFonts w:hint="eastAsia" w:ascii="仿宋" w:hAnsi="仿宋" w:eastAsia="仿宋" w:cs="仿宋"/>
                <w:color w:val="auto"/>
                <w:szCs w:val="21"/>
              </w:rPr>
            </w:pPr>
          </w:p>
        </w:tc>
        <w:tc>
          <w:tcPr>
            <w:tcW w:w="1463" w:type="dxa"/>
            <w:tcBorders>
              <w:top w:val="single" w:color="auto" w:sz="6" w:space="0"/>
              <w:left w:val="single" w:color="auto" w:sz="4" w:space="0"/>
              <w:bottom w:val="single" w:color="auto" w:sz="6" w:space="0"/>
              <w:right w:val="single" w:color="auto" w:sz="6" w:space="0"/>
            </w:tcBorders>
            <w:vAlign w:val="center"/>
          </w:tcPr>
          <w:p>
            <w:pPr>
              <w:spacing w:after="0"/>
              <w:jc w:val="center"/>
              <w:rPr>
                <w:rFonts w:hint="eastAsia" w:ascii="仿宋" w:hAnsi="仿宋" w:eastAsia="仿宋" w:cs="仿宋"/>
                <w:color w:val="auto"/>
                <w:szCs w:val="21"/>
              </w:rPr>
            </w:pPr>
            <w:r>
              <w:rPr>
                <w:rFonts w:hint="eastAsia" w:ascii="仿宋" w:hAnsi="仿宋" w:eastAsia="仿宋" w:cs="仿宋"/>
                <w:color w:val="auto"/>
                <w:szCs w:val="21"/>
              </w:rPr>
              <w:t>拟在本合同</w:t>
            </w:r>
          </w:p>
          <w:p>
            <w:pPr>
              <w:spacing w:after="0"/>
              <w:jc w:val="center"/>
              <w:rPr>
                <w:rFonts w:hint="eastAsia" w:ascii="仿宋" w:hAnsi="仿宋" w:eastAsia="仿宋" w:cs="仿宋"/>
                <w:color w:val="auto"/>
                <w:szCs w:val="21"/>
              </w:rPr>
            </w:pPr>
            <w:r>
              <w:rPr>
                <w:rFonts w:hint="eastAsia" w:ascii="仿宋" w:hAnsi="仿宋" w:eastAsia="仿宋" w:cs="仿宋"/>
                <w:color w:val="auto"/>
                <w:szCs w:val="21"/>
              </w:rPr>
              <w:t>任职</w:t>
            </w:r>
          </w:p>
        </w:tc>
        <w:tc>
          <w:tcPr>
            <w:tcW w:w="3098" w:type="dxa"/>
            <w:gridSpan w:val="2"/>
            <w:tcBorders>
              <w:top w:val="single" w:color="auto" w:sz="6" w:space="0"/>
              <w:left w:val="single" w:color="auto" w:sz="6" w:space="0"/>
              <w:bottom w:val="single" w:color="auto" w:sz="6" w:space="0"/>
              <w:right w:val="single" w:color="auto" w:sz="6" w:space="0"/>
            </w:tcBorders>
            <w:vAlign w:val="center"/>
          </w:tcPr>
          <w:p>
            <w:pPr>
              <w:spacing w:after="0"/>
              <w:jc w:val="center"/>
              <w:rPr>
                <w:rFonts w:hint="eastAsia" w:ascii="仿宋" w:hAnsi="仿宋" w:eastAsia="仿宋" w:cs="仿宋"/>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2742" w:type="dxa"/>
            <w:gridSpan w:val="2"/>
            <w:tcBorders>
              <w:top w:val="single" w:color="auto" w:sz="6" w:space="0"/>
              <w:left w:val="single" w:color="auto" w:sz="6" w:space="0"/>
              <w:bottom w:val="single" w:color="auto" w:sz="6" w:space="0"/>
              <w:right w:val="single" w:color="auto" w:sz="4" w:space="0"/>
            </w:tcBorders>
            <w:vAlign w:val="center"/>
          </w:tcPr>
          <w:p>
            <w:pPr>
              <w:spacing w:after="0"/>
              <w:jc w:val="center"/>
              <w:rPr>
                <w:rFonts w:hint="eastAsia" w:ascii="仿宋" w:hAnsi="仿宋" w:eastAsia="仿宋" w:cs="仿宋"/>
                <w:color w:val="auto"/>
                <w:szCs w:val="21"/>
              </w:rPr>
            </w:pPr>
            <w:r>
              <w:rPr>
                <w:rFonts w:hint="eastAsia" w:ascii="仿宋" w:hAnsi="仿宋" w:eastAsia="仿宋" w:cs="仿宋"/>
                <w:color w:val="auto"/>
                <w:szCs w:val="21"/>
              </w:rPr>
              <w:t>安全生产考核合格证书</w:t>
            </w:r>
          </w:p>
        </w:tc>
        <w:tc>
          <w:tcPr>
            <w:tcW w:w="1796" w:type="dxa"/>
            <w:gridSpan w:val="3"/>
            <w:tcBorders>
              <w:top w:val="single" w:color="auto" w:sz="6" w:space="0"/>
              <w:left w:val="single" w:color="auto" w:sz="4" w:space="0"/>
              <w:bottom w:val="single" w:color="auto" w:sz="6" w:space="0"/>
              <w:right w:val="single" w:color="auto" w:sz="4" w:space="0"/>
            </w:tcBorders>
            <w:vAlign w:val="center"/>
          </w:tcPr>
          <w:p>
            <w:pPr>
              <w:spacing w:after="0"/>
              <w:jc w:val="center"/>
              <w:rPr>
                <w:rFonts w:hint="eastAsia" w:ascii="仿宋" w:hAnsi="仿宋" w:eastAsia="仿宋" w:cs="仿宋"/>
                <w:color w:val="auto"/>
                <w:szCs w:val="21"/>
              </w:rPr>
            </w:pPr>
          </w:p>
        </w:tc>
        <w:tc>
          <w:tcPr>
            <w:tcW w:w="1463" w:type="dxa"/>
            <w:tcBorders>
              <w:top w:val="single" w:color="auto" w:sz="6" w:space="0"/>
              <w:left w:val="single" w:color="auto" w:sz="4" w:space="0"/>
              <w:bottom w:val="single" w:color="auto" w:sz="6" w:space="0"/>
              <w:right w:val="single" w:color="auto" w:sz="6" w:space="0"/>
            </w:tcBorders>
            <w:vAlign w:val="center"/>
          </w:tcPr>
          <w:p>
            <w:pPr>
              <w:spacing w:after="0"/>
              <w:jc w:val="center"/>
              <w:rPr>
                <w:rFonts w:hint="eastAsia" w:ascii="仿宋" w:hAnsi="仿宋" w:eastAsia="仿宋" w:cs="仿宋"/>
                <w:color w:val="auto"/>
                <w:szCs w:val="21"/>
              </w:rPr>
            </w:pPr>
            <w:r>
              <w:rPr>
                <w:rFonts w:hint="eastAsia" w:ascii="仿宋" w:hAnsi="仿宋" w:eastAsia="仿宋" w:cs="仿宋"/>
                <w:color w:val="auto"/>
                <w:szCs w:val="21"/>
              </w:rPr>
              <w:t>担任本职</w:t>
            </w:r>
          </w:p>
          <w:p>
            <w:pPr>
              <w:spacing w:after="0"/>
              <w:jc w:val="center"/>
              <w:rPr>
                <w:rFonts w:hint="eastAsia" w:ascii="仿宋" w:hAnsi="仿宋" w:eastAsia="仿宋" w:cs="仿宋"/>
                <w:color w:val="auto"/>
                <w:szCs w:val="21"/>
              </w:rPr>
            </w:pPr>
            <w:r>
              <w:rPr>
                <w:rFonts w:hint="eastAsia" w:ascii="仿宋" w:hAnsi="仿宋" w:eastAsia="仿宋" w:cs="仿宋"/>
                <w:color w:val="auto"/>
                <w:szCs w:val="21"/>
              </w:rPr>
              <w:t>工作年限</w:t>
            </w:r>
          </w:p>
        </w:tc>
        <w:tc>
          <w:tcPr>
            <w:tcW w:w="3098" w:type="dxa"/>
            <w:gridSpan w:val="2"/>
            <w:tcBorders>
              <w:top w:val="single" w:color="auto" w:sz="6" w:space="0"/>
              <w:left w:val="single" w:color="auto" w:sz="6" w:space="0"/>
              <w:bottom w:val="single" w:color="auto" w:sz="6" w:space="0"/>
              <w:right w:val="single" w:color="auto" w:sz="6" w:space="0"/>
            </w:tcBorders>
            <w:vAlign w:val="center"/>
          </w:tcPr>
          <w:p>
            <w:pPr>
              <w:spacing w:after="0"/>
              <w:jc w:val="center"/>
              <w:rPr>
                <w:rFonts w:hint="eastAsia" w:ascii="仿宋" w:hAnsi="仿宋" w:eastAsia="仿宋" w:cs="仿宋"/>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2742" w:type="dxa"/>
            <w:gridSpan w:val="2"/>
            <w:tcBorders>
              <w:top w:val="single" w:color="auto" w:sz="6" w:space="0"/>
              <w:left w:val="single" w:color="auto" w:sz="6" w:space="0"/>
              <w:bottom w:val="single" w:color="auto" w:sz="6" w:space="0"/>
              <w:right w:val="single" w:color="auto" w:sz="4" w:space="0"/>
            </w:tcBorders>
            <w:vAlign w:val="center"/>
          </w:tcPr>
          <w:p>
            <w:pPr>
              <w:spacing w:after="0"/>
              <w:jc w:val="center"/>
              <w:rPr>
                <w:rFonts w:hint="eastAsia" w:ascii="仿宋" w:hAnsi="仿宋" w:eastAsia="仿宋" w:cs="仿宋"/>
                <w:color w:val="auto"/>
                <w:szCs w:val="21"/>
              </w:rPr>
            </w:pPr>
            <w:r>
              <w:rPr>
                <w:rFonts w:hint="eastAsia" w:ascii="仿宋" w:hAnsi="仿宋" w:eastAsia="仿宋" w:cs="仿宋"/>
                <w:color w:val="auto"/>
                <w:szCs w:val="21"/>
              </w:rPr>
              <w:t>毕业学校</w:t>
            </w:r>
          </w:p>
        </w:tc>
        <w:tc>
          <w:tcPr>
            <w:tcW w:w="6357" w:type="dxa"/>
            <w:gridSpan w:val="6"/>
            <w:tcBorders>
              <w:top w:val="single" w:color="auto" w:sz="6" w:space="0"/>
              <w:left w:val="single" w:color="auto" w:sz="4" w:space="0"/>
              <w:bottom w:val="single" w:color="auto" w:sz="6" w:space="0"/>
              <w:right w:val="single" w:color="auto" w:sz="6" w:space="0"/>
            </w:tcBorders>
            <w:vAlign w:val="center"/>
          </w:tcPr>
          <w:p>
            <w:pPr>
              <w:spacing w:after="0"/>
              <w:jc w:val="center"/>
              <w:rPr>
                <w:rFonts w:hint="eastAsia" w:ascii="仿宋" w:hAnsi="仿宋" w:eastAsia="仿宋" w:cs="仿宋"/>
                <w:color w:val="auto"/>
                <w:szCs w:val="21"/>
              </w:rPr>
            </w:pPr>
            <w:r>
              <w:rPr>
                <w:rFonts w:hint="eastAsia" w:ascii="仿宋" w:hAnsi="仿宋" w:eastAsia="仿宋" w:cs="仿宋"/>
                <w:color w:val="auto"/>
                <w:szCs w:val="21"/>
              </w:rPr>
              <w:t>年毕业于          学校        专业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9099" w:type="dxa"/>
            <w:gridSpan w:val="8"/>
            <w:tcBorders>
              <w:top w:val="single" w:color="auto" w:sz="6" w:space="0"/>
              <w:left w:val="single" w:color="auto" w:sz="6" w:space="0"/>
              <w:bottom w:val="single" w:color="auto" w:sz="6" w:space="0"/>
              <w:right w:val="single" w:color="auto" w:sz="6" w:space="0"/>
            </w:tcBorders>
            <w:vAlign w:val="center"/>
          </w:tcPr>
          <w:p>
            <w:pPr>
              <w:spacing w:after="0"/>
              <w:jc w:val="center"/>
              <w:rPr>
                <w:rFonts w:hint="eastAsia" w:ascii="仿宋" w:hAnsi="仿宋" w:eastAsia="仿宋" w:cs="仿宋"/>
                <w:color w:val="auto"/>
                <w:szCs w:val="21"/>
              </w:rPr>
            </w:pPr>
            <w:r>
              <w:rPr>
                <w:rFonts w:hint="eastAsia" w:ascii="仿宋" w:hAnsi="仿宋" w:eastAsia="仿宋" w:cs="仿宋"/>
                <w:color w:val="auto"/>
                <w:szCs w:val="21"/>
              </w:rPr>
              <w:t>已完工程项目情况表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264" w:type="dxa"/>
            <w:tcBorders>
              <w:top w:val="single" w:color="auto" w:sz="6" w:space="0"/>
              <w:left w:val="single" w:color="auto" w:sz="6" w:space="0"/>
              <w:bottom w:val="single" w:color="auto" w:sz="6" w:space="0"/>
              <w:right w:val="single" w:color="auto" w:sz="6" w:space="0"/>
            </w:tcBorders>
            <w:vAlign w:val="center"/>
          </w:tcPr>
          <w:p>
            <w:pPr>
              <w:spacing w:after="0"/>
              <w:jc w:val="center"/>
              <w:rPr>
                <w:rFonts w:hint="eastAsia" w:ascii="仿宋" w:hAnsi="仿宋" w:eastAsia="仿宋" w:cs="仿宋"/>
                <w:color w:val="auto"/>
                <w:szCs w:val="21"/>
              </w:rPr>
            </w:pPr>
            <w:r>
              <w:rPr>
                <w:rFonts w:hint="eastAsia" w:ascii="仿宋" w:hAnsi="仿宋" w:eastAsia="仿宋" w:cs="仿宋"/>
                <w:color w:val="auto"/>
                <w:szCs w:val="21"/>
              </w:rPr>
              <w:t>建设单位</w:t>
            </w:r>
          </w:p>
        </w:tc>
        <w:tc>
          <w:tcPr>
            <w:tcW w:w="1478" w:type="dxa"/>
            <w:tcBorders>
              <w:top w:val="single" w:color="auto" w:sz="6" w:space="0"/>
              <w:left w:val="single" w:color="auto" w:sz="6" w:space="0"/>
              <w:bottom w:val="single" w:color="auto" w:sz="6" w:space="0"/>
              <w:right w:val="single" w:color="auto" w:sz="6" w:space="0"/>
            </w:tcBorders>
            <w:vAlign w:val="center"/>
          </w:tcPr>
          <w:p>
            <w:pPr>
              <w:spacing w:after="0"/>
              <w:jc w:val="center"/>
              <w:rPr>
                <w:rFonts w:hint="eastAsia" w:ascii="仿宋" w:hAnsi="仿宋" w:eastAsia="仿宋" w:cs="仿宋"/>
                <w:color w:val="auto"/>
                <w:szCs w:val="21"/>
              </w:rPr>
            </w:pPr>
            <w:r>
              <w:rPr>
                <w:rFonts w:hint="eastAsia" w:ascii="仿宋" w:hAnsi="仿宋" w:eastAsia="仿宋" w:cs="仿宋"/>
                <w:color w:val="auto"/>
                <w:szCs w:val="21"/>
              </w:rPr>
              <w:t>项目名称</w:t>
            </w:r>
          </w:p>
        </w:tc>
        <w:tc>
          <w:tcPr>
            <w:tcW w:w="1076" w:type="dxa"/>
            <w:gridSpan w:val="2"/>
            <w:tcBorders>
              <w:top w:val="single" w:color="auto" w:sz="6" w:space="0"/>
              <w:left w:val="single" w:color="auto" w:sz="6" w:space="0"/>
              <w:bottom w:val="single" w:color="auto" w:sz="6" w:space="0"/>
              <w:right w:val="single" w:color="auto" w:sz="6" w:space="0"/>
            </w:tcBorders>
            <w:vAlign w:val="center"/>
          </w:tcPr>
          <w:p>
            <w:pPr>
              <w:spacing w:after="0"/>
              <w:jc w:val="center"/>
              <w:rPr>
                <w:rFonts w:hint="eastAsia" w:ascii="仿宋" w:hAnsi="仿宋" w:eastAsia="仿宋" w:cs="仿宋"/>
                <w:color w:val="auto"/>
                <w:szCs w:val="21"/>
              </w:rPr>
            </w:pPr>
            <w:r>
              <w:rPr>
                <w:rFonts w:hint="eastAsia" w:ascii="仿宋" w:hAnsi="仿宋" w:eastAsia="仿宋" w:cs="仿宋"/>
                <w:color w:val="auto"/>
                <w:szCs w:val="21"/>
              </w:rPr>
              <w:t>建设规模</w:t>
            </w:r>
          </w:p>
        </w:tc>
        <w:tc>
          <w:tcPr>
            <w:tcW w:w="2183" w:type="dxa"/>
            <w:gridSpan w:val="2"/>
            <w:tcBorders>
              <w:top w:val="single" w:color="auto" w:sz="6" w:space="0"/>
              <w:left w:val="single" w:color="auto" w:sz="6" w:space="0"/>
              <w:bottom w:val="single" w:color="auto" w:sz="6" w:space="0"/>
              <w:right w:val="single" w:color="auto" w:sz="6" w:space="0"/>
            </w:tcBorders>
            <w:vAlign w:val="center"/>
          </w:tcPr>
          <w:p>
            <w:pPr>
              <w:spacing w:after="0"/>
              <w:jc w:val="center"/>
              <w:rPr>
                <w:rFonts w:hint="eastAsia" w:ascii="仿宋" w:hAnsi="仿宋" w:eastAsia="仿宋" w:cs="仿宋"/>
                <w:color w:val="auto"/>
                <w:szCs w:val="21"/>
              </w:rPr>
            </w:pPr>
            <w:r>
              <w:rPr>
                <w:rFonts w:hint="eastAsia" w:ascii="仿宋" w:hAnsi="仿宋" w:eastAsia="仿宋" w:cs="仿宋"/>
                <w:color w:val="auto"/>
                <w:szCs w:val="21"/>
              </w:rPr>
              <w:t>开、竣工日期</w:t>
            </w:r>
          </w:p>
        </w:tc>
        <w:tc>
          <w:tcPr>
            <w:tcW w:w="1902" w:type="dxa"/>
            <w:tcBorders>
              <w:top w:val="single" w:color="auto" w:sz="6" w:space="0"/>
              <w:left w:val="single" w:color="auto" w:sz="6" w:space="0"/>
              <w:bottom w:val="single" w:color="auto" w:sz="6" w:space="0"/>
              <w:right w:val="single" w:color="auto" w:sz="6" w:space="0"/>
            </w:tcBorders>
            <w:vAlign w:val="center"/>
          </w:tcPr>
          <w:p>
            <w:pPr>
              <w:spacing w:after="0"/>
              <w:jc w:val="center"/>
              <w:rPr>
                <w:rFonts w:hint="eastAsia" w:ascii="仿宋" w:hAnsi="仿宋" w:eastAsia="仿宋" w:cs="仿宋"/>
                <w:color w:val="auto"/>
                <w:szCs w:val="21"/>
              </w:rPr>
            </w:pPr>
            <w:r>
              <w:rPr>
                <w:rFonts w:hint="eastAsia" w:ascii="仿宋" w:hAnsi="仿宋" w:eastAsia="仿宋" w:cs="仿宋"/>
                <w:color w:val="auto"/>
                <w:szCs w:val="21"/>
              </w:rPr>
              <w:t>工程质量</w:t>
            </w:r>
          </w:p>
        </w:tc>
        <w:tc>
          <w:tcPr>
            <w:tcW w:w="1196" w:type="dxa"/>
            <w:tcBorders>
              <w:top w:val="single" w:color="auto" w:sz="6" w:space="0"/>
              <w:left w:val="single" w:color="auto" w:sz="6" w:space="0"/>
              <w:bottom w:val="single" w:color="auto" w:sz="6" w:space="0"/>
              <w:right w:val="single" w:color="auto" w:sz="6" w:space="0"/>
            </w:tcBorders>
            <w:vAlign w:val="center"/>
          </w:tcPr>
          <w:p>
            <w:pPr>
              <w:spacing w:after="0"/>
              <w:jc w:val="center"/>
              <w:rPr>
                <w:rFonts w:hint="eastAsia" w:ascii="仿宋" w:hAnsi="仿宋" w:eastAsia="仿宋" w:cs="仿宋"/>
                <w:color w:val="auto"/>
                <w:szCs w:val="21"/>
              </w:rPr>
            </w:pPr>
            <w:r>
              <w:rPr>
                <w:rFonts w:hint="eastAsia" w:ascii="仿宋" w:hAnsi="仿宋" w:eastAsia="仿宋" w:cs="仿宋"/>
                <w:color w:val="auto"/>
                <w:szCs w:val="21"/>
              </w:rPr>
              <w:t>受奖情况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264" w:type="dxa"/>
            <w:tcBorders>
              <w:top w:val="single" w:color="auto" w:sz="6" w:space="0"/>
              <w:left w:val="single" w:color="auto" w:sz="6" w:space="0"/>
              <w:bottom w:val="single" w:color="auto" w:sz="6" w:space="0"/>
              <w:right w:val="single" w:color="auto" w:sz="6" w:space="0"/>
            </w:tcBorders>
            <w:vAlign w:val="center"/>
          </w:tcPr>
          <w:p>
            <w:pPr>
              <w:spacing w:after="0"/>
              <w:jc w:val="center"/>
              <w:rPr>
                <w:rFonts w:hint="eastAsia" w:ascii="仿宋" w:hAnsi="仿宋" w:eastAsia="仿宋" w:cs="仿宋"/>
                <w:color w:val="auto"/>
                <w:szCs w:val="21"/>
              </w:rPr>
            </w:pPr>
          </w:p>
        </w:tc>
        <w:tc>
          <w:tcPr>
            <w:tcW w:w="1478" w:type="dxa"/>
            <w:tcBorders>
              <w:top w:val="single" w:color="auto" w:sz="6" w:space="0"/>
              <w:left w:val="single" w:color="auto" w:sz="6" w:space="0"/>
              <w:bottom w:val="single" w:color="auto" w:sz="6" w:space="0"/>
              <w:right w:val="single" w:color="auto" w:sz="6" w:space="0"/>
            </w:tcBorders>
            <w:vAlign w:val="center"/>
          </w:tcPr>
          <w:p>
            <w:pPr>
              <w:spacing w:after="0"/>
              <w:jc w:val="center"/>
              <w:rPr>
                <w:rFonts w:hint="eastAsia" w:ascii="仿宋" w:hAnsi="仿宋" w:eastAsia="仿宋" w:cs="仿宋"/>
                <w:color w:val="auto"/>
                <w:szCs w:val="21"/>
              </w:rPr>
            </w:pPr>
          </w:p>
        </w:tc>
        <w:tc>
          <w:tcPr>
            <w:tcW w:w="1076" w:type="dxa"/>
            <w:gridSpan w:val="2"/>
            <w:tcBorders>
              <w:top w:val="single" w:color="auto" w:sz="6" w:space="0"/>
              <w:left w:val="single" w:color="auto" w:sz="6" w:space="0"/>
              <w:bottom w:val="single" w:color="auto" w:sz="6" w:space="0"/>
              <w:right w:val="single" w:color="auto" w:sz="6" w:space="0"/>
            </w:tcBorders>
            <w:vAlign w:val="center"/>
          </w:tcPr>
          <w:p>
            <w:pPr>
              <w:spacing w:after="0"/>
              <w:jc w:val="center"/>
              <w:rPr>
                <w:rFonts w:hint="eastAsia" w:ascii="仿宋" w:hAnsi="仿宋" w:eastAsia="仿宋" w:cs="仿宋"/>
                <w:color w:val="auto"/>
                <w:szCs w:val="21"/>
              </w:rPr>
            </w:pPr>
          </w:p>
        </w:tc>
        <w:tc>
          <w:tcPr>
            <w:tcW w:w="2183" w:type="dxa"/>
            <w:gridSpan w:val="2"/>
            <w:tcBorders>
              <w:top w:val="single" w:color="auto" w:sz="6" w:space="0"/>
              <w:left w:val="single" w:color="auto" w:sz="6" w:space="0"/>
              <w:bottom w:val="single" w:color="auto" w:sz="6" w:space="0"/>
              <w:right w:val="single" w:color="auto" w:sz="6" w:space="0"/>
            </w:tcBorders>
            <w:vAlign w:val="center"/>
          </w:tcPr>
          <w:p>
            <w:pPr>
              <w:spacing w:after="0"/>
              <w:jc w:val="center"/>
              <w:rPr>
                <w:rFonts w:hint="eastAsia" w:ascii="仿宋" w:hAnsi="仿宋" w:eastAsia="仿宋" w:cs="仿宋"/>
                <w:color w:val="auto"/>
                <w:szCs w:val="21"/>
              </w:rPr>
            </w:pPr>
          </w:p>
        </w:tc>
        <w:tc>
          <w:tcPr>
            <w:tcW w:w="1902" w:type="dxa"/>
            <w:tcBorders>
              <w:top w:val="single" w:color="auto" w:sz="6" w:space="0"/>
              <w:left w:val="single" w:color="auto" w:sz="6" w:space="0"/>
              <w:bottom w:val="single" w:color="auto" w:sz="6" w:space="0"/>
              <w:right w:val="single" w:color="auto" w:sz="6" w:space="0"/>
            </w:tcBorders>
            <w:vAlign w:val="center"/>
          </w:tcPr>
          <w:p>
            <w:pPr>
              <w:spacing w:after="0"/>
              <w:jc w:val="center"/>
              <w:rPr>
                <w:rFonts w:hint="eastAsia" w:ascii="仿宋" w:hAnsi="仿宋" w:eastAsia="仿宋" w:cs="仿宋"/>
                <w:color w:val="auto"/>
                <w:szCs w:val="21"/>
              </w:rPr>
            </w:pPr>
          </w:p>
        </w:tc>
        <w:tc>
          <w:tcPr>
            <w:tcW w:w="1196" w:type="dxa"/>
            <w:tcBorders>
              <w:top w:val="single" w:color="auto" w:sz="6" w:space="0"/>
              <w:left w:val="single" w:color="auto" w:sz="6" w:space="0"/>
              <w:bottom w:val="single" w:color="auto" w:sz="6" w:space="0"/>
              <w:right w:val="single" w:color="auto" w:sz="6" w:space="0"/>
            </w:tcBorders>
            <w:vAlign w:val="center"/>
          </w:tcPr>
          <w:p>
            <w:pPr>
              <w:spacing w:after="0"/>
              <w:jc w:val="center"/>
              <w:rPr>
                <w:rFonts w:hint="eastAsia" w:ascii="仿宋" w:hAnsi="仿宋" w:eastAsia="仿宋" w:cs="仿宋"/>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264" w:type="dxa"/>
            <w:tcBorders>
              <w:top w:val="single" w:color="auto" w:sz="6" w:space="0"/>
              <w:left w:val="single" w:color="auto" w:sz="6" w:space="0"/>
              <w:bottom w:val="single" w:color="auto" w:sz="6" w:space="0"/>
              <w:right w:val="single" w:color="auto" w:sz="6" w:space="0"/>
            </w:tcBorders>
            <w:vAlign w:val="center"/>
          </w:tcPr>
          <w:p>
            <w:pPr>
              <w:spacing w:after="0"/>
              <w:jc w:val="center"/>
              <w:rPr>
                <w:rFonts w:hint="eastAsia" w:ascii="仿宋" w:hAnsi="仿宋" w:eastAsia="仿宋" w:cs="仿宋"/>
                <w:color w:val="auto"/>
                <w:szCs w:val="21"/>
              </w:rPr>
            </w:pPr>
          </w:p>
        </w:tc>
        <w:tc>
          <w:tcPr>
            <w:tcW w:w="1478" w:type="dxa"/>
            <w:tcBorders>
              <w:top w:val="single" w:color="auto" w:sz="6" w:space="0"/>
              <w:left w:val="single" w:color="auto" w:sz="6" w:space="0"/>
              <w:bottom w:val="single" w:color="auto" w:sz="6" w:space="0"/>
              <w:right w:val="single" w:color="auto" w:sz="6" w:space="0"/>
            </w:tcBorders>
            <w:vAlign w:val="center"/>
          </w:tcPr>
          <w:p>
            <w:pPr>
              <w:spacing w:after="0"/>
              <w:jc w:val="center"/>
              <w:rPr>
                <w:rFonts w:hint="eastAsia" w:ascii="仿宋" w:hAnsi="仿宋" w:eastAsia="仿宋" w:cs="仿宋"/>
                <w:color w:val="auto"/>
                <w:szCs w:val="21"/>
              </w:rPr>
            </w:pPr>
          </w:p>
        </w:tc>
        <w:tc>
          <w:tcPr>
            <w:tcW w:w="1076" w:type="dxa"/>
            <w:gridSpan w:val="2"/>
            <w:tcBorders>
              <w:top w:val="single" w:color="auto" w:sz="6" w:space="0"/>
              <w:left w:val="single" w:color="auto" w:sz="6" w:space="0"/>
              <w:bottom w:val="single" w:color="auto" w:sz="6" w:space="0"/>
              <w:right w:val="single" w:color="auto" w:sz="6" w:space="0"/>
            </w:tcBorders>
            <w:vAlign w:val="center"/>
          </w:tcPr>
          <w:p>
            <w:pPr>
              <w:spacing w:after="0"/>
              <w:jc w:val="center"/>
              <w:rPr>
                <w:rFonts w:hint="eastAsia" w:ascii="仿宋" w:hAnsi="仿宋" w:eastAsia="仿宋" w:cs="仿宋"/>
                <w:color w:val="auto"/>
                <w:szCs w:val="21"/>
              </w:rPr>
            </w:pPr>
          </w:p>
        </w:tc>
        <w:tc>
          <w:tcPr>
            <w:tcW w:w="2183" w:type="dxa"/>
            <w:gridSpan w:val="2"/>
            <w:tcBorders>
              <w:top w:val="single" w:color="auto" w:sz="6" w:space="0"/>
              <w:left w:val="single" w:color="auto" w:sz="6" w:space="0"/>
              <w:bottom w:val="single" w:color="auto" w:sz="6" w:space="0"/>
              <w:right w:val="single" w:color="auto" w:sz="6" w:space="0"/>
            </w:tcBorders>
            <w:vAlign w:val="center"/>
          </w:tcPr>
          <w:p>
            <w:pPr>
              <w:spacing w:after="0"/>
              <w:jc w:val="center"/>
              <w:rPr>
                <w:rFonts w:hint="eastAsia" w:ascii="仿宋" w:hAnsi="仿宋" w:eastAsia="仿宋" w:cs="仿宋"/>
                <w:color w:val="auto"/>
                <w:szCs w:val="21"/>
              </w:rPr>
            </w:pPr>
          </w:p>
        </w:tc>
        <w:tc>
          <w:tcPr>
            <w:tcW w:w="1902" w:type="dxa"/>
            <w:tcBorders>
              <w:top w:val="single" w:color="auto" w:sz="6" w:space="0"/>
              <w:left w:val="single" w:color="auto" w:sz="6" w:space="0"/>
              <w:bottom w:val="single" w:color="auto" w:sz="6" w:space="0"/>
              <w:right w:val="single" w:color="auto" w:sz="6" w:space="0"/>
            </w:tcBorders>
            <w:vAlign w:val="center"/>
          </w:tcPr>
          <w:p>
            <w:pPr>
              <w:spacing w:after="0"/>
              <w:jc w:val="center"/>
              <w:rPr>
                <w:rFonts w:hint="eastAsia" w:ascii="仿宋" w:hAnsi="仿宋" w:eastAsia="仿宋" w:cs="仿宋"/>
                <w:color w:val="auto"/>
                <w:szCs w:val="21"/>
              </w:rPr>
            </w:pPr>
          </w:p>
        </w:tc>
        <w:tc>
          <w:tcPr>
            <w:tcW w:w="1196" w:type="dxa"/>
            <w:tcBorders>
              <w:top w:val="single" w:color="auto" w:sz="6" w:space="0"/>
              <w:left w:val="single" w:color="auto" w:sz="6" w:space="0"/>
              <w:bottom w:val="single" w:color="auto" w:sz="6" w:space="0"/>
              <w:right w:val="single" w:color="auto" w:sz="6" w:space="0"/>
            </w:tcBorders>
            <w:vAlign w:val="center"/>
          </w:tcPr>
          <w:p>
            <w:pPr>
              <w:spacing w:after="0"/>
              <w:jc w:val="center"/>
              <w:rPr>
                <w:rFonts w:hint="eastAsia" w:ascii="仿宋" w:hAnsi="仿宋" w:eastAsia="仿宋" w:cs="仿宋"/>
                <w:color w:val="auto"/>
                <w:szCs w:val="21"/>
              </w:rPr>
            </w:pPr>
          </w:p>
        </w:tc>
      </w:tr>
    </w:tbl>
    <w:p>
      <w:pPr>
        <w:spacing w:line="400" w:lineRule="exact"/>
        <w:ind w:firstLine="4180" w:firstLineChars="1742"/>
        <w:rPr>
          <w:rFonts w:hint="eastAsia" w:ascii="仿宋" w:hAnsi="仿宋" w:eastAsia="仿宋" w:cs="仿宋"/>
          <w:color w:val="auto"/>
          <w:sz w:val="24"/>
        </w:rPr>
      </w:pPr>
    </w:p>
    <w:p>
      <w:pPr>
        <w:spacing w:after="0" w:line="400" w:lineRule="exact"/>
        <w:ind w:firstLine="2880" w:firstLineChars="1200"/>
        <w:rPr>
          <w:rFonts w:hint="eastAsia" w:ascii="仿宋" w:hAnsi="仿宋" w:eastAsia="仿宋" w:cs="仿宋"/>
          <w:color w:val="auto"/>
          <w:sz w:val="24"/>
        </w:rPr>
      </w:pPr>
      <w:r>
        <w:rPr>
          <w:rFonts w:hint="eastAsia" w:ascii="仿宋" w:hAnsi="仿宋" w:eastAsia="仿宋" w:cs="仿宋"/>
          <w:color w:val="auto"/>
          <w:sz w:val="24"/>
        </w:rPr>
        <w:t>竞标人名称：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（盖单位公章）</w:t>
      </w:r>
    </w:p>
    <w:p>
      <w:pPr>
        <w:spacing w:after="0" w:line="400" w:lineRule="exact"/>
        <w:ind w:firstLine="2880" w:firstLineChars="1200"/>
        <w:rPr>
          <w:rFonts w:hint="eastAsia" w:ascii="仿宋" w:hAnsi="仿宋" w:eastAsia="仿宋" w:cs="仿宋"/>
          <w:color w:val="auto"/>
          <w:sz w:val="24"/>
        </w:rPr>
      </w:pPr>
      <w:r>
        <w:rPr>
          <w:rFonts w:hint="eastAsia" w:ascii="仿宋" w:hAnsi="仿宋" w:eastAsia="仿宋" w:cs="仿宋"/>
          <w:color w:val="auto"/>
          <w:sz w:val="24"/>
        </w:rPr>
        <w:t>法定代表人（或授权委托代理人）：</w:t>
      </w:r>
      <w:r>
        <w:rPr>
          <w:rFonts w:hint="eastAsia" w:ascii="仿宋" w:hAnsi="仿宋" w:eastAsia="仿宋" w:cs="仿宋"/>
          <w:color w:val="auto"/>
          <w:sz w:val="24"/>
          <w:u w:val="single"/>
        </w:rPr>
        <w:t xml:space="preserve">        </w:t>
      </w:r>
      <w:r>
        <w:rPr>
          <w:rFonts w:hint="eastAsia" w:ascii="仿宋" w:hAnsi="仿宋" w:eastAsia="仿宋" w:cs="仿宋"/>
          <w:color w:val="auto"/>
          <w:sz w:val="24"/>
        </w:rPr>
        <w:t>（签名）</w:t>
      </w:r>
    </w:p>
    <w:p>
      <w:pPr>
        <w:spacing w:after="0" w:line="400" w:lineRule="exact"/>
        <w:ind w:firstLine="2880" w:firstLineChars="1200"/>
        <w:rPr>
          <w:rFonts w:hint="eastAsia" w:ascii="仿宋" w:hAnsi="仿宋" w:eastAsia="仿宋" w:cs="仿宋"/>
          <w:color w:val="auto"/>
          <w:sz w:val="24"/>
        </w:rPr>
      </w:pP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spacing w:after="0" w:line="360" w:lineRule="auto"/>
        <w:rPr>
          <w:rFonts w:hint="eastAsia" w:ascii="仿宋" w:hAnsi="仿宋" w:eastAsia="仿宋" w:cs="仿宋"/>
          <w:color w:val="auto"/>
          <w:szCs w:val="21"/>
        </w:rPr>
      </w:pPr>
      <w:r>
        <w:rPr>
          <w:rFonts w:hint="eastAsia" w:ascii="仿宋" w:hAnsi="仿宋" w:eastAsia="仿宋" w:cs="仿宋"/>
          <w:color w:val="auto"/>
          <w:szCs w:val="21"/>
        </w:rPr>
        <w:t>注：</w:t>
      </w:r>
    </w:p>
    <w:p>
      <w:pPr>
        <w:spacing w:after="0" w:line="360" w:lineRule="auto"/>
        <w:ind w:firstLine="440" w:firstLineChars="200"/>
        <w:rPr>
          <w:rFonts w:hint="eastAsia" w:ascii="仿宋" w:hAnsi="仿宋" w:eastAsia="仿宋" w:cs="仿宋"/>
          <w:color w:val="auto"/>
          <w:szCs w:val="21"/>
        </w:rPr>
      </w:pPr>
      <w:r>
        <w:rPr>
          <w:rFonts w:hint="eastAsia" w:ascii="仿宋" w:hAnsi="仿宋" w:eastAsia="仿宋" w:cs="仿宋"/>
          <w:color w:val="auto"/>
          <w:szCs w:val="21"/>
        </w:rPr>
        <w:t>1、主要人员指项目经理、技术负责人、安全管理员（专职安全生产管理人员）、质量管理人员。每个人员按照以上格式填写（可扩展为多页），每一页均应加盖竞标人单位公章</w:t>
      </w:r>
      <w:r>
        <w:rPr>
          <w:rFonts w:hint="eastAsia" w:ascii="仿宋" w:hAnsi="仿宋" w:eastAsia="仿宋" w:cs="仿宋"/>
          <w:color w:val="auto"/>
          <w:szCs w:val="21"/>
          <w:lang w:eastAsia="zh-CN"/>
        </w:rPr>
        <w:t>（联合体则各方盖章）</w:t>
      </w:r>
      <w:r>
        <w:rPr>
          <w:rFonts w:hint="eastAsia" w:ascii="仿宋" w:hAnsi="仿宋" w:eastAsia="仿宋" w:cs="仿宋"/>
          <w:color w:val="auto"/>
          <w:szCs w:val="21"/>
        </w:rPr>
        <w:t>和由法定代表人（或授权委托代理人）签名，并在表后附相应人员的证件或证明材料。</w:t>
      </w:r>
    </w:p>
    <w:p>
      <w:pPr>
        <w:spacing w:after="0" w:line="360" w:lineRule="auto"/>
        <w:ind w:firstLine="440" w:firstLineChars="200"/>
        <w:rPr>
          <w:rFonts w:hint="eastAsia" w:ascii="仿宋" w:hAnsi="仿宋" w:eastAsia="仿宋" w:cs="仿宋"/>
          <w:color w:val="auto"/>
          <w:szCs w:val="21"/>
        </w:rPr>
      </w:pPr>
      <w:r>
        <w:rPr>
          <w:rFonts w:hint="eastAsia" w:ascii="仿宋" w:hAnsi="仿宋" w:eastAsia="仿宋" w:cs="仿宋"/>
          <w:color w:val="auto"/>
          <w:szCs w:val="21"/>
        </w:rPr>
        <w:t>2、项目经理应附注册建造师证、身份证、职称证、学历证、省级或省级以上行政主管部门颁发的B类安全生产考核合格证。</w:t>
      </w:r>
    </w:p>
    <w:p>
      <w:pPr>
        <w:spacing w:after="0" w:line="360" w:lineRule="auto"/>
        <w:ind w:firstLine="440" w:firstLineChars="200"/>
        <w:rPr>
          <w:rFonts w:hint="eastAsia" w:ascii="仿宋" w:hAnsi="仿宋" w:eastAsia="仿宋" w:cs="仿宋"/>
          <w:color w:val="auto"/>
          <w:szCs w:val="21"/>
        </w:rPr>
      </w:pPr>
      <w:r>
        <w:rPr>
          <w:rFonts w:hint="eastAsia" w:ascii="仿宋" w:hAnsi="仿宋" w:eastAsia="仿宋" w:cs="仿宋"/>
          <w:color w:val="auto"/>
          <w:szCs w:val="21"/>
        </w:rPr>
        <w:t>3、技术负责人应附身份证、职称证、学历证。</w:t>
      </w:r>
    </w:p>
    <w:p>
      <w:pPr>
        <w:spacing w:after="0" w:line="360" w:lineRule="auto"/>
        <w:ind w:firstLine="440" w:firstLineChars="200"/>
        <w:rPr>
          <w:rFonts w:hint="eastAsia" w:ascii="仿宋" w:hAnsi="仿宋" w:eastAsia="仿宋" w:cs="仿宋"/>
          <w:color w:val="auto"/>
          <w:szCs w:val="21"/>
        </w:rPr>
      </w:pPr>
      <w:r>
        <w:rPr>
          <w:rFonts w:hint="eastAsia" w:ascii="仿宋" w:hAnsi="仿宋" w:eastAsia="仿宋" w:cs="仿宋"/>
          <w:color w:val="auto"/>
          <w:szCs w:val="21"/>
        </w:rPr>
        <w:t>4、安全管理员应附身份证、职称证、学历证、省级或省级以上行政主管部门颁发的C类安全生产考核合格证。</w:t>
      </w:r>
    </w:p>
    <w:p>
      <w:pPr>
        <w:spacing w:after="0" w:line="360" w:lineRule="auto"/>
        <w:ind w:firstLine="440" w:firstLineChars="200"/>
        <w:rPr>
          <w:rFonts w:hint="eastAsia" w:ascii="仿宋" w:hAnsi="仿宋" w:eastAsia="仿宋" w:cs="仿宋"/>
          <w:color w:val="auto"/>
          <w:szCs w:val="21"/>
        </w:rPr>
      </w:pPr>
      <w:r>
        <w:rPr>
          <w:rFonts w:hint="eastAsia" w:ascii="仿宋" w:hAnsi="仿宋" w:eastAsia="仿宋" w:cs="仿宋"/>
          <w:color w:val="auto"/>
          <w:szCs w:val="21"/>
        </w:rPr>
        <w:t>5、质量管理人员应附身份证、职称证、学历证、省级或省级以上行政主管部门或者质量监督部门颁发的质检员资格证书。</w:t>
      </w:r>
    </w:p>
    <w:p>
      <w:pPr>
        <w:spacing w:after="0" w:line="360" w:lineRule="auto"/>
        <w:ind w:firstLine="560" w:firstLineChars="200"/>
        <w:rPr>
          <w:rFonts w:hint="eastAsia" w:ascii="仿宋" w:hAnsi="仿宋" w:eastAsia="仿宋" w:cs="仿宋"/>
          <w:color w:val="auto"/>
          <w:sz w:val="28"/>
          <w:szCs w:val="28"/>
        </w:rPr>
      </w:pPr>
    </w:p>
    <w:p>
      <w:pPr>
        <w:spacing w:after="0" w:line="360" w:lineRule="auto"/>
        <w:ind w:firstLine="480" w:firstLineChars="200"/>
        <w:rPr>
          <w:rFonts w:hint="eastAsia" w:ascii="仿宋" w:hAnsi="仿宋" w:eastAsia="仿宋" w:cs="仿宋"/>
          <w:bCs/>
          <w:color w:val="auto"/>
          <w:sz w:val="24"/>
          <w:szCs w:val="24"/>
        </w:rPr>
      </w:pPr>
    </w:p>
    <w:sectPr>
      <w:pgSz w:w="11905" w:h="16838"/>
      <w:pgMar w:top="1134" w:right="1134" w:bottom="1134" w:left="1134" w:header="624"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汉仪中宋简">
    <w:altName w:val="宋体"/>
    <w:panose1 w:val="00000000000000000000"/>
    <w:charset w:val="86"/>
    <w:family w:val="modern"/>
    <w:pitch w:val="default"/>
    <w:sig w:usb0="00000000" w:usb1="00000000" w:usb2="00000010" w:usb3="00000000" w:csb0="00040000" w:csb1="00000000"/>
  </w:font>
  <w:font w:name="汉仪字典宋简">
    <w:altName w:val="宋体"/>
    <w:panose1 w:val="00000000000000000000"/>
    <w:charset w:val="86"/>
    <w:family w:val="modern"/>
    <w:pitch w:val="default"/>
    <w:sig w:usb0="00000000" w:usb1="00000000" w:usb2="00000010" w:usb3="00000000" w:csb0="00040000" w:csb1="00000000"/>
  </w:font>
  <w:font w:name="¿¬Ìå">
    <w:altName w:val="Times New Roman"/>
    <w:panose1 w:val="00000000000000000000"/>
    <w:charset w:val="00"/>
    <w:family w:val="auto"/>
    <w:pitch w:val="default"/>
    <w:sig w:usb0="00000000" w:usb1="00000000" w:usb2="00000000" w:usb3="00000000" w:csb0="00000001" w:csb1="00000000"/>
  </w:font>
  <w:font w:name="Hiragino Sans">
    <w:altName w:val="MS UI Gothic"/>
    <w:panose1 w:val="020B0300000000000000"/>
    <w:charset w:val="80"/>
    <w:family w:val="auto"/>
    <w:pitch w:val="default"/>
    <w:sig w:usb0="00000000" w:usb1="00000000" w:usb2="00000012" w:usb3="00000000" w:csb0="0002000D"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FangSong_GB2312 Regular">
    <w:altName w:val="宋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45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 PAGE   \* MERGEFORMAT </w:instrText>
    </w:r>
    <w:r>
      <w:fldChar w:fldCharType="separate"/>
    </w:r>
    <w:r>
      <w:rPr>
        <w:lang w:val="zh-CN"/>
      </w:rPr>
      <w:t>27</w:t>
    </w:r>
    <w:r>
      <w:rPr>
        <w:lang w:val="zh-CN"/>
      </w:rPr>
      <w:fldChar w:fldCharType="end"/>
    </w:r>
  </w:p>
  <w:p>
    <w:pPr>
      <w:pStyle w:val="3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2"/>
      </w:rPr>
    </w:pPr>
    <w:r>
      <w:fldChar w:fldCharType="begin"/>
    </w:r>
    <w:r>
      <w:rPr>
        <w:rStyle w:val="52"/>
      </w:rPr>
      <w:instrText xml:space="preserve">PAGE  </w:instrText>
    </w:r>
    <w:r>
      <w:fldChar w:fldCharType="separate"/>
    </w:r>
    <w:r>
      <w:rPr>
        <w:rStyle w:val="52"/>
      </w:rPr>
      <w:t>7</w:t>
    </w:r>
    <w:r>
      <w:fldChar w:fldCharType="end"/>
    </w:r>
  </w:p>
  <w:p>
    <w:pPr>
      <w:pStyle w:val="30"/>
      <w:rPr>
        <w:u w:val="single"/>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2"/>
      </w:rPr>
    </w:pPr>
    <w:r>
      <w:fldChar w:fldCharType="begin"/>
    </w:r>
    <w:r>
      <w:rPr>
        <w:rStyle w:val="52"/>
      </w:rPr>
      <w:instrText xml:space="preserve">PAGE  </w:instrText>
    </w:r>
    <w:r>
      <w:fldChar w:fldCharType="end"/>
    </w:r>
  </w:p>
  <w:p>
    <w:pPr>
      <w:pStyle w:val="3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2"/>
      </w:rPr>
    </w:pPr>
    <w:r>
      <w:fldChar w:fldCharType="begin"/>
    </w:r>
    <w:r>
      <w:rPr>
        <w:rStyle w:val="52"/>
      </w:rPr>
      <w:instrText xml:space="preserve">PAGE  </w:instrText>
    </w:r>
    <w:r>
      <w:fldChar w:fldCharType="separate"/>
    </w:r>
    <w:r>
      <w:rPr>
        <w:rStyle w:val="52"/>
      </w:rPr>
      <w:t>20</w:t>
    </w:r>
    <w:r>
      <w:fldChar w:fldCharType="end"/>
    </w:r>
  </w:p>
  <w:p>
    <w:pPr>
      <w:pStyle w:val="30"/>
      <w:rPr>
        <w:u w:val="single"/>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2"/>
      </w:rPr>
    </w:pPr>
    <w:r>
      <w:fldChar w:fldCharType="begin"/>
    </w:r>
    <w:r>
      <w:rPr>
        <w:rStyle w:val="52"/>
      </w:rPr>
      <w:instrText xml:space="preserve">PAGE  </w:instrText>
    </w:r>
    <w:r>
      <w:fldChar w:fldCharType="end"/>
    </w:r>
  </w:p>
  <w:p>
    <w:pPr>
      <w:pStyle w:val="3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rFonts w:hint="eastAsia" w:ascii="宋体" w:hAnsi="宋体"/>
        <w:color w:val="000000"/>
        <w:szCs w:val="21"/>
      </w:rPr>
      <w:t>田东县平马镇东区小学项目地质勘察服务</w:t>
    </w:r>
    <w:r>
      <w:rPr>
        <w:rFonts w:ascii="宋体" w:hAnsi="宋体"/>
      </w:rPr>
      <w:t>GXZC2017-J3-0005-GS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C69036"/>
    <w:multiLevelType w:val="multilevel"/>
    <w:tmpl w:val="98C69036"/>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BBA13FB2"/>
    <w:multiLevelType w:val="singleLevel"/>
    <w:tmpl w:val="BBA13FB2"/>
    <w:lvl w:ilvl="0" w:tentative="0">
      <w:start w:val="1"/>
      <w:numFmt w:val="decimal"/>
      <w:suff w:val="nothing"/>
      <w:lvlText w:val="%1、"/>
      <w:lvlJc w:val="left"/>
    </w:lvl>
  </w:abstractNum>
  <w:abstractNum w:abstractNumId="2">
    <w:nsid w:val="CA473743"/>
    <w:multiLevelType w:val="singleLevel"/>
    <w:tmpl w:val="CA473743"/>
    <w:lvl w:ilvl="0" w:tentative="0">
      <w:start w:val="7"/>
      <w:numFmt w:val="chineseCounting"/>
      <w:suff w:val="nothing"/>
      <w:lvlText w:val="%1、"/>
      <w:lvlJc w:val="left"/>
      <w:rPr>
        <w:rFonts w:hint="eastAsia"/>
      </w:rPr>
    </w:lvl>
  </w:abstractNum>
  <w:abstractNum w:abstractNumId="3">
    <w:nsid w:val="00000005"/>
    <w:multiLevelType w:val="multilevel"/>
    <w:tmpl w:val="00000005"/>
    <w:lvl w:ilvl="0" w:tentative="0">
      <w:start w:val="1"/>
      <w:numFmt w:val="decimal"/>
      <w:suff w:val="space"/>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00000011"/>
    <w:multiLevelType w:val="multilevel"/>
    <w:tmpl w:val="00000011"/>
    <w:lvl w:ilvl="0" w:tentative="0">
      <w:start w:val="2"/>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00000015"/>
    <w:multiLevelType w:val="multilevel"/>
    <w:tmpl w:val="00000015"/>
    <w:lvl w:ilvl="0" w:tentative="0">
      <w:start w:val="2"/>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0000001D"/>
    <w:multiLevelType w:val="multilevel"/>
    <w:tmpl w:val="0000001D"/>
    <w:lvl w:ilvl="0" w:tentative="0">
      <w:start w:val="2"/>
      <w:numFmt w:val="decimal"/>
      <w:suff w:val="space"/>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
    <w:nsid w:val="0075E654"/>
    <w:multiLevelType w:val="singleLevel"/>
    <w:tmpl w:val="0075E654"/>
    <w:lvl w:ilvl="0" w:tentative="0">
      <w:start w:val="2"/>
      <w:numFmt w:val="decimal"/>
      <w:suff w:val="nothing"/>
      <w:lvlText w:val="%1、"/>
      <w:lvlJc w:val="left"/>
    </w:lvl>
  </w:abstractNum>
  <w:abstractNum w:abstractNumId="8">
    <w:nsid w:val="22FB4EB7"/>
    <w:multiLevelType w:val="singleLevel"/>
    <w:tmpl w:val="22FB4EB7"/>
    <w:lvl w:ilvl="0" w:tentative="0">
      <w:start w:val="1"/>
      <w:numFmt w:val="decimal"/>
      <w:suff w:val="nothing"/>
      <w:lvlText w:val="%1、"/>
      <w:lvlJc w:val="left"/>
    </w:lvl>
  </w:abstractNum>
  <w:abstractNum w:abstractNumId="9">
    <w:nsid w:val="2B32C796"/>
    <w:multiLevelType w:val="singleLevel"/>
    <w:tmpl w:val="2B32C796"/>
    <w:lvl w:ilvl="0" w:tentative="0">
      <w:start w:val="1"/>
      <w:numFmt w:val="decimal"/>
      <w:suff w:val="nothing"/>
      <w:lvlText w:val="%1、"/>
      <w:lvlJc w:val="left"/>
    </w:lvl>
  </w:abstractNum>
  <w:abstractNum w:abstractNumId="10">
    <w:nsid w:val="5C35B1A0"/>
    <w:multiLevelType w:val="multilevel"/>
    <w:tmpl w:val="5C35B1A0"/>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2"/>
  </w:num>
  <w:num w:numId="2">
    <w:abstractNumId w:val="1"/>
  </w:num>
  <w:num w:numId="3">
    <w:abstractNumId w:val="8"/>
  </w:num>
  <w:num w:numId="4">
    <w:abstractNumId w:val="6"/>
  </w:num>
  <w:num w:numId="5">
    <w:abstractNumId w:val="10"/>
  </w:num>
  <w:num w:numId="6">
    <w:abstractNumId w:val="0"/>
  </w:num>
  <w:num w:numId="7">
    <w:abstractNumId w:val="5"/>
  </w:num>
  <w:num w:numId="8">
    <w:abstractNumId w:val="4"/>
  </w:num>
  <w:num w:numId="9">
    <w:abstractNumId w:val="3"/>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dit="readOnly" w:enforcement="1" w:cryptProviderType="rsaFull" w:cryptAlgorithmClass="hash" w:cryptAlgorithmType="typeAny" w:cryptAlgorithmSid="4" w:cryptSpinCount="0" w:hash="hi63XTz8xi3HiXLV48Zq9Jz287o=" w:salt="3TtHiUbVsWgfYcrFXYzuBQ=="/>
  <w:defaultTabStop w:val="0"/>
  <w:drawingGridHorizontalSpacing w:val="220"/>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172A27"/>
    <w:rsid w:val="0000479D"/>
    <w:rsid w:val="00007C5D"/>
    <w:rsid w:val="00010CB8"/>
    <w:rsid w:val="00012F29"/>
    <w:rsid w:val="00014C66"/>
    <w:rsid w:val="00015A7D"/>
    <w:rsid w:val="00016B4D"/>
    <w:rsid w:val="00022FC4"/>
    <w:rsid w:val="00025E43"/>
    <w:rsid w:val="00027B4D"/>
    <w:rsid w:val="00027D3A"/>
    <w:rsid w:val="000404A2"/>
    <w:rsid w:val="00041192"/>
    <w:rsid w:val="00043A8B"/>
    <w:rsid w:val="00044E25"/>
    <w:rsid w:val="00047056"/>
    <w:rsid w:val="00053C03"/>
    <w:rsid w:val="00053C27"/>
    <w:rsid w:val="0005748C"/>
    <w:rsid w:val="00062FCF"/>
    <w:rsid w:val="0007441E"/>
    <w:rsid w:val="00076F49"/>
    <w:rsid w:val="000823C1"/>
    <w:rsid w:val="000A11F0"/>
    <w:rsid w:val="000A7D52"/>
    <w:rsid w:val="000B58B0"/>
    <w:rsid w:val="000C0F8E"/>
    <w:rsid w:val="000C6BE1"/>
    <w:rsid w:val="000C7966"/>
    <w:rsid w:val="000D6929"/>
    <w:rsid w:val="000E2D3E"/>
    <w:rsid w:val="000E4DED"/>
    <w:rsid w:val="000F0328"/>
    <w:rsid w:val="000F264B"/>
    <w:rsid w:val="000F3FC8"/>
    <w:rsid w:val="000F73E0"/>
    <w:rsid w:val="000F7B0F"/>
    <w:rsid w:val="0010446A"/>
    <w:rsid w:val="00110FCA"/>
    <w:rsid w:val="001144C5"/>
    <w:rsid w:val="001165C1"/>
    <w:rsid w:val="0011747D"/>
    <w:rsid w:val="00117F18"/>
    <w:rsid w:val="00120008"/>
    <w:rsid w:val="00126E9E"/>
    <w:rsid w:val="0012720D"/>
    <w:rsid w:val="00127738"/>
    <w:rsid w:val="00131603"/>
    <w:rsid w:val="00136E63"/>
    <w:rsid w:val="001372F7"/>
    <w:rsid w:val="00140D26"/>
    <w:rsid w:val="0014176A"/>
    <w:rsid w:val="001441EF"/>
    <w:rsid w:val="0015219A"/>
    <w:rsid w:val="001558D6"/>
    <w:rsid w:val="0016494A"/>
    <w:rsid w:val="00167437"/>
    <w:rsid w:val="00167AD2"/>
    <w:rsid w:val="00172A27"/>
    <w:rsid w:val="00172A58"/>
    <w:rsid w:val="00172F5F"/>
    <w:rsid w:val="00173A5F"/>
    <w:rsid w:val="001806C8"/>
    <w:rsid w:val="001844BF"/>
    <w:rsid w:val="00190D32"/>
    <w:rsid w:val="00197459"/>
    <w:rsid w:val="001A1DAF"/>
    <w:rsid w:val="001A5F1D"/>
    <w:rsid w:val="001B04AB"/>
    <w:rsid w:val="001B3834"/>
    <w:rsid w:val="001B70D7"/>
    <w:rsid w:val="001C7286"/>
    <w:rsid w:val="001E0616"/>
    <w:rsid w:val="001E782E"/>
    <w:rsid w:val="002002B2"/>
    <w:rsid w:val="0020068B"/>
    <w:rsid w:val="002017F7"/>
    <w:rsid w:val="00202B59"/>
    <w:rsid w:val="00212DDE"/>
    <w:rsid w:val="00213FA6"/>
    <w:rsid w:val="00232835"/>
    <w:rsid w:val="00233006"/>
    <w:rsid w:val="00233E26"/>
    <w:rsid w:val="00235818"/>
    <w:rsid w:val="00241D15"/>
    <w:rsid w:val="00244418"/>
    <w:rsid w:val="00250967"/>
    <w:rsid w:val="00250C1C"/>
    <w:rsid w:val="00253037"/>
    <w:rsid w:val="00254344"/>
    <w:rsid w:val="00261770"/>
    <w:rsid w:val="002618BB"/>
    <w:rsid w:val="002646FC"/>
    <w:rsid w:val="002654F9"/>
    <w:rsid w:val="00266240"/>
    <w:rsid w:val="002711FB"/>
    <w:rsid w:val="00272405"/>
    <w:rsid w:val="00274143"/>
    <w:rsid w:val="0028151F"/>
    <w:rsid w:val="00283D9E"/>
    <w:rsid w:val="002915C2"/>
    <w:rsid w:val="0029477E"/>
    <w:rsid w:val="00297FA1"/>
    <w:rsid w:val="002A1227"/>
    <w:rsid w:val="002A2746"/>
    <w:rsid w:val="002A6809"/>
    <w:rsid w:val="002A76C7"/>
    <w:rsid w:val="002B5C62"/>
    <w:rsid w:val="002B6152"/>
    <w:rsid w:val="002B760F"/>
    <w:rsid w:val="002C1FEA"/>
    <w:rsid w:val="002C70C4"/>
    <w:rsid w:val="002C7858"/>
    <w:rsid w:val="002D24B5"/>
    <w:rsid w:val="002D3A86"/>
    <w:rsid w:val="002D3F28"/>
    <w:rsid w:val="002D4FBB"/>
    <w:rsid w:val="002D5741"/>
    <w:rsid w:val="002D7E0B"/>
    <w:rsid w:val="002E1C9A"/>
    <w:rsid w:val="002F251C"/>
    <w:rsid w:val="003044EE"/>
    <w:rsid w:val="003109CD"/>
    <w:rsid w:val="0031215B"/>
    <w:rsid w:val="00323B43"/>
    <w:rsid w:val="00330280"/>
    <w:rsid w:val="003329E1"/>
    <w:rsid w:val="00334646"/>
    <w:rsid w:val="003365AE"/>
    <w:rsid w:val="003376FA"/>
    <w:rsid w:val="0034017D"/>
    <w:rsid w:val="00340F25"/>
    <w:rsid w:val="00342531"/>
    <w:rsid w:val="00346DC7"/>
    <w:rsid w:val="00350991"/>
    <w:rsid w:val="00356975"/>
    <w:rsid w:val="00360957"/>
    <w:rsid w:val="00361DCD"/>
    <w:rsid w:val="00362096"/>
    <w:rsid w:val="00362601"/>
    <w:rsid w:val="00380094"/>
    <w:rsid w:val="00380E67"/>
    <w:rsid w:val="00396783"/>
    <w:rsid w:val="003A0C7F"/>
    <w:rsid w:val="003A3C79"/>
    <w:rsid w:val="003A7CD5"/>
    <w:rsid w:val="003B785A"/>
    <w:rsid w:val="003C548A"/>
    <w:rsid w:val="003C74DD"/>
    <w:rsid w:val="003D1BC1"/>
    <w:rsid w:val="003D29F7"/>
    <w:rsid w:val="003D37D8"/>
    <w:rsid w:val="003D767D"/>
    <w:rsid w:val="003E22FA"/>
    <w:rsid w:val="003E61A6"/>
    <w:rsid w:val="003E660B"/>
    <w:rsid w:val="003F12CD"/>
    <w:rsid w:val="003F2463"/>
    <w:rsid w:val="003F2C0E"/>
    <w:rsid w:val="003F4A5D"/>
    <w:rsid w:val="003F6FAA"/>
    <w:rsid w:val="00401491"/>
    <w:rsid w:val="00402CFE"/>
    <w:rsid w:val="00404E91"/>
    <w:rsid w:val="00415A8C"/>
    <w:rsid w:val="004174A4"/>
    <w:rsid w:val="004176C4"/>
    <w:rsid w:val="004214C2"/>
    <w:rsid w:val="004232E8"/>
    <w:rsid w:val="00426133"/>
    <w:rsid w:val="004267E7"/>
    <w:rsid w:val="00432317"/>
    <w:rsid w:val="004358AB"/>
    <w:rsid w:val="00441975"/>
    <w:rsid w:val="004445BA"/>
    <w:rsid w:val="0045020F"/>
    <w:rsid w:val="00450BF3"/>
    <w:rsid w:val="00454FCB"/>
    <w:rsid w:val="00460064"/>
    <w:rsid w:val="00471C5E"/>
    <w:rsid w:val="00472A48"/>
    <w:rsid w:val="00480920"/>
    <w:rsid w:val="004818AC"/>
    <w:rsid w:val="00482402"/>
    <w:rsid w:val="00483BC4"/>
    <w:rsid w:val="00484D17"/>
    <w:rsid w:val="00486AE4"/>
    <w:rsid w:val="00486CAD"/>
    <w:rsid w:val="00487852"/>
    <w:rsid w:val="00491252"/>
    <w:rsid w:val="0049199D"/>
    <w:rsid w:val="00494DA7"/>
    <w:rsid w:val="004A24C6"/>
    <w:rsid w:val="004A3871"/>
    <w:rsid w:val="004A3DE7"/>
    <w:rsid w:val="004B466D"/>
    <w:rsid w:val="004B7674"/>
    <w:rsid w:val="004C1DE4"/>
    <w:rsid w:val="004C7E46"/>
    <w:rsid w:val="004D05CD"/>
    <w:rsid w:val="004D0612"/>
    <w:rsid w:val="004D28A5"/>
    <w:rsid w:val="004D28D0"/>
    <w:rsid w:val="004D6036"/>
    <w:rsid w:val="004F2503"/>
    <w:rsid w:val="00502C3F"/>
    <w:rsid w:val="0051219B"/>
    <w:rsid w:val="00513152"/>
    <w:rsid w:val="0051509D"/>
    <w:rsid w:val="00515724"/>
    <w:rsid w:val="0051714C"/>
    <w:rsid w:val="00520FC8"/>
    <w:rsid w:val="0052500F"/>
    <w:rsid w:val="00525E01"/>
    <w:rsid w:val="005278F2"/>
    <w:rsid w:val="00531FC6"/>
    <w:rsid w:val="00545C97"/>
    <w:rsid w:val="00547052"/>
    <w:rsid w:val="00547E7E"/>
    <w:rsid w:val="00562EE4"/>
    <w:rsid w:val="005659D1"/>
    <w:rsid w:val="0056660C"/>
    <w:rsid w:val="0057022C"/>
    <w:rsid w:val="00572228"/>
    <w:rsid w:val="00573BAF"/>
    <w:rsid w:val="0057617A"/>
    <w:rsid w:val="00577C51"/>
    <w:rsid w:val="00582050"/>
    <w:rsid w:val="00591382"/>
    <w:rsid w:val="005939FE"/>
    <w:rsid w:val="005A2484"/>
    <w:rsid w:val="005A265B"/>
    <w:rsid w:val="005A6C96"/>
    <w:rsid w:val="005A745F"/>
    <w:rsid w:val="005B69E1"/>
    <w:rsid w:val="005C04AA"/>
    <w:rsid w:val="005D78EB"/>
    <w:rsid w:val="005E0021"/>
    <w:rsid w:val="005E2F45"/>
    <w:rsid w:val="005E4E4B"/>
    <w:rsid w:val="005E6D10"/>
    <w:rsid w:val="005F2E29"/>
    <w:rsid w:val="005F5AA3"/>
    <w:rsid w:val="005F6B1D"/>
    <w:rsid w:val="00600142"/>
    <w:rsid w:val="00603264"/>
    <w:rsid w:val="00603426"/>
    <w:rsid w:val="00606C80"/>
    <w:rsid w:val="00615155"/>
    <w:rsid w:val="0061598A"/>
    <w:rsid w:val="00620D1C"/>
    <w:rsid w:val="0062683A"/>
    <w:rsid w:val="00630FDB"/>
    <w:rsid w:val="00632AE2"/>
    <w:rsid w:val="00633D4A"/>
    <w:rsid w:val="006375C7"/>
    <w:rsid w:val="00643D21"/>
    <w:rsid w:val="006456BF"/>
    <w:rsid w:val="00645C84"/>
    <w:rsid w:val="006462F0"/>
    <w:rsid w:val="00651D47"/>
    <w:rsid w:val="00653AB0"/>
    <w:rsid w:val="006558F4"/>
    <w:rsid w:val="00656427"/>
    <w:rsid w:val="00657108"/>
    <w:rsid w:val="0066135C"/>
    <w:rsid w:val="00662BDA"/>
    <w:rsid w:val="00662EAF"/>
    <w:rsid w:val="006704F5"/>
    <w:rsid w:val="00673589"/>
    <w:rsid w:val="006741D7"/>
    <w:rsid w:val="0068000F"/>
    <w:rsid w:val="006976B9"/>
    <w:rsid w:val="006A0243"/>
    <w:rsid w:val="006A4319"/>
    <w:rsid w:val="006A4992"/>
    <w:rsid w:val="006A49A8"/>
    <w:rsid w:val="006A511B"/>
    <w:rsid w:val="006B1254"/>
    <w:rsid w:val="006B1821"/>
    <w:rsid w:val="006B2452"/>
    <w:rsid w:val="006B428F"/>
    <w:rsid w:val="006B548B"/>
    <w:rsid w:val="006C439E"/>
    <w:rsid w:val="006C7065"/>
    <w:rsid w:val="006D20E9"/>
    <w:rsid w:val="006D31DF"/>
    <w:rsid w:val="006D3482"/>
    <w:rsid w:val="006D4FA3"/>
    <w:rsid w:val="006D5893"/>
    <w:rsid w:val="006E4E54"/>
    <w:rsid w:val="006E57BF"/>
    <w:rsid w:val="006E5C1B"/>
    <w:rsid w:val="006F07F7"/>
    <w:rsid w:val="006F2607"/>
    <w:rsid w:val="006F3023"/>
    <w:rsid w:val="006F4049"/>
    <w:rsid w:val="007112BB"/>
    <w:rsid w:val="00716672"/>
    <w:rsid w:val="00720BB8"/>
    <w:rsid w:val="00721881"/>
    <w:rsid w:val="0072421B"/>
    <w:rsid w:val="00726EB9"/>
    <w:rsid w:val="0073605C"/>
    <w:rsid w:val="00741F2F"/>
    <w:rsid w:val="00745CC8"/>
    <w:rsid w:val="007474E2"/>
    <w:rsid w:val="00747E63"/>
    <w:rsid w:val="00755E58"/>
    <w:rsid w:val="007637AA"/>
    <w:rsid w:val="00766E16"/>
    <w:rsid w:val="00767656"/>
    <w:rsid w:val="0076775E"/>
    <w:rsid w:val="00772795"/>
    <w:rsid w:val="00772D08"/>
    <w:rsid w:val="00773BB3"/>
    <w:rsid w:val="00784C00"/>
    <w:rsid w:val="007A41A5"/>
    <w:rsid w:val="007A4C02"/>
    <w:rsid w:val="007A4F92"/>
    <w:rsid w:val="007B03EA"/>
    <w:rsid w:val="007B27DF"/>
    <w:rsid w:val="007B6B06"/>
    <w:rsid w:val="007B6F7D"/>
    <w:rsid w:val="007B77DA"/>
    <w:rsid w:val="007C30B8"/>
    <w:rsid w:val="007C6341"/>
    <w:rsid w:val="007D23D8"/>
    <w:rsid w:val="007D5C85"/>
    <w:rsid w:val="007E2798"/>
    <w:rsid w:val="007E3215"/>
    <w:rsid w:val="007E3356"/>
    <w:rsid w:val="007E533F"/>
    <w:rsid w:val="007E58FE"/>
    <w:rsid w:val="007F3DA8"/>
    <w:rsid w:val="007F40F2"/>
    <w:rsid w:val="007F686D"/>
    <w:rsid w:val="008019DF"/>
    <w:rsid w:val="00810102"/>
    <w:rsid w:val="0082769C"/>
    <w:rsid w:val="00833088"/>
    <w:rsid w:val="00834CA1"/>
    <w:rsid w:val="00845EE1"/>
    <w:rsid w:val="00851D91"/>
    <w:rsid w:val="008543F7"/>
    <w:rsid w:val="008562B1"/>
    <w:rsid w:val="008564A6"/>
    <w:rsid w:val="008609A7"/>
    <w:rsid w:val="008676BE"/>
    <w:rsid w:val="008720FD"/>
    <w:rsid w:val="00872AB2"/>
    <w:rsid w:val="00875111"/>
    <w:rsid w:val="0087546B"/>
    <w:rsid w:val="008765F3"/>
    <w:rsid w:val="00883D0D"/>
    <w:rsid w:val="00887EB6"/>
    <w:rsid w:val="0089177F"/>
    <w:rsid w:val="00891DF6"/>
    <w:rsid w:val="00895345"/>
    <w:rsid w:val="008A3132"/>
    <w:rsid w:val="008A31BC"/>
    <w:rsid w:val="008A338C"/>
    <w:rsid w:val="008A399B"/>
    <w:rsid w:val="008A42EA"/>
    <w:rsid w:val="008A66C8"/>
    <w:rsid w:val="008B00E3"/>
    <w:rsid w:val="008B1132"/>
    <w:rsid w:val="008B31F4"/>
    <w:rsid w:val="008B631C"/>
    <w:rsid w:val="008B7726"/>
    <w:rsid w:val="008B7F43"/>
    <w:rsid w:val="008C3FB0"/>
    <w:rsid w:val="008C49CF"/>
    <w:rsid w:val="008C538C"/>
    <w:rsid w:val="008C5B0D"/>
    <w:rsid w:val="008C7D3C"/>
    <w:rsid w:val="008D52A9"/>
    <w:rsid w:val="008E7037"/>
    <w:rsid w:val="008F12B7"/>
    <w:rsid w:val="008F2C2D"/>
    <w:rsid w:val="008F7D20"/>
    <w:rsid w:val="009139E1"/>
    <w:rsid w:val="00913DEF"/>
    <w:rsid w:val="00913DFD"/>
    <w:rsid w:val="0092442E"/>
    <w:rsid w:val="00933D7B"/>
    <w:rsid w:val="0093608D"/>
    <w:rsid w:val="00936F35"/>
    <w:rsid w:val="00940077"/>
    <w:rsid w:val="00942D4C"/>
    <w:rsid w:val="009538AC"/>
    <w:rsid w:val="00955580"/>
    <w:rsid w:val="00956875"/>
    <w:rsid w:val="009606CE"/>
    <w:rsid w:val="00961D5F"/>
    <w:rsid w:val="0096455C"/>
    <w:rsid w:val="009653A6"/>
    <w:rsid w:val="00970AB9"/>
    <w:rsid w:val="00973C11"/>
    <w:rsid w:val="00976957"/>
    <w:rsid w:val="00981FF5"/>
    <w:rsid w:val="00990E64"/>
    <w:rsid w:val="00993D31"/>
    <w:rsid w:val="00997B5C"/>
    <w:rsid w:val="009A445D"/>
    <w:rsid w:val="009A4950"/>
    <w:rsid w:val="009A612B"/>
    <w:rsid w:val="009A7C37"/>
    <w:rsid w:val="009C4F77"/>
    <w:rsid w:val="009E0CA4"/>
    <w:rsid w:val="009E6152"/>
    <w:rsid w:val="009E6979"/>
    <w:rsid w:val="009E77B5"/>
    <w:rsid w:val="009F067F"/>
    <w:rsid w:val="009F4591"/>
    <w:rsid w:val="009F676A"/>
    <w:rsid w:val="009F6AC6"/>
    <w:rsid w:val="00A02525"/>
    <w:rsid w:val="00A05369"/>
    <w:rsid w:val="00A139F5"/>
    <w:rsid w:val="00A263B5"/>
    <w:rsid w:val="00A33D2B"/>
    <w:rsid w:val="00A3447E"/>
    <w:rsid w:val="00A36788"/>
    <w:rsid w:val="00A36A0B"/>
    <w:rsid w:val="00A4059B"/>
    <w:rsid w:val="00A4386E"/>
    <w:rsid w:val="00A43E62"/>
    <w:rsid w:val="00A441C9"/>
    <w:rsid w:val="00A458E8"/>
    <w:rsid w:val="00A5730B"/>
    <w:rsid w:val="00A600E8"/>
    <w:rsid w:val="00A629B1"/>
    <w:rsid w:val="00A647B3"/>
    <w:rsid w:val="00A64F95"/>
    <w:rsid w:val="00A65934"/>
    <w:rsid w:val="00A710B5"/>
    <w:rsid w:val="00A73BBE"/>
    <w:rsid w:val="00A73C64"/>
    <w:rsid w:val="00A75EA8"/>
    <w:rsid w:val="00A76962"/>
    <w:rsid w:val="00A77AF8"/>
    <w:rsid w:val="00A81520"/>
    <w:rsid w:val="00A83455"/>
    <w:rsid w:val="00A91074"/>
    <w:rsid w:val="00A92D5C"/>
    <w:rsid w:val="00A954BF"/>
    <w:rsid w:val="00A95F05"/>
    <w:rsid w:val="00AA15A0"/>
    <w:rsid w:val="00AA211E"/>
    <w:rsid w:val="00AA3F27"/>
    <w:rsid w:val="00AB1AAA"/>
    <w:rsid w:val="00AC031F"/>
    <w:rsid w:val="00AC758B"/>
    <w:rsid w:val="00AD0F7F"/>
    <w:rsid w:val="00AE22EE"/>
    <w:rsid w:val="00AF37E6"/>
    <w:rsid w:val="00AF4574"/>
    <w:rsid w:val="00AF5AD7"/>
    <w:rsid w:val="00AF5B03"/>
    <w:rsid w:val="00B00D78"/>
    <w:rsid w:val="00B062F0"/>
    <w:rsid w:val="00B20C57"/>
    <w:rsid w:val="00B226FC"/>
    <w:rsid w:val="00B22A68"/>
    <w:rsid w:val="00B259D1"/>
    <w:rsid w:val="00B27270"/>
    <w:rsid w:val="00B272A3"/>
    <w:rsid w:val="00B329CB"/>
    <w:rsid w:val="00B35C13"/>
    <w:rsid w:val="00B35F67"/>
    <w:rsid w:val="00B428DC"/>
    <w:rsid w:val="00B43352"/>
    <w:rsid w:val="00B44F44"/>
    <w:rsid w:val="00B44FD2"/>
    <w:rsid w:val="00B459C5"/>
    <w:rsid w:val="00B459F0"/>
    <w:rsid w:val="00B471FE"/>
    <w:rsid w:val="00B4787D"/>
    <w:rsid w:val="00B5227E"/>
    <w:rsid w:val="00B618A7"/>
    <w:rsid w:val="00B66713"/>
    <w:rsid w:val="00B672C6"/>
    <w:rsid w:val="00B67D99"/>
    <w:rsid w:val="00B77863"/>
    <w:rsid w:val="00B816B9"/>
    <w:rsid w:val="00B852D3"/>
    <w:rsid w:val="00B87745"/>
    <w:rsid w:val="00B91190"/>
    <w:rsid w:val="00B92763"/>
    <w:rsid w:val="00B979AF"/>
    <w:rsid w:val="00BA28D2"/>
    <w:rsid w:val="00BA6E86"/>
    <w:rsid w:val="00BA716F"/>
    <w:rsid w:val="00BB4C08"/>
    <w:rsid w:val="00BC2B63"/>
    <w:rsid w:val="00BC66B8"/>
    <w:rsid w:val="00BD099C"/>
    <w:rsid w:val="00BD286E"/>
    <w:rsid w:val="00BD6689"/>
    <w:rsid w:val="00BE286C"/>
    <w:rsid w:val="00BE4C21"/>
    <w:rsid w:val="00C03402"/>
    <w:rsid w:val="00C05221"/>
    <w:rsid w:val="00C06E1A"/>
    <w:rsid w:val="00C102C8"/>
    <w:rsid w:val="00C1076C"/>
    <w:rsid w:val="00C10ED0"/>
    <w:rsid w:val="00C12EA4"/>
    <w:rsid w:val="00C2659E"/>
    <w:rsid w:val="00C304FB"/>
    <w:rsid w:val="00C308C7"/>
    <w:rsid w:val="00C33518"/>
    <w:rsid w:val="00C33FB3"/>
    <w:rsid w:val="00C356FC"/>
    <w:rsid w:val="00C4263C"/>
    <w:rsid w:val="00C43060"/>
    <w:rsid w:val="00C47B13"/>
    <w:rsid w:val="00C52B8A"/>
    <w:rsid w:val="00C53AF2"/>
    <w:rsid w:val="00C62A26"/>
    <w:rsid w:val="00C65D11"/>
    <w:rsid w:val="00C6724E"/>
    <w:rsid w:val="00C67558"/>
    <w:rsid w:val="00C67D04"/>
    <w:rsid w:val="00C73436"/>
    <w:rsid w:val="00C82A36"/>
    <w:rsid w:val="00C83702"/>
    <w:rsid w:val="00C83BBE"/>
    <w:rsid w:val="00C908D3"/>
    <w:rsid w:val="00C9416C"/>
    <w:rsid w:val="00CA6684"/>
    <w:rsid w:val="00CB1135"/>
    <w:rsid w:val="00CB17B6"/>
    <w:rsid w:val="00CB2A90"/>
    <w:rsid w:val="00CB37D1"/>
    <w:rsid w:val="00CB592A"/>
    <w:rsid w:val="00CB6B1A"/>
    <w:rsid w:val="00CC1444"/>
    <w:rsid w:val="00CC3157"/>
    <w:rsid w:val="00CD67CB"/>
    <w:rsid w:val="00CD6F97"/>
    <w:rsid w:val="00CD76C0"/>
    <w:rsid w:val="00CE08E0"/>
    <w:rsid w:val="00CF482F"/>
    <w:rsid w:val="00D00555"/>
    <w:rsid w:val="00D005C7"/>
    <w:rsid w:val="00D00E4B"/>
    <w:rsid w:val="00D05D8C"/>
    <w:rsid w:val="00D063A0"/>
    <w:rsid w:val="00D12E86"/>
    <w:rsid w:val="00D16949"/>
    <w:rsid w:val="00D27C95"/>
    <w:rsid w:val="00D31D50"/>
    <w:rsid w:val="00D32167"/>
    <w:rsid w:val="00D327CF"/>
    <w:rsid w:val="00D3683A"/>
    <w:rsid w:val="00D42449"/>
    <w:rsid w:val="00D43FE5"/>
    <w:rsid w:val="00D47EEA"/>
    <w:rsid w:val="00D5186F"/>
    <w:rsid w:val="00D51D3A"/>
    <w:rsid w:val="00D523D5"/>
    <w:rsid w:val="00D607E7"/>
    <w:rsid w:val="00D609AD"/>
    <w:rsid w:val="00D653BA"/>
    <w:rsid w:val="00D655A5"/>
    <w:rsid w:val="00D80997"/>
    <w:rsid w:val="00D80E77"/>
    <w:rsid w:val="00D952EB"/>
    <w:rsid w:val="00D9692C"/>
    <w:rsid w:val="00D979F4"/>
    <w:rsid w:val="00DA1B2E"/>
    <w:rsid w:val="00DA4470"/>
    <w:rsid w:val="00DB5D22"/>
    <w:rsid w:val="00DC1BAC"/>
    <w:rsid w:val="00DC1ECA"/>
    <w:rsid w:val="00DC3E26"/>
    <w:rsid w:val="00DC4B3D"/>
    <w:rsid w:val="00DC5817"/>
    <w:rsid w:val="00DC6E3B"/>
    <w:rsid w:val="00DD0C75"/>
    <w:rsid w:val="00DD0F4E"/>
    <w:rsid w:val="00DD28E0"/>
    <w:rsid w:val="00DE1682"/>
    <w:rsid w:val="00DE50A4"/>
    <w:rsid w:val="00DE5168"/>
    <w:rsid w:val="00DE771D"/>
    <w:rsid w:val="00DF14E2"/>
    <w:rsid w:val="00E0143C"/>
    <w:rsid w:val="00E0468F"/>
    <w:rsid w:val="00E121FE"/>
    <w:rsid w:val="00E21374"/>
    <w:rsid w:val="00E2757D"/>
    <w:rsid w:val="00E30355"/>
    <w:rsid w:val="00E3761E"/>
    <w:rsid w:val="00E37AEB"/>
    <w:rsid w:val="00E43066"/>
    <w:rsid w:val="00E43EFB"/>
    <w:rsid w:val="00E442E3"/>
    <w:rsid w:val="00E57875"/>
    <w:rsid w:val="00E619B9"/>
    <w:rsid w:val="00E67367"/>
    <w:rsid w:val="00E701B3"/>
    <w:rsid w:val="00E73303"/>
    <w:rsid w:val="00E76F12"/>
    <w:rsid w:val="00E81436"/>
    <w:rsid w:val="00E821B7"/>
    <w:rsid w:val="00E83504"/>
    <w:rsid w:val="00E84174"/>
    <w:rsid w:val="00E843E1"/>
    <w:rsid w:val="00E9113F"/>
    <w:rsid w:val="00E96802"/>
    <w:rsid w:val="00E97DC9"/>
    <w:rsid w:val="00EA5F52"/>
    <w:rsid w:val="00EA6A66"/>
    <w:rsid w:val="00EB0184"/>
    <w:rsid w:val="00EB5E24"/>
    <w:rsid w:val="00EB74B7"/>
    <w:rsid w:val="00EC2252"/>
    <w:rsid w:val="00ED602A"/>
    <w:rsid w:val="00ED6800"/>
    <w:rsid w:val="00ED6BA4"/>
    <w:rsid w:val="00ED761F"/>
    <w:rsid w:val="00EE0FC7"/>
    <w:rsid w:val="00EE65DC"/>
    <w:rsid w:val="00EF1B73"/>
    <w:rsid w:val="00F06F2D"/>
    <w:rsid w:val="00F06FD9"/>
    <w:rsid w:val="00F15619"/>
    <w:rsid w:val="00F20B0C"/>
    <w:rsid w:val="00F252E7"/>
    <w:rsid w:val="00F26735"/>
    <w:rsid w:val="00F27564"/>
    <w:rsid w:val="00F30F43"/>
    <w:rsid w:val="00F35725"/>
    <w:rsid w:val="00F35BD7"/>
    <w:rsid w:val="00F47B0B"/>
    <w:rsid w:val="00F509F9"/>
    <w:rsid w:val="00F50B94"/>
    <w:rsid w:val="00F52517"/>
    <w:rsid w:val="00F5292A"/>
    <w:rsid w:val="00F54EC0"/>
    <w:rsid w:val="00F55C9E"/>
    <w:rsid w:val="00F6761F"/>
    <w:rsid w:val="00F67A39"/>
    <w:rsid w:val="00F70484"/>
    <w:rsid w:val="00F868D4"/>
    <w:rsid w:val="00F977E6"/>
    <w:rsid w:val="00FA17B4"/>
    <w:rsid w:val="00FA1CF8"/>
    <w:rsid w:val="00FA590A"/>
    <w:rsid w:val="00FA5957"/>
    <w:rsid w:val="00FB219C"/>
    <w:rsid w:val="00FB24E6"/>
    <w:rsid w:val="00FB27B9"/>
    <w:rsid w:val="00FB3714"/>
    <w:rsid w:val="00FB4F55"/>
    <w:rsid w:val="00FB543E"/>
    <w:rsid w:val="00FB5441"/>
    <w:rsid w:val="00FB5EB6"/>
    <w:rsid w:val="00FD513D"/>
    <w:rsid w:val="00FD55F9"/>
    <w:rsid w:val="00FD5D85"/>
    <w:rsid w:val="00FD6C78"/>
    <w:rsid w:val="00FE4146"/>
    <w:rsid w:val="00FE5851"/>
    <w:rsid w:val="00FF5613"/>
    <w:rsid w:val="00FF6C63"/>
    <w:rsid w:val="00FF6EF0"/>
    <w:rsid w:val="011A5AE5"/>
    <w:rsid w:val="015653FF"/>
    <w:rsid w:val="01896667"/>
    <w:rsid w:val="038E24E4"/>
    <w:rsid w:val="03F35975"/>
    <w:rsid w:val="03FA627F"/>
    <w:rsid w:val="03FC3968"/>
    <w:rsid w:val="04CE0453"/>
    <w:rsid w:val="053864C3"/>
    <w:rsid w:val="05842116"/>
    <w:rsid w:val="061C5BD8"/>
    <w:rsid w:val="06434E67"/>
    <w:rsid w:val="066F2356"/>
    <w:rsid w:val="068126FA"/>
    <w:rsid w:val="0699492C"/>
    <w:rsid w:val="06E3544E"/>
    <w:rsid w:val="0794301B"/>
    <w:rsid w:val="083852A0"/>
    <w:rsid w:val="08601C30"/>
    <w:rsid w:val="08720F1B"/>
    <w:rsid w:val="08995FC7"/>
    <w:rsid w:val="08A03BA7"/>
    <w:rsid w:val="095F2DAF"/>
    <w:rsid w:val="098C0F84"/>
    <w:rsid w:val="09903166"/>
    <w:rsid w:val="0AD56127"/>
    <w:rsid w:val="0AF76B8E"/>
    <w:rsid w:val="0B446EE7"/>
    <w:rsid w:val="0B56022F"/>
    <w:rsid w:val="0C0F3773"/>
    <w:rsid w:val="0C2C7316"/>
    <w:rsid w:val="0C56210D"/>
    <w:rsid w:val="0D656146"/>
    <w:rsid w:val="0DA24445"/>
    <w:rsid w:val="0DAC0D1D"/>
    <w:rsid w:val="0DFF55BB"/>
    <w:rsid w:val="0EA45E94"/>
    <w:rsid w:val="0F340DCA"/>
    <w:rsid w:val="0FA12EE2"/>
    <w:rsid w:val="10552F00"/>
    <w:rsid w:val="10ED7554"/>
    <w:rsid w:val="110F513A"/>
    <w:rsid w:val="11710824"/>
    <w:rsid w:val="11A34E16"/>
    <w:rsid w:val="121435DA"/>
    <w:rsid w:val="12401937"/>
    <w:rsid w:val="128C4D68"/>
    <w:rsid w:val="14800D85"/>
    <w:rsid w:val="148968C3"/>
    <w:rsid w:val="14E30E34"/>
    <w:rsid w:val="15925359"/>
    <w:rsid w:val="15BE2D5F"/>
    <w:rsid w:val="15DA4C6C"/>
    <w:rsid w:val="15FB79F2"/>
    <w:rsid w:val="16123FBC"/>
    <w:rsid w:val="16410E71"/>
    <w:rsid w:val="16B80D5C"/>
    <w:rsid w:val="16C871BC"/>
    <w:rsid w:val="171E782D"/>
    <w:rsid w:val="17896CCF"/>
    <w:rsid w:val="17CC7AFA"/>
    <w:rsid w:val="17E66242"/>
    <w:rsid w:val="18195A9B"/>
    <w:rsid w:val="187846CB"/>
    <w:rsid w:val="18AC1814"/>
    <w:rsid w:val="18C9532D"/>
    <w:rsid w:val="18D306B1"/>
    <w:rsid w:val="18DC711B"/>
    <w:rsid w:val="18F21846"/>
    <w:rsid w:val="192133A8"/>
    <w:rsid w:val="19227331"/>
    <w:rsid w:val="194D3BA6"/>
    <w:rsid w:val="19D25390"/>
    <w:rsid w:val="1A16332F"/>
    <w:rsid w:val="1A495ACB"/>
    <w:rsid w:val="1B4E42FF"/>
    <w:rsid w:val="1B924E4A"/>
    <w:rsid w:val="1B9276E0"/>
    <w:rsid w:val="1C686A26"/>
    <w:rsid w:val="1C7F1EF9"/>
    <w:rsid w:val="1C9222C7"/>
    <w:rsid w:val="1CB65207"/>
    <w:rsid w:val="1CFC58FC"/>
    <w:rsid w:val="1D2269F9"/>
    <w:rsid w:val="1D3739E7"/>
    <w:rsid w:val="1D4C6131"/>
    <w:rsid w:val="1E553ED9"/>
    <w:rsid w:val="1EBB7078"/>
    <w:rsid w:val="1F2B29E9"/>
    <w:rsid w:val="20443A72"/>
    <w:rsid w:val="204C69D1"/>
    <w:rsid w:val="20B6634B"/>
    <w:rsid w:val="218B4A77"/>
    <w:rsid w:val="21BD3D36"/>
    <w:rsid w:val="21EA1272"/>
    <w:rsid w:val="228B28FC"/>
    <w:rsid w:val="22BF2363"/>
    <w:rsid w:val="23277937"/>
    <w:rsid w:val="23861963"/>
    <w:rsid w:val="23D07C36"/>
    <w:rsid w:val="23EF4369"/>
    <w:rsid w:val="23FD1397"/>
    <w:rsid w:val="241737E1"/>
    <w:rsid w:val="24374789"/>
    <w:rsid w:val="256D4234"/>
    <w:rsid w:val="258A419C"/>
    <w:rsid w:val="25FE305B"/>
    <w:rsid w:val="25FF3E83"/>
    <w:rsid w:val="261B6622"/>
    <w:rsid w:val="264D3683"/>
    <w:rsid w:val="26DA2A69"/>
    <w:rsid w:val="27975465"/>
    <w:rsid w:val="28A67676"/>
    <w:rsid w:val="28EF47B3"/>
    <w:rsid w:val="2971166A"/>
    <w:rsid w:val="299C0E57"/>
    <w:rsid w:val="2A55191F"/>
    <w:rsid w:val="2B0C3336"/>
    <w:rsid w:val="2C365106"/>
    <w:rsid w:val="2C692A33"/>
    <w:rsid w:val="2CAE2C47"/>
    <w:rsid w:val="2D2E18D4"/>
    <w:rsid w:val="2D4B2FEC"/>
    <w:rsid w:val="2D5D23E2"/>
    <w:rsid w:val="2E114681"/>
    <w:rsid w:val="2F410B83"/>
    <w:rsid w:val="2F8B53E6"/>
    <w:rsid w:val="2F9F6271"/>
    <w:rsid w:val="2FD2189D"/>
    <w:rsid w:val="2FE404AF"/>
    <w:rsid w:val="300412A9"/>
    <w:rsid w:val="30B11F1E"/>
    <w:rsid w:val="30E104E7"/>
    <w:rsid w:val="31292088"/>
    <w:rsid w:val="313F3795"/>
    <w:rsid w:val="316C1B6A"/>
    <w:rsid w:val="31862F00"/>
    <w:rsid w:val="31DF169C"/>
    <w:rsid w:val="320C1BE4"/>
    <w:rsid w:val="3262181B"/>
    <w:rsid w:val="32A45A1A"/>
    <w:rsid w:val="334476C6"/>
    <w:rsid w:val="33FC2D1D"/>
    <w:rsid w:val="34467733"/>
    <w:rsid w:val="34A941C4"/>
    <w:rsid w:val="34AB1E88"/>
    <w:rsid w:val="365D419B"/>
    <w:rsid w:val="367C24DE"/>
    <w:rsid w:val="36E249CB"/>
    <w:rsid w:val="36EA7F5A"/>
    <w:rsid w:val="370B417D"/>
    <w:rsid w:val="37464E96"/>
    <w:rsid w:val="377A35BB"/>
    <w:rsid w:val="37CB0726"/>
    <w:rsid w:val="3863674B"/>
    <w:rsid w:val="387A11E8"/>
    <w:rsid w:val="38AC34E2"/>
    <w:rsid w:val="38CF54A5"/>
    <w:rsid w:val="38D11C00"/>
    <w:rsid w:val="38E2453B"/>
    <w:rsid w:val="39D5518B"/>
    <w:rsid w:val="3A3D437A"/>
    <w:rsid w:val="3A6F5926"/>
    <w:rsid w:val="3B6863F4"/>
    <w:rsid w:val="3B82296A"/>
    <w:rsid w:val="3C0C68A1"/>
    <w:rsid w:val="3CD9302C"/>
    <w:rsid w:val="3DD15E06"/>
    <w:rsid w:val="3E573DA5"/>
    <w:rsid w:val="3E5E4F8B"/>
    <w:rsid w:val="3F026CB0"/>
    <w:rsid w:val="3F5C1E5B"/>
    <w:rsid w:val="3FBB4C96"/>
    <w:rsid w:val="3FF9187E"/>
    <w:rsid w:val="409B5B84"/>
    <w:rsid w:val="40C3293D"/>
    <w:rsid w:val="40CE0B26"/>
    <w:rsid w:val="41177D78"/>
    <w:rsid w:val="419C4494"/>
    <w:rsid w:val="41D96D06"/>
    <w:rsid w:val="41F02961"/>
    <w:rsid w:val="42054538"/>
    <w:rsid w:val="42380DCC"/>
    <w:rsid w:val="42743E3F"/>
    <w:rsid w:val="42DE4640"/>
    <w:rsid w:val="431C3867"/>
    <w:rsid w:val="43403E9A"/>
    <w:rsid w:val="434876EC"/>
    <w:rsid w:val="436F6F5A"/>
    <w:rsid w:val="43CF53E8"/>
    <w:rsid w:val="4412341C"/>
    <w:rsid w:val="44317AE5"/>
    <w:rsid w:val="44FD3A99"/>
    <w:rsid w:val="45B12061"/>
    <w:rsid w:val="45CD4799"/>
    <w:rsid w:val="468D21D8"/>
    <w:rsid w:val="46FE3AED"/>
    <w:rsid w:val="47EA3C6A"/>
    <w:rsid w:val="4806625E"/>
    <w:rsid w:val="48093180"/>
    <w:rsid w:val="480F566F"/>
    <w:rsid w:val="483C5F75"/>
    <w:rsid w:val="488743FD"/>
    <w:rsid w:val="48C162FB"/>
    <w:rsid w:val="48D5282C"/>
    <w:rsid w:val="491A3939"/>
    <w:rsid w:val="494C0B24"/>
    <w:rsid w:val="49783FB2"/>
    <w:rsid w:val="49D1421E"/>
    <w:rsid w:val="4A1009A9"/>
    <w:rsid w:val="4A105301"/>
    <w:rsid w:val="4A181077"/>
    <w:rsid w:val="4A265929"/>
    <w:rsid w:val="4A5E34C9"/>
    <w:rsid w:val="4A834184"/>
    <w:rsid w:val="4B3C7BB5"/>
    <w:rsid w:val="4B854B72"/>
    <w:rsid w:val="4BA07C37"/>
    <w:rsid w:val="4BFA02E8"/>
    <w:rsid w:val="4C395D87"/>
    <w:rsid w:val="4D0E1BE8"/>
    <w:rsid w:val="4D1C2138"/>
    <w:rsid w:val="4DAB2BDA"/>
    <w:rsid w:val="4DFE4CDC"/>
    <w:rsid w:val="4DFE5614"/>
    <w:rsid w:val="4F9E5447"/>
    <w:rsid w:val="4FA952D7"/>
    <w:rsid w:val="4FB90AAD"/>
    <w:rsid w:val="4FC10849"/>
    <w:rsid w:val="4FC31546"/>
    <w:rsid w:val="4FE770BE"/>
    <w:rsid w:val="502B1C86"/>
    <w:rsid w:val="503E550B"/>
    <w:rsid w:val="504E433F"/>
    <w:rsid w:val="50DC6094"/>
    <w:rsid w:val="512E1C12"/>
    <w:rsid w:val="51930D45"/>
    <w:rsid w:val="51CA7F87"/>
    <w:rsid w:val="51EA1147"/>
    <w:rsid w:val="51FC6B90"/>
    <w:rsid w:val="52FF5974"/>
    <w:rsid w:val="5323440F"/>
    <w:rsid w:val="53A121CA"/>
    <w:rsid w:val="53DD5BF0"/>
    <w:rsid w:val="5454255F"/>
    <w:rsid w:val="54FA72FF"/>
    <w:rsid w:val="55167CEC"/>
    <w:rsid w:val="55174323"/>
    <w:rsid w:val="55F905AF"/>
    <w:rsid w:val="56127486"/>
    <w:rsid w:val="56286D49"/>
    <w:rsid w:val="566B2F15"/>
    <w:rsid w:val="576447E0"/>
    <w:rsid w:val="57C8701B"/>
    <w:rsid w:val="58EC2D32"/>
    <w:rsid w:val="590A434D"/>
    <w:rsid w:val="5982711E"/>
    <w:rsid w:val="5A0750B0"/>
    <w:rsid w:val="5A3F0E5E"/>
    <w:rsid w:val="5A966B86"/>
    <w:rsid w:val="5ACE3C4C"/>
    <w:rsid w:val="5B1E18D2"/>
    <w:rsid w:val="5BCF238E"/>
    <w:rsid w:val="5C167045"/>
    <w:rsid w:val="5CAE25A8"/>
    <w:rsid w:val="5CB34AE5"/>
    <w:rsid w:val="5D0C6C28"/>
    <w:rsid w:val="5DC75AB2"/>
    <w:rsid w:val="5E0A23CC"/>
    <w:rsid w:val="5E784429"/>
    <w:rsid w:val="5EBE131A"/>
    <w:rsid w:val="5EF9024A"/>
    <w:rsid w:val="5F0442DD"/>
    <w:rsid w:val="5F9D7D38"/>
    <w:rsid w:val="5FB97FFE"/>
    <w:rsid w:val="5FD2674E"/>
    <w:rsid w:val="609836BD"/>
    <w:rsid w:val="60A2261B"/>
    <w:rsid w:val="60DA5AC4"/>
    <w:rsid w:val="614134C6"/>
    <w:rsid w:val="61771D58"/>
    <w:rsid w:val="620F787B"/>
    <w:rsid w:val="630E71D9"/>
    <w:rsid w:val="631D3551"/>
    <w:rsid w:val="634A0CF2"/>
    <w:rsid w:val="6443628F"/>
    <w:rsid w:val="653C230C"/>
    <w:rsid w:val="665775D1"/>
    <w:rsid w:val="666225E6"/>
    <w:rsid w:val="668D0F1D"/>
    <w:rsid w:val="67B433C0"/>
    <w:rsid w:val="683204B7"/>
    <w:rsid w:val="683A7494"/>
    <w:rsid w:val="685055C9"/>
    <w:rsid w:val="686E26B6"/>
    <w:rsid w:val="68B96199"/>
    <w:rsid w:val="69523CCA"/>
    <w:rsid w:val="69696043"/>
    <w:rsid w:val="697A68EB"/>
    <w:rsid w:val="6AB24CCF"/>
    <w:rsid w:val="6AE94720"/>
    <w:rsid w:val="6B24682C"/>
    <w:rsid w:val="6B402779"/>
    <w:rsid w:val="6B623350"/>
    <w:rsid w:val="6BED6006"/>
    <w:rsid w:val="6C3D10EA"/>
    <w:rsid w:val="6C806DDC"/>
    <w:rsid w:val="6CD41908"/>
    <w:rsid w:val="6D0139B1"/>
    <w:rsid w:val="6D1943D5"/>
    <w:rsid w:val="6D2C7503"/>
    <w:rsid w:val="6D475E4F"/>
    <w:rsid w:val="6D6E3130"/>
    <w:rsid w:val="6DE00E2B"/>
    <w:rsid w:val="6E642FF1"/>
    <w:rsid w:val="6EB36179"/>
    <w:rsid w:val="6ED9210B"/>
    <w:rsid w:val="6F1C410D"/>
    <w:rsid w:val="6F35637E"/>
    <w:rsid w:val="6F431DF4"/>
    <w:rsid w:val="6FB34931"/>
    <w:rsid w:val="70446691"/>
    <w:rsid w:val="70675C0E"/>
    <w:rsid w:val="70865ECA"/>
    <w:rsid w:val="70C57952"/>
    <w:rsid w:val="70D77B1D"/>
    <w:rsid w:val="718912E5"/>
    <w:rsid w:val="71D64CC4"/>
    <w:rsid w:val="72491978"/>
    <w:rsid w:val="72F57587"/>
    <w:rsid w:val="73371259"/>
    <w:rsid w:val="7347030C"/>
    <w:rsid w:val="73F12B74"/>
    <w:rsid w:val="741D2237"/>
    <w:rsid w:val="747D2490"/>
    <w:rsid w:val="74921D74"/>
    <w:rsid w:val="74E1025D"/>
    <w:rsid w:val="75543980"/>
    <w:rsid w:val="758A34DC"/>
    <w:rsid w:val="75B130EA"/>
    <w:rsid w:val="75D9562B"/>
    <w:rsid w:val="764A4A68"/>
    <w:rsid w:val="76CB37FE"/>
    <w:rsid w:val="7739205A"/>
    <w:rsid w:val="77410127"/>
    <w:rsid w:val="77633220"/>
    <w:rsid w:val="77B902A0"/>
    <w:rsid w:val="78960802"/>
    <w:rsid w:val="795E09E4"/>
    <w:rsid w:val="7A821D2D"/>
    <w:rsid w:val="7B664E41"/>
    <w:rsid w:val="7C057F07"/>
    <w:rsid w:val="7C113A5C"/>
    <w:rsid w:val="7C545A8C"/>
    <w:rsid w:val="7DA8722A"/>
    <w:rsid w:val="7DFE202C"/>
    <w:rsid w:val="7E652D16"/>
    <w:rsid w:val="7EF81F4F"/>
    <w:rsid w:val="7F056FCF"/>
    <w:rsid w:val="7F3D3E93"/>
    <w:rsid w:val="7FCC66EB"/>
    <w:rsid w:val="7FEA1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ocked="1"/>
    <w:lsdException w:uiPriority="99" w:name="index 2" w:locked="1"/>
    <w:lsdException w:uiPriority="99" w:name="index 3" w:locked="1"/>
    <w:lsdException w:qFormat="1" w:unhideWhenUsed="0" w:uiPriority="0" w:semiHidden="0" w:name="index 4" w:locked="1"/>
    <w:lsdException w:uiPriority="99" w:name="index 5" w:locked="1"/>
    <w:lsdException w:uiPriority="99" w:name="index 6" w:locked="1"/>
    <w:lsdException w:uiPriority="99" w:name="index 7" w:locked="1"/>
    <w:lsdException w:qFormat="1" w:unhideWhenUsed="0" w:uiPriority="0" w:semiHidden="0"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ocked="1"/>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ocked="1"/>
    <w:lsdException w:qFormat="1" w:unhideWhenUsed="0" w:uiPriority="0" w:semiHidden="0" w:name="caption" w:locked="1"/>
    <w:lsdException w:uiPriority="99" w:name="table of figures" w:locked="1"/>
    <w:lsdException w:uiPriority="99" w:name="envelope address" w:locked="1"/>
    <w:lsdException w:uiPriority="99" w:name="envelope return" w:locked="1"/>
    <w:lsdException w:qFormat="1" w:unhideWhenUsed="0" w:uiPriority="0" w:semiHidden="0" w:name="footnote reference" w:locked="1"/>
    <w:lsdException w:qFormat="1" w:unhideWhenUsed="0" w:uiPriority="0" w:semiHidden="0" w:name="annotation reference"/>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qFormat="1" w:unhideWhenUsed="0" w:uiPriority="99" w:semiHidden="0" w:name="List 4"/>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qFormat="1" w:unhideWhenUsed="0" w:uiPriority="0" w:semiHidden="0" w:name="Date"/>
    <w:lsdException w:qFormat="1" w:unhideWhenUsed="0" w:uiPriority="0" w:semiHidden="0"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0" w:semiHidden="0" w:name="Body Text Indent 2"/>
    <w:lsdException w:qFormat="1" w:unhideWhenUsed="0" w:uiPriority="99" w:semiHidden="0" w:name="Body Text Indent 3"/>
    <w:lsdException w:qFormat="1" w:unhideWhenUsed="0" w:uiPriority="0" w:semiHidden="0" w:name="Block Text" w:locked="1"/>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ocked="1"/>
    <w:lsdException w:qFormat="1" w:unhideWhenUsed="0" w:uiPriority="0" w:semiHidden="0"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0"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3">
    <w:name w:val="heading 1"/>
    <w:basedOn w:val="1"/>
    <w:next w:val="1"/>
    <w:link w:val="101"/>
    <w:qFormat/>
    <w:uiPriority w:val="0"/>
    <w:pPr>
      <w:keepNext/>
      <w:adjustRightInd/>
      <w:snapToGrid/>
      <w:spacing w:after="0" w:line="400" w:lineRule="exact"/>
      <w:jc w:val="center"/>
      <w:outlineLvl w:val="0"/>
    </w:pPr>
    <w:rPr>
      <w:rFonts w:ascii="黑体" w:hAnsi="Times New Roman" w:eastAsia="黑体"/>
      <w:sz w:val="36"/>
      <w:szCs w:val="20"/>
    </w:rPr>
  </w:style>
  <w:style w:type="paragraph" w:styleId="4">
    <w:name w:val="heading 2"/>
    <w:basedOn w:val="1"/>
    <w:next w:val="1"/>
    <w:link w:val="141"/>
    <w:qFormat/>
    <w:uiPriority w:val="0"/>
    <w:pPr>
      <w:keepNext/>
      <w:keepLines/>
      <w:widowControl w:val="0"/>
      <w:adjustRightInd/>
      <w:snapToGrid/>
      <w:spacing w:after="0" w:line="380" w:lineRule="atLeast"/>
      <w:jc w:val="center"/>
      <w:outlineLvl w:val="1"/>
    </w:pPr>
    <w:rPr>
      <w:rFonts w:ascii="Arial" w:hAnsi="Arial" w:eastAsia="黑体"/>
      <w:bCs/>
      <w:sz w:val="32"/>
      <w:szCs w:val="32"/>
    </w:rPr>
  </w:style>
  <w:style w:type="paragraph" w:styleId="5">
    <w:name w:val="heading 3"/>
    <w:basedOn w:val="1"/>
    <w:next w:val="1"/>
    <w:link w:val="65"/>
    <w:qFormat/>
    <w:uiPriority w:val="0"/>
    <w:pPr>
      <w:keepNext/>
      <w:keepLines/>
      <w:widowControl w:val="0"/>
      <w:adjustRightInd/>
      <w:snapToGrid/>
      <w:spacing w:after="0" w:line="380" w:lineRule="exact"/>
      <w:jc w:val="center"/>
      <w:outlineLvl w:val="2"/>
    </w:pPr>
    <w:rPr>
      <w:rFonts w:ascii="宋体" w:hAnsi="宋体" w:eastAsia="宋体"/>
      <w:bCs/>
      <w:sz w:val="30"/>
      <w:szCs w:val="32"/>
    </w:rPr>
  </w:style>
  <w:style w:type="paragraph" w:styleId="6">
    <w:name w:val="heading 4"/>
    <w:basedOn w:val="1"/>
    <w:next w:val="1"/>
    <w:link w:val="145"/>
    <w:qFormat/>
    <w:uiPriority w:val="0"/>
    <w:pPr>
      <w:keepNext/>
      <w:keepLines/>
      <w:widowControl w:val="0"/>
      <w:adjustRightInd/>
      <w:snapToGrid/>
      <w:spacing w:before="280" w:after="290" w:line="376" w:lineRule="auto"/>
      <w:jc w:val="both"/>
      <w:outlineLvl w:val="3"/>
    </w:pPr>
    <w:rPr>
      <w:rFonts w:ascii="Cambria" w:hAnsi="Cambria" w:eastAsia="宋体"/>
      <w:b/>
      <w:bCs/>
      <w:kern w:val="2"/>
      <w:sz w:val="28"/>
      <w:szCs w:val="28"/>
    </w:rPr>
  </w:style>
  <w:style w:type="paragraph" w:styleId="7">
    <w:name w:val="heading 5"/>
    <w:basedOn w:val="1"/>
    <w:next w:val="1"/>
    <w:link w:val="155"/>
    <w:qFormat/>
    <w:uiPriority w:val="0"/>
    <w:pPr>
      <w:keepNext/>
      <w:keepLines/>
      <w:widowControl w:val="0"/>
      <w:adjustRightInd/>
      <w:snapToGrid/>
      <w:spacing w:before="280" w:after="290" w:line="376" w:lineRule="auto"/>
      <w:jc w:val="both"/>
      <w:outlineLvl w:val="4"/>
    </w:pPr>
    <w:rPr>
      <w:rFonts w:ascii="Times New Roman" w:hAnsi="Times New Roman" w:eastAsia="宋体"/>
      <w:b/>
      <w:bCs/>
      <w:kern w:val="2"/>
      <w:sz w:val="28"/>
      <w:szCs w:val="28"/>
    </w:rPr>
  </w:style>
  <w:style w:type="paragraph" w:styleId="8">
    <w:name w:val="heading 6"/>
    <w:basedOn w:val="1"/>
    <w:next w:val="1"/>
    <w:link w:val="154"/>
    <w:qFormat/>
    <w:uiPriority w:val="0"/>
    <w:pPr>
      <w:keepNext/>
      <w:keepLines/>
      <w:adjustRightInd/>
      <w:snapToGrid/>
      <w:spacing w:before="240" w:after="64" w:line="319" w:lineRule="auto"/>
      <w:outlineLvl w:val="5"/>
    </w:pPr>
    <w:rPr>
      <w:rFonts w:ascii="Arial" w:hAnsi="Arial" w:eastAsia="黑体"/>
      <w:b/>
      <w:bCs/>
      <w:sz w:val="24"/>
      <w:szCs w:val="24"/>
    </w:rPr>
  </w:style>
  <w:style w:type="paragraph" w:styleId="9">
    <w:name w:val="heading 7"/>
    <w:basedOn w:val="1"/>
    <w:next w:val="1"/>
    <w:link w:val="124"/>
    <w:qFormat/>
    <w:uiPriority w:val="0"/>
    <w:pPr>
      <w:keepNext/>
      <w:keepLines/>
      <w:adjustRightInd/>
      <w:snapToGrid/>
      <w:spacing w:before="240" w:after="64" w:line="319" w:lineRule="auto"/>
      <w:outlineLvl w:val="6"/>
    </w:pPr>
    <w:rPr>
      <w:rFonts w:ascii="Times New Roman" w:hAnsi="Times New Roman" w:eastAsia="宋体"/>
      <w:b/>
      <w:bCs/>
      <w:sz w:val="24"/>
      <w:szCs w:val="24"/>
    </w:rPr>
  </w:style>
  <w:style w:type="paragraph" w:styleId="10">
    <w:name w:val="heading 8"/>
    <w:basedOn w:val="1"/>
    <w:next w:val="1"/>
    <w:link w:val="157"/>
    <w:qFormat/>
    <w:uiPriority w:val="0"/>
    <w:pPr>
      <w:keepNext/>
      <w:keepLines/>
      <w:adjustRightInd/>
      <w:snapToGrid/>
      <w:spacing w:before="240" w:after="64" w:line="319" w:lineRule="auto"/>
      <w:outlineLvl w:val="7"/>
    </w:pPr>
    <w:rPr>
      <w:rFonts w:ascii="Arial" w:hAnsi="Arial" w:eastAsia="黑体"/>
      <w:sz w:val="24"/>
      <w:szCs w:val="24"/>
    </w:rPr>
  </w:style>
  <w:style w:type="paragraph" w:styleId="11">
    <w:name w:val="heading 9"/>
    <w:basedOn w:val="1"/>
    <w:next w:val="1"/>
    <w:link w:val="129"/>
    <w:qFormat/>
    <w:uiPriority w:val="0"/>
    <w:pPr>
      <w:keepNext/>
      <w:keepLines/>
      <w:adjustRightInd/>
      <w:snapToGrid/>
      <w:spacing w:before="240" w:after="64" w:line="319" w:lineRule="auto"/>
      <w:outlineLvl w:val="8"/>
    </w:pPr>
    <w:rPr>
      <w:rFonts w:ascii="Arial" w:hAnsi="Arial" w:eastAsia="黑体"/>
      <w:sz w:val="21"/>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locked/>
    <w:uiPriority w:val="0"/>
    <w:pPr>
      <w:adjustRightInd w:val="0"/>
      <w:snapToGrid w:val="0"/>
      <w:spacing w:line="480" w:lineRule="atLeast"/>
      <w:ind w:left="-57" w:right="69"/>
    </w:pPr>
    <w:rPr>
      <w:rFonts w:ascii="宋体" w:hAnsi="Times New Roman" w:eastAsia="宋体" w:cs="Times New Roman"/>
      <w:b/>
      <w:sz w:val="24"/>
      <w:szCs w:val="20"/>
    </w:rPr>
  </w:style>
  <w:style w:type="paragraph" w:styleId="12">
    <w:name w:val="toc 7"/>
    <w:basedOn w:val="1"/>
    <w:next w:val="1"/>
    <w:qFormat/>
    <w:uiPriority w:val="39"/>
    <w:pPr>
      <w:widowControl w:val="0"/>
      <w:adjustRightInd/>
      <w:snapToGrid/>
      <w:spacing w:after="0"/>
      <w:ind w:left="1260"/>
    </w:pPr>
    <w:rPr>
      <w:rFonts w:ascii="Times New Roman" w:hAnsi="Times New Roman" w:eastAsia="宋体"/>
      <w:kern w:val="2"/>
      <w:sz w:val="18"/>
      <w:szCs w:val="18"/>
    </w:rPr>
  </w:style>
  <w:style w:type="paragraph" w:styleId="13">
    <w:name w:val="index 8"/>
    <w:basedOn w:val="1"/>
    <w:next w:val="1"/>
    <w:qFormat/>
    <w:locked/>
    <w:uiPriority w:val="0"/>
    <w:pPr>
      <w:ind w:left="2940"/>
    </w:pPr>
  </w:style>
  <w:style w:type="paragraph" w:styleId="14">
    <w:name w:val="List Number"/>
    <w:basedOn w:val="1"/>
    <w:qFormat/>
    <w:uiPriority w:val="99"/>
    <w:pPr>
      <w:tabs>
        <w:tab w:val="left" w:pos="360"/>
      </w:tabs>
      <w:ind w:left="360" w:hanging="360"/>
    </w:pPr>
  </w:style>
  <w:style w:type="paragraph" w:styleId="15">
    <w:name w:val="Normal Indent"/>
    <w:basedOn w:val="1"/>
    <w:qFormat/>
    <w:uiPriority w:val="0"/>
    <w:pPr>
      <w:widowControl w:val="0"/>
      <w:snapToGrid/>
      <w:spacing w:after="0" w:line="360" w:lineRule="atLeast"/>
      <w:ind w:firstLine="420"/>
      <w:jc w:val="both"/>
      <w:textAlignment w:val="baseline"/>
    </w:pPr>
    <w:rPr>
      <w:rFonts w:ascii="Times New Roman" w:hAnsi="Times New Roman" w:eastAsia="宋体"/>
      <w:kern w:val="2"/>
      <w:sz w:val="21"/>
      <w:szCs w:val="20"/>
    </w:rPr>
  </w:style>
  <w:style w:type="paragraph" w:styleId="16">
    <w:name w:val="caption"/>
    <w:basedOn w:val="1"/>
    <w:next w:val="1"/>
    <w:qFormat/>
    <w:locked/>
    <w:uiPriority w:val="0"/>
    <w:pPr>
      <w:widowControl w:val="0"/>
      <w:adjustRightInd/>
      <w:snapToGrid/>
      <w:spacing w:after="0"/>
      <w:jc w:val="both"/>
    </w:pPr>
    <w:rPr>
      <w:rFonts w:ascii="Cambria" w:hAnsi="Cambria" w:eastAsia="黑体"/>
      <w:kern w:val="2"/>
      <w:sz w:val="20"/>
      <w:szCs w:val="20"/>
    </w:rPr>
  </w:style>
  <w:style w:type="paragraph" w:styleId="17">
    <w:name w:val="Document Map"/>
    <w:basedOn w:val="1"/>
    <w:link w:val="67"/>
    <w:qFormat/>
    <w:uiPriority w:val="0"/>
    <w:pPr>
      <w:widowControl w:val="0"/>
      <w:shd w:val="clear" w:color="auto" w:fill="000080"/>
      <w:adjustRightInd/>
      <w:snapToGrid/>
      <w:spacing w:after="0"/>
      <w:jc w:val="both"/>
    </w:pPr>
    <w:rPr>
      <w:rFonts w:ascii="Times New Roman" w:hAnsi="Times New Roman" w:eastAsia="宋体"/>
      <w:kern w:val="2"/>
      <w:sz w:val="21"/>
      <w:szCs w:val="24"/>
    </w:rPr>
  </w:style>
  <w:style w:type="paragraph" w:styleId="18">
    <w:name w:val="annotation text"/>
    <w:basedOn w:val="1"/>
    <w:link w:val="107"/>
    <w:qFormat/>
    <w:uiPriority w:val="0"/>
    <w:pPr>
      <w:widowControl w:val="0"/>
      <w:adjustRightInd/>
      <w:snapToGrid/>
      <w:spacing w:after="0"/>
    </w:pPr>
    <w:rPr>
      <w:rFonts w:ascii="Times New Roman" w:hAnsi="Times New Roman" w:eastAsia="宋体"/>
      <w:kern w:val="2"/>
      <w:sz w:val="21"/>
      <w:szCs w:val="24"/>
    </w:rPr>
  </w:style>
  <w:style w:type="paragraph" w:styleId="19">
    <w:name w:val="Body Text"/>
    <w:basedOn w:val="1"/>
    <w:link w:val="134"/>
    <w:qFormat/>
    <w:uiPriority w:val="0"/>
    <w:pPr>
      <w:widowControl w:val="0"/>
      <w:adjustRightInd/>
      <w:snapToGrid/>
      <w:spacing w:after="0"/>
      <w:jc w:val="center"/>
    </w:pPr>
    <w:rPr>
      <w:rFonts w:ascii="Times New Roman" w:hAnsi="Times New Roman" w:eastAsia="宋体"/>
      <w:kern w:val="2"/>
      <w:sz w:val="52"/>
      <w:szCs w:val="24"/>
    </w:rPr>
  </w:style>
  <w:style w:type="paragraph" w:styleId="20">
    <w:name w:val="Body Text Indent"/>
    <w:basedOn w:val="1"/>
    <w:link w:val="143"/>
    <w:qFormat/>
    <w:uiPriority w:val="0"/>
    <w:pPr>
      <w:widowControl w:val="0"/>
      <w:adjustRightInd/>
      <w:snapToGrid/>
      <w:spacing w:after="0" w:line="440" w:lineRule="exact"/>
      <w:ind w:firstLine="419" w:firstLineChars="196"/>
      <w:jc w:val="both"/>
    </w:pPr>
    <w:rPr>
      <w:rFonts w:ascii="宋体" w:hAnsi="宋体" w:eastAsia="宋体" w:cs="Courier New"/>
      <w:spacing w:val="2"/>
      <w:kern w:val="2"/>
      <w:sz w:val="21"/>
      <w:szCs w:val="24"/>
    </w:rPr>
  </w:style>
  <w:style w:type="paragraph" w:styleId="21">
    <w:name w:val="List 2"/>
    <w:basedOn w:val="1"/>
    <w:qFormat/>
    <w:uiPriority w:val="99"/>
    <w:pPr>
      <w:ind w:left="100" w:leftChars="200" w:hanging="200" w:hangingChars="200"/>
    </w:pPr>
    <w:rPr>
      <w:sz w:val="28"/>
    </w:rPr>
  </w:style>
  <w:style w:type="paragraph" w:styleId="22">
    <w:name w:val="index 4"/>
    <w:basedOn w:val="1"/>
    <w:next w:val="1"/>
    <w:qFormat/>
    <w:locked/>
    <w:uiPriority w:val="0"/>
    <w:pPr>
      <w:widowControl w:val="0"/>
      <w:adjustRightInd/>
      <w:snapToGrid/>
      <w:spacing w:after="0"/>
      <w:ind w:left="600" w:leftChars="600"/>
      <w:jc w:val="both"/>
    </w:pPr>
    <w:rPr>
      <w:rFonts w:ascii="Times New Roman" w:hAnsi="Times New Roman" w:eastAsia="宋体"/>
      <w:kern w:val="2"/>
      <w:sz w:val="21"/>
      <w:szCs w:val="24"/>
    </w:rPr>
  </w:style>
  <w:style w:type="paragraph" w:styleId="23">
    <w:name w:val="toc 5"/>
    <w:basedOn w:val="1"/>
    <w:next w:val="1"/>
    <w:qFormat/>
    <w:uiPriority w:val="39"/>
    <w:pPr>
      <w:widowControl w:val="0"/>
      <w:adjustRightInd/>
      <w:snapToGrid/>
      <w:spacing w:after="0"/>
      <w:ind w:left="840"/>
    </w:pPr>
    <w:rPr>
      <w:rFonts w:ascii="Times New Roman" w:hAnsi="Times New Roman" w:eastAsia="宋体"/>
      <w:kern w:val="2"/>
      <w:sz w:val="18"/>
      <w:szCs w:val="18"/>
    </w:rPr>
  </w:style>
  <w:style w:type="paragraph" w:styleId="24">
    <w:name w:val="toc 3"/>
    <w:basedOn w:val="1"/>
    <w:next w:val="1"/>
    <w:qFormat/>
    <w:uiPriority w:val="39"/>
    <w:pPr>
      <w:widowControl w:val="0"/>
      <w:adjustRightInd/>
      <w:snapToGrid/>
      <w:spacing w:after="0"/>
      <w:ind w:left="420"/>
    </w:pPr>
    <w:rPr>
      <w:rFonts w:ascii="Times New Roman" w:hAnsi="Times New Roman" w:eastAsia="宋体"/>
      <w:i/>
      <w:iCs/>
      <w:kern w:val="2"/>
      <w:sz w:val="20"/>
      <w:szCs w:val="20"/>
    </w:rPr>
  </w:style>
  <w:style w:type="paragraph" w:styleId="25">
    <w:name w:val="Plain Text"/>
    <w:basedOn w:val="1"/>
    <w:next w:val="13"/>
    <w:link w:val="112"/>
    <w:qFormat/>
    <w:uiPriority w:val="0"/>
    <w:pPr>
      <w:widowControl w:val="0"/>
      <w:adjustRightInd/>
      <w:snapToGrid/>
      <w:spacing w:after="0"/>
      <w:jc w:val="both"/>
    </w:pPr>
    <w:rPr>
      <w:rFonts w:ascii="宋体" w:hAnsi="Courier New" w:eastAsia="宋体"/>
      <w:kern w:val="2"/>
      <w:sz w:val="21"/>
      <w:szCs w:val="20"/>
    </w:rPr>
  </w:style>
  <w:style w:type="paragraph" w:styleId="26">
    <w:name w:val="toc 8"/>
    <w:basedOn w:val="1"/>
    <w:next w:val="1"/>
    <w:qFormat/>
    <w:uiPriority w:val="39"/>
    <w:pPr>
      <w:widowControl w:val="0"/>
      <w:adjustRightInd/>
      <w:snapToGrid/>
      <w:spacing w:after="0"/>
      <w:ind w:left="1470"/>
    </w:pPr>
    <w:rPr>
      <w:rFonts w:ascii="Times New Roman" w:hAnsi="Times New Roman" w:eastAsia="宋体"/>
      <w:kern w:val="2"/>
      <w:sz w:val="18"/>
      <w:szCs w:val="18"/>
    </w:rPr>
  </w:style>
  <w:style w:type="paragraph" w:styleId="27">
    <w:name w:val="Date"/>
    <w:basedOn w:val="1"/>
    <w:next w:val="1"/>
    <w:link w:val="75"/>
    <w:qFormat/>
    <w:uiPriority w:val="0"/>
    <w:pPr>
      <w:widowControl w:val="0"/>
      <w:adjustRightInd/>
      <w:snapToGrid/>
      <w:spacing w:after="0"/>
      <w:ind w:left="100" w:leftChars="2500"/>
      <w:jc w:val="both"/>
    </w:pPr>
    <w:rPr>
      <w:rFonts w:ascii="Times New Roman" w:hAnsi="Times New Roman" w:eastAsia="宋体"/>
      <w:kern w:val="2"/>
      <w:sz w:val="21"/>
      <w:szCs w:val="24"/>
    </w:rPr>
  </w:style>
  <w:style w:type="paragraph" w:styleId="28">
    <w:name w:val="Body Text Indent 2"/>
    <w:basedOn w:val="1"/>
    <w:link w:val="114"/>
    <w:qFormat/>
    <w:uiPriority w:val="0"/>
    <w:pPr>
      <w:widowControl w:val="0"/>
      <w:adjustRightInd/>
      <w:snapToGrid/>
      <w:spacing w:after="0" w:line="420" w:lineRule="exact"/>
      <w:ind w:firstLine="409" w:firstLineChars="195"/>
      <w:jc w:val="both"/>
    </w:pPr>
    <w:rPr>
      <w:rFonts w:ascii="Times New Roman" w:hAnsi="Times New Roman" w:eastAsia="宋体"/>
      <w:kern w:val="2"/>
      <w:sz w:val="21"/>
      <w:szCs w:val="24"/>
    </w:rPr>
  </w:style>
  <w:style w:type="paragraph" w:styleId="29">
    <w:name w:val="Balloon Text"/>
    <w:basedOn w:val="1"/>
    <w:link w:val="128"/>
    <w:qFormat/>
    <w:uiPriority w:val="0"/>
    <w:pPr>
      <w:widowControl w:val="0"/>
      <w:adjustRightInd/>
      <w:snapToGrid/>
      <w:spacing w:after="0"/>
      <w:jc w:val="both"/>
    </w:pPr>
    <w:rPr>
      <w:rFonts w:ascii="Times New Roman" w:hAnsi="Times New Roman" w:eastAsia="宋体"/>
      <w:kern w:val="2"/>
      <w:sz w:val="18"/>
      <w:szCs w:val="18"/>
    </w:rPr>
  </w:style>
  <w:style w:type="paragraph" w:styleId="30">
    <w:name w:val="footer"/>
    <w:basedOn w:val="1"/>
    <w:link w:val="79"/>
    <w:qFormat/>
    <w:uiPriority w:val="99"/>
    <w:pPr>
      <w:tabs>
        <w:tab w:val="center" w:pos="4153"/>
        <w:tab w:val="right" w:pos="8306"/>
      </w:tabs>
    </w:pPr>
    <w:rPr>
      <w:sz w:val="18"/>
      <w:szCs w:val="18"/>
    </w:rPr>
  </w:style>
  <w:style w:type="paragraph" w:styleId="31">
    <w:name w:val="header"/>
    <w:basedOn w:val="1"/>
    <w:link w:val="68"/>
    <w:qFormat/>
    <w:uiPriority w:val="0"/>
    <w:pPr>
      <w:pBdr>
        <w:bottom w:val="single" w:color="auto" w:sz="6" w:space="1"/>
      </w:pBdr>
      <w:tabs>
        <w:tab w:val="center" w:pos="4153"/>
        <w:tab w:val="right" w:pos="8306"/>
      </w:tabs>
      <w:jc w:val="center"/>
    </w:pPr>
    <w:rPr>
      <w:sz w:val="18"/>
      <w:szCs w:val="18"/>
    </w:rPr>
  </w:style>
  <w:style w:type="paragraph" w:styleId="32">
    <w:name w:val="toc 1"/>
    <w:basedOn w:val="1"/>
    <w:next w:val="1"/>
    <w:qFormat/>
    <w:uiPriority w:val="39"/>
    <w:pPr>
      <w:widowControl w:val="0"/>
      <w:adjustRightInd/>
      <w:snapToGrid/>
      <w:spacing w:before="120" w:after="120"/>
    </w:pPr>
    <w:rPr>
      <w:rFonts w:ascii="宋体" w:hAnsi="宋体" w:eastAsia="宋体"/>
      <w:b/>
      <w:bCs/>
      <w:kern w:val="2"/>
      <w:sz w:val="24"/>
      <w:szCs w:val="20"/>
    </w:rPr>
  </w:style>
  <w:style w:type="paragraph" w:styleId="33">
    <w:name w:val="toc 4"/>
    <w:basedOn w:val="1"/>
    <w:next w:val="1"/>
    <w:qFormat/>
    <w:uiPriority w:val="39"/>
    <w:pPr>
      <w:widowControl w:val="0"/>
      <w:adjustRightInd/>
      <w:snapToGrid/>
      <w:spacing w:after="0"/>
      <w:ind w:left="630"/>
    </w:pPr>
    <w:rPr>
      <w:rFonts w:ascii="Times New Roman" w:hAnsi="Times New Roman" w:eastAsia="宋体"/>
      <w:kern w:val="2"/>
      <w:sz w:val="18"/>
      <w:szCs w:val="18"/>
    </w:rPr>
  </w:style>
  <w:style w:type="paragraph" w:styleId="34">
    <w:name w:val="Subtitle"/>
    <w:basedOn w:val="1"/>
    <w:next w:val="1"/>
    <w:link w:val="95"/>
    <w:qFormat/>
    <w:locked/>
    <w:uiPriority w:val="0"/>
    <w:pPr>
      <w:widowControl w:val="0"/>
      <w:adjustRightInd/>
      <w:snapToGrid/>
      <w:spacing w:before="240" w:after="60" w:line="312" w:lineRule="auto"/>
      <w:jc w:val="center"/>
      <w:outlineLvl w:val="1"/>
    </w:pPr>
    <w:rPr>
      <w:rFonts w:ascii="Cambria" w:hAnsi="Cambria" w:eastAsia="宋体"/>
      <w:b/>
      <w:bCs/>
      <w:kern w:val="28"/>
      <w:sz w:val="32"/>
      <w:szCs w:val="32"/>
    </w:rPr>
  </w:style>
  <w:style w:type="paragraph" w:styleId="35">
    <w:name w:val="List"/>
    <w:basedOn w:val="1"/>
    <w:qFormat/>
    <w:uiPriority w:val="99"/>
    <w:pPr>
      <w:widowControl w:val="0"/>
      <w:adjustRightInd/>
      <w:snapToGrid/>
      <w:spacing w:after="0" w:line="340" w:lineRule="exact"/>
      <w:jc w:val="both"/>
    </w:pPr>
    <w:rPr>
      <w:rFonts w:ascii="Times New Roman" w:hAnsi="Times New Roman" w:eastAsia="楷体_GB2312"/>
      <w:kern w:val="2"/>
      <w:sz w:val="24"/>
      <w:szCs w:val="20"/>
    </w:rPr>
  </w:style>
  <w:style w:type="paragraph" w:styleId="36">
    <w:name w:val="footnote text"/>
    <w:basedOn w:val="1"/>
    <w:link w:val="108"/>
    <w:qFormat/>
    <w:locked/>
    <w:uiPriority w:val="0"/>
    <w:pPr>
      <w:widowControl w:val="0"/>
      <w:snapToGrid/>
      <w:spacing w:after="0" w:line="312" w:lineRule="atLeast"/>
      <w:textAlignment w:val="baseline"/>
    </w:pPr>
    <w:rPr>
      <w:rFonts w:ascii="Calibri" w:hAnsi="Calibri" w:eastAsia="宋体"/>
      <w:sz w:val="18"/>
      <w:szCs w:val="20"/>
    </w:rPr>
  </w:style>
  <w:style w:type="paragraph" w:styleId="37">
    <w:name w:val="toc 6"/>
    <w:basedOn w:val="1"/>
    <w:next w:val="1"/>
    <w:qFormat/>
    <w:uiPriority w:val="39"/>
    <w:pPr>
      <w:widowControl w:val="0"/>
      <w:adjustRightInd/>
      <w:snapToGrid/>
      <w:spacing w:after="0"/>
      <w:ind w:left="1050"/>
    </w:pPr>
    <w:rPr>
      <w:rFonts w:ascii="Times New Roman" w:hAnsi="Times New Roman" w:eastAsia="宋体"/>
      <w:kern w:val="2"/>
      <w:sz w:val="18"/>
      <w:szCs w:val="18"/>
    </w:rPr>
  </w:style>
  <w:style w:type="paragraph" w:styleId="38">
    <w:name w:val="Body Text Indent 3"/>
    <w:basedOn w:val="1"/>
    <w:link w:val="88"/>
    <w:qFormat/>
    <w:uiPriority w:val="99"/>
    <w:pPr>
      <w:widowControl w:val="0"/>
      <w:adjustRightInd/>
      <w:snapToGrid/>
      <w:spacing w:after="0" w:line="480" w:lineRule="exact"/>
      <w:ind w:firstLine="420" w:firstLineChars="200"/>
      <w:jc w:val="both"/>
    </w:pPr>
    <w:rPr>
      <w:rFonts w:ascii="宋体" w:hAnsi="Courier New" w:eastAsia="宋体" w:cs="Courier New"/>
      <w:kern w:val="2"/>
      <w:sz w:val="21"/>
      <w:szCs w:val="24"/>
    </w:rPr>
  </w:style>
  <w:style w:type="paragraph" w:styleId="39">
    <w:name w:val="toc 2"/>
    <w:basedOn w:val="1"/>
    <w:next w:val="1"/>
    <w:qFormat/>
    <w:uiPriority w:val="39"/>
    <w:pPr>
      <w:widowControl w:val="0"/>
      <w:adjustRightInd/>
      <w:snapToGrid/>
      <w:spacing w:after="0"/>
      <w:ind w:firstLine="300" w:firstLineChars="300"/>
    </w:pPr>
    <w:rPr>
      <w:rFonts w:ascii="Times New Roman" w:hAnsi="Times New Roman" w:eastAsia="宋体"/>
      <w:smallCaps/>
      <w:kern w:val="2"/>
      <w:sz w:val="24"/>
      <w:szCs w:val="20"/>
    </w:rPr>
  </w:style>
  <w:style w:type="paragraph" w:styleId="40">
    <w:name w:val="toc 9"/>
    <w:basedOn w:val="1"/>
    <w:next w:val="1"/>
    <w:qFormat/>
    <w:uiPriority w:val="39"/>
    <w:pPr>
      <w:widowControl w:val="0"/>
      <w:adjustRightInd/>
      <w:snapToGrid/>
      <w:spacing w:after="0"/>
      <w:ind w:left="1680"/>
    </w:pPr>
    <w:rPr>
      <w:rFonts w:ascii="Times New Roman" w:hAnsi="Times New Roman" w:eastAsia="宋体"/>
      <w:kern w:val="2"/>
      <w:sz w:val="18"/>
      <w:szCs w:val="18"/>
    </w:rPr>
  </w:style>
  <w:style w:type="paragraph" w:styleId="41">
    <w:name w:val="Body Text 2"/>
    <w:basedOn w:val="1"/>
    <w:link w:val="139"/>
    <w:qFormat/>
    <w:uiPriority w:val="99"/>
    <w:pPr>
      <w:widowControl w:val="0"/>
      <w:adjustRightInd/>
      <w:snapToGrid/>
      <w:spacing w:after="0" w:line="280" w:lineRule="exact"/>
      <w:jc w:val="center"/>
    </w:pPr>
    <w:rPr>
      <w:rFonts w:ascii="Times New Roman" w:hAnsi="Times New Roman" w:eastAsia="宋体"/>
      <w:kern w:val="2"/>
      <w:sz w:val="21"/>
      <w:szCs w:val="24"/>
    </w:rPr>
  </w:style>
  <w:style w:type="paragraph" w:styleId="42">
    <w:name w:val="List 4"/>
    <w:basedOn w:val="1"/>
    <w:qFormat/>
    <w:uiPriority w:val="99"/>
    <w:pPr>
      <w:widowControl w:val="0"/>
      <w:adjustRightInd/>
      <w:snapToGrid/>
      <w:spacing w:after="0"/>
      <w:ind w:left="100" w:leftChars="600" w:hanging="200" w:hangingChars="200"/>
      <w:contextualSpacing/>
      <w:jc w:val="both"/>
    </w:pPr>
    <w:rPr>
      <w:rFonts w:ascii="Times New Roman" w:hAnsi="Times New Roman" w:eastAsia="宋体"/>
      <w:kern w:val="2"/>
      <w:sz w:val="21"/>
      <w:szCs w:val="24"/>
    </w:rPr>
  </w:style>
  <w:style w:type="paragraph" w:styleId="43">
    <w:name w:val="HTML Preformatted"/>
    <w:basedOn w:val="1"/>
    <w:link w:val="140"/>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黑体" w:hAnsi="Courier New" w:eastAsia="黑体" w:cs="Courier New"/>
      <w:sz w:val="20"/>
      <w:szCs w:val="20"/>
    </w:rPr>
  </w:style>
  <w:style w:type="paragraph" w:styleId="44">
    <w:name w:val="Normal (Web)"/>
    <w:basedOn w:val="1"/>
    <w:next w:val="1"/>
    <w:qFormat/>
    <w:uiPriority w:val="0"/>
    <w:pPr>
      <w:adjustRightInd/>
      <w:snapToGrid/>
      <w:spacing w:before="100" w:beforeAutospacing="1" w:after="100" w:afterAutospacing="1"/>
    </w:pPr>
    <w:rPr>
      <w:rFonts w:ascii="宋体" w:hAnsi="宋体" w:eastAsia="宋体"/>
      <w:sz w:val="24"/>
      <w:szCs w:val="24"/>
    </w:rPr>
  </w:style>
  <w:style w:type="paragraph" w:styleId="45">
    <w:name w:val="Title"/>
    <w:basedOn w:val="1"/>
    <w:next w:val="1"/>
    <w:link w:val="142"/>
    <w:qFormat/>
    <w:locked/>
    <w:uiPriority w:val="0"/>
    <w:pPr>
      <w:widowControl w:val="0"/>
      <w:adjustRightInd/>
      <w:snapToGrid/>
      <w:spacing w:before="240" w:after="60"/>
      <w:jc w:val="center"/>
      <w:outlineLvl w:val="0"/>
    </w:pPr>
    <w:rPr>
      <w:rFonts w:ascii="Cambria" w:hAnsi="Cambria" w:eastAsia="宋体"/>
      <w:b/>
      <w:bCs/>
      <w:kern w:val="2"/>
      <w:sz w:val="32"/>
      <w:szCs w:val="32"/>
    </w:rPr>
  </w:style>
  <w:style w:type="paragraph" w:styleId="46">
    <w:name w:val="annotation subject"/>
    <w:basedOn w:val="18"/>
    <w:next w:val="18"/>
    <w:link w:val="106"/>
    <w:qFormat/>
    <w:uiPriority w:val="0"/>
    <w:rPr>
      <w:b/>
      <w:bCs/>
    </w:rPr>
  </w:style>
  <w:style w:type="paragraph" w:styleId="47">
    <w:name w:val="Body Text First Indent"/>
    <w:basedOn w:val="19"/>
    <w:qFormat/>
    <w:locked/>
    <w:uiPriority w:val="0"/>
    <w:pPr>
      <w:spacing w:after="120"/>
      <w:ind w:firstLine="420" w:firstLineChars="1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1">
    <w:name w:val="Strong"/>
    <w:basedOn w:val="50"/>
    <w:qFormat/>
    <w:uiPriority w:val="0"/>
    <w:rPr>
      <w:rFonts w:cs="Times New Roman"/>
      <w:b/>
    </w:rPr>
  </w:style>
  <w:style w:type="character" w:styleId="52">
    <w:name w:val="page number"/>
    <w:basedOn w:val="50"/>
    <w:qFormat/>
    <w:uiPriority w:val="0"/>
    <w:rPr>
      <w:rFonts w:cs="Times New Roman"/>
    </w:rPr>
  </w:style>
  <w:style w:type="character" w:styleId="53">
    <w:name w:val="FollowedHyperlink"/>
    <w:basedOn w:val="50"/>
    <w:qFormat/>
    <w:uiPriority w:val="0"/>
    <w:rPr>
      <w:rFonts w:cs="Times New Roman"/>
      <w:color w:val="0000CC"/>
      <w:u w:val="none"/>
    </w:rPr>
  </w:style>
  <w:style w:type="character" w:styleId="54">
    <w:name w:val="Emphasis"/>
    <w:qFormat/>
    <w:locked/>
    <w:uiPriority w:val="0"/>
    <w:rPr>
      <w:i/>
      <w:iCs/>
    </w:rPr>
  </w:style>
  <w:style w:type="character" w:styleId="55">
    <w:name w:val="Hyperlink"/>
    <w:basedOn w:val="50"/>
    <w:qFormat/>
    <w:uiPriority w:val="99"/>
    <w:rPr>
      <w:rFonts w:cs="Times New Roman"/>
      <w:color w:val="0000CC"/>
      <w:u w:val="none"/>
    </w:rPr>
  </w:style>
  <w:style w:type="character" w:styleId="56">
    <w:name w:val="annotation reference"/>
    <w:basedOn w:val="50"/>
    <w:qFormat/>
    <w:uiPriority w:val="0"/>
    <w:rPr>
      <w:rFonts w:cs="Times New Roman"/>
      <w:sz w:val="21"/>
    </w:rPr>
  </w:style>
  <w:style w:type="character" w:styleId="57">
    <w:name w:val="footnote reference"/>
    <w:basedOn w:val="50"/>
    <w:qFormat/>
    <w:locked/>
    <w:uiPriority w:val="0"/>
    <w:rPr>
      <w:vertAlign w:val="superscript"/>
    </w:rPr>
  </w:style>
  <w:style w:type="paragraph" w:customStyle="1" w:styleId="58">
    <w:name w:val="表格文字"/>
    <w:basedOn w:val="1"/>
    <w:qFormat/>
    <w:uiPriority w:val="0"/>
    <w:pPr>
      <w:spacing w:before="25" w:after="25"/>
      <w:jc w:val="left"/>
    </w:pPr>
    <w:rPr>
      <w:bCs/>
      <w:spacing w:val="10"/>
      <w:kern w:val="0"/>
      <w:sz w:val="24"/>
    </w:rPr>
  </w:style>
  <w:style w:type="paragraph" w:customStyle="1" w:styleId="59">
    <w:name w:val="TOC 标题2"/>
    <w:next w:val="1"/>
    <w:qFormat/>
    <w:uiPriority w:val="0"/>
    <w:pPr>
      <w:wordWrap w:val="0"/>
    </w:pPr>
    <w:rPr>
      <w:rFonts w:ascii="Times New Roman" w:hAnsi="Times New Roman" w:eastAsia="宋体" w:cs="Times New Roman"/>
      <w:sz w:val="32"/>
      <w:lang w:val="en-US" w:eastAsia="zh-CN" w:bidi="ar-SA"/>
    </w:rPr>
  </w:style>
  <w:style w:type="character" w:customStyle="1" w:styleId="60">
    <w:name w:val="书籍标题1"/>
    <w:qFormat/>
    <w:uiPriority w:val="0"/>
    <w:rPr>
      <w:b/>
      <w:bCs/>
      <w:smallCaps/>
      <w:spacing w:val="5"/>
    </w:rPr>
  </w:style>
  <w:style w:type="character" w:customStyle="1" w:styleId="61">
    <w:name w:val="明显引用 Char1"/>
    <w:basedOn w:val="50"/>
    <w:link w:val="62"/>
    <w:qFormat/>
    <w:uiPriority w:val="0"/>
    <w:rPr>
      <w:rFonts w:ascii="Tahoma" w:hAnsi="Tahoma" w:eastAsia="微软雅黑"/>
      <w:b/>
      <w:bCs/>
      <w:i/>
      <w:iCs/>
      <w:color w:val="4F81BD"/>
      <w:sz w:val="22"/>
      <w:szCs w:val="22"/>
    </w:rPr>
  </w:style>
  <w:style w:type="paragraph" w:styleId="62">
    <w:name w:val="Intense Quote"/>
    <w:basedOn w:val="1"/>
    <w:next w:val="1"/>
    <w:link w:val="61"/>
    <w:qFormat/>
    <w:uiPriority w:val="0"/>
    <w:pPr>
      <w:widowControl w:val="0"/>
      <w:pBdr>
        <w:bottom w:val="single" w:color="4F81BD" w:sz="4" w:space="4"/>
      </w:pBdr>
      <w:adjustRightInd/>
      <w:snapToGrid/>
      <w:spacing w:before="200" w:after="280"/>
      <w:ind w:left="936" w:right="936"/>
      <w:jc w:val="both"/>
    </w:pPr>
    <w:rPr>
      <w:rFonts w:ascii="Times New Roman" w:hAnsi="Times New Roman" w:eastAsia="宋体"/>
      <w:b/>
      <w:bCs/>
      <w:i/>
      <w:iCs/>
      <w:color w:val="4F81BD"/>
      <w:sz w:val="20"/>
      <w:szCs w:val="20"/>
    </w:rPr>
  </w:style>
  <w:style w:type="character" w:customStyle="1" w:styleId="63">
    <w:name w:val="引用 Char1"/>
    <w:basedOn w:val="50"/>
    <w:link w:val="64"/>
    <w:qFormat/>
    <w:uiPriority w:val="0"/>
    <w:rPr>
      <w:rFonts w:ascii="Tahoma" w:hAnsi="Tahoma" w:eastAsia="微软雅黑"/>
      <w:i/>
      <w:iCs/>
      <w:color w:val="000000"/>
      <w:sz w:val="22"/>
      <w:szCs w:val="22"/>
    </w:rPr>
  </w:style>
  <w:style w:type="paragraph" w:styleId="64">
    <w:name w:val="Quote"/>
    <w:basedOn w:val="1"/>
    <w:next w:val="1"/>
    <w:link w:val="63"/>
    <w:qFormat/>
    <w:uiPriority w:val="0"/>
    <w:pPr>
      <w:widowControl w:val="0"/>
      <w:adjustRightInd/>
      <w:snapToGrid/>
      <w:spacing w:after="0"/>
      <w:jc w:val="both"/>
    </w:pPr>
    <w:rPr>
      <w:rFonts w:ascii="Times New Roman" w:hAnsi="Times New Roman" w:eastAsia="宋体"/>
      <w:i/>
      <w:iCs/>
      <w:color w:val="000000"/>
      <w:sz w:val="20"/>
      <w:szCs w:val="20"/>
    </w:rPr>
  </w:style>
  <w:style w:type="character" w:customStyle="1" w:styleId="65">
    <w:name w:val="标题 3 Char"/>
    <w:basedOn w:val="50"/>
    <w:link w:val="5"/>
    <w:qFormat/>
    <w:locked/>
    <w:uiPriority w:val="0"/>
    <w:rPr>
      <w:rFonts w:ascii="宋体" w:hAnsi="宋体" w:eastAsia="宋体" w:cs="Times New Roman"/>
      <w:bCs/>
      <w:sz w:val="32"/>
      <w:szCs w:val="32"/>
    </w:rPr>
  </w:style>
  <w:style w:type="character" w:customStyle="1" w:styleId="66">
    <w:name w:val="Title Char"/>
    <w:qFormat/>
    <w:uiPriority w:val="0"/>
    <w:rPr>
      <w:rFonts w:ascii="Cambria" w:hAnsi="Cambria"/>
      <w:b/>
      <w:sz w:val="32"/>
      <w:lang w:bidi="ar-SA"/>
    </w:rPr>
  </w:style>
  <w:style w:type="character" w:customStyle="1" w:styleId="67">
    <w:name w:val="文档结构图 Char"/>
    <w:basedOn w:val="50"/>
    <w:link w:val="17"/>
    <w:qFormat/>
    <w:locked/>
    <w:uiPriority w:val="0"/>
    <w:rPr>
      <w:rFonts w:ascii="Times New Roman" w:hAnsi="Times New Roman" w:eastAsia="宋体" w:cs="Times New Roman"/>
      <w:kern w:val="2"/>
      <w:sz w:val="24"/>
      <w:szCs w:val="24"/>
      <w:shd w:val="clear" w:color="auto" w:fill="000080"/>
    </w:rPr>
  </w:style>
  <w:style w:type="character" w:customStyle="1" w:styleId="68">
    <w:name w:val="页眉 Char"/>
    <w:basedOn w:val="50"/>
    <w:link w:val="31"/>
    <w:qFormat/>
    <w:locked/>
    <w:uiPriority w:val="0"/>
    <w:rPr>
      <w:rFonts w:ascii="Tahoma" w:hAnsi="Tahoma" w:cs="Times New Roman"/>
      <w:sz w:val="18"/>
      <w:szCs w:val="18"/>
    </w:rPr>
  </w:style>
  <w:style w:type="character" w:customStyle="1" w:styleId="69">
    <w:name w:val="批注文字 Char Char Char"/>
    <w:qFormat/>
    <w:uiPriority w:val="0"/>
    <w:rPr>
      <w:kern w:val="2"/>
      <w:sz w:val="21"/>
      <w:szCs w:val="24"/>
    </w:rPr>
  </w:style>
  <w:style w:type="character" w:customStyle="1" w:styleId="70">
    <w:name w:val="font01"/>
    <w:basedOn w:val="50"/>
    <w:qFormat/>
    <w:uiPriority w:val="0"/>
    <w:rPr>
      <w:rFonts w:hint="eastAsia" w:ascii="宋体" w:hAnsi="宋体" w:eastAsia="宋体" w:cs="宋体"/>
      <w:color w:val="000000"/>
      <w:sz w:val="32"/>
      <w:szCs w:val="32"/>
      <w:u w:val="none"/>
    </w:rPr>
  </w:style>
  <w:style w:type="character" w:customStyle="1" w:styleId="71">
    <w:name w:val="Header Char"/>
    <w:qFormat/>
    <w:uiPriority w:val="0"/>
    <w:rPr>
      <w:rFonts w:eastAsia="宋体"/>
      <w:kern w:val="2"/>
      <w:sz w:val="18"/>
      <w:szCs w:val="18"/>
      <w:lang w:val="en-US" w:eastAsia="zh-CN" w:bidi="ar-SA"/>
    </w:rPr>
  </w:style>
  <w:style w:type="character" w:customStyle="1" w:styleId="72">
    <w:name w:val="Comment Subject Char"/>
    <w:qFormat/>
    <w:uiPriority w:val="0"/>
    <w:rPr>
      <w:b/>
      <w:sz w:val="24"/>
      <w:lang w:bidi="ar-SA"/>
    </w:rPr>
  </w:style>
  <w:style w:type="character" w:customStyle="1" w:styleId="73">
    <w:name w:val="Balloon Text Char"/>
    <w:qFormat/>
    <w:uiPriority w:val="0"/>
    <w:rPr>
      <w:sz w:val="18"/>
      <w:lang w:bidi="ar-SA"/>
    </w:rPr>
  </w:style>
  <w:style w:type="character" w:customStyle="1" w:styleId="74">
    <w:name w:val="Char Char191"/>
    <w:qFormat/>
    <w:uiPriority w:val="0"/>
    <w:rPr>
      <w:rFonts w:ascii="Arial" w:hAnsi="Arial" w:eastAsia="宋体" w:cs="Times New Roman"/>
      <w:b/>
      <w:bCs/>
      <w:szCs w:val="28"/>
    </w:rPr>
  </w:style>
  <w:style w:type="character" w:customStyle="1" w:styleId="75">
    <w:name w:val="日期 Char"/>
    <w:basedOn w:val="50"/>
    <w:link w:val="27"/>
    <w:qFormat/>
    <w:locked/>
    <w:uiPriority w:val="0"/>
    <w:rPr>
      <w:rFonts w:ascii="Times New Roman" w:hAnsi="Times New Roman" w:eastAsia="宋体" w:cs="Times New Roman"/>
      <w:kern w:val="2"/>
      <w:sz w:val="24"/>
      <w:szCs w:val="24"/>
    </w:rPr>
  </w:style>
  <w:style w:type="character" w:customStyle="1" w:styleId="76">
    <w:name w:val="Comment Text Char1"/>
    <w:qFormat/>
    <w:uiPriority w:val="0"/>
    <w:rPr>
      <w:sz w:val="24"/>
      <w:lang w:bidi="ar-SA"/>
    </w:rPr>
  </w:style>
  <w:style w:type="character" w:customStyle="1" w:styleId="77">
    <w:name w:val="Char Char6"/>
    <w:qFormat/>
    <w:uiPriority w:val="0"/>
    <w:rPr>
      <w:rFonts w:eastAsia="宋体"/>
      <w:b/>
      <w:bCs/>
      <w:kern w:val="44"/>
      <w:sz w:val="32"/>
      <w:szCs w:val="44"/>
      <w:lang w:val="en-US" w:eastAsia="zh-CN" w:bidi="ar-SA"/>
    </w:rPr>
  </w:style>
  <w:style w:type="character" w:customStyle="1" w:styleId="78">
    <w:name w:val="Body Text Indent Char"/>
    <w:qFormat/>
    <w:uiPriority w:val="0"/>
    <w:rPr>
      <w:rFonts w:ascii="宋体" w:hAnsi="宋体" w:eastAsia="宋体"/>
      <w:kern w:val="2"/>
      <w:sz w:val="21"/>
      <w:lang w:val="en-US" w:eastAsia="zh-CN" w:bidi="ar-SA"/>
    </w:rPr>
  </w:style>
  <w:style w:type="character" w:customStyle="1" w:styleId="79">
    <w:name w:val="页脚 Char"/>
    <w:basedOn w:val="50"/>
    <w:link w:val="30"/>
    <w:qFormat/>
    <w:locked/>
    <w:uiPriority w:val="99"/>
    <w:rPr>
      <w:rFonts w:ascii="Tahoma" w:hAnsi="Tahoma" w:cs="Times New Roman"/>
      <w:sz w:val="18"/>
      <w:szCs w:val="18"/>
    </w:rPr>
  </w:style>
  <w:style w:type="character" w:customStyle="1" w:styleId="80">
    <w:name w:val="Char Char22"/>
    <w:qFormat/>
    <w:uiPriority w:val="0"/>
    <w:rPr>
      <w:rFonts w:ascii="Times New Roman" w:hAnsi="Times New Roman" w:eastAsia="宋体" w:cs="Times New Roman"/>
      <w:b/>
      <w:bCs/>
      <w:kern w:val="44"/>
      <w:sz w:val="32"/>
      <w:szCs w:val="44"/>
    </w:rPr>
  </w:style>
  <w:style w:type="character" w:customStyle="1" w:styleId="81">
    <w:name w:val="标题 2 Char Char"/>
    <w:qFormat/>
    <w:uiPriority w:val="99"/>
    <w:rPr>
      <w:rFonts w:ascii="Arial" w:hAnsi="Arial" w:eastAsia="黑体"/>
      <w:sz w:val="32"/>
      <w:lang w:val="en-US" w:eastAsia="zh-CN"/>
    </w:rPr>
  </w:style>
  <w:style w:type="character" w:customStyle="1" w:styleId="82">
    <w:name w:val="Char Char9"/>
    <w:qFormat/>
    <w:uiPriority w:val="0"/>
    <w:rPr>
      <w:rFonts w:eastAsia="宋体"/>
      <w:b/>
      <w:bCs/>
      <w:kern w:val="44"/>
      <w:sz w:val="32"/>
      <w:szCs w:val="44"/>
      <w:lang w:val="en-US" w:eastAsia="zh-CN" w:bidi="ar-SA"/>
    </w:rPr>
  </w:style>
  <w:style w:type="character" w:customStyle="1" w:styleId="83">
    <w:name w:val="Char Char221"/>
    <w:qFormat/>
    <w:uiPriority w:val="0"/>
    <w:rPr>
      <w:rFonts w:ascii="Times New Roman" w:hAnsi="Times New Roman" w:eastAsia="宋体" w:cs="Times New Roman"/>
      <w:b/>
      <w:bCs/>
      <w:kern w:val="44"/>
      <w:sz w:val="32"/>
      <w:szCs w:val="44"/>
    </w:rPr>
  </w:style>
  <w:style w:type="character" w:customStyle="1" w:styleId="84">
    <w:name w:val="Char Char18"/>
    <w:qFormat/>
    <w:uiPriority w:val="0"/>
    <w:rPr>
      <w:rFonts w:ascii="Times New Roman" w:hAnsi="Times New Roman" w:eastAsia="宋体" w:cs="Times New Roman"/>
      <w:b/>
      <w:bCs/>
      <w:sz w:val="28"/>
      <w:szCs w:val="28"/>
    </w:rPr>
  </w:style>
  <w:style w:type="character" w:customStyle="1" w:styleId="85">
    <w:name w:val="Char Char21"/>
    <w:qFormat/>
    <w:uiPriority w:val="0"/>
    <w:rPr>
      <w:rFonts w:ascii="Arial" w:hAnsi="Arial" w:eastAsia="黑体" w:cs="Times New Roman"/>
      <w:b/>
      <w:bCs/>
      <w:sz w:val="32"/>
      <w:szCs w:val="32"/>
    </w:rPr>
  </w:style>
  <w:style w:type="character" w:customStyle="1" w:styleId="86">
    <w:name w:val="Heading 3 Char1"/>
    <w:qFormat/>
    <w:uiPriority w:val="0"/>
    <w:rPr>
      <w:rFonts w:eastAsia="宋体"/>
      <w:b/>
      <w:bCs/>
      <w:kern w:val="2"/>
      <w:sz w:val="24"/>
      <w:szCs w:val="32"/>
      <w:lang w:val="en-US" w:eastAsia="zh-CN" w:bidi="ar-SA"/>
    </w:rPr>
  </w:style>
  <w:style w:type="character" w:customStyle="1" w:styleId="87">
    <w:name w:val="textcontents"/>
    <w:qFormat/>
    <w:uiPriority w:val="0"/>
    <w:rPr>
      <w:rFonts w:cs="Times New Roman"/>
    </w:rPr>
  </w:style>
  <w:style w:type="character" w:customStyle="1" w:styleId="88">
    <w:name w:val="正文文本缩进 3 Char"/>
    <w:basedOn w:val="50"/>
    <w:link w:val="38"/>
    <w:qFormat/>
    <w:locked/>
    <w:uiPriority w:val="99"/>
    <w:rPr>
      <w:rFonts w:ascii="宋体" w:hAnsi="Courier New" w:eastAsia="宋体" w:cs="Courier New"/>
      <w:kern w:val="2"/>
      <w:sz w:val="24"/>
      <w:szCs w:val="24"/>
    </w:rPr>
  </w:style>
  <w:style w:type="character" w:customStyle="1" w:styleId="89">
    <w:name w:val="标题 1 Char1"/>
    <w:qFormat/>
    <w:uiPriority w:val="0"/>
    <w:rPr>
      <w:rFonts w:eastAsia="宋体"/>
      <w:b/>
      <w:bCs/>
      <w:kern w:val="44"/>
      <w:sz w:val="32"/>
      <w:szCs w:val="44"/>
      <w:lang w:val="en-US" w:eastAsia="zh-CN" w:bidi="ar-SA"/>
    </w:rPr>
  </w:style>
  <w:style w:type="character" w:customStyle="1" w:styleId="90">
    <w:name w:val="标题4 Char Char"/>
    <w:link w:val="91"/>
    <w:qFormat/>
    <w:uiPriority w:val="0"/>
    <w:rPr>
      <w:rFonts w:ascii="Arial" w:hAnsi="Arial"/>
      <w:b/>
      <w:bCs/>
      <w:sz w:val="24"/>
      <w:szCs w:val="32"/>
    </w:rPr>
  </w:style>
  <w:style w:type="paragraph" w:customStyle="1" w:styleId="91">
    <w:name w:val="标题4"/>
    <w:basedOn w:val="4"/>
    <w:next w:val="22"/>
    <w:link w:val="90"/>
    <w:qFormat/>
    <w:uiPriority w:val="0"/>
    <w:pPr>
      <w:spacing w:before="260" w:after="260" w:line="413" w:lineRule="auto"/>
      <w:jc w:val="both"/>
    </w:pPr>
    <w:rPr>
      <w:rFonts w:eastAsia="宋体"/>
      <w:b/>
      <w:sz w:val="24"/>
    </w:rPr>
  </w:style>
  <w:style w:type="character" w:customStyle="1" w:styleId="92">
    <w:name w:val="普通文字 Char Char2"/>
    <w:qFormat/>
    <w:uiPriority w:val="0"/>
    <w:rPr>
      <w:rFonts w:ascii="宋体" w:eastAsia="宋体"/>
      <w:kern w:val="1"/>
      <w:sz w:val="21"/>
      <w:lang w:eastAsia="ar-SA" w:bidi="ar-SA"/>
    </w:rPr>
  </w:style>
  <w:style w:type="character" w:customStyle="1" w:styleId="93">
    <w:name w:val="明显引用 Char"/>
    <w:qFormat/>
    <w:uiPriority w:val="0"/>
    <w:rPr>
      <w:b/>
      <w:bCs/>
      <w:i/>
      <w:iCs/>
      <w:color w:val="4F81BD"/>
    </w:rPr>
  </w:style>
  <w:style w:type="character" w:customStyle="1" w:styleId="94">
    <w:name w:val="Heading 2 Char"/>
    <w:qFormat/>
    <w:uiPriority w:val="0"/>
    <w:rPr>
      <w:rFonts w:ascii="Arial" w:hAnsi="Arial" w:eastAsia="黑体"/>
      <w:b/>
      <w:bCs/>
      <w:kern w:val="2"/>
      <w:sz w:val="32"/>
      <w:szCs w:val="32"/>
      <w:lang w:val="en-US" w:eastAsia="zh-CN" w:bidi="ar-SA"/>
    </w:rPr>
  </w:style>
  <w:style w:type="character" w:customStyle="1" w:styleId="95">
    <w:name w:val="副标题 Char"/>
    <w:basedOn w:val="50"/>
    <w:link w:val="34"/>
    <w:qFormat/>
    <w:uiPriority w:val="0"/>
    <w:rPr>
      <w:rFonts w:ascii="Cambria" w:hAnsi="Cambria"/>
      <w:b/>
      <w:bCs/>
      <w:kern w:val="28"/>
      <w:sz w:val="32"/>
      <w:szCs w:val="32"/>
    </w:rPr>
  </w:style>
  <w:style w:type="character" w:customStyle="1" w:styleId="96">
    <w:name w:val="批注文字 Char1"/>
    <w:qFormat/>
    <w:uiPriority w:val="0"/>
    <w:rPr>
      <w:rFonts w:ascii="Times New Roman" w:hAnsi="Times New Roman" w:eastAsia="宋体" w:cs="Times New Roman"/>
      <w:szCs w:val="24"/>
    </w:rPr>
  </w:style>
  <w:style w:type="character" w:customStyle="1" w:styleId="97">
    <w:name w:val="Char Char23"/>
    <w:qFormat/>
    <w:uiPriority w:val="0"/>
    <w:rPr>
      <w:rFonts w:eastAsia="宋体"/>
      <w:b/>
      <w:bCs/>
      <w:kern w:val="44"/>
      <w:sz w:val="32"/>
      <w:szCs w:val="44"/>
      <w:lang w:val="en-US" w:eastAsia="zh-CN" w:bidi="ar-SA"/>
    </w:rPr>
  </w:style>
  <w:style w:type="character" w:customStyle="1" w:styleId="98">
    <w:name w:val="Char Char181"/>
    <w:qFormat/>
    <w:uiPriority w:val="0"/>
    <w:rPr>
      <w:b/>
      <w:bCs/>
      <w:kern w:val="44"/>
      <w:sz w:val="44"/>
      <w:szCs w:val="44"/>
    </w:rPr>
  </w:style>
  <w:style w:type="character" w:customStyle="1" w:styleId="99">
    <w:name w:val="文档结构图 Char1"/>
    <w:qFormat/>
    <w:uiPriority w:val="0"/>
    <w:rPr>
      <w:rFonts w:ascii="宋体" w:hAnsi="Times New Roman" w:eastAsia="宋体" w:cs="Times New Roman"/>
      <w:sz w:val="18"/>
      <w:szCs w:val="18"/>
    </w:rPr>
  </w:style>
  <w:style w:type="character" w:customStyle="1" w:styleId="100">
    <w:name w:val="Heading 3 Char"/>
    <w:qFormat/>
    <w:uiPriority w:val="0"/>
    <w:rPr>
      <w:rFonts w:cs="Times New Roman"/>
      <w:b/>
      <w:bCs/>
      <w:kern w:val="2"/>
      <w:sz w:val="32"/>
      <w:szCs w:val="32"/>
    </w:rPr>
  </w:style>
  <w:style w:type="character" w:customStyle="1" w:styleId="101">
    <w:name w:val="标题 1 Char"/>
    <w:basedOn w:val="50"/>
    <w:link w:val="3"/>
    <w:qFormat/>
    <w:locked/>
    <w:uiPriority w:val="0"/>
    <w:rPr>
      <w:rFonts w:ascii="黑体" w:hAnsi="Times New Roman" w:eastAsia="黑体" w:cs="Times New Roman"/>
      <w:sz w:val="20"/>
      <w:szCs w:val="20"/>
    </w:rPr>
  </w:style>
  <w:style w:type="character" w:customStyle="1" w:styleId="102">
    <w:name w:val="明显强调1"/>
    <w:qFormat/>
    <w:uiPriority w:val="0"/>
    <w:rPr>
      <w:b/>
      <w:bCs/>
      <w:i/>
      <w:iCs/>
      <w:color w:val="4F81BD"/>
    </w:rPr>
  </w:style>
  <w:style w:type="character" w:customStyle="1" w:styleId="103">
    <w:name w:val="Plain Text Char"/>
    <w:qFormat/>
    <w:uiPriority w:val="0"/>
    <w:rPr>
      <w:rFonts w:ascii="宋体" w:hAnsi="Courier New" w:eastAsia="宋体"/>
      <w:sz w:val="24"/>
      <w:lang w:bidi="ar-SA"/>
    </w:rPr>
  </w:style>
  <w:style w:type="character" w:customStyle="1" w:styleId="104">
    <w:name w:val="标题5 Char Char"/>
    <w:link w:val="105"/>
    <w:qFormat/>
    <w:uiPriority w:val="0"/>
    <w:rPr>
      <w:rFonts w:ascii="Arial" w:hAnsi="Arial"/>
      <w:b/>
      <w:bCs/>
      <w:sz w:val="24"/>
      <w:szCs w:val="32"/>
    </w:rPr>
  </w:style>
  <w:style w:type="paragraph" w:customStyle="1" w:styleId="105">
    <w:name w:val="标题5"/>
    <w:basedOn w:val="5"/>
    <w:link w:val="104"/>
    <w:qFormat/>
    <w:uiPriority w:val="0"/>
    <w:pPr>
      <w:spacing w:before="260" w:after="260" w:line="413" w:lineRule="auto"/>
      <w:jc w:val="both"/>
    </w:pPr>
    <w:rPr>
      <w:rFonts w:ascii="Arial" w:hAnsi="Arial"/>
      <w:b/>
      <w:sz w:val="24"/>
    </w:rPr>
  </w:style>
  <w:style w:type="character" w:customStyle="1" w:styleId="106">
    <w:name w:val="批注主题 Char"/>
    <w:basedOn w:val="107"/>
    <w:link w:val="46"/>
    <w:qFormat/>
    <w:locked/>
    <w:uiPriority w:val="0"/>
    <w:rPr>
      <w:rFonts w:ascii="Times New Roman" w:hAnsi="Times New Roman" w:eastAsia="宋体" w:cs="Times New Roman"/>
      <w:b/>
      <w:bCs/>
      <w:kern w:val="2"/>
      <w:sz w:val="24"/>
      <w:szCs w:val="24"/>
    </w:rPr>
  </w:style>
  <w:style w:type="character" w:customStyle="1" w:styleId="107">
    <w:name w:val="批注文字 Char"/>
    <w:basedOn w:val="50"/>
    <w:link w:val="18"/>
    <w:qFormat/>
    <w:locked/>
    <w:uiPriority w:val="0"/>
    <w:rPr>
      <w:rFonts w:ascii="Times New Roman" w:hAnsi="Times New Roman" w:eastAsia="宋体" w:cs="Times New Roman"/>
      <w:kern w:val="2"/>
      <w:sz w:val="24"/>
      <w:szCs w:val="24"/>
    </w:rPr>
  </w:style>
  <w:style w:type="character" w:customStyle="1" w:styleId="108">
    <w:name w:val="脚注文本 Char1"/>
    <w:basedOn w:val="50"/>
    <w:link w:val="36"/>
    <w:semiHidden/>
    <w:qFormat/>
    <w:uiPriority w:val="99"/>
    <w:rPr>
      <w:rFonts w:ascii="Tahoma" w:hAnsi="Tahoma" w:eastAsia="微软雅黑"/>
      <w:sz w:val="18"/>
      <w:szCs w:val="18"/>
    </w:rPr>
  </w:style>
  <w:style w:type="character" w:customStyle="1" w:styleId="109">
    <w:name w:val="标题 Char1"/>
    <w:qFormat/>
    <w:uiPriority w:val="0"/>
    <w:rPr>
      <w:rFonts w:ascii="Cambria" w:hAnsi="Cambria" w:eastAsia="宋体" w:cs="Times New Roman"/>
      <w:b/>
      <w:bCs/>
      <w:sz w:val="32"/>
      <w:szCs w:val="32"/>
    </w:rPr>
  </w:style>
  <w:style w:type="character" w:customStyle="1" w:styleId="110">
    <w:name w:val="apple-converted-space"/>
    <w:basedOn w:val="50"/>
    <w:qFormat/>
    <w:uiPriority w:val="0"/>
  </w:style>
  <w:style w:type="character" w:customStyle="1" w:styleId="111">
    <w:name w:val="Document Map Char"/>
    <w:qFormat/>
    <w:uiPriority w:val="0"/>
    <w:rPr>
      <w:rFonts w:eastAsia="宋体"/>
      <w:kern w:val="2"/>
      <w:sz w:val="21"/>
      <w:szCs w:val="24"/>
      <w:lang w:val="en-US" w:eastAsia="zh-CN" w:bidi="ar-SA"/>
    </w:rPr>
  </w:style>
  <w:style w:type="character" w:customStyle="1" w:styleId="112">
    <w:name w:val="纯文本 Char"/>
    <w:basedOn w:val="50"/>
    <w:link w:val="25"/>
    <w:qFormat/>
    <w:locked/>
    <w:uiPriority w:val="0"/>
    <w:rPr>
      <w:rFonts w:ascii="宋体" w:hAnsi="Courier New" w:eastAsia="宋体" w:cs="Courier New"/>
      <w:sz w:val="21"/>
      <w:szCs w:val="21"/>
    </w:rPr>
  </w:style>
  <w:style w:type="character" w:customStyle="1" w:styleId="113">
    <w:name w:val="Char Char1811"/>
    <w:qFormat/>
    <w:uiPriority w:val="0"/>
    <w:rPr>
      <w:b/>
      <w:bCs/>
      <w:kern w:val="44"/>
      <w:sz w:val="44"/>
      <w:szCs w:val="44"/>
    </w:rPr>
  </w:style>
  <w:style w:type="character" w:customStyle="1" w:styleId="114">
    <w:name w:val="正文文本缩进 2 Char"/>
    <w:basedOn w:val="50"/>
    <w:link w:val="28"/>
    <w:qFormat/>
    <w:locked/>
    <w:uiPriority w:val="0"/>
    <w:rPr>
      <w:rFonts w:ascii="Times New Roman" w:hAnsi="Times New Roman" w:eastAsia="宋体" w:cs="Times New Roman"/>
      <w:kern w:val="2"/>
      <w:sz w:val="24"/>
      <w:szCs w:val="24"/>
    </w:rPr>
  </w:style>
  <w:style w:type="character" w:customStyle="1" w:styleId="115">
    <w:name w:val="标题 Char"/>
    <w:qFormat/>
    <w:uiPriority w:val="0"/>
    <w:rPr>
      <w:rFonts w:ascii="Cambria" w:hAnsi="Cambria"/>
      <w:b/>
      <w:bCs/>
      <w:kern w:val="2"/>
      <w:sz w:val="32"/>
      <w:szCs w:val="32"/>
    </w:rPr>
  </w:style>
  <w:style w:type="character" w:customStyle="1" w:styleId="116">
    <w:name w:val="Footnote Text Char"/>
    <w:qFormat/>
    <w:uiPriority w:val="0"/>
    <w:rPr>
      <w:rFonts w:eastAsia="宋体"/>
      <w:sz w:val="18"/>
      <w:lang w:val="en-US" w:eastAsia="zh-CN" w:bidi="ar-SA"/>
    </w:rPr>
  </w:style>
  <w:style w:type="character" w:customStyle="1" w:styleId="117">
    <w:name w:val="Char Char911"/>
    <w:qFormat/>
    <w:uiPriority w:val="0"/>
    <w:rPr>
      <w:rFonts w:eastAsia="宋体"/>
      <w:b/>
      <w:bCs/>
      <w:kern w:val="44"/>
      <w:sz w:val="32"/>
      <w:szCs w:val="44"/>
      <w:lang w:val="en-US" w:eastAsia="zh-CN" w:bidi="ar-SA"/>
    </w:rPr>
  </w:style>
  <w:style w:type="character" w:customStyle="1" w:styleId="118">
    <w:name w:val="明显参考1"/>
    <w:qFormat/>
    <w:uiPriority w:val="0"/>
    <w:rPr>
      <w:b/>
      <w:bCs/>
      <w:smallCaps/>
      <w:color w:val="C0504D"/>
      <w:spacing w:val="5"/>
      <w:u w:val="single"/>
    </w:rPr>
  </w:style>
  <w:style w:type="character" w:customStyle="1" w:styleId="119">
    <w:name w:val="Char Char20"/>
    <w:qFormat/>
    <w:uiPriority w:val="0"/>
    <w:rPr>
      <w:rFonts w:ascii="Times New Roman" w:hAnsi="Times New Roman" w:eastAsia="宋体" w:cs="Times New Roman"/>
      <w:b/>
      <w:bCs/>
      <w:sz w:val="24"/>
      <w:szCs w:val="32"/>
    </w:rPr>
  </w:style>
  <w:style w:type="character" w:customStyle="1" w:styleId="120">
    <w:name w:val="Footer Char"/>
    <w:qFormat/>
    <w:uiPriority w:val="0"/>
    <w:rPr>
      <w:rFonts w:eastAsia="宋体"/>
      <w:kern w:val="2"/>
      <w:sz w:val="18"/>
      <w:szCs w:val="18"/>
      <w:lang w:val="en-US" w:eastAsia="zh-CN" w:bidi="ar-SA"/>
    </w:rPr>
  </w:style>
  <w:style w:type="character" w:customStyle="1" w:styleId="121">
    <w:name w:val="样式 标题 2 Char"/>
    <w:basedOn w:val="122"/>
    <w:link w:val="123"/>
    <w:qFormat/>
    <w:locked/>
    <w:uiPriority w:val="99"/>
    <w:rPr>
      <w:rFonts w:ascii="Arial" w:hAnsi="Arial" w:eastAsia="黑体" w:cs="Times New Roman"/>
      <w:bCs/>
      <w:sz w:val="32"/>
      <w:szCs w:val="32"/>
    </w:rPr>
  </w:style>
  <w:style w:type="character" w:customStyle="1" w:styleId="122">
    <w:name w:val="标题 2 Char1"/>
    <w:link w:val="4"/>
    <w:qFormat/>
    <w:uiPriority w:val="0"/>
    <w:rPr>
      <w:rFonts w:ascii="Arial" w:hAnsi="Arial" w:eastAsia="黑体"/>
      <w:sz w:val="32"/>
    </w:rPr>
  </w:style>
  <w:style w:type="paragraph" w:customStyle="1" w:styleId="123">
    <w:name w:val="样式 标题 2"/>
    <w:basedOn w:val="4"/>
    <w:link w:val="121"/>
    <w:qFormat/>
    <w:uiPriority w:val="99"/>
  </w:style>
  <w:style w:type="character" w:customStyle="1" w:styleId="124">
    <w:name w:val="标题 7 Char"/>
    <w:basedOn w:val="50"/>
    <w:link w:val="9"/>
    <w:qFormat/>
    <w:locked/>
    <w:uiPriority w:val="99"/>
    <w:rPr>
      <w:rFonts w:ascii="Times New Roman" w:hAnsi="Times New Roman" w:eastAsia="宋体" w:cs="Times New Roman"/>
      <w:b/>
      <w:bCs/>
      <w:sz w:val="24"/>
      <w:szCs w:val="24"/>
    </w:rPr>
  </w:style>
  <w:style w:type="character" w:customStyle="1" w:styleId="125">
    <w:name w:val="Heading 1 Char"/>
    <w:qFormat/>
    <w:uiPriority w:val="0"/>
    <w:rPr>
      <w:rFonts w:eastAsia="宋体"/>
      <w:b/>
      <w:bCs/>
      <w:kern w:val="44"/>
      <w:sz w:val="32"/>
      <w:szCs w:val="44"/>
      <w:lang w:val="en-US" w:eastAsia="zh-CN" w:bidi="ar-SA"/>
    </w:rPr>
  </w:style>
  <w:style w:type="character" w:customStyle="1" w:styleId="126">
    <w:name w:val="不明显参考1"/>
    <w:qFormat/>
    <w:uiPriority w:val="0"/>
    <w:rPr>
      <w:smallCaps/>
      <w:color w:val="C0504D"/>
      <w:u w:val="single"/>
    </w:rPr>
  </w:style>
  <w:style w:type="character" w:customStyle="1" w:styleId="127">
    <w:name w:val="Char Char231"/>
    <w:qFormat/>
    <w:uiPriority w:val="0"/>
    <w:rPr>
      <w:rFonts w:eastAsia="宋体"/>
      <w:b/>
      <w:bCs/>
      <w:kern w:val="44"/>
      <w:sz w:val="32"/>
      <w:szCs w:val="44"/>
      <w:lang w:val="en-US" w:eastAsia="zh-CN" w:bidi="ar-SA"/>
    </w:rPr>
  </w:style>
  <w:style w:type="character" w:customStyle="1" w:styleId="128">
    <w:name w:val="批注框文本 Char"/>
    <w:basedOn w:val="50"/>
    <w:link w:val="29"/>
    <w:qFormat/>
    <w:locked/>
    <w:uiPriority w:val="0"/>
    <w:rPr>
      <w:rFonts w:ascii="Times New Roman" w:hAnsi="Times New Roman" w:eastAsia="宋体" w:cs="Times New Roman"/>
      <w:kern w:val="2"/>
      <w:sz w:val="18"/>
      <w:szCs w:val="18"/>
    </w:rPr>
  </w:style>
  <w:style w:type="character" w:customStyle="1" w:styleId="129">
    <w:name w:val="标题 9 Char"/>
    <w:basedOn w:val="50"/>
    <w:link w:val="11"/>
    <w:qFormat/>
    <w:locked/>
    <w:uiPriority w:val="99"/>
    <w:rPr>
      <w:rFonts w:ascii="Arial" w:hAnsi="Arial" w:eastAsia="黑体" w:cs="Times New Roman"/>
      <w:sz w:val="21"/>
      <w:szCs w:val="21"/>
    </w:rPr>
  </w:style>
  <w:style w:type="character" w:customStyle="1" w:styleId="130">
    <w:name w:val="Heading 4 Char"/>
    <w:qFormat/>
    <w:uiPriority w:val="0"/>
    <w:rPr>
      <w:rFonts w:ascii="Arial" w:hAnsi="Arial" w:eastAsia="宋体"/>
      <w:b/>
      <w:bCs/>
      <w:kern w:val="2"/>
      <w:sz w:val="21"/>
      <w:szCs w:val="28"/>
      <w:lang w:val="en-US" w:eastAsia="zh-CN" w:bidi="ar-SA"/>
    </w:rPr>
  </w:style>
  <w:style w:type="character" w:customStyle="1" w:styleId="131">
    <w:name w:val="不明显强调1"/>
    <w:qFormat/>
    <w:uiPriority w:val="0"/>
    <w:rPr>
      <w:i/>
      <w:iCs/>
      <w:color w:val="808080"/>
    </w:rPr>
  </w:style>
  <w:style w:type="character" w:customStyle="1" w:styleId="132">
    <w:name w:val="Char Char2"/>
    <w:qFormat/>
    <w:uiPriority w:val="99"/>
    <w:rPr>
      <w:rFonts w:ascii="宋体" w:hAnsi="Courier New" w:eastAsia="宋体"/>
      <w:sz w:val="21"/>
    </w:rPr>
  </w:style>
  <w:style w:type="character" w:customStyle="1" w:styleId="133">
    <w:name w:val="日期 Char1"/>
    <w:qFormat/>
    <w:uiPriority w:val="0"/>
    <w:rPr>
      <w:rFonts w:ascii="Times New Roman" w:hAnsi="Times New Roman" w:eastAsia="宋体" w:cs="Times New Roman"/>
      <w:szCs w:val="24"/>
    </w:rPr>
  </w:style>
  <w:style w:type="character" w:customStyle="1" w:styleId="134">
    <w:name w:val="正文文本 Char"/>
    <w:basedOn w:val="50"/>
    <w:link w:val="19"/>
    <w:qFormat/>
    <w:locked/>
    <w:uiPriority w:val="0"/>
    <w:rPr>
      <w:rFonts w:ascii="Times New Roman" w:hAnsi="Times New Roman" w:eastAsia="宋体" w:cs="Times New Roman"/>
      <w:kern w:val="2"/>
      <w:sz w:val="24"/>
      <w:szCs w:val="24"/>
    </w:rPr>
  </w:style>
  <w:style w:type="character" w:customStyle="1" w:styleId="135">
    <w:name w:val="批注框文本 Char1"/>
    <w:qFormat/>
    <w:uiPriority w:val="0"/>
    <w:rPr>
      <w:rFonts w:ascii="Times New Roman" w:hAnsi="Times New Roman" w:eastAsia="宋体" w:cs="Times New Roman"/>
      <w:sz w:val="18"/>
      <w:szCs w:val="18"/>
    </w:rPr>
  </w:style>
  <w:style w:type="character" w:customStyle="1" w:styleId="136">
    <w:name w:val="Char Char91"/>
    <w:qFormat/>
    <w:uiPriority w:val="0"/>
    <w:rPr>
      <w:rFonts w:eastAsia="宋体"/>
      <w:b/>
      <w:bCs/>
      <w:kern w:val="44"/>
      <w:sz w:val="32"/>
      <w:szCs w:val="44"/>
      <w:lang w:val="en-US" w:eastAsia="zh-CN" w:bidi="ar-SA"/>
    </w:rPr>
  </w:style>
  <w:style w:type="character" w:customStyle="1" w:styleId="137">
    <w:name w:val="Char Char24"/>
    <w:qFormat/>
    <w:uiPriority w:val="0"/>
    <w:rPr>
      <w:rFonts w:eastAsia="宋体"/>
      <w:b/>
      <w:bCs/>
      <w:kern w:val="44"/>
      <w:sz w:val="32"/>
      <w:szCs w:val="44"/>
      <w:lang w:val="en-US" w:eastAsia="zh-CN" w:bidi="ar-SA"/>
    </w:rPr>
  </w:style>
  <w:style w:type="character" w:customStyle="1" w:styleId="138">
    <w:name w:val="批注文字 Char Char"/>
    <w:qFormat/>
    <w:uiPriority w:val="0"/>
    <w:rPr>
      <w:rFonts w:ascii="宋体" w:hAnsi="Times New Roman" w:eastAsia="宋体" w:cs="Times New Roman"/>
      <w:sz w:val="28"/>
      <w:szCs w:val="20"/>
    </w:rPr>
  </w:style>
  <w:style w:type="character" w:customStyle="1" w:styleId="139">
    <w:name w:val="正文文本 2 Char"/>
    <w:basedOn w:val="50"/>
    <w:link w:val="41"/>
    <w:qFormat/>
    <w:locked/>
    <w:uiPriority w:val="99"/>
    <w:rPr>
      <w:rFonts w:ascii="Times New Roman" w:hAnsi="Times New Roman" w:eastAsia="宋体" w:cs="Times New Roman"/>
      <w:kern w:val="2"/>
      <w:sz w:val="24"/>
      <w:szCs w:val="24"/>
    </w:rPr>
  </w:style>
  <w:style w:type="character" w:customStyle="1" w:styleId="140">
    <w:name w:val="HTML 预设格式 Char"/>
    <w:basedOn w:val="50"/>
    <w:link w:val="43"/>
    <w:qFormat/>
    <w:locked/>
    <w:uiPriority w:val="99"/>
    <w:rPr>
      <w:rFonts w:ascii="黑体" w:hAnsi="Courier New" w:eastAsia="黑体" w:cs="Courier New"/>
    </w:rPr>
  </w:style>
  <w:style w:type="character" w:customStyle="1" w:styleId="141">
    <w:name w:val="标题 2 Char"/>
    <w:basedOn w:val="50"/>
    <w:link w:val="4"/>
    <w:qFormat/>
    <w:locked/>
    <w:uiPriority w:val="0"/>
    <w:rPr>
      <w:rFonts w:ascii="Cambria" w:hAnsi="Cambria" w:eastAsia="宋体" w:cs="Times New Roman"/>
      <w:b/>
      <w:bCs/>
      <w:sz w:val="32"/>
      <w:szCs w:val="32"/>
    </w:rPr>
  </w:style>
  <w:style w:type="character" w:customStyle="1" w:styleId="142">
    <w:name w:val="标题 Char2"/>
    <w:basedOn w:val="50"/>
    <w:link w:val="45"/>
    <w:qFormat/>
    <w:uiPriority w:val="0"/>
    <w:rPr>
      <w:rFonts w:ascii="Cambria" w:hAnsi="Cambria" w:cs="Times New Roman"/>
      <w:b/>
      <w:bCs/>
      <w:sz w:val="32"/>
      <w:szCs w:val="32"/>
    </w:rPr>
  </w:style>
  <w:style w:type="character" w:customStyle="1" w:styleId="143">
    <w:name w:val="正文文本缩进 Char"/>
    <w:basedOn w:val="50"/>
    <w:link w:val="20"/>
    <w:qFormat/>
    <w:locked/>
    <w:uiPriority w:val="0"/>
    <w:rPr>
      <w:rFonts w:ascii="宋体" w:hAnsi="宋体" w:eastAsia="宋体" w:cs="Courier New"/>
      <w:spacing w:val="2"/>
      <w:kern w:val="2"/>
      <w:sz w:val="24"/>
      <w:szCs w:val="24"/>
    </w:rPr>
  </w:style>
  <w:style w:type="character" w:customStyle="1" w:styleId="144">
    <w:name w:val="Date Char"/>
    <w:qFormat/>
    <w:uiPriority w:val="0"/>
    <w:rPr>
      <w:rFonts w:eastAsia="宋体"/>
      <w:kern w:val="2"/>
      <w:sz w:val="21"/>
      <w:szCs w:val="24"/>
      <w:lang w:val="en-US" w:eastAsia="zh-CN" w:bidi="ar-SA"/>
    </w:rPr>
  </w:style>
  <w:style w:type="character" w:customStyle="1" w:styleId="145">
    <w:name w:val="标题 4 Char"/>
    <w:basedOn w:val="50"/>
    <w:link w:val="6"/>
    <w:qFormat/>
    <w:locked/>
    <w:uiPriority w:val="0"/>
    <w:rPr>
      <w:rFonts w:ascii="Cambria" w:hAnsi="Cambria" w:eastAsia="宋体" w:cs="Times New Roman"/>
      <w:b/>
      <w:bCs/>
      <w:kern w:val="2"/>
      <w:sz w:val="28"/>
      <w:szCs w:val="28"/>
    </w:rPr>
  </w:style>
  <w:style w:type="character" w:customStyle="1" w:styleId="146">
    <w:name w:val="样式 标题 3 + 五号 黑色 Char"/>
    <w:link w:val="147"/>
    <w:qFormat/>
    <w:locked/>
    <w:uiPriority w:val="99"/>
    <w:rPr>
      <w:rFonts w:ascii="宋体" w:eastAsia="宋体"/>
      <w:color w:val="000000"/>
      <w:sz w:val="32"/>
    </w:rPr>
  </w:style>
  <w:style w:type="paragraph" w:customStyle="1" w:styleId="147">
    <w:name w:val="样式 标题 3 + 五号 黑色"/>
    <w:basedOn w:val="5"/>
    <w:link w:val="146"/>
    <w:qFormat/>
    <w:uiPriority w:val="99"/>
    <w:rPr>
      <w:rFonts w:hAnsi="Times New Roman"/>
      <w:bCs w:val="0"/>
      <w:color w:val="000000"/>
      <w:sz w:val="32"/>
      <w:szCs w:val="20"/>
    </w:rPr>
  </w:style>
  <w:style w:type="character" w:customStyle="1" w:styleId="148">
    <w:name w:val="批注文字 Char2"/>
    <w:qFormat/>
    <w:uiPriority w:val="0"/>
    <w:rPr>
      <w:kern w:val="2"/>
      <w:sz w:val="21"/>
      <w:szCs w:val="24"/>
      <w:lang w:bidi="ar-SA"/>
    </w:rPr>
  </w:style>
  <w:style w:type="character" w:customStyle="1" w:styleId="149">
    <w:name w:val="Body Text Indent 2 Char"/>
    <w:qFormat/>
    <w:uiPriority w:val="0"/>
    <w:rPr>
      <w:rFonts w:eastAsia="宋体"/>
      <w:kern w:val="2"/>
      <w:sz w:val="21"/>
      <w:szCs w:val="24"/>
      <w:lang w:val="en-US" w:eastAsia="zh-CN" w:bidi="ar-SA"/>
    </w:rPr>
  </w:style>
  <w:style w:type="character" w:customStyle="1" w:styleId="150">
    <w:name w:val="纯文本 Char1"/>
    <w:qFormat/>
    <w:uiPriority w:val="0"/>
    <w:rPr>
      <w:rFonts w:ascii="宋体" w:hAnsi="Courier New" w:eastAsia="宋体"/>
      <w:kern w:val="2"/>
      <w:sz w:val="21"/>
    </w:rPr>
  </w:style>
  <w:style w:type="character" w:customStyle="1" w:styleId="151">
    <w:name w:val="Heading 5 Char"/>
    <w:qFormat/>
    <w:uiPriority w:val="0"/>
    <w:rPr>
      <w:rFonts w:eastAsia="宋体"/>
      <w:b/>
      <w:bCs/>
      <w:kern w:val="2"/>
      <w:sz w:val="28"/>
      <w:szCs w:val="28"/>
      <w:lang w:val="en-US" w:eastAsia="zh-CN" w:bidi="ar-SA"/>
    </w:rPr>
  </w:style>
  <w:style w:type="character" w:customStyle="1" w:styleId="152">
    <w:name w:val="Char Char211"/>
    <w:qFormat/>
    <w:uiPriority w:val="0"/>
    <w:rPr>
      <w:rFonts w:ascii="Arial" w:hAnsi="Arial" w:eastAsia="黑体" w:cs="Times New Roman"/>
      <w:b/>
      <w:bCs/>
      <w:sz w:val="32"/>
      <w:szCs w:val="32"/>
    </w:rPr>
  </w:style>
  <w:style w:type="character" w:customStyle="1" w:styleId="153">
    <w:name w:val="引用 Char"/>
    <w:qFormat/>
    <w:uiPriority w:val="0"/>
    <w:rPr>
      <w:i/>
      <w:iCs/>
      <w:color w:val="000000"/>
    </w:rPr>
  </w:style>
  <w:style w:type="character" w:customStyle="1" w:styleId="154">
    <w:name w:val="标题 6 Char"/>
    <w:basedOn w:val="50"/>
    <w:link w:val="8"/>
    <w:qFormat/>
    <w:locked/>
    <w:uiPriority w:val="99"/>
    <w:rPr>
      <w:rFonts w:ascii="Arial" w:hAnsi="Arial" w:eastAsia="黑体" w:cs="Times New Roman"/>
      <w:b/>
      <w:bCs/>
      <w:sz w:val="24"/>
      <w:szCs w:val="24"/>
    </w:rPr>
  </w:style>
  <w:style w:type="character" w:customStyle="1" w:styleId="155">
    <w:name w:val="标题 5 Char"/>
    <w:basedOn w:val="50"/>
    <w:link w:val="7"/>
    <w:qFormat/>
    <w:locked/>
    <w:uiPriority w:val="0"/>
    <w:rPr>
      <w:rFonts w:ascii="Times New Roman" w:hAnsi="Times New Roman" w:eastAsia="宋体" w:cs="Times New Roman"/>
      <w:b/>
      <w:bCs/>
      <w:kern w:val="2"/>
      <w:sz w:val="28"/>
      <w:szCs w:val="28"/>
    </w:rPr>
  </w:style>
  <w:style w:type="character" w:customStyle="1" w:styleId="156">
    <w:name w:val="Comment Text Char"/>
    <w:qFormat/>
    <w:uiPriority w:val="0"/>
    <w:rPr>
      <w:rFonts w:cs="Times New Roman"/>
      <w:sz w:val="24"/>
      <w:szCs w:val="24"/>
    </w:rPr>
  </w:style>
  <w:style w:type="character" w:customStyle="1" w:styleId="157">
    <w:name w:val="标题 8 Char"/>
    <w:basedOn w:val="50"/>
    <w:link w:val="10"/>
    <w:qFormat/>
    <w:locked/>
    <w:uiPriority w:val="99"/>
    <w:rPr>
      <w:rFonts w:ascii="Arial" w:hAnsi="Arial" w:eastAsia="黑体" w:cs="Times New Roman"/>
      <w:sz w:val="24"/>
      <w:szCs w:val="24"/>
    </w:rPr>
  </w:style>
  <w:style w:type="character" w:customStyle="1" w:styleId="158">
    <w:name w:val="Char Char19"/>
    <w:qFormat/>
    <w:uiPriority w:val="0"/>
    <w:rPr>
      <w:rFonts w:ascii="Arial" w:hAnsi="Arial" w:eastAsia="宋体" w:cs="Times New Roman"/>
      <w:b/>
      <w:bCs/>
      <w:szCs w:val="28"/>
    </w:rPr>
  </w:style>
  <w:style w:type="character" w:customStyle="1" w:styleId="159">
    <w:name w:val="Char Char201"/>
    <w:qFormat/>
    <w:uiPriority w:val="0"/>
    <w:rPr>
      <w:rFonts w:ascii="Times New Roman" w:hAnsi="Times New Roman" w:eastAsia="宋体" w:cs="Times New Roman"/>
      <w:b/>
      <w:bCs/>
      <w:sz w:val="24"/>
      <w:szCs w:val="32"/>
    </w:rPr>
  </w:style>
  <w:style w:type="character" w:customStyle="1" w:styleId="160">
    <w:name w:val="批注文字 Char3"/>
    <w:qFormat/>
    <w:uiPriority w:val="0"/>
    <w:rPr>
      <w:kern w:val="2"/>
      <w:sz w:val="21"/>
      <w:szCs w:val="24"/>
      <w:lang w:bidi="ar-SA"/>
    </w:rPr>
  </w:style>
  <w:style w:type="character" w:customStyle="1" w:styleId="161">
    <w:name w:val="批注主题 Char1"/>
    <w:qFormat/>
    <w:uiPriority w:val="0"/>
    <w:rPr>
      <w:rFonts w:ascii="Times New Roman" w:hAnsi="Times New Roman" w:eastAsia="宋体" w:cs="Times New Roman"/>
      <w:b/>
      <w:bCs/>
      <w:szCs w:val="24"/>
    </w:rPr>
  </w:style>
  <w:style w:type="character" w:customStyle="1" w:styleId="162">
    <w:name w:val="正文文本 Char1"/>
    <w:qFormat/>
    <w:uiPriority w:val="0"/>
    <w:rPr>
      <w:kern w:val="2"/>
      <w:sz w:val="21"/>
      <w:szCs w:val="22"/>
    </w:rPr>
  </w:style>
  <w:style w:type="character" w:customStyle="1" w:styleId="163">
    <w:name w:val="脚注文本 Char"/>
    <w:qFormat/>
    <w:uiPriority w:val="0"/>
    <w:rPr>
      <w:sz w:val="18"/>
    </w:rPr>
  </w:style>
  <w:style w:type="paragraph" w:customStyle="1" w:styleId="164">
    <w:name w:val="空半行"/>
    <w:basedOn w:val="1"/>
    <w:qFormat/>
    <w:uiPriority w:val="0"/>
    <w:pPr>
      <w:widowControl w:val="0"/>
      <w:snapToGrid/>
      <w:spacing w:after="0" w:line="120" w:lineRule="exact"/>
      <w:jc w:val="both"/>
      <w:textAlignment w:val="baseline"/>
    </w:pPr>
    <w:rPr>
      <w:rFonts w:ascii="Times New Roman" w:hAnsi="Times New Roman" w:eastAsia="仿宋_GB2312"/>
      <w:color w:val="FFFFFF"/>
      <w:sz w:val="30"/>
      <w:szCs w:val="20"/>
    </w:rPr>
  </w:style>
  <w:style w:type="paragraph" w:customStyle="1" w:styleId="165">
    <w:name w:val="Char Char"/>
    <w:basedOn w:val="1"/>
    <w:qFormat/>
    <w:uiPriority w:val="0"/>
    <w:pPr>
      <w:widowControl w:val="0"/>
      <w:adjustRightInd/>
      <w:snapToGrid/>
      <w:spacing w:after="0"/>
      <w:ind w:firstLine="100" w:firstLineChars="100"/>
      <w:jc w:val="both"/>
    </w:pPr>
    <w:rPr>
      <w:rFonts w:ascii="仿宋_GB2312" w:hAnsi="Times New Roman" w:eastAsia="仿宋_GB2312"/>
      <w:b/>
      <w:kern w:val="2"/>
      <w:sz w:val="32"/>
      <w:szCs w:val="32"/>
    </w:rPr>
  </w:style>
  <w:style w:type="paragraph" w:customStyle="1" w:styleId="166">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167">
    <w:name w:val="图"/>
    <w:basedOn w:val="1"/>
    <w:qFormat/>
    <w:uiPriority w:val="99"/>
    <w:pPr>
      <w:keepNext/>
      <w:widowControl w:val="0"/>
      <w:spacing w:before="60" w:after="60" w:line="300" w:lineRule="auto"/>
      <w:jc w:val="center"/>
    </w:pPr>
    <w:rPr>
      <w:rFonts w:ascii="Times New Roman" w:hAnsi="Times New Roman" w:eastAsia="宋体"/>
      <w:spacing w:val="20"/>
      <w:sz w:val="24"/>
      <w:szCs w:val="20"/>
    </w:rPr>
  </w:style>
  <w:style w:type="paragraph" w:customStyle="1" w:styleId="168">
    <w:name w:val="_Style 32"/>
    <w:basedOn w:val="1"/>
    <w:qFormat/>
    <w:uiPriority w:val="99"/>
    <w:pPr>
      <w:widowControl w:val="0"/>
      <w:adjustRightInd/>
      <w:snapToGrid/>
      <w:spacing w:after="0"/>
      <w:jc w:val="both"/>
    </w:pPr>
    <w:rPr>
      <w:rFonts w:ascii="Times New Roman" w:hAnsi="Times New Roman" w:eastAsia="宋体"/>
      <w:sz w:val="24"/>
      <w:szCs w:val="20"/>
    </w:rPr>
  </w:style>
  <w:style w:type="paragraph" w:customStyle="1" w:styleId="169">
    <w:name w:val="_Style 37"/>
    <w:basedOn w:val="1"/>
    <w:next w:val="1"/>
    <w:qFormat/>
    <w:uiPriority w:val="0"/>
    <w:pPr>
      <w:widowControl w:val="0"/>
      <w:adjustRightInd/>
      <w:snapToGrid/>
      <w:spacing w:after="0"/>
      <w:jc w:val="both"/>
    </w:pPr>
    <w:rPr>
      <w:rFonts w:ascii="Times New Roman" w:hAnsi="Times New Roman" w:eastAsia="宋体"/>
      <w:kern w:val="2"/>
      <w:sz w:val="21"/>
      <w:szCs w:val="24"/>
    </w:rPr>
  </w:style>
  <w:style w:type="paragraph" w:customStyle="1" w:styleId="170">
    <w:name w:val="Char2"/>
    <w:basedOn w:val="1"/>
    <w:qFormat/>
    <w:uiPriority w:val="0"/>
    <w:pPr>
      <w:adjustRightInd/>
      <w:snapToGrid/>
      <w:spacing w:after="160" w:line="240" w:lineRule="exact"/>
    </w:pPr>
    <w:rPr>
      <w:rFonts w:ascii="Times New Roman" w:hAnsi="Times New Roman" w:eastAsia="宋体"/>
      <w:kern w:val="2"/>
      <w:sz w:val="21"/>
      <w:szCs w:val="24"/>
    </w:rPr>
  </w:style>
  <w:style w:type="paragraph" w:customStyle="1" w:styleId="171">
    <w:name w:val="Char1 Char Char Char Char Char Char1"/>
    <w:basedOn w:val="1"/>
    <w:qFormat/>
    <w:uiPriority w:val="0"/>
    <w:pPr>
      <w:widowControl w:val="0"/>
      <w:adjustRightInd/>
      <w:snapToGrid/>
      <w:spacing w:after="0"/>
      <w:ind w:firstLine="100" w:firstLineChars="100"/>
      <w:jc w:val="both"/>
    </w:pPr>
    <w:rPr>
      <w:rFonts w:ascii="Times New Roman" w:hAnsi="Times New Roman" w:eastAsia="宋体"/>
      <w:kern w:val="2"/>
      <w:sz w:val="21"/>
      <w:szCs w:val="24"/>
    </w:rPr>
  </w:style>
  <w:style w:type="paragraph" w:customStyle="1" w:styleId="172">
    <w:name w:val="Char Char1 Char Char Char"/>
    <w:basedOn w:val="1"/>
    <w:qFormat/>
    <w:uiPriority w:val="99"/>
    <w:pPr>
      <w:widowControl w:val="0"/>
      <w:adjustRightInd/>
      <w:snapToGrid/>
      <w:spacing w:after="0"/>
      <w:jc w:val="both"/>
    </w:pPr>
    <w:rPr>
      <w:rFonts w:ascii="Times New Roman" w:hAnsi="Times New Roman" w:eastAsia="宋体"/>
      <w:sz w:val="20"/>
      <w:szCs w:val="20"/>
    </w:rPr>
  </w:style>
  <w:style w:type="paragraph" w:customStyle="1" w:styleId="173">
    <w:name w:val="5 Char Char Char Char Char Char Char Char Char Char"/>
    <w:basedOn w:val="1"/>
    <w:qFormat/>
    <w:uiPriority w:val="99"/>
    <w:pPr>
      <w:widowControl w:val="0"/>
      <w:adjustRightInd/>
      <w:snapToGrid/>
      <w:spacing w:after="0"/>
      <w:jc w:val="both"/>
    </w:pPr>
    <w:rPr>
      <w:rFonts w:ascii="Times New Roman" w:hAnsi="Times New Roman" w:eastAsia="宋体"/>
      <w:kern w:val="2"/>
      <w:sz w:val="21"/>
      <w:szCs w:val="24"/>
    </w:rPr>
  </w:style>
  <w:style w:type="paragraph" w:customStyle="1" w:styleId="174">
    <w:name w:val="Char"/>
    <w:basedOn w:val="1"/>
    <w:qFormat/>
    <w:uiPriority w:val="0"/>
    <w:pPr>
      <w:adjustRightInd/>
      <w:snapToGrid/>
      <w:spacing w:after="0" w:line="500" w:lineRule="exact"/>
      <w:jc w:val="both"/>
      <w:outlineLvl w:val="2"/>
    </w:pPr>
    <w:rPr>
      <w:rFonts w:ascii="黑体" w:hAnsi="Verdana" w:eastAsia="黑体" w:cs="黑体"/>
      <w:sz w:val="28"/>
      <w:szCs w:val="28"/>
      <w:lang w:eastAsia="en-US"/>
    </w:rPr>
  </w:style>
  <w:style w:type="paragraph" w:customStyle="1" w:styleId="175">
    <w:name w:val="样式5"/>
    <w:basedOn w:val="1"/>
    <w:qFormat/>
    <w:uiPriority w:val="99"/>
    <w:pPr>
      <w:widowControl w:val="0"/>
      <w:adjustRightInd/>
      <w:snapToGrid/>
      <w:spacing w:after="0" w:line="440" w:lineRule="exact"/>
      <w:jc w:val="both"/>
    </w:pPr>
    <w:rPr>
      <w:rFonts w:ascii="汉仪中宋简" w:hAnsi="宋体" w:eastAsia="黑体"/>
      <w:kern w:val="2"/>
      <w:sz w:val="28"/>
      <w:szCs w:val="21"/>
    </w:rPr>
  </w:style>
  <w:style w:type="paragraph" w:customStyle="1" w:styleId="176">
    <w:name w:val="p0"/>
    <w:basedOn w:val="1"/>
    <w:qFormat/>
    <w:uiPriority w:val="0"/>
    <w:pPr>
      <w:adjustRightInd/>
      <w:snapToGrid/>
      <w:spacing w:after="0"/>
      <w:jc w:val="both"/>
    </w:pPr>
    <w:rPr>
      <w:rFonts w:ascii="Calibri" w:hAnsi="Calibri" w:eastAsia="宋体" w:cs="宋体"/>
      <w:sz w:val="21"/>
      <w:szCs w:val="21"/>
    </w:rPr>
  </w:style>
  <w:style w:type="paragraph" w:customStyle="1" w:styleId="177">
    <w:name w:val="1"/>
    <w:basedOn w:val="1"/>
    <w:next w:val="25"/>
    <w:qFormat/>
    <w:uiPriority w:val="0"/>
    <w:pPr>
      <w:widowControl w:val="0"/>
      <w:adjustRightInd/>
      <w:snapToGrid/>
      <w:spacing w:after="0"/>
      <w:jc w:val="both"/>
    </w:pPr>
    <w:rPr>
      <w:rFonts w:ascii="宋体" w:hAnsi="Courier New" w:eastAsia="宋体"/>
      <w:kern w:val="2"/>
      <w:sz w:val="21"/>
      <w:szCs w:val="20"/>
    </w:rPr>
  </w:style>
  <w:style w:type="paragraph" w:customStyle="1" w:styleId="178">
    <w:name w:val="样式 样式 样式 样式 汉仪中宋简 (符号) 宋体 首行缩进:  2 字符 + 首行缩进:  2 字符 + 首行缩进:  2 字..."/>
    <w:basedOn w:val="1"/>
    <w:qFormat/>
    <w:uiPriority w:val="99"/>
    <w:pPr>
      <w:widowControl w:val="0"/>
      <w:adjustRightInd/>
      <w:snapToGrid/>
      <w:spacing w:after="0" w:line="440" w:lineRule="exact"/>
      <w:ind w:firstLine="488" w:firstLineChars="200"/>
      <w:jc w:val="both"/>
    </w:pPr>
    <w:rPr>
      <w:rFonts w:ascii="汉仪中宋简" w:hAnsi="宋体" w:eastAsia="汉仪字典宋简"/>
      <w:b/>
      <w:spacing w:val="2"/>
      <w:kern w:val="2"/>
      <w:sz w:val="24"/>
      <w:szCs w:val="20"/>
    </w:rPr>
  </w:style>
  <w:style w:type="paragraph" w:customStyle="1" w:styleId="179">
    <w:name w:val="列出段落1"/>
    <w:basedOn w:val="1"/>
    <w:qFormat/>
    <w:uiPriority w:val="0"/>
    <w:pPr>
      <w:ind w:firstLine="420" w:firstLineChars="200"/>
    </w:pPr>
  </w:style>
  <w:style w:type="paragraph" w:customStyle="1" w:styleId="180">
    <w:name w:val="Char Char Char Char1"/>
    <w:basedOn w:val="1"/>
    <w:qFormat/>
    <w:uiPriority w:val="0"/>
    <w:pPr>
      <w:widowControl w:val="0"/>
      <w:adjustRightInd/>
      <w:snapToGrid/>
      <w:spacing w:after="0"/>
      <w:ind w:firstLine="100" w:firstLineChars="100"/>
      <w:jc w:val="both"/>
    </w:pPr>
    <w:rPr>
      <w:rFonts w:eastAsia="宋体"/>
      <w:kern w:val="2"/>
      <w:sz w:val="24"/>
      <w:szCs w:val="20"/>
    </w:rPr>
  </w:style>
  <w:style w:type="paragraph" w:customStyle="1" w:styleId="181">
    <w:name w:val="reader-word-layer"/>
    <w:basedOn w:val="1"/>
    <w:qFormat/>
    <w:uiPriority w:val="0"/>
    <w:pPr>
      <w:adjustRightInd/>
      <w:snapToGrid/>
      <w:spacing w:before="100" w:beforeAutospacing="1" w:after="100" w:afterAutospacing="1"/>
    </w:pPr>
    <w:rPr>
      <w:rFonts w:ascii="宋体" w:hAnsi="宋体" w:eastAsia="宋体" w:cs="宋体"/>
      <w:sz w:val="24"/>
      <w:szCs w:val="24"/>
    </w:rPr>
  </w:style>
  <w:style w:type="paragraph" w:styleId="182">
    <w:name w:val="List Paragraph"/>
    <w:basedOn w:val="1"/>
    <w:qFormat/>
    <w:uiPriority w:val="0"/>
    <w:pPr>
      <w:ind w:firstLine="420" w:firstLineChars="200"/>
    </w:pPr>
  </w:style>
  <w:style w:type="paragraph" w:customStyle="1" w:styleId="183">
    <w:name w:val="2"/>
    <w:basedOn w:val="1"/>
    <w:next w:val="25"/>
    <w:qFormat/>
    <w:uiPriority w:val="0"/>
    <w:pPr>
      <w:widowControl w:val="0"/>
      <w:adjustRightInd/>
      <w:snapToGrid/>
      <w:spacing w:after="0"/>
      <w:jc w:val="both"/>
    </w:pPr>
    <w:rPr>
      <w:rFonts w:ascii="宋体" w:hAnsi="Courier New" w:eastAsia="宋体" w:cs="Courier New"/>
      <w:kern w:val="2"/>
      <w:sz w:val="21"/>
      <w:szCs w:val="21"/>
    </w:rPr>
  </w:style>
  <w:style w:type="paragraph" w:customStyle="1" w:styleId="184">
    <w:name w:val="2-2ji"/>
    <w:basedOn w:val="4"/>
    <w:qFormat/>
    <w:uiPriority w:val="0"/>
    <w:pPr>
      <w:spacing w:line="360" w:lineRule="auto"/>
    </w:pPr>
    <w:rPr>
      <w:rFonts w:ascii="宋体" w:hAnsi="宋体" w:eastAsia="宋体"/>
      <w:b/>
      <w:kern w:val="2"/>
      <w:sz w:val="36"/>
      <w:szCs w:val="24"/>
    </w:rPr>
  </w:style>
  <w:style w:type="paragraph" w:customStyle="1" w:styleId="185">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样式1"/>
    <w:basedOn w:val="1"/>
    <w:next w:val="6"/>
    <w:qFormat/>
    <w:uiPriority w:val="0"/>
    <w:pPr>
      <w:widowControl w:val="0"/>
      <w:adjustRightInd/>
      <w:snapToGrid/>
      <w:spacing w:after="0" w:line="360" w:lineRule="auto"/>
      <w:ind w:firstLine="420" w:firstLineChars="200"/>
      <w:jc w:val="both"/>
    </w:pPr>
    <w:rPr>
      <w:rFonts w:ascii="宋体" w:hAnsi="宋体" w:eastAsia="宋体"/>
      <w:kern w:val="2"/>
      <w:sz w:val="21"/>
      <w:szCs w:val="21"/>
    </w:rPr>
  </w:style>
  <w:style w:type="paragraph" w:customStyle="1" w:styleId="187">
    <w:name w:val="修订1"/>
    <w:qFormat/>
    <w:uiPriority w:val="0"/>
    <w:rPr>
      <w:rFonts w:ascii="Times New Roman" w:hAnsi="Times New Roman" w:eastAsia="宋体" w:cs="Times New Roman"/>
      <w:kern w:val="2"/>
      <w:sz w:val="21"/>
      <w:szCs w:val="24"/>
      <w:lang w:val="en-US" w:eastAsia="zh-CN" w:bidi="ar-SA"/>
    </w:rPr>
  </w:style>
  <w:style w:type="paragraph" w:customStyle="1" w:styleId="188">
    <w:name w:val="Table Paragraph"/>
    <w:basedOn w:val="1"/>
    <w:qFormat/>
    <w:uiPriority w:val="99"/>
    <w:pPr>
      <w:widowControl w:val="0"/>
      <w:adjustRightInd/>
      <w:snapToGrid/>
      <w:spacing w:after="0"/>
    </w:pPr>
    <w:rPr>
      <w:rFonts w:ascii="Calibri" w:hAnsi="Calibri" w:eastAsia="宋体"/>
      <w:lang w:eastAsia="en-US"/>
    </w:rPr>
  </w:style>
  <w:style w:type="paragraph" w:customStyle="1" w:styleId="189">
    <w:name w:val="样式17"/>
    <w:basedOn w:val="1"/>
    <w:qFormat/>
    <w:uiPriority w:val="99"/>
    <w:pPr>
      <w:widowControl w:val="0"/>
      <w:adjustRightInd/>
      <w:snapToGrid/>
      <w:spacing w:after="0" w:line="500" w:lineRule="exact"/>
      <w:ind w:firstLine="200" w:firstLineChars="200"/>
      <w:jc w:val="both"/>
    </w:pPr>
    <w:rPr>
      <w:rFonts w:ascii="汉仪中宋简" w:hAnsi="宋体" w:eastAsia="汉仪字典宋简"/>
      <w:b/>
      <w:spacing w:val="2"/>
      <w:kern w:val="2"/>
      <w:sz w:val="24"/>
      <w:szCs w:val="20"/>
    </w:rPr>
  </w:style>
  <w:style w:type="paragraph" w:customStyle="1" w:styleId="190">
    <w:name w:val="Char Char Char2 Char"/>
    <w:basedOn w:val="1"/>
    <w:qFormat/>
    <w:uiPriority w:val="99"/>
    <w:pPr>
      <w:widowControl w:val="0"/>
      <w:tabs>
        <w:tab w:val="left" w:pos="815"/>
      </w:tabs>
      <w:adjustRightInd/>
      <w:snapToGrid/>
      <w:spacing w:after="0"/>
      <w:ind w:left="815" w:hanging="360"/>
      <w:jc w:val="both"/>
    </w:pPr>
    <w:rPr>
      <w:rFonts w:ascii="Times New Roman" w:hAnsi="Times New Roman" w:eastAsia="宋体"/>
      <w:kern w:val="2"/>
      <w:sz w:val="21"/>
      <w:szCs w:val="24"/>
    </w:rPr>
  </w:style>
  <w:style w:type="paragraph" w:customStyle="1" w:styleId="191">
    <w:name w:val="List Paragraph1"/>
    <w:basedOn w:val="1"/>
    <w:qFormat/>
    <w:uiPriority w:val="99"/>
    <w:pPr>
      <w:ind w:firstLine="420" w:firstLineChars="200"/>
    </w:pPr>
  </w:style>
  <w:style w:type="paragraph" w:customStyle="1" w:styleId="192">
    <w:name w:val="Char Char Char Char Char Char Char Char Char Char Char Char Char Char Char Char"/>
    <w:basedOn w:val="1"/>
    <w:qFormat/>
    <w:uiPriority w:val="99"/>
    <w:pPr>
      <w:widowControl w:val="0"/>
      <w:tabs>
        <w:tab w:val="left" w:pos="360"/>
      </w:tabs>
      <w:adjustRightInd/>
      <w:snapToGrid/>
      <w:spacing w:after="0"/>
      <w:jc w:val="both"/>
    </w:pPr>
    <w:rPr>
      <w:rFonts w:ascii="Times New Roman" w:hAnsi="Times New Roman" w:eastAsia="宋体"/>
      <w:kern w:val="2"/>
      <w:sz w:val="24"/>
      <w:szCs w:val="24"/>
    </w:rPr>
  </w:style>
  <w:style w:type="paragraph" w:customStyle="1" w:styleId="193">
    <w:name w:val="head4"/>
    <w:basedOn w:val="1"/>
    <w:qFormat/>
    <w:uiPriority w:val="0"/>
    <w:pPr>
      <w:overflowPunct w:val="0"/>
      <w:autoSpaceDE w:val="0"/>
      <w:autoSpaceDN w:val="0"/>
      <w:spacing w:before="120" w:line="360" w:lineRule="auto"/>
      <w:textAlignment w:val="baseline"/>
    </w:pPr>
    <w:rPr>
      <w:rFonts w:ascii="¿¬Ìå" w:hAnsi="¿¬Ìå"/>
      <w:sz w:val="24"/>
    </w:rPr>
  </w:style>
  <w:style w:type="paragraph" w:customStyle="1" w:styleId="194">
    <w:name w:val="Char Char Char Char"/>
    <w:basedOn w:val="17"/>
    <w:qFormat/>
    <w:uiPriority w:val="0"/>
    <w:rPr>
      <w:rFonts w:ascii="宋体" w:hAnsi="Courier New"/>
      <w:szCs w:val="20"/>
    </w:rPr>
  </w:style>
  <w:style w:type="paragraph" w:customStyle="1" w:styleId="195">
    <w:name w:val="flNote"/>
    <w:basedOn w:val="1"/>
    <w:qFormat/>
    <w:uiPriority w:val="0"/>
    <w:pPr>
      <w:widowControl w:val="0"/>
      <w:snapToGrid/>
      <w:spacing w:before="320" w:after="160" w:line="360" w:lineRule="atLeast"/>
      <w:jc w:val="center"/>
      <w:textAlignment w:val="baseline"/>
    </w:pPr>
    <w:rPr>
      <w:rFonts w:ascii="Arial" w:hAnsi="Times New Roman" w:eastAsia="黑体"/>
      <w:sz w:val="30"/>
      <w:szCs w:val="20"/>
    </w:rPr>
  </w:style>
  <w:style w:type="paragraph" w:customStyle="1" w:styleId="196">
    <w:name w:val="样式 标题 3 + (中文) 黑体 小四 非加粗 段前: 7.8 磅 段后: 0 磅 行距: 固定值 20 磅"/>
    <w:basedOn w:val="5"/>
    <w:qFormat/>
    <w:uiPriority w:val="0"/>
    <w:pPr>
      <w:spacing w:line="400" w:lineRule="exact"/>
      <w:jc w:val="both"/>
    </w:pPr>
    <w:rPr>
      <w:rFonts w:ascii="Times New Roman" w:hAnsi="Times New Roman" w:eastAsia="黑体" w:cs="宋体"/>
      <w:bCs w:val="0"/>
      <w:kern w:val="2"/>
      <w:sz w:val="24"/>
      <w:szCs w:val="20"/>
    </w:rPr>
  </w:style>
  <w:style w:type="paragraph" w:customStyle="1" w:styleId="197">
    <w:name w:val="Char Char Char Char Char Char2 Char"/>
    <w:basedOn w:val="1"/>
    <w:qFormat/>
    <w:uiPriority w:val="99"/>
    <w:pPr>
      <w:widowControl w:val="0"/>
      <w:adjustRightInd/>
      <w:snapToGrid/>
      <w:spacing w:after="0" w:line="360" w:lineRule="auto"/>
      <w:ind w:firstLine="200" w:firstLineChars="200"/>
      <w:jc w:val="both"/>
    </w:pPr>
    <w:rPr>
      <w:rFonts w:ascii="宋体" w:hAnsi="宋体" w:eastAsia="宋体" w:cs="宋体"/>
      <w:kern w:val="2"/>
      <w:sz w:val="24"/>
      <w:szCs w:val="24"/>
    </w:rPr>
  </w:style>
  <w:style w:type="paragraph" w:customStyle="1" w:styleId="198">
    <w:name w:val="列出段落2"/>
    <w:basedOn w:val="1"/>
    <w:qFormat/>
    <w:uiPriority w:val="0"/>
    <w:pPr>
      <w:widowControl w:val="0"/>
      <w:adjustRightInd/>
      <w:snapToGrid/>
      <w:spacing w:after="0"/>
      <w:ind w:firstLine="420" w:firstLineChars="200"/>
      <w:jc w:val="both"/>
    </w:pPr>
    <w:rPr>
      <w:rFonts w:ascii="Calibri" w:hAnsi="Calibri" w:eastAsia="宋体"/>
      <w:kern w:val="2"/>
      <w:sz w:val="21"/>
    </w:rPr>
  </w:style>
  <w:style w:type="paragraph" w:customStyle="1" w:styleId="199">
    <w:name w:val="样式 标题 2 + Times New Roman 四号 非加粗 段前: 5 磅 段后: 0 磅 行距: 固定值 20..."/>
    <w:basedOn w:val="4"/>
    <w:qFormat/>
    <w:uiPriority w:val="0"/>
    <w:pPr>
      <w:spacing w:before="100" w:line="400" w:lineRule="exact"/>
      <w:jc w:val="both"/>
    </w:pPr>
    <w:rPr>
      <w:rFonts w:ascii="Times New Roman" w:hAnsi="Times New Roman" w:cs="宋体"/>
      <w:bCs w:val="0"/>
      <w:sz w:val="28"/>
      <w:szCs w:val="20"/>
    </w:rPr>
  </w:style>
  <w:style w:type="paragraph" w:customStyle="1" w:styleId="200">
    <w:name w:val="Char3"/>
    <w:basedOn w:val="1"/>
    <w:qFormat/>
    <w:uiPriority w:val="0"/>
    <w:pPr>
      <w:adjustRightInd/>
      <w:snapToGrid/>
      <w:spacing w:after="160" w:line="240" w:lineRule="exact"/>
      <w:ind w:firstLine="100" w:firstLineChars="100"/>
    </w:pPr>
    <w:rPr>
      <w:rFonts w:ascii="Verdana" w:hAnsi="Verdana" w:eastAsia="宋体"/>
      <w:sz w:val="21"/>
      <w:szCs w:val="20"/>
      <w:lang w:eastAsia="en-US"/>
    </w:rPr>
  </w:style>
  <w:style w:type="paragraph" w:customStyle="1" w:styleId="201">
    <w:name w:val="Char1 Char Char Char Char Char Char"/>
    <w:basedOn w:val="1"/>
    <w:qFormat/>
    <w:uiPriority w:val="0"/>
    <w:pPr>
      <w:widowControl w:val="0"/>
      <w:adjustRightInd/>
      <w:snapToGrid/>
      <w:spacing w:after="0"/>
      <w:ind w:firstLine="100" w:firstLineChars="100"/>
      <w:jc w:val="both"/>
    </w:pPr>
    <w:rPr>
      <w:rFonts w:ascii="Times New Roman" w:hAnsi="Times New Roman" w:eastAsia="宋体"/>
      <w:kern w:val="2"/>
      <w:sz w:val="21"/>
      <w:szCs w:val="24"/>
    </w:rPr>
  </w:style>
  <w:style w:type="paragraph" w:customStyle="1" w:styleId="202">
    <w:name w:val="正文段"/>
    <w:basedOn w:val="1"/>
    <w:qFormat/>
    <w:uiPriority w:val="99"/>
    <w:pPr>
      <w:adjustRightInd/>
      <w:spacing w:afterLines="50" w:line="360" w:lineRule="auto"/>
      <w:ind w:firstLine="200" w:firstLineChars="200"/>
      <w:jc w:val="both"/>
    </w:pPr>
    <w:rPr>
      <w:rFonts w:ascii="Times New Roman" w:hAnsi="Times New Roman" w:eastAsia="宋体"/>
      <w:sz w:val="24"/>
      <w:szCs w:val="20"/>
    </w:rPr>
  </w:style>
  <w:style w:type="paragraph" w:customStyle="1" w:styleId="203">
    <w:name w:val="Char1 Char Char Char"/>
    <w:basedOn w:val="1"/>
    <w:qFormat/>
    <w:uiPriority w:val="99"/>
    <w:pPr>
      <w:widowControl w:val="0"/>
      <w:adjustRightInd/>
      <w:snapToGrid/>
      <w:spacing w:after="0"/>
      <w:ind w:left="420" w:hanging="420"/>
      <w:jc w:val="both"/>
    </w:pPr>
    <w:rPr>
      <w:rFonts w:ascii="Times New Roman" w:hAnsi="Times New Roman" w:eastAsia="宋体"/>
      <w:kern w:val="2"/>
      <w:sz w:val="24"/>
      <w:szCs w:val="24"/>
    </w:rPr>
  </w:style>
  <w:style w:type="paragraph" w:customStyle="1" w:styleId="204">
    <w:name w:val="默认段落字体 Para Char Char Char Char Char Char Char Char Char1 Char Char Char Char"/>
    <w:basedOn w:val="1"/>
    <w:qFormat/>
    <w:uiPriority w:val="99"/>
    <w:rPr>
      <w:sz w:val="24"/>
      <w:szCs w:val="20"/>
    </w:rPr>
  </w:style>
  <w:style w:type="paragraph" w:customStyle="1" w:styleId="205">
    <w:name w:val="TOC 标题1"/>
    <w:basedOn w:val="3"/>
    <w:next w:val="1"/>
    <w:qFormat/>
    <w:uiPriority w:val="0"/>
    <w:pPr>
      <w:keepLines/>
      <w:widowControl w:val="0"/>
      <w:spacing w:before="340" w:after="330" w:line="576" w:lineRule="auto"/>
      <w:jc w:val="both"/>
      <w:outlineLvl w:val="9"/>
    </w:pPr>
    <w:rPr>
      <w:rFonts w:ascii="Calibri" w:hAnsi="Calibri" w:eastAsia="宋体"/>
      <w:b/>
      <w:bCs/>
      <w:kern w:val="44"/>
      <w:sz w:val="44"/>
      <w:szCs w:val="44"/>
    </w:rPr>
  </w:style>
  <w:style w:type="paragraph" w:customStyle="1" w:styleId="206">
    <w:name w:val="Char Char2 Char Char Char Char Char Char Char Char Char Char Char Char"/>
    <w:basedOn w:val="1"/>
    <w:qFormat/>
    <w:uiPriority w:val="99"/>
    <w:pPr>
      <w:widowControl w:val="0"/>
      <w:adjustRightInd/>
      <w:snapToGrid/>
      <w:spacing w:after="0"/>
      <w:jc w:val="both"/>
    </w:pPr>
    <w:rPr>
      <w:rFonts w:eastAsia="宋体"/>
      <w:kern w:val="2"/>
      <w:sz w:val="24"/>
      <w:szCs w:val="20"/>
    </w:rPr>
  </w:style>
  <w:style w:type="paragraph" w:customStyle="1" w:styleId="207">
    <w:name w:val="默认段落字体 Para Char Char Char Char Char Char Char Char Char1 Char"/>
    <w:basedOn w:val="17"/>
    <w:qFormat/>
    <w:uiPriority w:val="99"/>
    <w:pPr>
      <w:adjustRightInd w:val="0"/>
      <w:spacing w:line="436" w:lineRule="exact"/>
      <w:ind w:left="357"/>
      <w:jc w:val="left"/>
      <w:outlineLvl w:val="3"/>
    </w:pPr>
    <w:rPr>
      <w:shd w:val="clear" w:color="auto" w:fill="000080"/>
    </w:rPr>
  </w:style>
  <w:style w:type="paragraph" w:customStyle="1" w:styleId="208">
    <w:name w:val="样式3"/>
    <w:basedOn w:val="25"/>
    <w:qFormat/>
    <w:uiPriority w:val="99"/>
    <w:pPr>
      <w:adjustRightInd w:val="0"/>
      <w:spacing w:line="240" w:lineRule="atLeast"/>
      <w:textAlignment w:val="baseline"/>
      <w:outlineLvl w:val="0"/>
    </w:pPr>
    <w:rPr>
      <w:sz w:val="28"/>
    </w:rPr>
  </w:style>
  <w:style w:type="paragraph" w:customStyle="1" w:styleId="209">
    <w:name w:val="Char Char Char Char Char Char Char"/>
    <w:basedOn w:val="1"/>
    <w:qFormat/>
    <w:uiPriority w:val="0"/>
    <w:pPr>
      <w:adjustRightInd/>
      <w:snapToGrid/>
      <w:spacing w:after="160" w:line="240" w:lineRule="exact"/>
    </w:pPr>
    <w:rPr>
      <w:rFonts w:ascii="Times New Roman" w:hAnsi="Times New Roman" w:eastAsia="宋体"/>
      <w:kern w:val="2"/>
      <w:sz w:val="21"/>
      <w:szCs w:val="24"/>
    </w:rPr>
  </w:style>
  <w:style w:type="paragraph" w:customStyle="1" w:styleId="210">
    <w:name w:val="Char Char3"/>
    <w:basedOn w:val="1"/>
    <w:next w:val="1"/>
    <w:semiHidden/>
    <w:qFormat/>
    <w:uiPriority w:val="99"/>
    <w:pPr>
      <w:widowControl w:val="0"/>
      <w:tabs>
        <w:tab w:val="left" w:pos="510"/>
        <w:tab w:val="left" w:pos="851"/>
      </w:tabs>
      <w:adjustRightInd/>
      <w:snapToGrid/>
      <w:spacing w:after="0" w:line="360" w:lineRule="auto"/>
      <w:ind w:left="510" w:hanging="408"/>
      <w:jc w:val="both"/>
      <w:outlineLvl w:val="4"/>
    </w:pPr>
    <w:rPr>
      <w:rFonts w:ascii="Times New Roman" w:hAnsi="Times New Roman" w:eastAsia="宋体"/>
      <w:sz w:val="24"/>
      <w:szCs w:val="24"/>
    </w:rPr>
  </w:style>
  <w:style w:type="paragraph" w:customStyle="1" w:styleId="211">
    <w:name w:val="Char1"/>
    <w:basedOn w:val="1"/>
    <w:qFormat/>
    <w:uiPriority w:val="0"/>
    <w:pPr>
      <w:adjustRightInd/>
      <w:snapToGrid/>
      <w:spacing w:after="160" w:line="240" w:lineRule="exact"/>
    </w:pPr>
    <w:rPr>
      <w:rFonts w:ascii="Verdana" w:hAnsi="Verdana" w:eastAsia="宋体"/>
      <w:sz w:val="21"/>
      <w:szCs w:val="20"/>
      <w:lang w:eastAsia="en-US"/>
    </w:rPr>
  </w:style>
  <w:style w:type="paragraph" w:customStyle="1" w:styleId="212">
    <w:name w:val="纯文本1"/>
    <w:basedOn w:val="1"/>
    <w:unhideWhenUsed/>
    <w:qFormat/>
    <w:uiPriority w:val="0"/>
    <w:pPr>
      <w:widowControl w:val="0"/>
      <w:adjustRightInd/>
      <w:snapToGrid/>
      <w:spacing w:after="0"/>
      <w:ind w:firstLine="100" w:firstLineChars="100"/>
      <w:jc w:val="both"/>
    </w:pPr>
    <w:rPr>
      <w:rFonts w:hint="eastAsia" w:ascii="宋体" w:hAnsi="Courier New" w:eastAsia="宋体"/>
      <w:kern w:val="2"/>
      <w:sz w:val="21"/>
      <w:szCs w:val="20"/>
    </w:rPr>
  </w:style>
  <w:style w:type="paragraph" w:customStyle="1" w:styleId="213">
    <w:name w:val="样式 样式16 + 首行缩进:  2 字符"/>
    <w:basedOn w:val="1"/>
    <w:qFormat/>
    <w:uiPriority w:val="99"/>
    <w:pPr>
      <w:widowControl w:val="0"/>
      <w:adjustRightInd/>
      <w:snapToGrid/>
      <w:spacing w:after="0" w:line="400" w:lineRule="exact"/>
      <w:ind w:firstLine="200" w:firstLineChars="200"/>
      <w:jc w:val="both"/>
    </w:pPr>
    <w:rPr>
      <w:rFonts w:ascii="汉仪中宋简" w:hAnsi="宋体" w:eastAsia="汉仪字典宋简"/>
      <w:b/>
      <w:bCs/>
      <w:spacing w:val="2"/>
      <w:kern w:val="2"/>
      <w:sz w:val="24"/>
      <w:szCs w:val="20"/>
    </w:rPr>
  </w:style>
  <w:style w:type="paragraph" w:customStyle="1" w:styleId="214">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1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6">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8">
    <w:name w:val="正文右2"/>
    <w:basedOn w:val="25"/>
    <w:qFormat/>
    <w:uiPriority w:val="0"/>
    <w:pPr>
      <w:spacing w:line="360" w:lineRule="auto"/>
      <w:ind w:firstLine="640" w:firstLineChars="200"/>
    </w:pPr>
    <w:rPr>
      <w:rFonts w:ascii="Hiragino Sans" w:hAnsi="Hiragino Sans" w:eastAsia="Hiragino Sans" w:cs="Hiragino Sans"/>
      <w:kern w:val="0"/>
      <w:sz w:val="24"/>
      <w:szCs w:val="24"/>
    </w:rPr>
  </w:style>
  <w:style w:type="paragraph" w:customStyle="1" w:styleId="219">
    <w:name w:val="正左2"/>
    <w:basedOn w:val="1"/>
    <w:next w:val="19"/>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55</Pages>
  <Words>4353</Words>
  <Characters>24813</Characters>
  <Lines>206</Lines>
  <Paragraphs>58</Paragraphs>
  <TotalTime>47</TotalTime>
  <ScaleCrop>false</ScaleCrop>
  <LinksUpToDate>false</LinksUpToDate>
  <CharactersWithSpaces>29108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2019-06-05T07:30:00Z</dcterms:created>
  <dc:creator>Administrator</dc:creator>
  <cp:lastModifiedBy>ÐÍ</cp:lastModifiedBy>
  <cp:lastPrinted>2020-09-25T07:52:00Z</cp:lastPrinted>
  <dcterms:modified xsi:type="dcterms:W3CDTF">2020-09-29T08:57:17Z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