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cs="Times New Roman"/>
          <w:b/>
          <w:bCs/>
          <w:sz w:val="20"/>
          <w:szCs w:val="20"/>
        </w:rPr>
      </w:pPr>
    </w:p>
    <w:p>
      <w:pPr>
        <w:pStyle w:val="12"/>
        <w:jc w:val="center"/>
        <w:rPr>
          <w:rFonts w:hint="eastAsia" w:ascii="黑体" w:eastAsia="黑体" w:cs="Times New Roman"/>
          <w:b/>
          <w:bCs/>
          <w:spacing w:val="5"/>
          <w:sz w:val="48"/>
          <w:szCs w:val="48"/>
          <w:lang w:eastAsia="zh-CN"/>
        </w:rPr>
      </w:pPr>
      <w:r>
        <w:rPr>
          <w:rFonts w:hint="eastAsia" w:ascii="黑体" w:eastAsia="黑体" w:cs="黑体"/>
          <w:b/>
          <w:bCs/>
          <w:spacing w:val="5"/>
          <w:sz w:val="48"/>
          <w:szCs w:val="48"/>
          <w:lang w:eastAsia="zh-CN"/>
        </w:rPr>
        <w:t>平乐县2020年水毁项目NO1</w:t>
      </w: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1"/>
        <w:rPr>
          <w:rFonts w:cs="Times New Roman"/>
          <w:b/>
          <w:bCs/>
          <w:sz w:val="24"/>
          <w:szCs w:val="24"/>
        </w:rPr>
      </w:pPr>
    </w:p>
    <w:p>
      <w:pPr>
        <w:pStyle w:val="12"/>
        <w:spacing w:before="1"/>
        <w:rPr>
          <w:rFonts w:cs="Times New Roman"/>
          <w:b/>
          <w:bCs/>
          <w:sz w:val="24"/>
          <w:szCs w:val="24"/>
        </w:rPr>
      </w:pPr>
    </w:p>
    <w:p>
      <w:pPr>
        <w:pStyle w:val="12"/>
        <w:spacing w:before="1"/>
        <w:rPr>
          <w:rFonts w:cs="Times New Roman"/>
          <w:b/>
          <w:bCs/>
          <w:sz w:val="24"/>
          <w:szCs w:val="24"/>
        </w:rPr>
      </w:pPr>
    </w:p>
    <w:p>
      <w:pPr>
        <w:pStyle w:val="12"/>
        <w:spacing w:before="1"/>
        <w:rPr>
          <w:rFonts w:cs="Times New Roman"/>
          <w:b/>
          <w:bCs/>
          <w:sz w:val="24"/>
          <w:szCs w:val="24"/>
        </w:rPr>
      </w:pPr>
    </w:p>
    <w:p>
      <w:pPr>
        <w:pStyle w:val="12"/>
        <w:spacing w:before="1"/>
        <w:rPr>
          <w:rFonts w:cs="Times New Roman"/>
          <w:b/>
          <w:bCs/>
          <w:sz w:val="24"/>
          <w:szCs w:val="24"/>
        </w:rPr>
      </w:pPr>
    </w:p>
    <w:p>
      <w:pPr>
        <w:jc w:val="center"/>
        <w:rPr>
          <w:rFonts w:cs="Times New Roman"/>
          <w:sz w:val="24"/>
          <w:szCs w:val="24"/>
        </w:rPr>
      </w:pPr>
    </w:p>
    <w:p>
      <w:pPr>
        <w:jc w:val="center"/>
        <w:rPr>
          <w:rFonts w:ascii="黑体" w:eastAsia="黑体" w:cs="Times New Roman"/>
          <w:b/>
          <w:bCs/>
          <w:sz w:val="84"/>
          <w:szCs w:val="84"/>
        </w:rPr>
      </w:pPr>
      <w:r>
        <w:rPr>
          <w:rFonts w:hint="eastAsia" w:ascii="黑体" w:eastAsia="黑体" w:cs="黑体"/>
          <w:b/>
          <w:bCs/>
          <w:sz w:val="84"/>
          <w:szCs w:val="84"/>
        </w:rPr>
        <w:t>招标文件</w:t>
      </w:r>
    </w:p>
    <w:p>
      <w:pPr>
        <w:jc w:val="center"/>
        <w:rPr>
          <w:rFonts w:cs="Times New Roman"/>
          <w:sz w:val="24"/>
          <w:szCs w:val="24"/>
        </w:rPr>
      </w:pPr>
    </w:p>
    <w:p>
      <w:pPr>
        <w:jc w:val="center"/>
        <w:rPr>
          <w:rFonts w:cs="Times New Roman"/>
          <w:sz w:val="24"/>
          <w:szCs w:val="24"/>
        </w:rPr>
      </w:pPr>
    </w:p>
    <w:p>
      <w:pPr>
        <w:ind w:firstLine="1968" w:firstLineChars="700"/>
        <w:jc w:val="both"/>
        <w:rPr>
          <w:rFonts w:hint="default" w:ascii="黑体" w:eastAsia="黑体" w:cs="Times New Roman"/>
          <w:b/>
          <w:bCs/>
          <w:sz w:val="28"/>
          <w:szCs w:val="28"/>
          <w:lang w:val="en-US"/>
        </w:rPr>
      </w:pPr>
      <w:r>
        <w:rPr>
          <w:rFonts w:hint="eastAsia" w:ascii="黑体" w:eastAsia="黑体" w:cs="黑体"/>
          <w:b/>
          <w:bCs/>
          <w:sz w:val="28"/>
          <w:szCs w:val="28"/>
        </w:rPr>
        <w:t>招标编号：</w:t>
      </w:r>
      <w:r>
        <w:rPr>
          <w:rFonts w:hint="eastAsia" w:ascii="宋体" w:hAnsi="宋体"/>
          <w:b/>
          <w:bCs/>
          <w:spacing w:val="40"/>
          <w:sz w:val="30"/>
          <w:szCs w:val="30"/>
          <w:lang w:eastAsia="zh-CN"/>
        </w:rPr>
        <w:t>GLZC2020-G</w:t>
      </w:r>
      <w:r>
        <w:rPr>
          <w:rFonts w:hint="eastAsia"/>
          <w:b/>
          <w:bCs/>
          <w:spacing w:val="40"/>
          <w:sz w:val="30"/>
          <w:szCs w:val="30"/>
          <w:lang w:val="en-US" w:eastAsia="zh-CN"/>
        </w:rPr>
        <w:t>2</w:t>
      </w:r>
      <w:r>
        <w:rPr>
          <w:rFonts w:hint="eastAsia" w:ascii="宋体" w:hAnsi="宋体"/>
          <w:b/>
          <w:bCs/>
          <w:spacing w:val="40"/>
          <w:sz w:val="30"/>
          <w:szCs w:val="30"/>
          <w:lang w:eastAsia="zh-CN"/>
        </w:rPr>
        <w:t>-</w:t>
      </w:r>
      <w:r>
        <w:rPr>
          <w:rFonts w:hint="eastAsia"/>
          <w:b/>
          <w:bCs/>
          <w:spacing w:val="40"/>
          <w:sz w:val="30"/>
          <w:szCs w:val="30"/>
          <w:lang w:val="en-US" w:eastAsia="zh-CN"/>
        </w:rPr>
        <w:t>300038</w:t>
      </w:r>
      <w:r>
        <w:rPr>
          <w:rFonts w:hint="eastAsia" w:ascii="宋体" w:hAnsi="宋体"/>
          <w:b/>
          <w:bCs/>
          <w:spacing w:val="40"/>
          <w:sz w:val="30"/>
          <w:szCs w:val="30"/>
          <w:lang w:eastAsia="zh-CN"/>
        </w:rPr>
        <w:t>-</w:t>
      </w:r>
      <w:r>
        <w:rPr>
          <w:rFonts w:hint="eastAsia"/>
          <w:b/>
          <w:bCs/>
          <w:spacing w:val="40"/>
          <w:sz w:val="30"/>
          <w:szCs w:val="30"/>
          <w:lang w:val="en-US" w:eastAsia="zh-CN"/>
        </w:rPr>
        <w:t>HNZR</w:t>
      </w: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center"/>
        <w:rPr>
          <w:rFonts w:cs="Times New Roman"/>
          <w:sz w:val="24"/>
          <w:szCs w:val="24"/>
        </w:rPr>
      </w:pPr>
    </w:p>
    <w:p>
      <w:pPr>
        <w:jc w:val="both"/>
        <w:rPr>
          <w:rFonts w:cs="Times New Roman"/>
          <w:sz w:val="24"/>
          <w:szCs w:val="24"/>
        </w:rPr>
      </w:pPr>
    </w:p>
    <w:p>
      <w:pPr>
        <w:jc w:val="center"/>
        <w:rPr>
          <w:rFonts w:cs="Times New Roman"/>
          <w:sz w:val="24"/>
          <w:szCs w:val="24"/>
        </w:rPr>
      </w:pPr>
    </w:p>
    <w:p>
      <w:pPr>
        <w:jc w:val="both"/>
        <w:rPr>
          <w:rFonts w:cs="Times New Roman"/>
          <w:sz w:val="24"/>
          <w:szCs w:val="24"/>
        </w:rPr>
      </w:pPr>
    </w:p>
    <w:p>
      <w:pPr>
        <w:jc w:val="center"/>
        <w:rPr>
          <w:rFonts w:cs="Times New Roman"/>
          <w:sz w:val="24"/>
          <w:szCs w:val="24"/>
        </w:rPr>
      </w:pPr>
    </w:p>
    <w:p>
      <w:pPr>
        <w:spacing w:line="360" w:lineRule="auto"/>
        <w:ind w:firstLine="1800" w:firstLineChars="600"/>
        <w:rPr>
          <w:rFonts w:hint="eastAsia" w:ascii="黑体" w:eastAsia="黑体" w:cs="Times New Roman"/>
          <w:sz w:val="30"/>
          <w:szCs w:val="30"/>
          <w:u w:val="single"/>
          <w:lang w:eastAsia="zh-CN"/>
        </w:rPr>
      </w:pPr>
      <w:r>
        <w:rPr>
          <w:rFonts w:hint="eastAsia" w:ascii="黑体" w:eastAsia="黑体" w:cs="黑体"/>
          <w:sz w:val="30"/>
          <w:szCs w:val="30"/>
        </w:rPr>
        <w:t>招标人：</w:t>
      </w:r>
      <w:r>
        <w:rPr>
          <w:rFonts w:hint="eastAsia" w:ascii="黑体" w:eastAsia="黑体" w:cs="黑体"/>
          <w:b/>
          <w:bCs/>
          <w:spacing w:val="5"/>
          <w:sz w:val="30"/>
          <w:szCs w:val="30"/>
          <w:u w:val="single"/>
          <w:lang w:eastAsia="zh-CN"/>
        </w:rPr>
        <w:t>平乐县农村公路建设管理办公室</w:t>
      </w:r>
    </w:p>
    <w:p>
      <w:pPr>
        <w:spacing w:line="360" w:lineRule="auto"/>
        <w:ind w:firstLine="3900" w:firstLineChars="1300"/>
        <w:rPr>
          <w:rFonts w:ascii="黑体" w:eastAsia="黑体" w:cs="Times New Roman"/>
          <w:spacing w:val="5"/>
          <w:sz w:val="30"/>
          <w:szCs w:val="30"/>
          <w:u w:val="single"/>
        </w:rPr>
      </w:pPr>
      <w:r>
        <w:rPr>
          <w:rFonts w:hint="eastAsia" w:ascii="黑体" w:eastAsia="黑体" w:cs="黑体"/>
          <w:sz w:val="30"/>
          <w:szCs w:val="30"/>
        </w:rPr>
        <w:t>（盖单位章）</w:t>
      </w:r>
    </w:p>
    <w:p>
      <w:pPr>
        <w:spacing w:line="360" w:lineRule="exact"/>
        <w:ind w:firstLine="1800" w:firstLineChars="600"/>
        <w:rPr>
          <w:rFonts w:hint="eastAsia" w:ascii="黑体" w:eastAsia="黑体" w:cs="Times New Roman"/>
          <w:b/>
          <w:bCs/>
          <w:sz w:val="30"/>
          <w:szCs w:val="30"/>
          <w:u w:val="single"/>
          <w:lang w:eastAsia="zh-CN"/>
        </w:rPr>
      </w:pPr>
      <w:r>
        <w:rPr>
          <w:rFonts w:hint="eastAsia" w:ascii="黑体" w:eastAsia="黑体" w:cs="黑体"/>
          <w:sz w:val="30"/>
          <w:szCs w:val="30"/>
        </w:rPr>
        <w:t>招标代理机构：</w:t>
      </w:r>
      <w:r>
        <w:rPr>
          <w:rFonts w:hint="eastAsia" w:ascii="黑体" w:eastAsia="黑体" w:cs="黑体"/>
          <w:b/>
          <w:bCs/>
          <w:sz w:val="30"/>
          <w:szCs w:val="30"/>
          <w:u w:val="single"/>
          <w:lang w:eastAsia="zh-CN"/>
        </w:rPr>
        <w:t>海南正荣项目投资管理有限公司</w:t>
      </w:r>
    </w:p>
    <w:p>
      <w:pPr>
        <w:spacing w:line="360" w:lineRule="auto"/>
        <w:ind w:firstLine="3900" w:firstLineChars="1300"/>
        <w:rPr>
          <w:rFonts w:ascii="黑体" w:eastAsia="黑体" w:cs="Times New Roman"/>
          <w:sz w:val="30"/>
          <w:szCs w:val="30"/>
        </w:rPr>
      </w:pPr>
      <w:r>
        <w:rPr>
          <w:rFonts w:hint="eastAsia" w:ascii="黑体" w:eastAsia="黑体" w:cs="黑体"/>
          <w:sz w:val="30"/>
          <w:szCs w:val="30"/>
        </w:rPr>
        <w:t>（盖单位章）</w:t>
      </w:r>
    </w:p>
    <w:p>
      <w:pPr>
        <w:pStyle w:val="12"/>
        <w:spacing w:before="1"/>
        <w:ind w:firstLine="4200" w:firstLineChars="1400"/>
        <w:rPr>
          <w:rFonts w:cs="Times New Roman"/>
          <w:b/>
          <w:bCs/>
          <w:sz w:val="27"/>
          <w:szCs w:val="27"/>
        </w:rPr>
      </w:pPr>
      <w:r>
        <w:rPr>
          <w:rFonts w:hint="eastAsia" w:ascii="黑体" w:eastAsia="黑体" w:cs="黑体"/>
          <w:sz w:val="30"/>
          <w:szCs w:val="30"/>
          <w:lang w:eastAsia="zh-CN"/>
        </w:rPr>
        <w:t>2020 年</w:t>
      </w:r>
      <w:r>
        <w:rPr>
          <w:rFonts w:ascii="黑体" w:eastAsia="黑体" w:cs="黑体"/>
          <w:sz w:val="30"/>
          <w:szCs w:val="30"/>
          <w:lang w:val="en-US"/>
        </w:rPr>
        <w:t>1</w:t>
      </w:r>
      <w:r>
        <w:rPr>
          <w:rFonts w:hint="eastAsia" w:ascii="黑体" w:eastAsia="黑体" w:cs="黑体"/>
          <w:sz w:val="30"/>
          <w:szCs w:val="30"/>
          <w:lang w:val="en-US" w:eastAsia="zh-CN"/>
        </w:rPr>
        <w:t>1</w:t>
      </w:r>
      <w:r>
        <w:rPr>
          <w:rFonts w:hint="eastAsia" w:ascii="黑体" w:eastAsia="黑体" w:cs="黑体"/>
          <w:sz w:val="30"/>
          <w:szCs w:val="30"/>
        </w:rPr>
        <w:t>月</w:t>
      </w:r>
      <w:r>
        <w:rPr>
          <w:rFonts w:cs="Times New Roman"/>
          <w:sz w:val="30"/>
          <w:szCs w:val="30"/>
        </w:rPr>
        <w:br w:type="page"/>
      </w:r>
    </w:p>
    <w:p>
      <w:pPr>
        <w:tabs>
          <w:tab w:val="left" w:pos="998"/>
          <w:tab w:val="left" w:pos="1999"/>
        </w:tabs>
        <w:spacing w:before="37"/>
        <w:ind w:right="80"/>
        <w:jc w:val="center"/>
        <w:rPr>
          <w:rFonts w:cs="Times New Roman"/>
          <w:b/>
          <w:bCs/>
          <w:sz w:val="44"/>
          <w:szCs w:val="44"/>
        </w:rPr>
      </w:pPr>
      <w:r>
        <w:rPr>
          <w:rFonts w:hint="eastAsia"/>
          <w:b/>
          <w:bCs/>
          <w:sz w:val="44"/>
          <w:szCs w:val="44"/>
        </w:rPr>
        <w:t>总</w:t>
      </w:r>
      <w:r>
        <w:rPr>
          <w:rFonts w:cs="Times New Roman"/>
          <w:b/>
          <w:bCs/>
          <w:sz w:val="44"/>
          <w:szCs w:val="44"/>
        </w:rPr>
        <w:tab/>
      </w:r>
      <w:r>
        <w:rPr>
          <w:rFonts w:hint="eastAsia"/>
          <w:b/>
          <w:bCs/>
          <w:sz w:val="44"/>
          <w:szCs w:val="44"/>
        </w:rPr>
        <w:t>目</w:t>
      </w:r>
      <w:r>
        <w:rPr>
          <w:rFonts w:cs="Times New Roman"/>
          <w:b/>
          <w:bCs/>
          <w:sz w:val="44"/>
          <w:szCs w:val="44"/>
        </w:rPr>
        <w:tab/>
      </w:r>
      <w:r>
        <w:rPr>
          <w:rFonts w:hint="eastAsia"/>
          <w:b/>
          <w:bCs/>
          <w:sz w:val="44"/>
          <w:szCs w:val="44"/>
        </w:rPr>
        <w:t>录</w:t>
      </w:r>
    </w:p>
    <w:p>
      <w:pPr>
        <w:pStyle w:val="12"/>
        <w:rPr>
          <w:rFonts w:cs="Times New Roman"/>
          <w:b/>
          <w:bCs/>
          <w:sz w:val="44"/>
          <w:szCs w:val="44"/>
        </w:rPr>
      </w:pPr>
    </w:p>
    <w:p>
      <w:pPr>
        <w:pStyle w:val="12"/>
        <w:spacing w:before="7"/>
        <w:rPr>
          <w:rFonts w:cs="Times New Roman"/>
          <w:b/>
          <w:bCs/>
          <w:sz w:val="35"/>
          <w:szCs w:val="35"/>
        </w:rPr>
      </w:pPr>
    </w:p>
    <w:p>
      <w:pPr>
        <w:pStyle w:val="10"/>
        <w:ind w:left="61" w:right="142"/>
        <w:jc w:val="center"/>
        <w:rPr>
          <w:rFonts w:cs="Times New Roman"/>
        </w:rPr>
      </w:pPr>
      <w:r>
        <w:fldChar w:fldCharType="begin"/>
      </w:r>
      <w:r>
        <w:instrText xml:space="preserve"> HYPERLINK \l "_bookmark0" </w:instrText>
      </w:r>
      <w:r>
        <w:fldChar w:fldCharType="separate"/>
      </w:r>
      <w:r>
        <w:rPr>
          <w:rFonts w:hint="eastAsia"/>
        </w:rPr>
        <w:t>第一卷</w:t>
      </w:r>
      <w:r>
        <w:rPr>
          <w:rFonts w:hint="eastAsia"/>
        </w:rPr>
        <w:fldChar w:fldCharType="end"/>
      </w:r>
    </w:p>
    <w:p>
      <w:pPr>
        <w:pStyle w:val="17"/>
        <w:tabs>
          <w:tab w:val="left" w:pos="959"/>
          <w:tab w:val="right" w:leader="dot" w:pos="9489"/>
        </w:tabs>
        <w:rPr>
          <w:rFonts w:cs="Times New Roman"/>
        </w:rPr>
      </w:pPr>
      <w:r>
        <w:fldChar w:fldCharType="begin"/>
      </w:r>
      <w:r>
        <w:instrText xml:space="preserve"> HYPERLINK \l "_bookmark1" </w:instrText>
      </w:r>
      <w:r>
        <w:fldChar w:fldCharType="separate"/>
      </w:r>
      <w:r>
        <w:rPr>
          <w:rFonts w:hint="eastAsia"/>
        </w:rPr>
        <w:t>第一章</w:t>
      </w:r>
      <w:r>
        <w:rPr>
          <w:rFonts w:cs="Times New Roman"/>
        </w:rPr>
        <w:tab/>
      </w:r>
      <w:r>
        <w:rPr>
          <w:rFonts w:hint="eastAsia"/>
        </w:rPr>
        <w:t>招标公告</w:t>
      </w:r>
      <w:r>
        <w:rPr>
          <w:rFonts w:cs="Times New Roman"/>
        </w:rPr>
        <w:tab/>
      </w:r>
      <w:r>
        <w:rPr>
          <w:rFonts w:hint="eastAsia"/>
          <w:lang w:val="en-US"/>
        </w:rPr>
        <w:t>4</w:t>
      </w:r>
      <w:r>
        <w:rPr>
          <w:rFonts w:hint="eastAsia"/>
          <w:lang w:val="en-US"/>
        </w:rPr>
        <w:fldChar w:fldCharType="end"/>
      </w:r>
    </w:p>
    <w:p>
      <w:pPr>
        <w:pStyle w:val="17"/>
        <w:tabs>
          <w:tab w:val="left" w:pos="959"/>
          <w:tab w:val="right" w:leader="dot" w:pos="9489"/>
        </w:tabs>
        <w:rPr>
          <w:lang w:val="en-US"/>
        </w:rPr>
      </w:pPr>
      <w:r>
        <w:fldChar w:fldCharType="begin"/>
      </w:r>
      <w:r>
        <w:instrText xml:space="preserve"> HYPERLINK \l "_bookmark2" </w:instrText>
      </w:r>
      <w:r>
        <w:fldChar w:fldCharType="separate"/>
      </w:r>
      <w:r>
        <w:rPr>
          <w:rFonts w:hint="eastAsia"/>
        </w:rPr>
        <w:t>第二章</w:t>
      </w:r>
      <w:r>
        <w:rPr>
          <w:rFonts w:cs="Times New Roman"/>
        </w:rPr>
        <w:tab/>
      </w:r>
      <w:r>
        <w:rPr>
          <w:rFonts w:hint="eastAsia"/>
        </w:rPr>
        <w:t>投标人须知</w:t>
      </w:r>
      <w:r>
        <w:rPr>
          <w:rFonts w:cs="Times New Roman"/>
        </w:rPr>
        <w:tab/>
      </w:r>
      <w:r>
        <w:rPr>
          <w:rFonts w:hint="eastAsia"/>
          <w:lang w:val="en-US"/>
        </w:rPr>
        <w:t>8</w:t>
      </w:r>
      <w:r>
        <w:rPr>
          <w:rFonts w:hint="eastAsia"/>
          <w:lang w:val="en-US"/>
        </w:rPr>
        <w:fldChar w:fldCharType="end"/>
      </w:r>
    </w:p>
    <w:p>
      <w:pPr>
        <w:pStyle w:val="17"/>
        <w:tabs>
          <w:tab w:val="left" w:pos="959"/>
          <w:tab w:val="right" w:leader="dot" w:pos="9489"/>
        </w:tabs>
        <w:spacing w:before="340"/>
        <w:rPr>
          <w:rFonts w:cs="Times New Roman"/>
        </w:rPr>
      </w:pPr>
      <w:r>
        <w:fldChar w:fldCharType="begin"/>
      </w:r>
      <w:r>
        <w:instrText xml:space="preserve"> HYPERLINK \l "_bookmark3" </w:instrText>
      </w:r>
      <w:r>
        <w:fldChar w:fldCharType="separate"/>
      </w:r>
      <w:r>
        <w:rPr>
          <w:rFonts w:hint="eastAsia"/>
        </w:rPr>
        <w:t>第三章</w:t>
      </w:r>
      <w:r>
        <w:rPr>
          <w:rFonts w:cs="Times New Roman"/>
        </w:rPr>
        <w:tab/>
      </w:r>
      <w:r>
        <w:rPr>
          <w:rFonts w:hint="eastAsia"/>
        </w:rPr>
        <w:t>评标办法</w:t>
      </w:r>
      <w:r>
        <w:rPr>
          <w:rFonts w:cs="Times New Roman"/>
        </w:rPr>
        <w:tab/>
      </w:r>
      <w:r>
        <w:t>3</w:t>
      </w:r>
      <w:r>
        <w:rPr>
          <w:rFonts w:hint="eastAsia"/>
        </w:rPr>
        <w:t>8</w:t>
      </w:r>
      <w:r>
        <w:rPr>
          <w:rFonts w:hint="eastAsia"/>
        </w:rPr>
        <w:fldChar w:fldCharType="end"/>
      </w:r>
    </w:p>
    <w:p>
      <w:pPr>
        <w:pStyle w:val="17"/>
        <w:tabs>
          <w:tab w:val="left" w:pos="959"/>
          <w:tab w:val="right" w:leader="dot" w:pos="9489"/>
        </w:tabs>
        <w:rPr>
          <w:rFonts w:cs="Times New Roman"/>
        </w:rPr>
      </w:pPr>
      <w:r>
        <w:fldChar w:fldCharType="begin"/>
      </w:r>
      <w:r>
        <w:instrText xml:space="preserve"> HYPERLINK \l "_bookmark4" </w:instrText>
      </w:r>
      <w:r>
        <w:fldChar w:fldCharType="separate"/>
      </w:r>
      <w:r>
        <w:rPr>
          <w:rFonts w:hint="eastAsia"/>
        </w:rPr>
        <w:t>第四章</w:t>
      </w:r>
      <w:r>
        <w:rPr>
          <w:rFonts w:cs="Times New Roman"/>
        </w:rPr>
        <w:tab/>
      </w:r>
      <w:r>
        <w:rPr>
          <w:rFonts w:hint="eastAsia"/>
        </w:rPr>
        <w:t>合同条款及格式</w:t>
      </w:r>
      <w:r>
        <w:rPr>
          <w:rFonts w:cs="Times New Roman"/>
        </w:rPr>
        <w:tab/>
      </w:r>
      <w:r>
        <w:t>4</w:t>
      </w:r>
      <w:r>
        <w:rPr>
          <w:rFonts w:hint="eastAsia"/>
        </w:rPr>
        <w:t>7</w:t>
      </w:r>
      <w:r>
        <w:rPr>
          <w:rFonts w:hint="eastAsia"/>
        </w:rPr>
        <w:fldChar w:fldCharType="end"/>
      </w:r>
    </w:p>
    <w:p>
      <w:pPr>
        <w:pStyle w:val="17"/>
        <w:tabs>
          <w:tab w:val="left" w:pos="959"/>
          <w:tab w:val="right" w:leader="dot" w:pos="9489"/>
        </w:tabs>
        <w:rPr>
          <w:lang w:val="en-US"/>
        </w:rPr>
      </w:pPr>
      <w:r>
        <w:fldChar w:fldCharType="begin"/>
      </w:r>
      <w:r>
        <w:instrText xml:space="preserve"> HYPERLINK \l "_bookmark5" </w:instrText>
      </w:r>
      <w:r>
        <w:fldChar w:fldCharType="separate"/>
      </w:r>
      <w:r>
        <w:rPr>
          <w:rFonts w:hint="eastAsia"/>
        </w:rPr>
        <w:t>第五章</w:t>
      </w:r>
      <w:r>
        <w:rPr>
          <w:rFonts w:cs="Times New Roman"/>
        </w:rPr>
        <w:tab/>
      </w:r>
      <w:r>
        <w:rPr>
          <w:rFonts w:hint="eastAsia"/>
        </w:rPr>
        <w:t>工程量清单（另册）</w:t>
      </w:r>
      <w:r>
        <w:rPr>
          <w:rFonts w:cs="Times New Roman"/>
        </w:rPr>
        <w:tab/>
      </w:r>
      <w:r>
        <w:rPr>
          <w:rFonts w:hint="eastAsia"/>
          <w:lang w:val="en-US"/>
        </w:rPr>
        <w:t>129</w:t>
      </w:r>
      <w:r>
        <w:rPr>
          <w:rFonts w:hint="eastAsia"/>
          <w:lang w:val="en-US"/>
        </w:rPr>
        <w:fldChar w:fldCharType="end"/>
      </w:r>
    </w:p>
    <w:p>
      <w:pPr>
        <w:pStyle w:val="18"/>
        <w:rPr>
          <w:rFonts w:cs="Times New Roman"/>
        </w:rPr>
      </w:pPr>
      <w:r>
        <w:fldChar w:fldCharType="begin"/>
      </w:r>
      <w:r>
        <w:instrText xml:space="preserve"> HYPERLINK \l "_bookmark6" </w:instrText>
      </w:r>
      <w:r>
        <w:fldChar w:fldCharType="separate"/>
      </w:r>
      <w:r>
        <w:rPr>
          <w:rFonts w:hint="eastAsia"/>
        </w:rPr>
        <w:t>第二卷</w:t>
      </w:r>
      <w:r>
        <w:rPr>
          <w:rFonts w:hint="eastAsia"/>
        </w:rPr>
        <w:fldChar w:fldCharType="end"/>
      </w:r>
    </w:p>
    <w:p>
      <w:pPr>
        <w:pStyle w:val="17"/>
        <w:tabs>
          <w:tab w:val="left" w:pos="959"/>
          <w:tab w:val="right" w:leader="dot" w:pos="9489"/>
        </w:tabs>
        <w:spacing w:before="340"/>
        <w:rPr>
          <w:lang w:val="en-US"/>
        </w:rPr>
      </w:pPr>
      <w:r>
        <w:fldChar w:fldCharType="begin"/>
      </w:r>
      <w:r>
        <w:instrText xml:space="preserve"> HYPERLINK \l "_bookmark7" </w:instrText>
      </w:r>
      <w:r>
        <w:fldChar w:fldCharType="separate"/>
      </w:r>
      <w:r>
        <w:rPr>
          <w:rFonts w:hint="eastAsia"/>
        </w:rPr>
        <w:t>第六章</w:t>
      </w:r>
      <w:r>
        <w:rPr>
          <w:rFonts w:cs="Times New Roman"/>
        </w:rPr>
        <w:tab/>
      </w:r>
      <w:r>
        <w:rPr>
          <w:rFonts w:hint="eastAsia"/>
        </w:rPr>
        <w:t>图纸（另册）</w:t>
      </w:r>
      <w:r>
        <w:rPr>
          <w:rFonts w:cs="Times New Roman"/>
        </w:rPr>
        <w:tab/>
      </w:r>
      <w:r>
        <w:rPr>
          <w:rFonts w:hint="eastAsia"/>
          <w:lang w:val="en-US"/>
        </w:rPr>
        <w:t>132</w:t>
      </w:r>
      <w:r>
        <w:rPr>
          <w:rFonts w:hint="eastAsia"/>
          <w:lang w:val="en-US"/>
        </w:rPr>
        <w:fldChar w:fldCharType="end"/>
      </w:r>
    </w:p>
    <w:p>
      <w:pPr>
        <w:pStyle w:val="18"/>
        <w:rPr>
          <w:rFonts w:cs="Times New Roman"/>
        </w:rPr>
      </w:pPr>
      <w:r>
        <w:fldChar w:fldCharType="begin"/>
      </w:r>
      <w:r>
        <w:instrText xml:space="preserve"> HYPERLINK \l "_bookmark8" </w:instrText>
      </w:r>
      <w:r>
        <w:fldChar w:fldCharType="separate"/>
      </w:r>
      <w:r>
        <w:rPr>
          <w:rFonts w:hint="eastAsia"/>
        </w:rPr>
        <w:t>第三卷</w:t>
      </w:r>
      <w:r>
        <w:rPr>
          <w:rFonts w:hint="eastAsia"/>
        </w:rPr>
        <w:fldChar w:fldCharType="end"/>
      </w:r>
    </w:p>
    <w:p>
      <w:pPr>
        <w:pStyle w:val="17"/>
        <w:tabs>
          <w:tab w:val="left" w:pos="959"/>
          <w:tab w:val="right" w:leader="dot" w:pos="9489"/>
        </w:tabs>
        <w:rPr>
          <w:lang w:val="en-US"/>
        </w:rPr>
      </w:pPr>
      <w:r>
        <w:fldChar w:fldCharType="begin"/>
      </w:r>
      <w:r>
        <w:instrText xml:space="preserve"> HYPERLINK \l "_bookmark9" </w:instrText>
      </w:r>
      <w:r>
        <w:fldChar w:fldCharType="separate"/>
      </w:r>
      <w:r>
        <w:rPr>
          <w:rFonts w:hint="eastAsia"/>
        </w:rPr>
        <w:t>第七章</w:t>
      </w:r>
      <w:r>
        <w:rPr>
          <w:rFonts w:cs="Times New Roman"/>
        </w:rPr>
        <w:tab/>
      </w:r>
      <w:r>
        <w:rPr>
          <w:rFonts w:hint="eastAsia"/>
        </w:rPr>
        <w:t>技术规范</w:t>
      </w:r>
      <w:r>
        <w:rPr>
          <w:rFonts w:cs="Times New Roman"/>
        </w:rPr>
        <w:tab/>
      </w:r>
      <w:r>
        <w:rPr>
          <w:rFonts w:hint="eastAsia"/>
          <w:lang w:val="en-US"/>
        </w:rPr>
        <w:t>134</w:t>
      </w:r>
      <w:r>
        <w:rPr>
          <w:rFonts w:hint="eastAsia"/>
          <w:lang w:val="en-US"/>
        </w:rPr>
        <w:fldChar w:fldCharType="end"/>
      </w:r>
    </w:p>
    <w:p>
      <w:pPr>
        <w:pStyle w:val="17"/>
        <w:tabs>
          <w:tab w:val="left" w:pos="959"/>
          <w:tab w:val="right" w:leader="dot" w:pos="9489"/>
        </w:tabs>
        <w:rPr>
          <w:lang w:val="en-US"/>
        </w:rPr>
      </w:pPr>
      <w:r>
        <w:fldChar w:fldCharType="begin"/>
      </w:r>
      <w:r>
        <w:instrText xml:space="preserve"> HYPERLINK \l "_bookmark10" </w:instrText>
      </w:r>
      <w:r>
        <w:fldChar w:fldCharType="separate"/>
      </w:r>
      <w:r>
        <w:rPr>
          <w:rFonts w:hint="eastAsia"/>
        </w:rPr>
        <w:t>第八章</w:t>
      </w:r>
      <w:r>
        <w:rPr>
          <w:rFonts w:cs="Times New Roman"/>
        </w:rPr>
        <w:tab/>
      </w:r>
      <w:r>
        <w:rPr>
          <w:rFonts w:hint="eastAsia"/>
        </w:rPr>
        <w:t>工程量清</w:t>
      </w:r>
      <w:r>
        <w:rPr>
          <w:rFonts w:hint="eastAsia"/>
          <w:spacing w:val="7"/>
        </w:rPr>
        <w:t>单</w:t>
      </w:r>
      <w:r>
        <w:rPr>
          <w:rFonts w:hint="eastAsia"/>
        </w:rPr>
        <w:t>计量规则</w:t>
      </w:r>
      <w:r>
        <w:rPr>
          <w:rFonts w:cs="Times New Roman"/>
        </w:rPr>
        <w:tab/>
      </w:r>
      <w:r>
        <w:rPr>
          <w:rFonts w:hint="eastAsia"/>
          <w:lang w:val="en-US"/>
        </w:rPr>
        <w:t>13</w:t>
      </w:r>
      <w:r>
        <w:rPr>
          <w:rFonts w:hint="eastAsia"/>
          <w:lang w:val="en-US"/>
        </w:rPr>
        <w:fldChar w:fldCharType="end"/>
      </w:r>
      <w:r>
        <w:rPr>
          <w:rFonts w:hint="eastAsia"/>
          <w:lang w:val="en-US"/>
        </w:rPr>
        <w:t>5</w:t>
      </w:r>
    </w:p>
    <w:p>
      <w:pPr>
        <w:pStyle w:val="18"/>
        <w:rPr>
          <w:rFonts w:cs="Times New Roman"/>
        </w:rPr>
      </w:pPr>
      <w:r>
        <w:fldChar w:fldCharType="begin"/>
      </w:r>
      <w:r>
        <w:instrText xml:space="preserve"> HYPERLINK \l "_bookmark11" </w:instrText>
      </w:r>
      <w:r>
        <w:fldChar w:fldCharType="separate"/>
      </w:r>
      <w:r>
        <w:rPr>
          <w:rFonts w:hint="eastAsia"/>
        </w:rPr>
        <w:t>第四卷</w:t>
      </w:r>
      <w:r>
        <w:rPr>
          <w:rFonts w:hint="eastAsia"/>
        </w:rPr>
        <w:fldChar w:fldCharType="end"/>
      </w:r>
    </w:p>
    <w:p>
      <w:pPr>
        <w:pStyle w:val="17"/>
        <w:tabs>
          <w:tab w:val="left" w:pos="959"/>
          <w:tab w:val="right" w:leader="dot" w:pos="9489"/>
        </w:tabs>
        <w:rPr>
          <w:rFonts w:cs="Times New Roman"/>
        </w:rPr>
      </w:pPr>
      <w:r>
        <w:fldChar w:fldCharType="begin"/>
      </w:r>
      <w:r>
        <w:instrText xml:space="preserve"> HYPERLINK \l "_bookmark12" </w:instrText>
      </w:r>
      <w:r>
        <w:fldChar w:fldCharType="separate"/>
      </w:r>
      <w:r>
        <w:rPr>
          <w:rFonts w:hint="eastAsia"/>
        </w:rPr>
        <w:t>第九章</w:t>
      </w:r>
      <w:r>
        <w:rPr>
          <w:rFonts w:cs="Times New Roman"/>
        </w:rPr>
        <w:tab/>
      </w:r>
      <w:r>
        <w:rPr>
          <w:rFonts w:hint="eastAsia"/>
        </w:rPr>
        <w:t>投标文件格式</w:t>
      </w:r>
      <w:r>
        <w:rPr>
          <w:rFonts w:cs="Times New Roman"/>
        </w:rPr>
        <w:tab/>
      </w:r>
      <w:r>
        <w:rPr>
          <w:rFonts w:hint="eastAsia"/>
          <w:lang w:val="en-US"/>
        </w:rPr>
        <w:t>137</w:t>
      </w:r>
      <w:r>
        <w:rPr>
          <w:rFonts w:hint="eastAsia"/>
          <w:lang w:val="en-US"/>
        </w:rP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7187"/>
        </w:tabs>
        <w:rPr>
          <w:rFonts w:cs="Times New Roman"/>
        </w:rPr>
        <w:sectPr>
          <w:footerReference r:id="rId4" w:type="first"/>
          <w:footerReference r:id="rId3" w:type="default"/>
          <w:pgSz w:w="11907" w:h="16840"/>
          <w:pgMar w:top="1418" w:right="1418" w:bottom="1418" w:left="1418" w:header="851" w:footer="964" w:gutter="0"/>
          <w:pgNumType w:start="1"/>
          <w:cols w:space="720" w:num="1"/>
          <w:docGrid w:linePitch="299" w:charSpace="0"/>
        </w:sectPr>
      </w:pPr>
      <w:r>
        <w:rPr>
          <w:rFonts w:cs="Times New Roman"/>
        </w:rPr>
        <w:tab/>
      </w:r>
    </w:p>
    <w:p>
      <w:pPr>
        <w:pStyle w:val="12"/>
        <w:rPr>
          <w:rFonts w:cs="Times New Roman"/>
          <w:sz w:val="76"/>
          <w:szCs w:val="76"/>
        </w:rPr>
      </w:pPr>
    </w:p>
    <w:p>
      <w:pPr>
        <w:pStyle w:val="12"/>
        <w:rPr>
          <w:rFonts w:cs="Times New Roman"/>
          <w:sz w:val="76"/>
          <w:szCs w:val="76"/>
        </w:rPr>
      </w:pPr>
    </w:p>
    <w:p>
      <w:pPr>
        <w:pStyle w:val="12"/>
        <w:rPr>
          <w:rFonts w:cs="Times New Roman"/>
          <w:sz w:val="76"/>
          <w:szCs w:val="76"/>
        </w:rPr>
      </w:pPr>
    </w:p>
    <w:p>
      <w:pPr>
        <w:tabs>
          <w:tab w:val="left" w:pos="1519"/>
          <w:tab w:val="left" w:pos="3038"/>
        </w:tabs>
        <w:spacing w:before="601"/>
        <w:ind w:right="72"/>
        <w:jc w:val="center"/>
        <w:rPr>
          <w:rFonts w:cs="Times New Roman"/>
          <w:b/>
          <w:bCs/>
          <w:sz w:val="76"/>
          <w:szCs w:val="76"/>
        </w:rPr>
      </w:pPr>
      <w:bookmarkStart w:id="0" w:name="_bookmark0"/>
      <w:bookmarkEnd w:id="0"/>
      <w:bookmarkStart w:id="1" w:name="第一卷"/>
      <w:bookmarkEnd w:id="1"/>
      <w:r>
        <w:rPr>
          <w:rFonts w:hint="eastAsia"/>
          <w:b/>
          <w:bCs/>
          <w:sz w:val="76"/>
          <w:szCs w:val="76"/>
        </w:rPr>
        <w:t>第</w:t>
      </w:r>
      <w:r>
        <w:rPr>
          <w:rFonts w:cs="Times New Roman"/>
          <w:b/>
          <w:bCs/>
          <w:sz w:val="76"/>
          <w:szCs w:val="76"/>
        </w:rPr>
        <w:tab/>
      </w:r>
      <w:r>
        <w:rPr>
          <w:rFonts w:hint="eastAsia"/>
          <w:b/>
          <w:bCs/>
          <w:sz w:val="76"/>
          <w:szCs w:val="76"/>
        </w:rPr>
        <w:t>一</w:t>
      </w:r>
      <w:r>
        <w:rPr>
          <w:rFonts w:cs="Times New Roman"/>
          <w:b/>
          <w:bCs/>
          <w:sz w:val="76"/>
          <w:szCs w:val="76"/>
        </w:rPr>
        <w:tab/>
      </w:r>
      <w:r>
        <w:rPr>
          <w:rFonts w:hint="eastAsia"/>
          <w:b/>
          <w:bCs/>
          <w:sz w:val="76"/>
          <w:szCs w:val="76"/>
        </w:rPr>
        <w:t>卷</w:t>
      </w:r>
    </w:p>
    <w:p>
      <w:pPr>
        <w:jc w:val="center"/>
        <w:rPr>
          <w:rFonts w:cs="Times New Roman"/>
          <w:sz w:val="76"/>
          <w:szCs w:val="76"/>
        </w:rPr>
        <w:sectPr>
          <w:pgSz w:w="11907" w:h="16840"/>
          <w:pgMar w:top="1418" w:right="1418" w:bottom="1418" w:left="1418" w:header="851" w:footer="964" w:gutter="0"/>
          <w:cols w:space="720" w:num="1"/>
          <w:docGrid w:linePitch="299" w:charSpace="0"/>
        </w:sect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4"/>
        <w:rPr>
          <w:rFonts w:cs="Times New Roman"/>
          <w:b/>
          <w:bCs/>
          <w:sz w:val="28"/>
          <w:szCs w:val="28"/>
        </w:rPr>
      </w:pPr>
    </w:p>
    <w:p>
      <w:pPr>
        <w:pStyle w:val="4"/>
        <w:tabs>
          <w:tab w:val="left" w:pos="1444"/>
        </w:tabs>
        <w:ind w:right="142"/>
        <w:rPr>
          <w:rFonts w:cs="Times New Roman"/>
        </w:rPr>
      </w:pPr>
      <w:bookmarkStart w:id="2" w:name="第一章__招标公告"/>
      <w:bookmarkEnd w:id="2"/>
      <w:bookmarkStart w:id="3" w:name="_bookmark1"/>
      <w:bookmarkEnd w:id="3"/>
      <w:r>
        <w:rPr>
          <w:rFonts w:hint="eastAsia"/>
        </w:rPr>
        <w:t>第一章</w:t>
      </w:r>
      <w:r>
        <w:rPr>
          <w:rFonts w:cs="Times New Roman"/>
        </w:rPr>
        <w:tab/>
      </w:r>
      <w:r>
        <w:rPr>
          <w:rFonts w:hint="eastAsia"/>
        </w:rPr>
        <w:t>招标公告</w:t>
      </w:r>
    </w:p>
    <w:p>
      <w:pPr>
        <w:rPr>
          <w:rFonts w:cs="Times New Roman"/>
        </w:rPr>
        <w:sectPr>
          <w:pgSz w:w="11907" w:h="16840"/>
          <w:pgMar w:top="1418" w:right="1418" w:bottom="1418" w:left="1418" w:header="851" w:footer="964" w:gutter="0"/>
          <w:cols w:space="720" w:num="1"/>
        </w:sectPr>
      </w:pPr>
    </w:p>
    <w:p>
      <w:pPr>
        <w:spacing w:before="62" w:line="360" w:lineRule="auto"/>
        <w:ind w:left="559"/>
        <w:jc w:val="center"/>
        <w:rPr>
          <w:rFonts w:cs="Times New Roman"/>
          <w:b/>
          <w:bCs/>
          <w:sz w:val="28"/>
          <w:szCs w:val="28"/>
        </w:rPr>
      </w:pPr>
      <w:r>
        <w:rPr>
          <w:rFonts w:hint="eastAsia"/>
          <w:b/>
          <w:bCs/>
          <w:sz w:val="28"/>
          <w:szCs w:val="28"/>
        </w:rPr>
        <w:t>招标公告</w:t>
      </w:r>
    </w:p>
    <w:p>
      <w:pPr>
        <w:pStyle w:val="12"/>
        <w:spacing w:before="12"/>
        <w:rPr>
          <w:rFonts w:cs="Times New Roman"/>
          <w:b/>
          <w:bCs/>
          <w:sz w:val="18"/>
          <w:szCs w:val="18"/>
        </w:rPr>
      </w:pPr>
    </w:p>
    <w:p>
      <w:pPr>
        <w:keepNext w:val="0"/>
        <w:keepLines w:val="0"/>
        <w:widowControl w:val="0"/>
        <w:suppressLineNumbers w:val="0"/>
        <w:pBdr>
          <w:top w:val="single" w:color="auto" w:sz="4" w:space="0"/>
          <w:left w:val="single" w:color="auto" w:sz="4" w:space="0"/>
          <w:bottom w:val="single" w:color="auto" w:sz="4" w:space="0"/>
          <w:right w:val="single" w:color="auto" w:sz="4" w:space="0"/>
        </w:pBdr>
        <w:spacing w:before="0" w:beforeAutospacing="0" w:after="0" w:afterAutospacing="0" w:line="18" w:lineRule="atLeast"/>
        <w:ind w:left="0" w:leftChars="0" w:right="0" w:firstLine="569" w:firstLineChars="270"/>
        <w:jc w:val="both"/>
      </w:pPr>
      <w:r>
        <w:rPr>
          <w:rFonts w:hint="eastAsia" w:ascii="宋体" w:hAnsi="宋体" w:eastAsia="宋体" w:cs="宋体"/>
          <w:b/>
          <w:color w:val="333333"/>
          <w:kern w:val="2"/>
          <w:sz w:val="21"/>
          <w:szCs w:val="21"/>
          <w:lang w:val="en-US" w:eastAsia="zh-CN" w:bidi="ar"/>
        </w:rPr>
        <w:t>项目概况</w:t>
      </w:r>
    </w:p>
    <w:p>
      <w:pPr>
        <w:keepNext w:val="0"/>
        <w:keepLines w:val="0"/>
        <w:widowControl w:val="0"/>
        <w:suppressLineNumbers w:val="0"/>
        <w:pBdr>
          <w:top w:val="single" w:color="auto" w:sz="4" w:space="0"/>
          <w:left w:val="single" w:color="auto" w:sz="4" w:space="0"/>
          <w:bottom w:val="single" w:color="auto" w:sz="4" w:space="0"/>
          <w:right w:val="single" w:color="auto" w:sz="4" w:space="0"/>
        </w:pBdr>
        <w:spacing w:before="0" w:beforeAutospacing="0" w:after="0" w:afterAutospacing="0" w:line="18" w:lineRule="atLeast"/>
        <w:ind w:left="0" w:leftChars="0" w:right="0" w:firstLine="594" w:firstLineChars="270"/>
        <w:jc w:val="both"/>
      </w:pPr>
      <w:r>
        <w:rPr>
          <w:rFonts w:hint="eastAsia"/>
          <w:sz w:val="22"/>
          <w:szCs w:val="22"/>
          <w:u w:val="single"/>
          <w:lang w:val="en-US" w:eastAsia="zh-CN"/>
        </w:rPr>
        <w:t>平乐县2020年水毁项目NO1</w:t>
      </w:r>
      <w:r>
        <w:rPr>
          <w:rFonts w:hint="eastAsia" w:ascii="宋体" w:hAnsi="宋体" w:eastAsia="宋体" w:cs="宋体"/>
          <w:color w:val="333333"/>
          <w:kern w:val="2"/>
          <w:sz w:val="21"/>
          <w:szCs w:val="21"/>
          <w:lang w:val="en-US" w:eastAsia="zh-CN" w:bidi="ar"/>
        </w:rPr>
        <w:t>招标项目的潜在投标人应在</w:t>
      </w:r>
      <w:r>
        <w:rPr>
          <w:rFonts w:hint="eastAsia" w:ascii="宋体" w:hAnsi="宋体" w:eastAsia="宋体" w:cs="宋体"/>
          <w:color w:val="333333"/>
          <w:kern w:val="2"/>
          <w:sz w:val="21"/>
          <w:szCs w:val="21"/>
          <w:u w:val="single"/>
          <w:lang w:val="en-US" w:eastAsia="zh-CN" w:bidi="ar"/>
        </w:rPr>
        <w:t>桂林市公共资源交易中心网（http://glggzy.org.cn）或桂林市政府采购网（http://zfcg.czj.guilin.gov.cn）</w:t>
      </w:r>
      <w:r>
        <w:rPr>
          <w:rFonts w:hint="eastAsia" w:ascii="宋体" w:hAnsi="宋体" w:eastAsia="宋体" w:cs="宋体"/>
          <w:color w:val="333333"/>
          <w:kern w:val="2"/>
          <w:sz w:val="21"/>
          <w:szCs w:val="21"/>
          <w:lang w:val="en-US" w:eastAsia="zh-CN" w:bidi="ar"/>
        </w:rPr>
        <w:t>免费获取招标文件，并于2020年12月17日10点30分（北京时间）前递交投标文件。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一、项目基本情况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项目编号：GLZC2020-G2-300038-HNZR</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u w:val="none"/>
        </w:rPr>
      </w:pPr>
      <w:r>
        <w:rPr>
          <w:rFonts w:hint="eastAsia" w:ascii="宋体" w:hAnsi="宋体" w:eastAsia="宋体" w:cs="宋体"/>
          <w:color w:val="333333"/>
          <w:kern w:val="2"/>
          <w:sz w:val="21"/>
          <w:szCs w:val="21"/>
          <w:lang w:val="en-US" w:eastAsia="zh-CN" w:bidi="ar"/>
        </w:rPr>
        <w:t>项目名称</w:t>
      </w:r>
      <w:r>
        <w:rPr>
          <w:rFonts w:hint="eastAsia" w:ascii="宋体" w:hAnsi="宋体" w:eastAsia="宋体" w:cs="宋体"/>
          <w:color w:val="333333"/>
          <w:kern w:val="2"/>
          <w:sz w:val="21"/>
          <w:szCs w:val="21"/>
          <w:u w:val="none"/>
          <w:lang w:val="en-US" w:eastAsia="zh-CN" w:bidi="ar"/>
        </w:rPr>
        <w:t>：</w:t>
      </w:r>
      <w:r>
        <w:rPr>
          <w:rFonts w:hint="eastAsia"/>
          <w:sz w:val="22"/>
          <w:szCs w:val="22"/>
          <w:u w:val="none"/>
          <w:lang w:val="en-US" w:eastAsia="zh-CN"/>
        </w:rPr>
        <w:t>平乐县2020年水毁项目NO1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u w:val="none"/>
        </w:rPr>
      </w:pPr>
      <w:r>
        <w:rPr>
          <w:rFonts w:hint="eastAsia" w:ascii="宋体" w:hAnsi="宋体" w:eastAsia="宋体" w:cs="宋体"/>
          <w:color w:val="333333"/>
          <w:kern w:val="2"/>
          <w:sz w:val="21"/>
          <w:szCs w:val="21"/>
          <w:u w:val="none"/>
          <w:lang w:val="en-US" w:eastAsia="zh-CN" w:bidi="ar"/>
        </w:rPr>
        <w:t>建设地点：</w:t>
      </w:r>
      <w:r>
        <w:rPr>
          <w:rFonts w:hint="eastAsia"/>
          <w:color w:val="auto"/>
          <w:u w:val="none"/>
        </w:rPr>
        <w:t>平乐县</w:t>
      </w:r>
      <w:r>
        <w:rPr>
          <w:rFonts w:hint="eastAsia"/>
          <w:u w:val="none"/>
        </w:rPr>
        <w:t>境</w:t>
      </w:r>
      <w:r>
        <w:rPr>
          <w:rFonts w:hint="eastAsia"/>
          <w:color w:val="auto"/>
          <w:u w:val="none"/>
        </w:rPr>
        <w:t>内</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40" w:firstLineChars="200"/>
        <w:jc w:val="both"/>
        <w:rPr>
          <w:rFonts w:hint="eastAsia"/>
          <w:color w:val="auto"/>
          <w:u w:val="none"/>
          <w:lang w:val="en-US"/>
        </w:rPr>
      </w:pPr>
      <w:r>
        <w:rPr>
          <w:rFonts w:hint="eastAsia"/>
          <w:color w:val="auto"/>
          <w:u w:val="none"/>
        </w:rPr>
        <w:t>计划工期：</w:t>
      </w:r>
      <w:r>
        <w:rPr>
          <w:rFonts w:hint="eastAsia"/>
          <w:color w:val="auto"/>
          <w:u w:val="none"/>
          <w:lang w:val="en-US" w:eastAsia="zh-CN"/>
        </w:rPr>
        <w:t xml:space="preserve"> 240 </w:t>
      </w:r>
      <w:r>
        <w:rPr>
          <w:rFonts w:hint="eastAsia"/>
          <w:color w:val="auto"/>
          <w:u w:val="none"/>
          <w:lang w:val="en-US"/>
        </w:rPr>
        <w:t>日历日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rFonts w:hint="eastAsia"/>
          <w:color w:val="auto"/>
          <w:lang w:val="en-US"/>
        </w:rPr>
      </w:pPr>
      <w:r>
        <w:rPr>
          <w:rFonts w:hint="eastAsia" w:ascii="宋体" w:hAnsi="宋体" w:eastAsia="宋体" w:cs="宋体"/>
          <w:color w:val="333333"/>
          <w:kern w:val="2"/>
          <w:sz w:val="21"/>
          <w:szCs w:val="21"/>
          <w:u w:val="none"/>
          <w:lang w:val="en-US" w:eastAsia="zh-CN" w:bidi="ar"/>
        </w:rPr>
        <w:t>建设规模：项目共涉及</w:t>
      </w:r>
      <w:r>
        <w:rPr>
          <w:rFonts w:hint="default" w:ascii="宋体" w:hAnsi="宋体" w:eastAsia="宋体" w:cs="宋体"/>
          <w:color w:val="333333"/>
          <w:kern w:val="2"/>
          <w:sz w:val="21"/>
          <w:szCs w:val="21"/>
          <w:u w:val="none"/>
          <w:lang w:val="en-US" w:eastAsia="zh-CN" w:bidi="ar"/>
        </w:rPr>
        <w:t>野猫界至悍冲公路</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兴旺至二步水公路</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广运村张家二队至荔浦界</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大冲口桥</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大田冲桥</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国道323线至香炉</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关门洞至大练坝</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同安至大里</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石面山村道</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湖塘崩冲至水淹塘</w:t>
      </w:r>
      <w:r>
        <w:rPr>
          <w:rFonts w:hint="eastAsia" w:ascii="宋体" w:hAnsi="宋体" w:eastAsia="宋体" w:cs="宋体"/>
          <w:color w:val="333333"/>
          <w:kern w:val="2"/>
          <w:sz w:val="21"/>
          <w:szCs w:val="21"/>
          <w:u w:val="none"/>
          <w:lang w:val="en-US" w:eastAsia="zh-CN" w:bidi="ar"/>
        </w:rPr>
        <w:t>等，主要建设内容为:路基、路面工程、桥涵等工程(具体内容按评审后工程量清单和施工图纸）。</w:t>
      </w:r>
    </w:p>
    <w:p>
      <w:pPr>
        <w:pStyle w:val="49"/>
        <w:numPr>
          <w:ilvl w:val="0"/>
          <w:numId w:val="0"/>
        </w:numPr>
        <w:tabs>
          <w:tab w:val="left" w:pos="980"/>
        </w:tabs>
        <w:spacing w:before="3" w:line="360" w:lineRule="auto"/>
        <w:ind w:firstLine="420" w:firstLineChars="200"/>
        <w:rPr>
          <w:rFonts w:hint="eastAsia" w:ascii="宋体" w:hAnsi="宋体" w:eastAsia="宋体" w:cs="宋体"/>
          <w:color w:val="333333"/>
          <w:kern w:val="2"/>
          <w:sz w:val="21"/>
          <w:szCs w:val="21"/>
          <w:u w:val="none"/>
          <w:lang w:val="en-US" w:eastAsia="zh-CN" w:bidi="ar"/>
        </w:rPr>
      </w:pPr>
      <w:r>
        <w:rPr>
          <w:rFonts w:hint="eastAsia" w:ascii="宋体" w:hAnsi="宋体" w:eastAsia="宋体" w:cs="宋体"/>
          <w:color w:val="333333"/>
          <w:kern w:val="2"/>
          <w:sz w:val="21"/>
          <w:szCs w:val="21"/>
          <w:u w:val="none"/>
          <w:lang w:val="en-US" w:eastAsia="zh-CN" w:bidi="ar"/>
        </w:rPr>
        <w:t>招标范围：平乐县2020年水毁项目NO1(具体内容以经评审后的工程量清单和施工图纸为准）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标段划分：本工程划分为1个标段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二、投标人的资格要求：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1.满足《中华人民共和国政府采购法》第二十二条规定。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2.落实政府采购政策需满足的资格要求：无。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rFonts w:hint="eastAsia"/>
          <w:sz w:val="22"/>
          <w:szCs w:val="22"/>
        </w:rPr>
      </w:pPr>
      <w:r>
        <w:rPr>
          <w:rFonts w:hint="eastAsia" w:ascii="宋体" w:hAnsi="宋体" w:eastAsia="宋体" w:cs="宋体"/>
          <w:color w:val="333333"/>
          <w:kern w:val="2"/>
          <w:sz w:val="21"/>
          <w:szCs w:val="21"/>
          <w:lang w:val="en-US" w:eastAsia="zh-CN" w:bidi="ar"/>
        </w:rPr>
        <w:t>3.本项目的特定资格要求：投标人须</w:t>
      </w:r>
      <w:r>
        <w:rPr>
          <w:rFonts w:hint="eastAsia"/>
          <w:sz w:val="22"/>
          <w:szCs w:val="22"/>
        </w:rPr>
        <w:t>具</w:t>
      </w:r>
      <w:r>
        <w:rPr>
          <w:rFonts w:hint="eastAsia"/>
          <w:sz w:val="22"/>
          <w:szCs w:val="22"/>
          <w:u w:val="single"/>
        </w:rPr>
        <w:t>备公路工程施工总承包叁级及以上资质</w:t>
      </w:r>
      <w:r>
        <w:rPr>
          <w:rFonts w:hint="eastAsia"/>
          <w:sz w:val="22"/>
          <w:szCs w:val="22"/>
        </w:rPr>
        <w:t>，并具备省级及以上建设行政主管部门颁发的企业安全生产许可证，并在人员、设备、资金、业绩等方面具有相应的施工能力。</w:t>
      </w:r>
      <w:r>
        <w:rPr>
          <w:lang w:val="en-US"/>
        </w:rPr>
        <w:t xml:space="preserve"> </w:t>
      </w:r>
      <w:r>
        <w:rPr>
          <w:rFonts w:hint="eastAsia"/>
          <w:color w:val="auto"/>
          <w:spacing w:val="-3"/>
        </w:rPr>
        <w:t>拟投入本项目的项目经理须具备公路工程专业二级以上</w:t>
      </w:r>
      <w:r>
        <w:rPr>
          <w:rFonts w:hint="eastAsia"/>
          <w:color w:val="auto"/>
        </w:rPr>
        <w:t>（</w:t>
      </w:r>
      <w:r>
        <w:rPr>
          <w:rFonts w:hint="eastAsia"/>
          <w:color w:val="auto"/>
          <w:spacing w:val="-2"/>
        </w:rPr>
        <w:t>含二级</w:t>
      </w:r>
      <w:r>
        <w:rPr>
          <w:rFonts w:hint="eastAsia"/>
          <w:color w:val="auto"/>
          <w:spacing w:val="-3"/>
        </w:rPr>
        <w:t>）注册建造师执业资格，具备安全生产考核合格证书</w:t>
      </w:r>
      <w:r>
        <w:rPr>
          <w:rFonts w:hint="eastAsia"/>
          <w:color w:val="auto"/>
        </w:rPr>
        <w:t>（</w:t>
      </w:r>
      <w:r>
        <w:rPr>
          <w:color w:val="auto"/>
        </w:rPr>
        <w:t>B</w:t>
      </w:r>
      <w:r>
        <w:rPr>
          <w:rFonts w:hint="eastAsia"/>
          <w:color w:val="auto"/>
          <w:spacing w:val="-2"/>
        </w:rPr>
        <w:t>类证书</w:t>
      </w:r>
      <w:r>
        <w:rPr>
          <w:rFonts w:hint="eastAsia"/>
          <w:color w:val="auto"/>
        </w:rPr>
        <w:t>）</w:t>
      </w:r>
      <w:r>
        <w:rPr>
          <w:rFonts w:hint="eastAsia"/>
          <w:color w:val="auto"/>
          <w:spacing w:val="-3"/>
        </w:rPr>
        <w:t>，本工程项目总工须具备路桥类专业中级及以上技术职称。</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40" w:firstLineChars="200"/>
        <w:jc w:val="both"/>
        <w:rPr>
          <w:rFonts w:hint="eastAsia"/>
          <w:sz w:val="22"/>
          <w:szCs w:val="22"/>
        </w:rPr>
      </w:pPr>
      <w:r>
        <w:rPr>
          <w:rFonts w:hint="eastAsia"/>
          <w:sz w:val="22"/>
          <w:szCs w:val="22"/>
          <w:lang w:val="en-US" w:eastAsia="zh-CN"/>
        </w:rPr>
        <w:t>4.</w:t>
      </w:r>
      <w:r>
        <w:rPr>
          <w:rFonts w:hint="eastAsia"/>
          <w:sz w:val="22"/>
          <w:szCs w:val="22"/>
          <w:lang w:val="en-US"/>
        </w:rPr>
        <w:t xml:space="preserve"> </w:t>
      </w:r>
      <w:r>
        <w:rPr>
          <w:rFonts w:hint="eastAsia"/>
          <w:sz w:val="22"/>
          <w:szCs w:val="22"/>
        </w:rPr>
        <w:t>投标人的信用评价等级不低于C级。投标人的信用评价等级按照桂林市交通运输局《关于印发桂林市农村公路建设市场从业单位信用评价实施细则的通知》（市交[2015]70 号）有关规定执行，投标人须已向桂林市交通工程质量监督部门办理了企业信用信息采集工作，并以桂林市交通运输局在本项目投标文件递交截止时间前最新公布的桂林市农村公路建设市场施工企业信用等级评定结果为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rFonts w:hint="default"/>
          <w:lang w:val="en-US"/>
        </w:rPr>
      </w:pPr>
      <w:r>
        <w:rPr>
          <w:rFonts w:hint="eastAsia" w:ascii="宋体" w:hAnsi="宋体" w:cs="宋体"/>
          <w:color w:val="333333"/>
          <w:kern w:val="2"/>
          <w:sz w:val="21"/>
          <w:szCs w:val="21"/>
          <w:lang w:val="en-US" w:eastAsia="zh-CN" w:bidi="ar"/>
        </w:rPr>
        <w:t>5.</w:t>
      </w:r>
      <w:r>
        <w:rPr>
          <w:rFonts w:hint="eastAsia" w:ascii="宋体" w:hAnsi="宋体" w:eastAsia="宋体" w:cs="宋体"/>
          <w:color w:val="333333"/>
          <w:kern w:val="2"/>
          <w:sz w:val="21"/>
          <w:szCs w:val="21"/>
          <w:lang w:val="en-US" w:eastAsia="zh-CN" w:bidi="ar"/>
        </w:rPr>
        <w:t>本项目不接受联合体投标。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三、获取招标文件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时间：2020年11月25日起至投标文件递交截止时间止。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地点及方式：潜在投标人请登陆桂林市公共资源交易中心网（http://glggzy.org.cn）或桂林市政府采购网（http://zfcg.czj.guilin.gov.cn）免费下载招标文件电子版，并根据招标文件规定的投标文件递交截止时间和地点直接提交投标文件参与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售价：0元。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四、提交投标文件截止时间、开标时间和地点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截止时间：2020年12月17日10点30分（北京时间）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地点：投标人应于2020</w:t>
      </w:r>
      <w:r>
        <w:rPr>
          <w:rFonts w:hint="eastAsia" w:ascii="宋体" w:hAnsi="宋体" w:eastAsia="宋体" w:cs="宋体"/>
          <w:color w:val="333333"/>
          <w:kern w:val="2"/>
          <w:sz w:val="21"/>
          <w:szCs w:val="21"/>
          <w:u w:val="none"/>
          <w:lang w:val="en-US" w:eastAsia="zh-CN" w:bidi="ar"/>
        </w:rPr>
        <w:t>年12月17日10时00分至10时30分，将投标文件密封提交至桂林市公共资源交易中心3号开标室（广西桂林市临桂区西城中路69号创</w:t>
      </w:r>
      <w:r>
        <w:rPr>
          <w:rFonts w:hint="eastAsia" w:ascii="宋体" w:hAnsi="宋体" w:eastAsia="宋体" w:cs="宋体"/>
          <w:color w:val="333333"/>
          <w:kern w:val="2"/>
          <w:sz w:val="21"/>
          <w:szCs w:val="21"/>
          <w:lang w:val="en-US" w:eastAsia="zh-CN" w:bidi="ar"/>
        </w:rPr>
        <w:t>业大厦西辅楼4楼），未按要求密封或逾期送达的投标文件将予以拒收。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五、公告期限</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自本公告发布之日起5个工作日。</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六、其他补充事宜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1.本项目需要落实的政府采购政策：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（1）《政府采购促进中小企业发展暂行办法》（财库[2011]181号）。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（2）《关于政府采购支持监狱企业发展有关问题的通知》（财库[2014]68号）。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（3）《关于促进残疾人就业政府采购政策的通知》（财库[2017]141号）。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（4）政府采购扶持不发达地区和少数民族地区。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（5）本项目非专门面向中小微企业采购。</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2.信息公告发布媒体：http://www.ccgp.gov.cn（中国政府采购网）、http://www.ccgp-guangxi.gov.cn/（广西壮族自治区政府采购网）、</w:t>
      </w:r>
      <w:r>
        <w:rPr>
          <w:rFonts w:hint="eastAsia"/>
          <w:shd w:val="clear" w:color="auto" w:fill="FFFFFF"/>
        </w:rPr>
        <w:t>（</w:t>
      </w:r>
      <w:r>
        <w:rPr>
          <w:shd w:val="clear" w:color="auto" w:fill="FFFFFF"/>
        </w:rPr>
        <w:t>ztb.gxi.gov.cn</w:t>
      </w:r>
      <w:r>
        <w:rPr>
          <w:rFonts w:hint="eastAsia"/>
          <w:shd w:val="clear" w:color="auto" w:fill="FFFFFF"/>
        </w:rPr>
        <w:t>）广西壮族自治区招标投标公共服务平台</w:t>
      </w:r>
      <w:r>
        <w:rPr>
          <w:rFonts w:hint="eastAsia"/>
          <w:shd w:val="clear" w:color="auto" w:fill="FFFFFF"/>
          <w:lang w:eastAsia="zh-CN"/>
        </w:rPr>
        <w:t>、</w:t>
      </w:r>
      <w:r>
        <w:rPr>
          <w:rFonts w:hint="eastAsia" w:ascii="宋体" w:hAnsi="宋体" w:eastAsia="宋体" w:cs="宋体"/>
          <w:color w:val="333333"/>
          <w:kern w:val="2"/>
          <w:sz w:val="21"/>
          <w:szCs w:val="21"/>
          <w:lang w:val="en-US" w:eastAsia="zh-CN" w:bidi="ar"/>
        </w:rPr>
        <w:t>http://zfcg.czj.guilin.gov.cn（桂林市政府采购网）、http://glggzy.org.cn（桂林市公共资源交易中心网）</w:t>
      </w:r>
      <w:r>
        <w:rPr>
          <w:rFonts w:hint="eastAsia" w:cs="宋体"/>
          <w:color w:val="333333"/>
          <w:kern w:val="2"/>
          <w:sz w:val="21"/>
          <w:szCs w:val="21"/>
          <w:lang w:val="en-US" w:eastAsia="zh-CN" w:bidi="ar"/>
        </w:rPr>
        <w:t>、</w:t>
      </w:r>
      <w:r>
        <w:rPr>
          <w:rFonts w:hint="eastAsia"/>
          <w:shd w:val="clear" w:color="auto" w:fill="FFFFFF"/>
        </w:rPr>
        <w:t>（</w:t>
      </w:r>
      <w:r>
        <w:rPr>
          <w:shd w:val="clear" w:color="auto" w:fill="FFFFFF"/>
        </w:rPr>
        <w:t>http://www.pingle.gov.cn</w:t>
      </w:r>
      <w:r>
        <w:rPr>
          <w:rFonts w:hint="eastAsia"/>
          <w:shd w:val="clear" w:color="auto" w:fill="FFFFFF"/>
        </w:rPr>
        <w:t>）平乐县人民政府网</w:t>
      </w:r>
      <w:r>
        <w:rPr>
          <w:rFonts w:hint="eastAsia" w:ascii="宋体" w:hAnsi="宋体" w:eastAsia="宋体" w:cs="宋体"/>
          <w:color w:val="333333"/>
          <w:kern w:val="2"/>
          <w:sz w:val="21"/>
          <w:szCs w:val="21"/>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jc w:val="both"/>
      </w:pPr>
      <w:r>
        <w:rPr>
          <w:rFonts w:hint="eastAsia" w:ascii="宋体" w:hAnsi="宋体" w:eastAsia="宋体" w:cs="宋体"/>
          <w:b/>
          <w:color w:val="333333"/>
          <w:kern w:val="2"/>
          <w:sz w:val="21"/>
          <w:szCs w:val="21"/>
          <w:lang w:val="en-US" w:eastAsia="zh-CN" w:bidi="ar"/>
        </w:rPr>
        <w:t>七、对本次招标提出询问，请按以下方式联系。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1.采购人信息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名    称：</w:t>
      </w:r>
      <w:r>
        <w:rPr>
          <w:rFonts w:hint="eastAsia"/>
          <w:lang w:eastAsia="zh-CN"/>
        </w:rPr>
        <w:t>平乐县农村公路建设管理办公室</w:t>
      </w:r>
      <w:r>
        <w:rPr>
          <w:lang w:val="en-US"/>
        </w:rPr>
        <w:t xml:space="preserve"> </w:t>
      </w: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lang w:val="en-US"/>
        </w:rPr>
      </w:pPr>
      <w:r>
        <w:rPr>
          <w:rFonts w:hint="eastAsia" w:ascii="宋体" w:hAnsi="宋体" w:eastAsia="宋体" w:cs="宋体"/>
          <w:color w:val="333333"/>
          <w:kern w:val="2"/>
          <w:sz w:val="21"/>
          <w:szCs w:val="21"/>
          <w:lang w:val="en-US" w:eastAsia="zh-CN" w:bidi="ar"/>
        </w:rPr>
        <w:t>地    址：</w:t>
      </w:r>
      <w:r>
        <w:rPr>
          <w:rFonts w:hint="eastAsia"/>
        </w:rPr>
        <w:t>平乐县平乐镇新安街</w:t>
      </w:r>
      <w:r>
        <w:t>231</w:t>
      </w:r>
      <w:r>
        <w:rPr>
          <w:rFonts w:hint="eastAsia"/>
        </w:rPr>
        <w:t>号</w:t>
      </w:r>
      <w:r>
        <w:rPr>
          <w:lang w:val="en-US"/>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40" w:firstLineChars="200"/>
        <w:jc w:val="both"/>
      </w:pPr>
      <w:r>
        <w:rPr>
          <w:rFonts w:hint="eastAsia"/>
          <w:lang w:val="en-US" w:eastAsia="zh-CN"/>
        </w:rPr>
        <w:t>联 系 人：</w:t>
      </w:r>
      <w:r>
        <w:rPr>
          <w:rFonts w:hint="eastAsia"/>
        </w:rPr>
        <w:t>夏寒冰</w:t>
      </w:r>
      <w:r>
        <w:t xml:space="preserve">    </w:t>
      </w: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联系方式：</w:t>
      </w:r>
      <w:r>
        <w:t xml:space="preserve">0773-7882733 </w:t>
      </w: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2.采购代理机构信息</w:t>
      </w:r>
    </w:p>
    <w:p>
      <w:pPr>
        <w:tabs>
          <w:tab w:val="left" w:pos="4536"/>
        </w:tabs>
        <w:spacing w:line="360" w:lineRule="auto"/>
        <w:ind w:right="-594" w:rightChars="-270" w:firstLine="420" w:firstLineChars="200"/>
      </w:pPr>
      <w:r>
        <w:rPr>
          <w:rFonts w:hint="eastAsia" w:ascii="宋体" w:hAnsi="宋体" w:eastAsia="宋体" w:cs="宋体"/>
          <w:color w:val="333333"/>
          <w:kern w:val="2"/>
          <w:sz w:val="21"/>
          <w:szCs w:val="21"/>
          <w:lang w:val="en-US" w:eastAsia="zh-CN" w:bidi="ar"/>
        </w:rPr>
        <w:t>名    称：</w:t>
      </w:r>
      <w:r>
        <w:rPr>
          <w:rFonts w:hint="eastAsia"/>
          <w:lang w:eastAsia="zh-CN"/>
        </w:rPr>
        <w:t>海南正荣项目投资管理有限公司</w:t>
      </w: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地   址：</w:t>
      </w:r>
      <w:r>
        <w:rPr>
          <w:rFonts w:hint="eastAsia"/>
          <w:lang w:eastAsia="zh-CN"/>
        </w:rPr>
        <w:t>桂林市秀峰区翠竹路61号翠竹苑小区7-3-11-2号</w:t>
      </w: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 xml:space="preserve">联 系 人：李工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联系方式：</w:t>
      </w:r>
      <w:r>
        <w:t>0773-</w:t>
      </w:r>
      <w:r>
        <w:rPr>
          <w:rFonts w:hint="eastAsia"/>
          <w:lang w:eastAsia="zh-CN"/>
        </w:rPr>
        <w:t>3637756　</w:t>
      </w:r>
      <w:r>
        <w:rPr>
          <w:rFonts w:hint="eastAsia" w:ascii="宋体" w:hAnsi="宋体" w:eastAsia="宋体" w:cs="宋体"/>
          <w:color w:val="333333"/>
          <w:kern w:val="2"/>
          <w:sz w:val="21"/>
          <w:szCs w:val="21"/>
          <w:lang w:val="en-US" w:eastAsia="zh-CN" w:bidi="ar"/>
        </w:rPr>
        <w:t xml:space="preserve">       </w:t>
      </w:r>
    </w:p>
    <w:p>
      <w:pPr>
        <w:pStyle w:val="12"/>
        <w:numPr>
          <w:ilvl w:val="0"/>
          <w:numId w:val="0"/>
        </w:numPr>
        <w:spacing w:before="60" w:line="360" w:lineRule="auto"/>
        <w:ind w:firstLine="420" w:firstLineChars="200"/>
        <w:rPr>
          <w:rFonts w:hint="eastAsia"/>
        </w:rPr>
      </w:pPr>
      <w:r>
        <w:rPr>
          <w:rFonts w:hint="eastAsia" w:ascii="宋体" w:hAnsi="宋体" w:eastAsia="宋体" w:cs="宋体"/>
          <w:color w:val="333333"/>
          <w:kern w:val="2"/>
          <w:sz w:val="21"/>
          <w:szCs w:val="21"/>
          <w:lang w:val="en-US" w:eastAsia="zh-CN" w:bidi="ar"/>
        </w:rPr>
        <w:t>4.政府采购监督管理部门：</w:t>
      </w:r>
      <w:r>
        <w:rPr>
          <w:rFonts w:hint="eastAsia"/>
          <w:sz w:val="21"/>
          <w:szCs w:val="21"/>
        </w:rPr>
        <w:t>平乐县政府采购办公室</w:t>
      </w:r>
      <w:r>
        <w:rPr>
          <w:rFonts w:hint="eastAsia"/>
          <w:color w:val="auto"/>
        </w:rPr>
        <w:t xml:space="preserve">   联系电话：0773-</w:t>
      </w:r>
      <w:r>
        <w:rPr>
          <w:rFonts w:hint="eastAsia"/>
          <w:color w:val="auto"/>
          <w:lang w:val="en-US" w:eastAsia="zh-CN"/>
        </w:rPr>
        <w:t>7882157</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jc w:val="both"/>
      </w:pPr>
      <w:r>
        <w:rPr>
          <w:rFonts w:hint="eastAsia" w:ascii="宋体" w:hAnsi="宋体" w:eastAsia="宋体" w:cs="宋体"/>
          <w:color w:val="333333"/>
          <w:kern w:val="2"/>
          <w:sz w:val="21"/>
          <w:szCs w:val="21"/>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480" w:firstLine="5880" w:firstLineChars="2800"/>
        <w:jc w:val="both"/>
      </w:pPr>
      <w:r>
        <w:rPr>
          <w:rFonts w:hint="eastAsia" w:ascii="宋体" w:hAnsi="宋体" w:eastAsia="宋体" w:cs="宋体"/>
          <w:color w:val="333333"/>
          <w:kern w:val="2"/>
          <w:sz w:val="21"/>
          <w:szCs w:val="21"/>
          <w:lang w:val="en-US" w:eastAsia="zh-CN" w:bidi="ar"/>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33333"/>
          <w:kern w:val="2"/>
          <w:sz w:val="21"/>
          <w:szCs w:val="21"/>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480"/>
        <w:jc w:val="both"/>
      </w:pPr>
      <w:r>
        <w:rPr>
          <w:rFonts w:hint="eastAsia" w:ascii="宋体" w:hAnsi="宋体" w:eastAsia="宋体" w:cs="宋体"/>
          <w:color w:val="333333"/>
          <w:kern w:val="2"/>
          <w:sz w:val="21"/>
          <w:szCs w:val="21"/>
          <w:lang w:val="en-US" w:eastAsia="zh-CN" w:bidi="ar"/>
        </w:rPr>
        <w:t xml:space="preserve">                                         </w:t>
      </w:r>
      <w:r>
        <w:rPr>
          <w:rFonts w:hint="eastAsia"/>
          <w:lang w:eastAsia="zh-CN"/>
        </w:rPr>
        <w:t>海南正荣项目投资管理有限公司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2730" w:firstLineChars="1300"/>
        <w:jc w:val="both"/>
      </w:pPr>
      <w:r>
        <w:rPr>
          <w:rFonts w:hint="eastAsia" w:ascii="宋体" w:hAnsi="宋体" w:eastAsia="宋体" w:cs="宋体"/>
          <w:color w:val="333333"/>
          <w:kern w:val="2"/>
          <w:sz w:val="21"/>
          <w:szCs w:val="21"/>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2730" w:firstLineChars="1300"/>
        <w:jc w:val="both"/>
      </w:pPr>
      <w:r>
        <w:rPr>
          <w:rFonts w:hint="eastAsia" w:ascii="宋体" w:hAnsi="宋体" w:eastAsia="宋体" w:cs="宋体"/>
          <w:color w:val="333333"/>
          <w:kern w:val="2"/>
          <w:sz w:val="21"/>
          <w:szCs w:val="21"/>
          <w:lang w:val="en-US" w:eastAsia="zh-CN" w:bidi="ar"/>
        </w:rPr>
        <w:t xml:space="preserve">                         2020年11月25日</w:t>
      </w:r>
      <w:r>
        <w:rPr>
          <w:rFonts w:hint="eastAsia" w:ascii="宋体" w:hAnsi="宋体" w:eastAsia="宋体" w:cs="宋体"/>
          <w:b/>
          <w:color w:val="333333"/>
          <w:kern w:val="2"/>
          <w:sz w:val="21"/>
          <w:szCs w:val="21"/>
          <w:lang w:val="en-US" w:eastAsia="zh-CN" w:bidi="ar"/>
        </w:rPr>
        <w:t xml:space="preserve"> </w:t>
      </w:r>
    </w:p>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hint="eastAsia"/>
        </w:rPr>
      </w:pPr>
    </w:p>
    <w:p>
      <w:pPr>
        <w:pStyle w:val="4"/>
        <w:tabs>
          <w:tab w:val="left" w:pos="1444"/>
        </w:tabs>
        <w:spacing w:before="61"/>
        <w:ind w:right="137"/>
        <w:rPr>
          <w:rFonts w:cs="Times New Roman"/>
        </w:rPr>
      </w:pPr>
      <w:r>
        <w:rPr>
          <w:rFonts w:hint="eastAsia"/>
        </w:rPr>
        <w:t>第二章</w:t>
      </w:r>
      <w:r>
        <w:rPr>
          <w:rFonts w:cs="Times New Roman"/>
        </w:rPr>
        <w:tab/>
      </w:r>
      <w:r>
        <w:rPr>
          <w:rFonts w:hint="eastAsia"/>
        </w:rPr>
        <w:t>投标人须知</w:t>
      </w:r>
    </w:p>
    <w:p>
      <w:pPr>
        <w:pStyle w:val="8"/>
        <w:spacing w:before="74"/>
        <w:ind w:left="432" w:right="142"/>
        <w:rPr>
          <w:rFonts w:cs="Times New Roman"/>
        </w:rPr>
      </w:pPr>
      <w:r>
        <w:rPr>
          <w:rFonts w:hint="eastAsia"/>
        </w:rPr>
        <w:t>投标人须知前附表</w:t>
      </w:r>
    </w:p>
    <w:tbl>
      <w:tblPr>
        <w:tblStyle w:val="20"/>
        <w:tblpPr w:leftFromText="180" w:rightFromText="180" w:vertAnchor="text" w:horzAnchor="page" w:tblpX="1170" w:tblpY="59"/>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9"/>
        <w:gridCol w:w="2662"/>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059" w:type="dxa"/>
          </w:tcPr>
          <w:p>
            <w:pPr>
              <w:pStyle w:val="50"/>
              <w:spacing w:before="142" w:line="257" w:lineRule="exact"/>
              <w:ind w:left="180" w:right="173"/>
              <w:jc w:val="center"/>
              <w:rPr>
                <w:rFonts w:cs="Times New Roman"/>
                <w:b/>
                <w:bCs/>
                <w:sz w:val="21"/>
                <w:szCs w:val="21"/>
              </w:rPr>
            </w:pPr>
            <w:r>
              <w:rPr>
                <w:rFonts w:hint="eastAsia"/>
                <w:b/>
                <w:bCs/>
                <w:sz w:val="21"/>
                <w:szCs w:val="21"/>
              </w:rPr>
              <w:t>条款号</w:t>
            </w:r>
          </w:p>
        </w:tc>
        <w:tc>
          <w:tcPr>
            <w:tcW w:w="2662" w:type="dxa"/>
          </w:tcPr>
          <w:p>
            <w:pPr>
              <w:pStyle w:val="50"/>
              <w:tabs>
                <w:tab w:val="left" w:pos="434"/>
                <w:tab w:val="left" w:pos="854"/>
                <w:tab w:val="left" w:pos="1277"/>
              </w:tabs>
              <w:spacing w:before="142" w:line="257" w:lineRule="exact"/>
              <w:ind w:left="12"/>
              <w:jc w:val="center"/>
              <w:rPr>
                <w:rFonts w:cs="Times New Roman"/>
                <w:b/>
                <w:bCs/>
                <w:sz w:val="21"/>
                <w:szCs w:val="21"/>
              </w:rPr>
            </w:pPr>
            <w:r>
              <w:rPr>
                <w:rFonts w:hint="eastAsia"/>
                <w:b/>
                <w:bCs/>
                <w:sz w:val="21"/>
                <w:szCs w:val="21"/>
              </w:rPr>
              <w:t>条</w:t>
            </w:r>
            <w:r>
              <w:rPr>
                <w:rFonts w:cs="Times New Roman"/>
                <w:b/>
                <w:bCs/>
                <w:sz w:val="21"/>
                <w:szCs w:val="21"/>
              </w:rPr>
              <w:tab/>
            </w:r>
            <w:r>
              <w:rPr>
                <w:rFonts w:hint="eastAsia"/>
                <w:b/>
                <w:bCs/>
                <w:sz w:val="21"/>
                <w:szCs w:val="21"/>
              </w:rPr>
              <w:t>款</w:t>
            </w:r>
            <w:r>
              <w:rPr>
                <w:rFonts w:cs="Times New Roman"/>
                <w:b/>
                <w:bCs/>
                <w:sz w:val="21"/>
                <w:szCs w:val="21"/>
              </w:rPr>
              <w:tab/>
            </w:r>
            <w:r>
              <w:rPr>
                <w:rFonts w:hint="eastAsia"/>
                <w:b/>
                <w:bCs/>
                <w:sz w:val="21"/>
                <w:szCs w:val="21"/>
              </w:rPr>
              <w:t>名</w:t>
            </w:r>
            <w:r>
              <w:rPr>
                <w:rFonts w:cs="Times New Roman"/>
                <w:b/>
                <w:bCs/>
                <w:sz w:val="21"/>
                <w:szCs w:val="21"/>
              </w:rPr>
              <w:tab/>
            </w:r>
            <w:r>
              <w:rPr>
                <w:rFonts w:hint="eastAsia"/>
                <w:b/>
                <w:bCs/>
                <w:sz w:val="21"/>
                <w:szCs w:val="21"/>
              </w:rPr>
              <w:t>称</w:t>
            </w:r>
          </w:p>
        </w:tc>
        <w:tc>
          <w:tcPr>
            <w:tcW w:w="5804" w:type="dxa"/>
          </w:tcPr>
          <w:p>
            <w:pPr>
              <w:pStyle w:val="50"/>
              <w:spacing w:before="142" w:line="257" w:lineRule="exact"/>
              <w:ind w:firstLine="2530" w:firstLineChars="1200"/>
              <w:rPr>
                <w:rFonts w:cs="Times New Roman"/>
                <w:b/>
                <w:bCs/>
                <w:sz w:val="21"/>
                <w:szCs w:val="21"/>
              </w:rPr>
            </w:pPr>
            <w:r>
              <w:rPr>
                <w:rFonts w:hint="eastAsia"/>
                <w:b/>
                <w:bCs/>
                <w:sz w:val="21"/>
                <w:szCs w:val="21"/>
              </w:rPr>
              <w:t>编列内</w:t>
            </w:r>
            <w:r>
              <w:rPr>
                <w:rFonts w:hint="eastAsia"/>
                <w:b/>
                <w:bCs/>
                <w:w w:val="99"/>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trPr>
        <w:tc>
          <w:tcPr>
            <w:tcW w:w="1059" w:type="dxa"/>
          </w:tcPr>
          <w:p>
            <w:pPr>
              <w:pStyle w:val="50"/>
              <w:rPr>
                <w:rFonts w:cs="Times New Roman"/>
                <w:sz w:val="20"/>
                <w:szCs w:val="20"/>
              </w:rPr>
            </w:pPr>
          </w:p>
          <w:p>
            <w:pPr>
              <w:pStyle w:val="50"/>
              <w:spacing w:before="6"/>
              <w:rPr>
                <w:rFonts w:cs="Times New Roman"/>
                <w:sz w:val="27"/>
                <w:szCs w:val="27"/>
              </w:rPr>
            </w:pPr>
          </w:p>
          <w:p>
            <w:pPr>
              <w:pStyle w:val="50"/>
              <w:ind w:left="179" w:right="173"/>
              <w:jc w:val="center"/>
              <w:rPr>
                <w:sz w:val="21"/>
                <w:szCs w:val="21"/>
              </w:rPr>
            </w:pPr>
            <w:r>
              <w:rPr>
                <w:sz w:val="21"/>
                <w:szCs w:val="21"/>
              </w:rPr>
              <w:t>1.1.2</w:t>
            </w:r>
          </w:p>
        </w:tc>
        <w:tc>
          <w:tcPr>
            <w:tcW w:w="2662" w:type="dxa"/>
          </w:tcPr>
          <w:p>
            <w:pPr>
              <w:pStyle w:val="50"/>
              <w:rPr>
                <w:rFonts w:cs="Times New Roman"/>
                <w:sz w:val="20"/>
                <w:szCs w:val="20"/>
              </w:rPr>
            </w:pPr>
          </w:p>
          <w:p>
            <w:pPr>
              <w:pStyle w:val="50"/>
              <w:spacing w:before="6"/>
              <w:rPr>
                <w:rFonts w:cs="Times New Roman"/>
                <w:sz w:val="27"/>
                <w:szCs w:val="27"/>
              </w:rPr>
            </w:pPr>
          </w:p>
          <w:p>
            <w:pPr>
              <w:pStyle w:val="50"/>
              <w:ind w:left="7"/>
              <w:jc w:val="center"/>
              <w:rPr>
                <w:rFonts w:cs="Times New Roman"/>
                <w:sz w:val="21"/>
                <w:szCs w:val="21"/>
              </w:rPr>
            </w:pPr>
            <w:r>
              <w:rPr>
                <w:rFonts w:hint="eastAsia"/>
                <w:sz w:val="21"/>
                <w:szCs w:val="21"/>
              </w:rPr>
              <w:t>招标人</w:t>
            </w:r>
          </w:p>
        </w:tc>
        <w:tc>
          <w:tcPr>
            <w:tcW w:w="5804" w:type="dxa"/>
          </w:tcPr>
          <w:p>
            <w:pPr>
              <w:ind w:left="990" w:leftChars="50" w:hanging="880" w:hangingChars="400"/>
              <w:rPr>
                <w:rFonts w:hint="eastAsia" w:eastAsia="宋体" w:cs="Times New Roman"/>
                <w:lang w:eastAsia="zh-CN"/>
              </w:rPr>
            </w:pPr>
            <w:r>
              <w:rPr>
                <w:rFonts w:hint="eastAsia"/>
              </w:rPr>
              <w:t>名称：</w:t>
            </w:r>
            <w:r>
              <w:rPr>
                <w:rFonts w:hint="eastAsia"/>
                <w:lang w:eastAsia="zh-CN"/>
              </w:rPr>
              <w:t>平乐县农村公路建设管理办公室</w:t>
            </w:r>
          </w:p>
          <w:p>
            <w:pPr>
              <w:ind w:left="110" w:leftChars="50"/>
              <w:rPr>
                <w:rFonts w:cs="Times New Roman"/>
              </w:rPr>
            </w:pPr>
            <w:r>
              <w:rPr>
                <w:rFonts w:hint="eastAsia"/>
              </w:rPr>
              <w:t>地址：平乐县平乐镇新安街</w:t>
            </w:r>
            <w:r>
              <w:t>231</w:t>
            </w:r>
            <w:r>
              <w:rPr>
                <w:rFonts w:hint="eastAsia"/>
              </w:rPr>
              <w:t>号</w:t>
            </w:r>
          </w:p>
          <w:p>
            <w:pPr>
              <w:ind w:left="110" w:leftChars="50"/>
              <w:rPr>
                <w:rFonts w:cs="Times New Roman"/>
              </w:rPr>
            </w:pPr>
            <w:r>
              <w:rPr>
                <w:rFonts w:hint="eastAsia"/>
              </w:rPr>
              <w:t>联系人：夏寒冰</w:t>
            </w:r>
          </w:p>
          <w:p>
            <w:pPr>
              <w:pStyle w:val="50"/>
              <w:spacing w:before="3"/>
              <w:ind w:left="4"/>
              <w:rPr>
                <w:rFonts w:cs="Times New Roman"/>
                <w:sz w:val="21"/>
                <w:szCs w:val="21"/>
              </w:rPr>
            </w:pPr>
            <w:r>
              <w:rPr>
                <w:rFonts w:hint="eastAsia"/>
              </w:rPr>
              <w:t>电话：</w:t>
            </w:r>
            <w:r>
              <w:t>0773-7882733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059" w:type="dxa"/>
            <w:vAlign w:val="center"/>
          </w:tcPr>
          <w:p>
            <w:pPr>
              <w:pStyle w:val="50"/>
              <w:jc w:val="center"/>
              <w:rPr>
                <w:rFonts w:cs="Times New Roman"/>
                <w:sz w:val="20"/>
                <w:szCs w:val="20"/>
              </w:rPr>
            </w:pPr>
          </w:p>
          <w:p>
            <w:pPr>
              <w:pStyle w:val="50"/>
              <w:spacing w:before="5"/>
              <w:jc w:val="center"/>
              <w:rPr>
                <w:rFonts w:cs="Times New Roman"/>
                <w:sz w:val="27"/>
                <w:szCs w:val="27"/>
              </w:rPr>
            </w:pPr>
          </w:p>
          <w:p>
            <w:pPr>
              <w:pStyle w:val="50"/>
              <w:spacing w:before="1"/>
              <w:ind w:left="179" w:right="173"/>
              <w:jc w:val="center"/>
              <w:rPr>
                <w:sz w:val="21"/>
                <w:szCs w:val="21"/>
              </w:rPr>
            </w:pPr>
            <w:r>
              <w:rPr>
                <w:sz w:val="21"/>
                <w:szCs w:val="21"/>
              </w:rPr>
              <w:t>1.1.3</w:t>
            </w:r>
          </w:p>
        </w:tc>
        <w:tc>
          <w:tcPr>
            <w:tcW w:w="2662" w:type="dxa"/>
            <w:vAlign w:val="center"/>
          </w:tcPr>
          <w:p>
            <w:pPr>
              <w:pStyle w:val="50"/>
              <w:jc w:val="center"/>
              <w:rPr>
                <w:rFonts w:cs="Times New Roman"/>
                <w:sz w:val="20"/>
                <w:szCs w:val="20"/>
              </w:rPr>
            </w:pPr>
          </w:p>
          <w:p>
            <w:pPr>
              <w:pStyle w:val="50"/>
              <w:spacing w:before="5"/>
              <w:jc w:val="center"/>
              <w:rPr>
                <w:rFonts w:cs="Times New Roman"/>
                <w:sz w:val="27"/>
                <w:szCs w:val="27"/>
              </w:rPr>
            </w:pPr>
          </w:p>
          <w:p>
            <w:pPr>
              <w:pStyle w:val="50"/>
              <w:spacing w:before="1"/>
              <w:ind w:left="7"/>
              <w:jc w:val="center"/>
              <w:rPr>
                <w:rFonts w:cs="Times New Roman"/>
                <w:sz w:val="21"/>
                <w:szCs w:val="21"/>
              </w:rPr>
            </w:pPr>
            <w:r>
              <w:rPr>
                <w:rFonts w:hint="eastAsia"/>
                <w:sz w:val="21"/>
                <w:szCs w:val="21"/>
              </w:rPr>
              <w:t>招标代理机构</w:t>
            </w:r>
          </w:p>
        </w:tc>
        <w:tc>
          <w:tcPr>
            <w:tcW w:w="5804" w:type="dxa"/>
            <w:vAlign w:val="center"/>
          </w:tcPr>
          <w:p>
            <w:pPr>
              <w:ind w:left="110" w:leftChars="50"/>
              <w:rPr>
                <w:rFonts w:hint="eastAsia" w:eastAsia="宋体" w:cs="Times New Roman"/>
                <w:lang w:eastAsia="zh-CN"/>
              </w:rPr>
            </w:pPr>
            <w:r>
              <w:rPr>
                <w:rFonts w:hint="eastAsia"/>
              </w:rPr>
              <w:t>名</w:t>
            </w:r>
            <w:r>
              <w:t xml:space="preserve">  </w:t>
            </w:r>
            <w:r>
              <w:rPr>
                <w:rFonts w:hint="eastAsia"/>
              </w:rPr>
              <w:t>称：</w:t>
            </w:r>
            <w:r>
              <w:rPr>
                <w:rFonts w:hint="eastAsia"/>
                <w:lang w:eastAsia="zh-CN"/>
              </w:rPr>
              <w:t>海南正荣项目投资管理有限公司</w:t>
            </w:r>
          </w:p>
          <w:p>
            <w:pPr>
              <w:ind w:left="110" w:leftChars="50"/>
              <w:rPr>
                <w:rFonts w:hint="eastAsia" w:eastAsia="宋体" w:cs="Times New Roman"/>
                <w:lang w:eastAsia="zh-CN"/>
              </w:rPr>
            </w:pPr>
            <w:r>
              <w:rPr>
                <w:rFonts w:hint="eastAsia"/>
              </w:rPr>
              <w:t>地</w:t>
            </w:r>
            <w:r>
              <w:t xml:space="preserve">  </w:t>
            </w:r>
            <w:r>
              <w:rPr>
                <w:rFonts w:hint="eastAsia"/>
              </w:rPr>
              <w:t>址：</w:t>
            </w:r>
            <w:r>
              <w:rPr>
                <w:rFonts w:hint="eastAsia"/>
                <w:lang w:eastAsia="zh-CN"/>
              </w:rPr>
              <w:t>桂林市秀峰区翠竹路61号翠竹苑小区7-3-11-2号</w:t>
            </w:r>
          </w:p>
          <w:p>
            <w:pPr>
              <w:ind w:left="110" w:leftChars="50"/>
              <w:rPr>
                <w:rFonts w:hint="eastAsia" w:eastAsia="宋体" w:cs="Times New Roman"/>
                <w:lang w:eastAsia="zh-CN"/>
              </w:rPr>
            </w:pPr>
            <w:r>
              <w:rPr>
                <w:rFonts w:hint="eastAsia"/>
              </w:rPr>
              <w:t>联系人：</w:t>
            </w:r>
            <w:r>
              <w:rPr>
                <w:rFonts w:hint="eastAsia"/>
                <w:lang w:eastAsia="zh-CN"/>
              </w:rPr>
              <w:t>李工　</w:t>
            </w:r>
          </w:p>
          <w:p>
            <w:pPr>
              <w:pStyle w:val="50"/>
              <w:spacing w:before="14"/>
              <w:ind w:left="4"/>
              <w:rPr>
                <w:rFonts w:hint="eastAsia" w:eastAsia="宋体" w:cs="Times New Roman"/>
                <w:sz w:val="21"/>
                <w:szCs w:val="21"/>
                <w:lang w:eastAsia="zh-CN"/>
              </w:rPr>
            </w:pPr>
            <w:r>
              <w:rPr>
                <w:rFonts w:hint="eastAsia"/>
              </w:rPr>
              <w:t>电</w:t>
            </w:r>
            <w:r>
              <w:t xml:space="preserve">  </w:t>
            </w:r>
            <w:r>
              <w:rPr>
                <w:rFonts w:hint="eastAsia"/>
              </w:rPr>
              <w:t>话：</w:t>
            </w:r>
            <w:r>
              <w:t>0773-</w:t>
            </w:r>
            <w:r>
              <w:rPr>
                <w:rFonts w:hint="eastAsia"/>
                <w:lang w:eastAsia="zh-CN"/>
              </w:rPr>
              <w:t>3637756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059" w:type="dxa"/>
            <w:vAlign w:val="center"/>
          </w:tcPr>
          <w:p>
            <w:pPr>
              <w:pStyle w:val="50"/>
              <w:spacing w:before="155" w:line="257" w:lineRule="exact"/>
              <w:ind w:left="179" w:right="173"/>
              <w:jc w:val="center"/>
              <w:rPr>
                <w:sz w:val="21"/>
                <w:szCs w:val="21"/>
              </w:rPr>
            </w:pPr>
            <w:r>
              <w:rPr>
                <w:sz w:val="21"/>
                <w:szCs w:val="21"/>
              </w:rPr>
              <w:t>1.1.4</w:t>
            </w:r>
          </w:p>
        </w:tc>
        <w:tc>
          <w:tcPr>
            <w:tcW w:w="2662" w:type="dxa"/>
            <w:vAlign w:val="center"/>
          </w:tcPr>
          <w:p>
            <w:pPr>
              <w:pStyle w:val="50"/>
              <w:spacing w:before="143"/>
              <w:ind w:left="7"/>
              <w:jc w:val="center"/>
              <w:rPr>
                <w:rFonts w:cs="Times New Roman"/>
                <w:sz w:val="21"/>
                <w:szCs w:val="21"/>
              </w:rPr>
            </w:pPr>
            <w:r>
              <w:rPr>
                <w:rFonts w:hint="eastAsia"/>
                <w:sz w:val="21"/>
                <w:szCs w:val="21"/>
              </w:rPr>
              <w:t>项目名称</w:t>
            </w:r>
          </w:p>
        </w:tc>
        <w:tc>
          <w:tcPr>
            <w:tcW w:w="5804" w:type="dxa"/>
            <w:vAlign w:val="center"/>
          </w:tcPr>
          <w:p>
            <w:pPr>
              <w:pStyle w:val="50"/>
              <w:spacing w:before="54"/>
              <w:ind w:left="4"/>
              <w:rPr>
                <w:rFonts w:hint="eastAsia" w:eastAsia="宋体" w:cs="Times New Roman"/>
                <w:sz w:val="21"/>
                <w:szCs w:val="21"/>
                <w:lang w:eastAsia="zh-CN"/>
              </w:rPr>
            </w:pPr>
            <w:r>
              <w:rPr>
                <w:rFonts w:hint="eastAsia"/>
                <w:lang w:eastAsia="zh-CN"/>
              </w:rPr>
              <w:t>平乐县2020年水毁项目NO1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1059" w:type="dxa"/>
            <w:vAlign w:val="center"/>
          </w:tcPr>
          <w:p>
            <w:pPr>
              <w:pStyle w:val="50"/>
              <w:spacing w:before="166" w:line="256" w:lineRule="exact"/>
              <w:ind w:left="179" w:right="173"/>
              <w:jc w:val="center"/>
              <w:rPr>
                <w:sz w:val="21"/>
                <w:szCs w:val="21"/>
              </w:rPr>
            </w:pPr>
            <w:r>
              <w:rPr>
                <w:sz w:val="21"/>
                <w:szCs w:val="21"/>
              </w:rPr>
              <w:t>1.1.5</w:t>
            </w:r>
          </w:p>
        </w:tc>
        <w:tc>
          <w:tcPr>
            <w:tcW w:w="2662" w:type="dxa"/>
            <w:vAlign w:val="center"/>
          </w:tcPr>
          <w:p>
            <w:pPr>
              <w:pStyle w:val="50"/>
              <w:spacing w:before="154" w:line="268" w:lineRule="exact"/>
              <w:ind w:left="7"/>
              <w:jc w:val="center"/>
              <w:rPr>
                <w:rFonts w:cs="Times New Roman"/>
                <w:sz w:val="21"/>
                <w:szCs w:val="21"/>
              </w:rPr>
            </w:pPr>
            <w:r>
              <w:rPr>
                <w:rFonts w:hint="eastAsia"/>
                <w:sz w:val="21"/>
                <w:szCs w:val="21"/>
              </w:rPr>
              <w:t>建设地点</w:t>
            </w:r>
          </w:p>
        </w:tc>
        <w:tc>
          <w:tcPr>
            <w:tcW w:w="5804" w:type="dxa"/>
            <w:vAlign w:val="center"/>
          </w:tcPr>
          <w:p>
            <w:pPr>
              <w:pStyle w:val="50"/>
              <w:spacing w:before="53"/>
              <w:ind w:left="4"/>
              <w:rPr>
                <w:rFonts w:cs="Times New Roman"/>
                <w:sz w:val="21"/>
                <w:szCs w:val="21"/>
              </w:rPr>
            </w:pPr>
            <w:r>
              <w:rPr>
                <w:rFonts w:hint="eastAsia"/>
              </w:rPr>
              <w:t>平乐县境内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059" w:type="dxa"/>
            <w:vAlign w:val="center"/>
          </w:tcPr>
          <w:p>
            <w:pPr>
              <w:pStyle w:val="50"/>
              <w:spacing w:before="6"/>
              <w:jc w:val="center"/>
              <w:rPr>
                <w:rFonts w:cs="Times New Roman"/>
                <w:sz w:val="21"/>
                <w:szCs w:val="21"/>
              </w:rPr>
            </w:pPr>
          </w:p>
          <w:p>
            <w:pPr>
              <w:pStyle w:val="50"/>
              <w:ind w:left="179" w:right="173"/>
              <w:jc w:val="center"/>
              <w:rPr>
                <w:sz w:val="21"/>
                <w:szCs w:val="21"/>
              </w:rPr>
            </w:pPr>
            <w:r>
              <w:rPr>
                <w:sz w:val="21"/>
                <w:szCs w:val="21"/>
              </w:rPr>
              <w:t>1.2.1</w:t>
            </w:r>
          </w:p>
        </w:tc>
        <w:tc>
          <w:tcPr>
            <w:tcW w:w="2662" w:type="dxa"/>
            <w:vAlign w:val="center"/>
          </w:tcPr>
          <w:p>
            <w:pPr>
              <w:pStyle w:val="50"/>
              <w:spacing w:before="9"/>
              <w:jc w:val="center"/>
              <w:rPr>
                <w:rFonts w:cs="Times New Roman"/>
                <w:sz w:val="20"/>
                <w:szCs w:val="20"/>
              </w:rPr>
            </w:pPr>
          </w:p>
          <w:p>
            <w:pPr>
              <w:pStyle w:val="50"/>
              <w:ind w:left="7"/>
              <w:jc w:val="center"/>
              <w:rPr>
                <w:rFonts w:cs="Times New Roman"/>
                <w:sz w:val="21"/>
                <w:szCs w:val="21"/>
              </w:rPr>
            </w:pPr>
            <w:r>
              <w:rPr>
                <w:rFonts w:hint="eastAsia"/>
                <w:sz w:val="21"/>
                <w:szCs w:val="21"/>
              </w:rPr>
              <w:t>资金来源及比例</w:t>
            </w:r>
          </w:p>
        </w:tc>
        <w:tc>
          <w:tcPr>
            <w:tcW w:w="5804" w:type="dxa"/>
            <w:vAlign w:val="center"/>
          </w:tcPr>
          <w:p>
            <w:pPr>
              <w:pStyle w:val="50"/>
              <w:spacing w:before="2" w:line="328" w:lineRule="exact"/>
              <w:ind w:left="4" w:right="1525"/>
              <w:rPr>
                <w:rFonts w:cs="Times New Roman"/>
                <w:sz w:val="21"/>
                <w:szCs w:val="21"/>
              </w:rPr>
            </w:pPr>
            <w:r>
              <w:rPr>
                <w:rFonts w:hint="eastAsia"/>
              </w:rPr>
              <w:t>财政资金及业主自筹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059" w:type="dxa"/>
            <w:vAlign w:val="center"/>
          </w:tcPr>
          <w:p>
            <w:pPr>
              <w:pStyle w:val="50"/>
              <w:spacing w:before="166" w:line="256" w:lineRule="exact"/>
              <w:ind w:left="179" w:right="173"/>
              <w:jc w:val="center"/>
              <w:rPr>
                <w:sz w:val="21"/>
                <w:szCs w:val="21"/>
              </w:rPr>
            </w:pPr>
            <w:r>
              <w:rPr>
                <w:sz w:val="21"/>
                <w:szCs w:val="21"/>
              </w:rPr>
              <w:t>1.2.2</w:t>
            </w:r>
          </w:p>
        </w:tc>
        <w:tc>
          <w:tcPr>
            <w:tcW w:w="2662" w:type="dxa"/>
            <w:vAlign w:val="center"/>
          </w:tcPr>
          <w:p>
            <w:pPr>
              <w:pStyle w:val="50"/>
              <w:spacing w:before="109"/>
              <w:ind w:left="7"/>
              <w:jc w:val="center"/>
              <w:rPr>
                <w:rFonts w:cs="Times New Roman"/>
                <w:sz w:val="21"/>
                <w:szCs w:val="21"/>
              </w:rPr>
            </w:pPr>
            <w:r>
              <w:rPr>
                <w:rFonts w:hint="eastAsia"/>
                <w:sz w:val="21"/>
                <w:szCs w:val="21"/>
              </w:rPr>
              <w:t>资金落实情况</w:t>
            </w:r>
          </w:p>
        </w:tc>
        <w:tc>
          <w:tcPr>
            <w:tcW w:w="5804" w:type="dxa"/>
            <w:vAlign w:val="center"/>
          </w:tcPr>
          <w:p>
            <w:pPr>
              <w:pStyle w:val="50"/>
              <w:spacing w:before="54"/>
              <w:ind w:left="4"/>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059" w:type="dxa"/>
            <w:vAlign w:val="center"/>
          </w:tcPr>
          <w:p>
            <w:pPr>
              <w:pStyle w:val="50"/>
              <w:spacing w:before="6"/>
              <w:jc w:val="center"/>
              <w:rPr>
                <w:rFonts w:cs="Times New Roman"/>
                <w:sz w:val="21"/>
                <w:szCs w:val="21"/>
              </w:rPr>
            </w:pPr>
          </w:p>
          <w:p>
            <w:pPr>
              <w:pStyle w:val="50"/>
              <w:ind w:left="179" w:right="173"/>
              <w:jc w:val="center"/>
              <w:rPr>
                <w:sz w:val="21"/>
                <w:szCs w:val="21"/>
              </w:rPr>
            </w:pPr>
            <w:r>
              <w:rPr>
                <w:sz w:val="21"/>
                <w:szCs w:val="21"/>
              </w:rPr>
              <w:t>1.3.1</w:t>
            </w:r>
          </w:p>
        </w:tc>
        <w:tc>
          <w:tcPr>
            <w:tcW w:w="2662" w:type="dxa"/>
            <w:vAlign w:val="center"/>
          </w:tcPr>
          <w:p>
            <w:pPr>
              <w:pStyle w:val="50"/>
              <w:spacing w:before="7"/>
              <w:jc w:val="center"/>
              <w:rPr>
                <w:rFonts w:cs="Times New Roman"/>
                <w:sz w:val="20"/>
                <w:szCs w:val="20"/>
              </w:rPr>
            </w:pPr>
          </w:p>
          <w:p>
            <w:pPr>
              <w:pStyle w:val="50"/>
              <w:ind w:left="5"/>
              <w:jc w:val="center"/>
              <w:rPr>
                <w:rFonts w:cs="Times New Roman"/>
                <w:sz w:val="21"/>
                <w:szCs w:val="21"/>
              </w:rPr>
            </w:pPr>
            <w:r>
              <w:rPr>
                <w:rFonts w:hint="eastAsia"/>
                <w:sz w:val="21"/>
                <w:szCs w:val="21"/>
              </w:rPr>
              <w:t>招标范围</w:t>
            </w:r>
          </w:p>
        </w:tc>
        <w:tc>
          <w:tcPr>
            <w:tcW w:w="5804" w:type="dxa"/>
            <w:vAlign w:val="center"/>
          </w:tcPr>
          <w:p>
            <w:pPr>
              <w:pStyle w:val="50"/>
              <w:spacing w:before="2" w:line="328" w:lineRule="exact"/>
              <w:ind w:left="4" w:right="-15"/>
              <w:rPr>
                <w:rFonts w:cs="Times New Roman"/>
                <w:sz w:val="21"/>
                <w:szCs w:val="21"/>
              </w:rPr>
            </w:pPr>
            <w:r>
              <w:rPr>
                <w:rFonts w:hint="eastAsia"/>
              </w:rPr>
              <w:t>施工图范围内包含的施工内容，详见工程量清单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059" w:type="dxa"/>
            <w:vAlign w:val="center"/>
          </w:tcPr>
          <w:p>
            <w:pPr>
              <w:pStyle w:val="50"/>
              <w:jc w:val="center"/>
              <w:rPr>
                <w:rFonts w:cs="Times New Roman"/>
                <w:sz w:val="20"/>
                <w:szCs w:val="20"/>
              </w:rPr>
            </w:pPr>
          </w:p>
          <w:p>
            <w:pPr>
              <w:pStyle w:val="50"/>
              <w:spacing w:before="12"/>
              <w:jc w:val="center"/>
              <w:rPr>
                <w:rFonts w:cs="Times New Roman"/>
                <w:sz w:val="20"/>
                <w:szCs w:val="20"/>
              </w:rPr>
            </w:pPr>
          </w:p>
          <w:p>
            <w:pPr>
              <w:pStyle w:val="50"/>
              <w:ind w:left="179" w:right="173"/>
              <w:jc w:val="center"/>
              <w:rPr>
                <w:sz w:val="21"/>
                <w:szCs w:val="21"/>
              </w:rPr>
            </w:pPr>
            <w:r>
              <w:rPr>
                <w:sz w:val="21"/>
                <w:szCs w:val="21"/>
              </w:rPr>
              <w:t>1.3.2</w:t>
            </w:r>
          </w:p>
        </w:tc>
        <w:tc>
          <w:tcPr>
            <w:tcW w:w="2662" w:type="dxa"/>
            <w:vAlign w:val="center"/>
          </w:tcPr>
          <w:p>
            <w:pPr>
              <w:pStyle w:val="50"/>
              <w:jc w:val="center"/>
              <w:rPr>
                <w:rFonts w:cs="Times New Roman"/>
                <w:color w:val="auto"/>
                <w:sz w:val="20"/>
                <w:szCs w:val="20"/>
              </w:rPr>
            </w:pPr>
          </w:p>
          <w:p>
            <w:pPr>
              <w:pStyle w:val="50"/>
              <w:spacing w:before="172"/>
              <w:ind w:left="5"/>
              <w:jc w:val="center"/>
              <w:rPr>
                <w:rFonts w:cs="Times New Roman"/>
                <w:color w:val="auto"/>
                <w:sz w:val="21"/>
                <w:szCs w:val="21"/>
              </w:rPr>
            </w:pPr>
            <w:r>
              <w:rPr>
                <w:rFonts w:hint="eastAsia"/>
                <w:color w:val="auto"/>
                <w:sz w:val="21"/>
                <w:szCs w:val="21"/>
              </w:rPr>
              <w:t>计划工期</w:t>
            </w:r>
          </w:p>
        </w:tc>
        <w:tc>
          <w:tcPr>
            <w:tcW w:w="5804" w:type="dxa"/>
            <w:vAlign w:val="center"/>
          </w:tcPr>
          <w:p>
            <w:pPr>
              <w:pStyle w:val="50"/>
              <w:spacing w:before="143"/>
              <w:ind w:left="4"/>
              <w:rPr>
                <w:rFonts w:cs="Times New Roman"/>
                <w:color w:val="auto"/>
                <w:sz w:val="21"/>
                <w:szCs w:val="21"/>
              </w:rPr>
            </w:pPr>
            <w:r>
              <w:rPr>
                <w:rFonts w:hint="eastAsia"/>
                <w:color w:val="auto"/>
                <w:sz w:val="21"/>
                <w:szCs w:val="21"/>
              </w:rPr>
              <w:t>计划工期：</w:t>
            </w:r>
            <w:r>
              <w:rPr>
                <w:rFonts w:hint="eastAsia"/>
                <w:color w:val="auto"/>
                <w:sz w:val="21"/>
                <w:szCs w:val="21"/>
                <w:u w:val="single"/>
                <w:lang w:val="en-US" w:eastAsia="zh-CN"/>
              </w:rPr>
              <w:t xml:space="preserve"> 240 </w:t>
            </w:r>
            <w:r>
              <w:rPr>
                <w:rFonts w:hint="eastAsia"/>
                <w:color w:val="auto"/>
                <w:sz w:val="21"/>
                <w:szCs w:val="21"/>
              </w:rPr>
              <w:t>日历日</w:t>
            </w:r>
          </w:p>
          <w:p>
            <w:pPr>
              <w:pStyle w:val="50"/>
              <w:spacing w:before="1" w:line="330" w:lineRule="atLeast"/>
              <w:ind w:left="4" w:right="661"/>
              <w:rPr>
                <w:rFonts w:hint="eastAsia" w:cs="Times New Roman"/>
                <w:color w:val="auto"/>
                <w:spacing w:val="-12"/>
                <w:sz w:val="21"/>
                <w:szCs w:val="21"/>
                <w:lang w:val="en-US" w:eastAsia="zh-CN"/>
              </w:rPr>
            </w:pPr>
            <w:r>
              <w:rPr>
                <w:rFonts w:hint="eastAsia"/>
                <w:color w:val="auto"/>
                <w:spacing w:val="-4"/>
                <w:sz w:val="21"/>
                <w:szCs w:val="21"/>
              </w:rPr>
              <w:t>计划开工日期：</w:t>
            </w:r>
            <w:r>
              <w:rPr>
                <w:color w:val="auto"/>
                <w:spacing w:val="-4"/>
                <w:sz w:val="21"/>
                <w:szCs w:val="21"/>
                <w:u w:val="single"/>
              </w:rPr>
              <w:t>20</w:t>
            </w:r>
            <w:r>
              <w:rPr>
                <w:rFonts w:hint="eastAsia"/>
                <w:color w:val="auto"/>
                <w:spacing w:val="-4"/>
                <w:sz w:val="21"/>
                <w:szCs w:val="21"/>
                <w:u w:val="single"/>
                <w:lang w:val="en-US"/>
              </w:rPr>
              <w:t>20</w:t>
            </w:r>
            <w:r>
              <w:rPr>
                <w:rFonts w:hint="eastAsia"/>
                <w:color w:val="auto"/>
                <w:sz w:val="21"/>
                <w:szCs w:val="21"/>
              </w:rPr>
              <w:t>年</w:t>
            </w:r>
            <w:r>
              <w:rPr>
                <w:rFonts w:hint="eastAsia"/>
                <w:color w:val="auto"/>
                <w:sz w:val="21"/>
                <w:szCs w:val="21"/>
                <w:u w:val="single"/>
                <w:lang w:val="en-US" w:eastAsia="zh-CN"/>
              </w:rPr>
              <w:t>12</w:t>
            </w:r>
            <w:r>
              <w:rPr>
                <w:rFonts w:hint="eastAsia"/>
                <w:color w:val="auto"/>
                <w:spacing w:val="-12"/>
                <w:sz w:val="21"/>
                <w:szCs w:val="21"/>
              </w:rPr>
              <w:t>月</w:t>
            </w:r>
            <w:r>
              <w:rPr>
                <w:rFonts w:hint="eastAsia"/>
                <w:color w:val="auto"/>
                <w:spacing w:val="-12"/>
                <w:sz w:val="21"/>
                <w:szCs w:val="21"/>
                <w:u w:val="single"/>
                <w:lang w:val="en-US" w:eastAsia="zh-CN"/>
              </w:rPr>
              <w:t xml:space="preserve"> </w:t>
            </w:r>
            <w:r>
              <w:rPr>
                <w:rFonts w:hint="eastAsia" w:cs="Times New Roman"/>
                <w:color w:val="auto"/>
                <w:spacing w:val="-12"/>
                <w:sz w:val="21"/>
                <w:szCs w:val="21"/>
                <w:u w:val="single"/>
                <w:lang w:val="en-US" w:eastAsia="zh-CN"/>
              </w:rPr>
              <w:t xml:space="preserve">20 </w:t>
            </w:r>
            <w:r>
              <w:rPr>
                <w:rFonts w:hint="eastAsia" w:cs="Times New Roman"/>
                <w:color w:val="auto"/>
                <w:spacing w:val="-12"/>
                <w:sz w:val="21"/>
                <w:szCs w:val="21"/>
                <w:lang w:val="en-US" w:eastAsia="zh-CN"/>
              </w:rPr>
              <w:t>日</w:t>
            </w:r>
          </w:p>
          <w:p>
            <w:pPr>
              <w:pStyle w:val="50"/>
              <w:spacing w:before="1" w:line="330" w:lineRule="atLeast"/>
              <w:ind w:left="4" w:right="661"/>
              <w:rPr>
                <w:rFonts w:hint="default" w:eastAsia="宋体" w:cs="Times New Roman"/>
                <w:color w:val="auto"/>
                <w:sz w:val="21"/>
                <w:szCs w:val="21"/>
                <w:lang w:val="en-US" w:eastAsia="zh-CN"/>
              </w:rPr>
            </w:pPr>
            <w:r>
              <w:rPr>
                <w:rFonts w:hint="eastAsia"/>
                <w:color w:val="auto"/>
                <w:spacing w:val="-4"/>
                <w:sz w:val="21"/>
                <w:szCs w:val="21"/>
              </w:rPr>
              <w:t>计划交工日期：</w:t>
            </w:r>
            <w:r>
              <w:rPr>
                <w:color w:val="auto"/>
                <w:spacing w:val="-4"/>
                <w:sz w:val="21"/>
                <w:szCs w:val="21"/>
                <w:u w:val="single"/>
              </w:rPr>
              <w:t>20</w:t>
            </w:r>
            <w:r>
              <w:rPr>
                <w:rFonts w:hint="eastAsia"/>
                <w:color w:val="auto"/>
                <w:spacing w:val="-4"/>
                <w:sz w:val="21"/>
                <w:szCs w:val="21"/>
                <w:u w:val="single"/>
                <w:lang w:val="en-US" w:eastAsia="zh-CN"/>
              </w:rPr>
              <w:t>21</w:t>
            </w:r>
            <w:r>
              <w:rPr>
                <w:rFonts w:hint="eastAsia"/>
                <w:color w:val="auto"/>
                <w:sz w:val="21"/>
                <w:szCs w:val="21"/>
              </w:rPr>
              <w:t>年</w:t>
            </w:r>
            <w:r>
              <w:rPr>
                <w:color w:val="auto"/>
                <w:sz w:val="21"/>
                <w:szCs w:val="21"/>
                <w:u w:val="single"/>
                <w:lang w:val="en-US"/>
              </w:rPr>
              <w:t xml:space="preserve"> </w:t>
            </w:r>
            <w:r>
              <w:rPr>
                <w:rFonts w:hint="eastAsia"/>
                <w:color w:val="auto"/>
                <w:sz w:val="21"/>
                <w:szCs w:val="21"/>
                <w:u w:val="single"/>
                <w:lang w:val="en-US" w:eastAsia="zh-CN"/>
              </w:rPr>
              <w:t xml:space="preserve">4 </w:t>
            </w:r>
            <w:r>
              <w:rPr>
                <w:rFonts w:hint="eastAsia"/>
                <w:color w:val="auto"/>
                <w:spacing w:val="101"/>
                <w:sz w:val="21"/>
                <w:szCs w:val="21"/>
                <w:lang w:val="en-US"/>
              </w:rPr>
              <w:t>月</w:t>
            </w:r>
            <w:r>
              <w:rPr>
                <w:rFonts w:hint="eastAsia"/>
                <w:color w:val="auto"/>
                <w:spacing w:val="101"/>
                <w:sz w:val="21"/>
                <w:szCs w:val="21"/>
                <w:u w:val="single"/>
                <w:lang w:val="en-US" w:eastAsia="zh-CN"/>
              </w:rPr>
              <w:t>20</w:t>
            </w:r>
            <w:r>
              <w:rPr>
                <w:rFonts w:hint="eastAsia"/>
                <w:color w:val="auto"/>
                <w:spacing w:val="101"/>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059" w:type="dxa"/>
            <w:vAlign w:val="center"/>
          </w:tcPr>
          <w:p>
            <w:pPr>
              <w:pStyle w:val="50"/>
              <w:spacing w:before="4"/>
              <w:jc w:val="center"/>
              <w:rPr>
                <w:rFonts w:cs="Times New Roman"/>
                <w:sz w:val="19"/>
                <w:szCs w:val="19"/>
              </w:rPr>
            </w:pPr>
          </w:p>
          <w:p>
            <w:pPr>
              <w:pStyle w:val="50"/>
              <w:ind w:left="179" w:right="173"/>
              <w:jc w:val="center"/>
              <w:rPr>
                <w:sz w:val="21"/>
                <w:szCs w:val="21"/>
              </w:rPr>
            </w:pPr>
            <w:r>
              <w:rPr>
                <w:sz w:val="21"/>
                <w:szCs w:val="21"/>
              </w:rPr>
              <w:t>1.3.3</w:t>
            </w:r>
          </w:p>
        </w:tc>
        <w:tc>
          <w:tcPr>
            <w:tcW w:w="2662" w:type="dxa"/>
            <w:vAlign w:val="center"/>
          </w:tcPr>
          <w:p>
            <w:pPr>
              <w:pStyle w:val="50"/>
              <w:spacing w:before="4"/>
              <w:jc w:val="center"/>
              <w:rPr>
                <w:rFonts w:cs="Times New Roman"/>
                <w:sz w:val="19"/>
                <w:szCs w:val="19"/>
              </w:rPr>
            </w:pPr>
          </w:p>
          <w:p>
            <w:pPr>
              <w:pStyle w:val="50"/>
              <w:ind w:left="5"/>
              <w:jc w:val="center"/>
              <w:rPr>
                <w:rFonts w:cs="Times New Roman"/>
                <w:sz w:val="21"/>
                <w:szCs w:val="21"/>
              </w:rPr>
            </w:pPr>
            <w:r>
              <w:rPr>
                <w:rFonts w:hint="eastAsia"/>
                <w:sz w:val="21"/>
                <w:szCs w:val="21"/>
              </w:rPr>
              <w:t>质量要求</w:t>
            </w:r>
          </w:p>
        </w:tc>
        <w:tc>
          <w:tcPr>
            <w:tcW w:w="5804" w:type="dxa"/>
            <w:vAlign w:val="center"/>
          </w:tcPr>
          <w:p>
            <w:pPr>
              <w:pStyle w:val="50"/>
              <w:spacing w:before="3" w:line="340" w:lineRule="exact"/>
              <w:ind w:left="4" w:right="2445"/>
              <w:rPr>
                <w:rFonts w:cs="Times New Roman"/>
                <w:sz w:val="21"/>
                <w:szCs w:val="21"/>
                <w:u w:val="single"/>
              </w:rPr>
            </w:pPr>
            <w:r>
              <w:rPr>
                <w:rFonts w:hint="eastAsia"/>
                <w:sz w:val="21"/>
                <w:szCs w:val="21"/>
              </w:rPr>
              <w:t>工程交工验收的质量评定：</w:t>
            </w:r>
            <w:r>
              <w:rPr>
                <w:sz w:val="21"/>
                <w:szCs w:val="21"/>
                <w:u w:val="single"/>
              </w:rPr>
              <w:t xml:space="preserve"> </w:t>
            </w:r>
            <w:r>
              <w:rPr>
                <w:rFonts w:hint="eastAsia"/>
                <w:sz w:val="21"/>
                <w:szCs w:val="21"/>
                <w:u w:val="single"/>
              </w:rPr>
              <w:t>合格</w:t>
            </w:r>
          </w:p>
          <w:p>
            <w:pPr>
              <w:pStyle w:val="50"/>
              <w:spacing w:before="3" w:line="340" w:lineRule="exact"/>
              <w:ind w:left="4" w:right="2445"/>
              <w:rPr>
                <w:rFonts w:cs="Times New Roman"/>
                <w:sz w:val="21"/>
                <w:szCs w:val="21"/>
              </w:rPr>
            </w:pPr>
            <w:r>
              <w:rPr>
                <w:rFonts w:hint="eastAsia"/>
                <w:sz w:val="21"/>
                <w:szCs w:val="21"/>
              </w:rPr>
              <w:t>竣工验收的质量评定：</w:t>
            </w:r>
            <w:r>
              <w:rPr>
                <w:sz w:val="21"/>
                <w:szCs w:val="21"/>
                <w:u w:val="single"/>
              </w:rPr>
              <w:t xml:space="preserve"> </w:t>
            </w:r>
            <w:r>
              <w:rPr>
                <w:rFonts w:hint="eastAsia"/>
                <w:sz w:val="21"/>
                <w:szCs w:val="21"/>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059" w:type="dxa"/>
            <w:vAlign w:val="center"/>
          </w:tcPr>
          <w:p>
            <w:pPr>
              <w:pStyle w:val="50"/>
              <w:ind w:left="179" w:right="173"/>
              <w:jc w:val="center"/>
              <w:rPr>
                <w:sz w:val="21"/>
                <w:szCs w:val="21"/>
                <w:lang w:val="en-US"/>
              </w:rPr>
            </w:pPr>
            <w:r>
              <w:rPr>
                <w:sz w:val="21"/>
                <w:szCs w:val="21"/>
                <w:lang w:val="en-US"/>
              </w:rPr>
              <w:t>1.3.4</w:t>
            </w:r>
          </w:p>
        </w:tc>
        <w:tc>
          <w:tcPr>
            <w:tcW w:w="2662" w:type="dxa"/>
            <w:vAlign w:val="center"/>
          </w:tcPr>
          <w:p>
            <w:pPr>
              <w:pStyle w:val="50"/>
              <w:ind w:left="5"/>
              <w:jc w:val="center"/>
              <w:rPr>
                <w:rFonts w:cs="Times New Roman"/>
                <w:sz w:val="21"/>
                <w:szCs w:val="21"/>
              </w:rPr>
            </w:pPr>
            <w:r>
              <w:rPr>
                <w:rFonts w:hint="eastAsia"/>
                <w:sz w:val="21"/>
                <w:szCs w:val="21"/>
              </w:rPr>
              <w:t>安全目标</w:t>
            </w:r>
          </w:p>
        </w:tc>
        <w:tc>
          <w:tcPr>
            <w:tcW w:w="5804" w:type="dxa"/>
            <w:vAlign w:val="center"/>
          </w:tcPr>
          <w:p>
            <w:pPr>
              <w:pStyle w:val="50"/>
              <w:spacing w:before="3" w:line="340" w:lineRule="exact"/>
              <w:ind w:left="4" w:right="221"/>
              <w:rPr>
                <w:rFonts w:cs="Times New Roman"/>
                <w:color w:val="FF0000"/>
                <w:sz w:val="21"/>
                <w:szCs w:val="21"/>
              </w:rPr>
            </w:pPr>
            <w:r>
              <w:rPr>
                <w:rFonts w:hint="eastAsia"/>
                <w:sz w:val="21"/>
                <w:szCs w:val="21"/>
              </w:rPr>
              <w:t>杜绝重特大事故，减少一般事故，力争零事故。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145"/>
              <w:ind w:left="4"/>
              <w:rPr>
                <w:sz w:val="21"/>
                <w:szCs w:val="21"/>
              </w:rPr>
            </w:pPr>
            <w:r>
              <w:rPr>
                <w:rFonts w:hint="eastAsia"/>
                <w:sz w:val="21"/>
                <w:szCs w:val="21"/>
              </w:rPr>
              <w:t>资质要求：见附录</w:t>
            </w:r>
            <w:r>
              <w:rPr>
                <w:sz w:val="21"/>
                <w:szCs w:val="21"/>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76"/>
              <w:ind w:left="4"/>
              <w:rPr>
                <w:sz w:val="21"/>
                <w:szCs w:val="21"/>
              </w:rPr>
            </w:pPr>
            <w:r>
              <w:rPr>
                <w:rFonts w:hint="eastAsia"/>
                <w:sz w:val="21"/>
                <w:szCs w:val="21"/>
              </w:rPr>
              <w:t>财务要求：见附录</w:t>
            </w:r>
            <w:r>
              <w:rPr>
                <w:sz w:val="21"/>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1059" w:type="dxa"/>
          </w:tcPr>
          <w:p>
            <w:pPr>
              <w:pStyle w:val="50"/>
              <w:spacing w:before="7"/>
              <w:rPr>
                <w:rFonts w:cs="Times New Roman"/>
                <w:sz w:val="18"/>
                <w:szCs w:val="18"/>
              </w:rPr>
            </w:pPr>
          </w:p>
          <w:p>
            <w:pPr>
              <w:pStyle w:val="50"/>
              <w:ind w:left="179" w:right="173"/>
              <w:jc w:val="center"/>
              <w:rPr>
                <w:sz w:val="21"/>
                <w:szCs w:val="21"/>
              </w:rPr>
            </w:pPr>
            <w:r>
              <w:rPr>
                <w:sz w:val="21"/>
                <w:szCs w:val="21"/>
              </w:rPr>
              <w:t>1.4.1</w:t>
            </w:r>
          </w:p>
        </w:tc>
        <w:tc>
          <w:tcPr>
            <w:tcW w:w="2662" w:type="dxa"/>
          </w:tcPr>
          <w:p>
            <w:pPr>
              <w:pStyle w:val="50"/>
              <w:spacing w:before="75" w:line="292" w:lineRule="auto"/>
              <w:ind w:left="1161" w:hanging="1155"/>
              <w:rPr>
                <w:rFonts w:cs="Times New Roman"/>
                <w:sz w:val="21"/>
                <w:szCs w:val="21"/>
              </w:rPr>
            </w:pPr>
            <w:r>
              <w:rPr>
                <w:rFonts w:hint="eastAsia"/>
                <w:sz w:val="21"/>
                <w:szCs w:val="21"/>
              </w:rPr>
              <w:t>投标人资质条件、能力和信誉</w:t>
            </w:r>
          </w:p>
        </w:tc>
        <w:tc>
          <w:tcPr>
            <w:tcW w:w="5804" w:type="dxa"/>
          </w:tcPr>
          <w:p>
            <w:pPr>
              <w:pStyle w:val="50"/>
              <w:spacing w:before="75"/>
              <w:ind w:left="4"/>
              <w:rPr>
                <w:sz w:val="21"/>
                <w:szCs w:val="21"/>
              </w:rPr>
            </w:pPr>
            <w:r>
              <w:rPr>
                <w:rFonts w:hint="eastAsia"/>
                <w:spacing w:val="-15"/>
                <w:sz w:val="21"/>
                <w:szCs w:val="21"/>
              </w:rPr>
              <w:t>业绩要求：见附录</w:t>
            </w:r>
            <w:r>
              <w:rPr>
                <w:spacing w:val="-15"/>
                <w:sz w:val="21"/>
                <w:szCs w:val="21"/>
              </w:rPr>
              <w:t xml:space="preserve"> </w:t>
            </w:r>
            <w:r>
              <w:rPr>
                <w:sz w:val="21"/>
                <w:szCs w:val="21"/>
              </w:rPr>
              <w:t>3</w:t>
            </w:r>
          </w:p>
          <w:p>
            <w:pPr>
              <w:pStyle w:val="50"/>
              <w:spacing w:before="151"/>
              <w:ind w:left="4"/>
              <w:rPr>
                <w:sz w:val="21"/>
                <w:szCs w:val="21"/>
              </w:rPr>
            </w:pPr>
            <w:r>
              <w:rPr>
                <w:rFonts w:hint="eastAsia"/>
                <w:spacing w:val="-15"/>
                <w:sz w:val="21"/>
                <w:szCs w:val="21"/>
              </w:rPr>
              <w:t>信誉要求：见附录</w:t>
            </w:r>
            <w:r>
              <w:rPr>
                <w:spacing w:val="-15"/>
                <w:sz w:val="21"/>
                <w:szCs w:val="21"/>
              </w:rPr>
              <w:t xml:space="preserve"> </w:t>
            </w: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76"/>
              <w:ind w:left="4"/>
              <w:rPr>
                <w:sz w:val="21"/>
                <w:szCs w:val="21"/>
              </w:rPr>
            </w:pPr>
            <w:r>
              <w:rPr>
                <w:rFonts w:hint="eastAsia"/>
                <w:sz w:val="21"/>
                <w:szCs w:val="21"/>
              </w:rPr>
              <w:t>项目经理和项目总工资格：见附录</w:t>
            </w:r>
            <w:r>
              <w:rPr>
                <w:sz w:val="21"/>
                <w:szCs w:val="21"/>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75"/>
              <w:ind w:left="4"/>
              <w:rPr>
                <w:rFonts w:cs="Times New Roman"/>
                <w:sz w:val="21"/>
                <w:szCs w:val="21"/>
              </w:rPr>
            </w:pPr>
            <w:r>
              <w:rPr>
                <w:rFonts w:hint="eastAsia"/>
                <w:sz w:val="21"/>
                <w:szCs w:val="21"/>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059" w:type="dxa"/>
          </w:tcPr>
          <w:p>
            <w:pPr>
              <w:pStyle w:val="50"/>
              <w:spacing w:before="54" w:line="257" w:lineRule="exact"/>
              <w:ind w:left="179" w:right="173"/>
              <w:jc w:val="center"/>
              <w:rPr>
                <w:sz w:val="21"/>
                <w:szCs w:val="21"/>
              </w:rPr>
            </w:pPr>
            <w:r>
              <w:rPr>
                <w:sz w:val="21"/>
                <w:szCs w:val="21"/>
              </w:rPr>
              <w:t>1.4.2</w:t>
            </w:r>
          </w:p>
        </w:tc>
        <w:tc>
          <w:tcPr>
            <w:tcW w:w="2662" w:type="dxa"/>
          </w:tcPr>
          <w:p>
            <w:pPr>
              <w:pStyle w:val="50"/>
              <w:spacing w:before="54" w:line="257" w:lineRule="exact"/>
              <w:ind w:firstLine="420" w:firstLineChars="200"/>
              <w:jc w:val="both"/>
              <w:rPr>
                <w:rFonts w:cs="Times New Roman"/>
                <w:sz w:val="21"/>
                <w:szCs w:val="21"/>
              </w:rPr>
            </w:pPr>
            <w:r>
              <w:rPr>
                <w:rFonts w:hint="eastAsia"/>
                <w:sz w:val="21"/>
                <w:szCs w:val="21"/>
              </w:rPr>
              <w:t>是否接受联合体投标</w:t>
            </w:r>
          </w:p>
        </w:tc>
        <w:tc>
          <w:tcPr>
            <w:tcW w:w="5804" w:type="dxa"/>
            <w:vAlign w:val="center"/>
          </w:tcPr>
          <w:p>
            <w:pPr>
              <w:pStyle w:val="50"/>
              <w:spacing w:before="54" w:line="257" w:lineRule="exact"/>
              <w:ind w:left="4"/>
              <w:rPr>
                <w:rFonts w:cs="Times New Roman"/>
                <w:sz w:val="21"/>
                <w:szCs w:val="21"/>
              </w:rPr>
            </w:pPr>
            <w:r>
              <w:rPr>
                <w:rFonts w:hint="eastAsia"/>
                <w:sz w:val="21"/>
                <w:szCs w:val="21"/>
              </w:rPr>
              <w:t>不接受</w:t>
            </w:r>
          </w:p>
          <w:p>
            <w:pPr>
              <w:pStyle w:val="50"/>
              <w:spacing w:before="54" w:line="257" w:lineRule="exact"/>
              <w:rPr>
                <w:rFonts w:cs="Times New Roman"/>
                <w:sz w:val="21"/>
                <w:szCs w:val="21"/>
              </w:rPr>
            </w:pPr>
          </w:p>
          <w:p>
            <w:pPr>
              <w:pStyle w:val="50"/>
              <w:spacing w:before="54" w:line="257" w:lineRule="exact"/>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54"/>
              <w:ind w:left="4" w:right="-15"/>
              <w:rPr>
                <w:rFonts w:cs="Times New Roman"/>
                <w:sz w:val="21"/>
                <w:szCs w:val="21"/>
              </w:rPr>
            </w:pPr>
            <w:r>
              <w:rPr>
                <w:rFonts w:hint="eastAsia"/>
                <w:spacing w:val="-7"/>
                <w:sz w:val="21"/>
                <w:szCs w:val="21"/>
              </w:rPr>
              <w:t>（</w:t>
            </w:r>
            <w:r>
              <w:rPr>
                <w:spacing w:val="-7"/>
                <w:sz w:val="21"/>
                <w:szCs w:val="21"/>
              </w:rPr>
              <w:t>1</w:t>
            </w:r>
            <w:r>
              <w:rPr>
                <w:rFonts w:hint="eastAsia"/>
                <w:spacing w:val="-7"/>
                <w:sz w:val="21"/>
                <w:szCs w:val="21"/>
              </w:rPr>
              <w:t>）</w:t>
            </w:r>
            <w:r>
              <w:rPr>
                <w:rFonts w:hint="eastAsia"/>
                <w:spacing w:val="-1"/>
                <w:sz w:val="21"/>
                <w:szCs w:val="21"/>
              </w:rPr>
              <w:t>不同投标人的投标文件由同一单位或者个人编制；或不同投</w:t>
            </w:r>
            <w:r>
              <w:rPr>
                <w:rFonts w:hint="eastAsia"/>
                <w:sz w:val="21"/>
                <w:szCs w:val="21"/>
              </w:rPr>
              <w:t>标人报名的</w:t>
            </w:r>
            <w:r>
              <w:rPr>
                <w:sz w:val="21"/>
                <w:szCs w:val="21"/>
              </w:rPr>
              <w:t>IP</w:t>
            </w:r>
            <w:r>
              <w:rPr>
                <w:rFonts w:hint="eastAsia"/>
                <w:sz w:val="21"/>
                <w:szCs w:val="21"/>
              </w:rPr>
              <w:t>地址一致的；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1059" w:type="dxa"/>
          </w:tcPr>
          <w:p>
            <w:pPr>
              <w:pStyle w:val="50"/>
              <w:spacing w:before="1"/>
              <w:rPr>
                <w:rFonts w:cs="Times New Roman"/>
                <w:sz w:val="28"/>
                <w:szCs w:val="28"/>
              </w:rPr>
            </w:pPr>
          </w:p>
          <w:p>
            <w:pPr>
              <w:pStyle w:val="50"/>
              <w:spacing w:before="1"/>
              <w:ind w:left="179" w:right="173"/>
              <w:jc w:val="center"/>
              <w:rPr>
                <w:sz w:val="21"/>
                <w:szCs w:val="21"/>
              </w:rPr>
            </w:pPr>
            <w:r>
              <w:rPr>
                <w:sz w:val="21"/>
                <w:szCs w:val="21"/>
              </w:rPr>
              <w:t>1.4.3</w:t>
            </w:r>
          </w:p>
        </w:tc>
        <w:tc>
          <w:tcPr>
            <w:tcW w:w="2662" w:type="dxa"/>
          </w:tcPr>
          <w:p>
            <w:pPr>
              <w:pStyle w:val="50"/>
              <w:spacing w:before="2"/>
              <w:rPr>
                <w:rFonts w:cs="Times New Roman"/>
                <w:sz w:val="15"/>
                <w:szCs w:val="15"/>
              </w:rPr>
            </w:pPr>
          </w:p>
          <w:p>
            <w:pPr>
              <w:pStyle w:val="50"/>
              <w:spacing w:before="1" w:line="292" w:lineRule="auto"/>
              <w:ind w:left="1058" w:hanging="1052"/>
              <w:rPr>
                <w:rFonts w:cs="Times New Roman"/>
                <w:sz w:val="21"/>
                <w:szCs w:val="21"/>
              </w:rPr>
            </w:pPr>
            <w:r>
              <w:rPr>
                <w:rFonts w:hint="eastAsia"/>
                <w:sz w:val="21"/>
                <w:szCs w:val="21"/>
              </w:rPr>
              <w:t>投标人不得存在的其他关联情形</w:t>
            </w:r>
          </w:p>
        </w:tc>
        <w:tc>
          <w:tcPr>
            <w:tcW w:w="5804" w:type="dxa"/>
          </w:tcPr>
          <w:p>
            <w:pPr>
              <w:pStyle w:val="50"/>
              <w:numPr>
                <w:ilvl w:val="0"/>
                <w:numId w:val="1"/>
              </w:numPr>
              <w:tabs>
                <w:tab w:val="left" w:pos="529"/>
              </w:tabs>
              <w:spacing w:before="29"/>
              <w:rPr>
                <w:rFonts w:cs="Times New Roman"/>
                <w:sz w:val="21"/>
                <w:szCs w:val="21"/>
              </w:rPr>
            </w:pPr>
            <w:r>
              <w:rPr>
                <w:rFonts w:hint="eastAsia"/>
                <w:sz w:val="21"/>
                <w:szCs w:val="21"/>
              </w:rPr>
              <w:t>不同投标人委托同一单位或者个人办理投标事宜；</w:t>
            </w:r>
          </w:p>
          <w:p>
            <w:pPr>
              <w:pStyle w:val="50"/>
              <w:numPr>
                <w:ilvl w:val="0"/>
                <w:numId w:val="1"/>
              </w:numPr>
              <w:tabs>
                <w:tab w:val="left" w:pos="529"/>
              </w:tabs>
              <w:spacing w:before="1" w:line="330" w:lineRule="atLeast"/>
              <w:ind w:left="4" w:right="-15" w:firstLine="0"/>
              <w:rPr>
                <w:rFonts w:cs="Times New Roman"/>
                <w:sz w:val="21"/>
                <w:szCs w:val="21"/>
              </w:rPr>
            </w:pPr>
            <w:r>
              <w:rPr>
                <w:rFonts w:hint="eastAsia"/>
                <w:sz w:val="21"/>
                <w:szCs w:val="21"/>
              </w:rPr>
              <w:t>不同的投标人的投标文件载明的项目管理员或者联系人员为同一个人；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30"/>
              <w:ind w:left="4"/>
              <w:rPr>
                <w:rFonts w:cs="Times New Roman"/>
                <w:sz w:val="21"/>
                <w:szCs w:val="21"/>
              </w:rPr>
            </w:pPr>
            <w:r>
              <w:rPr>
                <w:rFonts w:hint="eastAsia"/>
                <w:sz w:val="21"/>
                <w:szCs w:val="21"/>
              </w:rPr>
              <w:t>（</w:t>
            </w:r>
            <w:r>
              <w:rPr>
                <w:sz w:val="21"/>
                <w:szCs w:val="21"/>
              </w:rPr>
              <w:t>4</w:t>
            </w:r>
            <w:r>
              <w:rPr>
                <w:rFonts w:hint="eastAsia"/>
                <w:sz w:val="21"/>
                <w:szCs w:val="21"/>
              </w:rPr>
              <w:t>）不同投标人的投标文件异常一致或投标报价呈规律性差异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1059" w:type="dxa"/>
          </w:tcPr>
          <w:p>
            <w:pPr>
              <w:pStyle w:val="50"/>
              <w:rPr>
                <w:rFonts w:ascii="Times New Roman" w:cs="Times New Roman"/>
                <w:sz w:val="20"/>
                <w:szCs w:val="20"/>
              </w:rPr>
            </w:pPr>
          </w:p>
        </w:tc>
        <w:tc>
          <w:tcPr>
            <w:tcW w:w="2662" w:type="dxa"/>
          </w:tcPr>
          <w:p>
            <w:pPr>
              <w:pStyle w:val="50"/>
              <w:rPr>
                <w:rFonts w:ascii="Times New Roman" w:cs="Times New Roman"/>
                <w:sz w:val="20"/>
                <w:szCs w:val="20"/>
              </w:rPr>
            </w:pPr>
          </w:p>
        </w:tc>
        <w:tc>
          <w:tcPr>
            <w:tcW w:w="5804" w:type="dxa"/>
          </w:tcPr>
          <w:p>
            <w:pPr>
              <w:pStyle w:val="50"/>
              <w:spacing w:before="29" w:line="254" w:lineRule="exact"/>
              <w:ind w:left="4"/>
              <w:rPr>
                <w:rFonts w:cs="Times New Roman"/>
                <w:sz w:val="21"/>
                <w:szCs w:val="21"/>
              </w:rPr>
            </w:pPr>
            <w:r>
              <w:rPr>
                <w:rFonts w:hint="eastAsia"/>
                <w:sz w:val="21"/>
                <w:szCs w:val="21"/>
              </w:rPr>
              <w:t>（</w:t>
            </w:r>
            <w:r>
              <w:rPr>
                <w:sz w:val="21"/>
                <w:szCs w:val="21"/>
              </w:rPr>
              <w:t>5</w:t>
            </w:r>
            <w:r>
              <w:rPr>
                <w:rFonts w:hint="eastAsia"/>
                <w:sz w:val="21"/>
                <w:szCs w:val="21"/>
              </w:rPr>
              <w:t>）不同投标人的投标文件相互混装；</w:t>
            </w:r>
          </w:p>
        </w:tc>
      </w:tr>
    </w:tbl>
    <w:p>
      <w:pPr>
        <w:pStyle w:val="12"/>
        <w:rPr>
          <w:rFonts w:cs="Times New Roman"/>
          <w:sz w:val="28"/>
          <w:szCs w:val="28"/>
        </w:rPr>
      </w:pPr>
    </w:p>
    <w:tbl>
      <w:tblPr>
        <w:tblStyle w:val="20"/>
        <w:tblpPr w:leftFromText="180" w:rightFromText="180" w:vertAnchor="text" w:horzAnchor="page" w:tblpXSpec="center" w:tblpY="53"/>
        <w:tblOverlap w:val="never"/>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614"/>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80" w:type="dxa"/>
            <w:vAlign w:val="center"/>
          </w:tcPr>
          <w:p>
            <w:pPr>
              <w:jc w:val="center"/>
            </w:pPr>
            <w:r>
              <w:t>3.2.1</w:t>
            </w:r>
          </w:p>
        </w:tc>
        <w:tc>
          <w:tcPr>
            <w:tcW w:w="2614" w:type="dxa"/>
            <w:vAlign w:val="center"/>
          </w:tcPr>
          <w:p>
            <w:pPr>
              <w:jc w:val="center"/>
              <w:rPr>
                <w:rFonts w:cs="Times New Roman"/>
              </w:rPr>
            </w:pPr>
            <w:r>
              <w:rPr>
                <w:rFonts w:hint="eastAsia"/>
              </w:rPr>
              <w:t>工程量清单的填写方式</w:t>
            </w:r>
          </w:p>
        </w:tc>
        <w:tc>
          <w:tcPr>
            <w:tcW w:w="5951" w:type="dxa"/>
            <w:vAlign w:val="center"/>
          </w:tcPr>
          <w:p>
            <w:pPr>
              <w:jc w:val="both"/>
              <w:rPr>
                <w:rFonts w:cs="Times New Roman"/>
                <w:lang w:val="en-US"/>
              </w:rPr>
            </w:pPr>
            <w:r>
              <w:rPr>
                <w:rFonts w:hint="eastAsia" w:cs="Times New Roman" w:asciiTheme="minorEastAsia" w:hAnsiTheme="minorEastAsia" w:eastAsiaTheme="minorEastAsia"/>
                <w:w w:val="95"/>
              </w:rPr>
              <w:sym w:font="Wingdings 2" w:char="0052"/>
            </w:r>
            <w:r>
              <w:rPr>
                <w:rFonts w:hint="eastAsia"/>
              </w:rPr>
              <w:t>投标人按照招标人提供的工程量</w:t>
            </w:r>
            <w:r>
              <w:rPr>
                <w:rFonts w:hint="eastAsia"/>
                <w:lang w:eastAsia="zh-CN"/>
              </w:rPr>
              <w:t>电子</w:t>
            </w:r>
            <w:r>
              <w:rPr>
                <w:rFonts w:hint="eastAsia"/>
              </w:rPr>
              <w:t>清单电子文件填写工程量</w:t>
            </w:r>
            <w:r>
              <w:t xml:space="preserve"> </w:t>
            </w:r>
            <w:r>
              <w:rPr>
                <w:rFonts w:hint="eastAsia"/>
              </w:rPr>
              <w:t>清单</w:t>
            </w:r>
          </w:p>
          <w:p>
            <w:pPr>
              <w:jc w:val="both"/>
              <w:rPr>
                <w:rFonts w:cs="Times New Roman"/>
              </w:rPr>
            </w:pPr>
            <w:r>
              <w:rPr>
                <w:rFonts w:hint="eastAsia" w:ascii="MS Mincho" w:hAnsi="MS Mincho" w:cs="MS Mincho"/>
                <w:lang w:eastAsia="zh-CN"/>
              </w:rPr>
              <w:t>□</w:t>
            </w:r>
            <w:r>
              <w:rPr>
                <w:rFonts w:hint="eastAsia"/>
              </w:rPr>
              <w:t>投标人按照招标人提供的书面工程量清单填写工程量清单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dxa"/>
            <w:vAlign w:val="center"/>
          </w:tcPr>
          <w:p>
            <w:pPr>
              <w:jc w:val="center"/>
            </w:pPr>
            <w:r>
              <w:t>3.2.3</w:t>
            </w:r>
          </w:p>
        </w:tc>
        <w:tc>
          <w:tcPr>
            <w:tcW w:w="2614" w:type="dxa"/>
            <w:vAlign w:val="center"/>
          </w:tcPr>
          <w:p>
            <w:pPr>
              <w:jc w:val="center"/>
              <w:rPr>
                <w:rFonts w:cs="Times New Roman"/>
              </w:rPr>
            </w:pPr>
            <w:r>
              <w:rPr>
                <w:rFonts w:hint="eastAsia"/>
              </w:rPr>
              <w:t>报价方式</w:t>
            </w:r>
          </w:p>
        </w:tc>
        <w:tc>
          <w:tcPr>
            <w:tcW w:w="5951" w:type="dxa"/>
            <w:vAlign w:val="center"/>
          </w:tcPr>
          <w:p>
            <w:pPr>
              <w:jc w:val="both"/>
              <w:rPr>
                <w:rFonts w:cs="Times New Roman"/>
              </w:rPr>
            </w:pPr>
            <w:bookmarkStart w:id="930" w:name="_GoBack"/>
            <w:bookmarkEnd w:id="930"/>
            <w:r>
              <w:rPr>
                <w:rFonts w:hint="eastAsia" w:ascii="MS Mincho" w:hAnsi="MS Mincho" w:cs="MS Mincho"/>
                <w:lang w:eastAsia="zh-CN"/>
              </w:rPr>
              <w:t>□</w:t>
            </w:r>
            <w:r>
              <w:rPr>
                <w:rFonts w:hint="eastAsia"/>
              </w:rPr>
              <w:t>单价</w:t>
            </w:r>
          </w:p>
          <w:p>
            <w:pPr>
              <w:jc w:val="both"/>
              <w:rPr>
                <w:rFonts w:cs="Times New Roman"/>
              </w:rPr>
            </w:pPr>
            <w:r>
              <w:rPr>
                <w:rFonts w:hint="eastAsia"/>
                <w:lang w:eastAsia="zh-CN"/>
              </w:rPr>
              <w:t>☑</w:t>
            </w: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dxa"/>
            <w:vAlign w:val="center"/>
          </w:tcPr>
          <w:p>
            <w:pPr>
              <w:pStyle w:val="12"/>
              <w:jc w:val="center"/>
            </w:pPr>
            <w:r>
              <w:t>3.2.6</w:t>
            </w:r>
          </w:p>
          <w:p>
            <w:pPr>
              <w:jc w:val="center"/>
              <w:rPr>
                <w:rFonts w:cs="Times New Roman"/>
              </w:rPr>
            </w:pPr>
          </w:p>
        </w:tc>
        <w:tc>
          <w:tcPr>
            <w:tcW w:w="2614" w:type="dxa"/>
            <w:vAlign w:val="center"/>
          </w:tcPr>
          <w:p>
            <w:pPr>
              <w:jc w:val="center"/>
              <w:rPr>
                <w:rFonts w:cs="Times New Roman"/>
              </w:rPr>
            </w:pPr>
            <w:r>
              <w:rPr>
                <w:rFonts w:hint="eastAsia"/>
              </w:rPr>
              <w:t>是否接受调价函</w:t>
            </w:r>
          </w:p>
        </w:tc>
        <w:tc>
          <w:tcPr>
            <w:tcW w:w="5951" w:type="dxa"/>
            <w:vAlign w:val="center"/>
          </w:tcPr>
          <w:p>
            <w:pPr>
              <w:jc w:val="both"/>
              <w:rPr>
                <w:rFonts w:cs="Times New Roman"/>
              </w:rPr>
            </w:pPr>
            <w:r>
              <w:rPr>
                <w:rFonts w:hint="eastAsia"/>
              </w:rPr>
              <w:t>□是</w:t>
            </w:r>
          </w:p>
          <w:p>
            <w:pPr>
              <w:jc w:val="both"/>
              <w:rPr>
                <w:rFonts w:cs="Times New Roman"/>
              </w:rPr>
            </w:pPr>
            <w:r>
              <w:rPr>
                <w:rFonts w:hint="eastAsia" w:ascii="MS Mincho" w:hAnsi="MS Mincho" w:eastAsia="MS Mincho" w:cs="MS Mincho"/>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80" w:type="dxa"/>
            <w:vAlign w:val="center"/>
          </w:tcPr>
          <w:p>
            <w:pPr>
              <w:jc w:val="center"/>
            </w:pPr>
            <w:r>
              <w:t>3.2.9</w:t>
            </w:r>
          </w:p>
        </w:tc>
        <w:tc>
          <w:tcPr>
            <w:tcW w:w="2614" w:type="dxa"/>
            <w:vAlign w:val="center"/>
          </w:tcPr>
          <w:p>
            <w:pPr>
              <w:jc w:val="center"/>
              <w:rPr>
                <w:rFonts w:cs="Times New Roman"/>
              </w:rPr>
            </w:pPr>
            <w:r>
              <w:rPr>
                <w:rFonts w:hint="eastAsia"/>
              </w:rPr>
              <w:t>投标报价的其他要求</w:t>
            </w:r>
          </w:p>
        </w:tc>
        <w:tc>
          <w:tcPr>
            <w:tcW w:w="5951" w:type="dxa"/>
            <w:vAlign w:val="center"/>
          </w:tcPr>
          <w:p>
            <w:pPr>
              <w:jc w:val="both"/>
              <w:rPr>
                <w:rFonts w:cs="Times New Roman"/>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80" w:type="dxa"/>
            <w:vAlign w:val="center"/>
          </w:tcPr>
          <w:p>
            <w:pPr>
              <w:jc w:val="center"/>
            </w:pPr>
            <w:r>
              <w:t>3.3.1</w:t>
            </w:r>
          </w:p>
        </w:tc>
        <w:tc>
          <w:tcPr>
            <w:tcW w:w="2614" w:type="dxa"/>
            <w:vAlign w:val="center"/>
          </w:tcPr>
          <w:p>
            <w:pPr>
              <w:jc w:val="center"/>
              <w:rPr>
                <w:rFonts w:cs="Times New Roman"/>
              </w:rPr>
            </w:pPr>
            <w:r>
              <w:rPr>
                <w:rFonts w:hint="eastAsia"/>
              </w:rPr>
              <w:t>投标有效期</w:t>
            </w:r>
          </w:p>
        </w:tc>
        <w:tc>
          <w:tcPr>
            <w:tcW w:w="5951" w:type="dxa"/>
            <w:vAlign w:val="center"/>
          </w:tcPr>
          <w:p>
            <w:pPr>
              <w:jc w:val="both"/>
              <w:rPr>
                <w:rFonts w:cs="Times New Roman"/>
              </w:rPr>
            </w:pPr>
            <w:r>
              <w:rPr>
                <w:rFonts w:hint="eastAsia"/>
              </w:rPr>
              <w:t>自投标人提交投标文件截止之日起计算</w:t>
            </w:r>
            <w:r>
              <w:rPr>
                <w:u w:val="single"/>
              </w:rPr>
              <w:t xml:space="preserve"> 90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dxa"/>
            <w:vAlign w:val="center"/>
          </w:tcPr>
          <w:p>
            <w:pPr>
              <w:jc w:val="center"/>
            </w:pPr>
            <w:r>
              <w:t>3.5</w:t>
            </w:r>
          </w:p>
        </w:tc>
        <w:tc>
          <w:tcPr>
            <w:tcW w:w="2614" w:type="dxa"/>
            <w:vAlign w:val="center"/>
          </w:tcPr>
          <w:p>
            <w:pPr>
              <w:jc w:val="center"/>
              <w:rPr>
                <w:rFonts w:cs="Times New Roman"/>
              </w:rPr>
            </w:pPr>
            <w:r>
              <w:rPr>
                <w:rFonts w:hint="eastAsia"/>
              </w:rPr>
              <w:t>资格审查资料的特殊要求</w:t>
            </w:r>
          </w:p>
        </w:tc>
        <w:tc>
          <w:tcPr>
            <w:tcW w:w="5951" w:type="dxa"/>
            <w:vAlign w:val="center"/>
          </w:tcPr>
          <w:p>
            <w:pPr>
              <w:jc w:val="both"/>
              <w:rPr>
                <w:rFonts w:cs="Times New Roman"/>
              </w:rPr>
            </w:pPr>
            <w:r>
              <w:rPr>
                <w:rFonts w:hint="eastAsia" w:ascii="MS Mincho" w:hAnsi="MS Mincho" w:eastAsia="MS Mincho" w:cs="MS Mincho"/>
              </w:rPr>
              <w:t>☑</w:t>
            </w:r>
            <w:r>
              <w:rPr>
                <w:rFonts w:hint="eastAsia"/>
              </w:rPr>
              <w:t>无</w:t>
            </w:r>
          </w:p>
          <w:p>
            <w:pPr>
              <w:jc w:val="both"/>
              <w:rPr>
                <w:rFonts w:cs="Times New Roman"/>
              </w:rPr>
            </w:pPr>
            <w:r>
              <w:rPr>
                <w:rFonts w:hint="eastAsia"/>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180" w:type="dxa"/>
            <w:vAlign w:val="center"/>
          </w:tcPr>
          <w:p>
            <w:pPr>
              <w:jc w:val="center"/>
            </w:pPr>
            <w:r>
              <w:t>3.5.2</w:t>
            </w:r>
          </w:p>
        </w:tc>
        <w:tc>
          <w:tcPr>
            <w:tcW w:w="2614" w:type="dxa"/>
            <w:vAlign w:val="center"/>
          </w:tcPr>
          <w:p>
            <w:pPr>
              <w:jc w:val="center"/>
              <w:rPr>
                <w:rFonts w:cs="Times New Roman"/>
                <w:color w:val="FF0000"/>
              </w:rPr>
            </w:pPr>
            <w:r>
              <w:rPr>
                <w:rFonts w:hint="eastAsia"/>
              </w:rPr>
              <w:t>近年财务状况的年份要求</w:t>
            </w:r>
          </w:p>
        </w:tc>
        <w:tc>
          <w:tcPr>
            <w:tcW w:w="5951" w:type="dxa"/>
            <w:vAlign w:val="center"/>
          </w:tcPr>
          <w:p>
            <w:pPr>
              <w:pStyle w:val="12"/>
              <w:spacing w:before="62"/>
              <w:jc w:val="both"/>
              <w:rPr>
                <w:rFonts w:cs="Times New Roman"/>
              </w:rPr>
            </w:pPr>
            <w:r>
              <w:rPr>
                <w:u w:val="single"/>
                <w:lang w:val="en-US"/>
              </w:rPr>
              <w:t>201</w:t>
            </w:r>
            <w:r>
              <w:rPr>
                <w:rFonts w:hint="eastAsia"/>
                <w:u w:val="single"/>
                <w:lang w:val="en-US" w:eastAsia="zh-CN"/>
              </w:rPr>
              <w:t>7</w:t>
            </w:r>
            <w:r>
              <w:rPr>
                <w:rFonts w:hint="eastAsia"/>
              </w:rPr>
              <w:t>年至</w:t>
            </w:r>
            <w:r>
              <w:rPr>
                <w:u w:val="single"/>
              </w:rPr>
              <w:t xml:space="preserve"> 201</w:t>
            </w:r>
            <w:r>
              <w:rPr>
                <w:rFonts w:hint="eastAsia"/>
                <w:u w:val="single"/>
                <w:lang w:val="en-US" w:eastAsia="zh-CN"/>
              </w:rPr>
              <w:t>9</w:t>
            </w:r>
            <w:r>
              <w:rPr>
                <w:rFonts w:hint="eastAsia"/>
              </w:rPr>
              <w:t>年（对于从取得营业执照时间起到投标截止时间为止不足要求年数的企业，只需提交企业取得营业执照年份至所要求最近年份经审计的财务报表）。</w:t>
            </w:r>
          </w:p>
          <w:p>
            <w:pPr>
              <w:pStyle w:val="12"/>
              <w:spacing w:before="62"/>
              <w:jc w:val="both"/>
              <w:rPr>
                <w:rFonts w:cs="Times New Roman"/>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80" w:type="dxa"/>
            <w:vAlign w:val="center"/>
          </w:tcPr>
          <w:p>
            <w:pPr>
              <w:jc w:val="center"/>
            </w:pPr>
            <w:r>
              <w:t>3.5.3</w:t>
            </w:r>
          </w:p>
        </w:tc>
        <w:tc>
          <w:tcPr>
            <w:tcW w:w="2614" w:type="dxa"/>
            <w:vAlign w:val="center"/>
          </w:tcPr>
          <w:p>
            <w:pPr>
              <w:pStyle w:val="12"/>
              <w:spacing w:before="105" w:line="217" w:lineRule="exact"/>
              <w:jc w:val="center"/>
              <w:rPr>
                <w:rFonts w:cs="Times New Roman"/>
                <w:color w:val="FF0000"/>
              </w:rPr>
            </w:pPr>
            <w:r>
              <w:rPr>
                <w:rFonts w:hint="eastAsia"/>
              </w:rPr>
              <w:t>近年完成的类似项目情况的时间要求</w:t>
            </w:r>
          </w:p>
        </w:tc>
        <w:tc>
          <w:tcPr>
            <w:tcW w:w="5951" w:type="dxa"/>
            <w:vAlign w:val="center"/>
          </w:tcPr>
          <w:p>
            <w:pPr>
              <w:pStyle w:val="12"/>
              <w:spacing w:before="105" w:line="217" w:lineRule="exact"/>
              <w:jc w:val="both"/>
              <w:rPr>
                <w:rFonts w:cs="Times New Roman"/>
                <w:color w:val="FF0000"/>
              </w:rPr>
            </w:pPr>
            <w:r>
              <w:t>201</w:t>
            </w:r>
            <w:r>
              <w:rPr>
                <w:rFonts w:hint="eastAsia"/>
                <w:lang w:val="en-US" w:eastAsia="zh-CN"/>
              </w:rPr>
              <w:t>7</w:t>
            </w:r>
            <w:r>
              <w:rPr>
                <w:rFonts w:hint="eastAsia"/>
              </w:rPr>
              <w:t>年</w:t>
            </w:r>
            <w:r>
              <w:t>1</w:t>
            </w:r>
            <w:r>
              <w:rPr>
                <w:rFonts w:hint="eastAsia"/>
              </w:rPr>
              <w:t>月</w:t>
            </w:r>
            <w:r>
              <w:t>1</w:t>
            </w:r>
            <w:r>
              <w:rPr>
                <w:rFonts w:hint="eastAsia"/>
              </w:rPr>
              <w:t>日</w:t>
            </w:r>
            <w:r>
              <w:t>201</w:t>
            </w:r>
            <w:r>
              <w:rPr>
                <w:rFonts w:hint="eastAsia"/>
                <w:lang w:val="en-US" w:eastAsia="zh-CN"/>
              </w:rPr>
              <w:t>9</w:t>
            </w:r>
            <w:r>
              <w:rPr>
                <w:rFonts w:hint="eastAsia"/>
              </w:rPr>
              <w:t>年</w:t>
            </w:r>
            <w:r>
              <w:t>12</w:t>
            </w:r>
            <w:r>
              <w:rPr>
                <w:rFonts w:hint="eastAsia"/>
              </w:rPr>
              <w:t>月</w:t>
            </w:r>
            <w:r>
              <w:t>31</w:t>
            </w:r>
            <w:r>
              <w:rPr>
                <w:rFonts w:hint="eastAsia"/>
              </w:rPr>
              <w:t>日（</w:t>
            </w:r>
            <w:r>
              <w:t>20</w:t>
            </w:r>
            <w:r>
              <w:rPr>
                <w:rFonts w:hint="eastAsia"/>
                <w:lang w:val="en-US" w:eastAsia="zh-CN"/>
              </w:rPr>
              <w:t>20</w:t>
            </w:r>
            <w:r>
              <w:rPr>
                <w:rFonts w:hint="eastAsia"/>
              </w:rPr>
              <w:t>年</w:t>
            </w:r>
            <w:r>
              <w:rPr>
                <w:lang w:val="en-US"/>
              </w:rPr>
              <w:t>1</w:t>
            </w:r>
            <w:r>
              <w:rPr>
                <w:rFonts w:hint="eastAsia"/>
                <w:lang w:val="en-US"/>
              </w:rPr>
              <w:t>月</w:t>
            </w:r>
            <w:r>
              <w:rPr>
                <w:lang w:val="en-US"/>
              </w:rPr>
              <w:t>1</w:t>
            </w:r>
            <w:r>
              <w:rPr>
                <w:rFonts w:hint="eastAsia"/>
                <w:lang w:val="en-US"/>
              </w:rPr>
              <w:t>日后</w:t>
            </w:r>
            <w:r>
              <w:rPr>
                <w:rFonts w:hint="eastAsia"/>
              </w:rPr>
              <w:t>成立的企业无需提供）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80" w:type="dxa"/>
            <w:vAlign w:val="center"/>
          </w:tcPr>
          <w:p>
            <w:pPr>
              <w:jc w:val="center"/>
            </w:pPr>
            <w:r>
              <w:t>3.6.1</w:t>
            </w:r>
          </w:p>
        </w:tc>
        <w:tc>
          <w:tcPr>
            <w:tcW w:w="2614" w:type="dxa"/>
            <w:vAlign w:val="center"/>
          </w:tcPr>
          <w:p>
            <w:pPr>
              <w:jc w:val="center"/>
              <w:rPr>
                <w:rFonts w:cs="Times New Roman"/>
              </w:rPr>
            </w:pPr>
            <w:r>
              <w:rPr>
                <w:rFonts w:hint="eastAsia"/>
              </w:rPr>
              <w:t>是否允许递交备选投标方案</w:t>
            </w:r>
          </w:p>
        </w:tc>
        <w:tc>
          <w:tcPr>
            <w:tcW w:w="5951" w:type="dxa"/>
            <w:vAlign w:val="center"/>
          </w:tcPr>
          <w:p>
            <w:pPr>
              <w:jc w:val="both"/>
              <w:rPr>
                <w:rFonts w:cs="Times New Roman"/>
              </w:rPr>
            </w:pPr>
            <w:r>
              <w:rPr>
                <w:rFonts w:hint="eastAsia"/>
              </w:rPr>
              <w:t>不允许</w:t>
            </w:r>
          </w:p>
        </w:tc>
      </w:tr>
    </w:tbl>
    <w:p>
      <w:pPr>
        <w:pStyle w:val="12"/>
        <w:spacing w:before="70"/>
        <w:ind w:left="9537"/>
        <w:rPr>
          <w:rFonts w:cs="Times New Roman"/>
        </w:rPr>
      </w:pPr>
      <w:r>
        <w:rPr>
          <w:rFonts w:hint="eastAsia"/>
          <w:w w:val="99"/>
        </w:rPr>
        <w:t>；</w:t>
      </w:r>
    </w:p>
    <w:p>
      <w:pPr>
        <w:pStyle w:val="12"/>
        <w:spacing w:before="1"/>
        <w:rPr>
          <w:rFonts w:ascii="Times New Roman" w:cs="Times New Roman"/>
          <w:sz w:val="5"/>
          <w:szCs w:val="5"/>
        </w:rPr>
      </w:pPr>
    </w:p>
    <w:tbl>
      <w:tblPr>
        <w:tblStyle w:val="20"/>
        <w:tblpPr w:leftFromText="180" w:rightFromText="180" w:vertAnchor="text" w:horzAnchor="page" w:tblpX="1066" w:tblpY="24"/>
        <w:tblOverlap w:val="never"/>
        <w:tblW w:w="98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69"/>
        <w:gridCol w:w="2745"/>
        <w:gridCol w:w="5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125" w:type="dxa"/>
            <w:gridSpan w:val="2"/>
          </w:tcPr>
          <w:p>
            <w:pPr>
              <w:pStyle w:val="50"/>
              <w:rPr>
                <w:rFonts w:ascii="Times New Roman" w:cs="Times New Roman"/>
                <w:sz w:val="20"/>
                <w:szCs w:val="20"/>
              </w:rPr>
            </w:pPr>
          </w:p>
          <w:p>
            <w:pPr>
              <w:pStyle w:val="50"/>
              <w:rPr>
                <w:rFonts w:ascii="Times New Roman" w:cs="Times New Roman"/>
                <w:sz w:val="20"/>
                <w:szCs w:val="20"/>
              </w:rPr>
            </w:pPr>
          </w:p>
          <w:p>
            <w:pPr>
              <w:pStyle w:val="50"/>
              <w:spacing w:before="152"/>
              <w:ind w:left="179" w:right="173"/>
              <w:jc w:val="center"/>
              <w:rPr>
                <w:sz w:val="21"/>
                <w:szCs w:val="21"/>
              </w:rPr>
            </w:pPr>
            <w:r>
              <w:rPr>
                <w:sz w:val="21"/>
                <w:szCs w:val="21"/>
              </w:rPr>
              <w:t>3.7.4</w:t>
            </w:r>
          </w:p>
        </w:tc>
        <w:tc>
          <w:tcPr>
            <w:tcW w:w="2745" w:type="dxa"/>
          </w:tcPr>
          <w:p>
            <w:pPr>
              <w:pStyle w:val="50"/>
              <w:rPr>
                <w:rFonts w:ascii="Times New Roman" w:cs="Times New Roman"/>
                <w:sz w:val="20"/>
                <w:szCs w:val="20"/>
              </w:rPr>
            </w:pPr>
          </w:p>
          <w:p>
            <w:pPr>
              <w:pStyle w:val="50"/>
              <w:spacing w:before="123" w:line="292" w:lineRule="auto"/>
              <w:ind w:left="1161" w:hanging="1155"/>
              <w:rPr>
                <w:rFonts w:cs="Times New Roman"/>
                <w:sz w:val="21"/>
                <w:szCs w:val="21"/>
              </w:rPr>
            </w:pPr>
            <w:r>
              <w:rPr>
                <w:rFonts w:hint="eastAsia"/>
                <w:sz w:val="21"/>
                <w:szCs w:val="21"/>
              </w:rPr>
              <w:t>投标文件副本份数及其他要求</w:t>
            </w:r>
          </w:p>
        </w:tc>
        <w:tc>
          <w:tcPr>
            <w:tcW w:w="5937" w:type="dxa"/>
          </w:tcPr>
          <w:p>
            <w:pPr>
              <w:pStyle w:val="50"/>
              <w:spacing w:before="142"/>
              <w:ind w:left="4"/>
              <w:rPr>
                <w:rFonts w:cs="Times New Roman"/>
                <w:sz w:val="21"/>
                <w:szCs w:val="21"/>
              </w:rPr>
            </w:pPr>
            <w:r>
              <w:rPr>
                <w:rFonts w:hint="eastAsia"/>
                <w:sz w:val="21"/>
                <w:szCs w:val="21"/>
              </w:rPr>
              <w:t>投标文件副本份数：肆份</w:t>
            </w:r>
          </w:p>
          <w:p>
            <w:pPr>
              <w:pStyle w:val="50"/>
              <w:spacing w:line="420" w:lineRule="atLeast"/>
              <w:ind w:left="4" w:right="3205"/>
              <w:rPr>
                <w:rFonts w:cs="Times New Roman"/>
                <w:sz w:val="21"/>
                <w:szCs w:val="21"/>
              </w:rPr>
            </w:pPr>
            <w:r>
              <w:rPr>
                <w:rFonts w:hint="eastAsia"/>
                <w:sz w:val="21"/>
                <w:szCs w:val="21"/>
              </w:rPr>
              <w:t>是否要求提交电子版文件：</w:t>
            </w:r>
            <w:r>
              <w:rPr>
                <w:rFonts w:hint="eastAsia"/>
                <w:b/>
                <w:bCs/>
                <w:sz w:val="21"/>
                <w:szCs w:val="21"/>
              </w:rPr>
              <w:t>需提供</w:t>
            </w:r>
            <w:r>
              <w:rPr>
                <w:b/>
                <w:bCs/>
                <w:sz w:val="21"/>
                <w:szCs w:val="21"/>
                <w:lang w:val="en-US"/>
              </w:rPr>
              <w:t xml:space="preserve"> U</w:t>
            </w:r>
            <w:r>
              <w:rPr>
                <w:rFonts w:hint="eastAsia"/>
                <w:b/>
                <w:bCs/>
                <w:sz w:val="21"/>
                <w:szCs w:val="21"/>
                <w:lang w:val="en-US"/>
              </w:rPr>
              <w:t>盘电子版投标文件</w:t>
            </w:r>
            <w:r>
              <w:rPr>
                <w:rFonts w:hint="eastAsia"/>
                <w:sz w:val="21"/>
                <w:szCs w:val="21"/>
              </w:rPr>
              <w:t>否其他要求：否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125" w:type="dxa"/>
            <w:gridSpan w:val="2"/>
          </w:tcPr>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spacing w:before="9"/>
              <w:rPr>
                <w:rFonts w:ascii="Times New Roman" w:cs="Times New Roman"/>
                <w:sz w:val="15"/>
                <w:szCs w:val="15"/>
              </w:rPr>
            </w:pPr>
          </w:p>
          <w:p>
            <w:pPr>
              <w:pStyle w:val="50"/>
              <w:ind w:left="254"/>
              <w:rPr>
                <w:sz w:val="21"/>
                <w:szCs w:val="21"/>
              </w:rPr>
            </w:pPr>
            <w:r>
              <w:rPr>
                <w:sz w:val="21"/>
                <w:szCs w:val="21"/>
              </w:rPr>
              <w:t>4.1.2</w:t>
            </w:r>
          </w:p>
        </w:tc>
        <w:tc>
          <w:tcPr>
            <w:tcW w:w="2745" w:type="dxa"/>
          </w:tcPr>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spacing w:before="177"/>
              <w:ind w:left="321"/>
              <w:rPr>
                <w:rFonts w:cs="Times New Roman"/>
                <w:sz w:val="21"/>
                <w:szCs w:val="21"/>
              </w:rPr>
            </w:pPr>
            <w:r>
              <w:rPr>
                <w:rFonts w:hint="eastAsia"/>
                <w:sz w:val="21"/>
                <w:szCs w:val="21"/>
              </w:rPr>
              <w:t>封套上应载明的信息</w:t>
            </w:r>
          </w:p>
        </w:tc>
        <w:tc>
          <w:tcPr>
            <w:tcW w:w="5937" w:type="dxa"/>
          </w:tcPr>
          <w:p>
            <w:pPr>
              <w:pStyle w:val="50"/>
              <w:spacing w:before="53"/>
              <w:ind w:left="4"/>
              <w:rPr>
                <w:rFonts w:ascii="Times New Roman" w:cs="Times New Roman"/>
                <w:sz w:val="20"/>
                <w:szCs w:val="20"/>
              </w:rPr>
            </w:pPr>
            <w:r>
              <w:rPr>
                <w:rFonts w:hint="eastAsia"/>
                <w:sz w:val="21"/>
                <w:szCs w:val="21"/>
              </w:rPr>
              <w:t>投标文件第一信封（商务及技术文件）封套：</w:t>
            </w:r>
          </w:p>
          <w:p>
            <w:pPr>
              <w:pStyle w:val="50"/>
              <w:tabs>
                <w:tab w:val="left" w:pos="2681"/>
              </w:tabs>
              <w:spacing w:before="161" w:line="295" w:lineRule="auto"/>
              <w:ind w:left="4" w:right="3257"/>
              <w:rPr>
                <w:rFonts w:cs="Times New Roman"/>
                <w:w w:val="95"/>
                <w:sz w:val="21"/>
                <w:szCs w:val="21"/>
                <w:u w:val="single"/>
              </w:rPr>
            </w:pPr>
            <w:r>
              <w:rPr>
                <w:rFonts w:hint="eastAsia"/>
                <w:sz w:val="21"/>
                <w:szCs w:val="21"/>
              </w:rPr>
              <w:t>招标人名称：</w:t>
            </w:r>
            <w:r>
              <w:rPr>
                <w:rFonts w:cs="Times New Roman"/>
                <w:w w:val="95"/>
                <w:sz w:val="21"/>
                <w:szCs w:val="21"/>
                <w:u w:val="single"/>
              </w:rPr>
              <w:tab/>
            </w:r>
          </w:p>
          <w:p>
            <w:pPr>
              <w:pStyle w:val="50"/>
              <w:tabs>
                <w:tab w:val="left" w:pos="2681"/>
              </w:tabs>
              <w:spacing w:before="161" w:line="295" w:lineRule="auto"/>
              <w:ind w:left="4" w:right="3257"/>
              <w:rPr>
                <w:rFonts w:ascii="Times New Roman" w:eastAsia="Times New Roman" w:cs="Times New Roman"/>
                <w:sz w:val="21"/>
                <w:szCs w:val="21"/>
              </w:rPr>
            </w:pPr>
            <w:r>
              <w:rPr>
                <w:rFonts w:hint="eastAsia"/>
                <w:sz w:val="21"/>
                <w:szCs w:val="21"/>
              </w:rPr>
              <w:t>招标人地址：</w:t>
            </w:r>
            <w:r>
              <w:rPr>
                <w:rFonts w:ascii="Times New Roman" w:eastAsia="Times New Roman" w:cs="Times New Roman"/>
                <w:sz w:val="21"/>
                <w:szCs w:val="21"/>
                <w:u w:val="single"/>
              </w:rPr>
              <w:tab/>
            </w:r>
          </w:p>
          <w:p>
            <w:pPr>
              <w:pStyle w:val="50"/>
              <w:spacing w:before="53"/>
              <w:ind w:left="4"/>
              <w:rPr>
                <w:rFonts w:cs="Times New Roman"/>
                <w:sz w:val="21"/>
                <w:szCs w:val="21"/>
              </w:rPr>
            </w:pPr>
            <w:r>
              <w:rPr>
                <w:rFonts w:hint="eastAsia"/>
                <w:sz w:val="21"/>
                <w:szCs w:val="21"/>
              </w:rPr>
              <w:t>（项目名称）施工招标第一个信封（商务及技术文件）投标文件</w:t>
            </w:r>
          </w:p>
          <w:p>
            <w:pPr>
              <w:pStyle w:val="50"/>
              <w:tabs>
                <w:tab w:val="left" w:pos="2890"/>
              </w:tabs>
              <w:spacing w:before="60"/>
              <w:ind w:left="4"/>
              <w:rPr>
                <w:rFonts w:cs="Times New Roman"/>
                <w:sz w:val="21"/>
                <w:szCs w:val="21"/>
              </w:rPr>
            </w:pPr>
            <w:r>
              <w:rPr>
                <w:rFonts w:hint="eastAsia"/>
                <w:sz w:val="21"/>
                <w:szCs w:val="21"/>
              </w:rPr>
              <w:t>招标项目编号：</w:t>
            </w:r>
            <w:r>
              <w:rPr>
                <w:rFonts w:ascii="Times New Roman" w:eastAsia="Times New Roman" w:cs="Times New Roman"/>
                <w:sz w:val="21"/>
                <w:szCs w:val="21"/>
                <w:u w:val="single"/>
              </w:rPr>
              <w:tab/>
            </w:r>
          </w:p>
          <w:p>
            <w:pPr>
              <w:pStyle w:val="50"/>
              <w:tabs>
                <w:tab w:val="left" w:pos="635"/>
                <w:tab w:val="left" w:pos="1264"/>
                <w:tab w:val="left" w:pos="1790"/>
                <w:tab w:val="left" w:pos="2315"/>
                <w:tab w:val="left" w:pos="2681"/>
                <w:tab w:val="left" w:pos="2838"/>
              </w:tabs>
              <w:spacing w:before="62" w:line="292" w:lineRule="auto"/>
              <w:ind w:left="4" w:right="1842"/>
              <w:rPr>
                <w:rFonts w:ascii="Times New Roman" w:eastAsia="Times New Roman" w:cs="Times New Roman"/>
                <w:sz w:val="21"/>
                <w:szCs w:val="21"/>
              </w:rPr>
            </w:pPr>
            <w:r>
              <w:rPr>
                <w:rFonts w:hint="eastAsia"/>
                <w:sz w:val="21"/>
                <w:szCs w:val="21"/>
              </w:rPr>
              <w:t>在</w:t>
            </w:r>
            <w:r>
              <w:rPr>
                <w:rFonts w:cs="Times New Roman"/>
                <w:sz w:val="21"/>
                <w:szCs w:val="21"/>
                <w:u w:val="single"/>
              </w:rPr>
              <w:tab/>
            </w:r>
            <w:r>
              <w:rPr>
                <w:rFonts w:hint="eastAsia"/>
                <w:sz w:val="21"/>
                <w:szCs w:val="21"/>
              </w:rPr>
              <w:t>年</w:t>
            </w:r>
            <w:r>
              <w:rPr>
                <w:rFonts w:cs="Times New Roman"/>
                <w:sz w:val="21"/>
                <w:szCs w:val="21"/>
                <w:u w:val="single"/>
              </w:rPr>
              <w:tab/>
            </w:r>
            <w:r>
              <w:rPr>
                <w:rFonts w:hint="eastAsia"/>
                <w:sz w:val="21"/>
                <w:szCs w:val="21"/>
              </w:rPr>
              <w:t>月</w:t>
            </w:r>
            <w:r>
              <w:rPr>
                <w:rFonts w:cs="Times New Roman"/>
                <w:sz w:val="21"/>
                <w:szCs w:val="21"/>
                <w:u w:val="single"/>
              </w:rPr>
              <w:tab/>
            </w:r>
            <w:r>
              <w:rPr>
                <w:rFonts w:hint="eastAsia"/>
                <w:sz w:val="21"/>
                <w:szCs w:val="21"/>
              </w:rPr>
              <w:t>日</w:t>
            </w:r>
            <w:r>
              <w:rPr>
                <w:rFonts w:cs="Times New Roman"/>
                <w:sz w:val="21"/>
                <w:szCs w:val="21"/>
                <w:u w:val="single"/>
              </w:rPr>
              <w:tab/>
            </w:r>
            <w:r>
              <w:rPr>
                <w:rFonts w:hint="eastAsia"/>
                <w:sz w:val="21"/>
                <w:szCs w:val="21"/>
              </w:rPr>
              <w:t>时</w:t>
            </w:r>
            <w:r>
              <w:rPr>
                <w:rFonts w:cs="Times New Roman"/>
                <w:sz w:val="21"/>
                <w:szCs w:val="21"/>
                <w:u w:val="single"/>
              </w:rPr>
              <w:tab/>
            </w:r>
            <w:r>
              <w:rPr>
                <w:rFonts w:cs="Times New Roman"/>
                <w:sz w:val="21"/>
                <w:szCs w:val="21"/>
                <w:u w:val="single"/>
              </w:rPr>
              <w:tab/>
            </w:r>
            <w:r>
              <w:rPr>
                <w:rFonts w:hint="eastAsia"/>
                <w:sz w:val="21"/>
                <w:szCs w:val="21"/>
              </w:rPr>
              <w:t>分前不得开</w:t>
            </w:r>
            <w:r>
              <w:rPr>
                <w:rFonts w:hint="eastAsia"/>
                <w:spacing w:val="-14"/>
                <w:sz w:val="21"/>
                <w:szCs w:val="21"/>
              </w:rPr>
              <w:t>启</w:t>
            </w:r>
            <w:r>
              <w:rPr>
                <w:rFonts w:hint="eastAsia"/>
                <w:sz w:val="21"/>
                <w:szCs w:val="21"/>
              </w:rPr>
              <w:t>投标人名称：</w:t>
            </w:r>
            <w:r>
              <w:rPr>
                <w:sz w:val="21"/>
                <w:szCs w:val="21"/>
              </w:rPr>
              <w:t xml:space="preserve"> </w:t>
            </w:r>
            <w:r>
              <w:rPr>
                <w:rFonts w:ascii="Times New Roman" w:eastAsia="Times New Roman" w:cs="Times New Roman"/>
                <w:sz w:val="21"/>
                <w:szCs w:val="21"/>
                <w:u w:val="single"/>
              </w:rPr>
              <w:tab/>
            </w:r>
            <w:r>
              <w:rPr>
                <w:rFonts w:ascii="Times New Roman" w:eastAsia="Times New Roman" w:cs="Times New Roman"/>
                <w:sz w:val="21"/>
                <w:szCs w:val="21"/>
                <w:u w:val="single"/>
              </w:rPr>
              <w:tab/>
            </w:r>
            <w:r>
              <w:rPr>
                <w:rFonts w:ascii="Times New Roman" w:eastAsia="Times New Roman" w:cs="Times New Roman"/>
                <w:sz w:val="21"/>
                <w:szCs w:val="21"/>
                <w:u w:val="single"/>
              </w:rPr>
              <w:tab/>
            </w:r>
          </w:p>
          <w:p>
            <w:pPr>
              <w:pStyle w:val="50"/>
              <w:tabs>
                <w:tab w:val="left" w:pos="2681"/>
              </w:tabs>
              <w:spacing w:before="3"/>
              <w:ind w:left="4"/>
              <w:rPr>
                <w:rFonts w:ascii="Times New Roman" w:eastAsia="Times New Roman" w:cs="Times New Roman"/>
                <w:sz w:val="21"/>
                <w:szCs w:val="21"/>
                <w:u w:val="single"/>
              </w:rPr>
            </w:pPr>
            <w:r>
              <w:rPr>
                <w:rFonts w:hint="eastAsia"/>
                <w:sz w:val="21"/>
                <w:szCs w:val="21"/>
              </w:rPr>
              <w:t>投标人地址：</w:t>
            </w:r>
            <w:r>
              <w:rPr>
                <w:sz w:val="21"/>
                <w:szCs w:val="21"/>
              </w:rPr>
              <w:t xml:space="preserve"> </w:t>
            </w:r>
            <w:r>
              <w:rPr>
                <w:rFonts w:ascii="Times New Roman" w:eastAsia="Times New Roman" w:cs="Times New Roman"/>
                <w:sz w:val="21"/>
                <w:szCs w:val="21"/>
                <w:u w:val="single"/>
              </w:rPr>
              <w:tab/>
            </w:r>
          </w:p>
          <w:p>
            <w:pPr>
              <w:pStyle w:val="50"/>
              <w:tabs>
                <w:tab w:val="left" w:pos="2681"/>
              </w:tabs>
              <w:spacing w:before="3"/>
              <w:ind w:left="4"/>
              <w:rPr>
                <w:rFonts w:cs="Times New Roman"/>
                <w:sz w:val="21"/>
                <w:szCs w:val="21"/>
              </w:rPr>
            </w:pPr>
            <w:r>
              <w:rPr>
                <w:rFonts w:hint="eastAsia"/>
                <w:sz w:val="21"/>
                <w:szCs w:val="21"/>
              </w:rPr>
              <w:t>投标文件第二信封（报价文件）封套：</w:t>
            </w:r>
          </w:p>
          <w:p>
            <w:pPr>
              <w:pStyle w:val="50"/>
              <w:tabs>
                <w:tab w:val="left" w:pos="2681"/>
              </w:tabs>
              <w:spacing w:before="3"/>
              <w:ind w:left="4"/>
              <w:rPr>
                <w:rFonts w:cs="Times New Roman"/>
                <w:sz w:val="21"/>
                <w:szCs w:val="21"/>
              </w:rPr>
            </w:pPr>
            <w:r>
              <w:rPr>
                <w:rFonts w:hint="eastAsia"/>
                <w:sz w:val="21"/>
                <w:szCs w:val="21"/>
              </w:rPr>
              <w:t>招标人名称：</w:t>
            </w:r>
            <w:r>
              <w:rPr>
                <w:rFonts w:cs="Times New Roman"/>
                <w:w w:val="95"/>
                <w:sz w:val="21"/>
                <w:szCs w:val="21"/>
                <w:u w:val="single"/>
              </w:rPr>
              <w:tab/>
            </w:r>
          </w:p>
          <w:p>
            <w:pPr>
              <w:pStyle w:val="50"/>
              <w:tabs>
                <w:tab w:val="left" w:pos="2681"/>
              </w:tabs>
              <w:spacing w:before="60"/>
              <w:ind w:left="4"/>
              <w:rPr>
                <w:rFonts w:ascii="Times New Roman" w:eastAsia="Times New Roman" w:cs="Times New Roman"/>
                <w:sz w:val="21"/>
                <w:szCs w:val="21"/>
              </w:rPr>
            </w:pPr>
            <w:r>
              <w:rPr>
                <w:rFonts w:hint="eastAsia"/>
                <w:sz w:val="21"/>
                <w:szCs w:val="21"/>
              </w:rPr>
              <w:t>招标人地址：</w:t>
            </w:r>
            <w:r>
              <w:rPr>
                <w:rFonts w:ascii="Times New Roman" w:eastAsia="Times New Roman" w:cs="Times New Roman"/>
                <w:sz w:val="21"/>
                <w:szCs w:val="21"/>
                <w:u w:val="single"/>
              </w:rPr>
              <w:tab/>
            </w:r>
          </w:p>
          <w:p>
            <w:pPr>
              <w:pStyle w:val="50"/>
              <w:spacing w:before="62" w:line="208" w:lineRule="exact"/>
              <w:ind w:right="-15"/>
              <w:rPr>
                <w:rFonts w:cs="Times New Roman"/>
                <w:sz w:val="21"/>
                <w:szCs w:val="21"/>
              </w:rPr>
            </w:pPr>
            <w:r>
              <w:rPr>
                <w:rFonts w:hint="eastAsia"/>
                <w:sz w:val="21"/>
                <w:szCs w:val="21"/>
              </w:rPr>
              <w:t>（项目名称</w:t>
            </w:r>
            <w:r>
              <w:rPr>
                <w:rFonts w:hint="eastAsia"/>
                <w:spacing w:val="-21"/>
                <w:sz w:val="21"/>
                <w:szCs w:val="21"/>
              </w:rPr>
              <w:t>）</w:t>
            </w:r>
            <w:r>
              <w:rPr>
                <w:rFonts w:hint="eastAsia"/>
                <w:spacing w:val="-2"/>
                <w:sz w:val="21"/>
                <w:szCs w:val="21"/>
              </w:rPr>
              <w:t>施工招标第一个信封</w:t>
            </w:r>
            <w:r>
              <w:rPr>
                <w:rFonts w:hint="eastAsia"/>
                <w:sz w:val="21"/>
                <w:szCs w:val="21"/>
              </w:rPr>
              <w:t>（报价文件）投标文件</w:t>
            </w:r>
          </w:p>
          <w:p>
            <w:pPr>
              <w:pStyle w:val="50"/>
              <w:tabs>
                <w:tab w:val="left" w:pos="2890"/>
              </w:tabs>
              <w:spacing w:before="62"/>
              <w:ind w:left="4"/>
              <w:rPr>
                <w:rFonts w:ascii="Times New Roman" w:eastAsia="Times New Roman" w:cs="Times New Roman"/>
                <w:sz w:val="21"/>
                <w:szCs w:val="21"/>
              </w:rPr>
            </w:pPr>
            <w:r>
              <w:rPr>
                <w:rFonts w:hint="eastAsia"/>
                <w:spacing w:val="-2"/>
                <w:sz w:val="21"/>
                <w:szCs w:val="21"/>
              </w:rPr>
              <w:t>招标项目编号：</w:t>
            </w:r>
            <w:r>
              <w:rPr>
                <w:rFonts w:ascii="Times New Roman" w:eastAsia="Times New Roman" w:cs="Times New Roman"/>
                <w:sz w:val="21"/>
                <w:szCs w:val="21"/>
                <w:u w:val="single"/>
              </w:rPr>
              <w:tab/>
            </w:r>
          </w:p>
          <w:p>
            <w:pPr>
              <w:pStyle w:val="50"/>
              <w:tabs>
                <w:tab w:val="left" w:pos="635"/>
                <w:tab w:val="left" w:pos="1264"/>
                <w:tab w:val="left" w:pos="1790"/>
                <w:tab w:val="left" w:pos="2315"/>
                <w:tab w:val="left" w:pos="2681"/>
                <w:tab w:val="left" w:pos="2838"/>
              </w:tabs>
              <w:spacing w:before="60" w:line="295" w:lineRule="auto"/>
              <w:ind w:left="4" w:right="1842"/>
              <w:rPr>
                <w:rFonts w:ascii="Times New Roman" w:eastAsia="Times New Roman" w:cs="Times New Roman"/>
                <w:sz w:val="21"/>
                <w:szCs w:val="21"/>
              </w:rPr>
            </w:pPr>
            <w:r>
              <w:rPr>
                <w:rFonts w:hint="eastAsia"/>
                <w:sz w:val="21"/>
                <w:szCs w:val="21"/>
              </w:rPr>
              <w:t>在</w:t>
            </w:r>
            <w:r>
              <w:rPr>
                <w:rFonts w:cs="Times New Roman"/>
                <w:sz w:val="21"/>
                <w:szCs w:val="21"/>
                <w:u w:val="single"/>
              </w:rPr>
              <w:tab/>
            </w:r>
            <w:r>
              <w:rPr>
                <w:rFonts w:hint="eastAsia"/>
                <w:sz w:val="21"/>
                <w:szCs w:val="21"/>
              </w:rPr>
              <w:t>年</w:t>
            </w:r>
            <w:r>
              <w:rPr>
                <w:rFonts w:cs="Times New Roman"/>
                <w:sz w:val="21"/>
                <w:szCs w:val="21"/>
                <w:u w:val="single"/>
              </w:rPr>
              <w:tab/>
            </w:r>
            <w:r>
              <w:rPr>
                <w:rFonts w:hint="eastAsia"/>
                <w:sz w:val="21"/>
                <w:szCs w:val="21"/>
              </w:rPr>
              <w:t>月</w:t>
            </w:r>
            <w:r>
              <w:rPr>
                <w:rFonts w:cs="Times New Roman"/>
                <w:sz w:val="21"/>
                <w:szCs w:val="21"/>
                <w:u w:val="single"/>
              </w:rPr>
              <w:tab/>
            </w:r>
            <w:r>
              <w:rPr>
                <w:rFonts w:hint="eastAsia"/>
                <w:sz w:val="21"/>
                <w:szCs w:val="21"/>
              </w:rPr>
              <w:t>日</w:t>
            </w:r>
            <w:r>
              <w:rPr>
                <w:rFonts w:cs="Times New Roman"/>
                <w:sz w:val="21"/>
                <w:szCs w:val="21"/>
                <w:u w:val="single"/>
              </w:rPr>
              <w:tab/>
            </w:r>
            <w:r>
              <w:rPr>
                <w:rFonts w:hint="eastAsia"/>
                <w:sz w:val="21"/>
                <w:szCs w:val="21"/>
              </w:rPr>
              <w:t>时</w:t>
            </w:r>
            <w:r>
              <w:rPr>
                <w:rFonts w:cs="Times New Roman"/>
                <w:sz w:val="21"/>
                <w:szCs w:val="21"/>
                <w:u w:val="single"/>
              </w:rPr>
              <w:tab/>
            </w:r>
            <w:r>
              <w:rPr>
                <w:rFonts w:cs="Times New Roman"/>
                <w:sz w:val="21"/>
                <w:szCs w:val="21"/>
                <w:u w:val="single"/>
              </w:rPr>
              <w:tab/>
            </w:r>
            <w:r>
              <w:rPr>
                <w:rFonts w:hint="eastAsia"/>
                <w:sz w:val="21"/>
                <w:szCs w:val="21"/>
              </w:rPr>
              <w:t>分前不得开</w:t>
            </w:r>
            <w:r>
              <w:rPr>
                <w:rFonts w:hint="eastAsia"/>
                <w:spacing w:val="-14"/>
                <w:sz w:val="21"/>
                <w:szCs w:val="21"/>
              </w:rPr>
              <w:t>启</w:t>
            </w:r>
            <w:r>
              <w:rPr>
                <w:rFonts w:hint="eastAsia"/>
                <w:sz w:val="21"/>
                <w:szCs w:val="21"/>
              </w:rPr>
              <w:t>投标人名称：</w:t>
            </w:r>
            <w:r>
              <w:rPr>
                <w:rFonts w:ascii="Times New Roman" w:eastAsia="Times New Roman" w:cs="Times New Roman"/>
                <w:sz w:val="21"/>
                <w:szCs w:val="21"/>
                <w:u w:val="single"/>
              </w:rPr>
              <w:tab/>
            </w:r>
            <w:r>
              <w:rPr>
                <w:rFonts w:ascii="Times New Roman" w:eastAsia="Times New Roman" w:cs="Times New Roman"/>
                <w:sz w:val="21"/>
                <w:szCs w:val="21"/>
                <w:u w:val="single"/>
              </w:rPr>
              <w:tab/>
            </w:r>
            <w:r>
              <w:rPr>
                <w:rFonts w:ascii="Times New Roman" w:eastAsia="Times New Roman" w:cs="Times New Roman"/>
                <w:sz w:val="21"/>
                <w:szCs w:val="21"/>
                <w:u w:val="single"/>
              </w:rPr>
              <w:tab/>
            </w:r>
          </w:p>
          <w:p>
            <w:pPr>
              <w:pStyle w:val="50"/>
              <w:tabs>
                <w:tab w:val="left" w:pos="2681"/>
              </w:tabs>
              <w:spacing w:line="255" w:lineRule="exact"/>
              <w:ind w:left="4"/>
              <w:rPr>
                <w:rFonts w:ascii="Times New Roman" w:eastAsia="Times New Roman" w:cs="Times New Roman"/>
                <w:sz w:val="21"/>
                <w:szCs w:val="21"/>
              </w:rPr>
            </w:pPr>
            <w:r>
              <w:rPr>
                <w:rFonts w:hint="eastAsia"/>
                <w:sz w:val="21"/>
                <w:szCs w:val="21"/>
              </w:rPr>
              <w:t>投标人地址：</w:t>
            </w:r>
            <w:r>
              <w:rPr>
                <w:rFonts w:ascii="Times New Roman" w:eastAsia="Times New Roman" w:cs="Times New Roman"/>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25" w:type="dxa"/>
            <w:gridSpan w:val="2"/>
          </w:tcPr>
          <w:p>
            <w:pPr>
              <w:pStyle w:val="50"/>
              <w:spacing w:before="54" w:line="256" w:lineRule="exact"/>
              <w:ind w:left="179" w:right="173"/>
              <w:jc w:val="center"/>
              <w:rPr>
                <w:sz w:val="21"/>
                <w:szCs w:val="21"/>
              </w:rPr>
            </w:pPr>
            <w:r>
              <w:rPr>
                <w:sz w:val="21"/>
                <w:szCs w:val="21"/>
              </w:rPr>
              <w:t>4.2.3</w:t>
            </w:r>
          </w:p>
        </w:tc>
        <w:tc>
          <w:tcPr>
            <w:tcW w:w="2745" w:type="dxa"/>
          </w:tcPr>
          <w:p>
            <w:pPr>
              <w:pStyle w:val="50"/>
              <w:spacing w:before="54" w:line="256" w:lineRule="exact"/>
              <w:ind w:left="427"/>
              <w:rPr>
                <w:rFonts w:cs="Times New Roman"/>
                <w:sz w:val="21"/>
                <w:szCs w:val="21"/>
              </w:rPr>
            </w:pPr>
            <w:r>
              <w:rPr>
                <w:rFonts w:hint="eastAsia"/>
                <w:sz w:val="21"/>
                <w:szCs w:val="21"/>
              </w:rPr>
              <w:t>是否退还投标文件</w:t>
            </w:r>
          </w:p>
        </w:tc>
        <w:tc>
          <w:tcPr>
            <w:tcW w:w="5937" w:type="dxa"/>
          </w:tcPr>
          <w:p>
            <w:pPr>
              <w:pStyle w:val="50"/>
              <w:spacing w:before="54" w:line="256" w:lineRule="exact"/>
              <w:ind w:left="4"/>
              <w:rPr>
                <w:rFonts w:cs="Times New Roman"/>
                <w:sz w:val="21"/>
                <w:szCs w:val="21"/>
              </w:rPr>
            </w:pPr>
            <w:r>
              <w:rPr>
                <w:rFonts w:hint="eastAsia"/>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125" w:type="dxa"/>
            <w:gridSpan w:val="2"/>
            <w:vMerge w:val="restart"/>
          </w:tcPr>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spacing w:before="3"/>
              <w:rPr>
                <w:rFonts w:ascii="Times New Roman" w:cs="Times New Roman"/>
                <w:sz w:val="17"/>
                <w:szCs w:val="17"/>
              </w:rPr>
            </w:pPr>
          </w:p>
          <w:p>
            <w:pPr>
              <w:pStyle w:val="50"/>
              <w:ind w:left="180" w:right="171"/>
              <w:jc w:val="center"/>
              <w:rPr>
                <w:sz w:val="21"/>
                <w:szCs w:val="21"/>
              </w:rPr>
            </w:pPr>
            <w:r>
              <w:rPr>
                <w:sz w:val="21"/>
                <w:szCs w:val="21"/>
              </w:rPr>
              <w:t>5.1</w:t>
            </w:r>
          </w:p>
        </w:tc>
        <w:tc>
          <w:tcPr>
            <w:tcW w:w="2745" w:type="dxa"/>
            <w:vMerge w:val="restart"/>
          </w:tcPr>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rPr>
                <w:rFonts w:ascii="Times New Roman" w:cs="Times New Roman"/>
                <w:sz w:val="20"/>
                <w:szCs w:val="20"/>
              </w:rPr>
            </w:pPr>
          </w:p>
          <w:p>
            <w:pPr>
              <w:pStyle w:val="50"/>
              <w:spacing w:before="3"/>
              <w:rPr>
                <w:rFonts w:ascii="Times New Roman" w:cs="Times New Roman"/>
                <w:sz w:val="17"/>
                <w:szCs w:val="17"/>
              </w:rPr>
            </w:pPr>
          </w:p>
          <w:p>
            <w:pPr>
              <w:pStyle w:val="50"/>
              <w:ind w:left="532"/>
              <w:rPr>
                <w:rFonts w:cs="Times New Roman"/>
                <w:sz w:val="21"/>
                <w:szCs w:val="21"/>
              </w:rPr>
            </w:pPr>
            <w:r>
              <w:rPr>
                <w:rFonts w:hint="eastAsia"/>
                <w:sz w:val="21"/>
                <w:szCs w:val="21"/>
              </w:rPr>
              <w:t>开标时间和地点</w:t>
            </w:r>
          </w:p>
        </w:tc>
        <w:tc>
          <w:tcPr>
            <w:tcW w:w="5937" w:type="dxa"/>
          </w:tcPr>
          <w:p>
            <w:pPr>
              <w:pStyle w:val="50"/>
              <w:spacing w:before="17" w:line="420" w:lineRule="exact"/>
              <w:ind w:right="1105"/>
              <w:rPr>
                <w:rFonts w:hint="eastAsia" w:eastAsia="宋体"/>
                <w:sz w:val="21"/>
                <w:szCs w:val="21"/>
                <w:lang w:eastAsia="zh-CN"/>
              </w:rPr>
            </w:pPr>
            <w:r>
              <w:rPr>
                <w:rFonts w:hint="eastAsia"/>
                <w:sz w:val="21"/>
                <w:szCs w:val="21"/>
              </w:rPr>
              <w:t>投标文件第一个信封（商务及技术文件）开标</w:t>
            </w:r>
            <w:r>
              <w:rPr>
                <w:rFonts w:hint="eastAsia"/>
                <w:sz w:val="21"/>
                <w:szCs w:val="21"/>
                <w:lang w:eastAsia="zh-CN"/>
              </w:rPr>
              <w:t>时</w:t>
            </w:r>
          </w:p>
          <w:p>
            <w:pPr>
              <w:pStyle w:val="50"/>
              <w:spacing w:before="17" w:line="420" w:lineRule="exact"/>
              <w:ind w:right="1105"/>
              <w:rPr>
                <w:rFonts w:cs="Times New Roman"/>
                <w:sz w:val="21"/>
                <w:szCs w:val="21"/>
              </w:rPr>
            </w:pPr>
            <w:r>
              <w:rPr>
                <w:rFonts w:hint="eastAsia"/>
                <w:sz w:val="21"/>
                <w:szCs w:val="21"/>
              </w:rPr>
              <w:t>间：同投标截止时间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125" w:type="dxa"/>
            <w:gridSpan w:val="2"/>
            <w:vMerge w:val="continue"/>
            <w:tcBorders>
              <w:top w:val="nil"/>
            </w:tcBorders>
          </w:tcPr>
          <w:p>
            <w:pPr>
              <w:rPr>
                <w:rFonts w:cs="Times New Roman"/>
                <w:sz w:val="2"/>
                <w:szCs w:val="2"/>
              </w:rPr>
            </w:pPr>
          </w:p>
        </w:tc>
        <w:tc>
          <w:tcPr>
            <w:tcW w:w="2745" w:type="dxa"/>
            <w:vMerge w:val="continue"/>
            <w:tcBorders>
              <w:top w:val="nil"/>
            </w:tcBorders>
          </w:tcPr>
          <w:p>
            <w:pPr>
              <w:rPr>
                <w:rFonts w:cs="Times New Roman"/>
                <w:sz w:val="2"/>
                <w:szCs w:val="2"/>
              </w:rPr>
            </w:pPr>
          </w:p>
        </w:tc>
        <w:tc>
          <w:tcPr>
            <w:tcW w:w="5937" w:type="dxa"/>
          </w:tcPr>
          <w:p>
            <w:pPr>
              <w:pStyle w:val="50"/>
              <w:spacing w:before="116"/>
              <w:ind w:left="4"/>
              <w:rPr>
                <w:rFonts w:cs="Times New Roman"/>
                <w:sz w:val="21"/>
                <w:szCs w:val="21"/>
              </w:rPr>
            </w:pPr>
            <w:r>
              <w:rPr>
                <w:rFonts w:hint="eastAsia"/>
                <w:sz w:val="21"/>
                <w:szCs w:val="21"/>
              </w:rPr>
              <w:t>投标文件第一个信封（商务及技术文件）开标地点：</w:t>
            </w:r>
          </w:p>
          <w:p>
            <w:pPr>
              <w:pStyle w:val="50"/>
              <w:spacing w:before="151" w:line="207" w:lineRule="exact"/>
              <w:ind w:left="4"/>
              <w:rPr>
                <w:rFonts w:cs="Times New Roman"/>
                <w:sz w:val="21"/>
                <w:szCs w:val="21"/>
              </w:rPr>
            </w:pPr>
            <w:r>
              <w:rPr>
                <w:rFonts w:hint="eastAsia"/>
                <w:sz w:val="21"/>
                <w:szCs w:val="21"/>
              </w:rPr>
              <w:t>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125" w:type="dxa"/>
            <w:gridSpan w:val="2"/>
            <w:vMerge w:val="continue"/>
            <w:tcBorders>
              <w:top w:val="nil"/>
            </w:tcBorders>
          </w:tcPr>
          <w:p>
            <w:pPr>
              <w:rPr>
                <w:rFonts w:cs="Times New Roman"/>
                <w:sz w:val="2"/>
                <w:szCs w:val="2"/>
              </w:rPr>
            </w:pPr>
          </w:p>
        </w:tc>
        <w:tc>
          <w:tcPr>
            <w:tcW w:w="2745" w:type="dxa"/>
            <w:vMerge w:val="continue"/>
            <w:tcBorders>
              <w:top w:val="nil"/>
            </w:tcBorders>
          </w:tcPr>
          <w:p>
            <w:pPr>
              <w:rPr>
                <w:rFonts w:cs="Times New Roman"/>
                <w:sz w:val="2"/>
                <w:szCs w:val="2"/>
              </w:rPr>
            </w:pPr>
          </w:p>
        </w:tc>
        <w:tc>
          <w:tcPr>
            <w:tcW w:w="5937" w:type="dxa"/>
          </w:tcPr>
          <w:p>
            <w:pPr>
              <w:pStyle w:val="50"/>
              <w:spacing w:before="31" w:line="420" w:lineRule="atLeast"/>
              <w:ind w:left="4" w:right="1736"/>
              <w:rPr>
                <w:rFonts w:cs="Times New Roman"/>
                <w:sz w:val="21"/>
                <w:szCs w:val="21"/>
              </w:rPr>
            </w:pPr>
            <w:r>
              <w:rPr>
                <w:rFonts w:hint="eastAsia"/>
                <w:sz w:val="21"/>
                <w:szCs w:val="21"/>
              </w:rPr>
              <w:t>投标文件第二个信封（报价文件）开标时间：</w:t>
            </w:r>
            <w:r>
              <w:rPr>
                <w:sz w:val="21"/>
                <w:szCs w:val="21"/>
              </w:rPr>
              <w:t xml:space="preserve">  </w:t>
            </w:r>
            <w:r>
              <w:rPr>
                <w:rFonts w:hint="eastAsia"/>
                <w:sz w:val="21"/>
                <w:szCs w:val="21"/>
              </w:rPr>
              <w:t>在第一信封开标会议中另行通知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125" w:type="dxa"/>
            <w:gridSpan w:val="2"/>
            <w:vMerge w:val="continue"/>
            <w:tcBorders>
              <w:top w:val="nil"/>
            </w:tcBorders>
          </w:tcPr>
          <w:p>
            <w:pPr>
              <w:rPr>
                <w:rFonts w:cs="Times New Roman"/>
                <w:sz w:val="2"/>
                <w:szCs w:val="2"/>
              </w:rPr>
            </w:pPr>
          </w:p>
        </w:tc>
        <w:tc>
          <w:tcPr>
            <w:tcW w:w="2745" w:type="dxa"/>
            <w:vMerge w:val="continue"/>
            <w:tcBorders>
              <w:top w:val="nil"/>
            </w:tcBorders>
          </w:tcPr>
          <w:p>
            <w:pPr>
              <w:rPr>
                <w:rFonts w:cs="Times New Roman"/>
                <w:sz w:val="2"/>
                <w:szCs w:val="2"/>
              </w:rPr>
            </w:pPr>
          </w:p>
        </w:tc>
        <w:tc>
          <w:tcPr>
            <w:tcW w:w="5937" w:type="dxa"/>
          </w:tcPr>
          <w:p>
            <w:pPr>
              <w:pStyle w:val="50"/>
              <w:spacing w:before="15" w:line="420" w:lineRule="exact"/>
              <w:ind w:left="4" w:right="1736"/>
              <w:rPr>
                <w:rFonts w:cs="Times New Roman"/>
                <w:sz w:val="21"/>
                <w:szCs w:val="21"/>
              </w:rPr>
            </w:pPr>
            <w:r>
              <w:rPr>
                <w:rFonts w:hint="eastAsia"/>
                <w:sz w:val="21"/>
                <w:szCs w:val="21"/>
              </w:rPr>
              <w:t>投标文件第二个信封（报价文件）开标地点：</w:t>
            </w:r>
            <w:r>
              <w:rPr>
                <w:sz w:val="21"/>
                <w:szCs w:val="21"/>
              </w:rPr>
              <w:t xml:space="preserve"> </w:t>
            </w:r>
            <w:r>
              <w:rPr>
                <w:rFonts w:hint="eastAsia"/>
                <w:sz w:val="21"/>
                <w:szCs w:val="21"/>
              </w:rPr>
              <w:t>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125" w:type="dxa"/>
            <w:gridSpan w:val="2"/>
            <w:vAlign w:val="center"/>
          </w:tcPr>
          <w:p>
            <w:pPr>
              <w:pStyle w:val="50"/>
              <w:rPr>
                <w:rFonts w:ascii="Times New Roman" w:cs="Times New Roman"/>
                <w:sz w:val="23"/>
                <w:szCs w:val="23"/>
              </w:rPr>
            </w:pPr>
          </w:p>
          <w:p>
            <w:pPr>
              <w:pStyle w:val="50"/>
              <w:ind w:left="179" w:right="173"/>
              <w:rPr>
                <w:sz w:val="21"/>
                <w:szCs w:val="21"/>
              </w:rPr>
            </w:pPr>
            <w:r>
              <w:rPr>
                <w:sz w:val="21"/>
                <w:szCs w:val="21"/>
              </w:rPr>
              <w:t>5.2.1</w:t>
            </w:r>
          </w:p>
        </w:tc>
        <w:tc>
          <w:tcPr>
            <w:tcW w:w="2745" w:type="dxa"/>
            <w:vAlign w:val="center"/>
          </w:tcPr>
          <w:p>
            <w:pPr>
              <w:pStyle w:val="50"/>
              <w:spacing w:before="38" w:line="330" w:lineRule="atLeast"/>
              <w:ind w:left="847" w:right="-29" w:hanging="843"/>
              <w:rPr>
                <w:rFonts w:cs="Times New Roman"/>
                <w:sz w:val="21"/>
                <w:szCs w:val="21"/>
              </w:rPr>
            </w:pPr>
            <w:r>
              <w:rPr>
                <w:rFonts w:hint="eastAsia"/>
                <w:sz w:val="21"/>
                <w:szCs w:val="21"/>
              </w:rPr>
              <w:t>第一个信封（商务及技术文件）</w:t>
            </w:r>
            <w:r>
              <w:rPr>
                <w:sz w:val="21"/>
                <w:szCs w:val="21"/>
              </w:rPr>
              <w:t xml:space="preserve"> </w:t>
            </w:r>
            <w:r>
              <w:rPr>
                <w:rFonts w:hint="eastAsia"/>
                <w:sz w:val="21"/>
                <w:szCs w:val="21"/>
              </w:rPr>
              <w:t>开标程序</w:t>
            </w:r>
          </w:p>
        </w:tc>
        <w:tc>
          <w:tcPr>
            <w:tcW w:w="5937" w:type="dxa"/>
            <w:vAlign w:val="center"/>
          </w:tcPr>
          <w:p>
            <w:pPr>
              <w:pStyle w:val="50"/>
              <w:spacing w:before="86" w:line="330" w:lineRule="atLeast"/>
              <w:ind w:left="4" w:right="118"/>
              <w:rPr>
                <w:rFonts w:hint="eastAsia"/>
                <w:sz w:val="21"/>
                <w:szCs w:val="21"/>
                <w:u w:val="none"/>
              </w:rPr>
            </w:pPr>
            <w:r>
              <w:rPr>
                <w:rFonts w:hint="eastAsia"/>
                <w:sz w:val="21"/>
                <w:szCs w:val="21"/>
                <w:u w:val="none"/>
              </w:rPr>
              <w:t>密封情况检查：检查商务及技术文件是否存在提前开启情况</w:t>
            </w:r>
          </w:p>
          <w:p>
            <w:pPr>
              <w:pStyle w:val="50"/>
              <w:spacing w:before="86" w:line="330" w:lineRule="atLeast"/>
              <w:ind w:left="4" w:right="118"/>
              <w:rPr>
                <w:rFonts w:cs="Times New Roman"/>
                <w:sz w:val="21"/>
                <w:szCs w:val="21"/>
                <w:u w:val="none"/>
              </w:rPr>
            </w:pPr>
            <w:r>
              <w:rPr>
                <w:rFonts w:hint="eastAsia"/>
                <w:sz w:val="21"/>
                <w:szCs w:val="21"/>
                <w:u w:val="none"/>
              </w:rPr>
              <w:t>开标顺序：</w:t>
            </w:r>
            <w:r>
              <w:rPr>
                <w:sz w:val="21"/>
                <w:szCs w:val="21"/>
                <w:u w:val="none"/>
              </w:rPr>
              <w:t xml:space="preserve"> </w:t>
            </w:r>
            <w:r>
              <w:rPr>
                <w:rFonts w:hint="eastAsia"/>
                <w:sz w:val="21"/>
                <w:szCs w:val="21"/>
                <w:u w:val="none"/>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125" w:type="dxa"/>
            <w:gridSpan w:val="2"/>
            <w:vAlign w:val="center"/>
          </w:tcPr>
          <w:p>
            <w:pPr>
              <w:pStyle w:val="50"/>
              <w:spacing w:before="9"/>
              <w:rPr>
                <w:rFonts w:ascii="Times New Roman" w:cs="Times New Roman"/>
              </w:rPr>
            </w:pPr>
          </w:p>
          <w:p>
            <w:pPr>
              <w:pStyle w:val="50"/>
              <w:spacing w:before="1"/>
              <w:ind w:left="179" w:right="173"/>
              <w:rPr>
                <w:sz w:val="21"/>
                <w:szCs w:val="21"/>
              </w:rPr>
            </w:pPr>
            <w:r>
              <w:rPr>
                <w:sz w:val="21"/>
                <w:szCs w:val="21"/>
              </w:rPr>
              <w:t>5.2.3</w:t>
            </w:r>
          </w:p>
        </w:tc>
        <w:tc>
          <w:tcPr>
            <w:tcW w:w="2745" w:type="dxa"/>
            <w:vAlign w:val="center"/>
          </w:tcPr>
          <w:p>
            <w:pPr>
              <w:pStyle w:val="50"/>
              <w:spacing w:before="36" w:line="330" w:lineRule="atLeast"/>
              <w:ind w:left="847" w:right="103" w:hanging="735"/>
              <w:rPr>
                <w:rFonts w:cs="Times New Roman"/>
                <w:sz w:val="21"/>
                <w:szCs w:val="21"/>
              </w:rPr>
            </w:pPr>
            <w:r>
              <w:rPr>
                <w:rFonts w:hint="eastAsia"/>
                <w:sz w:val="21"/>
                <w:szCs w:val="21"/>
              </w:rPr>
              <w:t>第二个信封（报价文件）</w:t>
            </w:r>
            <w:r>
              <w:rPr>
                <w:sz w:val="21"/>
                <w:szCs w:val="21"/>
              </w:rPr>
              <w:t xml:space="preserve"> </w:t>
            </w:r>
            <w:r>
              <w:rPr>
                <w:rFonts w:hint="eastAsia"/>
                <w:sz w:val="21"/>
                <w:szCs w:val="21"/>
              </w:rPr>
              <w:t>开标程序</w:t>
            </w:r>
          </w:p>
        </w:tc>
        <w:tc>
          <w:tcPr>
            <w:tcW w:w="5937" w:type="dxa"/>
            <w:vAlign w:val="center"/>
          </w:tcPr>
          <w:p>
            <w:pPr>
              <w:pStyle w:val="50"/>
              <w:numPr>
                <w:ilvl w:val="0"/>
                <w:numId w:val="0"/>
              </w:numPr>
              <w:spacing w:before="82" w:line="330" w:lineRule="atLeast"/>
              <w:ind w:right="791" w:rightChars="0"/>
              <w:rPr>
                <w:rFonts w:hint="eastAsia"/>
                <w:sz w:val="21"/>
                <w:szCs w:val="21"/>
                <w:u w:val="none"/>
              </w:rPr>
            </w:pPr>
            <w:r>
              <w:rPr>
                <w:rFonts w:hint="eastAsia"/>
                <w:sz w:val="21"/>
                <w:szCs w:val="21"/>
                <w:u w:val="none"/>
              </w:rPr>
              <w:t>密封情况检查：检查报价文件是否存在提前开启情况</w:t>
            </w:r>
          </w:p>
          <w:p>
            <w:pPr>
              <w:pStyle w:val="50"/>
              <w:numPr>
                <w:ilvl w:val="0"/>
                <w:numId w:val="0"/>
              </w:numPr>
              <w:spacing w:before="82" w:line="330" w:lineRule="atLeast"/>
              <w:ind w:right="791" w:rightChars="0"/>
              <w:rPr>
                <w:rFonts w:cs="Times New Roman"/>
                <w:sz w:val="21"/>
                <w:szCs w:val="21"/>
                <w:u w:val="none"/>
              </w:rPr>
            </w:pPr>
            <w:r>
              <w:rPr>
                <w:rFonts w:hint="eastAsia"/>
                <w:sz w:val="21"/>
                <w:szCs w:val="21"/>
                <w:u w:val="none"/>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25" w:type="dxa"/>
            <w:gridSpan w:val="2"/>
            <w:vAlign w:val="center"/>
          </w:tcPr>
          <w:p>
            <w:pPr>
              <w:pStyle w:val="50"/>
              <w:spacing w:before="9"/>
              <w:rPr>
                <w:rFonts w:ascii="Times New Roman" w:cs="Times New Roman"/>
              </w:rPr>
            </w:pPr>
          </w:p>
          <w:p>
            <w:pPr>
              <w:pStyle w:val="50"/>
              <w:ind w:left="179" w:right="173"/>
              <w:rPr>
                <w:sz w:val="21"/>
                <w:szCs w:val="21"/>
              </w:rPr>
            </w:pPr>
            <w:r>
              <w:rPr>
                <w:sz w:val="21"/>
                <w:szCs w:val="21"/>
              </w:rPr>
              <w:t>6.1.1</w:t>
            </w:r>
          </w:p>
        </w:tc>
        <w:tc>
          <w:tcPr>
            <w:tcW w:w="2745" w:type="dxa"/>
            <w:vAlign w:val="center"/>
          </w:tcPr>
          <w:p>
            <w:pPr>
              <w:pStyle w:val="50"/>
              <w:rPr>
                <w:rFonts w:ascii="Times New Roman" w:cs="Times New Roman"/>
                <w:sz w:val="23"/>
                <w:szCs w:val="23"/>
              </w:rPr>
            </w:pPr>
          </w:p>
          <w:p>
            <w:pPr>
              <w:pStyle w:val="50"/>
              <w:ind w:left="427"/>
              <w:rPr>
                <w:rFonts w:cs="Times New Roman"/>
                <w:sz w:val="21"/>
                <w:szCs w:val="21"/>
              </w:rPr>
            </w:pPr>
            <w:r>
              <w:rPr>
                <w:rFonts w:hint="eastAsia"/>
                <w:sz w:val="21"/>
                <w:szCs w:val="21"/>
              </w:rPr>
              <w:t>评标委员会的组建</w:t>
            </w:r>
          </w:p>
        </w:tc>
        <w:tc>
          <w:tcPr>
            <w:tcW w:w="5937" w:type="dxa"/>
            <w:vAlign w:val="center"/>
          </w:tcPr>
          <w:p>
            <w:pPr>
              <w:pStyle w:val="50"/>
              <w:spacing w:before="62" w:line="254" w:lineRule="exact"/>
              <w:rPr>
                <w:rFonts w:cs="Times New Roman"/>
                <w:sz w:val="21"/>
                <w:szCs w:val="21"/>
              </w:rPr>
            </w:pPr>
            <w:r>
              <w:rPr>
                <w:rFonts w:hint="eastAsia"/>
                <w:sz w:val="21"/>
                <w:szCs w:val="21"/>
              </w:rPr>
              <w:t>评标委员会构成：</w:t>
            </w:r>
            <w:r>
              <w:rPr>
                <w:rFonts w:hint="eastAsia"/>
                <w:sz w:val="21"/>
                <w:szCs w:val="21"/>
                <w:u w:val="single"/>
                <w:lang w:val="en-US" w:eastAsia="zh-CN"/>
              </w:rPr>
              <w:t>5</w:t>
            </w:r>
            <w:r>
              <w:rPr>
                <w:sz w:val="21"/>
                <w:szCs w:val="21"/>
                <w:u w:val="single"/>
              </w:rPr>
              <w:t xml:space="preserve"> </w:t>
            </w:r>
            <w:r>
              <w:rPr>
                <w:rFonts w:hint="eastAsia"/>
                <w:sz w:val="21"/>
                <w:szCs w:val="21"/>
              </w:rPr>
              <w:t>人，其中招标人代表</w:t>
            </w:r>
            <w:r>
              <w:rPr>
                <w:sz w:val="21"/>
                <w:szCs w:val="21"/>
                <w:u w:val="single"/>
              </w:rPr>
              <w:t xml:space="preserve"> 1</w:t>
            </w:r>
            <w:r>
              <w:rPr>
                <w:rFonts w:hint="eastAsia"/>
                <w:sz w:val="21"/>
                <w:szCs w:val="21"/>
              </w:rPr>
              <w:t>人，</w:t>
            </w:r>
            <w:r>
              <w:rPr>
                <w:sz w:val="21"/>
                <w:szCs w:val="21"/>
              </w:rPr>
              <w:t xml:space="preserve"> </w:t>
            </w:r>
            <w:r>
              <w:rPr>
                <w:rFonts w:hint="eastAsia"/>
                <w:sz w:val="21"/>
                <w:szCs w:val="21"/>
              </w:rPr>
              <w:t>专家</w:t>
            </w:r>
            <w:r>
              <w:rPr>
                <w:sz w:val="21"/>
                <w:szCs w:val="21"/>
                <w:u w:val="single"/>
              </w:rPr>
              <w:t xml:space="preserve"> </w:t>
            </w:r>
            <w:r>
              <w:rPr>
                <w:rFonts w:hint="eastAsia"/>
                <w:sz w:val="21"/>
                <w:szCs w:val="21"/>
                <w:u w:val="single"/>
                <w:lang w:val="en-US" w:eastAsia="zh-CN"/>
              </w:rPr>
              <w:t>4</w:t>
            </w:r>
            <w:r>
              <w:rPr>
                <w:rFonts w:hint="eastAsia"/>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vAlign w:val="center"/>
          </w:tcPr>
          <w:p>
            <w:pPr>
              <w:pStyle w:val="50"/>
              <w:ind w:left="179" w:right="173"/>
              <w:rPr>
                <w:sz w:val="21"/>
                <w:szCs w:val="21"/>
              </w:rPr>
            </w:pPr>
            <w:r>
              <w:rPr>
                <w:sz w:val="21"/>
                <w:szCs w:val="21"/>
              </w:rPr>
              <w:t>6.3.2</w:t>
            </w:r>
          </w:p>
        </w:tc>
        <w:tc>
          <w:tcPr>
            <w:tcW w:w="2745" w:type="dxa"/>
            <w:vAlign w:val="center"/>
          </w:tcPr>
          <w:p>
            <w:pPr>
              <w:pStyle w:val="50"/>
              <w:spacing w:before="62" w:line="256" w:lineRule="exact"/>
              <w:ind w:left="7"/>
              <w:rPr>
                <w:rFonts w:cs="Times New Roman"/>
                <w:sz w:val="21"/>
                <w:szCs w:val="21"/>
              </w:rPr>
            </w:pPr>
            <w:r>
              <w:rPr>
                <w:rFonts w:hint="eastAsia"/>
                <w:sz w:val="21"/>
                <w:szCs w:val="21"/>
              </w:rPr>
              <w:t>评标委员会推荐中标候选人</w:t>
            </w:r>
          </w:p>
          <w:p>
            <w:pPr>
              <w:pStyle w:val="50"/>
              <w:ind w:left="427"/>
              <w:rPr>
                <w:rFonts w:cs="Times New Roman"/>
                <w:sz w:val="21"/>
                <w:szCs w:val="21"/>
              </w:rPr>
            </w:pPr>
            <w:r>
              <w:rPr>
                <w:rFonts w:hint="eastAsia"/>
                <w:sz w:val="21"/>
                <w:szCs w:val="21"/>
              </w:rPr>
              <w:t>的人数</w:t>
            </w:r>
          </w:p>
        </w:tc>
        <w:tc>
          <w:tcPr>
            <w:tcW w:w="5937" w:type="dxa"/>
            <w:vAlign w:val="center"/>
          </w:tcPr>
          <w:p>
            <w:pPr>
              <w:pStyle w:val="50"/>
              <w:spacing w:before="62" w:line="254" w:lineRule="exact"/>
              <w:rPr>
                <w:rFonts w:cs="Times New Roman"/>
                <w:sz w:val="21"/>
                <w:szCs w:val="21"/>
                <w:lang w:val="en-US"/>
              </w:rPr>
            </w:pPr>
            <w:r>
              <w:rPr>
                <w:sz w:val="21"/>
                <w:szCs w:val="21"/>
                <w:lang w:val="en-US"/>
              </w:rPr>
              <w:t>3</w:t>
            </w:r>
            <w:r>
              <w:rPr>
                <w:rFonts w:hint="eastAsia"/>
                <w:sz w:val="21"/>
                <w:szCs w:val="21"/>
                <w:lang w:val="en-US"/>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125" w:type="dxa"/>
            <w:gridSpan w:val="2"/>
          </w:tcPr>
          <w:p>
            <w:pPr>
              <w:pStyle w:val="50"/>
              <w:rPr>
                <w:rFonts w:cs="Times New Roman"/>
                <w:sz w:val="20"/>
                <w:szCs w:val="20"/>
              </w:rPr>
            </w:pPr>
          </w:p>
          <w:p>
            <w:pPr>
              <w:pStyle w:val="50"/>
              <w:rPr>
                <w:rFonts w:cs="Times New Roman"/>
                <w:sz w:val="27"/>
                <w:szCs w:val="27"/>
              </w:rPr>
            </w:pPr>
          </w:p>
          <w:p>
            <w:pPr>
              <w:pStyle w:val="50"/>
              <w:ind w:left="180" w:right="171"/>
              <w:jc w:val="center"/>
              <w:rPr>
                <w:sz w:val="21"/>
                <w:szCs w:val="21"/>
              </w:rPr>
            </w:pPr>
            <w:r>
              <w:rPr>
                <w:sz w:val="21"/>
                <w:szCs w:val="21"/>
              </w:rPr>
              <w:t>7.1</w:t>
            </w:r>
          </w:p>
        </w:tc>
        <w:tc>
          <w:tcPr>
            <w:tcW w:w="2745" w:type="dxa"/>
          </w:tcPr>
          <w:p>
            <w:pPr>
              <w:pStyle w:val="50"/>
              <w:rPr>
                <w:rFonts w:cs="Times New Roman"/>
                <w:sz w:val="20"/>
                <w:szCs w:val="20"/>
              </w:rPr>
            </w:pPr>
          </w:p>
          <w:p>
            <w:pPr>
              <w:pStyle w:val="50"/>
              <w:rPr>
                <w:rFonts w:cs="Times New Roman"/>
                <w:sz w:val="20"/>
                <w:szCs w:val="20"/>
              </w:rPr>
            </w:pPr>
          </w:p>
          <w:p>
            <w:pPr>
              <w:pStyle w:val="50"/>
              <w:spacing w:before="1"/>
              <w:ind w:left="5"/>
              <w:jc w:val="center"/>
              <w:rPr>
                <w:rFonts w:cs="Times New Roman"/>
                <w:sz w:val="21"/>
                <w:szCs w:val="21"/>
              </w:rPr>
            </w:pPr>
            <w:r>
              <w:rPr>
                <w:rFonts w:hint="eastAsia"/>
                <w:sz w:val="21"/>
                <w:szCs w:val="21"/>
              </w:rPr>
              <w:t>中标候选人公示媒介及期限</w:t>
            </w:r>
          </w:p>
        </w:tc>
        <w:tc>
          <w:tcPr>
            <w:tcW w:w="5937" w:type="dxa"/>
          </w:tcPr>
          <w:p>
            <w:pPr>
              <w:pStyle w:val="50"/>
              <w:spacing w:before="62" w:line="254" w:lineRule="exact"/>
              <w:ind w:left="4"/>
              <w:rPr>
                <w:sz w:val="21"/>
                <w:szCs w:val="21"/>
              </w:rPr>
            </w:pPr>
            <w:r>
              <w:rPr>
                <w:rFonts w:hint="eastAsia"/>
                <w:sz w:val="21"/>
                <w:szCs w:val="21"/>
              </w:rPr>
              <w:t>公示媒介：原招标公告发布相关媒介公示期限： 3日</w:t>
            </w:r>
          </w:p>
          <w:p>
            <w:pPr>
              <w:pStyle w:val="50"/>
              <w:spacing w:line="253" w:lineRule="exact"/>
              <w:rPr>
                <w:sz w:val="21"/>
                <w:szCs w:val="21"/>
                <w:u w:val="single"/>
                <w:lang w:val="en-US"/>
              </w:rPr>
            </w:pPr>
            <w:r>
              <w:rPr>
                <w:rFonts w:hint="eastAsia"/>
                <w:sz w:val="21"/>
                <w:szCs w:val="21"/>
              </w:rPr>
              <w:t>公示的其他内容：</w:t>
            </w:r>
            <w:r>
              <w:rPr>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tcPr>
          <w:p>
            <w:pPr>
              <w:pStyle w:val="50"/>
              <w:spacing w:before="5"/>
              <w:rPr>
                <w:rFonts w:cs="Times New Roman"/>
                <w:sz w:val="17"/>
                <w:szCs w:val="17"/>
              </w:rPr>
            </w:pPr>
          </w:p>
          <w:p>
            <w:pPr>
              <w:pStyle w:val="50"/>
              <w:ind w:left="180" w:right="171"/>
              <w:jc w:val="center"/>
              <w:rPr>
                <w:sz w:val="21"/>
                <w:szCs w:val="21"/>
              </w:rPr>
            </w:pPr>
            <w:r>
              <w:rPr>
                <w:sz w:val="21"/>
                <w:szCs w:val="21"/>
              </w:rPr>
              <w:t>7.4</w:t>
            </w:r>
          </w:p>
        </w:tc>
        <w:tc>
          <w:tcPr>
            <w:tcW w:w="2745" w:type="dxa"/>
          </w:tcPr>
          <w:p>
            <w:pPr>
              <w:pStyle w:val="50"/>
              <w:spacing w:before="1" w:line="330" w:lineRule="atLeast"/>
              <w:ind w:left="1058" w:hanging="1052"/>
              <w:rPr>
                <w:rFonts w:cs="Times New Roman"/>
                <w:sz w:val="21"/>
                <w:szCs w:val="21"/>
              </w:rPr>
            </w:pPr>
            <w:r>
              <w:rPr>
                <w:rFonts w:hint="eastAsia"/>
                <w:sz w:val="21"/>
                <w:szCs w:val="21"/>
              </w:rPr>
              <w:t>是否授权评标委员会确定中标人</w:t>
            </w:r>
          </w:p>
        </w:tc>
        <w:tc>
          <w:tcPr>
            <w:tcW w:w="5937" w:type="dxa"/>
          </w:tcPr>
          <w:p>
            <w:pPr>
              <w:pStyle w:val="50"/>
              <w:spacing w:line="253" w:lineRule="exact"/>
              <w:rPr>
                <w:rFonts w:hint="eastAsia"/>
                <w:sz w:val="21"/>
                <w:szCs w:val="21"/>
                <w:lang w:eastAsia="zh-CN"/>
              </w:rPr>
            </w:pPr>
            <w:r>
              <w:rPr>
                <w:rFonts w:hint="eastAsia"/>
                <w:sz w:val="21"/>
                <w:szCs w:val="21"/>
              </w:rPr>
              <w:t>☑</w:t>
            </w:r>
            <w:r>
              <w:rPr>
                <w:rFonts w:hint="eastAsia"/>
                <w:sz w:val="21"/>
                <w:szCs w:val="21"/>
                <w:lang w:eastAsia="zh-CN"/>
              </w:rPr>
              <w:t>是</w:t>
            </w:r>
          </w:p>
          <w:p>
            <w:pPr>
              <w:pStyle w:val="50"/>
              <w:spacing w:line="253" w:lineRule="exact"/>
              <w:rPr>
                <w:rFonts w:cs="Times New Roman"/>
                <w:sz w:val="21"/>
                <w:szCs w:val="21"/>
                <w:lang w:val="en-US"/>
              </w:rPr>
            </w:pPr>
            <w:r>
              <w:rPr>
                <w:rFonts w:hint="eastAsia"/>
                <w:sz w:val="21"/>
                <w:szCs w:val="21"/>
                <w:lang w:eastAsia="zh-CN"/>
              </w:rPr>
              <w:t>□</w:t>
            </w:r>
            <w:r>
              <w:rPr>
                <w:rFonts w:hint="eastAsia"/>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tcPr>
          <w:p>
            <w:pPr>
              <w:pStyle w:val="50"/>
              <w:spacing w:before="1"/>
              <w:rPr>
                <w:rFonts w:cs="Times New Roman"/>
                <w:sz w:val="17"/>
                <w:szCs w:val="17"/>
              </w:rPr>
            </w:pPr>
          </w:p>
          <w:p>
            <w:pPr>
              <w:pStyle w:val="50"/>
              <w:ind w:left="180" w:right="171"/>
              <w:jc w:val="center"/>
              <w:rPr>
                <w:sz w:val="21"/>
                <w:szCs w:val="21"/>
              </w:rPr>
            </w:pPr>
            <w:r>
              <w:rPr>
                <w:sz w:val="21"/>
                <w:szCs w:val="21"/>
              </w:rPr>
              <w:t>7.5</w:t>
            </w:r>
          </w:p>
        </w:tc>
        <w:tc>
          <w:tcPr>
            <w:tcW w:w="2745" w:type="dxa"/>
          </w:tcPr>
          <w:p>
            <w:pPr>
              <w:pStyle w:val="50"/>
              <w:spacing w:before="55"/>
              <w:ind w:left="4"/>
              <w:rPr>
                <w:rFonts w:cs="Times New Roman"/>
                <w:sz w:val="21"/>
                <w:szCs w:val="21"/>
              </w:rPr>
            </w:pPr>
            <w:r>
              <w:rPr>
                <w:rFonts w:hint="eastAsia"/>
                <w:sz w:val="21"/>
                <w:szCs w:val="21"/>
              </w:rPr>
              <w:t>中标通知书和中标结果通知</w:t>
            </w:r>
          </w:p>
          <w:p>
            <w:pPr>
              <w:pStyle w:val="50"/>
              <w:spacing w:before="62" w:line="255" w:lineRule="exact"/>
              <w:ind w:left="5"/>
              <w:jc w:val="center"/>
              <w:rPr>
                <w:rFonts w:cs="Times New Roman"/>
                <w:sz w:val="21"/>
                <w:szCs w:val="21"/>
              </w:rPr>
            </w:pPr>
            <w:r>
              <w:rPr>
                <w:rFonts w:hint="eastAsia"/>
                <w:sz w:val="21"/>
                <w:szCs w:val="21"/>
              </w:rPr>
              <w:t>发出的形式</w:t>
            </w:r>
          </w:p>
        </w:tc>
        <w:tc>
          <w:tcPr>
            <w:tcW w:w="5937" w:type="dxa"/>
          </w:tcPr>
          <w:p>
            <w:pPr>
              <w:pStyle w:val="50"/>
              <w:spacing w:before="1"/>
              <w:rPr>
                <w:rFonts w:cs="Times New Roman"/>
                <w:sz w:val="17"/>
                <w:szCs w:val="17"/>
              </w:rPr>
            </w:pPr>
          </w:p>
          <w:p>
            <w:pPr>
              <w:pStyle w:val="50"/>
              <w:ind w:left="4"/>
              <w:rPr>
                <w:rFonts w:cs="Times New Roman"/>
                <w:sz w:val="21"/>
                <w:szCs w:val="21"/>
                <w:lang w:val="en-US"/>
              </w:rPr>
            </w:pPr>
            <w:r>
              <w:rPr>
                <w:rFonts w:hint="eastAsia"/>
                <w:sz w:val="21"/>
                <w:szCs w:val="21"/>
              </w:rPr>
              <w:t>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tcPr>
          <w:p>
            <w:pPr>
              <w:pStyle w:val="50"/>
              <w:spacing w:before="1"/>
              <w:rPr>
                <w:rFonts w:cs="Times New Roman"/>
                <w:sz w:val="17"/>
                <w:szCs w:val="17"/>
              </w:rPr>
            </w:pPr>
          </w:p>
          <w:p>
            <w:pPr>
              <w:pStyle w:val="50"/>
              <w:ind w:left="180" w:right="171"/>
              <w:jc w:val="center"/>
              <w:rPr>
                <w:sz w:val="21"/>
                <w:szCs w:val="21"/>
              </w:rPr>
            </w:pPr>
            <w:r>
              <w:rPr>
                <w:sz w:val="21"/>
                <w:szCs w:val="21"/>
              </w:rPr>
              <w:t>7.6</w:t>
            </w:r>
          </w:p>
        </w:tc>
        <w:tc>
          <w:tcPr>
            <w:tcW w:w="2745" w:type="dxa"/>
          </w:tcPr>
          <w:p>
            <w:pPr>
              <w:pStyle w:val="50"/>
              <w:spacing w:before="1"/>
              <w:rPr>
                <w:rFonts w:cs="Times New Roman"/>
                <w:sz w:val="17"/>
                <w:szCs w:val="17"/>
              </w:rPr>
            </w:pPr>
          </w:p>
          <w:p>
            <w:pPr>
              <w:pStyle w:val="50"/>
              <w:ind w:left="7"/>
              <w:jc w:val="center"/>
              <w:rPr>
                <w:rFonts w:cs="Times New Roman"/>
                <w:sz w:val="21"/>
                <w:szCs w:val="21"/>
              </w:rPr>
            </w:pPr>
            <w:r>
              <w:rPr>
                <w:rFonts w:hint="eastAsia"/>
                <w:sz w:val="21"/>
                <w:szCs w:val="21"/>
              </w:rPr>
              <w:t>中标结果公告媒介及期限</w:t>
            </w:r>
          </w:p>
        </w:tc>
        <w:tc>
          <w:tcPr>
            <w:tcW w:w="5937" w:type="dxa"/>
          </w:tcPr>
          <w:p>
            <w:pPr>
              <w:pStyle w:val="50"/>
              <w:spacing w:before="53"/>
              <w:ind w:left="4"/>
              <w:rPr>
                <w:rFonts w:cs="Times New Roman"/>
                <w:sz w:val="21"/>
                <w:szCs w:val="21"/>
              </w:rPr>
            </w:pPr>
            <w:r>
              <w:rPr>
                <w:rFonts w:hint="eastAsia"/>
                <w:sz w:val="21"/>
                <w:szCs w:val="21"/>
              </w:rPr>
              <w:t>公告媒介：招标公告发布相关媒介</w:t>
            </w:r>
          </w:p>
          <w:p>
            <w:pPr>
              <w:pStyle w:val="50"/>
              <w:spacing w:before="62" w:line="255" w:lineRule="exact"/>
              <w:ind w:left="4"/>
              <w:rPr>
                <w:rFonts w:cs="Times New Roman"/>
                <w:sz w:val="21"/>
                <w:szCs w:val="21"/>
                <w:lang w:val="en-US"/>
              </w:rPr>
            </w:pPr>
            <w:r>
              <w:rPr>
                <w:rFonts w:hint="eastAsia"/>
                <w:sz w:val="21"/>
                <w:szCs w:val="21"/>
              </w:rPr>
              <w:t>公告期限：</w:t>
            </w:r>
            <w:r>
              <w:rPr>
                <w:sz w:val="21"/>
                <w:szCs w:val="21"/>
                <w:u w:val="single"/>
              </w:rPr>
              <w:t>3</w:t>
            </w:r>
            <w:r>
              <w:rPr>
                <w:rFonts w:hint="eastAsia"/>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tcPr>
          <w:p>
            <w:pPr>
              <w:pStyle w:val="50"/>
              <w:rPr>
                <w:rFonts w:cs="Times New Roman"/>
                <w:sz w:val="20"/>
                <w:szCs w:val="20"/>
              </w:rPr>
            </w:pPr>
          </w:p>
          <w:p>
            <w:pPr>
              <w:pStyle w:val="50"/>
              <w:rPr>
                <w:rFonts w:cs="Times New Roman"/>
                <w:sz w:val="20"/>
                <w:szCs w:val="20"/>
              </w:rPr>
            </w:pPr>
          </w:p>
          <w:p>
            <w:pPr>
              <w:pStyle w:val="50"/>
              <w:spacing w:before="3"/>
              <w:rPr>
                <w:rFonts w:cs="Times New Roman"/>
                <w:sz w:val="29"/>
                <w:szCs w:val="29"/>
              </w:rPr>
            </w:pPr>
          </w:p>
          <w:p>
            <w:pPr>
              <w:pStyle w:val="50"/>
              <w:spacing w:before="1"/>
              <w:ind w:left="179" w:right="173"/>
              <w:jc w:val="center"/>
              <w:rPr>
                <w:sz w:val="21"/>
                <w:szCs w:val="21"/>
              </w:rPr>
            </w:pPr>
            <w:r>
              <w:rPr>
                <w:sz w:val="21"/>
                <w:szCs w:val="21"/>
              </w:rPr>
              <w:t>7.7.1</w:t>
            </w:r>
          </w:p>
        </w:tc>
        <w:tc>
          <w:tcPr>
            <w:tcW w:w="2745" w:type="dxa"/>
          </w:tcPr>
          <w:p>
            <w:pPr>
              <w:pStyle w:val="50"/>
              <w:rPr>
                <w:rFonts w:cs="Times New Roman"/>
                <w:sz w:val="20"/>
                <w:szCs w:val="20"/>
              </w:rPr>
            </w:pPr>
          </w:p>
          <w:p>
            <w:pPr>
              <w:pStyle w:val="50"/>
              <w:rPr>
                <w:rFonts w:cs="Times New Roman"/>
                <w:sz w:val="20"/>
                <w:szCs w:val="20"/>
              </w:rPr>
            </w:pPr>
          </w:p>
          <w:p>
            <w:pPr>
              <w:pStyle w:val="50"/>
              <w:spacing w:before="3"/>
              <w:rPr>
                <w:rFonts w:cs="Times New Roman"/>
                <w:sz w:val="29"/>
                <w:szCs w:val="29"/>
              </w:rPr>
            </w:pPr>
          </w:p>
          <w:p>
            <w:pPr>
              <w:pStyle w:val="50"/>
              <w:spacing w:before="1"/>
              <w:ind w:left="5"/>
              <w:jc w:val="center"/>
              <w:rPr>
                <w:rFonts w:cs="Times New Roman"/>
                <w:sz w:val="21"/>
                <w:szCs w:val="21"/>
              </w:rPr>
            </w:pPr>
            <w:r>
              <w:rPr>
                <w:rFonts w:hint="eastAsia"/>
              </w:rPr>
              <w:t>履约担保</w:t>
            </w:r>
          </w:p>
        </w:tc>
        <w:tc>
          <w:tcPr>
            <w:tcW w:w="5937" w:type="dxa"/>
          </w:tcPr>
          <w:p>
            <w:pPr>
              <w:pStyle w:val="50"/>
              <w:spacing w:before="53"/>
              <w:ind w:left="4"/>
              <w:rPr>
                <w:rFonts w:cs="Times New Roman"/>
                <w:color w:val="auto"/>
                <w:sz w:val="21"/>
                <w:szCs w:val="21"/>
              </w:rPr>
            </w:pPr>
            <w:r>
              <w:rPr>
                <w:rFonts w:hint="eastAsia"/>
                <w:color w:val="auto"/>
                <w:sz w:val="21"/>
                <w:szCs w:val="21"/>
              </w:rPr>
              <w:t>履约担保金额：</w:t>
            </w:r>
            <w:r>
              <w:rPr>
                <w:rFonts w:hint="eastAsia"/>
                <w:color w:val="auto"/>
                <w:sz w:val="21"/>
                <w:szCs w:val="21"/>
                <w:u w:val="single"/>
                <w:lang w:val="en-US" w:eastAsia="zh-CN"/>
              </w:rPr>
              <w:t>10</w:t>
            </w:r>
            <w:r>
              <w:rPr>
                <w:color w:val="auto"/>
                <w:sz w:val="21"/>
                <w:szCs w:val="21"/>
                <w:u w:val="single"/>
              </w:rPr>
              <w:t>%</w:t>
            </w:r>
            <w:r>
              <w:rPr>
                <w:rFonts w:hint="eastAsia"/>
                <w:color w:val="auto"/>
                <w:sz w:val="21"/>
                <w:szCs w:val="21"/>
              </w:rPr>
              <w:t>签约合同价</w:t>
            </w:r>
          </w:p>
          <w:p>
            <w:pPr>
              <w:pStyle w:val="50"/>
              <w:spacing w:before="53"/>
              <w:ind w:left="4"/>
              <w:rPr>
                <w:rFonts w:cs="Times New Roman"/>
                <w:sz w:val="21"/>
                <w:szCs w:val="21"/>
              </w:rPr>
            </w:pPr>
            <w:r>
              <w:rPr>
                <w:rFonts w:hint="eastAsia"/>
                <w:sz w:val="21"/>
                <w:szCs w:val="21"/>
              </w:rPr>
              <w:t>履约担保形式：</w:t>
            </w:r>
          </w:p>
          <w:p>
            <w:pPr>
              <w:pStyle w:val="50"/>
              <w:spacing w:before="53"/>
              <w:ind w:left="4"/>
              <w:rPr>
                <w:rFonts w:cs="Times New Roman"/>
                <w:sz w:val="21"/>
                <w:szCs w:val="21"/>
              </w:rPr>
            </w:pPr>
            <w:r>
              <w:rPr>
                <w:rFonts w:hint="eastAsia"/>
                <w:sz w:val="21"/>
                <w:szCs w:val="21"/>
              </w:rPr>
              <w:t>银行保函或保险保函或现金（电汇或银行汇票形式）</w:t>
            </w:r>
          </w:p>
          <w:p>
            <w:pPr>
              <w:pStyle w:val="50"/>
              <w:spacing w:before="53"/>
              <w:ind w:left="4"/>
              <w:rPr>
                <w:rFonts w:cs="Times New Roman"/>
                <w:sz w:val="21"/>
                <w:szCs w:val="21"/>
              </w:rPr>
            </w:pPr>
            <w:r>
              <w:rPr>
                <w:rFonts w:hint="eastAsia"/>
                <w:sz w:val="21"/>
                <w:szCs w:val="21"/>
              </w:rPr>
              <w:t>必须在签订施工合同前将履约担保转入以下账户：</w:t>
            </w:r>
          </w:p>
          <w:p>
            <w:pPr>
              <w:pStyle w:val="50"/>
              <w:spacing w:before="53"/>
              <w:ind w:left="4"/>
              <w:rPr>
                <w:rFonts w:hint="eastAsia" w:eastAsia="宋体" w:cs="Times New Roman"/>
                <w:sz w:val="21"/>
                <w:szCs w:val="21"/>
                <w:lang w:eastAsia="zh-CN"/>
              </w:rPr>
            </w:pPr>
            <w:r>
              <w:rPr>
                <w:rFonts w:hint="eastAsia"/>
                <w:sz w:val="21"/>
                <w:szCs w:val="21"/>
              </w:rPr>
              <w:t>户名：</w:t>
            </w:r>
            <w:r>
              <w:rPr>
                <w:rFonts w:hint="eastAsia"/>
                <w:sz w:val="21"/>
                <w:szCs w:val="21"/>
                <w:lang w:eastAsia="zh-CN"/>
              </w:rPr>
              <w:t>平乐县农村公路建设管理办公室</w:t>
            </w:r>
          </w:p>
          <w:p>
            <w:pPr>
              <w:pStyle w:val="50"/>
              <w:spacing w:before="53"/>
              <w:ind w:left="4"/>
              <w:rPr>
                <w:rFonts w:cs="Times New Roman"/>
                <w:sz w:val="21"/>
                <w:szCs w:val="21"/>
              </w:rPr>
            </w:pPr>
            <w:r>
              <w:rPr>
                <w:rFonts w:hint="eastAsia"/>
                <w:sz w:val="21"/>
                <w:szCs w:val="21"/>
              </w:rPr>
              <w:t>账号：</w:t>
            </w:r>
            <w:r>
              <w:rPr>
                <w:sz w:val="21"/>
                <w:szCs w:val="21"/>
              </w:rPr>
              <w:t>333712010100662521</w:t>
            </w:r>
          </w:p>
          <w:p>
            <w:pPr>
              <w:pStyle w:val="50"/>
              <w:tabs>
                <w:tab w:val="left" w:pos="192"/>
              </w:tabs>
              <w:spacing w:before="60" w:line="256" w:lineRule="exact"/>
              <w:rPr>
                <w:rFonts w:cs="Times New Roman"/>
                <w:sz w:val="21"/>
                <w:szCs w:val="21"/>
                <w:lang w:val="en-US"/>
              </w:rPr>
            </w:pPr>
            <w:r>
              <w:rPr>
                <w:rFonts w:hint="eastAsia"/>
                <w:sz w:val="21"/>
                <w:szCs w:val="21"/>
              </w:rPr>
              <w:t>开户行：广西平乐农村合作银行车站分理处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125" w:type="dxa"/>
            <w:gridSpan w:val="2"/>
            <w:vAlign w:val="center"/>
          </w:tcPr>
          <w:p>
            <w:pPr>
              <w:pStyle w:val="50"/>
              <w:spacing w:before="12"/>
              <w:jc w:val="center"/>
              <w:rPr>
                <w:rFonts w:cs="Times New Roman"/>
                <w:sz w:val="15"/>
                <w:szCs w:val="15"/>
              </w:rPr>
            </w:pPr>
          </w:p>
          <w:p>
            <w:pPr>
              <w:pStyle w:val="50"/>
              <w:ind w:left="179" w:right="173"/>
              <w:jc w:val="center"/>
              <w:rPr>
                <w:sz w:val="21"/>
                <w:szCs w:val="21"/>
              </w:rPr>
            </w:pPr>
            <w:r>
              <w:rPr>
                <w:sz w:val="21"/>
                <w:szCs w:val="21"/>
              </w:rPr>
              <w:t>8.5.1</w:t>
            </w:r>
          </w:p>
        </w:tc>
        <w:tc>
          <w:tcPr>
            <w:tcW w:w="2745" w:type="dxa"/>
            <w:vAlign w:val="center"/>
          </w:tcPr>
          <w:p>
            <w:pPr>
              <w:pStyle w:val="50"/>
              <w:ind w:left="5"/>
              <w:jc w:val="center"/>
              <w:rPr>
                <w:rFonts w:cs="Times New Roman"/>
                <w:sz w:val="21"/>
                <w:szCs w:val="21"/>
              </w:rPr>
            </w:pPr>
            <w:r>
              <w:rPr>
                <w:rFonts w:hint="eastAsia"/>
                <w:sz w:val="21"/>
                <w:szCs w:val="21"/>
              </w:rPr>
              <w:t>监督部门</w:t>
            </w:r>
          </w:p>
        </w:tc>
        <w:tc>
          <w:tcPr>
            <w:tcW w:w="5937" w:type="dxa"/>
            <w:vAlign w:val="center"/>
          </w:tcPr>
          <w:p>
            <w:pPr>
              <w:pStyle w:val="50"/>
              <w:spacing w:before="53"/>
              <w:ind w:left="4"/>
              <w:jc w:val="left"/>
              <w:rPr>
                <w:rFonts w:cs="Times New Roman"/>
                <w:color w:val="auto"/>
                <w:sz w:val="21"/>
                <w:szCs w:val="21"/>
              </w:rPr>
            </w:pPr>
            <w:r>
              <w:rPr>
                <w:rFonts w:hint="eastAsia"/>
                <w:color w:val="auto"/>
                <w:sz w:val="21"/>
                <w:szCs w:val="21"/>
              </w:rPr>
              <w:t>监督部门：平乐县政府采购办公室</w:t>
            </w:r>
          </w:p>
          <w:p>
            <w:pPr>
              <w:pStyle w:val="50"/>
              <w:spacing w:before="53"/>
              <w:jc w:val="left"/>
              <w:rPr>
                <w:color w:val="C00000"/>
                <w:sz w:val="21"/>
                <w:szCs w:val="21"/>
                <w:lang w:val="en-US"/>
              </w:rPr>
            </w:pPr>
            <w:r>
              <w:rPr>
                <w:rFonts w:hint="eastAsia"/>
                <w:color w:val="auto"/>
                <w:sz w:val="21"/>
                <w:szCs w:val="21"/>
              </w:rPr>
              <w:t>电</w:t>
            </w:r>
            <w:r>
              <w:rPr>
                <w:color w:val="auto"/>
                <w:sz w:val="21"/>
                <w:szCs w:val="21"/>
              </w:rPr>
              <w:t xml:space="preserve">    </w:t>
            </w:r>
            <w:r>
              <w:rPr>
                <w:rFonts w:hint="eastAsia"/>
                <w:color w:val="auto"/>
                <w:sz w:val="21"/>
                <w:szCs w:val="21"/>
              </w:rPr>
              <w:t>话：</w:t>
            </w:r>
            <w:r>
              <w:rPr>
                <w:color w:val="auto"/>
                <w:sz w:val="21"/>
                <w:szCs w:val="21"/>
              </w:rPr>
              <w:t>0773-7882157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125" w:type="dxa"/>
            <w:gridSpan w:val="2"/>
            <w:vAlign w:val="center"/>
          </w:tcPr>
          <w:p>
            <w:pPr>
              <w:pStyle w:val="50"/>
              <w:spacing w:before="53" w:line="257" w:lineRule="exact"/>
              <w:ind w:left="9"/>
              <w:jc w:val="center"/>
              <w:rPr>
                <w:rFonts w:cs="Times New Roman"/>
                <w:sz w:val="21"/>
                <w:szCs w:val="21"/>
              </w:rPr>
            </w:pPr>
            <w:r>
              <w:rPr>
                <w:w w:val="99"/>
                <w:sz w:val="21"/>
                <w:szCs w:val="21"/>
              </w:rPr>
              <w:t>9</w:t>
            </w:r>
          </w:p>
        </w:tc>
        <w:tc>
          <w:tcPr>
            <w:tcW w:w="2745" w:type="dxa"/>
            <w:vAlign w:val="center"/>
          </w:tcPr>
          <w:p>
            <w:pPr>
              <w:pStyle w:val="50"/>
              <w:spacing w:before="53" w:line="257" w:lineRule="exact"/>
              <w:ind w:left="7"/>
              <w:jc w:val="center"/>
              <w:rPr>
                <w:rFonts w:cs="Times New Roman"/>
                <w:sz w:val="21"/>
                <w:szCs w:val="21"/>
              </w:rPr>
            </w:pPr>
            <w:r>
              <w:rPr>
                <w:rFonts w:hint="eastAsia"/>
                <w:sz w:val="21"/>
                <w:szCs w:val="21"/>
              </w:rPr>
              <w:t>是否采用电子招标投标</w:t>
            </w:r>
          </w:p>
        </w:tc>
        <w:tc>
          <w:tcPr>
            <w:tcW w:w="5937" w:type="dxa"/>
            <w:vAlign w:val="center"/>
          </w:tcPr>
          <w:p>
            <w:pPr>
              <w:pStyle w:val="50"/>
              <w:spacing w:before="53" w:line="257" w:lineRule="exact"/>
              <w:ind w:left="4"/>
              <w:jc w:val="left"/>
              <w:rPr>
                <w:rFonts w:cs="Times New Roman"/>
                <w:sz w:val="21"/>
                <w:szCs w:val="21"/>
              </w:rPr>
            </w:pPr>
            <w:r>
              <w:rPr>
                <w:rFonts w:hint="eastAsia"/>
                <w:color w:val="auto"/>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9807" w:type="dxa"/>
            <w:gridSpan w:val="4"/>
          </w:tcPr>
          <w:p>
            <w:pPr>
              <w:pStyle w:val="50"/>
              <w:spacing w:before="54" w:line="360" w:lineRule="auto"/>
              <w:ind w:left="4"/>
              <w:rPr>
                <w:rFonts w:cs="Times New Roman"/>
                <w:w w:val="99"/>
                <w:sz w:val="21"/>
                <w:szCs w:val="21"/>
              </w:rPr>
            </w:pPr>
            <w:r>
              <w:rPr>
                <w:rFonts w:hint="eastAsia"/>
                <w:b/>
                <w:bCs/>
                <w:sz w:val="21"/>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056" w:type="dxa"/>
          </w:tcPr>
          <w:p>
            <w:pPr>
              <w:pStyle w:val="50"/>
              <w:spacing w:line="360" w:lineRule="auto"/>
              <w:rPr>
                <w:rFonts w:cs="Times New Roman"/>
                <w:sz w:val="20"/>
                <w:szCs w:val="20"/>
              </w:rPr>
            </w:pPr>
          </w:p>
          <w:p>
            <w:pPr>
              <w:pStyle w:val="50"/>
              <w:spacing w:line="360" w:lineRule="auto"/>
              <w:rPr>
                <w:rFonts w:cs="Times New Roman"/>
                <w:sz w:val="20"/>
                <w:szCs w:val="20"/>
              </w:rPr>
            </w:pPr>
          </w:p>
          <w:p>
            <w:pPr>
              <w:pStyle w:val="50"/>
              <w:spacing w:line="360" w:lineRule="auto"/>
              <w:rPr>
                <w:rFonts w:cs="Times New Roman"/>
                <w:sz w:val="20"/>
                <w:szCs w:val="20"/>
              </w:rPr>
            </w:pPr>
          </w:p>
          <w:p>
            <w:pPr>
              <w:pStyle w:val="50"/>
              <w:spacing w:line="360" w:lineRule="auto"/>
              <w:rPr>
                <w:rFonts w:cs="Times New Roman"/>
                <w:sz w:val="20"/>
                <w:szCs w:val="20"/>
              </w:rPr>
            </w:pPr>
          </w:p>
          <w:p>
            <w:pPr>
              <w:pStyle w:val="50"/>
              <w:spacing w:line="360" w:lineRule="auto"/>
              <w:rPr>
                <w:rFonts w:cs="Times New Roman"/>
                <w:sz w:val="20"/>
                <w:szCs w:val="20"/>
              </w:rPr>
            </w:pPr>
          </w:p>
          <w:p>
            <w:pPr>
              <w:pStyle w:val="50"/>
              <w:spacing w:before="6" w:line="360" w:lineRule="auto"/>
              <w:rPr>
                <w:rFonts w:cs="Times New Roman"/>
                <w:sz w:val="24"/>
                <w:szCs w:val="24"/>
              </w:rPr>
            </w:pPr>
          </w:p>
          <w:p>
            <w:pPr>
              <w:pStyle w:val="50"/>
              <w:spacing w:line="360" w:lineRule="auto"/>
              <w:ind w:left="180" w:right="171"/>
              <w:rPr>
                <w:rFonts w:cs="Times New Roman"/>
                <w:w w:val="99"/>
                <w:sz w:val="21"/>
                <w:szCs w:val="21"/>
              </w:rPr>
            </w:pPr>
            <w:r>
              <w:rPr>
                <w:sz w:val="21"/>
                <w:szCs w:val="21"/>
              </w:rPr>
              <w:t>10.1</w:t>
            </w:r>
          </w:p>
        </w:tc>
        <w:tc>
          <w:tcPr>
            <w:tcW w:w="8751" w:type="dxa"/>
            <w:gridSpan w:val="3"/>
          </w:tcPr>
          <w:p>
            <w:pPr>
              <w:pStyle w:val="50"/>
              <w:spacing w:line="360" w:lineRule="auto"/>
              <w:ind w:right="37"/>
              <w:rPr>
                <w:rFonts w:cs="Times New Roman"/>
                <w:b/>
                <w:bCs/>
              </w:rPr>
            </w:pPr>
            <w:r>
              <w:t>1.</w:t>
            </w:r>
            <w:r>
              <w:rPr>
                <w:rFonts w:hint="eastAsia"/>
                <w:spacing w:val="-8"/>
              </w:rPr>
              <w:t>投标人将拟委任的项目经理</w:t>
            </w:r>
            <w:r>
              <w:rPr>
                <w:rFonts w:hint="eastAsia"/>
                <w:spacing w:val="-6"/>
              </w:rPr>
              <w:t>的相关证书原件</w:t>
            </w:r>
            <w:r>
              <w:rPr>
                <w:rFonts w:hint="eastAsia"/>
              </w:rPr>
              <w:t>（从</w:t>
            </w:r>
            <w:r>
              <w:rPr>
                <w:rFonts w:hint="eastAsia"/>
                <w:spacing w:val="-4"/>
              </w:rPr>
              <w:t>业资格证书及养老保险关系证明材料等</w:t>
            </w:r>
            <w:r>
              <w:rPr>
                <w:rFonts w:hint="eastAsia"/>
                <w:spacing w:val="-20"/>
              </w:rPr>
              <w:t>）</w:t>
            </w:r>
            <w:r>
              <w:rPr>
                <w:rFonts w:hint="eastAsia"/>
                <w:spacing w:val="-2"/>
              </w:rPr>
              <w:t>按资格审查条件要求准备好，招标</w:t>
            </w:r>
            <w:r>
              <w:rPr>
                <w:rFonts w:hint="eastAsia"/>
                <w:spacing w:val="-1"/>
              </w:rPr>
              <w:t>人将根据评标情况随时要求投标人提交以作澄清。如投标人未能按招标人要求作出澄清的，</w:t>
            </w:r>
            <w:r>
              <w:rPr>
                <w:spacing w:val="-1"/>
              </w:rPr>
              <w:t xml:space="preserve"> </w:t>
            </w:r>
            <w:r>
              <w:rPr>
                <w:rFonts w:hint="eastAsia"/>
                <w:spacing w:val="-1"/>
              </w:rPr>
              <w:t>其投标作废标处理</w:t>
            </w:r>
            <w:r>
              <w:rPr>
                <w:rFonts w:hint="eastAsia"/>
                <w:b/>
                <w:bCs/>
                <w:spacing w:val="-1"/>
              </w:rPr>
              <w:t>。</w:t>
            </w:r>
          </w:p>
          <w:p>
            <w:pPr>
              <w:pStyle w:val="50"/>
              <w:tabs>
                <w:tab w:val="left" w:pos="806"/>
              </w:tabs>
              <w:spacing w:before="1" w:line="360" w:lineRule="auto"/>
              <w:ind w:right="96"/>
              <w:rPr>
                <w:rFonts w:cs="Times New Roman"/>
                <w:lang w:val="en-US"/>
              </w:rPr>
            </w:pPr>
            <w:r>
              <w:rPr>
                <w:lang w:val="en-US"/>
              </w:rPr>
              <w:t>2.</w:t>
            </w:r>
            <w:r>
              <w:rPr>
                <w:rFonts w:hint="eastAsia"/>
              </w:rPr>
              <w:t>招标文件中所有复印件均指彩色扫描件或彩色复印件。</w:t>
            </w:r>
          </w:p>
          <w:p>
            <w:pPr>
              <w:adjustRightInd w:val="0"/>
              <w:spacing w:line="360" w:lineRule="auto"/>
              <w:textAlignment w:val="baseline"/>
              <w:rPr>
                <w:rFonts w:cs="Times New Roman"/>
                <w:lang w:val="en-US"/>
              </w:rPr>
            </w:pPr>
            <w:r>
              <w:rPr>
                <w:lang w:val="en-US"/>
              </w:rPr>
              <w:t>3.</w:t>
            </w:r>
            <w:r>
              <w:rPr>
                <w:rFonts w:hint="eastAsia"/>
              </w:rPr>
              <w:t>本项目投标控制价上限：招标人于投标截止时间</w:t>
            </w:r>
            <w:r>
              <w:t>7</w:t>
            </w:r>
            <w:r>
              <w:rPr>
                <w:rFonts w:hint="eastAsia"/>
              </w:rPr>
              <w:t>日前在本项目招标公告发布的网站上公布投标控制价上限。</w:t>
            </w:r>
          </w:p>
          <w:p>
            <w:pPr>
              <w:pStyle w:val="50"/>
              <w:spacing w:line="360" w:lineRule="auto"/>
              <w:ind w:left="4"/>
              <w:rPr>
                <w:rFonts w:cs="Times New Roman"/>
              </w:rPr>
            </w:pPr>
            <w:r>
              <w:rPr>
                <w:sz w:val="21"/>
                <w:szCs w:val="21"/>
                <w:lang w:val="en-US"/>
              </w:rPr>
              <w:t>4.</w:t>
            </w:r>
            <w:r>
              <w:rPr>
                <w:rFonts w:hint="eastAsia"/>
              </w:rPr>
              <w:t>农民工工资保障金按中标价的</w:t>
            </w:r>
            <w:r>
              <w:t>2%</w:t>
            </w:r>
            <w:r>
              <w:rPr>
                <w:rFonts w:hint="eastAsia"/>
              </w:rPr>
              <w:t>交到发包人指定账户，安全生产费必须按投标控制价上限的</w:t>
            </w:r>
            <w:r>
              <w:t>1</w:t>
            </w:r>
            <w:r>
              <w:rPr>
                <w:lang w:val="en-US"/>
              </w:rPr>
              <w:t>.5</w:t>
            </w:r>
            <w:r>
              <w:t>%</w:t>
            </w:r>
            <w:r>
              <w:rPr>
                <w:rFonts w:hint="eastAsia"/>
              </w:rPr>
              <w:t>进行报价。</w:t>
            </w:r>
          </w:p>
          <w:p>
            <w:pPr>
              <w:pStyle w:val="50"/>
              <w:spacing w:line="360" w:lineRule="auto"/>
            </w:pPr>
            <w:r>
              <w:rPr>
                <w:lang w:val="en-US"/>
              </w:rPr>
              <w:t>5.</w:t>
            </w:r>
            <w:r>
              <w:rPr>
                <w:rFonts w:hint="eastAsia"/>
              </w:rPr>
              <w:t>投标单位的信用评价等级按照最新桂林市交通运输局最新的桂林市农村公路建设市场施工企业信用等级评定有关规定执行并以桂林市交通运输局在本项目投标文件递交截止时间前最新公布的桂林市农村公路建设市场施工企业信用等级评定结果为准。本次招标要求投标人信用评价等级不低于</w:t>
            </w:r>
            <w:r>
              <w:t>C</w:t>
            </w:r>
            <w:r>
              <w:rPr>
                <w:rFonts w:hint="eastAsia"/>
              </w:rPr>
              <w:t>级。</w:t>
            </w:r>
          </w:p>
          <w:p>
            <w:pPr>
              <w:numPr>
                <w:ilvl w:val="0"/>
                <w:numId w:val="0"/>
              </w:numPr>
              <w:spacing w:line="384" w:lineRule="auto"/>
              <w:ind w:left="2" w:leftChars="0"/>
              <w:rPr>
                <w:rFonts w:hint="eastAsia" w:ascii="宋体" w:hAnsi="宋体" w:cs="宋体"/>
                <w:color w:val="auto"/>
                <w:kern w:val="0"/>
                <w:szCs w:val="21"/>
                <w:u w:val="single"/>
              </w:rPr>
            </w:pPr>
            <w:r>
              <w:rPr>
                <w:rFonts w:hint="eastAsia"/>
                <w:b/>
                <w:color w:val="auto"/>
                <w:szCs w:val="21"/>
                <w:lang w:val="en-US" w:eastAsia="zh-CN"/>
              </w:rPr>
              <w:t>6、</w:t>
            </w:r>
            <w:r>
              <w:rPr>
                <w:rFonts w:hint="eastAsia" w:ascii="宋体" w:hAnsi="宋体"/>
                <w:b/>
                <w:color w:val="auto"/>
                <w:szCs w:val="21"/>
              </w:rPr>
              <w:t>本项目招标代理服务费：</w:t>
            </w:r>
            <w:r>
              <w:rPr>
                <w:rFonts w:hint="eastAsia" w:ascii="宋体" w:hAnsi="宋体" w:cs="宋体"/>
                <w:color w:val="auto"/>
                <w:kern w:val="0"/>
                <w:szCs w:val="21"/>
                <w:u w:val="single"/>
              </w:rPr>
              <w:t>由中标人支付，按国家发展计划委员会计价格【2002】1980号《招标代理服务收费管理暂行办法》收费标准及国家发展和改革委员会发改价格【2011】534号《国家发展和改革委关于降低部分建设项目收费标准规范收费行为等有关问题的通知》收费标准计取。</w:t>
            </w:r>
          </w:p>
          <w:p>
            <w:pPr>
              <w:pStyle w:val="50"/>
              <w:spacing w:line="360" w:lineRule="auto"/>
              <w:rPr>
                <w:lang w:val="en-US"/>
              </w:rPr>
            </w:pPr>
          </w:p>
        </w:tc>
      </w:tr>
    </w:tbl>
    <w:p>
      <w:pPr>
        <w:pStyle w:val="12"/>
        <w:spacing w:before="1" w:line="360" w:lineRule="auto"/>
        <w:rPr>
          <w:rFonts w:ascii="Times New Roman" w:cs="Times New Roman"/>
          <w:sz w:val="5"/>
          <w:szCs w:val="5"/>
        </w:rPr>
      </w:pPr>
    </w:p>
    <w:p>
      <w:pPr>
        <w:pStyle w:val="12"/>
        <w:spacing w:before="1"/>
        <w:rPr>
          <w:rFonts w:ascii="Times New Roman" w:cs="Times New Roman"/>
          <w:sz w:val="5"/>
          <w:szCs w:val="5"/>
        </w:rPr>
      </w:pPr>
    </w:p>
    <w:p>
      <w:pPr>
        <w:pStyle w:val="12"/>
        <w:spacing w:before="1"/>
        <w:rPr>
          <w:rFonts w:ascii="Times New Roman" w:cs="Times New Roman"/>
          <w:sz w:val="5"/>
          <w:szCs w:val="5"/>
        </w:rPr>
      </w:pPr>
    </w:p>
    <w:p>
      <w:pPr>
        <w:pStyle w:val="12"/>
        <w:spacing w:before="1"/>
        <w:rPr>
          <w:rFonts w:ascii="Times New Roman" w:cs="Times New Roman"/>
          <w:sz w:val="5"/>
          <w:szCs w:val="5"/>
        </w:rPr>
      </w:pPr>
    </w:p>
    <w:p>
      <w:pPr>
        <w:pStyle w:val="12"/>
        <w:spacing w:before="1"/>
        <w:rPr>
          <w:rFonts w:ascii="Times New Roman" w:cs="Times New Roman"/>
          <w:sz w:val="5"/>
          <w:szCs w:val="5"/>
        </w:rPr>
      </w:pPr>
    </w:p>
    <w:p>
      <w:pPr>
        <w:spacing w:line="254" w:lineRule="exact"/>
        <w:rPr>
          <w:rFonts w:cs="Times New Roman"/>
          <w:sz w:val="21"/>
          <w:szCs w:val="21"/>
        </w:rPr>
        <w:sectPr>
          <w:headerReference r:id="rId5" w:type="default"/>
          <w:pgSz w:w="11910" w:h="16850"/>
          <w:pgMar w:top="1418" w:right="1418" w:bottom="1418" w:left="1418" w:header="851" w:footer="964" w:gutter="0"/>
          <w:cols w:space="720" w:num="1"/>
        </w:sectPr>
      </w:pPr>
    </w:p>
    <w:p>
      <w:pPr>
        <w:pStyle w:val="12"/>
        <w:rPr>
          <w:rFonts w:ascii="Times New Roman" w:cs="Times New Roman"/>
          <w:sz w:val="20"/>
          <w:szCs w:val="20"/>
        </w:rPr>
      </w:pPr>
    </w:p>
    <w:p>
      <w:pPr>
        <w:pStyle w:val="12"/>
        <w:spacing w:before="2"/>
        <w:rPr>
          <w:rFonts w:ascii="Times New Roman" w:cs="Times New Roman"/>
          <w:sz w:val="20"/>
          <w:szCs w:val="20"/>
        </w:rPr>
      </w:pPr>
    </w:p>
    <w:p>
      <w:pPr>
        <w:pStyle w:val="8"/>
        <w:tabs>
          <w:tab w:val="left" w:pos="983"/>
        </w:tabs>
        <w:rPr>
          <w:rFonts w:cs="Times New Roman"/>
        </w:rPr>
      </w:pPr>
      <w:r>
        <w:rPr>
          <w:lang w:val="en-US"/>
        </w:rPr>
        <w:pict>
          <v:shape id="文本框 12" o:spid="_x0000_s1031" o:spt="202" type="#_x0000_t202" style="position:absolute;left:0pt;margin-left:90.05pt;margin-top:68.15pt;height:28.85pt;width:416.35pt;mso-position-horizontal-relative:page;z-index:1024;mso-width-relative:page;mso-height-relative:page;" filled="f" coordsize="21600,21600">
            <v:path/>
            <v:fill on="f" focussize="0,0"/>
            <v:stroke weight="0.48pt" joinstyle="miter"/>
            <v:imagedata o:title=""/>
            <o:lock v:ext="edit"/>
            <v:textbox inset="0mm,0mm,0mm,0mm">
              <w:txbxContent>
                <w:p>
                  <w:pPr>
                    <w:spacing w:before="51"/>
                    <w:ind w:left="2938" w:right="2938"/>
                    <w:jc w:val="center"/>
                    <w:rPr>
                      <w:rFonts w:cs="Times New Roman"/>
                      <w:sz w:val="24"/>
                      <w:szCs w:val="24"/>
                    </w:rPr>
                  </w:pPr>
                  <w:r>
                    <w:rPr>
                      <w:rFonts w:hint="eastAsia"/>
                      <w:sz w:val="24"/>
                      <w:szCs w:val="24"/>
                    </w:rPr>
                    <w:t>施工企业资质等级要求</w:t>
                  </w:r>
                </w:p>
              </w:txbxContent>
            </v:textbox>
          </v:shape>
        </w:pict>
      </w:r>
      <w:r>
        <w:rPr>
          <w:rFonts w:hint="eastAsia"/>
        </w:rPr>
        <w:t>附录</w:t>
      </w:r>
      <w:r>
        <w:t>1</w:t>
      </w:r>
      <w:r>
        <w:tab/>
      </w:r>
      <w:r>
        <w:rPr>
          <w:rFonts w:hint="eastAsia"/>
        </w:rPr>
        <w:t>资格审查条件（资质最低要求）</w:t>
      </w: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2"/>
        <w:rPr>
          <w:rFonts w:cs="Times New Roman"/>
          <w:b/>
          <w:bCs/>
          <w:sz w:val="15"/>
          <w:szCs w:val="15"/>
        </w:rPr>
      </w:pPr>
      <w:r>
        <w:rPr>
          <w:lang w:val="en-US"/>
        </w:rPr>
        <w:pict>
          <v:shape id="文本框 13" o:spid="_x0000_s1032" o:spt="202" type="#_x0000_t202" style="position:absolute;left:0pt;margin-left:90.05pt;margin-top:11.9pt;height:255.15pt;width:416.35pt;mso-position-horizontal-relative:page;mso-wrap-distance-bottom:0pt;mso-wrap-distance-top:0pt;z-index:-1024;mso-width-relative:page;mso-height-relative:page;" filled="f" coordsize="21600,21600">
            <v:path/>
            <v:fill on="f" focussize="0,0"/>
            <v:stroke weight="0.48pt" joinstyle="miter"/>
            <v:imagedata o:title=""/>
            <o:lock v:ext="edit"/>
            <v:textbox inset="0mm,0mm,0mm,0mm">
              <w:txbxContent>
                <w:p>
                  <w:pPr>
                    <w:spacing w:line="400" w:lineRule="exact"/>
                    <w:ind w:firstLine="440" w:firstLineChars="200"/>
                    <w:rPr>
                      <w:rFonts w:hint="eastAsia" w:eastAsia="宋体" w:cs="Times New Roman"/>
                      <w:lang w:eastAsia="zh-CN"/>
                    </w:rPr>
                  </w:pPr>
                  <w:r>
                    <w:rPr>
                      <w:rFonts w:hint="eastAsia"/>
                    </w:rPr>
                    <w:t>投标人须具备</w:t>
                  </w:r>
                  <w:r>
                    <w:rPr>
                      <w:rFonts w:hint="eastAsia"/>
                      <w:u w:val="single"/>
                    </w:rPr>
                    <w:t>公路工程施工总承包叁级以上</w:t>
                  </w:r>
                  <w:r>
                    <w:rPr>
                      <w:u w:val="single"/>
                    </w:rPr>
                    <w:t>(</w:t>
                  </w:r>
                  <w:r>
                    <w:rPr>
                      <w:rFonts w:hint="eastAsia"/>
                      <w:u w:val="single"/>
                    </w:rPr>
                    <w:t>含叁级</w:t>
                  </w:r>
                  <w:r>
                    <w:rPr>
                      <w:u w:val="single"/>
                    </w:rPr>
                    <w:t>)</w:t>
                  </w:r>
                  <w:r>
                    <w:rPr>
                      <w:rFonts w:hint="eastAsia"/>
                    </w:rPr>
                    <w:t>资质，</w:t>
                  </w:r>
                  <w:r>
                    <w:rPr>
                      <w:rFonts w:hint="eastAsia"/>
                      <w:color w:val="000000"/>
                    </w:rPr>
                    <w:t>拟投入本项目的项目经理须具备公路工程二级建造师资质</w:t>
                  </w:r>
                  <w:r>
                    <w:rPr>
                      <w:color w:val="000000"/>
                    </w:rPr>
                    <w:t>,</w:t>
                  </w:r>
                  <w:r>
                    <w:rPr>
                      <w:rFonts w:hint="eastAsia"/>
                    </w:rPr>
                    <w:t>以及省级及以上建设行政主管部门颁发的建筑施工企业安全生产许可证。根据桂林市交通运输局发布的《桂林市农村公路建设市场从业单位信用评价实施细则的通知（市交【</w:t>
                  </w:r>
                  <w:r>
                    <w:t>2015</w:t>
                  </w:r>
                  <w:r>
                    <w:rPr>
                      <w:rFonts w:hint="eastAsia"/>
                    </w:rPr>
                    <w:t>】</w:t>
                  </w:r>
                  <w:r>
                    <w:t>70</w:t>
                  </w:r>
                  <w:r>
                    <w:rPr>
                      <w:rFonts w:hint="eastAsia"/>
                    </w:rPr>
                    <w:t>号）》的相关规定，投标人已在桂林市交通工程质量监督部门登记备案</w:t>
                  </w:r>
                  <w:r>
                    <w:rPr>
                      <w:rFonts w:hint="eastAsia"/>
                      <w:lang w:eastAsia="zh-CN"/>
                    </w:rPr>
                    <w:t>，</w:t>
                  </w:r>
                  <w:r>
                    <w:rPr>
                      <w:rFonts w:hint="eastAsia"/>
                      <w:spacing w:val="-3"/>
                    </w:rPr>
                    <w:t>信用评价等级不低于</w:t>
                  </w:r>
                  <w:r>
                    <w:rPr>
                      <w:rFonts w:hint="eastAsia"/>
                      <w:spacing w:val="-3"/>
                      <w:lang w:val="en-US" w:eastAsia="zh-CN"/>
                    </w:rPr>
                    <w:t>C</w:t>
                  </w:r>
                  <w:r>
                    <w:rPr>
                      <w:rFonts w:hint="eastAsia"/>
                      <w:spacing w:val="-3"/>
                    </w:rPr>
                    <w:t>级</w:t>
                  </w:r>
                  <w:r>
                    <w:rPr>
                      <w:rFonts w:hint="eastAsia"/>
                      <w:spacing w:val="-3"/>
                      <w:lang w:eastAsia="zh-CN"/>
                    </w:rPr>
                    <w:t>。</w:t>
                  </w:r>
                </w:p>
                <w:p>
                  <w:pPr>
                    <w:rPr>
                      <w:rFonts w:cs="Times New Roman"/>
                    </w:rPr>
                  </w:pPr>
                </w:p>
              </w:txbxContent>
            </v:textbox>
            <w10:wrap type="topAndBottom"/>
          </v:shape>
        </w:pict>
      </w:r>
    </w:p>
    <w:p>
      <w:pPr>
        <w:rPr>
          <w:rFonts w:cs="Times New Roman"/>
          <w:sz w:val="15"/>
          <w:szCs w:val="15"/>
        </w:rPr>
        <w:sectPr>
          <w:pgSz w:w="11910" w:h="16850"/>
          <w:pgMar w:top="1418" w:right="1418" w:bottom="1418" w:left="1418" w:header="851" w:footer="964" w:gutter="0"/>
          <w:cols w:space="720" w:num="1"/>
        </w:sectPr>
      </w:pPr>
    </w:p>
    <w:p>
      <w:pPr>
        <w:pStyle w:val="12"/>
        <w:rPr>
          <w:rFonts w:cs="Times New Roman"/>
          <w:b/>
          <w:bCs/>
          <w:sz w:val="20"/>
          <w:szCs w:val="20"/>
        </w:rPr>
      </w:pPr>
    </w:p>
    <w:p>
      <w:pPr>
        <w:pStyle w:val="12"/>
        <w:spacing w:before="6"/>
        <w:rPr>
          <w:rFonts w:cs="Times New Roman"/>
          <w:b/>
          <w:bCs/>
          <w:sz w:val="22"/>
          <w:szCs w:val="22"/>
        </w:rPr>
      </w:pPr>
    </w:p>
    <w:p>
      <w:pPr>
        <w:tabs>
          <w:tab w:val="left" w:pos="983"/>
        </w:tabs>
        <w:spacing w:before="62"/>
        <w:ind w:right="75"/>
        <w:jc w:val="center"/>
        <w:rPr>
          <w:rFonts w:cs="Times New Roman"/>
          <w:b/>
          <w:bCs/>
          <w:sz w:val="28"/>
          <w:szCs w:val="28"/>
        </w:rPr>
      </w:pPr>
      <w:r>
        <w:rPr>
          <w:lang w:val="en-US"/>
        </w:rPr>
        <w:pict>
          <v:shape id="文本框 14" o:spid="_x0000_s1033" o:spt="202" type="#_x0000_t202" style="position:absolute;left:0pt;margin-left:90.05pt;margin-top:30.4pt;height:28.85pt;width:416.35pt;mso-position-horizontal-relative:page;z-index:1024;mso-width-relative:page;mso-height-relative:page;" filled="f" coordsize="21600,21600">
            <v:path/>
            <v:fill on="f" focussize="0,0"/>
            <v:stroke weight="0.48pt" joinstyle="miter"/>
            <v:imagedata o:title=""/>
            <o:lock v:ext="edit"/>
            <v:textbox inset="0mm,0mm,0mm,0mm">
              <w:txbxContent>
                <w:p>
                  <w:pPr>
                    <w:spacing w:before="53"/>
                    <w:ind w:left="2938" w:right="2938"/>
                    <w:jc w:val="center"/>
                    <w:rPr>
                      <w:rFonts w:cs="Times New Roman"/>
                      <w:sz w:val="24"/>
                      <w:szCs w:val="24"/>
                    </w:rPr>
                  </w:pPr>
                  <w:r>
                    <w:rPr>
                      <w:rFonts w:hint="eastAsia"/>
                      <w:sz w:val="24"/>
                      <w:szCs w:val="24"/>
                    </w:rPr>
                    <w:t>财</w:t>
                  </w:r>
                  <w:r>
                    <w:rPr>
                      <w:sz w:val="24"/>
                      <w:szCs w:val="24"/>
                    </w:rPr>
                    <w:t xml:space="preserve"> </w:t>
                  </w:r>
                  <w:r>
                    <w:rPr>
                      <w:rFonts w:hint="eastAsia"/>
                      <w:sz w:val="24"/>
                      <w:szCs w:val="24"/>
                    </w:rPr>
                    <w:t>务</w:t>
                  </w:r>
                  <w:r>
                    <w:rPr>
                      <w:sz w:val="24"/>
                      <w:szCs w:val="24"/>
                    </w:rPr>
                    <w:t xml:space="preserve"> </w:t>
                  </w:r>
                  <w:r>
                    <w:rPr>
                      <w:rFonts w:hint="eastAsia"/>
                      <w:sz w:val="24"/>
                      <w:szCs w:val="24"/>
                    </w:rPr>
                    <w:t>要</w:t>
                  </w:r>
                  <w:r>
                    <w:rPr>
                      <w:sz w:val="24"/>
                      <w:szCs w:val="24"/>
                    </w:rPr>
                    <w:t xml:space="preserve"> </w:t>
                  </w:r>
                  <w:r>
                    <w:rPr>
                      <w:rFonts w:hint="eastAsia"/>
                      <w:sz w:val="24"/>
                      <w:szCs w:val="24"/>
                    </w:rPr>
                    <w:t>求</w:t>
                  </w:r>
                </w:p>
              </w:txbxContent>
            </v:textbox>
          </v:shape>
        </w:pict>
      </w:r>
      <w:bookmarkStart w:id="4" w:name="附录_2__资格审查条件（财务最低要求）"/>
      <w:bookmarkEnd w:id="4"/>
      <w:r>
        <w:rPr>
          <w:rFonts w:hint="eastAsia"/>
          <w:b/>
          <w:bCs/>
          <w:sz w:val="28"/>
          <w:szCs w:val="28"/>
        </w:rPr>
        <w:t>附录</w:t>
      </w:r>
      <w:r>
        <w:rPr>
          <w:b/>
          <w:bCs/>
          <w:sz w:val="28"/>
          <w:szCs w:val="28"/>
        </w:rPr>
        <w:t>2</w:t>
      </w:r>
      <w:r>
        <w:rPr>
          <w:b/>
          <w:bCs/>
          <w:sz w:val="28"/>
          <w:szCs w:val="28"/>
        </w:rPr>
        <w:tab/>
      </w:r>
      <w:r>
        <w:rPr>
          <w:rFonts w:hint="eastAsia"/>
          <w:b/>
          <w:bCs/>
          <w:spacing w:val="-1"/>
          <w:w w:val="95"/>
          <w:sz w:val="28"/>
          <w:szCs w:val="28"/>
        </w:rPr>
        <w:t>资格审查条件（</w:t>
      </w:r>
      <w:r>
        <w:rPr>
          <w:rFonts w:hint="eastAsia"/>
          <w:b/>
          <w:bCs/>
          <w:w w:val="95"/>
          <w:sz w:val="28"/>
          <w:szCs w:val="28"/>
        </w:rPr>
        <w:t>财务最低要求）</w:t>
      </w:r>
    </w:p>
    <w:p>
      <w:pPr>
        <w:pStyle w:val="12"/>
        <w:rPr>
          <w:rFonts w:cs="Times New Roman"/>
          <w:b/>
          <w:bCs/>
          <w:sz w:val="20"/>
          <w:szCs w:val="20"/>
        </w:rPr>
      </w:pPr>
    </w:p>
    <w:p>
      <w:pPr>
        <w:pStyle w:val="12"/>
        <w:rPr>
          <w:rFonts w:cs="Times New Roman"/>
          <w:b/>
          <w:bCs/>
          <w:sz w:val="20"/>
          <w:szCs w:val="20"/>
        </w:rPr>
      </w:pPr>
    </w:p>
    <w:p>
      <w:pPr>
        <w:pStyle w:val="12"/>
        <w:spacing w:before="3"/>
        <w:rPr>
          <w:rFonts w:cs="Times New Roman"/>
          <w:b/>
          <w:bCs/>
          <w:sz w:val="16"/>
          <w:szCs w:val="16"/>
        </w:rPr>
      </w:pPr>
      <w:r>
        <w:rPr>
          <w:lang w:val="en-US"/>
        </w:rPr>
        <w:pict>
          <v:shape id="文本框 15" o:spid="_x0000_s1034" o:spt="202" type="#_x0000_t202" style="position:absolute;left:0pt;margin-left:90.05pt;margin-top:12.6pt;height:198.95pt;width:416.35pt;mso-position-horizontal-relative:page;mso-wrap-distance-bottom:0pt;mso-wrap-distance-top:0pt;z-index:-1024;mso-width-relative:page;mso-height-relative:page;" filled="f" coordsize="21600,21600">
            <v:path/>
            <v:fill on="f" focussize="0,0"/>
            <v:stroke weight="0.48pt" joinstyle="miter"/>
            <v:imagedata o:title=""/>
            <o:lock v:ext="edit"/>
            <v:textbox inset="0mm,0mm,0mm,0mm">
              <w:txbxContent>
                <w:p>
                  <w:pPr>
                    <w:pStyle w:val="12"/>
                    <w:spacing w:before="3" w:line="266" w:lineRule="auto"/>
                    <w:ind w:left="102" w:right="103" w:firstLine="420"/>
                    <w:rPr>
                      <w:rFonts w:cs="Times New Roman"/>
                    </w:rPr>
                  </w:pPr>
                  <w:r>
                    <w:t xml:space="preserve">1. </w:t>
                  </w:r>
                  <w:r>
                    <w:rPr>
                      <w:rFonts w:hint="eastAsia"/>
                    </w:rPr>
                    <w:t>投标人在最近三年中（指</w:t>
                  </w:r>
                  <w:r>
                    <w:t>201</w:t>
                  </w:r>
                  <w:r>
                    <w:rPr>
                      <w:rFonts w:hint="eastAsia"/>
                      <w:lang w:val="en-US" w:eastAsia="zh-CN"/>
                    </w:rPr>
                    <w:t>7</w:t>
                  </w:r>
                  <w:r>
                    <w:rPr>
                      <w:rFonts w:hint="eastAsia"/>
                    </w:rPr>
                    <w:t>年</w:t>
                  </w:r>
                  <w:r>
                    <w:t>~201</w:t>
                  </w:r>
                  <w:r>
                    <w:rPr>
                      <w:rFonts w:hint="eastAsia"/>
                      <w:lang w:val="en-US" w:eastAsia="zh-CN"/>
                    </w:rPr>
                    <w:t>9</w:t>
                  </w:r>
                  <w:r>
                    <w:rPr>
                      <w:rFonts w:hint="eastAsia"/>
                    </w:rPr>
                    <w:t>年）年平均营业额（按现值计）不应小于</w:t>
                  </w:r>
                  <w:r>
                    <w:t>1000</w:t>
                  </w:r>
                  <w:r>
                    <w:rPr>
                      <w:rFonts w:hint="eastAsia"/>
                    </w:rPr>
                    <w:t>万元人民币。</w:t>
                  </w:r>
                </w:p>
                <w:p>
                  <w:pPr>
                    <w:pStyle w:val="12"/>
                    <w:spacing w:before="3" w:line="266" w:lineRule="auto"/>
                    <w:ind w:left="102" w:right="103" w:firstLine="420"/>
                    <w:rPr>
                      <w:rFonts w:cs="Times New Roman"/>
                    </w:rPr>
                  </w:pPr>
                  <w:r>
                    <w:t>2</w:t>
                  </w:r>
                  <w:r>
                    <w:rPr>
                      <w:rFonts w:hint="eastAsia"/>
                    </w:rPr>
                    <w:t>、投标人在</w:t>
                  </w:r>
                  <w:r>
                    <w:t>201</w:t>
                  </w:r>
                  <w:r>
                    <w:rPr>
                      <w:rFonts w:hint="eastAsia"/>
                      <w:lang w:val="en-US" w:eastAsia="zh-CN"/>
                    </w:rPr>
                    <w:t>9</w:t>
                  </w:r>
                  <w:r>
                    <w:rPr>
                      <w:rFonts w:hint="eastAsia"/>
                    </w:rPr>
                    <w:t>年度财务状况指标中流动比率应不小于</w:t>
                  </w:r>
                  <w:r>
                    <w:t>1</w:t>
                  </w:r>
                  <w:r>
                    <w:rPr>
                      <w:rFonts w:hint="eastAsia"/>
                    </w:rPr>
                    <w:t>，速动比率应不小于</w:t>
                  </w:r>
                  <w:r>
                    <w:t>0.7</w:t>
                  </w:r>
                  <w:r>
                    <w:rPr>
                      <w:rFonts w:hint="eastAsia"/>
                    </w:rPr>
                    <w:t>，</w:t>
                  </w:r>
                  <w:r>
                    <w:t xml:space="preserve"> </w:t>
                  </w:r>
                  <w:r>
                    <w:rPr>
                      <w:rFonts w:hint="eastAsia"/>
                    </w:rPr>
                    <w:t>资产负债率低于</w:t>
                  </w:r>
                  <w:r>
                    <w:t>0.7</w:t>
                  </w:r>
                  <w:r>
                    <w:rPr>
                      <w:rFonts w:hint="eastAsia"/>
                    </w:rPr>
                    <w:t>。</w:t>
                  </w:r>
                </w:p>
                <w:p>
                  <w:pPr>
                    <w:pStyle w:val="12"/>
                    <w:spacing w:before="62"/>
                    <w:jc w:val="both"/>
                    <w:rPr>
                      <w:rFonts w:cs="Times New Roman"/>
                    </w:rPr>
                  </w:pPr>
                  <w:r>
                    <w:rPr>
                      <w:b/>
                      <w:bCs/>
                    </w:rPr>
                    <w:t xml:space="preserve">  </w:t>
                  </w:r>
                  <w:r>
                    <w:rPr>
                      <w:rFonts w:hint="eastAsia"/>
                      <w:b/>
                      <w:bCs/>
                    </w:rPr>
                    <w:t>注：</w:t>
                  </w:r>
                  <w:r>
                    <w:rPr>
                      <w:rFonts w:hint="eastAsia"/>
                    </w:rPr>
                    <w:t>对于从取得营业执照时间起到投标截止时间为止不足要求年数的企业，只需提交企业取得营业执照年份至所要求最近年份经审计的财务报表（不做金额、流动比率、速动比率及资产负债率要求）。</w:t>
                  </w:r>
                </w:p>
                <w:p>
                  <w:pPr>
                    <w:pStyle w:val="12"/>
                    <w:spacing w:before="62"/>
                    <w:jc w:val="both"/>
                    <w:rPr>
                      <w:rFonts w:cs="Times New Roman"/>
                      <w:b/>
                      <w:bCs/>
                      <w:color w:val="FF0000"/>
                    </w:rPr>
                  </w:pPr>
                </w:p>
              </w:txbxContent>
            </v:textbox>
            <w10:wrap type="topAndBottom"/>
          </v:shape>
        </w:pict>
      </w:r>
    </w:p>
    <w:p>
      <w:pPr>
        <w:pStyle w:val="12"/>
        <w:rPr>
          <w:rFonts w:cs="Times New Roman"/>
          <w:b/>
          <w:bCs/>
          <w:sz w:val="20"/>
          <w:szCs w:val="20"/>
        </w:rPr>
      </w:pPr>
    </w:p>
    <w:p>
      <w:pPr>
        <w:pStyle w:val="12"/>
        <w:spacing w:before="11"/>
        <w:rPr>
          <w:rFonts w:cs="Times New Roman"/>
          <w:b/>
          <w:bCs/>
          <w:sz w:val="17"/>
          <w:szCs w:val="17"/>
        </w:rPr>
      </w:pPr>
    </w:p>
    <w:p>
      <w:pPr>
        <w:tabs>
          <w:tab w:val="left" w:pos="983"/>
        </w:tabs>
        <w:spacing w:before="61"/>
        <w:ind w:right="75"/>
        <w:jc w:val="center"/>
        <w:rPr>
          <w:rFonts w:cs="Times New Roman"/>
          <w:b/>
          <w:bCs/>
          <w:sz w:val="28"/>
          <w:szCs w:val="28"/>
        </w:rPr>
      </w:pPr>
      <w:r>
        <w:rPr>
          <w:lang w:val="en-US"/>
        </w:rPr>
        <w:pict>
          <v:shape id="文本框 16" o:spid="_x0000_s1035" o:spt="202" type="#_x0000_t202" style="position:absolute;left:0pt;margin-left:90.05pt;margin-top:34.3pt;height:28.85pt;width:416.35pt;mso-position-horizontal-relative:page;z-index:1024;mso-width-relative:page;mso-height-relative:page;" filled="f" coordsize="21600,21600">
            <v:path/>
            <v:fill on="f" focussize="0,0"/>
            <v:stroke weight="0.48pt" joinstyle="miter"/>
            <v:imagedata o:title=""/>
            <o:lock v:ext="edit"/>
            <v:textbox inset="0mm,0mm,0mm,0mm">
              <w:txbxContent>
                <w:p>
                  <w:pPr>
                    <w:pStyle w:val="12"/>
                    <w:spacing w:before="78"/>
                    <w:ind w:left="2938" w:right="2938"/>
                    <w:jc w:val="center"/>
                    <w:rPr>
                      <w:rFonts w:cs="Times New Roman"/>
                    </w:rPr>
                  </w:pPr>
                  <w:r>
                    <w:rPr>
                      <w:rFonts w:hint="eastAsia"/>
                    </w:rPr>
                    <w:t>业</w:t>
                  </w:r>
                  <w:r>
                    <w:t xml:space="preserve"> </w:t>
                  </w:r>
                  <w:r>
                    <w:rPr>
                      <w:rFonts w:hint="eastAsia"/>
                    </w:rPr>
                    <w:t>绩</w:t>
                  </w:r>
                  <w:r>
                    <w:t xml:space="preserve"> </w:t>
                  </w:r>
                  <w:r>
                    <w:rPr>
                      <w:rFonts w:hint="eastAsia"/>
                    </w:rPr>
                    <w:t>要</w:t>
                  </w:r>
                  <w:r>
                    <w:t xml:space="preserve"> </w:t>
                  </w:r>
                  <w:r>
                    <w:rPr>
                      <w:rFonts w:hint="eastAsia"/>
                    </w:rPr>
                    <w:t>求</w:t>
                  </w:r>
                </w:p>
              </w:txbxContent>
            </v:textbox>
          </v:shape>
        </w:pict>
      </w:r>
      <w:r>
        <w:rPr>
          <w:rFonts w:hint="eastAsia"/>
          <w:b/>
          <w:bCs/>
          <w:sz w:val="28"/>
          <w:szCs w:val="28"/>
        </w:rPr>
        <w:t>附录</w:t>
      </w:r>
      <w:r>
        <w:rPr>
          <w:b/>
          <w:bCs/>
          <w:sz w:val="28"/>
          <w:szCs w:val="28"/>
        </w:rPr>
        <w:t>3</w:t>
      </w:r>
      <w:r>
        <w:rPr>
          <w:b/>
          <w:bCs/>
          <w:sz w:val="28"/>
          <w:szCs w:val="28"/>
        </w:rPr>
        <w:tab/>
      </w:r>
      <w:r>
        <w:rPr>
          <w:rFonts w:hint="eastAsia"/>
          <w:b/>
          <w:bCs/>
          <w:spacing w:val="-1"/>
          <w:w w:val="95"/>
          <w:sz w:val="28"/>
          <w:szCs w:val="28"/>
        </w:rPr>
        <w:t>资格审查条件（</w:t>
      </w:r>
      <w:r>
        <w:rPr>
          <w:rFonts w:hint="eastAsia"/>
          <w:b/>
          <w:bCs/>
          <w:w w:val="95"/>
          <w:sz w:val="28"/>
          <w:szCs w:val="28"/>
        </w:rPr>
        <w:t>业绩最低要求）</w:t>
      </w:r>
    </w:p>
    <w:p>
      <w:pPr>
        <w:pStyle w:val="12"/>
        <w:rPr>
          <w:rFonts w:cs="Times New Roman"/>
          <w:b/>
          <w:bCs/>
          <w:sz w:val="20"/>
          <w:szCs w:val="20"/>
        </w:rPr>
      </w:pPr>
    </w:p>
    <w:p>
      <w:pPr>
        <w:pStyle w:val="12"/>
        <w:rPr>
          <w:rFonts w:cs="Times New Roman"/>
          <w:b/>
          <w:bCs/>
          <w:sz w:val="20"/>
          <w:szCs w:val="20"/>
        </w:rPr>
      </w:pPr>
    </w:p>
    <w:p>
      <w:pPr>
        <w:pStyle w:val="12"/>
        <w:spacing w:before="5"/>
        <w:rPr>
          <w:rFonts w:cs="Times New Roman"/>
          <w:b/>
          <w:bCs/>
          <w:sz w:val="22"/>
          <w:szCs w:val="22"/>
        </w:rPr>
      </w:pPr>
      <w:r>
        <w:rPr>
          <w:lang w:val="en-US"/>
        </w:rPr>
        <w:pict>
          <v:shape id="文本框 17" o:spid="_x0000_s1036" o:spt="202" type="#_x0000_t202" style="position:absolute;left:0pt;margin-left:90.05pt;margin-top:16.55pt;height:198.95pt;width:416.35pt;mso-position-horizontal-relative:page;mso-wrap-distance-bottom:0pt;mso-wrap-distance-top:0pt;z-index:-1024;mso-width-relative:page;mso-height-relative:page;" filled="f" coordsize="21600,21600">
            <v:path/>
            <v:fill on="f" focussize="0,0"/>
            <v:stroke weight="0.48pt" joinstyle="miter"/>
            <v:imagedata o:title=""/>
            <o:lock v:ext="edit"/>
            <v:textbox inset="0mm,0mm,0mm,0mm">
              <w:txbxContent>
                <w:p>
                  <w:pPr>
                    <w:spacing w:line="324" w:lineRule="auto"/>
                    <w:ind w:left="139" w:right="209" w:firstLine="420"/>
                    <w:jc w:val="both"/>
                    <w:rPr>
                      <w:rFonts w:cs="Times New Roman"/>
                      <w:color w:val="auto"/>
                    </w:rPr>
                  </w:pPr>
                  <w:r>
                    <w:rPr>
                      <w:rFonts w:hint="eastAsia"/>
                      <w:color w:val="auto"/>
                    </w:rPr>
                    <w:t>在最近</w:t>
                  </w:r>
                  <w:r>
                    <w:rPr>
                      <w:color w:val="auto"/>
                    </w:rPr>
                    <w:t>3</w:t>
                  </w:r>
                  <w:r>
                    <w:rPr>
                      <w:rFonts w:hint="eastAsia"/>
                      <w:color w:val="auto"/>
                    </w:rPr>
                    <w:t>年中（所完成的项目的完工时间在</w:t>
                  </w:r>
                  <w:r>
                    <w:rPr>
                      <w:color w:val="auto"/>
                    </w:rPr>
                    <w:t>201</w:t>
                  </w:r>
                  <w:r>
                    <w:rPr>
                      <w:rFonts w:hint="eastAsia"/>
                      <w:color w:val="auto"/>
                      <w:lang w:val="en-US" w:eastAsia="zh-CN"/>
                    </w:rPr>
                    <w:t>7</w:t>
                  </w:r>
                  <w:r>
                    <w:rPr>
                      <w:rFonts w:hint="eastAsia"/>
                      <w:color w:val="auto"/>
                    </w:rPr>
                    <w:t>年9月3</w:t>
                  </w:r>
                  <w:r>
                    <w:rPr>
                      <w:color w:val="auto"/>
                    </w:rPr>
                    <w:t>1</w:t>
                  </w:r>
                  <w:r>
                    <w:rPr>
                      <w:rFonts w:hint="eastAsia"/>
                      <w:color w:val="auto"/>
                    </w:rPr>
                    <w:t>日至</w:t>
                  </w:r>
                  <w:r>
                    <w:rPr>
                      <w:rFonts w:hint="eastAsia"/>
                      <w:color w:val="auto"/>
                      <w:lang w:eastAsia="zh-CN"/>
                    </w:rPr>
                    <w:t>投标截止时间</w:t>
                  </w:r>
                  <w:r>
                    <w:rPr>
                      <w:rFonts w:hint="eastAsia"/>
                      <w:color w:val="auto"/>
                    </w:rPr>
                    <w:t>）按一个合同段成功地完成过四级（含四级）以上公路工程业绩。</w:t>
                  </w:r>
                </w:p>
                <w:p>
                  <w:pPr>
                    <w:spacing w:before="3" w:line="380" w:lineRule="exact"/>
                    <w:ind w:right="18" w:firstLine="441"/>
                    <w:rPr>
                      <w:rFonts w:cs="Times New Roman"/>
                    </w:rPr>
                  </w:pPr>
                  <w:r>
                    <w:rPr>
                      <w:rFonts w:hint="eastAsia"/>
                    </w:rPr>
                    <w:t>（上述公路业绩中成功完成指工程经按《公路工程竣（交）工验收办法》交工验收或竣工验收通过，同时必须提供验收文件的复印件或验收单位的证明材料原件）。</w:t>
                  </w:r>
                </w:p>
                <w:p>
                  <w:pPr>
                    <w:spacing w:line="380" w:lineRule="exact"/>
                    <w:ind w:firstLine="440" w:firstLineChars="200"/>
                    <w:rPr>
                      <w:rFonts w:cs="Times New Roman"/>
                    </w:rPr>
                  </w:pPr>
                </w:p>
                <w:p>
                  <w:pPr>
                    <w:pStyle w:val="12"/>
                    <w:spacing w:before="3" w:line="266" w:lineRule="auto"/>
                    <w:ind w:left="102" w:right="103" w:firstLine="420"/>
                    <w:rPr>
                      <w:rFonts w:cs="Times New Roman"/>
                      <w:b/>
                      <w:bCs/>
                    </w:rPr>
                  </w:pPr>
                  <w:r>
                    <w:rPr>
                      <w:rFonts w:hint="eastAsia"/>
                      <w:b/>
                      <w:bCs/>
                    </w:rPr>
                    <w:t>注：</w:t>
                  </w:r>
                  <w:r>
                    <w:rPr>
                      <w:b/>
                      <w:bCs/>
                    </w:rPr>
                    <w:t>20</w:t>
                  </w:r>
                  <w:r>
                    <w:rPr>
                      <w:rFonts w:hint="eastAsia"/>
                      <w:b/>
                      <w:bCs/>
                      <w:lang w:val="en-US" w:eastAsia="zh-CN"/>
                    </w:rPr>
                    <w:t>20</w:t>
                  </w:r>
                  <w:r>
                    <w:rPr>
                      <w:rFonts w:hint="eastAsia"/>
                      <w:b/>
                      <w:bCs/>
                    </w:rPr>
                    <w:t>年</w:t>
                  </w:r>
                  <w:r>
                    <w:rPr>
                      <w:b/>
                      <w:bCs/>
                      <w:lang w:val="en-US"/>
                    </w:rPr>
                    <w:t>1</w:t>
                  </w:r>
                  <w:r>
                    <w:rPr>
                      <w:rFonts w:hint="eastAsia"/>
                      <w:b/>
                      <w:bCs/>
                      <w:lang w:val="en-US"/>
                    </w:rPr>
                    <w:t>月</w:t>
                  </w:r>
                  <w:r>
                    <w:rPr>
                      <w:b/>
                      <w:bCs/>
                      <w:lang w:val="en-US"/>
                    </w:rPr>
                    <w:t>1</w:t>
                  </w:r>
                  <w:r>
                    <w:rPr>
                      <w:rFonts w:hint="eastAsia"/>
                      <w:b/>
                      <w:bCs/>
                      <w:lang w:val="en-US"/>
                    </w:rPr>
                    <w:t>日</w:t>
                  </w:r>
                  <w:r>
                    <w:rPr>
                      <w:rFonts w:hint="eastAsia"/>
                      <w:b/>
                      <w:bCs/>
                    </w:rPr>
                    <w:t>后成立的公司无需提供。</w:t>
                  </w:r>
                </w:p>
                <w:p>
                  <w:pPr>
                    <w:rPr>
                      <w:rFonts w:cs="Times New Roman"/>
                    </w:rPr>
                  </w:pPr>
                </w:p>
              </w:txbxContent>
            </v:textbox>
            <w10:wrap type="topAndBottom"/>
          </v:shape>
        </w:pict>
      </w:r>
    </w:p>
    <w:p>
      <w:pPr>
        <w:rPr>
          <w:rFonts w:cs="Times New Roman"/>
        </w:rPr>
        <w:sectPr>
          <w:pgSz w:w="11910" w:h="16850"/>
          <w:pgMar w:top="1418" w:right="1418" w:bottom="1418" w:left="1418" w:header="851" w:footer="964" w:gutter="0"/>
          <w:cols w:space="720" w:num="1"/>
        </w:sectPr>
      </w:pPr>
    </w:p>
    <w:p>
      <w:pPr>
        <w:pStyle w:val="12"/>
        <w:spacing w:before="8"/>
        <w:rPr>
          <w:rFonts w:cs="Times New Roman"/>
          <w:b/>
          <w:bCs/>
          <w:sz w:val="28"/>
          <w:szCs w:val="28"/>
        </w:rPr>
      </w:pPr>
    </w:p>
    <w:p>
      <w:pPr>
        <w:tabs>
          <w:tab w:val="left" w:pos="983"/>
        </w:tabs>
        <w:spacing w:before="62"/>
        <w:ind w:right="36"/>
        <w:jc w:val="center"/>
        <w:rPr>
          <w:rFonts w:cs="Times New Roman"/>
          <w:b/>
          <w:bCs/>
          <w:sz w:val="28"/>
          <w:szCs w:val="28"/>
        </w:rPr>
      </w:pPr>
      <w:r>
        <w:rPr>
          <w:lang w:val="en-US"/>
        </w:rPr>
        <w:pict>
          <v:shape id="自选图形 18" o:spid="_x0000_s1037" o:spt="100" style="position:absolute;left:0pt;margin-left:89.8pt;margin-top:125.25pt;height:517.25pt;width:419.05pt;mso-position-horizontal-relative:page;z-index:-1024;mso-width-relative:page;mso-height-relative:page;" filled="f" coordsize="8381,10345" path="m0,-2076l8381,-2076m0,-1626l8381,-1626m0,8264l8381,8264m5,-2081l5,8259m8376,-2081l8376,8259e">
            <v:path textboxrect="3163,3163,18437,18437" o:connecttype="segments"/>
            <v:fill on="f" focussize="0,0"/>
            <v:stroke weight="0.48pt" joinstyle="round"/>
            <v:imagedata o:title=""/>
            <o:lock v:ext="edit"/>
            <v:textbox>
              <w:txbxContent>
                <w:p/>
              </w:txbxContent>
            </v:textbox>
          </v:shape>
        </w:pict>
      </w:r>
      <w:r>
        <w:rPr>
          <w:rFonts w:hint="eastAsia"/>
          <w:b/>
          <w:bCs/>
          <w:sz w:val="28"/>
          <w:szCs w:val="28"/>
        </w:rPr>
        <w:t>附录</w:t>
      </w:r>
      <w:r>
        <w:rPr>
          <w:b/>
          <w:bCs/>
          <w:sz w:val="28"/>
          <w:szCs w:val="28"/>
        </w:rPr>
        <w:t>4</w:t>
      </w:r>
      <w:r>
        <w:rPr>
          <w:b/>
          <w:bCs/>
          <w:sz w:val="28"/>
          <w:szCs w:val="28"/>
        </w:rPr>
        <w:tab/>
      </w:r>
      <w:r>
        <w:rPr>
          <w:rFonts w:hint="eastAsia"/>
          <w:b/>
          <w:bCs/>
          <w:sz w:val="28"/>
          <w:szCs w:val="28"/>
        </w:rPr>
        <w:t>资格审查条件（信誉最低要求）</w:t>
      </w:r>
    </w:p>
    <w:p>
      <w:pPr>
        <w:pStyle w:val="12"/>
        <w:spacing w:before="155"/>
        <w:ind w:left="4485"/>
        <w:rPr>
          <w:rFonts w:cs="Times New Roman"/>
        </w:rPr>
      </w:pPr>
      <w:r>
        <w:rPr>
          <w:rFonts w:hint="eastAsia"/>
        </w:rPr>
        <w:t>信誉要求</w:t>
      </w:r>
    </w:p>
    <w:p>
      <w:pPr>
        <w:pStyle w:val="12"/>
        <w:spacing w:line="288" w:lineRule="auto"/>
        <w:ind w:left="828" w:right="874" w:firstLine="482"/>
        <w:rPr>
          <w:rFonts w:cs="Times New Roman"/>
        </w:rPr>
      </w:pPr>
      <w:r>
        <w:t>1</w:t>
      </w:r>
      <w:r>
        <w:rPr>
          <w:rFonts w:hint="eastAsia"/>
        </w:rPr>
        <w:t>、投标人未被“信用中国”网站（</w:t>
      </w:r>
      <w:r>
        <w:fldChar w:fldCharType="begin"/>
      </w:r>
      <w:r>
        <w:instrText xml:space="preserve"> HYPERLINK "http://www.creditchina.gov.cn/)%E4%B8%AD%E5%88%97%E5%85%A5%E5%A4%B1%E4%BF%A1%E8%A2%AB" \h </w:instrText>
      </w:r>
      <w:r>
        <w:fldChar w:fldCharType="separate"/>
      </w:r>
      <w:r>
        <w:t>http://www.creditchina.gov.cn/)</w:t>
      </w:r>
      <w:r>
        <w:rPr>
          <w:rFonts w:hint="eastAsia"/>
        </w:rPr>
        <w:t>中列入失信被</w:t>
      </w:r>
      <w:r>
        <w:rPr>
          <w:rFonts w:hint="eastAsia"/>
        </w:rPr>
        <w:fldChar w:fldCharType="end"/>
      </w:r>
      <w:r>
        <w:rPr>
          <w:rFonts w:hint="eastAsia"/>
        </w:rPr>
        <w:t>执行人名单。</w:t>
      </w:r>
    </w:p>
    <w:p>
      <w:pPr>
        <w:pStyle w:val="12"/>
        <w:spacing w:line="288" w:lineRule="auto"/>
        <w:ind w:left="828" w:right="874" w:firstLine="482"/>
        <w:rPr>
          <w:rFonts w:cs="Times New Roman"/>
        </w:rPr>
      </w:pPr>
      <w:r>
        <w:t>2</w:t>
      </w:r>
      <w:r>
        <w:rPr>
          <w:rFonts w:hint="eastAsia"/>
        </w:rPr>
        <w:t>、在国家企业信用信息公示系统（</w:t>
      </w:r>
      <w:r>
        <w:fldChar w:fldCharType="begin"/>
      </w:r>
      <w:r>
        <w:instrText xml:space="preserve"> HYPERLINK "http://www.gsxt.gov.cn/" \h </w:instrText>
      </w:r>
      <w:r>
        <w:fldChar w:fldCharType="separate"/>
      </w:r>
      <w:r>
        <w:t>http://www.gsxt.gov.cn/</w:t>
      </w:r>
      <w:r>
        <w:fldChar w:fldCharType="end"/>
      </w:r>
      <w:r>
        <w:rPr>
          <w:rFonts w:hint="eastAsia"/>
        </w:rPr>
        <w:t>）中未被列入严重违法失信企业名单；</w:t>
      </w:r>
    </w:p>
    <w:p>
      <w:pPr>
        <w:pStyle w:val="12"/>
        <w:spacing w:line="288" w:lineRule="auto"/>
        <w:ind w:left="828" w:right="874" w:firstLine="482"/>
        <w:rPr>
          <w:rFonts w:cs="Times New Roman"/>
        </w:rPr>
      </w:pPr>
      <w:r>
        <w:t>3</w:t>
      </w:r>
      <w:r>
        <w:rPr>
          <w:rFonts w:hint="eastAsia"/>
        </w:rPr>
        <w:t>、投标人不存在被交通运输部在全国范围内或广西交通运输厅或桂林市交通运输局作出取消投标资格或禁止进入公路建设市场且处于有效期内的行政处罚；</w:t>
      </w:r>
    </w:p>
    <w:p>
      <w:pPr>
        <w:pStyle w:val="12"/>
        <w:spacing w:line="288" w:lineRule="auto"/>
        <w:ind w:left="828" w:right="874" w:firstLine="482"/>
        <w:rPr>
          <w:rFonts w:cs="Times New Roman"/>
        </w:rPr>
      </w:pPr>
      <w:r>
        <w:t>4</w:t>
      </w:r>
      <w:r>
        <w:rPr>
          <w:rFonts w:hint="eastAsia"/>
        </w:rPr>
        <w:t>、投标人不存在桂林市交通运输局《桂林市农村公路建设市场从业单位信用评价实施细则的通知》（市交</w:t>
      </w:r>
      <w:r>
        <w:t xml:space="preserve">[2015]70 </w:t>
      </w:r>
      <w:r>
        <w:rPr>
          <w:rFonts w:hint="eastAsia"/>
        </w:rPr>
        <w:t>号）中有关市场禁入性规定的情况。否则，招标人有权取消投标人中标资格。对于已经宣布中标的，招标人有权依据《中华人民共和国招标投标法》第三十三、五十四条的规定主张中标无效。《桂林市农村公路建设市场从业单位信用评价实施细则的通知》（市交</w:t>
      </w:r>
      <w:r>
        <w:t xml:space="preserve">[2015]70 </w:t>
      </w:r>
      <w:r>
        <w:rPr>
          <w:rFonts w:hint="eastAsia"/>
        </w:rPr>
        <w:t>号）有关规定执行并以桂林市交通运输局在本项目投标文件递交截止时间前最新公布的桂林市农村公路建设市场施工企业信用等级评定结果为准。本次招标要求投标人信用评价等级不低于</w:t>
      </w:r>
      <w:r>
        <w:t xml:space="preserve">C </w:t>
      </w:r>
      <w:r>
        <w:rPr>
          <w:rFonts w:hint="eastAsia"/>
        </w:rPr>
        <w:t>级。</w:t>
      </w:r>
    </w:p>
    <w:p>
      <w:pPr>
        <w:pStyle w:val="12"/>
        <w:spacing w:line="288" w:lineRule="auto"/>
        <w:ind w:left="828" w:right="874" w:firstLine="482"/>
        <w:rPr>
          <w:rFonts w:cs="Times New Roman"/>
        </w:rPr>
      </w:pPr>
      <w:r>
        <w:rPr>
          <w:rFonts w:hint="eastAsia"/>
        </w:rPr>
        <w:t>年度首次参与桂林市农村公路建设投标的投标人，须向桂林市交通质量监督站办理企业信用等级登记，填报企业基本情况、业绩、所获奖励、处罚等相关资料和信息。企业法人代表亦必须亲自前往桂林市交通质量监督站进行登记并当面签署不出借资质、不转包、不违法分包的承诺书。</w:t>
      </w:r>
    </w:p>
    <w:p>
      <w:pPr>
        <w:pStyle w:val="12"/>
        <w:spacing w:line="288" w:lineRule="auto"/>
        <w:ind w:left="828" w:right="874" w:firstLine="482"/>
        <w:rPr>
          <w:rFonts w:cs="Times New Roman"/>
        </w:rPr>
      </w:pPr>
      <w:r>
        <w:t>5</w:t>
      </w:r>
      <w:r>
        <w:rPr>
          <w:rFonts w:hint="eastAsia"/>
        </w:rPr>
        <w:t>、具有投资参股关系的关联企业，或具有直接管理和被管理关系的母子公司，或同一母公司的子公司，或法定代表人为同一人的两个及两个以上法人不得同时对同一标段投标，否则均按废标处理。</w:t>
      </w:r>
    </w:p>
    <w:p>
      <w:pPr>
        <w:pStyle w:val="12"/>
        <w:spacing w:line="288" w:lineRule="auto"/>
        <w:ind w:left="828" w:right="874" w:firstLine="482"/>
        <w:rPr>
          <w:rFonts w:cs="Times New Roman"/>
        </w:rPr>
      </w:pPr>
      <w:r>
        <w:t>6</w:t>
      </w:r>
      <w:r>
        <w:rPr>
          <w:rFonts w:hint="eastAsia"/>
        </w:rPr>
        <w:t>、近一年内不存在拖欠农民工工资问题，无不良记录。</w:t>
      </w:r>
    </w:p>
    <w:p>
      <w:pPr>
        <w:pStyle w:val="12"/>
        <w:spacing w:line="288" w:lineRule="auto"/>
        <w:ind w:left="828" w:right="874" w:firstLine="482"/>
        <w:rPr>
          <w:rFonts w:cs="Times New Roman"/>
        </w:rPr>
        <w:sectPr>
          <w:pgSz w:w="11910" w:h="16850"/>
          <w:pgMar w:top="1418" w:right="1418" w:bottom="1418" w:left="1418" w:header="851" w:footer="964" w:gutter="0"/>
          <w:cols w:space="720" w:num="1"/>
        </w:sectPr>
      </w:pPr>
    </w:p>
    <w:p>
      <w:pPr>
        <w:pStyle w:val="12"/>
        <w:spacing w:before="3"/>
        <w:rPr>
          <w:rFonts w:cs="Times New Roman"/>
          <w:sz w:val="20"/>
          <w:szCs w:val="20"/>
        </w:rPr>
      </w:pPr>
    </w:p>
    <w:p>
      <w:pPr>
        <w:pStyle w:val="8"/>
        <w:tabs>
          <w:tab w:val="left" w:pos="983"/>
        </w:tabs>
        <w:spacing w:before="61" w:after="3"/>
        <w:ind w:right="77"/>
        <w:rPr>
          <w:rFonts w:cs="Times New Roman"/>
        </w:rPr>
      </w:pPr>
      <w:r>
        <w:rPr>
          <w:rFonts w:hint="eastAsia"/>
        </w:rPr>
        <w:t>附录</w:t>
      </w:r>
      <w:r>
        <w:t>5</w:t>
      </w:r>
      <w:r>
        <w:tab/>
      </w:r>
      <w:r>
        <w:rPr>
          <w:rFonts w:hint="eastAsia"/>
        </w:rPr>
        <w:t>资格审查条件（项目经理和项目总工最低要求）</w:t>
      </w:r>
    </w:p>
    <w:tbl>
      <w:tblPr>
        <w:tblStyle w:val="20"/>
        <w:tblW w:w="838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795"/>
        <w:gridCol w:w="6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95" w:type="dxa"/>
          </w:tcPr>
          <w:p>
            <w:pPr>
              <w:pStyle w:val="50"/>
              <w:spacing w:before="6"/>
              <w:rPr>
                <w:rFonts w:cs="Times New Roman"/>
                <w:b/>
                <w:bCs/>
                <w:sz w:val="23"/>
                <w:szCs w:val="23"/>
              </w:rPr>
            </w:pPr>
          </w:p>
          <w:p>
            <w:pPr>
              <w:pStyle w:val="50"/>
              <w:ind w:left="105" w:right="97"/>
              <w:jc w:val="center"/>
              <w:rPr>
                <w:rFonts w:cs="Times New Roman"/>
                <w:sz w:val="21"/>
                <w:szCs w:val="21"/>
              </w:rPr>
            </w:pPr>
            <w:r>
              <w:rPr>
                <w:rFonts w:hint="eastAsia"/>
                <w:sz w:val="21"/>
                <w:szCs w:val="21"/>
              </w:rPr>
              <w:t>人员</w:t>
            </w:r>
          </w:p>
        </w:tc>
        <w:tc>
          <w:tcPr>
            <w:tcW w:w="795" w:type="dxa"/>
          </w:tcPr>
          <w:p>
            <w:pPr>
              <w:pStyle w:val="50"/>
              <w:spacing w:before="6"/>
              <w:rPr>
                <w:rFonts w:cs="Times New Roman"/>
                <w:b/>
                <w:bCs/>
                <w:sz w:val="23"/>
                <w:szCs w:val="23"/>
              </w:rPr>
            </w:pPr>
          </w:p>
          <w:p>
            <w:pPr>
              <w:pStyle w:val="50"/>
              <w:ind w:left="164" w:right="160"/>
              <w:jc w:val="center"/>
              <w:rPr>
                <w:rFonts w:cs="Times New Roman"/>
                <w:sz w:val="21"/>
                <w:szCs w:val="21"/>
              </w:rPr>
            </w:pPr>
            <w:r>
              <w:rPr>
                <w:rFonts w:hint="eastAsia"/>
                <w:sz w:val="21"/>
                <w:szCs w:val="21"/>
              </w:rPr>
              <w:t>数量</w:t>
            </w:r>
          </w:p>
        </w:tc>
        <w:tc>
          <w:tcPr>
            <w:tcW w:w="6495" w:type="dxa"/>
          </w:tcPr>
          <w:p>
            <w:pPr>
              <w:pStyle w:val="50"/>
              <w:spacing w:before="6"/>
              <w:rPr>
                <w:rFonts w:cs="Times New Roman"/>
                <w:b/>
                <w:bCs/>
                <w:sz w:val="23"/>
                <w:szCs w:val="23"/>
              </w:rPr>
            </w:pPr>
          </w:p>
          <w:p>
            <w:pPr>
              <w:pStyle w:val="50"/>
              <w:ind w:left="2806" w:right="2798"/>
              <w:jc w:val="center"/>
              <w:rPr>
                <w:rFonts w:cs="Times New Roman"/>
                <w:sz w:val="21"/>
                <w:szCs w:val="21"/>
              </w:rPr>
            </w:pPr>
            <w:r>
              <w:rPr>
                <w:rFonts w:hint="eastAsia"/>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5" w:hRule="atLeast"/>
        </w:trPr>
        <w:tc>
          <w:tcPr>
            <w:tcW w:w="1095" w:type="dxa"/>
          </w:tcPr>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spacing w:before="12"/>
              <w:rPr>
                <w:rFonts w:cs="Times New Roman"/>
                <w:b/>
                <w:bCs/>
                <w:sz w:val="16"/>
                <w:szCs w:val="16"/>
              </w:rPr>
            </w:pPr>
          </w:p>
          <w:p>
            <w:pPr>
              <w:pStyle w:val="50"/>
              <w:ind w:left="105" w:right="100"/>
              <w:jc w:val="center"/>
              <w:rPr>
                <w:rFonts w:cs="Times New Roman"/>
                <w:sz w:val="21"/>
                <w:szCs w:val="21"/>
              </w:rPr>
            </w:pPr>
            <w:r>
              <w:rPr>
                <w:rFonts w:hint="eastAsia"/>
                <w:sz w:val="21"/>
                <w:szCs w:val="21"/>
              </w:rPr>
              <w:t>项目经理</w:t>
            </w:r>
          </w:p>
        </w:tc>
        <w:tc>
          <w:tcPr>
            <w:tcW w:w="795" w:type="dxa"/>
          </w:tcPr>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spacing w:before="12"/>
              <w:rPr>
                <w:rFonts w:cs="Times New Roman"/>
                <w:b/>
                <w:bCs/>
                <w:sz w:val="16"/>
                <w:szCs w:val="16"/>
              </w:rPr>
            </w:pPr>
          </w:p>
          <w:p>
            <w:pPr>
              <w:pStyle w:val="50"/>
              <w:ind w:left="164" w:right="157"/>
              <w:jc w:val="center"/>
              <w:rPr>
                <w:rFonts w:cs="Times New Roman"/>
                <w:sz w:val="21"/>
                <w:szCs w:val="21"/>
              </w:rPr>
            </w:pPr>
            <w:r>
              <w:rPr>
                <w:sz w:val="21"/>
                <w:szCs w:val="21"/>
              </w:rPr>
              <w:t>1</w:t>
            </w:r>
            <w:r>
              <w:rPr>
                <w:rFonts w:hint="eastAsia"/>
                <w:sz w:val="21"/>
                <w:szCs w:val="21"/>
              </w:rPr>
              <w:t>人</w:t>
            </w:r>
          </w:p>
        </w:tc>
        <w:tc>
          <w:tcPr>
            <w:tcW w:w="6495" w:type="dxa"/>
          </w:tcPr>
          <w:p>
            <w:pPr>
              <w:pStyle w:val="50"/>
              <w:spacing w:before="140" w:line="393" w:lineRule="auto"/>
              <w:ind w:left="108" w:right="-15" w:firstLine="480"/>
              <w:rPr>
                <w:rFonts w:cs="Times New Roman"/>
                <w:sz w:val="21"/>
                <w:szCs w:val="21"/>
              </w:rPr>
            </w:pPr>
            <w:r>
              <w:rPr>
                <w:rFonts w:hint="eastAsia"/>
                <w:sz w:val="21"/>
                <w:szCs w:val="21"/>
              </w:rPr>
              <w:t>具有工程师职称（专业为：路桥类专业）具有二级执业注册建造师证（公路工程专业）和省级建设行政主管部门或交通运输行政主管部门颁发的安全生产考核合格证（“三类人员”</w:t>
            </w:r>
            <w:r>
              <w:rPr>
                <w:sz w:val="21"/>
                <w:szCs w:val="21"/>
              </w:rPr>
              <w:t>B</w:t>
            </w:r>
            <w:r>
              <w:rPr>
                <w:rFonts w:hint="eastAsia"/>
                <w:sz w:val="21"/>
                <w:szCs w:val="21"/>
              </w:rPr>
              <w:t>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095" w:type="dxa"/>
          </w:tcPr>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spacing w:before="8"/>
              <w:rPr>
                <w:rFonts w:cs="Times New Roman"/>
                <w:b/>
                <w:bCs/>
                <w:sz w:val="19"/>
                <w:szCs w:val="19"/>
              </w:rPr>
            </w:pPr>
          </w:p>
          <w:p>
            <w:pPr>
              <w:pStyle w:val="50"/>
              <w:ind w:left="105" w:right="100"/>
              <w:jc w:val="center"/>
              <w:rPr>
                <w:rFonts w:cs="Times New Roman"/>
                <w:sz w:val="21"/>
                <w:szCs w:val="21"/>
              </w:rPr>
            </w:pPr>
            <w:r>
              <w:rPr>
                <w:rFonts w:hint="eastAsia"/>
                <w:sz w:val="21"/>
                <w:szCs w:val="21"/>
              </w:rPr>
              <w:t>项目总工</w:t>
            </w:r>
          </w:p>
        </w:tc>
        <w:tc>
          <w:tcPr>
            <w:tcW w:w="795" w:type="dxa"/>
          </w:tcPr>
          <w:p>
            <w:pPr>
              <w:pStyle w:val="50"/>
              <w:rPr>
                <w:rFonts w:cs="Times New Roman"/>
                <w:b/>
                <w:bCs/>
                <w:sz w:val="20"/>
                <w:szCs w:val="20"/>
              </w:rPr>
            </w:pPr>
          </w:p>
          <w:p>
            <w:pPr>
              <w:pStyle w:val="50"/>
              <w:rPr>
                <w:rFonts w:cs="Times New Roman"/>
                <w:b/>
                <w:bCs/>
                <w:sz w:val="20"/>
                <w:szCs w:val="20"/>
              </w:rPr>
            </w:pPr>
          </w:p>
          <w:p>
            <w:pPr>
              <w:pStyle w:val="50"/>
              <w:rPr>
                <w:rFonts w:cs="Times New Roman"/>
                <w:b/>
                <w:bCs/>
                <w:sz w:val="20"/>
                <w:szCs w:val="20"/>
              </w:rPr>
            </w:pPr>
          </w:p>
          <w:p>
            <w:pPr>
              <w:pStyle w:val="50"/>
              <w:spacing w:before="8"/>
              <w:rPr>
                <w:rFonts w:cs="Times New Roman"/>
                <w:b/>
                <w:bCs/>
                <w:sz w:val="19"/>
                <w:szCs w:val="19"/>
              </w:rPr>
            </w:pPr>
          </w:p>
          <w:p>
            <w:pPr>
              <w:pStyle w:val="50"/>
              <w:ind w:left="164" w:right="157"/>
              <w:jc w:val="center"/>
              <w:rPr>
                <w:rFonts w:cs="Times New Roman"/>
                <w:sz w:val="21"/>
                <w:szCs w:val="21"/>
              </w:rPr>
            </w:pPr>
            <w:r>
              <w:rPr>
                <w:sz w:val="21"/>
                <w:szCs w:val="21"/>
              </w:rPr>
              <w:t>1</w:t>
            </w:r>
            <w:r>
              <w:rPr>
                <w:rFonts w:hint="eastAsia"/>
                <w:sz w:val="21"/>
                <w:szCs w:val="21"/>
              </w:rPr>
              <w:t>人</w:t>
            </w:r>
          </w:p>
        </w:tc>
        <w:tc>
          <w:tcPr>
            <w:tcW w:w="6495" w:type="dxa"/>
          </w:tcPr>
          <w:p>
            <w:pPr>
              <w:pStyle w:val="50"/>
              <w:spacing w:before="142" w:line="393" w:lineRule="auto"/>
              <w:ind w:left="108" w:right="98" w:firstLine="480"/>
              <w:jc w:val="both"/>
              <w:rPr>
                <w:rFonts w:cs="Times New Roman"/>
                <w:sz w:val="21"/>
                <w:szCs w:val="21"/>
              </w:rPr>
            </w:pPr>
            <w:r>
              <w:rPr>
                <w:rFonts w:hint="eastAsia"/>
                <w:sz w:val="21"/>
                <w:szCs w:val="21"/>
              </w:rPr>
              <w:t>具有工程师职称（专业为：路桥类专业），具有省级建设行政主管部门或交通运输行政主管部门颁发的安全生产考核合格证（“三类人员”</w:t>
            </w:r>
            <w:r>
              <w:rPr>
                <w:sz w:val="21"/>
                <w:szCs w:val="21"/>
              </w:rPr>
              <w:t>B</w:t>
            </w:r>
            <w:r>
              <w:rPr>
                <w:rFonts w:hint="eastAsia"/>
                <w:sz w:val="21"/>
                <w:szCs w:val="21"/>
              </w:rPr>
              <w:t>类证书）。</w:t>
            </w:r>
          </w:p>
        </w:tc>
      </w:tr>
    </w:tbl>
    <w:p>
      <w:pPr>
        <w:pStyle w:val="12"/>
        <w:spacing w:before="109"/>
        <w:ind w:left="139"/>
        <w:rPr>
          <w:rFonts w:cs="Times New Roman"/>
        </w:rPr>
      </w:pPr>
      <w:r>
        <w:rPr>
          <w:rFonts w:hint="eastAsia"/>
        </w:rPr>
        <w:t>说明：</w:t>
      </w:r>
    </w:p>
    <w:p>
      <w:pPr>
        <w:pStyle w:val="12"/>
        <w:numPr>
          <w:ilvl w:val="0"/>
          <w:numId w:val="2"/>
        </w:numPr>
        <w:spacing w:before="132" w:line="355" w:lineRule="auto"/>
        <w:ind w:left="139" w:right="221" w:firstLine="420"/>
        <w:rPr>
          <w:rFonts w:cs="Times New Roman"/>
        </w:rPr>
      </w:pPr>
      <w:r>
        <w:rPr>
          <w:rFonts w:hint="eastAsia"/>
        </w:rPr>
        <w:t>项目总工资格要求中的“路桥类”专业是指职称证上的专业为路桥、公路工程、公路与城市道路、桥梁工程、交通土建、交通工程、隧道工程等公路工程类专业均可。</w:t>
      </w:r>
    </w:p>
    <w:p>
      <w:pPr>
        <w:spacing w:line="360" w:lineRule="auto"/>
        <w:ind w:firstLine="440" w:firstLineChars="200"/>
        <w:rPr>
          <w:rFonts w:cs="Times New Roman"/>
        </w:rPr>
      </w:pPr>
      <w:r>
        <w:t>2</w:t>
      </w:r>
      <w:r>
        <w:rPr>
          <w:rFonts w:hint="eastAsia"/>
        </w:rPr>
        <w:t>、投标人应按本招标文件第四卷第九章投标文件格式“资格审查资料”的“（六）拟委任的项目经理和项目总工资历表”的附注要求，提供符合要求的相关人员资格证书、养老保险缴费等证明材料</w:t>
      </w:r>
      <w:r>
        <w:rPr>
          <w:rFonts w:hint="eastAsia"/>
          <w:b/>
          <w:bCs/>
        </w:rPr>
        <w:t>（项目经理或者项目总工的养老保险缴费单位应是投标单位，否则，视为以非本单位人员参与投标，该投标人的投标作废标处理）</w:t>
      </w:r>
      <w:r>
        <w:rPr>
          <w:rFonts w:hint="eastAsia"/>
        </w:rPr>
        <w:t>。</w:t>
      </w: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spacing w:line="500" w:lineRule="exact"/>
        <w:jc w:val="center"/>
        <w:rPr>
          <w:rFonts w:ascii="黑体" w:cs="Times New Roman"/>
          <w:b/>
          <w:bCs/>
          <w:color w:val="000000"/>
          <w:sz w:val="44"/>
          <w:szCs w:val="44"/>
        </w:rPr>
      </w:pPr>
      <w:r>
        <w:rPr>
          <w:rFonts w:hint="eastAsia" w:ascii="黑体"/>
          <w:b/>
          <w:bCs/>
          <w:color w:val="000000"/>
          <w:sz w:val="44"/>
          <w:szCs w:val="44"/>
        </w:rPr>
        <w:t>投标人须知</w:t>
      </w:r>
    </w:p>
    <w:p>
      <w:pPr>
        <w:spacing w:line="420" w:lineRule="exact"/>
        <w:jc w:val="center"/>
        <w:rPr>
          <w:rFonts w:cs="Times New Roman"/>
          <w:sz w:val="26"/>
          <w:szCs w:val="26"/>
        </w:rPr>
      </w:pPr>
      <w:r>
        <w:rPr>
          <w:rFonts w:hint="eastAsia" w:ascii="黑体"/>
          <w:b/>
          <w:bCs/>
          <w:color w:val="000000"/>
          <w:sz w:val="32"/>
          <w:szCs w:val="32"/>
        </w:rPr>
        <w:t>（正文）</w:t>
      </w:r>
    </w:p>
    <w:p>
      <w:pPr>
        <w:pStyle w:val="10"/>
        <w:numPr>
          <w:ilvl w:val="0"/>
          <w:numId w:val="3"/>
        </w:numPr>
        <w:tabs>
          <w:tab w:val="left" w:pos="929"/>
        </w:tabs>
        <w:spacing w:before="62" w:line="360" w:lineRule="auto"/>
        <w:rPr>
          <w:rFonts w:cs="Times New Roman"/>
          <w:b/>
          <w:bCs/>
          <w:spacing w:val="6"/>
          <w:sz w:val="21"/>
          <w:szCs w:val="21"/>
        </w:rPr>
      </w:pPr>
      <w:r>
        <w:rPr>
          <w:rFonts w:hint="eastAsia"/>
          <w:b/>
          <w:bCs/>
          <w:spacing w:val="6"/>
          <w:sz w:val="21"/>
          <w:szCs w:val="21"/>
        </w:rPr>
        <w:t>总则</w:t>
      </w:r>
    </w:p>
    <w:p>
      <w:pPr>
        <w:pStyle w:val="49"/>
        <w:numPr>
          <w:ilvl w:val="1"/>
          <w:numId w:val="3"/>
        </w:numPr>
        <w:tabs>
          <w:tab w:val="left" w:pos="989"/>
        </w:tabs>
        <w:spacing w:before="235" w:line="360" w:lineRule="auto"/>
        <w:ind w:left="988" w:hanging="481"/>
        <w:rPr>
          <w:rFonts w:cs="Times New Roman"/>
          <w:b/>
          <w:bCs/>
          <w:spacing w:val="6"/>
          <w:sz w:val="21"/>
          <w:szCs w:val="21"/>
        </w:rPr>
      </w:pPr>
      <w:r>
        <w:rPr>
          <w:rFonts w:hint="eastAsia"/>
          <w:b/>
          <w:bCs/>
          <w:spacing w:val="6"/>
          <w:sz w:val="21"/>
          <w:szCs w:val="21"/>
        </w:rPr>
        <w:t>项目概况</w:t>
      </w:r>
    </w:p>
    <w:p>
      <w:pPr>
        <w:pStyle w:val="49"/>
        <w:numPr>
          <w:ilvl w:val="2"/>
          <w:numId w:val="3"/>
        </w:numPr>
        <w:tabs>
          <w:tab w:val="left" w:pos="1474"/>
        </w:tabs>
        <w:spacing w:before="4" w:line="360" w:lineRule="auto"/>
        <w:ind w:left="1473" w:hanging="486"/>
        <w:rPr>
          <w:rFonts w:cs="Times New Roman"/>
          <w:spacing w:val="6"/>
          <w:sz w:val="21"/>
          <w:szCs w:val="21"/>
        </w:rPr>
      </w:pPr>
      <w:r>
        <w:rPr>
          <w:rFonts w:hint="eastAsia"/>
          <w:spacing w:val="6"/>
          <w:sz w:val="21"/>
          <w:szCs w:val="21"/>
        </w:rPr>
        <w:t>根据《中华人民共和国招标投标法》《中华人民共和国招标投标法实施条例》</w:t>
      </w:r>
    </w:p>
    <w:p>
      <w:pPr>
        <w:pStyle w:val="12"/>
        <w:spacing w:before="93" w:line="360" w:lineRule="auto"/>
        <w:ind w:left="508" w:right="641" w:hanging="120"/>
        <w:rPr>
          <w:rFonts w:cs="Times New Roman"/>
          <w:spacing w:val="6"/>
        </w:rPr>
      </w:pPr>
      <w:r>
        <w:rPr>
          <w:rFonts w:hint="eastAsia"/>
          <w:spacing w:val="6"/>
        </w:rPr>
        <w:t>《公路工程建设项目招标投标管理办法》等有关法律、法规和规章的规定，本招标项目已具备招标条件，现对本标段施工进行招标。</w:t>
      </w:r>
    </w:p>
    <w:p>
      <w:pPr>
        <w:pStyle w:val="49"/>
        <w:numPr>
          <w:ilvl w:val="2"/>
          <w:numId w:val="3"/>
        </w:numPr>
        <w:tabs>
          <w:tab w:val="left" w:pos="1620"/>
        </w:tabs>
        <w:spacing w:before="29" w:line="360" w:lineRule="auto"/>
        <w:ind w:left="1620" w:hanging="632"/>
        <w:rPr>
          <w:rFonts w:cs="Times New Roman"/>
          <w:spacing w:val="6"/>
          <w:sz w:val="21"/>
          <w:szCs w:val="21"/>
        </w:rPr>
      </w:pPr>
      <w:r>
        <w:rPr>
          <w:rFonts w:hint="eastAsia"/>
          <w:spacing w:val="6"/>
          <w:sz w:val="21"/>
          <w:szCs w:val="21"/>
        </w:rPr>
        <w:t>本招标项目招标人：见投标人须知前附表。</w:t>
      </w:r>
    </w:p>
    <w:p>
      <w:pPr>
        <w:pStyle w:val="49"/>
        <w:numPr>
          <w:ilvl w:val="2"/>
          <w:numId w:val="3"/>
        </w:numPr>
        <w:tabs>
          <w:tab w:val="left" w:pos="1620"/>
        </w:tabs>
        <w:spacing w:before="124" w:line="360" w:lineRule="auto"/>
        <w:ind w:left="1620" w:hanging="632"/>
        <w:rPr>
          <w:rFonts w:cs="Times New Roman"/>
          <w:spacing w:val="6"/>
          <w:sz w:val="21"/>
          <w:szCs w:val="21"/>
        </w:rPr>
      </w:pPr>
      <w:r>
        <w:rPr>
          <w:rFonts w:hint="eastAsia"/>
          <w:spacing w:val="6"/>
          <w:sz w:val="21"/>
          <w:szCs w:val="21"/>
        </w:rPr>
        <w:t>本招标代理机构：见投标人须知前附表。</w:t>
      </w:r>
    </w:p>
    <w:p>
      <w:pPr>
        <w:pStyle w:val="49"/>
        <w:numPr>
          <w:ilvl w:val="2"/>
          <w:numId w:val="3"/>
        </w:numPr>
        <w:tabs>
          <w:tab w:val="left" w:pos="1620"/>
        </w:tabs>
        <w:spacing w:before="130" w:line="360" w:lineRule="auto"/>
        <w:ind w:left="1620" w:hanging="632"/>
        <w:rPr>
          <w:rFonts w:cs="Times New Roman"/>
          <w:spacing w:val="6"/>
          <w:sz w:val="21"/>
          <w:szCs w:val="21"/>
        </w:rPr>
      </w:pPr>
      <w:r>
        <w:rPr>
          <w:rFonts w:hint="eastAsia"/>
          <w:spacing w:val="6"/>
          <w:sz w:val="21"/>
          <w:szCs w:val="21"/>
        </w:rPr>
        <w:t>本招标项目名称：见投标人须知前附表。</w:t>
      </w:r>
    </w:p>
    <w:p>
      <w:pPr>
        <w:pStyle w:val="49"/>
        <w:numPr>
          <w:ilvl w:val="2"/>
          <w:numId w:val="3"/>
        </w:numPr>
        <w:tabs>
          <w:tab w:val="left" w:pos="1620"/>
        </w:tabs>
        <w:spacing w:before="127" w:line="360" w:lineRule="auto"/>
        <w:ind w:left="1620" w:hanging="632"/>
        <w:rPr>
          <w:rFonts w:cs="Times New Roman"/>
          <w:spacing w:val="6"/>
          <w:sz w:val="21"/>
          <w:szCs w:val="21"/>
        </w:rPr>
      </w:pPr>
      <w:r>
        <w:rPr>
          <w:rFonts w:hint="eastAsia"/>
          <w:spacing w:val="6"/>
          <w:sz w:val="21"/>
          <w:szCs w:val="21"/>
        </w:rPr>
        <w:t>本工程建设地点：见投标人须知前附表。</w:t>
      </w:r>
    </w:p>
    <w:p>
      <w:pPr>
        <w:pStyle w:val="10"/>
        <w:numPr>
          <w:ilvl w:val="1"/>
          <w:numId w:val="3"/>
        </w:numPr>
        <w:tabs>
          <w:tab w:val="left" w:pos="989"/>
        </w:tabs>
        <w:spacing w:before="5" w:line="360" w:lineRule="auto"/>
        <w:ind w:left="988" w:hanging="481"/>
        <w:rPr>
          <w:rFonts w:cs="Times New Roman"/>
          <w:b/>
          <w:bCs/>
          <w:spacing w:val="6"/>
          <w:sz w:val="21"/>
          <w:szCs w:val="21"/>
        </w:rPr>
      </w:pPr>
      <w:r>
        <w:rPr>
          <w:rFonts w:hint="eastAsia"/>
          <w:b/>
          <w:bCs/>
          <w:spacing w:val="6"/>
          <w:sz w:val="21"/>
          <w:szCs w:val="21"/>
        </w:rPr>
        <w:t>招标项目的资金来源和落实情况</w:t>
      </w:r>
    </w:p>
    <w:p>
      <w:pPr>
        <w:pStyle w:val="49"/>
        <w:numPr>
          <w:ilvl w:val="2"/>
          <w:numId w:val="3"/>
        </w:numPr>
        <w:tabs>
          <w:tab w:val="left" w:pos="1400"/>
        </w:tabs>
        <w:spacing w:before="4" w:line="360" w:lineRule="auto"/>
        <w:ind w:left="1399" w:hanging="630"/>
        <w:rPr>
          <w:rFonts w:cs="Times New Roman"/>
          <w:spacing w:val="6"/>
          <w:sz w:val="21"/>
          <w:szCs w:val="21"/>
        </w:rPr>
      </w:pPr>
      <w:r>
        <w:rPr>
          <w:rFonts w:hint="eastAsia"/>
          <w:spacing w:val="6"/>
          <w:sz w:val="21"/>
          <w:szCs w:val="21"/>
        </w:rPr>
        <w:t>本招标项目的资金来源：见投标人须知前附表</w:t>
      </w:r>
    </w:p>
    <w:p>
      <w:pPr>
        <w:pStyle w:val="49"/>
        <w:numPr>
          <w:ilvl w:val="2"/>
          <w:numId w:val="3"/>
        </w:numPr>
        <w:tabs>
          <w:tab w:val="left" w:pos="1400"/>
        </w:tabs>
        <w:spacing w:before="96" w:line="360" w:lineRule="auto"/>
        <w:ind w:left="1399" w:hanging="630"/>
        <w:rPr>
          <w:rFonts w:cs="Times New Roman"/>
          <w:spacing w:val="6"/>
          <w:sz w:val="21"/>
          <w:szCs w:val="21"/>
        </w:rPr>
      </w:pPr>
      <w:r>
        <w:rPr>
          <w:rFonts w:hint="eastAsia"/>
          <w:spacing w:val="6"/>
          <w:sz w:val="21"/>
          <w:szCs w:val="21"/>
        </w:rPr>
        <w:t>资金落实情况：见投标人须知前附表。</w:t>
      </w:r>
    </w:p>
    <w:p>
      <w:pPr>
        <w:pStyle w:val="10"/>
        <w:numPr>
          <w:ilvl w:val="1"/>
          <w:numId w:val="3"/>
        </w:numPr>
        <w:tabs>
          <w:tab w:val="left" w:pos="989"/>
        </w:tabs>
        <w:spacing w:before="3" w:line="360" w:lineRule="auto"/>
        <w:ind w:left="988" w:hanging="481"/>
        <w:rPr>
          <w:rFonts w:cs="Times New Roman"/>
          <w:b/>
          <w:bCs/>
          <w:spacing w:val="6"/>
          <w:sz w:val="21"/>
          <w:szCs w:val="21"/>
        </w:rPr>
      </w:pPr>
      <w:r>
        <w:rPr>
          <w:rFonts w:hint="eastAsia"/>
          <w:b/>
          <w:bCs/>
          <w:spacing w:val="6"/>
          <w:sz w:val="21"/>
          <w:szCs w:val="21"/>
        </w:rPr>
        <w:t>招标范围、计划工期、质量要求和安全目标</w:t>
      </w:r>
    </w:p>
    <w:p>
      <w:pPr>
        <w:pStyle w:val="49"/>
        <w:numPr>
          <w:ilvl w:val="2"/>
          <w:numId w:val="3"/>
        </w:numPr>
        <w:tabs>
          <w:tab w:val="left" w:pos="1400"/>
        </w:tabs>
        <w:spacing w:before="3" w:line="360" w:lineRule="auto"/>
        <w:ind w:left="1399" w:hanging="630"/>
        <w:rPr>
          <w:rFonts w:cs="Times New Roman"/>
          <w:spacing w:val="6"/>
          <w:sz w:val="21"/>
          <w:szCs w:val="21"/>
        </w:rPr>
      </w:pPr>
      <w:r>
        <w:rPr>
          <w:rFonts w:hint="eastAsia"/>
          <w:spacing w:val="6"/>
          <w:sz w:val="21"/>
          <w:szCs w:val="21"/>
        </w:rPr>
        <w:t>本次招标范围：见投标人须知前附表。</w:t>
      </w:r>
    </w:p>
    <w:p>
      <w:pPr>
        <w:pStyle w:val="49"/>
        <w:numPr>
          <w:ilvl w:val="2"/>
          <w:numId w:val="3"/>
        </w:numPr>
        <w:tabs>
          <w:tab w:val="left" w:pos="1400"/>
        </w:tabs>
        <w:spacing w:line="360" w:lineRule="auto"/>
        <w:ind w:left="1399" w:hanging="630"/>
        <w:rPr>
          <w:rFonts w:cs="Times New Roman"/>
          <w:spacing w:val="6"/>
          <w:sz w:val="21"/>
          <w:szCs w:val="21"/>
        </w:rPr>
      </w:pPr>
      <w:r>
        <w:rPr>
          <w:rFonts w:hint="eastAsia"/>
          <w:spacing w:val="6"/>
          <w:sz w:val="21"/>
          <w:szCs w:val="21"/>
        </w:rPr>
        <w:t>本项目的计划工期：见投标人须知前附表。</w:t>
      </w:r>
    </w:p>
    <w:p>
      <w:pPr>
        <w:pStyle w:val="49"/>
        <w:numPr>
          <w:ilvl w:val="2"/>
          <w:numId w:val="3"/>
        </w:numPr>
        <w:tabs>
          <w:tab w:val="left" w:pos="1400"/>
        </w:tabs>
        <w:spacing w:before="91" w:line="360" w:lineRule="auto"/>
        <w:ind w:left="1399" w:hanging="630"/>
        <w:rPr>
          <w:rFonts w:cs="Times New Roman"/>
          <w:spacing w:val="6"/>
          <w:sz w:val="21"/>
          <w:szCs w:val="21"/>
        </w:rPr>
      </w:pPr>
      <w:r>
        <w:rPr>
          <w:rFonts w:hint="eastAsia"/>
          <w:spacing w:val="6"/>
          <w:sz w:val="21"/>
          <w:szCs w:val="21"/>
        </w:rPr>
        <w:t>本项目的质量要求：见投标人须知前附表。</w:t>
      </w:r>
    </w:p>
    <w:p>
      <w:pPr>
        <w:pStyle w:val="49"/>
        <w:numPr>
          <w:ilvl w:val="2"/>
          <w:numId w:val="3"/>
        </w:numPr>
        <w:tabs>
          <w:tab w:val="left" w:pos="1400"/>
        </w:tabs>
        <w:spacing w:before="91" w:line="360" w:lineRule="auto"/>
        <w:ind w:left="1399" w:hanging="630"/>
        <w:rPr>
          <w:rFonts w:cs="Times New Roman"/>
          <w:spacing w:val="6"/>
          <w:sz w:val="21"/>
          <w:szCs w:val="21"/>
        </w:rPr>
      </w:pPr>
      <w:r>
        <w:rPr>
          <w:rFonts w:hint="eastAsia"/>
          <w:spacing w:val="6"/>
          <w:sz w:val="21"/>
          <w:szCs w:val="21"/>
        </w:rPr>
        <w:t>本项目的安全目标：见投标人须知前附表。</w:t>
      </w:r>
    </w:p>
    <w:p>
      <w:pPr>
        <w:pStyle w:val="10"/>
        <w:numPr>
          <w:ilvl w:val="1"/>
          <w:numId w:val="3"/>
        </w:numPr>
        <w:tabs>
          <w:tab w:val="left" w:pos="989"/>
        </w:tabs>
        <w:spacing w:line="360" w:lineRule="auto"/>
        <w:ind w:left="988" w:hanging="481"/>
        <w:rPr>
          <w:rFonts w:cs="Times New Roman"/>
          <w:b/>
          <w:bCs/>
          <w:spacing w:val="6"/>
          <w:sz w:val="21"/>
          <w:szCs w:val="21"/>
        </w:rPr>
      </w:pPr>
      <w:r>
        <w:rPr>
          <w:rFonts w:hint="eastAsia"/>
          <w:b/>
          <w:bCs/>
          <w:spacing w:val="6"/>
          <w:sz w:val="21"/>
          <w:szCs w:val="21"/>
        </w:rPr>
        <w:t>投标人资格要求</w:t>
      </w:r>
    </w:p>
    <w:p>
      <w:pPr>
        <w:pStyle w:val="49"/>
        <w:numPr>
          <w:ilvl w:val="2"/>
          <w:numId w:val="3"/>
        </w:numPr>
        <w:tabs>
          <w:tab w:val="left" w:pos="1620"/>
        </w:tabs>
        <w:spacing w:before="3" w:line="360" w:lineRule="auto"/>
        <w:ind w:left="1620" w:hanging="632"/>
        <w:rPr>
          <w:rFonts w:cs="Times New Roman"/>
          <w:spacing w:val="6"/>
          <w:sz w:val="21"/>
          <w:szCs w:val="21"/>
        </w:rPr>
      </w:pPr>
      <w:r>
        <w:rPr>
          <w:rFonts w:hint="eastAsia"/>
          <w:spacing w:val="6"/>
          <w:sz w:val="21"/>
          <w:szCs w:val="21"/>
        </w:rPr>
        <w:t>投标人应具备承担本标段施工的资质条件、能力和信誉。</w:t>
      </w:r>
    </w:p>
    <w:p>
      <w:pPr>
        <w:pStyle w:val="49"/>
        <w:numPr>
          <w:ilvl w:val="0"/>
          <w:numId w:val="4"/>
        </w:numPr>
        <w:tabs>
          <w:tab w:val="left" w:pos="1472"/>
        </w:tabs>
        <w:spacing w:before="98" w:line="360" w:lineRule="auto"/>
        <w:ind w:hanging="604"/>
        <w:rPr>
          <w:rFonts w:cs="Times New Roman"/>
          <w:spacing w:val="6"/>
          <w:sz w:val="21"/>
          <w:szCs w:val="21"/>
        </w:rPr>
      </w:pPr>
      <w:r>
        <w:rPr>
          <w:rFonts w:hint="eastAsia"/>
          <w:spacing w:val="6"/>
          <w:sz w:val="21"/>
          <w:szCs w:val="21"/>
        </w:rPr>
        <w:t>资质要求：见投标人须知前附表；</w:t>
      </w:r>
    </w:p>
    <w:p>
      <w:pPr>
        <w:pStyle w:val="49"/>
        <w:numPr>
          <w:ilvl w:val="0"/>
          <w:numId w:val="4"/>
        </w:numPr>
        <w:tabs>
          <w:tab w:val="left" w:pos="1472"/>
        </w:tabs>
        <w:spacing w:before="90" w:line="360" w:lineRule="auto"/>
        <w:ind w:hanging="604"/>
        <w:rPr>
          <w:rFonts w:cs="Times New Roman"/>
          <w:spacing w:val="6"/>
          <w:sz w:val="21"/>
          <w:szCs w:val="21"/>
        </w:rPr>
      </w:pPr>
      <w:r>
        <w:rPr>
          <w:rFonts w:hint="eastAsia"/>
          <w:spacing w:val="6"/>
          <w:sz w:val="21"/>
          <w:szCs w:val="21"/>
        </w:rPr>
        <w:t>财务要求：见投标人须知前附表；</w:t>
      </w:r>
    </w:p>
    <w:p>
      <w:pPr>
        <w:pStyle w:val="49"/>
        <w:numPr>
          <w:ilvl w:val="0"/>
          <w:numId w:val="4"/>
        </w:numPr>
        <w:tabs>
          <w:tab w:val="left" w:pos="1472"/>
        </w:tabs>
        <w:spacing w:before="95" w:line="360" w:lineRule="auto"/>
        <w:ind w:hanging="604"/>
        <w:rPr>
          <w:rFonts w:cs="Times New Roman"/>
          <w:spacing w:val="6"/>
          <w:sz w:val="21"/>
          <w:szCs w:val="21"/>
        </w:rPr>
      </w:pPr>
      <w:r>
        <w:rPr>
          <w:rFonts w:hint="eastAsia"/>
          <w:spacing w:val="6"/>
          <w:sz w:val="21"/>
          <w:szCs w:val="21"/>
        </w:rPr>
        <w:t>业绩要求：见投标人须知前附表；</w:t>
      </w:r>
    </w:p>
    <w:p>
      <w:pPr>
        <w:pStyle w:val="49"/>
        <w:numPr>
          <w:ilvl w:val="0"/>
          <w:numId w:val="4"/>
        </w:numPr>
        <w:tabs>
          <w:tab w:val="left" w:pos="1472"/>
        </w:tabs>
        <w:spacing w:before="95" w:line="360" w:lineRule="auto"/>
        <w:ind w:hanging="604"/>
        <w:rPr>
          <w:rFonts w:cs="Times New Roman"/>
          <w:spacing w:val="6"/>
          <w:sz w:val="21"/>
          <w:szCs w:val="21"/>
        </w:rPr>
      </w:pPr>
      <w:r>
        <w:rPr>
          <w:rFonts w:hint="eastAsia"/>
          <w:spacing w:val="6"/>
          <w:sz w:val="21"/>
          <w:szCs w:val="21"/>
        </w:rPr>
        <w:t>信誉要求：见投标人须知前附表；</w:t>
      </w:r>
    </w:p>
    <w:p>
      <w:pPr>
        <w:pStyle w:val="49"/>
        <w:numPr>
          <w:ilvl w:val="0"/>
          <w:numId w:val="4"/>
        </w:numPr>
        <w:tabs>
          <w:tab w:val="left" w:pos="1472"/>
        </w:tabs>
        <w:spacing w:before="90" w:line="360" w:lineRule="auto"/>
        <w:ind w:hanging="604"/>
        <w:rPr>
          <w:rFonts w:cs="Times New Roman"/>
          <w:spacing w:val="6"/>
          <w:sz w:val="21"/>
          <w:szCs w:val="21"/>
        </w:rPr>
      </w:pPr>
      <w:r>
        <w:rPr>
          <w:rFonts w:hint="eastAsia"/>
          <w:spacing w:val="6"/>
          <w:sz w:val="21"/>
          <w:szCs w:val="21"/>
        </w:rPr>
        <w:t>项目经理和项目总工资格：见投标人须知前附表；</w:t>
      </w:r>
    </w:p>
    <w:p>
      <w:pPr>
        <w:pStyle w:val="49"/>
        <w:numPr>
          <w:ilvl w:val="0"/>
          <w:numId w:val="4"/>
        </w:numPr>
        <w:tabs>
          <w:tab w:val="left" w:pos="1472"/>
        </w:tabs>
        <w:spacing w:before="95" w:line="360" w:lineRule="auto"/>
        <w:ind w:hanging="604"/>
        <w:rPr>
          <w:rFonts w:cs="Times New Roman"/>
          <w:spacing w:val="6"/>
          <w:sz w:val="21"/>
          <w:szCs w:val="21"/>
        </w:rPr>
      </w:pPr>
      <w:r>
        <w:rPr>
          <w:rFonts w:hint="eastAsia"/>
          <w:spacing w:val="6"/>
          <w:sz w:val="21"/>
          <w:szCs w:val="21"/>
        </w:rPr>
        <w:t>其他要求：见投标人须知前附表。</w:t>
      </w:r>
    </w:p>
    <w:p>
      <w:pPr>
        <w:pStyle w:val="12"/>
        <w:spacing w:before="93" w:line="360" w:lineRule="auto"/>
        <w:ind w:left="924" w:right="4135" w:firstLine="64"/>
        <w:rPr>
          <w:rFonts w:cs="Times New Roman"/>
          <w:spacing w:val="6"/>
        </w:rPr>
      </w:pPr>
      <w:r>
        <w:rPr>
          <w:rFonts w:hint="eastAsia"/>
          <w:spacing w:val="6"/>
        </w:rPr>
        <w:t>需要提交的相关证明材料见本章第</w:t>
      </w:r>
      <w:r>
        <w:rPr>
          <w:spacing w:val="6"/>
        </w:rPr>
        <w:t xml:space="preserve"> 3.5 </w:t>
      </w:r>
      <w:r>
        <w:rPr>
          <w:rFonts w:hint="eastAsia"/>
          <w:spacing w:val="6"/>
        </w:rPr>
        <w:t>款的规定。</w:t>
      </w:r>
      <w:r>
        <w:rPr>
          <w:spacing w:val="6"/>
        </w:rPr>
        <w:t>1.4.2</w:t>
      </w:r>
      <w:r>
        <w:rPr>
          <w:rFonts w:hint="eastAsia"/>
          <w:spacing w:val="6"/>
        </w:rPr>
        <w:t>本项目不接受联合体投标。</w:t>
      </w:r>
    </w:p>
    <w:p>
      <w:pPr>
        <w:pStyle w:val="49"/>
        <w:numPr>
          <w:ilvl w:val="2"/>
          <w:numId w:val="5"/>
        </w:numPr>
        <w:tabs>
          <w:tab w:val="left" w:pos="1049"/>
        </w:tabs>
        <w:spacing w:line="360" w:lineRule="auto"/>
        <w:ind w:hanging="541"/>
        <w:rPr>
          <w:rFonts w:cs="Times New Roman"/>
          <w:sz w:val="21"/>
          <w:szCs w:val="21"/>
        </w:rPr>
      </w:pPr>
      <w:r>
        <w:rPr>
          <w:rFonts w:hint="eastAsia"/>
          <w:spacing w:val="6"/>
          <w:sz w:val="21"/>
          <w:szCs w:val="21"/>
        </w:rPr>
        <w:t>投标人不得与本标段相关单位存在下列关联关系：</w:t>
      </w:r>
    </w:p>
    <w:p>
      <w:pPr>
        <w:pStyle w:val="49"/>
        <w:numPr>
          <w:ilvl w:val="0"/>
          <w:numId w:val="6"/>
        </w:numPr>
        <w:tabs>
          <w:tab w:val="left" w:pos="1034"/>
        </w:tabs>
        <w:spacing w:before="158" w:line="360" w:lineRule="auto"/>
        <w:ind w:hanging="526"/>
        <w:rPr>
          <w:rFonts w:cs="Times New Roman"/>
          <w:sz w:val="21"/>
          <w:szCs w:val="21"/>
        </w:rPr>
      </w:pPr>
      <w:r>
        <w:rPr>
          <w:rFonts w:hint="eastAsia"/>
          <w:sz w:val="21"/>
          <w:szCs w:val="21"/>
        </w:rPr>
        <w:t>为招标人不具有独立法人资格的附属机构（单位）；</w:t>
      </w:r>
    </w:p>
    <w:p>
      <w:pPr>
        <w:pStyle w:val="49"/>
        <w:numPr>
          <w:ilvl w:val="0"/>
          <w:numId w:val="6"/>
        </w:numPr>
        <w:tabs>
          <w:tab w:val="left" w:pos="1034"/>
        </w:tabs>
        <w:spacing w:before="160" w:line="360" w:lineRule="auto"/>
        <w:ind w:hanging="526"/>
        <w:rPr>
          <w:rFonts w:cs="Times New Roman"/>
          <w:sz w:val="21"/>
          <w:szCs w:val="21"/>
        </w:rPr>
      </w:pPr>
      <w:r>
        <w:rPr>
          <w:rFonts w:hint="eastAsia"/>
          <w:sz w:val="21"/>
          <w:szCs w:val="21"/>
        </w:rPr>
        <w:t>与招标人存在利害关系且可能影响招标公正性；</w:t>
      </w:r>
    </w:p>
    <w:p>
      <w:pPr>
        <w:pStyle w:val="49"/>
        <w:numPr>
          <w:ilvl w:val="0"/>
          <w:numId w:val="6"/>
        </w:numPr>
        <w:tabs>
          <w:tab w:val="left" w:pos="1034"/>
        </w:tabs>
        <w:spacing w:before="159" w:line="360" w:lineRule="auto"/>
        <w:ind w:hanging="526"/>
        <w:rPr>
          <w:rFonts w:cs="Times New Roman"/>
          <w:sz w:val="21"/>
          <w:szCs w:val="21"/>
        </w:rPr>
      </w:pPr>
      <w:r>
        <w:rPr>
          <w:rFonts w:hint="eastAsia"/>
          <w:sz w:val="21"/>
          <w:szCs w:val="21"/>
        </w:rPr>
        <w:t>与本标段的其他投标人同为一个单位负责人</w:t>
      </w:r>
      <w:r>
        <w:rPr>
          <w:rFonts w:hint="eastAsia"/>
          <w:w w:val="95"/>
          <w:sz w:val="21"/>
          <w:szCs w:val="21"/>
        </w:rPr>
        <w:t>；</w:t>
      </w:r>
    </w:p>
    <w:p>
      <w:pPr>
        <w:pStyle w:val="49"/>
        <w:numPr>
          <w:ilvl w:val="0"/>
          <w:numId w:val="6"/>
        </w:numPr>
        <w:tabs>
          <w:tab w:val="left" w:pos="1034"/>
        </w:tabs>
        <w:spacing w:before="158" w:line="360" w:lineRule="auto"/>
        <w:ind w:hanging="526"/>
        <w:rPr>
          <w:rFonts w:cs="Times New Roman"/>
          <w:sz w:val="21"/>
          <w:szCs w:val="21"/>
        </w:rPr>
      </w:pPr>
      <w:r>
        <w:rPr>
          <w:rFonts w:hint="eastAsia"/>
          <w:sz w:val="21"/>
          <w:szCs w:val="21"/>
        </w:rPr>
        <w:t>与本标段的其他投标人存在控股、管理关系</w:t>
      </w:r>
      <w:r>
        <w:rPr>
          <w:rFonts w:hint="eastAsia"/>
          <w:w w:val="95"/>
          <w:sz w:val="21"/>
          <w:szCs w:val="21"/>
        </w:rPr>
        <w:t>；</w:t>
      </w:r>
    </w:p>
    <w:p>
      <w:pPr>
        <w:pStyle w:val="49"/>
        <w:numPr>
          <w:ilvl w:val="0"/>
          <w:numId w:val="6"/>
        </w:numPr>
        <w:tabs>
          <w:tab w:val="left" w:pos="1034"/>
        </w:tabs>
        <w:spacing w:before="160" w:line="360" w:lineRule="auto"/>
        <w:ind w:hanging="526"/>
        <w:rPr>
          <w:rFonts w:cs="Times New Roman"/>
          <w:sz w:val="21"/>
          <w:szCs w:val="21"/>
        </w:rPr>
      </w:pPr>
      <w:r>
        <w:rPr>
          <w:rFonts w:hint="eastAsia"/>
          <w:sz w:val="21"/>
          <w:szCs w:val="21"/>
        </w:rPr>
        <w:t>为本标段前期准备提供设计或咨询服务的法人或其任何附属机构（单位）；</w:t>
      </w:r>
    </w:p>
    <w:p>
      <w:pPr>
        <w:pStyle w:val="49"/>
        <w:numPr>
          <w:ilvl w:val="0"/>
          <w:numId w:val="6"/>
        </w:numPr>
        <w:tabs>
          <w:tab w:val="left" w:pos="1034"/>
        </w:tabs>
        <w:spacing w:before="158" w:line="360" w:lineRule="auto"/>
        <w:ind w:hanging="526"/>
        <w:rPr>
          <w:rFonts w:cs="Times New Roman"/>
          <w:sz w:val="21"/>
          <w:szCs w:val="21"/>
        </w:rPr>
      </w:pPr>
      <w:r>
        <w:rPr>
          <w:rFonts w:hint="eastAsia"/>
          <w:sz w:val="21"/>
          <w:szCs w:val="21"/>
        </w:rPr>
        <w:t>为本标段的监理人</w:t>
      </w:r>
      <w:r>
        <w:rPr>
          <w:rFonts w:hint="eastAsia"/>
          <w:w w:val="95"/>
          <w:sz w:val="21"/>
          <w:szCs w:val="21"/>
        </w:rPr>
        <w:t>；</w:t>
      </w:r>
    </w:p>
    <w:p>
      <w:pPr>
        <w:pStyle w:val="49"/>
        <w:numPr>
          <w:ilvl w:val="0"/>
          <w:numId w:val="6"/>
        </w:numPr>
        <w:tabs>
          <w:tab w:val="left" w:pos="1034"/>
        </w:tabs>
        <w:spacing w:before="159" w:line="360" w:lineRule="auto"/>
        <w:ind w:hanging="526"/>
        <w:rPr>
          <w:rFonts w:cs="Times New Roman"/>
          <w:sz w:val="21"/>
          <w:szCs w:val="21"/>
        </w:rPr>
      </w:pPr>
      <w:r>
        <w:rPr>
          <w:rFonts w:hint="eastAsia"/>
          <w:sz w:val="21"/>
          <w:szCs w:val="21"/>
        </w:rPr>
        <w:t>为本标段的代建人</w:t>
      </w:r>
      <w:r>
        <w:rPr>
          <w:rFonts w:hint="eastAsia"/>
          <w:w w:val="95"/>
          <w:sz w:val="21"/>
          <w:szCs w:val="21"/>
        </w:rPr>
        <w:t>；</w:t>
      </w:r>
    </w:p>
    <w:p>
      <w:pPr>
        <w:pStyle w:val="49"/>
        <w:numPr>
          <w:ilvl w:val="0"/>
          <w:numId w:val="6"/>
        </w:numPr>
        <w:tabs>
          <w:tab w:val="left" w:pos="1034"/>
        </w:tabs>
        <w:spacing w:before="160" w:line="360" w:lineRule="auto"/>
        <w:ind w:hanging="526"/>
        <w:rPr>
          <w:rFonts w:cs="Times New Roman"/>
          <w:sz w:val="21"/>
          <w:szCs w:val="21"/>
        </w:rPr>
      </w:pPr>
      <w:r>
        <w:rPr>
          <w:rFonts w:hint="eastAsia"/>
          <w:sz w:val="21"/>
          <w:szCs w:val="21"/>
        </w:rPr>
        <w:t>为本标段的招标代理机构；</w:t>
      </w:r>
    </w:p>
    <w:p>
      <w:pPr>
        <w:pStyle w:val="49"/>
        <w:numPr>
          <w:ilvl w:val="0"/>
          <w:numId w:val="6"/>
        </w:numPr>
        <w:tabs>
          <w:tab w:val="left" w:pos="1034"/>
        </w:tabs>
        <w:spacing w:before="158" w:line="360" w:lineRule="auto"/>
        <w:ind w:hanging="526"/>
        <w:rPr>
          <w:rFonts w:cs="Times New Roman"/>
          <w:sz w:val="21"/>
          <w:szCs w:val="21"/>
        </w:rPr>
      </w:pPr>
      <w:r>
        <w:rPr>
          <w:rFonts w:hint="eastAsia"/>
          <w:sz w:val="21"/>
          <w:szCs w:val="21"/>
        </w:rPr>
        <w:t>与本标段的监理人或代建人或招标代理机构同为一个法定代表人；</w:t>
      </w:r>
    </w:p>
    <w:p>
      <w:pPr>
        <w:pStyle w:val="49"/>
        <w:numPr>
          <w:ilvl w:val="0"/>
          <w:numId w:val="6"/>
        </w:numPr>
        <w:tabs>
          <w:tab w:val="left" w:pos="1139"/>
        </w:tabs>
        <w:spacing w:before="158" w:line="360" w:lineRule="auto"/>
        <w:ind w:left="1138" w:hanging="631"/>
        <w:rPr>
          <w:rFonts w:cs="Times New Roman"/>
          <w:sz w:val="21"/>
          <w:szCs w:val="21"/>
        </w:rPr>
      </w:pPr>
      <w:r>
        <w:rPr>
          <w:rFonts w:hint="eastAsia"/>
          <w:sz w:val="21"/>
          <w:szCs w:val="21"/>
        </w:rPr>
        <w:t>与本标段的监理人或代建人或招标代理机构存在控股或参股关系；</w:t>
      </w:r>
    </w:p>
    <w:p>
      <w:pPr>
        <w:pStyle w:val="49"/>
        <w:numPr>
          <w:ilvl w:val="0"/>
          <w:numId w:val="6"/>
        </w:numPr>
        <w:tabs>
          <w:tab w:val="left" w:pos="1139"/>
        </w:tabs>
        <w:spacing w:before="161" w:line="360" w:lineRule="auto"/>
        <w:ind w:left="1138" w:hanging="631"/>
        <w:rPr>
          <w:rFonts w:cs="Times New Roman"/>
          <w:sz w:val="21"/>
          <w:szCs w:val="21"/>
        </w:rPr>
      </w:pPr>
      <w:r>
        <w:rPr>
          <w:rFonts w:hint="eastAsia"/>
          <w:sz w:val="21"/>
          <w:szCs w:val="21"/>
        </w:rPr>
        <w:t>法律法规或投标人须知前附表规定的其他情形</w:t>
      </w:r>
      <w:r>
        <w:rPr>
          <w:rFonts w:hint="eastAsia"/>
          <w:w w:val="95"/>
          <w:sz w:val="21"/>
          <w:szCs w:val="21"/>
        </w:rPr>
        <w:t>。</w:t>
      </w:r>
    </w:p>
    <w:p>
      <w:pPr>
        <w:pStyle w:val="49"/>
        <w:numPr>
          <w:ilvl w:val="2"/>
          <w:numId w:val="5"/>
        </w:numPr>
        <w:tabs>
          <w:tab w:val="left" w:pos="1140"/>
        </w:tabs>
        <w:spacing w:before="158" w:line="360" w:lineRule="auto"/>
        <w:ind w:left="1140" w:hanging="632"/>
        <w:rPr>
          <w:rFonts w:cs="Times New Roman"/>
          <w:sz w:val="21"/>
          <w:szCs w:val="21"/>
        </w:rPr>
      </w:pPr>
      <w:r>
        <w:rPr>
          <w:rFonts w:hint="eastAsia"/>
          <w:sz w:val="21"/>
          <w:szCs w:val="21"/>
        </w:rPr>
        <w:t>投标人不得存在下列不良状况或不良信用记录</w:t>
      </w:r>
      <w:r>
        <w:rPr>
          <w:rFonts w:hint="eastAsia"/>
          <w:w w:val="95"/>
          <w:sz w:val="21"/>
          <w:szCs w:val="21"/>
        </w:rPr>
        <w:t>：</w:t>
      </w:r>
    </w:p>
    <w:p>
      <w:pPr>
        <w:pStyle w:val="49"/>
        <w:numPr>
          <w:ilvl w:val="0"/>
          <w:numId w:val="6"/>
        </w:numPr>
        <w:tabs>
          <w:tab w:val="left" w:pos="1139"/>
        </w:tabs>
        <w:spacing w:before="161" w:line="360" w:lineRule="auto"/>
        <w:ind w:left="1138" w:hanging="631"/>
        <w:rPr>
          <w:rFonts w:cs="Times New Roman"/>
          <w:sz w:val="21"/>
          <w:szCs w:val="21"/>
        </w:rPr>
      </w:pPr>
      <w:r>
        <w:rPr>
          <w:rFonts w:hint="eastAsia"/>
          <w:sz w:val="21"/>
          <w:szCs w:val="21"/>
        </w:rPr>
        <w:t>被省级及以上交通运输主管部门取消招标项目所在地的投标资格且处于有效期内；</w:t>
      </w:r>
    </w:p>
    <w:p>
      <w:pPr>
        <w:pStyle w:val="49"/>
        <w:numPr>
          <w:ilvl w:val="0"/>
          <w:numId w:val="7"/>
        </w:numPr>
        <w:tabs>
          <w:tab w:val="left" w:pos="1034"/>
        </w:tabs>
        <w:spacing w:line="360" w:lineRule="auto"/>
        <w:ind w:left="1033" w:hanging="526"/>
        <w:rPr>
          <w:rFonts w:cs="Times New Roman"/>
          <w:sz w:val="21"/>
          <w:szCs w:val="21"/>
        </w:rPr>
      </w:pPr>
      <w:r>
        <w:rPr>
          <w:rFonts w:hint="eastAsia"/>
          <w:sz w:val="21"/>
          <w:szCs w:val="21"/>
        </w:rPr>
        <w:t>被责令停业，暂扣或吊销执照，或吊销资质证书；</w:t>
      </w:r>
    </w:p>
    <w:p>
      <w:pPr>
        <w:pStyle w:val="49"/>
        <w:numPr>
          <w:ilvl w:val="0"/>
          <w:numId w:val="7"/>
        </w:numPr>
        <w:tabs>
          <w:tab w:val="left" w:pos="1034"/>
        </w:tabs>
        <w:spacing w:before="161" w:line="360" w:lineRule="auto"/>
        <w:ind w:left="1033" w:hanging="526"/>
        <w:rPr>
          <w:rFonts w:cs="Times New Roman"/>
          <w:sz w:val="21"/>
          <w:szCs w:val="21"/>
        </w:rPr>
      </w:pPr>
      <w:r>
        <w:rPr>
          <w:rFonts w:hint="eastAsia"/>
          <w:sz w:val="21"/>
          <w:szCs w:val="21"/>
        </w:rPr>
        <w:t>进入清算程序，或被宣告破产，或其他丧失履约能力的情形；</w:t>
      </w:r>
    </w:p>
    <w:p>
      <w:pPr>
        <w:pStyle w:val="49"/>
        <w:numPr>
          <w:ilvl w:val="0"/>
          <w:numId w:val="7"/>
        </w:numPr>
        <w:tabs>
          <w:tab w:val="left" w:pos="1034"/>
        </w:tabs>
        <w:spacing w:before="158" w:line="360" w:lineRule="auto"/>
        <w:ind w:right="543" w:firstLine="0"/>
        <w:rPr>
          <w:rFonts w:cs="Times New Roman"/>
          <w:sz w:val="21"/>
          <w:szCs w:val="21"/>
        </w:rPr>
      </w:pPr>
      <w:r>
        <w:rPr>
          <w:rFonts w:hint="eastAsia"/>
          <w:sz w:val="21"/>
          <w:szCs w:val="21"/>
        </w:rPr>
        <w:t>在国家企业信用信息公示系统（</w:t>
      </w:r>
      <w:r>
        <w:fldChar w:fldCharType="begin"/>
      </w:r>
      <w:r>
        <w:instrText xml:space="preserve"> HYPERLINK "http://www.gsxt.gov.cn/" \h </w:instrText>
      </w:r>
      <w:r>
        <w:fldChar w:fldCharType="separate"/>
      </w:r>
      <w:r>
        <w:rPr>
          <w:sz w:val="21"/>
          <w:szCs w:val="21"/>
        </w:rPr>
        <w:t>http://www.gsxt.gov.cn/</w:t>
      </w:r>
      <w:r>
        <w:rPr>
          <w:sz w:val="21"/>
          <w:szCs w:val="21"/>
        </w:rPr>
        <w:fldChar w:fldCharType="end"/>
      </w:r>
      <w:r>
        <w:rPr>
          <w:rFonts w:hint="eastAsia"/>
          <w:sz w:val="21"/>
          <w:szCs w:val="21"/>
        </w:rPr>
        <w:t>）中被列入严重违法失信企业名单；</w:t>
      </w:r>
    </w:p>
    <w:p>
      <w:pPr>
        <w:pStyle w:val="49"/>
        <w:numPr>
          <w:ilvl w:val="0"/>
          <w:numId w:val="7"/>
        </w:numPr>
        <w:tabs>
          <w:tab w:val="left" w:pos="1034"/>
        </w:tabs>
        <w:spacing w:before="77" w:line="360" w:lineRule="auto"/>
        <w:ind w:left="1033" w:hanging="526"/>
        <w:rPr>
          <w:rFonts w:cs="Times New Roman"/>
          <w:sz w:val="21"/>
          <w:szCs w:val="21"/>
        </w:rPr>
      </w:pPr>
      <w:r>
        <w:rPr>
          <w:rFonts w:hint="eastAsia"/>
          <w:sz w:val="21"/>
          <w:szCs w:val="21"/>
        </w:rPr>
        <w:t>在“信用中国”网站（</w:t>
      </w:r>
      <w:r>
        <w:fldChar w:fldCharType="begin"/>
      </w:r>
      <w:r>
        <w:instrText xml:space="preserve"> HYPERLINK "http://www.creditchina.gov.cn/" \h </w:instrText>
      </w:r>
      <w:r>
        <w:fldChar w:fldCharType="separate"/>
      </w:r>
      <w:r>
        <w:rPr>
          <w:sz w:val="21"/>
          <w:szCs w:val="21"/>
        </w:rPr>
        <w:t>http://www.creditchina.gov.cn/</w:t>
      </w:r>
      <w:r>
        <w:rPr>
          <w:sz w:val="21"/>
          <w:szCs w:val="21"/>
        </w:rPr>
        <w:fldChar w:fldCharType="end"/>
      </w:r>
      <w:r>
        <w:rPr>
          <w:rFonts w:hint="eastAsia"/>
          <w:sz w:val="21"/>
          <w:szCs w:val="21"/>
        </w:rPr>
        <w:t>）中被列入失信被执行人名单；</w:t>
      </w:r>
    </w:p>
    <w:p>
      <w:pPr>
        <w:pStyle w:val="49"/>
        <w:numPr>
          <w:ilvl w:val="0"/>
          <w:numId w:val="7"/>
        </w:numPr>
        <w:tabs>
          <w:tab w:val="left" w:pos="1034"/>
        </w:tabs>
        <w:spacing w:before="158" w:line="360" w:lineRule="auto"/>
        <w:ind w:left="1033" w:hanging="526"/>
        <w:rPr>
          <w:rFonts w:cs="Times New Roman"/>
          <w:sz w:val="21"/>
          <w:szCs w:val="21"/>
        </w:rPr>
      </w:pPr>
      <w:r>
        <w:rPr>
          <w:rFonts w:hint="eastAsia"/>
          <w:sz w:val="21"/>
          <w:szCs w:val="21"/>
        </w:rPr>
        <w:t>法律法规或投标人须知前附表规定的其他情形。</w:t>
      </w:r>
    </w:p>
    <w:p>
      <w:pPr>
        <w:pStyle w:val="10"/>
        <w:tabs>
          <w:tab w:val="left" w:pos="870"/>
        </w:tabs>
        <w:spacing w:before="155" w:line="360" w:lineRule="auto"/>
        <w:jc w:val="both"/>
        <w:rPr>
          <w:rFonts w:cs="Times New Roman"/>
          <w:b/>
          <w:bCs/>
          <w:sz w:val="21"/>
          <w:szCs w:val="21"/>
        </w:rPr>
      </w:pPr>
      <w:r>
        <w:rPr>
          <w:b/>
          <w:bCs/>
          <w:sz w:val="21"/>
          <w:szCs w:val="21"/>
          <w:lang w:val="en-US"/>
        </w:rPr>
        <w:t xml:space="preserve">1.4.5 </w:t>
      </w:r>
      <w:r>
        <w:rPr>
          <w:rFonts w:hint="eastAsia"/>
          <w:b/>
          <w:bCs/>
          <w:sz w:val="21"/>
          <w:szCs w:val="21"/>
        </w:rPr>
        <w:t>费用承担</w:t>
      </w:r>
    </w:p>
    <w:p>
      <w:pPr>
        <w:pStyle w:val="12"/>
        <w:spacing w:before="59" w:line="360" w:lineRule="auto"/>
        <w:ind w:left="928"/>
        <w:rPr>
          <w:rFonts w:cs="Times New Roman"/>
        </w:rPr>
      </w:pPr>
      <w:r>
        <w:rPr>
          <w:rFonts w:hint="eastAsia"/>
        </w:rPr>
        <w:t>投标人准备和参加投标活动发生的费用自理。</w:t>
      </w:r>
    </w:p>
    <w:p>
      <w:pPr>
        <w:pStyle w:val="10"/>
        <w:numPr>
          <w:ilvl w:val="1"/>
          <w:numId w:val="3"/>
        </w:numPr>
        <w:tabs>
          <w:tab w:val="left" w:pos="870"/>
        </w:tabs>
        <w:spacing w:before="4" w:line="360" w:lineRule="auto"/>
        <w:ind w:left="869" w:hanging="362"/>
        <w:rPr>
          <w:rFonts w:cs="Times New Roman"/>
          <w:b/>
          <w:bCs/>
          <w:sz w:val="22"/>
          <w:szCs w:val="22"/>
        </w:rPr>
      </w:pPr>
      <w:r>
        <w:rPr>
          <w:b/>
          <w:bCs/>
          <w:lang w:val="en-US"/>
        </w:rPr>
        <w:t xml:space="preserve"> </w:t>
      </w:r>
      <w:r>
        <w:rPr>
          <w:rFonts w:hint="eastAsia"/>
          <w:b/>
          <w:bCs/>
        </w:rPr>
        <w:t>保密</w:t>
      </w:r>
    </w:p>
    <w:p>
      <w:pPr>
        <w:pStyle w:val="12"/>
        <w:spacing w:before="59" w:line="360" w:lineRule="auto"/>
        <w:ind w:left="928"/>
        <w:rPr>
          <w:rFonts w:cs="Times New Roman"/>
        </w:rPr>
      </w:pPr>
      <w:r>
        <w:rPr>
          <w:rFonts w:hint="eastAsia"/>
        </w:rPr>
        <w:t>参与招标投标活动的各方应对招标文件和投标文件中的商业和技术等秘密保密，否则应承担相应的法律责任。</w:t>
      </w:r>
    </w:p>
    <w:p>
      <w:pPr>
        <w:pStyle w:val="10"/>
        <w:tabs>
          <w:tab w:val="left" w:pos="870"/>
        </w:tabs>
        <w:spacing w:before="148" w:line="360" w:lineRule="auto"/>
        <w:ind w:right="480"/>
        <w:rPr>
          <w:rFonts w:cs="Times New Roman"/>
          <w:sz w:val="22"/>
          <w:szCs w:val="22"/>
        </w:rPr>
      </w:pPr>
      <w:r>
        <w:t>1.6</w:t>
      </w:r>
      <w:r>
        <w:rPr>
          <w:rFonts w:hint="eastAsia"/>
        </w:rPr>
        <w:t>语言文字</w:t>
      </w:r>
    </w:p>
    <w:p>
      <w:pPr>
        <w:pStyle w:val="12"/>
        <w:spacing w:before="5" w:line="360" w:lineRule="auto"/>
        <w:ind w:left="988"/>
        <w:rPr>
          <w:rFonts w:cs="Times New Roman"/>
        </w:rPr>
      </w:pPr>
      <w:r>
        <w:rPr>
          <w:rFonts w:hint="eastAsia"/>
        </w:rPr>
        <w:t>招标投标文件使用的语言文字为中文。专用术语使用外文的，应附有中文注释。</w:t>
      </w:r>
    </w:p>
    <w:p>
      <w:pPr>
        <w:pStyle w:val="10"/>
        <w:tabs>
          <w:tab w:val="left" w:pos="870"/>
        </w:tabs>
        <w:spacing w:before="155" w:line="360" w:lineRule="auto"/>
        <w:ind w:left="0" w:right="600" w:firstLine="600" w:firstLineChars="250"/>
        <w:rPr>
          <w:rFonts w:cs="Times New Roman"/>
          <w:sz w:val="22"/>
          <w:szCs w:val="22"/>
        </w:rPr>
      </w:pPr>
      <w:r>
        <w:t>1.7</w:t>
      </w:r>
      <w:r>
        <w:rPr>
          <w:rFonts w:hint="eastAsia"/>
        </w:rPr>
        <w:t>计量单位</w:t>
      </w:r>
    </w:p>
    <w:p>
      <w:pPr>
        <w:pStyle w:val="12"/>
        <w:spacing w:before="154" w:line="360" w:lineRule="auto"/>
        <w:ind w:left="928"/>
        <w:rPr>
          <w:rFonts w:cs="Times New Roman"/>
        </w:rPr>
      </w:pPr>
      <w:r>
        <w:rPr>
          <w:rFonts w:hint="eastAsia"/>
        </w:rPr>
        <w:t>所有计量均采用中华人民共和国法定计量单位。</w:t>
      </w:r>
    </w:p>
    <w:p>
      <w:pPr>
        <w:pStyle w:val="12"/>
        <w:spacing w:before="154" w:line="360" w:lineRule="auto"/>
        <w:ind w:firstLine="527" w:firstLineChars="250"/>
        <w:rPr>
          <w:rFonts w:cs="Times New Roman"/>
        </w:rPr>
      </w:pPr>
      <w:r>
        <w:rPr>
          <w:b/>
          <w:bCs/>
        </w:rPr>
        <w:t>1.8</w:t>
      </w:r>
      <w:r>
        <w:rPr>
          <w:b/>
          <w:bCs/>
          <w:lang w:val="en-US"/>
        </w:rPr>
        <w:t xml:space="preserve"> </w:t>
      </w:r>
      <w:r>
        <w:rPr>
          <w:rFonts w:hint="eastAsia"/>
          <w:b/>
          <w:bCs/>
        </w:rPr>
        <w:t>踏勘现场</w:t>
      </w:r>
    </w:p>
    <w:p>
      <w:pPr>
        <w:spacing w:line="360" w:lineRule="auto"/>
        <w:ind w:left="1045" w:leftChars="475"/>
        <w:rPr>
          <w:rFonts w:cs="Times New Roman"/>
          <w:sz w:val="19"/>
          <w:szCs w:val="19"/>
        </w:rPr>
      </w:pPr>
      <w:r>
        <w:rPr>
          <w:sz w:val="21"/>
          <w:szCs w:val="21"/>
        </w:rPr>
        <w:t>1.8.1</w:t>
      </w:r>
      <w:r>
        <w:rPr>
          <w:sz w:val="21"/>
          <w:szCs w:val="21"/>
          <w:lang w:val="en-US"/>
        </w:rPr>
        <w:t xml:space="preserve"> </w:t>
      </w:r>
      <w:r>
        <w:rPr>
          <w:rFonts w:hint="eastAsia"/>
          <w:sz w:val="21"/>
          <w:szCs w:val="21"/>
        </w:rPr>
        <w:t>投标人须知前附表规定组织踏勘现场的，招标人按投标人须知前附表规定的时间、地点组织投标人踏勘项目现场。</w:t>
      </w:r>
    </w:p>
    <w:p>
      <w:pPr>
        <w:pStyle w:val="49"/>
        <w:tabs>
          <w:tab w:val="left" w:pos="1548"/>
        </w:tabs>
        <w:spacing w:before="3" w:line="360" w:lineRule="auto"/>
        <w:ind w:left="988" w:right="526" w:firstLine="0"/>
        <w:rPr>
          <w:rFonts w:cs="Times New Roman"/>
          <w:sz w:val="21"/>
          <w:szCs w:val="21"/>
        </w:rPr>
      </w:pPr>
      <w:r>
        <w:rPr>
          <w:sz w:val="21"/>
          <w:szCs w:val="21"/>
        </w:rPr>
        <w:t>1.8.2</w:t>
      </w:r>
      <w:r>
        <w:rPr>
          <w:sz w:val="21"/>
          <w:szCs w:val="21"/>
          <w:lang w:val="en-US"/>
        </w:rPr>
        <w:t xml:space="preserve"> </w:t>
      </w:r>
      <w:r>
        <w:rPr>
          <w:rFonts w:hint="eastAsia"/>
          <w:sz w:val="21"/>
          <w:szCs w:val="21"/>
        </w:rPr>
        <w:t>除招标人的原因外，投标人自行负责在踏勘现场中所发生的人员伤亡和财产损失，踏勘现场发生的费用自理。</w:t>
      </w:r>
    </w:p>
    <w:p>
      <w:pPr>
        <w:pStyle w:val="49"/>
        <w:tabs>
          <w:tab w:val="left" w:pos="1548"/>
        </w:tabs>
        <w:spacing w:before="3" w:line="360" w:lineRule="auto"/>
        <w:ind w:left="988" w:right="526" w:firstLine="0"/>
        <w:rPr>
          <w:rFonts w:cs="Times New Roman"/>
          <w:sz w:val="21"/>
          <w:szCs w:val="21"/>
        </w:rPr>
      </w:pPr>
      <w:r>
        <w:rPr>
          <w:sz w:val="21"/>
          <w:szCs w:val="21"/>
        </w:rPr>
        <w:t>1.8.3</w:t>
      </w:r>
      <w:r>
        <w:rPr>
          <w:sz w:val="21"/>
          <w:szCs w:val="21"/>
          <w:lang w:val="en-US"/>
        </w:rPr>
        <w:t xml:space="preserve"> </w:t>
      </w:r>
      <w:r>
        <w:rPr>
          <w:rFonts w:hint="eastAsia"/>
          <w:sz w:val="21"/>
          <w:szCs w:val="21"/>
        </w:rPr>
        <w:t>招标人在踏勘现场中介绍的工程场地和相关的周边环境情况，供投标人在编制投标文件时参考，招标人不对投标人据此作出的判断和决策负责。</w:t>
      </w:r>
    </w:p>
    <w:p>
      <w:pPr>
        <w:pStyle w:val="49"/>
        <w:tabs>
          <w:tab w:val="left" w:pos="1568"/>
        </w:tabs>
        <w:spacing w:before="99" w:line="360" w:lineRule="auto"/>
        <w:ind w:left="988" w:right="472" w:firstLine="0"/>
        <w:rPr>
          <w:rFonts w:cs="Times New Roman"/>
          <w:sz w:val="21"/>
          <w:szCs w:val="21"/>
        </w:rPr>
      </w:pPr>
      <w:r>
        <w:rPr>
          <w:sz w:val="21"/>
          <w:szCs w:val="21"/>
        </w:rPr>
        <w:t>1.8.4</w:t>
      </w:r>
      <w:r>
        <w:rPr>
          <w:sz w:val="21"/>
          <w:szCs w:val="21"/>
          <w:lang w:val="en-US"/>
        </w:rPr>
        <w:t xml:space="preserve"> </w:t>
      </w:r>
      <w:r>
        <w:rPr>
          <w:rFonts w:hint="eastAsia"/>
          <w:sz w:val="21"/>
          <w:szCs w:val="21"/>
        </w:rPr>
        <w:t>招标人提供的本合同工程的水文、地质、气象和料场分布、取土场、弃土场位置等参考资料，</w:t>
      </w:r>
      <w:r>
        <w:rPr>
          <w:sz w:val="21"/>
          <w:szCs w:val="21"/>
        </w:rPr>
        <w:t xml:space="preserve"> </w:t>
      </w:r>
      <w:r>
        <w:rPr>
          <w:rFonts w:hint="eastAsia"/>
          <w:sz w:val="21"/>
          <w:szCs w:val="21"/>
        </w:rPr>
        <w:t>并不构成合同文件的组成部分，投标人应对自己就上述资料的解释、推论和应用负责，招标人不对投标人据此作出的判断和决策承担任何责任。</w:t>
      </w:r>
    </w:p>
    <w:p>
      <w:pPr>
        <w:pStyle w:val="10"/>
        <w:tabs>
          <w:tab w:val="left" w:pos="990"/>
        </w:tabs>
        <w:spacing w:before="148" w:line="360" w:lineRule="auto"/>
        <w:ind w:left="989"/>
        <w:rPr>
          <w:rFonts w:cs="Times New Roman"/>
          <w:sz w:val="22"/>
          <w:szCs w:val="22"/>
        </w:rPr>
      </w:pPr>
      <w:r>
        <w:t>1.8.5</w:t>
      </w:r>
      <w:r>
        <w:rPr>
          <w:lang w:val="en-US"/>
        </w:rPr>
        <w:t xml:space="preserve"> </w:t>
      </w:r>
      <w:r>
        <w:rPr>
          <w:rFonts w:hint="eastAsia"/>
        </w:rPr>
        <w:t>投标预备会</w:t>
      </w:r>
    </w:p>
    <w:p>
      <w:pPr>
        <w:pStyle w:val="12"/>
        <w:spacing w:before="154" w:line="360" w:lineRule="auto"/>
        <w:ind w:left="928"/>
        <w:rPr>
          <w:rFonts w:cs="Times New Roman"/>
        </w:rPr>
      </w:pPr>
      <w:r>
        <w:t>1.8.7</w:t>
      </w:r>
      <w:r>
        <w:rPr>
          <w:lang w:val="en-US"/>
        </w:rPr>
        <w:t xml:space="preserve"> </w:t>
      </w:r>
      <w:r>
        <w:rPr>
          <w:rFonts w:hint="eastAsia"/>
        </w:rPr>
        <w:t>投标预备会本项目不召开投标预备会。</w:t>
      </w:r>
    </w:p>
    <w:p>
      <w:pPr>
        <w:pStyle w:val="10"/>
        <w:tabs>
          <w:tab w:val="left" w:pos="1109"/>
        </w:tabs>
        <w:spacing w:before="157" w:line="360" w:lineRule="auto"/>
        <w:ind w:left="563" w:leftChars="256" w:firstLine="315" w:firstLineChars="150"/>
        <w:rPr>
          <w:rFonts w:cs="Times New Roman"/>
          <w:sz w:val="21"/>
          <w:szCs w:val="21"/>
        </w:rPr>
      </w:pPr>
      <w:r>
        <w:rPr>
          <w:sz w:val="21"/>
          <w:szCs w:val="21"/>
        </w:rPr>
        <w:t>1.8.8</w:t>
      </w:r>
      <w:r>
        <w:rPr>
          <w:sz w:val="21"/>
          <w:szCs w:val="21"/>
          <w:lang w:val="en-US"/>
        </w:rPr>
        <w:t xml:space="preserve"> </w:t>
      </w:r>
      <w:r>
        <w:rPr>
          <w:rFonts w:hint="eastAsia"/>
          <w:sz w:val="21"/>
          <w:szCs w:val="21"/>
        </w:rPr>
        <w:t>分包本项目不允许分包。</w:t>
      </w:r>
    </w:p>
    <w:p>
      <w:pPr>
        <w:pStyle w:val="10"/>
        <w:tabs>
          <w:tab w:val="left" w:pos="990"/>
        </w:tabs>
        <w:spacing w:before="154" w:line="360" w:lineRule="auto"/>
        <w:ind w:left="989"/>
        <w:rPr>
          <w:rFonts w:cs="Times New Roman"/>
          <w:sz w:val="21"/>
          <w:szCs w:val="21"/>
        </w:rPr>
      </w:pPr>
      <w:r>
        <w:rPr>
          <w:sz w:val="21"/>
          <w:szCs w:val="21"/>
        </w:rPr>
        <w:t>1.8.9</w:t>
      </w:r>
      <w:r>
        <w:rPr>
          <w:rFonts w:hint="eastAsia"/>
          <w:sz w:val="21"/>
          <w:szCs w:val="21"/>
        </w:rPr>
        <w:t>响应和偏差</w:t>
      </w:r>
    </w:p>
    <w:p>
      <w:pPr>
        <w:pStyle w:val="49"/>
        <w:tabs>
          <w:tab w:val="left" w:pos="1568"/>
        </w:tabs>
        <w:spacing w:before="99" w:line="360" w:lineRule="auto"/>
        <w:ind w:left="988" w:right="472" w:firstLine="0"/>
        <w:rPr>
          <w:rFonts w:cs="Times New Roman"/>
          <w:sz w:val="21"/>
          <w:szCs w:val="21"/>
        </w:rPr>
      </w:pPr>
      <w:r>
        <w:rPr>
          <w:rFonts w:hint="eastAsia"/>
          <w:sz w:val="21"/>
          <w:szCs w:val="21"/>
        </w:rPr>
        <w:t>投标文件偏离招标文件某些要求，视为投标文件存在偏差。偏差包括重大偏差和细微偏差。</w:t>
      </w:r>
    </w:p>
    <w:p>
      <w:pPr>
        <w:pStyle w:val="49"/>
        <w:tabs>
          <w:tab w:val="left" w:pos="1568"/>
        </w:tabs>
        <w:spacing w:before="99" w:line="360" w:lineRule="auto"/>
        <w:ind w:left="988" w:right="472" w:firstLine="0"/>
        <w:rPr>
          <w:rFonts w:cs="Times New Roman"/>
          <w:sz w:val="21"/>
          <w:szCs w:val="21"/>
        </w:rPr>
      </w:pPr>
      <w:r>
        <w:rPr>
          <w:sz w:val="21"/>
          <w:szCs w:val="21"/>
        </w:rPr>
        <w:t>1.9.1</w:t>
      </w:r>
      <w:r>
        <w:rPr>
          <w:rFonts w:hint="eastAsia"/>
          <w:sz w:val="21"/>
          <w:szCs w:val="21"/>
        </w:rPr>
        <w:t>投标文件应对招标文件的实质性要求和条件作出满足性或更有利于招标人的响应，否则，视为投标文件存在重大偏差，投标人的投标将被否决。</w:t>
      </w:r>
    </w:p>
    <w:p>
      <w:pPr>
        <w:pStyle w:val="12"/>
        <w:spacing w:before="152" w:line="360" w:lineRule="auto"/>
        <w:ind w:left="820" w:right="1121"/>
        <w:rPr>
          <w:rFonts w:cs="Times New Roman"/>
        </w:rPr>
      </w:pPr>
      <w:r>
        <w:rPr>
          <w:rFonts w:hint="eastAsia"/>
        </w:rPr>
        <w:t>投标文件存在第三章“评标办法”中所列任一否决投标情形的，均属于存在重大偏差。</w:t>
      </w:r>
      <w:r>
        <w:t>1.9.2</w:t>
      </w:r>
      <w:r>
        <w:rPr>
          <w:rFonts w:hint="eastAsia"/>
        </w:rPr>
        <w:t>投标文件中的下列偏差为细微偏差：</w:t>
      </w:r>
    </w:p>
    <w:p>
      <w:pPr>
        <w:pStyle w:val="49"/>
        <w:numPr>
          <w:ilvl w:val="0"/>
          <w:numId w:val="8"/>
        </w:numPr>
        <w:tabs>
          <w:tab w:val="left" w:pos="1343"/>
        </w:tabs>
        <w:spacing w:before="3" w:line="360" w:lineRule="auto"/>
        <w:ind w:right="219" w:firstLine="312"/>
        <w:jc w:val="both"/>
        <w:rPr>
          <w:rFonts w:cs="Times New Roman"/>
          <w:sz w:val="21"/>
          <w:szCs w:val="21"/>
        </w:rPr>
      </w:pPr>
      <w:r>
        <w:rPr>
          <w:rFonts w:hint="eastAsia"/>
          <w:sz w:val="21"/>
          <w:szCs w:val="21"/>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49"/>
        <w:numPr>
          <w:ilvl w:val="0"/>
          <w:numId w:val="8"/>
        </w:numPr>
        <w:tabs>
          <w:tab w:val="left" w:pos="1400"/>
        </w:tabs>
        <w:spacing w:before="152" w:line="360" w:lineRule="auto"/>
        <w:ind w:left="1399" w:hanging="580"/>
        <w:rPr>
          <w:rFonts w:cs="Times New Roman"/>
          <w:sz w:val="21"/>
          <w:szCs w:val="21"/>
        </w:rPr>
      </w:pPr>
      <w:r>
        <w:rPr>
          <w:rFonts w:hint="eastAsia"/>
          <w:spacing w:val="-3"/>
          <w:sz w:val="21"/>
          <w:szCs w:val="21"/>
        </w:rPr>
        <w:t>施工组织设计</w:t>
      </w:r>
      <w:r>
        <w:rPr>
          <w:rFonts w:hint="eastAsia"/>
          <w:sz w:val="21"/>
          <w:szCs w:val="21"/>
        </w:rPr>
        <w:t>（</w:t>
      </w:r>
      <w:r>
        <w:rPr>
          <w:rFonts w:hint="eastAsia"/>
          <w:spacing w:val="-3"/>
          <w:sz w:val="21"/>
          <w:szCs w:val="21"/>
        </w:rPr>
        <w:t>含关键工程技术方案）和项目管理机构不够完善；</w:t>
      </w:r>
    </w:p>
    <w:p>
      <w:pPr>
        <w:pStyle w:val="49"/>
        <w:numPr>
          <w:ilvl w:val="0"/>
          <w:numId w:val="8"/>
        </w:numPr>
        <w:tabs>
          <w:tab w:val="left" w:pos="1343"/>
        </w:tabs>
        <w:spacing w:before="3" w:line="360" w:lineRule="auto"/>
        <w:ind w:right="219" w:firstLine="312"/>
        <w:jc w:val="both"/>
        <w:rPr>
          <w:rFonts w:cs="Times New Roman"/>
          <w:sz w:val="21"/>
          <w:szCs w:val="21"/>
        </w:rPr>
      </w:pPr>
      <w:r>
        <w:rPr>
          <w:rFonts w:hint="eastAsia"/>
          <w:sz w:val="21"/>
          <w:szCs w:val="21"/>
        </w:rPr>
        <w:t>投标文件页码不连续、采用活页夹装订、个别文字有遗漏错误等不影响投标文件实质性内容的偏差。</w:t>
      </w:r>
    </w:p>
    <w:p>
      <w:pPr>
        <w:pStyle w:val="12"/>
        <w:spacing w:before="147" w:line="360" w:lineRule="auto"/>
        <w:ind w:left="820"/>
        <w:rPr>
          <w:rFonts w:cs="Times New Roman"/>
        </w:rPr>
      </w:pPr>
      <w:r>
        <w:t>1.9.3</w:t>
      </w:r>
      <w:r>
        <w:rPr>
          <w:rFonts w:hint="eastAsia"/>
        </w:rPr>
        <w:t>评标委员会对投标文件中的细微偏差按如下规定处理：</w:t>
      </w:r>
    </w:p>
    <w:p>
      <w:pPr>
        <w:pStyle w:val="49"/>
        <w:numPr>
          <w:ilvl w:val="0"/>
          <w:numId w:val="9"/>
        </w:numPr>
        <w:tabs>
          <w:tab w:val="left" w:pos="1400"/>
        </w:tabs>
        <w:spacing w:before="153" w:line="360" w:lineRule="auto"/>
        <w:ind w:hanging="580"/>
        <w:rPr>
          <w:rFonts w:cs="Times New Roman"/>
        </w:rPr>
      </w:pPr>
      <w:r>
        <w:rPr>
          <w:rFonts w:hint="eastAsia"/>
          <w:spacing w:val="-6"/>
          <w:sz w:val="21"/>
          <w:szCs w:val="21"/>
        </w:rPr>
        <w:t>对于本章第</w:t>
      </w:r>
      <w:r>
        <w:rPr>
          <w:spacing w:val="-6"/>
          <w:sz w:val="21"/>
          <w:szCs w:val="21"/>
        </w:rPr>
        <w:t xml:space="preserve"> </w:t>
      </w:r>
      <w:r>
        <w:rPr>
          <w:sz w:val="21"/>
          <w:szCs w:val="21"/>
        </w:rPr>
        <w:t>1.12.3</w:t>
      </w:r>
      <w:r>
        <w:rPr>
          <w:rFonts w:hint="eastAsia"/>
          <w:spacing w:val="-20"/>
          <w:sz w:val="21"/>
          <w:szCs w:val="21"/>
        </w:rPr>
        <w:t>项</w:t>
      </w:r>
      <w:r>
        <w:rPr>
          <w:rFonts w:hint="eastAsia"/>
          <w:spacing w:val="-8"/>
          <w:sz w:val="21"/>
          <w:szCs w:val="21"/>
        </w:rPr>
        <w:t>（</w:t>
      </w:r>
      <w:r>
        <w:rPr>
          <w:spacing w:val="-8"/>
          <w:sz w:val="21"/>
          <w:szCs w:val="21"/>
        </w:rPr>
        <w:t>1</w:t>
      </w:r>
      <w:r>
        <w:rPr>
          <w:rFonts w:hint="eastAsia"/>
          <w:spacing w:val="-8"/>
          <w:sz w:val="21"/>
          <w:szCs w:val="21"/>
        </w:rPr>
        <w:t>）</w:t>
      </w:r>
      <w:r>
        <w:rPr>
          <w:rFonts w:hint="eastAsia"/>
          <w:spacing w:val="-7"/>
          <w:sz w:val="21"/>
          <w:szCs w:val="21"/>
        </w:rPr>
        <w:t>目所述的细微偏差，按照第三章“评标办法”的规定予以修正并</w:t>
      </w:r>
      <w:r>
        <w:rPr>
          <w:rFonts w:hint="eastAsia"/>
        </w:rPr>
        <w:t>要求投标人进行澄清；</w:t>
      </w:r>
    </w:p>
    <w:p>
      <w:pPr>
        <w:pStyle w:val="49"/>
        <w:numPr>
          <w:ilvl w:val="0"/>
          <w:numId w:val="9"/>
        </w:numPr>
        <w:tabs>
          <w:tab w:val="left" w:pos="1400"/>
        </w:tabs>
        <w:spacing w:before="154" w:line="360" w:lineRule="auto"/>
        <w:ind w:left="508" w:right="216" w:firstLine="312"/>
        <w:rPr>
          <w:rFonts w:cs="Times New Roman"/>
          <w:sz w:val="21"/>
          <w:szCs w:val="21"/>
        </w:rPr>
      </w:pPr>
      <w:r>
        <w:rPr>
          <w:rFonts w:hint="eastAsia"/>
          <w:spacing w:val="-11"/>
          <w:sz w:val="21"/>
          <w:szCs w:val="21"/>
        </w:rPr>
        <w:t>对于本章第</w:t>
      </w:r>
      <w:r>
        <w:rPr>
          <w:spacing w:val="-11"/>
          <w:sz w:val="21"/>
          <w:szCs w:val="21"/>
        </w:rPr>
        <w:t xml:space="preserve"> </w:t>
      </w:r>
      <w:r>
        <w:rPr>
          <w:sz w:val="21"/>
          <w:szCs w:val="21"/>
        </w:rPr>
        <w:t>1.12.3</w:t>
      </w:r>
      <w:r>
        <w:rPr>
          <w:rFonts w:hint="eastAsia"/>
          <w:spacing w:val="-32"/>
          <w:sz w:val="21"/>
          <w:szCs w:val="21"/>
        </w:rPr>
        <w:t>项</w:t>
      </w:r>
      <w:r>
        <w:rPr>
          <w:rFonts w:hint="eastAsia"/>
          <w:spacing w:val="-12"/>
          <w:sz w:val="21"/>
          <w:szCs w:val="21"/>
        </w:rPr>
        <w:t>（</w:t>
      </w:r>
      <w:r>
        <w:rPr>
          <w:spacing w:val="-12"/>
          <w:sz w:val="21"/>
          <w:szCs w:val="21"/>
        </w:rPr>
        <w:t>2</w:t>
      </w:r>
      <w:r>
        <w:rPr>
          <w:rFonts w:hint="eastAsia"/>
          <w:spacing w:val="-12"/>
          <w:sz w:val="21"/>
          <w:szCs w:val="21"/>
        </w:rPr>
        <w:t>）</w:t>
      </w:r>
      <w:r>
        <w:rPr>
          <w:rFonts w:hint="eastAsia"/>
          <w:spacing w:val="-6"/>
          <w:sz w:val="21"/>
          <w:szCs w:val="21"/>
        </w:rPr>
        <w:t>目所述的细微偏差，如果采用合理低价法或经评审的最低投标价</w:t>
      </w:r>
      <w:r>
        <w:rPr>
          <w:rFonts w:hint="eastAsia"/>
          <w:spacing w:val="-3"/>
          <w:sz w:val="21"/>
          <w:szCs w:val="21"/>
        </w:rPr>
        <w:t>法评标，应要求投标人对细微偏差进行澄清，只有投标人的澄清文件</w:t>
      </w:r>
    </w:p>
    <w:p>
      <w:pPr>
        <w:pStyle w:val="12"/>
        <w:spacing w:before="147" w:line="360" w:lineRule="auto"/>
        <w:ind w:left="508" w:right="291" w:firstLine="312"/>
        <w:rPr>
          <w:rFonts w:cs="Times New Roman"/>
        </w:rPr>
      </w:pPr>
      <w:r>
        <w:rPr>
          <w:rFonts w:hint="eastAsia"/>
        </w:rPr>
        <w:t>被评标委员会接受，投标人才能参加评标价的最终评比。如果采用技术评分最低标价法或综合评分法评标，可在相关评分因素的评分中酌情扣分；</w:t>
      </w:r>
    </w:p>
    <w:p>
      <w:pPr>
        <w:pStyle w:val="49"/>
        <w:numPr>
          <w:ilvl w:val="0"/>
          <w:numId w:val="9"/>
        </w:numPr>
        <w:tabs>
          <w:tab w:val="left" w:pos="1400"/>
        </w:tabs>
        <w:spacing w:before="147" w:line="360" w:lineRule="auto"/>
        <w:ind w:left="820" w:right="751" w:firstLine="0"/>
        <w:rPr>
          <w:rFonts w:cs="Times New Roman"/>
          <w:sz w:val="21"/>
          <w:szCs w:val="21"/>
        </w:rPr>
      </w:pPr>
      <w:r>
        <w:rPr>
          <w:rFonts w:hint="eastAsia"/>
          <w:spacing w:val="-12"/>
          <w:sz w:val="21"/>
          <w:szCs w:val="21"/>
        </w:rPr>
        <w:t>对于本章第</w:t>
      </w:r>
      <w:r>
        <w:rPr>
          <w:spacing w:val="-12"/>
          <w:sz w:val="21"/>
          <w:szCs w:val="21"/>
        </w:rPr>
        <w:t xml:space="preserve"> </w:t>
      </w:r>
      <w:r>
        <w:rPr>
          <w:sz w:val="21"/>
          <w:szCs w:val="21"/>
        </w:rPr>
        <w:t>1.12.3</w:t>
      </w:r>
      <w:r>
        <w:rPr>
          <w:rFonts w:hint="eastAsia"/>
          <w:sz w:val="21"/>
          <w:szCs w:val="21"/>
        </w:rPr>
        <w:t>项（</w:t>
      </w:r>
      <w:r>
        <w:rPr>
          <w:sz w:val="21"/>
          <w:szCs w:val="21"/>
        </w:rPr>
        <w:t>3</w:t>
      </w:r>
      <w:r>
        <w:rPr>
          <w:rFonts w:hint="eastAsia"/>
          <w:sz w:val="21"/>
          <w:szCs w:val="21"/>
        </w:rPr>
        <w:t>）</w:t>
      </w:r>
      <w:r>
        <w:rPr>
          <w:rFonts w:hint="eastAsia"/>
          <w:spacing w:val="-3"/>
          <w:sz w:val="21"/>
          <w:szCs w:val="21"/>
        </w:rPr>
        <w:t>目所述的细微偏差，可要求投标人对细微偏差进行澄清。</w:t>
      </w:r>
      <w:r>
        <w:rPr>
          <w:spacing w:val="-3"/>
          <w:sz w:val="21"/>
          <w:szCs w:val="21"/>
        </w:rPr>
        <w:t>1.9.4</w:t>
      </w:r>
      <w:r>
        <w:rPr>
          <w:rFonts w:hint="eastAsia"/>
          <w:spacing w:val="-3"/>
          <w:sz w:val="21"/>
          <w:szCs w:val="21"/>
        </w:rPr>
        <w:t>投标人应根据招标文件的要求提供施工组织设计等内容以对招标文件作出响应。</w:t>
      </w:r>
    </w:p>
    <w:p>
      <w:pPr>
        <w:pStyle w:val="10"/>
        <w:numPr>
          <w:ilvl w:val="0"/>
          <w:numId w:val="3"/>
        </w:numPr>
        <w:tabs>
          <w:tab w:val="left" w:pos="929"/>
        </w:tabs>
        <w:spacing w:before="124" w:line="360" w:lineRule="auto"/>
        <w:rPr>
          <w:rFonts w:ascii="黑体" w:eastAsia="黑体" w:cs="Times New Roman"/>
          <w:b/>
          <w:bCs/>
          <w:sz w:val="28"/>
          <w:szCs w:val="28"/>
        </w:rPr>
      </w:pPr>
      <w:r>
        <w:rPr>
          <w:rFonts w:hint="eastAsia"/>
          <w:b/>
          <w:bCs/>
        </w:rPr>
        <w:t>招标文件</w:t>
      </w:r>
    </w:p>
    <w:p>
      <w:pPr>
        <w:pStyle w:val="49"/>
        <w:numPr>
          <w:ilvl w:val="1"/>
          <w:numId w:val="3"/>
        </w:numPr>
        <w:tabs>
          <w:tab w:val="left" w:pos="989"/>
        </w:tabs>
        <w:spacing w:before="235" w:line="360" w:lineRule="auto"/>
        <w:ind w:left="988" w:hanging="481"/>
        <w:rPr>
          <w:rFonts w:cs="Times New Roman"/>
          <w:sz w:val="24"/>
          <w:szCs w:val="24"/>
        </w:rPr>
      </w:pPr>
      <w:r>
        <w:rPr>
          <w:rFonts w:hint="eastAsia"/>
          <w:sz w:val="24"/>
          <w:szCs w:val="24"/>
        </w:rPr>
        <w:t>招标文件的组成</w:t>
      </w:r>
    </w:p>
    <w:p>
      <w:pPr>
        <w:pStyle w:val="12"/>
        <w:spacing w:before="4" w:line="360" w:lineRule="auto"/>
        <w:ind w:left="988"/>
        <w:rPr>
          <w:rFonts w:cs="Times New Roman"/>
        </w:rPr>
      </w:pPr>
      <w:r>
        <w:rPr>
          <w:rFonts w:hint="eastAsia"/>
        </w:rPr>
        <w:t>本招标文件包括：</w:t>
      </w:r>
    </w:p>
    <w:p>
      <w:pPr>
        <w:pStyle w:val="49"/>
        <w:numPr>
          <w:ilvl w:val="0"/>
          <w:numId w:val="10"/>
        </w:numPr>
        <w:tabs>
          <w:tab w:val="left" w:pos="1514"/>
        </w:tabs>
        <w:spacing w:before="95" w:line="360" w:lineRule="auto"/>
        <w:ind w:hanging="526"/>
        <w:rPr>
          <w:rFonts w:cs="Times New Roman"/>
          <w:sz w:val="21"/>
          <w:szCs w:val="21"/>
        </w:rPr>
      </w:pPr>
      <w:r>
        <w:rPr>
          <w:rFonts w:hint="eastAsia"/>
          <w:sz w:val="21"/>
          <w:szCs w:val="21"/>
        </w:rPr>
        <w:t>招标公告；</w:t>
      </w:r>
    </w:p>
    <w:p>
      <w:pPr>
        <w:pStyle w:val="49"/>
        <w:numPr>
          <w:ilvl w:val="0"/>
          <w:numId w:val="10"/>
        </w:numPr>
        <w:tabs>
          <w:tab w:val="left" w:pos="1514"/>
        </w:tabs>
        <w:spacing w:before="178" w:line="360" w:lineRule="auto"/>
        <w:ind w:hanging="526"/>
        <w:rPr>
          <w:rFonts w:cs="Times New Roman"/>
          <w:sz w:val="21"/>
          <w:szCs w:val="21"/>
        </w:rPr>
      </w:pPr>
      <w:r>
        <w:rPr>
          <w:rFonts w:hint="eastAsia"/>
          <w:sz w:val="21"/>
          <w:szCs w:val="21"/>
        </w:rPr>
        <w:t>投标人须知；</w:t>
      </w:r>
    </w:p>
    <w:p>
      <w:pPr>
        <w:pStyle w:val="49"/>
        <w:numPr>
          <w:ilvl w:val="0"/>
          <w:numId w:val="10"/>
        </w:numPr>
        <w:tabs>
          <w:tab w:val="left" w:pos="1514"/>
        </w:tabs>
        <w:spacing w:before="179" w:line="360" w:lineRule="auto"/>
        <w:ind w:hanging="526"/>
        <w:rPr>
          <w:rFonts w:cs="Times New Roman"/>
          <w:sz w:val="21"/>
          <w:szCs w:val="21"/>
        </w:rPr>
      </w:pPr>
      <w:r>
        <w:rPr>
          <w:rFonts w:hint="eastAsia"/>
          <w:sz w:val="21"/>
          <w:szCs w:val="21"/>
        </w:rPr>
        <w:t>评标办法；</w:t>
      </w:r>
    </w:p>
    <w:p>
      <w:pPr>
        <w:pStyle w:val="49"/>
        <w:numPr>
          <w:ilvl w:val="0"/>
          <w:numId w:val="10"/>
        </w:numPr>
        <w:tabs>
          <w:tab w:val="left" w:pos="1514"/>
        </w:tabs>
        <w:spacing w:before="178" w:line="360" w:lineRule="auto"/>
        <w:ind w:hanging="526"/>
        <w:rPr>
          <w:rFonts w:cs="Times New Roman"/>
          <w:sz w:val="21"/>
          <w:szCs w:val="21"/>
        </w:rPr>
      </w:pPr>
      <w:r>
        <w:rPr>
          <w:rFonts w:hint="eastAsia"/>
          <w:sz w:val="21"/>
          <w:szCs w:val="21"/>
        </w:rPr>
        <w:t>合同条款及格式；</w:t>
      </w:r>
    </w:p>
    <w:p>
      <w:pPr>
        <w:pStyle w:val="49"/>
        <w:numPr>
          <w:ilvl w:val="0"/>
          <w:numId w:val="10"/>
        </w:numPr>
        <w:tabs>
          <w:tab w:val="left" w:pos="1514"/>
        </w:tabs>
        <w:spacing w:before="177" w:line="360" w:lineRule="auto"/>
        <w:ind w:hanging="526"/>
        <w:rPr>
          <w:rFonts w:cs="Times New Roman"/>
          <w:sz w:val="21"/>
          <w:szCs w:val="21"/>
        </w:rPr>
      </w:pPr>
      <w:r>
        <w:rPr>
          <w:rFonts w:hint="eastAsia"/>
          <w:sz w:val="21"/>
          <w:szCs w:val="21"/>
        </w:rPr>
        <w:t>工程量清单（另册）；</w:t>
      </w:r>
    </w:p>
    <w:p>
      <w:pPr>
        <w:pStyle w:val="12"/>
        <w:spacing w:line="360" w:lineRule="auto"/>
        <w:rPr>
          <w:rFonts w:cs="Times New Roman"/>
          <w:sz w:val="14"/>
          <w:szCs w:val="14"/>
        </w:rPr>
      </w:pPr>
    </w:p>
    <w:p>
      <w:pPr>
        <w:pStyle w:val="49"/>
        <w:numPr>
          <w:ilvl w:val="0"/>
          <w:numId w:val="10"/>
        </w:numPr>
        <w:tabs>
          <w:tab w:val="left" w:pos="1514"/>
        </w:tabs>
        <w:spacing w:line="360" w:lineRule="auto"/>
        <w:ind w:hanging="526"/>
        <w:rPr>
          <w:rFonts w:cs="Times New Roman"/>
          <w:sz w:val="21"/>
          <w:szCs w:val="21"/>
        </w:rPr>
      </w:pPr>
      <w:r>
        <w:rPr>
          <w:rFonts w:hint="eastAsia"/>
          <w:sz w:val="21"/>
          <w:szCs w:val="21"/>
        </w:rPr>
        <w:t>图纸（另册）；</w:t>
      </w:r>
    </w:p>
    <w:p>
      <w:pPr>
        <w:pStyle w:val="49"/>
        <w:numPr>
          <w:ilvl w:val="0"/>
          <w:numId w:val="10"/>
        </w:numPr>
        <w:tabs>
          <w:tab w:val="left" w:pos="1514"/>
        </w:tabs>
        <w:spacing w:before="178" w:line="360" w:lineRule="auto"/>
        <w:ind w:hanging="526"/>
        <w:rPr>
          <w:rFonts w:cs="Times New Roman"/>
          <w:sz w:val="21"/>
          <w:szCs w:val="21"/>
        </w:rPr>
      </w:pPr>
      <w:r>
        <w:rPr>
          <w:rFonts w:hint="eastAsia"/>
          <w:sz w:val="21"/>
          <w:szCs w:val="21"/>
        </w:rPr>
        <w:t>技术规范；</w:t>
      </w:r>
    </w:p>
    <w:p>
      <w:pPr>
        <w:pStyle w:val="49"/>
        <w:numPr>
          <w:ilvl w:val="0"/>
          <w:numId w:val="10"/>
        </w:numPr>
        <w:tabs>
          <w:tab w:val="left" w:pos="1514"/>
        </w:tabs>
        <w:spacing w:before="177" w:line="360" w:lineRule="auto"/>
        <w:ind w:hanging="526"/>
        <w:rPr>
          <w:rFonts w:cs="Times New Roman"/>
          <w:sz w:val="21"/>
          <w:szCs w:val="21"/>
        </w:rPr>
      </w:pPr>
      <w:r>
        <w:rPr>
          <w:rFonts w:hint="eastAsia"/>
          <w:sz w:val="21"/>
          <w:szCs w:val="21"/>
        </w:rPr>
        <w:t>工程量清单计量规则；</w:t>
      </w:r>
    </w:p>
    <w:p>
      <w:pPr>
        <w:pStyle w:val="49"/>
        <w:numPr>
          <w:ilvl w:val="0"/>
          <w:numId w:val="10"/>
        </w:numPr>
        <w:tabs>
          <w:tab w:val="left" w:pos="1514"/>
        </w:tabs>
        <w:spacing w:before="177" w:line="360" w:lineRule="auto"/>
        <w:ind w:hanging="526"/>
        <w:rPr>
          <w:rFonts w:cs="Times New Roman"/>
          <w:sz w:val="21"/>
          <w:szCs w:val="21"/>
        </w:rPr>
      </w:pPr>
      <w:r>
        <w:rPr>
          <w:rFonts w:hint="eastAsia"/>
          <w:sz w:val="21"/>
          <w:szCs w:val="21"/>
        </w:rPr>
        <w:t>投标文件格式；</w:t>
      </w:r>
    </w:p>
    <w:p>
      <w:pPr>
        <w:pStyle w:val="12"/>
        <w:spacing w:before="1" w:line="360" w:lineRule="auto"/>
        <w:rPr>
          <w:rFonts w:cs="Times New Roman"/>
          <w:sz w:val="14"/>
          <w:szCs w:val="14"/>
        </w:rPr>
      </w:pPr>
    </w:p>
    <w:p>
      <w:pPr>
        <w:pStyle w:val="49"/>
        <w:numPr>
          <w:ilvl w:val="0"/>
          <w:numId w:val="10"/>
        </w:numPr>
        <w:tabs>
          <w:tab w:val="left" w:pos="1619"/>
        </w:tabs>
        <w:spacing w:line="360" w:lineRule="auto"/>
        <w:ind w:left="1618" w:hanging="631"/>
        <w:rPr>
          <w:rFonts w:cs="Times New Roman"/>
          <w:sz w:val="21"/>
          <w:szCs w:val="21"/>
        </w:rPr>
      </w:pPr>
      <w:r>
        <w:rPr>
          <w:rFonts w:hint="eastAsia"/>
          <w:sz w:val="21"/>
          <w:szCs w:val="21"/>
        </w:rPr>
        <w:t>投标人须知前附表规定的其他资料。</w:t>
      </w:r>
    </w:p>
    <w:p>
      <w:pPr>
        <w:pStyle w:val="12"/>
        <w:spacing w:before="177" w:line="360" w:lineRule="auto"/>
        <w:ind w:left="508" w:right="540" w:firstLine="480"/>
        <w:rPr>
          <w:rFonts w:cs="Times New Roman"/>
        </w:rPr>
      </w:pPr>
      <w:r>
        <w:rPr>
          <w:rFonts w:hint="eastAsia"/>
          <w:spacing w:val="-21"/>
        </w:rPr>
        <w:t>根据本章第</w:t>
      </w:r>
      <w:r>
        <w:rPr>
          <w:spacing w:val="-21"/>
        </w:rPr>
        <w:t xml:space="preserve"> </w:t>
      </w:r>
      <w:r>
        <w:t>1.10</w:t>
      </w:r>
      <w:r>
        <w:rPr>
          <w:spacing w:val="-13"/>
        </w:rPr>
        <w:t xml:space="preserve"> </w:t>
      </w:r>
      <w:r>
        <w:rPr>
          <w:rFonts w:hint="eastAsia"/>
          <w:spacing w:val="-13"/>
        </w:rPr>
        <w:t>款、第</w:t>
      </w:r>
      <w:r>
        <w:t>2.2</w:t>
      </w:r>
      <w:r>
        <w:rPr>
          <w:spacing w:val="-27"/>
        </w:rPr>
        <w:t xml:space="preserve"> </w:t>
      </w:r>
      <w:r>
        <w:rPr>
          <w:rFonts w:hint="eastAsia"/>
          <w:spacing w:val="-27"/>
        </w:rPr>
        <w:t>款和第</w:t>
      </w:r>
      <w:r>
        <w:rPr>
          <w:spacing w:val="-27"/>
        </w:rPr>
        <w:t xml:space="preserve"> </w:t>
      </w:r>
      <w:r>
        <w:t>2.3</w:t>
      </w:r>
      <w:r>
        <w:rPr>
          <w:spacing w:val="-8"/>
        </w:rPr>
        <w:t xml:space="preserve"> </w:t>
      </w:r>
      <w:r>
        <w:rPr>
          <w:rFonts w:hint="eastAsia"/>
          <w:spacing w:val="-8"/>
        </w:rPr>
        <w:t>款对招标文件所作的澄清、修改，构成招标文件的组成部分。</w:t>
      </w:r>
    </w:p>
    <w:p>
      <w:pPr>
        <w:pStyle w:val="12"/>
        <w:spacing w:before="3" w:line="360" w:lineRule="auto"/>
        <w:ind w:left="988"/>
        <w:rPr>
          <w:rFonts w:cs="Times New Roman"/>
        </w:rPr>
      </w:pPr>
      <w:r>
        <w:rPr>
          <w:rFonts w:hint="eastAsia"/>
          <w:spacing w:val="-29"/>
        </w:rPr>
        <w:t>当招标文件、招标文件的澄清或修改等在同一内容的表述上不一致时，以最后发出的书面文件为准。</w:t>
      </w:r>
    </w:p>
    <w:p>
      <w:pPr>
        <w:pStyle w:val="12"/>
        <w:spacing w:before="8" w:line="360" w:lineRule="auto"/>
        <w:rPr>
          <w:rFonts w:cs="Times New Roman"/>
          <w:sz w:val="18"/>
          <w:szCs w:val="18"/>
        </w:rPr>
      </w:pPr>
    </w:p>
    <w:p>
      <w:pPr>
        <w:pStyle w:val="10"/>
        <w:numPr>
          <w:ilvl w:val="1"/>
          <w:numId w:val="3"/>
        </w:numPr>
        <w:tabs>
          <w:tab w:val="left" w:pos="989"/>
        </w:tabs>
        <w:spacing w:line="360" w:lineRule="auto"/>
        <w:ind w:left="988" w:hanging="481"/>
        <w:rPr>
          <w:rFonts w:cs="Times New Roman"/>
          <w:b/>
          <w:bCs/>
        </w:rPr>
      </w:pPr>
      <w:r>
        <w:rPr>
          <w:rFonts w:hint="eastAsia"/>
          <w:b/>
          <w:bCs/>
        </w:rPr>
        <w:t>招标文件的澄清</w:t>
      </w:r>
    </w:p>
    <w:p>
      <w:pPr>
        <w:pStyle w:val="49"/>
        <w:numPr>
          <w:ilvl w:val="2"/>
          <w:numId w:val="3"/>
        </w:numPr>
        <w:tabs>
          <w:tab w:val="left" w:pos="1548"/>
        </w:tabs>
        <w:spacing w:before="3" w:line="360" w:lineRule="auto"/>
        <w:ind w:right="430" w:firstLine="480"/>
        <w:rPr>
          <w:rFonts w:cs="Times New Roman"/>
          <w:sz w:val="21"/>
          <w:szCs w:val="21"/>
        </w:rPr>
      </w:pPr>
      <w:r>
        <w:rPr>
          <w:rFonts w:hint="eastAsia"/>
          <w:spacing w:val="-3"/>
          <w:sz w:val="21"/>
          <w:szCs w:val="21"/>
        </w:rPr>
        <w:t>投标人应仔细阅读和检查招标文件的全部内容。如发现缺页或附件不全，应及时向招标人提出，</w:t>
      </w:r>
      <w:r>
        <w:rPr>
          <w:rFonts w:hint="eastAsia"/>
          <w:spacing w:val="-20"/>
          <w:sz w:val="21"/>
          <w:szCs w:val="21"/>
        </w:rPr>
        <w:t>以便补齐。如有疑问，应按投标人须知前附表规定的时间和形式将提出的问题送达招标人，要求招标人对</w:t>
      </w:r>
      <w:r>
        <w:rPr>
          <w:rFonts w:hint="eastAsia"/>
          <w:spacing w:val="-18"/>
          <w:sz w:val="21"/>
          <w:szCs w:val="21"/>
        </w:rPr>
        <w:t>招标文件予以澄清。</w:t>
      </w:r>
    </w:p>
    <w:p>
      <w:pPr>
        <w:pStyle w:val="49"/>
        <w:numPr>
          <w:ilvl w:val="2"/>
          <w:numId w:val="3"/>
        </w:numPr>
        <w:tabs>
          <w:tab w:val="left" w:pos="1548"/>
        </w:tabs>
        <w:spacing w:line="360" w:lineRule="auto"/>
        <w:ind w:right="523" w:firstLine="480"/>
        <w:jc w:val="both"/>
        <w:rPr>
          <w:rFonts w:cs="Times New Roman"/>
          <w:sz w:val="21"/>
          <w:szCs w:val="21"/>
        </w:rPr>
      </w:pPr>
      <w:r>
        <w:rPr>
          <w:rFonts w:hint="eastAsia"/>
          <w:spacing w:val="-20"/>
          <w:sz w:val="21"/>
          <w:szCs w:val="21"/>
        </w:rPr>
        <w:t>招标文件的澄清以投标人须知前附表规定的形式发给所有购买招标文件的投标人，但不指明澄清问题的来源。</w:t>
      </w:r>
      <w:r>
        <w:rPr>
          <w:rFonts w:hint="eastAsia"/>
          <w:spacing w:val="-21"/>
          <w:sz w:val="21"/>
          <w:szCs w:val="21"/>
        </w:rPr>
        <w:t>澄清发出的时间距本章第</w:t>
      </w:r>
      <w:r>
        <w:rPr>
          <w:spacing w:val="-21"/>
          <w:sz w:val="21"/>
          <w:szCs w:val="21"/>
        </w:rPr>
        <w:t xml:space="preserve"> </w:t>
      </w:r>
      <w:r>
        <w:rPr>
          <w:spacing w:val="-8"/>
          <w:sz w:val="21"/>
          <w:szCs w:val="21"/>
        </w:rPr>
        <w:t>4.2.1</w:t>
      </w:r>
      <w:r>
        <w:rPr>
          <w:spacing w:val="-26"/>
          <w:sz w:val="21"/>
          <w:szCs w:val="21"/>
        </w:rPr>
        <w:t xml:space="preserve"> </w:t>
      </w:r>
      <w:r>
        <w:rPr>
          <w:rFonts w:hint="eastAsia"/>
          <w:spacing w:val="-26"/>
          <w:sz w:val="21"/>
          <w:szCs w:val="21"/>
        </w:rPr>
        <w:t>项规定的投标截止时间不足</w:t>
      </w:r>
      <w:r>
        <w:rPr>
          <w:spacing w:val="-26"/>
          <w:sz w:val="21"/>
          <w:szCs w:val="21"/>
        </w:rPr>
        <w:t xml:space="preserve"> </w:t>
      </w:r>
      <w:r>
        <w:rPr>
          <w:spacing w:val="-4"/>
          <w:sz w:val="21"/>
          <w:szCs w:val="21"/>
        </w:rPr>
        <w:t>15</w:t>
      </w:r>
      <w:r>
        <w:rPr>
          <w:spacing w:val="-23"/>
          <w:sz w:val="21"/>
          <w:szCs w:val="21"/>
        </w:rPr>
        <w:t xml:space="preserve"> </w:t>
      </w:r>
      <w:r>
        <w:rPr>
          <w:rFonts w:hint="eastAsia"/>
          <w:spacing w:val="-23"/>
          <w:sz w:val="21"/>
          <w:szCs w:val="21"/>
        </w:rPr>
        <w:t>日，且澄清内容可能影响</w:t>
      </w:r>
      <w:r>
        <w:rPr>
          <w:rFonts w:hint="eastAsia"/>
          <w:spacing w:val="-19"/>
          <w:sz w:val="21"/>
          <w:szCs w:val="21"/>
        </w:rPr>
        <w:t>投标文件编制的，将相应延长投标截止时间。</w:t>
      </w:r>
    </w:p>
    <w:p>
      <w:pPr>
        <w:pStyle w:val="49"/>
        <w:numPr>
          <w:ilvl w:val="2"/>
          <w:numId w:val="3"/>
        </w:numPr>
        <w:tabs>
          <w:tab w:val="left" w:pos="1548"/>
        </w:tabs>
        <w:spacing w:line="360" w:lineRule="auto"/>
        <w:ind w:right="543" w:firstLine="480"/>
        <w:jc w:val="both"/>
        <w:rPr>
          <w:rFonts w:cs="Times New Roman"/>
          <w:sz w:val="21"/>
          <w:szCs w:val="21"/>
        </w:rPr>
      </w:pPr>
      <w:r>
        <w:rPr>
          <w:rFonts w:hint="eastAsia"/>
          <w:spacing w:val="-21"/>
          <w:sz w:val="21"/>
          <w:szCs w:val="21"/>
        </w:rPr>
        <w:t>投标人在收到澄清后，应按投标人须知前附表规定的时间和形式通知招标人，确认已收到该澄清。</w:t>
      </w:r>
    </w:p>
    <w:p>
      <w:pPr>
        <w:pStyle w:val="49"/>
        <w:numPr>
          <w:ilvl w:val="2"/>
          <w:numId w:val="3"/>
        </w:numPr>
        <w:tabs>
          <w:tab w:val="left" w:pos="1618"/>
        </w:tabs>
        <w:spacing w:line="360" w:lineRule="auto"/>
        <w:ind w:right="545" w:firstLine="480"/>
        <w:jc w:val="both"/>
        <w:rPr>
          <w:rFonts w:cs="Times New Roman"/>
          <w:sz w:val="21"/>
          <w:szCs w:val="21"/>
        </w:rPr>
      </w:pPr>
      <w:r>
        <w:rPr>
          <w:rFonts w:hint="eastAsia"/>
          <w:spacing w:val="-13"/>
          <w:sz w:val="21"/>
          <w:szCs w:val="21"/>
        </w:rPr>
        <w:t>除非招标人认为确有必要答复，否则，招标人有权拒绝回复投标人在本章第</w:t>
      </w:r>
      <w:r>
        <w:rPr>
          <w:spacing w:val="-13"/>
          <w:sz w:val="21"/>
          <w:szCs w:val="21"/>
        </w:rPr>
        <w:t xml:space="preserve"> </w:t>
      </w:r>
      <w:r>
        <w:rPr>
          <w:sz w:val="21"/>
          <w:szCs w:val="21"/>
        </w:rPr>
        <w:t>2.2.1</w:t>
      </w:r>
      <w:r>
        <w:rPr>
          <w:spacing w:val="-4"/>
          <w:sz w:val="21"/>
          <w:szCs w:val="21"/>
        </w:rPr>
        <w:t xml:space="preserve"> </w:t>
      </w:r>
      <w:r>
        <w:rPr>
          <w:rFonts w:hint="eastAsia"/>
          <w:spacing w:val="-4"/>
          <w:sz w:val="21"/>
          <w:szCs w:val="21"/>
        </w:rPr>
        <w:t>项规定的时间后提出的任何澄清要求。</w:t>
      </w:r>
    </w:p>
    <w:p>
      <w:pPr>
        <w:pStyle w:val="10"/>
        <w:numPr>
          <w:ilvl w:val="1"/>
          <w:numId w:val="3"/>
        </w:numPr>
        <w:tabs>
          <w:tab w:val="left" w:pos="989"/>
        </w:tabs>
        <w:spacing w:before="144" w:line="360" w:lineRule="auto"/>
        <w:ind w:left="988" w:hanging="481"/>
        <w:jc w:val="both"/>
        <w:rPr>
          <w:rFonts w:cs="Times New Roman"/>
          <w:b/>
          <w:bCs/>
        </w:rPr>
      </w:pPr>
      <w:r>
        <w:rPr>
          <w:rFonts w:hint="eastAsia"/>
          <w:b/>
          <w:bCs/>
        </w:rPr>
        <w:t>招标文件的修改</w:t>
      </w:r>
    </w:p>
    <w:p>
      <w:pPr>
        <w:pStyle w:val="49"/>
        <w:numPr>
          <w:ilvl w:val="2"/>
          <w:numId w:val="3"/>
        </w:numPr>
        <w:tabs>
          <w:tab w:val="left" w:pos="1560"/>
        </w:tabs>
        <w:spacing w:before="59" w:line="360" w:lineRule="auto"/>
        <w:ind w:right="310" w:firstLine="420"/>
        <w:jc w:val="both"/>
        <w:rPr>
          <w:rFonts w:cs="Times New Roman"/>
          <w:sz w:val="21"/>
          <w:szCs w:val="21"/>
        </w:rPr>
      </w:pPr>
      <w:r>
        <w:rPr>
          <w:rFonts w:hint="eastAsia"/>
          <w:spacing w:val="-2"/>
          <w:sz w:val="21"/>
          <w:szCs w:val="21"/>
        </w:rPr>
        <w:t>招标人以投标人须知前附表规定的形式修改招标文件，并通知所有已购买招标文件的投标人。修改招标文件的时间距本章第</w:t>
      </w:r>
      <w:r>
        <w:rPr>
          <w:spacing w:val="-2"/>
          <w:sz w:val="21"/>
          <w:szCs w:val="21"/>
        </w:rPr>
        <w:t xml:space="preserve"> </w:t>
      </w:r>
      <w:r>
        <w:rPr>
          <w:sz w:val="21"/>
          <w:szCs w:val="21"/>
        </w:rPr>
        <w:t>4.2.1</w:t>
      </w:r>
      <w:r>
        <w:rPr>
          <w:rFonts w:hint="eastAsia"/>
          <w:sz w:val="21"/>
          <w:szCs w:val="21"/>
        </w:rPr>
        <w:t>项规定的投标截止时间不足</w:t>
      </w:r>
      <w:r>
        <w:rPr>
          <w:sz w:val="21"/>
          <w:szCs w:val="21"/>
        </w:rPr>
        <w:t>15</w:t>
      </w:r>
      <w:r>
        <w:rPr>
          <w:rFonts w:hint="eastAsia"/>
          <w:sz w:val="21"/>
          <w:szCs w:val="21"/>
        </w:rPr>
        <w:t>日，且修改内容可能影响投标文件编制的，将相应延长投标截止时间。</w:t>
      </w:r>
    </w:p>
    <w:p>
      <w:pPr>
        <w:pStyle w:val="49"/>
        <w:numPr>
          <w:ilvl w:val="2"/>
          <w:numId w:val="3"/>
        </w:numPr>
        <w:tabs>
          <w:tab w:val="left" w:pos="1560"/>
        </w:tabs>
        <w:spacing w:before="59" w:line="360" w:lineRule="auto"/>
        <w:ind w:right="310" w:firstLine="420"/>
        <w:jc w:val="both"/>
        <w:rPr>
          <w:rFonts w:cs="Times New Roman"/>
          <w:spacing w:val="-2"/>
          <w:sz w:val="21"/>
          <w:szCs w:val="21"/>
        </w:rPr>
      </w:pPr>
      <w:r>
        <w:rPr>
          <w:rFonts w:hint="eastAsia"/>
          <w:spacing w:val="-2"/>
          <w:sz w:val="21"/>
          <w:szCs w:val="21"/>
        </w:rPr>
        <w:t>投标人收到修改内容后，应按投标人须知前附表规定的时间和形式通知招标人，确认已收到该修改。</w:t>
      </w:r>
    </w:p>
    <w:p>
      <w:pPr>
        <w:pStyle w:val="10"/>
        <w:numPr>
          <w:ilvl w:val="1"/>
          <w:numId w:val="3"/>
        </w:numPr>
        <w:tabs>
          <w:tab w:val="left" w:pos="989"/>
        </w:tabs>
        <w:spacing w:before="150" w:line="360" w:lineRule="auto"/>
        <w:ind w:left="988" w:hanging="481"/>
        <w:rPr>
          <w:rFonts w:cs="Times New Roman"/>
          <w:b/>
          <w:bCs/>
        </w:rPr>
      </w:pPr>
      <w:r>
        <w:rPr>
          <w:rFonts w:hint="eastAsia"/>
          <w:b/>
          <w:bCs/>
        </w:rPr>
        <w:t>招标文件的异议</w:t>
      </w:r>
    </w:p>
    <w:p>
      <w:pPr>
        <w:pStyle w:val="12"/>
        <w:spacing w:before="1" w:line="360" w:lineRule="auto"/>
        <w:ind w:left="499" w:right="295" w:firstLine="360"/>
        <w:rPr>
          <w:rFonts w:cs="Times New Roman"/>
        </w:rPr>
      </w:pPr>
      <w:r>
        <w:rPr>
          <w:rFonts w:hint="eastAsia"/>
          <w:spacing w:val="-2"/>
        </w:rPr>
        <w:t>投标人或其他利害关系人对招标文件有异议的，应在投标截止时间</w:t>
      </w:r>
      <w:r>
        <w:rPr>
          <w:spacing w:val="-2"/>
        </w:rPr>
        <w:t>10</w:t>
      </w:r>
      <w:r>
        <w:rPr>
          <w:rFonts w:hint="eastAsia"/>
          <w:spacing w:val="-2"/>
        </w:rPr>
        <w:t>日前以书面形式提出。招标人</w:t>
      </w:r>
      <w:r>
        <w:rPr>
          <w:rFonts w:hint="eastAsia"/>
          <w:spacing w:val="-17"/>
        </w:rPr>
        <w:t>将在收到异议之日起</w:t>
      </w:r>
      <w:r>
        <w:t>3</w:t>
      </w:r>
      <w:r>
        <w:rPr>
          <w:rFonts w:hint="eastAsia"/>
          <w:spacing w:val="-17"/>
        </w:rPr>
        <w:t>日内作出答复；作出答复前，将暂停招标投标活动。</w:t>
      </w:r>
    </w:p>
    <w:p>
      <w:pPr>
        <w:pStyle w:val="10"/>
        <w:numPr>
          <w:ilvl w:val="0"/>
          <w:numId w:val="3"/>
        </w:numPr>
        <w:tabs>
          <w:tab w:val="left" w:pos="929"/>
        </w:tabs>
        <w:spacing w:line="360" w:lineRule="auto"/>
        <w:rPr>
          <w:rFonts w:ascii="黑体" w:eastAsia="黑体" w:cs="Times New Roman"/>
          <w:b/>
          <w:bCs/>
          <w:sz w:val="28"/>
          <w:szCs w:val="28"/>
        </w:rPr>
      </w:pPr>
      <w:r>
        <w:rPr>
          <w:rFonts w:hint="eastAsia"/>
          <w:b/>
          <w:bCs/>
        </w:rPr>
        <w:t>投标文件</w:t>
      </w:r>
    </w:p>
    <w:p>
      <w:pPr>
        <w:pStyle w:val="49"/>
        <w:numPr>
          <w:ilvl w:val="1"/>
          <w:numId w:val="3"/>
        </w:numPr>
        <w:tabs>
          <w:tab w:val="left" w:pos="929"/>
        </w:tabs>
        <w:spacing w:before="238" w:line="360" w:lineRule="auto"/>
        <w:ind w:left="928" w:hanging="421"/>
        <w:rPr>
          <w:rFonts w:cs="Times New Roman"/>
          <w:b/>
          <w:bCs/>
          <w:sz w:val="24"/>
          <w:szCs w:val="24"/>
        </w:rPr>
      </w:pPr>
      <w:r>
        <w:rPr>
          <w:rFonts w:hint="eastAsia"/>
          <w:b/>
          <w:bCs/>
          <w:sz w:val="24"/>
          <w:szCs w:val="24"/>
        </w:rPr>
        <w:t>投标文件的组成</w:t>
      </w:r>
    </w:p>
    <w:p>
      <w:pPr>
        <w:pStyle w:val="49"/>
        <w:numPr>
          <w:ilvl w:val="2"/>
          <w:numId w:val="3"/>
        </w:numPr>
        <w:tabs>
          <w:tab w:val="left" w:pos="1611"/>
        </w:tabs>
        <w:spacing w:before="4" w:line="360" w:lineRule="auto"/>
        <w:ind w:left="1610" w:hanging="632"/>
        <w:rPr>
          <w:rFonts w:cs="Times New Roman"/>
          <w:sz w:val="21"/>
          <w:szCs w:val="21"/>
        </w:rPr>
      </w:pPr>
      <w:r>
        <w:rPr>
          <w:rFonts w:hint="eastAsia"/>
          <w:sz w:val="21"/>
          <w:szCs w:val="21"/>
        </w:rPr>
        <w:t>投标文件应包括下列内容：</w:t>
      </w:r>
    </w:p>
    <w:p>
      <w:pPr>
        <w:pStyle w:val="12"/>
        <w:spacing w:before="4" w:line="360" w:lineRule="auto"/>
        <w:rPr>
          <w:rFonts w:cs="Times New Roman"/>
          <w:sz w:val="14"/>
          <w:szCs w:val="14"/>
        </w:rPr>
      </w:pPr>
    </w:p>
    <w:p>
      <w:pPr>
        <w:spacing w:line="360" w:lineRule="auto"/>
        <w:ind w:left="580"/>
        <w:rPr>
          <w:rFonts w:cs="Times New Roman"/>
        </w:rPr>
      </w:pPr>
      <w:r>
        <w:rPr>
          <w:rFonts w:hint="eastAsia"/>
        </w:rPr>
        <w:t>第一个信封（商务及技术文件）：</w:t>
      </w:r>
    </w:p>
    <w:p>
      <w:pPr>
        <w:pStyle w:val="49"/>
        <w:numPr>
          <w:ilvl w:val="0"/>
          <w:numId w:val="11"/>
        </w:numPr>
        <w:tabs>
          <w:tab w:val="left" w:pos="1353"/>
        </w:tabs>
        <w:spacing w:before="119" w:line="360" w:lineRule="auto"/>
        <w:rPr>
          <w:rFonts w:cs="Times New Roman"/>
        </w:rPr>
      </w:pPr>
      <w:r>
        <w:rPr>
          <w:rFonts w:hint="eastAsia"/>
          <w:spacing w:val="-3"/>
        </w:rPr>
        <w:t>投标函及投标函附录；</w:t>
      </w:r>
    </w:p>
    <w:p>
      <w:pPr>
        <w:pStyle w:val="49"/>
        <w:numPr>
          <w:ilvl w:val="0"/>
          <w:numId w:val="11"/>
        </w:numPr>
        <w:tabs>
          <w:tab w:val="left" w:pos="1353"/>
        </w:tabs>
        <w:spacing w:before="119" w:line="360" w:lineRule="auto"/>
        <w:rPr>
          <w:rFonts w:cs="Times New Roman"/>
        </w:rPr>
      </w:pPr>
      <w:r>
        <w:rPr>
          <w:rFonts w:hint="eastAsia"/>
          <w:spacing w:val="-3"/>
        </w:rPr>
        <w:t>授权委托书或法定代表人身份证明；</w:t>
      </w:r>
    </w:p>
    <w:p>
      <w:pPr>
        <w:pStyle w:val="49"/>
        <w:numPr>
          <w:ilvl w:val="0"/>
          <w:numId w:val="11"/>
        </w:numPr>
        <w:tabs>
          <w:tab w:val="left" w:pos="1353"/>
        </w:tabs>
        <w:spacing w:before="119" w:line="360" w:lineRule="auto"/>
        <w:rPr>
          <w:rFonts w:cs="Times New Roman"/>
        </w:rPr>
      </w:pPr>
      <w:r>
        <w:rPr>
          <w:rFonts w:hint="eastAsia"/>
          <w:spacing w:val="-3"/>
        </w:rPr>
        <w:t>施工组织设计；</w:t>
      </w:r>
    </w:p>
    <w:p>
      <w:pPr>
        <w:pStyle w:val="49"/>
        <w:numPr>
          <w:ilvl w:val="0"/>
          <w:numId w:val="11"/>
        </w:numPr>
        <w:tabs>
          <w:tab w:val="left" w:pos="1353"/>
        </w:tabs>
        <w:spacing w:before="119" w:line="360" w:lineRule="auto"/>
        <w:rPr>
          <w:rFonts w:cs="Times New Roman"/>
        </w:rPr>
      </w:pPr>
      <w:r>
        <w:rPr>
          <w:rFonts w:hint="eastAsia"/>
          <w:spacing w:val="-3"/>
        </w:rPr>
        <w:t>项目管理机构；</w:t>
      </w:r>
    </w:p>
    <w:p>
      <w:pPr>
        <w:pStyle w:val="49"/>
        <w:numPr>
          <w:ilvl w:val="0"/>
          <w:numId w:val="11"/>
        </w:numPr>
        <w:tabs>
          <w:tab w:val="left" w:pos="1353"/>
        </w:tabs>
        <w:spacing w:before="116" w:line="360" w:lineRule="auto"/>
        <w:rPr>
          <w:rFonts w:cs="Times New Roman"/>
        </w:rPr>
      </w:pPr>
      <w:r>
        <w:rPr>
          <w:rFonts w:hint="eastAsia"/>
          <w:spacing w:val="-3"/>
        </w:rPr>
        <w:t>资格审查资料；</w:t>
      </w:r>
    </w:p>
    <w:p>
      <w:pPr>
        <w:pStyle w:val="49"/>
        <w:numPr>
          <w:ilvl w:val="0"/>
          <w:numId w:val="11"/>
        </w:numPr>
        <w:tabs>
          <w:tab w:val="left" w:pos="1353"/>
        </w:tabs>
        <w:spacing w:before="119" w:line="360" w:lineRule="auto"/>
        <w:rPr>
          <w:rFonts w:cs="Times New Roman"/>
        </w:rPr>
      </w:pPr>
      <w:r>
        <w:rPr>
          <w:rFonts w:hint="eastAsia"/>
          <w:spacing w:val="-2"/>
        </w:rPr>
        <w:t>承诺函；</w:t>
      </w:r>
    </w:p>
    <w:p>
      <w:pPr>
        <w:pStyle w:val="49"/>
        <w:numPr>
          <w:ilvl w:val="0"/>
          <w:numId w:val="11"/>
        </w:numPr>
        <w:tabs>
          <w:tab w:val="left" w:pos="1353"/>
        </w:tabs>
        <w:spacing w:before="119" w:line="360" w:lineRule="auto"/>
        <w:ind w:left="580" w:right="4975" w:firstLine="218"/>
        <w:rPr>
          <w:rFonts w:cs="Times New Roman"/>
        </w:rPr>
      </w:pPr>
      <w:r>
        <w:rPr>
          <w:rFonts w:hint="eastAsia"/>
          <w:spacing w:val="-3"/>
        </w:rPr>
        <w:t>投标人须知前附表规定的其他材料。第二个信封</w:t>
      </w:r>
      <w:r>
        <w:rPr>
          <w:rFonts w:hint="eastAsia"/>
        </w:rPr>
        <w:t>（</w:t>
      </w:r>
      <w:r>
        <w:rPr>
          <w:rFonts w:hint="eastAsia"/>
          <w:spacing w:val="-2"/>
        </w:rPr>
        <w:t>报价文件</w:t>
      </w:r>
      <w:r>
        <w:rPr>
          <w:rFonts w:hint="eastAsia"/>
        </w:rPr>
        <w:t>）：</w:t>
      </w:r>
    </w:p>
    <w:p>
      <w:pPr>
        <w:pStyle w:val="49"/>
        <w:numPr>
          <w:ilvl w:val="0"/>
          <w:numId w:val="12"/>
        </w:numPr>
        <w:tabs>
          <w:tab w:val="left" w:pos="1353"/>
        </w:tabs>
        <w:spacing w:before="4" w:line="360" w:lineRule="auto"/>
        <w:rPr>
          <w:rFonts w:cs="Times New Roman"/>
        </w:rPr>
      </w:pPr>
      <w:r>
        <w:rPr>
          <w:rFonts w:hint="eastAsia"/>
          <w:spacing w:val="-3"/>
        </w:rPr>
        <w:t>投标函及投标函附录；</w:t>
      </w:r>
    </w:p>
    <w:p>
      <w:pPr>
        <w:pStyle w:val="49"/>
        <w:numPr>
          <w:ilvl w:val="0"/>
          <w:numId w:val="12"/>
        </w:numPr>
        <w:tabs>
          <w:tab w:val="left" w:pos="1353"/>
        </w:tabs>
        <w:spacing w:before="119" w:line="360" w:lineRule="auto"/>
        <w:rPr>
          <w:rFonts w:cs="Times New Roman"/>
        </w:rPr>
      </w:pPr>
      <w:r>
        <w:rPr>
          <w:rFonts w:hint="eastAsia"/>
          <w:spacing w:val="-3"/>
        </w:rPr>
        <w:t>已标价工程量清单；</w:t>
      </w:r>
    </w:p>
    <w:p>
      <w:pPr>
        <w:pStyle w:val="49"/>
        <w:numPr>
          <w:ilvl w:val="0"/>
          <w:numId w:val="12"/>
        </w:numPr>
        <w:tabs>
          <w:tab w:val="left" w:pos="1353"/>
        </w:tabs>
        <w:spacing w:before="117" w:line="360" w:lineRule="auto"/>
        <w:rPr>
          <w:rFonts w:cs="Times New Roman"/>
        </w:rPr>
      </w:pPr>
      <w:r>
        <w:rPr>
          <w:rFonts w:hint="eastAsia"/>
          <w:spacing w:val="-3"/>
        </w:rPr>
        <w:t>合同用款估算表</w:t>
      </w:r>
    </w:p>
    <w:p>
      <w:pPr>
        <w:pStyle w:val="12"/>
        <w:spacing w:before="112" w:line="360" w:lineRule="auto"/>
        <w:ind w:left="988"/>
        <w:rPr>
          <w:rFonts w:cs="Times New Roman"/>
        </w:rPr>
      </w:pPr>
      <w:r>
        <w:rPr>
          <w:rFonts w:hint="eastAsia"/>
        </w:rPr>
        <w:t>投标人在评标过程中作出的符合法律法规和招标文件规定的澄清确认，构成投标文件的组成部</w:t>
      </w:r>
    </w:p>
    <w:p>
      <w:pPr>
        <w:pStyle w:val="12"/>
        <w:spacing w:before="86" w:line="360" w:lineRule="auto"/>
        <w:ind w:left="508"/>
        <w:rPr>
          <w:rFonts w:cs="Times New Roman"/>
        </w:rPr>
      </w:pPr>
      <w:r>
        <w:rPr>
          <w:rFonts w:hint="eastAsia"/>
        </w:rPr>
        <w:t>分。</w:t>
      </w:r>
    </w:p>
    <w:p>
      <w:pPr>
        <w:pStyle w:val="12"/>
        <w:spacing w:before="5" w:line="360" w:lineRule="auto"/>
        <w:rPr>
          <w:rFonts w:cs="Times New Roman"/>
          <w:sz w:val="18"/>
          <w:szCs w:val="18"/>
        </w:rPr>
      </w:pPr>
    </w:p>
    <w:p>
      <w:pPr>
        <w:pStyle w:val="10"/>
        <w:numPr>
          <w:ilvl w:val="1"/>
          <w:numId w:val="3"/>
        </w:numPr>
        <w:tabs>
          <w:tab w:val="left" w:pos="1049"/>
        </w:tabs>
        <w:spacing w:line="360" w:lineRule="auto"/>
        <w:ind w:left="1048" w:hanging="541"/>
        <w:rPr>
          <w:rFonts w:cs="Times New Roman"/>
          <w:b/>
          <w:bCs/>
        </w:rPr>
      </w:pPr>
      <w:r>
        <w:rPr>
          <w:rFonts w:hint="eastAsia"/>
          <w:b/>
          <w:bCs/>
        </w:rPr>
        <w:t>投标报价</w:t>
      </w:r>
    </w:p>
    <w:p>
      <w:pPr>
        <w:pStyle w:val="49"/>
        <w:tabs>
          <w:tab w:val="left" w:pos="1620"/>
        </w:tabs>
        <w:spacing w:before="100" w:line="360" w:lineRule="auto"/>
        <w:ind w:left="0" w:firstLine="0"/>
        <w:rPr>
          <w:rFonts w:cs="Times New Roman"/>
        </w:rPr>
      </w:pPr>
    </w:p>
    <w:p>
      <w:pPr>
        <w:pStyle w:val="49"/>
        <w:numPr>
          <w:ilvl w:val="2"/>
          <w:numId w:val="3"/>
        </w:numPr>
        <w:tabs>
          <w:tab w:val="left" w:pos="1145"/>
        </w:tabs>
        <w:spacing w:before="1" w:line="360" w:lineRule="auto"/>
        <w:ind w:left="1144" w:hanging="601"/>
        <w:rPr>
          <w:rFonts w:cs="Times New Roman"/>
          <w:sz w:val="21"/>
          <w:szCs w:val="21"/>
        </w:rPr>
      </w:pPr>
      <w:r>
        <w:rPr>
          <w:rFonts w:hint="eastAsia"/>
          <w:spacing w:val="-8"/>
          <w:sz w:val="21"/>
          <w:szCs w:val="21"/>
        </w:rPr>
        <w:t>投标人应充分了解本项目的总体情况以及影响投标报价的其他要素。</w:t>
      </w:r>
    </w:p>
    <w:p>
      <w:pPr>
        <w:pStyle w:val="49"/>
        <w:numPr>
          <w:ilvl w:val="2"/>
          <w:numId w:val="3"/>
        </w:numPr>
        <w:tabs>
          <w:tab w:val="left" w:pos="1148"/>
        </w:tabs>
        <w:spacing w:before="86" w:line="360" w:lineRule="auto"/>
        <w:ind w:left="139" w:right="436" w:firstLine="405"/>
        <w:rPr>
          <w:rFonts w:cs="Times New Roman"/>
          <w:sz w:val="21"/>
          <w:szCs w:val="21"/>
        </w:rPr>
      </w:pPr>
      <w:r>
        <w:rPr>
          <w:rFonts w:hint="eastAsia"/>
          <w:spacing w:val="-6"/>
          <w:sz w:val="21"/>
          <w:szCs w:val="21"/>
        </w:rPr>
        <w:t>本项目的报价方式见投标人须知前附表。投标人在投标截止时间前修改投标函中的投标总报</w:t>
      </w:r>
      <w:r>
        <w:rPr>
          <w:rFonts w:hint="eastAsia"/>
          <w:spacing w:val="-20"/>
          <w:sz w:val="21"/>
          <w:szCs w:val="21"/>
        </w:rPr>
        <w:t>价，应同时修改投标文件“已标价工程量清单”中的相应报价。此修改须符合本章第</w:t>
      </w:r>
      <w:r>
        <w:rPr>
          <w:spacing w:val="-20"/>
          <w:sz w:val="21"/>
          <w:szCs w:val="21"/>
        </w:rPr>
        <w:t xml:space="preserve"> </w:t>
      </w:r>
      <w:r>
        <w:rPr>
          <w:sz w:val="21"/>
          <w:szCs w:val="21"/>
        </w:rPr>
        <w:t>4.3</w:t>
      </w:r>
      <w:r>
        <w:rPr>
          <w:spacing w:val="-12"/>
          <w:sz w:val="21"/>
          <w:szCs w:val="21"/>
        </w:rPr>
        <w:t xml:space="preserve"> </w:t>
      </w:r>
      <w:r>
        <w:rPr>
          <w:rFonts w:hint="eastAsia"/>
          <w:spacing w:val="-12"/>
          <w:sz w:val="21"/>
          <w:szCs w:val="21"/>
        </w:rPr>
        <w:t>款的有关要求。</w:t>
      </w:r>
    </w:p>
    <w:p>
      <w:pPr>
        <w:pStyle w:val="49"/>
        <w:tabs>
          <w:tab w:val="left" w:pos="1620"/>
        </w:tabs>
        <w:spacing w:before="100" w:line="360" w:lineRule="auto"/>
        <w:ind w:left="0" w:firstLine="0"/>
        <w:rPr>
          <w:rFonts w:cs="Times New Roman"/>
        </w:rPr>
      </w:pPr>
      <w:r>
        <w:rPr>
          <w:sz w:val="20"/>
          <w:szCs w:val="20"/>
        </w:rPr>
        <w:t xml:space="preserve">   3.2.3</w:t>
      </w:r>
      <w:r>
        <w:rPr>
          <w:rFonts w:hint="eastAsia"/>
          <w:sz w:val="21"/>
          <w:szCs w:val="21"/>
        </w:rPr>
        <w:t>投标报价应包括国家规定的增值税税金，除投标人须知前附表另有规定外，</w:t>
      </w:r>
      <w:r>
        <w:rPr>
          <w:rFonts w:hint="eastAsia"/>
          <w:spacing w:val="-17"/>
          <w:sz w:val="21"/>
          <w:szCs w:val="21"/>
        </w:rPr>
        <w:t>增值税税金按一般计税方法计算。</w:t>
      </w:r>
    </w:p>
    <w:p>
      <w:pPr>
        <w:pStyle w:val="12"/>
        <w:tabs>
          <w:tab w:val="left" w:pos="2555"/>
        </w:tabs>
        <w:spacing w:before="91" w:line="360" w:lineRule="auto"/>
        <w:ind w:left="559" w:right="170"/>
        <w:rPr>
          <w:rFonts w:cs="Times New Roman"/>
          <w:color w:val="FF0000"/>
          <w:sz w:val="20"/>
          <w:szCs w:val="20"/>
        </w:rPr>
      </w:pPr>
      <w:r>
        <w:rPr>
          <w:spacing w:val="-17"/>
        </w:rPr>
        <w:t xml:space="preserve">3..2..4  </w:t>
      </w:r>
      <w:r>
        <w:rPr>
          <w:rFonts w:hint="eastAsia"/>
          <w:spacing w:val="-17"/>
        </w:rPr>
        <w:t>投标人应按第九章“投标文件格式”的要求在投标函中进行报价并填写工程量清单相应表格。本项目招标由招标人提供书面工程量清单，由投标人按照招标人提供的工程量清单填写本合同各工程子目的单</w:t>
      </w:r>
      <w:r>
        <w:rPr>
          <w:rFonts w:hint="eastAsia"/>
          <w:spacing w:val="-27"/>
        </w:rPr>
        <w:t>价、合价和总额价。评标委员会将按照第三章“</w:t>
      </w:r>
      <w:r>
        <w:rPr>
          <w:spacing w:val="-27"/>
        </w:rPr>
        <w:t xml:space="preserve"> </w:t>
      </w:r>
      <w:r>
        <w:rPr>
          <w:rFonts w:hint="eastAsia"/>
          <w:spacing w:val="-27"/>
        </w:rPr>
        <w:t>评标办法”的规定对投标价进行算术性错误修正</w:t>
      </w:r>
      <w:r>
        <w:rPr>
          <w:rFonts w:hint="eastAsia"/>
          <w:spacing w:val="-7"/>
        </w:rPr>
        <w:t>及其他错误修正。</w:t>
      </w:r>
    </w:p>
    <w:p>
      <w:pPr>
        <w:pStyle w:val="49"/>
        <w:tabs>
          <w:tab w:val="left" w:pos="1148"/>
        </w:tabs>
        <w:spacing w:before="86" w:line="360" w:lineRule="auto"/>
        <w:ind w:right="754"/>
        <w:jc w:val="both"/>
        <w:rPr>
          <w:rFonts w:cs="Times New Roman"/>
          <w:spacing w:val="-27"/>
          <w:sz w:val="21"/>
          <w:szCs w:val="21"/>
        </w:rPr>
      </w:pPr>
      <w:r>
        <w:rPr>
          <w:spacing w:val="-27"/>
          <w:sz w:val="21"/>
          <w:szCs w:val="21"/>
        </w:rPr>
        <w:t>3.2.5</w:t>
      </w:r>
      <w:r>
        <w:rPr>
          <w:rFonts w:hint="eastAsia"/>
          <w:spacing w:val="-27"/>
          <w:sz w:val="21"/>
          <w:szCs w:val="21"/>
        </w:rPr>
        <w:t>投标人如果发现工程量清单中的数量与图纸中数量不一致时，应立即通知招标人核查，除非招标人以书面方式予以更正，否则，应以工程量清单中列出的数量为准。</w:t>
      </w:r>
    </w:p>
    <w:p>
      <w:pPr>
        <w:tabs>
          <w:tab w:val="left" w:pos="1148"/>
        </w:tabs>
        <w:spacing w:line="360" w:lineRule="auto"/>
        <w:rPr>
          <w:rFonts w:cs="Times New Roman"/>
          <w:spacing w:val="-6"/>
          <w:sz w:val="21"/>
          <w:szCs w:val="21"/>
        </w:rPr>
      </w:pPr>
      <w:r>
        <w:rPr>
          <w:spacing w:val="-6"/>
          <w:sz w:val="21"/>
          <w:szCs w:val="21"/>
        </w:rPr>
        <w:t xml:space="preserve">     3.2.6</w:t>
      </w:r>
      <w:r>
        <w:rPr>
          <w:rFonts w:hint="eastAsia"/>
          <w:spacing w:val="-6"/>
          <w:sz w:val="21"/>
          <w:szCs w:val="21"/>
        </w:rPr>
        <w:t>投标人应根据《公路水运工程安全生产监督管理办法》，在投标总价中计入安全生产费用，安全生产费用应符合合同条款第</w:t>
      </w:r>
      <w:r>
        <w:rPr>
          <w:spacing w:val="-6"/>
          <w:sz w:val="21"/>
          <w:szCs w:val="21"/>
        </w:rPr>
        <w:t xml:space="preserve"> 9.2.5 </w:t>
      </w:r>
      <w:r>
        <w:rPr>
          <w:rFonts w:hint="eastAsia"/>
          <w:spacing w:val="-6"/>
          <w:sz w:val="21"/>
          <w:szCs w:val="21"/>
        </w:rPr>
        <w:t>项的规定。工程量清单第</w:t>
      </w:r>
      <w:r>
        <w:rPr>
          <w:spacing w:val="-6"/>
          <w:sz w:val="21"/>
          <w:szCs w:val="21"/>
        </w:rPr>
        <w:t xml:space="preserve"> 100</w:t>
      </w:r>
      <w:r>
        <w:rPr>
          <w:rFonts w:hint="eastAsia"/>
          <w:spacing w:val="-6"/>
          <w:sz w:val="21"/>
          <w:szCs w:val="21"/>
        </w:rPr>
        <w:t>章内列有上述安全生产费的支付子目，由投标人按招标文件的规定填写总额价。</w:t>
      </w:r>
    </w:p>
    <w:p>
      <w:pPr>
        <w:pStyle w:val="49"/>
        <w:tabs>
          <w:tab w:val="left" w:pos="1148"/>
        </w:tabs>
        <w:spacing w:line="360" w:lineRule="auto"/>
        <w:ind w:left="544" w:right="538" w:firstLine="0"/>
        <w:rPr>
          <w:rFonts w:cs="Times New Roman"/>
          <w:sz w:val="21"/>
          <w:szCs w:val="21"/>
        </w:rPr>
      </w:pPr>
      <w:r>
        <w:rPr>
          <w:spacing w:val="-14"/>
          <w:sz w:val="21"/>
          <w:szCs w:val="21"/>
        </w:rPr>
        <w:t>3.2.7</w:t>
      </w:r>
      <w:r>
        <w:rPr>
          <w:rFonts w:hint="eastAsia"/>
          <w:spacing w:val="-14"/>
          <w:sz w:val="21"/>
          <w:szCs w:val="21"/>
        </w:rPr>
        <w:t>除投标人须知前附表另有规定外，招标人不接受调价函。若招标人接受调价函，则应在招标</w:t>
      </w:r>
      <w:r>
        <w:rPr>
          <w:rFonts w:hint="eastAsia"/>
          <w:spacing w:val="-8"/>
          <w:sz w:val="21"/>
          <w:szCs w:val="21"/>
        </w:rPr>
        <w:t>文件中给出调价函的格式。投标人若有调价函则应遵循如下规定：</w:t>
      </w:r>
    </w:p>
    <w:p>
      <w:pPr>
        <w:pStyle w:val="49"/>
        <w:numPr>
          <w:ilvl w:val="0"/>
          <w:numId w:val="13"/>
        </w:numPr>
        <w:tabs>
          <w:tab w:val="left" w:pos="1024"/>
        </w:tabs>
        <w:spacing w:before="3" w:line="360" w:lineRule="auto"/>
        <w:ind w:right="437" w:firstLine="367"/>
        <w:rPr>
          <w:rFonts w:cs="Times New Roman"/>
          <w:sz w:val="21"/>
          <w:szCs w:val="21"/>
        </w:rPr>
      </w:pPr>
      <w:r>
        <w:rPr>
          <w:rFonts w:hint="eastAsia"/>
          <w:spacing w:val="-9"/>
          <w:sz w:val="21"/>
          <w:szCs w:val="21"/>
        </w:rPr>
        <w:t>调价函必须采用招标文件规定的格式；调价函应说明调价后的最终报价，</w:t>
      </w:r>
      <w:r>
        <w:rPr>
          <w:spacing w:val="-9"/>
          <w:sz w:val="21"/>
          <w:szCs w:val="21"/>
        </w:rPr>
        <w:t xml:space="preserve"> </w:t>
      </w:r>
      <w:r>
        <w:rPr>
          <w:rFonts w:hint="eastAsia"/>
          <w:spacing w:val="-9"/>
          <w:sz w:val="21"/>
          <w:szCs w:val="21"/>
        </w:rPr>
        <w:t>并以最终报价为准，而且投标人只能有一次调价的机会；</w:t>
      </w:r>
    </w:p>
    <w:p>
      <w:pPr>
        <w:pStyle w:val="49"/>
        <w:numPr>
          <w:ilvl w:val="0"/>
          <w:numId w:val="13"/>
        </w:numPr>
        <w:tabs>
          <w:tab w:val="left" w:pos="1043"/>
        </w:tabs>
        <w:spacing w:before="1" w:line="360" w:lineRule="auto"/>
        <w:ind w:left="1042" w:hanging="525"/>
        <w:rPr>
          <w:rFonts w:cs="Times New Roman"/>
          <w:sz w:val="21"/>
          <w:szCs w:val="21"/>
        </w:rPr>
      </w:pPr>
      <w:r>
        <w:rPr>
          <w:rFonts w:hint="eastAsia"/>
          <w:sz w:val="21"/>
          <w:szCs w:val="21"/>
        </w:rPr>
        <w:t>工程量清单中招标人指定的报价不允许调价；</w:t>
      </w:r>
    </w:p>
    <w:p>
      <w:pPr>
        <w:pStyle w:val="49"/>
        <w:numPr>
          <w:ilvl w:val="0"/>
          <w:numId w:val="13"/>
        </w:numPr>
        <w:tabs>
          <w:tab w:val="left" w:pos="1259"/>
        </w:tabs>
        <w:spacing w:line="360" w:lineRule="auto"/>
        <w:ind w:right="436" w:firstLine="607"/>
        <w:rPr>
          <w:rFonts w:cs="Times New Roman"/>
          <w:spacing w:val="-15"/>
          <w:sz w:val="21"/>
          <w:szCs w:val="21"/>
        </w:rPr>
      </w:pPr>
      <w:r>
        <w:rPr>
          <w:rFonts w:hint="eastAsia"/>
          <w:spacing w:val="-15"/>
          <w:sz w:val="21"/>
          <w:szCs w:val="21"/>
        </w:rPr>
        <w:t>调价函必须附有调价后的工程量清单；调价函必须粘贴或机械装订在投标文件正本首页，与投</w:t>
      </w:r>
      <w:r>
        <w:rPr>
          <w:spacing w:val="-15"/>
          <w:sz w:val="21"/>
          <w:szCs w:val="21"/>
        </w:rPr>
        <w:t xml:space="preserve">   </w:t>
      </w:r>
      <w:r>
        <w:rPr>
          <w:rFonts w:hint="eastAsia"/>
          <w:spacing w:val="-15"/>
          <w:sz w:val="21"/>
          <w:szCs w:val="21"/>
        </w:rPr>
        <w:t>标文件一起密封提交。</w:t>
      </w:r>
    </w:p>
    <w:p>
      <w:pPr>
        <w:pStyle w:val="49"/>
        <w:numPr>
          <w:ilvl w:val="0"/>
          <w:numId w:val="13"/>
        </w:numPr>
        <w:tabs>
          <w:tab w:val="left" w:pos="1259"/>
        </w:tabs>
        <w:spacing w:line="360" w:lineRule="auto"/>
        <w:ind w:right="436" w:firstLine="607"/>
        <w:rPr>
          <w:rFonts w:cs="Times New Roman"/>
          <w:spacing w:val="-15"/>
          <w:sz w:val="21"/>
          <w:szCs w:val="21"/>
        </w:rPr>
      </w:pPr>
      <w:r>
        <w:rPr>
          <w:rFonts w:hint="eastAsia"/>
          <w:spacing w:val="-15"/>
          <w:sz w:val="21"/>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Style w:val="49"/>
        <w:numPr>
          <w:ilvl w:val="0"/>
          <w:numId w:val="13"/>
        </w:numPr>
        <w:tabs>
          <w:tab w:val="left" w:pos="1259"/>
        </w:tabs>
        <w:spacing w:line="360" w:lineRule="auto"/>
        <w:ind w:right="436" w:firstLine="607"/>
        <w:rPr>
          <w:rFonts w:cs="Times New Roman"/>
          <w:sz w:val="21"/>
          <w:szCs w:val="21"/>
        </w:rPr>
      </w:pPr>
      <w:r>
        <w:rPr>
          <w:rFonts w:hint="eastAsia"/>
          <w:spacing w:val="-15"/>
          <w:sz w:val="21"/>
          <w:szCs w:val="21"/>
        </w:rPr>
        <w:t>若招标人接受调价函，投标人调价后的工程量清单和有效调价函的大写金额报价应保持一致</w:t>
      </w:r>
      <w:r>
        <w:rPr>
          <w:rFonts w:hint="eastAsia"/>
          <w:spacing w:val="-8"/>
          <w:sz w:val="21"/>
          <w:szCs w:val="21"/>
        </w:rPr>
        <w:t>，如果报价金额出现差异，则以有效调价函的大写金额报价为准。</w:t>
      </w:r>
    </w:p>
    <w:p>
      <w:pPr>
        <w:tabs>
          <w:tab w:val="left" w:pos="1078"/>
        </w:tabs>
        <w:spacing w:before="3" w:line="360" w:lineRule="auto"/>
        <w:ind w:right="830"/>
        <w:rPr>
          <w:rFonts w:cs="Times New Roman"/>
          <w:sz w:val="19"/>
          <w:szCs w:val="19"/>
        </w:rPr>
      </w:pPr>
      <w:r>
        <w:rPr>
          <w:spacing w:val="-9"/>
          <w:sz w:val="21"/>
          <w:szCs w:val="21"/>
        </w:rPr>
        <w:t xml:space="preserve">       3.2.8</w:t>
      </w:r>
      <w:r>
        <w:rPr>
          <w:rFonts w:hint="eastAsia"/>
          <w:spacing w:val="-9"/>
          <w:sz w:val="21"/>
          <w:szCs w:val="21"/>
        </w:rPr>
        <w:t>在合同实施期间，投标人填写的单价、合价和总额价是否由于物价波动进行价格调整按照合</w:t>
      </w:r>
      <w:r>
        <w:rPr>
          <w:rFonts w:hint="eastAsia"/>
          <w:spacing w:val="-7"/>
          <w:sz w:val="21"/>
          <w:szCs w:val="21"/>
        </w:rPr>
        <w:t>同条款第</w:t>
      </w:r>
      <w:r>
        <w:rPr>
          <w:spacing w:val="-7"/>
          <w:sz w:val="21"/>
          <w:szCs w:val="21"/>
        </w:rPr>
        <w:t xml:space="preserve"> </w:t>
      </w:r>
      <w:r>
        <w:rPr>
          <w:sz w:val="21"/>
          <w:szCs w:val="21"/>
        </w:rPr>
        <w:t>16.1</w:t>
      </w:r>
      <w:r>
        <w:rPr>
          <w:spacing w:val="-14"/>
          <w:sz w:val="21"/>
          <w:szCs w:val="21"/>
        </w:rPr>
        <w:t xml:space="preserve"> </w:t>
      </w:r>
      <w:r>
        <w:rPr>
          <w:rFonts w:hint="eastAsia"/>
          <w:spacing w:val="-14"/>
          <w:sz w:val="21"/>
          <w:szCs w:val="21"/>
        </w:rPr>
        <w:t>款的规定处理。如果按照合同条款第</w:t>
      </w:r>
      <w:r>
        <w:rPr>
          <w:spacing w:val="-14"/>
          <w:sz w:val="21"/>
          <w:szCs w:val="21"/>
        </w:rPr>
        <w:t xml:space="preserve"> </w:t>
      </w:r>
      <w:r>
        <w:rPr>
          <w:sz w:val="21"/>
          <w:szCs w:val="21"/>
        </w:rPr>
        <w:t>16.1.1</w:t>
      </w:r>
      <w:r>
        <w:rPr>
          <w:spacing w:val="-15"/>
          <w:sz w:val="21"/>
          <w:szCs w:val="21"/>
        </w:rPr>
        <w:t xml:space="preserve"> </w:t>
      </w:r>
      <w:r>
        <w:rPr>
          <w:rFonts w:hint="eastAsia"/>
          <w:spacing w:val="-15"/>
          <w:sz w:val="21"/>
          <w:szCs w:val="21"/>
        </w:rPr>
        <w:t>项的规定采用价格调整公式进行价格调整，</w:t>
      </w:r>
      <w:r>
        <w:rPr>
          <w:spacing w:val="-15"/>
          <w:sz w:val="21"/>
          <w:szCs w:val="21"/>
        </w:rPr>
        <w:t xml:space="preserve"> </w:t>
      </w:r>
      <w:r>
        <w:rPr>
          <w:rFonts w:hint="eastAsia"/>
          <w:spacing w:val="-17"/>
          <w:sz w:val="21"/>
          <w:szCs w:val="21"/>
        </w:rPr>
        <w:t>由招标人根据项目实际情况测算确定价格调整公式中的变值权重范围，并在投标函附录价格指数和权重表中</w:t>
      </w:r>
      <w:r>
        <w:rPr>
          <w:rFonts w:hint="eastAsia"/>
          <w:spacing w:val="-14"/>
          <w:sz w:val="21"/>
          <w:szCs w:val="21"/>
        </w:rPr>
        <w:t>约定范围；投标人在此范围内填写各可调因子的权重，合同实施期间将按此权重进行调价。</w:t>
      </w:r>
    </w:p>
    <w:p>
      <w:pPr>
        <w:pStyle w:val="49"/>
        <w:tabs>
          <w:tab w:val="left" w:pos="1078"/>
        </w:tabs>
        <w:spacing w:before="6" w:line="360" w:lineRule="auto"/>
        <w:ind w:left="556" w:right="550" w:firstLine="0"/>
        <w:rPr>
          <w:rFonts w:cs="Times New Roman"/>
          <w:sz w:val="19"/>
          <w:szCs w:val="19"/>
        </w:rPr>
      </w:pPr>
      <w:r>
        <w:rPr>
          <w:spacing w:val="-5"/>
          <w:sz w:val="21"/>
          <w:szCs w:val="21"/>
        </w:rPr>
        <w:t>3.2.9</w:t>
      </w:r>
      <w:r>
        <w:rPr>
          <w:rFonts w:hint="eastAsia"/>
          <w:spacing w:val="-5"/>
          <w:sz w:val="21"/>
          <w:szCs w:val="21"/>
        </w:rPr>
        <w:t>招标人设有最高投标限价的，投标人的投标报价不得超过最高投标限价，</w:t>
      </w:r>
      <w:r>
        <w:rPr>
          <w:spacing w:val="-5"/>
          <w:sz w:val="21"/>
          <w:szCs w:val="21"/>
        </w:rPr>
        <w:t xml:space="preserve"> </w:t>
      </w:r>
      <w:r>
        <w:rPr>
          <w:rFonts w:hint="eastAsia"/>
          <w:spacing w:val="-5"/>
          <w:sz w:val="21"/>
          <w:szCs w:val="21"/>
        </w:rPr>
        <w:t>最高投标限价在投标人须知前附表中载明。</w:t>
      </w:r>
    </w:p>
    <w:p>
      <w:pPr>
        <w:tabs>
          <w:tab w:val="left" w:pos="1085"/>
        </w:tabs>
        <w:spacing w:before="32" w:line="360" w:lineRule="auto"/>
        <w:rPr>
          <w:rFonts w:cs="Times New Roman"/>
          <w:sz w:val="19"/>
          <w:szCs w:val="19"/>
        </w:rPr>
      </w:pPr>
      <w:r>
        <w:rPr>
          <w:sz w:val="21"/>
          <w:szCs w:val="21"/>
        </w:rPr>
        <w:t xml:space="preserve">     3.2.10</w:t>
      </w:r>
      <w:r>
        <w:rPr>
          <w:rFonts w:hint="eastAsia"/>
          <w:sz w:val="21"/>
          <w:szCs w:val="21"/>
        </w:rPr>
        <w:t>投标报价的其他要求见投标人须知前附表。</w:t>
      </w:r>
    </w:p>
    <w:p>
      <w:pPr>
        <w:pStyle w:val="10"/>
        <w:numPr>
          <w:ilvl w:val="1"/>
          <w:numId w:val="3"/>
        </w:numPr>
        <w:tabs>
          <w:tab w:val="left" w:pos="1049"/>
        </w:tabs>
        <w:spacing w:before="154" w:line="360" w:lineRule="auto"/>
        <w:ind w:left="1048" w:hanging="541"/>
        <w:jc w:val="both"/>
        <w:rPr>
          <w:rFonts w:cs="Times New Roman"/>
          <w:b/>
          <w:bCs/>
        </w:rPr>
      </w:pPr>
      <w:r>
        <w:rPr>
          <w:rFonts w:hint="eastAsia"/>
          <w:b/>
          <w:bCs/>
        </w:rPr>
        <w:t>投标有效期</w:t>
      </w:r>
    </w:p>
    <w:p>
      <w:pPr>
        <w:pStyle w:val="49"/>
        <w:numPr>
          <w:ilvl w:val="2"/>
          <w:numId w:val="3"/>
        </w:numPr>
        <w:tabs>
          <w:tab w:val="left" w:pos="1064"/>
        </w:tabs>
        <w:spacing w:before="3" w:line="360" w:lineRule="auto"/>
        <w:ind w:left="1063" w:hanging="517"/>
        <w:rPr>
          <w:rFonts w:cs="Times New Roman"/>
          <w:sz w:val="19"/>
          <w:szCs w:val="19"/>
        </w:rPr>
      </w:pPr>
      <w:r>
        <w:rPr>
          <w:rFonts w:hint="eastAsia"/>
          <w:spacing w:val="-6"/>
          <w:sz w:val="21"/>
          <w:szCs w:val="21"/>
        </w:rPr>
        <w:t>除投标人须知前附表另有规定外，投标有效期为</w:t>
      </w:r>
      <w:r>
        <w:rPr>
          <w:spacing w:val="-6"/>
          <w:sz w:val="21"/>
          <w:szCs w:val="21"/>
        </w:rPr>
        <w:t xml:space="preserve"> </w:t>
      </w:r>
      <w:r>
        <w:rPr>
          <w:sz w:val="21"/>
          <w:szCs w:val="21"/>
        </w:rPr>
        <w:t>90</w:t>
      </w:r>
      <w:r>
        <w:rPr>
          <w:spacing w:val="-1"/>
          <w:sz w:val="21"/>
          <w:szCs w:val="21"/>
        </w:rPr>
        <w:t xml:space="preserve"> </w:t>
      </w:r>
      <w:r>
        <w:rPr>
          <w:rFonts w:hint="eastAsia"/>
          <w:spacing w:val="-1"/>
          <w:sz w:val="21"/>
          <w:szCs w:val="21"/>
        </w:rPr>
        <w:t>日。</w:t>
      </w:r>
    </w:p>
    <w:p>
      <w:pPr>
        <w:pStyle w:val="49"/>
        <w:numPr>
          <w:ilvl w:val="2"/>
          <w:numId w:val="3"/>
        </w:numPr>
        <w:tabs>
          <w:tab w:val="left" w:pos="1078"/>
        </w:tabs>
        <w:spacing w:before="96" w:line="360" w:lineRule="auto"/>
        <w:ind w:left="1077" w:hanging="522"/>
        <w:rPr>
          <w:rFonts w:cs="Times New Roman"/>
          <w:sz w:val="19"/>
          <w:szCs w:val="19"/>
        </w:rPr>
      </w:pPr>
      <w:r>
        <w:rPr>
          <w:rFonts w:hint="eastAsia"/>
          <w:spacing w:val="-3"/>
          <w:sz w:val="21"/>
          <w:szCs w:val="21"/>
        </w:rPr>
        <w:t>在投标有效期内，投标人撤销投标文件的，应承担招标文件和法律规定的责任。</w:t>
      </w:r>
    </w:p>
    <w:p>
      <w:pPr>
        <w:pStyle w:val="49"/>
        <w:numPr>
          <w:ilvl w:val="2"/>
          <w:numId w:val="3"/>
        </w:numPr>
        <w:tabs>
          <w:tab w:val="left" w:pos="1078"/>
        </w:tabs>
        <w:spacing w:before="86" w:line="360" w:lineRule="auto"/>
        <w:ind w:left="139" w:right="528" w:firstLine="417"/>
        <w:jc w:val="both"/>
        <w:rPr>
          <w:rFonts w:cs="Times New Roman"/>
          <w:sz w:val="19"/>
          <w:szCs w:val="19"/>
        </w:rPr>
      </w:pPr>
      <w:r>
        <w:rPr>
          <w:rFonts w:hint="eastAsia"/>
          <w:spacing w:val="-6"/>
          <w:sz w:val="21"/>
          <w:szCs w:val="21"/>
        </w:rPr>
        <w:t>出现特殊情况需要延长投标有效期的，招标人以书面形式通知所有投标人延长投标有效期。</w:t>
      </w:r>
      <w:r>
        <w:rPr>
          <w:spacing w:val="-6"/>
          <w:sz w:val="21"/>
          <w:szCs w:val="21"/>
        </w:rPr>
        <w:t xml:space="preserve">  </w:t>
      </w:r>
      <w:r>
        <w:rPr>
          <w:rFonts w:hint="eastAsia"/>
          <w:spacing w:val="-6"/>
          <w:sz w:val="21"/>
          <w:szCs w:val="21"/>
        </w:rPr>
        <w:t>投标人应予以书面答复，同意延长的，但不得要求或被允许修改其投标文件</w:t>
      </w:r>
      <w:r>
        <w:rPr>
          <w:rFonts w:hint="eastAsia"/>
          <w:spacing w:val="-18"/>
          <w:sz w:val="21"/>
          <w:szCs w:val="21"/>
        </w:rPr>
        <w:t>；投标人拒绝延长的，其投标失效。</w:t>
      </w:r>
    </w:p>
    <w:p>
      <w:pPr>
        <w:pStyle w:val="10"/>
        <w:numPr>
          <w:ilvl w:val="1"/>
          <w:numId w:val="3"/>
        </w:numPr>
        <w:tabs>
          <w:tab w:val="left" w:pos="1049"/>
        </w:tabs>
        <w:spacing w:before="154" w:line="360" w:lineRule="auto"/>
        <w:ind w:left="1048" w:hanging="541"/>
        <w:jc w:val="both"/>
        <w:rPr>
          <w:rFonts w:ascii="黑体" w:eastAsia="黑体" w:cs="Times New Roman"/>
          <w:b/>
          <w:bCs/>
        </w:rPr>
      </w:pPr>
      <w:r>
        <w:rPr>
          <w:rFonts w:hint="eastAsia"/>
          <w:b/>
          <w:bCs/>
        </w:rPr>
        <w:t>资格审查资料</w:t>
      </w:r>
    </w:p>
    <w:p>
      <w:pPr>
        <w:pStyle w:val="49"/>
        <w:numPr>
          <w:ilvl w:val="2"/>
          <w:numId w:val="3"/>
        </w:numPr>
        <w:tabs>
          <w:tab w:val="left" w:pos="1695"/>
        </w:tabs>
        <w:spacing w:before="4" w:line="360" w:lineRule="auto"/>
        <w:ind w:left="1694" w:hanging="707"/>
        <w:jc w:val="both"/>
        <w:rPr>
          <w:rFonts w:cs="Times New Roman"/>
          <w:sz w:val="21"/>
          <w:szCs w:val="21"/>
        </w:rPr>
      </w:pPr>
      <w:r>
        <w:rPr>
          <w:rFonts w:hint="eastAsia"/>
          <w:sz w:val="21"/>
          <w:szCs w:val="21"/>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p>
    <w:p>
      <w:pPr>
        <w:pStyle w:val="49"/>
        <w:numPr>
          <w:ilvl w:val="2"/>
          <w:numId w:val="3"/>
        </w:numPr>
        <w:tabs>
          <w:tab w:val="left" w:pos="1695"/>
        </w:tabs>
        <w:spacing w:before="4" w:line="360" w:lineRule="auto"/>
        <w:ind w:left="1694" w:hanging="707"/>
        <w:jc w:val="both"/>
        <w:rPr>
          <w:rFonts w:ascii="Times New Roman" w:hAnsi="Times New Roman" w:cs="Times New Roman"/>
          <w:sz w:val="24"/>
          <w:szCs w:val="24"/>
        </w:rPr>
      </w:pPr>
      <w:r>
        <w:rPr>
          <w:rFonts w:hint="eastAsia"/>
          <w:sz w:val="21"/>
          <w:szCs w:val="21"/>
        </w:rPr>
        <w:t>“财务状况表”应附经会计师事务所或审计机构审计的财务会计报表，包括资产负债表、现金流量表、利润表和财务情况说明书的复印件，具体年份要求见投标人须知前附表。投标人的成立</w:t>
      </w:r>
      <w:r>
        <w:rPr>
          <w:rFonts w:hint="eastAsia"/>
          <w:spacing w:val="-17"/>
          <w:sz w:val="21"/>
          <w:szCs w:val="21"/>
        </w:rPr>
        <w:t>时间少于投标人须知前附表规定年份的，应提供成立以来的财务状况表。</w:t>
      </w:r>
    </w:p>
    <w:p>
      <w:pPr>
        <w:pStyle w:val="49"/>
        <w:numPr>
          <w:ilvl w:val="2"/>
          <w:numId w:val="3"/>
        </w:numPr>
        <w:tabs>
          <w:tab w:val="left" w:pos="1589"/>
        </w:tabs>
        <w:spacing w:before="4" w:line="360" w:lineRule="auto"/>
        <w:ind w:left="1588" w:hanging="601"/>
        <w:jc w:val="both"/>
        <w:rPr>
          <w:rFonts w:ascii="Times New Roman" w:hAnsi="Times New Roman" w:cs="Times New Roman"/>
          <w:sz w:val="24"/>
          <w:szCs w:val="24"/>
        </w:rPr>
      </w:pPr>
      <w:r>
        <w:rPr>
          <w:rFonts w:hint="eastAsia"/>
          <w:spacing w:val="-15"/>
          <w:sz w:val="21"/>
          <w:szCs w:val="21"/>
        </w:rPr>
        <w:t>“近年完成的类似项目”具体时间要求见投标人须知前附表。</w:t>
      </w:r>
    </w:p>
    <w:p>
      <w:pPr>
        <w:pStyle w:val="49"/>
        <w:numPr>
          <w:ilvl w:val="2"/>
          <w:numId w:val="3"/>
        </w:numPr>
        <w:tabs>
          <w:tab w:val="left" w:pos="1695"/>
        </w:tabs>
        <w:spacing w:before="84" w:line="360" w:lineRule="auto"/>
        <w:ind w:right="526" w:firstLine="480"/>
        <w:jc w:val="both"/>
        <w:rPr>
          <w:rFonts w:ascii="Times New Roman" w:hAnsi="Times New Roman" w:cs="Times New Roman"/>
          <w:sz w:val="24"/>
          <w:szCs w:val="24"/>
        </w:rPr>
      </w:pPr>
      <w:r>
        <w:rPr>
          <w:rFonts w:hint="eastAsia"/>
          <w:spacing w:val="-17"/>
          <w:sz w:val="21"/>
          <w:szCs w:val="21"/>
        </w:rPr>
        <w:t>“投标人的信誉情况表”应附投标人在国家企业信用信息公示系统中未被列入严重违法失信企业名单、在“信用中国”网站中未被列入失信被执行人名单的网页截图复印件</w:t>
      </w:r>
      <w:r>
        <w:rPr>
          <w:rFonts w:hint="eastAsia"/>
          <w:spacing w:val="-22"/>
          <w:sz w:val="21"/>
          <w:szCs w:val="21"/>
        </w:rPr>
        <w:t>。</w:t>
      </w:r>
    </w:p>
    <w:p>
      <w:pPr>
        <w:pStyle w:val="49"/>
        <w:numPr>
          <w:ilvl w:val="2"/>
          <w:numId w:val="3"/>
        </w:numPr>
        <w:tabs>
          <w:tab w:val="left" w:pos="1589"/>
        </w:tabs>
        <w:spacing w:before="4" w:line="360" w:lineRule="auto"/>
        <w:ind w:right="526" w:firstLine="480"/>
        <w:jc w:val="both"/>
        <w:rPr>
          <w:rFonts w:ascii="Times New Roman" w:hAnsi="Times New Roman" w:cs="Times New Roman"/>
          <w:sz w:val="24"/>
          <w:szCs w:val="24"/>
        </w:rPr>
      </w:pPr>
      <w:r>
        <w:rPr>
          <w:rFonts w:hint="eastAsia"/>
          <w:spacing w:val="-4"/>
          <w:sz w:val="21"/>
          <w:szCs w:val="21"/>
        </w:rPr>
        <w:t>“拟委任的项目经理和项目总工资历表”应附项目经理和项目总工的身份证、职称资</w:t>
      </w:r>
      <w:r>
        <w:rPr>
          <w:rFonts w:hint="eastAsia"/>
          <w:spacing w:val="-17"/>
          <w:sz w:val="21"/>
          <w:szCs w:val="21"/>
        </w:rPr>
        <w:t>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近三个月参加社保的有效证明材料复印件。</w:t>
      </w:r>
    </w:p>
    <w:p>
      <w:pPr>
        <w:pStyle w:val="49"/>
        <w:numPr>
          <w:ilvl w:val="2"/>
          <w:numId w:val="3"/>
        </w:numPr>
        <w:tabs>
          <w:tab w:val="left" w:pos="1589"/>
        </w:tabs>
        <w:spacing w:before="4" w:line="360" w:lineRule="auto"/>
        <w:ind w:right="526" w:firstLine="480"/>
        <w:jc w:val="both"/>
        <w:rPr>
          <w:rFonts w:cs="Times New Roman"/>
          <w:spacing w:val="-17"/>
          <w:sz w:val="21"/>
          <w:szCs w:val="21"/>
        </w:rPr>
      </w:pPr>
      <w:r>
        <w:rPr>
          <w:rFonts w:hint="eastAsia"/>
          <w:spacing w:val="-17"/>
          <w:sz w:val="21"/>
          <w:szCs w:val="21"/>
        </w:rPr>
        <w:t>除合同条款约定的特殊情形外，投标人在投标文件中填报的项目经理和项目总工不允许更换。</w:t>
      </w:r>
    </w:p>
    <w:p>
      <w:pPr>
        <w:pStyle w:val="49"/>
        <w:numPr>
          <w:ilvl w:val="2"/>
          <w:numId w:val="3"/>
        </w:numPr>
        <w:tabs>
          <w:tab w:val="left" w:pos="1700"/>
        </w:tabs>
        <w:spacing w:before="9" w:line="360" w:lineRule="auto"/>
        <w:ind w:right="526" w:firstLine="480"/>
        <w:jc w:val="both"/>
        <w:rPr>
          <w:rFonts w:ascii="Times New Roman" w:eastAsia="Times New Roman" w:cs="Times New Roman"/>
          <w:sz w:val="24"/>
          <w:szCs w:val="24"/>
        </w:rPr>
      </w:pPr>
      <w:r>
        <w:rPr>
          <w:rFonts w:hint="eastAsia"/>
          <w:spacing w:val="-6"/>
        </w:rPr>
        <w:t>招标人有权核查投标人在资格预审申请文件和投标文件中提供的资料，若在评标</w:t>
      </w:r>
      <w:r>
        <w:rPr>
          <w:rFonts w:hint="eastAsia"/>
          <w:spacing w:val="-3"/>
        </w:rPr>
        <w:t>期间发现投标人提供了虚假资料，其投标将被否决；若在签订合同前发现作为中标候选人的</w:t>
      </w:r>
      <w:r>
        <w:rPr>
          <w:rFonts w:hint="eastAsia"/>
          <w:spacing w:val="-17"/>
        </w:rPr>
        <w:t>投标人提供了虚假资料，招标人有权取消其中标资格；若在合同实施期间发现投标人提供了虚假资料，招标人有权从工程支付款或履约保证金中扣除不超过</w:t>
      </w:r>
      <w:r>
        <w:rPr>
          <w:spacing w:val="-7"/>
        </w:rPr>
        <w:t>10</w:t>
      </w:r>
      <w:r>
        <w:rPr>
          <w:rFonts w:hint="eastAsia"/>
          <w:spacing w:val="-16"/>
        </w:rPr>
        <w:t>％签约合同价的金额作为违约金。</w:t>
      </w:r>
      <w:r>
        <w:rPr>
          <w:rFonts w:hint="eastAsia"/>
          <w:spacing w:val="-21"/>
        </w:rPr>
        <w:t>同时招标人将投标人上述弄虚作假行为上报省级交通运输主管部门，作为不良记录纳入公路建设</w:t>
      </w:r>
      <w:r>
        <w:rPr>
          <w:rFonts w:hint="eastAsia"/>
          <w:spacing w:val="-5"/>
        </w:rPr>
        <w:t>市场信用信息管理系统。</w:t>
      </w:r>
    </w:p>
    <w:p>
      <w:pPr>
        <w:pStyle w:val="49"/>
        <w:numPr>
          <w:ilvl w:val="1"/>
          <w:numId w:val="3"/>
        </w:numPr>
        <w:tabs>
          <w:tab w:val="left" w:pos="989"/>
        </w:tabs>
        <w:spacing w:before="160" w:line="360" w:lineRule="auto"/>
        <w:ind w:left="988" w:hanging="481"/>
        <w:jc w:val="both"/>
        <w:rPr>
          <w:rFonts w:ascii="黑体" w:eastAsia="黑体" w:cs="Times New Roman"/>
          <w:b/>
          <w:bCs/>
          <w:sz w:val="24"/>
          <w:szCs w:val="24"/>
        </w:rPr>
      </w:pPr>
      <w:r>
        <w:rPr>
          <w:rFonts w:hint="eastAsia"/>
          <w:b/>
          <w:bCs/>
          <w:sz w:val="24"/>
          <w:szCs w:val="24"/>
        </w:rPr>
        <w:t>备选投标方案</w:t>
      </w:r>
    </w:p>
    <w:p>
      <w:pPr>
        <w:pStyle w:val="12"/>
        <w:spacing w:before="154" w:line="360" w:lineRule="auto"/>
        <w:ind w:left="897"/>
        <w:rPr>
          <w:rFonts w:cs="Times New Roman"/>
        </w:rPr>
      </w:pPr>
      <w:r>
        <w:rPr>
          <w:rFonts w:hint="eastAsia"/>
        </w:rPr>
        <w:t>投标人不得递交备选投标方案。</w:t>
      </w:r>
    </w:p>
    <w:p>
      <w:pPr>
        <w:pStyle w:val="10"/>
        <w:numPr>
          <w:ilvl w:val="1"/>
          <w:numId w:val="3"/>
        </w:numPr>
        <w:tabs>
          <w:tab w:val="left" w:pos="989"/>
        </w:tabs>
        <w:spacing w:before="155" w:line="360" w:lineRule="auto"/>
        <w:ind w:left="988" w:hanging="481"/>
        <w:jc w:val="both"/>
        <w:rPr>
          <w:rFonts w:ascii="黑体" w:eastAsia="黑体" w:cs="Times New Roman"/>
          <w:b/>
          <w:bCs/>
        </w:rPr>
      </w:pPr>
      <w:r>
        <w:rPr>
          <w:rFonts w:hint="eastAsia"/>
          <w:b/>
          <w:bCs/>
        </w:rPr>
        <w:t>投标文件的编制</w:t>
      </w:r>
    </w:p>
    <w:p>
      <w:pPr>
        <w:pStyle w:val="49"/>
        <w:numPr>
          <w:ilvl w:val="2"/>
          <w:numId w:val="3"/>
        </w:numPr>
        <w:tabs>
          <w:tab w:val="left" w:pos="1589"/>
        </w:tabs>
        <w:spacing w:before="1" w:line="360" w:lineRule="auto"/>
        <w:ind w:right="420" w:firstLine="480"/>
        <w:jc w:val="both"/>
        <w:rPr>
          <w:rFonts w:ascii="Times New Roman" w:hAnsi="Times New Roman" w:cs="Times New Roman"/>
          <w:sz w:val="24"/>
          <w:szCs w:val="24"/>
        </w:rPr>
      </w:pPr>
      <w:r>
        <w:rPr>
          <w:rFonts w:hint="eastAsia"/>
          <w:spacing w:val="-22"/>
          <w:sz w:val="21"/>
          <w:szCs w:val="21"/>
        </w:rPr>
        <w:t>投标文件应按第九章“投标文件格式”进行编写，如有必要，可以增加附页，</w:t>
      </w:r>
      <w:r>
        <w:rPr>
          <w:spacing w:val="-22"/>
          <w:sz w:val="21"/>
          <w:szCs w:val="21"/>
        </w:rPr>
        <w:t xml:space="preserve"> </w:t>
      </w:r>
      <w:r>
        <w:rPr>
          <w:rFonts w:hint="eastAsia"/>
          <w:spacing w:val="-22"/>
          <w:sz w:val="21"/>
          <w:szCs w:val="21"/>
        </w:rPr>
        <w:t>作为投标文</w:t>
      </w:r>
      <w:r>
        <w:rPr>
          <w:rFonts w:hint="eastAsia"/>
          <w:spacing w:val="-3"/>
          <w:sz w:val="21"/>
          <w:szCs w:val="21"/>
        </w:rPr>
        <w:t>件的组成部分。其中，投标函附录在满足招标文件实质性要求的基础上，可以提出比招标文件要求更有利于招标人的承诺。</w:t>
      </w:r>
    </w:p>
    <w:p>
      <w:pPr>
        <w:pStyle w:val="49"/>
        <w:numPr>
          <w:ilvl w:val="2"/>
          <w:numId w:val="3"/>
        </w:numPr>
        <w:tabs>
          <w:tab w:val="left" w:pos="1589"/>
        </w:tabs>
        <w:spacing w:before="4" w:line="360" w:lineRule="auto"/>
        <w:ind w:right="552" w:firstLine="480"/>
        <w:jc w:val="both"/>
        <w:rPr>
          <w:rFonts w:ascii="Times New Roman" w:eastAsia="Times New Roman" w:cs="Times New Roman"/>
          <w:sz w:val="24"/>
          <w:szCs w:val="24"/>
        </w:rPr>
      </w:pPr>
      <w:r>
        <w:rPr>
          <w:rFonts w:hint="eastAsia"/>
          <w:spacing w:val="-3"/>
          <w:sz w:val="21"/>
          <w:szCs w:val="21"/>
        </w:rPr>
        <w:t>投标文件应对招标文件有关工期、投标有效期、质量要求、安全目标、技术标准和要求、招标范围等实质性内容作出响应。</w:t>
      </w:r>
    </w:p>
    <w:p>
      <w:pPr>
        <w:pStyle w:val="49"/>
        <w:numPr>
          <w:ilvl w:val="2"/>
          <w:numId w:val="3"/>
        </w:numPr>
        <w:tabs>
          <w:tab w:val="left" w:pos="1589"/>
        </w:tabs>
        <w:spacing w:before="4" w:line="360" w:lineRule="auto"/>
        <w:ind w:right="425" w:firstLine="480"/>
        <w:jc w:val="both"/>
        <w:rPr>
          <w:rFonts w:ascii="Times New Roman" w:eastAsia="Times New Roman" w:cs="Times New Roman"/>
          <w:sz w:val="24"/>
          <w:szCs w:val="24"/>
        </w:rPr>
      </w:pPr>
      <w:r>
        <w:rPr>
          <w:rFonts w:hint="eastAsia"/>
          <w:sz w:val="21"/>
          <w:szCs w:val="21"/>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pStyle w:val="12"/>
        <w:spacing w:before="4" w:line="360" w:lineRule="auto"/>
        <w:ind w:left="1044"/>
        <w:rPr>
          <w:rFonts w:cs="Times New Roman"/>
        </w:rPr>
      </w:pPr>
      <w:r>
        <w:rPr>
          <w:rFonts w:hint="eastAsia"/>
        </w:rPr>
        <w:t>如果投标文件由委托代理人签署，则投标人须提交授权委托书，授权委托书应按第九章“投</w:t>
      </w:r>
    </w:p>
    <w:p>
      <w:pPr>
        <w:pStyle w:val="12"/>
        <w:spacing w:before="59" w:line="360" w:lineRule="auto"/>
        <w:ind w:left="564" w:right="425"/>
        <w:rPr>
          <w:rFonts w:cs="Times New Roman"/>
        </w:rPr>
      </w:pPr>
      <w:r>
        <w:rPr>
          <w:rFonts w:hint="eastAsia"/>
        </w:rPr>
        <w:t>标文件格式”的要求出具，并由法定代表人和委托代理人亲笔签名，不得使用印章、签名章或其他电子制版签名代替。投标文件应尽量避免涂改、行间插字或删除。如果出现上述情况，改动之处应由投标人的法定代表人或其授权的代理人签字或盖单位章。</w:t>
      </w:r>
    </w:p>
    <w:p>
      <w:pPr>
        <w:pStyle w:val="49"/>
        <w:numPr>
          <w:ilvl w:val="2"/>
          <w:numId w:val="3"/>
        </w:numPr>
        <w:tabs>
          <w:tab w:val="left" w:pos="1673"/>
        </w:tabs>
        <w:spacing w:line="360" w:lineRule="auto"/>
        <w:ind w:left="564" w:right="423" w:firstLine="480"/>
        <w:jc w:val="both"/>
        <w:rPr>
          <w:rFonts w:cs="Times New Roman"/>
          <w:sz w:val="21"/>
          <w:szCs w:val="21"/>
        </w:rPr>
      </w:pPr>
      <w:r>
        <w:rPr>
          <w:rFonts w:hint="eastAsia"/>
          <w:sz w:val="21"/>
          <w:szCs w:val="21"/>
        </w:rPr>
        <w:t>投标文件正本一份，副本份数见投标人须知前附表。正本和副本的封面上应清楚地标</w:t>
      </w:r>
      <w:r>
        <w:rPr>
          <w:sz w:val="21"/>
          <w:szCs w:val="21"/>
        </w:rPr>
        <w:t xml:space="preserve">  </w:t>
      </w:r>
      <w:r>
        <w:rPr>
          <w:rFonts w:hint="eastAsia"/>
          <w:sz w:val="21"/>
          <w:szCs w:val="21"/>
        </w:rPr>
        <w:t>记“正本”或“副本”的字样。当副本和正本不一致时，以正本为准。</w:t>
      </w:r>
    </w:p>
    <w:p>
      <w:pPr>
        <w:pStyle w:val="49"/>
        <w:numPr>
          <w:ilvl w:val="2"/>
          <w:numId w:val="3"/>
        </w:numPr>
        <w:tabs>
          <w:tab w:val="left" w:pos="1704"/>
        </w:tabs>
        <w:spacing w:line="360" w:lineRule="auto"/>
        <w:ind w:left="564" w:right="420" w:firstLine="480"/>
        <w:jc w:val="both"/>
        <w:rPr>
          <w:rFonts w:cs="Times New Roman"/>
        </w:rPr>
      </w:pPr>
      <w:r>
        <w:rPr>
          <w:rFonts w:hint="eastAsia"/>
          <w:spacing w:val="-2"/>
        </w:rPr>
        <w:t>投标文件的正本与副本应分别装订成册</w:t>
      </w:r>
      <w:r>
        <w:rPr>
          <w:rFonts w:hint="eastAsia"/>
        </w:rPr>
        <w:t>（</w:t>
      </w:r>
      <w:r>
        <w:t>A4</w:t>
      </w:r>
      <w:r>
        <w:rPr>
          <w:rFonts w:hint="eastAsia"/>
        </w:rPr>
        <w:t>纸幅）</w:t>
      </w:r>
      <w:r>
        <w:rPr>
          <w:rFonts w:hint="eastAsia"/>
          <w:spacing w:val="-1"/>
        </w:rPr>
        <w:t>，并编制目录、且逐页标注连续页码。投标文件不得采用活页夹装订，否则，招标人对由于投标文件装订松散而造成的丢</w:t>
      </w:r>
      <w:r>
        <w:rPr>
          <w:rFonts w:hint="eastAsia"/>
          <w:spacing w:val="-3"/>
        </w:rPr>
        <w:t>失或其他后果不承担任何责任。装订的其他要求见投标人须知前附表</w:t>
      </w:r>
      <w:r>
        <w:rPr>
          <w:rFonts w:hint="eastAsia"/>
          <w:sz w:val="24"/>
          <w:szCs w:val="24"/>
        </w:rPr>
        <w:t>。</w:t>
      </w:r>
    </w:p>
    <w:p>
      <w:pPr>
        <w:pStyle w:val="49"/>
        <w:numPr>
          <w:ilvl w:val="0"/>
          <w:numId w:val="3"/>
        </w:numPr>
        <w:tabs>
          <w:tab w:val="left" w:pos="621"/>
        </w:tabs>
        <w:spacing w:line="360" w:lineRule="auto"/>
        <w:ind w:left="620" w:hanging="242"/>
        <w:rPr>
          <w:rFonts w:cs="Times New Roman"/>
          <w:b/>
          <w:bCs/>
          <w:sz w:val="26"/>
          <w:szCs w:val="26"/>
        </w:rPr>
      </w:pPr>
      <w:r>
        <w:rPr>
          <w:rFonts w:hint="eastAsia"/>
          <w:b/>
          <w:bCs/>
          <w:sz w:val="24"/>
          <w:szCs w:val="24"/>
        </w:rPr>
        <w:t>投标</w:t>
      </w:r>
    </w:p>
    <w:p>
      <w:pPr>
        <w:pStyle w:val="49"/>
        <w:numPr>
          <w:ilvl w:val="1"/>
          <w:numId w:val="3"/>
        </w:numPr>
        <w:tabs>
          <w:tab w:val="left" w:pos="808"/>
        </w:tabs>
        <w:spacing w:line="360" w:lineRule="auto"/>
        <w:ind w:left="807" w:hanging="362"/>
        <w:rPr>
          <w:rFonts w:cs="Times New Roman"/>
          <w:b/>
          <w:bCs/>
        </w:rPr>
      </w:pPr>
      <w:r>
        <w:rPr>
          <w:rFonts w:hint="eastAsia"/>
          <w:b/>
          <w:bCs/>
          <w:sz w:val="24"/>
          <w:szCs w:val="24"/>
        </w:rPr>
        <w:t>投标文件的密封和标识</w:t>
      </w:r>
    </w:p>
    <w:p>
      <w:pPr>
        <w:pStyle w:val="49"/>
        <w:numPr>
          <w:ilvl w:val="2"/>
          <w:numId w:val="3"/>
        </w:numPr>
        <w:tabs>
          <w:tab w:val="left" w:pos="1589"/>
        </w:tabs>
        <w:spacing w:before="1" w:line="360" w:lineRule="auto"/>
        <w:ind w:left="564" w:right="423" w:firstLine="480"/>
        <w:jc w:val="both"/>
        <w:rPr>
          <w:rFonts w:cs="Times New Roman"/>
          <w:sz w:val="21"/>
          <w:szCs w:val="21"/>
        </w:rPr>
      </w:pPr>
      <w:r>
        <w:rPr>
          <w:rFonts w:hint="eastAsia"/>
          <w:spacing w:val="-2"/>
          <w:sz w:val="21"/>
          <w:szCs w:val="21"/>
        </w:rPr>
        <w:t>投标文件采用双信封形式密封。投标文件第一个信封</w:t>
      </w:r>
      <w:r>
        <w:rPr>
          <w:rFonts w:hint="eastAsia"/>
          <w:sz w:val="21"/>
          <w:szCs w:val="21"/>
        </w:rPr>
        <w:t>（商务及技术文件）</w:t>
      </w:r>
      <w:r>
        <w:rPr>
          <w:spacing w:val="-6"/>
          <w:sz w:val="21"/>
          <w:szCs w:val="21"/>
        </w:rPr>
        <w:t xml:space="preserve"> </w:t>
      </w:r>
      <w:r>
        <w:rPr>
          <w:rFonts w:hint="eastAsia"/>
          <w:spacing w:val="-6"/>
          <w:sz w:val="21"/>
          <w:szCs w:val="21"/>
        </w:rPr>
        <w:t>以及第二个信封（报价文件）应单独密封包装。商务及技术文件的正本与副本应统一密封在一个封套中。报价文件的正本与副本、投标文件电子版文件（如需要）以及填写完毕的工程量固化清单电子文件</w:t>
      </w:r>
    </w:p>
    <w:p>
      <w:pPr>
        <w:pStyle w:val="12"/>
        <w:spacing w:line="360" w:lineRule="auto"/>
        <w:ind w:left="564" w:right="423"/>
        <w:rPr>
          <w:rFonts w:cs="Times New Roman"/>
        </w:rPr>
      </w:pPr>
      <w:r>
        <w:rPr>
          <w:rFonts w:hint="eastAsia"/>
        </w:rPr>
        <w:t>（如采用工程量固化清单形式）应统一密封在另一个封套中。封套应加贴封条，并在封套的封口处加盖投标人单位章或由投标人的法定代表人或其委托代理人签字。</w:t>
      </w:r>
    </w:p>
    <w:p>
      <w:pPr>
        <w:pStyle w:val="49"/>
        <w:numPr>
          <w:ilvl w:val="2"/>
          <w:numId w:val="3"/>
        </w:numPr>
        <w:tabs>
          <w:tab w:val="left" w:pos="1589"/>
        </w:tabs>
        <w:spacing w:before="84" w:line="360" w:lineRule="auto"/>
        <w:ind w:left="564" w:right="425" w:firstLine="480"/>
        <w:rPr>
          <w:rFonts w:cs="Times New Roman"/>
          <w:sz w:val="21"/>
          <w:szCs w:val="21"/>
        </w:rPr>
      </w:pPr>
      <w:r>
        <w:rPr>
          <w:rFonts w:hint="eastAsia"/>
          <w:sz w:val="21"/>
          <w:szCs w:val="21"/>
        </w:rPr>
        <w:t>投标文件第一个信封</w:t>
      </w:r>
      <w:r>
        <w:rPr>
          <w:rFonts w:hint="eastAsia"/>
          <w:spacing w:val="4"/>
          <w:sz w:val="21"/>
          <w:szCs w:val="21"/>
        </w:rPr>
        <w:t>（</w:t>
      </w:r>
      <w:r>
        <w:rPr>
          <w:rFonts w:hint="eastAsia"/>
          <w:sz w:val="21"/>
          <w:szCs w:val="21"/>
        </w:rPr>
        <w:t>商务及技术文件</w:t>
      </w:r>
      <w:r>
        <w:rPr>
          <w:rFonts w:hint="eastAsia"/>
          <w:spacing w:val="4"/>
          <w:sz w:val="21"/>
          <w:szCs w:val="21"/>
        </w:rPr>
        <w:t>）</w:t>
      </w:r>
      <w:r>
        <w:rPr>
          <w:rFonts w:hint="eastAsia"/>
          <w:sz w:val="21"/>
          <w:szCs w:val="21"/>
        </w:rPr>
        <w:t>、第二个信封（报价文件</w:t>
      </w:r>
      <w:r>
        <w:rPr>
          <w:rFonts w:hint="eastAsia"/>
          <w:spacing w:val="4"/>
          <w:sz w:val="21"/>
          <w:szCs w:val="21"/>
        </w:rPr>
        <w:t>）</w:t>
      </w:r>
      <w:r>
        <w:rPr>
          <w:rFonts w:hint="eastAsia"/>
          <w:sz w:val="21"/>
          <w:szCs w:val="21"/>
        </w:rPr>
        <w:t>以及银行保函封套上应写明的内容见投标人须知前附表。</w:t>
      </w:r>
    </w:p>
    <w:p>
      <w:pPr>
        <w:pStyle w:val="49"/>
        <w:numPr>
          <w:ilvl w:val="2"/>
          <w:numId w:val="3"/>
        </w:numPr>
        <w:tabs>
          <w:tab w:val="left" w:pos="1589"/>
        </w:tabs>
        <w:spacing w:line="360" w:lineRule="auto"/>
        <w:ind w:left="1588" w:hanging="545"/>
        <w:rPr>
          <w:rFonts w:cs="Times New Roman"/>
          <w:sz w:val="21"/>
          <w:szCs w:val="21"/>
        </w:rPr>
      </w:pPr>
      <w:r>
        <w:rPr>
          <w:rFonts w:hint="eastAsia"/>
          <w:sz w:val="21"/>
          <w:szCs w:val="21"/>
        </w:rPr>
        <w:t>未按本章第</w:t>
      </w:r>
      <w:r>
        <w:rPr>
          <w:sz w:val="21"/>
          <w:szCs w:val="21"/>
        </w:rPr>
        <w:t xml:space="preserve"> 4.1.1</w:t>
      </w:r>
      <w:r>
        <w:rPr>
          <w:spacing w:val="-1"/>
          <w:sz w:val="21"/>
          <w:szCs w:val="21"/>
        </w:rPr>
        <w:t xml:space="preserve"> </w:t>
      </w:r>
      <w:r>
        <w:rPr>
          <w:rFonts w:hint="eastAsia"/>
          <w:spacing w:val="-1"/>
          <w:sz w:val="21"/>
          <w:szCs w:val="21"/>
        </w:rPr>
        <w:t>项要求密封的投标文件，招标人将予以拒收。</w:t>
      </w:r>
    </w:p>
    <w:p>
      <w:pPr>
        <w:pStyle w:val="10"/>
        <w:numPr>
          <w:ilvl w:val="1"/>
          <w:numId w:val="3"/>
        </w:numPr>
        <w:tabs>
          <w:tab w:val="left" w:pos="861"/>
        </w:tabs>
        <w:spacing w:before="88" w:line="360" w:lineRule="auto"/>
        <w:ind w:left="860" w:hanging="362"/>
        <w:rPr>
          <w:rFonts w:cs="Times New Roman"/>
          <w:b/>
          <w:bCs/>
          <w:sz w:val="22"/>
          <w:szCs w:val="22"/>
        </w:rPr>
      </w:pPr>
      <w:r>
        <w:rPr>
          <w:rFonts w:hint="eastAsia"/>
          <w:b/>
          <w:bCs/>
        </w:rPr>
        <w:t>投标文件的递交</w:t>
      </w:r>
    </w:p>
    <w:p>
      <w:pPr>
        <w:pStyle w:val="49"/>
        <w:numPr>
          <w:ilvl w:val="2"/>
          <w:numId w:val="3"/>
        </w:numPr>
        <w:tabs>
          <w:tab w:val="left" w:pos="1440"/>
        </w:tabs>
        <w:spacing w:before="94" w:line="360" w:lineRule="auto"/>
        <w:ind w:left="1439" w:hanging="524"/>
        <w:rPr>
          <w:rFonts w:cs="Times New Roman"/>
          <w:sz w:val="19"/>
          <w:szCs w:val="19"/>
        </w:rPr>
      </w:pPr>
      <w:r>
        <w:rPr>
          <w:rFonts w:hint="eastAsia"/>
          <w:spacing w:val="-3"/>
          <w:sz w:val="21"/>
          <w:szCs w:val="21"/>
        </w:rPr>
        <w:t>投标人应在第一章“招标公告”规定的投标截止时间前递交投标文件。</w:t>
      </w:r>
    </w:p>
    <w:p>
      <w:pPr>
        <w:pStyle w:val="49"/>
        <w:numPr>
          <w:ilvl w:val="2"/>
          <w:numId w:val="3"/>
        </w:numPr>
        <w:tabs>
          <w:tab w:val="left" w:pos="1419"/>
        </w:tabs>
        <w:spacing w:before="86" w:line="360" w:lineRule="auto"/>
        <w:ind w:left="1418" w:hanging="515"/>
        <w:rPr>
          <w:rFonts w:cs="Times New Roman"/>
          <w:sz w:val="19"/>
          <w:szCs w:val="19"/>
        </w:rPr>
      </w:pPr>
      <w:r>
        <w:rPr>
          <w:rFonts w:hint="eastAsia"/>
          <w:spacing w:val="-8"/>
          <w:sz w:val="21"/>
          <w:szCs w:val="21"/>
        </w:rPr>
        <w:t>投标人递交投标文件的地点：见第一章“招标公告”。</w:t>
      </w:r>
    </w:p>
    <w:p>
      <w:pPr>
        <w:pStyle w:val="49"/>
        <w:numPr>
          <w:ilvl w:val="2"/>
          <w:numId w:val="3"/>
        </w:numPr>
        <w:tabs>
          <w:tab w:val="left" w:pos="1440"/>
        </w:tabs>
        <w:spacing w:before="84" w:line="360" w:lineRule="auto"/>
        <w:ind w:left="501" w:right="547" w:firstLine="415"/>
        <w:rPr>
          <w:rFonts w:cs="Times New Roman"/>
          <w:sz w:val="19"/>
          <w:szCs w:val="19"/>
        </w:rPr>
      </w:pPr>
      <w:r>
        <w:rPr>
          <w:rFonts w:hint="eastAsia"/>
          <w:spacing w:val="-10"/>
          <w:sz w:val="21"/>
          <w:szCs w:val="21"/>
        </w:rPr>
        <w:t>除投标人须知前附表另有规定外，投标人所递交的投标文件不予退还。投标人少于</w:t>
      </w:r>
      <w:r>
        <w:rPr>
          <w:spacing w:val="-10"/>
          <w:sz w:val="21"/>
          <w:szCs w:val="21"/>
        </w:rPr>
        <w:t xml:space="preserve"> </w:t>
      </w:r>
      <w:r>
        <w:rPr>
          <w:sz w:val="21"/>
          <w:szCs w:val="21"/>
        </w:rPr>
        <w:t>3</w:t>
      </w:r>
      <w:r>
        <w:rPr>
          <w:spacing w:val="-17"/>
          <w:sz w:val="21"/>
          <w:szCs w:val="21"/>
        </w:rPr>
        <w:t xml:space="preserve"> </w:t>
      </w:r>
      <w:r>
        <w:rPr>
          <w:rFonts w:hint="eastAsia"/>
          <w:spacing w:val="-17"/>
          <w:sz w:val="21"/>
          <w:szCs w:val="21"/>
        </w:rPr>
        <w:t>个的，投标文件当场退还给投标人。</w:t>
      </w:r>
    </w:p>
    <w:p>
      <w:pPr>
        <w:pStyle w:val="49"/>
        <w:numPr>
          <w:ilvl w:val="2"/>
          <w:numId w:val="3"/>
        </w:numPr>
        <w:tabs>
          <w:tab w:val="left" w:pos="1440"/>
        </w:tabs>
        <w:spacing w:line="360" w:lineRule="auto"/>
        <w:ind w:left="1439" w:hanging="524"/>
        <w:rPr>
          <w:rFonts w:cs="Times New Roman"/>
          <w:sz w:val="19"/>
          <w:szCs w:val="19"/>
        </w:rPr>
      </w:pPr>
      <w:r>
        <w:rPr>
          <w:rFonts w:hint="eastAsia"/>
          <w:spacing w:val="-3"/>
          <w:sz w:val="21"/>
          <w:szCs w:val="21"/>
        </w:rPr>
        <w:t>招标人收到投标文件后，向投标人出具签收凭证。</w:t>
      </w:r>
    </w:p>
    <w:p>
      <w:pPr>
        <w:pStyle w:val="49"/>
        <w:numPr>
          <w:ilvl w:val="2"/>
          <w:numId w:val="3"/>
        </w:numPr>
        <w:tabs>
          <w:tab w:val="left" w:pos="1440"/>
        </w:tabs>
        <w:spacing w:before="86" w:line="360" w:lineRule="auto"/>
        <w:ind w:left="1439" w:hanging="524"/>
        <w:rPr>
          <w:rFonts w:cs="Times New Roman"/>
          <w:sz w:val="19"/>
          <w:szCs w:val="19"/>
        </w:rPr>
      </w:pPr>
      <w:r>
        <w:rPr>
          <w:rFonts w:hint="eastAsia"/>
          <w:spacing w:val="-3"/>
          <w:sz w:val="21"/>
          <w:szCs w:val="21"/>
        </w:rPr>
        <w:t>逾期送达的或未送达指定地点的投标文件，招标人将予以拒收。</w:t>
      </w:r>
    </w:p>
    <w:p>
      <w:pPr>
        <w:pStyle w:val="10"/>
        <w:numPr>
          <w:ilvl w:val="1"/>
          <w:numId w:val="3"/>
        </w:numPr>
        <w:tabs>
          <w:tab w:val="left" w:pos="861"/>
        </w:tabs>
        <w:spacing w:before="85" w:line="360" w:lineRule="auto"/>
        <w:ind w:left="860" w:hanging="362"/>
        <w:rPr>
          <w:rFonts w:cs="Times New Roman"/>
          <w:sz w:val="22"/>
          <w:szCs w:val="22"/>
        </w:rPr>
      </w:pPr>
      <w:r>
        <w:rPr>
          <w:rFonts w:hint="eastAsia"/>
        </w:rPr>
        <w:t>投标文件的修改与撤回</w:t>
      </w:r>
    </w:p>
    <w:p>
      <w:pPr>
        <w:pStyle w:val="49"/>
        <w:numPr>
          <w:ilvl w:val="2"/>
          <w:numId w:val="3"/>
        </w:numPr>
        <w:tabs>
          <w:tab w:val="left" w:pos="1419"/>
        </w:tabs>
        <w:spacing w:before="3" w:line="360" w:lineRule="auto"/>
        <w:ind w:left="501" w:right="538" w:firstLine="403"/>
        <w:rPr>
          <w:rFonts w:cs="Times New Roman"/>
          <w:sz w:val="19"/>
          <w:szCs w:val="19"/>
        </w:rPr>
      </w:pPr>
      <w:r>
        <w:rPr>
          <w:rFonts w:hint="eastAsia"/>
          <w:spacing w:val="-12"/>
          <w:sz w:val="21"/>
          <w:szCs w:val="21"/>
        </w:rPr>
        <w:t>在本章第</w:t>
      </w:r>
      <w:r>
        <w:rPr>
          <w:spacing w:val="-12"/>
          <w:sz w:val="21"/>
          <w:szCs w:val="21"/>
        </w:rPr>
        <w:t xml:space="preserve"> </w:t>
      </w:r>
      <w:r>
        <w:rPr>
          <w:spacing w:val="-3"/>
          <w:sz w:val="21"/>
          <w:szCs w:val="21"/>
        </w:rPr>
        <w:t>4.2.1</w:t>
      </w:r>
      <w:r>
        <w:rPr>
          <w:spacing w:val="-17"/>
          <w:sz w:val="21"/>
          <w:szCs w:val="21"/>
        </w:rPr>
        <w:t xml:space="preserve"> </w:t>
      </w:r>
      <w:r>
        <w:rPr>
          <w:rFonts w:hint="eastAsia"/>
          <w:spacing w:val="-17"/>
          <w:sz w:val="21"/>
          <w:szCs w:val="21"/>
        </w:rPr>
        <w:t>项规定的投标截止时间前，投标人可以修改或撤回已递交的投标文件，但</w:t>
      </w:r>
      <w:r>
        <w:rPr>
          <w:rFonts w:hint="eastAsia"/>
          <w:spacing w:val="-8"/>
          <w:sz w:val="21"/>
          <w:szCs w:val="21"/>
        </w:rPr>
        <w:t>应以书面形式通知招标人。</w:t>
      </w:r>
    </w:p>
    <w:p>
      <w:pPr>
        <w:pStyle w:val="49"/>
        <w:numPr>
          <w:ilvl w:val="2"/>
          <w:numId w:val="3"/>
        </w:numPr>
        <w:tabs>
          <w:tab w:val="left" w:pos="1419"/>
        </w:tabs>
        <w:spacing w:line="360" w:lineRule="auto"/>
        <w:ind w:left="501" w:right="460" w:firstLine="403"/>
        <w:rPr>
          <w:rFonts w:cs="Times New Roman"/>
          <w:sz w:val="19"/>
          <w:szCs w:val="19"/>
        </w:rPr>
      </w:pPr>
      <w:r>
        <w:rPr>
          <w:rFonts w:hint="eastAsia"/>
          <w:spacing w:val="-9"/>
          <w:sz w:val="21"/>
          <w:szCs w:val="21"/>
        </w:rPr>
        <w:t>投标人修改或撤回已递交投标文件的书面通知应按照本章第</w:t>
      </w:r>
      <w:r>
        <w:rPr>
          <w:spacing w:val="-9"/>
          <w:sz w:val="21"/>
          <w:szCs w:val="21"/>
        </w:rPr>
        <w:t xml:space="preserve"> </w:t>
      </w:r>
      <w:r>
        <w:rPr>
          <w:spacing w:val="-3"/>
          <w:sz w:val="21"/>
          <w:szCs w:val="21"/>
        </w:rPr>
        <w:t>3.7.3</w:t>
      </w:r>
      <w:r>
        <w:rPr>
          <w:spacing w:val="-12"/>
          <w:sz w:val="21"/>
          <w:szCs w:val="21"/>
        </w:rPr>
        <w:t xml:space="preserve"> </w:t>
      </w:r>
      <w:r>
        <w:rPr>
          <w:rFonts w:hint="eastAsia"/>
          <w:spacing w:val="-12"/>
          <w:sz w:val="21"/>
          <w:szCs w:val="21"/>
        </w:rPr>
        <w:t>项的要求签字或盖章。</w:t>
      </w:r>
      <w:r>
        <w:rPr>
          <w:rFonts w:hint="eastAsia"/>
          <w:spacing w:val="-8"/>
          <w:sz w:val="21"/>
          <w:szCs w:val="21"/>
        </w:rPr>
        <w:t>招标人收到书面通知后，向投标人出具签收凭证。</w:t>
      </w:r>
    </w:p>
    <w:p>
      <w:pPr>
        <w:pStyle w:val="49"/>
        <w:numPr>
          <w:ilvl w:val="2"/>
          <w:numId w:val="3"/>
        </w:numPr>
        <w:tabs>
          <w:tab w:val="left" w:pos="1419"/>
        </w:tabs>
        <w:spacing w:line="360" w:lineRule="auto"/>
        <w:ind w:left="501" w:right="569" w:firstLine="403"/>
        <w:rPr>
          <w:rFonts w:cs="Times New Roman"/>
          <w:sz w:val="19"/>
          <w:szCs w:val="19"/>
        </w:rPr>
      </w:pPr>
      <w:r>
        <w:rPr>
          <w:rFonts w:hint="eastAsia"/>
          <w:spacing w:val="-9"/>
          <w:sz w:val="21"/>
          <w:szCs w:val="21"/>
        </w:rPr>
        <w:t>修改的内容为投标文件的组成部分。修改的投标文件应按照本章第</w:t>
      </w:r>
      <w:r>
        <w:rPr>
          <w:spacing w:val="-9"/>
          <w:sz w:val="21"/>
          <w:szCs w:val="21"/>
        </w:rPr>
        <w:t xml:space="preserve"> </w:t>
      </w:r>
      <w:r>
        <w:rPr>
          <w:sz w:val="21"/>
          <w:szCs w:val="21"/>
        </w:rPr>
        <w:t>3</w:t>
      </w:r>
      <w:r>
        <w:rPr>
          <w:spacing w:val="-13"/>
          <w:sz w:val="21"/>
          <w:szCs w:val="21"/>
        </w:rPr>
        <w:t xml:space="preserve"> </w:t>
      </w:r>
      <w:r>
        <w:rPr>
          <w:rFonts w:hint="eastAsia"/>
          <w:spacing w:val="-13"/>
          <w:sz w:val="21"/>
          <w:szCs w:val="21"/>
        </w:rPr>
        <w:t>条、第</w:t>
      </w:r>
      <w:r>
        <w:rPr>
          <w:spacing w:val="-13"/>
          <w:sz w:val="21"/>
          <w:szCs w:val="21"/>
        </w:rPr>
        <w:t xml:space="preserve"> </w:t>
      </w:r>
      <w:r>
        <w:rPr>
          <w:sz w:val="21"/>
          <w:szCs w:val="21"/>
        </w:rPr>
        <w:t>4</w:t>
      </w:r>
      <w:r>
        <w:rPr>
          <w:spacing w:val="-9"/>
          <w:sz w:val="21"/>
          <w:szCs w:val="21"/>
        </w:rPr>
        <w:t xml:space="preserve"> </w:t>
      </w:r>
      <w:r>
        <w:rPr>
          <w:rFonts w:hint="eastAsia"/>
          <w:spacing w:val="-9"/>
          <w:sz w:val="21"/>
          <w:szCs w:val="21"/>
        </w:rPr>
        <w:t>条的规定</w:t>
      </w:r>
      <w:r>
        <w:rPr>
          <w:rFonts w:hint="eastAsia"/>
          <w:spacing w:val="-8"/>
          <w:sz w:val="21"/>
          <w:szCs w:val="21"/>
        </w:rPr>
        <w:t>进行编制、密封、标记和递交，并标明“修改”字样。</w:t>
      </w:r>
    </w:p>
    <w:p>
      <w:pPr>
        <w:pStyle w:val="10"/>
        <w:numPr>
          <w:ilvl w:val="0"/>
          <w:numId w:val="3"/>
        </w:numPr>
        <w:tabs>
          <w:tab w:val="left" w:pos="750"/>
        </w:tabs>
        <w:spacing w:line="360" w:lineRule="auto"/>
        <w:ind w:left="749" w:hanging="242"/>
        <w:rPr>
          <w:rFonts w:cs="Times New Roman"/>
          <w:b/>
          <w:bCs/>
          <w:sz w:val="22"/>
          <w:szCs w:val="22"/>
        </w:rPr>
      </w:pPr>
      <w:r>
        <w:rPr>
          <w:rFonts w:hint="eastAsia"/>
          <w:b/>
          <w:bCs/>
        </w:rPr>
        <w:t>开标</w:t>
      </w:r>
    </w:p>
    <w:p>
      <w:pPr>
        <w:pStyle w:val="49"/>
        <w:numPr>
          <w:ilvl w:val="1"/>
          <w:numId w:val="3"/>
        </w:numPr>
        <w:tabs>
          <w:tab w:val="left" w:pos="1469"/>
        </w:tabs>
        <w:spacing w:line="360" w:lineRule="auto"/>
        <w:ind w:left="1468" w:hanging="481"/>
        <w:rPr>
          <w:rFonts w:cs="Times New Roman"/>
          <w:b/>
          <w:bCs/>
          <w:sz w:val="24"/>
          <w:szCs w:val="24"/>
        </w:rPr>
      </w:pPr>
      <w:r>
        <w:rPr>
          <w:rFonts w:hint="eastAsia"/>
          <w:b/>
          <w:bCs/>
          <w:sz w:val="24"/>
          <w:szCs w:val="24"/>
        </w:rPr>
        <w:t>开标时间和地点</w:t>
      </w:r>
    </w:p>
    <w:p>
      <w:pPr>
        <w:pStyle w:val="12"/>
        <w:spacing w:before="1" w:line="360" w:lineRule="auto"/>
        <w:ind w:left="1039"/>
        <w:rPr>
          <w:rFonts w:cs="Times New Roman"/>
        </w:rPr>
      </w:pPr>
      <w:r>
        <w:rPr>
          <w:rFonts w:hint="eastAsia"/>
        </w:rPr>
        <w:t>招标人在本章第</w:t>
      </w:r>
      <w:r>
        <w:t xml:space="preserve"> 4.2.1 </w:t>
      </w:r>
      <w:r>
        <w:rPr>
          <w:rFonts w:hint="eastAsia"/>
        </w:rPr>
        <w:t>项规定的投标截止时间（开标时间）和投标人须知前附表规定的地点对收到的投标文件第一个信封（商务及技术文件）公开开标，并邀请所有投标人的法定代表人或其委托代理人准时参加。</w:t>
      </w:r>
    </w:p>
    <w:p>
      <w:pPr>
        <w:pStyle w:val="12"/>
        <w:spacing w:line="360" w:lineRule="auto"/>
        <w:ind w:left="501" w:right="170" w:firstLine="537"/>
        <w:rPr>
          <w:rFonts w:cs="Times New Roman"/>
        </w:rPr>
      </w:pPr>
      <w:r>
        <w:rPr>
          <w:rFonts w:hint="eastAsia"/>
        </w:rPr>
        <w:t>招标人在投标人须知前附表规定的时间和地点对投标文件第二个信封（报价文件）公开开标，</w:t>
      </w:r>
      <w:r>
        <w:rPr>
          <w:rFonts w:hint="eastAsia"/>
          <w:spacing w:val="-8"/>
        </w:rPr>
        <w:t>并邀请所有投标人的法定代表人或其委托代理人准时参加。</w:t>
      </w:r>
    </w:p>
    <w:p>
      <w:pPr>
        <w:pStyle w:val="12"/>
        <w:spacing w:line="360" w:lineRule="auto"/>
        <w:ind w:left="1039"/>
        <w:rPr>
          <w:rFonts w:cs="Times New Roman"/>
        </w:rPr>
      </w:pPr>
      <w:r>
        <w:rPr>
          <w:rFonts w:hint="eastAsia"/>
        </w:rPr>
        <w:t>投标人若未派法定代表人或委托代理人出席开标活动，视为该投标人默认开标结果。</w:t>
      </w:r>
    </w:p>
    <w:p>
      <w:pPr>
        <w:pStyle w:val="10"/>
        <w:numPr>
          <w:ilvl w:val="1"/>
          <w:numId w:val="3"/>
        </w:numPr>
        <w:tabs>
          <w:tab w:val="left" w:pos="929"/>
        </w:tabs>
        <w:spacing w:before="85" w:line="360" w:lineRule="auto"/>
        <w:ind w:left="928" w:hanging="421"/>
        <w:rPr>
          <w:rFonts w:ascii="黑体" w:eastAsia="黑体" w:cs="Times New Roman"/>
        </w:rPr>
      </w:pPr>
      <w:r>
        <w:rPr>
          <w:rFonts w:hint="eastAsia"/>
          <w:b/>
          <w:bCs/>
        </w:rPr>
        <w:t>开标程序</w:t>
      </w:r>
    </w:p>
    <w:p>
      <w:pPr>
        <w:pStyle w:val="49"/>
        <w:numPr>
          <w:ilvl w:val="2"/>
          <w:numId w:val="3"/>
        </w:numPr>
        <w:tabs>
          <w:tab w:val="left" w:pos="1508"/>
        </w:tabs>
        <w:spacing w:before="1" w:line="360" w:lineRule="auto"/>
        <w:ind w:left="1507" w:hanging="604"/>
        <w:rPr>
          <w:rFonts w:cs="Times New Roman"/>
          <w:sz w:val="21"/>
          <w:szCs w:val="21"/>
        </w:rPr>
      </w:pPr>
      <w:r>
        <w:rPr>
          <w:rFonts w:hint="eastAsia"/>
          <w:spacing w:val="-8"/>
          <w:sz w:val="21"/>
          <w:szCs w:val="21"/>
        </w:rPr>
        <w:t>主持人按下列程序对投标文件第一个信封（商务及技术文件）</w:t>
      </w:r>
      <w:r>
        <w:rPr>
          <w:rFonts w:hint="eastAsia"/>
          <w:spacing w:val="-7"/>
          <w:sz w:val="21"/>
          <w:szCs w:val="21"/>
        </w:rPr>
        <w:t>进行开标：</w:t>
      </w:r>
    </w:p>
    <w:p>
      <w:pPr>
        <w:pStyle w:val="49"/>
        <w:numPr>
          <w:ilvl w:val="0"/>
          <w:numId w:val="14"/>
        </w:numPr>
        <w:tabs>
          <w:tab w:val="left" w:pos="1589"/>
        </w:tabs>
        <w:spacing w:before="86" w:line="360" w:lineRule="auto"/>
        <w:ind w:hanging="685"/>
        <w:rPr>
          <w:rFonts w:cs="Times New Roman"/>
          <w:sz w:val="21"/>
          <w:szCs w:val="21"/>
        </w:rPr>
      </w:pPr>
      <w:r>
        <w:rPr>
          <w:rFonts w:hint="eastAsia"/>
          <w:spacing w:val="-7"/>
          <w:sz w:val="21"/>
          <w:szCs w:val="21"/>
        </w:rPr>
        <w:t>宣布开标纪律；</w:t>
      </w:r>
    </w:p>
    <w:p>
      <w:pPr>
        <w:pStyle w:val="49"/>
        <w:numPr>
          <w:ilvl w:val="0"/>
          <w:numId w:val="14"/>
        </w:numPr>
        <w:tabs>
          <w:tab w:val="left" w:pos="1589"/>
        </w:tabs>
        <w:spacing w:before="84" w:line="360" w:lineRule="auto"/>
        <w:ind w:hanging="685"/>
        <w:rPr>
          <w:rFonts w:cs="Times New Roman"/>
          <w:sz w:val="21"/>
          <w:szCs w:val="21"/>
        </w:rPr>
      </w:pPr>
      <w:r>
        <w:rPr>
          <w:rFonts w:hint="eastAsia"/>
          <w:spacing w:val="-8"/>
          <w:sz w:val="21"/>
          <w:szCs w:val="21"/>
        </w:rPr>
        <w:t>公布在投标截止时间前递交投标文件的投标人数量；</w:t>
      </w:r>
    </w:p>
    <w:p>
      <w:pPr>
        <w:pStyle w:val="49"/>
        <w:numPr>
          <w:ilvl w:val="0"/>
          <w:numId w:val="14"/>
        </w:numPr>
        <w:tabs>
          <w:tab w:val="left" w:pos="1589"/>
        </w:tabs>
        <w:spacing w:before="86" w:line="360" w:lineRule="auto"/>
        <w:ind w:hanging="685"/>
        <w:rPr>
          <w:rFonts w:cs="Times New Roman"/>
          <w:sz w:val="21"/>
          <w:szCs w:val="21"/>
        </w:rPr>
      </w:pPr>
      <w:r>
        <w:rPr>
          <w:rFonts w:hint="eastAsia"/>
          <w:spacing w:val="-8"/>
          <w:sz w:val="21"/>
          <w:szCs w:val="21"/>
        </w:rPr>
        <w:t>宣布开标人、唱标人、记录人等有关人员姓名；</w:t>
      </w:r>
    </w:p>
    <w:p>
      <w:pPr>
        <w:pStyle w:val="49"/>
        <w:numPr>
          <w:ilvl w:val="0"/>
          <w:numId w:val="14"/>
        </w:numPr>
        <w:tabs>
          <w:tab w:val="left" w:pos="1589"/>
        </w:tabs>
        <w:spacing w:before="84" w:line="360" w:lineRule="auto"/>
        <w:ind w:hanging="685"/>
        <w:rPr>
          <w:rFonts w:cs="Times New Roman"/>
          <w:sz w:val="21"/>
          <w:szCs w:val="21"/>
        </w:rPr>
      </w:pPr>
      <w:r>
        <w:rPr>
          <w:rFonts w:hint="eastAsia"/>
          <w:spacing w:val="-8"/>
          <w:sz w:val="21"/>
          <w:szCs w:val="21"/>
        </w:rPr>
        <w:t>按照投标人须知前附表规定由投标人推选的代表检查投标文件的密封情况；</w:t>
      </w:r>
    </w:p>
    <w:p>
      <w:pPr>
        <w:pStyle w:val="49"/>
        <w:numPr>
          <w:ilvl w:val="0"/>
          <w:numId w:val="14"/>
        </w:numPr>
        <w:tabs>
          <w:tab w:val="left" w:pos="1589"/>
        </w:tabs>
        <w:spacing w:before="86" w:line="360" w:lineRule="auto"/>
        <w:ind w:left="501" w:right="576" w:firstLine="403"/>
        <w:rPr>
          <w:rFonts w:cs="Times New Roman"/>
          <w:sz w:val="21"/>
          <w:szCs w:val="21"/>
        </w:rPr>
      </w:pPr>
      <w:r>
        <w:rPr>
          <w:rFonts w:hint="eastAsia"/>
          <w:spacing w:val="-8"/>
          <w:sz w:val="21"/>
          <w:szCs w:val="21"/>
        </w:rPr>
        <w:t>按照投标人须知前附表规定的开标顺序当众开标，公布标段名称、投标人名称、投标保</w:t>
      </w:r>
      <w:r>
        <w:rPr>
          <w:spacing w:val="-8"/>
          <w:sz w:val="21"/>
          <w:szCs w:val="21"/>
        </w:rPr>
        <w:t xml:space="preserve">  </w:t>
      </w:r>
      <w:r>
        <w:rPr>
          <w:rFonts w:hint="eastAsia"/>
          <w:spacing w:val="-8"/>
          <w:sz w:val="21"/>
          <w:szCs w:val="21"/>
        </w:rPr>
        <w:t>证金的递交情况、工期及其他内容，并记录在案；</w:t>
      </w:r>
    </w:p>
    <w:p>
      <w:pPr>
        <w:pStyle w:val="49"/>
        <w:numPr>
          <w:ilvl w:val="0"/>
          <w:numId w:val="14"/>
        </w:numPr>
        <w:tabs>
          <w:tab w:val="left" w:pos="1589"/>
        </w:tabs>
        <w:spacing w:before="3" w:line="360" w:lineRule="auto"/>
        <w:ind w:hanging="685"/>
        <w:rPr>
          <w:rFonts w:cs="Times New Roman"/>
          <w:sz w:val="21"/>
          <w:szCs w:val="21"/>
        </w:rPr>
      </w:pPr>
      <w:r>
        <w:rPr>
          <w:rFonts w:hint="eastAsia"/>
          <w:spacing w:val="-8"/>
          <w:sz w:val="21"/>
          <w:szCs w:val="21"/>
        </w:rPr>
        <w:t>投标人代表、招标人代表、记录人等有关人员在开标记录上签字确认；</w:t>
      </w:r>
    </w:p>
    <w:p>
      <w:pPr>
        <w:pStyle w:val="49"/>
        <w:numPr>
          <w:ilvl w:val="0"/>
          <w:numId w:val="14"/>
        </w:numPr>
        <w:tabs>
          <w:tab w:val="left" w:pos="1589"/>
        </w:tabs>
        <w:spacing w:before="84" w:line="360" w:lineRule="auto"/>
        <w:ind w:hanging="685"/>
        <w:rPr>
          <w:rFonts w:cs="Times New Roman"/>
          <w:sz w:val="21"/>
          <w:szCs w:val="21"/>
        </w:rPr>
      </w:pPr>
      <w:r>
        <w:rPr>
          <w:rFonts w:hint="eastAsia"/>
          <w:spacing w:val="-7"/>
          <w:sz w:val="21"/>
          <w:szCs w:val="21"/>
        </w:rPr>
        <w:t>开标结束。</w:t>
      </w:r>
    </w:p>
    <w:p>
      <w:pPr>
        <w:pStyle w:val="49"/>
        <w:numPr>
          <w:ilvl w:val="0"/>
          <w:numId w:val="14"/>
        </w:numPr>
        <w:tabs>
          <w:tab w:val="left" w:pos="1589"/>
        </w:tabs>
        <w:spacing w:before="3" w:line="360" w:lineRule="auto"/>
        <w:ind w:hanging="685"/>
        <w:rPr>
          <w:rFonts w:cs="Times New Roman"/>
          <w:spacing w:val="-8"/>
          <w:sz w:val="21"/>
          <w:szCs w:val="21"/>
        </w:rPr>
      </w:pPr>
      <w:r>
        <w:rPr>
          <w:rFonts w:hint="eastAsia"/>
          <w:spacing w:val="-8"/>
          <w:sz w:val="21"/>
          <w:szCs w:val="21"/>
        </w:rPr>
        <w:t>在投标文件第一个信封（商务及技术文件）开标现场，投标文件第二个信封（报价文件）不予开封，由招标人密封保存。</w:t>
      </w:r>
    </w:p>
    <w:p>
      <w:pPr>
        <w:pStyle w:val="49"/>
        <w:numPr>
          <w:ilvl w:val="2"/>
          <w:numId w:val="3"/>
        </w:numPr>
        <w:tabs>
          <w:tab w:val="left" w:pos="1589"/>
        </w:tabs>
        <w:spacing w:before="3" w:line="360" w:lineRule="auto"/>
        <w:ind w:left="501" w:right="579" w:firstLine="403"/>
        <w:rPr>
          <w:rFonts w:cs="Times New Roman"/>
          <w:sz w:val="21"/>
          <w:szCs w:val="21"/>
        </w:rPr>
      </w:pPr>
      <w:r>
        <w:rPr>
          <w:rFonts w:hint="eastAsia"/>
          <w:spacing w:val="-12"/>
          <w:sz w:val="21"/>
          <w:szCs w:val="21"/>
        </w:rPr>
        <w:t>招标人将按照本章第</w:t>
      </w:r>
      <w:r>
        <w:rPr>
          <w:spacing w:val="-12"/>
          <w:sz w:val="21"/>
          <w:szCs w:val="21"/>
        </w:rPr>
        <w:t xml:space="preserve"> </w:t>
      </w:r>
      <w:r>
        <w:rPr>
          <w:spacing w:val="-4"/>
          <w:sz w:val="21"/>
          <w:szCs w:val="21"/>
        </w:rPr>
        <w:t>5.1</w:t>
      </w:r>
      <w:r>
        <w:rPr>
          <w:rFonts w:hint="eastAsia"/>
          <w:spacing w:val="-8"/>
          <w:sz w:val="21"/>
          <w:szCs w:val="21"/>
        </w:rPr>
        <w:t>款规定的时间和地点对投标文件第二个信封（报价文件）</w:t>
      </w:r>
      <w:r>
        <w:rPr>
          <w:rFonts w:hint="eastAsia"/>
          <w:spacing w:val="-4"/>
          <w:sz w:val="21"/>
          <w:szCs w:val="21"/>
        </w:rPr>
        <w:t>进行</w:t>
      </w:r>
      <w:r>
        <w:rPr>
          <w:rFonts w:hint="eastAsia"/>
          <w:spacing w:val="-8"/>
          <w:sz w:val="21"/>
          <w:szCs w:val="21"/>
        </w:rPr>
        <w:t>开标。主持人按下列程序进行开标：</w:t>
      </w:r>
    </w:p>
    <w:p>
      <w:pPr>
        <w:pStyle w:val="49"/>
        <w:numPr>
          <w:ilvl w:val="0"/>
          <w:numId w:val="15"/>
        </w:numPr>
        <w:tabs>
          <w:tab w:val="left" w:pos="1589"/>
        </w:tabs>
        <w:spacing w:line="360" w:lineRule="auto"/>
        <w:ind w:hanging="685"/>
        <w:jc w:val="both"/>
        <w:rPr>
          <w:rFonts w:cs="Times New Roman"/>
          <w:sz w:val="21"/>
          <w:szCs w:val="21"/>
        </w:rPr>
      </w:pPr>
      <w:r>
        <w:rPr>
          <w:rFonts w:hint="eastAsia"/>
          <w:spacing w:val="-7"/>
          <w:sz w:val="21"/>
          <w:szCs w:val="21"/>
        </w:rPr>
        <w:t>宣布开标纪律；</w:t>
      </w:r>
    </w:p>
    <w:p>
      <w:pPr>
        <w:pStyle w:val="49"/>
        <w:numPr>
          <w:ilvl w:val="0"/>
          <w:numId w:val="15"/>
        </w:numPr>
        <w:tabs>
          <w:tab w:val="left" w:pos="1589"/>
        </w:tabs>
        <w:spacing w:before="86" w:line="360" w:lineRule="auto"/>
        <w:ind w:left="501" w:right="576" w:firstLine="403"/>
        <w:jc w:val="both"/>
        <w:rPr>
          <w:rFonts w:cs="Times New Roman"/>
          <w:sz w:val="21"/>
          <w:szCs w:val="21"/>
        </w:rPr>
      </w:pPr>
      <w:r>
        <w:rPr>
          <w:rFonts w:hint="eastAsia"/>
          <w:spacing w:val="-8"/>
          <w:sz w:val="21"/>
          <w:szCs w:val="21"/>
        </w:rPr>
        <w:t>当众拆开投标文件第一个信封（商务及技术文件）评审结果的密封袋，宣布通过投标文</w:t>
      </w:r>
      <w:r>
        <w:rPr>
          <w:spacing w:val="-8"/>
          <w:sz w:val="21"/>
          <w:szCs w:val="21"/>
        </w:rPr>
        <w:t xml:space="preserve">  </w:t>
      </w:r>
      <w:r>
        <w:rPr>
          <w:rFonts w:hint="eastAsia"/>
          <w:spacing w:val="-8"/>
          <w:sz w:val="21"/>
          <w:szCs w:val="21"/>
        </w:rPr>
        <w:t>件第一个信封（商务及技术文件）评审的投标人名单；</w:t>
      </w:r>
    </w:p>
    <w:p>
      <w:pPr>
        <w:pStyle w:val="49"/>
        <w:numPr>
          <w:ilvl w:val="0"/>
          <w:numId w:val="15"/>
        </w:numPr>
        <w:tabs>
          <w:tab w:val="left" w:pos="1589"/>
        </w:tabs>
        <w:spacing w:before="3" w:line="360" w:lineRule="auto"/>
        <w:ind w:hanging="685"/>
        <w:jc w:val="both"/>
        <w:rPr>
          <w:rFonts w:cs="Times New Roman"/>
          <w:sz w:val="21"/>
          <w:szCs w:val="21"/>
        </w:rPr>
      </w:pPr>
      <w:r>
        <w:rPr>
          <w:rFonts w:hint="eastAsia"/>
          <w:spacing w:val="-8"/>
          <w:sz w:val="21"/>
          <w:szCs w:val="21"/>
        </w:rPr>
        <w:t>宣布开标人、唱标人、记录人等有关人员姓名；</w:t>
      </w:r>
    </w:p>
    <w:p>
      <w:pPr>
        <w:pStyle w:val="49"/>
        <w:numPr>
          <w:ilvl w:val="0"/>
          <w:numId w:val="15"/>
        </w:numPr>
        <w:tabs>
          <w:tab w:val="left" w:pos="1589"/>
        </w:tabs>
        <w:spacing w:before="84" w:line="360" w:lineRule="auto"/>
        <w:ind w:hanging="685"/>
        <w:jc w:val="both"/>
        <w:rPr>
          <w:rFonts w:cs="Times New Roman"/>
          <w:sz w:val="21"/>
          <w:szCs w:val="21"/>
        </w:rPr>
      </w:pPr>
      <w:r>
        <w:rPr>
          <w:rFonts w:hint="eastAsia"/>
          <w:spacing w:val="-8"/>
          <w:sz w:val="21"/>
          <w:szCs w:val="21"/>
        </w:rPr>
        <w:t>按照投标人须知前附表规定由投标人推选的代表检查投标文件的密封情况；</w:t>
      </w:r>
    </w:p>
    <w:p>
      <w:pPr>
        <w:pStyle w:val="49"/>
        <w:numPr>
          <w:ilvl w:val="0"/>
          <w:numId w:val="15"/>
        </w:numPr>
        <w:tabs>
          <w:tab w:val="left" w:pos="1589"/>
        </w:tabs>
        <w:spacing w:before="86" w:line="360" w:lineRule="auto"/>
        <w:ind w:left="501" w:right="540" w:firstLine="403"/>
        <w:jc w:val="both"/>
        <w:rPr>
          <w:rFonts w:cs="Times New Roman"/>
          <w:spacing w:val="-8"/>
          <w:sz w:val="21"/>
          <w:szCs w:val="21"/>
        </w:rPr>
      </w:pPr>
      <w:r>
        <w:rPr>
          <w:rFonts w:hint="eastAsia"/>
          <w:spacing w:val="-8"/>
          <w:sz w:val="21"/>
          <w:szCs w:val="21"/>
        </w:rPr>
        <w:t>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49"/>
        <w:numPr>
          <w:ilvl w:val="0"/>
          <w:numId w:val="15"/>
        </w:numPr>
        <w:tabs>
          <w:tab w:val="left" w:pos="1589"/>
        </w:tabs>
        <w:spacing w:line="360" w:lineRule="auto"/>
        <w:ind w:hanging="685"/>
        <w:jc w:val="both"/>
        <w:rPr>
          <w:rFonts w:cs="Times New Roman"/>
          <w:sz w:val="21"/>
          <w:szCs w:val="21"/>
        </w:rPr>
      </w:pPr>
      <w:r>
        <w:rPr>
          <w:rFonts w:hint="eastAsia"/>
          <w:spacing w:val="-8"/>
          <w:sz w:val="21"/>
          <w:szCs w:val="21"/>
        </w:rPr>
        <w:t>计算并宣布评标基准价；</w:t>
      </w:r>
    </w:p>
    <w:p>
      <w:pPr>
        <w:pStyle w:val="49"/>
        <w:numPr>
          <w:ilvl w:val="0"/>
          <w:numId w:val="15"/>
        </w:numPr>
        <w:tabs>
          <w:tab w:val="left" w:pos="1589"/>
        </w:tabs>
        <w:spacing w:line="360" w:lineRule="auto"/>
        <w:ind w:hanging="685"/>
        <w:jc w:val="both"/>
        <w:rPr>
          <w:rFonts w:cs="Times New Roman"/>
          <w:spacing w:val="-8"/>
          <w:sz w:val="21"/>
          <w:szCs w:val="21"/>
        </w:rPr>
      </w:pPr>
      <w:r>
        <w:rPr>
          <w:rFonts w:hint="eastAsia"/>
          <w:spacing w:val="-8"/>
          <w:sz w:val="21"/>
          <w:szCs w:val="21"/>
        </w:rPr>
        <w:t>将未通过投标文件第一个信封（商务及技术文件）评审的投标文件第二个信封（报价文件）退还给投标人；</w:t>
      </w:r>
    </w:p>
    <w:p>
      <w:pPr>
        <w:pStyle w:val="49"/>
        <w:numPr>
          <w:ilvl w:val="0"/>
          <w:numId w:val="15"/>
        </w:numPr>
        <w:tabs>
          <w:tab w:val="left" w:pos="1589"/>
        </w:tabs>
        <w:spacing w:before="3" w:line="360" w:lineRule="auto"/>
        <w:ind w:hanging="685"/>
        <w:jc w:val="both"/>
        <w:rPr>
          <w:rFonts w:cs="Times New Roman"/>
          <w:sz w:val="21"/>
          <w:szCs w:val="21"/>
        </w:rPr>
      </w:pPr>
      <w:r>
        <w:rPr>
          <w:rFonts w:hint="eastAsia"/>
          <w:spacing w:val="-8"/>
          <w:sz w:val="21"/>
          <w:szCs w:val="21"/>
        </w:rPr>
        <w:t>投标人代表、招标人代表、记录人等有关人员在开标记录上签字确认；</w:t>
      </w:r>
    </w:p>
    <w:p>
      <w:pPr>
        <w:pStyle w:val="49"/>
        <w:numPr>
          <w:ilvl w:val="0"/>
          <w:numId w:val="15"/>
        </w:numPr>
        <w:tabs>
          <w:tab w:val="left" w:pos="1589"/>
        </w:tabs>
        <w:spacing w:before="84" w:line="360" w:lineRule="auto"/>
        <w:ind w:hanging="685"/>
        <w:jc w:val="both"/>
        <w:rPr>
          <w:rFonts w:cs="Times New Roman"/>
          <w:sz w:val="21"/>
          <w:szCs w:val="21"/>
        </w:rPr>
      </w:pPr>
      <w:r>
        <w:rPr>
          <w:rFonts w:hint="eastAsia"/>
          <w:spacing w:val="-7"/>
          <w:sz w:val="21"/>
          <w:szCs w:val="21"/>
        </w:rPr>
        <w:t>开标结束。</w:t>
      </w:r>
    </w:p>
    <w:p>
      <w:pPr>
        <w:pStyle w:val="49"/>
        <w:numPr>
          <w:ilvl w:val="2"/>
          <w:numId w:val="3"/>
        </w:numPr>
        <w:tabs>
          <w:tab w:val="left" w:pos="1589"/>
        </w:tabs>
        <w:spacing w:before="86" w:line="360" w:lineRule="auto"/>
        <w:ind w:left="501" w:right="540" w:firstLine="403"/>
        <w:jc w:val="both"/>
        <w:rPr>
          <w:rFonts w:cs="Times New Roman"/>
          <w:sz w:val="21"/>
          <w:szCs w:val="21"/>
        </w:rPr>
      </w:pPr>
      <w:r>
        <w:rPr>
          <w:rFonts w:hint="eastAsia"/>
          <w:spacing w:val="-8"/>
          <w:sz w:val="21"/>
          <w:szCs w:val="21"/>
        </w:rPr>
        <w:t>若采用合理低价法或综合评分法，在投标文件第二个信封（报价文件）</w:t>
      </w:r>
      <w:r>
        <w:rPr>
          <w:rFonts w:hint="eastAsia"/>
          <w:spacing w:val="-7"/>
          <w:sz w:val="21"/>
          <w:szCs w:val="21"/>
        </w:rPr>
        <w:t>开标现场，</w:t>
      </w:r>
      <w:r>
        <w:rPr>
          <w:rFonts w:hint="eastAsia"/>
          <w:spacing w:val="-8"/>
          <w:sz w:val="21"/>
          <w:szCs w:val="21"/>
        </w:rPr>
        <w:t>招标人将按第三章“评标办法”规定的原则计算并宣布评标基准价。若招标人发现投标文件出现以下任一情况，其投标报价将不再参加评标基准价的计算：</w:t>
      </w:r>
    </w:p>
    <w:p>
      <w:pPr>
        <w:pStyle w:val="49"/>
        <w:numPr>
          <w:ilvl w:val="0"/>
          <w:numId w:val="16"/>
        </w:numPr>
        <w:tabs>
          <w:tab w:val="left" w:pos="1589"/>
        </w:tabs>
        <w:spacing w:line="360" w:lineRule="auto"/>
        <w:ind w:hanging="685"/>
        <w:rPr>
          <w:rFonts w:cs="Times New Roman"/>
          <w:sz w:val="21"/>
          <w:szCs w:val="21"/>
        </w:rPr>
      </w:pPr>
      <w:r>
        <w:rPr>
          <w:rFonts w:hint="eastAsia"/>
          <w:spacing w:val="-8"/>
          <w:sz w:val="21"/>
          <w:szCs w:val="21"/>
        </w:rPr>
        <w:t>未在投标函上填写投标总价；</w:t>
      </w:r>
    </w:p>
    <w:p>
      <w:pPr>
        <w:pStyle w:val="49"/>
        <w:numPr>
          <w:ilvl w:val="0"/>
          <w:numId w:val="16"/>
        </w:numPr>
        <w:tabs>
          <w:tab w:val="left" w:pos="1589"/>
        </w:tabs>
        <w:spacing w:before="86" w:line="360" w:lineRule="auto"/>
        <w:ind w:hanging="685"/>
        <w:rPr>
          <w:rFonts w:cs="Times New Roman"/>
          <w:sz w:val="21"/>
          <w:szCs w:val="21"/>
        </w:rPr>
      </w:pPr>
      <w:r>
        <w:rPr>
          <w:rFonts w:hint="eastAsia"/>
          <w:spacing w:val="-8"/>
          <w:sz w:val="21"/>
          <w:szCs w:val="21"/>
        </w:rPr>
        <w:t>投标报价或调价函中的报价超出招标人公布的最高投标限价（</w:t>
      </w:r>
      <w:r>
        <w:rPr>
          <w:rFonts w:hint="eastAsia"/>
          <w:spacing w:val="-7"/>
          <w:sz w:val="21"/>
          <w:szCs w:val="21"/>
        </w:rPr>
        <w:t>如有</w:t>
      </w:r>
      <w:r>
        <w:rPr>
          <w:rFonts w:hint="eastAsia"/>
          <w:spacing w:val="-4"/>
          <w:sz w:val="21"/>
          <w:szCs w:val="21"/>
        </w:rPr>
        <w:t>）；</w:t>
      </w:r>
    </w:p>
    <w:p>
      <w:pPr>
        <w:pStyle w:val="49"/>
        <w:numPr>
          <w:ilvl w:val="0"/>
          <w:numId w:val="16"/>
        </w:numPr>
        <w:tabs>
          <w:tab w:val="left" w:pos="1589"/>
        </w:tabs>
        <w:spacing w:before="84" w:line="360" w:lineRule="auto"/>
        <w:ind w:hanging="685"/>
        <w:rPr>
          <w:rFonts w:cs="Times New Roman"/>
          <w:sz w:val="21"/>
          <w:szCs w:val="21"/>
        </w:rPr>
      </w:pPr>
      <w:r>
        <w:rPr>
          <w:rFonts w:hint="eastAsia"/>
          <w:spacing w:val="-8"/>
          <w:sz w:val="21"/>
          <w:szCs w:val="21"/>
        </w:rPr>
        <w:t>投标报价或调价函中报价的大写金额无法确定具体数值；</w:t>
      </w:r>
    </w:p>
    <w:p>
      <w:pPr>
        <w:pStyle w:val="49"/>
        <w:numPr>
          <w:ilvl w:val="0"/>
          <w:numId w:val="16"/>
        </w:numPr>
        <w:tabs>
          <w:tab w:val="left" w:pos="1589"/>
        </w:tabs>
        <w:spacing w:before="86" w:line="360" w:lineRule="auto"/>
        <w:ind w:hanging="685"/>
        <w:rPr>
          <w:rFonts w:cs="Times New Roman"/>
          <w:sz w:val="21"/>
          <w:szCs w:val="21"/>
        </w:rPr>
      </w:pPr>
      <w:r>
        <w:rPr>
          <w:rFonts w:hint="eastAsia"/>
          <w:spacing w:val="-8"/>
          <w:sz w:val="21"/>
          <w:szCs w:val="21"/>
        </w:rPr>
        <w:t>投标函上填写的标段号与投标文件封套上标记的标段号不一致。</w:t>
      </w:r>
    </w:p>
    <w:p>
      <w:pPr>
        <w:pStyle w:val="12"/>
        <w:spacing w:before="86" w:line="360" w:lineRule="auto"/>
        <w:ind w:left="904"/>
        <w:rPr>
          <w:rFonts w:cs="Times New Roman"/>
        </w:rPr>
      </w:pPr>
      <w:r>
        <w:rPr>
          <w:rFonts w:hint="eastAsia"/>
        </w:rPr>
        <w:t>如果投标人认为某一标段的评标基准价计算有误，有权在开标现场提出，经招标人当场核实确认</w:t>
      </w:r>
    </w:p>
    <w:p>
      <w:pPr>
        <w:pStyle w:val="12"/>
        <w:spacing w:before="59" w:line="360" w:lineRule="auto"/>
        <w:ind w:left="501" w:right="540"/>
        <w:rPr>
          <w:rFonts w:cs="Times New Roman"/>
        </w:rPr>
      </w:pPr>
      <w:r>
        <w:rPr>
          <w:rFonts w:hint="eastAsia"/>
        </w:rPr>
        <w:t>之后，可重新宣布评标基准价。开标现场宣布的评标基准价除计算有误经评标委员会修正外，在整个评标期间保持不变，不随任何因素发生变化</w:t>
      </w:r>
      <w:r>
        <w:rPr>
          <w:rFonts w:hint="eastAsia"/>
          <w:spacing w:val="-8"/>
        </w:rPr>
        <w:t>。</w:t>
      </w:r>
    </w:p>
    <w:p>
      <w:pPr>
        <w:pStyle w:val="49"/>
        <w:numPr>
          <w:ilvl w:val="2"/>
          <w:numId w:val="3"/>
        </w:numPr>
        <w:tabs>
          <w:tab w:val="left" w:pos="1589"/>
        </w:tabs>
        <w:spacing w:line="360" w:lineRule="auto"/>
        <w:ind w:left="501" w:right="437" w:firstLine="403"/>
        <w:rPr>
          <w:rFonts w:cs="Times New Roman"/>
          <w:sz w:val="21"/>
          <w:szCs w:val="21"/>
        </w:rPr>
      </w:pPr>
      <w:r>
        <w:rPr>
          <w:rFonts w:hint="eastAsia"/>
          <w:spacing w:val="-8"/>
          <w:sz w:val="21"/>
          <w:szCs w:val="21"/>
        </w:rPr>
        <w:t>在投标文件第一个信封（商务及技术文件）或第二个信封（报价文件）</w:t>
      </w:r>
      <w:r>
        <w:rPr>
          <w:rFonts w:hint="eastAsia"/>
          <w:spacing w:val="-7"/>
          <w:sz w:val="21"/>
          <w:szCs w:val="21"/>
        </w:rPr>
        <w:t>开标过程中，若</w:t>
      </w:r>
      <w:r>
        <w:rPr>
          <w:rFonts w:hint="eastAsia"/>
          <w:spacing w:val="-14"/>
          <w:sz w:val="21"/>
          <w:szCs w:val="21"/>
        </w:rPr>
        <w:t>招标人宣读的内容与投标文件不符，投标人有权在开标现场提出疑问，</w:t>
      </w:r>
      <w:r>
        <w:rPr>
          <w:spacing w:val="-14"/>
          <w:sz w:val="21"/>
          <w:szCs w:val="21"/>
        </w:rPr>
        <w:t xml:space="preserve"> </w:t>
      </w:r>
      <w:r>
        <w:rPr>
          <w:rFonts w:hint="eastAsia"/>
          <w:spacing w:val="-14"/>
          <w:sz w:val="21"/>
          <w:szCs w:val="21"/>
        </w:rPr>
        <w:t>经招标人当场核查确认之后，</w:t>
      </w:r>
      <w:r>
        <w:rPr>
          <w:spacing w:val="-14"/>
          <w:sz w:val="21"/>
          <w:szCs w:val="21"/>
        </w:rPr>
        <w:t xml:space="preserve"> </w:t>
      </w:r>
      <w:r>
        <w:rPr>
          <w:rFonts w:hint="eastAsia"/>
          <w:spacing w:val="-8"/>
          <w:sz w:val="21"/>
          <w:szCs w:val="21"/>
        </w:rPr>
        <w:t>可重新宣读其投标文件。若投标人现场未提出疑问，则认为投标人已确认招标人宣读的内容。</w:t>
      </w:r>
    </w:p>
    <w:p>
      <w:pPr>
        <w:pStyle w:val="10"/>
        <w:numPr>
          <w:ilvl w:val="1"/>
          <w:numId w:val="3"/>
        </w:numPr>
        <w:tabs>
          <w:tab w:val="left" w:pos="870"/>
        </w:tabs>
        <w:spacing w:before="148" w:line="360" w:lineRule="auto"/>
        <w:ind w:left="869" w:hanging="362"/>
        <w:rPr>
          <w:rFonts w:cs="Times New Roman"/>
          <w:b/>
          <w:bCs/>
          <w:sz w:val="22"/>
          <w:szCs w:val="22"/>
        </w:rPr>
      </w:pPr>
      <w:r>
        <w:rPr>
          <w:rFonts w:hint="eastAsia"/>
          <w:b/>
          <w:bCs/>
        </w:rPr>
        <w:t>开标异议</w:t>
      </w:r>
    </w:p>
    <w:p>
      <w:pPr>
        <w:pStyle w:val="12"/>
        <w:spacing w:before="3" w:line="360" w:lineRule="auto"/>
        <w:ind w:left="508" w:right="473" w:firstLine="480"/>
        <w:rPr>
          <w:rFonts w:cs="Times New Roman"/>
        </w:rPr>
      </w:pPr>
      <w:r>
        <w:rPr>
          <w:rFonts w:hint="eastAsia"/>
          <w:spacing w:val="-10"/>
        </w:rPr>
        <w:t>投标人对开标有异议的，应在开标现场提出，招标人当场作出答复，并制作记录，</w:t>
      </w:r>
      <w:r>
        <w:rPr>
          <w:spacing w:val="-10"/>
        </w:rPr>
        <w:t xml:space="preserve"> </w:t>
      </w:r>
      <w:r>
        <w:rPr>
          <w:rFonts w:hint="eastAsia"/>
          <w:spacing w:val="-10"/>
        </w:rPr>
        <w:t>有异议的投</w:t>
      </w:r>
      <w:r>
        <w:rPr>
          <w:rFonts w:hint="eastAsia"/>
          <w:spacing w:val="-8"/>
        </w:rPr>
        <w:t>标人代表、招标人代表、记录人等有关人员在记录上签字确认。</w:t>
      </w:r>
    </w:p>
    <w:p>
      <w:pPr>
        <w:pStyle w:val="10"/>
        <w:numPr>
          <w:ilvl w:val="0"/>
          <w:numId w:val="3"/>
        </w:numPr>
        <w:tabs>
          <w:tab w:val="left" w:pos="741"/>
        </w:tabs>
        <w:spacing w:before="2" w:line="360" w:lineRule="auto"/>
        <w:ind w:left="740" w:hanging="242"/>
        <w:rPr>
          <w:rFonts w:cs="Times New Roman"/>
          <w:b/>
          <w:bCs/>
          <w:sz w:val="22"/>
          <w:szCs w:val="22"/>
        </w:rPr>
      </w:pPr>
      <w:r>
        <w:rPr>
          <w:rFonts w:hint="eastAsia"/>
          <w:b/>
          <w:bCs/>
        </w:rPr>
        <w:t>评标</w:t>
      </w:r>
    </w:p>
    <w:p>
      <w:pPr>
        <w:pStyle w:val="12"/>
        <w:spacing w:before="4" w:line="360" w:lineRule="auto"/>
        <w:rPr>
          <w:rFonts w:cs="Times New Roman"/>
          <w:sz w:val="19"/>
          <w:szCs w:val="19"/>
        </w:rPr>
      </w:pPr>
    </w:p>
    <w:p>
      <w:pPr>
        <w:pStyle w:val="49"/>
        <w:numPr>
          <w:ilvl w:val="1"/>
          <w:numId w:val="3"/>
        </w:numPr>
        <w:tabs>
          <w:tab w:val="left" w:pos="870"/>
        </w:tabs>
        <w:spacing w:line="360" w:lineRule="auto"/>
        <w:ind w:left="869" w:hanging="362"/>
        <w:rPr>
          <w:rFonts w:cs="Times New Roman"/>
        </w:rPr>
      </w:pPr>
      <w:r>
        <w:rPr>
          <w:rFonts w:hint="eastAsia"/>
          <w:b/>
          <w:bCs/>
          <w:sz w:val="24"/>
          <w:szCs w:val="24"/>
        </w:rPr>
        <w:t>评标委员会</w:t>
      </w:r>
    </w:p>
    <w:p>
      <w:pPr>
        <w:pStyle w:val="49"/>
        <w:numPr>
          <w:ilvl w:val="2"/>
          <w:numId w:val="3"/>
        </w:numPr>
        <w:tabs>
          <w:tab w:val="left" w:pos="1515"/>
        </w:tabs>
        <w:spacing w:before="3" w:line="360" w:lineRule="auto"/>
        <w:ind w:right="444" w:firstLine="480"/>
        <w:jc w:val="both"/>
        <w:rPr>
          <w:rFonts w:cs="Times New Roman"/>
          <w:sz w:val="19"/>
          <w:szCs w:val="19"/>
        </w:rPr>
      </w:pPr>
      <w:r>
        <w:rPr>
          <w:rFonts w:hint="eastAsia"/>
          <w:spacing w:val="-8"/>
          <w:sz w:val="21"/>
          <w:szCs w:val="21"/>
        </w:rPr>
        <w:t>评标由招标人依法组建的评标委员会负责。评标委员会由招标人或其委托的招标代理机构</w:t>
      </w:r>
      <w:r>
        <w:rPr>
          <w:spacing w:val="-8"/>
          <w:sz w:val="21"/>
          <w:szCs w:val="21"/>
        </w:rPr>
        <w:t xml:space="preserve">   </w:t>
      </w:r>
      <w:r>
        <w:rPr>
          <w:rFonts w:hint="eastAsia"/>
          <w:spacing w:val="-8"/>
          <w:sz w:val="21"/>
          <w:szCs w:val="21"/>
        </w:rPr>
        <w:t>熟悉相关业务的代表，以及有关技术、经济等方面的专家组成。评标委员会成员人数以及技术、经济</w:t>
      </w:r>
      <w:r>
        <w:rPr>
          <w:spacing w:val="-8"/>
          <w:sz w:val="21"/>
          <w:szCs w:val="21"/>
        </w:rPr>
        <w:t xml:space="preserve">   </w:t>
      </w:r>
      <w:r>
        <w:rPr>
          <w:rFonts w:hint="eastAsia"/>
          <w:spacing w:val="-8"/>
          <w:sz w:val="21"/>
          <w:szCs w:val="21"/>
        </w:rPr>
        <w:t>等方面专家的确定方式见投标人须知前附表。</w:t>
      </w:r>
    </w:p>
    <w:p>
      <w:pPr>
        <w:pStyle w:val="49"/>
        <w:numPr>
          <w:ilvl w:val="2"/>
          <w:numId w:val="3"/>
        </w:numPr>
        <w:tabs>
          <w:tab w:val="left" w:pos="1296"/>
        </w:tabs>
        <w:spacing w:before="94" w:line="360" w:lineRule="auto"/>
        <w:ind w:left="1296" w:hanging="526"/>
        <w:rPr>
          <w:rFonts w:cs="Times New Roman"/>
          <w:sz w:val="19"/>
          <w:szCs w:val="19"/>
        </w:rPr>
      </w:pPr>
      <w:r>
        <w:rPr>
          <w:rFonts w:hint="eastAsia"/>
          <w:sz w:val="21"/>
          <w:szCs w:val="21"/>
        </w:rPr>
        <w:t>评标委员会成员有下列情形之一的，应主动提出回避：</w:t>
      </w:r>
    </w:p>
    <w:p>
      <w:pPr>
        <w:pStyle w:val="49"/>
        <w:numPr>
          <w:ilvl w:val="0"/>
          <w:numId w:val="17"/>
        </w:numPr>
        <w:tabs>
          <w:tab w:val="left" w:pos="1472"/>
        </w:tabs>
        <w:spacing w:before="95" w:line="360" w:lineRule="auto"/>
        <w:ind w:hanging="604"/>
        <w:rPr>
          <w:rFonts w:cs="Times New Roman"/>
          <w:sz w:val="21"/>
          <w:szCs w:val="21"/>
        </w:rPr>
      </w:pPr>
      <w:r>
        <w:rPr>
          <w:rFonts w:hint="eastAsia"/>
          <w:sz w:val="21"/>
          <w:szCs w:val="21"/>
        </w:rPr>
        <w:t>为负责招标项目监督管理的交通运输主管部门的工作人员；</w:t>
      </w:r>
    </w:p>
    <w:p>
      <w:pPr>
        <w:pStyle w:val="49"/>
        <w:numPr>
          <w:ilvl w:val="0"/>
          <w:numId w:val="17"/>
        </w:numPr>
        <w:tabs>
          <w:tab w:val="left" w:pos="1472"/>
        </w:tabs>
        <w:spacing w:before="93" w:line="360" w:lineRule="auto"/>
        <w:ind w:hanging="604"/>
        <w:rPr>
          <w:rFonts w:cs="Times New Roman"/>
          <w:sz w:val="21"/>
          <w:szCs w:val="21"/>
        </w:rPr>
      </w:pPr>
      <w:r>
        <w:rPr>
          <w:rFonts w:hint="eastAsia"/>
          <w:sz w:val="21"/>
          <w:szCs w:val="21"/>
        </w:rPr>
        <w:t>与投标人法定代表人或其委托代理人有近亲属关系；</w:t>
      </w:r>
    </w:p>
    <w:p>
      <w:pPr>
        <w:pStyle w:val="49"/>
        <w:numPr>
          <w:ilvl w:val="0"/>
          <w:numId w:val="17"/>
        </w:numPr>
        <w:tabs>
          <w:tab w:val="left" w:pos="1472"/>
        </w:tabs>
        <w:spacing w:before="95" w:line="360" w:lineRule="auto"/>
        <w:ind w:hanging="604"/>
        <w:rPr>
          <w:rFonts w:cs="Times New Roman"/>
          <w:sz w:val="21"/>
          <w:szCs w:val="21"/>
        </w:rPr>
      </w:pPr>
      <w:r>
        <w:rPr>
          <w:rFonts w:hint="eastAsia"/>
          <w:sz w:val="21"/>
          <w:szCs w:val="21"/>
        </w:rPr>
        <w:t>为投标人的工作人员或退休人员；</w:t>
      </w:r>
    </w:p>
    <w:p>
      <w:pPr>
        <w:pStyle w:val="49"/>
        <w:numPr>
          <w:ilvl w:val="0"/>
          <w:numId w:val="17"/>
        </w:numPr>
        <w:tabs>
          <w:tab w:val="left" w:pos="1472"/>
        </w:tabs>
        <w:spacing w:before="90" w:line="360" w:lineRule="auto"/>
        <w:ind w:hanging="604"/>
        <w:rPr>
          <w:rFonts w:cs="Times New Roman"/>
          <w:sz w:val="21"/>
          <w:szCs w:val="21"/>
        </w:rPr>
      </w:pPr>
      <w:r>
        <w:rPr>
          <w:rFonts w:hint="eastAsia"/>
          <w:sz w:val="21"/>
          <w:szCs w:val="21"/>
        </w:rPr>
        <w:t>与投标人有其他利害关系，可能影响评标活动公正性；</w:t>
      </w:r>
    </w:p>
    <w:p>
      <w:pPr>
        <w:pStyle w:val="49"/>
        <w:numPr>
          <w:ilvl w:val="0"/>
          <w:numId w:val="17"/>
        </w:numPr>
        <w:tabs>
          <w:tab w:val="left" w:pos="1472"/>
        </w:tabs>
        <w:spacing w:before="97" w:line="360" w:lineRule="auto"/>
        <w:ind w:hanging="604"/>
        <w:rPr>
          <w:rFonts w:cs="Times New Roman"/>
          <w:sz w:val="21"/>
          <w:szCs w:val="21"/>
        </w:rPr>
      </w:pPr>
      <w:r>
        <w:rPr>
          <w:rFonts w:hint="eastAsia"/>
          <w:spacing w:val="-13"/>
          <w:sz w:val="21"/>
          <w:szCs w:val="21"/>
        </w:rPr>
        <w:t>在与招标投标有关的活动中有过违法违规行为、曾受过行政处罚或刑事处罚。</w:t>
      </w:r>
    </w:p>
    <w:p>
      <w:pPr>
        <w:pStyle w:val="49"/>
        <w:numPr>
          <w:ilvl w:val="0"/>
          <w:numId w:val="17"/>
        </w:numPr>
        <w:tabs>
          <w:tab w:val="left" w:pos="1472"/>
        </w:tabs>
        <w:spacing w:before="97" w:line="360" w:lineRule="auto"/>
        <w:ind w:hanging="604"/>
        <w:rPr>
          <w:rFonts w:cs="Times New Roman"/>
          <w:sz w:val="21"/>
          <w:szCs w:val="21"/>
        </w:rPr>
      </w:pPr>
      <w:r>
        <w:rPr>
          <w:rFonts w:hint="eastAsia"/>
          <w:sz w:val="21"/>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10"/>
        <w:numPr>
          <w:ilvl w:val="1"/>
          <w:numId w:val="3"/>
        </w:numPr>
        <w:tabs>
          <w:tab w:val="left" w:pos="981"/>
        </w:tabs>
        <w:spacing w:before="149" w:line="360" w:lineRule="auto"/>
        <w:ind w:left="980" w:hanging="362"/>
        <w:rPr>
          <w:rFonts w:cs="Times New Roman"/>
          <w:b/>
          <w:bCs/>
          <w:sz w:val="22"/>
          <w:szCs w:val="22"/>
        </w:rPr>
      </w:pPr>
      <w:r>
        <w:rPr>
          <w:rFonts w:hint="eastAsia"/>
          <w:b/>
          <w:bCs/>
        </w:rPr>
        <w:t>评标原则</w:t>
      </w:r>
    </w:p>
    <w:p>
      <w:pPr>
        <w:pStyle w:val="12"/>
        <w:spacing w:before="154" w:line="360" w:lineRule="auto"/>
        <w:ind w:left="559"/>
        <w:rPr>
          <w:rFonts w:cs="Times New Roman"/>
        </w:rPr>
      </w:pPr>
      <w:r>
        <w:rPr>
          <w:rFonts w:hint="eastAsia"/>
        </w:rPr>
        <w:t>评标活动遵循公平、公正、科学和择优的原则</w:t>
      </w:r>
    </w:p>
    <w:p>
      <w:pPr>
        <w:pStyle w:val="10"/>
        <w:numPr>
          <w:ilvl w:val="1"/>
          <w:numId w:val="3"/>
        </w:numPr>
        <w:tabs>
          <w:tab w:val="left" w:pos="870"/>
        </w:tabs>
        <w:spacing w:before="4" w:line="360" w:lineRule="auto"/>
        <w:ind w:left="869" w:hanging="362"/>
        <w:rPr>
          <w:rFonts w:cs="Times New Roman"/>
          <w:sz w:val="22"/>
          <w:szCs w:val="22"/>
        </w:rPr>
      </w:pPr>
      <w:r>
        <w:rPr>
          <w:rFonts w:hint="eastAsia"/>
          <w:b/>
          <w:bCs/>
        </w:rPr>
        <w:t>评标</w:t>
      </w:r>
    </w:p>
    <w:p>
      <w:pPr>
        <w:pStyle w:val="49"/>
        <w:numPr>
          <w:ilvl w:val="0"/>
          <w:numId w:val="17"/>
        </w:numPr>
        <w:tabs>
          <w:tab w:val="left" w:pos="1472"/>
        </w:tabs>
        <w:spacing w:before="97" w:line="360" w:lineRule="auto"/>
        <w:ind w:hanging="604"/>
        <w:rPr>
          <w:rFonts w:cs="Times New Roman"/>
          <w:spacing w:val="-13"/>
          <w:sz w:val="21"/>
          <w:szCs w:val="21"/>
        </w:rPr>
      </w:pPr>
      <w:r>
        <w:rPr>
          <w:rFonts w:hint="eastAsia"/>
          <w:spacing w:val="-13"/>
          <w:sz w:val="21"/>
          <w:szCs w:val="21"/>
        </w:rPr>
        <w:t>评标委员会按照第三章“评标办法”规定的方法、评审因素、标准和程序对投标文件</w:t>
      </w:r>
      <w:r>
        <w:rPr>
          <w:spacing w:val="-13"/>
          <w:sz w:val="21"/>
          <w:szCs w:val="21"/>
        </w:rPr>
        <w:t xml:space="preserve">  </w:t>
      </w:r>
      <w:r>
        <w:rPr>
          <w:rFonts w:hint="eastAsia"/>
          <w:spacing w:val="-13"/>
          <w:sz w:val="21"/>
          <w:szCs w:val="21"/>
        </w:rPr>
        <w:t>进行评审。第三章“评标办法”没有规定的方法、评审因素和标准，不作为评标依据。</w:t>
      </w:r>
    </w:p>
    <w:p>
      <w:pPr>
        <w:pStyle w:val="49"/>
        <w:numPr>
          <w:ilvl w:val="0"/>
          <w:numId w:val="17"/>
        </w:numPr>
        <w:tabs>
          <w:tab w:val="left" w:pos="1472"/>
        </w:tabs>
        <w:spacing w:before="97" w:line="360" w:lineRule="auto"/>
        <w:ind w:hanging="604"/>
        <w:rPr>
          <w:rFonts w:cs="Times New Roman"/>
          <w:spacing w:val="-13"/>
          <w:sz w:val="21"/>
          <w:szCs w:val="21"/>
        </w:rPr>
      </w:pPr>
      <w:r>
        <w:rPr>
          <w:rFonts w:hint="eastAsia"/>
          <w:spacing w:val="-13"/>
          <w:sz w:val="21"/>
          <w:szCs w:val="21"/>
        </w:rPr>
        <w:t>评标完成后，评标委员会应向招标人提交书面评标报告和中标候选人名单。评标委员会推荐中</w:t>
      </w:r>
      <w:r>
        <w:rPr>
          <w:spacing w:val="-13"/>
          <w:sz w:val="21"/>
          <w:szCs w:val="21"/>
        </w:rPr>
        <w:t xml:space="preserve">   </w:t>
      </w:r>
      <w:r>
        <w:rPr>
          <w:rFonts w:hint="eastAsia"/>
          <w:spacing w:val="-13"/>
          <w:sz w:val="21"/>
          <w:szCs w:val="21"/>
        </w:rPr>
        <w:t>标候选人的人数见投标人须知前附表。</w:t>
      </w:r>
    </w:p>
    <w:p>
      <w:pPr>
        <w:pStyle w:val="10"/>
        <w:numPr>
          <w:ilvl w:val="0"/>
          <w:numId w:val="3"/>
        </w:numPr>
        <w:tabs>
          <w:tab w:val="left" w:pos="741"/>
        </w:tabs>
        <w:spacing w:before="7" w:line="360" w:lineRule="auto"/>
        <w:ind w:left="740" w:hanging="242"/>
        <w:rPr>
          <w:rFonts w:cs="Times New Roman"/>
          <w:b/>
          <w:bCs/>
          <w:sz w:val="22"/>
          <w:szCs w:val="22"/>
        </w:rPr>
      </w:pPr>
      <w:r>
        <w:rPr>
          <w:rFonts w:hint="eastAsia"/>
          <w:b/>
          <w:bCs/>
        </w:rPr>
        <w:t>合同授予</w:t>
      </w:r>
    </w:p>
    <w:p>
      <w:pPr>
        <w:pStyle w:val="12"/>
        <w:spacing w:before="6" w:line="360" w:lineRule="auto"/>
        <w:rPr>
          <w:rFonts w:cs="Times New Roman"/>
          <w:sz w:val="19"/>
          <w:szCs w:val="19"/>
        </w:rPr>
      </w:pPr>
    </w:p>
    <w:p>
      <w:pPr>
        <w:pStyle w:val="49"/>
        <w:numPr>
          <w:ilvl w:val="1"/>
          <w:numId w:val="3"/>
        </w:numPr>
        <w:tabs>
          <w:tab w:val="left" w:pos="928"/>
        </w:tabs>
        <w:spacing w:line="360" w:lineRule="auto"/>
        <w:ind w:left="927" w:hanging="362"/>
        <w:rPr>
          <w:rFonts w:cs="Times New Roman"/>
        </w:rPr>
      </w:pPr>
      <w:r>
        <w:rPr>
          <w:rFonts w:hint="eastAsia"/>
          <w:b/>
          <w:bCs/>
          <w:sz w:val="24"/>
          <w:szCs w:val="24"/>
        </w:rPr>
        <w:t>中标候选人公示</w:t>
      </w:r>
    </w:p>
    <w:p>
      <w:pPr>
        <w:pStyle w:val="12"/>
        <w:spacing w:before="3" w:line="360" w:lineRule="auto"/>
        <w:ind w:left="988"/>
        <w:rPr>
          <w:rFonts w:cs="Times New Roman"/>
        </w:rPr>
      </w:pPr>
      <w:r>
        <w:rPr>
          <w:rFonts w:hint="eastAsia"/>
        </w:rPr>
        <w:t>招标人在收到评标报告之日起</w:t>
      </w:r>
      <w:r>
        <w:t xml:space="preserve"> 3 </w:t>
      </w:r>
      <w:r>
        <w:rPr>
          <w:rFonts w:hint="eastAsia"/>
        </w:rPr>
        <w:t>日内，按照投标人须知前附表规定的公示媒介和</w:t>
      </w:r>
    </w:p>
    <w:p>
      <w:pPr>
        <w:pStyle w:val="12"/>
        <w:spacing w:before="96" w:line="360" w:lineRule="auto"/>
        <w:ind w:left="508"/>
        <w:rPr>
          <w:rFonts w:cs="Times New Roman"/>
        </w:rPr>
      </w:pPr>
      <w:r>
        <w:rPr>
          <w:rFonts w:hint="eastAsia"/>
        </w:rPr>
        <w:t>期限公示中标候选人，公示期不得少于</w:t>
      </w:r>
      <w:r>
        <w:t xml:space="preserve"> 3 </w:t>
      </w:r>
      <w:r>
        <w:rPr>
          <w:rFonts w:hint="eastAsia"/>
        </w:rPr>
        <w:t>日，公示内容包括：</w:t>
      </w:r>
    </w:p>
    <w:p>
      <w:pPr>
        <w:pStyle w:val="49"/>
        <w:numPr>
          <w:ilvl w:val="0"/>
          <w:numId w:val="18"/>
        </w:numPr>
        <w:tabs>
          <w:tab w:val="left" w:pos="1472"/>
        </w:tabs>
        <w:spacing w:before="98" w:line="360" w:lineRule="auto"/>
        <w:ind w:hanging="604"/>
        <w:rPr>
          <w:rFonts w:cs="Times New Roman"/>
          <w:sz w:val="21"/>
          <w:szCs w:val="21"/>
        </w:rPr>
      </w:pPr>
      <w:r>
        <w:rPr>
          <w:rFonts w:hint="eastAsia"/>
          <w:spacing w:val="-17"/>
          <w:sz w:val="21"/>
          <w:szCs w:val="21"/>
        </w:rPr>
        <w:t>中标候选人排序、名称、投标报价，对工程质量要求、安全目标和工期的响应情况；</w:t>
      </w:r>
    </w:p>
    <w:p>
      <w:pPr>
        <w:pStyle w:val="49"/>
        <w:numPr>
          <w:ilvl w:val="0"/>
          <w:numId w:val="18"/>
        </w:numPr>
        <w:tabs>
          <w:tab w:val="left" w:pos="1472"/>
        </w:tabs>
        <w:spacing w:before="98" w:line="360" w:lineRule="auto"/>
        <w:ind w:hanging="604"/>
        <w:rPr>
          <w:rFonts w:cs="Times New Roman"/>
          <w:spacing w:val="-17"/>
          <w:sz w:val="21"/>
          <w:szCs w:val="21"/>
        </w:rPr>
      </w:pPr>
      <w:r>
        <w:rPr>
          <w:rFonts w:hint="eastAsia"/>
          <w:spacing w:val="-17"/>
          <w:sz w:val="21"/>
          <w:szCs w:val="21"/>
        </w:rPr>
        <w:t>中标候选人在投标文件中承诺的项目经理和项目总工姓名、个人业绩、相关证书名称和编号；</w:t>
      </w:r>
    </w:p>
    <w:p>
      <w:pPr>
        <w:pStyle w:val="49"/>
        <w:numPr>
          <w:ilvl w:val="0"/>
          <w:numId w:val="18"/>
        </w:numPr>
        <w:tabs>
          <w:tab w:val="left" w:pos="1472"/>
        </w:tabs>
        <w:spacing w:before="31" w:line="360" w:lineRule="auto"/>
        <w:ind w:hanging="604"/>
        <w:rPr>
          <w:rFonts w:cs="Times New Roman"/>
          <w:sz w:val="21"/>
          <w:szCs w:val="21"/>
        </w:rPr>
      </w:pPr>
      <w:r>
        <w:rPr>
          <w:rFonts w:hint="eastAsia"/>
          <w:sz w:val="21"/>
          <w:szCs w:val="21"/>
        </w:rPr>
        <w:t>中标候选人在投标文件中填报的项目业绩；</w:t>
      </w:r>
    </w:p>
    <w:p>
      <w:pPr>
        <w:pStyle w:val="49"/>
        <w:numPr>
          <w:ilvl w:val="0"/>
          <w:numId w:val="18"/>
        </w:numPr>
        <w:tabs>
          <w:tab w:val="left" w:pos="1472"/>
        </w:tabs>
        <w:spacing w:before="95" w:line="360" w:lineRule="auto"/>
        <w:ind w:hanging="604"/>
        <w:rPr>
          <w:rFonts w:cs="Times New Roman"/>
          <w:sz w:val="21"/>
          <w:szCs w:val="21"/>
        </w:rPr>
      </w:pPr>
      <w:r>
        <w:rPr>
          <w:rFonts w:hint="eastAsia"/>
          <w:sz w:val="21"/>
          <w:szCs w:val="21"/>
        </w:rPr>
        <w:t>被否决投标的投标人名称、否决依据和原因；</w:t>
      </w:r>
    </w:p>
    <w:p>
      <w:pPr>
        <w:pStyle w:val="49"/>
        <w:numPr>
          <w:ilvl w:val="0"/>
          <w:numId w:val="18"/>
        </w:numPr>
        <w:tabs>
          <w:tab w:val="left" w:pos="1472"/>
        </w:tabs>
        <w:spacing w:before="94" w:line="360" w:lineRule="auto"/>
        <w:ind w:hanging="604"/>
        <w:rPr>
          <w:rFonts w:cs="Times New Roman"/>
          <w:sz w:val="21"/>
          <w:szCs w:val="21"/>
        </w:rPr>
      </w:pPr>
      <w:r>
        <w:rPr>
          <w:rFonts w:hint="eastAsia"/>
          <w:sz w:val="21"/>
          <w:szCs w:val="21"/>
        </w:rPr>
        <w:t>提出异议的渠道和方式；</w:t>
      </w:r>
    </w:p>
    <w:p>
      <w:pPr>
        <w:pStyle w:val="49"/>
        <w:numPr>
          <w:ilvl w:val="0"/>
          <w:numId w:val="18"/>
        </w:numPr>
        <w:tabs>
          <w:tab w:val="left" w:pos="1472"/>
        </w:tabs>
        <w:spacing w:before="61" w:line="360" w:lineRule="auto"/>
        <w:ind w:hanging="604"/>
        <w:rPr>
          <w:rFonts w:cs="Times New Roman"/>
          <w:sz w:val="21"/>
          <w:szCs w:val="21"/>
        </w:rPr>
      </w:pPr>
      <w:r>
        <w:rPr>
          <w:rFonts w:hint="eastAsia"/>
          <w:sz w:val="21"/>
          <w:szCs w:val="21"/>
        </w:rPr>
        <w:t>投标人须知前附表规定公示的其他内容。</w:t>
      </w:r>
    </w:p>
    <w:p>
      <w:pPr>
        <w:pStyle w:val="10"/>
        <w:numPr>
          <w:ilvl w:val="1"/>
          <w:numId w:val="3"/>
        </w:numPr>
        <w:tabs>
          <w:tab w:val="left" w:pos="956"/>
        </w:tabs>
        <w:spacing w:before="1" w:line="360" w:lineRule="auto"/>
        <w:ind w:left="955" w:hanging="465"/>
        <w:rPr>
          <w:rFonts w:cs="Times New Roman"/>
          <w:b/>
          <w:bCs/>
          <w:sz w:val="21"/>
          <w:szCs w:val="21"/>
        </w:rPr>
      </w:pPr>
      <w:r>
        <w:rPr>
          <w:rFonts w:hint="eastAsia"/>
          <w:b/>
          <w:bCs/>
        </w:rPr>
        <w:t>评标结果异议</w:t>
      </w:r>
    </w:p>
    <w:p>
      <w:pPr>
        <w:pStyle w:val="12"/>
        <w:spacing w:before="1" w:line="360" w:lineRule="auto"/>
        <w:ind w:left="508" w:right="418" w:firstLine="480"/>
        <w:rPr>
          <w:rFonts w:cs="Times New Roman"/>
        </w:rPr>
      </w:pPr>
      <w:r>
        <w:rPr>
          <w:rFonts w:hint="eastAsia"/>
        </w:rPr>
        <w:t>投标人或其他利害关系人对依法必须进行招标的项目的评标结果有异议的，应在中标候选人公示期间提出。招标人将在收到异议之日起</w:t>
      </w:r>
      <w:r>
        <w:t xml:space="preserve"> 3 </w:t>
      </w:r>
      <w:r>
        <w:rPr>
          <w:rFonts w:hint="eastAsia"/>
        </w:rPr>
        <w:t>日内作出答复；作出答复前，</w:t>
      </w:r>
      <w:r>
        <w:t xml:space="preserve"> </w:t>
      </w:r>
      <w:r>
        <w:rPr>
          <w:rFonts w:hint="eastAsia"/>
        </w:rPr>
        <w:t>将暂停招标投标活动。</w:t>
      </w:r>
    </w:p>
    <w:p>
      <w:pPr>
        <w:pStyle w:val="10"/>
        <w:numPr>
          <w:ilvl w:val="1"/>
          <w:numId w:val="3"/>
        </w:numPr>
        <w:tabs>
          <w:tab w:val="left" w:pos="1047"/>
        </w:tabs>
        <w:spacing w:before="150" w:line="360" w:lineRule="auto"/>
        <w:ind w:left="1046" w:hanging="481"/>
        <w:rPr>
          <w:rFonts w:cs="Times New Roman"/>
        </w:rPr>
      </w:pPr>
      <w:r>
        <w:rPr>
          <w:rFonts w:hint="eastAsia"/>
          <w:b/>
          <w:bCs/>
        </w:rPr>
        <w:t>中标候选人履约能力审查</w:t>
      </w:r>
    </w:p>
    <w:p>
      <w:pPr>
        <w:pStyle w:val="12"/>
        <w:spacing w:before="6" w:line="360" w:lineRule="auto"/>
        <w:ind w:left="508" w:right="490" w:firstLine="480"/>
        <w:rPr>
          <w:rFonts w:cs="Times New Roman"/>
        </w:rPr>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r>
        <w:rPr>
          <w:rFonts w:hint="eastAsia"/>
          <w:spacing w:val="-5"/>
        </w:rPr>
        <w:t>。</w:t>
      </w:r>
    </w:p>
    <w:p>
      <w:pPr>
        <w:pStyle w:val="10"/>
        <w:numPr>
          <w:ilvl w:val="1"/>
          <w:numId w:val="3"/>
        </w:numPr>
        <w:tabs>
          <w:tab w:val="left" w:pos="808"/>
        </w:tabs>
        <w:spacing w:before="153" w:line="360" w:lineRule="auto"/>
        <w:ind w:left="807" w:hanging="362"/>
        <w:rPr>
          <w:rFonts w:cs="Times New Roman"/>
          <w:b/>
          <w:bCs/>
          <w:sz w:val="22"/>
          <w:szCs w:val="22"/>
        </w:rPr>
      </w:pPr>
      <w:r>
        <w:rPr>
          <w:rFonts w:hint="eastAsia"/>
          <w:b/>
          <w:bCs/>
        </w:rPr>
        <w:t>定标</w:t>
      </w:r>
    </w:p>
    <w:p>
      <w:pPr>
        <w:pStyle w:val="12"/>
        <w:spacing w:before="3" w:line="360" w:lineRule="auto"/>
        <w:ind w:left="988"/>
        <w:rPr>
          <w:rFonts w:cs="Times New Roman"/>
        </w:rPr>
      </w:pPr>
      <w:r>
        <w:rPr>
          <w:rFonts w:hint="eastAsia"/>
        </w:rPr>
        <w:t>按照投标人须知前附表的规定，招标人或招标人授权的评标委员会依法确定中标人。</w:t>
      </w:r>
    </w:p>
    <w:p>
      <w:pPr>
        <w:pStyle w:val="12"/>
        <w:spacing w:before="5" w:line="360" w:lineRule="auto"/>
        <w:rPr>
          <w:rFonts w:cs="Times New Roman"/>
          <w:sz w:val="18"/>
          <w:szCs w:val="18"/>
        </w:rPr>
      </w:pPr>
    </w:p>
    <w:p>
      <w:pPr>
        <w:pStyle w:val="10"/>
        <w:numPr>
          <w:ilvl w:val="1"/>
          <w:numId w:val="3"/>
        </w:numPr>
        <w:tabs>
          <w:tab w:val="left" w:pos="808"/>
        </w:tabs>
        <w:spacing w:line="360" w:lineRule="auto"/>
        <w:ind w:left="807" w:hanging="362"/>
        <w:rPr>
          <w:rFonts w:cs="Times New Roman"/>
          <w:b/>
          <w:bCs/>
          <w:sz w:val="22"/>
          <w:szCs w:val="22"/>
        </w:rPr>
      </w:pPr>
      <w:r>
        <w:rPr>
          <w:rFonts w:hint="eastAsia"/>
          <w:b/>
          <w:bCs/>
        </w:rPr>
        <w:t>中标通知</w:t>
      </w:r>
    </w:p>
    <w:p>
      <w:pPr>
        <w:pStyle w:val="12"/>
        <w:spacing w:before="4" w:line="360" w:lineRule="auto"/>
        <w:ind w:left="508" w:right="545" w:firstLine="480"/>
        <w:rPr>
          <w:rFonts w:cs="Times New Roman"/>
          <w:spacing w:val="-8"/>
        </w:rPr>
      </w:pPr>
      <w:r>
        <w:rPr>
          <w:rFonts w:hint="eastAsia"/>
          <w:spacing w:val="-8"/>
        </w:rPr>
        <w:t>在本章第</w:t>
      </w:r>
      <w:r>
        <w:rPr>
          <w:spacing w:val="-8"/>
        </w:rPr>
        <w:t xml:space="preserve"> 3.3 </w:t>
      </w:r>
      <w:r>
        <w:rPr>
          <w:rFonts w:hint="eastAsia"/>
          <w:spacing w:val="-8"/>
        </w:rPr>
        <w:t>款规定的投标有效期内，招标人以投标人须知前附表规定的形式向中标人发出中标通知书，同时将中标结果通知未中标的投标人。</w:t>
      </w:r>
    </w:p>
    <w:p>
      <w:pPr>
        <w:pStyle w:val="10"/>
        <w:numPr>
          <w:ilvl w:val="1"/>
          <w:numId w:val="3"/>
        </w:numPr>
        <w:tabs>
          <w:tab w:val="left" w:pos="1047"/>
        </w:tabs>
        <w:spacing w:before="150" w:line="360" w:lineRule="auto"/>
        <w:ind w:left="1046" w:hanging="601"/>
        <w:rPr>
          <w:rFonts w:cs="Times New Roman"/>
          <w:b/>
          <w:bCs/>
        </w:rPr>
      </w:pPr>
      <w:r>
        <w:rPr>
          <w:rFonts w:hint="eastAsia"/>
          <w:b/>
          <w:bCs/>
        </w:rPr>
        <w:t>中标结果公告</w:t>
      </w:r>
    </w:p>
    <w:p>
      <w:pPr>
        <w:pStyle w:val="12"/>
        <w:spacing w:before="3" w:line="360" w:lineRule="auto"/>
        <w:ind w:right="1407"/>
        <w:jc w:val="right"/>
        <w:rPr>
          <w:rFonts w:cs="Times New Roman"/>
        </w:rPr>
      </w:pPr>
      <w:r>
        <w:rPr>
          <w:rFonts w:hint="eastAsia"/>
        </w:rPr>
        <w:t>招标人在确定中标人之日起</w:t>
      </w:r>
      <w:r>
        <w:t xml:space="preserve"> 3 </w:t>
      </w:r>
      <w:r>
        <w:rPr>
          <w:rFonts w:hint="eastAsia"/>
        </w:rPr>
        <w:t>日内，按照投标人须知前附表规定的公告媒介和期</w:t>
      </w:r>
    </w:p>
    <w:p>
      <w:pPr>
        <w:pStyle w:val="12"/>
        <w:spacing w:before="93" w:line="360" w:lineRule="auto"/>
        <w:ind w:right="1464"/>
        <w:jc w:val="right"/>
        <w:rPr>
          <w:rFonts w:cs="Times New Roman"/>
        </w:rPr>
      </w:pPr>
      <w:r>
        <w:rPr>
          <w:rFonts w:hint="eastAsia"/>
        </w:rPr>
        <w:t>限公告中标结果，公告期不得少于</w:t>
      </w:r>
      <w:r>
        <w:t xml:space="preserve"> 3 </w:t>
      </w:r>
      <w:r>
        <w:rPr>
          <w:rFonts w:hint="eastAsia"/>
        </w:rPr>
        <w:t>日。公告内容包括中标人名称、中标价等信息。</w:t>
      </w:r>
    </w:p>
    <w:p>
      <w:pPr>
        <w:pStyle w:val="10"/>
        <w:numPr>
          <w:ilvl w:val="1"/>
          <w:numId w:val="3"/>
        </w:numPr>
        <w:tabs>
          <w:tab w:val="left" w:pos="1167"/>
        </w:tabs>
        <w:spacing w:before="157" w:line="360" w:lineRule="auto"/>
        <w:ind w:left="1166" w:hanging="601"/>
        <w:jc w:val="both"/>
        <w:rPr>
          <w:rFonts w:cs="Times New Roman"/>
          <w:b/>
          <w:bCs/>
        </w:rPr>
      </w:pPr>
      <w:r>
        <w:rPr>
          <w:rFonts w:hint="eastAsia"/>
          <w:b/>
          <w:bCs/>
        </w:rPr>
        <w:t>履约保证金</w:t>
      </w:r>
    </w:p>
    <w:p>
      <w:pPr>
        <w:pStyle w:val="49"/>
        <w:numPr>
          <w:ilvl w:val="2"/>
          <w:numId w:val="3"/>
        </w:numPr>
        <w:tabs>
          <w:tab w:val="left" w:pos="1498"/>
        </w:tabs>
        <w:spacing w:before="1" w:line="360" w:lineRule="auto"/>
        <w:ind w:right="401" w:firstLine="463"/>
        <w:jc w:val="both"/>
        <w:rPr>
          <w:rFonts w:cs="Times New Roman"/>
          <w:sz w:val="19"/>
          <w:szCs w:val="19"/>
        </w:rPr>
      </w:pPr>
      <w:r>
        <w:rPr>
          <w:rFonts w:hint="eastAsia"/>
          <w:spacing w:val="-9"/>
          <w:sz w:val="21"/>
          <w:szCs w:val="21"/>
        </w:rPr>
        <w:t>在签订合同前，中标人应按投标人须知前附表规定的形式、金额和招标文件第四章“合</w:t>
      </w:r>
      <w:r>
        <w:rPr>
          <w:rFonts w:hint="eastAsia"/>
          <w:spacing w:val="-4"/>
          <w:w w:val="95"/>
          <w:sz w:val="21"/>
          <w:szCs w:val="21"/>
        </w:rPr>
        <w:t>同</w:t>
      </w:r>
      <w:r>
        <w:rPr>
          <w:rFonts w:hint="eastAsia"/>
          <w:sz w:val="21"/>
          <w:szCs w:val="21"/>
        </w:rPr>
        <w:t>条款及格式”规定的或事先经过招标人书面认可的履约保证金格</w:t>
      </w:r>
      <w:r>
        <w:rPr>
          <w:rFonts w:hint="eastAsia"/>
          <w:color w:val="auto"/>
          <w:sz w:val="21"/>
          <w:szCs w:val="21"/>
        </w:rPr>
        <w:t>式向招标人提交履约保证金。除投标人须知前附表另有规定外，履约保证金为签约合同价的</w:t>
      </w:r>
      <w:r>
        <w:rPr>
          <w:rFonts w:hint="eastAsia"/>
          <w:color w:val="auto"/>
          <w:sz w:val="21"/>
          <w:szCs w:val="21"/>
          <w:lang w:val="en-US" w:eastAsia="zh-CN"/>
        </w:rPr>
        <w:t>10</w:t>
      </w:r>
      <w:r>
        <w:rPr>
          <w:color w:val="auto"/>
          <w:sz w:val="21"/>
          <w:szCs w:val="21"/>
        </w:rPr>
        <w:t>%</w:t>
      </w:r>
      <w:r>
        <w:rPr>
          <w:rFonts w:hint="eastAsia"/>
          <w:color w:val="auto"/>
          <w:sz w:val="21"/>
          <w:szCs w:val="21"/>
        </w:rPr>
        <w:t>。联合</w:t>
      </w:r>
      <w:r>
        <w:rPr>
          <w:rFonts w:hint="eastAsia"/>
          <w:sz w:val="21"/>
          <w:szCs w:val="21"/>
        </w:rPr>
        <w:t>体中标的，其履约保证金以联合</w:t>
      </w:r>
      <w:r>
        <w:rPr>
          <w:rFonts w:hint="eastAsia"/>
          <w:spacing w:val="-3"/>
          <w:sz w:val="21"/>
          <w:szCs w:val="21"/>
        </w:rPr>
        <w:t>体各方或联合体中牵头人的名义提交。</w:t>
      </w:r>
    </w:p>
    <w:p>
      <w:pPr>
        <w:pStyle w:val="12"/>
        <w:spacing w:line="360" w:lineRule="auto"/>
        <w:ind w:left="508" w:right="544" w:firstLine="480"/>
        <w:rPr>
          <w:rFonts w:cs="Times New Roman"/>
        </w:rPr>
      </w:pPr>
      <w:r>
        <w:rPr>
          <w:rFonts w:hint="eastAsia"/>
        </w:rPr>
        <w:t>采用银行保函时，应由符合投标人须知前附表规定级别的银行开具，所需的费用由中标人承担，中标人应保证银行保函有效。</w:t>
      </w:r>
    </w:p>
    <w:p>
      <w:pPr>
        <w:pStyle w:val="49"/>
        <w:numPr>
          <w:ilvl w:val="2"/>
          <w:numId w:val="3"/>
        </w:numPr>
        <w:tabs>
          <w:tab w:val="left" w:pos="1472"/>
        </w:tabs>
        <w:spacing w:before="3" w:line="360" w:lineRule="auto"/>
        <w:ind w:right="526" w:firstLine="458"/>
        <w:rPr>
          <w:rFonts w:cs="Times New Roman"/>
          <w:sz w:val="19"/>
          <w:szCs w:val="19"/>
        </w:rPr>
      </w:pPr>
      <w:r>
        <w:rPr>
          <w:rFonts w:hint="eastAsia"/>
          <w:spacing w:val="-15"/>
          <w:sz w:val="21"/>
          <w:szCs w:val="21"/>
        </w:rPr>
        <w:t>中标人不能按本章第</w:t>
      </w:r>
      <w:r>
        <w:rPr>
          <w:spacing w:val="-15"/>
          <w:sz w:val="21"/>
          <w:szCs w:val="21"/>
        </w:rPr>
        <w:t xml:space="preserve"> </w:t>
      </w:r>
      <w:r>
        <w:rPr>
          <w:sz w:val="21"/>
          <w:szCs w:val="21"/>
        </w:rPr>
        <w:t>7.7.1</w:t>
      </w:r>
      <w:r>
        <w:rPr>
          <w:spacing w:val="-22"/>
          <w:sz w:val="21"/>
          <w:szCs w:val="21"/>
        </w:rPr>
        <w:t xml:space="preserve"> </w:t>
      </w:r>
      <w:r>
        <w:rPr>
          <w:rFonts w:hint="eastAsia"/>
          <w:spacing w:val="-22"/>
          <w:sz w:val="21"/>
          <w:szCs w:val="21"/>
        </w:rPr>
        <w:t>项要求提交履约保证金的，视为放弃中标。</w:t>
      </w:r>
    </w:p>
    <w:p>
      <w:pPr>
        <w:pStyle w:val="10"/>
        <w:numPr>
          <w:ilvl w:val="1"/>
          <w:numId w:val="3"/>
        </w:numPr>
        <w:tabs>
          <w:tab w:val="left" w:pos="928"/>
        </w:tabs>
        <w:spacing w:before="156" w:line="360" w:lineRule="auto"/>
        <w:ind w:left="927" w:hanging="362"/>
        <w:rPr>
          <w:rFonts w:cs="Times New Roman"/>
          <w:sz w:val="22"/>
          <w:szCs w:val="22"/>
        </w:rPr>
      </w:pPr>
      <w:r>
        <w:rPr>
          <w:rFonts w:hint="eastAsia"/>
          <w:b/>
          <w:bCs/>
        </w:rPr>
        <w:t>签订合同</w:t>
      </w:r>
    </w:p>
    <w:p>
      <w:pPr>
        <w:pStyle w:val="49"/>
        <w:numPr>
          <w:ilvl w:val="2"/>
          <w:numId w:val="3"/>
        </w:numPr>
        <w:tabs>
          <w:tab w:val="left" w:pos="1486"/>
        </w:tabs>
        <w:spacing w:before="3" w:line="360" w:lineRule="auto"/>
        <w:ind w:right="523" w:firstLine="460"/>
        <w:jc w:val="both"/>
        <w:rPr>
          <w:rFonts w:cs="Times New Roman"/>
          <w:sz w:val="19"/>
          <w:szCs w:val="19"/>
        </w:rPr>
      </w:pPr>
      <w:r>
        <w:rPr>
          <w:rFonts w:hint="eastAsia"/>
          <w:spacing w:val="-7"/>
          <w:sz w:val="21"/>
          <w:szCs w:val="21"/>
        </w:rPr>
        <w:t>招标人和中标人应在中标通知书发出之日起</w:t>
      </w:r>
      <w:r>
        <w:rPr>
          <w:spacing w:val="-7"/>
          <w:sz w:val="21"/>
          <w:szCs w:val="21"/>
        </w:rPr>
        <w:t xml:space="preserve"> </w:t>
      </w:r>
      <w:r>
        <w:rPr>
          <w:rFonts w:hint="eastAsia"/>
          <w:sz w:val="21"/>
          <w:szCs w:val="21"/>
          <w:lang w:val="en-US" w:eastAsia="zh-CN"/>
        </w:rPr>
        <w:t>二十五</w:t>
      </w:r>
      <w:r>
        <w:rPr>
          <w:spacing w:val="-28"/>
          <w:sz w:val="21"/>
          <w:szCs w:val="21"/>
        </w:rPr>
        <w:t xml:space="preserve"> </w:t>
      </w:r>
      <w:r>
        <w:rPr>
          <w:rFonts w:hint="eastAsia"/>
          <w:spacing w:val="-28"/>
          <w:sz w:val="21"/>
          <w:szCs w:val="21"/>
        </w:rPr>
        <w:t>日内，根据招标文件和中标人的投标文件订</w:t>
      </w:r>
      <w:r>
        <w:rPr>
          <w:rFonts w:hint="eastAsia"/>
          <w:spacing w:val="-7"/>
          <w:sz w:val="21"/>
          <w:szCs w:val="21"/>
        </w:rPr>
        <w:t>立书面合同。中标人无正当理由拒签合同，在签订合同时向招标人提出附加条件，或不按照招标文件要求提交履约保证金的，招标人取消其中标资格</w:t>
      </w:r>
      <w:r>
        <w:rPr>
          <w:rFonts w:hint="eastAsia"/>
          <w:spacing w:val="-15"/>
          <w:sz w:val="21"/>
          <w:szCs w:val="21"/>
        </w:rPr>
        <w:t>。</w:t>
      </w:r>
    </w:p>
    <w:p>
      <w:pPr>
        <w:pStyle w:val="49"/>
        <w:numPr>
          <w:ilvl w:val="2"/>
          <w:numId w:val="3"/>
        </w:numPr>
        <w:tabs>
          <w:tab w:val="left" w:pos="1589"/>
        </w:tabs>
        <w:spacing w:line="360" w:lineRule="auto"/>
        <w:ind w:left="1588" w:hanging="649"/>
        <w:rPr>
          <w:rFonts w:cs="Times New Roman"/>
          <w:sz w:val="21"/>
          <w:szCs w:val="21"/>
        </w:rPr>
      </w:pPr>
      <w:r>
        <w:rPr>
          <w:rFonts w:hint="eastAsia"/>
          <w:spacing w:val="-16"/>
          <w:sz w:val="21"/>
          <w:szCs w:val="21"/>
        </w:rPr>
        <w:t>签约合同价的确定原则如下：</w:t>
      </w:r>
    </w:p>
    <w:p>
      <w:pPr>
        <w:pStyle w:val="49"/>
        <w:numPr>
          <w:ilvl w:val="0"/>
          <w:numId w:val="19"/>
        </w:numPr>
        <w:tabs>
          <w:tab w:val="left" w:pos="1589"/>
        </w:tabs>
        <w:spacing w:before="87" w:line="360" w:lineRule="auto"/>
        <w:ind w:right="528" w:firstLine="432"/>
        <w:jc w:val="both"/>
        <w:rPr>
          <w:rFonts w:cs="Times New Roman"/>
          <w:sz w:val="21"/>
          <w:szCs w:val="21"/>
        </w:rPr>
      </w:pPr>
      <w:r>
        <w:rPr>
          <w:rFonts w:hint="eastAsia"/>
          <w:spacing w:val="-16"/>
          <w:sz w:val="21"/>
          <w:szCs w:val="21"/>
        </w:rPr>
        <w:t>按照评标办法规定对投标报价进行修正后，若修正后的最终投标报价小于开标时的投标函大写金额报价，则签订合同时以修正后的最终投标报价为准；</w:t>
      </w:r>
    </w:p>
    <w:p>
      <w:pPr>
        <w:pStyle w:val="49"/>
        <w:numPr>
          <w:ilvl w:val="0"/>
          <w:numId w:val="19"/>
        </w:numPr>
        <w:tabs>
          <w:tab w:val="left" w:pos="1589"/>
        </w:tabs>
        <w:spacing w:before="2" w:line="360" w:lineRule="auto"/>
        <w:ind w:right="528" w:firstLine="432"/>
        <w:jc w:val="both"/>
        <w:rPr>
          <w:rFonts w:cs="Times New Roman"/>
          <w:sz w:val="21"/>
          <w:szCs w:val="21"/>
        </w:rPr>
      </w:pPr>
      <w:r>
        <w:rPr>
          <w:rFonts w:hint="eastAsia"/>
          <w:spacing w:val="-16"/>
          <w:sz w:val="21"/>
          <w:szCs w:val="21"/>
        </w:rPr>
        <w:t>按照评标办法规定对投标报价进行修正后，若修正后的最终投标报价大于开标时的投标函大写金额报价</w:t>
      </w:r>
      <w:r>
        <w:rPr>
          <w:rFonts w:hint="eastAsia"/>
          <w:spacing w:val="-20"/>
          <w:sz w:val="21"/>
          <w:szCs w:val="21"/>
        </w:rPr>
        <w:t>，则签订合同时以开标时的投标函大写金额报价为准，</w:t>
      </w:r>
      <w:r>
        <w:rPr>
          <w:spacing w:val="-20"/>
          <w:sz w:val="21"/>
          <w:szCs w:val="21"/>
        </w:rPr>
        <w:t xml:space="preserve"> </w:t>
      </w:r>
      <w:r>
        <w:rPr>
          <w:rFonts w:hint="eastAsia"/>
          <w:spacing w:val="-20"/>
          <w:sz w:val="21"/>
          <w:szCs w:val="21"/>
        </w:rPr>
        <w:t>同时按比例修正相应子目的单价或合</w:t>
      </w:r>
      <w:r>
        <w:rPr>
          <w:rFonts w:hint="eastAsia"/>
          <w:spacing w:val="-8"/>
          <w:sz w:val="21"/>
          <w:szCs w:val="21"/>
        </w:rPr>
        <w:t>价。</w:t>
      </w:r>
    </w:p>
    <w:p>
      <w:pPr>
        <w:pStyle w:val="49"/>
        <w:numPr>
          <w:ilvl w:val="2"/>
          <w:numId w:val="3"/>
        </w:numPr>
        <w:tabs>
          <w:tab w:val="left" w:pos="1438"/>
        </w:tabs>
        <w:spacing w:line="360" w:lineRule="auto"/>
        <w:ind w:left="1437" w:hanging="498"/>
        <w:rPr>
          <w:rFonts w:cs="Times New Roman"/>
          <w:sz w:val="19"/>
          <w:szCs w:val="19"/>
        </w:rPr>
      </w:pPr>
      <w:r>
        <w:rPr>
          <w:rFonts w:hint="eastAsia"/>
          <w:spacing w:val="-17"/>
          <w:sz w:val="21"/>
          <w:szCs w:val="21"/>
        </w:rPr>
        <w:t>联合体中标的，联合体各方应共同与招标人签订合同，就中标项目向招标人承担连带责任。</w:t>
      </w:r>
    </w:p>
    <w:p>
      <w:pPr>
        <w:pStyle w:val="49"/>
        <w:numPr>
          <w:ilvl w:val="2"/>
          <w:numId w:val="3"/>
        </w:numPr>
        <w:tabs>
          <w:tab w:val="left" w:pos="1438"/>
        </w:tabs>
        <w:spacing w:before="86" w:line="360" w:lineRule="auto"/>
        <w:ind w:left="1437" w:hanging="498"/>
        <w:rPr>
          <w:rFonts w:cs="Times New Roman"/>
        </w:rPr>
      </w:pPr>
      <w:r>
        <w:rPr>
          <w:rFonts w:hint="eastAsia"/>
          <w:spacing w:val="-22"/>
          <w:sz w:val="21"/>
          <w:szCs w:val="21"/>
        </w:rPr>
        <w:t>招标人和中标人在签订合同协议书的同时，须按照本招标文件规定的格式和要求签订廉政合同</w:t>
      </w:r>
      <w:r>
        <w:rPr>
          <w:rFonts w:hint="eastAsia"/>
        </w:rPr>
        <w:t>及安全生产合同，明确双方在廉政建设和安全生产方面的权利和义务以及应承担的违约责任。</w:t>
      </w:r>
    </w:p>
    <w:p>
      <w:pPr>
        <w:pStyle w:val="10"/>
        <w:numPr>
          <w:ilvl w:val="0"/>
          <w:numId w:val="3"/>
        </w:numPr>
        <w:tabs>
          <w:tab w:val="left" w:pos="741"/>
        </w:tabs>
        <w:spacing w:before="88" w:line="360" w:lineRule="auto"/>
        <w:ind w:left="740" w:hanging="242"/>
        <w:rPr>
          <w:rFonts w:cs="Times New Roman"/>
          <w:sz w:val="19"/>
          <w:szCs w:val="19"/>
        </w:rPr>
      </w:pPr>
      <w:r>
        <w:rPr>
          <w:rFonts w:hint="eastAsia"/>
          <w:b/>
          <w:bCs/>
          <w:spacing w:val="-3"/>
        </w:rPr>
        <w:t>纪律和监督</w:t>
      </w:r>
    </w:p>
    <w:p>
      <w:pPr>
        <w:pStyle w:val="49"/>
        <w:numPr>
          <w:ilvl w:val="1"/>
          <w:numId w:val="3"/>
        </w:numPr>
        <w:tabs>
          <w:tab w:val="left" w:pos="808"/>
        </w:tabs>
        <w:spacing w:line="360" w:lineRule="auto"/>
        <w:ind w:left="807" w:hanging="362"/>
        <w:rPr>
          <w:rFonts w:cs="Times New Roman"/>
        </w:rPr>
      </w:pPr>
      <w:r>
        <w:rPr>
          <w:rFonts w:hint="eastAsia"/>
          <w:sz w:val="24"/>
          <w:szCs w:val="24"/>
        </w:rPr>
        <w:t>对招标人的纪律要求</w:t>
      </w:r>
    </w:p>
    <w:p>
      <w:pPr>
        <w:pStyle w:val="12"/>
        <w:spacing w:before="3" w:line="360" w:lineRule="auto"/>
        <w:ind w:left="508" w:right="547" w:firstLine="480"/>
        <w:rPr>
          <w:rFonts w:cs="Times New Roman"/>
          <w:spacing w:val="-22"/>
        </w:rPr>
      </w:pPr>
      <w:r>
        <w:rPr>
          <w:rFonts w:hint="eastAsia"/>
          <w:spacing w:val="-22"/>
        </w:rPr>
        <w:t>招标人不得泄露招标投标活动中应保密的情况和资料，不得与投标人串通损害国家利益、社会</w:t>
      </w:r>
      <w:r>
        <w:rPr>
          <w:spacing w:val="-22"/>
        </w:rPr>
        <w:t xml:space="preserve"> </w:t>
      </w:r>
      <w:r>
        <w:rPr>
          <w:rFonts w:hint="eastAsia"/>
          <w:spacing w:val="-22"/>
        </w:rPr>
        <w:t>公共利益或他人合法权益。</w:t>
      </w:r>
    </w:p>
    <w:p>
      <w:pPr>
        <w:pStyle w:val="10"/>
        <w:numPr>
          <w:ilvl w:val="1"/>
          <w:numId w:val="3"/>
        </w:numPr>
        <w:tabs>
          <w:tab w:val="left" w:pos="808"/>
        </w:tabs>
        <w:spacing w:before="150" w:line="360" w:lineRule="auto"/>
        <w:ind w:left="807" w:hanging="362"/>
        <w:rPr>
          <w:rFonts w:cs="Times New Roman"/>
          <w:sz w:val="22"/>
          <w:szCs w:val="22"/>
        </w:rPr>
      </w:pPr>
      <w:r>
        <w:rPr>
          <w:rFonts w:hint="eastAsia"/>
        </w:rPr>
        <w:t>对投标人的纪律要求</w:t>
      </w:r>
    </w:p>
    <w:p>
      <w:pPr>
        <w:pStyle w:val="12"/>
        <w:spacing w:before="3" w:line="360" w:lineRule="auto"/>
        <w:ind w:left="508" w:right="547" w:firstLine="480"/>
        <w:rPr>
          <w:rFonts w:cs="Times New Roman"/>
          <w:spacing w:val="-22"/>
        </w:rPr>
      </w:pPr>
      <w:r>
        <w:rPr>
          <w:rFonts w:hint="eastAsia"/>
          <w:spacing w:val="-22"/>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10"/>
        <w:numPr>
          <w:ilvl w:val="1"/>
          <w:numId w:val="3"/>
        </w:numPr>
        <w:tabs>
          <w:tab w:val="left" w:pos="808"/>
        </w:tabs>
        <w:spacing w:before="156" w:line="360" w:lineRule="auto"/>
        <w:ind w:left="807" w:hanging="362"/>
        <w:rPr>
          <w:rFonts w:cs="Times New Roman"/>
          <w:sz w:val="22"/>
          <w:szCs w:val="22"/>
        </w:rPr>
      </w:pPr>
      <w:r>
        <w:rPr>
          <w:rFonts w:hint="eastAsia"/>
        </w:rPr>
        <w:t>对评标委员会成员的纪律要求</w:t>
      </w:r>
    </w:p>
    <w:p>
      <w:pPr>
        <w:pStyle w:val="12"/>
        <w:spacing w:before="3" w:line="360" w:lineRule="auto"/>
        <w:ind w:left="508" w:right="427" w:firstLine="480"/>
        <w:rPr>
          <w:rFonts w:cs="Times New Roman"/>
        </w:rPr>
      </w:pPr>
      <w:r>
        <w:rPr>
          <w:rFonts w:hint="eastAsia"/>
          <w:spacing w:val="-16"/>
        </w:rPr>
        <w:t>评标委员会成员不得收受他人的财物或其他好处，不得向他人透露对投标文件的评审和比较、中标候选人的推荐情况以及评标有关的其他情况。在评标活动中，评标委员会成员应客观、公正地履行职责，</w:t>
      </w:r>
      <w:r>
        <w:rPr>
          <w:rFonts w:hint="eastAsia"/>
          <w:spacing w:val="-15"/>
        </w:rPr>
        <w:t>遵守职业道德，不得擅离职守，影响评标程序正常进行，不得使用第三章“评标办法”没有规定的评审因素和标准进行评标。</w:t>
      </w:r>
    </w:p>
    <w:p>
      <w:pPr>
        <w:pStyle w:val="10"/>
        <w:numPr>
          <w:ilvl w:val="1"/>
          <w:numId w:val="3"/>
        </w:numPr>
        <w:tabs>
          <w:tab w:val="left" w:pos="688"/>
        </w:tabs>
        <w:spacing w:before="150" w:line="360" w:lineRule="auto"/>
        <w:ind w:left="687" w:hanging="362"/>
        <w:rPr>
          <w:rFonts w:cs="Times New Roman"/>
          <w:b/>
          <w:bCs/>
          <w:sz w:val="22"/>
          <w:szCs w:val="22"/>
        </w:rPr>
      </w:pPr>
      <w:r>
        <w:rPr>
          <w:b/>
          <w:bCs/>
          <w:lang w:val="en-US"/>
        </w:rPr>
        <w:t xml:space="preserve"> </w:t>
      </w:r>
      <w:r>
        <w:rPr>
          <w:rFonts w:hint="eastAsia"/>
          <w:b/>
          <w:bCs/>
        </w:rPr>
        <w:t>对与评标活动有关的工作人员的纪律要求</w:t>
      </w:r>
    </w:p>
    <w:p>
      <w:pPr>
        <w:pStyle w:val="12"/>
        <w:spacing w:before="4" w:line="360" w:lineRule="auto"/>
        <w:ind w:left="988"/>
        <w:rPr>
          <w:rFonts w:cs="Times New Roman"/>
        </w:rPr>
      </w:pPr>
      <w:r>
        <w:rPr>
          <w:rFonts w:hint="eastAsia"/>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10"/>
        <w:numPr>
          <w:ilvl w:val="1"/>
          <w:numId w:val="3"/>
        </w:numPr>
        <w:tabs>
          <w:tab w:val="left" w:pos="688"/>
        </w:tabs>
        <w:spacing w:before="150" w:line="360" w:lineRule="auto"/>
        <w:ind w:left="687" w:hanging="362"/>
        <w:rPr>
          <w:rFonts w:cs="Times New Roman"/>
          <w:b/>
          <w:bCs/>
          <w:sz w:val="22"/>
          <w:szCs w:val="22"/>
        </w:rPr>
      </w:pPr>
      <w:r>
        <w:rPr>
          <w:b/>
          <w:bCs/>
          <w:lang w:val="en-US"/>
        </w:rPr>
        <w:t xml:space="preserve"> </w:t>
      </w:r>
      <w:r>
        <w:rPr>
          <w:rFonts w:hint="eastAsia"/>
          <w:b/>
          <w:bCs/>
        </w:rPr>
        <w:t>投诉</w:t>
      </w:r>
    </w:p>
    <w:p>
      <w:pPr>
        <w:pStyle w:val="49"/>
        <w:numPr>
          <w:ilvl w:val="2"/>
          <w:numId w:val="3"/>
        </w:numPr>
        <w:tabs>
          <w:tab w:val="left" w:pos="1479"/>
        </w:tabs>
        <w:spacing w:before="3" w:line="360" w:lineRule="auto"/>
        <w:ind w:right="463" w:firstLine="460"/>
        <w:rPr>
          <w:rFonts w:cs="Times New Roman"/>
          <w:sz w:val="19"/>
          <w:szCs w:val="19"/>
        </w:rPr>
      </w:pPr>
      <w:r>
        <w:rPr>
          <w:rFonts w:hint="eastAsia"/>
          <w:spacing w:val="-12"/>
          <w:sz w:val="21"/>
          <w:szCs w:val="21"/>
        </w:rPr>
        <w:t>投标人或其他利害关系人认为招标投标活动不符合法律、行政法规规定的，可以自知道或</w:t>
      </w:r>
      <w:r>
        <w:rPr>
          <w:rFonts w:hint="eastAsia"/>
          <w:spacing w:val="-9"/>
          <w:sz w:val="21"/>
          <w:szCs w:val="21"/>
        </w:rPr>
        <w:t>应当知道之日起</w:t>
      </w:r>
      <w:r>
        <w:rPr>
          <w:spacing w:val="-9"/>
          <w:sz w:val="21"/>
          <w:szCs w:val="21"/>
        </w:rPr>
        <w:t xml:space="preserve"> </w:t>
      </w:r>
      <w:r>
        <w:rPr>
          <w:sz w:val="21"/>
          <w:szCs w:val="21"/>
        </w:rPr>
        <w:t xml:space="preserve">10 </w:t>
      </w:r>
      <w:r>
        <w:rPr>
          <w:rFonts w:hint="eastAsia"/>
          <w:sz w:val="21"/>
          <w:szCs w:val="21"/>
        </w:rPr>
        <w:t>日内向有关行政监督部门投诉。投诉应有明确的请求和必要的证明材料。</w:t>
      </w:r>
    </w:p>
    <w:p>
      <w:pPr>
        <w:pStyle w:val="12"/>
        <w:spacing w:before="3" w:line="360" w:lineRule="auto"/>
        <w:ind w:left="988"/>
        <w:rPr>
          <w:rFonts w:cs="Times New Roman"/>
        </w:rPr>
      </w:pPr>
      <w:r>
        <w:rPr>
          <w:rFonts w:hint="eastAsia"/>
        </w:rPr>
        <w:t>监督部门的联系方式见投标人须知前附表。</w:t>
      </w:r>
    </w:p>
    <w:p>
      <w:pPr>
        <w:pStyle w:val="49"/>
        <w:numPr>
          <w:ilvl w:val="2"/>
          <w:numId w:val="3"/>
        </w:numPr>
        <w:tabs>
          <w:tab w:val="left" w:pos="1496"/>
        </w:tabs>
        <w:spacing w:before="94" w:line="360" w:lineRule="auto"/>
        <w:ind w:left="1495" w:hanging="525"/>
        <w:rPr>
          <w:rFonts w:cs="Times New Roman"/>
        </w:rPr>
      </w:pPr>
      <w:r>
        <w:rPr>
          <w:rFonts w:hint="eastAsia"/>
          <w:spacing w:val="-9"/>
          <w:sz w:val="21"/>
          <w:szCs w:val="21"/>
        </w:rPr>
        <w:t>投标人或其他利害关系人对招标文件、开标和评标结果提出投诉的，应按照本章第</w:t>
      </w:r>
      <w:r>
        <w:rPr>
          <w:spacing w:val="-9"/>
          <w:sz w:val="21"/>
          <w:szCs w:val="21"/>
        </w:rPr>
        <w:t xml:space="preserve"> </w:t>
      </w:r>
    </w:p>
    <w:p>
      <w:pPr>
        <w:pStyle w:val="49"/>
        <w:numPr>
          <w:ilvl w:val="0"/>
          <w:numId w:val="0"/>
        </w:numPr>
        <w:tabs>
          <w:tab w:val="left" w:pos="1496"/>
        </w:tabs>
        <w:spacing w:before="94" w:line="360" w:lineRule="auto"/>
        <w:ind w:left="970" w:leftChars="0"/>
        <w:rPr>
          <w:spacing w:val="-9"/>
          <w:sz w:val="21"/>
          <w:szCs w:val="21"/>
        </w:rPr>
      </w:pPr>
    </w:p>
    <w:p>
      <w:pPr>
        <w:pStyle w:val="49"/>
        <w:numPr>
          <w:ilvl w:val="0"/>
          <w:numId w:val="0"/>
        </w:numPr>
        <w:tabs>
          <w:tab w:val="left" w:pos="1496"/>
        </w:tabs>
        <w:spacing w:before="94" w:line="360" w:lineRule="auto"/>
        <w:ind w:left="970" w:leftChars="0"/>
        <w:rPr>
          <w:rFonts w:cs="Times New Roman"/>
        </w:rPr>
      </w:pPr>
      <w:r>
        <w:rPr>
          <w:sz w:val="21"/>
          <w:szCs w:val="21"/>
        </w:rPr>
        <w:t>2.4</w:t>
      </w:r>
      <w:r>
        <w:rPr>
          <w:rFonts w:hint="eastAsia"/>
          <w:spacing w:val="-30"/>
        </w:rPr>
        <w:t>款、第</w:t>
      </w:r>
      <w:r>
        <w:rPr>
          <w:spacing w:val="-30"/>
        </w:rPr>
        <w:t xml:space="preserve"> </w:t>
      </w:r>
      <w:r>
        <w:t>5.3</w:t>
      </w:r>
      <w:r>
        <w:rPr>
          <w:spacing w:val="-17"/>
        </w:rPr>
        <w:t xml:space="preserve"> </w:t>
      </w:r>
      <w:r>
        <w:rPr>
          <w:rFonts w:hint="eastAsia"/>
          <w:spacing w:val="-17"/>
        </w:rPr>
        <w:t>款和第</w:t>
      </w:r>
      <w:r>
        <w:rPr>
          <w:spacing w:val="-17"/>
        </w:rPr>
        <w:t xml:space="preserve"> </w:t>
      </w:r>
      <w:r>
        <w:t>7.2</w:t>
      </w:r>
      <w:r>
        <w:rPr>
          <w:spacing w:val="-10"/>
        </w:rPr>
        <w:t xml:space="preserve"> </w:t>
      </w:r>
      <w:r>
        <w:rPr>
          <w:rFonts w:hint="eastAsia"/>
          <w:spacing w:val="-10"/>
        </w:rPr>
        <w:t>款的规定先向招标人提出异议。异议答复期间不计算在第</w:t>
      </w:r>
      <w:r>
        <w:rPr>
          <w:spacing w:val="-10"/>
        </w:rPr>
        <w:t xml:space="preserve"> </w:t>
      </w:r>
      <w:r>
        <w:t>8.5.1</w:t>
      </w:r>
      <w:r>
        <w:rPr>
          <w:spacing w:val="-3"/>
        </w:rPr>
        <w:t xml:space="preserve"> </w:t>
      </w:r>
      <w:r>
        <w:rPr>
          <w:rFonts w:hint="eastAsia"/>
          <w:spacing w:val="-3"/>
        </w:rPr>
        <w:t>项规定的期限内。</w:t>
      </w:r>
    </w:p>
    <w:p>
      <w:pPr>
        <w:pStyle w:val="10"/>
        <w:numPr>
          <w:ilvl w:val="0"/>
          <w:numId w:val="3"/>
        </w:numPr>
        <w:tabs>
          <w:tab w:val="left" w:pos="861"/>
        </w:tabs>
        <w:spacing w:before="4" w:line="360" w:lineRule="auto"/>
        <w:ind w:left="860" w:hanging="242"/>
        <w:rPr>
          <w:rFonts w:cs="Times New Roman"/>
          <w:b/>
          <w:bCs/>
          <w:sz w:val="22"/>
          <w:szCs w:val="22"/>
        </w:rPr>
      </w:pPr>
      <w:r>
        <w:rPr>
          <w:rFonts w:hint="eastAsia"/>
          <w:b/>
          <w:bCs/>
          <w:spacing w:val="-5"/>
        </w:rPr>
        <w:t>是否采用电子招标投标</w:t>
      </w:r>
    </w:p>
    <w:p>
      <w:pPr>
        <w:pStyle w:val="12"/>
        <w:spacing w:before="6" w:line="360" w:lineRule="auto"/>
        <w:ind w:left="988"/>
        <w:rPr>
          <w:rFonts w:cs="Times New Roman"/>
        </w:rPr>
      </w:pPr>
      <w:r>
        <w:rPr>
          <w:rFonts w:hint="eastAsia"/>
        </w:rPr>
        <w:t>本招标项目是否采用电子招标投标方式，见投标人须知前附表。</w:t>
      </w:r>
    </w:p>
    <w:p>
      <w:pPr>
        <w:pStyle w:val="10"/>
        <w:numPr>
          <w:ilvl w:val="0"/>
          <w:numId w:val="3"/>
        </w:numPr>
        <w:tabs>
          <w:tab w:val="left" w:pos="858"/>
        </w:tabs>
        <w:spacing w:before="3" w:line="360" w:lineRule="auto"/>
        <w:ind w:left="857" w:hanging="359"/>
        <w:rPr>
          <w:rFonts w:cs="Times New Roman"/>
          <w:sz w:val="22"/>
          <w:szCs w:val="22"/>
        </w:rPr>
      </w:pPr>
      <w:r>
        <w:rPr>
          <w:rFonts w:hint="eastAsia"/>
          <w:spacing w:val="-5"/>
        </w:rPr>
        <w:t>需要补充的其他内容</w:t>
      </w:r>
    </w:p>
    <w:p>
      <w:pPr>
        <w:pStyle w:val="49"/>
        <w:numPr>
          <w:ilvl w:val="1"/>
          <w:numId w:val="3"/>
        </w:numPr>
        <w:tabs>
          <w:tab w:val="left" w:pos="982"/>
        </w:tabs>
        <w:spacing w:before="3" w:line="360" w:lineRule="auto"/>
        <w:ind w:right="113" w:firstLine="420"/>
        <w:rPr>
          <w:rFonts w:cs="Times New Roman"/>
          <w:sz w:val="21"/>
          <w:szCs w:val="21"/>
        </w:rPr>
      </w:pPr>
      <w:r>
        <w:rPr>
          <w:rFonts w:hint="eastAsia"/>
          <w:sz w:val="21"/>
          <w:szCs w:val="21"/>
        </w:rPr>
        <w:t>自购买招标文件之日起，投标人应保证其提供的联系方式（电话、传真、电子邮件）一直有效，</w:t>
      </w:r>
      <w:r>
        <w:rPr>
          <w:sz w:val="21"/>
          <w:szCs w:val="21"/>
        </w:rPr>
        <w:t xml:space="preserve">   </w:t>
      </w:r>
      <w:r>
        <w:rPr>
          <w:rFonts w:hint="eastAsia"/>
          <w:sz w:val="21"/>
          <w:szCs w:val="21"/>
        </w:rPr>
        <w:t>以便及时收到招标人发出的函件</w:t>
      </w:r>
      <w:r>
        <w:rPr>
          <w:sz w:val="21"/>
          <w:szCs w:val="21"/>
        </w:rPr>
        <w:t>(</w:t>
      </w:r>
      <w:r>
        <w:rPr>
          <w:rFonts w:hint="eastAsia"/>
          <w:sz w:val="21"/>
          <w:szCs w:val="21"/>
        </w:rPr>
        <w:t>招标文件的澄清、修改等</w:t>
      </w:r>
      <w:r>
        <w:rPr>
          <w:sz w:val="21"/>
          <w:szCs w:val="21"/>
        </w:rPr>
        <w:t>)</w:t>
      </w:r>
      <w:r>
        <w:rPr>
          <w:rFonts w:hint="eastAsia"/>
          <w:sz w:val="21"/>
          <w:szCs w:val="21"/>
        </w:rPr>
        <w:t>，</w:t>
      </w:r>
      <w:r>
        <w:rPr>
          <w:sz w:val="21"/>
          <w:szCs w:val="21"/>
        </w:rPr>
        <w:t xml:space="preserve"> </w:t>
      </w:r>
      <w:r>
        <w:rPr>
          <w:rFonts w:hint="eastAsia"/>
          <w:sz w:val="21"/>
          <w:szCs w:val="21"/>
        </w:rPr>
        <w:t>并应及时向招标人反馈信息，否则招标人不承担由此引起的一切后果。</w:t>
      </w:r>
    </w:p>
    <w:p>
      <w:pPr>
        <w:pStyle w:val="12"/>
        <w:spacing w:before="2" w:line="360" w:lineRule="auto"/>
        <w:rPr>
          <w:rFonts w:cs="Times New Roman"/>
        </w:rPr>
      </w:pPr>
    </w:p>
    <w:p>
      <w:pPr>
        <w:pStyle w:val="12"/>
        <w:spacing w:before="1" w:line="360" w:lineRule="auto"/>
        <w:ind w:left="988"/>
        <w:rPr>
          <w:rFonts w:cs="Times New Roman"/>
        </w:rPr>
      </w:pPr>
      <w:r>
        <w:rPr>
          <w:rFonts w:hint="eastAsia"/>
        </w:rPr>
        <w:t>需要补充的其他内容：见投标人须知前附表。</w:t>
      </w:r>
    </w:p>
    <w:p>
      <w:pPr>
        <w:spacing w:line="360" w:lineRule="auto"/>
        <w:rPr>
          <w:rFonts w:cs="Times New Roman"/>
        </w:rPr>
        <w:sectPr>
          <w:pgSz w:w="11910" w:h="16850"/>
          <w:pgMar w:top="1418" w:right="1418" w:bottom="1418" w:left="1418" w:header="851" w:footer="964" w:gutter="0"/>
          <w:cols w:space="720" w:num="1"/>
        </w:sectPr>
      </w:pPr>
    </w:p>
    <w:p>
      <w:pPr>
        <w:pStyle w:val="10"/>
        <w:spacing w:before="157"/>
        <w:ind w:left="508"/>
        <w:rPr>
          <w:rFonts w:cs="Times New Roman"/>
        </w:rPr>
      </w:pPr>
      <w:r>
        <w:rPr>
          <w:rFonts w:hint="eastAsia"/>
        </w:rPr>
        <w:t>附件一</w:t>
      </w:r>
      <w:r>
        <w:t xml:space="preserve"> </w:t>
      </w:r>
      <w:r>
        <w:rPr>
          <w:rFonts w:hint="eastAsia"/>
        </w:rPr>
        <w:t>开标记录表</w:t>
      </w:r>
    </w:p>
    <w:p>
      <w:pPr>
        <w:pStyle w:val="12"/>
        <w:rPr>
          <w:rFonts w:cs="Times New Roman"/>
          <w:sz w:val="23"/>
          <w:szCs w:val="23"/>
        </w:rPr>
      </w:pPr>
    </w:p>
    <w:p>
      <w:pPr>
        <w:tabs>
          <w:tab w:val="left" w:pos="1780"/>
          <w:tab w:val="left" w:pos="4027"/>
        </w:tabs>
        <w:spacing w:before="70" w:line="295" w:lineRule="auto"/>
        <w:ind w:left="142" w:right="2"/>
        <w:jc w:val="center"/>
        <w:rPr>
          <w:rFonts w:cs="Times New Roman"/>
          <w:sz w:val="28"/>
          <w:szCs w:val="28"/>
        </w:rPr>
      </w:pPr>
      <w:r>
        <w:rPr>
          <w:rFonts w:ascii="Times New Roman" w:eastAsia="Times New Roman" w:cs="Times New Roman"/>
          <w:sz w:val="28"/>
          <w:szCs w:val="28"/>
          <w:u w:val="single"/>
        </w:rPr>
        <w:tab/>
      </w:r>
      <w:r>
        <w:rPr>
          <w:rFonts w:hint="eastAsia"/>
          <w:sz w:val="28"/>
          <w:szCs w:val="28"/>
        </w:rPr>
        <w:t>（</w:t>
      </w:r>
      <w:r>
        <w:rPr>
          <w:rFonts w:hint="eastAsia"/>
          <w:spacing w:val="-3"/>
          <w:sz w:val="28"/>
          <w:szCs w:val="28"/>
        </w:rPr>
        <w:t>项</w:t>
      </w:r>
      <w:r>
        <w:rPr>
          <w:rFonts w:hint="eastAsia"/>
          <w:sz w:val="28"/>
          <w:szCs w:val="28"/>
        </w:rPr>
        <w:t>目名</w:t>
      </w:r>
      <w:r>
        <w:rPr>
          <w:rFonts w:hint="eastAsia"/>
          <w:spacing w:val="-3"/>
          <w:sz w:val="28"/>
          <w:szCs w:val="28"/>
        </w:rPr>
        <w:t>称</w:t>
      </w:r>
      <w:r>
        <w:rPr>
          <w:rFonts w:hint="eastAsia"/>
          <w:sz w:val="28"/>
          <w:szCs w:val="28"/>
        </w:rPr>
        <w:t>）</w:t>
      </w:r>
      <w:r>
        <w:rPr>
          <w:rFonts w:cs="Times New Roman"/>
          <w:sz w:val="28"/>
          <w:szCs w:val="28"/>
          <w:u w:val="single"/>
        </w:rPr>
        <w:tab/>
      </w:r>
      <w:r>
        <w:rPr>
          <w:rFonts w:hint="eastAsia"/>
          <w:spacing w:val="-1"/>
          <w:sz w:val="28"/>
          <w:szCs w:val="28"/>
        </w:rPr>
        <w:t>标</w:t>
      </w:r>
      <w:r>
        <w:rPr>
          <w:rFonts w:hint="eastAsia"/>
          <w:spacing w:val="-3"/>
          <w:sz w:val="28"/>
          <w:szCs w:val="28"/>
        </w:rPr>
        <w:t>段</w:t>
      </w:r>
      <w:r>
        <w:rPr>
          <w:rFonts w:hint="eastAsia"/>
          <w:spacing w:val="-1"/>
          <w:sz w:val="28"/>
          <w:szCs w:val="28"/>
        </w:rPr>
        <w:t>施</w:t>
      </w:r>
      <w:r>
        <w:rPr>
          <w:rFonts w:hint="eastAsia"/>
          <w:spacing w:val="-8"/>
          <w:sz w:val="28"/>
          <w:szCs w:val="28"/>
        </w:rPr>
        <w:t>工第</w:t>
      </w:r>
      <w:r>
        <w:rPr>
          <w:rFonts w:hint="eastAsia"/>
          <w:spacing w:val="-1"/>
          <w:sz w:val="28"/>
          <w:szCs w:val="28"/>
        </w:rPr>
        <w:t>一</w:t>
      </w:r>
      <w:r>
        <w:rPr>
          <w:rFonts w:hint="eastAsia"/>
          <w:spacing w:val="-3"/>
          <w:sz w:val="28"/>
          <w:szCs w:val="28"/>
        </w:rPr>
        <w:t>个</w:t>
      </w:r>
      <w:r>
        <w:rPr>
          <w:rFonts w:hint="eastAsia"/>
          <w:spacing w:val="-1"/>
          <w:sz w:val="28"/>
          <w:szCs w:val="28"/>
        </w:rPr>
        <w:t>信</w:t>
      </w:r>
      <w:r>
        <w:rPr>
          <w:rFonts w:hint="eastAsia"/>
          <w:sz w:val="28"/>
          <w:szCs w:val="28"/>
        </w:rPr>
        <w:t>封</w:t>
      </w:r>
      <w:r>
        <w:rPr>
          <w:rFonts w:hint="eastAsia"/>
          <w:spacing w:val="-3"/>
          <w:sz w:val="28"/>
          <w:szCs w:val="28"/>
        </w:rPr>
        <w:t>（</w:t>
      </w:r>
      <w:r>
        <w:rPr>
          <w:rFonts w:hint="eastAsia"/>
          <w:sz w:val="28"/>
          <w:szCs w:val="28"/>
        </w:rPr>
        <w:t>商</w:t>
      </w:r>
      <w:r>
        <w:rPr>
          <w:rFonts w:hint="eastAsia"/>
          <w:spacing w:val="-8"/>
          <w:sz w:val="28"/>
          <w:szCs w:val="28"/>
        </w:rPr>
        <w:t>务</w:t>
      </w:r>
      <w:r>
        <w:rPr>
          <w:rFonts w:hint="eastAsia"/>
          <w:spacing w:val="-5"/>
          <w:sz w:val="28"/>
          <w:szCs w:val="28"/>
        </w:rPr>
        <w:t>及</w:t>
      </w:r>
      <w:r>
        <w:rPr>
          <w:rFonts w:hint="eastAsia"/>
          <w:sz w:val="28"/>
          <w:szCs w:val="28"/>
        </w:rPr>
        <w:t>技</w:t>
      </w:r>
      <w:r>
        <w:rPr>
          <w:rFonts w:hint="eastAsia"/>
          <w:spacing w:val="-3"/>
          <w:sz w:val="28"/>
          <w:szCs w:val="28"/>
        </w:rPr>
        <w:t>术</w:t>
      </w:r>
      <w:r>
        <w:rPr>
          <w:rFonts w:hint="eastAsia"/>
          <w:sz w:val="28"/>
          <w:szCs w:val="28"/>
        </w:rPr>
        <w:t>文</w:t>
      </w:r>
      <w:r>
        <w:rPr>
          <w:rFonts w:hint="eastAsia"/>
          <w:spacing w:val="-8"/>
          <w:sz w:val="28"/>
          <w:szCs w:val="28"/>
        </w:rPr>
        <w:t>件</w:t>
      </w:r>
      <w:r>
        <w:rPr>
          <w:rFonts w:hint="eastAsia"/>
          <w:sz w:val="28"/>
          <w:szCs w:val="28"/>
        </w:rPr>
        <w:t>）</w:t>
      </w:r>
      <w:r>
        <w:rPr>
          <w:sz w:val="28"/>
          <w:szCs w:val="28"/>
        </w:rPr>
        <w:t xml:space="preserve"> </w:t>
      </w:r>
      <w:r>
        <w:rPr>
          <w:rFonts w:hint="eastAsia"/>
          <w:sz w:val="28"/>
          <w:szCs w:val="28"/>
        </w:rPr>
        <w:t>开</w:t>
      </w:r>
      <w:r>
        <w:rPr>
          <w:rFonts w:hint="eastAsia"/>
          <w:spacing w:val="-3"/>
          <w:sz w:val="28"/>
          <w:szCs w:val="28"/>
        </w:rPr>
        <w:t>标</w:t>
      </w:r>
      <w:r>
        <w:rPr>
          <w:rFonts w:hint="eastAsia"/>
          <w:sz w:val="28"/>
          <w:szCs w:val="28"/>
        </w:rPr>
        <w:t>记</w:t>
      </w:r>
      <w:r>
        <w:rPr>
          <w:rFonts w:hint="eastAsia"/>
          <w:spacing w:val="-8"/>
          <w:sz w:val="28"/>
          <w:szCs w:val="28"/>
        </w:rPr>
        <w:t>录</w:t>
      </w:r>
      <w:r>
        <w:rPr>
          <w:rFonts w:hint="eastAsia"/>
          <w:sz w:val="28"/>
          <w:szCs w:val="28"/>
        </w:rPr>
        <w:t>表</w:t>
      </w:r>
    </w:p>
    <w:p>
      <w:pPr>
        <w:tabs>
          <w:tab w:val="left" w:pos="6420"/>
          <w:tab w:val="left" w:pos="7140"/>
          <w:tab w:val="left" w:pos="7740"/>
          <w:tab w:val="left" w:pos="8340"/>
        </w:tabs>
        <w:spacing w:before="46" w:after="21"/>
        <w:ind w:left="-88" w:leftChars="-40" w:firstLine="4560" w:firstLineChars="1900"/>
        <w:rPr>
          <w:rFonts w:cs="Times New Roman"/>
          <w:sz w:val="24"/>
          <w:szCs w:val="24"/>
        </w:rPr>
      </w:pPr>
      <w:r>
        <w:rPr>
          <w:rFonts w:hint="eastAsia"/>
          <w:sz w:val="24"/>
          <w:szCs w:val="24"/>
        </w:rPr>
        <w:t>开标时间：</w:t>
      </w:r>
      <w:r>
        <w:rPr>
          <w:rFonts w:cs="Times New Roman"/>
          <w:sz w:val="24"/>
          <w:szCs w:val="24"/>
          <w:u w:val="single"/>
        </w:rPr>
        <w:tab/>
      </w:r>
      <w:r>
        <w:rPr>
          <w:rFonts w:hint="eastAsia"/>
          <w:sz w:val="24"/>
          <w:szCs w:val="24"/>
        </w:rPr>
        <w:t>年</w:t>
      </w:r>
      <w:r>
        <w:rPr>
          <w:rFonts w:cs="Times New Roman"/>
          <w:sz w:val="24"/>
          <w:szCs w:val="24"/>
          <w:u w:val="single"/>
        </w:rPr>
        <w:tab/>
      </w:r>
      <w:r>
        <w:rPr>
          <w:rFonts w:hint="eastAsia"/>
          <w:sz w:val="24"/>
          <w:szCs w:val="24"/>
        </w:rPr>
        <w:t>月</w:t>
      </w:r>
      <w:r>
        <w:rPr>
          <w:rFonts w:cs="Times New Roman"/>
          <w:sz w:val="24"/>
          <w:szCs w:val="24"/>
          <w:u w:val="single"/>
        </w:rPr>
        <w:tab/>
      </w:r>
      <w:r>
        <w:rPr>
          <w:rFonts w:hint="eastAsia"/>
          <w:sz w:val="24"/>
          <w:szCs w:val="24"/>
        </w:rPr>
        <w:t>日</w:t>
      </w:r>
      <w:r>
        <w:rPr>
          <w:rFonts w:cs="Times New Roman"/>
          <w:sz w:val="24"/>
          <w:szCs w:val="24"/>
          <w:u w:val="single"/>
        </w:rPr>
        <w:tab/>
      </w:r>
      <w:r>
        <w:rPr>
          <w:rFonts w:hint="eastAsia"/>
          <w:sz w:val="24"/>
          <w:szCs w:val="24"/>
        </w:rPr>
        <w:t>时</w:t>
      </w:r>
      <w:r>
        <w:rPr>
          <w:rFonts w:hint="eastAsia"/>
          <w:sz w:val="24"/>
          <w:szCs w:val="24"/>
          <w:u w:val="single"/>
        </w:rPr>
        <w:t xml:space="preserve">  </w:t>
      </w:r>
      <w:r>
        <w:rPr>
          <w:rFonts w:hint="eastAsia"/>
          <w:sz w:val="24"/>
          <w:szCs w:val="24"/>
        </w:rPr>
        <w:t>分</w:t>
      </w:r>
    </w:p>
    <w:tbl>
      <w:tblPr>
        <w:tblStyle w:val="20"/>
        <w:tblW w:w="905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2249"/>
        <w:gridCol w:w="1135"/>
        <w:gridCol w:w="1035"/>
        <w:gridCol w:w="1373"/>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078" w:type="dxa"/>
          </w:tcPr>
          <w:p>
            <w:pPr>
              <w:pStyle w:val="50"/>
              <w:rPr>
                <w:rFonts w:cs="Times New Roman"/>
                <w:sz w:val="20"/>
                <w:szCs w:val="20"/>
              </w:rPr>
            </w:pPr>
          </w:p>
          <w:p>
            <w:pPr>
              <w:pStyle w:val="50"/>
              <w:spacing w:before="9"/>
              <w:rPr>
                <w:rFonts w:cs="Times New Roman"/>
                <w:sz w:val="14"/>
                <w:szCs w:val="14"/>
              </w:rPr>
            </w:pPr>
          </w:p>
          <w:p>
            <w:pPr>
              <w:pStyle w:val="50"/>
              <w:ind w:left="140"/>
              <w:rPr>
                <w:rFonts w:cs="Times New Roman"/>
                <w:sz w:val="21"/>
                <w:szCs w:val="21"/>
              </w:rPr>
            </w:pPr>
            <w:r>
              <w:rPr>
                <w:rFonts w:hint="eastAsia"/>
                <w:sz w:val="21"/>
                <w:szCs w:val="21"/>
              </w:rPr>
              <w:t>序号</w:t>
            </w:r>
          </w:p>
        </w:tc>
        <w:tc>
          <w:tcPr>
            <w:tcW w:w="2249" w:type="dxa"/>
          </w:tcPr>
          <w:p>
            <w:pPr>
              <w:pStyle w:val="50"/>
              <w:rPr>
                <w:rFonts w:cs="Times New Roman"/>
                <w:sz w:val="20"/>
                <w:szCs w:val="20"/>
              </w:rPr>
            </w:pPr>
          </w:p>
          <w:p>
            <w:pPr>
              <w:pStyle w:val="50"/>
              <w:spacing w:before="9"/>
              <w:rPr>
                <w:rFonts w:cs="Times New Roman"/>
                <w:sz w:val="14"/>
                <w:szCs w:val="14"/>
              </w:rPr>
            </w:pPr>
          </w:p>
          <w:p>
            <w:pPr>
              <w:pStyle w:val="50"/>
              <w:ind w:left="486"/>
              <w:rPr>
                <w:rFonts w:cs="Times New Roman"/>
                <w:sz w:val="21"/>
                <w:szCs w:val="21"/>
              </w:rPr>
            </w:pPr>
            <w:r>
              <w:rPr>
                <w:rFonts w:hint="eastAsia"/>
                <w:sz w:val="21"/>
                <w:szCs w:val="21"/>
              </w:rPr>
              <w:t>投标人</w:t>
            </w:r>
          </w:p>
        </w:tc>
        <w:tc>
          <w:tcPr>
            <w:tcW w:w="1135" w:type="dxa"/>
          </w:tcPr>
          <w:p>
            <w:pPr>
              <w:pStyle w:val="50"/>
              <w:rPr>
                <w:rFonts w:cs="Times New Roman"/>
                <w:sz w:val="20"/>
                <w:szCs w:val="20"/>
              </w:rPr>
            </w:pPr>
          </w:p>
          <w:p>
            <w:pPr>
              <w:pStyle w:val="50"/>
              <w:spacing w:before="9"/>
              <w:rPr>
                <w:rFonts w:cs="Times New Roman"/>
                <w:sz w:val="14"/>
                <w:szCs w:val="14"/>
              </w:rPr>
            </w:pPr>
          </w:p>
          <w:p>
            <w:pPr>
              <w:pStyle w:val="50"/>
              <w:ind w:left="219"/>
              <w:rPr>
                <w:rFonts w:cs="Times New Roman"/>
                <w:sz w:val="21"/>
                <w:szCs w:val="21"/>
              </w:rPr>
            </w:pPr>
            <w:r>
              <w:rPr>
                <w:rFonts w:hint="eastAsia"/>
                <w:sz w:val="21"/>
                <w:szCs w:val="21"/>
              </w:rPr>
              <w:t>密封情况</w:t>
            </w:r>
          </w:p>
        </w:tc>
        <w:tc>
          <w:tcPr>
            <w:tcW w:w="1035" w:type="dxa"/>
          </w:tcPr>
          <w:p>
            <w:pPr>
              <w:pStyle w:val="50"/>
              <w:rPr>
                <w:rFonts w:cs="Times New Roman"/>
                <w:sz w:val="20"/>
                <w:szCs w:val="20"/>
              </w:rPr>
            </w:pPr>
          </w:p>
          <w:p>
            <w:pPr>
              <w:pStyle w:val="50"/>
              <w:spacing w:before="9"/>
              <w:rPr>
                <w:rFonts w:cs="Times New Roman"/>
                <w:sz w:val="14"/>
                <w:szCs w:val="14"/>
              </w:rPr>
            </w:pPr>
          </w:p>
          <w:p>
            <w:pPr>
              <w:pStyle w:val="50"/>
              <w:ind w:left="360"/>
              <w:rPr>
                <w:rFonts w:cs="Times New Roman"/>
                <w:sz w:val="21"/>
                <w:szCs w:val="21"/>
              </w:rPr>
            </w:pPr>
            <w:r>
              <w:rPr>
                <w:rFonts w:hint="eastAsia"/>
                <w:sz w:val="21"/>
                <w:szCs w:val="21"/>
              </w:rPr>
              <w:t>工期</w:t>
            </w:r>
          </w:p>
        </w:tc>
        <w:tc>
          <w:tcPr>
            <w:tcW w:w="1373" w:type="dxa"/>
          </w:tcPr>
          <w:p>
            <w:pPr>
              <w:pStyle w:val="50"/>
              <w:rPr>
                <w:rFonts w:cs="Times New Roman"/>
                <w:sz w:val="20"/>
                <w:szCs w:val="20"/>
              </w:rPr>
            </w:pPr>
          </w:p>
          <w:p>
            <w:pPr>
              <w:pStyle w:val="50"/>
              <w:spacing w:before="9"/>
              <w:rPr>
                <w:rFonts w:cs="Times New Roman"/>
                <w:sz w:val="14"/>
                <w:szCs w:val="14"/>
              </w:rPr>
            </w:pPr>
          </w:p>
          <w:p>
            <w:pPr>
              <w:pStyle w:val="50"/>
              <w:ind w:left="214"/>
              <w:rPr>
                <w:rFonts w:cs="Times New Roman"/>
                <w:sz w:val="21"/>
                <w:szCs w:val="21"/>
              </w:rPr>
            </w:pPr>
            <w:r>
              <w:rPr>
                <w:rFonts w:hint="eastAsia"/>
                <w:sz w:val="21"/>
                <w:szCs w:val="21"/>
              </w:rPr>
              <w:t>备注</w:t>
            </w:r>
          </w:p>
        </w:tc>
        <w:tc>
          <w:tcPr>
            <w:tcW w:w="2181" w:type="dxa"/>
          </w:tcPr>
          <w:p>
            <w:pPr>
              <w:pStyle w:val="50"/>
              <w:rPr>
                <w:rFonts w:cs="Times New Roman"/>
                <w:sz w:val="20"/>
                <w:szCs w:val="20"/>
              </w:rPr>
            </w:pPr>
          </w:p>
          <w:p>
            <w:pPr>
              <w:pStyle w:val="50"/>
              <w:spacing w:before="9"/>
              <w:rPr>
                <w:rFonts w:cs="Times New Roman"/>
                <w:sz w:val="14"/>
                <w:szCs w:val="14"/>
              </w:rPr>
            </w:pPr>
          </w:p>
          <w:p>
            <w:pPr>
              <w:pStyle w:val="50"/>
              <w:ind w:left="188"/>
              <w:rPr>
                <w:rFonts w:cs="Times New Roman"/>
                <w:sz w:val="21"/>
                <w:szCs w:val="21"/>
              </w:rPr>
            </w:pPr>
            <w:r>
              <w:rPr>
                <w:rFonts w:hint="eastAsia"/>
                <w:sz w:val="21"/>
                <w:szCs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78" w:type="dxa"/>
          </w:tcPr>
          <w:p>
            <w:pPr>
              <w:pStyle w:val="50"/>
              <w:rPr>
                <w:rFonts w:ascii="Times New Roman" w:cs="Times New Roman"/>
              </w:rPr>
            </w:pPr>
          </w:p>
        </w:tc>
        <w:tc>
          <w:tcPr>
            <w:tcW w:w="2249" w:type="dxa"/>
          </w:tcPr>
          <w:p>
            <w:pPr>
              <w:pStyle w:val="50"/>
              <w:rPr>
                <w:rFonts w:ascii="Times New Roman" w:cs="Times New Roman"/>
              </w:rPr>
            </w:pPr>
          </w:p>
        </w:tc>
        <w:tc>
          <w:tcPr>
            <w:tcW w:w="1135" w:type="dxa"/>
          </w:tcPr>
          <w:p>
            <w:pPr>
              <w:pStyle w:val="50"/>
              <w:rPr>
                <w:rFonts w:ascii="Times New Roman" w:cs="Times New Roman"/>
              </w:rPr>
            </w:pPr>
          </w:p>
        </w:tc>
        <w:tc>
          <w:tcPr>
            <w:tcW w:w="1035" w:type="dxa"/>
          </w:tcPr>
          <w:p>
            <w:pPr>
              <w:pStyle w:val="50"/>
              <w:rPr>
                <w:rFonts w:ascii="Times New Roman" w:cs="Times New Roman"/>
              </w:rPr>
            </w:pPr>
          </w:p>
        </w:tc>
        <w:tc>
          <w:tcPr>
            <w:tcW w:w="1373" w:type="dxa"/>
          </w:tcPr>
          <w:p>
            <w:pPr>
              <w:pStyle w:val="50"/>
              <w:rPr>
                <w:rFonts w:ascii="Times New Roman" w:cs="Times New Roman"/>
              </w:rPr>
            </w:pPr>
          </w:p>
        </w:tc>
        <w:tc>
          <w:tcPr>
            <w:tcW w:w="2181" w:type="dxa"/>
          </w:tcPr>
          <w:p>
            <w:pPr>
              <w:pStyle w:val="50"/>
              <w:rPr>
                <w:rFonts w:ascii="Times New Roman" w:cs="Times New Roman"/>
              </w:rPr>
            </w:pPr>
          </w:p>
        </w:tc>
      </w:tr>
    </w:tbl>
    <w:p>
      <w:pPr>
        <w:pStyle w:val="12"/>
        <w:rPr>
          <w:rFonts w:cs="Times New Roman"/>
          <w:sz w:val="26"/>
          <w:szCs w:val="26"/>
        </w:rPr>
      </w:pPr>
    </w:p>
    <w:p>
      <w:pPr>
        <w:pStyle w:val="12"/>
        <w:spacing w:before="4"/>
        <w:rPr>
          <w:rFonts w:cs="Times New Roman"/>
          <w:sz w:val="31"/>
          <w:szCs w:val="31"/>
        </w:rPr>
      </w:pPr>
    </w:p>
    <w:p>
      <w:pPr>
        <w:pStyle w:val="12"/>
        <w:tabs>
          <w:tab w:val="left" w:pos="2785"/>
          <w:tab w:val="left" w:pos="6675"/>
          <w:tab w:val="left" w:pos="8949"/>
        </w:tabs>
        <w:spacing w:before="1"/>
        <w:ind w:left="61"/>
        <w:jc w:val="center"/>
        <w:rPr>
          <w:rFonts w:ascii="Times New Roman" w:eastAsia="Times New Roman" w:cs="Times New Roman"/>
        </w:rPr>
      </w:pPr>
      <w:r>
        <w:rPr>
          <w:rFonts w:hint="eastAsia"/>
        </w:rPr>
        <w:t>招标</w:t>
      </w:r>
      <w:r>
        <w:rPr>
          <w:rFonts w:hint="eastAsia"/>
          <w:spacing w:val="-5"/>
        </w:rPr>
        <w:t>人</w:t>
      </w:r>
      <w:r>
        <w:rPr>
          <w:rFonts w:hint="eastAsia"/>
        </w:rPr>
        <w:t>代</w:t>
      </w:r>
      <w:r>
        <w:rPr>
          <w:rFonts w:hint="eastAsia"/>
          <w:spacing w:val="-5"/>
        </w:rPr>
        <w:t>表</w:t>
      </w:r>
      <w:r>
        <w:rPr>
          <w:rFonts w:hint="eastAsia"/>
        </w:rPr>
        <w:t>：</w:t>
      </w:r>
      <w:r>
        <w:rPr>
          <w:rFonts w:cs="Times New Roman"/>
          <w:u w:val="single"/>
        </w:rPr>
        <w:tab/>
      </w:r>
      <w:r>
        <w:rPr>
          <w:rFonts w:cs="Times New Roman"/>
        </w:rPr>
        <w:tab/>
      </w:r>
      <w:r>
        <w:rPr>
          <w:rFonts w:hint="eastAsia"/>
          <w:w w:val="95"/>
        </w:rPr>
        <w:t>记</w:t>
      </w:r>
      <w:r>
        <w:rPr>
          <w:rFonts w:hint="eastAsia"/>
          <w:spacing w:val="-5"/>
          <w:w w:val="95"/>
        </w:rPr>
        <w:t>录人</w:t>
      </w:r>
      <w:r>
        <w:rPr>
          <w:rFonts w:hint="eastAsia"/>
          <w:w w:val="95"/>
        </w:rPr>
        <w:t>：</w:t>
      </w:r>
      <w:r>
        <w:rPr>
          <w:rFonts w:ascii="Times New Roman" w:eastAsia="Times New Roman" w:cs="Times New Roman"/>
          <w:u w:val="single"/>
        </w:rPr>
        <w:tab/>
      </w:r>
    </w:p>
    <w:p>
      <w:pPr>
        <w:pStyle w:val="12"/>
        <w:spacing w:before="4"/>
        <w:rPr>
          <w:rFonts w:ascii="Times New Roman" w:cs="Times New Roman"/>
          <w:sz w:val="25"/>
          <w:szCs w:val="25"/>
        </w:rPr>
      </w:pPr>
    </w:p>
    <w:p>
      <w:pPr>
        <w:pStyle w:val="10"/>
        <w:tabs>
          <w:tab w:val="left" w:pos="960"/>
          <w:tab w:val="left" w:pos="1680"/>
          <w:tab w:val="left" w:pos="2400"/>
        </w:tabs>
        <w:spacing w:before="67"/>
        <w:ind w:left="0" w:right="543"/>
        <w:jc w:val="right"/>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jc w:val="right"/>
        <w:rPr>
          <w:rFonts w:cs="Times New Roman"/>
        </w:rPr>
        <w:sectPr>
          <w:headerReference r:id="rId6" w:type="default"/>
          <w:pgSz w:w="11910" w:h="16850"/>
          <w:pgMar w:top="1418" w:right="1418" w:bottom="1418" w:left="1418" w:header="851" w:footer="964" w:gutter="0"/>
          <w:cols w:space="720" w:num="1"/>
        </w:sectPr>
      </w:pPr>
    </w:p>
    <w:p>
      <w:pPr>
        <w:pStyle w:val="12"/>
        <w:rPr>
          <w:rFonts w:cs="Times New Roman"/>
          <w:sz w:val="20"/>
          <w:szCs w:val="20"/>
        </w:rPr>
      </w:pPr>
    </w:p>
    <w:p>
      <w:pPr>
        <w:pStyle w:val="12"/>
        <w:spacing w:before="2"/>
        <w:rPr>
          <w:rFonts w:cs="Times New Roman"/>
          <w:sz w:val="19"/>
          <w:szCs w:val="19"/>
        </w:rPr>
      </w:pPr>
    </w:p>
    <w:p>
      <w:pPr>
        <w:tabs>
          <w:tab w:val="left" w:pos="1795"/>
          <w:tab w:val="left" w:pos="4444"/>
        </w:tabs>
        <w:spacing w:before="71" w:line="295" w:lineRule="auto"/>
        <w:ind w:right="2"/>
        <w:rPr>
          <w:sz w:val="28"/>
          <w:szCs w:val="28"/>
        </w:rPr>
      </w:pPr>
      <w:r>
        <w:rPr>
          <w:rFonts w:ascii="Times New Roman" w:eastAsia="Times New Roman" w:cs="Times New Roman"/>
          <w:sz w:val="28"/>
          <w:szCs w:val="28"/>
          <w:u w:val="single"/>
        </w:rPr>
        <w:tab/>
      </w:r>
      <w:r>
        <w:rPr>
          <w:rFonts w:hint="eastAsia"/>
          <w:sz w:val="28"/>
          <w:szCs w:val="28"/>
        </w:rPr>
        <w:t>（</w:t>
      </w:r>
      <w:r>
        <w:rPr>
          <w:rFonts w:hint="eastAsia"/>
          <w:spacing w:val="-3"/>
          <w:sz w:val="28"/>
          <w:szCs w:val="28"/>
        </w:rPr>
        <w:t>项</w:t>
      </w:r>
      <w:r>
        <w:rPr>
          <w:rFonts w:hint="eastAsia"/>
          <w:sz w:val="28"/>
          <w:szCs w:val="28"/>
        </w:rPr>
        <w:t>目名</w:t>
      </w:r>
      <w:r>
        <w:rPr>
          <w:rFonts w:hint="eastAsia"/>
          <w:spacing w:val="-3"/>
          <w:sz w:val="28"/>
          <w:szCs w:val="28"/>
        </w:rPr>
        <w:t>称</w:t>
      </w:r>
      <w:r>
        <w:rPr>
          <w:rFonts w:hint="eastAsia"/>
          <w:sz w:val="28"/>
          <w:szCs w:val="28"/>
        </w:rPr>
        <w:t>）</w:t>
      </w:r>
      <w:r>
        <w:rPr>
          <w:rFonts w:cs="Times New Roman"/>
          <w:sz w:val="28"/>
          <w:szCs w:val="28"/>
          <w:u w:val="single"/>
        </w:rPr>
        <w:tab/>
      </w:r>
      <w:r>
        <w:rPr>
          <w:rFonts w:hint="eastAsia"/>
          <w:spacing w:val="-1"/>
          <w:sz w:val="28"/>
          <w:szCs w:val="28"/>
        </w:rPr>
        <w:t>标</w:t>
      </w:r>
      <w:r>
        <w:rPr>
          <w:rFonts w:hint="eastAsia"/>
          <w:spacing w:val="-3"/>
          <w:sz w:val="28"/>
          <w:szCs w:val="28"/>
        </w:rPr>
        <w:t>段</w:t>
      </w:r>
      <w:r>
        <w:rPr>
          <w:rFonts w:hint="eastAsia"/>
          <w:spacing w:val="-1"/>
          <w:sz w:val="28"/>
          <w:szCs w:val="28"/>
        </w:rPr>
        <w:t>施</w:t>
      </w:r>
      <w:r>
        <w:rPr>
          <w:rFonts w:hint="eastAsia"/>
          <w:spacing w:val="-3"/>
          <w:sz w:val="28"/>
          <w:szCs w:val="28"/>
        </w:rPr>
        <w:t>工</w:t>
      </w:r>
      <w:r>
        <w:rPr>
          <w:rFonts w:hint="eastAsia"/>
          <w:spacing w:val="-8"/>
          <w:sz w:val="28"/>
          <w:szCs w:val="28"/>
        </w:rPr>
        <w:t>第</w:t>
      </w:r>
      <w:r>
        <w:rPr>
          <w:rFonts w:hint="eastAsia"/>
          <w:spacing w:val="-1"/>
          <w:sz w:val="28"/>
          <w:szCs w:val="28"/>
        </w:rPr>
        <w:t>二</w:t>
      </w:r>
      <w:r>
        <w:rPr>
          <w:rFonts w:hint="eastAsia"/>
          <w:spacing w:val="-3"/>
          <w:sz w:val="28"/>
          <w:szCs w:val="28"/>
        </w:rPr>
        <w:t>个</w:t>
      </w:r>
      <w:r>
        <w:rPr>
          <w:rFonts w:hint="eastAsia"/>
          <w:sz w:val="28"/>
          <w:szCs w:val="28"/>
        </w:rPr>
        <w:t>信</w:t>
      </w:r>
      <w:r>
        <w:rPr>
          <w:rFonts w:hint="eastAsia"/>
          <w:spacing w:val="-5"/>
          <w:sz w:val="28"/>
          <w:szCs w:val="28"/>
        </w:rPr>
        <w:t>封</w:t>
      </w:r>
      <w:r>
        <w:rPr>
          <w:rFonts w:hint="eastAsia"/>
          <w:sz w:val="28"/>
          <w:szCs w:val="28"/>
        </w:rPr>
        <w:t>（</w:t>
      </w:r>
      <w:r>
        <w:rPr>
          <w:rFonts w:hint="eastAsia"/>
          <w:spacing w:val="-3"/>
          <w:sz w:val="28"/>
          <w:szCs w:val="28"/>
        </w:rPr>
        <w:t>报</w:t>
      </w:r>
      <w:r>
        <w:rPr>
          <w:rFonts w:hint="eastAsia"/>
          <w:spacing w:val="-8"/>
          <w:sz w:val="28"/>
          <w:szCs w:val="28"/>
        </w:rPr>
        <w:t>价文</w:t>
      </w:r>
      <w:r>
        <w:rPr>
          <w:rFonts w:hint="eastAsia"/>
          <w:sz w:val="28"/>
          <w:szCs w:val="28"/>
        </w:rPr>
        <w:t>件）</w:t>
      </w:r>
      <w:r>
        <w:rPr>
          <w:sz w:val="28"/>
          <w:szCs w:val="28"/>
        </w:rPr>
        <w:t xml:space="preserve"> </w:t>
      </w:r>
    </w:p>
    <w:p>
      <w:pPr>
        <w:tabs>
          <w:tab w:val="left" w:pos="1795"/>
          <w:tab w:val="left" w:pos="4444"/>
        </w:tabs>
        <w:spacing w:before="71" w:line="295" w:lineRule="auto"/>
        <w:ind w:right="2"/>
        <w:jc w:val="center"/>
        <w:rPr>
          <w:rFonts w:cs="Times New Roman"/>
          <w:sz w:val="28"/>
          <w:szCs w:val="28"/>
        </w:rPr>
      </w:pPr>
      <w:r>
        <w:rPr>
          <w:rFonts w:hint="eastAsia"/>
          <w:sz w:val="28"/>
          <w:szCs w:val="28"/>
        </w:rPr>
        <w:t>开</w:t>
      </w:r>
      <w:r>
        <w:rPr>
          <w:rFonts w:hint="eastAsia"/>
          <w:spacing w:val="-3"/>
          <w:sz w:val="28"/>
          <w:szCs w:val="28"/>
        </w:rPr>
        <w:t>标</w:t>
      </w:r>
      <w:r>
        <w:rPr>
          <w:rFonts w:hint="eastAsia"/>
          <w:sz w:val="28"/>
          <w:szCs w:val="28"/>
        </w:rPr>
        <w:t>记</w:t>
      </w:r>
      <w:r>
        <w:rPr>
          <w:rFonts w:hint="eastAsia"/>
          <w:spacing w:val="-8"/>
          <w:sz w:val="28"/>
          <w:szCs w:val="28"/>
        </w:rPr>
        <w:t>录</w:t>
      </w:r>
      <w:r>
        <w:rPr>
          <w:rFonts w:hint="eastAsia"/>
          <w:sz w:val="28"/>
          <w:szCs w:val="28"/>
        </w:rPr>
        <w:t>表</w:t>
      </w:r>
    </w:p>
    <w:p>
      <w:pPr>
        <w:tabs>
          <w:tab w:val="left" w:pos="6300"/>
          <w:tab w:val="left" w:pos="7020"/>
          <w:tab w:val="left" w:pos="7740"/>
          <w:tab w:val="left" w:pos="8220"/>
          <w:tab w:val="left" w:pos="8940"/>
        </w:tabs>
        <w:spacing w:before="43" w:after="25"/>
        <w:ind w:left="4395"/>
        <w:rPr>
          <w:rFonts w:cs="Times New Roman"/>
          <w:sz w:val="24"/>
          <w:szCs w:val="24"/>
        </w:rPr>
      </w:pPr>
      <w:r>
        <w:rPr>
          <w:rFonts w:hint="eastAsia"/>
          <w:sz w:val="24"/>
          <w:szCs w:val="24"/>
        </w:rPr>
        <w:t>开标时间：</w:t>
      </w:r>
      <w:r>
        <w:rPr>
          <w:rFonts w:cs="Times New Roman"/>
          <w:sz w:val="24"/>
          <w:szCs w:val="24"/>
          <w:u w:val="single"/>
        </w:rPr>
        <w:tab/>
      </w:r>
      <w:r>
        <w:rPr>
          <w:rFonts w:hint="eastAsia"/>
          <w:sz w:val="24"/>
          <w:szCs w:val="24"/>
        </w:rPr>
        <w:t>年</w:t>
      </w:r>
      <w:r>
        <w:rPr>
          <w:rFonts w:cs="Times New Roman"/>
          <w:sz w:val="24"/>
          <w:szCs w:val="24"/>
          <w:u w:val="single"/>
        </w:rPr>
        <w:tab/>
      </w:r>
      <w:r>
        <w:rPr>
          <w:rFonts w:hint="eastAsia"/>
          <w:sz w:val="24"/>
          <w:szCs w:val="24"/>
        </w:rPr>
        <w:t>月</w:t>
      </w:r>
      <w:r>
        <w:rPr>
          <w:rFonts w:cs="Times New Roman"/>
          <w:sz w:val="24"/>
          <w:szCs w:val="24"/>
          <w:u w:val="single"/>
        </w:rPr>
        <w:tab/>
      </w:r>
      <w:r>
        <w:rPr>
          <w:rFonts w:hint="eastAsia"/>
          <w:sz w:val="24"/>
          <w:szCs w:val="24"/>
        </w:rPr>
        <w:t>日</w:t>
      </w:r>
      <w:r>
        <w:rPr>
          <w:rFonts w:cs="Times New Roman"/>
          <w:sz w:val="24"/>
          <w:szCs w:val="24"/>
          <w:u w:val="single"/>
        </w:rPr>
        <w:tab/>
      </w:r>
      <w:r>
        <w:rPr>
          <w:rFonts w:hint="eastAsia"/>
          <w:sz w:val="24"/>
          <w:szCs w:val="24"/>
        </w:rPr>
        <w:t>时</w:t>
      </w:r>
      <w:r>
        <w:rPr>
          <w:rFonts w:hint="eastAsia"/>
          <w:sz w:val="24"/>
          <w:szCs w:val="24"/>
          <w:u w:val="single"/>
        </w:rPr>
        <w:t xml:space="preserve">  </w:t>
      </w:r>
      <w:r>
        <w:rPr>
          <w:rFonts w:hint="eastAsia"/>
          <w:sz w:val="24"/>
          <w:szCs w:val="24"/>
        </w:rPr>
        <w:t>分</w:t>
      </w:r>
    </w:p>
    <w:tbl>
      <w:tblPr>
        <w:tblStyle w:val="20"/>
        <w:tblW w:w="90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08" w:type="dxa"/>
          </w:tcPr>
          <w:p>
            <w:pPr>
              <w:pStyle w:val="50"/>
              <w:rPr>
                <w:rFonts w:cs="Times New Roman"/>
                <w:sz w:val="20"/>
                <w:szCs w:val="20"/>
              </w:rPr>
            </w:pPr>
          </w:p>
          <w:p>
            <w:pPr>
              <w:pStyle w:val="50"/>
              <w:spacing w:before="7"/>
              <w:rPr>
                <w:rFonts w:cs="Times New Roman"/>
                <w:sz w:val="14"/>
                <w:szCs w:val="14"/>
              </w:rPr>
            </w:pPr>
          </w:p>
          <w:p>
            <w:pPr>
              <w:pStyle w:val="50"/>
              <w:spacing w:before="1"/>
              <w:ind w:left="147"/>
              <w:rPr>
                <w:rFonts w:cs="Times New Roman"/>
                <w:sz w:val="21"/>
                <w:szCs w:val="21"/>
              </w:rPr>
            </w:pPr>
            <w:r>
              <w:rPr>
                <w:rFonts w:hint="eastAsia"/>
                <w:sz w:val="21"/>
                <w:szCs w:val="21"/>
              </w:rPr>
              <w:t>序号</w:t>
            </w:r>
          </w:p>
        </w:tc>
        <w:tc>
          <w:tcPr>
            <w:tcW w:w="1440" w:type="dxa"/>
          </w:tcPr>
          <w:p>
            <w:pPr>
              <w:pStyle w:val="50"/>
              <w:rPr>
                <w:rFonts w:cs="Times New Roman"/>
                <w:sz w:val="20"/>
                <w:szCs w:val="20"/>
              </w:rPr>
            </w:pPr>
          </w:p>
          <w:p>
            <w:pPr>
              <w:pStyle w:val="50"/>
              <w:spacing w:before="7"/>
              <w:rPr>
                <w:rFonts w:cs="Times New Roman"/>
                <w:sz w:val="14"/>
                <w:szCs w:val="14"/>
              </w:rPr>
            </w:pPr>
          </w:p>
          <w:p>
            <w:pPr>
              <w:pStyle w:val="50"/>
              <w:spacing w:before="1"/>
              <w:ind w:left="406"/>
              <w:rPr>
                <w:rFonts w:cs="Times New Roman"/>
                <w:sz w:val="21"/>
                <w:szCs w:val="21"/>
              </w:rPr>
            </w:pPr>
            <w:r>
              <w:rPr>
                <w:rFonts w:hint="eastAsia"/>
                <w:sz w:val="21"/>
                <w:szCs w:val="21"/>
              </w:rPr>
              <w:t>投标人</w:t>
            </w:r>
          </w:p>
        </w:tc>
        <w:tc>
          <w:tcPr>
            <w:tcW w:w="1364" w:type="dxa"/>
          </w:tcPr>
          <w:p>
            <w:pPr>
              <w:pStyle w:val="50"/>
              <w:rPr>
                <w:rFonts w:cs="Times New Roman"/>
                <w:sz w:val="20"/>
                <w:szCs w:val="20"/>
              </w:rPr>
            </w:pPr>
          </w:p>
          <w:p>
            <w:pPr>
              <w:pStyle w:val="50"/>
              <w:spacing w:before="7"/>
              <w:rPr>
                <w:rFonts w:cs="Times New Roman"/>
                <w:sz w:val="14"/>
                <w:szCs w:val="14"/>
              </w:rPr>
            </w:pPr>
          </w:p>
          <w:p>
            <w:pPr>
              <w:pStyle w:val="50"/>
              <w:spacing w:before="1"/>
              <w:ind w:left="262"/>
              <w:rPr>
                <w:rFonts w:cs="Times New Roman"/>
                <w:sz w:val="21"/>
                <w:szCs w:val="21"/>
              </w:rPr>
            </w:pPr>
            <w:r>
              <w:rPr>
                <w:rFonts w:hint="eastAsia"/>
                <w:sz w:val="21"/>
                <w:szCs w:val="21"/>
              </w:rPr>
              <w:t>密封情况</w:t>
            </w:r>
          </w:p>
        </w:tc>
        <w:tc>
          <w:tcPr>
            <w:tcW w:w="1561" w:type="dxa"/>
          </w:tcPr>
          <w:p>
            <w:pPr>
              <w:pStyle w:val="50"/>
              <w:rPr>
                <w:rFonts w:cs="Times New Roman"/>
                <w:sz w:val="20"/>
                <w:szCs w:val="20"/>
              </w:rPr>
            </w:pPr>
          </w:p>
          <w:p>
            <w:pPr>
              <w:pStyle w:val="50"/>
              <w:spacing w:before="7"/>
              <w:rPr>
                <w:rFonts w:cs="Times New Roman"/>
                <w:sz w:val="14"/>
                <w:szCs w:val="14"/>
              </w:rPr>
            </w:pPr>
          </w:p>
          <w:p>
            <w:pPr>
              <w:pStyle w:val="50"/>
              <w:spacing w:before="1"/>
              <w:ind w:left="43"/>
              <w:rPr>
                <w:rFonts w:cs="Times New Roman"/>
                <w:sz w:val="21"/>
                <w:szCs w:val="21"/>
              </w:rPr>
            </w:pPr>
            <w:r>
              <w:rPr>
                <w:rFonts w:hint="eastAsia"/>
                <w:sz w:val="21"/>
                <w:szCs w:val="21"/>
              </w:rPr>
              <w:t>投标报价（元）</w:t>
            </w:r>
          </w:p>
        </w:tc>
        <w:tc>
          <w:tcPr>
            <w:tcW w:w="1181" w:type="dxa"/>
          </w:tcPr>
          <w:p>
            <w:pPr>
              <w:pStyle w:val="50"/>
              <w:spacing w:line="500" w:lineRule="exact"/>
              <w:ind w:left="66" w:right="53"/>
              <w:rPr>
                <w:rFonts w:cs="Times New Roman"/>
                <w:sz w:val="21"/>
                <w:szCs w:val="21"/>
              </w:rPr>
            </w:pPr>
            <w:r>
              <w:rPr>
                <w:rFonts w:hint="eastAsia"/>
                <w:sz w:val="21"/>
                <w:szCs w:val="21"/>
              </w:rPr>
              <w:t>是否超过最高投标限价</w:t>
            </w:r>
          </w:p>
        </w:tc>
        <w:tc>
          <w:tcPr>
            <w:tcW w:w="1008" w:type="dxa"/>
          </w:tcPr>
          <w:p>
            <w:pPr>
              <w:pStyle w:val="50"/>
              <w:rPr>
                <w:rFonts w:cs="Times New Roman"/>
                <w:sz w:val="20"/>
                <w:szCs w:val="20"/>
              </w:rPr>
            </w:pPr>
          </w:p>
          <w:p>
            <w:pPr>
              <w:pStyle w:val="50"/>
              <w:spacing w:before="7"/>
              <w:rPr>
                <w:rFonts w:cs="Times New Roman"/>
                <w:sz w:val="14"/>
                <w:szCs w:val="14"/>
              </w:rPr>
            </w:pPr>
          </w:p>
          <w:p>
            <w:pPr>
              <w:pStyle w:val="50"/>
              <w:spacing w:before="1"/>
              <w:ind w:left="294"/>
              <w:rPr>
                <w:rFonts w:cs="Times New Roman"/>
                <w:sz w:val="21"/>
                <w:szCs w:val="21"/>
              </w:rPr>
            </w:pPr>
            <w:r>
              <w:rPr>
                <w:rFonts w:hint="eastAsia"/>
                <w:sz w:val="21"/>
                <w:szCs w:val="21"/>
              </w:rPr>
              <w:t>备注</w:t>
            </w:r>
          </w:p>
        </w:tc>
        <w:tc>
          <w:tcPr>
            <w:tcW w:w="1738" w:type="dxa"/>
          </w:tcPr>
          <w:p>
            <w:pPr>
              <w:pStyle w:val="50"/>
              <w:rPr>
                <w:rFonts w:cs="Times New Roman"/>
                <w:sz w:val="20"/>
                <w:szCs w:val="20"/>
              </w:rPr>
            </w:pPr>
          </w:p>
          <w:p>
            <w:pPr>
              <w:pStyle w:val="50"/>
              <w:spacing w:before="7"/>
              <w:rPr>
                <w:rFonts w:cs="Times New Roman"/>
                <w:sz w:val="14"/>
                <w:szCs w:val="14"/>
              </w:rPr>
            </w:pPr>
          </w:p>
          <w:p>
            <w:pPr>
              <w:pStyle w:val="50"/>
              <w:spacing w:before="1"/>
              <w:ind w:left="136"/>
              <w:rPr>
                <w:rFonts w:cs="Times New Roman"/>
                <w:sz w:val="21"/>
                <w:szCs w:val="21"/>
              </w:rPr>
            </w:pPr>
            <w:r>
              <w:rPr>
                <w:rFonts w:hint="eastAsia"/>
                <w:sz w:val="21"/>
                <w:szCs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8" w:type="dxa"/>
          </w:tcPr>
          <w:p>
            <w:pPr>
              <w:pStyle w:val="50"/>
              <w:rPr>
                <w:rFonts w:ascii="Times New Roman" w:cs="Times New Roman"/>
              </w:rPr>
            </w:pPr>
          </w:p>
        </w:tc>
        <w:tc>
          <w:tcPr>
            <w:tcW w:w="1440" w:type="dxa"/>
          </w:tcPr>
          <w:p>
            <w:pPr>
              <w:pStyle w:val="50"/>
              <w:rPr>
                <w:rFonts w:ascii="Times New Roman" w:cs="Times New Roman"/>
              </w:rPr>
            </w:pPr>
          </w:p>
        </w:tc>
        <w:tc>
          <w:tcPr>
            <w:tcW w:w="1364" w:type="dxa"/>
          </w:tcPr>
          <w:p>
            <w:pPr>
              <w:pStyle w:val="50"/>
              <w:rPr>
                <w:rFonts w:ascii="Times New Roman" w:cs="Times New Roman"/>
              </w:rPr>
            </w:pPr>
          </w:p>
        </w:tc>
        <w:tc>
          <w:tcPr>
            <w:tcW w:w="1561" w:type="dxa"/>
          </w:tcPr>
          <w:p>
            <w:pPr>
              <w:pStyle w:val="50"/>
              <w:rPr>
                <w:rFonts w:ascii="Times New Roman" w:cs="Times New Roman"/>
              </w:rPr>
            </w:pPr>
          </w:p>
        </w:tc>
        <w:tc>
          <w:tcPr>
            <w:tcW w:w="1181" w:type="dxa"/>
          </w:tcPr>
          <w:p>
            <w:pPr>
              <w:pStyle w:val="50"/>
              <w:rPr>
                <w:rFonts w:ascii="Times New Roman" w:cs="Times New Roman"/>
              </w:rPr>
            </w:pPr>
          </w:p>
        </w:tc>
        <w:tc>
          <w:tcPr>
            <w:tcW w:w="1008" w:type="dxa"/>
          </w:tcPr>
          <w:p>
            <w:pPr>
              <w:pStyle w:val="50"/>
              <w:rPr>
                <w:rFonts w:ascii="Times New Roman" w:cs="Times New Roman"/>
              </w:rPr>
            </w:pPr>
          </w:p>
        </w:tc>
        <w:tc>
          <w:tcPr>
            <w:tcW w:w="1738" w:type="dxa"/>
          </w:tcPr>
          <w:p>
            <w:pPr>
              <w:pStyle w:val="50"/>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512" w:type="dxa"/>
            <w:gridSpan w:val="3"/>
          </w:tcPr>
          <w:p>
            <w:pPr>
              <w:pStyle w:val="50"/>
              <w:spacing w:before="12"/>
              <w:rPr>
                <w:rFonts w:cs="Times New Roman"/>
                <w:sz w:val="20"/>
                <w:szCs w:val="20"/>
              </w:rPr>
            </w:pPr>
          </w:p>
          <w:p>
            <w:pPr>
              <w:pStyle w:val="50"/>
              <w:ind w:left="111"/>
              <w:rPr>
                <w:rFonts w:cs="Times New Roman"/>
                <w:sz w:val="21"/>
                <w:szCs w:val="21"/>
              </w:rPr>
            </w:pPr>
            <w:r>
              <w:rPr>
                <w:rFonts w:hint="eastAsia"/>
                <w:sz w:val="21"/>
                <w:szCs w:val="21"/>
              </w:rPr>
              <w:t>招标人编制的最高投标限价（如有）</w:t>
            </w:r>
          </w:p>
        </w:tc>
        <w:tc>
          <w:tcPr>
            <w:tcW w:w="5488" w:type="dxa"/>
            <w:gridSpan w:val="4"/>
          </w:tcPr>
          <w:p>
            <w:pPr>
              <w:pStyle w:val="50"/>
              <w:rPr>
                <w:rFonts w:ascii="Times New Roman" w:cs="Times New Roman"/>
              </w:rPr>
            </w:pPr>
          </w:p>
        </w:tc>
      </w:tr>
    </w:tbl>
    <w:p>
      <w:pPr>
        <w:pStyle w:val="12"/>
        <w:rPr>
          <w:rFonts w:cs="Times New Roman"/>
          <w:sz w:val="26"/>
          <w:szCs w:val="26"/>
        </w:rPr>
      </w:pPr>
    </w:p>
    <w:p>
      <w:pPr>
        <w:pStyle w:val="12"/>
        <w:spacing w:before="4"/>
        <w:rPr>
          <w:rFonts w:cs="Times New Roman"/>
          <w:sz w:val="31"/>
          <w:szCs w:val="31"/>
        </w:rPr>
      </w:pPr>
    </w:p>
    <w:p>
      <w:pPr>
        <w:pStyle w:val="12"/>
        <w:tabs>
          <w:tab w:val="left" w:pos="2785"/>
          <w:tab w:val="left" w:pos="6675"/>
          <w:tab w:val="left" w:pos="8949"/>
        </w:tabs>
        <w:ind w:left="61"/>
        <w:jc w:val="center"/>
        <w:rPr>
          <w:rFonts w:ascii="Times New Roman" w:eastAsia="Times New Roman" w:cs="Times New Roman"/>
        </w:rPr>
      </w:pPr>
      <w:r>
        <w:rPr>
          <w:rFonts w:hint="eastAsia"/>
        </w:rPr>
        <w:t>招标</w:t>
      </w:r>
      <w:r>
        <w:rPr>
          <w:rFonts w:hint="eastAsia"/>
          <w:spacing w:val="-5"/>
        </w:rPr>
        <w:t>人</w:t>
      </w:r>
      <w:r>
        <w:rPr>
          <w:rFonts w:hint="eastAsia"/>
        </w:rPr>
        <w:t>代</w:t>
      </w:r>
      <w:r>
        <w:rPr>
          <w:rFonts w:hint="eastAsia"/>
          <w:spacing w:val="-5"/>
        </w:rPr>
        <w:t>表</w:t>
      </w:r>
      <w:r>
        <w:rPr>
          <w:rFonts w:hint="eastAsia"/>
        </w:rPr>
        <w:t>：</w:t>
      </w:r>
      <w:r>
        <w:rPr>
          <w:rFonts w:cs="Times New Roman"/>
          <w:u w:val="single"/>
        </w:rPr>
        <w:tab/>
      </w:r>
      <w:r>
        <w:rPr>
          <w:rFonts w:cs="Times New Roman"/>
        </w:rPr>
        <w:tab/>
      </w:r>
      <w:r>
        <w:rPr>
          <w:rFonts w:hint="eastAsia"/>
          <w:w w:val="95"/>
        </w:rPr>
        <w:t>记</w:t>
      </w:r>
      <w:r>
        <w:rPr>
          <w:rFonts w:hint="eastAsia"/>
          <w:spacing w:val="-5"/>
          <w:w w:val="95"/>
        </w:rPr>
        <w:t>录人</w:t>
      </w:r>
      <w:r>
        <w:rPr>
          <w:rFonts w:hint="eastAsia"/>
          <w:w w:val="95"/>
        </w:rPr>
        <w:t>：</w:t>
      </w:r>
      <w:r>
        <w:rPr>
          <w:rFonts w:ascii="Times New Roman" w:eastAsia="Times New Roman" w:cs="Times New Roman"/>
          <w:u w:val="single"/>
        </w:rPr>
        <w:tab/>
      </w:r>
    </w:p>
    <w:p>
      <w:pPr>
        <w:pStyle w:val="12"/>
        <w:spacing w:before="5"/>
        <w:rPr>
          <w:rFonts w:ascii="Times New Roman" w:cs="Times New Roman"/>
          <w:sz w:val="25"/>
          <w:szCs w:val="25"/>
        </w:rPr>
      </w:pPr>
    </w:p>
    <w:p>
      <w:pPr>
        <w:pStyle w:val="10"/>
        <w:tabs>
          <w:tab w:val="left" w:pos="960"/>
          <w:tab w:val="left" w:pos="1680"/>
          <w:tab w:val="left" w:pos="2400"/>
        </w:tabs>
        <w:spacing w:before="66"/>
        <w:ind w:left="0" w:right="543"/>
        <w:jc w:val="right"/>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jc w:val="right"/>
        <w:rPr>
          <w:rFonts w:cs="Times New Roman"/>
        </w:rPr>
        <w:sectPr>
          <w:pgSz w:w="11910" w:h="16850"/>
          <w:pgMar w:top="1418" w:right="1418" w:bottom="1418" w:left="1418" w:header="851" w:footer="964" w:gutter="0"/>
          <w:cols w:space="720" w:num="1"/>
        </w:sectPr>
      </w:pPr>
    </w:p>
    <w:p>
      <w:pPr>
        <w:spacing w:before="128"/>
        <w:ind w:left="139"/>
        <w:rPr>
          <w:rFonts w:cs="Times New Roman"/>
          <w:sz w:val="24"/>
          <w:szCs w:val="24"/>
        </w:rPr>
      </w:pPr>
      <w:r>
        <w:rPr>
          <w:rFonts w:hint="eastAsia"/>
          <w:sz w:val="24"/>
          <w:szCs w:val="24"/>
        </w:rPr>
        <w:t>附件二</w:t>
      </w:r>
      <w:r>
        <w:rPr>
          <w:sz w:val="24"/>
          <w:szCs w:val="24"/>
        </w:rPr>
        <w:t xml:space="preserve"> </w:t>
      </w:r>
      <w:r>
        <w:rPr>
          <w:rFonts w:hint="eastAsia"/>
          <w:sz w:val="24"/>
          <w:szCs w:val="24"/>
        </w:rPr>
        <w:t>问题澄清通知</w:t>
      </w:r>
    </w:p>
    <w:p>
      <w:pPr>
        <w:pStyle w:val="12"/>
        <w:rPr>
          <w:rFonts w:cs="Times New Roman"/>
          <w:sz w:val="20"/>
          <w:szCs w:val="20"/>
        </w:rPr>
      </w:pPr>
    </w:p>
    <w:p>
      <w:pPr>
        <w:pStyle w:val="12"/>
        <w:spacing w:before="3"/>
        <w:rPr>
          <w:rFonts w:cs="Times New Roman"/>
          <w:sz w:val="16"/>
          <w:szCs w:val="16"/>
        </w:rPr>
      </w:pPr>
    </w:p>
    <w:p>
      <w:pPr>
        <w:spacing w:before="62"/>
        <w:ind w:left="101" w:right="142"/>
        <w:jc w:val="center"/>
        <w:rPr>
          <w:rFonts w:cs="Times New Roman"/>
          <w:sz w:val="28"/>
          <w:szCs w:val="28"/>
        </w:rPr>
      </w:pPr>
      <w:r>
        <w:rPr>
          <w:rFonts w:hint="eastAsia"/>
          <w:sz w:val="28"/>
          <w:szCs w:val="28"/>
        </w:rPr>
        <w:t>问题澄清通知</w:t>
      </w:r>
    </w:p>
    <w:p>
      <w:pPr>
        <w:pStyle w:val="12"/>
        <w:tabs>
          <w:tab w:val="left" w:pos="2937"/>
        </w:tabs>
        <w:spacing w:before="152"/>
        <w:ind w:right="43"/>
        <w:jc w:val="center"/>
        <w:rPr>
          <w:rFonts w:cs="Times New Roman"/>
        </w:rPr>
      </w:pPr>
      <w:r>
        <w:rPr>
          <w:rFonts w:hint="eastAsia"/>
        </w:rPr>
        <w:t>（编</w:t>
      </w:r>
      <w:r>
        <w:rPr>
          <w:rFonts w:hint="eastAsia"/>
          <w:spacing w:val="-5"/>
        </w:rPr>
        <w:t>号</w:t>
      </w:r>
      <w:r>
        <w:rPr>
          <w:rFonts w:hint="eastAsia"/>
        </w:rPr>
        <w:t>：</w:t>
      </w:r>
      <w:r>
        <w:rPr>
          <w:rFonts w:cs="Times New Roman"/>
          <w:u w:val="single"/>
        </w:rPr>
        <w:tab/>
      </w:r>
      <w:r>
        <w:rPr>
          <w:rFonts w:hint="eastAsia"/>
        </w:rPr>
        <w:t>）</w:t>
      </w:r>
    </w:p>
    <w:p>
      <w:pPr>
        <w:pStyle w:val="12"/>
        <w:rPr>
          <w:rFonts w:cs="Times New Roman"/>
          <w:sz w:val="20"/>
          <w:szCs w:val="20"/>
        </w:rPr>
      </w:pPr>
    </w:p>
    <w:p>
      <w:pPr>
        <w:pStyle w:val="12"/>
        <w:spacing w:before="4"/>
        <w:rPr>
          <w:rFonts w:cs="Times New Roman"/>
          <w:sz w:val="20"/>
          <w:szCs w:val="20"/>
        </w:rPr>
      </w:pPr>
    </w:p>
    <w:p>
      <w:pPr>
        <w:pStyle w:val="12"/>
        <w:tabs>
          <w:tab w:val="left" w:pos="2363"/>
        </w:tabs>
        <w:spacing w:before="76"/>
        <w:ind w:left="564"/>
        <w:rPr>
          <w:rFonts w:cs="Times New Roman"/>
        </w:rPr>
      </w:pPr>
      <w:r>
        <w:rPr>
          <w:rFonts w:ascii="Times New Roman" w:eastAsia="Times New Roman" w:cs="Times New Roman"/>
          <w:u w:val="single"/>
        </w:rPr>
        <w:tab/>
      </w:r>
      <w:r>
        <w:rPr>
          <w:rFonts w:hint="eastAsia"/>
          <w:spacing w:val="-1"/>
          <w:w w:val="99"/>
        </w:rPr>
        <w:t>（投标人名称</w:t>
      </w:r>
      <w:r>
        <w:rPr>
          <w:rFonts w:hint="eastAsia"/>
          <w:spacing w:val="-209"/>
          <w:w w:val="99"/>
        </w:rPr>
        <w:t>）</w:t>
      </w:r>
      <w:r>
        <w:rPr>
          <w:rFonts w:hint="eastAsia"/>
          <w:w w:val="99"/>
        </w:rPr>
        <w:t>：</w:t>
      </w:r>
    </w:p>
    <w:p>
      <w:pPr>
        <w:pStyle w:val="12"/>
        <w:rPr>
          <w:rFonts w:cs="Times New Roman"/>
          <w:sz w:val="20"/>
          <w:szCs w:val="20"/>
        </w:rPr>
      </w:pPr>
    </w:p>
    <w:p>
      <w:pPr>
        <w:pStyle w:val="12"/>
        <w:spacing w:before="4"/>
        <w:rPr>
          <w:rFonts w:cs="Times New Roman"/>
          <w:sz w:val="17"/>
          <w:szCs w:val="17"/>
        </w:rPr>
      </w:pPr>
    </w:p>
    <w:p>
      <w:pPr>
        <w:pStyle w:val="12"/>
        <w:tabs>
          <w:tab w:val="left" w:pos="3147"/>
          <w:tab w:val="left" w:pos="5625"/>
        </w:tabs>
        <w:spacing w:before="77" w:line="348" w:lineRule="auto"/>
        <w:ind w:left="564" w:right="480" w:firstLine="722"/>
        <w:rPr>
          <w:rFonts w:cs="Times New Roman"/>
        </w:rPr>
      </w:pPr>
      <w:r>
        <w:rPr>
          <w:rFonts w:ascii="Times New Roman" w:eastAsia="Times New Roman" w:cs="Times New Roman"/>
          <w:u w:val="single"/>
        </w:rPr>
        <w:tab/>
      </w:r>
      <w:r>
        <w:rPr>
          <w:rFonts w:hint="eastAsia"/>
        </w:rPr>
        <w:t>（项目名称）</w:t>
      </w:r>
      <w:r>
        <w:rPr>
          <w:rFonts w:cs="Times New Roman"/>
          <w:u w:val="single"/>
        </w:rPr>
        <w:tab/>
      </w:r>
      <w:r>
        <w:rPr>
          <w:rFonts w:hint="eastAsia"/>
          <w:w w:val="95"/>
        </w:rPr>
        <w:t>标段施工招标的评标委员会</w:t>
      </w:r>
      <w:r>
        <w:rPr>
          <w:rFonts w:hint="eastAsia"/>
          <w:spacing w:val="-37"/>
          <w:w w:val="95"/>
        </w:rPr>
        <w:t>，</w:t>
      </w:r>
      <w:r>
        <w:rPr>
          <w:rFonts w:hint="eastAsia"/>
          <w:w w:val="95"/>
        </w:rPr>
        <w:t>对你方的投</w:t>
      </w:r>
      <w:r>
        <w:rPr>
          <w:rFonts w:hint="eastAsia"/>
        </w:rPr>
        <w:t>标文件进行了仔细的审查</w:t>
      </w:r>
      <w:r>
        <w:rPr>
          <w:rFonts w:hint="eastAsia"/>
          <w:spacing w:val="-166"/>
        </w:rPr>
        <w:t>，</w:t>
      </w:r>
      <w:r>
        <w:rPr>
          <w:rFonts w:hint="eastAsia"/>
        </w:rPr>
        <w:t>现需你方对下列问题以书面形式予以澄清或说明：</w:t>
      </w:r>
    </w:p>
    <w:p>
      <w:pPr>
        <w:pStyle w:val="12"/>
        <w:rPr>
          <w:rFonts w:cs="Times New Roman"/>
          <w:sz w:val="20"/>
          <w:szCs w:val="20"/>
        </w:rPr>
      </w:pPr>
    </w:p>
    <w:p>
      <w:pPr>
        <w:pStyle w:val="12"/>
        <w:spacing w:before="5"/>
        <w:rPr>
          <w:rFonts w:cs="Times New Roman"/>
          <w:sz w:val="15"/>
          <w:szCs w:val="15"/>
        </w:rPr>
      </w:pPr>
    </w:p>
    <w:p>
      <w:pPr>
        <w:pStyle w:val="10"/>
        <w:spacing w:before="1"/>
        <w:ind w:left="1044"/>
      </w:pPr>
      <w:r>
        <w:t>1.</w:t>
      </w:r>
    </w:p>
    <w:p>
      <w:pPr>
        <w:spacing w:before="170"/>
        <w:ind w:left="1044"/>
        <w:rPr>
          <w:sz w:val="24"/>
          <w:szCs w:val="24"/>
        </w:rPr>
      </w:pPr>
      <w:r>
        <w:rPr>
          <w:sz w:val="24"/>
          <w:szCs w:val="24"/>
        </w:rPr>
        <w:t>2.</w:t>
      </w:r>
    </w:p>
    <w:p>
      <w:pPr>
        <w:spacing w:before="165"/>
        <w:ind w:left="1164"/>
        <w:rPr>
          <w:sz w:val="24"/>
          <w:szCs w:val="24"/>
        </w:rPr>
      </w:pPr>
      <w:r>
        <w:rPr>
          <w:sz w:val="24"/>
          <w:szCs w:val="24"/>
        </w:rPr>
        <w:t>......</w:t>
      </w:r>
    </w:p>
    <w:p>
      <w:pPr>
        <w:pStyle w:val="12"/>
        <w:rPr>
          <w:rFonts w:cs="Times New Roman"/>
          <w:sz w:val="24"/>
          <w:szCs w:val="24"/>
        </w:rPr>
      </w:pPr>
    </w:p>
    <w:p>
      <w:pPr>
        <w:pStyle w:val="12"/>
        <w:spacing w:before="7"/>
        <w:rPr>
          <w:rFonts w:cs="Times New Roman"/>
          <w:sz w:val="22"/>
          <w:szCs w:val="22"/>
        </w:rPr>
      </w:pPr>
    </w:p>
    <w:p>
      <w:pPr>
        <w:pStyle w:val="12"/>
        <w:tabs>
          <w:tab w:val="left" w:pos="3266"/>
          <w:tab w:val="left" w:pos="8759"/>
        </w:tabs>
        <w:spacing w:line="348" w:lineRule="auto"/>
        <w:ind w:left="564" w:right="568" w:firstLine="448"/>
        <w:jc w:val="both"/>
      </w:pPr>
      <w:r>
        <w:rPr>
          <w:rFonts w:hint="eastAsia"/>
        </w:rPr>
        <w:t>请将上述问题的澄清或说明于</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日时分前递交至</w:t>
      </w:r>
      <w:r>
        <w:rPr>
          <w:rFonts w:hint="eastAsia"/>
          <w:u w:val="single"/>
        </w:rPr>
        <w:t>（</w:t>
      </w:r>
      <w:r>
        <w:rPr>
          <w:rFonts w:hint="eastAsia"/>
          <w:spacing w:val="-29"/>
        </w:rPr>
        <w:t>详</w:t>
      </w:r>
      <w:r>
        <w:rPr>
          <w:rFonts w:hint="eastAsia"/>
        </w:rPr>
        <w:t>细地址</w:t>
      </w:r>
      <w:r>
        <w:rPr>
          <w:rFonts w:hint="eastAsia"/>
          <w:spacing w:val="-77"/>
        </w:rPr>
        <w:t>）</w:t>
      </w:r>
      <w:r>
        <w:rPr>
          <w:rFonts w:hint="eastAsia"/>
        </w:rPr>
        <w:t>或传真至</w:t>
      </w:r>
      <w:r>
        <w:rPr>
          <w:rFonts w:cs="Times New Roman"/>
          <w:u w:val="single"/>
        </w:rPr>
        <w:tab/>
      </w:r>
      <w:r>
        <w:rPr>
          <w:rFonts w:hint="eastAsia"/>
        </w:rPr>
        <w:t>（传</w:t>
      </w:r>
    </w:p>
    <w:p>
      <w:pPr>
        <w:pStyle w:val="12"/>
        <w:tabs>
          <w:tab w:val="left" w:pos="3266"/>
          <w:tab w:val="left" w:pos="8759"/>
        </w:tabs>
        <w:spacing w:line="348" w:lineRule="auto"/>
        <w:ind w:left="977" w:leftChars="351" w:right="568" w:hanging="205" w:hangingChars="98"/>
        <w:jc w:val="both"/>
        <w:rPr>
          <w:rFonts w:cs="Times New Roman"/>
        </w:rPr>
      </w:pPr>
      <w:r>
        <w:rPr>
          <w:rFonts w:hint="eastAsia"/>
        </w:rPr>
        <w:t>真号码</w:t>
      </w:r>
      <w:r>
        <w:rPr>
          <w:rFonts w:hint="eastAsia"/>
          <w:spacing w:val="-82"/>
        </w:rPr>
        <w:t>）</w:t>
      </w:r>
      <w:r>
        <w:rPr>
          <w:rFonts w:hint="eastAsia"/>
        </w:rPr>
        <w:t>或通过下载招标文件的电子招标交易平台</w:t>
      </w:r>
      <w:r>
        <w:rPr>
          <w:rFonts w:hint="eastAsia"/>
          <w:spacing w:val="-27"/>
        </w:rPr>
        <w:t>上</w:t>
      </w:r>
      <w:r>
        <w:rPr>
          <w:rFonts w:hint="eastAsia"/>
        </w:rPr>
        <w:t>传</w:t>
      </w:r>
      <w:r>
        <w:rPr>
          <w:rFonts w:hint="eastAsia"/>
          <w:spacing w:val="-209"/>
        </w:rPr>
        <w:t>。</w:t>
      </w:r>
      <w:r>
        <w:rPr>
          <w:rFonts w:hint="eastAsia"/>
        </w:rPr>
        <w:t>采用传真方式的</w:t>
      </w:r>
      <w:r>
        <w:rPr>
          <w:rFonts w:hint="eastAsia"/>
          <w:spacing w:val="-209"/>
        </w:rPr>
        <w:t>，</w:t>
      </w:r>
      <w:r>
        <w:rPr>
          <w:rFonts w:hint="eastAsia"/>
        </w:rPr>
        <w:t>应在</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日时分前将原件递交至</w:t>
      </w:r>
      <w:r>
        <w:rPr>
          <w:rFonts w:cs="Times New Roman"/>
          <w:u w:val="single"/>
        </w:rPr>
        <w:tab/>
      </w:r>
      <w:r>
        <w:rPr>
          <w:rFonts w:hint="eastAsia"/>
          <w:u w:val="single"/>
        </w:rPr>
        <w:t>（</w:t>
      </w:r>
      <w:r>
        <w:rPr>
          <w:rFonts w:hint="eastAsia"/>
          <w:spacing w:val="-18"/>
        </w:rPr>
        <w:t>详</w:t>
      </w:r>
      <w:r>
        <w:rPr>
          <w:rFonts w:hint="eastAsia"/>
        </w:rPr>
        <w:t>细地址</w:t>
      </w:r>
      <w:r>
        <w:rPr>
          <w:rFonts w:hint="eastAsia"/>
          <w:spacing w:val="-209"/>
        </w:rPr>
        <w:t>）</w:t>
      </w:r>
      <w:r>
        <w:rPr>
          <w:rFonts w:hint="eastAsia"/>
        </w:rPr>
        <w:t>。</w:t>
      </w:r>
    </w:p>
    <w:p>
      <w:pPr>
        <w:pStyle w:val="12"/>
        <w:rPr>
          <w:rFonts w:cs="Times New Roman"/>
          <w:sz w:val="20"/>
          <w:szCs w:val="20"/>
        </w:rPr>
      </w:pPr>
    </w:p>
    <w:p>
      <w:pPr>
        <w:pStyle w:val="12"/>
        <w:rPr>
          <w:rFonts w:cs="Times New Roman"/>
          <w:sz w:val="20"/>
          <w:szCs w:val="20"/>
        </w:rPr>
      </w:pPr>
    </w:p>
    <w:p>
      <w:pPr>
        <w:pStyle w:val="12"/>
        <w:spacing w:before="2"/>
        <w:rPr>
          <w:rFonts w:cs="Times New Roman"/>
          <w:sz w:val="24"/>
          <w:szCs w:val="24"/>
        </w:rPr>
      </w:pPr>
    </w:p>
    <w:p>
      <w:pPr>
        <w:pStyle w:val="12"/>
        <w:tabs>
          <w:tab w:val="left" w:pos="7079"/>
        </w:tabs>
        <w:ind w:left="1560"/>
        <w:rPr>
          <w:rFonts w:cs="Times New Roman"/>
        </w:rPr>
      </w:pPr>
      <w:r>
        <w:rPr>
          <w:rFonts w:hint="eastAsia"/>
        </w:rPr>
        <w:t>评标委员会授权的招标人或招标代理机构：</w:t>
      </w:r>
      <w:r>
        <w:rPr>
          <w:rFonts w:cs="Times New Roman"/>
          <w:u w:val="single"/>
        </w:rPr>
        <w:tab/>
      </w:r>
      <w:r>
        <w:rPr>
          <w:rFonts w:hint="eastAsia"/>
        </w:rPr>
        <w:t>（签字或盖单位章）</w:t>
      </w:r>
    </w:p>
    <w:p>
      <w:pPr>
        <w:pStyle w:val="12"/>
        <w:rPr>
          <w:rFonts w:cs="Times New Roman"/>
          <w:sz w:val="20"/>
          <w:szCs w:val="20"/>
        </w:rPr>
      </w:pPr>
    </w:p>
    <w:p>
      <w:pPr>
        <w:pStyle w:val="12"/>
        <w:spacing w:before="1"/>
        <w:rPr>
          <w:rFonts w:cs="Times New Roman"/>
          <w:sz w:val="23"/>
          <w:szCs w:val="23"/>
        </w:rPr>
      </w:pPr>
    </w:p>
    <w:p>
      <w:pPr>
        <w:pStyle w:val="12"/>
        <w:tabs>
          <w:tab w:val="left" w:pos="6520"/>
          <w:tab w:val="left" w:pos="7240"/>
          <w:tab w:val="left" w:pos="7960"/>
        </w:tabs>
        <w:spacing w:before="70"/>
        <w:ind w:left="5560"/>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pgSz w:w="11910" w:h="16850"/>
          <w:pgMar w:top="1418" w:right="1418" w:bottom="1418" w:left="1418" w:header="851" w:footer="964" w:gutter="0"/>
          <w:cols w:space="720" w:num="1"/>
        </w:sectPr>
      </w:pPr>
    </w:p>
    <w:p>
      <w:pPr>
        <w:pStyle w:val="12"/>
        <w:rPr>
          <w:rFonts w:cs="Times New Roman"/>
          <w:sz w:val="8"/>
          <w:szCs w:val="8"/>
        </w:rPr>
      </w:pPr>
    </w:p>
    <w:p>
      <w:pPr>
        <w:rPr>
          <w:rFonts w:cs="Times New Roman"/>
          <w:sz w:val="8"/>
          <w:szCs w:val="8"/>
        </w:rPr>
        <w:sectPr>
          <w:pgSz w:w="11910" w:h="16850"/>
          <w:pgMar w:top="1418" w:right="1418" w:bottom="1418" w:left="1418" w:header="851" w:footer="964" w:gutter="0"/>
          <w:cols w:space="720" w:num="1"/>
        </w:sectPr>
      </w:pPr>
    </w:p>
    <w:p>
      <w:pPr>
        <w:pStyle w:val="10"/>
        <w:spacing w:before="66"/>
        <w:rPr>
          <w:rFonts w:cs="Times New Roman"/>
        </w:rPr>
      </w:pPr>
      <w:r>
        <w:rPr>
          <w:rFonts w:hint="eastAsia"/>
        </w:rPr>
        <w:t>附件三</w:t>
      </w:r>
      <w:r>
        <w:t xml:space="preserve"> </w:t>
      </w:r>
      <w:r>
        <w:rPr>
          <w:rFonts w:hint="eastAsia"/>
        </w:rPr>
        <w:t>问题的澄清</w:t>
      </w:r>
    </w:p>
    <w:p>
      <w:pPr>
        <w:pStyle w:val="12"/>
        <w:spacing w:before="7"/>
        <w:rPr>
          <w:rFonts w:cs="Times New Roman"/>
          <w:sz w:val="35"/>
          <w:szCs w:val="35"/>
        </w:rPr>
      </w:pPr>
    </w:p>
    <w:p>
      <w:pPr>
        <w:ind w:right="2"/>
        <w:jc w:val="center"/>
        <w:rPr>
          <w:rFonts w:cs="Times New Roman"/>
          <w:sz w:val="28"/>
          <w:szCs w:val="28"/>
        </w:rPr>
      </w:pPr>
      <w:r>
        <w:rPr>
          <w:rFonts w:hint="eastAsia"/>
          <w:sz w:val="28"/>
          <w:szCs w:val="28"/>
        </w:rPr>
        <w:t>问题的澄清</w:t>
      </w:r>
    </w:p>
    <w:p>
      <w:pPr>
        <w:pStyle w:val="12"/>
        <w:tabs>
          <w:tab w:val="left" w:pos="2380"/>
        </w:tabs>
        <w:spacing w:before="153"/>
        <w:ind w:right="2"/>
        <w:jc w:val="center"/>
        <w:rPr>
          <w:rFonts w:cs="Times New Roman"/>
        </w:rPr>
      </w:pPr>
      <w:r>
        <w:rPr>
          <w:rFonts w:hint="eastAsia"/>
        </w:rPr>
        <w:t>（编</w:t>
      </w:r>
      <w:r>
        <w:rPr>
          <w:rFonts w:hint="eastAsia"/>
          <w:spacing w:val="-5"/>
        </w:rPr>
        <w:t>号</w:t>
      </w:r>
      <w:r>
        <w:rPr>
          <w:rFonts w:hint="eastAsia"/>
        </w:rPr>
        <w:t>：</w:t>
      </w:r>
      <w:r>
        <w:rPr>
          <w:rFonts w:cs="Times New Roman"/>
          <w:u w:val="single"/>
        </w:rPr>
        <w:tab/>
      </w:r>
      <w:r>
        <w:rPr>
          <w:rFonts w:hint="eastAsia"/>
        </w:rPr>
        <w:t>）</w:t>
      </w:r>
    </w:p>
    <w:p>
      <w:pPr>
        <w:jc w:val="center"/>
        <w:rPr>
          <w:rFonts w:cs="Times New Roman"/>
        </w:rPr>
        <w:sectPr>
          <w:type w:val="continuous"/>
          <w:pgSz w:w="11910" w:h="16850"/>
          <w:pgMar w:top="1418" w:right="1418" w:bottom="1418" w:left="1418" w:header="851" w:footer="964" w:gutter="0"/>
          <w:cols w:space="720" w:num="1"/>
        </w:sectPr>
      </w:pPr>
    </w:p>
    <w:p>
      <w:pPr>
        <w:pStyle w:val="12"/>
        <w:rPr>
          <w:rFonts w:cs="Times New Roman"/>
          <w:sz w:val="20"/>
          <w:szCs w:val="20"/>
        </w:rPr>
      </w:pPr>
    </w:p>
    <w:p>
      <w:pPr>
        <w:pStyle w:val="12"/>
        <w:spacing w:before="1"/>
        <w:rPr>
          <w:rFonts w:cs="Times New Roman"/>
          <w:sz w:val="20"/>
          <w:szCs w:val="20"/>
        </w:rPr>
      </w:pPr>
    </w:p>
    <w:p>
      <w:pPr>
        <w:pStyle w:val="12"/>
        <w:tabs>
          <w:tab w:val="left" w:pos="2723"/>
          <w:tab w:val="left" w:pos="5243"/>
        </w:tabs>
        <w:spacing w:before="77"/>
        <w:ind w:left="564"/>
        <w:rPr>
          <w:rFonts w:cs="Times New Roman"/>
        </w:rPr>
      </w:pPr>
      <w:r>
        <w:rPr>
          <w:rFonts w:ascii="Times New Roman" w:eastAsia="Times New Roman" w:cs="Times New Roman"/>
          <w:u w:val="single"/>
        </w:rPr>
        <w:tab/>
      </w:r>
      <w:r>
        <w:rPr>
          <w:rFonts w:hint="eastAsia"/>
          <w:u w:val="single"/>
        </w:rPr>
        <w:t>（</w:t>
      </w:r>
      <w:r>
        <w:rPr>
          <w:rFonts w:hint="eastAsia"/>
        </w:rPr>
        <w:t>项目名称）</w:t>
      </w:r>
      <w:r>
        <w:rPr>
          <w:rFonts w:cs="Times New Roman"/>
          <w:u w:val="single"/>
        </w:rPr>
        <w:tab/>
      </w:r>
      <w:r>
        <w:rPr>
          <w:rFonts w:hint="eastAsia"/>
        </w:rPr>
        <w:t>标段施工招标评标委员会：</w:t>
      </w:r>
    </w:p>
    <w:p>
      <w:pPr>
        <w:pStyle w:val="12"/>
        <w:rPr>
          <w:rFonts w:cs="Times New Roman"/>
          <w:sz w:val="22"/>
          <w:szCs w:val="22"/>
        </w:rPr>
      </w:pPr>
    </w:p>
    <w:p>
      <w:pPr>
        <w:pStyle w:val="12"/>
        <w:rPr>
          <w:rFonts w:cs="Times New Roman"/>
          <w:sz w:val="22"/>
          <w:szCs w:val="22"/>
        </w:rPr>
      </w:pPr>
    </w:p>
    <w:p>
      <w:pPr>
        <w:pStyle w:val="12"/>
        <w:rPr>
          <w:rFonts w:cs="Times New Roman"/>
          <w:sz w:val="20"/>
          <w:szCs w:val="20"/>
        </w:rPr>
      </w:pPr>
    </w:p>
    <w:p>
      <w:pPr>
        <w:pStyle w:val="12"/>
        <w:tabs>
          <w:tab w:val="left" w:pos="4617"/>
        </w:tabs>
        <w:spacing w:line="376" w:lineRule="auto"/>
        <w:ind w:left="1404" w:right="1419" w:hanging="147"/>
      </w:pPr>
      <w:r>
        <w:rPr>
          <w:rFonts w:hint="eastAsia"/>
        </w:rPr>
        <w:t>问题澄清通知（编号：</w:t>
      </w:r>
      <w:r>
        <w:rPr>
          <w:rFonts w:cs="Times New Roman"/>
          <w:u w:val="single"/>
        </w:rPr>
        <w:tab/>
      </w:r>
      <w:r>
        <w:rPr>
          <w:rFonts w:hint="eastAsia"/>
        </w:rPr>
        <w:t>）已收悉，现澄清、说明如下</w:t>
      </w:r>
      <w:r>
        <w:rPr>
          <w:rFonts w:hint="eastAsia"/>
          <w:spacing w:val="-10"/>
        </w:rPr>
        <w:t>：</w:t>
      </w:r>
      <w:r>
        <w:rPr>
          <w:spacing w:val="-10"/>
        </w:rPr>
        <w:t xml:space="preserve"> </w:t>
      </w:r>
      <w:r>
        <w:t>1.</w:t>
      </w:r>
    </w:p>
    <w:p>
      <w:pPr>
        <w:pStyle w:val="12"/>
        <w:spacing w:before="15"/>
        <w:ind w:left="1404"/>
      </w:pPr>
      <w:r>
        <w:t>2.</w:t>
      </w:r>
    </w:p>
    <w:p>
      <w:pPr>
        <w:pStyle w:val="12"/>
        <w:rPr>
          <w:rFonts w:cs="Times New Roman"/>
          <w:sz w:val="20"/>
          <w:szCs w:val="20"/>
        </w:rPr>
      </w:pPr>
    </w:p>
    <w:p>
      <w:pPr>
        <w:pStyle w:val="12"/>
        <w:spacing w:before="9"/>
        <w:rPr>
          <w:rFonts w:cs="Times New Roman"/>
          <w:sz w:val="24"/>
          <w:szCs w:val="24"/>
        </w:rPr>
      </w:pPr>
    </w:p>
    <w:p>
      <w:pPr>
        <w:pStyle w:val="12"/>
        <w:ind w:left="1284"/>
      </w:pPr>
      <w:r>
        <w:t>.....</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tabs>
          <w:tab w:val="left" w:pos="3266"/>
          <w:tab w:val="left" w:pos="8759"/>
        </w:tabs>
        <w:spacing w:line="348" w:lineRule="auto"/>
        <w:ind w:left="564" w:right="568" w:firstLine="448"/>
        <w:jc w:val="both"/>
      </w:pPr>
      <w:r>
        <w:rPr>
          <w:rFonts w:hint="eastAsia"/>
        </w:rPr>
        <w:t>请将上述问题的澄清或说明于年月日时分前递交至</w:t>
      </w:r>
      <w:r>
        <w:rPr>
          <w:rFonts w:hint="eastAsia"/>
          <w:u w:val="single"/>
        </w:rPr>
        <w:t>（</w:t>
      </w:r>
      <w:r>
        <w:rPr>
          <w:rFonts w:hint="eastAsia"/>
          <w:spacing w:val="-29"/>
        </w:rPr>
        <w:t>详</w:t>
      </w:r>
      <w:r>
        <w:rPr>
          <w:rFonts w:hint="eastAsia"/>
        </w:rPr>
        <w:t>细地址</w:t>
      </w:r>
      <w:r>
        <w:rPr>
          <w:rFonts w:hint="eastAsia"/>
          <w:spacing w:val="-77"/>
        </w:rPr>
        <w:t>）</w:t>
      </w:r>
      <w:r>
        <w:rPr>
          <w:rFonts w:hint="eastAsia"/>
        </w:rPr>
        <w:t>或传真至</w:t>
      </w:r>
      <w:r>
        <w:rPr>
          <w:rFonts w:cs="Times New Roman"/>
          <w:u w:val="single"/>
        </w:rPr>
        <w:tab/>
      </w:r>
      <w:r>
        <w:rPr>
          <w:rFonts w:hint="eastAsia"/>
        </w:rPr>
        <w:t>（传真</w:t>
      </w:r>
    </w:p>
    <w:p>
      <w:pPr>
        <w:pStyle w:val="12"/>
        <w:tabs>
          <w:tab w:val="left" w:pos="3266"/>
          <w:tab w:val="left" w:pos="8759"/>
        </w:tabs>
        <w:spacing w:line="348" w:lineRule="auto"/>
        <w:ind w:left="564" w:right="568" w:firstLine="3"/>
        <w:jc w:val="both"/>
        <w:rPr>
          <w:rFonts w:cs="Times New Roman"/>
        </w:rPr>
      </w:pPr>
      <w:r>
        <w:rPr>
          <w:rFonts w:hint="eastAsia"/>
        </w:rPr>
        <w:t>号码</w:t>
      </w:r>
      <w:r>
        <w:rPr>
          <w:rFonts w:hint="eastAsia"/>
          <w:spacing w:val="-82"/>
        </w:rPr>
        <w:t>）</w:t>
      </w:r>
      <w:r>
        <w:rPr>
          <w:rFonts w:hint="eastAsia"/>
        </w:rPr>
        <w:t>或通过下载招标文件的电子招标交易平台</w:t>
      </w:r>
      <w:r>
        <w:rPr>
          <w:rFonts w:hint="eastAsia"/>
          <w:spacing w:val="-27"/>
        </w:rPr>
        <w:t>上</w:t>
      </w:r>
      <w:r>
        <w:rPr>
          <w:rFonts w:hint="eastAsia"/>
        </w:rPr>
        <w:t>传</w:t>
      </w:r>
      <w:r>
        <w:rPr>
          <w:rFonts w:hint="eastAsia"/>
          <w:spacing w:val="-209"/>
        </w:rPr>
        <w:t>。</w:t>
      </w:r>
      <w:r>
        <w:rPr>
          <w:rFonts w:hint="eastAsia"/>
        </w:rPr>
        <w:t>采用传真方式的</w:t>
      </w:r>
      <w:r>
        <w:rPr>
          <w:rFonts w:hint="eastAsia"/>
          <w:spacing w:val="-209"/>
        </w:rPr>
        <w:t>，</w:t>
      </w:r>
      <w:r>
        <w:rPr>
          <w:rFonts w:hint="eastAsia"/>
        </w:rPr>
        <w:t>应在年月日时分前将原件递交至</w:t>
      </w:r>
      <w:r>
        <w:rPr>
          <w:rFonts w:cs="Times New Roman"/>
          <w:u w:val="single"/>
        </w:rPr>
        <w:tab/>
      </w:r>
      <w:r>
        <w:rPr>
          <w:rFonts w:hint="eastAsia"/>
          <w:u w:val="single"/>
        </w:rPr>
        <w:t>（</w:t>
      </w:r>
      <w:r>
        <w:rPr>
          <w:rFonts w:hint="eastAsia"/>
          <w:spacing w:val="-18"/>
        </w:rPr>
        <w:t>详</w:t>
      </w:r>
      <w:r>
        <w:rPr>
          <w:rFonts w:hint="eastAsia"/>
        </w:rPr>
        <w:t>细地址</w:t>
      </w:r>
      <w:r>
        <w:rPr>
          <w:rFonts w:hint="eastAsia"/>
          <w:spacing w:val="-209"/>
        </w:rPr>
        <w:t>）</w:t>
      </w:r>
      <w:r>
        <w:rPr>
          <w:rFonts w:hint="eastAsia"/>
        </w:rPr>
        <w:t>。</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tabs>
          <w:tab w:val="left" w:pos="7706"/>
          <w:tab w:val="left" w:pos="9072"/>
        </w:tabs>
        <w:spacing w:before="177" w:line="362" w:lineRule="auto"/>
        <w:ind w:left="3712" w:right="2"/>
        <w:rPr>
          <w:rFonts w:cs="Times New Roman"/>
        </w:rPr>
      </w:pPr>
      <w:r>
        <w:rPr>
          <w:rFonts w:hint="eastAsia"/>
        </w:rPr>
        <w:t>投标人：</w:t>
      </w:r>
      <w:r>
        <w:rPr>
          <w:rFonts w:cs="Times New Roman"/>
        </w:rPr>
        <w:tab/>
      </w:r>
      <w:r>
        <w:rPr>
          <w:rFonts w:hint="eastAsia"/>
        </w:rPr>
        <w:t>（盖单位章）</w:t>
      </w:r>
      <w:r>
        <w:t xml:space="preserve"> </w:t>
      </w:r>
      <w:r>
        <w:rPr>
          <w:rFonts w:hint="eastAsia"/>
        </w:rPr>
        <w:t>法定代表人或其委托代理人</w:t>
      </w:r>
      <w:r>
        <w:rPr>
          <w:rFonts w:hint="eastAsia"/>
          <w:u w:val="single"/>
        </w:rPr>
        <w:t>：</w:t>
      </w:r>
      <w:r>
        <w:rPr>
          <w:rFonts w:cs="Times New Roman"/>
          <w:u w:val="single"/>
        </w:rPr>
        <w:tab/>
      </w:r>
      <w:r>
        <w:rPr>
          <w:rFonts w:cs="Times New Roman"/>
          <w:u w:val="single"/>
        </w:rPr>
        <w:tab/>
      </w:r>
      <w:r>
        <w:rPr>
          <w:rFonts w:hint="eastAsia"/>
          <w:u w:val="single"/>
        </w:rPr>
        <w:t>（</w:t>
      </w:r>
      <w:r>
        <w:rPr>
          <w:rFonts w:hint="eastAsia"/>
        </w:rPr>
        <w:t>签字</w:t>
      </w:r>
      <w:r>
        <w:rPr>
          <w:rFonts w:hint="eastAsia"/>
          <w:spacing w:val="-15"/>
        </w:rPr>
        <w:t>）</w:t>
      </w:r>
    </w:p>
    <w:p>
      <w:pPr>
        <w:pStyle w:val="12"/>
        <w:spacing w:before="11"/>
        <w:rPr>
          <w:rFonts w:cs="Times New Roman"/>
          <w:sz w:val="25"/>
          <w:szCs w:val="25"/>
        </w:rPr>
      </w:pPr>
    </w:p>
    <w:p>
      <w:pPr>
        <w:pStyle w:val="12"/>
        <w:tabs>
          <w:tab w:val="left" w:pos="6443"/>
          <w:tab w:val="left" w:pos="7163"/>
          <w:tab w:val="left" w:pos="7883"/>
        </w:tabs>
        <w:spacing w:before="70"/>
        <w:ind w:left="5484"/>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type w:val="continuous"/>
          <w:pgSz w:w="11910" w:h="16850"/>
          <w:pgMar w:top="1418" w:right="1418" w:bottom="1418" w:left="1418" w:header="851" w:footer="964" w:gutter="0"/>
          <w:cols w:space="720" w:num="1"/>
        </w:sectPr>
      </w:pPr>
    </w:p>
    <w:p>
      <w:pPr>
        <w:pStyle w:val="12"/>
        <w:rPr>
          <w:rFonts w:cs="Times New Roman"/>
          <w:sz w:val="8"/>
          <w:szCs w:val="8"/>
        </w:rPr>
      </w:pPr>
    </w:p>
    <w:p>
      <w:pPr>
        <w:pStyle w:val="10"/>
        <w:spacing w:before="66"/>
        <w:rPr>
          <w:rFonts w:cs="Times New Roman"/>
        </w:rPr>
      </w:pPr>
      <w:r>
        <w:rPr>
          <w:rFonts w:hint="eastAsia"/>
        </w:rPr>
        <w:t>附件四</w:t>
      </w:r>
      <w:r>
        <w:t xml:space="preserve"> </w:t>
      </w:r>
      <w:r>
        <w:rPr>
          <w:rFonts w:hint="eastAsia"/>
        </w:rPr>
        <w:t>中标通知书</w:t>
      </w:r>
    </w:p>
    <w:p>
      <w:pPr>
        <w:pStyle w:val="12"/>
        <w:rPr>
          <w:rFonts w:cs="Times New Roman"/>
          <w:sz w:val="20"/>
          <w:szCs w:val="20"/>
        </w:rPr>
      </w:pPr>
    </w:p>
    <w:p>
      <w:pPr>
        <w:pStyle w:val="12"/>
        <w:spacing w:before="3"/>
        <w:rPr>
          <w:rFonts w:cs="Times New Roman"/>
          <w:sz w:val="16"/>
          <w:szCs w:val="16"/>
        </w:rPr>
      </w:pPr>
    </w:p>
    <w:p>
      <w:pPr>
        <w:spacing w:before="62"/>
        <w:ind w:left="111" w:right="142"/>
        <w:jc w:val="center"/>
        <w:rPr>
          <w:rFonts w:cs="Times New Roman"/>
          <w:sz w:val="28"/>
          <w:szCs w:val="28"/>
        </w:rPr>
      </w:pPr>
      <w:r>
        <w:rPr>
          <w:rFonts w:hint="eastAsia"/>
          <w:sz w:val="28"/>
          <w:szCs w:val="28"/>
        </w:rPr>
        <w:t>中标通知书</w:t>
      </w:r>
    </w:p>
    <w:p>
      <w:pPr>
        <w:pStyle w:val="12"/>
        <w:rPr>
          <w:rFonts w:cs="Times New Roman"/>
          <w:sz w:val="20"/>
          <w:szCs w:val="20"/>
        </w:rPr>
      </w:pPr>
    </w:p>
    <w:p>
      <w:pPr>
        <w:pStyle w:val="12"/>
        <w:spacing w:before="5"/>
        <w:rPr>
          <w:rFonts w:cs="Times New Roman"/>
          <w:sz w:val="18"/>
          <w:szCs w:val="18"/>
        </w:rPr>
      </w:pPr>
    </w:p>
    <w:p>
      <w:pPr>
        <w:pStyle w:val="12"/>
        <w:tabs>
          <w:tab w:val="left" w:pos="2963"/>
        </w:tabs>
        <w:spacing w:before="76"/>
        <w:ind w:left="684"/>
        <w:rPr>
          <w:rFonts w:cs="Times New Roman"/>
        </w:rPr>
      </w:pPr>
      <w:r>
        <w:rPr>
          <w:rFonts w:ascii="Times New Roman" w:eastAsia="Times New Roman" w:cs="Times New Roman"/>
          <w:u w:val="single"/>
        </w:rPr>
        <w:tab/>
      </w:r>
      <w:r>
        <w:rPr>
          <w:rFonts w:hint="eastAsia"/>
          <w:spacing w:val="-1"/>
          <w:w w:val="99"/>
        </w:rPr>
        <w:t>（中标人名称</w:t>
      </w:r>
      <w:r>
        <w:rPr>
          <w:rFonts w:hint="eastAsia"/>
          <w:spacing w:val="-209"/>
          <w:w w:val="99"/>
        </w:rPr>
        <w:t>）</w:t>
      </w:r>
      <w:r>
        <w:rPr>
          <w:rFonts w:hint="eastAsia"/>
          <w:w w:val="99"/>
        </w:rPr>
        <w:t>：</w:t>
      </w:r>
    </w:p>
    <w:p>
      <w:pPr>
        <w:pStyle w:val="12"/>
        <w:rPr>
          <w:rFonts w:cs="Times New Roman"/>
          <w:sz w:val="22"/>
          <w:szCs w:val="22"/>
        </w:rPr>
      </w:pPr>
    </w:p>
    <w:p>
      <w:pPr>
        <w:pStyle w:val="12"/>
        <w:spacing w:before="5"/>
        <w:rPr>
          <w:rFonts w:cs="Times New Roman"/>
        </w:rPr>
      </w:pPr>
    </w:p>
    <w:p>
      <w:pPr>
        <w:pStyle w:val="12"/>
        <w:tabs>
          <w:tab w:val="left" w:pos="2822"/>
          <w:tab w:val="left" w:pos="6859"/>
          <w:tab w:val="left" w:pos="8999"/>
        </w:tabs>
        <w:spacing w:before="1" w:line="348" w:lineRule="auto"/>
        <w:ind w:left="564" w:right="640" w:firstLine="417"/>
        <w:rPr>
          <w:spacing w:val="-18"/>
        </w:rPr>
      </w:pPr>
      <w:r>
        <w:rPr>
          <w:rFonts w:hint="eastAsia"/>
        </w:rPr>
        <w:t>你方于</w:t>
      </w:r>
      <w:r>
        <w:rPr>
          <w:rFonts w:cs="Times New Roman"/>
          <w:u w:val="single"/>
        </w:rPr>
        <w:tab/>
      </w:r>
      <w:r>
        <w:rPr>
          <w:rFonts w:hint="eastAsia"/>
        </w:rPr>
        <w:t>（投标日期</w:t>
      </w:r>
      <w:r>
        <w:rPr>
          <w:rFonts w:hint="eastAsia"/>
          <w:spacing w:val="-44"/>
        </w:rPr>
        <w:t>）</w:t>
      </w:r>
      <w:r>
        <w:rPr>
          <w:rFonts w:hint="eastAsia"/>
        </w:rPr>
        <w:t>所递交的</w:t>
      </w:r>
      <w:r>
        <w:rPr>
          <w:rFonts w:cs="Times New Roman"/>
          <w:u w:val="single"/>
        </w:rPr>
        <w:tab/>
      </w:r>
      <w:r>
        <w:rPr>
          <w:rFonts w:hint="eastAsia"/>
        </w:rPr>
        <w:t>（项目名称）</w:t>
      </w:r>
      <w:r>
        <w:rPr>
          <w:rFonts w:cs="Times New Roman"/>
          <w:u w:val="single"/>
        </w:rPr>
        <w:tab/>
      </w:r>
      <w:r>
        <w:rPr>
          <w:rFonts w:hint="eastAsia"/>
          <w:spacing w:val="-18"/>
        </w:rPr>
        <w:t>标</w:t>
      </w:r>
    </w:p>
    <w:p>
      <w:pPr>
        <w:pStyle w:val="12"/>
        <w:tabs>
          <w:tab w:val="left" w:pos="2822"/>
          <w:tab w:val="left" w:pos="6859"/>
          <w:tab w:val="left" w:pos="8999"/>
        </w:tabs>
        <w:spacing w:before="1" w:line="348" w:lineRule="auto"/>
        <w:ind w:left="564" w:right="640" w:firstLine="3"/>
        <w:rPr>
          <w:rFonts w:cs="Times New Roman"/>
        </w:rPr>
      </w:pPr>
      <w:r>
        <w:rPr>
          <w:rFonts w:hint="eastAsia"/>
        </w:rPr>
        <w:t>段施工投标文件已被我方接受，被确定为中标人。</w:t>
      </w:r>
    </w:p>
    <w:p>
      <w:pPr>
        <w:pStyle w:val="12"/>
        <w:tabs>
          <w:tab w:val="left" w:pos="2483"/>
          <w:tab w:val="left" w:pos="4283"/>
        </w:tabs>
        <w:spacing w:line="362" w:lineRule="auto"/>
        <w:ind w:left="981" w:right="5146"/>
        <w:rPr>
          <w:rFonts w:cs="Times New Roman"/>
        </w:rPr>
      </w:pPr>
      <w:r>
        <w:rPr>
          <w:lang w:val="en-US"/>
        </w:rPr>
        <w:pict>
          <v:line id="直线 19" o:spid="_x0000_s1042" o:spt="20" style="position:absolute;left:0pt;margin-left:134.6pt;margin-top:31.9pt;height:0pt;width:43.6pt;mso-position-horizontal-relative:page;z-index:-1024;mso-width-relative:page;mso-height-relative:page;" coordsize="21600,21600">
            <v:path arrowok="t"/>
            <v:fill focussize="0,0"/>
            <v:stroke weight="0.48pt"/>
            <v:imagedata o:title=""/>
            <o:lock v:ext="edit"/>
          </v:line>
        </w:pict>
      </w:r>
      <w:r>
        <w:rPr>
          <w:rFonts w:hint="eastAsia"/>
        </w:rPr>
        <w:t>中标价：</w:t>
      </w:r>
      <w:r>
        <w:rPr>
          <w:rFonts w:cs="Times New Roman"/>
          <w:u w:val="single"/>
        </w:rPr>
        <w:tab/>
      </w:r>
      <w:r>
        <w:rPr>
          <w:rFonts w:cs="Times New Roman"/>
          <w:u w:val="single"/>
        </w:rPr>
        <w:tab/>
      </w:r>
      <w:r>
        <w:rPr>
          <w:rFonts w:hint="eastAsia"/>
        </w:rPr>
        <w:t>元</w:t>
      </w:r>
      <w:r>
        <w:rPr>
          <w:rFonts w:hint="eastAsia"/>
          <w:spacing w:val="-16"/>
        </w:rPr>
        <w:t>。</w:t>
      </w:r>
      <w:r>
        <w:rPr>
          <w:rFonts w:hint="eastAsia"/>
        </w:rPr>
        <w:t>工期：</w:t>
      </w:r>
      <w:r>
        <w:rPr>
          <w:rFonts w:cs="Times New Roman"/>
        </w:rPr>
        <w:tab/>
      </w:r>
      <w:r>
        <w:rPr>
          <w:rFonts w:hint="eastAsia"/>
        </w:rPr>
        <w:t>日历天。</w:t>
      </w:r>
    </w:p>
    <w:p>
      <w:pPr>
        <w:pStyle w:val="12"/>
        <w:tabs>
          <w:tab w:val="left" w:pos="5363"/>
        </w:tabs>
        <w:spacing w:line="268" w:lineRule="exact"/>
        <w:ind w:left="1044"/>
        <w:rPr>
          <w:rFonts w:cs="Times New Roman"/>
          <w:spacing w:val="-113"/>
        </w:rPr>
      </w:pPr>
      <w:r>
        <w:rPr>
          <w:lang w:val="en-US"/>
        </w:rPr>
        <w:pict>
          <v:line id="直线 20" o:spid="_x0000_s1043" o:spt="20" style="position:absolute;left:0pt;margin-left:179.6pt;margin-top:11.55pt;height:0pt;width:142.55pt;mso-position-horizontal-relative:page;z-index:1024;mso-width-relative:page;mso-height-relative:page;" coordsize="21600,21600">
            <v:path arrowok="t"/>
            <v:fill focussize="0,0"/>
            <v:stroke weight="0.48pt"/>
            <v:imagedata o:title=""/>
            <o:lock v:ext="edit"/>
          </v:line>
        </w:pict>
      </w:r>
      <w:r>
        <w:rPr>
          <w:rFonts w:hint="eastAsia"/>
        </w:rPr>
        <w:t>工程质量：符合</w:t>
      </w:r>
      <w:r>
        <w:rPr>
          <w:rFonts w:cs="Times New Roman"/>
        </w:rPr>
        <w:tab/>
      </w:r>
      <w:r>
        <w:rPr>
          <w:rFonts w:hint="eastAsia"/>
        </w:rPr>
        <w:t>标准</w:t>
      </w:r>
      <w:r>
        <w:rPr>
          <w:rFonts w:hint="eastAsia"/>
          <w:spacing w:val="-113"/>
        </w:rPr>
        <w:t>。</w:t>
      </w:r>
    </w:p>
    <w:p>
      <w:pPr>
        <w:pStyle w:val="12"/>
        <w:tabs>
          <w:tab w:val="left" w:pos="5363"/>
        </w:tabs>
        <w:spacing w:line="268" w:lineRule="exact"/>
        <w:ind w:left="1044"/>
        <w:rPr>
          <w:rFonts w:cs="Times New Roman"/>
          <w:spacing w:val="-18"/>
        </w:rPr>
      </w:pPr>
      <w:r>
        <w:rPr>
          <w:rFonts w:hint="eastAsia"/>
        </w:rPr>
        <w:t>工程安全目标：</w:t>
      </w:r>
      <w:r>
        <w:rPr>
          <w:rFonts w:cs="Times New Roman"/>
          <w:u w:val="single"/>
        </w:rPr>
        <w:tab/>
      </w:r>
      <w:r>
        <w:rPr>
          <w:rFonts w:cs="Times New Roman"/>
          <w:u w:val="single"/>
        </w:rPr>
        <w:tab/>
      </w:r>
      <w:r>
        <w:rPr>
          <w:rFonts w:hint="eastAsia"/>
          <w:spacing w:val="-18"/>
        </w:rPr>
        <w:t>。</w:t>
      </w:r>
    </w:p>
    <w:p>
      <w:pPr>
        <w:pStyle w:val="12"/>
        <w:tabs>
          <w:tab w:val="left" w:pos="5363"/>
        </w:tabs>
        <w:spacing w:line="268" w:lineRule="exact"/>
        <w:ind w:left="1044"/>
        <w:rPr>
          <w:rFonts w:cs="Times New Roman"/>
          <w:spacing w:val="-34"/>
        </w:rPr>
      </w:pPr>
      <w:r>
        <w:rPr>
          <w:rFonts w:hint="eastAsia"/>
        </w:rPr>
        <w:t>项目经理：</w:t>
      </w:r>
      <w:r>
        <w:rPr>
          <w:rFonts w:cs="Times New Roman"/>
          <w:u w:val="single"/>
        </w:rPr>
        <w:tab/>
      </w:r>
      <w:r>
        <w:rPr>
          <w:rFonts w:hint="eastAsia"/>
        </w:rPr>
        <w:t>（姓名</w:t>
      </w:r>
      <w:r>
        <w:rPr>
          <w:rFonts w:hint="eastAsia"/>
          <w:spacing w:val="-209"/>
        </w:rPr>
        <w:t>）</w:t>
      </w:r>
      <w:r>
        <w:rPr>
          <w:rFonts w:hint="eastAsia"/>
          <w:spacing w:val="-34"/>
        </w:rPr>
        <w:t>。</w:t>
      </w:r>
    </w:p>
    <w:p>
      <w:pPr>
        <w:pStyle w:val="12"/>
        <w:tabs>
          <w:tab w:val="left" w:pos="5363"/>
        </w:tabs>
        <w:spacing w:line="268" w:lineRule="exact"/>
        <w:ind w:left="1044"/>
        <w:rPr>
          <w:rFonts w:cs="Times New Roman"/>
        </w:rPr>
      </w:pPr>
      <w:r>
        <w:rPr>
          <w:rFonts w:hint="eastAsia"/>
        </w:rPr>
        <w:t>项</w:t>
      </w:r>
      <w:r>
        <w:rPr>
          <w:lang w:val="en-US"/>
        </w:rPr>
        <w:pict>
          <v:line id="直线 21" o:spid="_x0000_s1044" o:spt="20" style="position:absolute;left:0pt;margin-left:167.6pt;margin-top:15.85pt;height:0pt;width:83.95pt;mso-position-horizontal-relative:page;mso-wrap-distance-bottom:0pt;mso-wrap-distance-top:0pt;z-index:-1024;mso-width-relative:page;mso-height-relative:page;" coordsize="21600,21600">
            <v:path arrowok="t"/>
            <v:fill focussize="0,0"/>
            <v:stroke weight="0.6pt"/>
            <v:imagedata o:title=""/>
            <o:lock v:ext="edit"/>
            <w10:wrap type="topAndBottom"/>
          </v:line>
        </w:pict>
      </w:r>
      <w:r>
        <w:rPr>
          <w:lang w:val="en-US"/>
        </w:rPr>
        <w:pict>
          <v:line id="直线 22" o:spid="_x0000_s1045" o:spt="20" style="position:absolute;left:0pt;margin-left:250.25pt;margin-top:32.8pt;height:0pt;width:30pt;mso-position-horizontal-relative:page;z-index:-1024;mso-width-relative:page;mso-height-relative:page;" coordsize="21600,21600">
            <v:path arrowok="t"/>
            <v:fill focussize="0,0"/>
            <v:stroke weight="0.6pt"/>
            <v:imagedata o:title=""/>
            <o:lock v:ext="edit"/>
          </v:line>
        </w:pict>
      </w:r>
      <w:r>
        <w:rPr>
          <w:rFonts w:hint="eastAsia"/>
        </w:rPr>
        <w:t>目总工：</w:t>
      </w:r>
      <w:r>
        <w:rPr>
          <w:rFonts w:cs="Times New Roman"/>
        </w:rPr>
        <w:tab/>
      </w:r>
      <w:r>
        <w:rPr>
          <w:rFonts w:hint="eastAsia"/>
        </w:rPr>
        <w:t>（姓名</w:t>
      </w:r>
      <w:r>
        <w:rPr>
          <w:rFonts w:hint="eastAsia"/>
          <w:spacing w:val="-209"/>
        </w:rPr>
        <w:t>）</w:t>
      </w:r>
      <w:r>
        <w:rPr>
          <w:rFonts w:hint="eastAsia"/>
        </w:rPr>
        <w:t>。</w:t>
      </w:r>
    </w:p>
    <w:p>
      <w:pPr>
        <w:pStyle w:val="12"/>
        <w:tabs>
          <w:tab w:val="left" w:pos="4523"/>
          <w:tab w:val="left" w:pos="7883"/>
        </w:tabs>
        <w:spacing w:before="33" w:line="348" w:lineRule="auto"/>
        <w:ind w:left="564" w:right="2" w:firstLine="417"/>
        <w:rPr>
          <w:rFonts w:cs="Times New Roman"/>
        </w:rPr>
      </w:pPr>
      <w:r>
        <w:rPr>
          <w:rFonts w:hint="eastAsia"/>
        </w:rPr>
        <w:t>请你方在接到本通知书后的</w:t>
      </w:r>
      <w:r>
        <w:rPr>
          <w:rFonts w:cs="Times New Roman"/>
        </w:rPr>
        <w:tab/>
      </w:r>
      <w:r>
        <w:rPr>
          <w:rFonts w:hint="eastAsia"/>
        </w:rPr>
        <w:t>日内到</w:t>
      </w:r>
      <w:r>
        <w:rPr>
          <w:rFonts w:cs="Times New Roman"/>
          <w:u w:val="single"/>
        </w:rPr>
        <w:tab/>
      </w:r>
      <w:r>
        <w:rPr>
          <w:rFonts w:hint="eastAsia"/>
        </w:rPr>
        <w:t>（指定地点</w:t>
      </w:r>
      <w:r>
        <w:rPr>
          <w:rFonts w:hint="eastAsia"/>
          <w:spacing w:val="-22"/>
        </w:rPr>
        <w:t>）</w:t>
      </w:r>
      <w:r>
        <w:rPr>
          <w:rFonts w:hint="eastAsia"/>
        </w:rPr>
        <w:t>与我方签订施工承包合同</w:t>
      </w:r>
      <w:r>
        <w:rPr>
          <w:rFonts w:hint="eastAsia"/>
          <w:spacing w:val="-209"/>
        </w:rPr>
        <w:t>，</w:t>
      </w:r>
      <w:r>
        <w:rPr>
          <w:rFonts w:hint="eastAsia"/>
        </w:rPr>
        <w:t>并按招标文件第二</w:t>
      </w:r>
      <w:r>
        <w:rPr>
          <w:rFonts w:hint="eastAsia"/>
          <w:spacing w:val="-77"/>
        </w:rPr>
        <w:t>章</w:t>
      </w:r>
      <w:r>
        <w:rPr>
          <w:rFonts w:hint="eastAsia"/>
        </w:rPr>
        <w:t>“投标人须知</w:t>
      </w:r>
      <w:r>
        <w:rPr>
          <w:rFonts w:hint="eastAsia"/>
          <w:spacing w:val="-77"/>
        </w:rPr>
        <w:t>”</w:t>
      </w:r>
      <w:r>
        <w:rPr>
          <w:rFonts w:hint="eastAsia"/>
        </w:rPr>
        <w:t>第</w:t>
      </w:r>
      <w:r>
        <w:t>7.7</w:t>
      </w:r>
      <w:r>
        <w:rPr>
          <w:rFonts w:hint="eastAsia"/>
        </w:rPr>
        <w:t>款规定向我方提交履约保证金。</w:t>
      </w:r>
    </w:p>
    <w:p>
      <w:pPr>
        <w:pStyle w:val="12"/>
        <w:spacing w:line="269" w:lineRule="exact"/>
        <w:ind w:left="981"/>
        <w:rPr>
          <w:rFonts w:cs="Times New Roman"/>
        </w:rPr>
      </w:pPr>
      <w:r>
        <w:rPr>
          <w:rFonts w:hint="eastAsia"/>
        </w:rPr>
        <w:t>特此通知。</w:t>
      </w:r>
    </w:p>
    <w:p>
      <w:pPr>
        <w:pStyle w:val="12"/>
        <w:rPr>
          <w:rFonts w:cs="Times New Roman"/>
          <w:sz w:val="20"/>
          <w:szCs w:val="20"/>
        </w:rPr>
      </w:pPr>
    </w:p>
    <w:p>
      <w:pPr>
        <w:pStyle w:val="12"/>
        <w:spacing w:before="12"/>
        <w:rPr>
          <w:rFonts w:cs="Times New Roman"/>
          <w:sz w:val="23"/>
          <w:szCs w:val="23"/>
        </w:rPr>
      </w:pPr>
    </w:p>
    <w:p>
      <w:pPr>
        <w:pStyle w:val="12"/>
        <w:tabs>
          <w:tab w:val="left" w:pos="7864"/>
        </w:tabs>
        <w:spacing w:line="740" w:lineRule="atLeast"/>
        <w:ind w:left="3969" w:right="-140"/>
        <w:rPr>
          <w:rFonts w:cs="Times New Roman"/>
        </w:rPr>
      </w:pPr>
      <w:r>
        <w:rPr>
          <w:rFonts w:hint="eastAsia"/>
        </w:rPr>
        <w:t>招标人：</w:t>
      </w:r>
      <w:r>
        <w:rPr>
          <w:rFonts w:cs="Times New Roman"/>
          <w:u w:val="single"/>
        </w:rPr>
        <w:tab/>
      </w:r>
      <w:r>
        <w:rPr>
          <w:rFonts w:hint="eastAsia"/>
        </w:rPr>
        <w:t>（盖单位章</w:t>
      </w:r>
      <w:r>
        <w:rPr>
          <w:rFonts w:hint="eastAsia"/>
          <w:spacing w:val="-16"/>
        </w:rPr>
        <w:t>）</w:t>
      </w:r>
      <w:r>
        <w:rPr>
          <w:spacing w:val="-16"/>
        </w:rPr>
        <w:t xml:space="preserve"> </w:t>
      </w:r>
      <w:r>
        <w:rPr>
          <w:rFonts w:hint="eastAsia"/>
        </w:rPr>
        <w:t>招标代理机构：</w:t>
      </w:r>
      <w:r>
        <w:rPr>
          <w:rFonts w:cs="Times New Roman"/>
          <w:u w:val="single"/>
        </w:rPr>
        <w:tab/>
      </w:r>
      <w:r>
        <w:rPr>
          <w:rFonts w:hint="eastAsia"/>
        </w:rPr>
        <w:t>（盖单位章</w:t>
      </w:r>
      <w:r>
        <w:rPr>
          <w:rFonts w:hint="eastAsia"/>
          <w:spacing w:val="-16"/>
        </w:rPr>
        <w:t>）</w:t>
      </w:r>
    </w:p>
    <w:p>
      <w:pPr>
        <w:pStyle w:val="12"/>
        <w:spacing w:before="6"/>
        <w:rPr>
          <w:rFonts w:cs="Times New Roman"/>
          <w:sz w:val="15"/>
          <w:szCs w:val="15"/>
        </w:rPr>
      </w:pPr>
    </w:p>
    <w:p>
      <w:pPr>
        <w:pStyle w:val="12"/>
        <w:tabs>
          <w:tab w:val="left" w:pos="6299"/>
          <w:tab w:val="left" w:pos="7019"/>
          <w:tab w:val="left" w:pos="7739"/>
        </w:tabs>
        <w:spacing w:before="70"/>
        <w:ind w:left="5340"/>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pgSz w:w="11910" w:h="16850"/>
          <w:pgMar w:top="1418" w:right="1418" w:bottom="1418" w:left="1418" w:header="851" w:footer="964" w:gutter="0"/>
          <w:cols w:space="720" w:num="1"/>
        </w:sectPr>
      </w:pPr>
    </w:p>
    <w:p>
      <w:pPr>
        <w:pStyle w:val="12"/>
        <w:spacing w:before="5"/>
        <w:rPr>
          <w:rFonts w:cs="Times New Roman"/>
          <w:sz w:val="22"/>
          <w:szCs w:val="22"/>
        </w:rPr>
      </w:pPr>
    </w:p>
    <w:p>
      <w:pPr>
        <w:rPr>
          <w:rFonts w:cs="Times New Roman"/>
        </w:rPr>
        <w:sectPr>
          <w:pgSz w:w="11910" w:h="16850"/>
          <w:pgMar w:top="1418" w:right="1418" w:bottom="1418" w:left="1418" w:header="851" w:footer="964" w:gutter="0"/>
          <w:cols w:space="720" w:num="1"/>
        </w:sectPr>
      </w:pPr>
    </w:p>
    <w:p>
      <w:pPr>
        <w:pStyle w:val="10"/>
        <w:spacing w:before="66"/>
        <w:rPr>
          <w:rFonts w:cs="Times New Roman"/>
        </w:rPr>
      </w:pPr>
      <w:r>
        <w:rPr>
          <w:rFonts w:hint="eastAsia"/>
        </w:rPr>
        <w:t>附件五</w:t>
      </w:r>
      <w:r>
        <w:t xml:space="preserve"> </w:t>
      </w:r>
      <w:r>
        <w:rPr>
          <w:rFonts w:hint="eastAsia"/>
        </w:rPr>
        <w:t>中标结果通知书</w:t>
      </w:r>
    </w:p>
    <w:p>
      <w:pPr>
        <w:pStyle w:val="12"/>
        <w:spacing w:before="7"/>
        <w:rPr>
          <w:rFonts w:cs="Times New Roman"/>
          <w:sz w:val="35"/>
          <w:szCs w:val="35"/>
        </w:rPr>
      </w:pPr>
    </w:p>
    <w:p>
      <w:pPr>
        <w:spacing w:before="1"/>
        <w:ind w:left="564"/>
        <w:jc w:val="center"/>
        <w:rPr>
          <w:rFonts w:cs="Times New Roman"/>
          <w:sz w:val="28"/>
          <w:szCs w:val="28"/>
        </w:rPr>
      </w:pPr>
      <w:r>
        <w:rPr>
          <w:rFonts w:hint="eastAsia"/>
          <w:sz w:val="28"/>
          <w:szCs w:val="28"/>
        </w:rPr>
        <w:t>中标结果通知书</w:t>
      </w:r>
    </w:p>
    <w:p>
      <w:pPr>
        <w:rPr>
          <w:rFonts w:cs="Times New Roman"/>
          <w:sz w:val="28"/>
          <w:szCs w:val="28"/>
        </w:rPr>
        <w:sectPr>
          <w:type w:val="continuous"/>
          <w:pgSz w:w="11910" w:h="16850"/>
          <w:pgMar w:top="1418" w:right="1418" w:bottom="1418" w:left="1418" w:header="851" w:footer="964" w:gutter="0"/>
          <w:cols w:space="720" w:num="1"/>
        </w:sectPr>
      </w:pPr>
    </w:p>
    <w:p>
      <w:pPr>
        <w:pStyle w:val="12"/>
        <w:rPr>
          <w:rFonts w:cs="Times New Roman"/>
          <w:sz w:val="20"/>
          <w:szCs w:val="20"/>
        </w:rPr>
      </w:pPr>
    </w:p>
    <w:p>
      <w:pPr>
        <w:pStyle w:val="12"/>
        <w:spacing w:before="4"/>
        <w:rPr>
          <w:rFonts w:cs="Times New Roman"/>
          <w:sz w:val="18"/>
          <w:szCs w:val="18"/>
        </w:rPr>
      </w:pPr>
    </w:p>
    <w:p>
      <w:pPr>
        <w:pStyle w:val="12"/>
        <w:tabs>
          <w:tab w:val="left" w:pos="2843"/>
        </w:tabs>
        <w:spacing w:before="77"/>
        <w:ind w:left="684"/>
        <w:rPr>
          <w:rFonts w:cs="Times New Roman"/>
        </w:rPr>
      </w:pPr>
      <w:r>
        <w:rPr>
          <w:rFonts w:ascii="Times New Roman" w:eastAsia="Times New Roman" w:cs="Times New Roman"/>
          <w:u w:val="single"/>
        </w:rPr>
        <w:tab/>
      </w:r>
      <w:r>
        <w:rPr>
          <w:rFonts w:hint="eastAsia"/>
          <w:spacing w:val="-1"/>
          <w:w w:val="99"/>
        </w:rPr>
        <w:t>（未中标人名称</w:t>
      </w:r>
      <w:r>
        <w:rPr>
          <w:rFonts w:hint="eastAsia"/>
          <w:spacing w:val="-209"/>
          <w:w w:val="99"/>
        </w:rPr>
        <w:t>）</w:t>
      </w:r>
      <w:r>
        <w:rPr>
          <w:rFonts w:hint="eastAsia"/>
          <w:w w:val="99"/>
        </w:rPr>
        <w:t>：</w:t>
      </w:r>
    </w:p>
    <w:p>
      <w:pPr>
        <w:pStyle w:val="12"/>
        <w:rPr>
          <w:rFonts w:cs="Times New Roman"/>
          <w:sz w:val="22"/>
          <w:szCs w:val="22"/>
        </w:rPr>
      </w:pPr>
    </w:p>
    <w:p>
      <w:pPr>
        <w:pStyle w:val="12"/>
        <w:spacing w:before="8"/>
        <w:rPr>
          <w:rFonts w:cs="Times New Roman"/>
        </w:rPr>
      </w:pPr>
    </w:p>
    <w:p>
      <w:pPr>
        <w:pStyle w:val="12"/>
        <w:tabs>
          <w:tab w:val="left" w:pos="6945"/>
        </w:tabs>
        <w:spacing w:line="348" w:lineRule="auto"/>
        <w:ind w:left="564" w:right="2" w:firstLine="417"/>
        <w:rPr>
          <w:rFonts w:cs="Times New Roman"/>
        </w:rPr>
      </w:pPr>
      <w:r>
        <w:rPr>
          <w:rFonts w:hint="eastAsia"/>
        </w:rPr>
        <w:t>我方已接受（中标人名称</w:t>
      </w:r>
      <w:r>
        <w:rPr>
          <w:rFonts w:hint="eastAsia"/>
          <w:spacing w:val="-44"/>
        </w:rPr>
        <w:t>）</w:t>
      </w:r>
      <w:r>
        <w:rPr>
          <w:rFonts w:hint="eastAsia"/>
        </w:rPr>
        <w:t>于（投标日期</w:t>
      </w:r>
      <w:r>
        <w:rPr>
          <w:rFonts w:hint="eastAsia"/>
          <w:spacing w:val="-41"/>
        </w:rPr>
        <w:t>）</w:t>
      </w:r>
      <w:r>
        <w:rPr>
          <w:rFonts w:hint="eastAsia"/>
          <w:spacing w:val="-32"/>
        </w:rPr>
        <w:t>所</w:t>
      </w:r>
      <w:r>
        <w:rPr>
          <w:rFonts w:hint="eastAsia"/>
        </w:rPr>
        <w:t>递交的</w:t>
      </w:r>
      <w:r>
        <w:rPr>
          <w:rFonts w:cs="Times New Roman"/>
          <w:u w:val="single"/>
        </w:rPr>
        <w:tab/>
      </w:r>
      <w:r>
        <w:rPr>
          <w:rFonts w:hint="eastAsia"/>
          <w:u w:val="single"/>
        </w:rPr>
        <w:t>（</w:t>
      </w:r>
      <w:r>
        <w:rPr>
          <w:rFonts w:hint="eastAsia"/>
        </w:rPr>
        <w:t>项目名称</w:t>
      </w:r>
      <w:r>
        <w:rPr>
          <w:rFonts w:hint="eastAsia"/>
          <w:spacing w:val="-15"/>
        </w:rPr>
        <w:t>）</w:t>
      </w:r>
      <w:r>
        <w:rPr>
          <w:rFonts w:hint="eastAsia"/>
          <w:spacing w:val="-15"/>
          <w:u w:val="single"/>
        </w:rPr>
        <w:t xml:space="preserve">     </w:t>
      </w:r>
      <w:r>
        <w:rPr>
          <w:spacing w:val="-15"/>
        </w:rPr>
        <w:t xml:space="preserve"> </w:t>
      </w:r>
      <w:r>
        <w:rPr>
          <w:rFonts w:hint="eastAsia"/>
        </w:rPr>
        <w:t>标段施工投标文件</w:t>
      </w:r>
      <w:r>
        <w:rPr>
          <w:rFonts w:hint="eastAsia"/>
          <w:spacing w:val="-164"/>
        </w:rPr>
        <w:t>，</w:t>
      </w:r>
      <w:r>
        <w:rPr>
          <w:rFonts w:hint="eastAsia"/>
        </w:rPr>
        <w:t>确定</w:t>
      </w:r>
      <w:r>
        <w:rPr>
          <w:rFonts w:cs="Times New Roman"/>
          <w:u w:val="single"/>
        </w:rPr>
        <w:tab/>
      </w:r>
      <w:r>
        <w:rPr>
          <w:rFonts w:hint="eastAsia"/>
          <w:spacing w:val="4"/>
        </w:rPr>
        <w:t>（</w:t>
      </w:r>
      <w:r>
        <w:rPr>
          <w:rFonts w:hint="eastAsia"/>
          <w:spacing w:val="-32"/>
        </w:rPr>
        <w:t>中</w:t>
      </w:r>
      <w:r>
        <w:rPr>
          <w:rFonts w:hint="eastAsia"/>
          <w:spacing w:val="4"/>
        </w:rPr>
        <w:t>标</w:t>
      </w:r>
      <w:r>
        <w:rPr>
          <w:rFonts w:hint="eastAsia"/>
        </w:rPr>
        <w:t>人</w:t>
      </w:r>
      <w:r>
        <w:rPr>
          <w:rFonts w:hint="eastAsia"/>
          <w:spacing w:val="4"/>
        </w:rPr>
        <w:t>名称</w:t>
      </w:r>
      <w:r>
        <w:rPr>
          <w:rFonts w:hint="eastAsia"/>
        </w:rPr>
        <w:t>）</w:t>
      </w:r>
      <w:r>
        <w:rPr>
          <w:rFonts w:hint="eastAsia"/>
          <w:spacing w:val="-12"/>
        </w:rPr>
        <w:t>为</w:t>
      </w:r>
      <w:r>
        <w:rPr>
          <w:rFonts w:hint="eastAsia"/>
        </w:rPr>
        <w:t>中标人。</w:t>
      </w:r>
    </w:p>
    <w:p>
      <w:pPr>
        <w:pStyle w:val="12"/>
        <w:rPr>
          <w:rFonts w:cs="Times New Roman"/>
          <w:sz w:val="20"/>
          <w:szCs w:val="20"/>
        </w:rPr>
      </w:pPr>
    </w:p>
    <w:p>
      <w:pPr>
        <w:pStyle w:val="12"/>
        <w:spacing w:before="145"/>
        <w:ind w:left="984"/>
        <w:rPr>
          <w:rFonts w:cs="Times New Roman"/>
        </w:rPr>
      </w:pPr>
      <w:r>
        <w:rPr>
          <w:rFonts w:hint="eastAsia"/>
        </w:rPr>
        <w:t>感谢你单位对招标项目的参与！</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12"/>
        <w:rPr>
          <w:rFonts w:cs="Times New Roman"/>
          <w:sz w:val="26"/>
          <w:szCs w:val="26"/>
        </w:rPr>
      </w:pPr>
    </w:p>
    <w:p>
      <w:pPr>
        <w:pStyle w:val="12"/>
        <w:tabs>
          <w:tab w:val="left" w:pos="7864"/>
        </w:tabs>
        <w:spacing w:line="475" w:lineRule="auto"/>
        <w:ind w:left="4264" w:right="-140"/>
        <w:rPr>
          <w:rFonts w:cs="Times New Roman"/>
        </w:rPr>
      </w:pPr>
      <w:r>
        <w:rPr>
          <w:rFonts w:hint="eastAsia"/>
        </w:rPr>
        <w:t>招标人：</w:t>
      </w:r>
      <w:r>
        <w:rPr>
          <w:rFonts w:cs="Times New Roman"/>
          <w:u w:val="single"/>
        </w:rPr>
        <w:tab/>
      </w:r>
      <w:r>
        <w:rPr>
          <w:rFonts w:hint="eastAsia"/>
        </w:rPr>
        <w:t>（盖单位章</w:t>
      </w:r>
      <w:r>
        <w:rPr>
          <w:rFonts w:hint="eastAsia"/>
          <w:spacing w:val="-16"/>
        </w:rPr>
        <w:t>）</w:t>
      </w:r>
      <w:r>
        <w:rPr>
          <w:spacing w:val="-16"/>
        </w:rPr>
        <w:t xml:space="preserve"> </w:t>
      </w:r>
      <w:r>
        <w:rPr>
          <w:rFonts w:hint="eastAsia"/>
        </w:rPr>
        <w:t>招标代理机构：</w:t>
      </w:r>
      <w:r>
        <w:rPr>
          <w:rFonts w:cs="Times New Roman"/>
          <w:u w:val="single"/>
        </w:rPr>
        <w:tab/>
      </w:r>
      <w:r>
        <w:rPr>
          <w:rFonts w:hint="eastAsia"/>
        </w:rPr>
        <w:t>（盖单位章</w:t>
      </w:r>
      <w:r>
        <w:rPr>
          <w:rFonts w:hint="eastAsia"/>
          <w:spacing w:val="-16"/>
        </w:rPr>
        <w:t>）</w:t>
      </w:r>
    </w:p>
    <w:p>
      <w:pPr>
        <w:pStyle w:val="12"/>
        <w:tabs>
          <w:tab w:val="left" w:pos="6563"/>
          <w:tab w:val="left" w:pos="7283"/>
          <w:tab w:val="left" w:pos="8003"/>
        </w:tabs>
        <w:ind w:left="5604"/>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type w:val="continuous"/>
          <w:pgSz w:w="11910" w:h="16850"/>
          <w:pgMar w:top="1418" w:right="1418" w:bottom="1418" w:left="1418" w:header="851" w:footer="964" w:gutter="0"/>
          <w:cols w:space="720" w:num="1"/>
        </w:sectPr>
      </w:pPr>
    </w:p>
    <w:p>
      <w:pPr>
        <w:pStyle w:val="12"/>
        <w:rPr>
          <w:rFonts w:cs="Times New Roman"/>
          <w:sz w:val="8"/>
          <w:szCs w:val="8"/>
        </w:rPr>
      </w:pPr>
    </w:p>
    <w:p>
      <w:pPr>
        <w:rPr>
          <w:rFonts w:cs="Times New Roman"/>
          <w:sz w:val="8"/>
          <w:szCs w:val="8"/>
        </w:rPr>
        <w:sectPr>
          <w:pgSz w:w="11910" w:h="16850"/>
          <w:pgMar w:top="1418" w:right="1418" w:bottom="1418" w:left="1418" w:header="851" w:footer="964" w:gutter="0"/>
          <w:cols w:space="720" w:num="1"/>
        </w:sectPr>
      </w:pPr>
    </w:p>
    <w:p>
      <w:pPr>
        <w:pStyle w:val="10"/>
        <w:spacing w:before="66"/>
        <w:rPr>
          <w:rFonts w:cs="Times New Roman"/>
        </w:rPr>
      </w:pPr>
      <w:r>
        <w:rPr>
          <w:rFonts w:hint="eastAsia"/>
        </w:rPr>
        <w:t>附件六</w:t>
      </w:r>
      <w:r>
        <w:t xml:space="preserve"> </w:t>
      </w:r>
      <w:r>
        <w:rPr>
          <w:rFonts w:hint="eastAsia"/>
        </w:rPr>
        <w:t>确认通知</w:t>
      </w:r>
    </w:p>
    <w:p>
      <w:pPr>
        <w:pStyle w:val="12"/>
        <w:spacing w:before="7"/>
        <w:rPr>
          <w:rFonts w:cs="Times New Roman"/>
          <w:sz w:val="35"/>
          <w:szCs w:val="35"/>
        </w:rPr>
      </w:pPr>
    </w:p>
    <w:p>
      <w:pPr>
        <w:ind w:left="563"/>
        <w:jc w:val="center"/>
        <w:rPr>
          <w:rFonts w:cs="Times New Roman"/>
          <w:sz w:val="28"/>
          <w:szCs w:val="28"/>
        </w:rPr>
      </w:pPr>
      <w:r>
        <w:rPr>
          <w:rFonts w:hint="eastAsia"/>
          <w:sz w:val="28"/>
          <w:szCs w:val="28"/>
        </w:rPr>
        <w:t>确</w:t>
      </w:r>
      <w:r>
        <w:rPr>
          <w:sz w:val="28"/>
          <w:szCs w:val="28"/>
        </w:rPr>
        <w:t xml:space="preserve"> </w:t>
      </w:r>
      <w:r>
        <w:rPr>
          <w:rFonts w:hint="eastAsia"/>
          <w:sz w:val="28"/>
          <w:szCs w:val="28"/>
        </w:rPr>
        <w:t>认</w:t>
      </w:r>
      <w:r>
        <w:rPr>
          <w:sz w:val="28"/>
          <w:szCs w:val="28"/>
        </w:rPr>
        <w:t xml:space="preserve"> </w:t>
      </w:r>
      <w:r>
        <w:rPr>
          <w:rFonts w:hint="eastAsia"/>
          <w:sz w:val="28"/>
          <w:szCs w:val="28"/>
        </w:rPr>
        <w:t>通</w:t>
      </w:r>
      <w:r>
        <w:rPr>
          <w:sz w:val="28"/>
          <w:szCs w:val="28"/>
        </w:rPr>
        <w:t xml:space="preserve"> </w:t>
      </w:r>
      <w:r>
        <w:rPr>
          <w:rFonts w:hint="eastAsia"/>
          <w:sz w:val="28"/>
          <w:szCs w:val="28"/>
        </w:rPr>
        <w:t>知</w:t>
      </w:r>
    </w:p>
    <w:p>
      <w:pPr>
        <w:rPr>
          <w:rFonts w:cs="Times New Roman"/>
          <w:sz w:val="28"/>
          <w:szCs w:val="28"/>
        </w:rPr>
        <w:sectPr>
          <w:type w:val="continuous"/>
          <w:pgSz w:w="11910" w:h="16850"/>
          <w:pgMar w:top="1418" w:right="1418" w:bottom="1418" w:left="1418" w:header="851" w:footer="964" w:gutter="0"/>
          <w:cols w:space="720" w:num="1"/>
        </w:sectPr>
      </w:pPr>
    </w:p>
    <w:p>
      <w:pPr>
        <w:pStyle w:val="12"/>
        <w:rPr>
          <w:rFonts w:cs="Times New Roman"/>
          <w:sz w:val="20"/>
          <w:szCs w:val="20"/>
        </w:rPr>
      </w:pPr>
    </w:p>
    <w:p>
      <w:pPr>
        <w:pStyle w:val="12"/>
        <w:spacing w:before="5"/>
        <w:rPr>
          <w:rFonts w:cs="Times New Roman"/>
          <w:sz w:val="18"/>
          <w:szCs w:val="18"/>
        </w:rPr>
      </w:pPr>
    </w:p>
    <w:p>
      <w:pPr>
        <w:pStyle w:val="12"/>
        <w:tabs>
          <w:tab w:val="left" w:pos="2003"/>
        </w:tabs>
        <w:spacing w:before="76"/>
        <w:ind w:left="564"/>
        <w:rPr>
          <w:rFonts w:cs="Times New Roman"/>
        </w:rPr>
      </w:pPr>
      <w:r>
        <w:rPr>
          <w:rFonts w:ascii="Times New Roman" w:eastAsia="Times New Roman" w:cs="Times New Roman"/>
          <w:u w:val="single"/>
        </w:rPr>
        <w:tab/>
      </w:r>
      <w:r>
        <w:rPr>
          <w:rFonts w:hint="eastAsia"/>
          <w:spacing w:val="-1"/>
          <w:w w:val="99"/>
        </w:rPr>
        <w:t>（招标人名称</w:t>
      </w:r>
      <w:r>
        <w:rPr>
          <w:rFonts w:hint="eastAsia"/>
          <w:spacing w:val="-209"/>
          <w:w w:val="99"/>
        </w:rPr>
        <w:t>）</w:t>
      </w:r>
      <w:r>
        <w:rPr>
          <w:rFonts w:hint="eastAsia"/>
          <w:w w:val="99"/>
        </w:rPr>
        <w:t>：</w:t>
      </w:r>
    </w:p>
    <w:p>
      <w:pPr>
        <w:pStyle w:val="12"/>
        <w:rPr>
          <w:rFonts w:cs="Times New Roman"/>
          <w:sz w:val="22"/>
          <w:szCs w:val="22"/>
        </w:rPr>
      </w:pPr>
    </w:p>
    <w:p>
      <w:pPr>
        <w:pStyle w:val="12"/>
        <w:rPr>
          <w:rFonts w:cs="Times New Roman"/>
          <w:sz w:val="22"/>
          <w:szCs w:val="22"/>
        </w:rPr>
      </w:pPr>
    </w:p>
    <w:p>
      <w:pPr>
        <w:pStyle w:val="12"/>
        <w:spacing w:before="8"/>
        <w:rPr>
          <w:rFonts w:cs="Times New Roman"/>
          <w:sz w:val="20"/>
          <w:szCs w:val="20"/>
        </w:rPr>
      </w:pPr>
    </w:p>
    <w:p>
      <w:pPr>
        <w:pStyle w:val="12"/>
        <w:tabs>
          <w:tab w:val="left" w:pos="2611"/>
          <w:tab w:val="left" w:pos="5059"/>
          <w:tab w:val="left" w:pos="6950"/>
          <w:tab w:val="left" w:pos="7528"/>
        </w:tabs>
        <w:spacing w:line="427" w:lineRule="auto"/>
        <w:ind w:left="564" w:right="2" w:firstLine="417"/>
        <w:rPr>
          <w:rFonts w:cs="Times New Roman"/>
        </w:rPr>
      </w:pPr>
      <w:r>
        <w:rPr>
          <w:rFonts w:hint="eastAsia"/>
        </w:rPr>
        <w:t>你方于</w:t>
      </w:r>
      <w:r>
        <w:rPr>
          <w:rFonts w:cs="Times New Roman"/>
          <w:u w:val="single"/>
        </w:rPr>
        <w:tab/>
      </w:r>
      <w:r>
        <w:rPr>
          <w:rFonts w:hint="eastAsia"/>
        </w:rPr>
        <w:t>年月日</w:t>
      </w:r>
      <w:r>
        <w:t xml:space="preserve"> </w:t>
      </w:r>
      <w:r>
        <w:rPr>
          <w:rFonts w:hint="eastAsia"/>
        </w:rPr>
        <w:t>发出的</w:t>
      </w:r>
      <w:r>
        <w:rPr>
          <w:rFonts w:cs="Times New Roman"/>
          <w:u w:val="single"/>
        </w:rPr>
        <w:tab/>
      </w:r>
      <w:r>
        <w:rPr>
          <w:rFonts w:cs="Times New Roman"/>
          <w:u w:val="single"/>
        </w:rPr>
        <w:tab/>
      </w:r>
      <w:r>
        <w:rPr>
          <w:rFonts w:hint="eastAsia"/>
          <w:spacing w:val="9"/>
        </w:rPr>
        <w:t>（</w:t>
      </w:r>
      <w:r>
        <w:rPr>
          <w:rFonts w:hint="eastAsia"/>
          <w:spacing w:val="7"/>
        </w:rPr>
        <w:t>项</w:t>
      </w:r>
      <w:r>
        <w:rPr>
          <w:rFonts w:hint="eastAsia"/>
          <w:spacing w:val="9"/>
        </w:rPr>
        <w:t>目</w:t>
      </w:r>
      <w:r>
        <w:rPr>
          <w:rFonts w:hint="eastAsia"/>
          <w:spacing w:val="7"/>
        </w:rPr>
        <w:t>名</w:t>
      </w:r>
      <w:r>
        <w:rPr>
          <w:rFonts w:hint="eastAsia"/>
          <w:spacing w:val="9"/>
        </w:rPr>
        <w:t>称）</w:t>
      </w:r>
      <w:r>
        <w:rPr>
          <w:rFonts w:hint="eastAsia"/>
          <w:spacing w:val="9"/>
          <w:u w:val="single"/>
        </w:rPr>
        <w:t xml:space="preserve">  </w:t>
      </w:r>
      <w:r>
        <w:rPr>
          <w:rFonts w:hint="eastAsia"/>
          <w:spacing w:val="7"/>
          <w:u w:val="single"/>
        </w:rPr>
        <w:t xml:space="preserve">  </w:t>
      </w:r>
      <w:r>
        <w:rPr>
          <w:rFonts w:hint="eastAsia"/>
          <w:spacing w:val="7"/>
        </w:rPr>
        <w:t>标</w:t>
      </w:r>
      <w:r>
        <w:rPr>
          <w:rFonts w:hint="eastAsia"/>
          <w:spacing w:val="11"/>
        </w:rPr>
        <w:t>段施</w:t>
      </w:r>
      <w:r>
        <w:rPr>
          <w:rFonts w:hint="eastAsia"/>
        </w:rPr>
        <w:t>工</w:t>
      </w:r>
      <w:r>
        <w:rPr>
          <w:rFonts w:hint="eastAsia"/>
          <w:spacing w:val="4"/>
          <w:w w:val="99"/>
        </w:rPr>
        <w:t>招标</w:t>
      </w:r>
      <w:r>
        <w:rPr>
          <w:rFonts w:hint="eastAsia"/>
          <w:spacing w:val="7"/>
          <w:w w:val="99"/>
        </w:rPr>
        <w:t>关</w:t>
      </w:r>
      <w:r>
        <w:rPr>
          <w:rFonts w:hint="eastAsia"/>
          <w:spacing w:val="4"/>
          <w:w w:val="99"/>
        </w:rPr>
        <w:t>于招标</w:t>
      </w:r>
      <w:r>
        <w:rPr>
          <w:rFonts w:hint="eastAsia"/>
          <w:spacing w:val="-1"/>
          <w:w w:val="99"/>
        </w:rPr>
        <w:t>文</w:t>
      </w:r>
      <w:r>
        <w:rPr>
          <w:rFonts w:hint="eastAsia"/>
          <w:spacing w:val="4"/>
          <w:w w:val="99"/>
        </w:rPr>
        <w:t>件</w:t>
      </w:r>
      <w:r>
        <w:rPr>
          <w:rFonts w:hint="eastAsia"/>
          <w:spacing w:val="7"/>
          <w:w w:val="99"/>
        </w:rPr>
        <w:t>澄清</w:t>
      </w:r>
      <w:r>
        <w:rPr>
          <w:spacing w:val="1"/>
          <w:w w:val="99"/>
        </w:rPr>
        <w:t>/</w:t>
      </w:r>
      <w:r>
        <w:rPr>
          <w:rFonts w:hint="eastAsia"/>
          <w:spacing w:val="4"/>
          <w:w w:val="99"/>
        </w:rPr>
        <w:t>修改</w:t>
      </w:r>
      <w:r>
        <w:rPr>
          <w:rFonts w:hint="eastAsia"/>
          <w:spacing w:val="7"/>
          <w:w w:val="99"/>
        </w:rPr>
        <w:t>的</w:t>
      </w:r>
      <w:r>
        <w:rPr>
          <w:rFonts w:hint="eastAsia"/>
          <w:spacing w:val="4"/>
          <w:w w:val="99"/>
        </w:rPr>
        <w:t>通</w:t>
      </w:r>
      <w:r>
        <w:rPr>
          <w:rFonts w:hint="eastAsia"/>
          <w:spacing w:val="-94"/>
          <w:w w:val="99"/>
        </w:rPr>
        <w:t>知</w:t>
      </w:r>
      <w:r>
        <w:rPr>
          <w:rFonts w:hint="eastAsia"/>
          <w:spacing w:val="-1"/>
          <w:w w:val="99"/>
        </w:rPr>
        <w:t>（</w:t>
      </w:r>
      <w:r>
        <w:rPr>
          <w:rFonts w:hint="eastAsia"/>
          <w:spacing w:val="4"/>
          <w:w w:val="99"/>
        </w:rPr>
        <w:t>第</w:t>
      </w:r>
      <w:r>
        <w:rPr>
          <w:rFonts w:ascii="Times New Roman" w:eastAsia="Times New Roman" w:cs="Times New Roman"/>
          <w:u w:val="single"/>
        </w:rPr>
        <w:tab/>
      </w:r>
      <w:r>
        <w:rPr>
          <w:rFonts w:hint="eastAsia"/>
          <w:spacing w:val="4"/>
          <w:w w:val="99"/>
        </w:rPr>
        <w:t>号</w:t>
      </w:r>
      <w:r>
        <w:rPr>
          <w:rFonts w:hint="eastAsia"/>
          <w:spacing w:val="7"/>
          <w:w w:val="99"/>
        </w:rPr>
        <w:t>补</w:t>
      </w:r>
      <w:r>
        <w:rPr>
          <w:rFonts w:hint="eastAsia"/>
          <w:spacing w:val="4"/>
          <w:w w:val="99"/>
        </w:rPr>
        <w:t>遗书</w:t>
      </w:r>
      <w:r>
        <w:rPr>
          <w:rFonts w:hint="eastAsia"/>
          <w:spacing w:val="-97"/>
          <w:w w:val="99"/>
        </w:rPr>
        <w:t>，</w:t>
      </w:r>
      <w:r>
        <w:rPr>
          <w:rFonts w:hint="eastAsia"/>
          <w:spacing w:val="4"/>
          <w:w w:val="99"/>
        </w:rPr>
        <w:t>正</w:t>
      </w:r>
      <w:r>
        <w:rPr>
          <w:rFonts w:hint="eastAsia"/>
          <w:spacing w:val="-1"/>
          <w:w w:val="99"/>
        </w:rPr>
        <w:t>文</w:t>
      </w:r>
      <w:r>
        <w:rPr>
          <w:rFonts w:hint="eastAsia"/>
          <w:spacing w:val="8"/>
          <w:w w:val="99"/>
        </w:rPr>
        <w:t>共</w:t>
      </w:r>
      <w:r>
        <w:rPr>
          <w:rFonts w:ascii="Times New Roman" w:eastAsia="Times New Roman" w:cs="Times New Roman"/>
          <w:u w:val="single"/>
        </w:rPr>
        <w:tab/>
      </w:r>
      <w:r>
        <w:rPr>
          <w:rFonts w:ascii="Times New Roman" w:eastAsia="Times New Roman" w:cs="Times New Roman"/>
          <w:u w:val="single"/>
        </w:rPr>
        <w:tab/>
      </w:r>
      <w:r>
        <w:rPr>
          <w:rFonts w:hint="eastAsia"/>
          <w:spacing w:val="4"/>
          <w:w w:val="99"/>
        </w:rPr>
        <w:t>页</w:t>
      </w:r>
      <w:r>
        <w:rPr>
          <w:rFonts w:hint="eastAsia"/>
          <w:spacing w:val="-209"/>
          <w:w w:val="99"/>
        </w:rPr>
        <w:t>，</w:t>
      </w:r>
      <w:r>
        <w:rPr>
          <w:rFonts w:hint="eastAsia"/>
          <w:spacing w:val="-99"/>
          <w:w w:val="99"/>
        </w:rPr>
        <w:t>）</w:t>
      </w:r>
      <w:r>
        <w:rPr>
          <w:rFonts w:hint="eastAsia"/>
          <w:spacing w:val="4"/>
          <w:w w:val="99"/>
        </w:rPr>
        <w:t>我</w:t>
      </w:r>
      <w:r>
        <w:rPr>
          <w:rFonts w:hint="eastAsia"/>
          <w:spacing w:val="2"/>
          <w:w w:val="99"/>
        </w:rPr>
        <w:t>方</w:t>
      </w:r>
      <w:r>
        <w:rPr>
          <w:rFonts w:hint="eastAsia"/>
          <w:spacing w:val="-1"/>
          <w:w w:val="99"/>
        </w:rPr>
        <w:t>已</w:t>
      </w:r>
      <w:r>
        <w:rPr>
          <w:rFonts w:hint="eastAsia"/>
          <w:spacing w:val="1"/>
          <w:w w:val="99"/>
        </w:rPr>
        <w:t>于</w:t>
      </w:r>
      <w:r>
        <w:rPr>
          <w:rFonts w:hint="eastAsia"/>
          <w:spacing w:val="9"/>
          <w:u w:val="single"/>
        </w:rPr>
        <w:t xml:space="preserve"> </w:t>
      </w:r>
      <w:r>
        <w:rPr>
          <w:rFonts w:hint="eastAsia"/>
          <w:spacing w:val="7"/>
          <w:u w:val="single"/>
        </w:rPr>
        <w:t xml:space="preserve"> </w:t>
      </w:r>
      <w:r>
        <w:rPr>
          <w:rFonts w:hint="eastAsia"/>
          <w:spacing w:val="-14"/>
          <w:w w:val="99"/>
        </w:rPr>
        <w:t>年</w:t>
      </w:r>
      <w:r>
        <w:rPr>
          <w:rFonts w:hint="eastAsia"/>
          <w:spacing w:val="9"/>
          <w:u w:val="single"/>
        </w:rPr>
        <w:t xml:space="preserve"> </w:t>
      </w:r>
      <w:r>
        <w:rPr>
          <w:rFonts w:hint="eastAsia"/>
          <w:spacing w:val="7"/>
          <w:u w:val="single"/>
        </w:rPr>
        <w:t xml:space="preserve"> </w:t>
      </w:r>
      <w:r>
        <w:rPr>
          <w:rFonts w:hint="eastAsia"/>
        </w:rPr>
        <w:t>月</w:t>
      </w:r>
      <w:r>
        <w:rPr>
          <w:rFonts w:hint="eastAsia"/>
          <w:spacing w:val="9"/>
          <w:u w:val="single"/>
        </w:rPr>
        <w:t xml:space="preserve"> </w:t>
      </w:r>
      <w:r>
        <w:rPr>
          <w:rFonts w:hint="eastAsia"/>
          <w:spacing w:val="7"/>
          <w:u w:val="single"/>
        </w:rPr>
        <w:t xml:space="preserve"> </w:t>
      </w:r>
      <w:r>
        <w:rPr>
          <w:rFonts w:hint="eastAsia"/>
        </w:rPr>
        <w:t>日收到。</w:t>
      </w:r>
    </w:p>
    <w:p>
      <w:pPr>
        <w:pStyle w:val="12"/>
        <w:spacing w:before="32"/>
        <w:ind w:left="984"/>
        <w:rPr>
          <w:rFonts w:cs="Times New Roman"/>
        </w:rPr>
      </w:pPr>
      <w:r>
        <w:rPr>
          <w:rFonts w:hint="eastAsia"/>
        </w:rPr>
        <w:t>特此确认。</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7"/>
        <w:rPr>
          <w:rFonts w:cs="Times New Roman"/>
          <w:sz w:val="26"/>
          <w:szCs w:val="26"/>
        </w:rPr>
      </w:pPr>
    </w:p>
    <w:p>
      <w:pPr>
        <w:pStyle w:val="12"/>
        <w:tabs>
          <w:tab w:val="left" w:pos="7763"/>
        </w:tabs>
        <w:ind w:left="4164"/>
        <w:rPr>
          <w:rFonts w:cs="Times New Roman"/>
        </w:rPr>
      </w:pPr>
      <w:r>
        <w:rPr>
          <w:rFonts w:hint="eastAsia"/>
        </w:rPr>
        <w:t>投标人：</w:t>
      </w:r>
      <w:r>
        <w:rPr>
          <w:rFonts w:cs="Times New Roman"/>
          <w:u w:val="single"/>
        </w:rPr>
        <w:tab/>
      </w:r>
      <w:r>
        <w:rPr>
          <w:rFonts w:hint="eastAsia"/>
        </w:rPr>
        <w:t>（盖单位章）</w:t>
      </w:r>
    </w:p>
    <w:p>
      <w:pPr>
        <w:pStyle w:val="12"/>
        <w:rPr>
          <w:rFonts w:cs="Times New Roman"/>
          <w:sz w:val="20"/>
          <w:szCs w:val="20"/>
        </w:rPr>
      </w:pPr>
    </w:p>
    <w:p>
      <w:pPr>
        <w:pStyle w:val="12"/>
        <w:spacing w:before="3"/>
        <w:rPr>
          <w:rFonts w:cs="Times New Roman"/>
          <w:sz w:val="23"/>
          <w:szCs w:val="23"/>
        </w:rPr>
      </w:pPr>
    </w:p>
    <w:p>
      <w:pPr>
        <w:pStyle w:val="12"/>
        <w:tabs>
          <w:tab w:val="left" w:pos="6083"/>
          <w:tab w:val="left" w:pos="6803"/>
          <w:tab w:val="left" w:pos="7523"/>
        </w:tabs>
        <w:spacing w:before="70"/>
        <w:ind w:left="5124"/>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type w:val="continuous"/>
          <w:pgSz w:w="11910" w:h="16850"/>
          <w:pgMar w:top="1418" w:right="1418" w:bottom="1418" w:left="1418" w:header="851" w:footer="964" w:gutter="0"/>
          <w:cols w:space="720" w:num="1"/>
        </w:sectPr>
      </w:pPr>
    </w:p>
    <w:p>
      <w:pPr>
        <w:pStyle w:val="4"/>
        <w:tabs>
          <w:tab w:val="left" w:pos="1487"/>
        </w:tabs>
        <w:spacing w:before="19"/>
        <w:ind w:left="42" w:right="0"/>
        <w:rPr>
          <w:rFonts w:cs="Times New Roman"/>
        </w:rPr>
      </w:pPr>
      <w:bookmarkStart w:id="5" w:name="_bookmark3"/>
      <w:bookmarkEnd w:id="5"/>
      <w:bookmarkStart w:id="6" w:name="第三章__评标办法（合理低价法）"/>
      <w:bookmarkEnd w:id="6"/>
      <w:r>
        <w:rPr>
          <w:rFonts w:hint="eastAsia"/>
        </w:rPr>
        <w:t>第三章</w:t>
      </w:r>
      <w:r>
        <w:rPr>
          <w:rFonts w:cs="Times New Roman"/>
        </w:rPr>
        <w:tab/>
      </w:r>
      <w:r>
        <w:rPr>
          <w:rFonts w:hint="eastAsia"/>
        </w:rPr>
        <w:t>评标办法（综合评分法）</w:t>
      </w:r>
    </w:p>
    <w:p>
      <w:pPr>
        <w:pStyle w:val="8"/>
        <w:spacing w:before="6" w:after="3"/>
        <w:ind w:left="63" w:right="142"/>
        <w:rPr>
          <w:rFonts w:cs="Times New Roman"/>
        </w:rPr>
      </w:pPr>
      <w:r>
        <w:rPr>
          <w:rFonts w:hint="eastAsia"/>
        </w:rPr>
        <w:t>评标办法前附表</w:t>
      </w:r>
    </w:p>
    <w:tbl>
      <w:tblPr>
        <w:tblStyle w:val="20"/>
        <w:tblW w:w="9601"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67"/>
        <w:gridCol w:w="14"/>
        <w:gridCol w:w="1101"/>
        <w:gridCol w:w="1368"/>
        <w:gridCol w:w="350"/>
        <w:gridCol w:w="595"/>
        <w:gridCol w:w="5474"/>
        <w:gridCol w:w="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2" w:hRule="exact"/>
        </w:trPr>
        <w:tc>
          <w:tcPr>
            <w:tcW w:w="1782" w:type="dxa"/>
            <w:gridSpan w:val="3"/>
            <w:tcBorders>
              <w:top w:val="single" w:color="000000" w:sz="12" w:space="0"/>
            </w:tcBorders>
            <w:vAlign w:val="center"/>
          </w:tcPr>
          <w:p>
            <w:pPr>
              <w:spacing w:line="239" w:lineRule="auto"/>
              <w:jc w:val="center"/>
              <w:rPr>
                <w:rFonts w:cs="Times New Roman"/>
                <w:sz w:val="21"/>
                <w:szCs w:val="21"/>
              </w:rPr>
            </w:pPr>
            <w:r>
              <w:rPr>
                <w:rFonts w:hint="eastAsia"/>
                <w:b/>
                <w:bCs/>
                <w:sz w:val="21"/>
                <w:szCs w:val="21"/>
              </w:rPr>
              <w:t>条款号</w:t>
            </w:r>
          </w:p>
        </w:tc>
        <w:tc>
          <w:tcPr>
            <w:tcW w:w="7819" w:type="dxa"/>
            <w:gridSpan w:val="5"/>
            <w:tcBorders>
              <w:top w:val="single" w:color="000000" w:sz="12" w:space="0"/>
            </w:tcBorders>
            <w:vAlign w:val="center"/>
          </w:tcPr>
          <w:p>
            <w:pPr>
              <w:spacing w:line="239" w:lineRule="auto"/>
              <w:jc w:val="center"/>
              <w:rPr>
                <w:rFonts w:cs="Times New Roman"/>
                <w:sz w:val="21"/>
                <w:szCs w:val="21"/>
              </w:rPr>
            </w:pPr>
            <w:r>
              <w:rPr>
                <w:rFonts w:hint="eastAsia"/>
                <w:b/>
                <w:bCs/>
                <w:sz w:val="21"/>
                <w:szCs w:val="21"/>
              </w:rPr>
              <w:t>评审因素与标准评审标准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667" w:type="dxa"/>
            <w:tcBorders>
              <w:left w:val="single" w:color="auto" w:sz="4" w:space="0"/>
              <w:right w:val="single" w:color="auto" w:sz="4" w:space="0"/>
            </w:tcBorders>
            <w:vAlign w:val="center"/>
          </w:tcPr>
          <w:p>
            <w:pPr>
              <w:spacing w:line="239" w:lineRule="auto"/>
              <w:rPr>
                <w:sz w:val="21"/>
                <w:szCs w:val="21"/>
              </w:rPr>
            </w:pPr>
            <w:r>
              <w:rPr>
                <w:sz w:val="21"/>
                <w:szCs w:val="21"/>
                <w:lang w:val="en-US"/>
              </w:rPr>
              <w:t>3</w:t>
            </w:r>
            <w:r>
              <w:rPr>
                <w:sz w:val="21"/>
                <w:szCs w:val="21"/>
              </w:rPr>
              <w:t>.1.1</w:t>
            </w:r>
          </w:p>
          <w:p>
            <w:pPr>
              <w:spacing w:line="239" w:lineRule="auto"/>
              <w:rPr>
                <w:sz w:val="21"/>
                <w:szCs w:val="21"/>
              </w:rPr>
            </w:pPr>
          </w:p>
        </w:tc>
        <w:tc>
          <w:tcPr>
            <w:tcW w:w="1115" w:type="dxa"/>
            <w:gridSpan w:val="2"/>
            <w:tcBorders>
              <w:left w:val="single" w:color="auto" w:sz="4" w:space="0"/>
            </w:tcBorders>
            <w:vAlign w:val="center"/>
          </w:tcPr>
          <w:p>
            <w:pPr>
              <w:spacing w:line="239" w:lineRule="auto"/>
              <w:rPr>
                <w:rFonts w:cs="Times New Roman"/>
                <w:sz w:val="21"/>
                <w:szCs w:val="21"/>
              </w:rPr>
            </w:pPr>
            <w:r>
              <w:rPr>
                <w:rFonts w:hint="eastAsia"/>
                <w:sz w:val="21"/>
                <w:szCs w:val="21"/>
              </w:rPr>
              <w:t>形式评审与响应性评审标准</w:t>
            </w:r>
          </w:p>
        </w:tc>
        <w:tc>
          <w:tcPr>
            <w:tcW w:w="7819" w:type="dxa"/>
            <w:gridSpan w:val="5"/>
            <w:vAlign w:val="center"/>
          </w:tcPr>
          <w:p>
            <w:pPr>
              <w:spacing w:line="244" w:lineRule="auto"/>
              <w:ind w:right="980"/>
              <w:rPr>
                <w:rFonts w:cs="Times New Roman"/>
                <w:b/>
                <w:bCs/>
                <w:sz w:val="21"/>
                <w:szCs w:val="21"/>
              </w:rPr>
            </w:pPr>
            <w:r>
              <w:rPr>
                <w:rFonts w:hint="eastAsia"/>
                <w:b/>
                <w:bCs/>
                <w:sz w:val="21"/>
                <w:szCs w:val="21"/>
              </w:rPr>
              <w:t>第一个信封（商务和技术文件）评审标准</w:t>
            </w:r>
          </w:p>
          <w:p>
            <w:pPr>
              <w:spacing w:line="244" w:lineRule="auto"/>
              <w:ind w:right="980"/>
              <w:rPr>
                <w:rFonts w:cs="Times New Roman"/>
                <w:b/>
                <w:bCs/>
                <w:sz w:val="21"/>
                <w:szCs w:val="21"/>
              </w:rPr>
            </w:pPr>
            <w:r>
              <w:rPr>
                <w:rFonts w:hint="eastAsia"/>
                <w:b/>
                <w:bCs/>
                <w:sz w:val="21"/>
                <w:szCs w:val="21"/>
              </w:rPr>
              <w:t>（</w:t>
            </w:r>
            <w:r>
              <w:rPr>
                <w:b/>
                <w:bCs/>
                <w:sz w:val="21"/>
                <w:szCs w:val="21"/>
              </w:rPr>
              <w:t>1</w:t>
            </w:r>
            <w:r>
              <w:rPr>
                <w:rFonts w:hint="eastAsia"/>
                <w:b/>
                <w:bCs/>
                <w:sz w:val="21"/>
                <w:szCs w:val="21"/>
              </w:rPr>
              <w:t>）投标文件按照招标文件规定的格式、内容填写，字迹清晰可辨：</w:t>
            </w:r>
          </w:p>
          <w:p>
            <w:pPr>
              <w:spacing w:line="58" w:lineRule="exact"/>
              <w:rPr>
                <w:rFonts w:ascii="Times New Roman" w:hAnsi="Times New Roman" w:cs="Times New Roman"/>
              </w:rPr>
            </w:pPr>
          </w:p>
          <w:p>
            <w:pPr>
              <w:spacing w:line="257" w:lineRule="auto"/>
              <w:ind w:right="120" w:firstLine="210" w:firstLineChars="100"/>
              <w:jc w:val="both"/>
              <w:rPr>
                <w:rFonts w:cs="Times New Roman"/>
                <w:sz w:val="21"/>
                <w:szCs w:val="21"/>
              </w:rPr>
            </w:pPr>
            <w:r>
              <w:rPr>
                <w:sz w:val="21"/>
                <w:szCs w:val="21"/>
              </w:rPr>
              <w:t>a.</w:t>
            </w:r>
            <w:r>
              <w:rPr>
                <w:rFonts w:hint="eastAsia"/>
                <w:sz w:val="21"/>
                <w:szCs w:val="21"/>
              </w:rPr>
              <w:t>投标函按招标文件规定填报了工期及工程质量目标；投标函中招标项目名称标注无误，或投标函中合同段号标注无误（投标函中合同段号与投标文件包封封套上标注合同段或与投标文件封面上标注合同段一致）；</w:t>
            </w:r>
          </w:p>
          <w:p>
            <w:pPr>
              <w:spacing w:line="49" w:lineRule="exact"/>
              <w:rPr>
                <w:rFonts w:ascii="Times New Roman" w:hAnsi="Times New Roman" w:cs="Times New Roman"/>
              </w:rPr>
            </w:pPr>
          </w:p>
          <w:p>
            <w:pPr>
              <w:spacing w:line="241" w:lineRule="auto"/>
              <w:ind w:right="120" w:firstLine="210" w:firstLineChars="100"/>
              <w:rPr>
                <w:rFonts w:cs="Times New Roman"/>
                <w:sz w:val="21"/>
                <w:szCs w:val="21"/>
              </w:rPr>
            </w:pPr>
            <w:r>
              <w:rPr>
                <w:sz w:val="21"/>
                <w:szCs w:val="21"/>
              </w:rPr>
              <w:t>b.</w:t>
            </w:r>
            <w:r>
              <w:rPr>
                <w:rFonts w:hint="eastAsia"/>
                <w:sz w:val="21"/>
                <w:szCs w:val="21"/>
              </w:rPr>
              <w:t>投标函附录的所有数据均符合招标文件规定；</w:t>
            </w:r>
          </w:p>
          <w:p>
            <w:pPr>
              <w:spacing w:line="241" w:lineRule="auto"/>
              <w:ind w:right="120" w:firstLine="210" w:firstLineChars="100"/>
              <w:rPr>
                <w:rFonts w:cs="Times New Roman"/>
                <w:sz w:val="21"/>
                <w:szCs w:val="21"/>
              </w:rPr>
            </w:pPr>
            <w:r>
              <w:rPr>
                <w:sz w:val="21"/>
                <w:szCs w:val="21"/>
              </w:rPr>
              <w:t>c.</w:t>
            </w:r>
            <w:r>
              <w:rPr>
                <w:rFonts w:hint="eastAsia"/>
                <w:sz w:val="21"/>
                <w:szCs w:val="21"/>
              </w:rPr>
              <w:t>按照招标文件规定的格式、内容编制了施工组织设计及项目管理机构相关图表；</w:t>
            </w:r>
          </w:p>
          <w:p>
            <w:pPr>
              <w:spacing w:line="63" w:lineRule="exact"/>
              <w:rPr>
                <w:rFonts w:ascii="Times New Roman" w:hAnsi="Times New Roman" w:cs="Times New Roman"/>
              </w:rPr>
            </w:pPr>
          </w:p>
          <w:p>
            <w:pPr>
              <w:spacing w:line="244" w:lineRule="auto"/>
              <w:ind w:right="120" w:firstLine="210" w:firstLineChars="100"/>
              <w:rPr>
                <w:rFonts w:cs="Times New Roman"/>
                <w:sz w:val="21"/>
                <w:szCs w:val="21"/>
              </w:rPr>
            </w:pPr>
            <w:r>
              <w:rPr>
                <w:sz w:val="21"/>
                <w:szCs w:val="21"/>
                <w:lang w:val="en-US"/>
              </w:rPr>
              <w:t>d.</w:t>
            </w:r>
            <w:r>
              <w:rPr>
                <w:rFonts w:hint="eastAsia"/>
                <w:sz w:val="21"/>
                <w:szCs w:val="21"/>
              </w:rPr>
              <w:t>承诺函及农民工工资保证金承诺书文字与招标文件规定一致，未进行修改和删减；</w:t>
            </w:r>
          </w:p>
          <w:p>
            <w:pPr>
              <w:spacing w:line="28" w:lineRule="exact"/>
              <w:rPr>
                <w:rFonts w:ascii="Times New Roman" w:hAnsi="Times New Roman" w:cs="Times New Roman"/>
              </w:rPr>
            </w:pPr>
          </w:p>
          <w:p>
            <w:pPr>
              <w:spacing w:line="239" w:lineRule="auto"/>
              <w:ind w:firstLine="210" w:firstLineChars="100"/>
              <w:rPr>
                <w:rFonts w:cs="Times New Roman"/>
                <w:sz w:val="21"/>
                <w:szCs w:val="21"/>
              </w:rPr>
            </w:pPr>
            <w:r>
              <w:rPr>
                <w:rFonts w:hint="eastAsia"/>
                <w:sz w:val="21"/>
                <w:szCs w:val="21"/>
                <w:lang w:val="en-US"/>
              </w:rPr>
              <w:t>e</w:t>
            </w:r>
            <w:r>
              <w:rPr>
                <w:sz w:val="21"/>
                <w:szCs w:val="21"/>
                <w:lang w:val="en-US"/>
              </w:rPr>
              <w:t>.</w:t>
            </w:r>
            <w:r>
              <w:rPr>
                <w:rFonts w:hint="eastAsia"/>
                <w:sz w:val="21"/>
                <w:szCs w:val="21"/>
              </w:rPr>
              <w:t>投标文件组成齐全完整，内容均按规定填写。</w:t>
            </w:r>
          </w:p>
          <w:p>
            <w:pPr>
              <w:spacing w:line="244" w:lineRule="auto"/>
              <w:ind w:right="80"/>
              <w:rPr>
                <w:rFonts w:cs="Times New Roman"/>
                <w:b/>
                <w:bCs/>
                <w:sz w:val="21"/>
                <w:szCs w:val="21"/>
              </w:rPr>
            </w:pPr>
            <w:r>
              <w:rPr>
                <w:rFonts w:hint="eastAsia"/>
                <w:b/>
                <w:bCs/>
                <w:sz w:val="21"/>
                <w:szCs w:val="21"/>
              </w:rPr>
              <w:t>（</w:t>
            </w:r>
            <w:r>
              <w:rPr>
                <w:b/>
                <w:bCs/>
                <w:sz w:val="21"/>
                <w:szCs w:val="21"/>
              </w:rPr>
              <w:t>2</w:t>
            </w:r>
            <w:r>
              <w:rPr>
                <w:rFonts w:hint="eastAsia"/>
                <w:b/>
                <w:bCs/>
                <w:sz w:val="21"/>
                <w:szCs w:val="21"/>
              </w:rPr>
              <w:t>）投标文件上法定代表人或其授权代理人的签字、投标人的单位盖章齐全，符合招标文件规定：</w:t>
            </w:r>
          </w:p>
          <w:p>
            <w:pPr>
              <w:spacing w:line="244" w:lineRule="auto"/>
              <w:ind w:right="80" w:firstLine="420" w:firstLineChars="200"/>
              <w:rPr>
                <w:rFonts w:cs="Times New Roman"/>
                <w:sz w:val="21"/>
                <w:szCs w:val="21"/>
              </w:rPr>
            </w:pPr>
            <w:r>
              <w:rPr>
                <w:rFonts w:hint="eastAsia"/>
                <w:sz w:val="21"/>
                <w:szCs w:val="21"/>
              </w:rPr>
              <w:t>投标函及投标函附录、承诺函，应由投标人的法定代表人或其委托代理人逐页签署姓名（本页正文内容已由投标人的法定代表人或其委托代理人签署姓名的可不签署）并逐页加盖投标人单位章（本页正文内容已加盖单位章的除外）。</w:t>
            </w:r>
          </w:p>
          <w:p>
            <w:pPr>
              <w:numPr>
                <w:ilvl w:val="0"/>
                <w:numId w:val="20"/>
              </w:numPr>
              <w:spacing w:line="244" w:lineRule="auto"/>
              <w:ind w:right="80"/>
              <w:rPr>
                <w:rFonts w:cs="Times New Roman"/>
                <w:b/>
                <w:bCs/>
                <w:sz w:val="21"/>
                <w:szCs w:val="21"/>
              </w:rPr>
            </w:pPr>
            <w:r>
              <w:rPr>
                <w:rFonts w:hint="eastAsia"/>
                <w:b/>
                <w:bCs/>
                <w:sz w:val="21"/>
                <w:szCs w:val="21"/>
              </w:rPr>
              <w:t>投标人法定代表人授权委托代理人签署投标文件的，须提交附有法定代表人身份证明的授权委托书，并符合下列要求：</w:t>
            </w:r>
          </w:p>
          <w:p>
            <w:pPr>
              <w:spacing w:line="244" w:lineRule="auto"/>
              <w:ind w:right="80" w:firstLine="210" w:firstLineChars="100"/>
              <w:rPr>
                <w:rFonts w:cs="Times New Roman"/>
                <w:sz w:val="21"/>
                <w:szCs w:val="21"/>
              </w:rPr>
            </w:pPr>
            <w:r>
              <w:rPr>
                <w:rFonts w:hint="eastAsia"/>
                <w:sz w:val="21"/>
                <w:szCs w:val="21"/>
              </w:rPr>
              <w:t>授权人和被授权人均在授权书上签名，未使用印章、签名章或其他电子制版签名。</w:t>
            </w:r>
          </w:p>
          <w:p>
            <w:pPr>
              <w:spacing w:line="244" w:lineRule="auto"/>
              <w:ind w:right="80"/>
              <w:rPr>
                <w:rFonts w:cs="Times New Roman"/>
                <w:b/>
                <w:bCs/>
                <w:sz w:val="21"/>
                <w:szCs w:val="21"/>
              </w:rPr>
            </w:pPr>
            <w:r>
              <w:rPr>
                <w:rFonts w:hint="eastAsia"/>
                <w:b/>
                <w:bCs/>
                <w:sz w:val="21"/>
                <w:szCs w:val="21"/>
              </w:rPr>
              <w:t>（</w:t>
            </w:r>
            <w:r>
              <w:rPr>
                <w:b/>
                <w:bCs/>
                <w:sz w:val="21"/>
                <w:szCs w:val="21"/>
                <w:lang w:val="en-US"/>
              </w:rPr>
              <w:t>4</w:t>
            </w:r>
            <w:r>
              <w:rPr>
                <w:rFonts w:hint="eastAsia"/>
                <w:b/>
                <w:bCs/>
                <w:sz w:val="21"/>
                <w:szCs w:val="21"/>
              </w:rPr>
              <w:t>）投标人法定代表人若亲自签署投标文件的，提供了法定代表人身份证明，并符合下列要求：</w:t>
            </w:r>
          </w:p>
          <w:p>
            <w:pPr>
              <w:spacing w:line="244" w:lineRule="auto"/>
              <w:ind w:right="80" w:firstLine="210" w:firstLineChars="100"/>
              <w:rPr>
                <w:rFonts w:cs="Times New Roman"/>
                <w:sz w:val="21"/>
                <w:szCs w:val="21"/>
              </w:rPr>
            </w:pPr>
            <w:r>
              <w:rPr>
                <w:rFonts w:hint="eastAsia"/>
                <w:sz w:val="21"/>
                <w:szCs w:val="21"/>
              </w:rPr>
              <w:t>法定代表人在法定代表人身份证明上签名，未使用印章、签名章或其他电子制版签名。</w:t>
            </w:r>
          </w:p>
          <w:p>
            <w:pPr>
              <w:spacing w:line="65" w:lineRule="exact"/>
              <w:rPr>
                <w:rFonts w:ascii="Times New Roman" w:hAnsi="Times New Roman" w:cs="Times New Roman"/>
              </w:rPr>
            </w:pPr>
          </w:p>
          <w:p>
            <w:pPr>
              <w:spacing w:line="241" w:lineRule="auto"/>
              <w:rPr>
                <w:rFonts w:cs="Times New Roman"/>
                <w:b/>
                <w:bCs/>
                <w:sz w:val="21"/>
                <w:szCs w:val="21"/>
              </w:rPr>
            </w:pPr>
            <w:r>
              <w:rPr>
                <w:rFonts w:hint="eastAsia"/>
                <w:b/>
                <w:bCs/>
                <w:sz w:val="21"/>
                <w:szCs w:val="21"/>
              </w:rPr>
              <w:t>（</w:t>
            </w:r>
            <w:r>
              <w:rPr>
                <w:b/>
                <w:bCs/>
                <w:sz w:val="21"/>
                <w:szCs w:val="21"/>
                <w:lang w:val="en-US"/>
              </w:rPr>
              <w:t>5</w:t>
            </w:r>
            <w:r>
              <w:rPr>
                <w:rFonts w:hint="eastAsia"/>
                <w:b/>
                <w:bCs/>
                <w:sz w:val="21"/>
                <w:szCs w:val="21"/>
              </w:rPr>
              <w:t>）投标人如有分包计划，应按第八章“投标文件格式”的要求填写“拟分包项目情况表”。</w:t>
            </w:r>
          </w:p>
          <w:p>
            <w:pPr>
              <w:spacing w:line="61" w:lineRule="exact"/>
              <w:rPr>
                <w:rFonts w:ascii="Times New Roman" w:hAnsi="Times New Roman" w:cs="Times New Roman"/>
              </w:rPr>
            </w:pPr>
          </w:p>
          <w:p>
            <w:pPr>
              <w:spacing w:line="244" w:lineRule="auto"/>
              <w:ind w:right="1100"/>
              <w:rPr>
                <w:rFonts w:cs="Times New Roman"/>
                <w:b/>
                <w:bCs/>
                <w:sz w:val="21"/>
                <w:szCs w:val="21"/>
              </w:rPr>
            </w:pPr>
            <w:r>
              <w:rPr>
                <w:rFonts w:hint="eastAsia"/>
                <w:b/>
                <w:bCs/>
                <w:sz w:val="21"/>
                <w:szCs w:val="21"/>
              </w:rPr>
              <w:t>（</w:t>
            </w:r>
            <w:r>
              <w:rPr>
                <w:b/>
                <w:bCs/>
                <w:sz w:val="21"/>
                <w:szCs w:val="21"/>
                <w:lang w:val="en-US"/>
              </w:rPr>
              <w:t>6</w:t>
            </w:r>
            <w:r>
              <w:rPr>
                <w:rFonts w:hint="eastAsia"/>
                <w:b/>
                <w:bCs/>
                <w:sz w:val="21"/>
                <w:szCs w:val="21"/>
              </w:rPr>
              <w:t>）投标文件载明的招标项目完成期限未超过招标文件规定的时限。（</w:t>
            </w:r>
            <w:r>
              <w:rPr>
                <w:b/>
                <w:bCs/>
                <w:sz w:val="21"/>
                <w:szCs w:val="21"/>
                <w:lang w:val="en-US"/>
              </w:rPr>
              <w:t>7</w:t>
            </w:r>
            <w:r>
              <w:rPr>
                <w:rFonts w:hint="eastAsia"/>
                <w:b/>
                <w:bCs/>
                <w:sz w:val="21"/>
                <w:szCs w:val="21"/>
              </w:rPr>
              <w:t>）投标文件对招标文件的实质性要求和条件作出响应。</w:t>
            </w:r>
          </w:p>
          <w:p>
            <w:pPr>
              <w:spacing w:line="58" w:lineRule="exact"/>
              <w:rPr>
                <w:rFonts w:ascii="Times New Roman" w:hAnsi="Times New Roman" w:cs="Times New Roman"/>
              </w:rPr>
            </w:pPr>
          </w:p>
          <w:p>
            <w:pPr>
              <w:spacing w:line="269" w:lineRule="auto"/>
              <w:ind w:right="600"/>
              <w:rPr>
                <w:rFonts w:cs="Times New Roman"/>
                <w:b/>
                <w:bCs/>
                <w:sz w:val="21"/>
                <w:szCs w:val="21"/>
              </w:rPr>
            </w:pPr>
            <w:r>
              <w:rPr>
                <w:rFonts w:hint="eastAsia"/>
                <w:b/>
                <w:bCs/>
                <w:sz w:val="21"/>
                <w:szCs w:val="21"/>
              </w:rPr>
              <w:t>（</w:t>
            </w:r>
            <w:r>
              <w:rPr>
                <w:b/>
                <w:bCs/>
                <w:sz w:val="21"/>
                <w:szCs w:val="21"/>
                <w:lang w:val="en-US"/>
              </w:rPr>
              <w:t>8</w:t>
            </w:r>
            <w:r>
              <w:rPr>
                <w:rFonts w:hint="eastAsia"/>
                <w:b/>
                <w:bCs/>
                <w:sz w:val="21"/>
                <w:szCs w:val="21"/>
              </w:rPr>
              <w:t>）权利义务符合招标文件规定：</w:t>
            </w:r>
          </w:p>
          <w:p>
            <w:pPr>
              <w:spacing w:line="269" w:lineRule="auto"/>
              <w:ind w:right="600"/>
              <w:rPr>
                <w:rFonts w:cs="Times New Roman"/>
                <w:sz w:val="21"/>
                <w:szCs w:val="21"/>
              </w:rPr>
            </w:pPr>
            <w:r>
              <w:rPr>
                <w:sz w:val="21"/>
                <w:szCs w:val="21"/>
                <w:lang w:val="en-US"/>
              </w:rPr>
              <w:t>a.</w:t>
            </w:r>
            <w:r>
              <w:rPr>
                <w:rFonts w:hint="eastAsia"/>
                <w:sz w:val="21"/>
                <w:szCs w:val="21"/>
              </w:rPr>
              <w:t>投标人应接受招标文件规定的风险划分原则，未提出新的风险划分办法；</w:t>
            </w:r>
          </w:p>
          <w:p>
            <w:pPr>
              <w:spacing w:line="269" w:lineRule="auto"/>
              <w:ind w:right="600"/>
              <w:rPr>
                <w:rFonts w:cs="Times New Roman"/>
                <w:sz w:val="21"/>
                <w:szCs w:val="21"/>
              </w:rPr>
            </w:pPr>
            <w:r>
              <w:rPr>
                <w:sz w:val="21"/>
                <w:szCs w:val="21"/>
              </w:rPr>
              <w:t>b.</w:t>
            </w:r>
            <w:r>
              <w:rPr>
                <w:rFonts w:hint="eastAsia"/>
                <w:sz w:val="21"/>
                <w:szCs w:val="21"/>
              </w:rPr>
              <w:t>投标人未增加发包人的责任范围，或减少投标人义务；</w:t>
            </w:r>
          </w:p>
          <w:p>
            <w:pPr>
              <w:spacing w:line="269" w:lineRule="auto"/>
              <w:ind w:right="600"/>
              <w:rPr>
                <w:rFonts w:cs="Times New Roman"/>
                <w:sz w:val="21"/>
                <w:szCs w:val="21"/>
              </w:rPr>
            </w:pPr>
            <w:r>
              <w:rPr>
                <w:sz w:val="21"/>
                <w:szCs w:val="21"/>
              </w:rPr>
              <w:t>c.</w:t>
            </w:r>
            <w:r>
              <w:rPr>
                <w:rFonts w:hint="eastAsia"/>
                <w:sz w:val="21"/>
                <w:szCs w:val="21"/>
              </w:rPr>
              <w:t>投标人未提出不同的工程验收、计量、支付办法；</w:t>
            </w:r>
          </w:p>
          <w:p>
            <w:pPr>
              <w:spacing w:line="269" w:lineRule="auto"/>
              <w:ind w:right="600"/>
              <w:rPr>
                <w:rFonts w:cs="Times New Roman"/>
                <w:sz w:val="21"/>
                <w:szCs w:val="21"/>
              </w:rPr>
            </w:pPr>
            <w:r>
              <w:rPr>
                <w:sz w:val="21"/>
                <w:szCs w:val="21"/>
              </w:rPr>
              <w:t>d.</w:t>
            </w:r>
            <w:r>
              <w:rPr>
                <w:rFonts w:hint="eastAsia"/>
                <w:sz w:val="21"/>
                <w:szCs w:val="21"/>
              </w:rPr>
              <w:t>投标人对合同纠纷、事故处理办法未提出异议；</w:t>
            </w:r>
          </w:p>
          <w:p>
            <w:pPr>
              <w:spacing w:line="269" w:lineRule="auto"/>
              <w:ind w:right="600"/>
              <w:rPr>
                <w:rFonts w:cs="Times New Roman"/>
                <w:sz w:val="21"/>
                <w:szCs w:val="21"/>
              </w:rPr>
            </w:pPr>
            <w:r>
              <w:rPr>
                <w:sz w:val="21"/>
                <w:szCs w:val="21"/>
              </w:rPr>
              <w:t>e.</w:t>
            </w:r>
            <w:r>
              <w:rPr>
                <w:rFonts w:hint="eastAsia"/>
                <w:sz w:val="21"/>
                <w:szCs w:val="21"/>
              </w:rPr>
              <w:t>投标人在投标活动中无欺诈行为；</w:t>
            </w:r>
          </w:p>
          <w:p>
            <w:pPr>
              <w:spacing w:line="269" w:lineRule="auto"/>
              <w:ind w:right="600"/>
              <w:rPr>
                <w:rFonts w:cs="Times New Roman"/>
                <w:sz w:val="21"/>
                <w:szCs w:val="21"/>
              </w:rPr>
            </w:pPr>
            <w:r>
              <w:rPr>
                <w:sz w:val="21"/>
                <w:szCs w:val="21"/>
              </w:rPr>
              <w:t>f.</w:t>
            </w:r>
            <w:r>
              <w:rPr>
                <w:rFonts w:hint="eastAsia"/>
                <w:sz w:val="21"/>
                <w:szCs w:val="21"/>
              </w:rPr>
              <w:t>投标人未对合同条款有重要保留。</w:t>
            </w:r>
          </w:p>
          <w:p>
            <w:pPr>
              <w:spacing w:line="265" w:lineRule="auto"/>
              <w:ind w:right="40"/>
              <w:rPr>
                <w:rFonts w:cs="Times New Roman"/>
                <w:b/>
                <w:bCs/>
              </w:rPr>
            </w:pPr>
            <w:r>
              <w:rPr>
                <w:rFonts w:hint="eastAsia"/>
                <w:b/>
                <w:bCs/>
              </w:rPr>
              <w:t>（</w:t>
            </w:r>
            <w:r>
              <w:rPr>
                <w:b/>
                <w:bCs/>
                <w:lang w:val="en-US"/>
              </w:rPr>
              <w:t>9</w:t>
            </w:r>
            <w:r>
              <w:rPr>
                <w:rFonts w:hint="eastAsia"/>
                <w:b/>
                <w:bCs/>
              </w:rPr>
              <w:t>）投标文件正、副本数符合招标文件第二章“投标人须知”第</w:t>
            </w:r>
            <w:r>
              <w:rPr>
                <w:b/>
                <w:bCs/>
              </w:rPr>
              <w:t xml:space="preserve"> 3.7.4 </w:t>
            </w:r>
            <w:r>
              <w:rPr>
                <w:rFonts w:hint="eastAsia"/>
                <w:b/>
                <w:bCs/>
              </w:rPr>
              <w:t>项规定。</w:t>
            </w:r>
          </w:p>
          <w:p>
            <w:pPr>
              <w:spacing w:line="265" w:lineRule="auto"/>
              <w:ind w:right="40"/>
              <w:rPr>
                <w:rFonts w:cs="Times New Roman"/>
                <w:sz w:val="21"/>
                <w:szCs w:val="21"/>
              </w:rPr>
            </w:pPr>
            <w:r>
              <w:rPr>
                <w:rFonts w:hint="eastAsia"/>
                <w:b/>
                <w:bCs/>
              </w:rPr>
              <w:t>（</w:t>
            </w:r>
            <w:r>
              <w:rPr>
                <w:b/>
                <w:bCs/>
              </w:rPr>
              <w:t>1</w:t>
            </w:r>
            <w:r>
              <w:rPr>
                <w:b/>
                <w:bCs/>
                <w:lang w:val="en-US"/>
              </w:rPr>
              <w:t>0</w:t>
            </w:r>
            <w:r>
              <w:rPr>
                <w:rFonts w:hint="eastAsia"/>
                <w:b/>
                <w:bCs/>
              </w:rPr>
              <w:t>）投标文件第一个信封（商务及技术文件）未出现有关投标报价的内容。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Pr>
        <w:tc>
          <w:tcPr>
            <w:tcW w:w="1782" w:type="dxa"/>
            <w:gridSpan w:val="3"/>
            <w:vAlign w:val="center"/>
          </w:tcPr>
          <w:p>
            <w:pPr>
              <w:spacing w:line="239" w:lineRule="auto"/>
              <w:ind w:firstLine="420" w:firstLineChars="200"/>
              <w:jc w:val="both"/>
              <w:rPr>
                <w:rFonts w:cs="Times New Roman"/>
                <w:b/>
                <w:bCs/>
                <w:w w:val="99"/>
                <w:sz w:val="21"/>
                <w:szCs w:val="21"/>
              </w:rPr>
            </w:pPr>
            <w:r>
              <w:rPr>
                <w:rFonts w:hint="eastAsia"/>
                <w:sz w:val="21"/>
                <w:szCs w:val="21"/>
              </w:rPr>
              <w:t>条款号</w:t>
            </w:r>
          </w:p>
        </w:tc>
        <w:tc>
          <w:tcPr>
            <w:tcW w:w="2313" w:type="dxa"/>
            <w:gridSpan w:val="3"/>
            <w:vAlign w:val="center"/>
          </w:tcPr>
          <w:p>
            <w:pPr>
              <w:spacing w:line="239" w:lineRule="auto"/>
              <w:jc w:val="center"/>
              <w:rPr>
                <w:rFonts w:cs="Times New Roman"/>
                <w:b/>
                <w:bCs/>
                <w:w w:val="99"/>
                <w:sz w:val="21"/>
                <w:szCs w:val="21"/>
              </w:rPr>
            </w:pPr>
            <w:r>
              <w:rPr>
                <w:rFonts w:hint="eastAsia"/>
                <w:b/>
                <w:bCs/>
                <w:w w:val="99"/>
              </w:rPr>
              <w:t>评分因素及分值</w:t>
            </w:r>
          </w:p>
        </w:tc>
        <w:tc>
          <w:tcPr>
            <w:tcW w:w="5474" w:type="dxa"/>
            <w:vAlign w:val="center"/>
          </w:tcPr>
          <w:p>
            <w:pPr>
              <w:spacing w:line="239" w:lineRule="auto"/>
              <w:jc w:val="center"/>
              <w:rPr>
                <w:rFonts w:cs="Times New Roman"/>
                <w:sz w:val="21"/>
                <w:szCs w:val="21"/>
              </w:rPr>
            </w:pPr>
            <w:r>
              <w:rPr>
                <w:rFonts w:hint="eastAsia"/>
                <w:b/>
                <w:bCs/>
                <w:w w:val="99"/>
              </w:rPr>
              <w:t>评分标准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52" w:hRule="atLeast"/>
        </w:trPr>
        <w:tc>
          <w:tcPr>
            <w:tcW w:w="681" w:type="dxa"/>
            <w:gridSpan w:val="2"/>
            <w:vMerge w:val="restart"/>
            <w:vAlign w:val="center"/>
          </w:tcPr>
          <w:p>
            <w:pPr>
              <w:spacing w:line="239" w:lineRule="auto"/>
              <w:rPr>
                <w:sz w:val="21"/>
                <w:szCs w:val="21"/>
                <w:lang w:val="en-US"/>
              </w:rPr>
            </w:pPr>
            <w:r>
              <w:rPr>
                <w:sz w:val="21"/>
                <w:szCs w:val="21"/>
                <w:lang w:val="en-US"/>
              </w:rPr>
              <w:t>3.1.2</w:t>
            </w:r>
          </w:p>
        </w:tc>
        <w:tc>
          <w:tcPr>
            <w:tcW w:w="1101" w:type="dxa"/>
            <w:vMerge w:val="restart"/>
            <w:vAlign w:val="center"/>
          </w:tcPr>
          <w:p>
            <w:pPr>
              <w:spacing w:line="239" w:lineRule="auto"/>
              <w:rPr>
                <w:rFonts w:cs="Times New Roman"/>
                <w:sz w:val="21"/>
                <w:szCs w:val="21"/>
              </w:rPr>
            </w:pPr>
            <w:r>
              <w:rPr>
                <w:rFonts w:hint="eastAsia"/>
                <w:sz w:val="21"/>
                <w:szCs w:val="21"/>
              </w:rPr>
              <w:t>施工组织设计评分标准（满分</w:t>
            </w:r>
            <w:r>
              <w:rPr>
                <w:rFonts w:ascii="Times New Roman" w:hAnsi="Times New Roman" w:cs="Times New Roman"/>
                <w:b/>
                <w:bCs/>
                <w:sz w:val="21"/>
                <w:szCs w:val="21"/>
                <w:lang w:val="en-US"/>
              </w:rPr>
              <w:t>30</w:t>
            </w:r>
            <w:r>
              <w:rPr>
                <w:rFonts w:hint="eastAsia"/>
                <w:b/>
                <w:bCs/>
                <w:sz w:val="21"/>
                <w:szCs w:val="21"/>
              </w:rPr>
              <w:t>分</w:t>
            </w:r>
            <w:r>
              <w:rPr>
                <w:rFonts w:hint="eastAsia"/>
                <w:sz w:val="21"/>
                <w:szCs w:val="21"/>
              </w:rPr>
              <w:t>）</w:t>
            </w:r>
          </w:p>
        </w:tc>
        <w:tc>
          <w:tcPr>
            <w:tcW w:w="1718" w:type="dxa"/>
            <w:gridSpan w:val="2"/>
            <w:vAlign w:val="center"/>
          </w:tcPr>
          <w:p>
            <w:pPr>
              <w:spacing w:line="239" w:lineRule="auto"/>
              <w:jc w:val="center"/>
              <w:rPr>
                <w:rFonts w:cs="Times New Roman"/>
                <w:sz w:val="21"/>
                <w:szCs w:val="21"/>
              </w:rPr>
            </w:pPr>
            <w:r>
              <w:rPr>
                <w:rFonts w:hint="eastAsia"/>
                <w:sz w:val="21"/>
                <w:szCs w:val="21"/>
              </w:rPr>
              <w:t>总体施工组织布置及规划</w:t>
            </w:r>
          </w:p>
        </w:tc>
        <w:tc>
          <w:tcPr>
            <w:tcW w:w="595" w:type="dxa"/>
            <w:vAlign w:val="center"/>
          </w:tcPr>
          <w:p>
            <w:pPr>
              <w:spacing w:line="239" w:lineRule="auto"/>
              <w:jc w:val="center"/>
              <w:rPr>
                <w:rFonts w:cs="Times New Roman"/>
                <w:sz w:val="21"/>
                <w:szCs w:val="21"/>
                <w:lang w:val="en-US"/>
              </w:rPr>
            </w:pPr>
            <w:r>
              <w:rPr>
                <w:sz w:val="21"/>
                <w:szCs w:val="21"/>
                <w:lang w:val="en-US"/>
              </w:rPr>
              <w:t>5</w:t>
            </w:r>
            <w:r>
              <w:rPr>
                <w:rFonts w:hint="eastAsia"/>
                <w:sz w:val="21"/>
                <w:szCs w:val="21"/>
                <w:lang w:val="en-US"/>
              </w:rPr>
              <w:t>分</w:t>
            </w:r>
          </w:p>
        </w:tc>
        <w:tc>
          <w:tcPr>
            <w:tcW w:w="5474" w:type="dxa"/>
            <w:vAlign w:val="center"/>
          </w:tcPr>
          <w:p>
            <w:pPr>
              <w:snapToGrid w:val="0"/>
              <w:spacing w:line="300" w:lineRule="auto"/>
              <w:rPr>
                <w:rFonts w:cs="Times New Roman"/>
                <w:sz w:val="21"/>
                <w:szCs w:val="21"/>
              </w:rPr>
            </w:pPr>
            <w:r>
              <w:rPr>
                <w:rFonts w:hint="eastAsia"/>
                <w:sz w:val="21"/>
                <w:szCs w:val="21"/>
              </w:rPr>
              <w:t>总体施工组织布置及规划合理，在此基础上方案周全、有针对性。</w:t>
            </w:r>
            <w:r>
              <w:rPr>
                <w:rFonts w:hint="eastAsia"/>
                <w:spacing w:val="1"/>
              </w:rPr>
              <w:t>（满分</w:t>
            </w:r>
            <w:r>
              <w:rPr>
                <w:spacing w:val="1"/>
                <w:lang w:val="en-US"/>
              </w:rPr>
              <w:t>5</w:t>
            </w:r>
            <w:r>
              <w:rPr>
                <w:rFonts w:hint="eastAsia"/>
                <w:spacing w:val="1"/>
              </w:rPr>
              <w:t>分）</w:t>
            </w:r>
            <w:r>
              <w:rPr>
                <w:rFonts w:hint="eastAsia"/>
              </w:rPr>
              <w:t>（优</w:t>
            </w:r>
            <w:r>
              <w:rPr>
                <w:lang w:val="en-US"/>
              </w:rPr>
              <w:t>3.8</w:t>
            </w:r>
            <w:r>
              <w:rPr>
                <w:rFonts w:hint="eastAsia"/>
              </w:rPr>
              <w:t>～</w:t>
            </w:r>
            <w:r>
              <w:rPr>
                <w:lang w:val="en-US"/>
              </w:rPr>
              <w:t>5</w:t>
            </w:r>
            <w:r>
              <w:rPr>
                <w:rFonts w:hint="eastAsia"/>
              </w:rPr>
              <w:t>分、良</w:t>
            </w:r>
            <w:r>
              <w:rPr>
                <w:lang w:val="en-US"/>
              </w:rPr>
              <w:t>1.6</w:t>
            </w:r>
            <w:r>
              <w:rPr>
                <w:rFonts w:hint="eastAsia"/>
              </w:rPr>
              <w:t>～</w:t>
            </w:r>
            <w:r>
              <w:rPr>
                <w:lang w:val="en-US"/>
              </w:rPr>
              <w:t>3.7</w:t>
            </w:r>
            <w:r>
              <w:rPr>
                <w:rFonts w:hint="eastAsia"/>
              </w:rPr>
              <w:t>分、中</w:t>
            </w:r>
            <w:r>
              <w:t xml:space="preserve"> 0.1</w:t>
            </w:r>
            <w:r>
              <w:rPr>
                <w:rFonts w:hint="eastAsia"/>
              </w:rPr>
              <w:t>～</w:t>
            </w:r>
            <w:r>
              <w:rPr>
                <w:lang w:val="en-US"/>
              </w:rPr>
              <w:t>1.5</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83"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主要工程项目的施工方案、方法与技术措施</w:t>
            </w:r>
          </w:p>
        </w:tc>
        <w:tc>
          <w:tcPr>
            <w:tcW w:w="595" w:type="dxa"/>
            <w:vAlign w:val="center"/>
          </w:tcPr>
          <w:p>
            <w:pPr>
              <w:spacing w:line="239" w:lineRule="auto"/>
              <w:jc w:val="center"/>
              <w:rPr>
                <w:rFonts w:cs="Times New Roman"/>
                <w:sz w:val="21"/>
                <w:szCs w:val="21"/>
              </w:rPr>
            </w:pPr>
            <w:r>
              <w:rPr>
                <w:sz w:val="21"/>
                <w:szCs w:val="21"/>
              </w:rPr>
              <w:t xml:space="preserve">6 </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施工方案合理、操作方法可行、技术措施有保障，在此基础上方案周全可靠、方法和技术措施具体有针对性。</w:t>
            </w:r>
            <w:r>
              <w:rPr>
                <w:rFonts w:hint="eastAsia"/>
                <w:spacing w:val="1"/>
              </w:rPr>
              <w:t>（满分</w:t>
            </w:r>
            <w:r>
              <w:rPr>
                <w:spacing w:val="1"/>
                <w:lang w:val="en-US"/>
              </w:rPr>
              <w:t>6</w:t>
            </w:r>
            <w:r>
              <w:rPr>
                <w:rFonts w:hint="eastAsia"/>
                <w:spacing w:val="1"/>
              </w:rPr>
              <w:t>分）</w:t>
            </w:r>
            <w:r>
              <w:rPr>
                <w:rFonts w:hint="eastAsia"/>
              </w:rPr>
              <w:t>（优</w:t>
            </w:r>
            <w:r>
              <w:rPr>
                <w:lang w:val="en-US"/>
              </w:rPr>
              <w:t>4.1</w:t>
            </w:r>
            <w:r>
              <w:rPr>
                <w:rFonts w:hint="eastAsia"/>
              </w:rPr>
              <w:t>～</w:t>
            </w:r>
            <w:r>
              <w:rPr>
                <w:lang w:val="en-US"/>
              </w:rPr>
              <w:t>6</w:t>
            </w:r>
            <w:r>
              <w:rPr>
                <w:rFonts w:hint="eastAsia"/>
              </w:rPr>
              <w:t>分、良</w:t>
            </w:r>
            <w:r>
              <w:rPr>
                <w:lang w:val="en-US"/>
              </w:rPr>
              <w:t>2.0</w:t>
            </w:r>
            <w:r>
              <w:rPr>
                <w:rFonts w:hint="eastAsia"/>
              </w:rPr>
              <w:t>～</w:t>
            </w:r>
            <w:r>
              <w:rPr>
                <w:lang w:val="en-US"/>
              </w:rPr>
              <w:t>4.0</w:t>
            </w:r>
            <w:r>
              <w:rPr>
                <w:rFonts w:hint="eastAsia"/>
              </w:rPr>
              <w:t>分、中</w:t>
            </w:r>
            <w:r>
              <w:t xml:space="preserve"> 0.1</w:t>
            </w:r>
            <w:r>
              <w:rPr>
                <w:rFonts w:hint="eastAsia"/>
              </w:rPr>
              <w:t>～</w:t>
            </w:r>
            <w:r>
              <w:rPr>
                <w:lang w:val="en-US"/>
              </w:rPr>
              <w:t>1.9</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840"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人员及机械设备配置</w:t>
            </w:r>
          </w:p>
        </w:tc>
        <w:tc>
          <w:tcPr>
            <w:tcW w:w="595" w:type="dxa"/>
            <w:vAlign w:val="center"/>
          </w:tcPr>
          <w:p>
            <w:pPr>
              <w:spacing w:line="239" w:lineRule="auto"/>
              <w:jc w:val="center"/>
              <w:rPr>
                <w:rFonts w:cs="Times New Roman"/>
                <w:sz w:val="21"/>
                <w:szCs w:val="21"/>
              </w:rPr>
            </w:pPr>
            <w:r>
              <w:rPr>
                <w:sz w:val="21"/>
                <w:szCs w:val="21"/>
              </w:rPr>
              <w:t>4</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管理人员、机械设备配置满足要求，在此基础上人员配置合理。</w:t>
            </w:r>
            <w:r>
              <w:rPr>
                <w:rFonts w:hint="eastAsia"/>
                <w:spacing w:val="1"/>
              </w:rPr>
              <w:t>（满分</w:t>
            </w:r>
            <w:r>
              <w:rPr>
                <w:spacing w:val="1"/>
                <w:lang w:val="en-US"/>
              </w:rPr>
              <w:t>4</w:t>
            </w:r>
            <w:r>
              <w:rPr>
                <w:rFonts w:hint="eastAsia"/>
                <w:spacing w:val="1"/>
              </w:rPr>
              <w:t>分）</w:t>
            </w:r>
            <w:r>
              <w:rPr>
                <w:rFonts w:hint="eastAsia"/>
              </w:rPr>
              <w:t>（优</w:t>
            </w:r>
            <w:r>
              <w:rPr>
                <w:lang w:val="en-US"/>
              </w:rPr>
              <w:t>3.1</w:t>
            </w:r>
            <w:r>
              <w:rPr>
                <w:rFonts w:hint="eastAsia"/>
              </w:rPr>
              <w:t>～</w:t>
            </w:r>
            <w:r>
              <w:rPr>
                <w:lang w:val="en-US"/>
              </w:rPr>
              <w:t>4</w:t>
            </w:r>
            <w:r>
              <w:rPr>
                <w:rFonts w:hint="eastAsia"/>
              </w:rPr>
              <w:t>分、良</w:t>
            </w:r>
            <w:r>
              <w:rPr>
                <w:lang w:val="en-US"/>
              </w:rPr>
              <w:t>0.9</w:t>
            </w:r>
            <w:r>
              <w:rPr>
                <w:rFonts w:hint="eastAsia"/>
              </w:rPr>
              <w:t>～</w:t>
            </w:r>
            <w:r>
              <w:rPr>
                <w:lang w:val="en-US"/>
              </w:rPr>
              <w:t>3.0</w:t>
            </w:r>
            <w:r>
              <w:rPr>
                <w:rFonts w:hint="eastAsia"/>
              </w:rPr>
              <w:t>分、中</w:t>
            </w:r>
            <w:r>
              <w:t xml:space="preserve"> 0.1</w:t>
            </w:r>
            <w:r>
              <w:rPr>
                <w:rFonts w:hint="eastAsia"/>
              </w:rPr>
              <w:t>～</w:t>
            </w:r>
            <w:r>
              <w:t>0.</w:t>
            </w:r>
            <w:r>
              <w:rPr>
                <w:lang w:val="en-US"/>
              </w:rPr>
              <w:t>8</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831"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工期保证体系及保证措施</w:t>
            </w:r>
          </w:p>
        </w:tc>
        <w:tc>
          <w:tcPr>
            <w:tcW w:w="595" w:type="dxa"/>
            <w:vAlign w:val="bottom"/>
          </w:tcPr>
          <w:p>
            <w:pPr>
              <w:jc w:val="center"/>
              <w:rPr>
                <w:rFonts w:cs="Times New Roman"/>
                <w:sz w:val="21"/>
                <w:szCs w:val="21"/>
              </w:rPr>
            </w:pPr>
            <w:r>
              <w:rPr>
                <w:sz w:val="21"/>
                <w:szCs w:val="21"/>
              </w:rPr>
              <w:t>3</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有工期保证体系、工期保证措施合理、有保障，在此基础上视保障措施具体有针对性。</w:t>
            </w:r>
            <w:r>
              <w:rPr>
                <w:rFonts w:hint="eastAsia"/>
                <w:spacing w:val="1"/>
              </w:rPr>
              <w:t>（满分</w:t>
            </w:r>
            <w:r>
              <w:rPr>
                <w:spacing w:val="1"/>
                <w:lang w:val="en-US"/>
              </w:rPr>
              <w:t>3</w:t>
            </w:r>
            <w:r>
              <w:rPr>
                <w:rFonts w:hint="eastAsia"/>
                <w:spacing w:val="1"/>
              </w:rPr>
              <w:t>分）</w:t>
            </w:r>
            <w:r>
              <w:rPr>
                <w:rFonts w:hint="eastAsia"/>
              </w:rPr>
              <w:t>（优</w:t>
            </w:r>
            <w:r>
              <w:rPr>
                <w:lang w:val="en-US"/>
              </w:rPr>
              <w:t>2.1</w:t>
            </w:r>
            <w:r>
              <w:rPr>
                <w:rFonts w:hint="eastAsia"/>
              </w:rPr>
              <w:t>～</w:t>
            </w:r>
            <w:r>
              <w:rPr>
                <w:lang w:val="en-US"/>
              </w:rPr>
              <w:t>3</w:t>
            </w:r>
            <w:r>
              <w:rPr>
                <w:rFonts w:hint="eastAsia"/>
              </w:rPr>
              <w:t>分、良</w:t>
            </w:r>
            <w:r>
              <w:rPr>
                <w:lang w:val="en-US"/>
              </w:rPr>
              <w:t>0.9</w:t>
            </w:r>
            <w:r>
              <w:rPr>
                <w:rFonts w:hint="eastAsia"/>
              </w:rPr>
              <w:t>～</w:t>
            </w:r>
            <w:r>
              <w:rPr>
                <w:lang w:val="en-US"/>
              </w:rPr>
              <w:t>2.0</w:t>
            </w:r>
            <w:r>
              <w:rPr>
                <w:rFonts w:hint="eastAsia"/>
              </w:rPr>
              <w:t>分、中</w:t>
            </w:r>
            <w:r>
              <w:t xml:space="preserve"> 0.1</w:t>
            </w:r>
            <w:r>
              <w:rPr>
                <w:rFonts w:hint="eastAsia"/>
              </w:rPr>
              <w:t>～</w:t>
            </w:r>
            <w:r>
              <w:t>0.</w:t>
            </w:r>
            <w:r>
              <w:rPr>
                <w:lang w:val="en-US"/>
              </w:rPr>
              <w:t>8</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131"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工程质量管理体系及保证措施</w:t>
            </w:r>
          </w:p>
        </w:tc>
        <w:tc>
          <w:tcPr>
            <w:tcW w:w="595" w:type="dxa"/>
            <w:vAlign w:val="bottom"/>
          </w:tcPr>
          <w:p>
            <w:pPr>
              <w:spacing w:line="240" w:lineRule="atLeast"/>
              <w:jc w:val="center"/>
              <w:rPr>
                <w:rFonts w:cs="Times New Roman"/>
                <w:sz w:val="21"/>
                <w:szCs w:val="21"/>
              </w:rPr>
            </w:pPr>
            <w:r>
              <w:rPr>
                <w:sz w:val="21"/>
                <w:szCs w:val="21"/>
              </w:rPr>
              <w:t>3</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有质量管理体系、保证措施可行，在此基础上，管理体系周全、保证措施有针对性。</w:t>
            </w:r>
            <w:r>
              <w:rPr>
                <w:rFonts w:hint="eastAsia"/>
                <w:spacing w:val="1"/>
              </w:rPr>
              <w:t>（满分</w:t>
            </w:r>
            <w:r>
              <w:rPr>
                <w:spacing w:val="1"/>
                <w:lang w:val="en-US"/>
              </w:rPr>
              <w:t>3</w:t>
            </w:r>
            <w:r>
              <w:rPr>
                <w:rFonts w:hint="eastAsia"/>
                <w:spacing w:val="1"/>
              </w:rPr>
              <w:t>分）</w:t>
            </w:r>
            <w:r>
              <w:rPr>
                <w:rFonts w:hint="eastAsia"/>
              </w:rPr>
              <w:t>（优</w:t>
            </w:r>
            <w:r>
              <w:rPr>
                <w:lang w:val="en-US"/>
              </w:rPr>
              <w:t>2.1</w:t>
            </w:r>
            <w:r>
              <w:rPr>
                <w:rFonts w:hint="eastAsia"/>
              </w:rPr>
              <w:t>～</w:t>
            </w:r>
            <w:r>
              <w:rPr>
                <w:lang w:val="en-US"/>
              </w:rPr>
              <w:t>3</w:t>
            </w:r>
            <w:r>
              <w:rPr>
                <w:rFonts w:hint="eastAsia"/>
              </w:rPr>
              <w:t>分、良</w:t>
            </w:r>
            <w:r>
              <w:rPr>
                <w:lang w:val="en-US"/>
              </w:rPr>
              <w:t>0.9</w:t>
            </w:r>
            <w:r>
              <w:rPr>
                <w:rFonts w:hint="eastAsia"/>
              </w:rPr>
              <w:t>～</w:t>
            </w:r>
            <w:r>
              <w:rPr>
                <w:lang w:val="en-US"/>
              </w:rPr>
              <w:t>2.0</w:t>
            </w:r>
            <w:r>
              <w:rPr>
                <w:rFonts w:hint="eastAsia"/>
              </w:rPr>
              <w:t>分、中</w:t>
            </w:r>
            <w:r>
              <w:t xml:space="preserve"> 0.1</w:t>
            </w:r>
            <w:r>
              <w:rPr>
                <w:rFonts w:hint="eastAsia"/>
              </w:rPr>
              <w:t>～</w:t>
            </w:r>
            <w:r>
              <w:t>0.</w:t>
            </w:r>
            <w:r>
              <w:rPr>
                <w:lang w:val="en-US"/>
              </w:rPr>
              <w:t>8</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131"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安全生产管理体系及保证措施</w:t>
            </w:r>
          </w:p>
        </w:tc>
        <w:tc>
          <w:tcPr>
            <w:tcW w:w="595" w:type="dxa"/>
            <w:vAlign w:val="center"/>
          </w:tcPr>
          <w:p>
            <w:pPr>
              <w:spacing w:line="239" w:lineRule="auto"/>
              <w:jc w:val="center"/>
              <w:rPr>
                <w:rFonts w:cs="Times New Roman"/>
                <w:sz w:val="21"/>
                <w:szCs w:val="21"/>
              </w:rPr>
            </w:pPr>
            <w:r>
              <w:rPr>
                <w:sz w:val="21"/>
                <w:szCs w:val="21"/>
              </w:rPr>
              <w:t>3</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有安全生产管理体系、保证措施可行证措施可行，在此基础上，保证体系周全、保证措施有针对性。</w:t>
            </w:r>
            <w:r>
              <w:rPr>
                <w:rFonts w:hint="eastAsia"/>
                <w:spacing w:val="1"/>
              </w:rPr>
              <w:t>（满分</w:t>
            </w:r>
            <w:r>
              <w:rPr>
                <w:spacing w:val="1"/>
                <w:lang w:val="en-US"/>
              </w:rPr>
              <w:t>3</w:t>
            </w:r>
            <w:r>
              <w:rPr>
                <w:rFonts w:hint="eastAsia"/>
                <w:spacing w:val="1"/>
              </w:rPr>
              <w:t>分）</w:t>
            </w:r>
            <w:r>
              <w:rPr>
                <w:rFonts w:hint="eastAsia"/>
              </w:rPr>
              <w:t>（优</w:t>
            </w:r>
            <w:r>
              <w:rPr>
                <w:lang w:val="en-US"/>
              </w:rPr>
              <w:t>2.1</w:t>
            </w:r>
            <w:r>
              <w:rPr>
                <w:rFonts w:hint="eastAsia"/>
              </w:rPr>
              <w:t>～</w:t>
            </w:r>
            <w:r>
              <w:rPr>
                <w:lang w:val="en-US"/>
              </w:rPr>
              <w:t>3</w:t>
            </w:r>
            <w:r>
              <w:rPr>
                <w:rFonts w:hint="eastAsia"/>
              </w:rPr>
              <w:t>分、良</w:t>
            </w:r>
            <w:r>
              <w:rPr>
                <w:lang w:val="en-US"/>
              </w:rPr>
              <w:t>0.9</w:t>
            </w:r>
            <w:r>
              <w:rPr>
                <w:rFonts w:hint="eastAsia"/>
              </w:rPr>
              <w:t>～</w:t>
            </w:r>
            <w:r>
              <w:rPr>
                <w:lang w:val="en-US"/>
              </w:rPr>
              <w:t>2.0</w:t>
            </w:r>
            <w:r>
              <w:rPr>
                <w:rFonts w:hint="eastAsia"/>
              </w:rPr>
              <w:t>分、中</w:t>
            </w:r>
            <w:r>
              <w:t xml:space="preserve"> 0.1</w:t>
            </w:r>
            <w:r>
              <w:rPr>
                <w:rFonts w:hint="eastAsia"/>
              </w:rPr>
              <w:t>～</w:t>
            </w:r>
            <w:r>
              <w:t>0.</w:t>
            </w:r>
            <w:r>
              <w:rPr>
                <w:lang w:val="en-US"/>
              </w:rPr>
              <w:t>8</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26"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环境保护、水土保持保证体系及保证措施</w:t>
            </w:r>
          </w:p>
        </w:tc>
        <w:tc>
          <w:tcPr>
            <w:tcW w:w="595" w:type="dxa"/>
            <w:vAlign w:val="center"/>
          </w:tcPr>
          <w:p>
            <w:pPr>
              <w:spacing w:line="239" w:lineRule="auto"/>
              <w:jc w:val="center"/>
              <w:rPr>
                <w:rFonts w:cs="Times New Roman"/>
                <w:sz w:val="21"/>
                <w:szCs w:val="21"/>
              </w:rPr>
            </w:pPr>
            <w:r>
              <w:rPr>
                <w:sz w:val="21"/>
                <w:szCs w:val="21"/>
              </w:rPr>
              <w:t>2</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有环境保护、水土保持保证体系、保证措施可行，在此基础上，保证体系周全、保证措施有针对性。</w:t>
            </w:r>
            <w:r>
              <w:rPr>
                <w:rFonts w:hint="eastAsia"/>
                <w:spacing w:val="1"/>
              </w:rPr>
              <w:t>（满分</w:t>
            </w:r>
            <w:r>
              <w:rPr>
                <w:spacing w:val="1"/>
                <w:lang w:val="en-US"/>
              </w:rPr>
              <w:t>2</w:t>
            </w:r>
            <w:r>
              <w:rPr>
                <w:rFonts w:hint="eastAsia"/>
                <w:spacing w:val="1"/>
              </w:rPr>
              <w:t>分）</w:t>
            </w:r>
            <w:r>
              <w:rPr>
                <w:rFonts w:hint="eastAsia"/>
              </w:rPr>
              <w:t>（优</w:t>
            </w:r>
            <w:r>
              <w:rPr>
                <w:lang w:val="en-US"/>
              </w:rPr>
              <w:t>1.6</w:t>
            </w:r>
            <w:r>
              <w:rPr>
                <w:rFonts w:hint="eastAsia"/>
              </w:rPr>
              <w:t>～</w:t>
            </w:r>
            <w:r>
              <w:rPr>
                <w:lang w:val="en-US"/>
              </w:rPr>
              <w:t>2</w:t>
            </w:r>
            <w:r>
              <w:rPr>
                <w:rFonts w:hint="eastAsia"/>
              </w:rPr>
              <w:t>分、良</w:t>
            </w:r>
            <w:r>
              <w:rPr>
                <w:lang w:val="en-US"/>
              </w:rPr>
              <w:t>0.5</w:t>
            </w:r>
            <w:r>
              <w:rPr>
                <w:rFonts w:hint="eastAsia"/>
              </w:rPr>
              <w:t>～</w:t>
            </w:r>
            <w:r>
              <w:rPr>
                <w:lang w:val="en-US"/>
              </w:rPr>
              <w:t>1.5</w:t>
            </w:r>
            <w:r>
              <w:rPr>
                <w:rFonts w:hint="eastAsia"/>
              </w:rPr>
              <w:t>分、中</w:t>
            </w:r>
            <w:r>
              <w:t xml:space="preserve"> 0.1</w:t>
            </w:r>
            <w:r>
              <w:rPr>
                <w:rFonts w:hint="eastAsia"/>
              </w:rPr>
              <w:t>～</w:t>
            </w:r>
            <w:r>
              <w:t>0.</w:t>
            </w:r>
            <w:r>
              <w:rPr>
                <w:lang w:val="en-US"/>
              </w:rPr>
              <w:t>4</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996"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文明施工、文物保护保证体系及保证措施</w:t>
            </w:r>
          </w:p>
        </w:tc>
        <w:tc>
          <w:tcPr>
            <w:tcW w:w="595" w:type="dxa"/>
            <w:vAlign w:val="center"/>
          </w:tcPr>
          <w:p>
            <w:pPr>
              <w:spacing w:line="239" w:lineRule="auto"/>
              <w:jc w:val="center"/>
              <w:rPr>
                <w:rFonts w:cs="Times New Roman"/>
                <w:sz w:val="21"/>
                <w:szCs w:val="21"/>
              </w:rPr>
            </w:pPr>
            <w:r>
              <w:rPr>
                <w:sz w:val="21"/>
                <w:szCs w:val="21"/>
              </w:rPr>
              <w:t>2</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有环境保护、水土保持保证体系、保证措施可行，在此基础上，保证体系周全、保证措施有针对性。</w:t>
            </w:r>
            <w:r>
              <w:rPr>
                <w:rFonts w:hint="eastAsia"/>
                <w:spacing w:val="1"/>
              </w:rPr>
              <w:t>（满分</w:t>
            </w:r>
            <w:r>
              <w:rPr>
                <w:spacing w:val="1"/>
                <w:lang w:val="en-US"/>
              </w:rPr>
              <w:t>2</w:t>
            </w:r>
            <w:r>
              <w:rPr>
                <w:rFonts w:hint="eastAsia"/>
                <w:spacing w:val="1"/>
              </w:rPr>
              <w:t>分）</w:t>
            </w:r>
            <w:r>
              <w:rPr>
                <w:rFonts w:hint="eastAsia"/>
              </w:rPr>
              <w:t>（优</w:t>
            </w:r>
            <w:r>
              <w:rPr>
                <w:lang w:val="en-US"/>
              </w:rPr>
              <w:t>1.6</w:t>
            </w:r>
            <w:r>
              <w:rPr>
                <w:rFonts w:hint="eastAsia"/>
              </w:rPr>
              <w:t>～</w:t>
            </w:r>
            <w:r>
              <w:rPr>
                <w:lang w:val="en-US"/>
              </w:rPr>
              <w:t>2</w:t>
            </w:r>
            <w:r>
              <w:rPr>
                <w:rFonts w:hint="eastAsia"/>
              </w:rPr>
              <w:t>分、良</w:t>
            </w:r>
            <w:r>
              <w:rPr>
                <w:lang w:val="en-US"/>
              </w:rPr>
              <w:t>0.5</w:t>
            </w:r>
            <w:r>
              <w:rPr>
                <w:rFonts w:hint="eastAsia"/>
              </w:rPr>
              <w:t>～</w:t>
            </w:r>
            <w:r>
              <w:rPr>
                <w:lang w:val="en-US"/>
              </w:rPr>
              <w:t>1.5</w:t>
            </w:r>
            <w:r>
              <w:rPr>
                <w:rFonts w:hint="eastAsia"/>
              </w:rPr>
              <w:t>分、中</w:t>
            </w:r>
            <w:r>
              <w:t xml:space="preserve"> 0.1</w:t>
            </w:r>
            <w:r>
              <w:rPr>
                <w:rFonts w:hint="eastAsia"/>
              </w:rPr>
              <w:t>～</w:t>
            </w:r>
            <w:r>
              <w:t>0.</w:t>
            </w:r>
            <w:r>
              <w:rPr>
                <w:lang w:val="en-US"/>
              </w:rPr>
              <w:t>4</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996" w:hRule="atLeast"/>
        </w:trPr>
        <w:tc>
          <w:tcPr>
            <w:tcW w:w="681" w:type="dxa"/>
            <w:gridSpan w:val="2"/>
            <w:vMerge w:val="continue"/>
            <w:vAlign w:val="center"/>
          </w:tcPr>
          <w:p>
            <w:pPr>
              <w:spacing w:line="239" w:lineRule="auto"/>
              <w:rPr>
                <w:rFonts w:cs="Times New Roman"/>
                <w:sz w:val="21"/>
                <w:szCs w:val="21"/>
              </w:rPr>
            </w:pPr>
          </w:p>
        </w:tc>
        <w:tc>
          <w:tcPr>
            <w:tcW w:w="1101" w:type="dxa"/>
            <w:vMerge w:val="continue"/>
            <w:vAlign w:val="center"/>
          </w:tcPr>
          <w:p>
            <w:pPr>
              <w:spacing w:line="239" w:lineRule="auto"/>
              <w:rPr>
                <w:rFonts w:cs="Times New Roman"/>
                <w:sz w:val="21"/>
                <w:szCs w:val="21"/>
              </w:rPr>
            </w:pPr>
          </w:p>
        </w:tc>
        <w:tc>
          <w:tcPr>
            <w:tcW w:w="1718" w:type="dxa"/>
            <w:gridSpan w:val="2"/>
            <w:vAlign w:val="center"/>
          </w:tcPr>
          <w:p>
            <w:pPr>
              <w:spacing w:line="239" w:lineRule="auto"/>
              <w:jc w:val="center"/>
              <w:rPr>
                <w:rFonts w:cs="Times New Roman"/>
                <w:sz w:val="21"/>
                <w:szCs w:val="21"/>
              </w:rPr>
            </w:pPr>
            <w:r>
              <w:rPr>
                <w:rFonts w:hint="eastAsia"/>
                <w:sz w:val="21"/>
                <w:szCs w:val="21"/>
              </w:rPr>
              <w:t>项目风险预测与防范，事故应急预案</w:t>
            </w:r>
          </w:p>
        </w:tc>
        <w:tc>
          <w:tcPr>
            <w:tcW w:w="595" w:type="dxa"/>
            <w:vAlign w:val="center"/>
          </w:tcPr>
          <w:p>
            <w:pPr>
              <w:spacing w:line="239" w:lineRule="auto"/>
              <w:jc w:val="center"/>
              <w:rPr>
                <w:rFonts w:cs="Times New Roman"/>
                <w:sz w:val="21"/>
                <w:szCs w:val="21"/>
              </w:rPr>
            </w:pPr>
            <w:r>
              <w:rPr>
                <w:sz w:val="21"/>
                <w:szCs w:val="21"/>
              </w:rPr>
              <w:t>2</w:t>
            </w:r>
            <w:r>
              <w:rPr>
                <w:rFonts w:hint="eastAsia"/>
                <w:sz w:val="21"/>
                <w:szCs w:val="21"/>
              </w:rPr>
              <w:t>分</w:t>
            </w:r>
          </w:p>
        </w:tc>
        <w:tc>
          <w:tcPr>
            <w:tcW w:w="5474" w:type="dxa"/>
            <w:vAlign w:val="center"/>
          </w:tcPr>
          <w:p>
            <w:pPr>
              <w:spacing w:line="239" w:lineRule="auto"/>
              <w:rPr>
                <w:rFonts w:cs="Times New Roman"/>
                <w:sz w:val="21"/>
                <w:szCs w:val="21"/>
              </w:rPr>
            </w:pPr>
            <w:r>
              <w:rPr>
                <w:rFonts w:hint="eastAsia"/>
                <w:sz w:val="21"/>
                <w:szCs w:val="21"/>
              </w:rPr>
              <w:t>有项目风险预测与防范，事故应急预案，在此基础上，预案周全、有针对性。</w:t>
            </w:r>
            <w:r>
              <w:rPr>
                <w:rFonts w:hint="eastAsia"/>
                <w:spacing w:val="1"/>
              </w:rPr>
              <w:t>（满分</w:t>
            </w:r>
            <w:r>
              <w:rPr>
                <w:spacing w:val="1"/>
                <w:lang w:val="en-US"/>
              </w:rPr>
              <w:t>2</w:t>
            </w:r>
            <w:r>
              <w:rPr>
                <w:rFonts w:hint="eastAsia"/>
                <w:spacing w:val="1"/>
              </w:rPr>
              <w:t>分）</w:t>
            </w:r>
            <w:r>
              <w:rPr>
                <w:rFonts w:hint="eastAsia"/>
              </w:rPr>
              <w:t>（优</w:t>
            </w:r>
            <w:r>
              <w:rPr>
                <w:lang w:val="en-US"/>
              </w:rPr>
              <w:t>1.6</w:t>
            </w:r>
            <w:r>
              <w:rPr>
                <w:rFonts w:hint="eastAsia"/>
              </w:rPr>
              <w:t>～</w:t>
            </w:r>
            <w:r>
              <w:rPr>
                <w:lang w:val="en-US"/>
              </w:rPr>
              <w:t>2</w:t>
            </w:r>
            <w:r>
              <w:rPr>
                <w:rFonts w:hint="eastAsia"/>
              </w:rPr>
              <w:t>分、良</w:t>
            </w:r>
            <w:r>
              <w:rPr>
                <w:lang w:val="en-US"/>
              </w:rPr>
              <w:t>0.5</w:t>
            </w:r>
            <w:r>
              <w:rPr>
                <w:rFonts w:hint="eastAsia"/>
              </w:rPr>
              <w:t>～</w:t>
            </w:r>
            <w:r>
              <w:rPr>
                <w:lang w:val="en-US"/>
              </w:rPr>
              <w:t>1.5</w:t>
            </w:r>
            <w:r>
              <w:rPr>
                <w:rFonts w:hint="eastAsia"/>
              </w:rPr>
              <w:t>分、中</w:t>
            </w:r>
            <w:r>
              <w:t xml:space="preserve"> 0.1</w:t>
            </w:r>
            <w:r>
              <w:rPr>
                <w:rFonts w:hint="eastAsia"/>
              </w:rPr>
              <w:t>～</w:t>
            </w:r>
            <w:r>
              <w:t>0.</w:t>
            </w:r>
            <w:r>
              <w:rPr>
                <w:lang w:val="en-US"/>
              </w:rPr>
              <w:t>4</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46" w:hRule="atLeast"/>
        </w:trPr>
        <w:tc>
          <w:tcPr>
            <w:tcW w:w="681" w:type="dxa"/>
            <w:gridSpan w:val="2"/>
            <w:tcBorders>
              <w:top w:val="single" w:color="auto" w:sz="4" w:space="0"/>
              <w:bottom w:val="single" w:color="auto" w:sz="4" w:space="0"/>
            </w:tcBorders>
            <w:vAlign w:val="center"/>
          </w:tcPr>
          <w:p>
            <w:pPr>
              <w:spacing w:line="239" w:lineRule="auto"/>
              <w:rPr>
                <w:lang w:val="en-US"/>
              </w:rPr>
            </w:pPr>
            <w:r>
              <w:rPr>
                <w:lang w:val="en-US"/>
              </w:rPr>
              <w:t>3.1.3</w:t>
            </w:r>
          </w:p>
          <w:p>
            <w:pPr>
              <w:spacing w:line="239" w:lineRule="auto"/>
              <w:rPr>
                <w:rFonts w:cs="Times New Roman"/>
                <w:b/>
                <w:bCs/>
              </w:rPr>
            </w:pPr>
            <w:r>
              <w:rPr>
                <w:rFonts w:hint="eastAsia"/>
              </w:rPr>
              <w:t>（</w:t>
            </w:r>
            <w:r>
              <w:rPr>
                <w:lang w:val="en-US"/>
              </w:rPr>
              <w:t>1</w:t>
            </w:r>
            <w:r>
              <w:rPr>
                <w:rFonts w:hint="eastAsia"/>
              </w:rPr>
              <w:t>）</w:t>
            </w:r>
          </w:p>
        </w:tc>
        <w:tc>
          <w:tcPr>
            <w:tcW w:w="1101" w:type="dxa"/>
            <w:tcBorders>
              <w:top w:val="single" w:color="auto" w:sz="4" w:space="0"/>
              <w:bottom w:val="single" w:color="auto" w:sz="4" w:space="0"/>
            </w:tcBorders>
            <w:vAlign w:val="center"/>
          </w:tcPr>
          <w:p>
            <w:pPr>
              <w:spacing w:line="239" w:lineRule="auto"/>
              <w:rPr>
                <w:rFonts w:cs="Times New Roman"/>
                <w:b/>
                <w:bCs/>
              </w:rPr>
            </w:pPr>
            <w:r>
              <w:rPr>
                <w:rFonts w:hint="eastAsia"/>
                <w:b/>
                <w:bCs/>
              </w:rPr>
              <w:t>主要人员（满分</w:t>
            </w:r>
            <w:r>
              <w:rPr>
                <w:b/>
                <w:bCs/>
                <w:lang w:val="en-US"/>
              </w:rPr>
              <w:t>5</w:t>
            </w:r>
            <w:r>
              <w:rPr>
                <w:rFonts w:hint="eastAsia"/>
                <w:b/>
                <w:bCs/>
              </w:rPr>
              <w:t>分）</w:t>
            </w:r>
          </w:p>
        </w:tc>
        <w:tc>
          <w:tcPr>
            <w:tcW w:w="1718" w:type="dxa"/>
            <w:gridSpan w:val="2"/>
            <w:tcBorders>
              <w:top w:val="single" w:color="auto" w:sz="4" w:space="0"/>
            </w:tcBorders>
            <w:vAlign w:val="center"/>
          </w:tcPr>
          <w:p>
            <w:pPr>
              <w:pStyle w:val="50"/>
              <w:jc w:val="both"/>
              <w:rPr>
                <w:rFonts w:cs="Times New Roman"/>
                <w:sz w:val="21"/>
                <w:szCs w:val="21"/>
              </w:rPr>
            </w:pPr>
            <w:r>
              <w:rPr>
                <w:rFonts w:hint="eastAsia"/>
              </w:rPr>
              <w:t>项目经理任职资格</w:t>
            </w:r>
          </w:p>
        </w:tc>
        <w:tc>
          <w:tcPr>
            <w:tcW w:w="595" w:type="dxa"/>
            <w:tcBorders>
              <w:right w:val="single" w:color="000000" w:sz="12" w:space="0"/>
            </w:tcBorders>
            <w:vAlign w:val="center"/>
          </w:tcPr>
          <w:p>
            <w:pPr>
              <w:pStyle w:val="50"/>
              <w:jc w:val="center"/>
              <w:rPr>
                <w:rFonts w:cs="Times New Roman"/>
                <w:sz w:val="21"/>
                <w:szCs w:val="21"/>
              </w:rPr>
            </w:pPr>
            <w:r>
              <w:rPr>
                <w:lang w:val="en-US"/>
              </w:rPr>
              <w:t>5</w:t>
            </w:r>
            <w:r>
              <w:rPr>
                <w:rFonts w:hint="eastAsia"/>
              </w:rPr>
              <w:t>分</w:t>
            </w:r>
          </w:p>
        </w:tc>
        <w:tc>
          <w:tcPr>
            <w:tcW w:w="5474" w:type="dxa"/>
            <w:vAlign w:val="center"/>
          </w:tcPr>
          <w:p>
            <w:pPr>
              <w:pStyle w:val="50"/>
              <w:ind w:left="107" w:firstLine="420"/>
              <w:jc w:val="both"/>
              <w:rPr>
                <w:rFonts w:cs="Times New Roman"/>
                <w:sz w:val="21"/>
                <w:szCs w:val="21"/>
              </w:rPr>
            </w:pPr>
            <w:r>
              <w:rPr>
                <w:rFonts w:hint="eastAsia"/>
              </w:rPr>
              <w:t>满足最低要求可得基本分</w:t>
            </w:r>
            <w:r>
              <w:rPr>
                <w:lang w:val="en-US"/>
              </w:rPr>
              <w:t>5</w:t>
            </w:r>
            <w:r>
              <w:rPr>
                <w:rFonts w:hint="eastAsia"/>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886" w:hRule="atLeast"/>
        </w:trPr>
        <w:tc>
          <w:tcPr>
            <w:tcW w:w="681" w:type="dxa"/>
            <w:gridSpan w:val="2"/>
            <w:tcBorders>
              <w:top w:val="single" w:color="auto" w:sz="4" w:space="0"/>
              <w:bottom w:val="single" w:color="auto" w:sz="4" w:space="0"/>
            </w:tcBorders>
            <w:vAlign w:val="center"/>
          </w:tcPr>
          <w:p>
            <w:pPr>
              <w:spacing w:line="239" w:lineRule="auto"/>
              <w:rPr>
                <w:rFonts w:cs="Times New Roman"/>
                <w:sz w:val="21"/>
                <w:szCs w:val="21"/>
              </w:rPr>
            </w:pPr>
          </w:p>
          <w:p>
            <w:pPr>
              <w:spacing w:line="239" w:lineRule="auto"/>
              <w:rPr>
                <w:rFonts w:cs="Times New Roman"/>
                <w:sz w:val="21"/>
                <w:szCs w:val="21"/>
              </w:rPr>
            </w:pPr>
          </w:p>
          <w:p>
            <w:pPr>
              <w:spacing w:line="239" w:lineRule="auto"/>
              <w:rPr>
                <w:rFonts w:cs="Times New Roman"/>
                <w:sz w:val="21"/>
                <w:szCs w:val="21"/>
              </w:rPr>
            </w:pPr>
          </w:p>
          <w:p>
            <w:pPr>
              <w:spacing w:line="239" w:lineRule="auto"/>
              <w:rPr>
                <w:sz w:val="21"/>
                <w:szCs w:val="21"/>
                <w:lang w:val="en-US"/>
              </w:rPr>
            </w:pPr>
            <w:r>
              <w:rPr>
                <w:sz w:val="21"/>
                <w:szCs w:val="21"/>
                <w:lang w:val="en-US"/>
              </w:rPr>
              <w:t>3.1.3</w:t>
            </w:r>
          </w:p>
          <w:p>
            <w:pPr>
              <w:spacing w:line="239" w:lineRule="auto"/>
              <w:rPr>
                <w:rFonts w:cs="Times New Roman"/>
                <w:sz w:val="21"/>
                <w:szCs w:val="21"/>
              </w:rPr>
            </w:pPr>
            <w:r>
              <w:rPr>
                <w:rFonts w:hint="eastAsia"/>
                <w:sz w:val="21"/>
                <w:szCs w:val="21"/>
              </w:rPr>
              <w:t>（</w:t>
            </w:r>
            <w:r>
              <w:rPr>
                <w:sz w:val="21"/>
                <w:szCs w:val="21"/>
                <w:lang w:val="en-US"/>
              </w:rPr>
              <w:t>2</w:t>
            </w:r>
            <w:r>
              <w:rPr>
                <w:rFonts w:hint="eastAsia"/>
                <w:sz w:val="21"/>
                <w:szCs w:val="21"/>
              </w:rPr>
              <w:t>）</w:t>
            </w:r>
          </w:p>
          <w:p>
            <w:pPr>
              <w:spacing w:line="239" w:lineRule="auto"/>
              <w:rPr>
                <w:rFonts w:cs="Times New Roman"/>
                <w:sz w:val="21"/>
                <w:szCs w:val="21"/>
              </w:rPr>
            </w:pPr>
          </w:p>
          <w:p>
            <w:pPr>
              <w:spacing w:line="239" w:lineRule="auto"/>
              <w:rPr>
                <w:rFonts w:cs="Times New Roman"/>
                <w:sz w:val="21"/>
                <w:szCs w:val="21"/>
              </w:rPr>
            </w:pPr>
          </w:p>
          <w:p>
            <w:pPr>
              <w:spacing w:line="239" w:lineRule="auto"/>
              <w:rPr>
                <w:rFonts w:cs="Times New Roman"/>
                <w:sz w:val="21"/>
                <w:szCs w:val="21"/>
              </w:rPr>
            </w:pPr>
          </w:p>
          <w:p>
            <w:pPr>
              <w:spacing w:line="239" w:lineRule="auto"/>
              <w:rPr>
                <w:rFonts w:cs="Times New Roman"/>
                <w:sz w:val="21"/>
                <w:szCs w:val="21"/>
              </w:rPr>
            </w:pPr>
          </w:p>
        </w:tc>
        <w:tc>
          <w:tcPr>
            <w:tcW w:w="1101" w:type="dxa"/>
            <w:tcBorders>
              <w:top w:val="single" w:color="auto" w:sz="4" w:space="0"/>
              <w:bottom w:val="single" w:color="auto" w:sz="4" w:space="0"/>
            </w:tcBorders>
            <w:vAlign w:val="center"/>
          </w:tcPr>
          <w:p>
            <w:pPr>
              <w:snapToGrid w:val="0"/>
              <w:ind w:left="113" w:right="113"/>
              <w:jc w:val="both"/>
              <w:rPr>
                <w:rFonts w:cs="Times New Roman"/>
                <w:b/>
                <w:bCs/>
              </w:rPr>
            </w:pPr>
            <w:r>
              <w:rPr>
                <w:rFonts w:hint="eastAsia"/>
                <w:b/>
                <w:bCs/>
              </w:rPr>
              <w:t>企业信誉评价</w:t>
            </w:r>
            <w:r>
              <w:rPr>
                <w:rFonts w:hint="eastAsia"/>
              </w:rPr>
              <w:t>（</w:t>
            </w:r>
            <w:r>
              <w:rPr>
                <w:rFonts w:hint="eastAsia"/>
                <w:b/>
                <w:bCs/>
              </w:rPr>
              <w:t>满</w:t>
            </w:r>
            <w:r>
              <w:rPr>
                <w:b/>
                <w:bCs/>
                <w:lang w:val="en-US"/>
              </w:rPr>
              <w:t>5</w:t>
            </w:r>
            <w:r>
              <w:rPr>
                <w:rFonts w:hint="eastAsia"/>
                <w:b/>
                <w:bCs/>
              </w:rPr>
              <w:t>分</w:t>
            </w:r>
            <w:r>
              <w:rPr>
                <w:rFonts w:hint="eastAsia"/>
              </w:rPr>
              <w:t>）</w:t>
            </w:r>
          </w:p>
        </w:tc>
        <w:tc>
          <w:tcPr>
            <w:tcW w:w="1718" w:type="dxa"/>
            <w:gridSpan w:val="2"/>
            <w:tcBorders>
              <w:top w:val="single" w:color="auto" w:sz="4" w:space="0"/>
            </w:tcBorders>
            <w:vAlign w:val="center"/>
          </w:tcPr>
          <w:p>
            <w:pPr>
              <w:spacing w:line="239" w:lineRule="auto"/>
              <w:jc w:val="center"/>
              <w:rPr>
                <w:rFonts w:cs="Times New Roman"/>
              </w:rPr>
            </w:pPr>
            <w:r>
              <w:rPr>
                <w:rFonts w:hint="eastAsia"/>
                <w:color w:val="000000"/>
              </w:rPr>
              <w:t>桂林市公路建设市场信用评价</w:t>
            </w:r>
          </w:p>
        </w:tc>
        <w:tc>
          <w:tcPr>
            <w:tcW w:w="595" w:type="dxa"/>
            <w:tcBorders>
              <w:right w:val="single" w:color="000000" w:sz="12" w:space="0"/>
            </w:tcBorders>
            <w:vAlign w:val="center"/>
          </w:tcPr>
          <w:p>
            <w:pPr>
              <w:spacing w:line="239" w:lineRule="auto"/>
              <w:jc w:val="center"/>
              <w:rPr>
                <w:rFonts w:cs="Times New Roman"/>
                <w:sz w:val="21"/>
                <w:szCs w:val="21"/>
                <w:lang w:val="en-US"/>
              </w:rPr>
            </w:pPr>
            <w:r>
              <w:rPr>
                <w:color w:val="000000"/>
                <w:lang w:val="en-US"/>
              </w:rPr>
              <w:t>5</w:t>
            </w:r>
            <w:r>
              <w:rPr>
                <w:color w:val="000000"/>
              </w:rPr>
              <w:t xml:space="preserve"> </w:t>
            </w:r>
            <w:r>
              <w:rPr>
                <w:rFonts w:hint="eastAsia"/>
                <w:color w:val="000000"/>
              </w:rPr>
              <w:t>分</w:t>
            </w:r>
          </w:p>
        </w:tc>
        <w:tc>
          <w:tcPr>
            <w:tcW w:w="5474" w:type="dxa"/>
            <w:vAlign w:val="center"/>
          </w:tcPr>
          <w:p>
            <w:pPr>
              <w:spacing w:line="239" w:lineRule="auto"/>
              <w:rPr>
                <w:rFonts w:cs="Times New Roman"/>
              </w:rPr>
            </w:pPr>
            <w:r>
              <w:rPr>
                <w:rFonts w:hint="eastAsia"/>
                <w:color w:val="000000"/>
                <w:spacing w:val="-5"/>
              </w:rPr>
              <w:t>信用评价等级属</w:t>
            </w:r>
            <w:r>
              <w:rPr>
                <w:color w:val="000000"/>
                <w:spacing w:val="-5"/>
              </w:rPr>
              <w:t xml:space="preserve"> AA </w:t>
            </w:r>
            <w:r>
              <w:rPr>
                <w:rFonts w:hint="eastAsia"/>
                <w:color w:val="000000"/>
                <w:spacing w:val="-5"/>
              </w:rPr>
              <w:t>级的企业，信用评价得</w:t>
            </w:r>
            <w:r>
              <w:rPr>
                <w:color w:val="000000"/>
                <w:spacing w:val="-5"/>
                <w:lang w:val="en-US"/>
              </w:rPr>
              <w:t>5</w:t>
            </w:r>
            <w:r>
              <w:rPr>
                <w:rFonts w:hint="eastAsia"/>
                <w:color w:val="000000"/>
                <w:spacing w:val="-5"/>
              </w:rPr>
              <w:t>分；属</w:t>
            </w:r>
            <w:r>
              <w:rPr>
                <w:color w:val="000000"/>
                <w:spacing w:val="-5"/>
              </w:rPr>
              <w:t xml:space="preserve"> A </w:t>
            </w:r>
            <w:r>
              <w:rPr>
                <w:rFonts w:hint="eastAsia"/>
                <w:color w:val="000000"/>
                <w:spacing w:val="-5"/>
              </w:rPr>
              <w:t>级的企业，信用评价得</w:t>
            </w:r>
            <w:r>
              <w:rPr>
                <w:color w:val="000000"/>
                <w:spacing w:val="-5"/>
                <w:lang w:val="en-US"/>
              </w:rPr>
              <w:t>4</w:t>
            </w:r>
            <w:r>
              <w:rPr>
                <w:rFonts w:hint="eastAsia"/>
                <w:color w:val="000000"/>
                <w:spacing w:val="-5"/>
              </w:rPr>
              <w:t>分；属</w:t>
            </w:r>
            <w:r>
              <w:rPr>
                <w:color w:val="000000"/>
                <w:spacing w:val="-5"/>
              </w:rPr>
              <w:t xml:space="preserve"> B </w:t>
            </w:r>
            <w:r>
              <w:rPr>
                <w:rFonts w:hint="eastAsia"/>
                <w:color w:val="000000"/>
                <w:spacing w:val="-5"/>
              </w:rPr>
              <w:t>级的企业，信用评价得</w:t>
            </w:r>
            <w:r>
              <w:rPr>
                <w:color w:val="000000"/>
                <w:spacing w:val="-5"/>
                <w:lang w:val="en-US"/>
              </w:rPr>
              <w:t>3</w:t>
            </w:r>
            <w:r>
              <w:rPr>
                <w:color w:val="000000"/>
                <w:spacing w:val="-5"/>
              </w:rPr>
              <w:t xml:space="preserve"> </w:t>
            </w:r>
            <w:r>
              <w:rPr>
                <w:rFonts w:hint="eastAsia"/>
                <w:color w:val="000000"/>
                <w:spacing w:val="-5"/>
              </w:rPr>
              <w:t>分；</w:t>
            </w:r>
            <w:r>
              <w:rPr>
                <w:color w:val="000000"/>
                <w:spacing w:val="-5"/>
              </w:rPr>
              <w:t xml:space="preserve"> </w:t>
            </w:r>
            <w:r>
              <w:rPr>
                <w:rFonts w:hint="eastAsia"/>
                <w:color w:val="000000"/>
                <w:spacing w:val="-5"/>
              </w:rPr>
              <w:t>属</w:t>
            </w:r>
            <w:r>
              <w:rPr>
                <w:color w:val="000000"/>
                <w:spacing w:val="-5"/>
              </w:rPr>
              <w:t xml:space="preserve"> C </w:t>
            </w:r>
            <w:r>
              <w:rPr>
                <w:rFonts w:hint="eastAsia"/>
                <w:color w:val="000000"/>
                <w:spacing w:val="-5"/>
              </w:rPr>
              <w:t>级的企业，信用评价得</w:t>
            </w:r>
            <w:r>
              <w:rPr>
                <w:color w:val="000000"/>
                <w:spacing w:val="-5"/>
              </w:rPr>
              <w:t xml:space="preserve"> 0 </w:t>
            </w:r>
            <w:r>
              <w:rPr>
                <w:rFonts w:hint="eastAsia"/>
                <w:color w:val="000000"/>
                <w:spacing w:val="-5"/>
              </w:rPr>
              <w:t>分。投标单位的信用评价等级按照桂林市交通运输局《桂林市农村公路建设市场从业单位信用评价实施细则的通知》（市交</w:t>
            </w:r>
            <w:r>
              <w:rPr>
                <w:color w:val="000000"/>
                <w:spacing w:val="-5"/>
              </w:rPr>
              <w:t xml:space="preserve">[2015]70 </w:t>
            </w:r>
            <w:r>
              <w:rPr>
                <w:rFonts w:hint="eastAsia"/>
                <w:color w:val="000000"/>
                <w:spacing w:val="-5"/>
              </w:rPr>
              <w:t>号）有关规定执行并以桂林市交通运输局在本项目投标文件递交截止时间前最新公布的桂林市农村公路建设市场施工企业信用等级评定结果为准。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886" w:hRule="atLeast"/>
        </w:trPr>
        <w:tc>
          <w:tcPr>
            <w:tcW w:w="667" w:type="dxa"/>
            <w:tcBorders>
              <w:top w:val="single" w:color="auto" w:sz="4" w:space="0"/>
              <w:bottom w:val="single" w:color="auto" w:sz="4" w:space="0"/>
            </w:tcBorders>
            <w:vAlign w:val="center"/>
          </w:tcPr>
          <w:p>
            <w:pPr>
              <w:spacing w:line="239" w:lineRule="auto"/>
              <w:rPr>
                <w:rFonts w:cs="Times New Roman"/>
                <w:sz w:val="21"/>
                <w:szCs w:val="21"/>
              </w:rPr>
            </w:pPr>
            <w:r>
              <w:rPr>
                <w:sz w:val="21"/>
                <w:szCs w:val="21"/>
                <w:lang w:val="en-US"/>
              </w:rPr>
              <w:t>3.2.1</w:t>
            </w:r>
          </w:p>
        </w:tc>
        <w:tc>
          <w:tcPr>
            <w:tcW w:w="1115" w:type="dxa"/>
            <w:gridSpan w:val="2"/>
            <w:tcBorders>
              <w:top w:val="single" w:color="auto" w:sz="4" w:space="0"/>
              <w:bottom w:val="single" w:color="auto" w:sz="4" w:space="0"/>
            </w:tcBorders>
            <w:vAlign w:val="center"/>
          </w:tcPr>
          <w:p>
            <w:pPr>
              <w:spacing w:line="239" w:lineRule="auto"/>
              <w:rPr>
                <w:rFonts w:cs="Times New Roman"/>
              </w:rPr>
            </w:pPr>
            <w:r>
              <w:rPr>
                <w:rFonts w:hint="eastAsia"/>
                <w:sz w:val="21"/>
                <w:szCs w:val="21"/>
              </w:rPr>
              <w:t>形式评审与响应性评审标准</w:t>
            </w:r>
          </w:p>
        </w:tc>
        <w:tc>
          <w:tcPr>
            <w:tcW w:w="7787" w:type="dxa"/>
            <w:gridSpan w:val="4"/>
            <w:tcBorders>
              <w:top w:val="single" w:color="auto" w:sz="4" w:space="0"/>
            </w:tcBorders>
            <w:vAlign w:val="center"/>
          </w:tcPr>
          <w:p>
            <w:pPr>
              <w:spacing w:line="240" w:lineRule="atLeast"/>
              <w:rPr>
                <w:rFonts w:cs="Times New Roman"/>
                <w:b/>
                <w:bCs/>
                <w:sz w:val="24"/>
                <w:szCs w:val="24"/>
              </w:rPr>
            </w:pPr>
            <w:r>
              <w:rPr>
                <w:rFonts w:hint="eastAsia"/>
                <w:b/>
                <w:bCs/>
                <w:sz w:val="24"/>
                <w:szCs w:val="24"/>
              </w:rPr>
              <w:t>第二个信封（报价文件）评审标准</w:t>
            </w:r>
          </w:p>
          <w:p>
            <w:pPr>
              <w:spacing w:line="67" w:lineRule="exact"/>
              <w:rPr>
                <w:rFonts w:ascii="Times New Roman" w:hAnsi="Times New Roman" w:cs="Times New Roman"/>
              </w:rPr>
            </w:pPr>
          </w:p>
          <w:p>
            <w:pPr>
              <w:spacing w:line="360" w:lineRule="auto"/>
              <w:ind w:right="20"/>
              <w:rPr>
                <w:rFonts w:ascii="Times New Roman" w:hAnsi="Times New Roman" w:cs="Times New Roman"/>
              </w:rPr>
            </w:pPr>
            <w:r>
              <w:rPr>
                <w:rFonts w:hint="eastAsia"/>
                <w:sz w:val="21"/>
                <w:szCs w:val="21"/>
              </w:rPr>
              <w:t>（</w:t>
            </w:r>
            <w:r>
              <w:rPr>
                <w:sz w:val="21"/>
                <w:szCs w:val="21"/>
              </w:rPr>
              <w:t>1</w:t>
            </w:r>
            <w:r>
              <w:rPr>
                <w:rFonts w:hint="eastAsia"/>
                <w:sz w:val="21"/>
                <w:szCs w:val="21"/>
              </w:rPr>
              <w:t>）投标文件组成齐全完整，按照招标文件规定的格式、内容填写，字迹清晰可辨。</w:t>
            </w:r>
          </w:p>
          <w:p>
            <w:pPr>
              <w:numPr>
                <w:ilvl w:val="0"/>
                <w:numId w:val="21"/>
              </w:numPr>
              <w:spacing w:line="360" w:lineRule="auto"/>
              <w:rPr>
                <w:rFonts w:cs="Times New Roman"/>
                <w:sz w:val="21"/>
                <w:szCs w:val="21"/>
              </w:rPr>
            </w:pPr>
            <w:r>
              <w:rPr>
                <w:rFonts w:hint="eastAsia"/>
                <w:sz w:val="21"/>
                <w:szCs w:val="21"/>
              </w:rPr>
              <w:t>投标文件上法定代表人或其授权代理人的签字、投标人的单位盖章齐全，符合招标文件规定：</w:t>
            </w:r>
          </w:p>
          <w:p>
            <w:pPr>
              <w:tabs>
                <w:tab w:val="left" w:pos="1215"/>
              </w:tabs>
              <w:spacing w:line="360" w:lineRule="auto"/>
              <w:ind w:right="20"/>
              <w:jc w:val="both"/>
              <w:rPr>
                <w:rFonts w:cs="Times New Roman"/>
                <w:sz w:val="38"/>
                <w:szCs w:val="38"/>
                <w:vertAlign w:val="subscript"/>
              </w:rPr>
            </w:pPr>
            <w:r>
              <w:rPr>
                <w:rFonts w:hint="eastAsia"/>
                <w:sz w:val="19"/>
                <w:szCs w:val="19"/>
              </w:rPr>
              <w:t>（</w:t>
            </w:r>
            <w:r>
              <w:rPr>
                <w:sz w:val="21"/>
                <w:szCs w:val="21"/>
              </w:rPr>
              <w:t>3</w:t>
            </w:r>
            <w:r>
              <w:rPr>
                <w:rFonts w:hint="eastAsia"/>
                <w:sz w:val="21"/>
                <w:szCs w:val="21"/>
              </w:rPr>
              <w:t>）投标函按招标文件规定填报了投标价、已标价的工程量清单（包括工程量</w:t>
            </w:r>
            <w:r>
              <w:rPr>
                <w:sz w:val="21"/>
                <w:szCs w:val="21"/>
              </w:rPr>
              <w:t xml:space="preserve"> </w:t>
            </w:r>
            <w:r>
              <w:rPr>
                <w:rFonts w:hint="eastAsia"/>
                <w:sz w:val="21"/>
                <w:szCs w:val="21"/>
              </w:rPr>
              <w:t>清单说明、投标报价说明及工程量清单表</w:t>
            </w:r>
            <w:r>
              <w:rPr>
                <w:sz w:val="21"/>
                <w:szCs w:val="21"/>
              </w:rPr>
              <w:t xml:space="preserve"> 5.1</w:t>
            </w:r>
            <w:r>
              <w:rPr>
                <w:rFonts w:hint="eastAsia"/>
                <w:sz w:val="21"/>
                <w:szCs w:val="21"/>
              </w:rPr>
              <w:t>、表</w:t>
            </w:r>
            <w:r>
              <w:rPr>
                <w:sz w:val="21"/>
                <w:szCs w:val="21"/>
              </w:rPr>
              <w:t xml:space="preserve"> 5.4</w:t>
            </w:r>
            <w:r>
              <w:rPr>
                <w:rFonts w:hint="eastAsia"/>
                <w:sz w:val="21"/>
                <w:szCs w:val="21"/>
              </w:rPr>
              <w:t>、表</w:t>
            </w:r>
            <w:r>
              <w:rPr>
                <w:sz w:val="21"/>
                <w:szCs w:val="21"/>
              </w:rPr>
              <w:t xml:space="preserve"> 5.5</w:t>
            </w:r>
            <w:r>
              <w:rPr>
                <w:rFonts w:hint="eastAsia"/>
                <w:sz w:val="21"/>
                <w:szCs w:val="21"/>
              </w:rPr>
              <w:t>）的内容，应由投标人的法定代表人或其委托代理人逐页签署姓名（本页正文内容已由投标人的法定代表人或其委托代理人签署姓名的可不签署）并逐页加盖投标人单位章（本页正文内容已加盖单位章的除外）。已标价工程量清单说明与招标文件规定一致，未进行修改和删减。</w:t>
            </w:r>
          </w:p>
          <w:p>
            <w:pPr>
              <w:spacing w:line="360" w:lineRule="auto"/>
              <w:ind w:right="20"/>
              <w:jc w:val="both"/>
              <w:rPr>
                <w:rFonts w:ascii="Times New Roman" w:hAnsi="Times New Roman" w:cs="Times New Roman"/>
              </w:rPr>
            </w:pPr>
            <w:r>
              <w:rPr>
                <w:rFonts w:hint="eastAsia"/>
                <w:sz w:val="21"/>
                <w:szCs w:val="21"/>
              </w:rPr>
              <w:t>（</w:t>
            </w:r>
            <w:r>
              <w:rPr>
                <w:sz w:val="21"/>
                <w:szCs w:val="21"/>
              </w:rPr>
              <w:t>4</w:t>
            </w:r>
            <w:r>
              <w:rPr>
                <w:rFonts w:hint="eastAsia"/>
                <w:sz w:val="21"/>
                <w:szCs w:val="21"/>
              </w:rPr>
              <w:t>）一份投标文件应只有一个投标报价，在招标文件没有规定的情况下，未提交选择性报价；</w:t>
            </w:r>
          </w:p>
          <w:p>
            <w:pPr>
              <w:tabs>
                <w:tab w:val="left" w:pos="1215"/>
              </w:tabs>
              <w:spacing w:line="360" w:lineRule="auto"/>
              <w:ind w:right="20"/>
              <w:jc w:val="both"/>
              <w:rPr>
                <w:rFonts w:cs="Times New Roman"/>
                <w:sz w:val="21"/>
                <w:szCs w:val="21"/>
              </w:rPr>
            </w:pPr>
            <w:r>
              <w:rPr>
                <w:rFonts w:hint="eastAsia"/>
                <w:sz w:val="21"/>
                <w:szCs w:val="21"/>
              </w:rPr>
              <w:t>（</w:t>
            </w:r>
            <w:r>
              <w:rPr>
                <w:sz w:val="21"/>
                <w:szCs w:val="21"/>
              </w:rPr>
              <w:t>5</w:t>
            </w:r>
            <w:r>
              <w:rPr>
                <w:rFonts w:hint="eastAsia"/>
                <w:sz w:val="21"/>
                <w:szCs w:val="21"/>
              </w:rPr>
              <w:t>）投标人若填写工程量固化清单，填写完毕的工程量固化清单未对工程量固化清单电子文件中的数据、格式和运算定义进行修改；工程量固化清单中的投标报价和投标函大写金额报价一致。</w:t>
            </w:r>
          </w:p>
          <w:p>
            <w:pPr>
              <w:tabs>
                <w:tab w:val="left" w:pos="1215"/>
              </w:tabs>
              <w:spacing w:line="360" w:lineRule="auto"/>
              <w:ind w:right="20"/>
              <w:jc w:val="both"/>
              <w:rPr>
                <w:rFonts w:ascii="Times New Roman" w:hAnsi="Times New Roman" w:cs="Times New Roman"/>
              </w:rPr>
            </w:pPr>
            <w:r>
              <w:rPr>
                <w:rFonts w:hint="eastAsia"/>
                <w:sz w:val="21"/>
                <w:szCs w:val="21"/>
              </w:rPr>
              <w:t>（</w:t>
            </w:r>
            <w:r>
              <w:rPr>
                <w:sz w:val="21"/>
                <w:szCs w:val="21"/>
              </w:rPr>
              <w:t>6</w:t>
            </w:r>
            <w:r>
              <w:rPr>
                <w:rFonts w:hint="eastAsia"/>
                <w:sz w:val="21"/>
                <w:szCs w:val="21"/>
              </w:rPr>
              <w:t>）投标文件正、副本数符合招标文件第二章“投标人须知”第</w:t>
            </w:r>
            <w:r>
              <w:rPr>
                <w:sz w:val="21"/>
                <w:szCs w:val="21"/>
              </w:rPr>
              <w:t xml:space="preserve"> 3.7.4 </w:t>
            </w:r>
            <w:r>
              <w:rPr>
                <w:rFonts w:hint="eastAsia"/>
                <w:sz w:val="21"/>
                <w:szCs w:val="21"/>
              </w:rPr>
              <w:t>项规定</w:t>
            </w:r>
          </w:p>
          <w:p>
            <w:pPr>
              <w:spacing w:line="360" w:lineRule="auto"/>
              <w:rPr>
                <w:rFonts w:cs="Times New Roman"/>
              </w:rPr>
            </w:pPr>
            <w:r>
              <w:rPr>
                <w:rFonts w:hint="eastAsia"/>
                <w:b/>
                <w:bCs/>
                <w:sz w:val="21"/>
                <w:szCs w:val="21"/>
              </w:rPr>
              <w:t>上述有一项不符合评审标准的，作废标处理。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436" w:hRule="atLeast"/>
        </w:trPr>
        <w:tc>
          <w:tcPr>
            <w:tcW w:w="667" w:type="dxa"/>
            <w:vMerge w:val="restart"/>
            <w:tcBorders>
              <w:top w:val="single" w:color="auto" w:sz="4" w:space="0"/>
            </w:tcBorders>
            <w:vAlign w:val="center"/>
          </w:tcPr>
          <w:p>
            <w:pPr>
              <w:spacing w:line="239" w:lineRule="auto"/>
              <w:rPr>
                <w:rFonts w:cs="Times New Roman"/>
                <w:sz w:val="21"/>
                <w:szCs w:val="21"/>
              </w:rPr>
            </w:pPr>
            <w:r>
              <w:rPr>
                <w:w w:val="98"/>
                <w:sz w:val="21"/>
                <w:szCs w:val="21"/>
                <w:lang w:val="en-US"/>
              </w:rPr>
              <w:t>3</w:t>
            </w:r>
            <w:r>
              <w:rPr>
                <w:w w:val="98"/>
                <w:sz w:val="21"/>
                <w:szCs w:val="21"/>
              </w:rPr>
              <w:t>.2.2</w:t>
            </w:r>
          </w:p>
        </w:tc>
        <w:tc>
          <w:tcPr>
            <w:tcW w:w="2483" w:type="dxa"/>
            <w:gridSpan w:val="3"/>
            <w:tcBorders>
              <w:top w:val="single" w:color="auto" w:sz="4" w:space="0"/>
              <w:bottom w:val="single" w:color="auto" w:sz="4" w:space="0"/>
            </w:tcBorders>
            <w:vAlign w:val="center"/>
          </w:tcPr>
          <w:p>
            <w:pPr>
              <w:spacing w:line="239" w:lineRule="auto"/>
              <w:ind w:firstLine="663" w:firstLineChars="300"/>
              <w:jc w:val="both"/>
              <w:rPr>
                <w:rFonts w:cs="Times New Roman"/>
                <w:b/>
                <w:bCs/>
              </w:rPr>
            </w:pPr>
            <w:r>
              <w:rPr>
                <w:rFonts w:hint="eastAsia"/>
                <w:b/>
                <w:bCs/>
              </w:rPr>
              <w:t>投标报价</w:t>
            </w:r>
          </w:p>
          <w:p>
            <w:pPr>
              <w:spacing w:line="239" w:lineRule="auto"/>
              <w:rPr>
                <w:rFonts w:cs="Times New Roman"/>
                <w:b/>
                <w:bCs/>
              </w:rPr>
            </w:pPr>
            <w:r>
              <w:rPr>
                <w:rFonts w:hint="eastAsia"/>
                <w:b/>
                <w:bCs/>
              </w:rPr>
              <w:t>（</w:t>
            </w:r>
            <w:r>
              <w:rPr>
                <w:rFonts w:hint="eastAsia"/>
                <w:b/>
                <w:bCs/>
                <w:color w:val="000000"/>
              </w:rPr>
              <w:t>评标基准价计算方法</w:t>
            </w:r>
            <w:r>
              <w:rPr>
                <w:rFonts w:hint="eastAsia"/>
                <w:b/>
                <w:bCs/>
              </w:rPr>
              <w:t>）</w:t>
            </w:r>
          </w:p>
          <w:p>
            <w:pPr>
              <w:spacing w:line="239" w:lineRule="auto"/>
              <w:rPr>
                <w:rFonts w:cs="Times New Roman"/>
                <w:lang w:val="en-US"/>
              </w:rPr>
            </w:pPr>
            <w:r>
              <w:rPr>
                <w:b/>
                <w:bCs/>
                <w:lang w:val="en-US"/>
              </w:rPr>
              <w:t xml:space="preserve">     </w:t>
            </w:r>
            <w:r>
              <w:rPr>
                <w:rFonts w:hint="eastAsia"/>
                <w:b/>
                <w:bCs/>
                <w:lang w:val="en-US"/>
              </w:rPr>
              <w:t>（</w:t>
            </w:r>
            <w:r>
              <w:rPr>
                <w:b/>
                <w:bCs/>
                <w:sz w:val="21"/>
                <w:szCs w:val="21"/>
                <w:lang w:val="en-US"/>
              </w:rPr>
              <w:t>60</w:t>
            </w:r>
            <w:r>
              <w:rPr>
                <w:rFonts w:hint="eastAsia"/>
                <w:b/>
                <w:bCs/>
                <w:sz w:val="21"/>
                <w:szCs w:val="21"/>
                <w:lang w:val="en-US"/>
              </w:rPr>
              <w:t>分</w:t>
            </w:r>
            <w:r>
              <w:rPr>
                <w:rFonts w:hint="eastAsia"/>
                <w:b/>
                <w:bCs/>
                <w:lang w:val="en-US"/>
              </w:rPr>
              <w:t>）</w:t>
            </w:r>
          </w:p>
        </w:tc>
        <w:tc>
          <w:tcPr>
            <w:tcW w:w="6419" w:type="dxa"/>
            <w:gridSpan w:val="3"/>
            <w:tcBorders>
              <w:bottom w:val="single" w:color="auto" w:sz="4" w:space="0"/>
            </w:tcBorders>
            <w:vAlign w:val="center"/>
          </w:tcPr>
          <w:p>
            <w:pPr>
              <w:spacing w:line="239" w:lineRule="auto"/>
              <w:rPr>
                <w:rFonts w:cs="Times New Roman"/>
              </w:rPr>
            </w:pPr>
            <w:r>
              <w:rPr>
                <w:rFonts w:hint="eastAsia"/>
              </w:rPr>
              <w:t>评标基准价的计算：</w:t>
            </w:r>
          </w:p>
          <w:p>
            <w:pPr>
              <w:spacing w:line="239" w:lineRule="auto"/>
              <w:rPr>
                <w:rFonts w:cs="Times New Roman"/>
              </w:rPr>
            </w:pPr>
            <w:r>
              <w:rPr>
                <w:rFonts w:hint="eastAsia"/>
              </w:rPr>
              <w:t>在开标现场，由招标人随机确定投标人代表确认评标基准价，并宣布评标基准价。</w:t>
            </w:r>
          </w:p>
          <w:p>
            <w:pPr>
              <w:spacing w:line="239" w:lineRule="auto"/>
              <w:ind w:firstLine="440" w:firstLineChars="200"/>
              <w:rPr>
                <w:rFonts w:cs="Times New Roman"/>
              </w:rPr>
            </w:pPr>
            <w:r>
              <w:rPr>
                <w:rFonts w:hint="eastAsia"/>
              </w:rPr>
              <w:t>（</w:t>
            </w:r>
            <w:r>
              <w:t>1</w:t>
            </w:r>
            <w:r>
              <w:rPr>
                <w:rFonts w:hint="eastAsia"/>
              </w:rPr>
              <w:t>）评标价的确定：</w:t>
            </w:r>
          </w:p>
          <w:p>
            <w:pPr>
              <w:spacing w:line="239" w:lineRule="auto"/>
              <w:rPr>
                <w:rFonts w:cs="Times New Roman"/>
              </w:rPr>
            </w:pPr>
            <w:r>
              <w:rPr>
                <w:rFonts w:hint="eastAsia"/>
              </w:rPr>
              <w:t>评标价</w:t>
            </w:r>
            <w:r>
              <w:t>=</w:t>
            </w:r>
            <w:r>
              <w:rPr>
                <w:rFonts w:hint="eastAsia"/>
              </w:rPr>
              <w:t>投标函文字报价</w:t>
            </w:r>
          </w:p>
          <w:p>
            <w:pPr>
              <w:spacing w:line="239" w:lineRule="auto"/>
              <w:ind w:firstLine="440" w:firstLineChars="200"/>
              <w:rPr>
                <w:rFonts w:cs="Times New Roman"/>
              </w:rPr>
            </w:pPr>
            <w:r>
              <w:rPr>
                <w:rFonts w:hint="eastAsia"/>
              </w:rPr>
              <w:t>（</w:t>
            </w:r>
            <w:r>
              <w:t>2</w:t>
            </w:r>
            <w:r>
              <w:rPr>
                <w:rFonts w:hint="eastAsia"/>
              </w:rPr>
              <w:t>）评标价平均值的计算：</w:t>
            </w:r>
          </w:p>
          <w:p>
            <w:pPr>
              <w:spacing w:line="239" w:lineRule="auto"/>
              <w:rPr>
                <w:rFonts w:cs="Times New Roman"/>
              </w:rPr>
            </w:pPr>
            <w:r>
              <w:rPr>
                <w:rFonts w:hint="eastAsia"/>
                <w:b/>
                <w:bCs/>
              </w:rPr>
              <w:t>所有投标人的评标价去掉一个最高值和一个最低值后的算术平均值即为评标价平均值（如果参与评标价平均值计算的有效投标人少于</w:t>
            </w:r>
            <w:r>
              <w:rPr>
                <w:b/>
                <w:bCs/>
              </w:rPr>
              <w:t xml:space="preserve"> 5 </w:t>
            </w:r>
            <w:r>
              <w:rPr>
                <w:rFonts w:hint="eastAsia"/>
                <w:b/>
                <w:bCs/>
              </w:rPr>
              <w:t>家时（含</w:t>
            </w:r>
            <w:r>
              <w:rPr>
                <w:b/>
                <w:bCs/>
                <w:lang w:val="en-US"/>
              </w:rPr>
              <w:t>5</w:t>
            </w:r>
            <w:r>
              <w:rPr>
                <w:rFonts w:hint="eastAsia"/>
                <w:b/>
                <w:bCs/>
                <w:lang w:val="en-US"/>
              </w:rPr>
              <w:t>家</w:t>
            </w:r>
            <w:r>
              <w:rPr>
                <w:rFonts w:hint="eastAsia"/>
                <w:b/>
                <w:bCs/>
              </w:rPr>
              <w:t>），则计算评标价平均值时不去掉最高值和最低值）</w:t>
            </w:r>
            <w:r>
              <w:rPr>
                <w:rFonts w:hint="eastAsia"/>
              </w:rPr>
              <w:t>。</w:t>
            </w:r>
          </w:p>
          <w:p>
            <w:pPr>
              <w:numPr>
                <w:ilvl w:val="0"/>
                <w:numId w:val="21"/>
              </w:numPr>
              <w:spacing w:line="239" w:lineRule="auto"/>
              <w:rPr>
                <w:rFonts w:cs="Times New Roman"/>
              </w:rPr>
            </w:pPr>
            <w:r>
              <w:rPr>
                <w:rFonts w:hint="eastAsia"/>
              </w:rPr>
              <w:t>评标基准价的确定：</w:t>
            </w:r>
          </w:p>
          <w:p>
            <w:pPr>
              <w:spacing w:line="239" w:lineRule="auto"/>
              <w:rPr>
                <w:rFonts w:cs="Times New Roman"/>
              </w:rPr>
            </w:pPr>
            <w:r>
              <w:rPr>
                <w:rFonts w:hint="eastAsia"/>
              </w:rPr>
              <w:t>将评标价平均值作为评标基准价。</w:t>
            </w:r>
          </w:p>
          <w:p>
            <w:pPr>
              <w:spacing w:line="239" w:lineRule="auto"/>
              <w:rPr>
                <w:rFonts w:cs="Times New Roman"/>
              </w:rPr>
            </w:pPr>
            <w:r>
              <w:rPr>
                <w:rFonts w:hint="eastAsia"/>
              </w:rPr>
              <w:t>如果投标人认为某一标段的评标基准价计算有误，有权在开标现场提出，经监标人当场核实确认之后，可重新宣布评标基准价。确认后的评标基准价在整个评标期间保持不变，不随通过初步评审和详细评审的投标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605" w:hRule="atLeast"/>
        </w:trPr>
        <w:tc>
          <w:tcPr>
            <w:tcW w:w="667" w:type="dxa"/>
            <w:vMerge w:val="continue"/>
            <w:vAlign w:val="center"/>
          </w:tcPr>
          <w:p>
            <w:pPr>
              <w:spacing w:line="239" w:lineRule="auto"/>
              <w:rPr>
                <w:rFonts w:cs="Times New Roman"/>
                <w:w w:val="98"/>
                <w:sz w:val="21"/>
                <w:szCs w:val="21"/>
              </w:rPr>
            </w:pPr>
          </w:p>
        </w:tc>
        <w:tc>
          <w:tcPr>
            <w:tcW w:w="2483" w:type="dxa"/>
            <w:gridSpan w:val="3"/>
            <w:tcBorders>
              <w:top w:val="single" w:color="auto" w:sz="4" w:space="0"/>
            </w:tcBorders>
            <w:vAlign w:val="center"/>
          </w:tcPr>
          <w:p>
            <w:pPr>
              <w:spacing w:line="239" w:lineRule="auto"/>
              <w:jc w:val="center"/>
              <w:rPr>
                <w:rFonts w:cs="Times New Roman"/>
              </w:rPr>
            </w:pPr>
            <w:r>
              <w:rPr>
                <w:rFonts w:hint="eastAsia"/>
              </w:rPr>
              <w:t>评标价的偏差率</w:t>
            </w:r>
          </w:p>
          <w:p>
            <w:pPr>
              <w:spacing w:line="239" w:lineRule="auto"/>
              <w:jc w:val="center"/>
              <w:rPr>
                <w:rFonts w:cs="Times New Roman"/>
              </w:rPr>
            </w:pPr>
            <w:r>
              <w:rPr>
                <w:rFonts w:hint="eastAsia"/>
              </w:rPr>
              <w:t>计算公式</w:t>
            </w:r>
          </w:p>
        </w:tc>
        <w:tc>
          <w:tcPr>
            <w:tcW w:w="6419" w:type="dxa"/>
            <w:gridSpan w:val="3"/>
            <w:tcBorders>
              <w:top w:val="single" w:color="auto" w:sz="4" w:space="0"/>
            </w:tcBorders>
          </w:tcPr>
          <w:p>
            <w:pPr>
              <w:spacing w:line="239" w:lineRule="auto"/>
              <w:jc w:val="both"/>
              <w:rPr>
                <w:rFonts w:cs="Times New Roman"/>
              </w:rPr>
            </w:pPr>
            <w:r>
              <w:rPr>
                <w:rFonts w:hint="eastAsia"/>
              </w:rPr>
              <w:t>评标价得分计算公式示例：</w:t>
            </w:r>
          </w:p>
          <w:p>
            <w:pPr>
              <w:numPr>
                <w:ilvl w:val="0"/>
                <w:numId w:val="22"/>
              </w:numPr>
              <w:spacing w:line="239" w:lineRule="auto"/>
              <w:rPr>
                <w:b/>
                <w:bCs/>
                <w:szCs w:val="21"/>
              </w:rPr>
            </w:pPr>
            <w:r>
              <w:rPr>
                <w:rFonts w:hint="eastAsia"/>
                <w:szCs w:val="21"/>
              </w:rPr>
              <w:t>如果投标人的评标价＞评标基准价，</w:t>
            </w:r>
            <w:r>
              <w:rPr>
                <w:rFonts w:hint="eastAsia"/>
                <w:b/>
                <w:bCs/>
                <w:szCs w:val="21"/>
              </w:rPr>
              <w:t>则评标价得分=</w:t>
            </w:r>
            <w:r>
              <w:rPr>
                <w:rFonts w:hint="eastAsia"/>
                <w:b/>
                <w:bCs/>
                <w:szCs w:val="21"/>
                <w:lang w:val="en-US"/>
              </w:rPr>
              <w:t>60</w:t>
            </w:r>
            <w:r>
              <w:rPr>
                <w:rFonts w:hint="eastAsia"/>
                <w:b/>
                <w:bCs/>
                <w:szCs w:val="21"/>
              </w:rPr>
              <w:t>-偏差率×100× E1</w:t>
            </w:r>
          </w:p>
          <w:p>
            <w:pPr>
              <w:numPr>
                <w:ilvl w:val="0"/>
                <w:numId w:val="22"/>
              </w:numPr>
              <w:spacing w:line="239" w:lineRule="auto"/>
              <w:rPr>
                <w:rFonts w:cs="Times New Roman"/>
                <w:b/>
                <w:bCs/>
              </w:rPr>
            </w:pPr>
            <w:r>
              <w:rPr>
                <w:rFonts w:hint="eastAsia"/>
                <w:szCs w:val="21"/>
              </w:rPr>
              <w:t>如果投标人的评标价≤评标基准价，</w:t>
            </w:r>
            <w:r>
              <w:rPr>
                <w:rFonts w:hint="eastAsia"/>
                <w:b/>
                <w:bCs/>
                <w:szCs w:val="21"/>
              </w:rPr>
              <w:t>则评标价得分=</w:t>
            </w:r>
            <w:r>
              <w:rPr>
                <w:rFonts w:hint="eastAsia"/>
                <w:b/>
                <w:bCs/>
                <w:szCs w:val="21"/>
                <w:lang w:val="en-US"/>
              </w:rPr>
              <w:t>60</w:t>
            </w:r>
            <w:r>
              <w:rPr>
                <w:rFonts w:hint="eastAsia"/>
                <w:b/>
                <w:bCs/>
                <w:szCs w:val="21"/>
              </w:rPr>
              <w:t>+偏差率×100× E2</w:t>
            </w:r>
          </w:p>
          <w:p>
            <w:pPr>
              <w:spacing w:line="239" w:lineRule="auto"/>
              <w:jc w:val="both"/>
              <w:rPr>
                <w:rFonts w:cs="Times New Roman"/>
              </w:rPr>
            </w:pPr>
            <w:r>
              <w:rPr>
                <w:rFonts w:hint="eastAsia"/>
              </w:rPr>
              <w:t>其中：</w:t>
            </w:r>
            <w:r>
              <w:t>E1</w:t>
            </w:r>
            <w:r>
              <w:rPr>
                <w:rFonts w:hint="eastAsia"/>
              </w:rPr>
              <w:t>是评标价每高于评标基准价一个百分点的扣分值为</w:t>
            </w:r>
            <w:r>
              <w:rPr>
                <w:lang w:val="en-US"/>
              </w:rPr>
              <w:t>1.</w:t>
            </w:r>
            <w:r>
              <w:t xml:space="preserve">5 </w:t>
            </w:r>
            <w:r>
              <w:rPr>
                <w:rFonts w:hint="eastAsia"/>
              </w:rPr>
              <w:t>分；</w:t>
            </w:r>
            <w:r>
              <w:t>E2</w:t>
            </w:r>
            <w:r>
              <w:rPr>
                <w:rFonts w:hint="eastAsia"/>
              </w:rPr>
              <w:t>是评标价每低于评标基准价一个百分点的扣分值为</w:t>
            </w:r>
            <w:r>
              <w:t xml:space="preserve">1 </w:t>
            </w:r>
            <w:r>
              <w:rPr>
                <w:rFonts w:hint="eastAsia"/>
              </w:rPr>
              <w:t>分。</w:t>
            </w:r>
          </w:p>
          <w:p>
            <w:pPr>
              <w:spacing w:line="239" w:lineRule="auto"/>
              <w:jc w:val="both"/>
              <w:rPr>
                <w:rFonts w:cs="Times New Roman"/>
              </w:rPr>
            </w:pPr>
            <w:r>
              <w:rPr>
                <w:rFonts w:hint="eastAsia"/>
              </w:rPr>
              <w:t>一般情况下，评标价得分计算分值以保留两位小数为准，但当只保留两位小数无法区分评标价得分值的高低时，可顺延小数位数取值，直至可区分高低为止。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59" w:hRule="atLeast"/>
        </w:trPr>
        <w:tc>
          <w:tcPr>
            <w:tcW w:w="667" w:type="dxa"/>
            <w:vAlign w:val="center"/>
          </w:tcPr>
          <w:p>
            <w:pPr>
              <w:spacing w:line="239" w:lineRule="auto"/>
              <w:rPr>
                <w:rFonts w:cs="Times New Roman"/>
                <w:w w:val="98"/>
                <w:sz w:val="21"/>
                <w:szCs w:val="21"/>
                <w:lang w:val="en-US"/>
              </w:rPr>
            </w:pPr>
            <w:r>
              <w:rPr>
                <w:sz w:val="21"/>
                <w:szCs w:val="21"/>
                <w:lang w:val="en-US"/>
              </w:rPr>
              <w:t>3</w:t>
            </w:r>
            <w:r>
              <w:rPr>
                <w:sz w:val="21"/>
                <w:szCs w:val="21"/>
              </w:rPr>
              <w:t>.</w:t>
            </w:r>
            <w:r>
              <w:rPr>
                <w:sz w:val="21"/>
                <w:szCs w:val="21"/>
                <w:lang w:val="en-US"/>
              </w:rPr>
              <w:t>3.1</w:t>
            </w:r>
          </w:p>
        </w:tc>
        <w:tc>
          <w:tcPr>
            <w:tcW w:w="2483" w:type="dxa"/>
            <w:gridSpan w:val="3"/>
            <w:tcBorders>
              <w:top w:val="single" w:color="auto" w:sz="4" w:space="0"/>
            </w:tcBorders>
            <w:vAlign w:val="center"/>
          </w:tcPr>
          <w:p>
            <w:pPr>
              <w:spacing w:line="239" w:lineRule="auto"/>
              <w:jc w:val="center"/>
              <w:rPr>
                <w:rFonts w:cs="Times New Roman"/>
              </w:rPr>
            </w:pPr>
            <w:r>
              <w:rPr>
                <w:rFonts w:hint="eastAsia"/>
                <w:sz w:val="21"/>
                <w:szCs w:val="21"/>
              </w:rPr>
              <w:t>资格评审标准</w:t>
            </w:r>
          </w:p>
        </w:tc>
        <w:tc>
          <w:tcPr>
            <w:tcW w:w="6419" w:type="dxa"/>
            <w:gridSpan w:val="3"/>
            <w:tcBorders>
              <w:top w:val="single" w:color="auto" w:sz="4" w:space="0"/>
            </w:tcBorders>
            <w:vAlign w:val="center"/>
          </w:tcPr>
          <w:p>
            <w:pPr>
              <w:spacing w:line="360" w:lineRule="auto"/>
              <w:rPr>
                <w:rFonts w:cs="Times New Roman"/>
                <w:sz w:val="21"/>
                <w:szCs w:val="21"/>
              </w:rPr>
            </w:pPr>
            <w:r>
              <w:rPr>
                <w:rFonts w:hint="eastAsia"/>
                <w:sz w:val="21"/>
                <w:szCs w:val="21"/>
              </w:rPr>
              <w:t>（</w:t>
            </w:r>
            <w:r>
              <w:rPr>
                <w:sz w:val="21"/>
                <w:szCs w:val="21"/>
              </w:rPr>
              <w:t>1</w:t>
            </w:r>
            <w:r>
              <w:rPr>
                <w:rFonts w:hint="eastAsia"/>
                <w:sz w:val="21"/>
                <w:szCs w:val="21"/>
              </w:rPr>
              <w:t>）投标人具备有效的营业执照、资质证书和安全生产许可证和基本账户开户许可证；</w:t>
            </w:r>
          </w:p>
          <w:p>
            <w:pPr>
              <w:spacing w:line="360" w:lineRule="auto"/>
              <w:rPr>
                <w:rFonts w:cs="Times New Roman"/>
                <w:sz w:val="21"/>
                <w:szCs w:val="21"/>
              </w:rPr>
            </w:pPr>
            <w:r>
              <w:rPr>
                <w:rFonts w:hint="eastAsia"/>
                <w:sz w:val="21"/>
                <w:szCs w:val="21"/>
              </w:rPr>
              <w:t>（</w:t>
            </w:r>
            <w:r>
              <w:rPr>
                <w:sz w:val="21"/>
                <w:szCs w:val="21"/>
              </w:rPr>
              <w:t>2</w:t>
            </w:r>
            <w:r>
              <w:rPr>
                <w:rFonts w:hint="eastAsia"/>
                <w:sz w:val="21"/>
                <w:szCs w:val="21"/>
              </w:rPr>
              <w:t>）投标人的资质等级符合招标文件规定；</w:t>
            </w:r>
          </w:p>
          <w:p>
            <w:pPr>
              <w:spacing w:line="360" w:lineRule="auto"/>
              <w:rPr>
                <w:rFonts w:cs="Times New Roman"/>
                <w:sz w:val="21"/>
                <w:szCs w:val="21"/>
              </w:rPr>
            </w:pPr>
            <w:r>
              <w:rPr>
                <w:rFonts w:hint="eastAsia"/>
                <w:sz w:val="21"/>
                <w:szCs w:val="21"/>
              </w:rPr>
              <w:t>（</w:t>
            </w:r>
            <w:r>
              <w:rPr>
                <w:sz w:val="21"/>
                <w:szCs w:val="21"/>
              </w:rPr>
              <w:t>3</w:t>
            </w:r>
            <w:r>
              <w:rPr>
                <w:rFonts w:hint="eastAsia"/>
                <w:sz w:val="21"/>
                <w:szCs w:val="21"/>
              </w:rPr>
              <w:t>）投标人的财务状况应符合招标文件规定；</w:t>
            </w:r>
          </w:p>
          <w:p>
            <w:pPr>
              <w:spacing w:line="360" w:lineRule="auto"/>
              <w:rPr>
                <w:rFonts w:cs="Times New Roman"/>
                <w:sz w:val="21"/>
                <w:szCs w:val="21"/>
              </w:rPr>
            </w:pPr>
            <w:r>
              <w:rPr>
                <w:rFonts w:hint="eastAsia"/>
                <w:sz w:val="21"/>
                <w:szCs w:val="21"/>
              </w:rPr>
              <w:t>（</w:t>
            </w:r>
            <w:r>
              <w:rPr>
                <w:sz w:val="21"/>
                <w:szCs w:val="21"/>
              </w:rPr>
              <w:t>4</w:t>
            </w:r>
            <w:r>
              <w:rPr>
                <w:rFonts w:hint="eastAsia"/>
                <w:sz w:val="21"/>
                <w:szCs w:val="21"/>
              </w:rPr>
              <w:t>）投标人的类似项目业绩符合招标文件规定；</w:t>
            </w:r>
          </w:p>
          <w:p>
            <w:pPr>
              <w:spacing w:line="360" w:lineRule="auto"/>
              <w:rPr>
                <w:rFonts w:cs="Times New Roman"/>
                <w:sz w:val="21"/>
                <w:szCs w:val="21"/>
              </w:rPr>
            </w:pPr>
            <w:r>
              <w:rPr>
                <w:rFonts w:hint="eastAsia"/>
                <w:sz w:val="21"/>
                <w:szCs w:val="21"/>
              </w:rPr>
              <w:t>（</w:t>
            </w:r>
            <w:r>
              <w:rPr>
                <w:sz w:val="21"/>
                <w:szCs w:val="21"/>
              </w:rPr>
              <w:t>5</w:t>
            </w:r>
            <w:r>
              <w:rPr>
                <w:rFonts w:hint="eastAsia"/>
                <w:sz w:val="21"/>
                <w:szCs w:val="21"/>
              </w:rPr>
              <w:t>）投标人的信誉符合招标文件规定；</w:t>
            </w:r>
          </w:p>
          <w:p>
            <w:pPr>
              <w:spacing w:line="360" w:lineRule="auto"/>
              <w:rPr>
                <w:rFonts w:cs="Times New Roman"/>
                <w:sz w:val="21"/>
                <w:szCs w:val="21"/>
              </w:rPr>
            </w:pPr>
            <w:r>
              <w:rPr>
                <w:rFonts w:hint="eastAsia"/>
                <w:sz w:val="21"/>
                <w:szCs w:val="21"/>
              </w:rPr>
              <w:t>（</w:t>
            </w:r>
            <w:r>
              <w:rPr>
                <w:sz w:val="21"/>
                <w:szCs w:val="21"/>
              </w:rPr>
              <w:t>6</w:t>
            </w:r>
            <w:r>
              <w:rPr>
                <w:rFonts w:hint="eastAsia"/>
                <w:sz w:val="21"/>
                <w:szCs w:val="21"/>
              </w:rPr>
              <w:t>）投标人的项目经理（包括备选人）和项目总工（包括备选人）资格符合招标文件规定；</w:t>
            </w:r>
          </w:p>
          <w:p>
            <w:pPr>
              <w:spacing w:line="360" w:lineRule="auto"/>
              <w:rPr>
                <w:rFonts w:cs="Times New Roman"/>
                <w:sz w:val="21"/>
                <w:szCs w:val="21"/>
              </w:rPr>
            </w:pPr>
            <w:r>
              <w:rPr>
                <w:rFonts w:hint="eastAsia"/>
                <w:sz w:val="21"/>
                <w:szCs w:val="21"/>
              </w:rPr>
              <w:t>（</w:t>
            </w:r>
            <w:r>
              <w:rPr>
                <w:sz w:val="21"/>
                <w:szCs w:val="21"/>
              </w:rPr>
              <w:t>7</w:t>
            </w:r>
            <w:r>
              <w:rPr>
                <w:rFonts w:hint="eastAsia"/>
                <w:sz w:val="21"/>
                <w:szCs w:val="21"/>
              </w:rPr>
              <w:t>）投标人的其他要求符合招标文件规定；</w:t>
            </w:r>
          </w:p>
          <w:p>
            <w:pPr>
              <w:spacing w:line="360" w:lineRule="auto"/>
              <w:rPr>
                <w:rFonts w:cs="Times New Roman"/>
                <w:sz w:val="21"/>
                <w:szCs w:val="21"/>
              </w:rPr>
            </w:pPr>
            <w:r>
              <w:rPr>
                <w:rFonts w:hint="eastAsia"/>
                <w:sz w:val="21"/>
                <w:szCs w:val="21"/>
              </w:rPr>
              <w:t>（</w:t>
            </w:r>
            <w:r>
              <w:rPr>
                <w:sz w:val="21"/>
                <w:szCs w:val="21"/>
              </w:rPr>
              <w:t>8</w:t>
            </w:r>
            <w:r>
              <w:rPr>
                <w:rFonts w:hint="eastAsia"/>
                <w:sz w:val="21"/>
                <w:szCs w:val="21"/>
              </w:rPr>
              <w:t>）投标人不存在第二章“投标人须知”第</w:t>
            </w:r>
            <w:r>
              <w:rPr>
                <w:sz w:val="21"/>
                <w:szCs w:val="21"/>
              </w:rPr>
              <w:t>1.4.3</w:t>
            </w:r>
            <w:r>
              <w:rPr>
                <w:rFonts w:hint="eastAsia"/>
                <w:sz w:val="21"/>
                <w:szCs w:val="21"/>
              </w:rPr>
              <w:t>项规定的任何一种情形。</w:t>
            </w:r>
          </w:p>
          <w:p>
            <w:pPr>
              <w:spacing w:line="360" w:lineRule="auto"/>
              <w:rPr>
                <w:rFonts w:cs="Times New Roman"/>
              </w:rPr>
            </w:pPr>
            <w:r>
              <w:rPr>
                <w:rFonts w:hint="eastAsia"/>
                <w:b/>
                <w:bCs/>
                <w:sz w:val="21"/>
                <w:szCs w:val="21"/>
              </w:rPr>
              <w:t>上述有一项不符合评审标准的，作废标处理。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059" w:hRule="atLeast"/>
        </w:trPr>
        <w:tc>
          <w:tcPr>
            <w:tcW w:w="667" w:type="dxa"/>
            <w:vAlign w:val="center"/>
          </w:tcPr>
          <w:p>
            <w:pPr>
              <w:spacing w:line="239" w:lineRule="auto"/>
              <w:jc w:val="center"/>
              <w:rPr>
                <w:sz w:val="21"/>
                <w:szCs w:val="21"/>
              </w:rPr>
            </w:pPr>
            <w:r>
              <w:rPr>
                <w:sz w:val="21"/>
                <w:szCs w:val="21"/>
                <w:lang w:val="en-US"/>
              </w:rPr>
              <w:t>3</w:t>
            </w:r>
            <w:r>
              <w:rPr>
                <w:sz w:val="21"/>
                <w:szCs w:val="21"/>
              </w:rPr>
              <w:t>.</w:t>
            </w:r>
            <w:r>
              <w:rPr>
                <w:sz w:val="21"/>
                <w:szCs w:val="21"/>
                <w:lang w:val="en-US"/>
              </w:rPr>
              <w:t>4</w:t>
            </w:r>
            <w:r>
              <w:rPr>
                <w:sz w:val="21"/>
                <w:szCs w:val="21"/>
              </w:rPr>
              <w:t>.1</w:t>
            </w:r>
          </w:p>
        </w:tc>
        <w:tc>
          <w:tcPr>
            <w:tcW w:w="2483" w:type="dxa"/>
            <w:gridSpan w:val="3"/>
            <w:tcBorders>
              <w:top w:val="single" w:color="auto" w:sz="4" w:space="0"/>
            </w:tcBorders>
            <w:vAlign w:val="center"/>
          </w:tcPr>
          <w:p>
            <w:pPr>
              <w:spacing w:line="239" w:lineRule="auto"/>
              <w:jc w:val="center"/>
              <w:rPr>
                <w:rFonts w:cs="Times New Roman"/>
                <w:b/>
                <w:bCs/>
                <w:sz w:val="21"/>
                <w:szCs w:val="21"/>
              </w:rPr>
            </w:pPr>
            <w:r>
              <w:rPr>
                <w:rFonts w:hint="eastAsia"/>
                <w:b/>
                <w:bCs/>
                <w:sz w:val="21"/>
                <w:szCs w:val="21"/>
              </w:rPr>
              <w:t>综合得分分值构成</w:t>
            </w:r>
          </w:p>
          <w:p>
            <w:pPr>
              <w:spacing w:line="239" w:lineRule="auto"/>
              <w:jc w:val="center"/>
              <w:rPr>
                <w:rFonts w:cs="Times New Roman"/>
                <w:sz w:val="21"/>
                <w:szCs w:val="21"/>
              </w:rPr>
            </w:pPr>
            <w:r>
              <w:rPr>
                <w:rFonts w:hint="eastAsia"/>
                <w:b/>
                <w:bCs/>
                <w:sz w:val="21"/>
                <w:szCs w:val="21"/>
              </w:rPr>
              <w:t>（总分</w:t>
            </w:r>
            <w:r>
              <w:rPr>
                <w:b/>
                <w:bCs/>
                <w:sz w:val="21"/>
                <w:szCs w:val="21"/>
              </w:rPr>
              <w:t>100</w:t>
            </w:r>
            <w:r>
              <w:rPr>
                <w:rFonts w:hint="eastAsia"/>
                <w:b/>
                <w:bCs/>
                <w:sz w:val="21"/>
                <w:szCs w:val="21"/>
              </w:rPr>
              <w:t>分）</w:t>
            </w:r>
          </w:p>
        </w:tc>
        <w:tc>
          <w:tcPr>
            <w:tcW w:w="6419" w:type="dxa"/>
            <w:gridSpan w:val="3"/>
            <w:tcBorders>
              <w:top w:val="single" w:color="auto" w:sz="4" w:space="0"/>
            </w:tcBorders>
            <w:vAlign w:val="center"/>
          </w:tcPr>
          <w:p>
            <w:pPr>
              <w:spacing w:line="239" w:lineRule="auto"/>
              <w:ind w:firstLine="1476" w:firstLineChars="700"/>
              <w:jc w:val="both"/>
              <w:rPr>
                <w:rFonts w:cs="Times New Roman"/>
                <w:b/>
                <w:bCs/>
                <w:sz w:val="21"/>
                <w:szCs w:val="21"/>
                <w:lang w:val="en-US"/>
              </w:rPr>
            </w:pPr>
            <w:r>
              <w:rPr>
                <w:rFonts w:hint="eastAsia"/>
                <w:b/>
                <w:bCs/>
                <w:sz w:val="21"/>
                <w:szCs w:val="21"/>
              </w:rPr>
              <w:t>施工组织设计：</w:t>
            </w:r>
            <w:r>
              <w:rPr>
                <w:rFonts w:ascii="Times New Roman" w:hAnsi="Times New Roman" w:cs="Times New Roman"/>
                <w:b/>
                <w:bCs/>
                <w:sz w:val="21"/>
                <w:szCs w:val="21"/>
                <w:lang w:val="en-US"/>
              </w:rPr>
              <w:t>30</w:t>
            </w:r>
            <w:r>
              <w:rPr>
                <w:rFonts w:hint="eastAsia"/>
                <w:b/>
                <w:bCs/>
                <w:sz w:val="21"/>
                <w:szCs w:val="21"/>
              </w:rPr>
              <w:t>分</w:t>
            </w:r>
          </w:p>
          <w:p>
            <w:pPr>
              <w:spacing w:line="239" w:lineRule="auto"/>
              <w:ind w:firstLine="1476" w:firstLineChars="700"/>
              <w:jc w:val="both"/>
              <w:rPr>
                <w:rFonts w:cs="Times New Roman"/>
                <w:b/>
                <w:bCs/>
                <w:sz w:val="21"/>
                <w:szCs w:val="21"/>
                <w:lang w:val="en-US"/>
              </w:rPr>
            </w:pPr>
            <w:r>
              <w:rPr>
                <w:rFonts w:hint="eastAsia"/>
                <w:b/>
                <w:bCs/>
                <w:sz w:val="21"/>
                <w:szCs w:val="21"/>
              </w:rPr>
              <w:t>报价分得分：</w:t>
            </w:r>
            <w:r>
              <w:rPr>
                <w:b/>
                <w:bCs/>
                <w:sz w:val="21"/>
                <w:szCs w:val="21"/>
                <w:lang w:val="en-US"/>
              </w:rPr>
              <w:t xml:space="preserve"> 60</w:t>
            </w:r>
            <w:r>
              <w:rPr>
                <w:rFonts w:hint="eastAsia"/>
                <w:b/>
                <w:bCs/>
                <w:sz w:val="21"/>
                <w:szCs w:val="21"/>
                <w:lang w:val="en-US"/>
              </w:rPr>
              <w:t>分</w:t>
            </w:r>
          </w:p>
          <w:p>
            <w:pPr>
              <w:spacing w:line="239" w:lineRule="auto"/>
              <w:ind w:firstLine="1546" w:firstLineChars="700"/>
              <w:rPr>
                <w:rFonts w:cs="Times New Roman"/>
                <w:b/>
                <w:bCs/>
                <w:sz w:val="21"/>
                <w:szCs w:val="21"/>
                <w:lang w:val="en-US"/>
              </w:rPr>
            </w:pPr>
            <w:r>
              <w:rPr>
                <w:rFonts w:hint="eastAsia"/>
                <w:b/>
                <w:bCs/>
                <w:color w:val="000000"/>
              </w:rPr>
              <w:t>主要人员得分：</w:t>
            </w:r>
            <w:r>
              <w:rPr>
                <w:b/>
                <w:bCs/>
                <w:color w:val="000000"/>
                <w:lang w:val="en-US"/>
              </w:rPr>
              <w:t>5</w:t>
            </w:r>
            <w:r>
              <w:rPr>
                <w:rFonts w:hint="eastAsia"/>
                <w:b/>
                <w:bCs/>
                <w:color w:val="000000"/>
                <w:lang w:val="en-US"/>
              </w:rPr>
              <w:t>分</w:t>
            </w:r>
          </w:p>
          <w:p>
            <w:pPr>
              <w:spacing w:line="239" w:lineRule="auto"/>
              <w:ind w:firstLine="1546" w:firstLineChars="700"/>
              <w:jc w:val="both"/>
              <w:rPr>
                <w:rFonts w:cs="Times New Roman"/>
                <w:b/>
                <w:bCs/>
                <w:sz w:val="21"/>
                <w:szCs w:val="21"/>
              </w:rPr>
            </w:pPr>
            <w:r>
              <w:rPr>
                <w:rFonts w:hint="eastAsia"/>
                <w:b/>
                <w:bCs/>
              </w:rPr>
              <w:t>企业信誉</w:t>
            </w:r>
            <w:r>
              <w:rPr>
                <w:rFonts w:hint="eastAsia"/>
                <w:b/>
                <w:bCs/>
                <w:sz w:val="21"/>
                <w:szCs w:val="21"/>
              </w:rPr>
              <w:t>得分：</w:t>
            </w:r>
            <w:r>
              <w:rPr>
                <w:rFonts w:ascii="Times New Roman" w:hAnsi="Times New Roman" w:cs="Times New Roman"/>
                <w:b/>
                <w:bCs/>
                <w:sz w:val="21"/>
                <w:szCs w:val="21"/>
                <w:lang w:val="en-US"/>
              </w:rPr>
              <w:t>5</w:t>
            </w:r>
            <w:r>
              <w:rPr>
                <w:rFonts w:hint="eastAsia"/>
                <w:b/>
                <w:bCs/>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2" w:type="dxa"/>
          <w:trHeight w:val="1886" w:hRule="atLeast"/>
        </w:trPr>
        <w:tc>
          <w:tcPr>
            <w:tcW w:w="9569" w:type="dxa"/>
            <w:gridSpan w:val="7"/>
            <w:tcBorders>
              <w:bottom w:val="single" w:color="000000" w:sz="12" w:space="0"/>
            </w:tcBorders>
            <w:vAlign w:val="center"/>
          </w:tcPr>
          <w:p>
            <w:pPr>
              <w:spacing w:line="239" w:lineRule="auto"/>
              <w:rPr>
                <w:rFonts w:ascii="Times New Roman" w:hAnsi="Times New Roman" w:cs="Times New Roman"/>
              </w:rPr>
            </w:pPr>
            <w:r>
              <w:rPr>
                <w:rFonts w:hint="eastAsia"/>
                <w:b/>
                <w:bCs/>
                <w:sz w:val="21"/>
                <w:szCs w:val="21"/>
              </w:rPr>
              <w:t>需要补充的其他内容：</w:t>
            </w:r>
          </w:p>
          <w:p>
            <w:pPr>
              <w:spacing w:line="239" w:lineRule="auto"/>
              <w:rPr>
                <w:rFonts w:cs="Times New Roman"/>
                <w:b/>
                <w:bCs/>
                <w:sz w:val="21"/>
                <w:szCs w:val="21"/>
              </w:rPr>
            </w:pPr>
            <w:r>
              <w:rPr>
                <w:rFonts w:hint="eastAsia"/>
                <w:b/>
                <w:bCs/>
                <w:sz w:val="21"/>
                <w:szCs w:val="21"/>
              </w:rPr>
              <w:t>一、投标人有以下情形之一的，其投标文件作废标处理：</w:t>
            </w:r>
          </w:p>
          <w:p>
            <w:pPr>
              <w:spacing w:line="239" w:lineRule="auto"/>
              <w:rPr>
                <w:rFonts w:cs="Times New Roman"/>
                <w:sz w:val="21"/>
                <w:szCs w:val="21"/>
              </w:rPr>
            </w:pPr>
            <w:r>
              <w:rPr>
                <w:rFonts w:hint="eastAsia"/>
                <w:sz w:val="21"/>
                <w:szCs w:val="21"/>
              </w:rPr>
              <w:t>（一）投标人要将招标文件中要求的各种相关证书原件按资格审查条件要求准备好，招标人将根据评标情况随时要求投标人澄清。如投标人未能按招标人要求作澄清的，则其投标作废标处理。</w:t>
            </w:r>
          </w:p>
          <w:p>
            <w:pPr>
              <w:spacing w:line="239" w:lineRule="auto"/>
              <w:rPr>
                <w:rFonts w:cs="Times New Roman"/>
                <w:b/>
                <w:bCs/>
                <w:sz w:val="21"/>
                <w:szCs w:val="21"/>
              </w:rPr>
            </w:pPr>
            <w:r>
              <w:rPr>
                <w:rFonts w:hint="eastAsia"/>
                <w:sz w:val="21"/>
                <w:szCs w:val="21"/>
              </w:rPr>
              <w:t>（二）评标委员会发现投标人以他人名义投标、串通投标、以行贿手段谋取中标或者以其它弄虚作假方式投标的，该投标人的投标作废标（无效标）处理。项目经理〈含备选人〉或者项目总工〈含备选人〉的社保缴费单位应是投标单位，</w:t>
            </w:r>
            <w:r>
              <w:rPr>
                <w:rFonts w:hint="eastAsia"/>
                <w:b/>
                <w:bCs/>
                <w:sz w:val="21"/>
                <w:szCs w:val="21"/>
              </w:rPr>
              <w:t>如不是本单位人员的则属于《中华人民共和国招</w:t>
            </w:r>
            <w:r>
              <w:rPr>
                <w:rFonts w:hint="eastAsia"/>
                <w:b/>
                <w:bCs/>
              </w:rPr>
              <w:t>标投标法》（</w:t>
            </w:r>
            <w:r>
              <w:rPr>
                <w:b/>
                <w:bCs/>
              </w:rPr>
              <w:t xml:space="preserve">1999 </w:t>
            </w:r>
            <w:r>
              <w:rPr>
                <w:rFonts w:hint="eastAsia"/>
                <w:b/>
                <w:bCs/>
              </w:rPr>
              <w:t>年</w:t>
            </w:r>
            <w:r>
              <w:rPr>
                <w:b/>
                <w:bCs/>
              </w:rPr>
              <w:t xml:space="preserve"> 12 </w:t>
            </w:r>
            <w:r>
              <w:rPr>
                <w:rFonts w:hint="eastAsia"/>
                <w:b/>
                <w:bCs/>
              </w:rPr>
              <w:t>月</w:t>
            </w:r>
            <w:r>
              <w:rPr>
                <w:b/>
                <w:bCs/>
              </w:rPr>
              <w:t xml:space="preserve"> 30 </w:t>
            </w:r>
            <w:r>
              <w:rPr>
                <w:rFonts w:hint="eastAsia"/>
                <w:b/>
                <w:bCs/>
              </w:rPr>
              <w:t>日</w:t>
            </w:r>
            <w:r>
              <w:rPr>
                <w:b/>
                <w:bCs/>
              </w:rPr>
              <w:t xml:space="preserve"> </w:t>
            </w:r>
            <w:r>
              <w:rPr>
                <w:rFonts w:hint="eastAsia"/>
                <w:b/>
                <w:bCs/>
              </w:rPr>
              <w:t>中华人民共和国主席令第</w:t>
            </w:r>
            <w:r>
              <w:rPr>
                <w:b/>
                <w:bCs/>
              </w:rPr>
              <w:t xml:space="preserve"> 21 </w:t>
            </w:r>
            <w:r>
              <w:rPr>
                <w:rFonts w:hint="eastAsia"/>
                <w:b/>
                <w:bCs/>
              </w:rPr>
              <w:t>号）第三十三条规定的以他人名义</w:t>
            </w:r>
            <w:r>
              <w:rPr>
                <w:rFonts w:hint="eastAsia"/>
                <w:b/>
                <w:bCs/>
                <w:sz w:val="21"/>
                <w:szCs w:val="21"/>
              </w:rPr>
              <w:t>投标的行为，该投标人的投标作废标处理。</w:t>
            </w:r>
          </w:p>
          <w:p>
            <w:pPr>
              <w:numPr>
                <w:ilvl w:val="0"/>
                <w:numId w:val="23"/>
              </w:numPr>
              <w:spacing w:line="239" w:lineRule="auto"/>
              <w:rPr>
                <w:rFonts w:cs="Times New Roman"/>
                <w:sz w:val="21"/>
                <w:szCs w:val="21"/>
              </w:rPr>
            </w:pPr>
            <w:r>
              <w:rPr>
                <w:rFonts w:hint="eastAsia"/>
                <w:sz w:val="21"/>
                <w:szCs w:val="21"/>
              </w:rPr>
              <w:t>投标人根据招标人提供的工程量</w:t>
            </w:r>
            <w:r>
              <w:rPr>
                <w:rFonts w:hint="eastAsia"/>
                <w:sz w:val="21"/>
                <w:szCs w:val="21"/>
                <w:lang w:eastAsia="zh-CN"/>
              </w:rPr>
              <w:t>电子</w:t>
            </w:r>
            <w:r>
              <w:rPr>
                <w:rFonts w:hint="eastAsia"/>
                <w:sz w:val="21"/>
                <w:szCs w:val="21"/>
              </w:rPr>
              <w:t>清单填报完成并装订在投标文件中，以其他方式提交的报价清单均属无效</w:t>
            </w:r>
            <w:r>
              <w:rPr>
                <w:sz w:val="21"/>
                <w:szCs w:val="21"/>
              </w:rPr>
              <w:t>,</w:t>
            </w:r>
            <w:r>
              <w:rPr>
                <w:rFonts w:hint="eastAsia"/>
                <w:sz w:val="21"/>
                <w:szCs w:val="21"/>
              </w:rPr>
              <w:t>其投标文件作废标处理。</w:t>
            </w:r>
          </w:p>
          <w:p>
            <w:pPr>
              <w:spacing w:line="239" w:lineRule="auto"/>
              <w:rPr>
                <w:rFonts w:cs="Times New Roman"/>
                <w:sz w:val="21"/>
                <w:szCs w:val="21"/>
              </w:rPr>
            </w:pPr>
            <w:r>
              <w:rPr>
                <w:rFonts w:hint="eastAsia"/>
                <w:sz w:val="21"/>
                <w:szCs w:val="21"/>
              </w:rPr>
              <w:t>（四）投标人应根据招标文件的要求，提供符合要求的证明材料，证明材料不齐全、不符合要求的，其投标文件作废标处理。</w:t>
            </w:r>
          </w:p>
          <w:p>
            <w:pPr>
              <w:spacing w:line="239" w:lineRule="auto"/>
              <w:rPr>
                <w:rFonts w:cs="Times New Roman"/>
                <w:b/>
                <w:bCs/>
              </w:rPr>
            </w:pPr>
            <w:r>
              <w:rPr>
                <w:rFonts w:hint="eastAsia"/>
                <w:b/>
                <w:bCs/>
                <w:sz w:val="19"/>
                <w:szCs w:val="19"/>
              </w:rPr>
              <w:t>二</w:t>
            </w:r>
            <w:r>
              <w:rPr>
                <w:b/>
                <w:bCs/>
                <w:sz w:val="19"/>
                <w:szCs w:val="19"/>
              </w:rPr>
              <w:t xml:space="preserve"> </w:t>
            </w:r>
            <w:r>
              <w:rPr>
                <w:rFonts w:hint="eastAsia"/>
                <w:b/>
                <w:bCs/>
                <w:sz w:val="19"/>
                <w:szCs w:val="19"/>
              </w:rPr>
              <w:t>、</w:t>
            </w:r>
            <w:r>
              <w:rPr>
                <w:b/>
                <w:bCs/>
                <w:sz w:val="19"/>
                <w:szCs w:val="19"/>
              </w:rPr>
              <w:t xml:space="preserve"> </w:t>
            </w:r>
            <w:r>
              <w:rPr>
                <w:rFonts w:hint="eastAsia"/>
                <w:b/>
                <w:bCs/>
              </w:rPr>
              <w:t>信</w:t>
            </w:r>
            <w:r>
              <w:rPr>
                <w:b/>
                <w:bCs/>
              </w:rPr>
              <w:t xml:space="preserve"> </w:t>
            </w:r>
            <w:r>
              <w:rPr>
                <w:rFonts w:hint="eastAsia"/>
                <w:b/>
                <w:bCs/>
              </w:rPr>
              <w:t>用</w:t>
            </w:r>
            <w:r>
              <w:rPr>
                <w:b/>
                <w:bCs/>
              </w:rPr>
              <w:t xml:space="preserve"> </w:t>
            </w:r>
            <w:r>
              <w:rPr>
                <w:rFonts w:hint="eastAsia"/>
                <w:b/>
                <w:bCs/>
              </w:rPr>
              <w:t>评</w:t>
            </w:r>
            <w:r>
              <w:rPr>
                <w:b/>
                <w:bCs/>
              </w:rPr>
              <w:t xml:space="preserve"> </w:t>
            </w:r>
            <w:r>
              <w:rPr>
                <w:rFonts w:hint="eastAsia"/>
                <w:b/>
                <w:bCs/>
              </w:rPr>
              <w:t>价</w:t>
            </w:r>
            <w:r>
              <w:rPr>
                <w:b/>
                <w:bCs/>
              </w:rPr>
              <w:t xml:space="preserve"> </w:t>
            </w:r>
            <w:r>
              <w:rPr>
                <w:rFonts w:hint="eastAsia"/>
                <w:b/>
                <w:bCs/>
              </w:rPr>
              <w:t>等</w:t>
            </w:r>
            <w:r>
              <w:rPr>
                <w:b/>
                <w:bCs/>
              </w:rPr>
              <w:t xml:space="preserve"> </w:t>
            </w:r>
            <w:r>
              <w:rPr>
                <w:rFonts w:hint="eastAsia"/>
                <w:b/>
                <w:bCs/>
              </w:rPr>
              <w:t>级</w:t>
            </w:r>
            <w:r>
              <w:rPr>
                <w:b/>
                <w:bCs/>
              </w:rPr>
              <w:t xml:space="preserve"> </w:t>
            </w:r>
            <w:r>
              <w:rPr>
                <w:rFonts w:hint="eastAsia"/>
                <w:b/>
                <w:bCs/>
              </w:rPr>
              <w:t>属</w:t>
            </w:r>
            <w:r>
              <w:rPr>
                <w:b/>
                <w:bCs/>
              </w:rPr>
              <w:t xml:space="preserve">  AA </w:t>
            </w:r>
            <w:r>
              <w:rPr>
                <w:rFonts w:hint="eastAsia"/>
                <w:b/>
                <w:bCs/>
              </w:rPr>
              <w:t>级</w:t>
            </w:r>
            <w:r>
              <w:rPr>
                <w:b/>
                <w:bCs/>
              </w:rPr>
              <w:t xml:space="preserve"> </w:t>
            </w:r>
            <w:r>
              <w:rPr>
                <w:rFonts w:hint="eastAsia"/>
                <w:b/>
                <w:bCs/>
              </w:rPr>
              <w:t>、</w:t>
            </w:r>
            <w:r>
              <w:rPr>
                <w:b/>
                <w:bCs/>
              </w:rPr>
              <w:t xml:space="preserve"> A  </w:t>
            </w:r>
            <w:r>
              <w:rPr>
                <w:rFonts w:hint="eastAsia"/>
                <w:b/>
                <w:bCs/>
              </w:rPr>
              <w:t>级</w:t>
            </w:r>
            <w:r>
              <w:rPr>
                <w:b/>
                <w:bCs/>
              </w:rPr>
              <w:t xml:space="preserve"> </w:t>
            </w:r>
            <w:r>
              <w:rPr>
                <w:rFonts w:hint="eastAsia"/>
                <w:b/>
                <w:bCs/>
              </w:rPr>
              <w:t>、</w:t>
            </w:r>
            <w:r>
              <w:rPr>
                <w:b/>
                <w:bCs/>
              </w:rPr>
              <w:t xml:space="preserve"> B  </w:t>
            </w:r>
            <w:r>
              <w:rPr>
                <w:rFonts w:hint="eastAsia"/>
                <w:b/>
                <w:bCs/>
              </w:rPr>
              <w:t>级</w:t>
            </w:r>
            <w:r>
              <w:rPr>
                <w:b/>
                <w:bCs/>
              </w:rPr>
              <w:t xml:space="preserve"> </w:t>
            </w:r>
            <w:r>
              <w:rPr>
                <w:rFonts w:hint="eastAsia"/>
                <w:b/>
                <w:bCs/>
              </w:rPr>
              <w:t>和</w:t>
            </w:r>
            <w:r>
              <w:rPr>
                <w:b/>
                <w:bCs/>
              </w:rPr>
              <w:t xml:space="preserve">  C  </w:t>
            </w:r>
            <w:r>
              <w:rPr>
                <w:rFonts w:hint="eastAsia"/>
                <w:b/>
                <w:bCs/>
              </w:rPr>
              <w:t>级</w:t>
            </w:r>
            <w:r>
              <w:rPr>
                <w:b/>
                <w:bCs/>
              </w:rPr>
              <w:t xml:space="preserve"> </w:t>
            </w:r>
            <w:r>
              <w:rPr>
                <w:rFonts w:hint="eastAsia"/>
                <w:b/>
                <w:bCs/>
              </w:rPr>
              <w:t>且</w:t>
            </w:r>
            <w:r>
              <w:rPr>
                <w:b/>
                <w:bCs/>
              </w:rPr>
              <w:t xml:space="preserve"> </w:t>
            </w:r>
            <w:r>
              <w:rPr>
                <w:rFonts w:hint="eastAsia"/>
                <w:b/>
                <w:bCs/>
              </w:rPr>
              <w:t>未</w:t>
            </w:r>
            <w:r>
              <w:rPr>
                <w:b/>
                <w:bCs/>
              </w:rPr>
              <w:t xml:space="preserve"> </w:t>
            </w:r>
            <w:r>
              <w:rPr>
                <w:rFonts w:hint="eastAsia"/>
                <w:b/>
                <w:bCs/>
              </w:rPr>
              <w:t>被</w:t>
            </w:r>
            <w:r>
              <w:rPr>
                <w:b/>
                <w:bCs/>
              </w:rPr>
              <w:t xml:space="preserve"> </w:t>
            </w:r>
            <w:r>
              <w:rPr>
                <w:rFonts w:hint="eastAsia"/>
                <w:b/>
                <w:bCs/>
              </w:rPr>
              <w:t>“</w:t>
            </w:r>
            <w:r>
              <w:rPr>
                <w:b/>
                <w:bCs/>
              </w:rPr>
              <w:t xml:space="preserve"> </w:t>
            </w:r>
            <w:r>
              <w:rPr>
                <w:rFonts w:hint="eastAsia"/>
                <w:b/>
                <w:bCs/>
              </w:rPr>
              <w:t>信</w:t>
            </w:r>
            <w:r>
              <w:rPr>
                <w:b/>
                <w:bCs/>
              </w:rPr>
              <w:t xml:space="preserve"> </w:t>
            </w:r>
            <w:r>
              <w:rPr>
                <w:rFonts w:hint="eastAsia"/>
                <w:b/>
                <w:bCs/>
              </w:rPr>
              <w:t>用</w:t>
            </w:r>
            <w:r>
              <w:rPr>
                <w:b/>
                <w:bCs/>
              </w:rPr>
              <w:t xml:space="preserve"> </w:t>
            </w:r>
            <w:r>
              <w:rPr>
                <w:rFonts w:hint="eastAsia"/>
                <w:b/>
                <w:bCs/>
              </w:rPr>
              <w:t>中</w:t>
            </w:r>
            <w:r>
              <w:rPr>
                <w:b/>
                <w:bCs/>
              </w:rPr>
              <w:t xml:space="preserve"> </w:t>
            </w:r>
            <w:r>
              <w:rPr>
                <w:rFonts w:hint="eastAsia"/>
                <w:b/>
                <w:bCs/>
              </w:rPr>
              <w:t>国</w:t>
            </w:r>
            <w:r>
              <w:rPr>
                <w:b/>
                <w:bCs/>
              </w:rPr>
              <w:t xml:space="preserve"> </w:t>
            </w:r>
            <w:r>
              <w:rPr>
                <w:rFonts w:hint="eastAsia"/>
                <w:b/>
                <w:bCs/>
              </w:rPr>
              <w:t>”（</w:t>
            </w:r>
            <w:r>
              <w:rPr>
                <w:b/>
                <w:bCs/>
              </w:rPr>
              <w:t>http://www.creditchina.gov.cn</w:t>
            </w:r>
            <w:r>
              <w:rPr>
                <w:rFonts w:hint="eastAsia"/>
                <w:b/>
                <w:bCs/>
              </w:rPr>
              <w:t>）列入被限制参与工程投标受惩黑名单的企业，可对本工程投标。</w:t>
            </w:r>
          </w:p>
          <w:p>
            <w:pPr>
              <w:spacing w:line="240" w:lineRule="atLeast"/>
              <w:ind w:left="100"/>
              <w:rPr>
                <w:rFonts w:cs="Times New Roman"/>
                <w:sz w:val="21"/>
                <w:szCs w:val="21"/>
              </w:rPr>
            </w:pPr>
            <w:r>
              <w:rPr>
                <w:rFonts w:hint="eastAsia"/>
                <w:sz w:val="21"/>
                <w:szCs w:val="21"/>
              </w:rPr>
              <w:t>三、</w:t>
            </w:r>
            <w:r>
              <w:rPr>
                <w:rFonts w:hint="eastAsia"/>
                <w:color w:val="000000"/>
              </w:rPr>
              <w:t>投标人不存在市交通运输局《桂林市农村公路建设市场从业单位信用评价实施细则》（市交</w:t>
            </w:r>
            <w:r>
              <w:rPr>
                <w:color w:val="000000"/>
              </w:rPr>
              <w:t>[2015]70</w:t>
            </w:r>
            <w:r>
              <w:rPr>
                <w:rFonts w:hint="eastAsia"/>
                <w:color w:val="000000"/>
              </w:rPr>
              <w:t>号）中有关市场禁入性规定的情况。否则，招标人有权取消投标人中标资格。对于已经宣布中标的，招标人有权依据《中华人民共和国招标投标法》第三十三、五十四条的规定主张中标无效。</w:t>
            </w:r>
            <w:r>
              <w:rPr>
                <w:rFonts w:hint="eastAsia"/>
                <w:b/>
                <w:bCs/>
                <w:color w:val="000000"/>
              </w:rPr>
              <w:t>投标单位的信用评价等级按照</w:t>
            </w:r>
            <w:r>
              <w:rPr>
                <w:rFonts w:hint="eastAsia"/>
                <w:color w:val="000000"/>
              </w:rPr>
              <w:t>市交通运输局《桂林市农村公路建设市场从业单位信用评价实施细则》（市交</w:t>
            </w:r>
            <w:r>
              <w:rPr>
                <w:color w:val="000000"/>
              </w:rPr>
              <w:t>[2015]70</w:t>
            </w:r>
            <w:r>
              <w:rPr>
                <w:rFonts w:hint="eastAsia"/>
                <w:color w:val="000000"/>
              </w:rPr>
              <w:t>号）</w:t>
            </w:r>
            <w:r>
              <w:rPr>
                <w:rFonts w:hint="eastAsia"/>
                <w:b/>
                <w:bCs/>
                <w:color w:val="000000"/>
              </w:rPr>
              <w:t>有关规定执行并以桂林市交通运输局在本项目投标文件递交截止时间前最新公布的桂林市农村公路建设市场施工企业信用等级评定结果为准。</w:t>
            </w:r>
            <w:r>
              <w:rPr>
                <w:rFonts w:hint="eastAsia"/>
                <w:color w:val="000000"/>
              </w:rPr>
              <w:t>本次招标要求投标人信用评价等级在</w:t>
            </w:r>
            <w:r>
              <w:rPr>
                <w:color w:val="000000"/>
                <w:u w:val="single"/>
              </w:rPr>
              <w:t xml:space="preserve"> C </w:t>
            </w:r>
            <w:r>
              <w:rPr>
                <w:rFonts w:hint="eastAsia"/>
                <w:color w:val="000000"/>
              </w:rPr>
              <w:t>级及以上。</w:t>
            </w:r>
          </w:p>
          <w:p>
            <w:pPr>
              <w:spacing w:line="239" w:lineRule="auto"/>
              <w:rPr>
                <w:rFonts w:cs="Times New Roman"/>
                <w:b/>
                <w:bCs/>
                <w:sz w:val="21"/>
                <w:szCs w:val="21"/>
              </w:rPr>
            </w:pPr>
            <w:r>
              <w:rPr>
                <w:rFonts w:hint="eastAsia"/>
                <w:sz w:val="21"/>
                <w:szCs w:val="21"/>
              </w:rPr>
              <w:t>四、</w:t>
            </w:r>
            <w:r>
              <w:rPr>
                <w:rFonts w:hint="eastAsia"/>
                <w:b/>
                <w:bCs/>
                <w:sz w:val="21"/>
                <w:szCs w:val="21"/>
              </w:rPr>
              <w:t>安全生产费用不按招标人公布的最高投标限价的</w:t>
            </w:r>
            <w:r>
              <w:rPr>
                <w:sz w:val="21"/>
                <w:szCs w:val="21"/>
              </w:rPr>
              <w:t xml:space="preserve"> </w:t>
            </w:r>
            <w:r>
              <w:rPr>
                <w:b/>
                <w:bCs/>
                <w:sz w:val="21"/>
                <w:szCs w:val="21"/>
              </w:rPr>
              <w:t>1.5%</w:t>
            </w:r>
            <w:r>
              <w:rPr>
                <w:rFonts w:hint="eastAsia"/>
                <w:b/>
                <w:bCs/>
                <w:sz w:val="21"/>
                <w:szCs w:val="21"/>
              </w:rPr>
              <w:t>填报的，投标文件作废标处理。</w:t>
            </w:r>
          </w:p>
          <w:p>
            <w:pPr>
              <w:spacing w:line="38" w:lineRule="exact"/>
              <w:rPr>
                <w:rFonts w:ascii="Times New Roman" w:hAnsi="Times New Roman" w:cs="Times New Roman"/>
              </w:rPr>
            </w:pPr>
          </w:p>
          <w:p>
            <w:pPr>
              <w:spacing w:line="371" w:lineRule="auto"/>
              <w:ind w:right="100"/>
              <w:jc w:val="both"/>
              <w:rPr>
                <w:rFonts w:cs="Times New Roman"/>
                <w:sz w:val="21"/>
                <w:szCs w:val="21"/>
              </w:rPr>
            </w:pPr>
            <w:r>
              <w:rPr>
                <w:rFonts w:hint="eastAsia"/>
                <w:sz w:val="21"/>
                <w:szCs w:val="21"/>
              </w:rPr>
              <w:t>五、工程量清单的投标报价汇总表金额和投标函大写金额报价不一致时，根据以下原则确定预期中标价：如投标报价汇总表的投标报价小于开标时的投标函文字报价，则预期中标价以投标报价汇总表的投标报价为准；如投标报价汇总表的投标报价大于开标时的投标函文字报价，则预期中标价以投标函文字报价为准，同时按比例修正相应子目的单价或合价。</w:t>
            </w:r>
          </w:p>
          <w:p>
            <w:pPr>
              <w:spacing w:line="28" w:lineRule="exact"/>
              <w:rPr>
                <w:rFonts w:ascii="Times New Roman" w:hAnsi="Times New Roman" w:cs="Times New Roman"/>
              </w:rPr>
            </w:pPr>
          </w:p>
          <w:p>
            <w:pPr>
              <w:spacing w:line="240" w:lineRule="atLeast"/>
              <w:rPr>
                <w:rFonts w:cs="Times New Roman"/>
              </w:rPr>
            </w:pPr>
            <w:r>
              <w:rPr>
                <w:rFonts w:hint="eastAsia"/>
              </w:rPr>
              <w:t>六、与招标人存在利害关系可能影响招标公正性的法人、其他组织或者个人，不得参加投标。</w:t>
            </w:r>
            <w:r>
              <w:rPr>
                <w:rFonts w:hint="eastAsia"/>
                <w:sz w:val="21"/>
                <w:szCs w:val="21"/>
              </w:rPr>
              <w:t>单位负责人为同一人或者存在控股、管理关系的不同单位，不得参加同一标段投标。违反前两款规定的，相关投标均无效。</w:t>
            </w:r>
          </w:p>
          <w:p>
            <w:pPr>
              <w:spacing w:line="239" w:lineRule="auto"/>
              <w:rPr>
                <w:rFonts w:cs="Times New Roman"/>
                <w:sz w:val="21"/>
                <w:szCs w:val="21"/>
              </w:rPr>
            </w:pPr>
          </w:p>
        </w:tc>
      </w:tr>
    </w:tbl>
    <w:p>
      <w:pPr>
        <w:rPr>
          <w:rFonts w:cs="Times New Roman"/>
        </w:rPr>
      </w:pPr>
    </w:p>
    <w:p>
      <w:pPr>
        <w:rPr>
          <w:rFonts w:cs="Times New Roman"/>
        </w:rPr>
      </w:pPr>
    </w:p>
    <w:p>
      <w:pPr>
        <w:rPr>
          <w:rFonts w:cs="Times New Roman"/>
        </w:rPr>
      </w:pPr>
    </w:p>
    <w:p>
      <w:pPr>
        <w:spacing w:line="274" w:lineRule="exact"/>
        <w:rPr>
          <w:rFonts w:cs="Times New Roman"/>
        </w:rPr>
        <w:sectPr>
          <w:headerReference r:id="rId7" w:type="default"/>
          <w:pgSz w:w="11910" w:h="16850"/>
          <w:pgMar w:top="1418" w:right="1418" w:bottom="1418" w:left="1418" w:header="851" w:footer="964" w:gutter="0"/>
          <w:cols w:space="720" w:num="1"/>
        </w:sectPr>
      </w:pPr>
    </w:p>
    <w:p>
      <w:pPr>
        <w:pStyle w:val="49"/>
        <w:numPr>
          <w:ilvl w:val="0"/>
          <w:numId w:val="24"/>
        </w:numPr>
        <w:tabs>
          <w:tab w:val="left" w:pos="984"/>
        </w:tabs>
        <w:spacing w:before="32"/>
        <w:rPr>
          <w:rFonts w:cs="Times New Roman"/>
          <w:b/>
          <w:bCs/>
          <w:sz w:val="28"/>
          <w:szCs w:val="28"/>
        </w:rPr>
      </w:pPr>
      <w:r>
        <w:rPr>
          <w:rFonts w:hint="eastAsia"/>
          <w:b/>
          <w:bCs/>
          <w:spacing w:val="-2"/>
          <w:sz w:val="28"/>
          <w:szCs w:val="28"/>
        </w:rPr>
        <w:t>评标方法</w:t>
      </w:r>
    </w:p>
    <w:p>
      <w:pPr>
        <w:pStyle w:val="12"/>
        <w:spacing w:before="6"/>
        <w:rPr>
          <w:rFonts w:cs="Times New Roman"/>
          <w:sz w:val="26"/>
          <w:szCs w:val="26"/>
        </w:rPr>
      </w:pPr>
    </w:p>
    <w:p>
      <w:pPr>
        <w:spacing w:line="316" w:lineRule="auto"/>
        <w:ind w:left="564" w:right="603" w:firstLine="480"/>
        <w:jc w:val="both"/>
        <w:rPr>
          <w:rFonts w:cs="Times New Roman"/>
          <w:sz w:val="24"/>
          <w:szCs w:val="24"/>
        </w:rPr>
      </w:pPr>
      <w:r>
        <w:rPr>
          <w:rFonts w:hint="eastAsia"/>
          <w:sz w:val="24"/>
          <w:szCs w:val="24"/>
        </w:rPr>
        <w:t>本次评标采用综合评分法。评标委员会对满足招标文件实质要求的投标文件，</w:t>
      </w:r>
      <w:r>
        <w:rPr>
          <w:sz w:val="24"/>
          <w:szCs w:val="24"/>
        </w:rPr>
        <w:t xml:space="preserve"> </w:t>
      </w:r>
      <w:r>
        <w:rPr>
          <w:rFonts w:hint="eastAsia"/>
          <w:sz w:val="24"/>
          <w:szCs w:val="24"/>
        </w:rPr>
        <w:t>根据本章第</w:t>
      </w:r>
      <w:r>
        <w:rPr>
          <w:sz w:val="24"/>
          <w:szCs w:val="24"/>
        </w:rPr>
        <w:t>2.2</w:t>
      </w:r>
      <w:r>
        <w:rPr>
          <w:rFonts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招标人可采用被桂林市交通主管部门评为较高信用等级的投标人或递交投标文件时间较前的投标人优先或其他方法确定第一中标候选人。</w:t>
      </w:r>
    </w:p>
    <w:p>
      <w:pPr>
        <w:pStyle w:val="49"/>
        <w:numPr>
          <w:ilvl w:val="0"/>
          <w:numId w:val="24"/>
        </w:numPr>
        <w:tabs>
          <w:tab w:val="left" w:pos="984"/>
        </w:tabs>
        <w:spacing w:line="353" w:lineRule="exact"/>
        <w:jc w:val="both"/>
        <w:rPr>
          <w:rFonts w:cs="Times New Roman"/>
          <w:b/>
          <w:bCs/>
          <w:sz w:val="28"/>
          <w:szCs w:val="28"/>
        </w:rPr>
      </w:pPr>
      <w:r>
        <w:rPr>
          <w:rFonts w:hint="eastAsia"/>
          <w:b/>
          <w:bCs/>
          <w:spacing w:val="-2"/>
          <w:sz w:val="28"/>
          <w:szCs w:val="28"/>
        </w:rPr>
        <w:t>评审标准</w:t>
      </w:r>
    </w:p>
    <w:p>
      <w:pPr>
        <w:pStyle w:val="49"/>
        <w:numPr>
          <w:ilvl w:val="1"/>
          <w:numId w:val="24"/>
        </w:numPr>
        <w:tabs>
          <w:tab w:val="left" w:pos="1044"/>
        </w:tabs>
        <w:spacing w:before="245"/>
        <w:ind w:left="1044" w:hanging="480"/>
        <w:rPr>
          <w:rFonts w:ascii="黑体" w:eastAsia="黑体" w:cs="Times New Roman"/>
          <w:sz w:val="24"/>
          <w:szCs w:val="24"/>
        </w:rPr>
      </w:pPr>
      <w:r>
        <w:rPr>
          <w:rFonts w:hint="eastAsia"/>
          <w:b/>
          <w:bCs/>
          <w:sz w:val="24"/>
          <w:szCs w:val="24"/>
        </w:rPr>
        <w:t>初步评审标准</w:t>
      </w:r>
    </w:p>
    <w:p>
      <w:pPr>
        <w:pStyle w:val="49"/>
        <w:numPr>
          <w:ilvl w:val="2"/>
          <w:numId w:val="24"/>
        </w:numPr>
        <w:tabs>
          <w:tab w:val="left" w:pos="1762"/>
        </w:tabs>
        <w:spacing w:before="96"/>
        <w:ind w:hanging="721"/>
        <w:rPr>
          <w:rFonts w:cs="Times New Roman"/>
          <w:sz w:val="24"/>
          <w:szCs w:val="24"/>
        </w:rPr>
      </w:pPr>
      <w:r>
        <w:rPr>
          <w:rFonts w:hint="eastAsia"/>
          <w:sz w:val="24"/>
          <w:szCs w:val="24"/>
        </w:rPr>
        <w:t>形式评审标准：见评标办法前附表。</w:t>
      </w:r>
    </w:p>
    <w:p>
      <w:pPr>
        <w:pStyle w:val="49"/>
        <w:numPr>
          <w:ilvl w:val="2"/>
          <w:numId w:val="24"/>
        </w:numPr>
        <w:tabs>
          <w:tab w:val="left" w:pos="1764"/>
        </w:tabs>
        <w:spacing w:before="98"/>
        <w:ind w:left="1764" w:hanging="720"/>
        <w:rPr>
          <w:rFonts w:cs="Times New Roman"/>
          <w:sz w:val="24"/>
          <w:szCs w:val="24"/>
        </w:rPr>
      </w:pPr>
      <w:r>
        <w:rPr>
          <w:rFonts w:hint="eastAsia"/>
          <w:sz w:val="24"/>
          <w:szCs w:val="24"/>
        </w:rPr>
        <w:t>资格评审标准：见评标办法前附表。</w:t>
      </w:r>
    </w:p>
    <w:p>
      <w:pPr>
        <w:pStyle w:val="49"/>
        <w:numPr>
          <w:ilvl w:val="2"/>
          <w:numId w:val="24"/>
        </w:numPr>
        <w:tabs>
          <w:tab w:val="left" w:pos="1764"/>
        </w:tabs>
        <w:spacing w:before="96"/>
        <w:ind w:left="1764" w:hanging="720"/>
        <w:rPr>
          <w:rFonts w:cs="Times New Roman"/>
          <w:sz w:val="24"/>
          <w:szCs w:val="24"/>
        </w:rPr>
      </w:pPr>
      <w:r>
        <w:rPr>
          <w:rFonts w:hint="eastAsia"/>
          <w:sz w:val="24"/>
          <w:szCs w:val="24"/>
        </w:rPr>
        <w:t>响应性评审标准：见评标办法前附表。</w:t>
      </w:r>
    </w:p>
    <w:p>
      <w:pPr>
        <w:pStyle w:val="12"/>
        <w:spacing w:before="11"/>
        <w:rPr>
          <w:rFonts w:cs="Times New Roman"/>
        </w:rPr>
      </w:pPr>
    </w:p>
    <w:p>
      <w:pPr>
        <w:pStyle w:val="49"/>
        <w:numPr>
          <w:ilvl w:val="1"/>
          <w:numId w:val="24"/>
        </w:numPr>
        <w:tabs>
          <w:tab w:val="left" w:pos="1044"/>
        </w:tabs>
        <w:spacing w:line="314" w:lineRule="auto"/>
        <w:ind w:left="1044" w:right="6645" w:hanging="480"/>
        <w:rPr>
          <w:rFonts w:ascii="黑体" w:eastAsia="黑体" w:cs="Times New Roman"/>
          <w:sz w:val="24"/>
          <w:szCs w:val="24"/>
        </w:rPr>
      </w:pPr>
      <w:r>
        <w:rPr>
          <w:rFonts w:hint="eastAsia"/>
          <w:b/>
          <w:bCs/>
          <w:spacing w:val="-3"/>
          <w:sz w:val="24"/>
          <w:szCs w:val="24"/>
        </w:rPr>
        <w:t>分值构成与评分标准</w:t>
      </w:r>
      <w:r>
        <w:rPr>
          <w:sz w:val="24"/>
          <w:szCs w:val="24"/>
        </w:rPr>
        <w:t>2.2.1</w:t>
      </w:r>
      <w:r>
        <w:rPr>
          <w:rFonts w:hint="eastAsia"/>
          <w:b/>
          <w:bCs/>
          <w:sz w:val="24"/>
          <w:szCs w:val="24"/>
        </w:rPr>
        <w:t>分值构成</w:t>
      </w:r>
    </w:p>
    <w:p>
      <w:pPr>
        <w:spacing w:before="1" w:line="312" w:lineRule="auto"/>
        <w:ind w:left="1044" w:right="5685"/>
        <w:rPr>
          <w:rFonts w:cs="Times New Roman"/>
          <w:sz w:val="24"/>
          <w:szCs w:val="24"/>
        </w:rPr>
      </w:pPr>
      <w:r>
        <w:rPr>
          <w:rFonts w:hint="eastAsia"/>
          <w:sz w:val="24"/>
          <w:szCs w:val="24"/>
        </w:rPr>
        <w:t>评标价：见评标办法前附表。</w:t>
      </w:r>
      <w:r>
        <w:rPr>
          <w:sz w:val="24"/>
          <w:szCs w:val="24"/>
        </w:rPr>
        <w:t>2.2.2</w:t>
      </w:r>
      <w:r>
        <w:rPr>
          <w:rFonts w:hint="eastAsia"/>
          <w:sz w:val="24"/>
          <w:szCs w:val="24"/>
        </w:rPr>
        <w:t>评标基准价计算</w:t>
      </w:r>
    </w:p>
    <w:p>
      <w:pPr>
        <w:spacing w:before="4" w:line="312" w:lineRule="auto"/>
        <w:ind w:left="1044" w:right="4245"/>
        <w:rPr>
          <w:rFonts w:cs="Times New Roman"/>
          <w:sz w:val="24"/>
          <w:szCs w:val="24"/>
        </w:rPr>
      </w:pPr>
      <w:r>
        <w:rPr>
          <w:rFonts w:hint="eastAsia"/>
          <w:sz w:val="24"/>
          <w:szCs w:val="24"/>
        </w:rPr>
        <w:t>评标基准价计算方法：见评标办法前附表。</w:t>
      </w:r>
      <w:r>
        <w:rPr>
          <w:sz w:val="24"/>
          <w:szCs w:val="24"/>
        </w:rPr>
        <w:t>2.2.3</w:t>
      </w:r>
      <w:r>
        <w:rPr>
          <w:rFonts w:hint="eastAsia"/>
          <w:sz w:val="24"/>
          <w:szCs w:val="24"/>
        </w:rPr>
        <w:t>评标价的偏差率计算</w:t>
      </w:r>
    </w:p>
    <w:p>
      <w:pPr>
        <w:spacing w:before="5" w:line="314" w:lineRule="auto"/>
        <w:ind w:left="1044" w:right="3765"/>
        <w:rPr>
          <w:rFonts w:cs="Times New Roman"/>
          <w:sz w:val="24"/>
          <w:szCs w:val="24"/>
        </w:rPr>
      </w:pPr>
      <w:r>
        <w:rPr>
          <w:rFonts w:hint="eastAsia"/>
          <w:sz w:val="24"/>
          <w:szCs w:val="24"/>
        </w:rPr>
        <w:t>评标价的偏差率计算公式：见评标办法前附表。</w:t>
      </w:r>
      <w:r>
        <w:rPr>
          <w:sz w:val="24"/>
          <w:szCs w:val="24"/>
        </w:rPr>
        <w:t>2.2.4</w:t>
      </w:r>
      <w:r>
        <w:rPr>
          <w:rFonts w:hint="eastAsia"/>
          <w:sz w:val="24"/>
          <w:szCs w:val="24"/>
        </w:rPr>
        <w:t>评分标准</w:t>
      </w:r>
    </w:p>
    <w:p>
      <w:pPr>
        <w:spacing w:line="306" w:lineRule="exact"/>
        <w:ind w:left="1044"/>
        <w:rPr>
          <w:rFonts w:cs="Times New Roman"/>
          <w:sz w:val="24"/>
          <w:szCs w:val="24"/>
        </w:rPr>
      </w:pPr>
      <w:r>
        <w:rPr>
          <w:rFonts w:hint="eastAsia"/>
          <w:sz w:val="24"/>
          <w:szCs w:val="24"/>
        </w:rPr>
        <w:t>评标价评分标准：见评标办法前附表。</w:t>
      </w:r>
    </w:p>
    <w:p>
      <w:pPr>
        <w:pStyle w:val="49"/>
        <w:numPr>
          <w:ilvl w:val="0"/>
          <w:numId w:val="24"/>
        </w:numPr>
        <w:tabs>
          <w:tab w:val="left" w:pos="984"/>
        </w:tabs>
        <w:spacing w:before="5"/>
        <w:rPr>
          <w:rFonts w:cs="Times New Roman"/>
          <w:sz w:val="28"/>
          <w:szCs w:val="28"/>
        </w:rPr>
      </w:pPr>
      <w:r>
        <w:rPr>
          <w:rFonts w:hint="eastAsia"/>
          <w:b/>
          <w:bCs/>
          <w:spacing w:val="-2"/>
          <w:sz w:val="28"/>
          <w:szCs w:val="28"/>
        </w:rPr>
        <w:t>评标程序</w:t>
      </w:r>
    </w:p>
    <w:p>
      <w:pPr>
        <w:pStyle w:val="49"/>
        <w:numPr>
          <w:ilvl w:val="1"/>
          <w:numId w:val="24"/>
        </w:numPr>
        <w:tabs>
          <w:tab w:val="left" w:pos="984"/>
        </w:tabs>
        <w:spacing w:before="245"/>
        <w:rPr>
          <w:rFonts w:ascii="黑体" w:eastAsia="黑体" w:cs="Times New Roman"/>
          <w:b/>
          <w:bCs/>
          <w:sz w:val="24"/>
          <w:szCs w:val="24"/>
        </w:rPr>
      </w:pPr>
      <w:r>
        <w:rPr>
          <w:rFonts w:hint="eastAsia"/>
          <w:b/>
          <w:bCs/>
          <w:sz w:val="24"/>
          <w:szCs w:val="24"/>
        </w:rPr>
        <w:t>第一个信封初步评审</w:t>
      </w:r>
    </w:p>
    <w:p>
      <w:pPr>
        <w:pStyle w:val="12"/>
        <w:spacing w:before="10"/>
        <w:rPr>
          <w:rFonts w:cs="Times New Roman"/>
          <w:sz w:val="26"/>
          <w:szCs w:val="26"/>
        </w:rPr>
      </w:pPr>
    </w:p>
    <w:p>
      <w:pPr>
        <w:pStyle w:val="49"/>
        <w:numPr>
          <w:ilvl w:val="2"/>
          <w:numId w:val="24"/>
        </w:numPr>
        <w:tabs>
          <w:tab w:val="left" w:pos="1767"/>
        </w:tabs>
        <w:spacing w:line="316" w:lineRule="auto"/>
        <w:ind w:left="564" w:right="478" w:firstLine="480"/>
        <w:jc w:val="both"/>
        <w:rPr>
          <w:rFonts w:cs="Times New Roman"/>
          <w:sz w:val="24"/>
          <w:szCs w:val="24"/>
        </w:rPr>
      </w:pPr>
      <w:r>
        <w:rPr>
          <w:rFonts w:hint="eastAsia"/>
          <w:spacing w:val="-10"/>
          <w:sz w:val="24"/>
          <w:szCs w:val="24"/>
        </w:rPr>
        <w:t>评标委员会依据本章第</w:t>
      </w:r>
      <w:r>
        <w:rPr>
          <w:spacing w:val="-10"/>
          <w:sz w:val="24"/>
          <w:szCs w:val="24"/>
        </w:rPr>
        <w:t xml:space="preserve"> </w:t>
      </w:r>
      <w:r>
        <w:rPr>
          <w:sz w:val="24"/>
          <w:szCs w:val="24"/>
        </w:rPr>
        <w:t>2.1.1</w:t>
      </w:r>
      <w:r>
        <w:rPr>
          <w:spacing w:val="-38"/>
          <w:sz w:val="24"/>
          <w:szCs w:val="24"/>
        </w:rPr>
        <w:t xml:space="preserve"> </w:t>
      </w:r>
      <w:r>
        <w:rPr>
          <w:rFonts w:hint="eastAsia"/>
          <w:spacing w:val="-38"/>
          <w:sz w:val="24"/>
          <w:szCs w:val="24"/>
        </w:rPr>
        <w:t>项、第</w:t>
      </w:r>
      <w:r>
        <w:rPr>
          <w:sz w:val="24"/>
          <w:szCs w:val="24"/>
        </w:rPr>
        <w:t xml:space="preserve">2.1.3 </w:t>
      </w:r>
      <w:r>
        <w:rPr>
          <w:rFonts w:hint="eastAsia"/>
          <w:sz w:val="24"/>
          <w:szCs w:val="24"/>
        </w:rPr>
        <w:t>项规定的评审标准对投标文件</w:t>
      </w:r>
      <w:r>
        <w:rPr>
          <w:rFonts w:hint="eastAsia"/>
          <w:spacing w:val="-4"/>
          <w:sz w:val="24"/>
          <w:szCs w:val="24"/>
        </w:rPr>
        <w:t>第一个信封</w:t>
      </w:r>
      <w:r>
        <w:rPr>
          <w:rFonts w:hint="eastAsia"/>
          <w:spacing w:val="-3"/>
          <w:sz w:val="24"/>
          <w:szCs w:val="24"/>
        </w:rPr>
        <w:t>（</w:t>
      </w:r>
      <w:r>
        <w:rPr>
          <w:rFonts w:hint="eastAsia"/>
          <w:sz w:val="24"/>
          <w:szCs w:val="24"/>
        </w:rPr>
        <w:t>商务及技术文件</w:t>
      </w:r>
      <w:r>
        <w:rPr>
          <w:rFonts w:hint="eastAsia"/>
          <w:spacing w:val="-17"/>
          <w:sz w:val="24"/>
          <w:szCs w:val="24"/>
        </w:rPr>
        <w:t>）</w:t>
      </w:r>
      <w:r>
        <w:rPr>
          <w:rFonts w:hint="eastAsia"/>
          <w:spacing w:val="-5"/>
          <w:sz w:val="24"/>
          <w:szCs w:val="24"/>
        </w:rPr>
        <w:t>进行初步评审。有一项不符合评审标准的，评标委员</w:t>
      </w:r>
      <w:r>
        <w:rPr>
          <w:rFonts w:hint="eastAsia"/>
          <w:sz w:val="24"/>
          <w:szCs w:val="24"/>
        </w:rPr>
        <w:t>会应否决其投标。</w:t>
      </w:r>
    </w:p>
    <w:p>
      <w:pPr>
        <w:pStyle w:val="49"/>
        <w:numPr>
          <w:ilvl w:val="1"/>
          <w:numId w:val="24"/>
        </w:numPr>
        <w:tabs>
          <w:tab w:val="left" w:pos="897"/>
        </w:tabs>
        <w:spacing w:before="148"/>
        <w:ind w:left="896" w:hanging="333"/>
        <w:rPr>
          <w:rFonts w:cs="Times New Roman"/>
          <w:b/>
          <w:bCs/>
          <w:sz w:val="20"/>
          <w:szCs w:val="20"/>
        </w:rPr>
      </w:pPr>
      <w:r>
        <w:rPr>
          <w:b/>
          <w:bCs/>
          <w:sz w:val="24"/>
          <w:szCs w:val="24"/>
          <w:lang w:val="en-US"/>
        </w:rPr>
        <w:t xml:space="preserve"> </w:t>
      </w:r>
      <w:r>
        <w:rPr>
          <w:rFonts w:hint="eastAsia"/>
          <w:b/>
          <w:bCs/>
          <w:sz w:val="24"/>
          <w:szCs w:val="24"/>
        </w:rPr>
        <w:t>第二个信封开标</w:t>
      </w:r>
    </w:p>
    <w:p>
      <w:pPr>
        <w:pStyle w:val="12"/>
        <w:spacing w:before="7"/>
        <w:rPr>
          <w:rFonts w:cs="Times New Roman"/>
          <w:sz w:val="26"/>
          <w:szCs w:val="26"/>
        </w:rPr>
      </w:pPr>
    </w:p>
    <w:p>
      <w:pPr>
        <w:spacing w:before="1"/>
        <w:ind w:left="1044"/>
        <w:rPr>
          <w:rFonts w:cs="Times New Roman"/>
          <w:sz w:val="24"/>
          <w:szCs w:val="24"/>
        </w:rPr>
      </w:pPr>
      <w:r>
        <w:rPr>
          <w:rFonts w:hint="eastAsia"/>
          <w:spacing w:val="-36"/>
          <w:sz w:val="24"/>
          <w:szCs w:val="24"/>
        </w:rPr>
        <w:t>第一个信封</w:t>
      </w:r>
      <w:r>
        <w:rPr>
          <w:rFonts w:hint="eastAsia"/>
          <w:sz w:val="24"/>
          <w:szCs w:val="24"/>
        </w:rPr>
        <w:t>（商务及技术文件</w:t>
      </w:r>
      <w:r>
        <w:rPr>
          <w:rFonts w:hint="eastAsia"/>
          <w:spacing w:val="-149"/>
          <w:sz w:val="24"/>
          <w:szCs w:val="24"/>
        </w:rPr>
        <w:t>）</w:t>
      </w:r>
      <w:r>
        <w:rPr>
          <w:rFonts w:hint="eastAsia"/>
          <w:spacing w:val="-21"/>
          <w:sz w:val="24"/>
          <w:szCs w:val="24"/>
        </w:rPr>
        <w:t>评审结束后，招标人将按照第二章“投标人须知”第</w:t>
      </w:r>
    </w:p>
    <w:p>
      <w:pPr>
        <w:spacing w:before="98" w:line="314" w:lineRule="auto"/>
        <w:ind w:left="564" w:right="603"/>
        <w:rPr>
          <w:rFonts w:cs="Times New Roman"/>
          <w:sz w:val="24"/>
          <w:szCs w:val="24"/>
        </w:rPr>
      </w:pPr>
      <w:r>
        <w:rPr>
          <w:sz w:val="24"/>
          <w:szCs w:val="24"/>
        </w:rPr>
        <w:t xml:space="preserve">5.1 </w:t>
      </w:r>
      <w:r>
        <w:rPr>
          <w:rFonts w:hint="eastAsia"/>
          <w:sz w:val="24"/>
          <w:szCs w:val="24"/>
        </w:rPr>
        <w:t>款规定的时间和地点对通过投标文件第一个信封（商务及技术文件）评审的投标文件第二个信封（报价文件）进行开标。</w:t>
      </w:r>
    </w:p>
    <w:p>
      <w:pPr>
        <w:pStyle w:val="49"/>
        <w:numPr>
          <w:ilvl w:val="1"/>
          <w:numId w:val="25"/>
        </w:numPr>
        <w:tabs>
          <w:tab w:val="left" w:pos="925"/>
        </w:tabs>
        <w:spacing w:before="156"/>
        <w:rPr>
          <w:rFonts w:cs="Times New Roman"/>
          <w:b/>
          <w:bCs/>
        </w:rPr>
      </w:pPr>
      <w:r>
        <w:rPr>
          <w:b/>
          <w:bCs/>
          <w:sz w:val="24"/>
          <w:szCs w:val="24"/>
          <w:lang w:val="en-US"/>
        </w:rPr>
        <w:t xml:space="preserve"> </w:t>
      </w:r>
      <w:r>
        <w:rPr>
          <w:rFonts w:hint="eastAsia"/>
          <w:b/>
          <w:bCs/>
          <w:sz w:val="24"/>
          <w:szCs w:val="24"/>
        </w:rPr>
        <w:t>第二个信封初步评审</w:t>
      </w:r>
    </w:p>
    <w:p>
      <w:pPr>
        <w:pStyle w:val="49"/>
        <w:numPr>
          <w:ilvl w:val="2"/>
          <w:numId w:val="25"/>
        </w:numPr>
        <w:tabs>
          <w:tab w:val="left" w:pos="1820"/>
        </w:tabs>
        <w:spacing w:before="52" w:line="316" w:lineRule="auto"/>
        <w:ind w:right="591" w:firstLine="571"/>
        <w:jc w:val="both"/>
        <w:rPr>
          <w:rFonts w:cs="Times New Roman"/>
          <w:sz w:val="24"/>
          <w:szCs w:val="24"/>
        </w:rPr>
      </w:pPr>
      <w:r>
        <w:rPr>
          <w:rFonts w:hint="eastAsia"/>
          <w:spacing w:val="-13"/>
          <w:sz w:val="24"/>
          <w:szCs w:val="24"/>
        </w:rPr>
        <w:t>评标委员会依据本章第</w:t>
      </w:r>
      <w:r>
        <w:rPr>
          <w:spacing w:val="-13"/>
          <w:sz w:val="24"/>
          <w:szCs w:val="24"/>
        </w:rPr>
        <w:t xml:space="preserve"> </w:t>
      </w:r>
      <w:r>
        <w:rPr>
          <w:spacing w:val="-5"/>
          <w:sz w:val="24"/>
          <w:szCs w:val="24"/>
        </w:rPr>
        <w:t>2.1.1</w:t>
      </w:r>
      <w:r>
        <w:rPr>
          <w:spacing w:val="-30"/>
          <w:sz w:val="24"/>
          <w:szCs w:val="24"/>
        </w:rPr>
        <w:t xml:space="preserve"> </w:t>
      </w:r>
      <w:r>
        <w:rPr>
          <w:rFonts w:hint="eastAsia"/>
          <w:spacing w:val="-30"/>
          <w:sz w:val="24"/>
          <w:szCs w:val="24"/>
        </w:rPr>
        <w:t>项、第</w:t>
      </w:r>
      <w:r>
        <w:rPr>
          <w:spacing w:val="-30"/>
          <w:sz w:val="24"/>
          <w:szCs w:val="24"/>
        </w:rPr>
        <w:t xml:space="preserve"> </w:t>
      </w:r>
      <w:r>
        <w:rPr>
          <w:spacing w:val="-5"/>
          <w:sz w:val="24"/>
          <w:szCs w:val="24"/>
        </w:rPr>
        <w:t>2.1.3</w:t>
      </w:r>
      <w:r>
        <w:rPr>
          <w:spacing w:val="-14"/>
          <w:sz w:val="24"/>
          <w:szCs w:val="24"/>
        </w:rPr>
        <w:t xml:space="preserve"> </w:t>
      </w:r>
      <w:r>
        <w:rPr>
          <w:rFonts w:hint="eastAsia"/>
          <w:spacing w:val="-14"/>
          <w:sz w:val="24"/>
          <w:szCs w:val="24"/>
        </w:rPr>
        <w:t>项规定的评审标准对投标文件</w:t>
      </w:r>
      <w:r>
        <w:rPr>
          <w:rFonts w:hint="eastAsia"/>
          <w:spacing w:val="-12"/>
          <w:sz w:val="24"/>
          <w:szCs w:val="24"/>
        </w:rPr>
        <w:t>第二个信封（报价文件）进行初步评审。有一项不符合评审标准的，评标委员会应否决</w:t>
      </w:r>
      <w:r>
        <w:rPr>
          <w:rFonts w:hint="eastAsia"/>
          <w:spacing w:val="-9"/>
          <w:sz w:val="24"/>
          <w:szCs w:val="24"/>
        </w:rPr>
        <w:t>其投标。</w:t>
      </w:r>
    </w:p>
    <w:p>
      <w:pPr>
        <w:pStyle w:val="49"/>
        <w:numPr>
          <w:ilvl w:val="2"/>
          <w:numId w:val="25"/>
        </w:numPr>
        <w:tabs>
          <w:tab w:val="left" w:pos="1820"/>
        </w:tabs>
        <w:spacing w:line="316" w:lineRule="auto"/>
        <w:ind w:right="609" w:firstLine="571"/>
        <w:jc w:val="both"/>
        <w:rPr>
          <w:rFonts w:cs="Times New Roman"/>
          <w:sz w:val="24"/>
          <w:szCs w:val="24"/>
        </w:rPr>
      </w:pPr>
      <w:r>
        <w:rPr>
          <w:rFonts w:hint="eastAsia"/>
          <w:spacing w:val="-13"/>
          <w:sz w:val="24"/>
          <w:szCs w:val="24"/>
        </w:rPr>
        <w:t>投标报价有算术错误的，评标委员会按以下原则对投标报价进行修正，</w:t>
      </w:r>
      <w:r>
        <w:rPr>
          <w:spacing w:val="-13"/>
          <w:sz w:val="24"/>
          <w:szCs w:val="24"/>
        </w:rPr>
        <w:t xml:space="preserve"> </w:t>
      </w:r>
      <w:r>
        <w:rPr>
          <w:rFonts w:hint="eastAsia"/>
          <w:spacing w:val="-13"/>
          <w:sz w:val="24"/>
          <w:szCs w:val="24"/>
        </w:rPr>
        <w:t>修正的价格经投标人书面确认后具有约束力。投标人不接受修正价格的，评标委员会应否</w:t>
      </w:r>
      <w:r>
        <w:rPr>
          <w:rFonts w:hint="eastAsia"/>
          <w:spacing w:val="-10"/>
          <w:sz w:val="24"/>
          <w:szCs w:val="24"/>
        </w:rPr>
        <w:t>决其投标。</w:t>
      </w:r>
    </w:p>
    <w:p>
      <w:pPr>
        <w:pStyle w:val="49"/>
        <w:numPr>
          <w:ilvl w:val="0"/>
          <w:numId w:val="26"/>
        </w:numPr>
        <w:tabs>
          <w:tab w:val="left" w:pos="1820"/>
        </w:tabs>
        <w:spacing w:line="304" w:lineRule="exact"/>
        <w:ind w:hanging="685"/>
        <w:rPr>
          <w:rFonts w:cs="Times New Roman"/>
          <w:sz w:val="24"/>
          <w:szCs w:val="24"/>
        </w:rPr>
      </w:pPr>
      <w:r>
        <w:rPr>
          <w:rFonts w:hint="eastAsia"/>
          <w:spacing w:val="-12"/>
          <w:sz w:val="24"/>
          <w:szCs w:val="24"/>
        </w:rPr>
        <w:t>投标文件中的大写金额与小写金额不一致的，以大写金额为准；</w:t>
      </w:r>
    </w:p>
    <w:p>
      <w:pPr>
        <w:pStyle w:val="49"/>
        <w:numPr>
          <w:ilvl w:val="0"/>
          <w:numId w:val="26"/>
        </w:numPr>
        <w:tabs>
          <w:tab w:val="left" w:pos="1820"/>
        </w:tabs>
        <w:spacing w:before="94" w:line="316" w:lineRule="auto"/>
        <w:ind w:left="564" w:right="591" w:firstLine="571"/>
        <w:rPr>
          <w:rFonts w:cs="Times New Roman"/>
          <w:sz w:val="24"/>
          <w:szCs w:val="24"/>
        </w:rPr>
      </w:pPr>
      <w:r>
        <w:rPr>
          <w:rFonts w:hint="eastAsia"/>
          <w:spacing w:val="-18"/>
          <w:sz w:val="24"/>
          <w:szCs w:val="24"/>
        </w:rPr>
        <w:t>总价金额与依据单价计算出的结果不一致的，以单价金额为准修正总价，但</w:t>
      </w:r>
      <w:r>
        <w:rPr>
          <w:rFonts w:hint="eastAsia"/>
          <w:spacing w:val="-12"/>
          <w:sz w:val="24"/>
          <w:szCs w:val="24"/>
        </w:rPr>
        <w:t>单价金额小数点有明显错误的除外；</w:t>
      </w:r>
    </w:p>
    <w:p>
      <w:pPr>
        <w:pStyle w:val="49"/>
        <w:numPr>
          <w:ilvl w:val="0"/>
          <w:numId w:val="26"/>
        </w:numPr>
        <w:tabs>
          <w:tab w:val="left" w:pos="1820"/>
        </w:tabs>
        <w:spacing w:line="316" w:lineRule="auto"/>
        <w:ind w:left="564" w:right="591" w:firstLine="571"/>
        <w:rPr>
          <w:rFonts w:cs="Times New Roman"/>
          <w:sz w:val="24"/>
          <w:szCs w:val="24"/>
        </w:rPr>
      </w:pPr>
      <w:r>
        <w:rPr>
          <w:rFonts w:hint="eastAsia"/>
          <w:spacing w:val="-18"/>
          <w:sz w:val="24"/>
          <w:szCs w:val="24"/>
        </w:rPr>
        <w:t>当单价与数量相乘不等于合价时，以单价计算为准，如果单价有明显的小数</w:t>
      </w:r>
      <w:r>
        <w:rPr>
          <w:rFonts w:hint="eastAsia"/>
          <w:spacing w:val="-12"/>
          <w:sz w:val="24"/>
          <w:szCs w:val="24"/>
        </w:rPr>
        <w:t>点位置差错，应以标出的合价为准，同时对单价予以修正；</w:t>
      </w:r>
    </w:p>
    <w:p>
      <w:pPr>
        <w:pStyle w:val="49"/>
        <w:numPr>
          <w:ilvl w:val="0"/>
          <w:numId w:val="26"/>
        </w:numPr>
        <w:tabs>
          <w:tab w:val="left" w:pos="1820"/>
        </w:tabs>
        <w:spacing w:line="304" w:lineRule="exact"/>
        <w:ind w:hanging="685"/>
        <w:rPr>
          <w:rFonts w:cs="Times New Roman"/>
          <w:sz w:val="24"/>
          <w:szCs w:val="24"/>
        </w:rPr>
      </w:pPr>
      <w:r>
        <w:rPr>
          <w:rFonts w:hint="eastAsia"/>
          <w:spacing w:val="-23"/>
          <w:sz w:val="24"/>
          <w:szCs w:val="24"/>
        </w:rPr>
        <w:t>当各子目的合价累计不等于总价时，应以各子目合价累计数为准，修正总价。</w:t>
      </w:r>
    </w:p>
    <w:p>
      <w:pPr>
        <w:pStyle w:val="49"/>
        <w:numPr>
          <w:ilvl w:val="2"/>
          <w:numId w:val="25"/>
        </w:numPr>
        <w:tabs>
          <w:tab w:val="left" w:pos="1820"/>
        </w:tabs>
        <w:spacing w:before="98" w:line="316" w:lineRule="auto"/>
        <w:ind w:right="591" w:firstLine="571"/>
        <w:jc w:val="both"/>
        <w:rPr>
          <w:rFonts w:cs="Times New Roman"/>
          <w:sz w:val="24"/>
          <w:szCs w:val="24"/>
        </w:rPr>
      </w:pPr>
      <w:r>
        <w:rPr>
          <w:rFonts w:hint="eastAsia"/>
          <w:spacing w:val="-18"/>
          <w:sz w:val="24"/>
          <w:szCs w:val="24"/>
        </w:rPr>
        <w:t>工程量清单中的投标报价有其他错误的，评标委员会按以下原则对投标报价</w:t>
      </w:r>
      <w:r>
        <w:rPr>
          <w:rFonts w:hint="eastAsia"/>
          <w:spacing w:val="-12"/>
          <w:sz w:val="24"/>
          <w:szCs w:val="24"/>
        </w:rPr>
        <w:t>进行修正，修正的价格经投标人书面确认后具有约束力。投标人不接受修正价格的，评</w:t>
      </w:r>
      <w:r>
        <w:rPr>
          <w:rFonts w:hint="eastAsia"/>
          <w:spacing w:val="-11"/>
          <w:sz w:val="24"/>
          <w:szCs w:val="24"/>
        </w:rPr>
        <w:t>标委员会应否决其投标。</w:t>
      </w:r>
    </w:p>
    <w:p>
      <w:pPr>
        <w:pStyle w:val="49"/>
        <w:numPr>
          <w:ilvl w:val="3"/>
          <w:numId w:val="25"/>
        </w:numPr>
        <w:tabs>
          <w:tab w:val="left" w:pos="1806"/>
        </w:tabs>
        <w:spacing w:line="316" w:lineRule="auto"/>
        <w:ind w:right="387" w:firstLine="652"/>
        <w:rPr>
          <w:rFonts w:cs="Times New Roman"/>
          <w:sz w:val="24"/>
          <w:szCs w:val="24"/>
        </w:rPr>
      </w:pPr>
      <w:r>
        <w:rPr>
          <w:rFonts w:hint="eastAsia"/>
          <w:spacing w:val="-10"/>
          <w:sz w:val="24"/>
          <w:szCs w:val="24"/>
        </w:rPr>
        <w:t>在招标人给定的工程量清单中漏报了某个工程子目的单价、合价或总额价，</w:t>
      </w:r>
      <w:r>
        <w:rPr>
          <w:spacing w:val="-10"/>
          <w:sz w:val="24"/>
          <w:szCs w:val="24"/>
        </w:rPr>
        <w:t xml:space="preserve"> </w:t>
      </w:r>
      <w:r>
        <w:rPr>
          <w:rFonts w:hint="eastAsia"/>
          <w:spacing w:val="-12"/>
          <w:sz w:val="24"/>
          <w:szCs w:val="24"/>
        </w:rPr>
        <w:t>或所报单价、合价或总额价减少了报价范围，则漏报的工程子目单价、合价和总额价或单价、合价和总额价中减少的报价内容视为已含入其他工程子目的单价、合价和总额价</w:t>
      </w:r>
      <w:r>
        <w:rPr>
          <w:rFonts w:hint="eastAsia"/>
          <w:spacing w:val="-7"/>
          <w:sz w:val="24"/>
          <w:szCs w:val="24"/>
        </w:rPr>
        <w:t>之中。</w:t>
      </w:r>
    </w:p>
    <w:p>
      <w:pPr>
        <w:pStyle w:val="49"/>
        <w:numPr>
          <w:ilvl w:val="3"/>
          <w:numId w:val="25"/>
        </w:numPr>
        <w:tabs>
          <w:tab w:val="left" w:pos="1806"/>
        </w:tabs>
        <w:spacing w:line="316" w:lineRule="auto"/>
        <w:ind w:right="387" w:firstLine="652"/>
        <w:rPr>
          <w:rFonts w:cs="Times New Roman"/>
          <w:sz w:val="24"/>
          <w:szCs w:val="24"/>
        </w:rPr>
      </w:pPr>
      <w:r>
        <w:rPr>
          <w:rFonts w:hint="eastAsia"/>
          <w:spacing w:val="-10"/>
          <w:sz w:val="24"/>
          <w:szCs w:val="24"/>
        </w:rPr>
        <w:t>在招标人给定的工程量清单中多报了某个工程子目的单价、合价或总额价，</w:t>
      </w:r>
      <w:r>
        <w:rPr>
          <w:spacing w:val="-10"/>
          <w:sz w:val="24"/>
          <w:szCs w:val="24"/>
        </w:rPr>
        <w:t xml:space="preserve"> </w:t>
      </w:r>
      <w:r>
        <w:rPr>
          <w:rFonts w:hint="eastAsia"/>
          <w:spacing w:val="-12"/>
          <w:sz w:val="24"/>
          <w:szCs w:val="24"/>
        </w:rPr>
        <w:t>或所报单价、合价或总额价增加了报价范围，则从投标报价中扣除多报的工程子目报价</w:t>
      </w:r>
      <w:r>
        <w:rPr>
          <w:rFonts w:hint="eastAsia"/>
          <w:spacing w:val="-10"/>
          <w:sz w:val="24"/>
          <w:szCs w:val="24"/>
        </w:rPr>
        <w:t>或工程子目报价中增加了报价范围的部分报价。</w:t>
      </w:r>
    </w:p>
    <w:p>
      <w:pPr>
        <w:pStyle w:val="49"/>
        <w:numPr>
          <w:ilvl w:val="3"/>
          <w:numId w:val="25"/>
        </w:numPr>
        <w:tabs>
          <w:tab w:val="left" w:pos="1825"/>
        </w:tabs>
        <w:spacing w:line="314" w:lineRule="auto"/>
        <w:ind w:right="597" w:firstLine="664"/>
        <w:rPr>
          <w:rFonts w:cs="Times New Roman"/>
          <w:sz w:val="24"/>
          <w:szCs w:val="24"/>
        </w:rPr>
      </w:pPr>
      <w:r>
        <w:rPr>
          <w:rFonts w:hint="eastAsia"/>
          <w:spacing w:val="-8"/>
          <w:sz w:val="24"/>
          <w:szCs w:val="24"/>
        </w:rPr>
        <w:t>当单价与数量的乘积与合价</w:t>
      </w:r>
      <w:r>
        <w:rPr>
          <w:rFonts w:hint="eastAsia"/>
          <w:sz w:val="24"/>
          <w:szCs w:val="24"/>
        </w:rPr>
        <w:t>（金额</w:t>
      </w:r>
      <w:r>
        <w:rPr>
          <w:rFonts w:hint="eastAsia"/>
          <w:spacing w:val="-70"/>
          <w:sz w:val="24"/>
          <w:szCs w:val="24"/>
        </w:rPr>
        <w:t>）</w:t>
      </w:r>
      <w:r>
        <w:rPr>
          <w:rFonts w:hint="eastAsia"/>
          <w:spacing w:val="-15"/>
          <w:sz w:val="24"/>
          <w:szCs w:val="24"/>
        </w:rPr>
        <w:t>虽然一致，但投标人修改了该子目</w:t>
      </w:r>
      <w:r>
        <w:rPr>
          <w:spacing w:val="-15"/>
          <w:sz w:val="24"/>
          <w:szCs w:val="24"/>
        </w:rPr>
        <w:t xml:space="preserve"> </w:t>
      </w:r>
      <w:r>
        <w:rPr>
          <w:rFonts w:hint="eastAsia"/>
          <w:spacing w:val="-11"/>
          <w:sz w:val="24"/>
          <w:szCs w:val="24"/>
        </w:rPr>
        <w:t>的工程数量，则其合价按招标人给定的工程数量乘以投标人所报单价予以修正。</w:t>
      </w:r>
    </w:p>
    <w:p>
      <w:pPr>
        <w:spacing w:line="319" w:lineRule="auto"/>
        <w:ind w:left="564" w:right="603" w:firstLine="676"/>
        <w:rPr>
          <w:rFonts w:cs="Times New Roman"/>
          <w:sz w:val="24"/>
          <w:szCs w:val="24"/>
        </w:rPr>
      </w:pPr>
      <w:r>
        <w:rPr>
          <w:sz w:val="24"/>
          <w:szCs w:val="24"/>
        </w:rPr>
        <w:t>3.4.4</w:t>
      </w:r>
      <w:r>
        <w:rPr>
          <w:sz w:val="24"/>
          <w:szCs w:val="24"/>
          <w:lang w:val="en-US"/>
        </w:rPr>
        <w:t xml:space="preserve"> </w:t>
      </w:r>
      <w:r>
        <w:rPr>
          <w:rFonts w:hint="eastAsia"/>
          <w:spacing w:val="-1"/>
          <w:sz w:val="24"/>
          <w:szCs w:val="24"/>
        </w:rPr>
        <w:t>修正后的最终投标报价若超过最高投标限价</w:t>
      </w:r>
      <w:r>
        <w:rPr>
          <w:rFonts w:hint="eastAsia"/>
          <w:spacing w:val="2"/>
          <w:sz w:val="24"/>
          <w:szCs w:val="24"/>
        </w:rPr>
        <w:t>（如有</w:t>
      </w:r>
      <w:r>
        <w:rPr>
          <w:rFonts w:hint="eastAsia"/>
          <w:spacing w:val="-240"/>
          <w:sz w:val="24"/>
          <w:szCs w:val="24"/>
        </w:rPr>
        <w:t>）</w:t>
      </w:r>
      <w:r>
        <w:rPr>
          <w:rFonts w:hint="eastAsia"/>
          <w:spacing w:val="-8"/>
          <w:sz w:val="24"/>
          <w:szCs w:val="24"/>
        </w:rPr>
        <w:t>，评标委员会应否决</w:t>
      </w:r>
      <w:r>
        <w:rPr>
          <w:rFonts w:hint="eastAsia"/>
          <w:sz w:val="24"/>
          <w:szCs w:val="24"/>
        </w:rPr>
        <w:t>其投标。</w:t>
      </w:r>
    </w:p>
    <w:p>
      <w:pPr>
        <w:spacing w:line="319" w:lineRule="auto"/>
        <w:ind w:left="564" w:right="605" w:firstLine="676"/>
        <w:rPr>
          <w:rFonts w:cs="Times New Roman"/>
          <w:sz w:val="24"/>
          <w:szCs w:val="24"/>
        </w:rPr>
      </w:pPr>
      <w:r>
        <w:rPr>
          <w:sz w:val="24"/>
          <w:szCs w:val="24"/>
        </w:rPr>
        <w:t>3.3.5</w:t>
      </w:r>
      <w:r>
        <w:rPr>
          <w:sz w:val="24"/>
          <w:szCs w:val="24"/>
          <w:lang w:val="en-US"/>
        </w:rPr>
        <w:t xml:space="preserve"> </w:t>
      </w:r>
      <w:r>
        <w:rPr>
          <w:rFonts w:hint="eastAsia"/>
          <w:spacing w:val="-3"/>
          <w:sz w:val="24"/>
          <w:szCs w:val="24"/>
        </w:rPr>
        <w:t>修正后的最终投标报价仅作为签订合同的一个依据，不参与评标价得分</w:t>
      </w:r>
      <w:r>
        <w:rPr>
          <w:rFonts w:hint="eastAsia"/>
          <w:sz w:val="24"/>
          <w:szCs w:val="24"/>
        </w:rPr>
        <w:t>的计算。</w:t>
      </w:r>
    </w:p>
    <w:p>
      <w:pPr>
        <w:pStyle w:val="49"/>
        <w:numPr>
          <w:ilvl w:val="1"/>
          <w:numId w:val="25"/>
        </w:numPr>
        <w:tabs>
          <w:tab w:val="left" w:pos="1044"/>
        </w:tabs>
        <w:spacing w:before="135"/>
        <w:ind w:left="1044" w:hanging="480"/>
        <w:rPr>
          <w:rFonts w:cs="Times New Roman"/>
          <w:sz w:val="24"/>
          <w:szCs w:val="24"/>
        </w:rPr>
      </w:pPr>
      <w:r>
        <w:rPr>
          <w:rFonts w:hint="eastAsia"/>
          <w:b/>
          <w:bCs/>
          <w:sz w:val="24"/>
          <w:szCs w:val="24"/>
        </w:rPr>
        <w:t>第二个信封详细评</w:t>
      </w:r>
      <w:r>
        <w:rPr>
          <w:rFonts w:hint="eastAsia"/>
          <w:sz w:val="24"/>
          <w:szCs w:val="24"/>
        </w:rPr>
        <w:t>审</w:t>
      </w:r>
    </w:p>
    <w:p>
      <w:pPr>
        <w:pStyle w:val="49"/>
        <w:numPr>
          <w:ilvl w:val="2"/>
          <w:numId w:val="25"/>
        </w:numPr>
        <w:tabs>
          <w:tab w:val="left" w:pos="1820"/>
        </w:tabs>
        <w:spacing w:before="156" w:line="242" w:lineRule="auto"/>
        <w:ind w:right="2" w:firstLine="480"/>
        <w:rPr>
          <w:rFonts w:cs="Times New Roman"/>
          <w:sz w:val="24"/>
          <w:szCs w:val="24"/>
        </w:rPr>
      </w:pPr>
      <w:r>
        <w:rPr>
          <w:rFonts w:hint="eastAsia"/>
          <w:spacing w:val="-10"/>
          <w:sz w:val="24"/>
          <w:szCs w:val="24"/>
        </w:rPr>
        <w:t>评标委员会按本章第</w:t>
      </w:r>
      <w:r>
        <w:rPr>
          <w:spacing w:val="-10"/>
          <w:sz w:val="24"/>
          <w:szCs w:val="24"/>
        </w:rPr>
        <w:t xml:space="preserve"> </w:t>
      </w:r>
      <w:r>
        <w:rPr>
          <w:sz w:val="24"/>
          <w:szCs w:val="24"/>
        </w:rPr>
        <w:t>2.2</w:t>
      </w:r>
      <w:r>
        <w:rPr>
          <w:spacing w:val="-11"/>
          <w:sz w:val="24"/>
          <w:szCs w:val="24"/>
        </w:rPr>
        <w:t xml:space="preserve"> </w:t>
      </w:r>
      <w:r>
        <w:rPr>
          <w:rFonts w:hint="eastAsia"/>
          <w:spacing w:val="-11"/>
          <w:sz w:val="24"/>
          <w:szCs w:val="24"/>
        </w:rPr>
        <w:t>款规定的量化因素和分值进行打分，并计算出综合</w:t>
      </w:r>
      <w:r>
        <w:rPr>
          <w:rFonts w:hint="eastAsia"/>
          <w:spacing w:val="-9"/>
          <w:sz w:val="24"/>
          <w:szCs w:val="24"/>
        </w:rPr>
        <w:t>评估得分</w:t>
      </w:r>
      <w:r>
        <w:rPr>
          <w:rFonts w:hint="eastAsia"/>
          <w:spacing w:val="-10"/>
          <w:sz w:val="24"/>
          <w:szCs w:val="24"/>
        </w:rPr>
        <w:t>（即评标价得分</w:t>
      </w:r>
      <w:r>
        <w:rPr>
          <w:rFonts w:hint="eastAsia"/>
          <w:spacing w:val="-8"/>
          <w:sz w:val="24"/>
          <w:szCs w:val="24"/>
        </w:rPr>
        <w:t>）</w:t>
      </w:r>
      <w:r>
        <w:rPr>
          <w:rFonts w:hint="eastAsia"/>
          <w:sz w:val="24"/>
          <w:szCs w:val="24"/>
        </w:rPr>
        <w:t>。</w:t>
      </w:r>
    </w:p>
    <w:p>
      <w:pPr>
        <w:pStyle w:val="49"/>
        <w:numPr>
          <w:ilvl w:val="2"/>
          <w:numId w:val="25"/>
        </w:numPr>
        <w:tabs>
          <w:tab w:val="left" w:pos="1820"/>
        </w:tabs>
        <w:spacing w:before="152"/>
        <w:ind w:left="1819" w:right="-282" w:hanging="776"/>
        <w:rPr>
          <w:rFonts w:cs="Times New Roman"/>
          <w:sz w:val="24"/>
          <w:szCs w:val="24"/>
        </w:rPr>
      </w:pPr>
      <w:r>
        <w:rPr>
          <w:rFonts w:hint="eastAsia"/>
          <w:spacing w:val="-10"/>
          <w:sz w:val="24"/>
          <w:szCs w:val="24"/>
        </w:rPr>
        <w:t>投标人得分分值计算保留小数点后两位，小数点后第三位“四舍五入”。</w:t>
      </w:r>
    </w:p>
    <w:p>
      <w:pPr>
        <w:pStyle w:val="49"/>
        <w:numPr>
          <w:ilvl w:val="2"/>
          <w:numId w:val="25"/>
        </w:numPr>
        <w:tabs>
          <w:tab w:val="left" w:pos="1820"/>
        </w:tabs>
        <w:spacing w:before="155" w:line="242" w:lineRule="auto"/>
        <w:ind w:right="2" w:firstLine="480"/>
        <w:rPr>
          <w:rFonts w:cs="Times New Roman"/>
          <w:sz w:val="24"/>
          <w:szCs w:val="24"/>
        </w:rPr>
      </w:pPr>
      <w:r>
        <w:rPr>
          <w:rFonts w:hint="eastAsia"/>
          <w:spacing w:val="-14"/>
          <w:sz w:val="24"/>
          <w:szCs w:val="24"/>
        </w:rPr>
        <w:t>评标委员会发现投标人的报价明显低于其他投标报价，使得其投标报价可能低</w:t>
      </w:r>
      <w:r>
        <w:rPr>
          <w:rFonts w:hint="eastAsia"/>
          <w:spacing w:val="-10"/>
          <w:sz w:val="24"/>
          <w:szCs w:val="24"/>
        </w:rPr>
        <w:t>于其个别成本的，应要求该投标人作出书面说明并提供相应的证明材料。投标人不能合理说明或不能提供相应证明材料的，评标委员会应认定该投标人以低于成本报价竞标，并否</w:t>
      </w:r>
      <w:r>
        <w:rPr>
          <w:rFonts w:hint="eastAsia"/>
          <w:spacing w:val="-8"/>
          <w:sz w:val="24"/>
          <w:szCs w:val="24"/>
        </w:rPr>
        <w:t>决其投标。</w:t>
      </w:r>
    </w:p>
    <w:p>
      <w:pPr>
        <w:pStyle w:val="49"/>
        <w:numPr>
          <w:ilvl w:val="1"/>
          <w:numId w:val="25"/>
        </w:numPr>
        <w:tabs>
          <w:tab w:val="left" w:pos="1820"/>
        </w:tabs>
        <w:spacing w:before="154"/>
        <w:ind w:left="1819" w:hanging="776"/>
        <w:jc w:val="both"/>
        <w:rPr>
          <w:rFonts w:cs="Times New Roman"/>
          <w:sz w:val="24"/>
          <w:szCs w:val="24"/>
        </w:rPr>
      </w:pPr>
      <w:r>
        <w:rPr>
          <w:rFonts w:hint="eastAsia"/>
          <w:b/>
          <w:bCs/>
          <w:sz w:val="24"/>
          <w:szCs w:val="24"/>
        </w:rPr>
        <w:t>投标文件相关信息的核查</w:t>
      </w:r>
    </w:p>
    <w:p>
      <w:pPr>
        <w:pStyle w:val="49"/>
        <w:numPr>
          <w:ilvl w:val="2"/>
          <w:numId w:val="25"/>
        </w:numPr>
        <w:tabs>
          <w:tab w:val="left" w:pos="1820"/>
        </w:tabs>
        <w:spacing w:before="153" w:line="242" w:lineRule="auto"/>
        <w:ind w:right="219" w:firstLine="480"/>
        <w:jc w:val="both"/>
        <w:rPr>
          <w:rFonts w:cs="Times New Roman"/>
          <w:sz w:val="24"/>
          <w:szCs w:val="24"/>
        </w:rPr>
      </w:pPr>
      <w:r>
        <w:rPr>
          <w:rFonts w:hint="eastAsia"/>
          <w:spacing w:val="-11"/>
          <w:sz w:val="24"/>
          <w:szCs w:val="24"/>
        </w:rPr>
        <w:t>在评标过程中，评标委员会应查询交通运输主管部门“公路建设市场信用信</w:t>
      </w:r>
      <w:r>
        <w:rPr>
          <w:rFonts w:hint="eastAsia"/>
          <w:spacing w:val="-8"/>
          <w:sz w:val="24"/>
          <w:szCs w:val="24"/>
        </w:rPr>
        <w:t>息管理系统”，对投标人的资质、业绩、主要人员资历和目前在岗情况、信用等级等信</w:t>
      </w:r>
      <w:r>
        <w:rPr>
          <w:rFonts w:hint="eastAsia"/>
          <w:spacing w:val="-7"/>
          <w:sz w:val="24"/>
          <w:szCs w:val="24"/>
        </w:rPr>
        <w:t>息进行核实。若投标文件载明的信息与交通运输主管部门“公路建设市场信用信息管理</w:t>
      </w:r>
      <w:r>
        <w:rPr>
          <w:rFonts w:hint="eastAsia"/>
          <w:sz w:val="24"/>
          <w:szCs w:val="24"/>
        </w:rPr>
        <w:t>系统”发布的信息不符，使得投标人的资格条件不符合招标文件规定的，</w:t>
      </w:r>
      <w:r>
        <w:rPr>
          <w:sz w:val="24"/>
          <w:szCs w:val="24"/>
        </w:rPr>
        <w:t xml:space="preserve"> </w:t>
      </w:r>
      <w:r>
        <w:rPr>
          <w:rFonts w:hint="eastAsia"/>
          <w:sz w:val="24"/>
          <w:szCs w:val="24"/>
        </w:rPr>
        <w:t>评标委员会应否决其投标。</w:t>
      </w:r>
    </w:p>
    <w:p>
      <w:pPr>
        <w:pStyle w:val="49"/>
        <w:numPr>
          <w:ilvl w:val="2"/>
          <w:numId w:val="25"/>
        </w:numPr>
        <w:tabs>
          <w:tab w:val="left" w:pos="1820"/>
        </w:tabs>
        <w:spacing w:before="158" w:line="242" w:lineRule="auto"/>
        <w:ind w:right="219" w:firstLine="480"/>
        <w:jc w:val="both"/>
        <w:rPr>
          <w:rFonts w:cs="Times New Roman"/>
          <w:sz w:val="24"/>
          <w:szCs w:val="24"/>
        </w:rPr>
      </w:pPr>
      <w:r>
        <w:rPr>
          <w:rFonts w:hint="eastAsia"/>
          <w:spacing w:val="-6"/>
          <w:sz w:val="24"/>
          <w:szCs w:val="24"/>
        </w:rPr>
        <w:t>评标委员会应对在评标过程中发现的投标人与投标人之间、投标人与招标人</w:t>
      </w:r>
      <w:r>
        <w:rPr>
          <w:rFonts w:hint="eastAsia"/>
          <w:spacing w:val="-4"/>
          <w:sz w:val="24"/>
          <w:szCs w:val="24"/>
        </w:rPr>
        <w:t>之间存在的串通投标的情形进行评审和认定。投标人存在串通投标、弄虚作假、行贿等</w:t>
      </w:r>
      <w:r>
        <w:rPr>
          <w:rFonts w:hint="eastAsia"/>
          <w:sz w:val="24"/>
          <w:szCs w:val="24"/>
        </w:rPr>
        <w:t>违法行为的，评标委员会应否决其投标。</w:t>
      </w:r>
    </w:p>
    <w:p>
      <w:pPr>
        <w:pStyle w:val="49"/>
        <w:numPr>
          <w:ilvl w:val="0"/>
          <w:numId w:val="27"/>
        </w:numPr>
        <w:tabs>
          <w:tab w:val="left" w:pos="1820"/>
        </w:tabs>
        <w:spacing w:before="153"/>
        <w:jc w:val="both"/>
        <w:rPr>
          <w:rFonts w:cs="Times New Roman"/>
          <w:sz w:val="24"/>
          <w:szCs w:val="24"/>
        </w:rPr>
      </w:pPr>
      <w:r>
        <w:rPr>
          <w:rFonts w:hint="eastAsia"/>
          <w:sz w:val="24"/>
          <w:szCs w:val="24"/>
        </w:rPr>
        <w:t>有下列情形之一的，属于投标人相互串通投标：</w:t>
      </w:r>
    </w:p>
    <w:p>
      <w:pPr>
        <w:pStyle w:val="49"/>
        <w:numPr>
          <w:ilvl w:val="0"/>
          <w:numId w:val="28"/>
        </w:numPr>
        <w:tabs>
          <w:tab w:val="left" w:pos="1400"/>
        </w:tabs>
        <w:spacing w:before="156"/>
        <w:jc w:val="both"/>
        <w:rPr>
          <w:rFonts w:cs="Times New Roman"/>
          <w:sz w:val="24"/>
          <w:szCs w:val="24"/>
        </w:rPr>
      </w:pPr>
      <w:r>
        <w:rPr>
          <w:rFonts w:hint="eastAsia"/>
          <w:sz w:val="24"/>
          <w:szCs w:val="24"/>
        </w:rPr>
        <w:t>投标人之间协商投标报价等投标文件的实质性内容；</w:t>
      </w:r>
    </w:p>
    <w:p>
      <w:pPr>
        <w:pStyle w:val="49"/>
        <w:numPr>
          <w:ilvl w:val="0"/>
          <w:numId w:val="28"/>
        </w:numPr>
        <w:tabs>
          <w:tab w:val="left" w:pos="1400"/>
        </w:tabs>
        <w:spacing w:before="156"/>
        <w:jc w:val="both"/>
        <w:rPr>
          <w:rFonts w:cs="Times New Roman"/>
          <w:sz w:val="24"/>
          <w:szCs w:val="24"/>
        </w:rPr>
      </w:pPr>
      <w:r>
        <w:rPr>
          <w:rFonts w:hint="eastAsia"/>
          <w:sz w:val="24"/>
          <w:szCs w:val="24"/>
        </w:rPr>
        <w:t>投标人之间约定中标人；</w:t>
      </w:r>
    </w:p>
    <w:p>
      <w:pPr>
        <w:pStyle w:val="49"/>
        <w:numPr>
          <w:ilvl w:val="0"/>
          <w:numId w:val="28"/>
        </w:numPr>
        <w:tabs>
          <w:tab w:val="left" w:pos="1400"/>
        </w:tabs>
        <w:spacing w:before="155"/>
        <w:jc w:val="both"/>
        <w:rPr>
          <w:rFonts w:cs="Times New Roman"/>
          <w:sz w:val="24"/>
          <w:szCs w:val="24"/>
        </w:rPr>
      </w:pPr>
      <w:r>
        <w:rPr>
          <w:rFonts w:hint="eastAsia"/>
          <w:sz w:val="24"/>
          <w:szCs w:val="24"/>
        </w:rPr>
        <w:t>投标人之间约定部分投标人放弃投标或中标；</w:t>
      </w:r>
    </w:p>
    <w:p>
      <w:pPr>
        <w:pStyle w:val="49"/>
        <w:numPr>
          <w:ilvl w:val="0"/>
          <w:numId w:val="28"/>
        </w:numPr>
        <w:tabs>
          <w:tab w:val="left" w:pos="1400"/>
        </w:tabs>
        <w:spacing w:before="156"/>
        <w:rPr>
          <w:rFonts w:cs="Times New Roman"/>
          <w:sz w:val="24"/>
          <w:szCs w:val="24"/>
        </w:rPr>
      </w:pPr>
      <w:r>
        <w:rPr>
          <w:rFonts w:hint="eastAsia"/>
          <w:sz w:val="24"/>
          <w:szCs w:val="24"/>
        </w:rPr>
        <w:t>属于同一集团、协会、商会等组织成员的投标人按照该组织要求协同投标；</w:t>
      </w:r>
    </w:p>
    <w:p>
      <w:pPr>
        <w:pStyle w:val="49"/>
        <w:numPr>
          <w:ilvl w:val="0"/>
          <w:numId w:val="28"/>
        </w:numPr>
        <w:tabs>
          <w:tab w:val="left" w:pos="1400"/>
        </w:tabs>
        <w:spacing w:before="156"/>
        <w:rPr>
          <w:rFonts w:cs="Times New Roman"/>
          <w:sz w:val="24"/>
          <w:szCs w:val="24"/>
        </w:rPr>
      </w:pPr>
      <w:r>
        <w:rPr>
          <w:rFonts w:hint="eastAsia"/>
          <w:sz w:val="24"/>
          <w:szCs w:val="24"/>
        </w:rPr>
        <w:t>投标人之间为谋取中标或排斥特定投标人而采取的其他联合行动。</w:t>
      </w:r>
    </w:p>
    <w:p>
      <w:pPr>
        <w:pStyle w:val="49"/>
        <w:numPr>
          <w:ilvl w:val="0"/>
          <w:numId w:val="27"/>
        </w:numPr>
        <w:tabs>
          <w:tab w:val="left" w:pos="1820"/>
        </w:tabs>
        <w:spacing w:before="155"/>
        <w:jc w:val="both"/>
        <w:rPr>
          <w:rFonts w:cs="Times New Roman"/>
          <w:sz w:val="24"/>
          <w:szCs w:val="24"/>
        </w:rPr>
      </w:pPr>
      <w:r>
        <w:rPr>
          <w:rFonts w:hint="eastAsia"/>
          <w:sz w:val="24"/>
          <w:szCs w:val="24"/>
        </w:rPr>
        <w:t>有下列情形之一的，视为投标人相互串通投标：</w:t>
      </w:r>
    </w:p>
    <w:p>
      <w:pPr>
        <w:pStyle w:val="49"/>
        <w:numPr>
          <w:ilvl w:val="0"/>
          <w:numId w:val="29"/>
        </w:numPr>
        <w:tabs>
          <w:tab w:val="left" w:pos="1400"/>
        </w:tabs>
        <w:spacing w:before="156"/>
        <w:rPr>
          <w:rFonts w:cs="Times New Roman"/>
          <w:sz w:val="24"/>
          <w:szCs w:val="24"/>
        </w:rPr>
      </w:pPr>
      <w:r>
        <w:rPr>
          <w:rFonts w:hint="eastAsia"/>
          <w:sz w:val="24"/>
          <w:szCs w:val="24"/>
        </w:rPr>
        <w:t>不同投标人的投标文件由同一单位或个人编制；</w:t>
      </w:r>
    </w:p>
    <w:p>
      <w:pPr>
        <w:pStyle w:val="49"/>
        <w:numPr>
          <w:ilvl w:val="0"/>
          <w:numId w:val="29"/>
        </w:numPr>
        <w:tabs>
          <w:tab w:val="left" w:pos="1400"/>
        </w:tabs>
        <w:spacing w:before="156"/>
        <w:rPr>
          <w:rFonts w:cs="Times New Roman"/>
          <w:sz w:val="24"/>
          <w:szCs w:val="24"/>
        </w:rPr>
      </w:pPr>
      <w:r>
        <w:rPr>
          <w:rFonts w:hint="eastAsia"/>
          <w:sz w:val="24"/>
          <w:szCs w:val="24"/>
        </w:rPr>
        <w:t>不同投标人委托同一单位或个人办理投标事宜；</w:t>
      </w:r>
    </w:p>
    <w:p>
      <w:pPr>
        <w:pStyle w:val="49"/>
        <w:numPr>
          <w:ilvl w:val="0"/>
          <w:numId w:val="29"/>
        </w:numPr>
        <w:tabs>
          <w:tab w:val="left" w:pos="1400"/>
        </w:tabs>
        <w:spacing w:before="156"/>
        <w:rPr>
          <w:rFonts w:cs="Times New Roman"/>
          <w:sz w:val="24"/>
          <w:szCs w:val="24"/>
        </w:rPr>
      </w:pPr>
      <w:r>
        <w:rPr>
          <w:rFonts w:hint="eastAsia"/>
          <w:sz w:val="24"/>
          <w:szCs w:val="24"/>
        </w:rPr>
        <w:t>不同投标人的投标文件载明的项目管理成员为同一人；</w:t>
      </w:r>
    </w:p>
    <w:p>
      <w:pPr>
        <w:pStyle w:val="49"/>
        <w:numPr>
          <w:ilvl w:val="0"/>
          <w:numId w:val="29"/>
        </w:numPr>
        <w:tabs>
          <w:tab w:val="left" w:pos="1400"/>
        </w:tabs>
        <w:spacing w:before="155"/>
        <w:rPr>
          <w:rFonts w:cs="Times New Roman"/>
          <w:sz w:val="24"/>
          <w:szCs w:val="24"/>
        </w:rPr>
      </w:pPr>
      <w:r>
        <w:rPr>
          <w:rFonts w:hint="eastAsia"/>
          <w:sz w:val="24"/>
          <w:szCs w:val="24"/>
        </w:rPr>
        <w:t>不同投标人的投标文件异常一致或投标报价呈规律性差异；</w:t>
      </w:r>
    </w:p>
    <w:p>
      <w:pPr>
        <w:pStyle w:val="49"/>
        <w:numPr>
          <w:ilvl w:val="0"/>
          <w:numId w:val="29"/>
        </w:numPr>
        <w:tabs>
          <w:tab w:val="left" w:pos="1400"/>
        </w:tabs>
        <w:spacing w:before="156"/>
        <w:rPr>
          <w:rFonts w:cs="Times New Roman"/>
          <w:sz w:val="24"/>
          <w:szCs w:val="24"/>
        </w:rPr>
      </w:pPr>
      <w:r>
        <w:rPr>
          <w:rFonts w:hint="eastAsia"/>
          <w:sz w:val="24"/>
          <w:szCs w:val="24"/>
        </w:rPr>
        <w:t>不同投标人的投标文件相互混装；</w:t>
      </w:r>
    </w:p>
    <w:p>
      <w:pPr>
        <w:pStyle w:val="49"/>
        <w:numPr>
          <w:ilvl w:val="0"/>
          <w:numId w:val="27"/>
        </w:numPr>
        <w:tabs>
          <w:tab w:val="left" w:pos="1820"/>
        </w:tabs>
        <w:spacing w:before="155"/>
        <w:rPr>
          <w:rFonts w:cs="Times New Roman"/>
          <w:sz w:val="24"/>
          <w:szCs w:val="24"/>
        </w:rPr>
      </w:pPr>
      <w:r>
        <w:rPr>
          <w:rFonts w:hint="eastAsia"/>
          <w:sz w:val="24"/>
          <w:szCs w:val="24"/>
        </w:rPr>
        <w:t>有下列情形之一的，属于招标人与投标人串通投标：</w:t>
      </w:r>
    </w:p>
    <w:p>
      <w:pPr>
        <w:pStyle w:val="49"/>
        <w:numPr>
          <w:ilvl w:val="0"/>
          <w:numId w:val="30"/>
        </w:numPr>
        <w:tabs>
          <w:tab w:val="left" w:pos="1400"/>
        </w:tabs>
        <w:spacing w:before="156"/>
        <w:rPr>
          <w:sz w:val="24"/>
          <w:szCs w:val="24"/>
        </w:rPr>
      </w:pPr>
      <w:r>
        <w:rPr>
          <w:rFonts w:hint="eastAsia"/>
          <w:sz w:val="24"/>
          <w:szCs w:val="24"/>
        </w:rPr>
        <w:t>招标人在开标前开启投标文件并将有关信息泄露给其他投标人</w:t>
      </w:r>
      <w:r>
        <w:rPr>
          <w:sz w:val="24"/>
          <w:szCs w:val="24"/>
        </w:rPr>
        <w:t>;</w:t>
      </w:r>
    </w:p>
    <w:p>
      <w:pPr>
        <w:pStyle w:val="49"/>
        <w:numPr>
          <w:ilvl w:val="0"/>
          <w:numId w:val="30"/>
        </w:numPr>
        <w:tabs>
          <w:tab w:val="left" w:pos="1400"/>
        </w:tabs>
        <w:spacing w:before="156"/>
        <w:rPr>
          <w:rFonts w:cs="Times New Roman"/>
          <w:sz w:val="24"/>
          <w:szCs w:val="24"/>
        </w:rPr>
      </w:pPr>
      <w:r>
        <w:rPr>
          <w:rFonts w:hint="eastAsia"/>
          <w:sz w:val="24"/>
          <w:szCs w:val="24"/>
        </w:rPr>
        <w:t>招标人直接或间接向投标人泄露标底、评标委员会成员等信息；</w:t>
      </w:r>
    </w:p>
    <w:p>
      <w:pPr>
        <w:pStyle w:val="49"/>
        <w:numPr>
          <w:ilvl w:val="0"/>
          <w:numId w:val="30"/>
        </w:numPr>
        <w:tabs>
          <w:tab w:val="left" w:pos="1400"/>
        </w:tabs>
        <w:spacing w:before="155"/>
        <w:rPr>
          <w:rFonts w:cs="Times New Roman"/>
          <w:sz w:val="24"/>
          <w:szCs w:val="24"/>
        </w:rPr>
      </w:pPr>
      <w:r>
        <w:rPr>
          <w:rFonts w:hint="eastAsia"/>
          <w:sz w:val="24"/>
          <w:szCs w:val="24"/>
        </w:rPr>
        <w:t>招标人明示或暗示投标人压低或抬高投标报价；</w:t>
      </w:r>
    </w:p>
    <w:p>
      <w:pPr>
        <w:pStyle w:val="49"/>
        <w:numPr>
          <w:ilvl w:val="0"/>
          <w:numId w:val="30"/>
        </w:numPr>
        <w:tabs>
          <w:tab w:val="left" w:pos="1400"/>
        </w:tabs>
        <w:spacing w:before="156"/>
        <w:rPr>
          <w:rFonts w:cs="Times New Roman"/>
          <w:sz w:val="24"/>
          <w:szCs w:val="24"/>
        </w:rPr>
      </w:pPr>
      <w:r>
        <w:rPr>
          <w:rFonts w:hint="eastAsia"/>
          <w:sz w:val="24"/>
          <w:szCs w:val="24"/>
        </w:rPr>
        <w:t>招标人授意投标人撤换、修改投标文件；</w:t>
      </w:r>
    </w:p>
    <w:p>
      <w:pPr>
        <w:pStyle w:val="49"/>
        <w:numPr>
          <w:ilvl w:val="0"/>
          <w:numId w:val="30"/>
        </w:numPr>
        <w:tabs>
          <w:tab w:val="left" w:pos="1400"/>
        </w:tabs>
        <w:spacing w:before="156"/>
        <w:rPr>
          <w:rFonts w:cs="Times New Roman"/>
          <w:sz w:val="24"/>
          <w:szCs w:val="24"/>
        </w:rPr>
      </w:pPr>
      <w:r>
        <w:rPr>
          <w:rFonts w:hint="eastAsia"/>
          <w:sz w:val="24"/>
          <w:szCs w:val="24"/>
        </w:rPr>
        <w:t>招标人明示或暗示投标人为特定投标人中标提供方便；</w:t>
      </w:r>
    </w:p>
    <w:p>
      <w:pPr>
        <w:pStyle w:val="49"/>
        <w:numPr>
          <w:ilvl w:val="0"/>
          <w:numId w:val="30"/>
        </w:numPr>
        <w:tabs>
          <w:tab w:val="left" w:pos="1400"/>
        </w:tabs>
        <w:spacing w:before="156"/>
        <w:rPr>
          <w:rFonts w:cs="Times New Roman"/>
          <w:sz w:val="24"/>
          <w:szCs w:val="24"/>
        </w:rPr>
      </w:pPr>
      <w:r>
        <w:rPr>
          <w:rFonts w:hint="eastAsia"/>
          <w:sz w:val="24"/>
          <w:szCs w:val="24"/>
        </w:rPr>
        <w:t>招标人与投标人为谋求特定投标人中标而采取的其他串通行为。</w:t>
      </w:r>
    </w:p>
    <w:p>
      <w:pPr>
        <w:pStyle w:val="49"/>
        <w:numPr>
          <w:ilvl w:val="0"/>
          <w:numId w:val="27"/>
        </w:numPr>
        <w:tabs>
          <w:tab w:val="left" w:pos="1820"/>
        </w:tabs>
        <w:spacing w:before="155"/>
        <w:rPr>
          <w:rFonts w:cs="Times New Roman"/>
          <w:sz w:val="24"/>
          <w:szCs w:val="24"/>
        </w:rPr>
      </w:pPr>
      <w:r>
        <w:rPr>
          <w:rFonts w:hint="eastAsia"/>
          <w:sz w:val="24"/>
          <w:szCs w:val="24"/>
        </w:rPr>
        <w:t>投标人有下列情形之一的，属于弄虚作假的行为：</w:t>
      </w:r>
    </w:p>
    <w:p>
      <w:pPr>
        <w:pStyle w:val="49"/>
        <w:numPr>
          <w:ilvl w:val="0"/>
          <w:numId w:val="31"/>
        </w:numPr>
        <w:tabs>
          <w:tab w:val="left" w:pos="1400"/>
        </w:tabs>
        <w:spacing w:before="156"/>
      </w:pPr>
      <w:r>
        <w:rPr>
          <w:rFonts w:hint="eastAsia"/>
          <w:sz w:val="24"/>
          <w:szCs w:val="24"/>
        </w:rPr>
        <w:t>使用通过受让或租借等方式获取的资格、资质证书投标；</w:t>
      </w:r>
    </w:p>
    <w:p>
      <w:pPr>
        <w:pStyle w:val="49"/>
        <w:numPr>
          <w:ilvl w:val="0"/>
          <w:numId w:val="31"/>
        </w:numPr>
        <w:tabs>
          <w:tab w:val="left" w:pos="1400"/>
        </w:tabs>
        <w:spacing w:before="52"/>
        <w:rPr>
          <w:rFonts w:cs="Times New Roman"/>
          <w:sz w:val="24"/>
          <w:szCs w:val="24"/>
        </w:rPr>
      </w:pPr>
      <w:r>
        <w:rPr>
          <w:rFonts w:hint="eastAsia"/>
          <w:sz w:val="24"/>
          <w:szCs w:val="24"/>
        </w:rPr>
        <w:t>使用伪造、变造的许可证件；</w:t>
      </w:r>
    </w:p>
    <w:p>
      <w:pPr>
        <w:pStyle w:val="49"/>
        <w:numPr>
          <w:ilvl w:val="0"/>
          <w:numId w:val="31"/>
        </w:numPr>
        <w:tabs>
          <w:tab w:val="left" w:pos="1400"/>
        </w:tabs>
        <w:spacing w:before="155"/>
        <w:rPr>
          <w:rFonts w:cs="Times New Roman"/>
          <w:sz w:val="24"/>
          <w:szCs w:val="24"/>
        </w:rPr>
      </w:pPr>
      <w:r>
        <w:rPr>
          <w:rFonts w:hint="eastAsia"/>
          <w:sz w:val="24"/>
          <w:szCs w:val="24"/>
        </w:rPr>
        <w:t>提供虚假的财务状况或业绩；</w:t>
      </w:r>
    </w:p>
    <w:p>
      <w:pPr>
        <w:pStyle w:val="49"/>
        <w:numPr>
          <w:ilvl w:val="0"/>
          <w:numId w:val="31"/>
        </w:numPr>
        <w:tabs>
          <w:tab w:val="left" w:pos="1400"/>
        </w:tabs>
        <w:spacing w:before="156"/>
        <w:rPr>
          <w:rFonts w:cs="Times New Roman"/>
          <w:sz w:val="24"/>
          <w:szCs w:val="24"/>
        </w:rPr>
      </w:pPr>
      <w:r>
        <w:rPr>
          <w:rFonts w:hint="eastAsia"/>
          <w:sz w:val="24"/>
          <w:szCs w:val="24"/>
        </w:rPr>
        <w:t>提供虚假的项目负责人或主要技术人员简历、劳动关系证明；</w:t>
      </w:r>
    </w:p>
    <w:p>
      <w:pPr>
        <w:pStyle w:val="49"/>
        <w:numPr>
          <w:ilvl w:val="0"/>
          <w:numId w:val="31"/>
        </w:numPr>
        <w:tabs>
          <w:tab w:val="left" w:pos="1400"/>
        </w:tabs>
        <w:spacing w:before="156"/>
        <w:rPr>
          <w:rFonts w:cs="Times New Roman"/>
          <w:sz w:val="24"/>
          <w:szCs w:val="24"/>
        </w:rPr>
      </w:pPr>
      <w:r>
        <w:rPr>
          <w:rFonts w:hint="eastAsia"/>
          <w:sz w:val="24"/>
          <w:szCs w:val="24"/>
        </w:rPr>
        <w:t>提供虚假的信用状况；</w:t>
      </w:r>
    </w:p>
    <w:p>
      <w:pPr>
        <w:pStyle w:val="49"/>
        <w:numPr>
          <w:ilvl w:val="0"/>
          <w:numId w:val="31"/>
        </w:numPr>
        <w:tabs>
          <w:tab w:val="left" w:pos="1400"/>
        </w:tabs>
        <w:spacing w:before="155"/>
        <w:rPr>
          <w:rFonts w:cs="Times New Roman"/>
          <w:sz w:val="24"/>
          <w:szCs w:val="24"/>
        </w:rPr>
      </w:pPr>
      <w:r>
        <w:rPr>
          <w:rFonts w:hint="eastAsia"/>
          <w:sz w:val="24"/>
          <w:szCs w:val="24"/>
        </w:rPr>
        <w:t>其他弄虚作假的行为。</w:t>
      </w:r>
    </w:p>
    <w:p>
      <w:pPr>
        <w:pStyle w:val="49"/>
        <w:numPr>
          <w:ilvl w:val="1"/>
          <w:numId w:val="25"/>
        </w:numPr>
        <w:tabs>
          <w:tab w:val="left" w:pos="1820"/>
        </w:tabs>
        <w:spacing w:before="156"/>
        <w:ind w:left="1819" w:hanging="776"/>
        <w:rPr>
          <w:rFonts w:cs="Times New Roman"/>
          <w:b/>
          <w:bCs/>
          <w:sz w:val="24"/>
          <w:szCs w:val="24"/>
        </w:rPr>
      </w:pPr>
      <w:r>
        <w:rPr>
          <w:rFonts w:hint="eastAsia"/>
          <w:b/>
          <w:bCs/>
          <w:sz w:val="24"/>
          <w:szCs w:val="24"/>
        </w:rPr>
        <w:t>投标文件的澄清和说明</w:t>
      </w:r>
    </w:p>
    <w:p>
      <w:pPr>
        <w:pStyle w:val="49"/>
        <w:numPr>
          <w:ilvl w:val="2"/>
          <w:numId w:val="25"/>
        </w:numPr>
        <w:tabs>
          <w:tab w:val="left" w:pos="1820"/>
        </w:tabs>
        <w:spacing w:before="156" w:line="242" w:lineRule="auto"/>
        <w:ind w:right="99" w:firstLine="480"/>
        <w:jc w:val="both"/>
        <w:rPr>
          <w:rFonts w:cs="Times New Roman"/>
          <w:sz w:val="24"/>
          <w:szCs w:val="24"/>
        </w:rPr>
      </w:pPr>
      <w:r>
        <w:rPr>
          <w:rFonts w:hint="eastAsia"/>
          <w:spacing w:val="-11"/>
          <w:sz w:val="24"/>
          <w:szCs w:val="24"/>
        </w:rPr>
        <w:t>在评标过程中，评标委员会可以书面形式要求投标人对投标文件中含义不明</w:t>
      </w:r>
      <w:r>
        <w:rPr>
          <w:rFonts w:hint="eastAsia"/>
          <w:spacing w:val="-10"/>
          <w:sz w:val="24"/>
          <w:szCs w:val="24"/>
        </w:rPr>
        <w:t>确的内容、明显文字或计算错误进行书面澄清或说明。评标委员会不接受投标人主动提</w:t>
      </w:r>
      <w:r>
        <w:rPr>
          <w:rFonts w:hint="eastAsia"/>
          <w:spacing w:val="-17"/>
          <w:sz w:val="24"/>
          <w:szCs w:val="24"/>
        </w:rPr>
        <w:t>出的澄清、说明。投标人不按评标委员会要求澄清或说明的，评标委员会应否决其投标。</w:t>
      </w:r>
    </w:p>
    <w:p>
      <w:pPr>
        <w:pStyle w:val="49"/>
        <w:numPr>
          <w:ilvl w:val="2"/>
          <w:numId w:val="25"/>
        </w:numPr>
        <w:tabs>
          <w:tab w:val="left" w:pos="1820"/>
        </w:tabs>
        <w:spacing w:before="153" w:line="242" w:lineRule="auto"/>
        <w:ind w:right="219" w:firstLine="480"/>
        <w:jc w:val="both"/>
        <w:rPr>
          <w:rFonts w:cs="Times New Roman"/>
          <w:sz w:val="24"/>
          <w:szCs w:val="24"/>
        </w:rPr>
      </w:pPr>
      <w:r>
        <w:rPr>
          <w:rFonts w:hint="eastAsia"/>
          <w:spacing w:val="-4"/>
          <w:sz w:val="24"/>
          <w:szCs w:val="24"/>
        </w:rPr>
        <w:t>澄清和说明不得超出投标文件的范围或改变投标文件的实质性内容</w:t>
      </w:r>
      <w:r>
        <w:rPr>
          <w:rFonts w:hint="eastAsia"/>
          <w:sz w:val="24"/>
          <w:szCs w:val="24"/>
        </w:rPr>
        <w:t>（</w:t>
      </w:r>
      <w:r>
        <w:rPr>
          <w:rFonts w:hint="eastAsia"/>
          <w:spacing w:val="-6"/>
          <w:sz w:val="24"/>
          <w:szCs w:val="24"/>
        </w:rPr>
        <w:t>算术性</w:t>
      </w:r>
      <w:r>
        <w:rPr>
          <w:rFonts w:hint="eastAsia"/>
          <w:sz w:val="24"/>
          <w:szCs w:val="24"/>
        </w:rPr>
        <w:t>错误的修正除外）。投标人的书面澄清、说明属于投标文件的组成部分。</w:t>
      </w:r>
    </w:p>
    <w:p>
      <w:pPr>
        <w:pStyle w:val="49"/>
        <w:numPr>
          <w:ilvl w:val="2"/>
          <w:numId w:val="25"/>
        </w:numPr>
        <w:tabs>
          <w:tab w:val="left" w:pos="1820"/>
        </w:tabs>
        <w:spacing w:before="154" w:line="242" w:lineRule="auto"/>
        <w:ind w:right="108" w:firstLine="480"/>
        <w:jc w:val="both"/>
        <w:rPr>
          <w:rFonts w:cs="Times New Roman"/>
          <w:sz w:val="24"/>
          <w:szCs w:val="24"/>
        </w:rPr>
      </w:pPr>
      <w:r>
        <w:rPr>
          <w:rFonts w:hint="eastAsia"/>
          <w:spacing w:val="-1"/>
          <w:sz w:val="24"/>
          <w:szCs w:val="24"/>
        </w:rPr>
        <w:t>评标委员会不得暗示或诱导投标人作出澄清、说明，对投标人提交的澄清、</w:t>
      </w:r>
      <w:r>
        <w:rPr>
          <w:rFonts w:hint="eastAsia"/>
          <w:sz w:val="24"/>
          <w:szCs w:val="24"/>
        </w:rPr>
        <w:t>说明有疑问的，可以要求投标人进一步澄清或说明，直至满足评标委员会的要求。</w:t>
      </w:r>
    </w:p>
    <w:p>
      <w:pPr>
        <w:pStyle w:val="49"/>
        <w:numPr>
          <w:ilvl w:val="2"/>
          <w:numId w:val="25"/>
        </w:numPr>
        <w:tabs>
          <w:tab w:val="left" w:pos="1820"/>
        </w:tabs>
        <w:spacing w:before="154" w:line="242" w:lineRule="auto"/>
        <w:ind w:right="219" w:firstLine="480"/>
        <w:jc w:val="both"/>
        <w:rPr>
          <w:rFonts w:cs="Times New Roman"/>
          <w:sz w:val="24"/>
          <w:szCs w:val="24"/>
        </w:rPr>
      </w:pPr>
      <w:r>
        <w:rPr>
          <w:rFonts w:hint="eastAsia"/>
          <w:spacing w:val="-5"/>
          <w:sz w:val="24"/>
          <w:szCs w:val="24"/>
        </w:rPr>
        <w:t>凡超出招标文件规定的或给发包人带来未曾要求的利益的变化、偏差或其他</w:t>
      </w:r>
      <w:r>
        <w:rPr>
          <w:rFonts w:hint="eastAsia"/>
          <w:sz w:val="24"/>
          <w:szCs w:val="24"/>
        </w:rPr>
        <w:t>因素在评标时不予考虑。</w:t>
      </w:r>
    </w:p>
    <w:p>
      <w:pPr>
        <w:pStyle w:val="49"/>
        <w:numPr>
          <w:ilvl w:val="1"/>
          <w:numId w:val="25"/>
        </w:numPr>
        <w:tabs>
          <w:tab w:val="left" w:pos="1820"/>
        </w:tabs>
        <w:spacing w:before="152"/>
        <w:ind w:left="1819" w:hanging="776"/>
        <w:jc w:val="both"/>
        <w:rPr>
          <w:rFonts w:cs="Times New Roman"/>
          <w:b/>
          <w:bCs/>
          <w:sz w:val="24"/>
          <w:szCs w:val="24"/>
        </w:rPr>
      </w:pPr>
      <w:r>
        <w:rPr>
          <w:rFonts w:hint="eastAsia"/>
          <w:b/>
          <w:bCs/>
          <w:sz w:val="24"/>
          <w:szCs w:val="24"/>
        </w:rPr>
        <w:t>不得否决投标的情形</w:t>
      </w:r>
    </w:p>
    <w:p>
      <w:pPr>
        <w:spacing w:before="158"/>
        <w:ind w:left="1044"/>
        <w:rPr>
          <w:rFonts w:cs="Times New Roman"/>
          <w:sz w:val="24"/>
          <w:szCs w:val="24"/>
        </w:rPr>
      </w:pPr>
      <w:r>
        <w:rPr>
          <w:rFonts w:hint="eastAsia"/>
          <w:sz w:val="24"/>
          <w:szCs w:val="24"/>
        </w:rPr>
        <w:t>投标文件存在第二章“投标人须知”第</w:t>
      </w:r>
      <w:r>
        <w:rPr>
          <w:sz w:val="24"/>
          <w:szCs w:val="24"/>
        </w:rPr>
        <w:t xml:space="preserve"> 1.12.3 </w:t>
      </w:r>
      <w:r>
        <w:rPr>
          <w:rFonts w:hint="eastAsia"/>
          <w:sz w:val="24"/>
          <w:szCs w:val="24"/>
        </w:rPr>
        <w:t>项所列情形的，均视为细微偏差，</w:t>
      </w:r>
    </w:p>
    <w:p>
      <w:pPr>
        <w:spacing w:before="2" w:line="242" w:lineRule="auto"/>
        <w:ind w:left="564" w:right="152"/>
        <w:rPr>
          <w:rFonts w:cs="Times New Roman"/>
          <w:sz w:val="24"/>
          <w:szCs w:val="24"/>
        </w:rPr>
      </w:pPr>
      <w:r>
        <w:rPr>
          <w:rFonts w:hint="eastAsia"/>
          <w:sz w:val="24"/>
          <w:szCs w:val="24"/>
        </w:rPr>
        <w:t>评标委员会不得否决投标人的投标，应按照第二章“投标人须知”第</w:t>
      </w:r>
      <w:r>
        <w:rPr>
          <w:sz w:val="24"/>
          <w:szCs w:val="24"/>
        </w:rPr>
        <w:t xml:space="preserve"> 1.12.4 </w:t>
      </w:r>
      <w:r>
        <w:rPr>
          <w:rFonts w:hint="eastAsia"/>
          <w:sz w:val="24"/>
          <w:szCs w:val="24"/>
        </w:rPr>
        <w:t>项规定的原则处理。</w:t>
      </w:r>
    </w:p>
    <w:p>
      <w:pPr>
        <w:pStyle w:val="49"/>
        <w:numPr>
          <w:ilvl w:val="1"/>
          <w:numId w:val="25"/>
        </w:numPr>
        <w:tabs>
          <w:tab w:val="left" w:pos="1820"/>
        </w:tabs>
        <w:spacing w:before="154"/>
        <w:ind w:left="1819" w:hanging="776"/>
        <w:rPr>
          <w:rFonts w:cs="Times New Roman"/>
          <w:b/>
          <w:bCs/>
          <w:sz w:val="24"/>
          <w:szCs w:val="24"/>
        </w:rPr>
      </w:pPr>
      <w:r>
        <w:rPr>
          <w:rFonts w:hint="eastAsia"/>
          <w:b/>
          <w:bCs/>
          <w:sz w:val="24"/>
          <w:szCs w:val="24"/>
        </w:rPr>
        <w:t>评标结果</w:t>
      </w:r>
    </w:p>
    <w:p>
      <w:pPr>
        <w:pStyle w:val="49"/>
        <w:numPr>
          <w:ilvl w:val="2"/>
          <w:numId w:val="25"/>
        </w:numPr>
        <w:tabs>
          <w:tab w:val="left" w:pos="1820"/>
        </w:tabs>
        <w:spacing w:before="155" w:line="242" w:lineRule="auto"/>
        <w:ind w:right="219" w:firstLine="480"/>
        <w:jc w:val="both"/>
        <w:rPr>
          <w:rFonts w:cs="Times New Roman"/>
          <w:sz w:val="24"/>
          <w:szCs w:val="24"/>
        </w:rPr>
      </w:pPr>
      <w:r>
        <w:rPr>
          <w:rFonts w:hint="eastAsia"/>
          <w:spacing w:val="-12"/>
          <w:sz w:val="24"/>
          <w:szCs w:val="24"/>
        </w:rPr>
        <w:t>除第二章“投标人须知”前附表授权直接确定中标人外，评标委员会按照得</w:t>
      </w:r>
      <w:r>
        <w:rPr>
          <w:rFonts w:hint="eastAsia"/>
          <w:sz w:val="24"/>
          <w:szCs w:val="24"/>
        </w:rPr>
        <w:t>分由高到低的顺序推荐中标候选人，并标明排序。</w:t>
      </w:r>
    </w:p>
    <w:p>
      <w:pPr>
        <w:pStyle w:val="49"/>
        <w:numPr>
          <w:ilvl w:val="2"/>
          <w:numId w:val="25"/>
        </w:numPr>
        <w:tabs>
          <w:tab w:val="left" w:pos="1820"/>
        </w:tabs>
        <w:spacing w:before="155"/>
        <w:ind w:left="1819" w:hanging="776"/>
        <w:jc w:val="both"/>
        <w:rPr>
          <w:rFonts w:cs="Times New Roman"/>
          <w:sz w:val="24"/>
          <w:szCs w:val="24"/>
        </w:rPr>
      </w:pPr>
      <w:r>
        <w:rPr>
          <w:rFonts w:hint="eastAsia"/>
          <w:sz w:val="24"/>
          <w:szCs w:val="24"/>
        </w:rPr>
        <w:t>评标委员会完成评标后，应向招标人提交书面评标报告。</w:t>
      </w:r>
    </w:p>
    <w:p>
      <w:pPr>
        <w:pStyle w:val="49"/>
        <w:tabs>
          <w:tab w:val="left" w:pos="1400"/>
        </w:tabs>
        <w:spacing w:before="156"/>
        <w:sectPr>
          <w:headerReference r:id="rId8" w:type="default"/>
          <w:pgSz w:w="11910" w:h="16850"/>
          <w:pgMar w:top="1418" w:right="1418" w:bottom="1418" w:left="1418" w:header="851" w:footer="964" w:gutter="0"/>
          <w:cols w:space="720" w:num="1"/>
        </w:sect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4"/>
        <w:tabs>
          <w:tab w:val="left" w:pos="1444"/>
        </w:tabs>
        <w:spacing w:before="184"/>
        <w:ind w:right="137"/>
        <w:rPr>
          <w:rFonts w:cs="Times New Roman"/>
        </w:rPr>
      </w:pPr>
      <w:bookmarkStart w:id="7" w:name="_bookmark4"/>
      <w:bookmarkEnd w:id="7"/>
      <w:bookmarkStart w:id="8" w:name="第四章__合同条款及格式"/>
      <w:bookmarkEnd w:id="8"/>
      <w:r>
        <w:rPr>
          <w:rFonts w:hint="eastAsia"/>
        </w:rPr>
        <w:t>第四章</w:t>
      </w:r>
      <w:r>
        <w:rPr>
          <w:rFonts w:cs="Times New Roman"/>
        </w:rPr>
        <w:tab/>
      </w:r>
      <w:r>
        <w:rPr>
          <w:rFonts w:hint="eastAsia"/>
        </w:rPr>
        <w:t>合同条款及格式</w:t>
      </w:r>
    </w:p>
    <w:p>
      <w:pPr>
        <w:rPr>
          <w:rFonts w:cs="Times New Roman"/>
        </w:rPr>
        <w:sectPr>
          <w:headerReference r:id="rId9" w:type="default"/>
          <w:pgSz w:w="11910" w:h="16850"/>
          <w:pgMar w:top="1418" w:right="1418" w:bottom="1418" w:left="1418" w:header="851" w:footer="964" w:gutter="0"/>
          <w:cols w:space="720" w:num="1"/>
        </w:sectPr>
      </w:pPr>
    </w:p>
    <w:p>
      <w:pPr>
        <w:pStyle w:val="12"/>
        <w:spacing w:before="3"/>
        <w:rPr>
          <w:rFonts w:cs="Times New Roman"/>
          <w:b/>
          <w:bCs/>
          <w:sz w:val="28"/>
          <w:szCs w:val="28"/>
        </w:rPr>
      </w:pPr>
    </w:p>
    <w:p>
      <w:pPr>
        <w:pStyle w:val="3"/>
        <w:rPr>
          <w:rFonts w:ascii="黑体" w:eastAsia="黑体" w:cs="Times New Roman"/>
          <w:b w:val="0"/>
          <w:bCs w:val="0"/>
          <w:sz w:val="36"/>
          <w:szCs w:val="36"/>
        </w:rPr>
      </w:pPr>
      <w:bookmarkStart w:id="9" w:name="第一节通用合同条款"/>
      <w:bookmarkEnd w:id="9"/>
      <w:bookmarkStart w:id="10" w:name="_Toc309397288"/>
      <w:r>
        <w:rPr>
          <w:rFonts w:hint="eastAsia" w:ascii="黑体" w:eastAsia="黑体" w:cs="黑体"/>
          <w:b w:val="0"/>
          <w:bCs w:val="0"/>
          <w:sz w:val="36"/>
          <w:szCs w:val="36"/>
        </w:rPr>
        <w:t>第一节</w:t>
      </w:r>
      <w:r>
        <w:rPr>
          <w:rFonts w:ascii="黑体" w:eastAsia="黑体" w:cs="黑体"/>
          <w:b w:val="0"/>
          <w:bCs w:val="0"/>
          <w:sz w:val="36"/>
          <w:szCs w:val="36"/>
        </w:rPr>
        <w:t xml:space="preserve">  </w:t>
      </w:r>
      <w:r>
        <w:rPr>
          <w:rFonts w:hint="eastAsia" w:ascii="黑体" w:eastAsia="黑体" w:cs="黑体"/>
          <w:b w:val="0"/>
          <w:bCs w:val="0"/>
          <w:sz w:val="36"/>
          <w:szCs w:val="36"/>
        </w:rPr>
        <w:t>通用合同条款</w:t>
      </w:r>
      <w:bookmarkEnd w:id="10"/>
    </w:p>
    <w:p>
      <w:pPr>
        <w:pStyle w:val="51"/>
        <w:rPr>
          <w:sz w:val="21"/>
          <w:szCs w:val="21"/>
        </w:rPr>
      </w:pPr>
      <w:bookmarkStart w:id="11" w:name="_Toc309397289"/>
      <w:bookmarkStart w:id="12" w:name="_Toc144974579"/>
      <w:bookmarkStart w:id="13" w:name="_Toc152042389"/>
      <w:bookmarkStart w:id="14" w:name="_Toc152045611"/>
      <w:bookmarkStart w:id="15" w:name="_Toc179632629"/>
      <w:r>
        <w:rPr>
          <w:sz w:val="21"/>
          <w:szCs w:val="21"/>
        </w:rPr>
        <w:t xml:space="preserve">1. </w:t>
      </w:r>
      <w:r>
        <w:rPr>
          <w:rFonts w:hint="eastAsia" w:cs="宋体"/>
          <w:sz w:val="21"/>
          <w:szCs w:val="21"/>
        </w:rPr>
        <w:t>一般约定</w:t>
      </w:r>
      <w:bookmarkEnd w:id="11"/>
      <w:bookmarkEnd w:id="12"/>
      <w:bookmarkEnd w:id="13"/>
      <w:bookmarkEnd w:id="14"/>
      <w:bookmarkEnd w:id="15"/>
    </w:p>
    <w:p>
      <w:pPr>
        <w:pStyle w:val="52"/>
        <w:rPr>
          <w:rFonts w:cs="Times New Roman"/>
          <w:sz w:val="21"/>
          <w:szCs w:val="21"/>
        </w:rPr>
      </w:pPr>
      <w:bookmarkStart w:id="16" w:name="_Toc152042390"/>
      <w:bookmarkStart w:id="17" w:name="_Toc179632630"/>
      <w:bookmarkStart w:id="18" w:name="_Toc144974580"/>
      <w:bookmarkStart w:id="19" w:name="_Toc309397290"/>
      <w:bookmarkStart w:id="20" w:name="_Toc152045612"/>
      <w:r>
        <w:rPr>
          <w:sz w:val="21"/>
          <w:szCs w:val="21"/>
        </w:rPr>
        <w:t xml:space="preserve">1.1 </w:t>
      </w:r>
      <w:r>
        <w:rPr>
          <w:rFonts w:hint="eastAsia" w:cs="黑体"/>
          <w:sz w:val="21"/>
          <w:szCs w:val="21"/>
        </w:rPr>
        <w:t>词语定义</w:t>
      </w:r>
      <w:bookmarkEnd w:id="16"/>
      <w:bookmarkEnd w:id="17"/>
      <w:bookmarkEnd w:id="18"/>
      <w:bookmarkEnd w:id="19"/>
      <w:bookmarkEnd w:id="20"/>
    </w:p>
    <w:p>
      <w:pPr>
        <w:spacing w:line="400" w:lineRule="exact"/>
        <w:ind w:firstLine="440" w:firstLineChars="200"/>
        <w:rPr>
          <w:rFonts w:cs="Times New Roman"/>
        </w:rPr>
      </w:pPr>
      <w:r>
        <w:rPr>
          <w:rFonts w:hint="eastAsia"/>
        </w:rPr>
        <w:t>通用合同条款、专用合同条款中的下列词语应具有本款所赋予的含义。</w:t>
      </w:r>
    </w:p>
    <w:p>
      <w:pPr>
        <w:spacing w:line="400" w:lineRule="exact"/>
        <w:ind w:firstLine="440" w:firstLineChars="200"/>
        <w:rPr>
          <w:rFonts w:cs="Times New Roman"/>
        </w:rPr>
      </w:pPr>
      <w:r>
        <w:t xml:space="preserve">1.1.1 </w:t>
      </w:r>
      <w:r>
        <w:rPr>
          <w:rFonts w:hint="eastAsia" w:ascii="黑体" w:eastAsia="黑体" w:cs="黑体"/>
        </w:rPr>
        <w:t>合同</w:t>
      </w:r>
    </w:p>
    <w:p>
      <w:pPr>
        <w:spacing w:line="400" w:lineRule="exact"/>
        <w:ind w:firstLine="440" w:firstLineChars="200"/>
        <w:rPr>
          <w:rFonts w:cs="Times New Roman"/>
        </w:rPr>
      </w:pPr>
      <w:r>
        <w:t xml:space="preserve">1.1.1.1 </w:t>
      </w:r>
      <w:r>
        <w:rPr>
          <w:rFonts w:hint="eastAsia"/>
        </w:rPr>
        <w:t>合同文件（或称合同）：指合同协议书、中标通知书、投标函及投标函附录、专用合同条款、通用合同条款、技术标准和要求、图纸、已标价工程量清单，以及其他合同文件。</w:t>
      </w:r>
    </w:p>
    <w:p>
      <w:pPr>
        <w:spacing w:line="400" w:lineRule="exact"/>
        <w:ind w:firstLine="440" w:firstLineChars="200"/>
        <w:rPr>
          <w:rFonts w:cs="Times New Roman"/>
        </w:rPr>
      </w:pPr>
      <w:r>
        <w:t xml:space="preserve">1.1.1.2 </w:t>
      </w:r>
      <w:r>
        <w:rPr>
          <w:rFonts w:hint="eastAsia"/>
        </w:rPr>
        <w:t>合同协议书：指第</w:t>
      </w:r>
      <w:r>
        <w:t>1.5</w:t>
      </w:r>
      <w:r>
        <w:rPr>
          <w:rFonts w:hint="eastAsia"/>
        </w:rPr>
        <w:t>款所指的合同协议书。</w:t>
      </w:r>
    </w:p>
    <w:p>
      <w:pPr>
        <w:spacing w:line="400" w:lineRule="exact"/>
        <w:ind w:firstLine="440" w:firstLineChars="200"/>
        <w:rPr>
          <w:rFonts w:cs="Times New Roman"/>
        </w:rPr>
      </w:pPr>
      <w:r>
        <w:t xml:space="preserve">1.1.1.3 </w:t>
      </w:r>
      <w:r>
        <w:rPr>
          <w:rFonts w:hint="eastAsia"/>
        </w:rPr>
        <w:t>中标通知书：指发包人通知承包人中标的函件。</w:t>
      </w:r>
    </w:p>
    <w:p>
      <w:pPr>
        <w:spacing w:line="400" w:lineRule="exact"/>
        <w:ind w:firstLine="440" w:firstLineChars="200"/>
        <w:rPr>
          <w:rFonts w:cs="Times New Roman"/>
        </w:rPr>
      </w:pPr>
      <w:r>
        <w:t xml:space="preserve">1.1.1.4 </w:t>
      </w:r>
      <w:r>
        <w:rPr>
          <w:rFonts w:hint="eastAsia"/>
        </w:rPr>
        <w:t>投标函：指构成合同文件组成部分的由承包人填写并签署的投标函。</w:t>
      </w:r>
    </w:p>
    <w:p>
      <w:pPr>
        <w:spacing w:line="400" w:lineRule="exact"/>
        <w:ind w:firstLine="440" w:firstLineChars="200"/>
        <w:rPr>
          <w:rFonts w:cs="Times New Roman"/>
        </w:rPr>
      </w:pPr>
      <w:r>
        <w:t xml:space="preserve">1.1.1.5 </w:t>
      </w:r>
      <w:r>
        <w:rPr>
          <w:rFonts w:hint="eastAsia"/>
        </w:rPr>
        <w:t>投标函附录：指附在投标函后构成合同文件的投标函附录。</w:t>
      </w:r>
    </w:p>
    <w:p>
      <w:pPr>
        <w:spacing w:line="400" w:lineRule="exact"/>
        <w:ind w:firstLine="440" w:firstLineChars="200"/>
        <w:rPr>
          <w:rFonts w:cs="Times New Roman"/>
        </w:rPr>
      </w:pPr>
      <w:r>
        <w:t xml:space="preserve">1.1.1.6 </w:t>
      </w:r>
      <w:r>
        <w:rPr>
          <w:rFonts w:hint="eastAsia"/>
        </w:rPr>
        <w:t>技术标准和要求：指构成合同文件组成部分的名为技术标准和要求的文件，包括合同双方当事人约定对其所作的修改或补充。</w:t>
      </w:r>
    </w:p>
    <w:p>
      <w:pPr>
        <w:spacing w:line="400" w:lineRule="exact"/>
        <w:ind w:firstLine="440" w:firstLineChars="200"/>
        <w:rPr>
          <w:rFonts w:cs="Times New Roman"/>
        </w:rPr>
      </w:pPr>
      <w:r>
        <w:t>1.1.1.7</w:t>
      </w:r>
      <w:r>
        <w:rPr>
          <w:rFonts w:hint="eastAsia"/>
        </w:rPr>
        <w:t>图纸：指包含在合同中的工程图纸，以及由发包人按合同约定提供的任何补充和修改的图纸，包括配套的说明。</w:t>
      </w:r>
    </w:p>
    <w:p>
      <w:pPr>
        <w:spacing w:line="400" w:lineRule="exact"/>
        <w:ind w:firstLine="440" w:firstLineChars="200"/>
        <w:rPr>
          <w:rFonts w:cs="Times New Roman"/>
        </w:rPr>
      </w:pPr>
      <w:r>
        <w:t xml:space="preserve">1.1.1.8 </w:t>
      </w:r>
      <w:r>
        <w:rPr>
          <w:rFonts w:hint="eastAsia"/>
        </w:rPr>
        <w:t>已标价工程量清单：指构成合同文件组成部分的由承包人按照规定的格式和要求填写并标明价格的工程量清单。</w:t>
      </w:r>
    </w:p>
    <w:p>
      <w:pPr>
        <w:spacing w:line="400" w:lineRule="exact"/>
        <w:ind w:firstLine="440" w:firstLineChars="200"/>
        <w:rPr>
          <w:rFonts w:cs="Times New Roman"/>
        </w:rPr>
      </w:pPr>
      <w:r>
        <w:t xml:space="preserve">1.1.1.9 </w:t>
      </w:r>
      <w:r>
        <w:rPr>
          <w:rFonts w:hint="eastAsia"/>
        </w:rPr>
        <w:t>其他合同文件：指经合同双方当事人确认构成合同文件的其他文件。</w:t>
      </w:r>
    </w:p>
    <w:p>
      <w:pPr>
        <w:spacing w:line="400" w:lineRule="exact"/>
        <w:ind w:firstLine="440" w:firstLineChars="200"/>
        <w:rPr>
          <w:rFonts w:cs="Times New Roman"/>
        </w:rPr>
      </w:pPr>
      <w:r>
        <w:t xml:space="preserve">1.1.2 </w:t>
      </w:r>
      <w:r>
        <w:rPr>
          <w:rFonts w:hint="eastAsia" w:ascii="黑体" w:eastAsia="黑体" w:cs="黑体"/>
        </w:rPr>
        <w:t>合同当事人和人员</w:t>
      </w:r>
    </w:p>
    <w:p>
      <w:pPr>
        <w:spacing w:line="400" w:lineRule="exact"/>
        <w:ind w:firstLine="440" w:firstLineChars="200"/>
        <w:rPr>
          <w:rFonts w:cs="Times New Roman"/>
        </w:rPr>
      </w:pPr>
      <w:r>
        <w:t xml:space="preserve">1.1.2.1 </w:t>
      </w:r>
      <w:r>
        <w:rPr>
          <w:rFonts w:hint="eastAsia"/>
        </w:rPr>
        <w:t>合同当事人：指发包人和（或）承包人。</w:t>
      </w:r>
    </w:p>
    <w:p>
      <w:pPr>
        <w:spacing w:line="400" w:lineRule="exact"/>
        <w:ind w:firstLine="440" w:firstLineChars="200"/>
        <w:rPr>
          <w:rFonts w:cs="Times New Roman"/>
        </w:rPr>
      </w:pPr>
      <w:r>
        <w:t xml:space="preserve">1.1.2.2 </w:t>
      </w:r>
      <w:r>
        <w:rPr>
          <w:rFonts w:hint="eastAsia"/>
        </w:rPr>
        <w:t>发包人：指专用合同条款中指明并与承包人在合同协议书中签字的当事人。</w:t>
      </w:r>
    </w:p>
    <w:p>
      <w:pPr>
        <w:spacing w:line="400" w:lineRule="exact"/>
        <w:ind w:firstLine="440" w:firstLineChars="200"/>
        <w:rPr>
          <w:rFonts w:cs="Times New Roman"/>
        </w:rPr>
      </w:pPr>
      <w:r>
        <w:t xml:space="preserve">1.1.2.3 </w:t>
      </w:r>
      <w:r>
        <w:rPr>
          <w:rFonts w:hint="eastAsia"/>
        </w:rPr>
        <w:t>承包人：指与发包人签订合同协议书的当事人。</w:t>
      </w:r>
    </w:p>
    <w:p>
      <w:pPr>
        <w:spacing w:line="400" w:lineRule="exact"/>
        <w:ind w:firstLine="440" w:firstLineChars="200"/>
        <w:rPr>
          <w:rFonts w:cs="Times New Roman"/>
        </w:rPr>
      </w:pPr>
      <w:r>
        <w:t xml:space="preserve">1.1.2.4 </w:t>
      </w:r>
      <w:r>
        <w:rPr>
          <w:rFonts w:hint="eastAsia"/>
        </w:rPr>
        <w:t>承包人项目经理：指承包人派驻施工场地的全权负责人。</w:t>
      </w:r>
    </w:p>
    <w:p>
      <w:pPr>
        <w:spacing w:line="400" w:lineRule="exact"/>
        <w:ind w:firstLine="440" w:firstLineChars="200"/>
        <w:rPr>
          <w:rFonts w:cs="Times New Roman"/>
        </w:rPr>
      </w:pPr>
      <w:r>
        <w:t xml:space="preserve">1.1.2.5 </w:t>
      </w:r>
      <w:r>
        <w:rPr>
          <w:rFonts w:hint="eastAsia"/>
        </w:rPr>
        <w:t>分包人：指从承包人处分包合同中某一部分工程，并与其签订分包合同的分包人。</w:t>
      </w:r>
    </w:p>
    <w:p>
      <w:pPr>
        <w:spacing w:line="400" w:lineRule="exact"/>
        <w:ind w:firstLine="440" w:firstLineChars="200"/>
        <w:rPr>
          <w:rFonts w:cs="Times New Roman"/>
        </w:rPr>
      </w:pPr>
      <w:r>
        <w:t xml:space="preserve">1.1.2.6 </w:t>
      </w:r>
      <w:r>
        <w:rPr>
          <w:rFonts w:hint="eastAsia"/>
        </w:rPr>
        <w:t>监理人：指在专用合同条款中指明的，受发包人委托对合同履行实施管理的法人或其他组织。</w:t>
      </w:r>
    </w:p>
    <w:p>
      <w:pPr>
        <w:spacing w:line="400" w:lineRule="exact"/>
        <w:ind w:firstLine="440" w:firstLineChars="200"/>
        <w:rPr>
          <w:rFonts w:cs="Times New Roman"/>
        </w:rPr>
      </w:pPr>
      <w:r>
        <w:t xml:space="preserve">1.1.2.7 </w:t>
      </w:r>
      <w:r>
        <w:rPr>
          <w:rFonts w:hint="eastAsia"/>
        </w:rPr>
        <w:t>总监理工程师（总监）：指由监理人委派常驻施工场地对合同履行实施管理的全权负责人。</w:t>
      </w:r>
    </w:p>
    <w:p>
      <w:pPr>
        <w:spacing w:line="400" w:lineRule="exact"/>
        <w:ind w:firstLine="440" w:firstLineChars="200"/>
        <w:rPr>
          <w:rFonts w:cs="Times New Roman"/>
        </w:rPr>
      </w:pPr>
      <w:r>
        <w:t xml:space="preserve">1.1.3 </w:t>
      </w:r>
      <w:r>
        <w:rPr>
          <w:rFonts w:hint="eastAsia" w:ascii="黑体" w:eastAsia="黑体" w:cs="黑体"/>
        </w:rPr>
        <w:t>工程和设备</w:t>
      </w:r>
    </w:p>
    <w:p>
      <w:pPr>
        <w:spacing w:line="400" w:lineRule="exact"/>
        <w:ind w:firstLine="440" w:firstLineChars="200"/>
        <w:rPr>
          <w:rFonts w:cs="Times New Roman"/>
        </w:rPr>
      </w:pPr>
      <w:r>
        <w:t xml:space="preserve">1.1.3.1 </w:t>
      </w:r>
      <w:r>
        <w:rPr>
          <w:rFonts w:hint="eastAsia"/>
        </w:rPr>
        <w:t>工程：指永久工程和（或）临时工程。</w:t>
      </w:r>
    </w:p>
    <w:p>
      <w:pPr>
        <w:spacing w:line="400" w:lineRule="exact"/>
        <w:ind w:firstLine="440" w:firstLineChars="200"/>
        <w:rPr>
          <w:rFonts w:cs="Times New Roman"/>
        </w:rPr>
      </w:pPr>
      <w:r>
        <w:t xml:space="preserve">1.1.3.2 </w:t>
      </w:r>
      <w:r>
        <w:rPr>
          <w:rFonts w:hint="eastAsia"/>
        </w:rPr>
        <w:t>永久工程：指按合同约定建造并移交给发包人的工程，包括工程设备。</w:t>
      </w:r>
    </w:p>
    <w:p>
      <w:pPr>
        <w:spacing w:line="400" w:lineRule="exact"/>
        <w:ind w:firstLine="440" w:firstLineChars="200"/>
        <w:rPr>
          <w:rFonts w:cs="Times New Roman"/>
        </w:rPr>
      </w:pPr>
      <w:r>
        <w:t xml:space="preserve">1.1.3.3 </w:t>
      </w:r>
      <w:r>
        <w:rPr>
          <w:rFonts w:hint="eastAsia"/>
        </w:rPr>
        <w:t>临时工程：指为完成合同约定的永久工程所修建的各类临时性工程，不包括施工设备。</w:t>
      </w:r>
    </w:p>
    <w:p>
      <w:pPr>
        <w:spacing w:line="400" w:lineRule="exact"/>
        <w:ind w:firstLine="440" w:firstLineChars="200"/>
        <w:rPr>
          <w:rFonts w:cs="Times New Roman"/>
        </w:rPr>
      </w:pPr>
      <w:r>
        <w:t xml:space="preserve">1.1.3.4 </w:t>
      </w:r>
      <w:r>
        <w:rPr>
          <w:rFonts w:hint="eastAsia"/>
        </w:rPr>
        <w:t>单位工程：指专用合同条款中指明特定范围的永久工程。</w:t>
      </w:r>
    </w:p>
    <w:p>
      <w:pPr>
        <w:spacing w:line="400" w:lineRule="exact"/>
        <w:ind w:firstLine="440" w:firstLineChars="200"/>
        <w:rPr>
          <w:rFonts w:cs="Times New Roman"/>
        </w:rPr>
      </w:pPr>
      <w:r>
        <w:t xml:space="preserve">1.1.3.5 </w:t>
      </w:r>
      <w:r>
        <w:rPr>
          <w:rFonts w:hint="eastAsia"/>
        </w:rPr>
        <w:t>工程设备：指构成或计划构成永久工程一部分的机电设备、金属结构设备、仪器装置及其他类似的设备和装置。</w:t>
      </w:r>
    </w:p>
    <w:p>
      <w:pPr>
        <w:spacing w:line="400" w:lineRule="exact"/>
        <w:ind w:firstLine="440" w:firstLineChars="200"/>
        <w:rPr>
          <w:rFonts w:cs="Times New Roman"/>
        </w:rPr>
      </w:pPr>
      <w:r>
        <w:t xml:space="preserve">1.1.3.6 </w:t>
      </w:r>
      <w:r>
        <w:rPr>
          <w:rFonts w:hint="eastAsia"/>
        </w:rPr>
        <w:t>施工设备：指为完成合同约定的各项工作所需的设备、器具和其他物品，不包括临时工程和材料。</w:t>
      </w:r>
    </w:p>
    <w:p>
      <w:pPr>
        <w:spacing w:line="400" w:lineRule="exact"/>
        <w:ind w:firstLine="440" w:firstLineChars="200"/>
        <w:rPr>
          <w:rFonts w:cs="Times New Roman"/>
        </w:rPr>
      </w:pPr>
      <w:r>
        <w:t xml:space="preserve">1.1.3.7 </w:t>
      </w:r>
      <w:r>
        <w:rPr>
          <w:rFonts w:hint="eastAsia"/>
        </w:rPr>
        <w:t>临时设施：指为完成合同约定的各项工作所服务的临时性生产和生活设施。</w:t>
      </w:r>
    </w:p>
    <w:p>
      <w:pPr>
        <w:spacing w:line="400" w:lineRule="exact"/>
        <w:ind w:firstLine="440" w:firstLineChars="200"/>
        <w:rPr>
          <w:rFonts w:cs="Times New Roman"/>
        </w:rPr>
      </w:pPr>
      <w:r>
        <w:t xml:space="preserve">1.1.3.8 </w:t>
      </w:r>
      <w:r>
        <w:rPr>
          <w:rFonts w:hint="eastAsia"/>
        </w:rPr>
        <w:t>承包人设备：指承包人自带的施工设备。</w:t>
      </w:r>
    </w:p>
    <w:p>
      <w:pPr>
        <w:spacing w:line="400" w:lineRule="exact"/>
        <w:ind w:firstLine="440" w:firstLineChars="200"/>
        <w:rPr>
          <w:rFonts w:cs="Times New Roman"/>
        </w:rPr>
      </w:pPr>
      <w:r>
        <w:t xml:space="preserve">1.1.3.9 </w:t>
      </w:r>
      <w:r>
        <w:rPr>
          <w:rFonts w:hint="eastAsia"/>
        </w:rPr>
        <w:t>施工场地（或称工地、现场）：指用于合同工程施工的场所，以及在合同中指定作为施工场地组成部分的其他场所，包括永久占地和临时占地。</w:t>
      </w:r>
    </w:p>
    <w:p>
      <w:pPr>
        <w:spacing w:line="400" w:lineRule="exact"/>
        <w:ind w:firstLine="440" w:firstLineChars="200"/>
        <w:rPr>
          <w:rFonts w:cs="Times New Roman"/>
        </w:rPr>
      </w:pPr>
      <w:r>
        <w:t xml:space="preserve">1.1.3.10 </w:t>
      </w:r>
      <w:r>
        <w:rPr>
          <w:rFonts w:hint="eastAsia"/>
        </w:rPr>
        <w:t>永久占地：指专用合同条款中指明为实施合同工程需永久占用的土地。</w:t>
      </w:r>
    </w:p>
    <w:p>
      <w:pPr>
        <w:spacing w:line="400" w:lineRule="exact"/>
        <w:ind w:firstLine="440" w:firstLineChars="200"/>
        <w:rPr>
          <w:rFonts w:cs="Times New Roman"/>
        </w:rPr>
      </w:pPr>
      <w:r>
        <w:t xml:space="preserve">1.1.3.11 </w:t>
      </w:r>
      <w:r>
        <w:rPr>
          <w:rFonts w:hint="eastAsia"/>
        </w:rPr>
        <w:t>临时占地：指专用合同条款中指明为实施合同工程需临时占用的土地。</w:t>
      </w:r>
    </w:p>
    <w:p>
      <w:pPr>
        <w:spacing w:line="400" w:lineRule="exact"/>
        <w:ind w:firstLine="440" w:firstLineChars="200"/>
        <w:rPr>
          <w:rFonts w:cs="Times New Roman"/>
        </w:rPr>
      </w:pPr>
      <w:r>
        <w:t xml:space="preserve">1.1.4 </w:t>
      </w:r>
      <w:r>
        <w:rPr>
          <w:rFonts w:hint="eastAsia" w:ascii="黑体" w:eastAsia="黑体" w:cs="黑体"/>
        </w:rPr>
        <w:t>日期</w:t>
      </w:r>
    </w:p>
    <w:p>
      <w:pPr>
        <w:spacing w:line="400" w:lineRule="exact"/>
        <w:ind w:firstLine="440" w:firstLineChars="200"/>
        <w:rPr>
          <w:rFonts w:cs="Times New Roman"/>
        </w:rPr>
      </w:pPr>
      <w:r>
        <w:t xml:space="preserve">1.1.4.1 </w:t>
      </w:r>
      <w:r>
        <w:rPr>
          <w:rFonts w:hint="eastAsia"/>
        </w:rPr>
        <w:t>开工通知：指监理人按第</w:t>
      </w:r>
      <w:r>
        <w:t>11.1</w:t>
      </w:r>
      <w:r>
        <w:rPr>
          <w:rFonts w:hint="eastAsia"/>
        </w:rPr>
        <w:t>款通知承包人开工的函件。</w:t>
      </w:r>
    </w:p>
    <w:p>
      <w:pPr>
        <w:spacing w:line="400" w:lineRule="exact"/>
        <w:ind w:firstLine="440" w:firstLineChars="200"/>
        <w:rPr>
          <w:rFonts w:cs="Times New Roman"/>
        </w:rPr>
      </w:pPr>
      <w:r>
        <w:t xml:space="preserve">1.1.4.2 </w:t>
      </w:r>
      <w:r>
        <w:rPr>
          <w:rFonts w:hint="eastAsia"/>
        </w:rPr>
        <w:t>开工日期：指监理人按第</w:t>
      </w:r>
      <w:r>
        <w:t>11.1</w:t>
      </w:r>
      <w:r>
        <w:rPr>
          <w:rFonts w:hint="eastAsia"/>
        </w:rPr>
        <w:t>款发出的开工通知中写明的开工日期。</w:t>
      </w:r>
    </w:p>
    <w:p>
      <w:pPr>
        <w:spacing w:line="400" w:lineRule="exact"/>
        <w:ind w:firstLine="440" w:firstLineChars="200"/>
        <w:rPr>
          <w:rFonts w:cs="Times New Roman"/>
        </w:rPr>
      </w:pPr>
      <w:r>
        <w:t>1.1.4.3</w:t>
      </w:r>
      <w:r>
        <w:rPr>
          <w:rFonts w:hint="eastAsia"/>
        </w:rPr>
        <w:t>工期：指承包人在投标函中承诺的完成合同工程所需的期限，包括按第</w:t>
      </w:r>
      <w:r>
        <w:t>11.3</w:t>
      </w:r>
      <w:r>
        <w:rPr>
          <w:rFonts w:hint="eastAsia"/>
        </w:rPr>
        <w:t>款、第</w:t>
      </w:r>
      <w:r>
        <w:t>11.4</w:t>
      </w:r>
      <w:r>
        <w:rPr>
          <w:rFonts w:hint="eastAsia"/>
        </w:rPr>
        <w:t>款和第</w:t>
      </w:r>
      <w:r>
        <w:t>11.6</w:t>
      </w:r>
      <w:r>
        <w:rPr>
          <w:rFonts w:hint="eastAsia"/>
        </w:rPr>
        <w:t>款约定所作的变更。</w:t>
      </w:r>
    </w:p>
    <w:p>
      <w:pPr>
        <w:spacing w:line="400" w:lineRule="exact"/>
        <w:ind w:firstLine="440" w:firstLineChars="200"/>
        <w:rPr>
          <w:rFonts w:cs="Times New Roman"/>
        </w:rPr>
      </w:pPr>
      <w:r>
        <w:t xml:space="preserve">1.1.4.4 </w:t>
      </w:r>
      <w:r>
        <w:rPr>
          <w:rFonts w:hint="eastAsia"/>
        </w:rPr>
        <w:t>竣工日期：指第</w:t>
      </w:r>
      <w:r>
        <w:t>1.1.4.3</w:t>
      </w:r>
      <w:r>
        <w:rPr>
          <w:rFonts w:hint="eastAsia"/>
        </w:rPr>
        <w:t>目约定工期届满时的日期。实际竣工日期以工程接收证书中写明的日期为准。</w:t>
      </w:r>
    </w:p>
    <w:p>
      <w:pPr>
        <w:spacing w:line="400" w:lineRule="exact"/>
        <w:ind w:firstLine="440" w:firstLineChars="200"/>
        <w:rPr>
          <w:rFonts w:cs="Times New Roman"/>
        </w:rPr>
      </w:pPr>
      <w:r>
        <w:t xml:space="preserve">1.1.4.5 </w:t>
      </w:r>
      <w:r>
        <w:rPr>
          <w:rFonts w:hint="eastAsia"/>
        </w:rPr>
        <w:t>缺陷责任期：指履行第</w:t>
      </w:r>
      <w:r>
        <w:t>19.2</w:t>
      </w:r>
      <w:r>
        <w:rPr>
          <w:rFonts w:hint="eastAsia"/>
        </w:rPr>
        <w:t>款约定的缺陷责任的期限，具体期限由专用合同条款约定，包括根据第</w:t>
      </w:r>
      <w:r>
        <w:t>19.3</w:t>
      </w:r>
      <w:r>
        <w:rPr>
          <w:rFonts w:hint="eastAsia"/>
        </w:rPr>
        <w:t>款约定所作的延长。</w:t>
      </w:r>
    </w:p>
    <w:p>
      <w:pPr>
        <w:spacing w:line="400" w:lineRule="exact"/>
        <w:ind w:firstLine="440" w:firstLineChars="200"/>
        <w:rPr>
          <w:rFonts w:cs="Times New Roman"/>
        </w:rPr>
      </w:pPr>
      <w:r>
        <w:t xml:space="preserve">1.1.4.6 </w:t>
      </w:r>
      <w:r>
        <w:rPr>
          <w:rFonts w:hint="eastAsia"/>
        </w:rPr>
        <w:t>基准日期：指投标截止时间前</w:t>
      </w:r>
      <w:r>
        <w:t>28</w:t>
      </w:r>
      <w:r>
        <w:rPr>
          <w:rFonts w:hint="eastAsia"/>
        </w:rPr>
        <w:t>天的日期。</w:t>
      </w:r>
    </w:p>
    <w:p>
      <w:pPr>
        <w:spacing w:line="400" w:lineRule="exact"/>
        <w:ind w:firstLine="440" w:firstLineChars="200"/>
        <w:rPr>
          <w:rFonts w:cs="Times New Roman"/>
        </w:rPr>
      </w:pPr>
      <w:r>
        <w:t xml:space="preserve">1.1.4.7 </w:t>
      </w:r>
      <w:r>
        <w:rPr>
          <w:rFonts w:hint="eastAsia"/>
        </w:rPr>
        <w:t>天：除特别指明外，指日历天。合同中按天计算时间的，开始当天不计入，从次日开始计算。期限最后一天的截止时间为当天</w:t>
      </w:r>
      <w:r>
        <w:t>24:00</w:t>
      </w:r>
      <w:r>
        <w:rPr>
          <w:rFonts w:hint="eastAsia"/>
        </w:rPr>
        <w:t>。</w:t>
      </w:r>
    </w:p>
    <w:p>
      <w:pPr>
        <w:spacing w:line="400" w:lineRule="exact"/>
        <w:ind w:firstLine="440" w:firstLineChars="200"/>
        <w:rPr>
          <w:rFonts w:cs="Times New Roman"/>
        </w:rPr>
      </w:pPr>
      <w:r>
        <w:t xml:space="preserve">1.1.5 </w:t>
      </w:r>
      <w:r>
        <w:rPr>
          <w:rFonts w:hint="eastAsia" w:ascii="黑体" w:eastAsia="黑体" w:cs="黑体"/>
        </w:rPr>
        <w:t>合同价格和费用</w:t>
      </w:r>
    </w:p>
    <w:p>
      <w:pPr>
        <w:spacing w:line="400" w:lineRule="exact"/>
        <w:ind w:firstLine="440" w:firstLineChars="200"/>
        <w:rPr>
          <w:rFonts w:cs="Times New Roman"/>
        </w:rPr>
      </w:pPr>
      <w:r>
        <w:t xml:space="preserve">1.1.5.1 </w:t>
      </w:r>
      <w:r>
        <w:rPr>
          <w:rFonts w:hint="eastAsia"/>
        </w:rPr>
        <w:t>签约合同价：指签定合同时合同协议书中写明的，包括了暂列金额、暂估价的合同总金额。</w:t>
      </w:r>
    </w:p>
    <w:p>
      <w:pPr>
        <w:spacing w:line="400" w:lineRule="exact"/>
        <w:ind w:firstLine="440" w:firstLineChars="200"/>
        <w:rPr>
          <w:rFonts w:cs="Times New Roman"/>
        </w:rPr>
      </w:pPr>
      <w:r>
        <w:t xml:space="preserve">1.1.5.2 </w:t>
      </w:r>
      <w:r>
        <w:rPr>
          <w:rFonts w:hint="eastAsia"/>
        </w:rPr>
        <w:t>合同价格：指承包人按合同约定完成了包括缺陷责任期内的全部承包工作后，发包人应付给承包人的金额，包括在履行合同过程中按合同约定进行的变更和调整。</w:t>
      </w:r>
    </w:p>
    <w:p>
      <w:pPr>
        <w:spacing w:line="400" w:lineRule="exact"/>
        <w:ind w:firstLine="440" w:firstLineChars="200"/>
        <w:rPr>
          <w:rFonts w:cs="Times New Roman"/>
        </w:rPr>
      </w:pPr>
      <w:r>
        <w:t xml:space="preserve">1.1.5.3 </w:t>
      </w:r>
      <w:r>
        <w:rPr>
          <w:rFonts w:hint="eastAsia"/>
        </w:rPr>
        <w:t>费用：指为履行合同所发生的或将要发生的所有合理开支，包括管理费和应分摊的其他费用，但不包括利润。</w:t>
      </w:r>
    </w:p>
    <w:p>
      <w:pPr>
        <w:spacing w:line="400" w:lineRule="exact"/>
        <w:ind w:firstLine="440" w:firstLineChars="200"/>
        <w:rPr>
          <w:rFonts w:cs="Times New Roman"/>
        </w:rPr>
      </w:pPr>
      <w:r>
        <w:t xml:space="preserve">1.1.5.4 </w:t>
      </w:r>
      <w:r>
        <w:rPr>
          <w:rFonts w:hint="eastAsia"/>
        </w:rPr>
        <w:t>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440" w:firstLineChars="200"/>
        <w:rPr>
          <w:rFonts w:cs="Times New Roman"/>
        </w:rPr>
      </w:pPr>
      <w:r>
        <w:t>1.1.5.5</w:t>
      </w:r>
      <w:r>
        <w:rPr>
          <w:rFonts w:hint="eastAsia"/>
        </w:rPr>
        <w:t>暂估价：指发包人在工程量清单中给定的用于支付必然发生但暂时不能确定价格的材料、设备以及专业工程的金额。</w:t>
      </w:r>
    </w:p>
    <w:p>
      <w:pPr>
        <w:spacing w:line="400" w:lineRule="exact"/>
        <w:ind w:firstLine="440" w:firstLineChars="200"/>
        <w:rPr>
          <w:rFonts w:cs="Times New Roman"/>
        </w:rPr>
      </w:pPr>
      <w:r>
        <w:t xml:space="preserve">1.1.5.6 </w:t>
      </w:r>
      <w:r>
        <w:rPr>
          <w:rFonts w:hint="eastAsia"/>
        </w:rPr>
        <w:t>计日工：指对零星工作采取的一种计价方式，按合同中的计日工子目及其单价计价付款。</w:t>
      </w:r>
    </w:p>
    <w:p>
      <w:pPr>
        <w:spacing w:line="400" w:lineRule="exact"/>
        <w:ind w:firstLine="440" w:firstLineChars="200"/>
        <w:rPr>
          <w:rFonts w:cs="Times New Roman"/>
        </w:rPr>
      </w:pPr>
      <w:r>
        <w:t xml:space="preserve">1.1.5.7 </w:t>
      </w:r>
      <w:r>
        <w:rPr>
          <w:rFonts w:hint="eastAsia"/>
        </w:rPr>
        <w:t>质量保证金（或称保留金）：指按第</w:t>
      </w:r>
      <w:r>
        <w:t>17.4.1</w:t>
      </w:r>
      <w:r>
        <w:rPr>
          <w:rFonts w:hint="eastAsia"/>
        </w:rPr>
        <w:t>项约定用于保证在缺陷责任期内履行缺陷修复义务的金额。</w:t>
      </w:r>
    </w:p>
    <w:p>
      <w:pPr>
        <w:spacing w:line="400" w:lineRule="exact"/>
        <w:ind w:firstLine="440" w:firstLineChars="200"/>
        <w:rPr>
          <w:rFonts w:cs="Times New Roman"/>
        </w:rPr>
      </w:pPr>
      <w:r>
        <w:t xml:space="preserve">1.1.6 </w:t>
      </w:r>
      <w:r>
        <w:rPr>
          <w:rFonts w:hint="eastAsia" w:ascii="黑体" w:eastAsia="黑体" w:cs="黑体"/>
        </w:rPr>
        <w:t>其他</w:t>
      </w:r>
    </w:p>
    <w:p>
      <w:pPr>
        <w:spacing w:line="400" w:lineRule="exact"/>
        <w:ind w:firstLine="440" w:firstLineChars="200"/>
        <w:rPr>
          <w:rFonts w:cs="Times New Roman"/>
        </w:rPr>
      </w:pPr>
      <w:r>
        <w:t xml:space="preserve">1.1.6.1 </w:t>
      </w:r>
      <w:r>
        <w:rPr>
          <w:rFonts w:hint="eastAsia"/>
        </w:rPr>
        <w:t>书面形式：指合同文件、信函、电报、传真等可以有形地表现所载内容的形式。</w:t>
      </w:r>
    </w:p>
    <w:p>
      <w:pPr>
        <w:pStyle w:val="52"/>
        <w:rPr>
          <w:rFonts w:cs="Times New Roman"/>
          <w:sz w:val="21"/>
          <w:szCs w:val="21"/>
        </w:rPr>
      </w:pPr>
      <w:bookmarkStart w:id="21" w:name="_Toc309397291"/>
      <w:bookmarkStart w:id="22" w:name="_Toc144974581"/>
      <w:bookmarkStart w:id="23" w:name="_Toc179632631"/>
      <w:bookmarkStart w:id="24" w:name="_Toc152042391"/>
      <w:bookmarkStart w:id="25" w:name="_Toc152045613"/>
      <w:r>
        <w:rPr>
          <w:sz w:val="21"/>
          <w:szCs w:val="21"/>
        </w:rPr>
        <w:t xml:space="preserve">1.2 </w:t>
      </w:r>
      <w:r>
        <w:rPr>
          <w:rFonts w:hint="eastAsia" w:cs="黑体"/>
          <w:sz w:val="21"/>
          <w:szCs w:val="21"/>
        </w:rPr>
        <w:t>语言文字</w:t>
      </w:r>
      <w:bookmarkEnd w:id="21"/>
      <w:bookmarkEnd w:id="22"/>
      <w:bookmarkEnd w:id="23"/>
      <w:bookmarkEnd w:id="24"/>
      <w:bookmarkEnd w:id="25"/>
    </w:p>
    <w:p>
      <w:pPr>
        <w:spacing w:line="400" w:lineRule="exact"/>
        <w:ind w:firstLine="440" w:firstLineChars="200"/>
        <w:rPr>
          <w:rFonts w:cs="Times New Roman"/>
        </w:rPr>
      </w:pPr>
      <w:r>
        <w:rPr>
          <w:rFonts w:hint="eastAsia"/>
        </w:rPr>
        <w:t>除专用术语外，合同使用的语言文字为中文。必要时专用术语应附有中文注释。</w:t>
      </w:r>
    </w:p>
    <w:p>
      <w:pPr>
        <w:pStyle w:val="52"/>
        <w:rPr>
          <w:rFonts w:cs="Times New Roman"/>
          <w:sz w:val="21"/>
          <w:szCs w:val="21"/>
        </w:rPr>
      </w:pPr>
      <w:bookmarkStart w:id="26" w:name="_Toc152042392"/>
      <w:bookmarkStart w:id="27" w:name="_Toc152045614"/>
      <w:bookmarkStart w:id="28" w:name="_Toc309397292"/>
      <w:bookmarkStart w:id="29" w:name="_Toc179632632"/>
      <w:bookmarkStart w:id="30" w:name="_Toc144974582"/>
      <w:r>
        <w:rPr>
          <w:sz w:val="21"/>
          <w:szCs w:val="21"/>
        </w:rPr>
        <w:t xml:space="preserve">1.3 </w:t>
      </w:r>
      <w:r>
        <w:rPr>
          <w:rFonts w:hint="eastAsia" w:cs="黑体"/>
          <w:sz w:val="21"/>
          <w:szCs w:val="21"/>
        </w:rPr>
        <w:t>法律</w:t>
      </w:r>
      <w:bookmarkEnd w:id="26"/>
      <w:bookmarkEnd w:id="27"/>
      <w:bookmarkEnd w:id="28"/>
      <w:bookmarkEnd w:id="29"/>
      <w:bookmarkEnd w:id="30"/>
    </w:p>
    <w:p>
      <w:pPr>
        <w:spacing w:line="400" w:lineRule="exact"/>
        <w:ind w:firstLine="440" w:firstLineChars="200"/>
        <w:rPr>
          <w:rFonts w:cs="Times New Roman"/>
        </w:rPr>
      </w:pPr>
      <w:r>
        <w:rPr>
          <w:rFonts w:hint="eastAsia"/>
        </w:rPr>
        <w:t>适用于合同的法律包括中华人民共和国法律、行政法规、部门规章，以及工程所在地的地方法规、自治条例、单行条例和地方政府规章。</w:t>
      </w:r>
    </w:p>
    <w:p>
      <w:pPr>
        <w:pStyle w:val="52"/>
        <w:rPr>
          <w:rFonts w:cs="Times New Roman"/>
          <w:sz w:val="21"/>
          <w:szCs w:val="21"/>
        </w:rPr>
      </w:pPr>
      <w:bookmarkStart w:id="31" w:name="_Toc309397293"/>
      <w:r>
        <w:rPr>
          <w:sz w:val="21"/>
          <w:szCs w:val="21"/>
        </w:rPr>
        <w:t xml:space="preserve">1.4 </w:t>
      </w:r>
      <w:r>
        <w:rPr>
          <w:rFonts w:hint="eastAsia" w:cs="黑体"/>
          <w:sz w:val="21"/>
          <w:szCs w:val="21"/>
        </w:rPr>
        <w:t>合同文件的优先顺序</w:t>
      </w:r>
      <w:bookmarkEnd w:id="31"/>
    </w:p>
    <w:p>
      <w:pPr>
        <w:spacing w:line="400" w:lineRule="exact"/>
        <w:ind w:firstLine="440" w:firstLineChars="200"/>
        <w:rPr>
          <w:rFonts w:cs="Times New Roman"/>
        </w:rPr>
      </w:pPr>
      <w:r>
        <w:rPr>
          <w:rFonts w:hint="eastAsia"/>
        </w:rPr>
        <w:t>组成合同的各项文件应互相解释，互为说明。除专用合同条款另有约定外，解释合同文件的优先顺序如下：</w:t>
      </w:r>
    </w:p>
    <w:p>
      <w:pPr>
        <w:spacing w:line="400" w:lineRule="exact"/>
        <w:ind w:firstLine="376" w:firstLineChars="171"/>
        <w:rPr>
          <w:rFonts w:cs="Times New Roman"/>
        </w:rPr>
      </w:pPr>
      <w:r>
        <w:rPr>
          <w:rFonts w:hint="eastAsia"/>
        </w:rPr>
        <w:t>（</w:t>
      </w:r>
      <w:r>
        <w:t>1</w:t>
      </w:r>
      <w:r>
        <w:rPr>
          <w:rFonts w:hint="eastAsia"/>
        </w:rPr>
        <w:t>）合同协议书；</w:t>
      </w:r>
    </w:p>
    <w:p>
      <w:pPr>
        <w:spacing w:line="400" w:lineRule="exact"/>
        <w:ind w:firstLine="376" w:firstLineChars="171"/>
        <w:rPr>
          <w:rFonts w:cs="Times New Roman"/>
        </w:rPr>
      </w:pPr>
      <w:r>
        <w:rPr>
          <w:rFonts w:hint="eastAsia"/>
        </w:rPr>
        <w:t>（</w:t>
      </w:r>
      <w:r>
        <w:t>2</w:t>
      </w:r>
      <w:r>
        <w:rPr>
          <w:rFonts w:hint="eastAsia"/>
        </w:rPr>
        <w:t>）中标通知书；</w:t>
      </w:r>
    </w:p>
    <w:p>
      <w:pPr>
        <w:spacing w:line="400" w:lineRule="exact"/>
        <w:ind w:firstLine="376" w:firstLineChars="171"/>
        <w:rPr>
          <w:rFonts w:cs="Times New Roman"/>
        </w:rPr>
      </w:pPr>
      <w:r>
        <w:rPr>
          <w:rFonts w:hint="eastAsia"/>
        </w:rPr>
        <w:t>（</w:t>
      </w:r>
      <w:r>
        <w:t>3</w:t>
      </w:r>
      <w:r>
        <w:rPr>
          <w:rFonts w:hint="eastAsia"/>
        </w:rPr>
        <w:t>）投标函及投标函附录；</w:t>
      </w:r>
    </w:p>
    <w:p>
      <w:pPr>
        <w:spacing w:line="400" w:lineRule="exact"/>
        <w:ind w:firstLine="376" w:firstLineChars="171"/>
        <w:rPr>
          <w:rFonts w:cs="Times New Roman"/>
        </w:rPr>
      </w:pPr>
      <w:r>
        <w:rPr>
          <w:rFonts w:hint="eastAsia"/>
        </w:rPr>
        <w:t>（</w:t>
      </w:r>
      <w:r>
        <w:t>4</w:t>
      </w:r>
      <w:r>
        <w:rPr>
          <w:rFonts w:hint="eastAsia"/>
        </w:rPr>
        <w:t>）专用合同条款；</w:t>
      </w:r>
    </w:p>
    <w:p>
      <w:pPr>
        <w:spacing w:line="400" w:lineRule="exact"/>
        <w:ind w:firstLine="376" w:firstLineChars="171"/>
        <w:rPr>
          <w:rFonts w:cs="Times New Roman"/>
        </w:rPr>
      </w:pPr>
      <w:r>
        <w:rPr>
          <w:rFonts w:hint="eastAsia"/>
        </w:rPr>
        <w:t>（</w:t>
      </w:r>
      <w:r>
        <w:t>5</w:t>
      </w:r>
      <w:r>
        <w:rPr>
          <w:rFonts w:hint="eastAsia"/>
        </w:rPr>
        <w:t>）通用合同条款；</w:t>
      </w:r>
    </w:p>
    <w:p>
      <w:pPr>
        <w:spacing w:line="400" w:lineRule="exact"/>
        <w:ind w:firstLine="376" w:firstLineChars="171"/>
        <w:rPr>
          <w:rFonts w:cs="Times New Roman"/>
        </w:rPr>
      </w:pPr>
      <w:r>
        <w:rPr>
          <w:rFonts w:hint="eastAsia"/>
        </w:rPr>
        <w:t>（</w:t>
      </w:r>
      <w:r>
        <w:t>6</w:t>
      </w:r>
      <w:r>
        <w:rPr>
          <w:rFonts w:hint="eastAsia"/>
        </w:rPr>
        <w:t>）技术标准和要求；</w:t>
      </w:r>
    </w:p>
    <w:p>
      <w:pPr>
        <w:spacing w:line="400" w:lineRule="exact"/>
        <w:ind w:firstLine="376" w:firstLineChars="171"/>
        <w:rPr>
          <w:rFonts w:cs="Times New Roman"/>
        </w:rPr>
      </w:pPr>
      <w:r>
        <w:rPr>
          <w:rFonts w:hint="eastAsia"/>
        </w:rPr>
        <w:t>（</w:t>
      </w:r>
      <w:r>
        <w:t>7</w:t>
      </w:r>
      <w:r>
        <w:rPr>
          <w:rFonts w:hint="eastAsia"/>
        </w:rPr>
        <w:t>）图纸；</w:t>
      </w:r>
    </w:p>
    <w:p>
      <w:pPr>
        <w:spacing w:line="400" w:lineRule="exact"/>
        <w:ind w:firstLine="376" w:firstLineChars="171"/>
        <w:rPr>
          <w:rFonts w:cs="Times New Roman"/>
        </w:rPr>
      </w:pPr>
      <w:r>
        <w:rPr>
          <w:rFonts w:hint="eastAsia"/>
        </w:rPr>
        <w:t>（</w:t>
      </w:r>
      <w:r>
        <w:t>8</w:t>
      </w:r>
      <w:r>
        <w:rPr>
          <w:rFonts w:hint="eastAsia"/>
        </w:rPr>
        <w:t>）已标价工程量清单；</w:t>
      </w:r>
    </w:p>
    <w:p>
      <w:pPr>
        <w:spacing w:line="400" w:lineRule="exact"/>
        <w:ind w:firstLine="376" w:firstLineChars="171"/>
        <w:rPr>
          <w:rFonts w:cs="Times New Roman"/>
        </w:rPr>
      </w:pPr>
      <w:r>
        <w:rPr>
          <w:rFonts w:hint="eastAsia"/>
        </w:rPr>
        <w:t>（</w:t>
      </w:r>
      <w:r>
        <w:t>9</w:t>
      </w:r>
      <w:r>
        <w:rPr>
          <w:rFonts w:hint="eastAsia"/>
        </w:rPr>
        <w:t>）其他合同文件。</w:t>
      </w:r>
    </w:p>
    <w:p>
      <w:pPr>
        <w:pStyle w:val="52"/>
        <w:rPr>
          <w:rFonts w:cs="Times New Roman"/>
          <w:sz w:val="21"/>
          <w:szCs w:val="21"/>
        </w:rPr>
      </w:pPr>
      <w:bookmarkStart w:id="32" w:name="_Toc309397294"/>
      <w:bookmarkStart w:id="33" w:name="_Toc144974584"/>
      <w:bookmarkStart w:id="34" w:name="_Toc152042394"/>
      <w:bookmarkStart w:id="35" w:name="_Toc152045616"/>
      <w:bookmarkStart w:id="36" w:name="_Toc179632634"/>
      <w:r>
        <w:rPr>
          <w:sz w:val="21"/>
          <w:szCs w:val="21"/>
        </w:rPr>
        <w:t xml:space="preserve">1.5 </w:t>
      </w:r>
      <w:r>
        <w:rPr>
          <w:rFonts w:hint="eastAsia" w:cs="黑体"/>
          <w:sz w:val="21"/>
          <w:szCs w:val="21"/>
        </w:rPr>
        <w:t>合同协议书</w:t>
      </w:r>
      <w:bookmarkEnd w:id="32"/>
      <w:bookmarkEnd w:id="33"/>
      <w:bookmarkEnd w:id="34"/>
      <w:bookmarkEnd w:id="35"/>
      <w:bookmarkEnd w:id="36"/>
    </w:p>
    <w:p>
      <w:pPr>
        <w:spacing w:line="400" w:lineRule="exact"/>
        <w:ind w:firstLine="440" w:firstLineChars="200"/>
        <w:rPr>
          <w:rFonts w:cs="Times New Roman"/>
        </w:rPr>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pPr>
        <w:pStyle w:val="52"/>
        <w:rPr>
          <w:rFonts w:cs="Times New Roman"/>
          <w:sz w:val="21"/>
          <w:szCs w:val="21"/>
        </w:rPr>
      </w:pPr>
      <w:bookmarkStart w:id="37" w:name="_Toc144974585"/>
      <w:bookmarkStart w:id="38" w:name="_Toc309397295"/>
      <w:bookmarkStart w:id="39" w:name="_Toc179632635"/>
      <w:bookmarkStart w:id="40" w:name="_Toc152042395"/>
      <w:bookmarkStart w:id="41" w:name="_Toc152045617"/>
      <w:r>
        <w:rPr>
          <w:sz w:val="21"/>
          <w:szCs w:val="21"/>
        </w:rPr>
        <w:t xml:space="preserve">1.6 </w:t>
      </w:r>
      <w:r>
        <w:rPr>
          <w:rFonts w:hint="eastAsia" w:cs="黑体"/>
          <w:sz w:val="21"/>
          <w:szCs w:val="21"/>
        </w:rPr>
        <w:t>图纸和承包人文件</w:t>
      </w:r>
      <w:bookmarkEnd w:id="37"/>
      <w:bookmarkEnd w:id="38"/>
      <w:bookmarkEnd w:id="39"/>
      <w:bookmarkEnd w:id="40"/>
      <w:bookmarkEnd w:id="41"/>
    </w:p>
    <w:p>
      <w:pPr>
        <w:spacing w:line="400" w:lineRule="exact"/>
        <w:ind w:firstLine="440" w:firstLineChars="200"/>
        <w:rPr>
          <w:rFonts w:cs="Times New Roman"/>
        </w:rPr>
      </w:pPr>
      <w:r>
        <w:t>1.6.1</w:t>
      </w:r>
      <w:r>
        <w:rPr>
          <w:rFonts w:hint="eastAsia" w:ascii="黑体" w:eastAsia="黑体" w:cs="黑体"/>
        </w:rPr>
        <w:t>图纸的提供</w:t>
      </w:r>
    </w:p>
    <w:p>
      <w:pPr>
        <w:spacing w:line="400" w:lineRule="exact"/>
        <w:ind w:firstLine="440" w:firstLineChars="200"/>
        <w:rPr>
          <w:rFonts w:cs="Times New Roman"/>
        </w:rPr>
      </w:pPr>
      <w:r>
        <w:rPr>
          <w:rFonts w:hint="eastAsia"/>
        </w:rPr>
        <w:t>除专用合同条款另有约定外，图纸应在合理的期限内按照合同约定的数量提供给承包人。由于发包人未按时提供图纸造成工期延误的，按第</w:t>
      </w:r>
      <w:r>
        <w:t>11.3</w:t>
      </w:r>
      <w:r>
        <w:rPr>
          <w:rFonts w:hint="eastAsia"/>
        </w:rPr>
        <w:t>款的约定办理。</w:t>
      </w:r>
    </w:p>
    <w:p>
      <w:pPr>
        <w:spacing w:line="400" w:lineRule="exact"/>
        <w:ind w:firstLine="440" w:firstLineChars="200"/>
        <w:rPr>
          <w:rFonts w:cs="Times New Roman"/>
        </w:rPr>
      </w:pPr>
      <w:r>
        <w:t xml:space="preserve">1.6.2 </w:t>
      </w:r>
      <w:r>
        <w:rPr>
          <w:rFonts w:hint="eastAsia" w:ascii="黑体" w:eastAsia="黑体" w:cs="黑体"/>
        </w:rPr>
        <w:t>承包人提供的文件</w:t>
      </w:r>
    </w:p>
    <w:p>
      <w:pPr>
        <w:spacing w:line="400" w:lineRule="exact"/>
        <w:rPr>
          <w:rFonts w:cs="Times New Roman"/>
        </w:rPr>
      </w:pPr>
      <w:r>
        <w:rPr>
          <w:rFonts w:hint="eastAsia"/>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cs="Times New Roman"/>
        </w:rPr>
      </w:pPr>
      <w:r>
        <w:t xml:space="preserve">1.6.3 </w:t>
      </w:r>
      <w:r>
        <w:rPr>
          <w:rFonts w:hint="eastAsia" w:ascii="黑体" w:eastAsia="黑体" w:cs="黑体"/>
        </w:rPr>
        <w:t>图纸的修改</w:t>
      </w:r>
    </w:p>
    <w:p>
      <w:pPr>
        <w:spacing w:line="400" w:lineRule="exact"/>
        <w:ind w:firstLine="440" w:firstLineChars="200"/>
      </w:pPr>
      <w:r>
        <w:rPr>
          <w:rFonts w:hint="eastAsia"/>
        </w:rPr>
        <w:t>图纸需要修改和补充的，应由监理人取得发包人同意后，在该工程或工程相应部位施工前的合理期限内签发图纸修改图给承包人，具体签发期限在专用合同条款中约定。承包人应按修改后的图纸施工。</w:t>
      </w:r>
      <w:r>
        <w:t xml:space="preserve"> </w:t>
      </w:r>
    </w:p>
    <w:p>
      <w:pPr>
        <w:spacing w:line="400" w:lineRule="exact"/>
        <w:ind w:firstLine="440" w:firstLineChars="200"/>
        <w:rPr>
          <w:rFonts w:cs="Times New Roman"/>
        </w:rPr>
      </w:pPr>
      <w:r>
        <w:t xml:space="preserve">1.6.4 </w:t>
      </w:r>
      <w:r>
        <w:rPr>
          <w:rFonts w:hint="eastAsia" w:ascii="黑体" w:eastAsia="黑体" w:cs="黑体"/>
        </w:rPr>
        <w:t>图纸的错误</w:t>
      </w:r>
    </w:p>
    <w:p>
      <w:pPr>
        <w:spacing w:line="400" w:lineRule="exact"/>
        <w:ind w:firstLine="440" w:firstLineChars="200"/>
        <w:rPr>
          <w:rFonts w:cs="Times New Roman"/>
        </w:rPr>
      </w:pPr>
      <w:r>
        <w:rPr>
          <w:rFonts w:hint="eastAsia"/>
        </w:rPr>
        <w:t>承包人发现发包人提供的图纸存在明显错误或疏忽，应及时通知监理人。</w:t>
      </w:r>
    </w:p>
    <w:p>
      <w:pPr>
        <w:spacing w:line="400" w:lineRule="exact"/>
        <w:ind w:firstLine="440" w:firstLineChars="200"/>
        <w:rPr>
          <w:rFonts w:cs="Times New Roman"/>
        </w:rPr>
      </w:pPr>
      <w:r>
        <w:t xml:space="preserve">1.6.5 </w:t>
      </w:r>
      <w:r>
        <w:rPr>
          <w:rFonts w:hint="eastAsia" w:ascii="黑体" w:eastAsia="黑体" w:cs="黑体"/>
        </w:rPr>
        <w:t>图纸和承包人文件的保管</w:t>
      </w:r>
    </w:p>
    <w:p>
      <w:pPr>
        <w:spacing w:line="400" w:lineRule="exact"/>
        <w:ind w:firstLine="440" w:firstLineChars="200"/>
        <w:rPr>
          <w:rFonts w:cs="Times New Roman"/>
        </w:rPr>
      </w:pPr>
      <w:r>
        <w:rPr>
          <w:rFonts w:hint="eastAsia"/>
        </w:rPr>
        <w:t>监理人和承包人均应在施工场地各保存一套完整的包含第</w:t>
      </w:r>
      <w:r>
        <w:t>1.6.1</w:t>
      </w:r>
      <w:r>
        <w:rPr>
          <w:rFonts w:hint="eastAsia"/>
        </w:rPr>
        <w:t>项、第</w:t>
      </w:r>
      <w:r>
        <w:t>1.6.2</w:t>
      </w:r>
      <w:r>
        <w:rPr>
          <w:rFonts w:hint="eastAsia"/>
        </w:rPr>
        <w:t>项、第</w:t>
      </w:r>
      <w:r>
        <w:t>1.6.3</w:t>
      </w:r>
      <w:r>
        <w:rPr>
          <w:rFonts w:hint="eastAsia"/>
        </w:rPr>
        <w:t>项约定内容的图纸和承包人文件。</w:t>
      </w:r>
    </w:p>
    <w:p>
      <w:pPr>
        <w:pStyle w:val="52"/>
        <w:rPr>
          <w:rFonts w:cs="Times New Roman"/>
          <w:sz w:val="21"/>
          <w:szCs w:val="21"/>
        </w:rPr>
      </w:pPr>
      <w:bookmarkStart w:id="42" w:name="_Toc309397296"/>
      <w:bookmarkStart w:id="43" w:name="_Toc152045618"/>
      <w:bookmarkStart w:id="44" w:name="_Toc144974586"/>
      <w:bookmarkStart w:id="45" w:name="_Toc179632636"/>
      <w:bookmarkStart w:id="46" w:name="_Toc152042396"/>
      <w:r>
        <w:rPr>
          <w:sz w:val="21"/>
          <w:szCs w:val="21"/>
        </w:rPr>
        <w:t xml:space="preserve">1.7 </w:t>
      </w:r>
      <w:r>
        <w:rPr>
          <w:rFonts w:hint="eastAsia" w:cs="黑体"/>
          <w:sz w:val="21"/>
          <w:szCs w:val="21"/>
        </w:rPr>
        <w:t>联络</w:t>
      </w:r>
      <w:bookmarkEnd w:id="42"/>
      <w:bookmarkEnd w:id="43"/>
      <w:bookmarkEnd w:id="44"/>
      <w:bookmarkEnd w:id="45"/>
      <w:bookmarkEnd w:id="46"/>
    </w:p>
    <w:p>
      <w:pPr>
        <w:spacing w:line="400" w:lineRule="exact"/>
        <w:ind w:firstLine="440" w:firstLineChars="200"/>
        <w:rPr>
          <w:rFonts w:cs="Times New Roman"/>
        </w:rPr>
      </w:pPr>
      <w:r>
        <w:t xml:space="preserve">1.7.1 </w:t>
      </w:r>
      <w:r>
        <w:rPr>
          <w:rFonts w:hint="eastAsia"/>
        </w:rPr>
        <w:t>与合同有关的通知、批准、证明、证书、指示、要求、请求、同意、意见、确定和决定等，均应采用书面形式。</w:t>
      </w:r>
    </w:p>
    <w:p>
      <w:pPr>
        <w:spacing w:line="400" w:lineRule="exact"/>
        <w:ind w:firstLine="440" w:firstLineChars="200"/>
        <w:rPr>
          <w:rFonts w:cs="Times New Roman"/>
        </w:rPr>
      </w:pPr>
      <w:r>
        <w:t xml:space="preserve">1.7.2 </w:t>
      </w:r>
      <w:r>
        <w:rPr>
          <w:rFonts w:hint="eastAsia"/>
        </w:rPr>
        <w:t>第</w:t>
      </w:r>
      <w:r>
        <w:t>1.7.1</w:t>
      </w:r>
      <w:r>
        <w:rPr>
          <w:rFonts w:hint="eastAsia"/>
        </w:rPr>
        <w:t>项中的通知、批准、证明、证书、指示、要求、请求、同意、意见、确定和决定等来往函件，均应在合同约定的期限内送达指定地点和接收人，并办理签收手续。</w:t>
      </w:r>
    </w:p>
    <w:p>
      <w:pPr>
        <w:pStyle w:val="52"/>
        <w:rPr>
          <w:rFonts w:cs="Times New Roman"/>
          <w:sz w:val="21"/>
          <w:szCs w:val="21"/>
        </w:rPr>
      </w:pPr>
      <w:bookmarkStart w:id="47" w:name="_Toc179632637"/>
      <w:bookmarkStart w:id="48" w:name="_Toc152045619"/>
      <w:bookmarkStart w:id="49" w:name="_Toc309397297"/>
      <w:bookmarkStart w:id="50" w:name="_Toc152042397"/>
      <w:bookmarkStart w:id="51" w:name="_Toc144974587"/>
      <w:r>
        <w:rPr>
          <w:sz w:val="21"/>
          <w:szCs w:val="21"/>
        </w:rPr>
        <w:t xml:space="preserve">1.8 </w:t>
      </w:r>
      <w:r>
        <w:rPr>
          <w:rFonts w:hint="eastAsia" w:cs="黑体"/>
          <w:sz w:val="21"/>
          <w:szCs w:val="21"/>
        </w:rPr>
        <w:t>转让</w:t>
      </w:r>
      <w:bookmarkEnd w:id="47"/>
      <w:bookmarkEnd w:id="48"/>
      <w:bookmarkEnd w:id="49"/>
      <w:bookmarkEnd w:id="50"/>
      <w:bookmarkEnd w:id="51"/>
    </w:p>
    <w:p>
      <w:pPr>
        <w:spacing w:line="400" w:lineRule="exact"/>
        <w:ind w:firstLine="440" w:firstLineChars="200"/>
        <w:rPr>
          <w:rFonts w:cs="Times New Roman"/>
        </w:rPr>
      </w:pPr>
      <w:r>
        <w:rPr>
          <w:rFonts w:hint="eastAsia"/>
        </w:rPr>
        <w:t>除合同另有约定外，未经对方当事人同意，一方当事人不得将合同权利全部或部分转让给第三人，也不得全部或部分转移合同义务。</w:t>
      </w:r>
    </w:p>
    <w:p>
      <w:pPr>
        <w:pStyle w:val="52"/>
        <w:rPr>
          <w:rFonts w:cs="Times New Roman"/>
          <w:sz w:val="21"/>
          <w:szCs w:val="21"/>
        </w:rPr>
      </w:pPr>
      <w:bookmarkStart w:id="52" w:name="_Toc152045620"/>
      <w:bookmarkStart w:id="53" w:name="_Toc152042398"/>
      <w:bookmarkStart w:id="54" w:name="_Toc309397298"/>
      <w:bookmarkStart w:id="55" w:name="_Toc144974588"/>
      <w:bookmarkStart w:id="56" w:name="_Toc179632638"/>
      <w:r>
        <w:rPr>
          <w:sz w:val="21"/>
          <w:szCs w:val="21"/>
        </w:rPr>
        <w:t xml:space="preserve">1.9 </w:t>
      </w:r>
      <w:r>
        <w:rPr>
          <w:rFonts w:hint="eastAsia" w:cs="黑体"/>
          <w:sz w:val="21"/>
          <w:szCs w:val="21"/>
        </w:rPr>
        <w:t>严禁贿赂</w:t>
      </w:r>
      <w:bookmarkEnd w:id="52"/>
      <w:bookmarkEnd w:id="53"/>
      <w:bookmarkEnd w:id="54"/>
      <w:bookmarkEnd w:id="55"/>
      <w:bookmarkEnd w:id="56"/>
    </w:p>
    <w:p>
      <w:pPr>
        <w:spacing w:line="400" w:lineRule="exact"/>
        <w:ind w:firstLine="440" w:firstLineChars="200"/>
        <w:rPr>
          <w:rFonts w:cs="Times New Roman"/>
        </w:rPr>
      </w:pPr>
      <w:r>
        <w:rPr>
          <w:rFonts w:hint="eastAsia"/>
        </w:rPr>
        <w:t>合同双方当事人不得以贿赂或变相贿赂的方式，谋取不当利益或损害对方权益。因贿赂造成对方损失的，行为人应赔偿损失，并承担相应的法律责任。</w:t>
      </w:r>
    </w:p>
    <w:p>
      <w:pPr>
        <w:pStyle w:val="52"/>
        <w:rPr>
          <w:rFonts w:cs="Times New Roman"/>
          <w:sz w:val="21"/>
          <w:szCs w:val="21"/>
        </w:rPr>
      </w:pPr>
      <w:bookmarkStart w:id="57" w:name="_Toc152042399"/>
      <w:bookmarkStart w:id="58" w:name="_Toc144974589"/>
      <w:bookmarkStart w:id="59" w:name="_Toc309397299"/>
      <w:bookmarkStart w:id="60" w:name="_Toc152045621"/>
      <w:bookmarkStart w:id="61" w:name="_Toc179632639"/>
      <w:r>
        <w:rPr>
          <w:sz w:val="21"/>
          <w:szCs w:val="21"/>
        </w:rPr>
        <w:t xml:space="preserve">1.10 </w:t>
      </w:r>
      <w:r>
        <w:rPr>
          <w:rFonts w:hint="eastAsia" w:cs="黑体"/>
          <w:sz w:val="21"/>
          <w:szCs w:val="21"/>
        </w:rPr>
        <w:t>化石、文物</w:t>
      </w:r>
      <w:bookmarkEnd w:id="57"/>
      <w:bookmarkEnd w:id="58"/>
      <w:bookmarkEnd w:id="59"/>
      <w:bookmarkEnd w:id="60"/>
      <w:bookmarkEnd w:id="61"/>
    </w:p>
    <w:p>
      <w:pPr>
        <w:spacing w:line="400" w:lineRule="exact"/>
        <w:ind w:firstLine="440" w:firstLineChars="200"/>
        <w:rPr>
          <w:rFonts w:cs="Times New Roman"/>
        </w:rPr>
      </w:pPr>
      <w:r>
        <w:t xml:space="preserve">1.10.1 </w:t>
      </w:r>
      <w:r>
        <w:rPr>
          <w:rFonts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cs="Times New Roman"/>
        </w:rPr>
      </w:pPr>
      <w:r>
        <w:t xml:space="preserve">1.10.2 </w:t>
      </w:r>
      <w:r>
        <w:rPr>
          <w:rFonts w:hint="eastAsia"/>
        </w:rPr>
        <w:t>承包人发现文物后不及时报告或隐瞒不报，致使文物丢失或损坏的，应赔偿损失，并承担相应的法律责任。</w:t>
      </w:r>
    </w:p>
    <w:p>
      <w:pPr>
        <w:pStyle w:val="52"/>
        <w:rPr>
          <w:rFonts w:cs="Times New Roman"/>
          <w:sz w:val="21"/>
          <w:szCs w:val="21"/>
        </w:rPr>
      </w:pPr>
      <w:bookmarkStart w:id="62" w:name="_Toc144974590"/>
      <w:bookmarkStart w:id="63" w:name="_Toc152042400"/>
      <w:bookmarkStart w:id="64" w:name="_Toc309397300"/>
      <w:bookmarkStart w:id="65" w:name="_Toc152045622"/>
      <w:bookmarkStart w:id="66" w:name="_Toc179632640"/>
      <w:r>
        <w:rPr>
          <w:sz w:val="21"/>
          <w:szCs w:val="21"/>
        </w:rPr>
        <w:t xml:space="preserve">1.11 </w:t>
      </w:r>
      <w:r>
        <w:rPr>
          <w:rFonts w:hint="eastAsia" w:cs="黑体"/>
          <w:sz w:val="21"/>
          <w:szCs w:val="21"/>
        </w:rPr>
        <w:t>专利技术</w:t>
      </w:r>
      <w:bookmarkEnd w:id="62"/>
      <w:bookmarkEnd w:id="63"/>
      <w:bookmarkEnd w:id="64"/>
      <w:bookmarkEnd w:id="65"/>
      <w:bookmarkEnd w:id="66"/>
    </w:p>
    <w:p>
      <w:pPr>
        <w:spacing w:line="400" w:lineRule="exact"/>
        <w:ind w:firstLine="440" w:firstLineChars="200"/>
        <w:rPr>
          <w:rFonts w:cs="Times New Roman"/>
        </w:rPr>
      </w:pPr>
      <w:r>
        <w:t xml:space="preserve">1.11.1 </w:t>
      </w:r>
      <w:r>
        <w:rPr>
          <w:rFonts w:hint="eastAsia"/>
        </w:rPr>
        <w:t>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cs="Times New Roman"/>
        </w:rPr>
      </w:pPr>
      <w:r>
        <w:t xml:space="preserve">1.11.2 </w:t>
      </w:r>
      <w:r>
        <w:rPr>
          <w:rFonts w:hint="eastAsia"/>
        </w:rPr>
        <w:t>承包人在投标文件中采用专利技术的，专利技术的使用费包含在投标报价内。</w:t>
      </w:r>
    </w:p>
    <w:p>
      <w:pPr>
        <w:spacing w:line="400" w:lineRule="exact"/>
        <w:ind w:firstLine="440" w:firstLineChars="200"/>
        <w:rPr>
          <w:rFonts w:cs="Times New Roman"/>
        </w:rPr>
      </w:pPr>
      <w:r>
        <w:t xml:space="preserve">1.11.3 </w:t>
      </w:r>
      <w:r>
        <w:rPr>
          <w:rFonts w:hint="eastAsia"/>
        </w:rPr>
        <w:t>承包人的技术秘密和声明需要保密的资料和信息，发包人和监理人不得为合同以外的目的泄露给他人。</w:t>
      </w:r>
    </w:p>
    <w:p>
      <w:pPr>
        <w:pStyle w:val="52"/>
        <w:rPr>
          <w:rFonts w:cs="Times New Roman"/>
          <w:sz w:val="21"/>
          <w:szCs w:val="21"/>
        </w:rPr>
      </w:pPr>
      <w:bookmarkStart w:id="67" w:name="_Toc309397301"/>
      <w:bookmarkStart w:id="68" w:name="_Toc144974591"/>
      <w:bookmarkStart w:id="69" w:name="_Toc179632641"/>
      <w:bookmarkStart w:id="70" w:name="_Toc152042401"/>
      <w:bookmarkStart w:id="71" w:name="_Toc152045623"/>
      <w:r>
        <w:rPr>
          <w:sz w:val="21"/>
          <w:szCs w:val="21"/>
        </w:rPr>
        <w:t xml:space="preserve">1.12 </w:t>
      </w:r>
      <w:r>
        <w:rPr>
          <w:rFonts w:hint="eastAsia" w:cs="黑体"/>
          <w:sz w:val="21"/>
          <w:szCs w:val="21"/>
        </w:rPr>
        <w:t>图纸和文件的保密</w:t>
      </w:r>
      <w:bookmarkEnd w:id="67"/>
      <w:bookmarkEnd w:id="68"/>
      <w:bookmarkEnd w:id="69"/>
      <w:bookmarkEnd w:id="70"/>
      <w:bookmarkEnd w:id="71"/>
    </w:p>
    <w:p>
      <w:pPr>
        <w:spacing w:line="400" w:lineRule="exact"/>
        <w:ind w:firstLine="440" w:firstLineChars="200"/>
        <w:rPr>
          <w:rFonts w:cs="Times New Roman"/>
        </w:rPr>
      </w:pPr>
      <w:r>
        <w:t xml:space="preserve">1.12.1 </w:t>
      </w:r>
      <w:r>
        <w:rPr>
          <w:rFonts w:hint="eastAsia"/>
        </w:rPr>
        <w:t>发包人提供的图纸和文件，未经发包人同意，承包人不得为合同以外的目的泄露给他人或公开发表与引用。</w:t>
      </w:r>
    </w:p>
    <w:p>
      <w:pPr>
        <w:spacing w:line="400" w:lineRule="exact"/>
        <w:ind w:firstLine="440" w:firstLineChars="200"/>
        <w:rPr>
          <w:rFonts w:cs="Times New Roman"/>
        </w:rPr>
      </w:pPr>
      <w:r>
        <w:t xml:space="preserve">1.12.2 </w:t>
      </w:r>
      <w:r>
        <w:rPr>
          <w:rFonts w:hint="eastAsia"/>
        </w:rPr>
        <w:t>承包人提供的文件，未经承包人同意，发包人和监理人不得为合同以外的目的泄露给他人或公开发表与引用。</w:t>
      </w:r>
    </w:p>
    <w:p>
      <w:pPr>
        <w:pStyle w:val="51"/>
        <w:rPr>
          <w:sz w:val="21"/>
          <w:szCs w:val="21"/>
        </w:rPr>
      </w:pPr>
      <w:bookmarkStart w:id="72" w:name="_Toc309397302"/>
      <w:bookmarkStart w:id="73" w:name="_Toc144974592"/>
      <w:bookmarkStart w:id="74" w:name="_Toc179632642"/>
      <w:bookmarkStart w:id="75" w:name="_Toc152045624"/>
      <w:bookmarkStart w:id="76" w:name="_Toc152042402"/>
      <w:r>
        <w:rPr>
          <w:sz w:val="21"/>
          <w:szCs w:val="21"/>
        </w:rPr>
        <w:t xml:space="preserve">2. </w:t>
      </w:r>
      <w:r>
        <w:rPr>
          <w:rFonts w:hint="eastAsia" w:cs="宋体"/>
          <w:sz w:val="21"/>
          <w:szCs w:val="21"/>
        </w:rPr>
        <w:t>发包人义务</w:t>
      </w:r>
      <w:bookmarkEnd w:id="72"/>
      <w:bookmarkEnd w:id="73"/>
      <w:bookmarkEnd w:id="74"/>
      <w:bookmarkEnd w:id="75"/>
      <w:bookmarkEnd w:id="76"/>
    </w:p>
    <w:p>
      <w:pPr>
        <w:pStyle w:val="52"/>
        <w:rPr>
          <w:rFonts w:cs="Times New Roman"/>
          <w:sz w:val="21"/>
          <w:szCs w:val="21"/>
        </w:rPr>
      </w:pPr>
      <w:bookmarkStart w:id="77" w:name="_Toc309397303"/>
      <w:bookmarkStart w:id="78" w:name="_Toc179632643"/>
      <w:bookmarkStart w:id="79" w:name="_Toc152042403"/>
      <w:bookmarkStart w:id="80" w:name="_Toc152045625"/>
      <w:bookmarkStart w:id="81" w:name="_Toc144974593"/>
      <w:r>
        <w:rPr>
          <w:sz w:val="21"/>
          <w:szCs w:val="21"/>
        </w:rPr>
        <w:t xml:space="preserve">2.1 </w:t>
      </w:r>
      <w:r>
        <w:rPr>
          <w:rFonts w:hint="eastAsia" w:cs="黑体"/>
          <w:sz w:val="21"/>
          <w:szCs w:val="21"/>
        </w:rPr>
        <w:t>遵守法律</w:t>
      </w:r>
      <w:bookmarkEnd w:id="77"/>
      <w:bookmarkEnd w:id="78"/>
      <w:bookmarkEnd w:id="79"/>
      <w:bookmarkEnd w:id="80"/>
      <w:bookmarkEnd w:id="81"/>
    </w:p>
    <w:p>
      <w:pPr>
        <w:spacing w:line="400" w:lineRule="exact"/>
        <w:ind w:firstLine="440" w:firstLineChars="200"/>
        <w:rPr>
          <w:rFonts w:cs="Times New Roman"/>
        </w:rPr>
      </w:pPr>
      <w:r>
        <w:rPr>
          <w:rFonts w:hint="eastAsia"/>
        </w:rPr>
        <w:t>发包人在履行合同过程中应遵守法律，并保证承包人免于承担因发包人违反法律而引起的任何责任。</w:t>
      </w:r>
    </w:p>
    <w:p>
      <w:pPr>
        <w:pStyle w:val="52"/>
        <w:rPr>
          <w:rFonts w:cs="Times New Roman"/>
          <w:sz w:val="21"/>
          <w:szCs w:val="21"/>
        </w:rPr>
      </w:pPr>
      <w:bookmarkStart w:id="82" w:name="_Toc152045626"/>
      <w:bookmarkStart w:id="83" w:name="_Toc144974594"/>
      <w:bookmarkStart w:id="84" w:name="_Toc179632644"/>
      <w:bookmarkStart w:id="85" w:name="_Toc152042404"/>
      <w:bookmarkStart w:id="86" w:name="_Toc309397304"/>
      <w:r>
        <w:rPr>
          <w:sz w:val="21"/>
          <w:szCs w:val="21"/>
        </w:rPr>
        <w:t xml:space="preserve">2.2 </w:t>
      </w:r>
      <w:r>
        <w:rPr>
          <w:rFonts w:hint="eastAsia" w:cs="黑体"/>
          <w:sz w:val="21"/>
          <w:szCs w:val="21"/>
        </w:rPr>
        <w:t>发出开工通知</w:t>
      </w:r>
      <w:bookmarkEnd w:id="82"/>
      <w:bookmarkEnd w:id="83"/>
      <w:bookmarkEnd w:id="84"/>
      <w:bookmarkEnd w:id="85"/>
      <w:bookmarkEnd w:id="86"/>
    </w:p>
    <w:p>
      <w:pPr>
        <w:spacing w:line="400" w:lineRule="exact"/>
        <w:ind w:firstLine="440" w:firstLineChars="200"/>
        <w:rPr>
          <w:rFonts w:cs="Times New Roman"/>
        </w:rPr>
      </w:pPr>
      <w:r>
        <w:rPr>
          <w:rFonts w:hint="eastAsia"/>
        </w:rPr>
        <w:t>发包人应委托监理人按第</w:t>
      </w:r>
      <w:r>
        <w:t>11.1</w:t>
      </w:r>
      <w:r>
        <w:rPr>
          <w:rFonts w:hint="eastAsia"/>
        </w:rPr>
        <w:t>款的约定向承包人发出开工通知。</w:t>
      </w:r>
    </w:p>
    <w:p>
      <w:pPr>
        <w:pStyle w:val="52"/>
        <w:rPr>
          <w:rFonts w:cs="Times New Roman"/>
          <w:sz w:val="21"/>
          <w:szCs w:val="21"/>
        </w:rPr>
      </w:pPr>
      <w:bookmarkStart w:id="87" w:name="_Toc144974595"/>
      <w:bookmarkStart w:id="88" w:name="_Toc179632645"/>
      <w:bookmarkStart w:id="89" w:name="_Toc152045627"/>
      <w:bookmarkStart w:id="90" w:name="_Toc309397305"/>
      <w:bookmarkStart w:id="91" w:name="_Toc152042405"/>
      <w:r>
        <w:rPr>
          <w:sz w:val="21"/>
          <w:szCs w:val="21"/>
        </w:rPr>
        <w:t xml:space="preserve">2.3 </w:t>
      </w:r>
      <w:r>
        <w:rPr>
          <w:rFonts w:hint="eastAsia" w:cs="黑体"/>
          <w:sz w:val="21"/>
          <w:szCs w:val="21"/>
        </w:rPr>
        <w:t>提供施工场地</w:t>
      </w:r>
      <w:bookmarkEnd w:id="87"/>
      <w:bookmarkEnd w:id="88"/>
      <w:bookmarkEnd w:id="89"/>
      <w:bookmarkEnd w:id="90"/>
      <w:bookmarkEnd w:id="91"/>
    </w:p>
    <w:p>
      <w:pPr>
        <w:spacing w:line="400" w:lineRule="exact"/>
        <w:ind w:firstLine="440" w:firstLineChars="200"/>
        <w:rPr>
          <w:rFonts w:cs="Times New Roman"/>
        </w:rPr>
      </w:pPr>
      <w:r>
        <w:rPr>
          <w:rFonts w:hint="eastAsia"/>
        </w:rPr>
        <w:t>发包人应按专用合同条款约定向承包人提供施工场地，以及施工场地内地下管线和地下设施等有关资料，并保证资料的真实、准确、完整。</w:t>
      </w:r>
    </w:p>
    <w:p>
      <w:pPr>
        <w:pStyle w:val="52"/>
        <w:rPr>
          <w:rFonts w:cs="Times New Roman"/>
          <w:sz w:val="21"/>
          <w:szCs w:val="21"/>
        </w:rPr>
      </w:pPr>
      <w:bookmarkStart w:id="92" w:name="_Toc179632646"/>
      <w:bookmarkStart w:id="93" w:name="_Toc309397306"/>
      <w:bookmarkStart w:id="94" w:name="_Toc152045628"/>
      <w:bookmarkStart w:id="95" w:name="_Toc152042406"/>
      <w:bookmarkStart w:id="96" w:name="_Toc144974596"/>
      <w:r>
        <w:rPr>
          <w:sz w:val="21"/>
          <w:szCs w:val="21"/>
        </w:rPr>
        <w:t xml:space="preserve">2.4 </w:t>
      </w:r>
      <w:r>
        <w:rPr>
          <w:rFonts w:hint="eastAsia" w:cs="黑体"/>
          <w:sz w:val="21"/>
          <w:szCs w:val="21"/>
        </w:rPr>
        <w:t>协助承包人办理证件和批件</w:t>
      </w:r>
      <w:bookmarkEnd w:id="92"/>
      <w:bookmarkEnd w:id="93"/>
      <w:bookmarkEnd w:id="94"/>
      <w:bookmarkEnd w:id="95"/>
      <w:bookmarkEnd w:id="96"/>
    </w:p>
    <w:p>
      <w:pPr>
        <w:spacing w:line="400" w:lineRule="exact"/>
        <w:ind w:firstLine="440" w:firstLineChars="200"/>
        <w:rPr>
          <w:rFonts w:cs="Times New Roman"/>
        </w:rPr>
      </w:pPr>
      <w:r>
        <w:rPr>
          <w:rFonts w:hint="eastAsia"/>
        </w:rPr>
        <w:t>发包人应协助承包人办理法律规定的有关施工证件和批件。</w:t>
      </w:r>
    </w:p>
    <w:p>
      <w:pPr>
        <w:pStyle w:val="52"/>
        <w:rPr>
          <w:rFonts w:cs="Times New Roman"/>
          <w:sz w:val="21"/>
          <w:szCs w:val="21"/>
        </w:rPr>
      </w:pPr>
      <w:bookmarkStart w:id="97" w:name="_Toc179632647"/>
      <w:bookmarkStart w:id="98" w:name="_Toc144974597"/>
      <w:bookmarkStart w:id="99" w:name="_Toc309397307"/>
      <w:bookmarkStart w:id="100" w:name="_Toc152045629"/>
      <w:bookmarkStart w:id="101" w:name="_Toc152042407"/>
      <w:r>
        <w:rPr>
          <w:sz w:val="21"/>
          <w:szCs w:val="21"/>
        </w:rPr>
        <w:t xml:space="preserve">2.5 </w:t>
      </w:r>
      <w:r>
        <w:rPr>
          <w:rFonts w:hint="eastAsia" w:cs="黑体"/>
          <w:sz w:val="21"/>
          <w:szCs w:val="21"/>
        </w:rPr>
        <w:t>组织设计交底</w:t>
      </w:r>
      <w:bookmarkEnd w:id="97"/>
      <w:bookmarkEnd w:id="98"/>
      <w:bookmarkEnd w:id="99"/>
      <w:bookmarkEnd w:id="100"/>
      <w:bookmarkEnd w:id="101"/>
    </w:p>
    <w:p>
      <w:pPr>
        <w:spacing w:line="400" w:lineRule="exact"/>
        <w:ind w:firstLine="440" w:firstLineChars="200"/>
        <w:rPr>
          <w:rFonts w:cs="Times New Roman"/>
        </w:rPr>
      </w:pPr>
      <w:r>
        <w:rPr>
          <w:rFonts w:hint="eastAsia"/>
        </w:rPr>
        <w:t>发包人应根据合同进度计划，组织设计单位向承包人进行设计交底。</w:t>
      </w:r>
    </w:p>
    <w:p>
      <w:pPr>
        <w:pStyle w:val="52"/>
        <w:rPr>
          <w:rFonts w:cs="Times New Roman"/>
          <w:sz w:val="21"/>
          <w:szCs w:val="21"/>
        </w:rPr>
      </w:pPr>
      <w:bookmarkStart w:id="102" w:name="_Toc152045630"/>
      <w:bookmarkStart w:id="103" w:name="_Toc179632648"/>
      <w:bookmarkStart w:id="104" w:name="_Toc309397308"/>
      <w:bookmarkStart w:id="105" w:name="_Toc152042408"/>
      <w:bookmarkStart w:id="106" w:name="_Toc144974598"/>
      <w:r>
        <w:rPr>
          <w:sz w:val="21"/>
          <w:szCs w:val="21"/>
        </w:rPr>
        <w:t xml:space="preserve">2.6 </w:t>
      </w:r>
      <w:r>
        <w:rPr>
          <w:rFonts w:hint="eastAsia" w:cs="黑体"/>
          <w:sz w:val="21"/>
          <w:szCs w:val="21"/>
        </w:rPr>
        <w:t>支付合同价款</w:t>
      </w:r>
      <w:bookmarkEnd w:id="102"/>
      <w:bookmarkEnd w:id="103"/>
      <w:bookmarkEnd w:id="104"/>
      <w:bookmarkEnd w:id="105"/>
      <w:bookmarkEnd w:id="106"/>
    </w:p>
    <w:p>
      <w:pPr>
        <w:spacing w:line="400" w:lineRule="exact"/>
        <w:ind w:firstLine="440" w:firstLineChars="200"/>
        <w:rPr>
          <w:rFonts w:cs="Times New Roman"/>
        </w:rPr>
      </w:pPr>
      <w:r>
        <w:rPr>
          <w:rFonts w:hint="eastAsia"/>
        </w:rPr>
        <w:t>发包人应按合同约定向承包人及时支付合同价款。</w:t>
      </w:r>
    </w:p>
    <w:p>
      <w:pPr>
        <w:pStyle w:val="52"/>
        <w:rPr>
          <w:rFonts w:cs="Times New Roman"/>
          <w:sz w:val="21"/>
          <w:szCs w:val="21"/>
        </w:rPr>
      </w:pPr>
      <w:bookmarkStart w:id="107" w:name="_Toc144974599"/>
      <w:bookmarkStart w:id="108" w:name="_Toc152042409"/>
      <w:bookmarkStart w:id="109" w:name="_Toc179632649"/>
      <w:bookmarkStart w:id="110" w:name="_Toc309397309"/>
      <w:bookmarkStart w:id="111" w:name="_Toc152045631"/>
      <w:r>
        <w:rPr>
          <w:sz w:val="21"/>
          <w:szCs w:val="21"/>
        </w:rPr>
        <w:t xml:space="preserve">2.7 </w:t>
      </w:r>
      <w:r>
        <w:rPr>
          <w:rFonts w:hint="eastAsia" w:cs="黑体"/>
          <w:sz w:val="21"/>
          <w:szCs w:val="21"/>
        </w:rPr>
        <w:t>组织竣工验收</w:t>
      </w:r>
      <w:bookmarkEnd w:id="107"/>
      <w:bookmarkEnd w:id="108"/>
      <w:bookmarkEnd w:id="109"/>
      <w:bookmarkEnd w:id="110"/>
      <w:bookmarkEnd w:id="111"/>
    </w:p>
    <w:p>
      <w:pPr>
        <w:spacing w:line="400" w:lineRule="exact"/>
        <w:ind w:firstLine="440" w:firstLineChars="200"/>
        <w:rPr>
          <w:rFonts w:cs="Times New Roman"/>
        </w:rPr>
      </w:pPr>
      <w:r>
        <w:rPr>
          <w:rFonts w:hint="eastAsia"/>
        </w:rPr>
        <w:t>发包人应按合同约定及时组织竣工验收。</w:t>
      </w:r>
    </w:p>
    <w:p>
      <w:pPr>
        <w:pStyle w:val="52"/>
        <w:rPr>
          <w:rFonts w:cs="Times New Roman"/>
          <w:sz w:val="21"/>
          <w:szCs w:val="21"/>
        </w:rPr>
      </w:pPr>
      <w:bookmarkStart w:id="112" w:name="_Toc179632650"/>
      <w:bookmarkStart w:id="113" w:name="_Toc152045632"/>
      <w:bookmarkStart w:id="114" w:name="_Toc309397310"/>
      <w:bookmarkStart w:id="115" w:name="_Toc152042410"/>
      <w:bookmarkStart w:id="116" w:name="_Toc144974600"/>
      <w:r>
        <w:rPr>
          <w:sz w:val="21"/>
          <w:szCs w:val="21"/>
        </w:rPr>
        <w:t xml:space="preserve">2.8 </w:t>
      </w:r>
      <w:r>
        <w:rPr>
          <w:rFonts w:hint="eastAsia" w:cs="黑体"/>
          <w:sz w:val="21"/>
          <w:szCs w:val="21"/>
        </w:rPr>
        <w:t>其他义务</w:t>
      </w:r>
      <w:bookmarkEnd w:id="112"/>
      <w:bookmarkEnd w:id="113"/>
      <w:bookmarkEnd w:id="114"/>
      <w:bookmarkEnd w:id="115"/>
      <w:bookmarkEnd w:id="116"/>
    </w:p>
    <w:p>
      <w:pPr>
        <w:spacing w:line="400" w:lineRule="exact"/>
        <w:ind w:firstLine="440" w:firstLineChars="200"/>
        <w:rPr>
          <w:rFonts w:cs="Times New Roman"/>
        </w:rPr>
      </w:pPr>
      <w:r>
        <w:rPr>
          <w:rFonts w:hint="eastAsia"/>
        </w:rPr>
        <w:t>发包人应履行合同约定的其他义务。</w:t>
      </w:r>
    </w:p>
    <w:p>
      <w:pPr>
        <w:pStyle w:val="51"/>
        <w:rPr>
          <w:sz w:val="21"/>
          <w:szCs w:val="21"/>
        </w:rPr>
      </w:pPr>
      <w:bookmarkStart w:id="117" w:name="_Toc152042411"/>
      <w:bookmarkStart w:id="118" w:name="_Toc144974601"/>
      <w:bookmarkStart w:id="119" w:name="_Toc179632651"/>
      <w:bookmarkStart w:id="120" w:name="_Toc152045633"/>
      <w:bookmarkStart w:id="121" w:name="_Toc309397311"/>
      <w:r>
        <w:rPr>
          <w:sz w:val="21"/>
          <w:szCs w:val="21"/>
        </w:rPr>
        <w:t xml:space="preserve">3. </w:t>
      </w:r>
      <w:r>
        <w:rPr>
          <w:rFonts w:hint="eastAsia" w:cs="宋体"/>
          <w:sz w:val="21"/>
          <w:szCs w:val="21"/>
        </w:rPr>
        <w:t>监理人</w:t>
      </w:r>
      <w:bookmarkEnd w:id="117"/>
      <w:bookmarkEnd w:id="118"/>
      <w:bookmarkEnd w:id="119"/>
      <w:bookmarkEnd w:id="120"/>
      <w:bookmarkEnd w:id="121"/>
    </w:p>
    <w:p>
      <w:pPr>
        <w:pStyle w:val="52"/>
        <w:rPr>
          <w:rFonts w:cs="Times New Roman"/>
          <w:sz w:val="21"/>
          <w:szCs w:val="21"/>
        </w:rPr>
      </w:pPr>
      <w:bookmarkStart w:id="122" w:name="_Toc179632652"/>
      <w:bookmarkStart w:id="123" w:name="_Toc152042412"/>
      <w:bookmarkStart w:id="124" w:name="_Toc309397312"/>
      <w:bookmarkStart w:id="125" w:name="_Toc152045634"/>
      <w:bookmarkStart w:id="126" w:name="_Toc144974602"/>
      <w:r>
        <w:rPr>
          <w:sz w:val="21"/>
          <w:szCs w:val="21"/>
        </w:rPr>
        <w:t xml:space="preserve">3.1 </w:t>
      </w:r>
      <w:r>
        <w:rPr>
          <w:rFonts w:hint="eastAsia" w:cs="黑体"/>
          <w:sz w:val="21"/>
          <w:szCs w:val="21"/>
        </w:rPr>
        <w:t>监理人的职责和权力</w:t>
      </w:r>
      <w:bookmarkEnd w:id="122"/>
      <w:bookmarkEnd w:id="123"/>
      <w:bookmarkEnd w:id="124"/>
      <w:bookmarkEnd w:id="125"/>
      <w:bookmarkEnd w:id="126"/>
    </w:p>
    <w:p>
      <w:pPr>
        <w:spacing w:line="400" w:lineRule="exact"/>
        <w:ind w:firstLine="440" w:firstLineChars="200"/>
        <w:rPr>
          <w:rFonts w:cs="Times New Roman"/>
        </w:rPr>
      </w:pPr>
      <w:r>
        <w:t xml:space="preserve">3.1.1 </w:t>
      </w:r>
      <w:r>
        <w:rPr>
          <w:rFonts w:hint="eastAsia"/>
        </w:rPr>
        <w:t>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cs="Times New Roman"/>
        </w:rPr>
      </w:pPr>
      <w:r>
        <w:t xml:space="preserve">3.1.2 </w:t>
      </w:r>
      <w:r>
        <w:rPr>
          <w:rFonts w:hint="eastAsia"/>
        </w:rPr>
        <w:t>监理人发出的任何指示应视为已得到发包人的批准，但监理人无权免除或变更合同约定的发包人和承包人的权利、义务和责任。</w:t>
      </w:r>
    </w:p>
    <w:p>
      <w:pPr>
        <w:spacing w:line="400" w:lineRule="exact"/>
        <w:ind w:firstLine="440" w:firstLineChars="200"/>
        <w:rPr>
          <w:rFonts w:cs="Times New Roman"/>
        </w:rPr>
      </w:pPr>
      <w:r>
        <w:t xml:space="preserve">3.1.3 </w:t>
      </w:r>
      <w:r>
        <w:rPr>
          <w:rFonts w:hint="eastAsia"/>
        </w:rPr>
        <w:t>合同约定应由承包人承担的义务和责任，不因监理人对承包人提交文件的审查或批准，对工程、材料和设备的检查和检验，以及为实施监理作出的指示等职务行为而减轻或解除。</w:t>
      </w:r>
    </w:p>
    <w:p>
      <w:pPr>
        <w:pStyle w:val="52"/>
        <w:rPr>
          <w:rFonts w:cs="Times New Roman"/>
          <w:sz w:val="21"/>
          <w:szCs w:val="21"/>
        </w:rPr>
      </w:pPr>
      <w:bookmarkStart w:id="127" w:name="_Toc144974603"/>
      <w:bookmarkStart w:id="128" w:name="_Toc152045635"/>
      <w:bookmarkStart w:id="129" w:name="_Toc179632653"/>
      <w:bookmarkStart w:id="130" w:name="_Toc152042413"/>
      <w:bookmarkStart w:id="131" w:name="_Toc309397313"/>
      <w:r>
        <w:rPr>
          <w:sz w:val="21"/>
          <w:szCs w:val="21"/>
        </w:rPr>
        <w:t xml:space="preserve">3.2 </w:t>
      </w:r>
      <w:r>
        <w:rPr>
          <w:rFonts w:hint="eastAsia" w:cs="黑体"/>
          <w:sz w:val="21"/>
          <w:szCs w:val="21"/>
        </w:rPr>
        <w:t>总监理工程师</w:t>
      </w:r>
      <w:bookmarkEnd w:id="127"/>
      <w:bookmarkEnd w:id="128"/>
      <w:bookmarkEnd w:id="129"/>
      <w:bookmarkEnd w:id="130"/>
      <w:bookmarkEnd w:id="131"/>
    </w:p>
    <w:p>
      <w:pPr>
        <w:spacing w:line="400" w:lineRule="exact"/>
        <w:ind w:firstLine="440" w:firstLineChars="200"/>
        <w:rPr>
          <w:rFonts w:cs="Times New Roman"/>
        </w:rPr>
      </w:pPr>
      <w:r>
        <w:rPr>
          <w:rFonts w:hint="eastAsia"/>
        </w:rPr>
        <w:t>发包人应在发出开工通知前将总监理工程师的任命通知承包人。总监理工程师更换时，应在调离</w:t>
      </w:r>
      <w:r>
        <w:t>14</w:t>
      </w:r>
      <w:r>
        <w:rPr>
          <w:rFonts w:hint="eastAsia"/>
        </w:rPr>
        <w:t>天前通知承包人。总监理工程师短期离开施工场地的，应委派代表代行其职责，并通知承包人。</w:t>
      </w:r>
    </w:p>
    <w:p>
      <w:pPr>
        <w:pStyle w:val="52"/>
        <w:rPr>
          <w:rFonts w:cs="Times New Roman"/>
          <w:sz w:val="21"/>
          <w:szCs w:val="21"/>
        </w:rPr>
      </w:pPr>
      <w:bookmarkStart w:id="132" w:name="_Toc144974604"/>
      <w:bookmarkStart w:id="133" w:name="_Toc179632654"/>
      <w:bookmarkStart w:id="134" w:name="_Toc309397314"/>
      <w:bookmarkStart w:id="135" w:name="_Toc152045636"/>
      <w:bookmarkStart w:id="136" w:name="_Toc152042414"/>
      <w:r>
        <w:rPr>
          <w:sz w:val="21"/>
          <w:szCs w:val="21"/>
        </w:rPr>
        <w:t xml:space="preserve">3.3 </w:t>
      </w:r>
      <w:r>
        <w:rPr>
          <w:rFonts w:hint="eastAsia" w:cs="黑体"/>
          <w:sz w:val="21"/>
          <w:szCs w:val="21"/>
        </w:rPr>
        <w:t>监理人员</w:t>
      </w:r>
      <w:bookmarkEnd w:id="132"/>
      <w:bookmarkEnd w:id="133"/>
      <w:bookmarkEnd w:id="134"/>
      <w:bookmarkEnd w:id="135"/>
      <w:bookmarkEnd w:id="136"/>
    </w:p>
    <w:p>
      <w:pPr>
        <w:spacing w:line="400" w:lineRule="exact"/>
        <w:ind w:firstLine="440" w:firstLineChars="200"/>
        <w:rPr>
          <w:rFonts w:cs="Times New Roman"/>
        </w:rPr>
      </w:pPr>
      <w:r>
        <w:t xml:space="preserve">3.3.1 </w:t>
      </w:r>
      <w:r>
        <w:rPr>
          <w:rFonts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cs="Times New Roman"/>
        </w:rPr>
      </w:pPr>
      <w:r>
        <w:t xml:space="preserve">3.3.2 </w:t>
      </w:r>
      <w:r>
        <w:rPr>
          <w:rFonts w:hint="eastAsia"/>
        </w:rPr>
        <w:t>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cs="Times New Roman"/>
        </w:rPr>
      </w:pPr>
      <w:r>
        <w:t xml:space="preserve">3.3.3 </w:t>
      </w:r>
      <w:r>
        <w:rPr>
          <w:rFonts w:hint="eastAsia"/>
        </w:rPr>
        <w:t>承包人对总监理工程师授权的监理人员发出的指示有疑问的，可向总监理工程师提出书面异议，总监理工程师应在</w:t>
      </w:r>
      <w:r>
        <w:t>48</w:t>
      </w:r>
      <w:r>
        <w:rPr>
          <w:rFonts w:hint="eastAsia"/>
        </w:rPr>
        <w:t>小时内对该指示予以确认、更改或撤销。</w:t>
      </w:r>
    </w:p>
    <w:p>
      <w:pPr>
        <w:spacing w:line="400" w:lineRule="exact"/>
        <w:ind w:firstLine="440" w:firstLineChars="200"/>
        <w:rPr>
          <w:rFonts w:cs="Times New Roman"/>
        </w:rPr>
      </w:pPr>
      <w:r>
        <w:t xml:space="preserve">3.3.4 </w:t>
      </w:r>
      <w:r>
        <w:rPr>
          <w:rFonts w:hint="eastAsia"/>
        </w:rPr>
        <w:t>除专用合同条款另有约定外，总监理工程师不应将第</w:t>
      </w:r>
      <w:r>
        <w:t>3.5</w:t>
      </w:r>
      <w:r>
        <w:rPr>
          <w:rFonts w:hint="eastAsia"/>
        </w:rPr>
        <w:t>款约定应由总监理工程师作出确定的权力授权或委托给其他监理人员。</w:t>
      </w:r>
    </w:p>
    <w:p>
      <w:pPr>
        <w:pStyle w:val="52"/>
        <w:rPr>
          <w:rFonts w:cs="Times New Roman"/>
          <w:sz w:val="21"/>
          <w:szCs w:val="21"/>
        </w:rPr>
      </w:pPr>
      <w:bookmarkStart w:id="137" w:name="_Toc179632655"/>
      <w:bookmarkStart w:id="138" w:name="_Toc152045637"/>
      <w:bookmarkStart w:id="139" w:name="_Toc144974605"/>
      <w:bookmarkStart w:id="140" w:name="_Toc309397315"/>
      <w:bookmarkStart w:id="141" w:name="_Toc152042415"/>
      <w:r>
        <w:rPr>
          <w:sz w:val="21"/>
          <w:szCs w:val="21"/>
        </w:rPr>
        <w:t xml:space="preserve">3.4 </w:t>
      </w:r>
      <w:r>
        <w:rPr>
          <w:rFonts w:hint="eastAsia" w:cs="黑体"/>
          <w:sz w:val="21"/>
          <w:szCs w:val="21"/>
        </w:rPr>
        <w:t>监理人的指示</w:t>
      </w:r>
      <w:bookmarkEnd w:id="137"/>
      <w:bookmarkEnd w:id="138"/>
      <w:bookmarkEnd w:id="139"/>
      <w:bookmarkEnd w:id="140"/>
      <w:bookmarkEnd w:id="141"/>
    </w:p>
    <w:p>
      <w:pPr>
        <w:spacing w:line="400" w:lineRule="exact"/>
        <w:ind w:firstLine="440" w:firstLineChars="200"/>
        <w:rPr>
          <w:rFonts w:cs="Times New Roman"/>
        </w:rPr>
      </w:pPr>
      <w:r>
        <w:t xml:space="preserve">3.4.1 </w:t>
      </w:r>
      <w:r>
        <w:rPr>
          <w:rFonts w:hint="eastAsia"/>
        </w:rPr>
        <w:t>监理人应按第</w:t>
      </w:r>
      <w:r>
        <w:t>3.1</w:t>
      </w:r>
      <w:r>
        <w:rPr>
          <w:rFonts w:hint="eastAsia"/>
        </w:rPr>
        <w:t>款的约定向承包人发出指示，监理人的指示应盖有监理人授权的施工场地机构章，并由总监理工程师或总监理工程师按第</w:t>
      </w:r>
      <w:r>
        <w:t>3.3.1</w:t>
      </w:r>
      <w:r>
        <w:rPr>
          <w:rFonts w:hint="eastAsia"/>
        </w:rPr>
        <w:t>项约定授权的监理人员签字。</w:t>
      </w:r>
    </w:p>
    <w:p>
      <w:pPr>
        <w:spacing w:line="400" w:lineRule="exact"/>
        <w:ind w:firstLine="440" w:firstLineChars="200"/>
        <w:rPr>
          <w:rFonts w:cs="Times New Roman"/>
        </w:rPr>
      </w:pPr>
      <w:r>
        <w:t xml:space="preserve">3.4.2 </w:t>
      </w:r>
      <w:r>
        <w:rPr>
          <w:rFonts w:hint="eastAsia"/>
        </w:rPr>
        <w:t>承包人收到监理人按第</w:t>
      </w:r>
      <w:r>
        <w:t>3.4.1</w:t>
      </w:r>
      <w:r>
        <w:rPr>
          <w:rFonts w:hint="eastAsia"/>
        </w:rPr>
        <w:t>项作出的指示后应遵照执行。指示构成变更的，应按第</w:t>
      </w:r>
      <w:r>
        <w:t>15</w:t>
      </w:r>
      <w:r>
        <w:rPr>
          <w:rFonts w:hint="eastAsia"/>
        </w:rPr>
        <w:t>条处理。</w:t>
      </w:r>
    </w:p>
    <w:p>
      <w:pPr>
        <w:spacing w:line="400" w:lineRule="exact"/>
        <w:ind w:firstLine="440" w:firstLineChars="200"/>
        <w:rPr>
          <w:rFonts w:cs="Times New Roman"/>
        </w:rPr>
      </w:pPr>
      <w:r>
        <w:t xml:space="preserve">3.4.3 </w:t>
      </w:r>
      <w:r>
        <w:rPr>
          <w:rFonts w:hint="eastAsia"/>
        </w:rPr>
        <w:t>在紧急情况下，总监理工程师或被授权的监理人员可以当场签发临时书面指示，承包人应遵照执行。承包人应在收到上述临时书面指示后</w:t>
      </w:r>
      <w:r>
        <w:t>24</w:t>
      </w:r>
      <w:r>
        <w:rPr>
          <w:rFonts w:hint="eastAsia"/>
        </w:rPr>
        <w:t>小时内，向监理人发出书面确认函。监理人在收到书面确认函后</w:t>
      </w:r>
      <w:r>
        <w:t>24</w:t>
      </w:r>
      <w:r>
        <w:rPr>
          <w:rFonts w:hint="eastAsia"/>
        </w:rPr>
        <w:t>小时内未予答复的，该书面确认函应被视为监理人的正式指示。</w:t>
      </w:r>
    </w:p>
    <w:p>
      <w:pPr>
        <w:spacing w:line="400" w:lineRule="exact"/>
        <w:ind w:firstLine="440" w:firstLineChars="200"/>
        <w:rPr>
          <w:rFonts w:cs="Times New Roman"/>
        </w:rPr>
      </w:pPr>
      <w:r>
        <w:t xml:space="preserve">3.4.4 </w:t>
      </w:r>
      <w:r>
        <w:rPr>
          <w:rFonts w:hint="eastAsia"/>
        </w:rPr>
        <w:t>除合同另有约定外，承包人只从总监理工程师或按第</w:t>
      </w:r>
      <w:r>
        <w:t>3.3.1</w:t>
      </w:r>
      <w:r>
        <w:rPr>
          <w:rFonts w:hint="eastAsia"/>
        </w:rPr>
        <w:t>项被授权的监理人员处取得指示。</w:t>
      </w:r>
    </w:p>
    <w:p>
      <w:pPr>
        <w:spacing w:line="400" w:lineRule="exact"/>
        <w:ind w:firstLine="440" w:firstLineChars="200"/>
      </w:pPr>
      <w:r>
        <w:t xml:space="preserve">3.4.5 </w:t>
      </w:r>
      <w:r>
        <w:rPr>
          <w:rFonts w:hint="eastAsia"/>
        </w:rPr>
        <w:t>由于监理人未能按合同约定发出指示、指示延误或指示错误而导致承包人费用增加和（或）工期延误的，由发包人承担赔偿责任。</w:t>
      </w:r>
      <w:r>
        <w:t xml:space="preserve"> </w:t>
      </w:r>
    </w:p>
    <w:p>
      <w:pPr>
        <w:pStyle w:val="52"/>
        <w:rPr>
          <w:rFonts w:cs="Times New Roman"/>
          <w:sz w:val="21"/>
          <w:szCs w:val="21"/>
        </w:rPr>
      </w:pPr>
      <w:bookmarkStart w:id="142" w:name="_Toc152045638"/>
      <w:bookmarkStart w:id="143" w:name="_Toc179632656"/>
      <w:bookmarkStart w:id="144" w:name="_Toc152042416"/>
      <w:bookmarkStart w:id="145" w:name="_Toc309397316"/>
      <w:bookmarkStart w:id="146" w:name="_Toc144974606"/>
      <w:r>
        <w:rPr>
          <w:sz w:val="21"/>
          <w:szCs w:val="21"/>
        </w:rPr>
        <w:t xml:space="preserve">3.5 </w:t>
      </w:r>
      <w:r>
        <w:rPr>
          <w:rFonts w:hint="eastAsia" w:cs="黑体"/>
          <w:sz w:val="21"/>
          <w:szCs w:val="21"/>
        </w:rPr>
        <w:t>商定或确定</w:t>
      </w:r>
      <w:bookmarkEnd w:id="142"/>
      <w:bookmarkEnd w:id="143"/>
      <w:bookmarkEnd w:id="144"/>
      <w:bookmarkEnd w:id="145"/>
      <w:bookmarkEnd w:id="146"/>
    </w:p>
    <w:p>
      <w:pPr>
        <w:spacing w:line="400" w:lineRule="exact"/>
        <w:ind w:firstLine="440" w:firstLineChars="200"/>
        <w:rPr>
          <w:rFonts w:cs="Times New Roman"/>
        </w:rPr>
      </w:pPr>
      <w:r>
        <w:t>3.5.1</w:t>
      </w:r>
      <w:r>
        <w:rPr>
          <w:rFonts w:hint="eastAsia"/>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cs="Times New Roman"/>
        </w:rPr>
      </w:pPr>
      <w:r>
        <w:t xml:space="preserve">3.5.2 </w:t>
      </w:r>
      <w:r>
        <w:rPr>
          <w:rFonts w:hint="eastAsia"/>
        </w:rPr>
        <w:t>总监理工程师应将商定或确定的事项通知合同当事人，并附详细依据。对总监理工程师的确定有异议的，构成争议，按照第</w:t>
      </w:r>
      <w:r>
        <w:t>24</w:t>
      </w:r>
      <w:r>
        <w:rPr>
          <w:rFonts w:hint="eastAsia"/>
        </w:rPr>
        <w:t>条的约定处理。在争议解决前，双方应暂按总监理工程师的确定执行，按照第</w:t>
      </w:r>
      <w:r>
        <w:t>24</w:t>
      </w:r>
      <w:r>
        <w:rPr>
          <w:rFonts w:hint="eastAsia"/>
        </w:rPr>
        <w:t>条的约定对总监理工程师的确定作出修改的，按修改后的结果执行。</w:t>
      </w:r>
    </w:p>
    <w:p>
      <w:pPr>
        <w:pStyle w:val="51"/>
        <w:rPr>
          <w:sz w:val="21"/>
          <w:szCs w:val="21"/>
        </w:rPr>
      </w:pPr>
      <w:bookmarkStart w:id="147" w:name="_Toc309397317"/>
      <w:bookmarkStart w:id="148" w:name="_Toc144974607"/>
      <w:bookmarkStart w:id="149" w:name="_Toc152045639"/>
      <w:bookmarkStart w:id="150" w:name="_Toc179632657"/>
      <w:bookmarkStart w:id="151" w:name="_Toc152042417"/>
      <w:r>
        <w:rPr>
          <w:sz w:val="21"/>
          <w:szCs w:val="21"/>
        </w:rPr>
        <w:t xml:space="preserve">4. </w:t>
      </w:r>
      <w:r>
        <w:rPr>
          <w:rFonts w:hint="eastAsia" w:cs="宋体"/>
          <w:sz w:val="21"/>
          <w:szCs w:val="21"/>
        </w:rPr>
        <w:t>承包人</w:t>
      </w:r>
      <w:bookmarkEnd w:id="147"/>
      <w:bookmarkEnd w:id="148"/>
      <w:bookmarkEnd w:id="149"/>
      <w:bookmarkEnd w:id="150"/>
      <w:bookmarkEnd w:id="151"/>
    </w:p>
    <w:p>
      <w:pPr>
        <w:pStyle w:val="52"/>
        <w:rPr>
          <w:rFonts w:cs="Times New Roman"/>
          <w:sz w:val="21"/>
          <w:szCs w:val="21"/>
        </w:rPr>
      </w:pPr>
      <w:bookmarkStart w:id="152" w:name="_Toc152045640"/>
      <w:bookmarkStart w:id="153" w:name="_Toc179632658"/>
      <w:bookmarkStart w:id="154" w:name="_Toc309397318"/>
      <w:bookmarkStart w:id="155" w:name="_Toc144974608"/>
      <w:bookmarkStart w:id="156" w:name="_Toc152042418"/>
      <w:r>
        <w:rPr>
          <w:sz w:val="21"/>
          <w:szCs w:val="21"/>
        </w:rPr>
        <w:t xml:space="preserve">4.1 </w:t>
      </w:r>
      <w:r>
        <w:rPr>
          <w:rFonts w:hint="eastAsia" w:cs="黑体"/>
          <w:sz w:val="21"/>
          <w:szCs w:val="21"/>
        </w:rPr>
        <w:t>承包人的一般义务</w:t>
      </w:r>
      <w:bookmarkEnd w:id="152"/>
      <w:bookmarkEnd w:id="153"/>
      <w:bookmarkEnd w:id="154"/>
      <w:bookmarkEnd w:id="155"/>
      <w:bookmarkEnd w:id="156"/>
    </w:p>
    <w:p>
      <w:pPr>
        <w:spacing w:line="400" w:lineRule="exact"/>
        <w:ind w:firstLine="440" w:firstLineChars="200"/>
        <w:rPr>
          <w:rFonts w:cs="Times New Roman"/>
        </w:rPr>
      </w:pPr>
      <w:r>
        <w:t xml:space="preserve">4.1.1 </w:t>
      </w:r>
      <w:r>
        <w:rPr>
          <w:rFonts w:hint="eastAsia" w:ascii="黑体" w:eastAsia="黑体" w:cs="黑体"/>
        </w:rPr>
        <w:t>遵守法律</w:t>
      </w:r>
    </w:p>
    <w:p>
      <w:pPr>
        <w:spacing w:line="400" w:lineRule="exact"/>
        <w:ind w:firstLine="440" w:firstLineChars="200"/>
        <w:rPr>
          <w:rFonts w:cs="Times New Roman"/>
        </w:rPr>
      </w:pPr>
      <w:r>
        <w:rPr>
          <w:rFonts w:hint="eastAsia"/>
        </w:rPr>
        <w:t>承包人在履行合同过程中应遵守法律，并保证发包人免于承担因承包人违反法律而引起的任何责任。</w:t>
      </w:r>
    </w:p>
    <w:p>
      <w:pPr>
        <w:spacing w:line="400" w:lineRule="exact"/>
        <w:ind w:firstLine="440" w:firstLineChars="200"/>
        <w:rPr>
          <w:rFonts w:cs="Times New Roman"/>
        </w:rPr>
      </w:pPr>
      <w:r>
        <w:t xml:space="preserve">4.1.2 </w:t>
      </w:r>
      <w:r>
        <w:rPr>
          <w:rFonts w:hint="eastAsia" w:ascii="黑体" w:eastAsia="黑体" w:cs="黑体"/>
        </w:rPr>
        <w:t>依法纳税</w:t>
      </w:r>
    </w:p>
    <w:p>
      <w:pPr>
        <w:spacing w:line="400" w:lineRule="exact"/>
        <w:ind w:firstLine="440" w:firstLineChars="200"/>
        <w:rPr>
          <w:rFonts w:cs="Times New Roman"/>
        </w:rPr>
      </w:pPr>
      <w:r>
        <w:rPr>
          <w:rFonts w:hint="eastAsia"/>
        </w:rPr>
        <w:t>承包人应按有关法律规定纳税，应缴纳的税金包括在合同价格内。</w:t>
      </w:r>
    </w:p>
    <w:p>
      <w:pPr>
        <w:spacing w:line="400" w:lineRule="exact"/>
        <w:ind w:firstLine="440" w:firstLineChars="200"/>
        <w:rPr>
          <w:rFonts w:cs="Times New Roman"/>
        </w:rPr>
      </w:pPr>
      <w:r>
        <w:t xml:space="preserve">4.1.3 </w:t>
      </w:r>
      <w:r>
        <w:rPr>
          <w:rFonts w:hint="eastAsia" w:ascii="黑体" w:eastAsia="黑体" w:cs="黑体"/>
        </w:rPr>
        <w:t>完成各项承包工作</w:t>
      </w:r>
    </w:p>
    <w:p>
      <w:pPr>
        <w:spacing w:line="400" w:lineRule="exact"/>
        <w:ind w:firstLine="440" w:firstLineChars="200"/>
        <w:rPr>
          <w:rFonts w:cs="Times New Roman"/>
        </w:rPr>
      </w:pPr>
      <w:r>
        <w:rPr>
          <w:rFonts w:hint="eastAsia"/>
        </w:rPr>
        <w:t>承包人应按合同约定以及监理人根据第</w:t>
      </w:r>
      <w:r>
        <w:t>3.4</w:t>
      </w:r>
      <w:r>
        <w:rPr>
          <w:rFonts w:hint="eastAsia"/>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cs="Times New Roman"/>
        </w:rPr>
      </w:pPr>
      <w:r>
        <w:t xml:space="preserve">4.1.4 </w:t>
      </w:r>
      <w:r>
        <w:rPr>
          <w:rFonts w:hint="eastAsia" w:ascii="黑体" w:eastAsia="黑体" w:cs="黑体"/>
        </w:rPr>
        <w:t>对施工作业和施工方法的完备性负责</w:t>
      </w:r>
    </w:p>
    <w:p>
      <w:pPr>
        <w:spacing w:line="400" w:lineRule="exact"/>
        <w:ind w:firstLine="440" w:firstLineChars="200"/>
        <w:rPr>
          <w:rFonts w:cs="Times New Roman"/>
        </w:rPr>
      </w:pPr>
      <w:r>
        <w:rPr>
          <w:rFonts w:hint="eastAsia"/>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cs="Times New Roman"/>
        </w:rPr>
      </w:pPr>
      <w:r>
        <w:t xml:space="preserve">4.1.5 </w:t>
      </w:r>
      <w:r>
        <w:rPr>
          <w:rFonts w:hint="eastAsia" w:ascii="黑体" w:eastAsia="黑体" w:cs="黑体"/>
        </w:rPr>
        <w:t>保证工程施工和人员的安全</w:t>
      </w:r>
    </w:p>
    <w:p>
      <w:pPr>
        <w:spacing w:line="400" w:lineRule="exact"/>
        <w:ind w:firstLine="440" w:firstLineChars="200"/>
        <w:rPr>
          <w:rFonts w:cs="Times New Roman"/>
        </w:rPr>
      </w:pPr>
      <w:r>
        <w:rPr>
          <w:rFonts w:hint="eastAsia"/>
        </w:rPr>
        <w:t>承包人应按第</w:t>
      </w:r>
      <w:r>
        <w:t>9.2</w:t>
      </w:r>
      <w:r>
        <w:rPr>
          <w:rFonts w:hint="eastAsia"/>
        </w:rPr>
        <w:t>款约定采取施工安全措施，确保工程及其人员、材料、设备和设施的安全，防止因工程施工造成的人身伤害和财产损失。</w:t>
      </w:r>
    </w:p>
    <w:p>
      <w:pPr>
        <w:spacing w:line="400" w:lineRule="exact"/>
        <w:ind w:firstLine="440" w:firstLineChars="200"/>
        <w:rPr>
          <w:rFonts w:cs="Times New Roman"/>
        </w:rPr>
      </w:pPr>
      <w:r>
        <w:t xml:space="preserve">4.1.6 </w:t>
      </w:r>
      <w:r>
        <w:rPr>
          <w:rFonts w:hint="eastAsia" w:ascii="黑体" w:eastAsia="黑体" w:cs="黑体"/>
        </w:rPr>
        <w:t>负责施工场地及其周边环境与生态的保护工作</w:t>
      </w:r>
    </w:p>
    <w:p>
      <w:pPr>
        <w:spacing w:line="400" w:lineRule="exact"/>
        <w:ind w:firstLine="440" w:firstLineChars="200"/>
        <w:rPr>
          <w:rFonts w:cs="Times New Roman"/>
        </w:rPr>
      </w:pPr>
      <w:r>
        <w:rPr>
          <w:rFonts w:hint="eastAsia"/>
        </w:rPr>
        <w:t>承包人应按照第</w:t>
      </w:r>
      <w:r>
        <w:t>9.4</w:t>
      </w:r>
      <w:r>
        <w:rPr>
          <w:rFonts w:hint="eastAsia"/>
        </w:rPr>
        <w:t>款约定负责施工场地及其周边环境与生态的保护工作。</w:t>
      </w:r>
    </w:p>
    <w:p>
      <w:pPr>
        <w:spacing w:line="400" w:lineRule="exact"/>
        <w:ind w:firstLine="440" w:firstLineChars="200"/>
        <w:rPr>
          <w:rFonts w:cs="Times New Roman"/>
        </w:rPr>
      </w:pPr>
      <w:r>
        <w:t xml:space="preserve">4.1.7 </w:t>
      </w:r>
      <w:r>
        <w:rPr>
          <w:rFonts w:hint="eastAsia" w:ascii="黑体" w:eastAsia="黑体" w:cs="黑体"/>
        </w:rPr>
        <w:t>避免施工对公众与他人的利益造成损害</w:t>
      </w:r>
    </w:p>
    <w:p>
      <w:pPr>
        <w:spacing w:line="400" w:lineRule="exact"/>
        <w:ind w:firstLine="440" w:firstLineChars="200"/>
        <w:rPr>
          <w:rFonts w:cs="Times New Roman"/>
        </w:rPr>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cs="Times New Roman"/>
        </w:rPr>
      </w:pPr>
      <w:r>
        <w:t xml:space="preserve">4.1.8 </w:t>
      </w:r>
      <w:r>
        <w:rPr>
          <w:rFonts w:hint="eastAsia" w:ascii="黑体" w:eastAsia="黑体" w:cs="黑体"/>
        </w:rPr>
        <w:t>为他人提供方便</w:t>
      </w:r>
    </w:p>
    <w:p>
      <w:pPr>
        <w:spacing w:line="400" w:lineRule="exact"/>
        <w:ind w:firstLine="440" w:firstLineChars="200"/>
        <w:rPr>
          <w:rFonts w:cs="Times New Roman"/>
        </w:rPr>
      </w:pPr>
      <w:r>
        <w:rPr>
          <w:rFonts w:hint="eastAsia"/>
        </w:rPr>
        <w:t>承包人应按监理人的指示为他人在施工场地或附近实施与工程有关的其他各项工作提供可能的条件。除合同另有约定外，提供有关条件的内容和可能发生的费用，由监理人按第</w:t>
      </w:r>
      <w:r>
        <w:t>3.5</w:t>
      </w:r>
      <w:r>
        <w:rPr>
          <w:rFonts w:hint="eastAsia"/>
        </w:rPr>
        <w:t>款商定或确定。</w:t>
      </w:r>
    </w:p>
    <w:p>
      <w:pPr>
        <w:spacing w:line="400" w:lineRule="exact"/>
        <w:ind w:firstLine="440" w:firstLineChars="200"/>
        <w:rPr>
          <w:rFonts w:cs="Times New Roman"/>
        </w:rPr>
      </w:pPr>
      <w:r>
        <w:t xml:space="preserve">4.1.9 </w:t>
      </w:r>
      <w:r>
        <w:rPr>
          <w:rFonts w:hint="eastAsia" w:ascii="黑体" w:eastAsia="黑体" w:cs="黑体"/>
        </w:rPr>
        <w:t>工程的维护和照管</w:t>
      </w:r>
    </w:p>
    <w:p>
      <w:pPr>
        <w:spacing w:line="400" w:lineRule="exact"/>
        <w:ind w:firstLine="440" w:firstLineChars="200"/>
        <w:rPr>
          <w:rFonts w:cs="Times New Roman"/>
        </w:rPr>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cs="Times New Roman"/>
        </w:rPr>
      </w:pPr>
      <w:r>
        <w:t xml:space="preserve">4.1.10 </w:t>
      </w:r>
      <w:r>
        <w:rPr>
          <w:rFonts w:hint="eastAsia" w:ascii="黑体" w:eastAsia="黑体" w:cs="黑体"/>
        </w:rPr>
        <w:t>其他义务</w:t>
      </w:r>
    </w:p>
    <w:p>
      <w:pPr>
        <w:spacing w:line="400" w:lineRule="exact"/>
        <w:ind w:firstLine="440" w:firstLineChars="200"/>
        <w:rPr>
          <w:rFonts w:cs="Times New Roman"/>
        </w:rPr>
      </w:pPr>
      <w:r>
        <w:rPr>
          <w:rFonts w:hint="eastAsia"/>
        </w:rPr>
        <w:t>承包人应履行合同约定的其他义务。</w:t>
      </w:r>
    </w:p>
    <w:p>
      <w:pPr>
        <w:pStyle w:val="52"/>
        <w:rPr>
          <w:rFonts w:cs="Times New Roman"/>
          <w:sz w:val="21"/>
          <w:szCs w:val="21"/>
        </w:rPr>
      </w:pPr>
      <w:bookmarkStart w:id="157" w:name="_Toc179632659"/>
      <w:bookmarkStart w:id="158" w:name="_Toc152045641"/>
      <w:bookmarkStart w:id="159" w:name="_Toc144974609"/>
      <w:bookmarkStart w:id="160" w:name="_Toc152042419"/>
      <w:bookmarkStart w:id="161" w:name="_Toc309397319"/>
      <w:r>
        <w:rPr>
          <w:sz w:val="21"/>
          <w:szCs w:val="21"/>
        </w:rPr>
        <w:t xml:space="preserve">4.2 </w:t>
      </w:r>
      <w:r>
        <w:rPr>
          <w:rFonts w:hint="eastAsia" w:cs="黑体"/>
          <w:sz w:val="21"/>
          <w:szCs w:val="21"/>
        </w:rPr>
        <w:t>履约担保</w:t>
      </w:r>
      <w:bookmarkEnd w:id="157"/>
      <w:bookmarkEnd w:id="158"/>
      <w:bookmarkEnd w:id="159"/>
      <w:bookmarkEnd w:id="160"/>
      <w:bookmarkEnd w:id="161"/>
    </w:p>
    <w:p>
      <w:pPr>
        <w:spacing w:line="400" w:lineRule="exact"/>
        <w:ind w:firstLine="440" w:firstLineChars="200"/>
        <w:rPr>
          <w:rFonts w:cs="Times New Roman"/>
        </w:rPr>
      </w:pPr>
      <w:r>
        <w:rPr>
          <w:rFonts w:hint="eastAsia"/>
        </w:rPr>
        <w:t>承包人应保证其履约担保在发包人颁发工程接收证书前一直有效。发包人应在工程接收证书颁发后</w:t>
      </w:r>
      <w:r>
        <w:t>28</w:t>
      </w:r>
      <w:r>
        <w:rPr>
          <w:rFonts w:hint="eastAsia"/>
        </w:rPr>
        <w:t>天内把履约担保退还给承包人。</w:t>
      </w:r>
    </w:p>
    <w:p>
      <w:pPr>
        <w:pStyle w:val="52"/>
        <w:rPr>
          <w:rFonts w:cs="Times New Roman"/>
          <w:sz w:val="21"/>
          <w:szCs w:val="21"/>
        </w:rPr>
      </w:pPr>
      <w:bookmarkStart w:id="162" w:name="_Toc309397320"/>
      <w:r>
        <w:rPr>
          <w:sz w:val="21"/>
          <w:szCs w:val="21"/>
        </w:rPr>
        <w:t xml:space="preserve">4.3 </w:t>
      </w:r>
      <w:r>
        <w:rPr>
          <w:rFonts w:hint="eastAsia" w:cs="黑体"/>
          <w:sz w:val="21"/>
          <w:szCs w:val="21"/>
        </w:rPr>
        <w:t>分包</w:t>
      </w:r>
      <w:bookmarkEnd w:id="162"/>
    </w:p>
    <w:p>
      <w:pPr>
        <w:spacing w:line="400" w:lineRule="exact"/>
        <w:ind w:firstLine="440" w:firstLineChars="200"/>
        <w:rPr>
          <w:rFonts w:cs="Times New Roman"/>
        </w:rPr>
      </w:pPr>
      <w:r>
        <w:t xml:space="preserve">4.3.1 </w:t>
      </w:r>
      <w:r>
        <w:rPr>
          <w:rFonts w:hint="eastAsia"/>
        </w:rPr>
        <w:t>承包人不得将其承包的全部工程转包给第三人，或将其承包的全部工程肢解后以分包的名义转包给第三人。</w:t>
      </w:r>
    </w:p>
    <w:p>
      <w:pPr>
        <w:spacing w:line="400" w:lineRule="exact"/>
        <w:ind w:firstLine="440" w:firstLineChars="200"/>
        <w:rPr>
          <w:rFonts w:cs="Times New Roman"/>
        </w:rPr>
      </w:pPr>
      <w:r>
        <w:t xml:space="preserve">4.3.2 </w:t>
      </w:r>
      <w:r>
        <w:rPr>
          <w:rFonts w:hint="eastAsia"/>
        </w:rPr>
        <w:t>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cs="Times New Roman"/>
        </w:rPr>
      </w:pPr>
      <w:r>
        <w:t xml:space="preserve">4.3.3 </w:t>
      </w:r>
      <w:r>
        <w:rPr>
          <w:rFonts w:hint="eastAsia"/>
        </w:rPr>
        <w:t>分包人的资格能力应与其分包工程的标准和规模相适应。</w:t>
      </w:r>
    </w:p>
    <w:p>
      <w:pPr>
        <w:spacing w:line="400" w:lineRule="exact"/>
        <w:ind w:firstLine="440" w:firstLineChars="200"/>
        <w:rPr>
          <w:rFonts w:cs="Times New Roman"/>
        </w:rPr>
      </w:pPr>
      <w:r>
        <w:t xml:space="preserve">4.3.4 </w:t>
      </w:r>
      <w:r>
        <w:rPr>
          <w:rFonts w:hint="eastAsia"/>
        </w:rPr>
        <w:t>按投标函附录约定分包工程的，承包人应向发包人和监理人提交分包合同副本。</w:t>
      </w:r>
    </w:p>
    <w:p>
      <w:pPr>
        <w:spacing w:line="400" w:lineRule="exact"/>
        <w:ind w:firstLine="440" w:firstLineChars="200"/>
        <w:rPr>
          <w:rFonts w:cs="Times New Roman"/>
        </w:rPr>
      </w:pPr>
      <w:r>
        <w:t xml:space="preserve">4.3.5 </w:t>
      </w:r>
      <w:r>
        <w:rPr>
          <w:rFonts w:hint="eastAsia"/>
        </w:rPr>
        <w:t>承包人应与分包人就分包工程向发包人承担连带责任。</w:t>
      </w:r>
    </w:p>
    <w:p>
      <w:pPr>
        <w:pStyle w:val="52"/>
        <w:rPr>
          <w:rFonts w:cs="Times New Roman"/>
          <w:sz w:val="21"/>
          <w:szCs w:val="21"/>
        </w:rPr>
      </w:pPr>
      <w:bookmarkStart w:id="163" w:name="_Toc152042421"/>
      <w:bookmarkStart w:id="164" w:name="_Toc179632661"/>
      <w:bookmarkStart w:id="165" w:name="_Toc309397321"/>
      <w:bookmarkStart w:id="166" w:name="_Toc152045643"/>
      <w:bookmarkStart w:id="167" w:name="_Toc144974611"/>
      <w:r>
        <w:rPr>
          <w:sz w:val="21"/>
          <w:szCs w:val="21"/>
        </w:rPr>
        <w:t xml:space="preserve">4.4 </w:t>
      </w:r>
      <w:r>
        <w:rPr>
          <w:rFonts w:hint="eastAsia" w:cs="黑体"/>
          <w:sz w:val="21"/>
          <w:szCs w:val="21"/>
        </w:rPr>
        <w:t>联合体</w:t>
      </w:r>
      <w:bookmarkEnd w:id="163"/>
      <w:bookmarkEnd w:id="164"/>
      <w:bookmarkEnd w:id="165"/>
      <w:bookmarkEnd w:id="166"/>
      <w:bookmarkEnd w:id="167"/>
    </w:p>
    <w:p>
      <w:pPr>
        <w:spacing w:line="400" w:lineRule="exact"/>
        <w:ind w:firstLine="440" w:firstLineChars="200"/>
        <w:rPr>
          <w:rFonts w:cs="Times New Roman"/>
        </w:rPr>
      </w:pPr>
      <w:r>
        <w:t xml:space="preserve">4.4.1 </w:t>
      </w:r>
      <w:r>
        <w:rPr>
          <w:rFonts w:hint="eastAsia"/>
        </w:rPr>
        <w:t>联合体各方应共同与发包人签订合同协议书。联合体各方应为履行合同承担连带责任。</w:t>
      </w:r>
    </w:p>
    <w:p>
      <w:pPr>
        <w:spacing w:line="400" w:lineRule="exact"/>
        <w:ind w:firstLine="440" w:firstLineChars="200"/>
        <w:rPr>
          <w:rFonts w:cs="Times New Roman"/>
        </w:rPr>
      </w:pPr>
      <w:r>
        <w:t xml:space="preserve">4.4.2 </w:t>
      </w:r>
      <w:r>
        <w:rPr>
          <w:rFonts w:hint="eastAsia"/>
        </w:rPr>
        <w:t>联合体协议经发包人确认后作为合同附件。在履行合同过程中，未经发包人同意，不得修改联合体协议。</w:t>
      </w:r>
    </w:p>
    <w:p>
      <w:pPr>
        <w:spacing w:line="400" w:lineRule="exact"/>
        <w:ind w:firstLine="440" w:firstLineChars="200"/>
        <w:rPr>
          <w:rFonts w:cs="Times New Roman"/>
        </w:rPr>
      </w:pPr>
      <w:r>
        <w:t xml:space="preserve">4.4.3 </w:t>
      </w:r>
      <w:r>
        <w:rPr>
          <w:rFonts w:hint="eastAsia"/>
        </w:rPr>
        <w:t>联合体牵头人负责与发包人和监理人联系，并接受指示，负责组织联合体各成员全面履行合同。</w:t>
      </w:r>
    </w:p>
    <w:p>
      <w:pPr>
        <w:pStyle w:val="52"/>
        <w:rPr>
          <w:rFonts w:cs="Times New Roman"/>
          <w:sz w:val="21"/>
          <w:szCs w:val="21"/>
        </w:rPr>
      </w:pPr>
      <w:bookmarkStart w:id="168" w:name="_Toc309397322"/>
      <w:r>
        <w:rPr>
          <w:sz w:val="21"/>
          <w:szCs w:val="21"/>
        </w:rPr>
        <w:t xml:space="preserve">4.5 </w:t>
      </w:r>
      <w:r>
        <w:rPr>
          <w:rFonts w:hint="eastAsia" w:cs="黑体"/>
          <w:sz w:val="21"/>
          <w:szCs w:val="21"/>
        </w:rPr>
        <w:t>承包人项目经理</w:t>
      </w:r>
      <w:bookmarkEnd w:id="168"/>
    </w:p>
    <w:p>
      <w:pPr>
        <w:spacing w:line="400" w:lineRule="exact"/>
        <w:ind w:firstLine="440" w:firstLineChars="200"/>
        <w:rPr>
          <w:rFonts w:cs="Times New Roman"/>
        </w:rPr>
      </w:pPr>
      <w:r>
        <w:t>4.5.1</w:t>
      </w:r>
      <w:r>
        <w:rPr>
          <w:rFonts w:hint="eastAsia"/>
        </w:rPr>
        <w:t>承包人应按合同约定指派项目经理，并在约定的期限内到职。承包人更换项目经理应事先征得发包人同意，并应在更换</w:t>
      </w:r>
      <w:r>
        <w:t>14</w:t>
      </w:r>
      <w:r>
        <w:rPr>
          <w:rFonts w:hint="eastAsia"/>
        </w:rPr>
        <w:t>天前通知发包人和监理人。承包人项目经理短期离开施工场地，应事先征得监理人同意，并委派代表代行其职责。</w:t>
      </w:r>
    </w:p>
    <w:p>
      <w:pPr>
        <w:spacing w:line="400" w:lineRule="exact"/>
        <w:ind w:firstLine="440" w:firstLineChars="200"/>
        <w:rPr>
          <w:rFonts w:cs="Times New Roman"/>
        </w:rPr>
      </w:pPr>
      <w:r>
        <w:t xml:space="preserve">4.5.2 </w:t>
      </w:r>
      <w:r>
        <w:rPr>
          <w:rFonts w:hint="eastAsia"/>
        </w:rPr>
        <w:t>承包人项目经理应按合同约定以及监理人按第</w:t>
      </w:r>
      <w:r>
        <w:t>3.4</w:t>
      </w:r>
      <w:r>
        <w:rPr>
          <w:rFonts w:hint="eastAsia"/>
        </w:rPr>
        <w:t>款作出的指示，负责组织合同工程的实施。在情况紧急且无法与监理人取得联系时，可采取保证工程和人员生命财产安全的紧急措施，并在采取措施后</w:t>
      </w:r>
      <w:r>
        <w:t>24</w:t>
      </w:r>
      <w:r>
        <w:rPr>
          <w:rFonts w:hint="eastAsia"/>
        </w:rPr>
        <w:t>小时内向监理人提交书面报告。</w:t>
      </w:r>
    </w:p>
    <w:p>
      <w:pPr>
        <w:spacing w:line="400" w:lineRule="exact"/>
        <w:ind w:firstLine="440" w:firstLineChars="200"/>
        <w:rPr>
          <w:rFonts w:cs="Times New Roman"/>
        </w:rPr>
      </w:pPr>
      <w:r>
        <w:t>4.5.3</w:t>
      </w:r>
      <w:r>
        <w:rPr>
          <w:rFonts w:hint="eastAsia"/>
        </w:rPr>
        <w:t>承包人为履行合同发出的一切函件均应盖有承包人授权的施工场地管理机构章，并由承包人项目经理或其授权代表签字。</w:t>
      </w:r>
    </w:p>
    <w:p>
      <w:pPr>
        <w:spacing w:line="400" w:lineRule="exact"/>
        <w:ind w:firstLine="440" w:firstLineChars="200"/>
        <w:rPr>
          <w:rFonts w:cs="Times New Roman"/>
        </w:rPr>
      </w:pPr>
      <w:r>
        <w:t xml:space="preserve">4.5.4 </w:t>
      </w:r>
      <w:r>
        <w:rPr>
          <w:rFonts w:hint="eastAsia"/>
        </w:rPr>
        <w:t>承包人项目经理可以授权其下属人员履行其某项职责，但事先应将这些人员的姓名和授权范围通知监理人。</w:t>
      </w:r>
    </w:p>
    <w:p>
      <w:pPr>
        <w:pStyle w:val="52"/>
        <w:rPr>
          <w:rFonts w:cs="Times New Roman"/>
          <w:sz w:val="21"/>
          <w:szCs w:val="21"/>
        </w:rPr>
      </w:pPr>
      <w:bookmarkStart w:id="169" w:name="_Toc309397323"/>
      <w:bookmarkStart w:id="170" w:name="_Toc179632663"/>
      <w:bookmarkStart w:id="171" w:name="_Toc144974613"/>
      <w:bookmarkStart w:id="172" w:name="_Toc152042423"/>
      <w:bookmarkStart w:id="173" w:name="_Toc152045645"/>
      <w:r>
        <w:rPr>
          <w:sz w:val="21"/>
          <w:szCs w:val="21"/>
        </w:rPr>
        <w:t xml:space="preserve">4.6 </w:t>
      </w:r>
      <w:r>
        <w:rPr>
          <w:rFonts w:hint="eastAsia" w:cs="黑体"/>
          <w:sz w:val="21"/>
          <w:szCs w:val="21"/>
        </w:rPr>
        <w:t>承包人人员的管理</w:t>
      </w:r>
      <w:bookmarkEnd w:id="169"/>
      <w:bookmarkEnd w:id="170"/>
      <w:bookmarkEnd w:id="171"/>
      <w:bookmarkEnd w:id="172"/>
      <w:bookmarkEnd w:id="173"/>
    </w:p>
    <w:p>
      <w:pPr>
        <w:spacing w:line="400" w:lineRule="exact"/>
        <w:ind w:firstLine="440" w:firstLineChars="200"/>
        <w:rPr>
          <w:rFonts w:cs="Times New Roman"/>
        </w:rPr>
      </w:pPr>
      <w:r>
        <w:t xml:space="preserve">4.6.1 </w:t>
      </w:r>
      <w:r>
        <w:rPr>
          <w:rFonts w:hint="eastAsia"/>
        </w:rPr>
        <w:t>承包人应在接到开工通知后</w:t>
      </w:r>
      <w:r>
        <w:t>28</w:t>
      </w:r>
      <w:r>
        <w:rPr>
          <w:rFonts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cs="Times New Roman"/>
        </w:rPr>
      </w:pPr>
      <w:r>
        <w:t xml:space="preserve">4.6.2 </w:t>
      </w:r>
      <w:r>
        <w:rPr>
          <w:rFonts w:hint="eastAsia"/>
        </w:rPr>
        <w:t>为完成合同约定的各项工作，承包人应向施工场地派遣或雇佣足够数量的下列人员：</w:t>
      </w:r>
    </w:p>
    <w:p>
      <w:pPr>
        <w:spacing w:line="400" w:lineRule="exact"/>
        <w:ind w:firstLine="440" w:firstLineChars="200"/>
        <w:rPr>
          <w:rFonts w:cs="Times New Roman"/>
        </w:rPr>
      </w:pPr>
      <w:r>
        <w:rPr>
          <w:rFonts w:hint="eastAsia"/>
        </w:rPr>
        <w:t>（</w:t>
      </w:r>
      <w:r>
        <w:t>1</w:t>
      </w:r>
      <w:r>
        <w:rPr>
          <w:rFonts w:hint="eastAsia"/>
        </w:rPr>
        <w:t>）具有相应资格的专业技工和合格的普工；</w:t>
      </w:r>
    </w:p>
    <w:p>
      <w:pPr>
        <w:spacing w:line="400" w:lineRule="exact"/>
        <w:ind w:firstLine="440" w:firstLineChars="200"/>
        <w:rPr>
          <w:rFonts w:cs="Times New Roman"/>
        </w:rPr>
      </w:pPr>
      <w:r>
        <w:rPr>
          <w:rFonts w:hint="eastAsia"/>
        </w:rPr>
        <w:t>（</w:t>
      </w:r>
      <w:r>
        <w:t>2</w:t>
      </w:r>
      <w:r>
        <w:rPr>
          <w:rFonts w:hint="eastAsia"/>
        </w:rPr>
        <w:t>）具有相应施工经验的技术人员；</w:t>
      </w:r>
    </w:p>
    <w:p>
      <w:pPr>
        <w:spacing w:line="400" w:lineRule="exact"/>
        <w:ind w:firstLine="440" w:firstLineChars="200"/>
        <w:rPr>
          <w:rFonts w:cs="Times New Roman"/>
        </w:rPr>
      </w:pPr>
      <w:r>
        <w:rPr>
          <w:rFonts w:hint="eastAsia"/>
        </w:rPr>
        <w:t>（</w:t>
      </w:r>
      <w:r>
        <w:t>3</w:t>
      </w:r>
      <w:r>
        <w:rPr>
          <w:rFonts w:hint="eastAsia"/>
        </w:rPr>
        <w:t>）具有相应岗位资格的各级管理人员。</w:t>
      </w:r>
    </w:p>
    <w:p>
      <w:pPr>
        <w:spacing w:line="400" w:lineRule="exact"/>
        <w:ind w:firstLine="440" w:firstLineChars="200"/>
        <w:rPr>
          <w:rFonts w:cs="Times New Roman"/>
        </w:rPr>
      </w:pPr>
      <w:r>
        <w:t xml:space="preserve">4.6.3 </w:t>
      </w:r>
      <w:r>
        <w:rPr>
          <w:rFonts w:hint="eastAsia"/>
        </w:rPr>
        <w:t>承包人安排在施工场地的主要管理人员和技术骨干应相对稳定。承包人更换主要管理人员和技术骨干时，应取得监理人的同意。</w:t>
      </w:r>
    </w:p>
    <w:p>
      <w:pPr>
        <w:spacing w:line="400" w:lineRule="exact"/>
        <w:ind w:firstLine="440" w:firstLineChars="200"/>
        <w:rPr>
          <w:rFonts w:cs="Times New Roman"/>
        </w:rPr>
      </w:pPr>
      <w:r>
        <w:t xml:space="preserve">4.6.4 </w:t>
      </w:r>
      <w:r>
        <w:rPr>
          <w:rFonts w:hint="eastAsia"/>
        </w:rPr>
        <w:t>特殊岗位的工作人员均应持有相应的资格证明，监理人有权随时检查。监理人认为有必要时，可进行现场考核。</w:t>
      </w:r>
    </w:p>
    <w:p>
      <w:pPr>
        <w:pStyle w:val="52"/>
        <w:rPr>
          <w:rFonts w:cs="Times New Roman"/>
          <w:sz w:val="21"/>
          <w:szCs w:val="21"/>
        </w:rPr>
      </w:pPr>
      <w:bookmarkStart w:id="174" w:name="_Toc152045646"/>
      <w:bookmarkStart w:id="175" w:name="_Toc179632664"/>
      <w:bookmarkStart w:id="176" w:name="_Toc152042424"/>
      <w:bookmarkStart w:id="177" w:name="_Toc144974614"/>
      <w:bookmarkStart w:id="178" w:name="_Toc309397324"/>
      <w:r>
        <w:rPr>
          <w:sz w:val="21"/>
          <w:szCs w:val="21"/>
        </w:rPr>
        <w:t xml:space="preserve">4.7 </w:t>
      </w:r>
      <w:r>
        <w:rPr>
          <w:rFonts w:hint="eastAsia" w:cs="黑体"/>
          <w:sz w:val="21"/>
          <w:szCs w:val="21"/>
        </w:rPr>
        <w:t>撤换承包人项目经理和其他人员</w:t>
      </w:r>
      <w:bookmarkEnd w:id="174"/>
      <w:bookmarkEnd w:id="175"/>
      <w:bookmarkEnd w:id="176"/>
      <w:bookmarkEnd w:id="177"/>
      <w:bookmarkEnd w:id="178"/>
    </w:p>
    <w:p>
      <w:pPr>
        <w:spacing w:line="400" w:lineRule="exact"/>
        <w:ind w:firstLine="440" w:firstLineChars="200"/>
        <w:rPr>
          <w:rFonts w:cs="Times New Roman"/>
        </w:rPr>
      </w:pPr>
      <w:r>
        <w:rPr>
          <w:rFonts w:hint="eastAsia"/>
        </w:rPr>
        <w:t>承包人应对其项目经理和其他人员进行有效管理。监理人要求撤换不能胜任本职工作、行为不端或玩忽职守的承包人项目经理和其他人员的，承包人应予以撤换。</w:t>
      </w:r>
    </w:p>
    <w:p>
      <w:pPr>
        <w:pStyle w:val="52"/>
        <w:rPr>
          <w:rFonts w:cs="Times New Roman"/>
          <w:sz w:val="21"/>
          <w:szCs w:val="21"/>
        </w:rPr>
      </w:pPr>
      <w:bookmarkStart w:id="179" w:name="_Toc144974615"/>
      <w:bookmarkStart w:id="180" w:name="_Toc152045647"/>
      <w:bookmarkStart w:id="181" w:name="_Toc309397325"/>
      <w:bookmarkStart w:id="182" w:name="_Toc152042425"/>
      <w:bookmarkStart w:id="183" w:name="_Toc179632665"/>
      <w:r>
        <w:rPr>
          <w:sz w:val="21"/>
          <w:szCs w:val="21"/>
        </w:rPr>
        <w:t xml:space="preserve">4.8 </w:t>
      </w:r>
      <w:r>
        <w:rPr>
          <w:rFonts w:hint="eastAsia" w:cs="黑体"/>
          <w:sz w:val="21"/>
          <w:szCs w:val="21"/>
        </w:rPr>
        <w:t>保障承包人人员的合法权益</w:t>
      </w:r>
      <w:bookmarkEnd w:id="179"/>
      <w:bookmarkEnd w:id="180"/>
      <w:bookmarkEnd w:id="181"/>
      <w:bookmarkEnd w:id="182"/>
      <w:bookmarkEnd w:id="183"/>
    </w:p>
    <w:p>
      <w:pPr>
        <w:spacing w:line="400" w:lineRule="exact"/>
        <w:ind w:firstLine="440" w:firstLineChars="200"/>
        <w:rPr>
          <w:rFonts w:cs="Times New Roman"/>
        </w:rPr>
      </w:pPr>
      <w:r>
        <w:t xml:space="preserve">4.8.1 </w:t>
      </w:r>
      <w:r>
        <w:rPr>
          <w:rFonts w:hint="eastAsia"/>
        </w:rPr>
        <w:t>承包人应与其雇佣的人员签订劳动合同，并按时发放工资。</w:t>
      </w:r>
    </w:p>
    <w:p>
      <w:pPr>
        <w:spacing w:line="400" w:lineRule="exact"/>
        <w:ind w:firstLine="440" w:firstLineChars="200"/>
        <w:rPr>
          <w:rFonts w:cs="Times New Roman"/>
        </w:rPr>
      </w:pPr>
      <w:r>
        <w:t xml:space="preserve">4.8.2 </w:t>
      </w:r>
      <w:r>
        <w:rPr>
          <w:rFonts w:hint="eastAsia"/>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cs="Times New Roman"/>
        </w:rPr>
      </w:pPr>
      <w:r>
        <w:t xml:space="preserve">4.8.3 </w:t>
      </w:r>
      <w:r>
        <w:rPr>
          <w:rFonts w:hint="eastAsia"/>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cs="Times New Roman"/>
        </w:rPr>
      </w:pPr>
      <w:r>
        <w:t xml:space="preserve">4.8.4 </w:t>
      </w:r>
      <w:r>
        <w:rPr>
          <w:rFonts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cs="Times New Roman"/>
        </w:rPr>
      </w:pPr>
      <w:r>
        <w:t xml:space="preserve">4.8.5 </w:t>
      </w:r>
      <w:r>
        <w:rPr>
          <w:rFonts w:hint="eastAsia"/>
        </w:rPr>
        <w:t>承包人应按有关法律规定和合同约定，为其雇佣人员办理保险。</w:t>
      </w:r>
    </w:p>
    <w:p>
      <w:pPr>
        <w:spacing w:line="400" w:lineRule="exact"/>
        <w:ind w:firstLine="440" w:firstLineChars="200"/>
        <w:rPr>
          <w:rFonts w:cs="Times New Roman"/>
        </w:rPr>
      </w:pPr>
      <w:r>
        <w:t xml:space="preserve">4.8.6 </w:t>
      </w:r>
      <w:r>
        <w:rPr>
          <w:rFonts w:hint="eastAsia"/>
        </w:rPr>
        <w:t>承包人应负责处理其雇佣人员因工伤亡事故的善后事宜。</w:t>
      </w:r>
    </w:p>
    <w:p>
      <w:pPr>
        <w:pStyle w:val="52"/>
        <w:rPr>
          <w:rFonts w:cs="Times New Roman"/>
          <w:sz w:val="21"/>
          <w:szCs w:val="21"/>
        </w:rPr>
      </w:pPr>
      <w:bookmarkStart w:id="184" w:name="_Toc309397326"/>
      <w:bookmarkStart w:id="185" w:name="_Toc179632666"/>
      <w:bookmarkStart w:id="186" w:name="_Toc144974616"/>
      <w:bookmarkStart w:id="187" w:name="_Toc152045648"/>
      <w:bookmarkStart w:id="188" w:name="_Toc152042426"/>
      <w:r>
        <w:rPr>
          <w:sz w:val="21"/>
          <w:szCs w:val="21"/>
        </w:rPr>
        <w:t xml:space="preserve">4.9 </w:t>
      </w:r>
      <w:r>
        <w:rPr>
          <w:rFonts w:hint="eastAsia" w:cs="黑体"/>
          <w:sz w:val="21"/>
          <w:szCs w:val="21"/>
        </w:rPr>
        <w:t>工程价款应专款专用</w:t>
      </w:r>
      <w:bookmarkEnd w:id="184"/>
      <w:bookmarkEnd w:id="185"/>
      <w:bookmarkEnd w:id="186"/>
      <w:bookmarkEnd w:id="187"/>
      <w:bookmarkEnd w:id="188"/>
    </w:p>
    <w:p>
      <w:pPr>
        <w:spacing w:line="400" w:lineRule="exact"/>
        <w:ind w:firstLine="440" w:firstLineChars="200"/>
        <w:rPr>
          <w:rFonts w:cs="Times New Roman"/>
        </w:rPr>
      </w:pPr>
      <w:r>
        <w:rPr>
          <w:rFonts w:hint="eastAsia"/>
        </w:rPr>
        <w:t>发包人按合同约定支付给承包人的各项价款应专用于合同工程。</w:t>
      </w:r>
    </w:p>
    <w:p>
      <w:pPr>
        <w:pStyle w:val="52"/>
        <w:rPr>
          <w:rFonts w:cs="Times New Roman"/>
          <w:sz w:val="21"/>
          <w:szCs w:val="21"/>
        </w:rPr>
      </w:pPr>
      <w:bookmarkStart w:id="189" w:name="_Toc144974617"/>
      <w:bookmarkStart w:id="190" w:name="_Toc179632667"/>
      <w:bookmarkStart w:id="191" w:name="_Toc309397327"/>
      <w:bookmarkStart w:id="192" w:name="_Toc152042427"/>
      <w:bookmarkStart w:id="193" w:name="_Toc152045649"/>
      <w:r>
        <w:rPr>
          <w:sz w:val="21"/>
          <w:szCs w:val="21"/>
        </w:rPr>
        <w:t xml:space="preserve">4.10 </w:t>
      </w:r>
      <w:r>
        <w:rPr>
          <w:rFonts w:hint="eastAsia" w:cs="黑体"/>
          <w:sz w:val="21"/>
          <w:szCs w:val="21"/>
        </w:rPr>
        <w:t>承包人现场查勘</w:t>
      </w:r>
      <w:bookmarkEnd w:id="189"/>
      <w:bookmarkEnd w:id="190"/>
      <w:bookmarkEnd w:id="191"/>
      <w:bookmarkEnd w:id="192"/>
      <w:bookmarkEnd w:id="193"/>
    </w:p>
    <w:p>
      <w:pPr>
        <w:spacing w:line="400" w:lineRule="exact"/>
        <w:ind w:firstLine="440" w:firstLineChars="200"/>
        <w:rPr>
          <w:rFonts w:cs="Times New Roman"/>
        </w:rPr>
      </w:pPr>
      <w:r>
        <w:t xml:space="preserve">4.10.1 </w:t>
      </w:r>
      <w:r>
        <w:rPr>
          <w:rFonts w:hint="eastAsia"/>
        </w:rPr>
        <w:t>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cs="Times New Roman"/>
        </w:rPr>
      </w:pPr>
      <w:r>
        <w:t xml:space="preserve">4.10.2 </w:t>
      </w:r>
      <w:r>
        <w:rPr>
          <w:rFonts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2"/>
        <w:rPr>
          <w:rFonts w:cs="Times New Roman"/>
          <w:sz w:val="21"/>
          <w:szCs w:val="21"/>
        </w:rPr>
      </w:pPr>
      <w:bookmarkStart w:id="194" w:name="_Toc144974618"/>
      <w:bookmarkStart w:id="195" w:name="_Toc152042428"/>
      <w:bookmarkStart w:id="196" w:name="_Toc309397328"/>
      <w:bookmarkStart w:id="197" w:name="_Toc152045650"/>
      <w:bookmarkStart w:id="198" w:name="_Toc179632668"/>
      <w:r>
        <w:rPr>
          <w:sz w:val="21"/>
          <w:szCs w:val="21"/>
        </w:rPr>
        <w:t xml:space="preserve">4.11 </w:t>
      </w:r>
      <w:r>
        <w:rPr>
          <w:rFonts w:hint="eastAsia" w:cs="黑体"/>
          <w:sz w:val="21"/>
          <w:szCs w:val="21"/>
        </w:rPr>
        <w:t>不利物质条件</w:t>
      </w:r>
      <w:bookmarkEnd w:id="194"/>
      <w:bookmarkEnd w:id="195"/>
      <w:bookmarkEnd w:id="196"/>
      <w:bookmarkEnd w:id="197"/>
      <w:bookmarkEnd w:id="198"/>
    </w:p>
    <w:p>
      <w:pPr>
        <w:spacing w:line="400" w:lineRule="exact"/>
        <w:ind w:firstLine="440" w:firstLineChars="200"/>
        <w:rPr>
          <w:rFonts w:cs="Times New Roman"/>
        </w:rPr>
      </w:pPr>
      <w:r>
        <w:t xml:space="preserve">4.11.1 </w:t>
      </w:r>
      <w:r>
        <w:rPr>
          <w:rFonts w:hint="eastAsia"/>
        </w:rPr>
        <w:t>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cs="Times New Roman"/>
        </w:rPr>
      </w:pPr>
      <w:r>
        <w:t xml:space="preserve">4.11.2 </w:t>
      </w:r>
      <w:r>
        <w:rPr>
          <w:rFonts w:hint="eastAsia"/>
        </w:rPr>
        <w:t>承包人遇到不利物质条件时，应采取适应不利物质条件的合理措施继续施工，并及时通知监理人。监理人应当及时发出指示，指示构成变更的，按第</w:t>
      </w:r>
      <w:r>
        <w:t>15</w:t>
      </w:r>
      <w:r>
        <w:rPr>
          <w:rFonts w:hint="eastAsia"/>
        </w:rPr>
        <w:t>条约定办理。监理人没有发出指示的，承包人因采取合理措施而增加的费用和（或）工期延误，由发包人承担。</w:t>
      </w:r>
    </w:p>
    <w:p>
      <w:pPr>
        <w:pStyle w:val="51"/>
        <w:rPr>
          <w:sz w:val="21"/>
          <w:szCs w:val="21"/>
        </w:rPr>
      </w:pPr>
      <w:bookmarkStart w:id="199" w:name="_Toc144974619"/>
      <w:bookmarkStart w:id="200" w:name="_Toc309397329"/>
      <w:bookmarkStart w:id="201" w:name="_Toc152042429"/>
      <w:bookmarkStart w:id="202" w:name="_Toc179632669"/>
      <w:bookmarkStart w:id="203" w:name="_Toc152045651"/>
      <w:r>
        <w:rPr>
          <w:sz w:val="21"/>
          <w:szCs w:val="21"/>
        </w:rPr>
        <w:t xml:space="preserve">5. </w:t>
      </w:r>
      <w:r>
        <w:rPr>
          <w:rFonts w:hint="eastAsia" w:cs="宋体"/>
          <w:sz w:val="21"/>
          <w:szCs w:val="21"/>
        </w:rPr>
        <w:t>材料和工程设备</w:t>
      </w:r>
      <w:bookmarkEnd w:id="199"/>
      <w:bookmarkEnd w:id="200"/>
      <w:bookmarkEnd w:id="201"/>
      <w:bookmarkEnd w:id="202"/>
      <w:bookmarkEnd w:id="203"/>
    </w:p>
    <w:p>
      <w:pPr>
        <w:pStyle w:val="52"/>
        <w:rPr>
          <w:rFonts w:cs="Times New Roman"/>
          <w:sz w:val="21"/>
          <w:szCs w:val="21"/>
        </w:rPr>
      </w:pPr>
      <w:bookmarkStart w:id="204" w:name="_Toc144974620"/>
      <w:bookmarkStart w:id="205" w:name="_Toc179632670"/>
      <w:bookmarkStart w:id="206" w:name="_Toc309397330"/>
      <w:bookmarkStart w:id="207" w:name="_Toc152045652"/>
      <w:bookmarkStart w:id="208" w:name="_Toc152042430"/>
      <w:r>
        <w:rPr>
          <w:sz w:val="21"/>
          <w:szCs w:val="21"/>
        </w:rPr>
        <w:t xml:space="preserve">5.1 </w:t>
      </w:r>
      <w:r>
        <w:rPr>
          <w:rFonts w:hint="eastAsia" w:cs="黑体"/>
          <w:sz w:val="21"/>
          <w:szCs w:val="21"/>
        </w:rPr>
        <w:t>承包人提供的材料和工程设备</w:t>
      </w:r>
      <w:bookmarkEnd w:id="204"/>
      <w:bookmarkEnd w:id="205"/>
      <w:bookmarkEnd w:id="206"/>
      <w:bookmarkEnd w:id="207"/>
      <w:bookmarkEnd w:id="208"/>
    </w:p>
    <w:p>
      <w:pPr>
        <w:spacing w:line="400" w:lineRule="exact"/>
        <w:ind w:firstLine="440" w:firstLineChars="200"/>
        <w:rPr>
          <w:rFonts w:cs="Times New Roman"/>
        </w:rPr>
      </w:pPr>
      <w:r>
        <w:t xml:space="preserve">5.1.1 </w:t>
      </w:r>
      <w:r>
        <w:rPr>
          <w:rFonts w:hint="eastAsia"/>
        </w:rPr>
        <w:t>除专用合同条款另有约定外，承包人提供的材料和工程设备均由承包人负责采购、运输和保管。承包人应对其采购的材料和工程设备负责。</w:t>
      </w:r>
    </w:p>
    <w:p>
      <w:pPr>
        <w:spacing w:line="400" w:lineRule="exact"/>
        <w:ind w:firstLine="440" w:firstLineChars="200"/>
        <w:rPr>
          <w:rFonts w:cs="Times New Roman"/>
        </w:rPr>
      </w:pPr>
      <w:r>
        <w:t xml:space="preserve">5.1.2 </w:t>
      </w:r>
      <w:r>
        <w:rPr>
          <w:rFonts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cs="Times New Roman"/>
        </w:rPr>
      </w:pPr>
      <w:r>
        <w:t>5.1.3</w:t>
      </w:r>
      <w:r>
        <w:rPr>
          <w:rFonts w:hint="eastAsia"/>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2"/>
        <w:rPr>
          <w:rFonts w:cs="Times New Roman"/>
          <w:sz w:val="21"/>
          <w:szCs w:val="21"/>
        </w:rPr>
      </w:pPr>
      <w:bookmarkStart w:id="209" w:name="_Toc152045653"/>
      <w:bookmarkStart w:id="210" w:name="_Toc309397331"/>
      <w:bookmarkStart w:id="211" w:name="_Toc179632671"/>
      <w:bookmarkStart w:id="212" w:name="_Toc144974621"/>
      <w:bookmarkStart w:id="213" w:name="_Toc152042431"/>
      <w:r>
        <w:rPr>
          <w:sz w:val="21"/>
          <w:szCs w:val="21"/>
        </w:rPr>
        <w:t xml:space="preserve">5.2 </w:t>
      </w:r>
      <w:r>
        <w:rPr>
          <w:rFonts w:hint="eastAsia" w:cs="黑体"/>
          <w:sz w:val="21"/>
          <w:szCs w:val="21"/>
        </w:rPr>
        <w:t>发包人提供的材料和工程设备</w:t>
      </w:r>
      <w:bookmarkEnd w:id="209"/>
      <w:bookmarkEnd w:id="210"/>
      <w:bookmarkEnd w:id="211"/>
      <w:bookmarkEnd w:id="212"/>
      <w:bookmarkEnd w:id="213"/>
    </w:p>
    <w:p>
      <w:pPr>
        <w:spacing w:line="400" w:lineRule="exact"/>
        <w:ind w:firstLine="440" w:firstLineChars="200"/>
        <w:rPr>
          <w:rFonts w:cs="Times New Roman"/>
        </w:rPr>
      </w:pPr>
      <w:r>
        <w:t xml:space="preserve">5.2.1 </w:t>
      </w:r>
      <w:r>
        <w:rPr>
          <w:rFonts w:hint="eastAsia"/>
        </w:rPr>
        <w:t>发包人提供的材料和工程设备，应在专用合同条款中写明材料和工程设备的名称、规格、数量、价格、交货方式、交货地点和计划交货日期等。</w:t>
      </w:r>
    </w:p>
    <w:p>
      <w:pPr>
        <w:spacing w:line="400" w:lineRule="exact"/>
        <w:ind w:firstLine="440" w:firstLineChars="200"/>
        <w:rPr>
          <w:rFonts w:cs="Times New Roman"/>
        </w:rPr>
      </w:pPr>
      <w:r>
        <w:t xml:space="preserve">5.2.2 </w:t>
      </w:r>
      <w:r>
        <w:rPr>
          <w:rFonts w:hint="eastAsia"/>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cs="Times New Roman"/>
        </w:rPr>
      </w:pPr>
      <w:r>
        <w:t xml:space="preserve">5.2.3 </w:t>
      </w:r>
      <w:r>
        <w:rPr>
          <w:rFonts w:hint="eastAsia"/>
        </w:rPr>
        <w:t>发包人应在材料和工程设备到货</w:t>
      </w:r>
      <w:r>
        <w:t>7</w:t>
      </w:r>
      <w:r>
        <w:rPr>
          <w:rFonts w:hint="eastAsia"/>
        </w:rPr>
        <w:t>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pPr>
      <w:r>
        <w:t xml:space="preserve">5.2.4 </w:t>
      </w:r>
      <w:r>
        <w:rPr>
          <w:rFonts w:hint="eastAsia"/>
        </w:rPr>
        <w:t>发包人要求向承包人提前交货的，承包人不得拒绝，但发包人应承担承包人由此增加的费用。</w:t>
      </w:r>
      <w:r>
        <w:t xml:space="preserve"> </w:t>
      </w:r>
    </w:p>
    <w:p>
      <w:pPr>
        <w:spacing w:line="400" w:lineRule="exact"/>
        <w:ind w:firstLine="440" w:firstLineChars="200"/>
      </w:pPr>
      <w:r>
        <w:t xml:space="preserve">5.2.5 </w:t>
      </w:r>
      <w:r>
        <w:rPr>
          <w:rFonts w:hint="eastAsia"/>
        </w:rPr>
        <w:t>承包人要求更改交货日期或地点的，应事先报请监理人批准。由于承包人要求更改交货时间或地点所增加的费用和（或）工期延误由承包人承担。</w:t>
      </w:r>
      <w:r>
        <w:t xml:space="preserve"> </w:t>
      </w:r>
    </w:p>
    <w:p>
      <w:pPr>
        <w:spacing w:line="400" w:lineRule="exact"/>
        <w:ind w:firstLine="440" w:firstLineChars="200"/>
        <w:rPr>
          <w:rFonts w:cs="Times New Roman"/>
        </w:rPr>
      </w:pPr>
      <w:r>
        <w:t xml:space="preserve">5.2.6 </w:t>
      </w:r>
      <w:r>
        <w:rPr>
          <w:rFonts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2"/>
        <w:rPr>
          <w:rFonts w:cs="Times New Roman"/>
          <w:sz w:val="21"/>
          <w:szCs w:val="21"/>
        </w:rPr>
      </w:pPr>
      <w:bookmarkStart w:id="214" w:name="_Toc179632672"/>
      <w:bookmarkStart w:id="215" w:name="_Toc309397332"/>
      <w:bookmarkStart w:id="216" w:name="_Toc152045654"/>
      <w:bookmarkStart w:id="217" w:name="_Toc144974622"/>
      <w:bookmarkStart w:id="218" w:name="_Toc152042432"/>
      <w:r>
        <w:rPr>
          <w:sz w:val="21"/>
          <w:szCs w:val="21"/>
        </w:rPr>
        <w:t xml:space="preserve">5.3 </w:t>
      </w:r>
      <w:r>
        <w:rPr>
          <w:rFonts w:hint="eastAsia" w:cs="黑体"/>
          <w:sz w:val="21"/>
          <w:szCs w:val="21"/>
        </w:rPr>
        <w:t>材料和工程设备专用于合同工程</w:t>
      </w:r>
      <w:bookmarkEnd w:id="214"/>
      <w:bookmarkEnd w:id="215"/>
      <w:bookmarkEnd w:id="216"/>
      <w:bookmarkEnd w:id="217"/>
      <w:bookmarkEnd w:id="218"/>
    </w:p>
    <w:p>
      <w:pPr>
        <w:spacing w:line="400" w:lineRule="exact"/>
        <w:ind w:firstLine="440" w:firstLineChars="200"/>
        <w:rPr>
          <w:rFonts w:cs="Times New Roman"/>
        </w:rPr>
      </w:pPr>
      <w:r>
        <w:t>5.3.1</w:t>
      </w:r>
      <w:r>
        <w:rPr>
          <w:rFonts w:hint="eastAsia"/>
        </w:rPr>
        <w:t>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cs="Times New Roman"/>
        </w:rPr>
      </w:pPr>
      <w:r>
        <w:t xml:space="preserve">5.3.2 </w:t>
      </w:r>
      <w:r>
        <w:rPr>
          <w:rFonts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2"/>
        <w:rPr>
          <w:rFonts w:cs="Times New Roman"/>
          <w:sz w:val="21"/>
          <w:szCs w:val="21"/>
        </w:rPr>
      </w:pPr>
      <w:bookmarkStart w:id="219" w:name="_Toc152045655"/>
      <w:bookmarkStart w:id="220" w:name="_Toc309397333"/>
      <w:bookmarkStart w:id="221" w:name="_Toc179632673"/>
      <w:bookmarkStart w:id="222" w:name="_Toc144974623"/>
      <w:bookmarkStart w:id="223" w:name="_Toc152042433"/>
      <w:r>
        <w:rPr>
          <w:sz w:val="21"/>
          <w:szCs w:val="21"/>
        </w:rPr>
        <w:t xml:space="preserve">5.4 </w:t>
      </w:r>
      <w:r>
        <w:rPr>
          <w:rFonts w:hint="eastAsia" w:cs="黑体"/>
          <w:sz w:val="21"/>
          <w:szCs w:val="21"/>
        </w:rPr>
        <w:t>禁止使用不合格的材料和工程设备</w:t>
      </w:r>
      <w:bookmarkEnd w:id="219"/>
      <w:bookmarkEnd w:id="220"/>
      <w:bookmarkEnd w:id="221"/>
      <w:bookmarkEnd w:id="222"/>
      <w:bookmarkEnd w:id="223"/>
    </w:p>
    <w:p>
      <w:pPr>
        <w:spacing w:line="400" w:lineRule="exact"/>
        <w:ind w:firstLine="440" w:firstLineChars="200"/>
        <w:rPr>
          <w:rFonts w:cs="Times New Roman"/>
        </w:rPr>
      </w:pPr>
      <w:r>
        <w:t xml:space="preserve">5.4.1 </w:t>
      </w:r>
      <w:r>
        <w:rPr>
          <w:rFonts w:hint="eastAsia"/>
        </w:rPr>
        <w:t>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cs="Times New Roman"/>
        </w:rPr>
      </w:pPr>
      <w:r>
        <w:t xml:space="preserve">5.4.2 </w:t>
      </w:r>
      <w:r>
        <w:rPr>
          <w:rFonts w:hint="eastAsia"/>
        </w:rPr>
        <w:t>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cs="Times New Roman"/>
        </w:rPr>
      </w:pPr>
      <w:r>
        <w:t xml:space="preserve">5.4.3 </w:t>
      </w:r>
      <w:r>
        <w:rPr>
          <w:rFonts w:hint="eastAsia"/>
        </w:rPr>
        <w:t>发包人提供的材料或工程设备不符合合同要求的，承包人有权拒绝，并可要求发包人更换，由此增加的费用和（或）工期延误由发包人承担。</w:t>
      </w:r>
    </w:p>
    <w:p>
      <w:pPr>
        <w:pStyle w:val="51"/>
        <w:rPr>
          <w:sz w:val="21"/>
          <w:szCs w:val="21"/>
        </w:rPr>
      </w:pPr>
      <w:bookmarkStart w:id="224" w:name="_Toc152042434"/>
      <w:bookmarkStart w:id="225" w:name="_Toc144974624"/>
      <w:bookmarkStart w:id="226" w:name="_Toc152045656"/>
      <w:bookmarkStart w:id="227" w:name="_Toc309397334"/>
      <w:bookmarkStart w:id="228" w:name="_Toc179632674"/>
      <w:r>
        <w:rPr>
          <w:sz w:val="21"/>
          <w:szCs w:val="21"/>
        </w:rPr>
        <w:t xml:space="preserve">6. </w:t>
      </w:r>
      <w:r>
        <w:rPr>
          <w:rFonts w:hint="eastAsia" w:cs="宋体"/>
          <w:sz w:val="21"/>
          <w:szCs w:val="21"/>
        </w:rPr>
        <w:t>施工设备和临时设施</w:t>
      </w:r>
      <w:bookmarkEnd w:id="224"/>
      <w:bookmarkEnd w:id="225"/>
      <w:bookmarkEnd w:id="226"/>
      <w:bookmarkEnd w:id="227"/>
      <w:bookmarkEnd w:id="228"/>
    </w:p>
    <w:p>
      <w:pPr>
        <w:pStyle w:val="52"/>
        <w:rPr>
          <w:rFonts w:cs="Times New Roman"/>
          <w:sz w:val="21"/>
          <w:szCs w:val="21"/>
        </w:rPr>
      </w:pPr>
      <w:bookmarkStart w:id="229" w:name="_Toc144974625"/>
      <w:bookmarkStart w:id="230" w:name="_Toc152042435"/>
      <w:bookmarkStart w:id="231" w:name="_Toc152045657"/>
      <w:bookmarkStart w:id="232" w:name="_Toc179632675"/>
      <w:bookmarkStart w:id="233" w:name="_Toc309397335"/>
      <w:r>
        <w:rPr>
          <w:sz w:val="21"/>
          <w:szCs w:val="21"/>
        </w:rPr>
        <w:t xml:space="preserve">6.1 </w:t>
      </w:r>
      <w:r>
        <w:rPr>
          <w:rFonts w:hint="eastAsia" w:cs="黑体"/>
          <w:sz w:val="21"/>
          <w:szCs w:val="21"/>
        </w:rPr>
        <w:t>承包人提供的施工设备和临时设施</w:t>
      </w:r>
      <w:bookmarkEnd w:id="229"/>
      <w:bookmarkEnd w:id="230"/>
      <w:bookmarkEnd w:id="231"/>
      <w:bookmarkEnd w:id="232"/>
      <w:bookmarkEnd w:id="233"/>
    </w:p>
    <w:p>
      <w:pPr>
        <w:spacing w:line="400" w:lineRule="exact"/>
        <w:ind w:firstLine="440" w:firstLineChars="200"/>
        <w:rPr>
          <w:rFonts w:cs="Times New Roman"/>
        </w:rPr>
      </w:pPr>
      <w:r>
        <w:t xml:space="preserve">6.1.1 </w:t>
      </w:r>
      <w:r>
        <w:rPr>
          <w:rFonts w:hint="eastAsia"/>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cs="Times New Roman"/>
        </w:rPr>
      </w:pPr>
      <w:r>
        <w:t>6.1.2</w:t>
      </w:r>
      <w:r>
        <w:rPr>
          <w:rFonts w:hint="eastAsia"/>
        </w:rPr>
        <w:t>除专用合同条款另有约定外，承包人应自行承担修建临时设施的费用，需要临时占地的，应由发包人办理申请手续并承担相应费用。</w:t>
      </w:r>
    </w:p>
    <w:p>
      <w:pPr>
        <w:pStyle w:val="52"/>
        <w:rPr>
          <w:rFonts w:cs="Times New Roman"/>
          <w:sz w:val="21"/>
          <w:szCs w:val="21"/>
        </w:rPr>
      </w:pPr>
      <w:bookmarkStart w:id="234" w:name="_Toc179632676"/>
      <w:bookmarkStart w:id="235" w:name="_Toc144974626"/>
      <w:bookmarkStart w:id="236" w:name="_Toc152042436"/>
      <w:bookmarkStart w:id="237" w:name="_Toc152045658"/>
      <w:bookmarkStart w:id="238" w:name="_Toc309397336"/>
      <w:r>
        <w:rPr>
          <w:sz w:val="21"/>
          <w:szCs w:val="21"/>
        </w:rPr>
        <w:t xml:space="preserve">6.2 </w:t>
      </w:r>
      <w:r>
        <w:rPr>
          <w:rFonts w:hint="eastAsia" w:cs="黑体"/>
          <w:sz w:val="21"/>
          <w:szCs w:val="21"/>
        </w:rPr>
        <w:t>发包人提供的施工设备和临时设施</w:t>
      </w:r>
      <w:bookmarkEnd w:id="234"/>
      <w:bookmarkEnd w:id="235"/>
      <w:bookmarkEnd w:id="236"/>
      <w:bookmarkEnd w:id="237"/>
      <w:bookmarkEnd w:id="238"/>
    </w:p>
    <w:p>
      <w:pPr>
        <w:spacing w:line="400" w:lineRule="exact"/>
        <w:ind w:firstLine="440" w:firstLineChars="200"/>
        <w:rPr>
          <w:rFonts w:cs="Times New Roman"/>
        </w:rPr>
      </w:pPr>
      <w:r>
        <w:rPr>
          <w:rFonts w:hint="eastAsia"/>
        </w:rPr>
        <w:t>发包人提供的施工设备或临时设施在专用合同条款中约定。</w:t>
      </w:r>
    </w:p>
    <w:p>
      <w:pPr>
        <w:pStyle w:val="52"/>
        <w:rPr>
          <w:rFonts w:cs="Times New Roman"/>
          <w:sz w:val="21"/>
          <w:szCs w:val="21"/>
        </w:rPr>
      </w:pPr>
      <w:bookmarkStart w:id="239" w:name="_Toc144974627"/>
      <w:bookmarkStart w:id="240" w:name="_Toc152042437"/>
      <w:bookmarkStart w:id="241" w:name="_Toc179632677"/>
      <w:bookmarkStart w:id="242" w:name="_Toc152045659"/>
      <w:bookmarkStart w:id="243" w:name="_Toc309397337"/>
      <w:r>
        <w:rPr>
          <w:sz w:val="21"/>
          <w:szCs w:val="21"/>
        </w:rPr>
        <w:t xml:space="preserve">6.3 </w:t>
      </w:r>
      <w:r>
        <w:rPr>
          <w:rFonts w:hint="eastAsia" w:cs="黑体"/>
          <w:sz w:val="21"/>
          <w:szCs w:val="21"/>
        </w:rPr>
        <w:t>要求承包人增加或更换施工设备</w:t>
      </w:r>
      <w:bookmarkEnd w:id="239"/>
      <w:bookmarkEnd w:id="240"/>
      <w:bookmarkEnd w:id="241"/>
      <w:bookmarkEnd w:id="242"/>
      <w:bookmarkEnd w:id="243"/>
    </w:p>
    <w:p>
      <w:pPr>
        <w:spacing w:line="400" w:lineRule="exact"/>
        <w:ind w:firstLine="440" w:firstLineChars="200"/>
        <w:rPr>
          <w:rFonts w:cs="Times New Roman"/>
        </w:rPr>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pPr>
        <w:pStyle w:val="52"/>
        <w:rPr>
          <w:rFonts w:cs="Times New Roman"/>
          <w:sz w:val="21"/>
          <w:szCs w:val="21"/>
        </w:rPr>
      </w:pPr>
      <w:bookmarkStart w:id="244" w:name="_Toc309397338"/>
      <w:bookmarkStart w:id="245" w:name="_Toc179632678"/>
      <w:bookmarkStart w:id="246" w:name="_Toc144974628"/>
      <w:bookmarkStart w:id="247" w:name="_Toc152042438"/>
      <w:bookmarkStart w:id="248" w:name="_Toc152045660"/>
      <w:r>
        <w:rPr>
          <w:sz w:val="21"/>
          <w:szCs w:val="21"/>
        </w:rPr>
        <w:t xml:space="preserve">6.4 </w:t>
      </w:r>
      <w:r>
        <w:rPr>
          <w:rFonts w:hint="eastAsia" w:cs="黑体"/>
          <w:sz w:val="21"/>
          <w:szCs w:val="21"/>
        </w:rPr>
        <w:t>施工设备和临时设施专用于合同工程</w:t>
      </w:r>
      <w:bookmarkEnd w:id="244"/>
      <w:bookmarkEnd w:id="245"/>
      <w:bookmarkEnd w:id="246"/>
      <w:bookmarkEnd w:id="247"/>
      <w:bookmarkEnd w:id="248"/>
    </w:p>
    <w:p>
      <w:pPr>
        <w:spacing w:line="400" w:lineRule="exact"/>
        <w:ind w:firstLine="440" w:firstLineChars="200"/>
        <w:rPr>
          <w:rFonts w:cs="Times New Roman"/>
        </w:rPr>
      </w:pPr>
      <w:r>
        <w:t>6.4.1</w:t>
      </w:r>
      <w:r>
        <w:rPr>
          <w:rFonts w:hint="eastAsia"/>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cs="Times New Roman"/>
        </w:rPr>
      </w:pPr>
      <w:r>
        <w:t xml:space="preserve">6.4.2 </w:t>
      </w:r>
      <w:r>
        <w:rPr>
          <w:rFonts w:hint="eastAsia"/>
        </w:rPr>
        <w:t>经监理人同意，承包人可根据合同进度计划撤走闲置的施工设备。</w:t>
      </w:r>
    </w:p>
    <w:p>
      <w:pPr>
        <w:pStyle w:val="51"/>
        <w:rPr>
          <w:sz w:val="21"/>
          <w:szCs w:val="21"/>
        </w:rPr>
      </w:pPr>
      <w:bookmarkStart w:id="249" w:name="_Toc152042439"/>
      <w:bookmarkStart w:id="250" w:name="_Toc309397339"/>
      <w:bookmarkStart w:id="251" w:name="_Toc179632679"/>
      <w:bookmarkStart w:id="252" w:name="_Toc144974629"/>
      <w:bookmarkStart w:id="253" w:name="_Toc152045661"/>
      <w:r>
        <w:rPr>
          <w:sz w:val="21"/>
          <w:szCs w:val="21"/>
        </w:rPr>
        <w:t xml:space="preserve">7. </w:t>
      </w:r>
      <w:r>
        <w:rPr>
          <w:rFonts w:hint="eastAsia" w:cs="宋体"/>
          <w:sz w:val="21"/>
          <w:szCs w:val="21"/>
        </w:rPr>
        <w:t>交通运输</w:t>
      </w:r>
      <w:bookmarkEnd w:id="249"/>
      <w:bookmarkEnd w:id="250"/>
      <w:bookmarkEnd w:id="251"/>
      <w:bookmarkEnd w:id="252"/>
      <w:bookmarkEnd w:id="253"/>
    </w:p>
    <w:p>
      <w:pPr>
        <w:pStyle w:val="52"/>
        <w:rPr>
          <w:rFonts w:cs="Times New Roman"/>
          <w:sz w:val="21"/>
          <w:szCs w:val="21"/>
        </w:rPr>
      </w:pPr>
      <w:bookmarkStart w:id="254" w:name="_Toc309397340"/>
      <w:bookmarkStart w:id="255" w:name="_Toc144974630"/>
      <w:bookmarkStart w:id="256" w:name="_Toc179632680"/>
      <w:bookmarkStart w:id="257" w:name="_Toc152045662"/>
      <w:bookmarkStart w:id="258" w:name="_Toc152042440"/>
      <w:r>
        <w:rPr>
          <w:sz w:val="21"/>
          <w:szCs w:val="21"/>
        </w:rPr>
        <w:t xml:space="preserve">7.1 </w:t>
      </w:r>
      <w:r>
        <w:rPr>
          <w:rFonts w:hint="eastAsia" w:cs="黑体"/>
          <w:sz w:val="21"/>
          <w:szCs w:val="21"/>
        </w:rPr>
        <w:t>道路通行权和场外设施</w:t>
      </w:r>
      <w:bookmarkEnd w:id="254"/>
      <w:bookmarkEnd w:id="255"/>
      <w:bookmarkEnd w:id="256"/>
      <w:bookmarkEnd w:id="257"/>
      <w:bookmarkEnd w:id="258"/>
    </w:p>
    <w:p>
      <w:pPr>
        <w:spacing w:line="400" w:lineRule="exact"/>
        <w:ind w:firstLine="440" w:firstLineChars="200"/>
        <w:rPr>
          <w:rFonts w:cs="Times New Roman"/>
        </w:rPr>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2"/>
        <w:rPr>
          <w:rFonts w:cs="Times New Roman"/>
          <w:sz w:val="21"/>
          <w:szCs w:val="21"/>
        </w:rPr>
      </w:pPr>
      <w:bookmarkStart w:id="259" w:name="_Toc144974631"/>
      <w:bookmarkStart w:id="260" w:name="_Toc179632681"/>
      <w:bookmarkStart w:id="261" w:name="_Toc309397341"/>
      <w:bookmarkStart w:id="262" w:name="_Toc152042441"/>
      <w:bookmarkStart w:id="263" w:name="_Toc152045663"/>
      <w:r>
        <w:rPr>
          <w:sz w:val="21"/>
          <w:szCs w:val="21"/>
        </w:rPr>
        <w:t xml:space="preserve">7.2 </w:t>
      </w:r>
      <w:r>
        <w:rPr>
          <w:rFonts w:hint="eastAsia" w:cs="黑体"/>
          <w:sz w:val="21"/>
          <w:szCs w:val="21"/>
        </w:rPr>
        <w:t>场内施工道路</w:t>
      </w:r>
      <w:bookmarkEnd w:id="259"/>
      <w:bookmarkEnd w:id="260"/>
      <w:bookmarkEnd w:id="261"/>
      <w:bookmarkEnd w:id="262"/>
      <w:bookmarkEnd w:id="263"/>
    </w:p>
    <w:p>
      <w:pPr>
        <w:spacing w:line="400" w:lineRule="exact"/>
        <w:ind w:firstLine="440" w:firstLineChars="200"/>
        <w:rPr>
          <w:rFonts w:cs="Times New Roman"/>
        </w:rPr>
      </w:pPr>
      <w:r>
        <w:t xml:space="preserve">7.2.1 </w:t>
      </w:r>
      <w:r>
        <w:rPr>
          <w:rFonts w:hint="eastAsia"/>
        </w:rPr>
        <w:t>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cs="Times New Roman"/>
        </w:rPr>
      </w:pPr>
      <w:r>
        <w:t xml:space="preserve">7.2.2 </w:t>
      </w:r>
      <w:r>
        <w:rPr>
          <w:rFonts w:hint="eastAsia"/>
        </w:rPr>
        <w:t>除专用合同条款另有约定外，承包人修建的临时道路和交通设施应免费提供发包人和监理人使用。</w:t>
      </w:r>
    </w:p>
    <w:p>
      <w:pPr>
        <w:pStyle w:val="52"/>
        <w:rPr>
          <w:rFonts w:cs="Times New Roman"/>
          <w:sz w:val="21"/>
          <w:szCs w:val="21"/>
        </w:rPr>
      </w:pPr>
      <w:bookmarkStart w:id="264" w:name="_Toc144974632"/>
      <w:bookmarkStart w:id="265" w:name="_Toc179632682"/>
      <w:bookmarkStart w:id="266" w:name="_Toc152045664"/>
      <w:bookmarkStart w:id="267" w:name="_Toc309397342"/>
      <w:bookmarkStart w:id="268" w:name="_Toc152042442"/>
      <w:r>
        <w:rPr>
          <w:sz w:val="21"/>
          <w:szCs w:val="21"/>
        </w:rPr>
        <w:t xml:space="preserve">7.3 </w:t>
      </w:r>
      <w:r>
        <w:rPr>
          <w:rFonts w:hint="eastAsia" w:cs="黑体"/>
          <w:sz w:val="21"/>
          <w:szCs w:val="21"/>
        </w:rPr>
        <w:t>场外交通</w:t>
      </w:r>
      <w:bookmarkEnd w:id="264"/>
      <w:bookmarkEnd w:id="265"/>
      <w:bookmarkEnd w:id="266"/>
      <w:bookmarkEnd w:id="267"/>
      <w:bookmarkEnd w:id="268"/>
    </w:p>
    <w:p>
      <w:pPr>
        <w:spacing w:line="400" w:lineRule="exact"/>
        <w:ind w:firstLine="440" w:firstLineChars="200"/>
        <w:rPr>
          <w:rFonts w:cs="Times New Roman"/>
        </w:rPr>
      </w:pPr>
      <w:r>
        <w:t xml:space="preserve">7.3.1 </w:t>
      </w:r>
      <w:r>
        <w:rPr>
          <w:rFonts w:hint="eastAsia"/>
        </w:rPr>
        <w:t>承包人车辆外出行驶所需的场外公共道路的通行费、养路费和税款等由承包人承担。</w:t>
      </w:r>
    </w:p>
    <w:p>
      <w:pPr>
        <w:spacing w:line="400" w:lineRule="exact"/>
        <w:ind w:firstLine="440" w:firstLineChars="200"/>
        <w:rPr>
          <w:rFonts w:cs="Times New Roman"/>
        </w:rPr>
      </w:pPr>
      <w:r>
        <w:t xml:space="preserve">7.3.2 </w:t>
      </w:r>
      <w:r>
        <w:rPr>
          <w:rFonts w:hint="eastAsia"/>
        </w:rPr>
        <w:t>承包人应遵守有关交通法规，严格按照道路和桥梁的限制荷重安全行驶，并服从交通管理部门的检查和监督。</w:t>
      </w:r>
    </w:p>
    <w:p>
      <w:pPr>
        <w:pStyle w:val="52"/>
        <w:rPr>
          <w:rFonts w:cs="Times New Roman"/>
          <w:sz w:val="21"/>
          <w:szCs w:val="21"/>
        </w:rPr>
      </w:pPr>
      <w:bookmarkStart w:id="269" w:name="_Toc152045665"/>
      <w:bookmarkStart w:id="270" w:name="_Toc144974633"/>
      <w:bookmarkStart w:id="271" w:name="_Toc179632683"/>
      <w:bookmarkStart w:id="272" w:name="_Toc152042443"/>
      <w:bookmarkStart w:id="273" w:name="_Toc309397343"/>
      <w:r>
        <w:rPr>
          <w:sz w:val="21"/>
          <w:szCs w:val="21"/>
        </w:rPr>
        <w:t xml:space="preserve">7.4 </w:t>
      </w:r>
      <w:r>
        <w:rPr>
          <w:rFonts w:hint="eastAsia" w:cs="黑体"/>
          <w:sz w:val="21"/>
          <w:szCs w:val="21"/>
        </w:rPr>
        <w:t>超大件和超重件的运输</w:t>
      </w:r>
      <w:bookmarkEnd w:id="269"/>
      <w:bookmarkEnd w:id="270"/>
      <w:bookmarkEnd w:id="271"/>
      <w:bookmarkEnd w:id="272"/>
      <w:bookmarkEnd w:id="273"/>
    </w:p>
    <w:p>
      <w:pPr>
        <w:spacing w:line="400" w:lineRule="exact"/>
        <w:ind w:firstLine="440" w:firstLineChars="200"/>
        <w:rPr>
          <w:rFonts w:cs="Times New Roman"/>
        </w:rPr>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2"/>
        <w:rPr>
          <w:rFonts w:cs="Times New Roman"/>
          <w:sz w:val="21"/>
          <w:szCs w:val="21"/>
        </w:rPr>
      </w:pPr>
      <w:bookmarkStart w:id="274" w:name="_Toc309397344"/>
      <w:bookmarkStart w:id="275" w:name="_Toc152042444"/>
      <w:bookmarkStart w:id="276" w:name="_Toc152045666"/>
      <w:bookmarkStart w:id="277" w:name="_Toc144974634"/>
      <w:bookmarkStart w:id="278" w:name="_Toc179632684"/>
      <w:r>
        <w:rPr>
          <w:sz w:val="21"/>
          <w:szCs w:val="21"/>
        </w:rPr>
        <w:t xml:space="preserve">7.5 </w:t>
      </w:r>
      <w:r>
        <w:rPr>
          <w:rFonts w:hint="eastAsia" w:cs="黑体"/>
          <w:sz w:val="21"/>
          <w:szCs w:val="21"/>
        </w:rPr>
        <w:t>道路和桥梁的损坏责任</w:t>
      </w:r>
      <w:bookmarkEnd w:id="274"/>
      <w:bookmarkEnd w:id="275"/>
      <w:bookmarkEnd w:id="276"/>
      <w:bookmarkEnd w:id="277"/>
      <w:bookmarkEnd w:id="278"/>
    </w:p>
    <w:p>
      <w:pPr>
        <w:spacing w:line="400" w:lineRule="exact"/>
        <w:ind w:firstLine="440" w:firstLineChars="200"/>
        <w:rPr>
          <w:rFonts w:cs="Times New Roman"/>
        </w:rPr>
      </w:pPr>
      <w:r>
        <w:rPr>
          <w:rFonts w:hint="eastAsia"/>
        </w:rPr>
        <w:t>因承包人运输造成施工场地内外公共道路和桥梁损坏的，由承包人承担修复损坏的全部费用和可能引起的赔偿。</w:t>
      </w:r>
    </w:p>
    <w:p>
      <w:pPr>
        <w:pStyle w:val="52"/>
        <w:rPr>
          <w:rFonts w:cs="Times New Roman"/>
          <w:sz w:val="21"/>
          <w:szCs w:val="21"/>
        </w:rPr>
      </w:pPr>
      <w:bookmarkStart w:id="279" w:name="_Toc309397345"/>
      <w:bookmarkStart w:id="280" w:name="_Toc152045667"/>
      <w:bookmarkStart w:id="281" w:name="_Toc179632685"/>
      <w:bookmarkStart w:id="282" w:name="_Toc144974635"/>
      <w:bookmarkStart w:id="283" w:name="_Toc152042445"/>
      <w:r>
        <w:rPr>
          <w:sz w:val="21"/>
          <w:szCs w:val="21"/>
        </w:rPr>
        <w:t xml:space="preserve">7.6 </w:t>
      </w:r>
      <w:r>
        <w:rPr>
          <w:rFonts w:hint="eastAsia" w:cs="黑体"/>
          <w:sz w:val="21"/>
          <w:szCs w:val="21"/>
        </w:rPr>
        <w:t>水路和航空运输</w:t>
      </w:r>
      <w:bookmarkEnd w:id="279"/>
      <w:bookmarkEnd w:id="280"/>
      <w:bookmarkEnd w:id="281"/>
      <w:bookmarkEnd w:id="282"/>
      <w:bookmarkEnd w:id="283"/>
    </w:p>
    <w:p>
      <w:pPr>
        <w:spacing w:line="400" w:lineRule="exact"/>
        <w:ind w:firstLine="440" w:firstLineChars="200"/>
      </w:pPr>
      <w:r>
        <w:rPr>
          <w:rFonts w:hint="eastAsia"/>
        </w:rPr>
        <w:t>本条上述各款的内容适用于水路运输和航空运输，其中“道路”一词的涵义包括河道、航线、船闸、机场、码头、堤防以及水路或航空运输中其他相似结构物；“车辆”一词的涵义包括船舶和飞机等。</w:t>
      </w:r>
      <w:r>
        <w:t xml:space="preserve"> </w:t>
      </w:r>
    </w:p>
    <w:p>
      <w:pPr>
        <w:pStyle w:val="51"/>
        <w:rPr>
          <w:sz w:val="21"/>
          <w:szCs w:val="21"/>
        </w:rPr>
      </w:pPr>
      <w:bookmarkStart w:id="284" w:name="_Toc152042446"/>
      <w:bookmarkStart w:id="285" w:name="_Toc152045668"/>
      <w:bookmarkStart w:id="286" w:name="_Toc179632686"/>
      <w:bookmarkStart w:id="287" w:name="_Toc309397346"/>
      <w:bookmarkStart w:id="288" w:name="_Toc144974636"/>
      <w:r>
        <w:rPr>
          <w:sz w:val="21"/>
          <w:szCs w:val="21"/>
        </w:rPr>
        <w:t xml:space="preserve">8. </w:t>
      </w:r>
      <w:r>
        <w:rPr>
          <w:rFonts w:hint="eastAsia" w:cs="宋体"/>
          <w:sz w:val="21"/>
          <w:szCs w:val="21"/>
        </w:rPr>
        <w:t>测量放线</w:t>
      </w:r>
      <w:bookmarkEnd w:id="284"/>
      <w:bookmarkEnd w:id="285"/>
      <w:bookmarkEnd w:id="286"/>
      <w:bookmarkEnd w:id="287"/>
      <w:bookmarkEnd w:id="288"/>
    </w:p>
    <w:p>
      <w:pPr>
        <w:pStyle w:val="52"/>
        <w:rPr>
          <w:rFonts w:cs="Times New Roman"/>
          <w:sz w:val="21"/>
          <w:szCs w:val="21"/>
        </w:rPr>
      </w:pPr>
      <w:bookmarkStart w:id="289" w:name="_Toc309397347"/>
      <w:bookmarkStart w:id="290" w:name="_Toc152042447"/>
      <w:bookmarkStart w:id="291" w:name="_Toc144974637"/>
      <w:bookmarkStart w:id="292" w:name="_Toc152045669"/>
      <w:bookmarkStart w:id="293" w:name="_Toc179632687"/>
      <w:r>
        <w:rPr>
          <w:sz w:val="21"/>
          <w:szCs w:val="21"/>
        </w:rPr>
        <w:t xml:space="preserve">8.1 </w:t>
      </w:r>
      <w:r>
        <w:rPr>
          <w:rFonts w:hint="eastAsia" w:cs="黑体"/>
          <w:sz w:val="21"/>
          <w:szCs w:val="21"/>
        </w:rPr>
        <w:t>施工控制网</w:t>
      </w:r>
      <w:bookmarkEnd w:id="289"/>
      <w:bookmarkEnd w:id="290"/>
      <w:bookmarkEnd w:id="291"/>
      <w:bookmarkEnd w:id="292"/>
      <w:bookmarkEnd w:id="293"/>
    </w:p>
    <w:p>
      <w:pPr>
        <w:spacing w:line="400" w:lineRule="exact"/>
        <w:ind w:firstLine="440" w:firstLineChars="200"/>
        <w:rPr>
          <w:rFonts w:cs="Times New Roman"/>
        </w:rPr>
      </w:pPr>
      <w:r>
        <w:t>8.1.1</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cs="Times New Roman"/>
        </w:rPr>
      </w:pPr>
      <w:r>
        <w:t>8.1.2</w:t>
      </w:r>
      <w:r>
        <w:rPr>
          <w:rFonts w:hint="eastAsia"/>
        </w:rPr>
        <w:t>承包人应负责管理施工控制网点。施工控制网点丢失或损坏的，承包人应及时修复。承包人应承担施工控制网点的管理与修复费用，并在工程竣工后将施工控制网点移交发包人。</w:t>
      </w:r>
    </w:p>
    <w:p>
      <w:pPr>
        <w:pStyle w:val="52"/>
        <w:rPr>
          <w:rFonts w:cs="Times New Roman"/>
          <w:sz w:val="21"/>
          <w:szCs w:val="21"/>
        </w:rPr>
      </w:pPr>
      <w:bookmarkStart w:id="294" w:name="_Toc309397348"/>
      <w:bookmarkStart w:id="295" w:name="_Toc152045670"/>
      <w:bookmarkStart w:id="296" w:name="_Toc179632688"/>
      <w:bookmarkStart w:id="297" w:name="_Toc152042448"/>
      <w:bookmarkStart w:id="298" w:name="_Toc144974638"/>
      <w:r>
        <w:rPr>
          <w:sz w:val="21"/>
          <w:szCs w:val="21"/>
        </w:rPr>
        <w:t xml:space="preserve">8.2 </w:t>
      </w:r>
      <w:r>
        <w:rPr>
          <w:rFonts w:hint="eastAsia" w:cs="黑体"/>
          <w:sz w:val="21"/>
          <w:szCs w:val="21"/>
        </w:rPr>
        <w:t>施工测量</w:t>
      </w:r>
      <w:bookmarkEnd w:id="294"/>
      <w:bookmarkEnd w:id="295"/>
      <w:bookmarkEnd w:id="296"/>
      <w:bookmarkEnd w:id="297"/>
      <w:bookmarkEnd w:id="298"/>
    </w:p>
    <w:p>
      <w:pPr>
        <w:spacing w:line="400" w:lineRule="exact"/>
        <w:ind w:firstLine="440" w:firstLineChars="200"/>
        <w:rPr>
          <w:rFonts w:cs="Times New Roman"/>
        </w:rPr>
      </w:pPr>
      <w:r>
        <w:t>8.2.1</w:t>
      </w:r>
      <w:r>
        <w:rPr>
          <w:rFonts w:hint="eastAsia"/>
        </w:rPr>
        <w:t>承包人应负责施工过程中的全部施工测量放线工作，并配置合格的人员、仪器、设备和其他物品。</w:t>
      </w:r>
    </w:p>
    <w:p>
      <w:pPr>
        <w:spacing w:line="400" w:lineRule="exact"/>
        <w:ind w:firstLine="440" w:firstLineChars="200"/>
        <w:rPr>
          <w:rFonts w:cs="Times New Roman"/>
        </w:rPr>
      </w:pPr>
      <w:r>
        <w:t>8.2.2</w:t>
      </w:r>
      <w:r>
        <w:rPr>
          <w:rFonts w:hint="eastAsia"/>
        </w:rPr>
        <w:t>监理人可以指示承包人进行抽样复测，当复测中发现错误或出现超过合同约定的误差时，承包人应按监理人指示进行修正或补测，并承担相应的复测费用。</w:t>
      </w:r>
    </w:p>
    <w:p>
      <w:pPr>
        <w:pStyle w:val="52"/>
        <w:rPr>
          <w:rFonts w:cs="Times New Roman"/>
          <w:sz w:val="21"/>
          <w:szCs w:val="21"/>
        </w:rPr>
      </w:pPr>
      <w:bookmarkStart w:id="299" w:name="_Toc309397349"/>
      <w:bookmarkStart w:id="300" w:name="_Toc179632689"/>
      <w:bookmarkStart w:id="301" w:name="_Toc152045671"/>
      <w:bookmarkStart w:id="302" w:name="_Toc144974639"/>
      <w:bookmarkStart w:id="303" w:name="_Toc152042449"/>
      <w:r>
        <w:rPr>
          <w:sz w:val="21"/>
          <w:szCs w:val="21"/>
        </w:rPr>
        <w:t xml:space="preserve">8.3 </w:t>
      </w:r>
      <w:r>
        <w:rPr>
          <w:rFonts w:hint="eastAsia" w:cs="黑体"/>
          <w:sz w:val="21"/>
          <w:szCs w:val="21"/>
        </w:rPr>
        <w:t>基准资料错误的责任</w:t>
      </w:r>
      <w:bookmarkEnd w:id="299"/>
      <w:bookmarkEnd w:id="300"/>
      <w:bookmarkEnd w:id="301"/>
      <w:bookmarkEnd w:id="302"/>
      <w:bookmarkEnd w:id="303"/>
    </w:p>
    <w:p>
      <w:pPr>
        <w:spacing w:line="400" w:lineRule="exact"/>
        <w:ind w:firstLine="440" w:firstLineChars="200"/>
        <w:rPr>
          <w:rFonts w:cs="Times New Roman"/>
        </w:rPr>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2"/>
        <w:rPr>
          <w:rFonts w:cs="Times New Roman"/>
          <w:sz w:val="21"/>
          <w:szCs w:val="21"/>
        </w:rPr>
      </w:pPr>
      <w:bookmarkStart w:id="304" w:name="_Toc152045672"/>
      <w:bookmarkStart w:id="305" w:name="_Toc152042450"/>
      <w:bookmarkStart w:id="306" w:name="_Toc309397350"/>
      <w:bookmarkStart w:id="307" w:name="_Toc179632690"/>
      <w:bookmarkStart w:id="308" w:name="_Toc144974640"/>
      <w:r>
        <w:rPr>
          <w:sz w:val="21"/>
          <w:szCs w:val="21"/>
        </w:rPr>
        <w:t xml:space="preserve">8.4 </w:t>
      </w:r>
      <w:r>
        <w:rPr>
          <w:rFonts w:hint="eastAsia" w:cs="黑体"/>
          <w:sz w:val="21"/>
          <w:szCs w:val="21"/>
        </w:rPr>
        <w:t>监理人使用施工控制网</w:t>
      </w:r>
      <w:bookmarkEnd w:id="304"/>
      <w:bookmarkEnd w:id="305"/>
      <w:bookmarkEnd w:id="306"/>
      <w:bookmarkEnd w:id="307"/>
      <w:bookmarkEnd w:id="308"/>
    </w:p>
    <w:p>
      <w:pPr>
        <w:spacing w:line="400" w:lineRule="exact"/>
        <w:ind w:firstLine="440" w:firstLineChars="200"/>
        <w:rPr>
          <w:rFonts w:cs="Times New Roman"/>
          <w:dstrike/>
        </w:rPr>
      </w:pPr>
      <w:r>
        <w:rPr>
          <w:rFonts w:hint="eastAsia"/>
        </w:rPr>
        <w:t>监理人需要使用施工控制网的，承包人应提供必要的协助，发包人不再为此支付费用。</w:t>
      </w:r>
    </w:p>
    <w:p>
      <w:pPr>
        <w:pStyle w:val="51"/>
        <w:rPr>
          <w:sz w:val="21"/>
          <w:szCs w:val="21"/>
        </w:rPr>
      </w:pPr>
      <w:bookmarkStart w:id="309" w:name="_Toc152042451"/>
      <w:bookmarkStart w:id="310" w:name="_Toc144974641"/>
      <w:bookmarkStart w:id="311" w:name="_Toc309397351"/>
      <w:bookmarkStart w:id="312" w:name="_Toc179632691"/>
      <w:bookmarkStart w:id="313" w:name="_Toc152045673"/>
      <w:r>
        <w:rPr>
          <w:sz w:val="21"/>
          <w:szCs w:val="21"/>
        </w:rPr>
        <w:t xml:space="preserve">9. </w:t>
      </w:r>
      <w:r>
        <w:rPr>
          <w:rFonts w:hint="eastAsia" w:cs="宋体"/>
          <w:sz w:val="21"/>
          <w:szCs w:val="21"/>
        </w:rPr>
        <w:t>施工安全、治安保卫和环境保护</w:t>
      </w:r>
      <w:bookmarkEnd w:id="309"/>
      <w:bookmarkEnd w:id="310"/>
      <w:bookmarkEnd w:id="311"/>
      <w:bookmarkEnd w:id="312"/>
      <w:bookmarkEnd w:id="313"/>
    </w:p>
    <w:p>
      <w:pPr>
        <w:pStyle w:val="52"/>
        <w:rPr>
          <w:rFonts w:cs="Times New Roman"/>
          <w:sz w:val="21"/>
          <w:szCs w:val="21"/>
        </w:rPr>
      </w:pPr>
      <w:bookmarkStart w:id="314" w:name="_Toc144974642"/>
      <w:bookmarkStart w:id="315" w:name="_Toc309397352"/>
      <w:bookmarkStart w:id="316" w:name="_Toc152045674"/>
      <w:bookmarkStart w:id="317" w:name="_Toc179632692"/>
      <w:bookmarkStart w:id="318" w:name="_Toc152042452"/>
      <w:r>
        <w:rPr>
          <w:sz w:val="21"/>
          <w:szCs w:val="21"/>
        </w:rPr>
        <w:t xml:space="preserve">9.1 </w:t>
      </w:r>
      <w:r>
        <w:rPr>
          <w:rFonts w:hint="eastAsia" w:cs="黑体"/>
          <w:sz w:val="21"/>
          <w:szCs w:val="21"/>
        </w:rPr>
        <w:t>发包人的施工安全责任</w:t>
      </w:r>
      <w:bookmarkEnd w:id="314"/>
      <w:bookmarkEnd w:id="315"/>
      <w:bookmarkEnd w:id="316"/>
      <w:bookmarkEnd w:id="317"/>
      <w:bookmarkEnd w:id="318"/>
    </w:p>
    <w:p>
      <w:pPr>
        <w:spacing w:line="400" w:lineRule="exact"/>
        <w:ind w:firstLine="440" w:firstLineChars="200"/>
        <w:rPr>
          <w:rFonts w:cs="Times New Roman"/>
        </w:rPr>
      </w:pPr>
      <w:r>
        <w:t xml:space="preserve">9.1.1 </w:t>
      </w:r>
      <w:r>
        <w:rPr>
          <w:rFonts w:hint="eastAsia"/>
        </w:rPr>
        <w:t>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cs="Times New Roman"/>
        </w:rPr>
      </w:pPr>
      <w:r>
        <w:t xml:space="preserve">9.1.2 </w:t>
      </w:r>
      <w:r>
        <w:rPr>
          <w:rFonts w:hint="eastAsia"/>
        </w:rPr>
        <w:t>发包人应对其现场机构雇佣的全部人员的工伤事故承担责任，但由于承包人原因造成发包人人员工伤的，应由承包人承担责任。</w:t>
      </w:r>
    </w:p>
    <w:p>
      <w:pPr>
        <w:spacing w:line="400" w:lineRule="exact"/>
        <w:ind w:firstLine="440" w:firstLineChars="200"/>
        <w:rPr>
          <w:rFonts w:cs="Times New Roman"/>
        </w:rPr>
      </w:pPr>
      <w:r>
        <w:t xml:space="preserve">9.1.3 </w:t>
      </w:r>
      <w:r>
        <w:rPr>
          <w:rFonts w:hint="eastAsia"/>
        </w:rPr>
        <w:t>发包人应负责赔偿以下各种情况造成的第三者人身伤亡和财产损失：</w:t>
      </w:r>
    </w:p>
    <w:p>
      <w:pPr>
        <w:spacing w:line="400" w:lineRule="exact"/>
        <w:ind w:firstLine="440" w:firstLineChars="200"/>
        <w:rPr>
          <w:rFonts w:cs="Times New Roman"/>
        </w:rPr>
      </w:pPr>
      <w:r>
        <w:rPr>
          <w:rFonts w:hint="eastAsia"/>
        </w:rPr>
        <w:t>（</w:t>
      </w:r>
      <w:r>
        <w:t>1</w:t>
      </w:r>
      <w:r>
        <w:rPr>
          <w:rFonts w:hint="eastAsia"/>
        </w:rPr>
        <w:t>）</w:t>
      </w:r>
      <w:r>
        <w:t xml:space="preserve"> </w:t>
      </w:r>
      <w:r>
        <w:rPr>
          <w:rFonts w:hint="eastAsia"/>
        </w:rPr>
        <w:t>工程或工程的任何部分对土地的占用所造成的第三者财产损失；</w:t>
      </w:r>
    </w:p>
    <w:p>
      <w:pPr>
        <w:spacing w:line="400" w:lineRule="exact"/>
        <w:ind w:firstLine="440" w:firstLineChars="200"/>
        <w:rPr>
          <w:rFonts w:cs="Times New Roman"/>
        </w:rPr>
      </w:pPr>
      <w:r>
        <w:rPr>
          <w:rFonts w:hint="eastAsia"/>
        </w:rPr>
        <w:t>（</w:t>
      </w:r>
      <w:r>
        <w:t>2</w:t>
      </w:r>
      <w:r>
        <w:rPr>
          <w:rFonts w:hint="eastAsia"/>
        </w:rPr>
        <w:t>）</w:t>
      </w:r>
      <w:r>
        <w:t xml:space="preserve"> </w:t>
      </w:r>
      <w:r>
        <w:rPr>
          <w:rFonts w:hint="eastAsia"/>
        </w:rPr>
        <w:t>由于发包人原因在施工场地及其毗邻地带造成的第三者人身伤亡和财产损失。</w:t>
      </w:r>
    </w:p>
    <w:p>
      <w:pPr>
        <w:pStyle w:val="52"/>
        <w:rPr>
          <w:rFonts w:cs="Times New Roman"/>
          <w:sz w:val="21"/>
          <w:szCs w:val="21"/>
        </w:rPr>
      </w:pPr>
      <w:bookmarkStart w:id="319" w:name="_Toc179632693"/>
      <w:bookmarkStart w:id="320" w:name="_Toc152042453"/>
      <w:bookmarkStart w:id="321" w:name="_Toc309397353"/>
      <w:bookmarkStart w:id="322" w:name="_Toc152045675"/>
      <w:bookmarkStart w:id="323" w:name="_Toc144974643"/>
      <w:r>
        <w:rPr>
          <w:sz w:val="21"/>
          <w:szCs w:val="21"/>
        </w:rPr>
        <w:t xml:space="preserve">9.2 </w:t>
      </w:r>
      <w:r>
        <w:rPr>
          <w:rFonts w:hint="eastAsia" w:cs="黑体"/>
          <w:sz w:val="21"/>
          <w:szCs w:val="21"/>
        </w:rPr>
        <w:t>承包人的施工安全责任</w:t>
      </w:r>
      <w:bookmarkEnd w:id="319"/>
      <w:bookmarkEnd w:id="320"/>
      <w:bookmarkEnd w:id="321"/>
      <w:bookmarkEnd w:id="322"/>
      <w:bookmarkEnd w:id="323"/>
    </w:p>
    <w:p>
      <w:pPr>
        <w:spacing w:line="400" w:lineRule="exact"/>
        <w:ind w:firstLine="440" w:firstLineChars="200"/>
        <w:rPr>
          <w:rFonts w:cs="Times New Roman"/>
        </w:rPr>
      </w:pPr>
      <w:r>
        <w:t xml:space="preserve">9.2.1 </w:t>
      </w:r>
      <w:r>
        <w:rPr>
          <w:rFonts w:hint="eastAsia"/>
        </w:rPr>
        <w:t>承包人应按合同约定履行安全职责</w:t>
      </w:r>
      <w:r>
        <w:t>,</w:t>
      </w:r>
      <w:r>
        <w:rPr>
          <w:rFonts w:hint="eastAsia"/>
        </w:rPr>
        <w:t>执行监理人有关安全工作的指示</w:t>
      </w:r>
      <w:r>
        <w:t>,</w:t>
      </w:r>
      <w:r>
        <w:rPr>
          <w:rFonts w:hint="eastAsia"/>
        </w:rPr>
        <w:t>并在专用合同条款约定的期限内，按合同约定的安全工作内容，编制施工安全措施计划报送监理人审批。</w:t>
      </w:r>
    </w:p>
    <w:p>
      <w:pPr>
        <w:spacing w:line="400" w:lineRule="exact"/>
        <w:ind w:firstLine="440" w:firstLineChars="200"/>
        <w:rPr>
          <w:rFonts w:cs="Times New Roman"/>
        </w:rPr>
      </w:pPr>
      <w:r>
        <w:t xml:space="preserve">9.2.2 </w:t>
      </w:r>
      <w:r>
        <w:rPr>
          <w:rFonts w:hint="eastAsia"/>
        </w:rPr>
        <w:t>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cs="Times New Roman"/>
        </w:rPr>
      </w:pPr>
      <w:r>
        <w:t xml:space="preserve">9.2.3 </w:t>
      </w:r>
      <w:r>
        <w:rPr>
          <w:rFonts w:hint="eastAsia"/>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cs="Times New Roman"/>
        </w:rPr>
      </w:pPr>
      <w:r>
        <w:t xml:space="preserve">9.2.4 </w:t>
      </w:r>
      <w:r>
        <w:rPr>
          <w:rFonts w:hint="eastAsia"/>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cs="Times New Roman"/>
        </w:rPr>
      </w:pPr>
      <w:r>
        <w:t xml:space="preserve">9.2.5 </w:t>
      </w:r>
      <w:r>
        <w:rPr>
          <w:rFonts w:hint="eastAsia"/>
        </w:rPr>
        <w:t>合同约定的安全作业环境及安全施工措施所需费用应遵守有关规定，并包括在相关工作的合同价格中。因采取合同未约定的安全作业环境及安全施工措施增加的费用，由监理人按第</w:t>
      </w:r>
      <w:r>
        <w:t>3.5</w:t>
      </w:r>
      <w:r>
        <w:rPr>
          <w:rFonts w:hint="eastAsia"/>
        </w:rPr>
        <w:t>款商定或确定。</w:t>
      </w:r>
    </w:p>
    <w:p>
      <w:pPr>
        <w:spacing w:line="400" w:lineRule="exact"/>
        <w:ind w:firstLine="440" w:firstLineChars="200"/>
        <w:rPr>
          <w:rFonts w:cs="Times New Roman"/>
        </w:rPr>
      </w:pPr>
      <w:r>
        <w:t xml:space="preserve">9.2.6 </w:t>
      </w:r>
      <w:r>
        <w:rPr>
          <w:rFonts w:hint="eastAsia"/>
        </w:rPr>
        <w:t>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cs="Times New Roman"/>
        </w:rPr>
      </w:pPr>
      <w:r>
        <w:t xml:space="preserve">9.2.7 </w:t>
      </w:r>
      <w:r>
        <w:rPr>
          <w:rFonts w:hint="eastAsia"/>
        </w:rPr>
        <w:t>由于承包人原因在施工场地内及其毗邻地带造成的第三者人员伤亡和财产损失，由承包人负责赔偿。</w:t>
      </w:r>
    </w:p>
    <w:p>
      <w:pPr>
        <w:pStyle w:val="52"/>
        <w:rPr>
          <w:rFonts w:cs="Times New Roman"/>
          <w:sz w:val="21"/>
          <w:szCs w:val="21"/>
        </w:rPr>
      </w:pPr>
      <w:bookmarkStart w:id="324" w:name="_Toc152045676"/>
      <w:bookmarkStart w:id="325" w:name="_Toc179632694"/>
      <w:bookmarkStart w:id="326" w:name="_Toc152042454"/>
      <w:bookmarkStart w:id="327" w:name="_Toc144974644"/>
      <w:bookmarkStart w:id="328" w:name="_Toc309397354"/>
      <w:r>
        <w:rPr>
          <w:sz w:val="21"/>
          <w:szCs w:val="21"/>
        </w:rPr>
        <w:t xml:space="preserve">9.3 </w:t>
      </w:r>
      <w:r>
        <w:rPr>
          <w:rFonts w:hint="eastAsia" w:cs="黑体"/>
          <w:sz w:val="21"/>
          <w:szCs w:val="21"/>
        </w:rPr>
        <w:t>治安保卫</w:t>
      </w:r>
      <w:bookmarkEnd w:id="324"/>
      <w:bookmarkEnd w:id="325"/>
      <w:bookmarkEnd w:id="326"/>
      <w:bookmarkEnd w:id="327"/>
      <w:bookmarkEnd w:id="328"/>
    </w:p>
    <w:p>
      <w:pPr>
        <w:spacing w:line="400" w:lineRule="exact"/>
        <w:ind w:firstLine="440" w:firstLineChars="200"/>
        <w:rPr>
          <w:rFonts w:cs="Times New Roman"/>
        </w:rPr>
      </w:pPr>
      <w:r>
        <w:t xml:space="preserve">9.3.1 </w:t>
      </w:r>
      <w:r>
        <w:rPr>
          <w:rFonts w:hint="eastAsia"/>
        </w:rPr>
        <w:t>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cs="Times New Roman"/>
        </w:rPr>
      </w:pPr>
      <w:r>
        <w:t xml:space="preserve">9.3.2 </w:t>
      </w:r>
      <w:r>
        <w:rPr>
          <w:rFonts w:hint="eastAsia"/>
        </w:rPr>
        <w:t>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cs="Times New Roman"/>
        </w:rPr>
      </w:pPr>
      <w:r>
        <w:t xml:space="preserve">9.3.3 </w:t>
      </w:r>
      <w:r>
        <w:rPr>
          <w:rFonts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2"/>
        <w:rPr>
          <w:rFonts w:cs="Times New Roman"/>
          <w:sz w:val="21"/>
          <w:szCs w:val="21"/>
        </w:rPr>
      </w:pPr>
      <w:bookmarkStart w:id="329" w:name="_Toc152042455"/>
      <w:bookmarkStart w:id="330" w:name="_Toc179632695"/>
      <w:bookmarkStart w:id="331" w:name="_Toc309397355"/>
      <w:bookmarkStart w:id="332" w:name="_Toc152045677"/>
      <w:bookmarkStart w:id="333" w:name="_Toc144974645"/>
      <w:r>
        <w:rPr>
          <w:sz w:val="21"/>
          <w:szCs w:val="21"/>
        </w:rPr>
        <w:t xml:space="preserve">9.4 </w:t>
      </w:r>
      <w:r>
        <w:rPr>
          <w:rFonts w:hint="eastAsia" w:cs="黑体"/>
          <w:sz w:val="21"/>
          <w:szCs w:val="21"/>
        </w:rPr>
        <w:t>环境保护</w:t>
      </w:r>
      <w:bookmarkEnd w:id="329"/>
      <w:bookmarkEnd w:id="330"/>
      <w:bookmarkEnd w:id="331"/>
      <w:bookmarkEnd w:id="332"/>
      <w:bookmarkEnd w:id="333"/>
    </w:p>
    <w:p>
      <w:pPr>
        <w:spacing w:line="400" w:lineRule="exact"/>
        <w:ind w:firstLine="440" w:firstLineChars="200"/>
        <w:rPr>
          <w:rFonts w:cs="Times New Roman"/>
        </w:rPr>
      </w:pPr>
      <w:r>
        <w:t xml:space="preserve">9.4.1 </w:t>
      </w:r>
      <w:r>
        <w:rPr>
          <w:rFonts w:hint="eastAsia"/>
        </w:rPr>
        <w:t>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cs="Times New Roman"/>
        </w:rPr>
      </w:pPr>
      <w:r>
        <w:t xml:space="preserve">9.4.2 </w:t>
      </w:r>
      <w:r>
        <w:rPr>
          <w:rFonts w:hint="eastAsia"/>
        </w:rPr>
        <w:t>承包人应按合同约定的环保工作内容，编制施工环保措施计划，报送监理人审批。</w:t>
      </w:r>
    </w:p>
    <w:p>
      <w:pPr>
        <w:spacing w:line="400" w:lineRule="exact"/>
        <w:ind w:firstLine="440" w:firstLineChars="200"/>
        <w:rPr>
          <w:rFonts w:cs="Times New Roman"/>
        </w:rPr>
      </w:pPr>
      <w:r>
        <w:t xml:space="preserve">9.4.3 </w:t>
      </w:r>
      <w:r>
        <w:rPr>
          <w:rFonts w:hint="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cs="Times New Roman"/>
        </w:rPr>
      </w:pPr>
      <w:r>
        <w:t xml:space="preserve">9.4.4 </w:t>
      </w:r>
      <w:r>
        <w:rPr>
          <w:rFonts w:hint="eastAsia"/>
        </w:rPr>
        <w:t>承包人应按合同约定采取有效措施，对施工开挖的边坡及时进行支护</w:t>
      </w:r>
      <w:r>
        <w:t>,</w:t>
      </w:r>
      <w:r>
        <w:rPr>
          <w:rFonts w:hint="eastAsia"/>
        </w:rPr>
        <w:t>维护排水设施，并进行水土保护，避免因施工造成的地质灾害。</w:t>
      </w:r>
    </w:p>
    <w:p>
      <w:pPr>
        <w:spacing w:line="400" w:lineRule="exact"/>
        <w:ind w:firstLine="440" w:firstLineChars="200"/>
        <w:rPr>
          <w:rFonts w:cs="Times New Roman"/>
        </w:rPr>
      </w:pPr>
      <w:r>
        <w:t xml:space="preserve">9.4.5 </w:t>
      </w:r>
      <w:r>
        <w:rPr>
          <w:rFonts w:hint="eastAsia"/>
        </w:rPr>
        <w:t>承包人应按国家饮用水管理标准定期对饮用水源进行监测，防止施工活动污染饮用水源。</w:t>
      </w:r>
    </w:p>
    <w:p>
      <w:pPr>
        <w:spacing w:line="400" w:lineRule="exact"/>
        <w:ind w:firstLine="440" w:firstLineChars="200"/>
        <w:rPr>
          <w:rFonts w:cs="Times New Roman"/>
        </w:rPr>
      </w:pPr>
      <w:r>
        <w:t xml:space="preserve">9.4.6 </w:t>
      </w:r>
      <w:r>
        <w:rPr>
          <w:rFonts w:hint="eastAsia"/>
        </w:rPr>
        <w:t>承包人应按合同约定，加强对噪声、粉尘、废气、废水和废油的控制，努力降低噪声，控制粉尘和废气浓度，做好废水和废油的治理和排放。</w:t>
      </w:r>
    </w:p>
    <w:p>
      <w:pPr>
        <w:pStyle w:val="52"/>
        <w:rPr>
          <w:rFonts w:cs="Times New Roman"/>
          <w:sz w:val="21"/>
          <w:szCs w:val="21"/>
        </w:rPr>
      </w:pPr>
      <w:bookmarkStart w:id="334" w:name="_Toc179632696"/>
      <w:bookmarkStart w:id="335" w:name="_Toc152042456"/>
      <w:bookmarkStart w:id="336" w:name="_Toc152045678"/>
      <w:bookmarkStart w:id="337" w:name="_Toc144974646"/>
      <w:bookmarkStart w:id="338" w:name="_Toc309397356"/>
      <w:r>
        <w:rPr>
          <w:sz w:val="21"/>
          <w:szCs w:val="21"/>
        </w:rPr>
        <w:t xml:space="preserve">9.5 </w:t>
      </w:r>
      <w:r>
        <w:rPr>
          <w:rFonts w:hint="eastAsia" w:cs="黑体"/>
          <w:sz w:val="21"/>
          <w:szCs w:val="21"/>
        </w:rPr>
        <w:t>事故处理</w:t>
      </w:r>
      <w:bookmarkEnd w:id="334"/>
      <w:bookmarkEnd w:id="335"/>
      <w:bookmarkEnd w:id="336"/>
      <w:bookmarkEnd w:id="337"/>
      <w:bookmarkEnd w:id="338"/>
    </w:p>
    <w:p>
      <w:pPr>
        <w:spacing w:line="400" w:lineRule="exact"/>
        <w:ind w:firstLine="440" w:firstLineChars="200"/>
        <w:rPr>
          <w:rFonts w:cs="Times New Roman"/>
        </w:rPr>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1"/>
        <w:rPr>
          <w:sz w:val="21"/>
          <w:szCs w:val="21"/>
        </w:rPr>
      </w:pPr>
      <w:bookmarkStart w:id="339" w:name="_Toc179632697"/>
      <w:bookmarkStart w:id="340" w:name="_Toc152042457"/>
      <w:bookmarkStart w:id="341" w:name="_Toc152045679"/>
      <w:bookmarkStart w:id="342" w:name="_Toc309397357"/>
      <w:bookmarkStart w:id="343" w:name="_Toc144974647"/>
      <w:r>
        <w:rPr>
          <w:sz w:val="21"/>
          <w:szCs w:val="21"/>
        </w:rPr>
        <w:t xml:space="preserve">10. </w:t>
      </w:r>
      <w:r>
        <w:rPr>
          <w:rFonts w:hint="eastAsia" w:cs="宋体"/>
          <w:sz w:val="21"/>
          <w:szCs w:val="21"/>
        </w:rPr>
        <w:t>进度计划</w:t>
      </w:r>
      <w:bookmarkEnd w:id="339"/>
      <w:bookmarkEnd w:id="340"/>
      <w:bookmarkEnd w:id="341"/>
      <w:bookmarkEnd w:id="342"/>
      <w:bookmarkEnd w:id="343"/>
    </w:p>
    <w:p>
      <w:pPr>
        <w:pStyle w:val="52"/>
        <w:rPr>
          <w:rFonts w:cs="Times New Roman"/>
          <w:sz w:val="21"/>
          <w:szCs w:val="21"/>
        </w:rPr>
      </w:pPr>
      <w:bookmarkStart w:id="344" w:name="_Toc152042458"/>
      <w:bookmarkStart w:id="345" w:name="_Toc179632698"/>
      <w:bookmarkStart w:id="346" w:name="_Toc152045680"/>
      <w:bookmarkStart w:id="347" w:name="_Toc309397358"/>
      <w:bookmarkStart w:id="348" w:name="_Toc144974648"/>
      <w:r>
        <w:rPr>
          <w:sz w:val="21"/>
          <w:szCs w:val="21"/>
        </w:rPr>
        <w:t xml:space="preserve">10.1 </w:t>
      </w:r>
      <w:r>
        <w:rPr>
          <w:rFonts w:hint="eastAsia" w:cs="黑体"/>
          <w:sz w:val="21"/>
          <w:szCs w:val="21"/>
        </w:rPr>
        <w:t>合同进度计划</w:t>
      </w:r>
      <w:bookmarkEnd w:id="344"/>
      <w:bookmarkEnd w:id="345"/>
      <w:bookmarkEnd w:id="346"/>
      <w:bookmarkEnd w:id="347"/>
      <w:bookmarkEnd w:id="348"/>
    </w:p>
    <w:p>
      <w:pPr>
        <w:spacing w:line="400" w:lineRule="exact"/>
        <w:ind w:firstLine="440" w:firstLineChars="200"/>
        <w:rPr>
          <w:rFonts w:cs="Times New Roman"/>
        </w:rPr>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2"/>
        <w:rPr>
          <w:rFonts w:cs="Times New Roman"/>
          <w:sz w:val="21"/>
          <w:szCs w:val="21"/>
        </w:rPr>
      </w:pPr>
      <w:bookmarkStart w:id="349" w:name="_Toc179632699"/>
      <w:bookmarkStart w:id="350" w:name="_Toc152042459"/>
      <w:bookmarkStart w:id="351" w:name="_Toc152045681"/>
      <w:bookmarkStart w:id="352" w:name="_Toc144974649"/>
      <w:bookmarkStart w:id="353" w:name="_Toc309397359"/>
      <w:r>
        <w:rPr>
          <w:sz w:val="21"/>
          <w:szCs w:val="21"/>
        </w:rPr>
        <w:t xml:space="preserve">10.2 </w:t>
      </w:r>
      <w:r>
        <w:rPr>
          <w:rFonts w:hint="eastAsia" w:cs="黑体"/>
          <w:sz w:val="21"/>
          <w:szCs w:val="21"/>
        </w:rPr>
        <w:t>合同进度计划的修订</w:t>
      </w:r>
      <w:bookmarkEnd w:id="349"/>
      <w:bookmarkEnd w:id="350"/>
      <w:bookmarkEnd w:id="351"/>
      <w:bookmarkEnd w:id="352"/>
      <w:bookmarkEnd w:id="353"/>
    </w:p>
    <w:p>
      <w:pPr>
        <w:spacing w:line="400" w:lineRule="exact"/>
        <w:ind w:firstLine="440" w:firstLineChars="200"/>
        <w:rPr>
          <w:rFonts w:cs="Times New Roman"/>
        </w:rPr>
      </w:pPr>
      <w:r>
        <w:rPr>
          <w:rFonts w:hint="eastAsia"/>
        </w:rPr>
        <w:t>不论何种原因造成工程的实际进度与第</w:t>
      </w:r>
      <w:r>
        <w:t>10.1</w:t>
      </w:r>
      <w:r>
        <w:rPr>
          <w:rFonts w:hint="eastAsia"/>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1"/>
        <w:rPr>
          <w:sz w:val="21"/>
          <w:szCs w:val="21"/>
        </w:rPr>
      </w:pPr>
      <w:bookmarkStart w:id="354" w:name="_Toc179632700"/>
      <w:bookmarkStart w:id="355" w:name="_Toc152042460"/>
      <w:bookmarkStart w:id="356" w:name="_Toc144974650"/>
      <w:bookmarkStart w:id="357" w:name="_Toc309397360"/>
      <w:bookmarkStart w:id="358" w:name="_Toc152045682"/>
      <w:r>
        <w:rPr>
          <w:sz w:val="21"/>
          <w:szCs w:val="21"/>
        </w:rPr>
        <w:t xml:space="preserve">11. </w:t>
      </w:r>
      <w:r>
        <w:rPr>
          <w:rFonts w:hint="eastAsia" w:cs="宋体"/>
          <w:sz w:val="21"/>
          <w:szCs w:val="21"/>
        </w:rPr>
        <w:t>开工和竣工</w:t>
      </w:r>
      <w:bookmarkEnd w:id="354"/>
      <w:bookmarkEnd w:id="355"/>
      <w:bookmarkEnd w:id="356"/>
      <w:bookmarkEnd w:id="357"/>
      <w:bookmarkEnd w:id="358"/>
    </w:p>
    <w:p>
      <w:pPr>
        <w:pStyle w:val="52"/>
        <w:rPr>
          <w:rFonts w:cs="Times New Roman"/>
          <w:sz w:val="21"/>
          <w:szCs w:val="21"/>
        </w:rPr>
      </w:pPr>
      <w:bookmarkStart w:id="359" w:name="_Toc179632701"/>
      <w:bookmarkStart w:id="360" w:name="_Toc152042461"/>
      <w:bookmarkStart w:id="361" w:name="_Toc309397361"/>
      <w:bookmarkStart w:id="362" w:name="_Toc144974651"/>
      <w:bookmarkStart w:id="363" w:name="_Toc152045683"/>
      <w:r>
        <w:rPr>
          <w:sz w:val="21"/>
          <w:szCs w:val="21"/>
        </w:rPr>
        <w:t xml:space="preserve">11.1 </w:t>
      </w:r>
      <w:r>
        <w:rPr>
          <w:rFonts w:hint="eastAsia" w:cs="黑体"/>
          <w:sz w:val="21"/>
          <w:szCs w:val="21"/>
        </w:rPr>
        <w:t>开工</w:t>
      </w:r>
      <w:bookmarkEnd w:id="359"/>
      <w:bookmarkEnd w:id="360"/>
      <w:bookmarkEnd w:id="361"/>
      <w:bookmarkEnd w:id="362"/>
      <w:bookmarkEnd w:id="363"/>
    </w:p>
    <w:p>
      <w:pPr>
        <w:spacing w:line="400" w:lineRule="exact"/>
        <w:ind w:firstLine="440" w:firstLineChars="200"/>
        <w:rPr>
          <w:rFonts w:cs="Times New Roman"/>
        </w:rPr>
      </w:pPr>
      <w:r>
        <w:t xml:space="preserve">11.1.1 </w:t>
      </w:r>
      <w:r>
        <w:rPr>
          <w:rFonts w:hint="eastAsia"/>
        </w:rPr>
        <w:t>监理人应在开工日期</w:t>
      </w:r>
      <w:r>
        <w:t>7</w:t>
      </w:r>
      <w:r>
        <w:rPr>
          <w:rFonts w:hint="eastAsia"/>
        </w:rPr>
        <w:t>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cs="Times New Roman"/>
        </w:rPr>
      </w:pPr>
      <w:r>
        <w:t xml:space="preserve">11.1.2 </w:t>
      </w:r>
      <w:r>
        <w:rPr>
          <w:rFonts w:hint="eastAsia"/>
        </w:rPr>
        <w:t>承包人应按第</w:t>
      </w:r>
      <w:r>
        <w:t>10.1</w:t>
      </w:r>
      <w:r>
        <w:rPr>
          <w:rFonts w:hint="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2"/>
        <w:rPr>
          <w:rFonts w:cs="Times New Roman"/>
          <w:sz w:val="21"/>
          <w:szCs w:val="21"/>
        </w:rPr>
      </w:pPr>
      <w:bookmarkStart w:id="364" w:name="_Toc309397362"/>
      <w:bookmarkStart w:id="365" w:name="_Toc144974652"/>
      <w:bookmarkStart w:id="366" w:name="_Toc152042462"/>
      <w:bookmarkStart w:id="367" w:name="_Toc179632702"/>
      <w:bookmarkStart w:id="368" w:name="_Toc152045684"/>
      <w:r>
        <w:rPr>
          <w:sz w:val="21"/>
          <w:szCs w:val="21"/>
        </w:rPr>
        <w:t xml:space="preserve">11.2 </w:t>
      </w:r>
      <w:r>
        <w:rPr>
          <w:rFonts w:hint="eastAsia" w:cs="黑体"/>
          <w:sz w:val="21"/>
          <w:szCs w:val="21"/>
        </w:rPr>
        <w:t>竣工</w:t>
      </w:r>
      <w:bookmarkEnd w:id="364"/>
      <w:bookmarkEnd w:id="365"/>
      <w:bookmarkEnd w:id="366"/>
      <w:bookmarkEnd w:id="367"/>
      <w:bookmarkEnd w:id="368"/>
    </w:p>
    <w:p>
      <w:pPr>
        <w:spacing w:line="400" w:lineRule="exact"/>
        <w:ind w:firstLine="440" w:firstLineChars="200"/>
        <w:rPr>
          <w:rFonts w:cs="Times New Roman"/>
        </w:rPr>
      </w:pPr>
      <w:r>
        <w:rPr>
          <w:rFonts w:hint="eastAsia"/>
        </w:rPr>
        <w:t>承包人应在第</w:t>
      </w:r>
      <w:r>
        <w:t>1.1.4.3</w:t>
      </w:r>
      <w:r>
        <w:rPr>
          <w:rFonts w:hint="eastAsia"/>
        </w:rPr>
        <w:t>目约定的期限内完成合同工程。实际竣工日期在接收证书中写明。</w:t>
      </w:r>
    </w:p>
    <w:p>
      <w:pPr>
        <w:pStyle w:val="52"/>
        <w:rPr>
          <w:rFonts w:cs="Times New Roman"/>
          <w:sz w:val="21"/>
          <w:szCs w:val="21"/>
        </w:rPr>
      </w:pPr>
      <w:bookmarkStart w:id="369" w:name="_Toc152042463"/>
      <w:bookmarkStart w:id="370" w:name="_Toc152045685"/>
      <w:bookmarkStart w:id="371" w:name="_Toc309397363"/>
      <w:bookmarkStart w:id="372" w:name="_Toc179632703"/>
      <w:bookmarkStart w:id="373" w:name="_Toc144974653"/>
      <w:r>
        <w:rPr>
          <w:sz w:val="21"/>
          <w:szCs w:val="21"/>
        </w:rPr>
        <w:t xml:space="preserve">11.3 </w:t>
      </w:r>
      <w:r>
        <w:rPr>
          <w:rFonts w:hint="eastAsia" w:cs="黑体"/>
          <w:sz w:val="21"/>
          <w:szCs w:val="21"/>
        </w:rPr>
        <w:t>发包人的工期延误</w:t>
      </w:r>
      <w:bookmarkEnd w:id="369"/>
      <w:bookmarkEnd w:id="370"/>
      <w:bookmarkEnd w:id="371"/>
      <w:bookmarkEnd w:id="372"/>
      <w:bookmarkEnd w:id="373"/>
    </w:p>
    <w:p>
      <w:pPr>
        <w:spacing w:line="400" w:lineRule="exact"/>
        <w:ind w:firstLine="440" w:firstLineChars="200"/>
        <w:rPr>
          <w:rFonts w:cs="Times New Roman"/>
        </w:rPr>
      </w:pPr>
      <w:r>
        <w:rPr>
          <w:rFonts w:hint="eastAsia"/>
        </w:rPr>
        <w:t>在履行合同过程中，由于发包人的下列原因造成工期延误的，承包人有权要求发包人延长工期和（或）增加费用，并支付合理利润。需要修订合同进度计划的，按照第</w:t>
      </w:r>
      <w:r>
        <w:t>10.2</w:t>
      </w:r>
      <w:r>
        <w:rPr>
          <w:rFonts w:hint="eastAsia"/>
        </w:rPr>
        <w:t>款的约定办理。</w:t>
      </w:r>
    </w:p>
    <w:p>
      <w:pPr>
        <w:spacing w:line="400" w:lineRule="exact"/>
        <w:ind w:firstLine="376" w:firstLineChars="171"/>
        <w:rPr>
          <w:rFonts w:cs="Times New Roman"/>
        </w:rPr>
      </w:pPr>
      <w:r>
        <w:rPr>
          <w:rFonts w:hint="eastAsia"/>
        </w:rPr>
        <w:t>（</w:t>
      </w:r>
      <w:r>
        <w:t>1</w:t>
      </w:r>
      <w:r>
        <w:rPr>
          <w:rFonts w:hint="eastAsia"/>
        </w:rPr>
        <w:t>）增加合同工作内容；</w:t>
      </w:r>
    </w:p>
    <w:p>
      <w:pPr>
        <w:spacing w:line="400" w:lineRule="exact"/>
        <w:ind w:firstLine="376" w:firstLineChars="171"/>
        <w:rPr>
          <w:rFonts w:cs="Times New Roman"/>
        </w:rPr>
      </w:pPr>
      <w:r>
        <w:rPr>
          <w:rFonts w:hint="eastAsia"/>
        </w:rPr>
        <w:t>（</w:t>
      </w:r>
      <w:r>
        <w:t>2</w:t>
      </w:r>
      <w:r>
        <w:rPr>
          <w:rFonts w:hint="eastAsia"/>
        </w:rPr>
        <w:t>）改变合同中任何一项工作的质量要求或其他特性；</w:t>
      </w:r>
    </w:p>
    <w:p>
      <w:pPr>
        <w:spacing w:line="400" w:lineRule="exact"/>
        <w:ind w:firstLine="376" w:firstLineChars="171"/>
        <w:rPr>
          <w:rFonts w:cs="Times New Roman"/>
        </w:rPr>
      </w:pPr>
      <w:r>
        <w:rPr>
          <w:rFonts w:hint="eastAsia"/>
        </w:rPr>
        <w:t>（</w:t>
      </w:r>
      <w:r>
        <w:t>3</w:t>
      </w:r>
      <w:r>
        <w:rPr>
          <w:rFonts w:hint="eastAsia"/>
        </w:rPr>
        <w:t>）发包人迟延提供材料、工程设备或变更交货地点的；</w:t>
      </w:r>
    </w:p>
    <w:p>
      <w:pPr>
        <w:spacing w:line="400" w:lineRule="exact"/>
        <w:ind w:firstLine="376" w:firstLineChars="171"/>
        <w:rPr>
          <w:rFonts w:cs="Times New Roman"/>
        </w:rPr>
      </w:pPr>
      <w:r>
        <w:rPr>
          <w:rFonts w:hint="eastAsia"/>
        </w:rPr>
        <w:t>（</w:t>
      </w:r>
      <w:r>
        <w:t>4</w:t>
      </w:r>
      <w:r>
        <w:rPr>
          <w:rFonts w:hint="eastAsia"/>
        </w:rPr>
        <w:t>）因发包人原因导致的暂停施工；</w:t>
      </w:r>
    </w:p>
    <w:p>
      <w:pPr>
        <w:spacing w:line="400" w:lineRule="exact"/>
        <w:ind w:firstLine="376" w:firstLineChars="171"/>
        <w:rPr>
          <w:rFonts w:cs="Times New Roman"/>
        </w:rPr>
      </w:pPr>
      <w:r>
        <w:rPr>
          <w:rFonts w:hint="eastAsia"/>
        </w:rPr>
        <w:t>（</w:t>
      </w:r>
      <w:r>
        <w:t>5</w:t>
      </w:r>
      <w:r>
        <w:rPr>
          <w:rFonts w:hint="eastAsia"/>
        </w:rPr>
        <w:t>）提供图纸延误；</w:t>
      </w:r>
    </w:p>
    <w:p>
      <w:pPr>
        <w:spacing w:line="400" w:lineRule="exact"/>
        <w:ind w:firstLine="376" w:firstLineChars="171"/>
        <w:rPr>
          <w:rFonts w:cs="Times New Roman"/>
        </w:rPr>
      </w:pPr>
      <w:r>
        <w:rPr>
          <w:rFonts w:hint="eastAsia"/>
        </w:rPr>
        <w:t>（</w:t>
      </w:r>
      <w:r>
        <w:t>6</w:t>
      </w:r>
      <w:r>
        <w:rPr>
          <w:rFonts w:hint="eastAsia"/>
        </w:rPr>
        <w:t>）未按合同约定及时支付预付款、进度款；</w:t>
      </w:r>
    </w:p>
    <w:p>
      <w:pPr>
        <w:spacing w:line="400" w:lineRule="exact"/>
        <w:ind w:firstLine="376" w:firstLineChars="171"/>
        <w:rPr>
          <w:rFonts w:cs="Times New Roman"/>
        </w:rPr>
      </w:pPr>
      <w:r>
        <w:rPr>
          <w:rFonts w:hint="eastAsia"/>
        </w:rPr>
        <w:t>（</w:t>
      </w:r>
      <w:r>
        <w:t>7</w:t>
      </w:r>
      <w:r>
        <w:rPr>
          <w:rFonts w:hint="eastAsia"/>
        </w:rPr>
        <w:t>）发包人造成工期延误的其他原因。</w:t>
      </w:r>
    </w:p>
    <w:p>
      <w:pPr>
        <w:pStyle w:val="52"/>
        <w:rPr>
          <w:rFonts w:cs="Times New Roman"/>
          <w:sz w:val="21"/>
          <w:szCs w:val="21"/>
        </w:rPr>
      </w:pPr>
      <w:bookmarkStart w:id="374" w:name="_Toc152045686"/>
      <w:bookmarkStart w:id="375" w:name="_Toc179632704"/>
      <w:bookmarkStart w:id="376" w:name="_Toc144974654"/>
      <w:bookmarkStart w:id="377" w:name="_Toc309397364"/>
      <w:bookmarkStart w:id="378" w:name="_Toc152042464"/>
      <w:r>
        <w:rPr>
          <w:sz w:val="21"/>
          <w:szCs w:val="21"/>
        </w:rPr>
        <w:t xml:space="preserve">11.4 </w:t>
      </w:r>
      <w:r>
        <w:rPr>
          <w:rFonts w:hint="eastAsia" w:cs="黑体"/>
          <w:sz w:val="21"/>
          <w:szCs w:val="21"/>
        </w:rPr>
        <w:t>异常恶劣的气候条件</w:t>
      </w:r>
      <w:bookmarkEnd w:id="374"/>
      <w:bookmarkEnd w:id="375"/>
      <w:bookmarkEnd w:id="376"/>
      <w:bookmarkEnd w:id="377"/>
      <w:bookmarkEnd w:id="378"/>
    </w:p>
    <w:p>
      <w:pPr>
        <w:spacing w:line="400" w:lineRule="exact"/>
        <w:ind w:firstLine="376" w:firstLineChars="171"/>
        <w:rPr>
          <w:rFonts w:cs="Times New Roman"/>
        </w:rPr>
      </w:pPr>
      <w:r>
        <w:rPr>
          <w:rFonts w:hint="eastAsia"/>
        </w:rPr>
        <w:t>由于出现专用合同条款规定的异常恶劣气候的条件导致工期延误的，承包人有权要求发包人延长工期。</w:t>
      </w:r>
    </w:p>
    <w:p>
      <w:pPr>
        <w:pStyle w:val="52"/>
        <w:rPr>
          <w:rFonts w:cs="Times New Roman"/>
          <w:sz w:val="21"/>
          <w:szCs w:val="21"/>
        </w:rPr>
      </w:pPr>
      <w:bookmarkStart w:id="379" w:name="_Toc152045687"/>
      <w:bookmarkStart w:id="380" w:name="_Toc152042465"/>
      <w:bookmarkStart w:id="381" w:name="_Toc144974655"/>
      <w:bookmarkStart w:id="382" w:name="_Toc309397365"/>
      <w:bookmarkStart w:id="383" w:name="_Toc179632705"/>
      <w:r>
        <w:rPr>
          <w:sz w:val="21"/>
          <w:szCs w:val="21"/>
        </w:rPr>
        <w:t xml:space="preserve">11.5 </w:t>
      </w:r>
      <w:r>
        <w:rPr>
          <w:rFonts w:hint="eastAsia" w:cs="黑体"/>
          <w:sz w:val="21"/>
          <w:szCs w:val="21"/>
        </w:rPr>
        <w:t>承包人的工期延误</w:t>
      </w:r>
      <w:bookmarkEnd w:id="379"/>
      <w:bookmarkEnd w:id="380"/>
      <w:bookmarkEnd w:id="381"/>
      <w:bookmarkEnd w:id="382"/>
      <w:bookmarkEnd w:id="383"/>
    </w:p>
    <w:p>
      <w:pPr>
        <w:spacing w:line="400" w:lineRule="exact"/>
        <w:ind w:firstLine="440" w:firstLineChars="200"/>
        <w:rPr>
          <w:rFonts w:cs="Times New Roman"/>
        </w:rPr>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2"/>
        <w:rPr>
          <w:rFonts w:cs="Times New Roman"/>
          <w:sz w:val="21"/>
          <w:szCs w:val="21"/>
        </w:rPr>
      </w:pPr>
      <w:bookmarkStart w:id="384" w:name="_Toc144974656"/>
      <w:bookmarkStart w:id="385" w:name="_Toc152045688"/>
      <w:bookmarkStart w:id="386" w:name="_Toc309397366"/>
      <w:bookmarkStart w:id="387" w:name="_Toc179632706"/>
      <w:bookmarkStart w:id="388" w:name="_Toc152042466"/>
      <w:r>
        <w:rPr>
          <w:sz w:val="21"/>
          <w:szCs w:val="21"/>
        </w:rPr>
        <w:t>11.6</w:t>
      </w:r>
      <w:bookmarkEnd w:id="384"/>
      <w:bookmarkStart w:id="389" w:name="_Toc144974657"/>
      <w:r>
        <w:rPr>
          <w:sz w:val="21"/>
          <w:szCs w:val="21"/>
        </w:rPr>
        <w:t xml:space="preserve"> </w:t>
      </w:r>
      <w:r>
        <w:rPr>
          <w:rFonts w:hint="eastAsia" w:cs="黑体"/>
          <w:sz w:val="21"/>
          <w:szCs w:val="21"/>
        </w:rPr>
        <w:t>工期提前</w:t>
      </w:r>
      <w:bookmarkEnd w:id="385"/>
      <w:bookmarkEnd w:id="386"/>
      <w:bookmarkEnd w:id="387"/>
      <w:bookmarkEnd w:id="388"/>
      <w:bookmarkEnd w:id="389"/>
    </w:p>
    <w:p>
      <w:pPr>
        <w:spacing w:line="400" w:lineRule="exact"/>
        <w:ind w:firstLine="440" w:firstLineChars="200"/>
      </w:pPr>
      <w:r>
        <w:rPr>
          <w:rFonts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t xml:space="preserve"> </w:t>
      </w:r>
    </w:p>
    <w:p>
      <w:pPr>
        <w:pStyle w:val="51"/>
        <w:rPr>
          <w:sz w:val="21"/>
          <w:szCs w:val="21"/>
        </w:rPr>
      </w:pPr>
      <w:bookmarkStart w:id="390" w:name="_Toc179632707"/>
      <w:bookmarkStart w:id="391" w:name="_Toc152042467"/>
      <w:bookmarkStart w:id="392" w:name="_Toc309397367"/>
      <w:bookmarkStart w:id="393" w:name="_Toc152045689"/>
      <w:bookmarkStart w:id="394" w:name="_Toc144974658"/>
      <w:r>
        <w:rPr>
          <w:sz w:val="21"/>
          <w:szCs w:val="21"/>
        </w:rPr>
        <w:t xml:space="preserve">12. </w:t>
      </w:r>
      <w:r>
        <w:rPr>
          <w:rFonts w:hint="eastAsia" w:cs="宋体"/>
          <w:sz w:val="21"/>
          <w:szCs w:val="21"/>
        </w:rPr>
        <w:t>暂停施工</w:t>
      </w:r>
      <w:bookmarkEnd w:id="390"/>
      <w:bookmarkEnd w:id="391"/>
      <w:bookmarkEnd w:id="392"/>
      <w:bookmarkEnd w:id="393"/>
      <w:bookmarkEnd w:id="394"/>
    </w:p>
    <w:p>
      <w:pPr>
        <w:pStyle w:val="52"/>
        <w:rPr>
          <w:rFonts w:cs="Times New Roman"/>
          <w:sz w:val="21"/>
          <w:szCs w:val="21"/>
        </w:rPr>
      </w:pPr>
      <w:bookmarkStart w:id="395" w:name="_Toc144974659"/>
      <w:bookmarkStart w:id="396" w:name="_Toc152042468"/>
      <w:bookmarkStart w:id="397" w:name="_Toc179632708"/>
      <w:bookmarkStart w:id="398" w:name="_Toc152045690"/>
      <w:bookmarkStart w:id="399" w:name="_Toc309397368"/>
      <w:r>
        <w:rPr>
          <w:sz w:val="21"/>
          <w:szCs w:val="21"/>
        </w:rPr>
        <w:t xml:space="preserve">12.1 </w:t>
      </w:r>
      <w:r>
        <w:rPr>
          <w:rFonts w:hint="eastAsia" w:cs="黑体"/>
          <w:sz w:val="21"/>
          <w:szCs w:val="21"/>
        </w:rPr>
        <w:t>承包人暂停施工的责任</w:t>
      </w:r>
      <w:bookmarkEnd w:id="395"/>
      <w:bookmarkEnd w:id="396"/>
      <w:bookmarkEnd w:id="397"/>
      <w:bookmarkEnd w:id="398"/>
      <w:bookmarkEnd w:id="399"/>
    </w:p>
    <w:p>
      <w:pPr>
        <w:spacing w:line="400" w:lineRule="exact"/>
        <w:ind w:firstLine="440" w:firstLineChars="200"/>
        <w:rPr>
          <w:rFonts w:cs="Times New Roman"/>
        </w:rPr>
      </w:pPr>
      <w:r>
        <w:rPr>
          <w:rFonts w:hint="eastAsia"/>
        </w:rPr>
        <w:t>因下列暂停施工增加的费用和（或）工期延误由承包人承担：</w:t>
      </w:r>
    </w:p>
    <w:p>
      <w:pPr>
        <w:spacing w:line="400" w:lineRule="exact"/>
        <w:ind w:firstLine="376" w:firstLineChars="171"/>
        <w:rPr>
          <w:rFonts w:cs="Times New Roman"/>
        </w:rPr>
      </w:pPr>
      <w:r>
        <w:rPr>
          <w:rFonts w:hint="eastAsia"/>
        </w:rPr>
        <w:t>（</w:t>
      </w:r>
      <w:r>
        <w:t>1</w:t>
      </w:r>
      <w:r>
        <w:rPr>
          <w:rFonts w:hint="eastAsia"/>
        </w:rPr>
        <w:t>）承包人违约引起的暂停施工；</w:t>
      </w:r>
    </w:p>
    <w:p>
      <w:pPr>
        <w:spacing w:line="400" w:lineRule="exact"/>
        <w:ind w:firstLine="376" w:firstLineChars="171"/>
        <w:rPr>
          <w:rFonts w:cs="Times New Roman"/>
        </w:rPr>
      </w:pPr>
      <w:r>
        <w:rPr>
          <w:rFonts w:hint="eastAsia"/>
        </w:rPr>
        <w:t>（</w:t>
      </w:r>
      <w:r>
        <w:t>2</w:t>
      </w:r>
      <w:r>
        <w:rPr>
          <w:rFonts w:hint="eastAsia"/>
        </w:rPr>
        <w:t>）由于承包人原因为工程合理施工和安全保障所必需的暂停施工；</w:t>
      </w:r>
    </w:p>
    <w:p>
      <w:pPr>
        <w:spacing w:line="400" w:lineRule="exact"/>
        <w:ind w:firstLine="376" w:firstLineChars="171"/>
        <w:rPr>
          <w:rFonts w:cs="Times New Roman"/>
        </w:rPr>
      </w:pPr>
      <w:r>
        <w:rPr>
          <w:rFonts w:hint="eastAsia"/>
        </w:rPr>
        <w:t>（</w:t>
      </w:r>
      <w:r>
        <w:t>3</w:t>
      </w:r>
      <w:r>
        <w:rPr>
          <w:rFonts w:hint="eastAsia"/>
        </w:rPr>
        <w:t>）承包人擅自暂停施工；</w:t>
      </w:r>
    </w:p>
    <w:p>
      <w:pPr>
        <w:spacing w:line="400" w:lineRule="exact"/>
        <w:ind w:firstLine="376" w:firstLineChars="171"/>
        <w:rPr>
          <w:rFonts w:cs="Times New Roman"/>
        </w:rPr>
      </w:pPr>
      <w:r>
        <w:rPr>
          <w:rFonts w:hint="eastAsia"/>
        </w:rPr>
        <w:t>（</w:t>
      </w:r>
      <w:r>
        <w:t>4</w:t>
      </w:r>
      <w:r>
        <w:rPr>
          <w:rFonts w:hint="eastAsia"/>
        </w:rPr>
        <w:t>）承包人其他原因引起的暂停施工；</w:t>
      </w:r>
    </w:p>
    <w:p>
      <w:pPr>
        <w:spacing w:line="400" w:lineRule="exact"/>
        <w:ind w:firstLine="376" w:firstLineChars="171"/>
        <w:rPr>
          <w:rFonts w:cs="Times New Roman"/>
        </w:rPr>
      </w:pPr>
      <w:r>
        <w:rPr>
          <w:rFonts w:hint="eastAsia"/>
        </w:rPr>
        <w:t>（</w:t>
      </w:r>
      <w:r>
        <w:t>5</w:t>
      </w:r>
      <w:r>
        <w:rPr>
          <w:rFonts w:hint="eastAsia"/>
        </w:rPr>
        <w:t>）专用合同条款约定由承包人承担的其他暂停施工。</w:t>
      </w:r>
    </w:p>
    <w:p>
      <w:pPr>
        <w:pStyle w:val="52"/>
        <w:rPr>
          <w:rFonts w:cs="Times New Roman"/>
          <w:sz w:val="21"/>
          <w:szCs w:val="21"/>
        </w:rPr>
      </w:pPr>
      <w:bookmarkStart w:id="400" w:name="_Toc144974660"/>
      <w:bookmarkStart w:id="401" w:name="_Toc152045691"/>
      <w:bookmarkStart w:id="402" w:name="_Toc179632709"/>
      <w:bookmarkStart w:id="403" w:name="_Toc152042469"/>
      <w:bookmarkStart w:id="404" w:name="_Toc309397369"/>
      <w:r>
        <w:rPr>
          <w:sz w:val="21"/>
          <w:szCs w:val="21"/>
        </w:rPr>
        <w:t xml:space="preserve">12.2 </w:t>
      </w:r>
      <w:r>
        <w:rPr>
          <w:rFonts w:hint="eastAsia" w:cs="黑体"/>
          <w:sz w:val="21"/>
          <w:szCs w:val="21"/>
        </w:rPr>
        <w:t>发包人暂停施工的责任</w:t>
      </w:r>
      <w:bookmarkEnd w:id="400"/>
      <w:bookmarkEnd w:id="401"/>
      <w:bookmarkEnd w:id="402"/>
      <w:bookmarkEnd w:id="403"/>
      <w:bookmarkEnd w:id="404"/>
    </w:p>
    <w:p>
      <w:pPr>
        <w:spacing w:line="400" w:lineRule="exact"/>
        <w:ind w:firstLine="440" w:firstLineChars="200"/>
        <w:rPr>
          <w:rFonts w:cs="Times New Roman"/>
        </w:rPr>
      </w:pPr>
      <w:r>
        <w:rPr>
          <w:rFonts w:hint="eastAsia"/>
        </w:rPr>
        <w:t>由于发包人原因引起的暂停施工造成工期延误的，承包人有权要求发包人延长工期和（或）增加费用，并支付合理利润。</w:t>
      </w:r>
    </w:p>
    <w:p>
      <w:pPr>
        <w:pStyle w:val="52"/>
        <w:rPr>
          <w:rFonts w:cs="Times New Roman"/>
          <w:sz w:val="21"/>
          <w:szCs w:val="21"/>
        </w:rPr>
      </w:pPr>
      <w:bookmarkStart w:id="405" w:name="_Toc179632710"/>
      <w:bookmarkStart w:id="406" w:name="_Toc144974661"/>
      <w:bookmarkStart w:id="407" w:name="_Toc152042470"/>
      <w:bookmarkStart w:id="408" w:name="_Toc309397370"/>
      <w:bookmarkStart w:id="409" w:name="_Toc152045692"/>
      <w:r>
        <w:rPr>
          <w:sz w:val="21"/>
          <w:szCs w:val="21"/>
        </w:rPr>
        <w:t xml:space="preserve">12.3 </w:t>
      </w:r>
      <w:r>
        <w:rPr>
          <w:rFonts w:hint="eastAsia" w:cs="黑体"/>
          <w:sz w:val="21"/>
          <w:szCs w:val="21"/>
        </w:rPr>
        <w:t>监理人暂停施工指示</w:t>
      </w:r>
      <w:bookmarkEnd w:id="405"/>
      <w:bookmarkEnd w:id="406"/>
      <w:bookmarkEnd w:id="407"/>
      <w:bookmarkEnd w:id="408"/>
      <w:bookmarkEnd w:id="409"/>
    </w:p>
    <w:p>
      <w:pPr>
        <w:spacing w:line="400" w:lineRule="exact"/>
        <w:ind w:firstLine="440" w:firstLineChars="200"/>
        <w:rPr>
          <w:rFonts w:cs="Times New Roman"/>
        </w:rPr>
      </w:pPr>
      <w:r>
        <w:t xml:space="preserve">12.3.1 </w:t>
      </w:r>
      <w:r>
        <w:rPr>
          <w:rFonts w:hint="eastAsia"/>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cs="Times New Roman"/>
        </w:rPr>
      </w:pPr>
      <w:r>
        <w:t xml:space="preserve">12.3.2 </w:t>
      </w:r>
      <w:r>
        <w:rPr>
          <w:rFonts w:hint="eastAsia"/>
        </w:rPr>
        <w:t>由于发包人的原因发生暂停施工的紧急情况，且监理人未及时下达暂停施工指示的，承包人可先暂停施工，并及时向监理人提出暂停施工的书面请求。监理人应在接到书面请求后的</w:t>
      </w:r>
      <w:r>
        <w:t>24</w:t>
      </w:r>
      <w:r>
        <w:rPr>
          <w:rFonts w:hint="eastAsia"/>
        </w:rPr>
        <w:t>小时内予以答复，逾期未答复的，视为同意承包人的暂停施工请求。</w:t>
      </w:r>
    </w:p>
    <w:p>
      <w:pPr>
        <w:pStyle w:val="52"/>
        <w:rPr>
          <w:rFonts w:cs="Times New Roman"/>
          <w:sz w:val="21"/>
          <w:szCs w:val="21"/>
        </w:rPr>
      </w:pPr>
      <w:bookmarkStart w:id="410" w:name="_Toc309397371"/>
      <w:bookmarkStart w:id="411" w:name="_Toc152042471"/>
      <w:bookmarkStart w:id="412" w:name="_Toc144974662"/>
      <w:bookmarkStart w:id="413" w:name="_Toc179632711"/>
      <w:bookmarkStart w:id="414" w:name="_Toc152045693"/>
      <w:r>
        <w:rPr>
          <w:sz w:val="21"/>
          <w:szCs w:val="21"/>
        </w:rPr>
        <w:t xml:space="preserve">12.4 </w:t>
      </w:r>
      <w:r>
        <w:rPr>
          <w:rFonts w:hint="eastAsia" w:cs="黑体"/>
          <w:sz w:val="21"/>
          <w:szCs w:val="21"/>
        </w:rPr>
        <w:t>暂停施工后的复工</w:t>
      </w:r>
      <w:bookmarkEnd w:id="410"/>
      <w:bookmarkEnd w:id="411"/>
      <w:bookmarkEnd w:id="412"/>
      <w:bookmarkEnd w:id="413"/>
      <w:bookmarkEnd w:id="414"/>
    </w:p>
    <w:p>
      <w:pPr>
        <w:spacing w:line="400" w:lineRule="exact"/>
        <w:ind w:firstLine="440" w:firstLineChars="200"/>
        <w:rPr>
          <w:rFonts w:cs="Times New Roman"/>
        </w:rPr>
      </w:pPr>
      <w:r>
        <w:t xml:space="preserve">12.4.1 </w:t>
      </w:r>
      <w:r>
        <w:rPr>
          <w:rFonts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cs="Times New Roman"/>
        </w:rPr>
      </w:pPr>
      <w:r>
        <w:t xml:space="preserve">12.4.2 </w:t>
      </w:r>
      <w:r>
        <w:rPr>
          <w:rFonts w:hint="eastAsia"/>
        </w:rPr>
        <w:t>承包人无故拖延和拒绝复工的，由此增加的费用和工期延误由承包人承担；因发包人原因无法按时复工的，承包人有权要求发包人延长工期和（或）增加费用，并支付合理利润。</w:t>
      </w:r>
    </w:p>
    <w:p>
      <w:pPr>
        <w:pStyle w:val="52"/>
        <w:rPr>
          <w:rFonts w:cs="Times New Roman"/>
          <w:sz w:val="21"/>
          <w:szCs w:val="21"/>
        </w:rPr>
      </w:pPr>
      <w:bookmarkStart w:id="415" w:name="_Toc179632712"/>
      <w:bookmarkStart w:id="416" w:name="_Toc152045694"/>
      <w:bookmarkStart w:id="417" w:name="_Toc309397372"/>
      <w:bookmarkStart w:id="418" w:name="_Toc152042472"/>
      <w:bookmarkStart w:id="419" w:name="_Toc144974663"/>
      <w:r>
        <w:rPr>
          <w:sz w:val="21"/>
          <w:szCs w:val="21"/>
        </w:rPr>
        <w:t xml:space="preserve">12.5 </w:t>
      </w:r>
      <w:r>
        <w:rPr>
          <w:rFonts w:hint="eastAsia" w:cs="黑体"/>
          <w:sz w:val="21"/>
          <w:szCs w:val="21"/>
        </w:rPr>
        <w:t>暂停施工持续</w:t>
      </w:r>
      <w:r>
        <w:rPr>
          <w:sz w:val="21"/>
          <w:szCs w:val="21"/>
        </w:rPr>
        <w:t>56</w:t>
      </w:r>
      <w:r>
        <w:rPr>
          <w:rFonts w:hint="eastAsia" w:cs="黑体"/>
          <w:sz w:val="21"/>
          <w:szCs w:val="21"/>
        </w:rPr>
        <w:t>天以上</w:t>
      </w:r>
      <w:bookmarkEnd w:id="415"/>
      <w:bookmarkEnd w:id="416"/>
      <w:bookmarkEnd w:id="417"/>
      <w:bookmarkEnd w:id="418"/>
      <w:bookmarkEnd w:id="419"/>
    </w:p>
    <w:p>
      <w:pPr>
        <w:spacing w:line="400" w:lineRule="exact"/>
        <w:ind w:firstLine="431" w:firstLineChars="196"/>
        <w:rPr>
          <w:rFonts w:cs="Times New Roman"/>
        </w:rPr>
      </w:pPr>
      <w:r>
        <w:t xml:space="preserve">12.5.1 </w:t>
      </w:r>
      <w:r>
        <w:rPr>
          <w:rFonts w:hint="eastAsia"/>
        </w:rPr>
        <w:t>监理人发出暂停施工指示后</w:t>
      </w:r>
      <w:r>
        <w:t>56</w:t>
      </w:r>
      <w:r>
        <w:rPr>
          <w:rFonts w:hint="eastAsia"/>
        </w:rPr>
        <w:t>天内未向承包人发出复工通知，除了该项停工属于第</w:t>
      </w:r>
      <w:r>
        <w:t>12.1</w:t>
      </w:r>
      <w:r>
        <w:rPr>
          <w:rFonts w:hint="eastAsia"/>
        </w:rPr>
        <w:t>款的情况外，承包人可向监理人提交书面通知，要求监理人在收到书面通知后</w:t>
      </w:r>
      <w:r>
        <w:t>28</w:t>
      </w:r>
      <w:r>
        <w:rPr>
          <w:rFonts w:hint="eastAsia"/>
        </w:rPr>
        <w:t>天内准许已暂停施工的工程或其中一部分工程继续施工。如监理人逾期不予批准，则承包人可以通知监理人，将工程受影响的部分视为按第</w:t>
      </w:r>
      <w:r>
        <w:t>15.1</w:t>
      </w:r>
      <w:r>
        <w:rPr>
          <w:rFonts w:hint="eastAsia"/>
        </w:rPr>
        <w:t>（</w:t>
      </w:r>
      <w:r>
        <w:t>1</w:t>
      </w:r>
      <w:r>
        <w:rPr>
          <w:rFonts w:hint="eastAsia"/>
        </w:rPr>
        <w:t>）项的可取消工作。如暂停施工影响到整个工程，可视为发包人违约，应按第</w:t>
      </w:r>
      <w:r>
        <w:t>22.2</w:t>
      </w:r>
      <w:r>
        <w:rPr>
          <w:rFonts w:hint="eastAsia"/>
        </w:rPr>
        <w:t>款的规定办理。</w:t>
      </w:r>
    </w:p>
    <w:p>
      <w:pPr>
        <w:spacing w:line="400" w:lineRule="exact"/>
        <w:ind w:firstLine="440" w:firstLineChars="200"/>
        <w:rPr>
          <w:rFonts w:cs="Times New Roman"/>
        </w:rPr>
      </w:pPr>
      <w:r>
        <w:t xml:space="preserve">12.5.2 </w:t>
      </w:r>
      <w:r>
        <w:rPr>
          <w:rFonts w:hint="eastAsia"/>
        </w:rPr>
        <w:t>由于承包人责任引起的暂停施工，如承包人在收到监理人暂停施工指示后</w:t>
      </w:r>
      <w:r>
        <w:t>56</w:t>
      </w:r>
      <w:r>
        <w:rPr>
          <w:rFonts w:hint="eastAsia"/>
        </w:rPr>
        <w:t>天内不认真采取有效的复工措施，造成工期延误，可视为承包人违约，应按第</w:t>
      </w:r>
      <w:r>
        <w:t>22.1</w:t>
      </w:r>
      <w:r>
        <w:rPr>
          <w:rFonts w:hint="eastAsia"/>
        </w:rPr>
        <w:t>款的规定办理。</w:t>
      </w:r>
    </w:p>
    <w:p>
      <w:pPr>
        <w:pStyle w:val="51"/>
        <w:rPr>
          <w:sz w:val="21"/>
          <w:szCs w:val="21"/>
        </w:rPr>
      </w:pPr>
      <w:bookmarkStart w:id="420" w:name="_Toc179632713"/>
      <w:bookmarkStart w:id="421" w:name="_Toc152042473"/>
      <w:bookmarkStart w:id="422" w:name="_Toc152045695"/>
      <w:bookmarkStart w:id="423" w:name="_Toc309397373"/>
      <w:bookmarkStart w:id="424" w:name="_Toc144974664"/>
      <w:r>
        <w:rPr>
          <w:sz w:val="21"/>
          <w:szCs w:val="21"/>
        </w:rPr>
        <w:t xml:space="preserve">13. </w:t>
      </w:r>
      <w:r>
        <w:rPr>
          <w:rFonts w:hint="eastAsia" w:cs="宋体"/>
          <w:sz w:val="21"/>
          <w:szCs w:val="21"/>
        </w:rPr>
        <w:t>工程质量</w:t>
      </w:r>
      <w:bookmarkEnd w:id="420"/>
      <w:bookmarkEnd w:id="421"/>
      <w:bookmarkEnd w:id="422"/>
      <w:bookmarkEnd w:id="423"/>
      <w:bookmarkEnd w:id="424"/>
    </w:p>
    <w:p>
      <w:pPr>
        <w:pStyle w:val="52"/>
        <w:rPr>
          <w:rFonts w:cs="Times New Roman"/>
          <w:sz w:val="21"/>
          <w:szCs w:val="21"/>
        </w:rPr>
      </w:pPr>
      <w:bookmarkStart w:id="425" w:name="_Toc144974665"/>
      <w:bookmarkStart w:id="426" w:name="_Toc152042474"/>
      <w:bookmarkStart w:id="427" w:name="_Toc152045696"/>
      <w:bookmarkStart w:id="428" w:name="_Toc179632714"/>
      <w:bookmarkStart w:id="429" w:name="_Toc309397374"/>
      <w:r>
        <w:rPr>
          <w:sz w:val="21"/>
          <w:szCs w:val="21"/>
        </w:rPr>
        <w:t xml:space="preserve">13.1 </w:t>
      </w:r>
      <w:r>
        <w:rPr>
          <w:rFonts w:hint="eastAsia" w:cs="黑体"/>
          <w:sz w:val="21"/>
          <w:szCs w:val="21"/>
        </w:rPr>
        <w:t>工程质量要求</w:t>
      </w:r>
      <w:bookmarkEnd w:id="425"/>
      <w:bookmarkEnd w:id="426"/>
      <w:bookmarkEnd w:id="427"/>
      <w:bookmarkEnd w:id="428"/>
      <w:bookmarkEnd w:id="429"/>
    </w:p>
    <w:p>
      <w:pPr>
        <w:spacing w:line="400" w:lineRule="exact"/>
        <w:ind w:firstLine="440" w:firstLineChars="200"/>
        <w:rPr>
          <w:rFonts w:cs="Times New Roman"/>
        </w:rPr>
      </w:pPr>
      <w:r>
        <w:t xml:space="preserve">13.1.1 </w:t>
      </w:r>
      <w:r>
        <w:rPr>
          <w:rFonts w:hint="eastAsia"/>
        </w:rPr>
        <w:t>工程质量验收按合同约定验收标准执行。</w:t>
      </w:r>
    </w:p>
    <w:p>
      <w:pPr>
        <w:spacing w:line="400" w:lineRule="exact"/>
        <w:ind w:firstLine="440" w:firstLineChars="200"/>
        <w:rPr>
          <w:rFonts w:cs="Times New Roman"/>
        </w:rPr>
      </w:pPr>
      <w:r>
        <w:t xml:space="preserve">13.1.2 </w:t>
      </w:r>
      <w:r>
        <w:rPr>
          <w:rFonts w:hint="eastAsia"/>
        </w:rPr>
        <w:t>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cs="Times New Roman"/>
        </w:rPr>
      </w:pPr>
      <w:r>
        <w:t xml:space="preserve">13.1.3 </w:t>
      </w:r>
      <w:r>
        <w:rPr>
          <w:rFonts w:hint="eastAsia"/>
        </w:rPr>
        <w:t>因发包人原因造成工程质量达不到合同约定验收标准的，发包人应承担由于承包人返工造成的费用增加和（或）工期延误，并支付承包人合理利润。</w:t>
      </w:r>
    </w:p>
    <w:p>
      <w:pPr>
        <w:pStyle w:val="52"/>
        <w:rPr>
          <w:rFonts w:cs="Times New Roman"/>
          <w:sz w:val="21"/>
          <w:szCs w:val="21"/>
        </w:rPr>
      </w:pPr>
      <w:bookmarkStart w:id="430" w:name="_Toc152042475"/>
      <w:bookmarkStart w:id="431" w:name="_Toc144974666"/>
      <w:bookmarkStart w:id="432" w:name="_Toc179632715"/>
      <w:bookmarkStart w:id="433" w:name="_Toc152045697"/>
      <w:bookmarkStart w:id="434" w:name="_Toc309397375"/>
      <w:r>
        <w:rPr>
          <w:sz w:val="21"/>
          <w:szCs w:val="21"/>
        </w:rPr>
        <w:t xml:space="preserve">13.2 </w:t>
      </w:r>
      <w:r>
        <w:rPr>
          <w:rFonts w:hint="eastAsia" w:cs="黑体"/>
          <w:sz w:val="21"/>
          <w:szCs w:val="21"/>
        </w:rPr>
        <w:t>承包人的质量管理</w:t>
      </w:r>
      <w:bookmarkEnd w:id="430"/>
      <w:bookmarkEnd w:id="431"/>
      <w:bookmarkEnd w:id="432"/>
      <w:bookmarkEnd w:id="433"/>
      <w:bookmarkEnd w:id="434"/>
    </w:p>
    <w:p>
      <w:pPr>
        <w:spacing w:line="400" w:lineRule="exact"/>
        <w:ind w:firstLine="440" w:firstLineChars="200"/>
        <w:rPr>
          <w:rFonts w:cs="Times New Roman"/>
        </w:rPr>
      </w:pPr>
      <w:r>
        <w:t xml:space="preserve">13.2.1 </w:t>
      </w:r>
      <w:r>
        <w:rPr>
          <w:rFonts w:hint="eastAsia"/>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cs="Times New Roman"/>
        </w:rPr>
      </w:pPr>
      <w:r>
        <w:t xml:space="preserve">13.2.2 </w:t>
      </w:r>
      <w:r>
        <w:rPr>
          <w:rFonts w:hint="eastAsia"/>
        </w:rPr>
        <w:t>承包人应加强对施工人员的质量教育和技术培训，定期考核施工人员的劳动技能，严格执行规范和操作规程。</w:t>
      </w:r>
    </w:p>
    <w:p>
      <w:pPr>
        <w:pStyle w:val="52"/>
        <w:rPr>
          <w:rFonts w:cs="Times New Roman"/>
          <w:sz w:val="21"/>
          <w:szCs w:val="21"/>
        </w:rPr>
      </w:pPr>
      <w:bookmarkStart w:id="435" w:name="_Toc144974667"/>
      <w:bookmarkStart w:id="436" w:name="_Toc152042476"/>
      <w:bookmarkStart w:id="437" w:name="_Toc309397376"/>
      <w:bookmarkStart w:id="438" w:name="_Toc152045698"/>
      <w:bookmarkStart w:id="439" w:name="_Toc179632716"/>
      <w:r>
        <w:rPr>
          <w:sz w:val="21"/>
          <w:szCs w:val="21"/>
        </w:rPr>
        <w:t xml:space="preserve">13.3 </w:t>
      </w:r>
      <w:r>
        <w:rPr>
          <w:rFonts w:hint="eastAsia" w:cs="黑体"/>
          <w:sz w:val="21"/>
          <w:szCs w:val="21"/>
        </w:rPr>
        <w:t>承包人的质量检查</w:t>
      </w:r>
      <w:bookmarkEnd w:id="435"/>
      <w:bookmarkEnd w:id="436"/>
      <w:bookmarkEnd w:id="437"/>
      <w:bookmarkEnd w:id="438"/>
      <w:bookmarkEnd w:id="439"/>
    </w:p>
    <w:p>
      <w:pPr>
        <w:spacing w:line="400" w:lineRule="exact"/>
        <w:ind w:firstLine="440" w:firstLineChars="200"/>
        <w:rPr>
          <w:rFonts w:cs="Times New Roman"/>
        </w:rPr>
      </w:pPr>
      <w:r>
        <w:rPr>
          <w:rFonts w:hint="eastAsia"/>
        </w:rPr>
        <w:t>承包人应按合同约定对材料、工程设备以及工程的所有部位及其施工工艺进行全过程的质量检查和检验，并作详细记录，编制工程质量报表，报送监理人审查。</w:t>
      </w:r>
    </w:p>
    <w:p>
      <w:pPr>
        <w:pStyle w:val="52"/>
        <w:rPr>
          <w:rFonts w:cs="Times New Roman"/>
          <w:sz w:val="21"/>
          <w:szCs w:val="21"/>
        </w:rPr>
      </w:pPr>
      <w:bookmarkStart w:id="440" w:name="_Toc179632717"/>
      <w:bookmarkStart w:id="441" w:name="_Toc144974668"/>
      <w:bookmarkStart w:id="442" w:name="_Toc152042477"/>
      <w:bookmarkStart w:id="443" w:name="_Toc152045699"/>
      <w:bookmarkStart w:id="444" w:name="_Toc309397377"/>
      <w:r>
        <w:rPr>
          <w:sz w:val="21"/>
          <w:szCs w:val="21"/>
        </w:rPr>
        <w:t xml:space="preserve">13.4 </w:t>
      </w:r>
      <w:r>
        <w:rPr>
          <w:rFonts w:hint="eastAsia" w:cs="黑体"/>
          <w:sz w:val="21"/>
          <w:szCs w:val="21"/>
        </w:rPr>
        <w:t>监理人的质量检查</w:t>
      </w:r>
      <w:bookmarkEnd w:id="440"/>
      <w:bookmarkEnd w:id="441"/>
      <w:bookmarkEnd w:id="442"/>
      <w:bookmarkEnd w:id="443"/>
      <w:bookmarkEnd w:id="444"/>
    </w:p>
    <w:p>
      <w:pPr>
        <w:spacing w:line="400" w:lineRule="exact"/>
        <w:ind w:firstLine="440" w:firstLineChars="200"/>
        <w:rPr>
          <w:rFonts w:cs="Times New Roman"/>
        </w:rPr>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2"/>
        <w:rPr>
          <w:rFonts w:cs="Times New Roman"/>
          <w:sz w:val="21"/>
          <w:szCs w:val="21"/>
        </w:rPr>
      </w:pPr>
      <w:bookmarkStart w:id="445" w:name="_Toc152042478"/>
      <w:bookmarkStart w:id="446" w:name="_Toc144974669"/>
      <w:bookmarkStart w:id="447" w:name="_Toc309397378"/>
      <w:bookmarkStart w:id="448" w:name="_Toc152045700"/>
      <w:bookmarkStart w:id="449" w:name="_Toc179632718"/>
      <w:r>
        <w:rPr>
          <w:sz w:val="21"/>
          <w:szCs w:val="21"/>
        </w:rPr>
        <w:t xml:space="preserve">13.5 </w:t>
      </w:r>
      <w:r>
        <w:rPr>
          <w:rFonts w:hint="eastAsia" w:cs="黑体"/>
          <w:sz w:val="21"/>
          <w:szCs w:val="21"/>
        </w:rPr>
        <w:t>工程隐蔽部位覆盖前的检查</w:t>
      </w:r>
      <w:bookmarkEnd w:id="445"/>
      <w:bookmarkEnd w:id="446"/>
      <w:bookmarkEnd w:id="447"/>
      <w:bookmarkEnd w:id="448"/>
      <w:bookmarkEnd w:id="449"/>
    </w:p>
    <w:p>
      <w:pPr>
        <w:spacing w:line="400" w:lineRule="exact"/>
        <w:ind w:firstLine="440" w:firstLineChars="200"/>
        <w:rPr>
          <w:rFonts w:cs="Times New Roman"/>
        </w:rPr>
      </w:pPr>
      <w:r>
        <w:t xml:space="preserve">13.5.1 </w:t>
      </w:r>
      <w:r>
        <w:rPr>
          <w:rFonts w:hint="eastAsia" w:ascii="黑体" w:eastAsia="黑体" w:cs="黑体"/>
        </w:rPr>
        <w:t>通知监理人检查</w:t>
      </w:r>
    </w:p>
    <w:p>
      <w:pPr>
        <w:spacing w:line="400" w:lineRule="exact"/>
        <w:ind w:firstLine="440" w:firstLineChars="200"/>
        <w:rPr>
          <w:rFonts w:cs="Times New Roman"/>
        </w:rPr>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cs="Times New Roman"/>
        </w:rPr>
      </w:pPr>
      <w:r>
        <w:t xml:space="preserve">13.5.2 </w:t>
      </w:r>
      <w:r>
        <w:rPr>
          <w:rFonts w:hint="eastAsia" w:ascii="黑体" w:eastAsia="黑体" w:cs="黑体"/>
        </w:rPr>
        <w:t>监理人未到场检查</w:t>
      </w:r>
    </w:p>
    <w:p>
      <w:pPr>
        <w:spacing w:line="400" w:lineRule="exact"/>
        <w:ind w:firstLine="440" w:firstLineChars="200"/>
        <w:rPr>
          <w:rFonts w:cs="Times New Roman"/>
        </w:rPr>
      </w:pPr>
      <w:r>
        <w:rPr>
          <w:rFonts w:hint="eastAsia"/>
        </w:rPr>
        <w:t>监理人未按第</w:t>
      </w:r>
      <w:r>
        <w:t>13.5.1</w:t>
      </w:r>
      <w:r>
        <w:rPr>
          <w:rFonts w:hint="eastAsia"/>
        </w:rPr>
        <w:t>项约定的时间进行检查的，除监理人另有指示外，承包人可自行完成覆盖工作，并作相应记录报送监理人，监理人应签字确认。监理人事后对检查记录有疑问的，可按第</w:t>
      </w:r>
      <w:r>
        <w:t>13.5.3</w:t>
      </w:r>
      <w:r>
        <w:rPr>
          <w:rFonts w:hint="eastAsia"/>
        </w:rPr>
        <w:t>项的约定重新检查。</w:t>
      </w:r>
    </w:p>
    <w:p>
      <w:pPr>
        <w:spacing w:line="400" w:lineRule="exact"/>
        <w:ind w:firstLine="440" w:firstLineChars="200"/>
        <w:rPr>
          <w:rFonts w:cs="Times New Roman"/>
        </w:rPr>
      </w:pPr>
      <w:r>
        <w:t xml:space="preserve">13.5.3 </w:t>
      </w:r>
      <w:r>
        <w:rPr>
          <w:rFonts w:hint="eastAsia" w:ascii="黑体" w:eastAsia="黑体" w:cs="黑体"/>
        </w:rPr>
        <w:t>监理人重新检查</w:t>
      </w:r>
    </w:p>
    <w:p>
      <w:pPr>
        <w:spacing w:line="400" w:lineRule="exact"/>
        <w:ind w:firstLine="440" w:firstLineChars="200"/>
        <w:rPr>
          <w:rFonts w:cs="Times New Roman"/>
        </w:rPr>
      </w:pPr>
      <w:r>
        <w:rPr>
          <w:rFonts w:hint="eastAsia"/>
        </w:rPr>
        <w:t>承包人按第</w:t>
      </w:r>
      <w:r>
        <w:t>13.5.1</w:t>
      </w:r>
      <w:r>
        <w:rPr>
          <w:rFonts w:hint="eastAsia"/>
        </w:rPr>
        <w:t>项或第</w:t>
      </w:r>
      <w:r>
        <w:t>13.5.2</w:t>
      </w:r>
      <w:r>
        <w:rPr>
          <w:rFonts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cs="Times New Roman"/>
        </w:rPr>
      </w:pPr>
      <w:r>
        <w:t xml:space="preserve">13.5.4 </w:t>
      </w:r>
      <w:r>
        <w:rPr>
          <w:rFonts w:hint="eastAsia" w:ascii="黑体" w:eastAsia="黑体" w:cs="黑体"/>
        </w:rPr>
        <w:t>承包人私自覆盖</w:t>
      </w:r>
    </w:p>
    <w:p>
      <w:pPr>
        <w:spacing w:line="400" w:lineRule="exact"/>
        <w:ind w:firstLine="440" w:firstLineChars="200"/>
        <w:rPr>
          <w:rFonts w:cs="Times New Roman"/>
        </w:rPr>
      </w:pPr>
      <w:r>
        <w:rPr>
          <w:rFonts w:hint="eastAsia"/>
        </w:rPr>
        <w:t>承包人未通知监理人到场检查，私自将工程隐蔽部位覆盖的，监理人有权指示承包人钻孔探测或揭开检查，由此增加的费用和（或）工期延误由承包人承担。</w:t>
      </w:r>
    </w:p>
    <w:p>
      <w:pPr>
        <w:pStyle w:val="52"/>
        <w:rPr>
          <w:rFonts w:cs="Times New Roman"/>
          <w:sz w:val="21"/>
          <w:szCs w:val="21"/>
        </w:rPr>
      </w:pPr>
      <w:bookmarkStart w:id="450" w:name="_Toc152042479"/>
      <w:bookmarkStart w:id="451" w:name="_Toc179632719"/>
      <w:bookmarkStart w:id="452" w:name="_Toc152045701"/>
      <w:bookmarkStart w:id="453" w:name="_Toc309397379"/>
      <w:bookmarkStart w:id="454" w:name="_Toc144974670"/>
      <w:r>
        <w:rPr>
          <w:sz w:val="21"/>
          <w:szCs w:val="21"/>
        </w:rPr>
        <w:t xml:space="preserve">13.6 </w:t>
      </w:r>
      <w:r>
        <w:rPr>
          <w:rFonts w:hint="eastAsia" w:cs="黑体"/>
          <w:sz w:val="21"/>
          <w:szCs w:val="21"/>
        </w:rPr>
        <w:t>清除不合格工程</w:t>
      </w:r>
      <w:bookmarkEnd w:id="450"/>
      <w:bookmarkEnd w:id="451"/>
      <w:bookmarkEnd w:id="452"/>
      <w:bookmarkEnd w:id="453"/>
      <w:bookmarkEnd w:id="454"/>
    </w:p>
    <w:p>
      <w:pPr>
        <w:spacing w:line="400" w:lineRule="exact"/>
        <w:ind w:firstLine="440" w:firstLineChars="200"/>
        <w:rPr>
          <w:rFonts w:cs="Times New Roman"/>
        </w:rPr>
      </w:pPr>
      <w:r>
        <w:t xml:space="preserve">13.6.1 </w:t>
      </w:r>
      <w:r>
        <w:rPr>
          <w:rFonts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cs="Times New Roman"/>
        </w:rPr>
      </w:pPr>
      <w:r>
        <w:t xml:space="preserve">13.6.2 </w:t>
      </w:r>
      <w:r>
        <w:rPr>
          <w:rFonts w:hint="eastAsia"/>
        </w:rPr>
        <w:t>由于发包人提供的材料或工程设备不合格造成的工程不合格，需要承包人采取措施补救的，发包人应承担由此增加的费用和（或）工期延误，并支付承包人合理利润。</w:t>
      </w:r>
    </w:p>
    <w:p>
      <w:pPr>
        <w:pStyle w:val="51"/>
        <w:rPr>
          <w:sz w:val="21"/>
          <w:szCs w:val="21"/>
        </w:rPr>
      </w:pPr>
      <w:bookmarkStart w:id="455" w:name="_Toc309397380"/>
      <w:bookmarkStart w:id="456" w:name="_Toc152045702"/>
      <w:bookmarkStart w:id="457" w:name="_Toc179632720"/>
      <w:bookmarkStart w:id="458" w:name="_Toc152042480"/>
      <w:bookmarkStart w:id="459" w:name="_Toc144974671"/>
      <w:r>
        <w:rPr>
          <w:sz w:val="21"/>
          <w:szCs w:val="21"/>
        </w:rPr>
        <w:t xml:space="preserve">14. </w:t>
      </w:r>
      <w:r>
        <w:rPr>
          <w:rFonts w:hint="eastAsia" w:cs="宋体"/>
          <w:sz w:val="21"/>
          <w:szCs w:val="21"/>
        </w:rPr>
        <w:t>试验和检验</w:t>
      </w:r>
      <w:bookmarkEnd w:id="455"/>
      <w:bookmarkEnd w:id="456"/>
      <w:bookmarkEnd w:id="457"/>
      <w:bookmarkEnd w:id="458"/>
      <w:bookmarkEnd w:id="459"/>
    </w:p>
    <w:p>
      <w:pPr>
        <w:pStyle w:val="52"/>
        <w:rPr>
          <w:rFonts w:cs="Times New Roman"/>
          <w:sz w:val="21"/>
          <w:szCs w:val="21"/>
        </w:rPr>
      </w:pPr>
      <w:bookmarkStart w:id="460" w:name="_Toc152045703"/>
      <w:bookmarkStart w:id="461" w:name="_Toc309397381"/>
      <w:bookmarkStart w:id="462" w:name="_Toc144974672"/>
      <w:bookmarkStart w:id="463" w:name="_Toc179632721"/>
      <w:bookmarkStart w:id="464" w:name="_Toc152042481"/>
      <w:r>
        <w:rPr>
          <w:sz w:val="21"/>
          <w:szCs w:val="21"/>
        </w:rPr>
        <w:t xml:space="preserve">14.1 </w:t>
      </w:r>
      <w:r>
        <w:rPr>
          <w:rFonts w:hint="eastAsia" w:cs="黑体"/>
          <w:sz w:val="21"/>
          <w:szCs w:val="21"/>
        </w:rPr>
        <w:t>材料、工程设备和工程的试验和检验</w:t>
      </w:r>
      <w:bookmarkEnd w:id="460"/>
      <w:bookmarkEnd w:id="461"/>
      <w:bookmarkEnd w:id="462"/>
      <w:bookmarkEnd w:id="463"/>
      <w:bookmarkEnd w:id="464"/>
    </w:p>
    <w:p>
      <w:pPr>
        <w:spacing w:line="400" w:lineRule="exact"/>
        <w:ind w:firstLine="440" w:firstLineChars="200"/>
        <w:rPr>
          <w:rFonts w:cs="Times New Roman"/>
        </w:rPr>
      </w:pPr>
      <w:r>
        <w:t xml:space="preserve">14.1.1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cs="Times New Roman"/>
        </w:rPr>
      </w:pPr>
      <w:r>
        <w:t xml:space="preserve">14.1.2 </w:t>
      </w:r>
      <w:r>
        <w:rPr>
          <w:rFonts w:hint="eastAsia"/>
        </w:rPr>
        <w:t>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cs="Times New Roman"/>
        </w:rPr>
      </w:pPr>
      <w:r>
        <w:t xml:space="preserve">14.1.3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2"/>
        <w:rPr>
          <w:rFonts w:cs="Times New Roman"/>
          <w:sz w:val="21"/>
          <w:szCs w:val="21"/>
        </w:rPr>
      </w:pPr>
      <w:bookmarkStart w:id="465" w:name="_Toc144974673"/>
      <w:bookmarkStart w:id="466" w:name="_Toc152042482"/>
      <w:bookmarkStart w:id="467" w:name="_Toc152045704"/>
      <w:bookmarkStart w:id="468" w:name="_Toc179632722"/>
      <w:bookmarkStart w:id="469" w:name="_Toc309397382"/>
      <w:r>
        <w:rPr>
          <w:sz w:val="21"/>
          <w:szCs w:val="21"/>
        </w:rPr>
        <w:t xml:space="preserve">14.2 </w:t>
      </w:r>
      <w:r>
        <w:rPr>
          <w:rFonts w:hint="eastAsia" w:cs="黑体"/>
          <w:sz w:val="21"/>
          <w:szCs w:val="21"/>
        </w:rPr>
        <w:t>现场材料试验</w:t>
      </w:r>
      <w:bookmarkEnd w:id="465"/>
      <w:bookmarkEnd w:id="466"/>
      <w:bookmarkEnd w:id="467"/>
      <w:bookmarkEnd w:id="468"/>
      <w:bookmarkEnd w:id="469"/>
    </w:p>
    <w:p>
      <w:pPr>
        <w:spacing w:line="400" w:lineRule="exact"/>
        <w:ind w:firstLine="440" w:firstLineChars="200"/>
        <w:rPr>
          <w:rFonts w:cs="Times New Roman"/>
        </w:rPr>
      </w:pPr>
      <w:r>
        <w:t xml:space="preserve">14.2.1 </w:t>
      </w:r>
      <w:r>
        <w:rPr>
          <w:rFonts w:hint="eastAsia"/>
        </w:rPr>
        <w:t>承包人根据合同约定或监理人指示进行的现场材料试验，应由承包人提供试验场所、试验人员、试验设备器材以及其他必要的试验条件。</w:t>
      </w:r>
    </w:p>
    <w:p>
      <w:pPr>
        <w:spacing w:line="400" w:lineRule="exact"/>
        <w:ind w:firstLine="440" w:firstLineChars="200"/>
        <w:rPr>
          <w:rFonts w:cs="Times New Roman"/>
        </w:rPr>
      </w:pPr>
      <w:r>
        <w:t xml:space="preserve">14.2.2 </w:t>
      </w:r>
      <w:r>
        <w:rPr>
          <w:rFonts w:hint="eastAsia"/>
        </w:rPr>
        <w:t>监理人在必要时可以使用承包人的试验场所、试验设备器材以及其他试验条件，进行以工程质量检查为目的的复核性材料试验，承包人应予以协助。</w:t>
      </w:r>
    </w:p>
    <w:p>
      <w:pPr>
        <w:pStyle w:val="52"/>
        <w:rPr>
          <w:rFonts w:cs="Times New Roman"/>
          <w:sz w:val="21"/>
          <w:szCs w:val="21"/>
        </w:rPr>
      </w:pPr>
      <w:bookmarkStart w:id="470" w:name="_Toc144974674"/>
      <w:bookmarkStart w:id="471" w:name="_Toc179632723"/>
      <w:bookmarkStart w:id="472" w:name="_Toc309397383"/>
      <w:bookmarkStart w:id="473" w:name="_Toc152042483"/>
      <w:bookmarkStart w:id="474" w:name="_Toc152045705"/>
      <w:r>
        <w:rPr>
          <w:sz w:val="21"/>
          <w:szCs w:val="21"/>
        </w:rPr>
        <w:t xml:space="preserve">14.3 </w:t>
      </w:r>
      <w:r>
        <w:rPr>
          <w:rFonts w:hint="eastAsia" w:cs="黑体"/>
          <w:sz w:val="21"/>
          <w:szCs w:val="21"/>
        </w:rPr>
        <w:t>现场工艺试验</w:t>
      </w:r>
      <w:bookmarkEnd w:id="470"/>
      <w:bookmarkEnd w:id="471"/>
      <w:bookmarkEnd w:id="472"/>
      <w:bookmarkEnd w:id="473"/>
      <w:bookmarkEnd w:id="474"/>
    </w:p>
    <w:p>
      <w:pPr>
        <w:spacing w:line="400" w:lineRule="exact"/>
        <w:ind w:firstLine="440" w:firstLineChars="200"/>
        <w:rPr>
          <w:rFonts w:cs="Times New Roman"/>
        </w:rPr>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pPr>
        <w:pStyle w:val="51"/>
        <w:rPr>
          <w:sz w:val="21"/>
          <w:szCs w:val="21"/>
        </w:rPr>
      </w:pPr>
      <w:bookmarkStart w:id="475" w:name="_Toc309397384"/>
      <w:bookmarkStart w:id="476" w:name="_Toc179632724"/>
      <w:bookmarkStart w:id="477" w:name="_Toc152042484"/>
      <w:bookmarkStart w:id="478" w:name="_Toc144974675"/>
      <w:bookmarkStart w:id="479" w:name="_Toc152045706"/>
      <w:r>
        <w:rPr>
          <w:sz w:val="21"/>
          <w:szCs w:val="21"/>
        </w:rPr>
        <w:t xml:space="preserve">15. </w:t>
      </w:r>
      <w:r>
        <w:rPr>
          <w:rFonts w:hint="eastAsia" w:cs="宋体"/>
          <w:sz w:val="21"/>
          <w:szCs w:val="21"/>
        </w:rPr>
        <w:t>变更</w:t>
      </w:r>
      <w:bookmarkEnd w:id="475"/>
      <w:bookmarkEnd w:id="476"/>
      <w:bookmarkEnd w:id="477"/>
      <w:bookmarkEnd w:id="478"/>
      <w:bookmarkEnd w:id="479"/>
    </w:p>
    <w:p>
      <w:pPr>
        <w:pStyle w:val="52"/>
        <w:rPr>
          <w:rFonts w:cs="Times New Roman"/>
          <w:sz w:val="21"/>
          <w:szCs w:val="21"/>
        </w:rPr>
      </w:pPr>
      <w:bookmarkStart w:id="480" w:name="_Toc144974676"/>
      <w:bookmarkStart w:id="481" w:name="_Toc309397385"/>
      <w:bookmarkStart w:id="482" w:name="_Toc152045707"/>
      <w:bookmarkStart w:id="483" w:name="_Toc152042485"/>
      <w:bookmarkStart w:id="484" w:name="_Toc179632725"/>
      <w:r>
        <w:rPr>
          <w:sz w:val="21"/>
          <w:szCs w:val="21"/>
        </w:rPr>
        <w:t xml:space="preserve">15.1 </w:t>
      </w:r>
      <w:r>
        <w:rPr>
          <w:rFonts w:hint="eastAsia" w:cs="黑体"/>
          <w:sz w:val="21"/>
          <w:szCs w:val="21"/>
        </w:rPr>
        <w:t>变更的范围和内容</w:t>
      </w:r>
      <w:bookmarkEnd w:id="480"/>
      <w:bookmarkEnd w:id="481"/>
      <w:bookmarkEnd w:id="482"/>
      <w:bookmarkEnd w:id="483"/>
      <w:bookmarkEnd w:id="484"/>
    </w:p>
    <w:p>
      <w:pPr>
        <w:spacing w:line="400" w:lineRule="exact"/>
        <w:ind w:firstLine="440" w:firstLineChars="200"/>
        <w:rPr>
          <w:rFonts w:cs="Times New Roman"/>
        </w:rPr>
      </w:pPr>
      <w:r>
        <w:rPr>
          <w:rFonts w:hint="eastAsia"/>
        </w:rPr>
        <w:t>除专用合同条款另有约定外，在履行合同中发生以下情形之一，应按照本条规定进行变更。</w:t>
      </w:r>
    </w:p>
    <w:p>
      <w:pPr>
        <w:spacing w:line="400" w:lineRule="exact"/>
        <w:ind w:firstLine="376" w:firstLineChars="171"/>
        <w:rPr>
          <w:rFonts w:cs="Times New Roman"/>
        </w:rPr>
      </w:pPr>
      <w:r>
        <w:rPr>
          <w:rFonts w:hint="eastAsia"/>
        </w:rPr>
        <w:t>（</w:t>
      </w:r>
      <w:r>
        <w:t>1</w:t>
      </w:r>
      <w:r>
        <w:rPr>
          <w:rFonts w:hint="eastAsia"/>
        </w:rPr>
        <w:t>）取消合同中任何一项工作，但被取消的工作不能转由发包人或其他人实施；</w:t>
      </w:r>
    </w:p>
    <w:p>
      <w:pPr>
        <w:spacing w:line="400" w:lineRule="exact"/>
        <w:ind w:firstLine="376" w:firstLineChars="171"/>
        <w:rPr>
          <w:rFonts w:cs="Times New Roman"/>
        </w:rPr>
      </w:pPr>
      <w:r>
        <w:rPr>
          <w:rFonts w:hint="eastAsia"/>
        </w:rPr>
        <w:t>（</w:t>
      </w:r>
      <w:r>
        <w:t>2</w:t>
      </w:r>
      <w:r>
        <w:rPr>
          <w:rFonts w:hint="eastAsia"/>
        </w:rPr>
        <w:t>）改变合同中任何一项工作的质量或其他特性；</w:t>
      </w:r>
    </w:p>
    <w:p>
      <w:pPr>
        <w:spacing w:line="400" w:lineRule="exact"/>
        <w:ind w:firstLine="376" w:firstLineChars="171"/>
        <w:rPr>
          <w:rFonts w:cs="Times New Roman"/>
        </w:rPr>
      </w:pPr>
      <w:r>
        <w:rPr>
          <w:rFonts w:hint="eastAsia"/>
        </w:rPr>
        <w:t>（</w:t>
      </w:r>
      <w:r>
        <w:t>3</w:t>
      </w:r>
      <w:r>
        <w:rPr>
          <w:rFonts w:hint="eastAsia"/>
        </w:rPr>
        <w:t>）改变合同工程的基线、标高、位置或尺寸；</w:t>
      </w:r>
    </w:p>
    <w:p>
      <w:pPr>
        <w:spacing w:line="400" w:lineRule="exact"/>
        <w:ind w:firstLine="376" w:firstLineChars="171"/>
        <w:rPr>
          <w:rFonts w:cs="Times New Roman"/>
        </w:rPr>
      </w:pPr>
      <w:r>
        <w:rPr>
          <w:rFonts w:hint="eastAsia"/>
        </w:rPr>
        <w:t>（</w:t>
      </w:r>
      <w:r>
        <w:t>4</w:t>
      </w:r>
      <w:r>
        <w:rPr>
          <w:rFonts w:hint="eastAsia"/>
        </w:rPr>
        <w:t>）改变合同中任何一项工作的施工时间或改变已批准的施工工艺或顺序；</w:t>
      </w:r>
    </w:p>
    <w:p>
      <w:pPr>
        <w:spacing w:line="400" w:lineRule="exact"/>
        <w:ind w:firstLine="376" w:firstLineChars="171"/>
        <w:rPr>
          <w:rFonts w:cs="Times New Roman"/>
        </w:rPr>
      </w:pPr>
      <w:r>
        <w:rPr>
          <w:rFonts w:hint="eastAsia"/>
        </w:rPr>
        <w:t>（</w:t>
      </w:r>
      <w:r>
        <w:t>5</w:t>
      </w:r>
      <w:r>
        <w:rPr>
          <w:rFonts w:hint="eastAsia"/>
        </w:rPr>
        <w:t>）为完成工程需要追加的额外工作。</w:t>
      </w:r>
    </w:p>
    <w:p>
      <w:pPr>
        <w:pStyle w:val="52"/>
        <w:rPr>
          <w:rFonts w:cs="Times New Roman"/>
          <w:sz w:val="21"/>
          <w:szCs w:val="21"/>
        </w:rPr>
      </w:pPr>
      <w:bookmarkStart w:id="485" w:name="_Toc144974677"/>
      <w:bookmarkStart w:id="486" w:name="_Toc152045708"/>
      <w:bookmarkStart w:id="487" w:name="_Toc152042486"/>
      <w:bookmarkStart w:id="488" w:name="_Toc179632726"/>
      <w:bookmarkStart w:id="489" w:name="_Toc309397386"/>
      <w:r>
        <w:rPr>
          <w:sz w:val="21"/>
          <w:szCs w:val="21"/>
        </w:rPr>
        <w:t xml:space="preserve">15.2 </w:t>
      </w:r>
      <w:r>
        <w:rPr>
          <w:rFonts w:hint="eastAsia" w:cs="黑体"/>
          <w:sz w:val="21"/>
          <w:szCs w:val="21"/>
        </w:rPr>
        <w:t>变更权</w:t>
      </w:r>
      <w:bookmarkEnd w:id="485"/>
      <w:bookmarkEnd w:id="486"/>
      <w:bookmarkEnd w:id="487"/>
      <w:bookmarkEnd w:id="488"/>
      <w:bookmarkEnd w:id="489"/>
    </w:p>
    <w:p>
      <w:pPr>
        <w:spacing w:line="400" w:lineRule="exact"/>
        <w:ind w:firstLine="440" w:firstLineChars="200"/>
        <w:rPr>
          <w:rFonts w:cs="Times New Roman"/>
        </w:rPr>
      </w:pPr>
      <w:r>
        <w:rPr>
          <w:rFonts w:hint="eastAsia"/>
        </w:rPr>
        <w:t>在履行合同过程中，经发包人同意，监理人可按第</w:t>
      </w:r>
      <w:r>
        <w:t>15.3</w:t>
      </w:r>
      <w:r>
        <w:rPr>
          <w:rFonts w:hint="eastAsia"/>
        </w:rPr>
        <w:t>款约定的变更程序向承包人作出变更指示，承包人应遵照执行。没有监理人的变更指示，承包人不得擅自变更。</w:t>
      </w:r>
    </w:p>
    <w:p>
      <w:pPr>
        <w:pStyle w:val="52"/>
        <w:rPr>
          <w:rFonts w:cs="Times New Roman"/>
          <w:sz w:val="21"/>
          <w:szCs w:val="21"/>
        </w:rPr>
      </w:pPr>
      <w:bookmarkStart w:id="490" w:name="_Toc179632727"/>
      <w:bookmarkStart w:id="491" w:name="_Toc152042487"/>
      <w:bookmarkStart w:id="492" w:name="_Toc152045709"/>
      <w:bookmarkStart w:id="493" w:name="_Toc144974678"/>
      <w:bookmarkStart w:id="494" w:name="_Toc309397387"/>
      <w:r>
        <w:rPr>
          <w:sz w:val="21"/>
          <w:szCs w:val="21"/>
        </w:rPr>
        <w:t xml:space="preserve">15.3 </w:t>
      </w:r>
      <w:r>
        <w:rPr>
          <w:rFonts w:hint="eastAsia" w:cs="黑体"/>
          <w:sz w:val="21"/>
          <w:szCs w:val="21"/>
        </w:rPr>
        <w:t>变更程序</w:t>
      </w:r>
      <w:bookmarkEnd w:id="490"/>
      <w:bookmarkEnd w:id="491"/>
      <w:bookmarkEnd w:id="492"/>
      <w:bookmarkEnd w:id="493"/>
      <w:bookmarkEnd w:id="494"/>
    </w:p>
    <w:p>
      <w:pPr>
        <w:spacing w:line="400" w:lineRule="exact"/>
        <w:ind w:firstLine="440" w:firstLineChars="200"/>
        <w:rPr>
          <w:rFonts w:cs="Times New Roman"/>
        </w:rPr>
      </w:pPr>
      <w:r>
        <w:t xml:space="preserve">15.3.1 </w:t>
      </w:r>
      <w:r>
        <w:rPr>
          <w:rFonts w:hint="eastAsia" w:ascii="黑体" w:eastAsia="黑体" w:cs="黑体"/>
        </w:rPr>
        <w:t>变更的提出</w:t>
      </w:r>
    </w:p>
    <w:p>
      <w:pPr>
        <w:spacing w:line="400" w:lineRule="exact"/>
        <w:ind w:firstLine="440" w:firstLineChars="200"/>
      </w:pPr>
      <w:r>
        <w:rPr>
          <w:rFonts w:hint="eastAsia"/>
        </w:rPr>
        <w:t>（</w:t>
      </w:r>
      <w:r>
        <w:t>1</w:t>
      </w:r>
      <w:r>
        <w:rPr>
          <w:rFonts w:hint="eastAsia"/>
        </w:rPr>
        <w:t>）在合同履行过程中，可能发生第</w:t>
      </w:r>
      <w:r>
        <w:t>15.1</w:t>
      </w:r>
      <w:r>
        <w:rPr>
          <w:rFonts w:hint="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t>15.3.3</w:t>
      </w:r>
      <w:r>
        <w:rPr>
          <w:rFonts w:hint="eastAsia"/>
        </w:rPr>
        <w:t>项约定发出变更指示。</w:t>
      </w:r>
      <w:r>
        <w:t xml:space="preserve"> </w:t>
      </w:r>
    </w:p>
    <w:p>
      <w:pPr>
        <w:spacing w:line="400" w:lineRule="exact"/>
        <w:ind w:firstLine="440" w:firstLineChars="200"/>
        <w:rPr>
          <w:rFonts w:cs="Times New Roman"/>
        </w:rPr>
      </w:pPr>
      <w:r>
        <w:rPr>
          <w:rFonts w:hint="eastAsia"/>
        </w:rPr>
        <w:t>（</w:t>
      </w:r>
      <w:r>
        <w:t>2</w:t>
      </w:r>
      <w:r>
        <w:rPr>
          <w:rFonts w:hint="eastAsia"/>
        </w:rPr>
        <w:t>）在合同履行过程中，发生第</w:t>
      </w:r>
      <w:r>
        <w:t>15.1</w:t>
      </w:r>
      <w:r>
        <w:rPr>
          <w:rFonts w:hint="eastAsia"/>
        </w:rPr>
        <w:t>款约定情形的，监理人应按照第</w:t>
      </w:r>
      <w:r>
        <w:t>15.3.3</w:t>
      </w:r>
      <w:r>
        <w:rPr>
          <w:rFonts w:hint="eastAsia"/>
        </w:rPr>
        <w:t>项约定向承包人发出变更指示。</w:t>
      </w:r>
    </w:p>
    <w:p>
      <w:pPr>
        <w:spacing w:line="400" w:lineRule="exact"/>
        <w:ind w:firstLine="440" w:firstLineChars="200"/>
        <w:rPr>
          <w:rFonts w:cs="Times New Roman"/>
        </w:rPr>
      </w:pPr>
      <w:r>
        <w:rPr>
          <w:rFonts w:hint="eastAsia"/>
        </w:rPr>
        <w:t>（</w:t>
      </w:r>
      <w:r>
        <w:t>3</w:t>
      </w:r>
      <w:r>
        <w:rPr>
          <w:rFonts w:hint="eastAsia"/>
        </w:rPr>
        <w:t>）承包人收到监理人按合同约定发出的图纸和文件，经检查认为其中存在第</w:t>
      </w:r>
      <w:r>
        <w:t>15.1</w:t>
      </w:r>
      <w:r>
        <w:rPr>
          <w:rFonts w:hint="eastAsia"/>
        </w:rPr>
        <w:t>款约定情形的，可向监理人提出书面变更建议。变更建议应阐明要求变更的依据，并附必要的图纸和说明。监理人收到承包人书面建议后，应与发包人共同研究，确认存在变更的，应在收到承包人书面建议后的</w:t>
      </w:r>
      <w:r>
        <w:t>14</w:t>
      </w:r>
      <w:r>
        <w:rPr>
          <w:rFonts w:hint="eastAsia"/>
        </w:rPr>
        <w:t>天内作出变更指示。经研究后不同意作为变更的，应由监理人书面答复承包人。</w:t>
      </w:r>
    </w:p>
    <w:p>
      <w:pPr>
        <w:spacing w:line="400" w:lineRule="exact"/>
        <w:ind w:firstLine="440" w:firstLineChars="200"/>
        <w:rPr>
          <w:rFonts w:cs="Times New Roman"/>
        </w:rPr>
      </w:pPr>
      <w:r>
        <w:rPr>
          <w:rFonts w:hint="eastAsia"/>
        </w:rPr>
        <w:t>（</w:t>
      </w:r>
      <w:r>
        <w:t>4</w:t>
      </w:r>
      <w:r>
        <w:rPr>
          <w:rFonts w:hint="eastAsia"/>
        </w:rPr>
        <w:t>）若承包人收到监理人的变更意向书后认为难以实施此项变更，应立即通知监理人，说明原因并附详细依据。监理人与承包人和发包人协商后确定撤销、改变或不改变原变更意向书。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cs="Times New Roman"/>
        </w:rPr>
      </w:pPr>
      <w:r>
        <w:t xml:space="preserve">15.3.2 </w:t>
      </w:r>
      <w:r>
        <w:rPr>
          <w:rFonts w:hint="eastAsia" w:ascii="黑体" w:eastAsia="黑体" w:cs="黑体"/>
        </w:rPr>
        <w:t>变更估价</w:t>
      </w:r>
    </w:p>
    <w:p>
      <w:pPr>
        <w:spacing w:line="400" w:lineRule="exact"/>
        <w:ind w:firstLine="440" w:firstLineChars="200"/>
        <w:rPr>
          <w:rFonts w:cs="Times New Roman"/>
        </w:rPr>
      </w:pPr>
      <w:r>
        <w:rPr>
          <w:rFonts w:hint="eastAsia"/>
        </w:rPr>
        <w:t>（</w:t>
      </w:r>
      <w:r>
        <w:t>1</w:t>
      </w:r>
      <w:r>
        <w:rPr>
          <w:rFonts w:hint="eastAsia"/>
        </w:rPr>
        <w:t>）除专用合同条款对期限另有约定外，承包人应在收到变更指示或变更意向书后的</w:t>
      </w:r>
      <w:r>
        <w:t>14</w:t>
      </w:r>
      <w:r>
        <w:rPr>
          <w:rFonts w:hint="eastAsia"/>
        </w:rPr>
        <w:t>天内，向监理人提交变更报价书，报价内容应根据第</w:t>
      </w:r>
      <w:r>
        <w:t>15.4</w:t>
      </w:r>
      <w:r>
        <w:rPr>
          <w:rFonts w:hint="eastAsia"/>
        </w:rPr>
        <w:t>款约定的估价原则，详细开列变更工作的价格组成及其依据，并附必要的施工方法说明和有关图纸。</w:t>
      </w:r>
    </w:p>
    <w:p>
      <w:pPr>
        <w:spacing w:line="400" w:lineRule="exact"/>
        <w:ind w:firstLine="440" w:firstLineChars="200"/>
        <w:rPr>
          <w:rFonts w:cs="Times New Roman"/>
        </w:rPr>
      </w:pPr>
      <w:r>
        <w:rPr>
          <w:rFonts w:hint="eastAsia"/>
        </w:rPr>
        <w:t>（</w:t>
      </w:r>
      <w:r>
        <w:t>2</w:t>
      </w:r>
      <w:r>
        <w:rPr>
          <w:rFonts w:hint="eastAsia"/>
        </w:rPr>
        <w:t>）变更工作影响工期的，承包人应提出调整工期的具体细节。监理人认为有必要时，可要求承包人提交要求提前或延长工期的施工进度计划及相应施工措施等详细资料。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cs="Times New Roman"/>
        </w:rPr>
      </w:pPr>
      <w:r>
        <w:rPr>
          <w:rFonts w:hint="eastAsia"/>
        </w:rPr>
        <w:t>（</w:t>
      </w:r>
      <w:r>
        <w:t>3</w:t>
      </w:r>
      <w:r>
        <w:rPr>
          <w:rFonts w:hint="eastAsia"/>
        </w:rPr>
        <w:t>）除专用合同条款对期限另有约定外，监理人收到承包人变更报价书后的</w:t>
      </w:r>
      <w:r>
        <w:t>14</w:t>
      </w:r>
      <w:r>
        <w:rPr>
          <w:rFonts w:hint="eastAsia"/>
        </w:rPr>
        <w:t>天内，根据第</w:t>
      </w:r>
      <w:r>
        <w:t>15.4</w:t>
      </w:r>
      <w:r>
        <w:rPr>
          <w:rFonts w:hint="eastAsia"/>
        </w:rPr>
        <w:t>款约定的估价原则，按照第</w:t>
      </w:r>
      <w:r>
        <w:t>3.5</w:t>
      </w:r>
      <w:r>
        <w:rPr>
          <w:rFonts w:hint="eastAsia"/>
        </w:rPr>
        <w:t>款商定或确定变更价格。</w:t>
      </w:r>
    </w:p>
    <w:p>
      <w:pPr>
        <w:spacing w:line="400" w:lineRule="exact"/>
        <w:ind w:firstLine="440" w:firstLineChars="200"/>
        <w:rPr>
          <w:rFonts w:cs="Times New Roman"/>
        </w:rPr>
      </w:pPr>
      <w:r>
        <w:t xml:space="preserve">15.3.3 </w:t>
      </w:r>
      <w:r>
        <w:rPr>
          <w:rFonts w:hint="eastAsia" w:ascii="黑体" w:eastAsia="黑体" w:cs="黑体"/>
        </w:rPr>
        <w:t>变更指示</w:t>
      </w:r>
    </w:p>
    <w:p>
      <w:pPr>
        <w:spacing w:line="400" w:lineRule="exact"/>
        <w:ind w:firstLine="440" w:firstLineChars="200"/>
        <w:rPr>
          <w:rFonts w:cs="Times New Roman"/>
        </w:rPr>
      </w:pPr>
      <w:r>
        <w:rPr>
          <w:rFonts w:hint="eastAsia"/>
        </w:rPr>
        <w:t>（</w:t>
      </w:r>
      <w:r>
        <w:t>1</w:t>
      </w:r>
      <w:r>
        <w:rPr>
          <w:rFonts w:hint="eastAsia"/>
        </w:rPr>
        <w:t>）变更指示只能由监理人发出。</w:t>
      </w:r>
    </w:p>
    <w:p>
      <w:pPr>
        <w:spacing w:line="400" w:lineRule="exact"/>
        <w:ind w:firstLine="440" w:firstLineChars="200"/>
        <w:rPr>
          <w:rFonts w:cs="Times New Roman"/>
        </w:rPr>
      </w:pPr>
      <w:r>
        <w:rPr>
          <w:rFonts w:hint="eastAsia"/>
        </w:rPr>
        <w:t>（</w:t>
      </w:r>
      <w:r>
        <w:t>2</w:t>
      </w:r>
      <w:r>
        <w:rPr>
          <w:rFonts w:hint="eastAsia"/>
        </w:rPr>
        <w:t>）变更指示应说明变更的目的、范围、变更内容以及变更的工程量及其进度和技术要求，并附有关图纸和文件。承包人收到变更指示后，应按变更指示进行变更工作。</w:t>
      </w:r>
    </w:p>
    <w:p>
      <w:pPr>
        <w:pStyle w:val="52"/>
        <w:rPr>
          <w:rFonts w:cs="Times New Roman"/>
          <w:sz w:val="21"/>
          <w:szCs w:val="21"/>
        </w:rPr>
      </w:pPr>
      <w:bookmarkStart w:id="495" w:name="_Toc152042488"/>
      <w:bookmarkStart w:id="496" w:name="_Toc152045710"/>
      <w:bookmarkStart w:id="497" w:name="_Toc309397388"/>
      <w:bookmarkStart w:id="498" w:name="_Toc179632728"/>
      <w:bookmarkStart w:id="499" w:name="_Toc144974679"/>
      <w:r>
        <w:rPr>
          <w:sz w:val="21"/>
          <w:szCs w:val="21"/>
        </w:rPr>
        <w:t xml:space="preserve">15.4 </w:t>
      </w:r>
      <w:r>
        <w:rPr>
          <w:rFonts w:hint="eastAsia" w:cs="黑体"/>
          <w:sz w:val="21"/>
          <w:szCs w:val="21"/>
        </w:rPr>
        <w:t>变更的估价原则</w:t>
      </w:r>
      <w:bookmarkEnd w:id="495"/>
      <w:bookmarkEnd w:id="496"/>
      <w:bookmarkEnd w:id="497"/>
      <w:bookmarkEnd w:id="498"/>
      <w:bookmarkEnd w:id="499"/>
    </w:p>
    <w:p>
      <w:pPr>
        <w:spacing w:line="400" w:lineRule="exact"/>
        <w:ind w:firstLine="440" w:firstLineChars="200"/>
        <w:rPr>
          <w:rFonts w:cs="Times New Roman"/>
        </w:rPr>
      </w:pPr>
      <w:r>
        <w:rPr>
          <w:rFonts w:hint="eastAsia"/>
        </w:rPr>
        <w:t>除专用合同条款另有约定外，因变更引起的价格调整按照本款约定处理。</w:t>
      </w:r>
    </w:p>
    <w:p>
      <w:pPr>
        <w:spacing w:line="400" w:lineRule="exact"/>
        <w:ind w:firstLine="440" w:firstLineChars="200"/>
        <w:rPr>
          <w:rFonts w:cs="Times New Roman"/>
        </w:rPr>
      </w:pPr>
      <w:r>
        <w:t xml:space="preserve">15.4.1 </w:t>
      </w:r>
      <w:r>
        <w:rPr>
          <w:rFonts w:hint="eastAsia"/>
        </w:rPr>
        <w:t>已标价工程量清单中有适用于变更工作的子目的，采用该子目的单价。</w:t>
      </w:r>
    </w:p>
    <w:p>
      <w:pPr>
        <w:spacing w:line="400" w:lineRule="exact"/>
        <w:ind w:firstLine="440" w:firstLineChars="200"/>
        <w:rPr>
          <w:rFonts w:cs="Times New Roman"/>
        </w:rPr>
      </w:pPr>
      <w:r>
        <w:t xml:space="preserve">15.4.2 </w:t>
      </w:r>
      <w:r>
        <w:rPr>
          <w:rFonts w:hint="eastAsia"/>
        </w:rPr>
        <w:t>已标价工程量清单中无适用于变更工作的子目，但有类似子目的，可在合理范围内参照类似子目的单价，由监理人按第</w:t>
      </w:r>
      <w:r>
        <w:t>3.5</w:t>
      </w:r>
      <w:r>
        <w:rPr>
          <w:rFonts w:hint="eastAsia"/>
        </w:rPr>
        <w:t>款商定或确定变更工作的单价。</w:t>
      </w:r>
    </w:p>
    <w:p>
      <w:pPr>
        <w:spacing w:line="400" w:lineRule="exact"/>
        <w:ind w:firstLine="440" w:firstLineChars="200"/>
        <w:rPr>
          <w:rFonts w:cs="Times New Roman"/>
        </w:rPr>
      </w:pPr>
      <w:r>
        <w:t xml:space="preserve">15.4.3 </w:t>
      </w:r>
      <w:r>
        <w:rPr>
          <w:rFonts w:hint="eastAsia"/>
        </w:rPr>
        <w:t>已标价工程量清单中无适用或类似子目的单价，可按照成本加利润的原则，由监理人按第</w:t>
      </w:r>
      <w:r>
        <w:t>3.5</w:t>
      </w:r>
      <w:r>
        <w:rPr>
          <w:rFonts w:hint="eastAsia"/>
        </w:rPr>
        <w:t>款商定或确定变更工作的单价。</w:t>
      </w:r>
    </w:p>
    <w:p>
      <w:pPr>
        <w:pStyle w:val="52"/>
        <w:rPr>
          <w:rFonts w:cs="Times New Roman"/>
          <w:sz w:val="21"/>
          <w:szCs w:val="21"/>
        </w:rPr>
      </w:pPr>
      <w:bookmarkStart w:id="500" w:name="_Toc179632729"/>
      <w:bookmarkStart w:id="501" w:name="_Toc144974680"/>
      <w:bookmarkStart w:id="502" w:name="_Toc152042489"/>
      <w:bookmarkStart w:id="503" w:name="_Toc152045711"/>
      <w:bookmarkStart w:id="504" w:name="_Toc309397389"/>
      <w:r>
        <w:rPr>
          <w:sz w:val="21"/>
          <w:szCs w:val="21"/>
        </w:rPr>
        <w:t xml:space="preserve">15.5 </w:t>
      </w:r>
      <w:r>
        <w:rPr>
          <w:rFonts w:hint="eastAsia" w:cs="黑体"/>
          <w:sz w:val="21"/>
          <w:szCs w:val="21"/>
        </w:rPr>
        <w:t>承包人的合理化建议</w:t>
      </w:r>
      <w:bookmarkEnd w:id="500"/>
      <w:bookmarkEnd w:id="501"/>
      <w:bookmarkEnd w:id="502"/>
      <w:bookmarkEnd w:id="503"/>
      <w:bookmarkEnd w:id="504"/>
    </w:p>
    <w:p>
      <w:pPr>
        <w:spacing w:line="400" w:lineRule="exact"/>
        <w:ind w:firstLine="440" w:firstLineChars="200"/>
        <w:rPr>
          <w:rFonts w:cs="Times New Roman"/>
        </w:rPr>
      </w:pPr>
      <w:r>
        <w:t xml:space="preserve">15.5.1 </w:t>
      </w:r>
      <w:r>
        <w:rPr>
          <w:rFonts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t>15.3.3</w:t>
      </w:r>
      <w:r>
        <w:rPr>
          <w:rFonts w:hint="eastAsia"/>
        </w:rPr>
        <w:t>项约定向承包人发出变更指示。</w:t>
      </w:r>
    </w:p>
    <w:p>
      <w:pPr>
        <w:spacing w:line="400" w:lineRule="exact"/>
        <w:ind w:firstLine="440" w:firstLineChars="200"/>
        <w:rPr>
          <w:rFonts w:cs="Times New Roman"/>
        </w:rPr>
      </w:pPr>
      <w:r>
        <w:t xml:space="preserve">15.5.2 </w:t>
      </w:r>
      <w:r>
        <w:rPr>
          <w:rFonts w:hint="eastAsia"/>
        </w:rPr>
        <w:t>承包人提出的合理化建议降低了合同价格、缩短了工期或者提高了工程经济效益的，发包人可按国家有关规定在专用合同条款中约定给予奖励。</w:t>
      </w:r>
    </w:p>
    <w:p>
      <w:pPr>
        <w:pStyle w:val="52"/>
        <w:rPr>
          <w:rFonts w:cs="Times New Roman"/>
          <w:sz w:val="21"/>
          <w:szCs w:val="21"/>
        </w:rPr>
      </w:pPr>
      <w:bookmarkStart w:id="505" w:name="_Toc309397390"/>
      <w:bookmarkStart w:id="506" w:name="_Toc152045712"/>
      <w:bookmarkStart w:id="507" w:name="_Toc144974681"/>
      <w:bookmarkStart w:id="508" w:name="_Toc152042490"/>
      <w:bookmarkStart w:id="509" w:name="_Toc179632730"/>
      <w:r>
        <w:rPr>
          <w:sz w:val="21"/>
          <w:szCs w:val="21"/>
        </w:rPr>
        <w:t xml:space="preserve">15.6 </w:t>
      </w:r>
      <w:r>
        <w:rPr>
          <w:rFonts w:hint="eastAsia" w:cs="黑体"/>
          <w:sz w:val="21"/>
          <w:szCs w:val="21"/>
        </w:rPr>
        <w:t>暂列金额</w:t>
      </w:r>
      <w:bookmarkEnd w:id="505"/>
      <w:bookmarkEnd w:id="506"/>
      <w:bookmarkEnd w:id="507"/>
      <w:bookmarkEnd w:id="508"/>
      <w:bookmarkEnd w:id="509"/>
    </w:p>
    <w:p>
      <w:pPr>
        <w:spacing w:line="400" w:lineRule="exact"/>
        <w:ind w:firstLine="440" w:firstLineChars="200"/>
        <w:rPr>
          <w:rFonts w:cs="Times New Roman"/>
        </w:rPr>
      </w:pPr>
      <w:r>
        <w:rPr>
          <w:rFonts w:hint="eastAsia"/>
        </w:rPr>
        <w:t>暂列金额只能按照监理人的指示使用，并对合同价格进行相应调整。</w:t>
      </w:r>
    </w:p>
    <w:p>
      <w:pPr>
        <w:pStyle w:val="52"/>
        <w:rPr>
          <w:rFonts w:cs="Times New Roman"/>
          <w:sz w:val="21"/>
          <w:szCs w:val="21"/>
        </w:rPr>
      </w:pPr>
      <w:bookmarkStart w:id="510" w:name="_Toc179632731"/>
      <w:bookmarkStart w:id="511" w:name="_Toc309397391"/>
      <w:bookmarkStart w:id="512" w:name="_Toc152045713"/>
      <w:bookmarkStart w:id="513" w:name="_Toc152042491"/>
      <w:bookmarkStart w:id="514" w:name="_Toc144974682"/>
      <w:r>
        <w:rPr>
          <w:sz w:val="21"/>
          <w:szCs w:val="21"/>
        </w:rPr>
        <w:t xml:space="preserve">15.7 </w:t>
      </w:r>
      <w:r>
        <w:rPr>
          <w:rFonts w:hint="eastAsia" w:cs="黑体"/>
          <w:sz w:val="21"/>
          <w:szCs w:val="21"/>
        </w:rPr>
        <w:t>计日工</w:t>
      </w:r>
      <w:bookmarkEnd w:id="510"/>
      <w:bookmarkEnd w:id="511"/>
      <w:bookmarkEnd w:id="512"/>
      <w:bookmarkEnd w:id="513"/>
      <w:bookmarkEnd w:id="514"/>
    </w:p>
    <w:p>
      <w:pPr>
        <w:spacing w:line="400" w:lineRule="exact"/>
        <w:ind w:firstLine="440" w:firstLineChars="200"/>
        <w:rPr>
          <w:rFonts w:cs="Times New Roman"/>
        </w:rPr>
      </w:pPr>
      <w:r>
        <w:t xml:space="preserve">15.7.1 </w:t>
      </w:r>
      <w:r>
        <w:rPr>
          <w:rFonts w:hint="eastAsia"/>
        </w:rPr>
        <w:t>发包人认为有必要时，由监理人通知承包人以计日工方式实施变更的零星工作。其价款按列入已标价工程量清单中的计日工计价子目及其单价进行计算。</w:t>
      </w:r>
    </w:p>
    <w:p>
      <w:pPr>
        <w:spacing w:line="400" w:lineRule="exact"/>
        <w:ind w:firstLine="440" w:firstLineChars="200"/>
        <w:rPr>
          <w:rFonts w:cs="Times New Roman"/>
        </w:rPr>
      </w:pPr>
      <w:r>
        <w:t xml:space="preserve">15.7.2 </w:t>
      </w:r>
      <w:r>
        <w:rPr>
          <w:rFonts w:hint="eastAsia"/>
        </w:rPr>
        <w:t>采用计日工计价的任何一项变更工作，应从暂列金额中支付，承包人应在该项变更的实施过程中，每天提交以下报表和有关凭证报送监理人审批：</w:t>
      </w:r>
    </w:p>
    <w:p>
      <w:pPr>
        <w:spacing w:line="400" w:lineRule="exact"/>
        <w:ind w:firstLine="440" w:firstLineChars="200"/>
        <w:rPr>
          <w:rFonts w:cs="Times New Roman"/>
        </w:rPr>
      </w:pPr>
      <w:r>
        <w:rPr>
          <w:rFonts w:hint="eastAsia"/>
        </w:rPr>
        <w:t>（</w:t>
      </w:r>
      <w:r>
        <w:t>1</w:t>
      </w:r>
      <w:r>
        <w:rPr>
          <w:rFonts w:hint="eastAsia"/>
        </w:rPr>
        <w:t>）工作名称、内容和数量；</w:t>
      </w:r>
    </w:p>
    <w:p>
      <w:pPr>
        <w:spacing w:line="400" w:lineRule="exact"/>
        <w:ind w:firstLine="440" w:firstLineChars="200"/>
        <w:rPr>
          <w:rFonts w:cs="Times New Roman"/>
        </w:rPr>
      </w:pPr>
      <w:r>
        <w:rPr>
          <w:rFonts w:hint="eastAsia"/>
        </w:rPr>
        <w:t>（</w:t>
      </w:r>
      <w:r>
        <w:t>2</w:t>
      </w:r>
      <w:r>
        <w:rPr>
          <w:rFonts w:hint="eastAsia"/>
        </w:rPr>
        <w:t>）投入该工作所有人员的姓名、工种、级别和耗用工时；</w:t>
      </w:r>
    </w:p>
    <w:p>
      <w:pPr>
        <w:spacing w:line="400" w:lineRule="exact"/>
        <w:ind w:firstLine="440" w:firstLineChars="200"/>
        <w:rPr>
          <w:rFonts w:cs="Times New Roman"/>
        </w:rPr>
      </w:pPr>
      <w:r>
        <w:rPr>
          <w:rFonts w:hint="eastAsia"/>
        </w:rPr>
        <w:t>（</w:t>
      </w:r>
      <w:r>
        <w:t>3</w:t>
      </w:r>
      <w:r>
        <w:rPr>
          <w:rFonts w:hint="eastAsia"/>
        </w:rPr>
        <w:t>）投入该工作的材料类别和数量；</w:t>
      </w:r>
    </w:p>
    <w:p>
      <w:pPr>
        <w:spacing w:line="400" w:lineRule="exact"/>
        <w:ind w:firstLine="440" w:firstLineChars="200"/>
        <w:rPr>
          <w:rFonts w:cs="Times New Roman"/>
        </w:rPr>
      </w:pPr>
      <w:r>
        <w:rPr>
          <w:rFonts w:hint="eastAsia"/>
        </w:rPr>
        <w:t>（</w:t>
      </w:r>
      <w:r>
        <w:t>4</w:t>
      </w:r>
      <w:r>
        <w:rPr>
          <w:rFonts w:hint="eastAsia"/>
        </w:rPr>
        <w:t>）投入该工作的施工设备型号、台数和耗用台时；</w:t>
      </w:r>
    </w:p>
    <w:p>
      <w:pPr>
        <w:spacing w:line="400" w:lineRule="exact"/>
        <w:ind w:firstLine="440" w:firstLineChars="200"/>
        <w:rPr>
          <w:rFonts w:cs="Times New Roman"/>
        </w:rPr>
      </w:pPr>
      <w:r>
        <w:rPr>
          <w:rFonts w:hint="eastAsia"/>
        </w:rPr>
        <w:t>（</w:t>
      </w:r>
      <w:r>
        <w:t>5</w:t>
      </w:r>
      <w:r>
        <w:rPr>
          <w:rFonts w:hint="eastAsia"/>
        </w:rPr>
        <w:t>）监理人要求提交的其他资料和凭证。</w:t>
      </w:r>
    </w:p>
    <w:p>
      <w:pPr>
        <w:spacing w:line="400" w:lineRule="exact"/>
        <w:ind w:firstLine="440" w:firstLineChars="200"/>
        <w:rPr>
          <w:rFonts w:cs="Times New Roman"/>
        </w:rPr>
      </w:pPr>
      <w:r>
        <w:t xml:space="preserve">15.7.3 </w:t>
      </w:r>
      <w:r>
        <w:rPr>
          <w:rFonts w:hint="eastAsia"/>
        </w:rPr>
        <w:t>计日工由承包人汇总后，按第</w:t>
      </w:r>
      <w:r>
        <w:t>17.3.2</w:t>
      </w:r>
      <w:r>
        <w:rPr>
          <w:rFonts w:hint="eastAsia"/>
        </w:rPr>
        <w:t>项的约定列入进度付款申请单，由监理人复核并经发包人同意后列入进度付款。</w:t>
      </w:r>
    </w:p>
    <w:p>
      <w:pPr>
        <w:pStyle w:val="52"/>
        <w:rPr>
          <w:rFonts w:cs="Times New Roman"/>
          <w:sz w:val="21"/>
          <w:szCs w:val="21"/>
        </w:rPr>
      </w:pPr>
      <w:bookmarkStart w:id="515" w:name="_Toc152042492"/>
      <w:bookmarkStart w:id="516" w:name="_Toc179632732"/>
      <w:bookmarkStart w:id="517" w:name="_Toc144974683"/>
      <w:bookmarkStart w:id="518" w:name="_Toc152045714"/>
      <w:bookmarkStart w:id="519" w:name="_Toc309397392"/>
      <w:r>
        <w:rPr>
          <w:sz w:val="21"/>
          <w:szCs w:val="21"/>
        </w:rPr>
        <w:t xml:space="preserve">15.8 </w:t>
      </w:r>
      <w:r>
        <w:rPr>
          <w:rFonts w:hint="eastAsia" w:cs="黑体"/>
          <w:sz w:val="21"/>
          <w:szCs w:val="21"/>
        </w:rPr>
        <w:t>暂估价</w:t>
      </w:r>
      <w:bookmarkEnd w:id="515"/>
      <w:bookmarkEnd w:id="516"/>
      <w:bookmarkEnd w:id="517"/>
      <w:bookmarkEnd w:id="518"/>
      <w:bookmarkEnd w:id="519"/>
    </w:p>
    <w:p>
      <w:pPr>
        <w:spacing w:line="400" w:lineRule="exact"/>
        <w:rPr>
          <w:rFonts w:cs="Times New Roman"/>
        </w:rPr>
      </w:pPr>
      <w:r>
        <w:t xml:space="preserve">    15.8.1 </w:t>
      </w:r>
      <w:r>
        <w:rPr>
          <w:rFonts w:hint="eastAsia"/>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cs="Times New Roman"/>
        </w:rPr>
      </w:pPr>
      <w:r>
        <w:t xml:space="preserve">15.8.2 </w:t>
      </w:r>
      <w:r>
        <w:rPr>
          <w:rFonts w:hint="eastAsia"/>
        </w:rPr>
        <w:t>发包人在工程量清单中给定暂估价的材料和工程设备不属于依法必须招标的范围或未达到规定的规模标准的，应由承包人按第</w:t>
      </w:r>
      <w:r>
        <w:t>5.1</w:t>
      </w:r>
      <w:r>
        <w:rPr>
          <w:rFonts w:hint="eastAsia"/>
        </w:rPr>
        <w:t>款的约定提供。经监理人确认的材料、工程设备的价格与工程量清单中所列的暂估价的金额差以及相应的税金等其他费用列入合同价格。</w:t>
      </w:r>
    </w:p>
    <w:p>
      <w:pPr>
        <w:spacing w:line="400" w:lineRule="exact"/>
        <w:ind w:firstLine="440" w:firstLineChars="200"/>
        <w:rPr>
          <w:rFonts w:cs="Times New Roman"/>
        </w:rPr>
      </w:pPr>
      <w:r>
        <w:t xml:space="preserve">15.8.3 </w:t>
      </w:r>
      <w:r>
        <w:rPr>
          <w:rFonts w:hint="eastAsia"/>
        </w:rPr>
        <w:t>发包人在工程量清单中给定暂估价的专业工程不属于依法必须招标的范围或未达到规定的规模标准的，由监理人按照第</w:t>
      </w:r>
      <w:r>
        <w:t>15.4</w:t>
      </w:r>
      <w:r>
        <w:rPr>
          <w:rFonts w:hint="eastAsia"/>
        </w:rPr>
        <w:t>款进行估价，但专用合同条款另有约定的除外。经估价的专业工程与工程量清单中所列的暂估价的金额差以及相应的税金等其他费用列入合同价格。</w:t>
      </w:r>
    </w:p>
    <w:p>
      <w:pPr>
        <w:pStyle w:val="51"/>
        <w:rPr>
          <w:sz w:val="21"/>
          <w:szCs w:val="21"/>
        </w:rPr>
      </w:pPr>
      <w:bookmarkStart w:id="520" w:name="_Toc179632733"/>
      <w:bookmarkStart w:id="521" w:name="_Toc144974684"/>
      <w:bookmarkStart w:id="522" w:name="_Toc309397393"/>
      <w:bookmarkStart w:id="523" w:name="_Toc152045715"/>
      <w:bookmarkStart w:id="524" w:name="_Toc152042493"/>
      <w:r>
        <w:rPr>
          <w:sz w:val="21"/>
          <w:szCs w:val="21"/>
        </w:rPr>
        <w:t xml:space="preserve">16. </w:t>
      </w:r>
      <w:r>
        <w:rPr>
          <w:rFonts w:hint="eastAsia" w:cs="宋体"/>
          <w:sz w:val="21"/>
          <w:szCs w:val="21"/>
        </w:rPr>
        <w:t>价格调整</w:t>
      </w:r>
      <w:bookmarkEnd w:id="520"/>
      <w:bookmarkEnd w:id="521"/>
      <w:bookmarkEnd w:id="522"/>
      <w:bookmarkEnd w:id="523"/>
      <w:bookmarkEnd w:id="524"/>
    </w:p>
    <w:p>
      <w:pPr>
        <w:pStyle w:val="52"/>
        <w:rPr>
          <w:rFonts w:cs="Times New Roman"/>
          <w:sz w:val="21"/>
          <w:szCs w:val="21"/>
        </w:rPr>
      </w:pPr>
      <w:bookmarkStart w:id="525" w:name="_Toc152045716"/>
      <w:bookmarkStart w:id="526" w:name="_Toc309397394"/>
      <w:bookmarkStart w:id="527" w:name="_Toc179632734"/>
      <w:bookmarkStart w:id="528" w:name="_Toc144974685"/>
      <w:bookmarkStart w:id="529" w:name="_Toc152042494"/>
      <w:r>
        <w:rPr>
          <w:sz w:val="21"/>
          <w:szCs w:val="21"/>
        </w:rPr>
        <w:t xml:space="preserve">16.1 </w:t>
      </w:r>
      <w:r>
        <w:rPr>
          <w:rFonts w:hint="eastAsia" w:cs="黑体"/>
          <w:sz w:val="21"/>
          <w:szCs w:val="21"/>
        </w:rPr>
        <w:t>物价波动引起的价格调整</w:t>
      </w:r>
      <w:bookmarkEnd w:id="525"/>
      <w:bookmarkEnd w:id="526"/>
      <w:bookmarkEnd w:id="527"/>
      <w:bookmarkEnd w:id="528"/>
      <w:bookmarkEnd w:id="529"/>
    </w:p>
    <w:p>
      <w:pPr>
        <w:spacing w:line="400" w:lineRule="exact"/>
        <w:ind w:firstLine="440" w:firstLineChars="200"/>
        <w:rPr>
          <w:rFonts w:cs="Times New Roman"/>
        </w:rPr>
      </w:pPr>
      <w:r>
        <w:rPr>
          <w:rFonts w:hint="eastAsia"/>
        </w:rPr>
        <w:t>除专用合同条款另有约定外，因物价波动引起的价格调整按照本款约定处理。</w:t>
      </w:r>
    </w:p>
    <w:p>
      <w:pPr>
        <w:spacing w:line="400" w:lineRule="exact"/>
        <w:ind w:firstLine="440" w:firstLineChars="200"/>
        <w:rPr>
          <w:rFonts w:cs="Times New Roman"/>
        </w:rPr>
      </w:pPr>
      <w:r>
        <w:t xml:space="preserve">16.1.1 </w:t>
      </w:r>
      <w:r>
        <w:rPr>
          <w:rFonts w:hint="eastAsia" w:ascii="黑体" w:eastAsia="黑体" w:cs="黑体"/>
        </w:rPr>
        <w:t>采用价格指数调整价格差额</w:t>
      </w:r>
    </w:p>
    <w:p>
      <w:pPr>
        <w:spacing w:line="400" w:lineRule="exact"/>
        <w:ind w:firstLine="440" w:firstLineChars="200"/>
        <w:rPr>
          <w:rFonts w:cs="Times New Roman"/>
        </w:rPr>
      </w:pPr>
      <w:r>
        <w:t xml:space="preserve">16.1.1.1 </w:t>
      </w:r>
      <w:r>
        <w:rPr>
          <w:rFonts w:hint="eastAsia"/>
        </w:rPr>
        <w:t>价格调整公式</w:t>
      </w:r>
    </w:p>
    <w:p>
      <w:pPr>
        <w:spacing w:line="400" w:lineRule="exact"/>
        <w:ind w:firstLine="440" w:firstLineChars="200"/>
        <w:rPr>
          <w:rFonts w:cs="Times New Roman"/>
        </w:rPr>
      </w:pPr>
      <w:r>
        <w:rPr>
          <w:rFonts w:hint="eastAsia"/>
        </w:rPr>
        <w:t>因人工、材料和设备等价格波动影响合同价格时，根据投标函附录中的价格指数和权重表约定的数据，按以下公式计算差额并调整合同价格。</w:t>
      </w:r>
    </w:p>
    <w:p>
      <w:pPr>
        <w:adjustRightInd w:val="0"/>
        <w:spacing w:line="1200" w:lineRule="exact"/>
        <w:ind w:right="248" w:firstLine="875" w:firstLineChars="398"/>
        <w:rPr>
          <w:rFonts w:cs="Times New Roman"/>
        </w:rPr>
      </w:pPr>
      <w:r>
        <w:rPr>
          <w:rFonts w:cs="Times New Roman"/>
          <w:position w:val="-34"/>
        </w:rPr>
        <w:object>
          <v:shape id="_x0000_i1025" o:spt="75" type="#_x0000_t75" style="height:39.2pt;width:306.8pt;" o:ole="t" filled="f" o:preferrelative="t" stroked="f" coordsize="21600,21600">
            <v:path/>
            <v:fill on="f" focussize="0,0"/>
            <v:stroke on="f" joinstyle="miter"/>
            <v:imagedata r:id="rId26" o:title=""/>
            <o:lock v:ext="edit" aspectratio="t"/>
            <w10:wrap type="none"/>
            <w10:anchorlock/>
          </v:shape>
          <o:OLEObject Type="Embed" ProgID="Msxml2.SAXXMLReader.5.0" ShapeID="_x0000_i1025" DrawAspect="Content" ObjectID="_1468075725" r:id="rId25">
            <o:LockedField>false</o:LockedField>
          </o:OLEObject>
        </w:object>
      </w:r>
    </w:p>
    <w:p>
      <w:pPr>
        <w:tabs>
          <w:tab w:val="left" w:pos="1260"/>
        </w:tabs>
        <w:spacing w:line="400" w:lineRule="exact"/>
        <w:ind w:firstLine="440" w:firstLineChars="200"/>
        <w:rPr>
          <w:rFonts w:cs="Times New Roman"/>
        </w:rPr>
      </w:pPr>
    </w:p>
    <w:p>
      <w:pPr>
        <w:tabs>
          <w:tab w:val="left" w:pos="1260"/>
        </w:tabs>
        <w:spacing w:line="400" w:lineRule="exact"/>
        <w:ind w:firstLine="440" w:firstLineChars="200"/>
        <w:rPr>
          <w:rFonts w:cs="Times New Roman"/>
        </w:rPr>
      </w:pPr>
      <w:r>
        <w:rPr>
          <w:rFonts w:hint="eastAsia"/>
        </w:rPr>
        <w:t>式中：</w:t>
      </w:r>
      <w:r>
        <w:t xml:space="preserve"> </w:t>
      </w:r>
      <w:r>
        <w:rPr>
          <w:rFonts w:hint="eastAsia"/>
        </w:rPr>
        <w:t>△</w:t>
      </w:r>
      <w:r>
        <w:t xml:space="preserve">P -- </w:t>
      </w:r>
      <w:r>
        <w:rPr>
          <w:rFonts w:hint="eastAsia"/>
        </w:rPr>
        <w:t>需调整的价格差额；</w:t>
      </w:r>
    </w:p>
    <w:p>
      <w:pPr>
        <w:spacing w:line="400" w:lineRule="exact"/>
        <w:ind w:firstLine="440" w:firstLineChars="200"/>
        <w:rPr>
          <w:rFonts w:cs="Times New Roman"/>
        </w:rPr>
      </w:pPr>
      <w:r>
        <w:t>P</w:t>
      </w:r>
      <w:r>
        <w:rPr>
          <w:vertAlign w:val="subscript"/>
        </w:rPr>
        <w:t>0</w:t>
      </w:r>
      <w:r>
        <w:t xml:space="preserve"> -- </w:t>
      </w:r>
      <w:r>
        <w:rPr>
          <w:rFonts w:hint="eastAsia"/>
        </w:rPr>
        <w:t>第</w:t>
      </w:r>
      <w:r>
        <w:t>17.3.3</w:t>
      </w:r>
      <w:r>
        <w:rPr>
          <w:rFonts w:hint="eastAsia"/>
        </w:rPr>
        <w:t>项、第</w:t>
      </w:r>
      <w:r>
        <w:t>17.5.2</w:t>
      </w:r>
      <w:r>
        <w:rPr>
          <w:rFonts w:hint="eastAsia"/>
        </w:rPr>
        <w:t>项和第</w:t>
      </w:r>
      <w:r>
        <w:t>17.6.2</w:t>
      </w:r>
      <w:r>
        <w:rPr>
          <w:rFonts w:hint="eastAsia"/>
        </w:rPr>
        <w:t>项约定的付款证书中承包人应得到的已完成工程量的金额。此项金额应不包括价格调整、不计质量保证金的扣留和支付、预付款的支付和扣回。第</w:t>
      </w:r>
      <w:r>
        <w:t>15</w:t>
      </w:r>
      <w:r>
        <w:rPr>
          <w:rFonts w:hint="eastAsia"/>
        </w:rPr>
        <w:t>条约定的变更及其他金额已按现行价格计价的，也不计在内；</w:t>
      </w:r>
    </w:p>
    <w:p>
      <w:pPr>
        <w:spacing w:line="400" w:lineRule="exact"/>
        <w:ind w:firstLine="440" w:firstLineChars="200"/>
        <w:rPr>
          <w:rFonts w:cs="Times New Roman"/>
        </w:rPr>
      </w:pPr>
      <w:bookmarkStart w:id="530" w:name="_Toc152042495"/>
      <w:bookmarkStart w:id="531" w:name="_Toc144974686"/>
      <w:r>
        <w:t xml:space="preserve">A -- </w:t>
      </w:r>
      <w:r>
        <w:rPr>
          <w:rFonts w:hint="eastAsia"/>
        </w:rPr>
        <w:t>定值权重</w:t>
      </w:r>
      <w:r>
        <w:t>(</w:t>
      </w:r>
      <w:r>
        <w:rPr>
          <w:rFonts w:hint="eastAsia"/>
        </w:rPr>
        <w:t>即不调部分的权重</w:t>
      </w:r>
      <w:r>
        <w:t>)</w:t>
      </w:r>
      <w:r>
        <w:rPr>
          <w:rFonts w:hint="eastAsia"/>
        </w:rPr>
        <w:t>；</w:t>
      </w:r>
      <w:bookmarkEnd w:id="530"/>
      <w:bookmarkEnd w:id="531"/>
    </w:p>
    <w:p>
      <w:pPr>
        <w:spacing w:line="400" w:lineRule="exact"/>
        <w:ind w:firstLine="440" w:firstLineChars="200"/>
        <w:rPr>
          <w:rFonts w:cs="Times New Roman"/>
        </w:rPr>
      </w:pPr>
      <w:r>
        <w:t>B</w:t>
      </w:r>
      <w:r>
        <w:rPr>
          <w:vertAlign w:val="subscript"/>
        </w:rPr>
        <w:t>1</w:t>
      </w:r>
      <w:r>
        <w:t>; B</w:t>
      </w:r>
      <w:r>
        <w:rPr>
          <w:vertAlign w:val="subscript"/>
        </w:rPr>
        <w:t>2</w:t>
      </w:r>
      <w:r>
        <w:t xml:space="preserve"> ;B</w:t>
      </w:r>
      <w:r>
        <w:rPr>
          <w:vertAlign w:val="subscript"/>
        </w:rPr>
        <w:t>3</w:t>
      </w:r>
      <w:r>
        <w:rPr>
          <w:rFonts w:hint="eastAsia"/>
        </w:rPr>
        <w:t>·····</w:t>
      </w:r>
      <w:r>
        <w:t>B</w:t>
      </w:r>
      <w:r>
        <w:rPr>
          <w:vertAlign w:val="subscript"/>
        </w:rPr>
        <w:t>n</w:t>
      </w:r>
      <w:r>
        <w:t xml:space="preserve"> -- </w:t>
      </w:r>
      <w:r>
        <w:rPr>
          <w:rFonts w:hint="eastAsia"/>
        </w:rPr>
        <w:t>各可调因子的变值权重</w:t>
      </w:r>
      <w:r>
        <w:t>(</w:t>
      </w:r>
      <w:r>
        <w:rPr>
          <w:rFonts w:hint="eastAsia"/>
        </w:rPr>
        <w:t>即可调部分的权重</w:t>
      </w:r>
      <w:r>
        <w:t>)</w:t>
      </w:r>
      <w:r>
        <w:rPr>
          <w:rFonts w:hint="eastAsia"/>
        </w:rPr>
        <w:t>为各可调因子在投标函投标总报价中所占的比例；</w:t>
      </w:r>
    </w:p>
    <w:p>
      <w:pPr>
        <w:spacing w:line="400" w:lineRule="exact"/>
        <w:ind w:firstLine="440" w:firstLineChars="200"/>
        <w:rPr>
          <w:rFonts w:cs="Times New Roman"/>
        </w:rPr>
      </w:pPr>
      <w:r>
        <w:t>F</w:t>
      </w:r>
      <w:r>
        <w:rPr>
          <w:vertAlign w:val="subscript"/>
        </w:rPr>
        <w:t>t1</w:t>
      </w:r>
      <w:r>
        <w:t xml:space="preserve"> ;F</w:t>
      </w:r>
      <w:r>
        <w:rPr>
          <w:vertAlign w:val="subscript"/>
        </w:rPr>
        <w:t>t2</w:t>
      </w:r>
      <w:r>
        <w:t xml:space="preserve"> ;F</w:t>
      </w:r>
      <w:r>
        <w:rPr>
          <w:vertAlign w:val="subscript"/>
        </w:rPr>
        <w:t>t3</w:t>
      </w:r>
      <w:r>
        <w:rPr>
          <w:rFonts w:hint="eastAsia"/>
        </w:rPr>
        <w:t>·····</w:t>
      </w:r>
      <w:r>
        <w:t>F</w:t>
      </w:r>
      <w:r>
        <w:rPr>
          <w:vertAlign w:val="subscript"/>
        </w:rPr>
        <w:t>tn</w:t>
      </w:r>
      <w:r>
        <w:t xml:space="preserve"> -- </w:t>
      </w:r>
      <w:r>
        <w:rPr>
          <w:rFonts w:hint="eastAsia"/>
        </w:rPr>
        <w:t>各可调因子的现行价格指数，指第</w:t>
      </w:r>
      <w:r>
        <w:t>17.3.3</w:t>
      </w:r>
      <w:r>
        <w:rPr>
          <w:rFonts w:hint="eastAsia"/>
        </w:rPr>
        <w:t>项、第</w:t>
      </w:r>
      <w:r>
        <w:t>17.5.2</w:t>
      </w:r>
      <w:r>
        <w:rPr>
          <w:rFonts w:hint="eastAsia"/>
        </w:rPr>
        <w:t>项和第</w:t>
      </w:r>
      <w:r>
        <w:t>17.6.2</w:t>
      </w:r>
      <w:r>
        <w:rPr>
          <w:rFonts w:hint="eastAsia"/>
        </w:rPr>
        <w:t>项约定的付款证书相关周期最后一天的前</w:t>
      </w:r>
      <w:r>
        <w:t>42</w:t>
      </w:r>
      <w:r>
        <w:rPr>
          <w:rFonts w:hint="eastAsia"/>
        </w:rPr>
        <w:t>天的各可调因子的价格指数；</w:t>
      </w:r>
    </w:p>
    <w:p>
      <w:pPr>
        <w:spacing w:line="400" w:lineRule="exact"/>
        <w:ind w:firstLine="440" w:firstLineChars="200"/>
        <w:rPr>
          <w:rFonts w:cs="Times New Roman"/>
        </w:rPr>
      </w:pPr>
      <w:r>
        <w:t>F</w:t>
      </w:r>
      <w:r>
        <w:rPr>
          <w:vertAlign w:val="subscript"/>
        </w:rPr>
        <w:t>o1</w:t>
      </w:r>
      <w:r>
        <w:t>; F</w:t>
      </w:r>
      <w:r>
        <w:rPr>
          <w:vertAlign w:val="subscript"/>
        </w:rPr>
        <w:t>o2</w:t>
      </w:r>
      <w:r>
        <w:t>; F</w:t>
      </w:r>
      <w:r>
        <w:rPr>
          <w:vertAlign w:val="subscript"/>
        </w:rPr>
        <w:t>o3</w:t>
      </w:r>
      <w:r>
        <w:rPr>
          <w:rFonts w:hint="eastAsia"/>
        </w:rPr>
        <w:t>·····</w:t>
      </w:r>
      <w:r>
        <w:t>F</w:t>
      </w:r>
      <w:r>
        <w:rPr>
          <w:vertAlign w:val="subscript"/>
        </w:rPr>
        <w:t>on</w:t>
      </w:r>
      <w:r>
        <w:t xml:space="preserve"> -- </w:t>
      </w:r>
      <w:r>
        <w:rPr>
          <w:rFonts w:hint="eastAsia"/>
        </w:rPr>
        <w:t>各可调因子的基本价格指数，指基准日期的各可调因子的价格指数。</w:t>
      </w:r>
    </w:p>
    <w:p>
      <w:pPr>
        <w:spacing w:line="400" w:lineRule="exact"/>
        <w:ind w:firstLine="440" w:firstLineChars="200"/>
        <w:rPr>
          <w:rFonts w:cs="Times New Roman"/>
        </w:rPr>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cs="Times New Roman"/>
        </w:rPr>
      </w:pPr>
      <w:r>
        <w:t xml:space="preserve">16.1.1.2 </w:t>
      </w:r>
      <w:r>
        <w:rPr>
          <w:rFonts w:hint="eastAsia"/>
        </w:rPr>
        <w:t>暂时确定调整差额</w:t>
      </w:r>
    </w:p>
    <w:p>
      <w:pPr>
        <w:spacing w:line="400" w:lineRule="exact"/>
        <w:ind w:firstLine="440" w:firstLineChars="200"/>
        <w:rPr>
          <w:rFonts w:cs="Times New Roman"/>
        </w:rPr>
      </w:pPr>
      <w:r>
        <w:rPr>
          <w:rFonts w:hint="eastAsia"/>
        </w:rPr>
        <w:t>在计算调整差额时得不到现行价格指数的，可暂用上一次价格指数计算，并在以后的付款中再按实际价格指数进行调整。</w:t>
      </w:r>
    </w:p>
    <w:p>
      <w:pPr>
        <w:spacing w:line="400" w:lineRule="exact"/>
        <w:ind w:firstLine="440" w:firstLineChars="200"/>
        <w:rPr>
          <w:rFonts w:cs="Times New Roman"/>
        </w:rPr>
      </w:pPr>
      <w:r>
        <w:t xml:space="preserve">16.1.1.3 </w:t>
      </w:r>
      <w:r>
        <w:rPr>
          <w:rFonts w:hint="eastAsia"/>
        </w:rPr>
        <w:t>权重的调整</w:t>
      </w:r>
    </w:p>
    <w:p>
      <w:pPr>
        <w:spacing w:line="400" w:lineRule="exact"/>
        <w:ind w:firstLine="440" w:firstLineChars="200"/>
        <w:rPr>
          <w:rFonts w:cs="Times New Roman"/>
        </w:rPr>
      </w:pPr>
      <w:r>
        <w:rPr>
          <w:rFonts w:hint="eastAsia"/>
        </w:rPr>
        <w:t>按第</w:t>
      </w:r>
      <w:r>
        <w:t>15.1</w:t>
      </w:r>
      <w:r>
        <w:rPr>
          <w:rFonts w:hint="eastAsia"/>
        </w:rPr>
        <w:t>款约定的变更导致原定合同中的权重不合理时，由监理人与承包人和发包人协商后进行调整。</w:t>
      </w:r>
    </w:p>
    <w:p>
      <w:pPr>
        <w:spacing w:line="400" w:lineRule="exact"/>
        <w:ind w:firstLine="440" w:firstLineChars="200"/>
        <w:rPr>
          <w:rFonts w:cs="Times New Roman"/>
        </w:rPr>
      </w:pPr>
      <w:r>
        <w:t xml:space="preserve">16.1.1.4 </w:t>
      </w:r>
      <w:r>
        <w:rPr>
          <w:rFonts w:hint="eastAsia"/>
        </w:rPr>
        <w:t>承包人工期延误后的价格调整</w:t>
      </w:r>
    </w:p>
    <w:p>
      <w:pPr>
        <w:spacing w:line="400" w:lineRule="exact"/>
        <w:ind w:firstLine="440" w:firstLineChars="200"/>
        <w:rPr>
          <w:rFonts w:cs="Times New Roman"/>
        </w:rPr>
      </w:pPr>
      <w:r>
        <w:rPr>
          <w:rFonts w:hint="eastAsia"/>
        </w:rPr>
        <w:t>由于承包人原因未在约定的工期内竣工的，则对原约定竣工日期后继续施工的工程，在使用第</w:t>
      </w:r>
      <w:r>
        <w:t>16.1.1.1</w:t>
      </w:r>
      <w:r>
        <w:rPr>
          <w:rFonts w:hint="eastAsia"/>
        </w:rPr>
        <w:t>目价格调整公式时，应采用原约定竣工日期与实际竣工日期的两个价格指数中较低的一个作为现行价格指数。</w:t>
      </w:r>
    </w:p>
    <w:p>
      <w:pPr>
        <w:spacing w:line="400" w:lineRule="exact"/>
        <w:ind w:firstLine="440" w:firstLineChars="200"/>
        <w:rPr>
          <w:rFonts w:ascii="黑体" w:eastAsia="黑体" w:cs="Times New Roman"/>
        </w:rPr>
      </w:pPr>
      <w:r>
        <w:rPr>
          <w:rFonts w:ascii="黑体" w:eastAsia="黑体" w:cs="黑体"/>
        </w:rPr>
        <w:t xml:space="preserve">16.1.2 </w:t>
      </w:r>
      <w:r>
        <w:rPr>
          <w:rFonts w:hint="eastAsia" w:ascii="黑体" w:eastAsia="黑体" w:cs="黑体"/>
        </w:rPr>
        <w:t>采用造价信息调整价格差额</w:t>
      </w:r>
    </w:p>
    <w:p>
      <w:pPr>
        <w:spacing w:line="400" w:lineRule="exact"/>
        <w:ind w:firstLine="440" w:firstLineChars="200"/>
        <w:rPr>
          <w:rFonts w:cs="Times New Roman"/>
        </w:rPr>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2"/>
        <w:rPr>
          <w:rFonts w:cs="Times New Roman"/>
          <w:sz w:val="21"/>
          <w:szCs w:val="21"/>
        </w:rPr>
      </w:pPr>
      <w:bookmarkStart w:id="532" w:name="_Toc309397395"/>
      <w:bookmarkStart w:id="533" w:name="_Toc179632735"/>
      <w:bookmarkStart w:id="534" w:name="_Toc144974688"/>
      <w:bookmarkStart w:id="535" w:name="_Toc152042496"/>
      <w:bookmarkStart w:id="536" w:name="_Toc152045717"/>
      <w:r>
        <w:rPr>
          <w:sz w:val="21"/>
          <w:szCs w:val="21"/>
        </w:rPr>
        <w:t xml:space="preserve">16.2 </w:t>
      </w:r>
      <w:r>
        <w:rPr>
          <w:rFonts w:hint="eastAsia" w:cs="黑体"/>
          <w:sz w:val="21"/>
          <w:szCs w:val="21"/>
        </w:rPr>
        <w:t>法律变化引起的价格调整</w:t>
      </w:r>
      <w:bookmarkEnd w:id="532"/>
      <w:bookmarkEnd w:id="533"/>
      <w:bookmarkEnd w:id="534"/>
      <w:bookmarkEnd w:id="535"/>
      <w:bookmarkEnd w:id="536"/>
    </w:p>
    <w:p>
      <w:pPr>
        <w:spacing w:line="400" w:lineRule="exact"/>
        <w:ind w:firstLine="440" w:firstLineChars="200"/>
        <w:rPr>
          <w:rFonts w:cs="Times New Roman"/>
        </w:rPr>
      </w:pPr>
      <w:r>
        <w:rPr>
          <w:rFonts w:hint="eastAsia"/>
        </w:rPr>
        <w:t>在基准日后，因法律变化导致承包人在合同履行中所需要的工程费用发生除第</w:t>
      </w:r>
      <w:r>
        <w:t>16.1</w:t>
      </w:r>
      <w:r>
        <w:rPr>
          <w:rFonts w:hint="eastAsia"/>
        </w:rPr>
        <w:t>款约定以外的增减时，监理人应根据法律、国家或省、自治区、直辖市有关部门的规定，按第</w:t>
      </w:r>
      <w:r>
        <w:t>3.5</w:t>
      </w:r>
      <w:r>
        <w:rPr>
          <w:rFonts w:hint="eastAsia"/>
        </w:rPr>
        <w:t>款商定或确定需调整的合同价款。</w:t>
      </w:r>
    </w:p>
    <w:p>
      <w:pPr>
        <w:pStyle w:val="51"/>
        <w:rPr>
          <w:sz w:val="21"/>
          <w:szCs w:val="21"/>
        </w:rPr>
      </w:pPr>
      <w:bookmarkStart w:id="537" w:name="_Toc144974689"/>
      <w:bookmarkStart w:id="538" w:name="_Toc309397396"/>
      <w:bookmarkStart w:id="539" w:name="_Toc179632736"/>
      <w:bookmarkStart w:id="540" w:name="_Toc152042497"/>
      <w:bookmarkStart w:id="541" w:name="_Toc152045718"/>
      <w:r>
        <w:rPr>
          <w:sz w:val="21"/>
          <w:szCs w:val="21"/>
        </w:rPr>
        <w:t xml:space="preserve">17. </w:t>
      </w:r>
      <w:r>
        <w:rPr>
          <w:rFonts w:hint="eastAsia" w:cs="宋体"/>
          <w:sz w:val="21"/>
          <w:szCs w:val="21"/>
        </w:rPr>
        <w:t>计量与支付</w:t>
      </w:r>
      <w:bookmarkEnd w:id="537"/>
      <w:bookmarkEnd w:id="538"/>
      <w:bookmarkEnd w:id="539"/>
      <w:bookmarkEnd w:id="540"/>
      <w:bookmarkEnd w:id="541"/>
    </w:p>
    <w:p>
      <w:pPr>
        <w:pStyle w:val="52"/>
        <w:rPr>
          <w:rFonts w:cs="Times New Roman"/>
          <w:sz w:val="21"/>
          <w:szCs w:val="21"/>
        </w:rPr>
      </w:pPr>
      <w:bookmarkStart w:id="542" w:name="_Toc152045719"/>
      <w:bookmarkStart w:id="543" w:name="_Toc179632737"/>
      <w:bookmarkStart w:id="544" w:name="_Toc309397397"/>
      <w:bookmarkStart w:id="545" w:name="_Toc152042498"/>
      <w:bookmarkStart w:id="546" w:name="_Toc144974690"/>
      <w:r>
        <w:rPr>
          <w:sz w:val="21"/>
          <w:szCs w:val="21"/>
        </w:rPr>
        <w:t xml:space="preserve">17.1 </w:t>
      </w:r>
      <w:r>
        <w:rPr>
          <w:rFonts w:hint="eastAsia" w:cs="黑体"/>
          <w:sz w:val="21"/>
          <w:szCs w:val="21"/>
        </w:rPr>
        <w:t>计量</w:t>
      </w:r>
      <w:bookmarkEnd w:id="542"/>
      <w:bookmarkEnd w:id="543"/>
      <w:bookmarkEnd w:id="544"/>
      <w:bookmarkEnd w:id="545"/>
      <w:bookmarkEnd w:id="546"/>
    </w:p>
    <w:p>
      <w:pPr>
        <w:spacing w:line="400" w:lineRule="exact"/>
        <w:ind w:firstLine="440" w:firstLineChars="200"/>
        <w:rPr>
          <w:rFonts w:cs="Times New Roman"/>
        </w:rPr>
      </w:pPr>
      <w:r>
        <w:t xml:space="preserve">17.1.1 </w:t>
      </w:r>
      <w:r>
        <w:rPr>
          <w:rFonts w:hint="eastAsia" w:ascii="黑体" w:eastAsia="黑体" w:cs="黑体"/>
        </w:rPr>
        <w:t>计量单位</w:t>
      </w:r>
    </w:p>
    <w:p>
      <w:pPr>
        <w:spacing w:line="400" w:lineRule="exact"/>
        <w:ind w:firstLine="440" w:firstLineChars="200"/>
        <w:rPr>
          <w:rFonts w:cs="Times New Roman"/>
        </w:rPr>
      </w:pPr>
      <w:r>
        <w:rPr>
          <w:rFonts w:hint="eastAsia"/>
        </w:rPr>
        <w:t>计量采用国家法定的计量单位。</w:t>
      </w:r>
    </w:p>
    <w:p>
      <w:pPr>
        <w:spacing w:line="400" w:lineRule="exact"/>
        <w:ind w:firstLine="440" w:firstLineChars="200"/>
        <w:rPr>
          <w:rFonts w:cs="Times New Roman"/>
        </w:rPr>
      </w:pPr>
      <w:r>
        <w:t xml:space="preserve">17.1.2 </w:t>
      </w:r>
      <w:r>
        <w:rPr>
          <w:rFonts w:hint="eastAsia" w:ascii="黑体" w:eastAsia="黑体" w:cs="黑体"/>
        </w:rPr>
        <w:t>计量方法</w:t>
      </w:r>
    </w:p>
    <w:p>
      <w:pPr>
        <w:spacing w:line="400" w:lineRule="exact"/>
        <w:ind w:firstLine="440" w:firstLineChars="200"/>
        <w:rPr>
          <w:rFonts w:cs="Times New Roman"/>
        </w:rPr>
      </w:pPr>
      <w:r>
        <w:rPr>
          <w:rFonts w:hint="eastAsia"/>
        </w:rPr>
        <w:t>工程量清单中的工程量计算规则应按有关国家标准、行业标准的规定，并在合同中约定执行。</w:t>
      </w:r>
    </w:p>
    <w:p>
      <w:pPr>
        <w:spacing w:line="400" w:lineRule="exact"/>
        <w:ind w:firstLine="440" w:firstLineChars="200"/>
        <w:rPr>
          <w:rFonts w:cs="Times New Roman"/>
        </w:rPr>
      </w:pPr>
      <w:r>
        <w:t xml:space="preserve">17.1.3 </w:t>
      </w:r>
      <w:r>
        <w:rPr>
          <w:rFonts w:hint="eastAsia" w:ascii="黑体" w:eastAsia="黑体" w:cs="黑体"/>
        </w:rPr>
        <w:t>计量周期</w:t>
      </w:r>
    </w:p>
    <w:p>
      <w:pPr>
        <w:spacing w:line="400" w:lineRule="exact"/>
        <w:ind w:firstLine="440" w:firstLineChars="200"/>
        <w:rPr>
          <w:rFonts w:cs="Times New Roman"/>
        </w:rPr>
      </w:pPr>
      <w:r>
        <w:rPr>
          <w:rFonts w:hint="eastAsia"/>
        </w:rPr>
        <w:t>除专用合同条款另有约定外，单价子目已完成工程量按月计量，总价子目的计量周期按批准的支付分解报告确定。</w:t>
      </w:r>
    </w:p>
    <w:p>
      <w:pPr>
        <w:spacing w:line="400" w:lineRule="exact"/>
        <w:ind w:firstLine="440" w:firstLineChars="200"/>
        <w:rPr>
          <w:rFonts w:cs="Times New Roman"/>
        </w:rPr>
      </w:pPr>
      <w:r>
        <w:t>17.1.4</w:t>
      </w:r>
      <w:r>
        <w:rPr>
          <w:rFonts w:ascii="黑体" w:eastAsia="黑体" w:cs="黑体"/>
        </w:rPr>
        <w:t xml:space="preserve"> </w:t>
      </w:r>
      <w:r>
        <w:rPr>
          <w:rFonts w:hint="eastAsia" w:ascii="黑体" w:eastAsia="黑体" w:cs="黑体"/>
        </w:rPr>
        <w:t>单价子目的计量</w:t>
      </w:r>
    </w:p>
    <w:p>
      <w:pPr>
        <w:spacing w:line="400" w:lineRule="exact"/>
        <w:ind w:firstLine="440" w:firstLineChars="200"/>
        <w:rPr>
          <w:rFonts w:cs="Times New Roman"/>
        </w:rPr>
      </w:pPr>
      <w:r>
        <w:rPr>
          <w:rFonts w:hint="eastAsia"/>
        </w:rPr>
        <w:t>（</w:t>
      </w:r>
      <w:r>
        <w:t>1</w:t>
      </w:r>
      <w:r>
        <w:rPr>
          <w:rFonts w:hint="eastAsia"/>
        </w:rPr>
        <w:t>）已标价工程量清单中的单价子目工程量为估算工程量。结算工程量是承包人实际完成的，并按合同约定的计量方法进行计量的工程量。</w:t>
      </w:r>
    </w:p>
    <w:p>
      <w:pPr>
        <w:spacing w:line="400" w:lineRule="exact"/>
        <w:ind w:firstLine="440" w:firstLineChars="200"/>
        <w:rPr>
          <w:rFonts w:cs="Times New Roman"/>
        </w:rPr>
      </w:pPr>
      <w:r>
        <w:rPr>
          <w:rFonts w:hint="eastAsia"/>
        </w:rPr>
        <w:t>（</w:t>
      </w:r>
      <w:r>
        <w:t>2</w:t>
      </w:r>
      <w:r>
        <w:rPr>
          <w:rFonts w:hint="eastAsia"/>
        </w:rPr>
        <w:t>）承包人对已完成的工程进行计量，向监理人提交进度付款申请单、已完成工程量报表和有关计量资料。</w:t>
      </w:r>
    </w:p>
    <w:p>
      <w:pPr>
        <w:spacing w:line="400" w:lineRule="exact"/>
        <w:ind w:firstLine="440" w:firstLineChars="200"/>
        <w:rPr>
          <w:rFonts w:cs="Times New Roman"/>
        </w:rPr>
      </w:pPr>
      <w:r>
        <w:rPr>
          <w:rFonts w:hint="eastAsia"/>
        </w:rPr>
        <w:t>（</w:t>
      </w:r>
      <w:r>
        <w:t>3</w:t>
      </w:r>
      <w:r>
        <w:rPr>
          <w:rFonts w:hint="eastAsia"/>
        </w:rPr>
        <w:t>）监理人对承包人提交的工程量报表进行复核，以确定实际完成的工程量。对数量有异议的，可要求承包人按第</w:t>
      </w:r>
      <w:r>
        <w:t>8.2</w:t>
      </w:r>
      <w:r>
        <w:rPr>
          <w:rFonts w:hint="eastAsia"/>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440" w:firstLineChars="200"/>
        <w:rPr>
          <w:rFonts w:cs="Times New Roman"/>
        </w:rPr>
      </w:pPr>
      <w:r>
        <w:rPr>
          <w:rFonts w:hint="eastAsia"/>
        </w:rPr>
        <w:t>（</w:t>
      </w:r>
      <w:r>
        <w:t>4</w:t>
      </w:r>
      <w:r>
        <w:rPr>
          <w:rFonts w:hint="eastAsia"/>
        </w:rPr>
        <w:t>）监理人认为有必要时，可通知承包人共同进行联合测量、计量，承包人应遵照执行。</w:t>
      </w:r>
    </w:p>
    <w:p>
      <w:pPr>
        <w:spacing w:line="400" w:lineRule="exact"/>
        <w:ind w:firstLine="440" w:firstLineChars="200"/>
        <w:rPr>
          <w:rFonts w:cs="Times New Roman"/>
        </w:rPr>
      </w:pPr>
      <w:r>
        <w:rPr>
          <w:rFonts w:hint="eastAsia"/>
        </w:rPr>
        <w:t>（</w:t>
      </w:r>
      <w:r>
        <w:t>5</w:t>
      </w:r>
      <w:r>
        <w:rPr>
          <w:rFonts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440" w:firstLineChars="200"/>
        <w:rPr>
          <w:rFonts w:cs="Times New Roman"/>
        </w:rPr>
      </w:pPr>
      <w:r>
        <w:rPr>
          <w:rFonts w:hint="eastAsia"/>
        </w:rPr>
        <w:t>（</w:t>
      </w:r>
      <w:r>
        <w:t>6</w:t>
      </w:r>
      <w:r>
        <w:rPr>
          <w:rFonts w:hint="eastAsia"/>
        </w:rPr>
        <w:t>）监理人应在收到承包人提交的工程量报表后的</w:t>
      </w:r>
      <w:r>
        <w:t>7</w:t>
      </w:r>
      <w:r>
        <w:rPr>
          <w:rFonts w:hint="eastAsia"/>
        </w:rPr>
        <w:t>天内进行复核，监理人未在约定时间内复核的，承包人提交的工程量报表中的工程量视为承包人实际完成的工程量，据此计算工程价款。</w:t>
      </w:r>
    </w:p>
    <w:p>
      <w:pPr>
        <w:spacing w:line="400" w:lineRule="exact"/>
        <w:ind w:firstLine="440" w:firstLineChars="200"/>
        <w:rPr>
          <w:rFonts w:ascii="黑体" w:eastAsia="黑体" w:cs="Times New Roman"/>
        </w:rPr>
      </w:pPr>
      <w:r>
        <w:t xml:space="preserve">17.1.5 </w:t>
      </w:r>
      <w:r>
        <w:rPr>
          <w:rFonts w:hint="eastAsia" w:ascii="黑体" w:eastAsia="黑体" w:cs="黑体"/>
        </w:rPr>
        <w:t>总价子目的计量</w:t>
      </w:r>
    </w:p>
    <w:p>
      <w:pPr>
        <w:spacing w:line="400" w:lineRule="exact"/>
        <w:ind w:firstLine="660" w:firstLineChars="300"/>
        <w:rPr>
          <w:rFonts w:cs="Times New Roman"/>
        </w:rPr>
      </w:pPr>
      <w:r>
        <w:rPr>
          <w:rFonts w:hint="eastAsia"/>
        </w:rPr>
        <w:t>除专用合同条款另有约定外，总价子目的分解和计量按照下述约定进行。</w:t>
      </w:r>
    </w:p>
    <w:p>
      <w:pPr>
        <w:spacing w:line="400" w:lineRule="exact"/>
        <w:ind w:firstLine="660" w:firstLineChars="300"/>
        <w:rPr>
          <w:rFonts w:cs="Times New Roman"/>
        </w:rPr>
      </w:pPr>
      <w:r>
        <w:rPr>
          <w:rFonts w:hint="eastAsia"/>
        </w:rPr>
        <w:t>（</w:t>
      </w:r>
      <w:r>
        <w:t>1</w:t>
      </w:r>
      <w:r>
        <w:rPr>
          <w:rFonts w:hint="eastAsia"/>
        </w:rPr>
        <w:t>）总价子目的计量和支付应以总价为基础，不因第</w:t>
      </w:r>
      <w:r>
        <w:t>16.1</w:t>
      </w:r>
      <w:r>
        <w:rPr>
          <w:rFonts w:hint="eastAsia"/>
        </w:rPr>
        <w:t>款中的因素而进行调整。承包人实际完成的工程量，是进行工程目标管理和控制进度支付的依据。</w:t>
      </w:r>
    </w:p>
    <w:p>
      <w:pPr>
        <w:spacing w:line="400" w:lineRule="exact"/>
        <w:ind w:firstLine="660" w:firstLineChars="300"/>
        <w:rPr>
          <w:rFonts w:cs="Times New Roman"/>
        </w:rPr>
      </w:pPr>
      <w:r>
        <w:rPr>
          <w:rFonts w:hint="eastAsia"/>
        </w:rPr>
        <w:t>（</w:t>
      </w:r>
      <w:r>
        <w:t>2</w:t>
      </w:r>
      <w:r>
        <w:rPr>
          <w:rFonts w:hint="eastAsia"/>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cs="Times New Roman"/>
        </w:rPr>
      </w:pPr>
      <w:r>
        <w:rPr>
          <w:rFonts w:hint="eastAsia"/>
        </w:rPr>
        <w:t>（</w:t>
      </w:r>
      <w:r>
        <w:t>3</w:t>
      </w:r>
      <w:r>
        <w:rPr>
          <w:rFonts w:hint="eastAsia"/>
        </w:rPr>
        <w:t>）监理人对承包人提交的上述资料进行复核，以确定分阶段实际完成的工程量和工程形象目标。对其有异议的，可要求承包人按第</w:t>
      </w:r>
      <w:r>
        <w:t>8.2</w:t>
      </w:r>
      <w:r>
        <w:rPr>
          <w:rFonts w:hint="eastAsia"/>
        </w:rPr>
        <w:t>款约定进行共同复核和抽样复测。</w:t>
      </w:r>
    </w:p>
    <w:p>
      <w:pPr>
        <w:spacing w:line="400" w:lineRule="exact"/>
        <w:ind w:firstLine="660" w:firstLineChars="300"/>
      </w:pPr>
      <w:r>
        <w:rPr>
          <w:rFonts w:hint="eastAsia"/>
        </w:rPr>
        <w:t>（</w:t>
      </w:r>
      <w:r>
        <w:t>4</w:t>
      </w:r>
      <w:r>
        <w:rPr>
          <w:rFonts w:hint="eastAsia"/>
        </w:rPr>
        <w:t>）除按照第</w:t>
      </w:r>
      <w:r>
        <w:t>15</w:t>
      </w:r>
      <w:r>
        <w:rPr>
          <w:rFonts w:hint="eastAsia"/>
        </w:rPr>
        <w:t>条约定的变更外，总价子目的工程量是承包人用于结算的最终工程量。</w:t>
      </w:r>
      <w:r>
        <w:t xml:space="preserve"> </w:t>
      </w:r>
    </w:p>
    <w:p>
      <w:pPr>
        <w:pStyle w:val="52"/>
        <w:rPr>
          <w:rFonts w:cs="Times New Roman"/>
          <w:sz w:val="21"/>
          <w:szCs w:val="21"/>
        </w:rPr>
      </w:pPr>
      <w:bookmarkStart w:id="547" w:name="_Toc152045720"/>
      <w:bookmarkStart w:id="548" w:name="_Toc144974691"/>
      <w:bookmarkStart w:id="549" w:name="_Toc179632738"/>
      <w:bookmarkStart w:id="550" w:name="_Toc309397398"/>
      <w:bookmarkStart w:id="551" w:name="_Toc152042499"/>
      <w:r>
        <w:rPr>
          <w:sz w:val="21"/>
          <w:szCs w:val="21"/>
        </w:rPr>
        <w:t xml:space="preserve">17.2 </w:t>
      </w:r>
      <w:r>
        <w:rPr>
          <w:rFonts w:hint="eastAsia" w:cs="黑体"/>
          <w:sz w:val="21"/>
          <w:szCs w:val="21"/>
        </w:rPr>
        <w:t>预付款</w:t>
      </w:r>
      <w:bookmarkEnd w:id="547"/>
      <w:bookmarkEnd w:id="548"/>
      <w:bookmarkEnd w:id="549"/>
      <w:bookmarkEnd w:id="550"/>
      <w:bookmarkEnd w:id="551"/>
    </w:p>
    <w:p>
      <w:pPr>
        <w:spacing w:line="400" w:lineRule="exact"/>
        <w:ind w:firstLine="440" w:firstLineChars="200"/>
        <w:rPr>
          <w:rFonts w:cs="Times New Roman"/>
        </w:rPr>
      </w:pPr>
      <w:r>
        <w:t xml:space="preserve">17.2.1 </w:t>
      </w:r>
      <w:r>
        <w:rPr>
          <w:rFonts w:hint="eastAsia" w:ascii="黑体" w:eastAsia="黑体" w:cs="黑体"/>
        </w:rPr>
        <w:t>预付款</w:t>
      </w:r>
    </w:p>
    <w:p>
      <w:pPr>
        <w:spacing w:line="400" w:lineRule="exact"/>
        <w:ind w:firstLine="440" w:firstLineChars="200"/>
        <w:rPr>
          <w:rFonts w:cs="Times New Roman"/>
        </w:rPr>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cs="Times New Roman"/>
        </w:rPr>
      </w:pPr>
      <w:r>
        <w:t xml:space="preserve">17.2.2 </w:t>
      </w:r>
      <w:r>
        <w:rPr>
          <w:rFonts w:hint="eastAsia" w:ascii="黑体" w:eastAsia="黑体" w:cs="黑体"/>
        </w:rPr>
        <w:t>预付款保函</w:t>
      </w:r>
    </w:p>
    <w:p>
      <w:pPr>
        <w:spacing w:line="400" w:lineRule="exact"/>
        <w:ind w:firstLine="440" w:firstLineChars="200"/>
        <w:rPr>
          <w:rFonts w:cs="Times New Roman"/>
        </w:rPr>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cs="Times New Roman"/>
        </w:rPr>
      </w:pPr>
      <w:r>
        <w:t xml:space="preserve">17.2.3 </w:t>
      </w:r>
      <w:r>
        <w:rPr>
          <w:rFonts w:hint="eastAsia" w:ascii="黑体" w:eastAsia="黑体" w:cs="黑体"/>
        </w:rPr>
        <w:t>预付款的扣回与还清</w:t>
      </w:r>
    </w:p>
    <w:p>
      <w:pPr>
        <w:spacing w:line="400" w:lineRule="exact"/>
        <w:ind w:firstLine="440" w:firstLineChars="200"/>
        <w:rPr>
          <w:rFonts w:cs="Times New Roman"/>
        </w:rPr>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2"/>
        <w:rPr>
          <w:rFonts w:cs="Times New Roman"/>
          <w:sz w:val="21"/>
          <w:szCs w:val="21"/>
        </w:rPr>
      </w:pPr>
      <w:bookmarkStart w:id="552" w:name="_Toc152045721"/>
      <w:bookmarkStart w:id="553" w:name="_Toc179632739"/>
      <w:bookmarkStart w:id="554" w:name="_Toc144974692"/>
      <w:bookmarkStart w:id="555" w:name="_Toc152042500"/>
      <w:bookmarkStart w:id="556" w:name="_Toc309397399"/>
      <w:r>
        <w:rPr>
          <w:sz w:val="21"/>
          <w:szCs w:val="21"/>
        </w:rPr>
        <w:t xml:space="preserve">17.3 </w:t>
      </w:r>
      <w:r>
        <w:rPr>
          <w:rFonts w:hint="eastAsia" w:cs="黑体"/>
          <w:sz w:val="21"/>
          <w:szCs w:val="21"/>
        </w:rPr>
        <w:t>工程进度付款</w:t>
      </w:r>
      <w:bookmarkEnd w:id="552"/>
      <w:bookmarkEnd w:id="553"/>
      <w:bookmarkEnd w:id="554"/>
      <w:bookmarkEnd w:id="555"/>
      <w:bookmarkEnd w:id="556"/>
    </w:p>
    <w:p>
      <w:pPr>
        <w:spacing w:line="400" w:lineRule="exact"/>
        <w:ind w:firstLine="440" w:firstLineChars="200"/>
        <w:rPr>
          <w:rFonts w:cs="Times New Roman"/>
        </w:rPr>
      </w:pPr>
      <w:r>
        <w:t xml:space="preserve">17.3.1 </w:t>
      </w:r>
      <w:r>
        <w:rPr>
          <w:rFonts w:hint="eastAsia" w:ascii="黑体" w:eastAsia="黑体" w:cs="黑体"/>
        </w:rPr>
        <w:t>付款周期</w:t>
      </w:r>
    </w:p>
    <w:p>
      <w:pPr>
        <w:spacing w:line="400" w:lineRule="exact"/>
        <w:ind w:firstLine="440" w:firstLineChars="200"/>
        <w:rPr>
          <w:rFonts w:cs="Times New Roman"/>
        </w:rPr>
      </w:pPr>
      <w:r>
        <w:rPr>
          <w:rFonts w:hint="eastAsia"/>
        </w:rPr>
        <w:t>付款周期同计量周期。</w:t>
      </w:r>
    </w:p>
    <w:p>
      <w:pPr>
        <w:spacing w:line="400" w:lineRule="exact"/>
        <w:ind w:firstLine="440" w:firstLineChars="200"/>
        <w:rPr>
          <w:rFonts w:cs="Times New Roman"/>
        </w:rPr>
      </w:pPr>
      <w:r>
        <w:t xml:space="preserve">17.3.2 </w:t>
      </w:r>
      <w:r>
        <w:rPr>
          <w:rFonts w:hint="eastAsia" w:ascii="黑体" w:eastAsia="黑体" w:cs="黑体"/>
        </w:rPr>
        <w:t>进度付款申请单</w:t>
      </w:r>
    </w:p>
    <w:p>
      <w:pPr>
        <w:spacing w:line="400" w:lineRule="exact"/>
        <w:ind w:firstLine="440" w:firstLineChars="200"/>
        <w:rPr>
          <w:rFonts w:cs="Times New Roman"/>
          <w:dstrike/>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cs="Times New Roman"/>
        </w:rPr>
      </w:pPr>
      <w:r>
        <w:rPr>
          <w:rFonts w:hint="eastAsia"/>
        </w:rPr>
        <w:t>（</w:t>
      </w:r>
      <w:r>
        <w:t>1</w:t>
      </w:r>
      <w:r>
        <w:rPr>
          <w:rFonts w:hint="eastAsia"/>
        </w:rPr>
        <w:t>）截至本次付款周期末已实施工程的价款；</w:t>
      </w:r>
    </w:p>
    <w:p>
      <w:pPr>
        <w:spacing w:line="400" w:lineRule="exact"/>
        <w:ind w:firstLine="440" w:firstLineChars="200"/>
        <w:rPr>
          <w:rFonts w:cs="Times New Roman"/>
        </w:rPr>
      </w:pPr>
      <w:r>
        <w:rPr>
          <w:rFonts w:hint="eastAsia"/>
        </w:rPr>
        <w:t>（</w:t>
      </w:r>
      <w:r>
        <w:t>2</w:t>
      </w:r>
      <w:r>
        <w:rPr>
          <w:rFonts w:hint="eastAsia"/>
        </w:rPr>
        <w:t>）根据第</w:t>
      </w:r>
      <w:r>
        <w:t>15</w:t>
      </w:r>
      <w:r>
        <w:rPr>
          <w:rFonts w:hint="eastAsia"/>
        </w:rPr>
        <w:t>条应增加和扣减的变更金额；</w:t>
      </w:r>
    </w:p>
    <w:p>
      <w:pPr>
        <w:spacing w:line="400" w:lineRule="exact"/>
        <w:ind w:firstLine="440" w:firstLineChars="200"/>
        <w:rPr>
          <w:rFonts w:cs="Times New Roman"/>
        </w:rPr>
      </w:pPr>
      <w:r>
        <w:rPr>
          <w:rFonts w:hint="eastAsia"/>
        </w:rPr>
        <w:t>（</w:t>
      </w:r>
      <w:r>
        <w:t>3</w:t>
      </w:r>
      <w:r>
        <w:rPr>
          <w:rFonts w:hint="eastAsia"/>
        </w:rPr>
        <w:t>）根据第</w:t>
      </w:r>
      <w:r>
        <w:t>23</w:t>
      </w:r>
      <w:r>
        <w:rPr>
          <w:rFonts w:hint="eastAsia"/>
        </w:rPr>
        <w:t>条应增加和扣减的索赔金额；</w:t>
      </w:r>
    </w:p>
    <w:p>
      <w:pPr>
        <w:spacing w:line="400" w:lineRule="exact"/>
        <w:ind w:firstLine="440" w:firstLineChars="200"/>
        <w:rPr>
          <w:rFonts w:cs="Times New Roman"/>
        </w:rPr>
      </w:pPr>
      <w:r>
        <w:rPr>
          <w:rFonts w:hint="eastAsia"/>
        </w:rPr>
        <w:t>（</w:t>
      </w:r>
      <w:r>
        <w:t>4</w:t>
      </w:r>
      <w:r>
        <w:rPr>
          <w:rFonts w:hint="eastAsia"/>
        </w:rPr>
        <w:t>）根据第</w:t>
      </w:r>
      <w:r>
        <w:t>17.2</w:t>
      </w:r>
      <w:r>
        <w:rPr>
          <w:rFonts w:hint="eastAsia"/>
        </w:rPr>
        <w:t>款约定应支付的预付款和扣减的返还预付款；</w:t>
      </w:r>
    </w:p>
    <w:p>
      <w:pPr>
        <w:spacing w:line="400" w:lineRule="exact"/>
        <w:ind w:firstLine="440" w:firstLineChars="200"/>
        <w:rPr>
          <w:rFonts w:cs="Times New Roman"/>
        </w:rPr>
      </w:pPr>
      <w:r>
        <w:rPr>
          <w:rFonts w:hint="eastAsia"/>
        </w:rPr>
        <w:t>（</w:t>
      </w:r>
      <w:r>
        <w:t>5</w:t>
      </w:r>
      <w:r>
        <w:rPr>
          <w:rFonts w:hint="eastAsia"/>
        </w:rPr>
        <w:t>）根据第</w:t>
      </w:r>
      <w:r>
        <w:t>17.4.1</w:t>
      </w:r>
      <w:r>
        <w:rPr>
          <w:rFonts w:hint="eastAsia"/>
        </w:rPr>
        <w:t>项约定应扣减的质量保证金；</w:t>
      </w:r>
    </w:p>
    <w:p>
      <w:pPr>
        <w:spacing w:line="400" w:lineRule="exact"/>
        <w:ind w:firstLine="440" w:firstLineChars="200"/>
        <w:rPr>
          <w:rFonts w:cs="Times New Roman"/>
        </w:rPr>
      </w:pPr>
      <w:r>
        <w:rPr>
          <w:rFonts w:hint="eastAsia"/>
        </w:rPr>
        <w:t>（</w:t>
      </w:r>
      <w:r>
        <w:t>6</w:t>
      </w:r>
      <w:r>
        <w:rPr>
          <w:rFonts w:hint="eastAsia"/>
        </w:rPr>
        <w:t>）根据合同应增加和扣减的其他金额。</w:t>
      </w:r>
    </w:p>
    <w:p>
      <w:pPr>
        <w:spacing w:line="400" w:lineRule="exact"/>
        <w:ind w:firstLine="440" w:firstLineChars="200"/>
        <w:rPr>
          <w:rFonts w:cs="Times New Roman"/>
        </w:rPr>
      </w:pPr>
      <w:r>
        <w:t xml:space="preserve">17.3.3 </w:t>
      </w:r>
      <w:r>
        <w:rPr>
          <w:rFonts w:hint="eastAsia" w:ascii="黑体" w:eastAsia="黑体" w:cs="黑体"/>
        </w:rPr>
        <w:t>进度付款证书和支付时间</w:t>
      </w:r>
    </w:p>
    <w:p>
      <w:pPr>
        <w:spacing w:line="400" w:lineRule="exact"/>
        <w:ind w:firstLine="440" w:firstLineChars="200"/>
        <w:rPr>
          <w:rFonts w:cs="Times New Roman"/>
        </w:rPr>
      </w:pPr>
      <w:r>
        <w:rPr>
          <w:rFonts w:hint="eastAsia"/>
        </w:rPr>
        <w:t>（</w:t>
      </w:r>
      <w:r>
        <w:t>1</w:t>
      </w:r>
      <w:r>
        <w:rPr>
          <w:rFonts w:hint="eastAsia"/>
        </w:rPr>
        <w:t>）监理人在收到承包人进度付款申请单以及相应的支持性证明文件后的</w:t>
      </w:r>
      <w:r>
        <w:t>14</w:t>
      </w:r>
      <w:r>
        <w:rPr>
          <w:rFonts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440" w:firstLineChars="200"/>
        <w:rPr>
          <w:rFonts w:cs="Times New Roman"/>
        </w:rPr>
      </w:pPr>
      <w:r>
        <w:rPr>
          <w:rFonts w:hint="eastAsia"/>
        </w:rPr>
        <w:t>（</w:t>
      </w:r>
      <w:r>
        <w:t>2</w:t>
      </w:r>
      <w:r>
        <w:rPr>
          <w:rFonts w:hint="eastAsia"/>
        </w:rPr>
        <w:t>）发包人应在监理人收到进度付款申请单后的</w:t>
      </w:r>
      <w:r>
        <w:t>28</w:t>
      </w:r>
      <w:r>
        <w:rPr>
          <w:rFonts w:hint="eastAsia"/>
        </w:rPr>
        <w:t>天内，将进度应付款支付给承包人。发包人不按期支付的，按专用合同条款的约定支付逾期付款违约金。</w:t>
      </w:r>
    </w:p>
    <w:p>
      <w:pPr>
        <w:spacing w:line="400" w:lineRule="exact"/>
        <w:ind w:firstLine="440" w:firstLineChars="200"/>
        <w:rPr>
          <w:rFonts w:cs="Times New Roman"/>
        </w:rPr>
      </w:pPr>
      <w:r>
        <w:rPr>
          <w:rFonts w:hint="eastAsia"/>
        </w:rPr>
        <w:t>（</w:t>
      </w:r>
      <w:r>
        <w:t>3</w:t>
      </w:r>
      <w:r>
        <w:rPr>
          <w:rFonts w:hint="eastAsia"/>
        </w:rPr>
        <w:t>）监理人出具进度付款证书，不应视为监理人已同意、批准或接受了承包人完成的该部分工作。</w:t>
      </w:r>
    </w:p>
    <w:p>
      <w:pPr>
        <w:spacing w:line="400" w:lineRule="exact"/>
        <w:ind w:firstLine="440" w:firstLineChars="200"/>
        <w:rPr>
          <w:rFonts w:cs="Times New Roman"/>
        </w:rPr>
      </w:pPr>
      <w:r>
        <w:rPr>
          <w:rFonts w:hint="eastAsia"/>
        </w:rPr>
        <w:t>（</w:t>
      </w:r>
      <w:r>
        <w:t>4</w:t>
      </w:r>
      <w:r>
        <w:rPr>
          <w:rFonts w:hint="eastAsia"/>
        </w:rPr>
        <w:t>）进度付款涉及政府投资资金的，按照国库集中支付等国家相关规定和专用合同条款的约定办理。</w:t>
      </w:r>
    </w:p>
    <w:p>
      <w:pPr>
        <w:spacing w:line="400" w:lineRule="exact"/>
        <w:ind w:firstLine="440" w:firstLineChars="200"/>
        <w:rPr>
          <w:rFonts w:cs="Times New Roman"/>
        </w:rPr>
      </w:pPr>
      <w:r>
        <w:t xml:space="preserve">17.3.4 </w:t>
      </w:r>
      <w:r>
        <w:rPr>
          <w:rFonts w:hint="eastAsia" w:ascii="黑体" w:eastAsia="黑体" w:cs="黑体"/>
        </w:rPr>
        <w:t>工程进度付款的修正</w:t>
      </w:r>
    </w:p>
    <w:p>
      <w:pPr>
        <w:spacing w:line="400" w:lineRule="exact"/>
        <w:ind w:firstLine="440" w:firstLineChars="200"/>
        <w:rPr>
          <w:rFonts w:cs="Times New Roman"/>
        </w:rPr>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pPr>
        <w:pStyle w:val="52"/>
        <w:rPr>
          <w:rFonts w:cs="Times New Roman"/>
          <w:sz w:val="21"/>
          <w:szCs w:val="21"/>
        </w:rPr>
      </w:pPr>
      <w:bookmarkStart w:id="557" w:name="_Toc152042501"/>
      <w:bookmarkStart w:id="558" w:name="_Toc144974693"/>
      <w:bookmarkStart w:id="559" w:name="_Toc152045722"/>
      <w:bookmarkStart w:id="560" w:name="_Toc309397400"/>
      <w:bookmarkStart w:id="561" w:name="_Toc179632740"/>
      <w:r>
        <w:rPr>
          <w:sz w:val="21"/>
          <w:szCs w:val="21"/>
        </w:rPr>
        <w:t xml:space="preserve">17.4 </w:t>
      </w:r>
      <w:bookmarkEnd w:id="557"/>
      <w:bookmarkEnd w:id="558"/>
      <w:bookmarkEnd w:id="559"/>
      <w:r>
        <w:rPr>
          <w:rFonts w:hint="eastAsia" w:cs="黑体"/>
          <w:sz w:val="21"/>
          <w:szCs w:val="21"/>
        </w:rPr>
        <w:t>质量保证金</w:t>
      </w:r>
      <w:bookmarkEnd w:id="560"/>
      <w:bookmarkEnd w:id="561"/>
    </w:p>
    <w:p>
      <w:pPr>
        <w:spacing w:line="400" w:lineRule="exact"/>
        <w:ind w:firstLine="440" w:firstLineChars="200"/>
        <w:rPr>
          <w:rFonts w:cs="Times New Roman"/>
        </w:rPr>
      </w:pPr>
      <w:r>
        <w:t xml:space="preserve">17.4.1 </w:t>
      </w:r>
      <w:r>
        <w:rPr>
          <w:rFonts w:hint="eastAsia"/>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cs="Times New Roman"/>
        </w:rPr>
      </w:pPr>
      <w:r>
        <w:t xml:space="preserve">17.4.2 </w:t>
      </w:r>
      <w:r>
        <w:rPr>
          <w:rFonts w:hint="eastAsia"/>
        </w:rPr>
        <w:t>在第</w:t>
      </w:r>
      <w:r>
        <w:t>1.1.4.5</w:t>
      </w:r>
      <w:r>
        <w:rPr>
          <w:rFonts w:hint="eastAsia"/>
        </w:rPr>
        <w:t>目约定的缺陷责任期满时，承包人向发包人申请到期应返还承包人剩余的质量保证金金额，发包人应在</w:t>
      </w:r>
      <w:r>
        <w:t>14</w:t>
      </w:r>
      <w:r>
        <w:rPr>
          <w:rFonts w:hint="eastAsia"/>
        </w:rPr>
        <w:t>天内会同承包人按照合同约定的内容核实承包人是否完成缺陷责任。如无异议，发包人应当在核实后将剩余保证金返还承包人。</w:t>
      </w:r>
    </w:p>
    <w:p>
      <w:pPr>
        <w:spacing w:line="400" w:lineRule="exact"/>
        <w:ind w:firstLine="440" w:firstLineChars="200"/>
      </w:pPr>
      <w:r>
        <w:t xml:space="preserve">17.4.3 </w:t>
      </w:r>
      <w:r>
        <w:rPr>
          <w:rFonts w:hint="eastAsia"/>
        </w:rPr>
        <w:t>在第</w:t>
      </w:r>
      <w:r>
        <w:t>1.1.4.5</w:t>
      </w:r>
      <w:r>
        <w:rPr>
          <w:rFonts w:hint="eastAsia"/>
        </w:rPr>
        <w:t>目约定的缺陷责任期满时，承包人没有完成缺陷责任的，发包人有权扣留与未履行责任剩余工作所需金额相应的质量保证金余额，并有权根据第</w:t>
      </w:r>
      <w:r>
        <w:t>19.3</w:t>
      </w:r>
      <w:r>
        <w:rPr>
          <w:rFonts w:hint="eastAsia"/>
        </w:rPr>
        <w:t>款约定要求延长缺陷责任期，直至完成剩余工作为止。</w:t>
      </w:r>
      <w:r>
        <w:t xml:space="preserve"> </w:t>
      </w:r>
    </w:p>
    <w:p>
      <w:pPr>
        <w:pStyle w:val="52"/>
        <w:rPr>
          <w:rFonts w:cs="Times New Roman"/>
          <w:sz w:val="21"/>
          <w:szCs w:val="21"/>
        </w:rPr>
      </w:pPr>
      <w:bookmarkStart w:id="562" w:name="_Toc152042502"/>
      <w:bookmarkStart w:id="563" w:name="_Toc144974694"/>
      <w:bookmarkStart w:id="564" w:name="_Toc179632741"/>
      <w:bookmarkStart w:id="565" w:name="_Toc152045723"/>
      <w:bookmarkStart w:id="566" w:name="_Toc309397401"/>
      <w:r>
        <w:rPr>
          <w:sz w:val="21"/>
          <w:szCs w:val="21"/>
        </w:rPr>
        <w:t xml:space="preserve">17.5 </w:t>
      </w:r>
      <w:r>
        <w:rPr>
          <w:rFonts w:hint="eastAsia" w:cs="黑体"/>
          <w:sz w:val="21"/>
          <w:szCs w:val="21"/>
        </w:rPr>
        <w:t>竣工结算</w:t>
      </w:r>
      <w:bookmarkEnd w:id="562"/>
      <w:bookmarkEnd w:id="563"/>
      <w:bookmarkEnd w:id="564"/>
      <w:bookmarkEnd w:id="565"/>
      <w:bookmarkEnd w:id="566"/>
    </w:p>
    <w:p>
      <w:pPr>
        <w:spacing w:line="400" w:lineRule="exact"/>
        <w:ind w:firstLine="440" w:firstLineChars="200"/>
        <w:rPr>
          <w:rFonts w:cs="Times New Roman"/>
        </w:rPr>
      </w:pPr>
      <w:r>
        <w:t xml:space="preserve">17.5.1 </w:t>
      </w:r>
      <w:r>
        <w:rPr>
          <w:rFonts w:hint="eastAsia" w:ascii="黑体" w:eastAsia="黑体" w:cs="黑体"/>
        </w:rPr>
        <w:t>竣工付款申请单</w:t>
      </w:r>
    </w:p>
    <w:p>
      <w:pPr>
        <w:spacing w:line="400" w:lineRule="exact"/>
        <w:ind w:firstLine="440" w:firstLineChars="200"/>
        <w:rPr>
          <w:rFonts w:cs="Times New Roman"/>
        </w:rPr>
      </w:pPr>
      <w:r>
        <w:rPr>
          <w:rFonts w:hint="eastAsia"/>
        </w:rPr>
        <w:t>（</w:t>
      </w:r>
      <w:r>
        <w:t>1</w:t>
      </w:r>
      <w:r>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440" w:firstLineChars="200"/>
        <w:rPr>
          <w:rFonts w:cs="Times New Roman"/>
        </w:rPr>
      </w:pPr>
      <w:r>
        <w:rPr>
          <w:rFonts w:hint="eastAsia"/>
        </w:rPr>
        <w:t>（</w:t>
      </w:r>
      <w:r>
        <w:t>2</w:t>
      </w:r>
      <w:r>
        <w:rPr>
          <w:rFonts w:hint="eastAsia"/>
        </w:rPr>
        <w:t>）监理人对竣工付款申请单有异议的，有权要求承包人进行修正和提供补充资料。经监理人和承包人协商后，由承包人向监理人提交修正后的竣工付款申请单。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cs="Times New Roman"/>
        </w:rPr>
      </w:pPr>
      <w:r>
        <w:t xml:space="preserve">17.5.2 </w:t>
      </w:r>
      <w:r>
        <w:rPr>
          <w:rFonts w:hint="eastAsia" w:ascii="黑体" w:eastAsia="黑体" w:cs="黑体"/>
        </w:rPr>
        <w:t>竣工付款证书及支付时间</w:t>
      </w:r>
    </w:p>
    <w:p>
      <w:pPr>
        <w:spacing w:line="400" w:lineRule="exact"/>
        <w:ind w:firstLine="440" w:firstLineChars="200"/>
        <w:rPr>
          <w:rFonts w:cs="Times New Roman"/>
        </w:rPr>
      </w:pPr>
      <w:r>
        <w:rPr>
          <w:rFonts w:hint="eastAsia"/>
        </w:rPr>
        <w:t>（</w:t>
      </w:r>
      <w:r>
        <w:t>1</w:t>
      </w:r>
      <w:r>
        <w:rPr>
          <w:rFonts w:hint="eastAsia"/>
        </w:rPr>
        <w:t>）监理人在收到承包人提交的竣工付款申请单后的</w:t>
      </w:r>
      <w:r>
        <w:t>14</w:t>
      </w:r>
      <w:r>
        <w:rPr>
          <w:rFonts w:hint="eastAsia"/>
        </w:rPr>
        <w:t>天内完成核查，提出发包人到期应支付给承包人的价款送发包人审核并抄送承包人。发包人应在收到后</w:t>
      </w:r>
      <w:r>
        <w:t>14</w:t>
      </w:r>
      <w:r>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440" w:firstLineChars="200"/>
        <w:rPr>
          <w:rFonts w:cs="Times New Roman"/>
        </w:rPr>
      </w:pPr>
      <w:r>
        <w:rPr>
          <w:rFonts w:hint="eastAsia"/>
        </w:rPr>
        <w:t>（</w:t>
      </w:r>
      <w:r>
        <w:t>2</w:t>
      </w:r>
      <w:r>
        <w:rPr>
          <w:rFonts w:hint="eastAsia"/>
        </w:rPr>
        <w:t>）发包人应在监理人出具竣工付款证书后的</w:t>
      </w:r>
      <w:r>
        <w:t>14</w:t>
      </w:r>
      <w:r>
        <w:rPr>
          <w:rFonts w:hint="eastAsia"/>
        </w:rPr>
        <w:t>天内，将应支付款支付给承包人。发包人不按期支付的，按第</w:t>
      </w:r>
      <w:r>
        <w:t>17.3.3</w:t>
      </w:r>
      <w:r>
        <w:rPr>
          <w:rFonts w:hint="eastAsia"/>
        </w:rPr>
        <w:t>（</w:t>
      </w:r>
      <w:r>
        <w:t>2</w:t>
      </w:r>
      <w:r>
        <w:rPr>
          <w:rFonts w:hint="eastAsia"/>
        </w:rPr>
        <w:t>）目的约定，将逾期付款违约金支付给承包人。</w:t>
      </w:r>
    </w:p>
    <w:p>
      <w:pPr>
        <w:spacing w:line="400" w:lineRule="exact"/>
        <w:ind w:firstLine="440" w:firstLineChars="200"/>
        <w:rPr>
          <w:rFonts w:cs="Times New Roman"/>
        </w:rPr>
      </w:pPr>
      <w:r>
        <w:rPr>
          <w:rFonts w:hint="eastAsia"/>
        </w:rPr>
        <w:t>（</w:t>
      </w:r>
      <w:r>
        <w:t>3</w:t>
      </w:r>
      <w:r>
        <w:rPr>
          <w:rFonts w:hint="eastAsia"/>
        </w:rPr>
        <w:t>）承包人对发包人签认的竣工付款证书有异议的，发包人可出具竣工付款申请单中承包人已同意部分的临时付款证书。存在争议的部分，按第</w:t>
      </w:r>
      <w:r>
        <w:t>24</w:t>
      </w:r>
      <w:r>
        <w:rPr>
          <w:rFonts w:hint="eastAsia"/>
        </w:rPr>
        <w:t>条的约定办理。</w:t>
      </w:r>
    </w:p>
    <w:p>
      <w:pPr>
        <w:spacing w:line="400" w:lineRule="exact"/>
        <w:ind w:firstLine="440" w:firstLineChars="200"/>
        <w:rPr>
          <w:rFonts w:cs="Times New Roman"/>
        </w:rPr>
      </w:pPr>
      <w:r>
        <w:rPr>
          <w:rFonts w:hint="eastAsia"/>
        </w:rPr>
        <w:t>（</w:t>
      </w:r>
      <w:r>
        <w:t>4</w:t>
      </w:r>
      <w:r>
        <w:rPr>
          <w:rFonts w:hint="eastAsia"/>
        </w:rPr>
        <w:t>）竣工付款涉及政府投资资金的，按第</w:t>
      </w:r>
      <w:r>
        <w:t>17.3.3</w:t>
      </w:r>
      <w:r>
        <w:rPr>
          <w:rFonts w:hint="eastAsia"/>
        </w:rPr>
        <w:t>（４）目的约定办理。</w:t>
      </w:r>
    </w:p>
    <w:p>
      <w:pPr>
        <w:pStyle w:val="52"/>
        <w:rPr>
          <w:rFonts w:eastAsia="宋体" w:cs="Times New Roman"/>
          <w:sz w:val="22"/>
          <w:szCs w:val="22"/>
        </w:rPr>
      </w:pPr>
      <w:bookmarkStart w:id="567" w:name="_Toc144974695"/>
      <w:bookmarkStart w:id="568" w:name="_Toc179632742"/>
      <w:bookmarkStart w:id="569" w:name="_Toc152045724"/>
      <w:bookmarkStart w:id="570" w:name="_Toc152042503"/>
      <w:bookmarkStart w:id="571" w:name="_Toc309397402"/>
      <w:r>
        <w:rPr>
          <w:rFonts w:eastAsia="宋体"/>
          <w:sz w:val="22"/>
          <w:szCs w:val="22"/>
        </w:rPr>
        <w:t xml:space="preserve">17.6 </w:t>
      </w:r>
      <w:r>
        <w:rPr>
          <w:rFonts w:hint="eastAsia" w:eastAsia="宋体"/>
          <w:sz w:val="22"/>
          <w:szCs w:val="22"/>
        </w:rPr>
        <w:t>最终结清</w:t>
      </w:r>
      <w:bookmarkEnd w:id="567"/>
      <w:bookmarkEnd w:id="568"/>
      <w:bookmarkEnd w:id="569"/>
      <w:bookmarkEnd w:id="570"/>
      <w:bookmarkEnd w:id="571"/>
    </w:p>
    <w:p>
      <w:pPr>
        <w:spacing w:line="400" w:lineRule="exact"/>
        <w:ind w:firstLine="440" w:firstLineChars="200"/>
        <w:rPr>
          <w:rFonts w:cs="Times New Roman"/>
        </w:rPr>
      </w:pPr>
      <w:r>
        <w:t xml:space="preserve">17.6.1 </w:t>
      </w:r>
      <w:r>
        <w:rPr>
          <w:rFonts w:hint="eastAsia" w:ascii="黑体" w:eastAsia="黑体" w:cs="黑体"/>
        </w:rPr>
        <w:t>最终结清申请单</w:t>
      </w:r>
    </w:p>
    <w:p>
      <w:pPr>
        <w:spacing w:line="400" w:lineRule="exact"/>
        <w:ind w:firstLine="440" w:firstLineChars="200"/>
        <w:rPr>
          <w:rFonts w:cs="Times New Roman"/>
        </w:rPr>
      </w:pPr>
      <w:r>
        <w:rPr>
          <w:rFonts w:hint="eastAsia"/>
        </w:rPr>
        <w:t>（</w:t>
      </w:r>
      <w:r>
        <w:t>1</w:t>
      </w:r>
      <w:r>
        <w:rPr>
          <w:rFonts w:hint="eastAsia"/>
        </w:rPr>
        <w:t>）缺陷责任期终止证书签发后，承包人可按专用合同条款约定的份数和期限向监理人提交最终结清申请单，并提供相关证明材料。</w:t>
      </w:r>
    </w:p>
    <w:p>
      <w:pPr>
        <w:spacing w:line="400" w:lineRule="exact"/>
        <w:ind w:firstLine="440" w:firstLineChars="200"/>
        <w:rPr>
          <w:rFonts w:cs="Times New Roman"/>
        </w:rPr>
      </w:pPr>
      <w:r>
        <w:rPr>
          <w:rFonts w:hint="eastAsia"/>
        </w:rPr>
        <w:t>（</w:t>
      </w:r>
      <w:r>
        <w:t>2</w:t>
      </w:r>
      <w:r>
        <w:rPr>
          <w:rFonts w:hint="eastAsia"/>
        </w:rPr>
        <w:t>）发包人对最终结清申请单内容有异议的，有权要求承包人进行修正和提供补充资料，由承包人向监理人提交修正后的最终结清申请单。</w:t>
      </w:r>
    </w:p>
    <w:p>
      <w:pPr>
        <w:spacing w:line="400" w:lineRule="exact"/>
        <w:ind w:firstLine="440" w:firstLineChars="200"/>
        <w:rPr>
          <w:rFonts w:cs="Times New Roman"/>
        </w:rPr>
      </w:pPr>
      <w:r>
        <w:t xml:space="preserve">17.6.2 </w:t>
      </w:r>
      <w:r>
        <w:rPr>
          <w:rFonts w:hint="eastAsia" w:ascii="黑体" w:eastAsia="黑体" w:cs="黑体"/>
        </w:rPr>
        <w:t>最终结清证书和支付时间</w:t>
      </w:r>
    </w:p>
    <w:p>
      <w:pPr>
        <w:spacing w:line="400" w:lineRule="exact"/>
        <w:ind w:firstLine="440" w:firstLineChars="200"/>
        <w:rPr>
          <w:rFonts w:cs="Times New Roman"/>
        </w:rPr>
      </w:pPr>
      <w:r>
        <w:rPr>
          <w:rFonts w:hint="eastAsia"/>
        </w:rPr>
        <w:t>（</w:t>
      </w:r>
      <w:r>
        <w:t>1</w:t>
      </w:r>
      <w:r>
        <w:rPr>
          <w:rFonts w:hint="eastAsia"/>
        </w:rPr>
        <w:t>）监理人收到承包人提交的最终结清申请单后的</w:t>
      </w:r>
      <w:r>
        <w:t>14</w:t>
      </w:r>
      <w:r>
        <w:rPr>
          <w:rFonts w:hint="eastAsia"/>
        </w:rPr>
        <w:t>天内，提出发包人应支付给承包人的价款送发包人审核并抄送承包人。发包人应在收到后</w:t>
      </w:r>
      <w:r>
        <w:t>14</w:t>
      </w:r>
      <w:r>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440" w:firstLineChars="200"/>
        <w:rPr>
          <w:rFonts w:cs="Times New Roman"/>
        </w:rPr>
      </w:pPr>
      <w:r>
        <w:rPr>
          <w:rFonts w:hint="eastAsia"/>
        </w:rPr>
        <w:t>（</w:t>
      </w:r>
      <w:r>
        <w:t>2</w:t>
      </w:r>
      <w:r>
        <w:rPr>
          <w:rFonts w:hint="eastAsia"/>
        </w:rPr>
        <w:t>）发包人应在监理人出具最终结清证书后的</w:t>
      </w:r>
      <w:r>
        <w:t>14</w:t>
      </w:r>
      <w:r>
        <w:rPr>
          <w:rFonts w:hint="eastAsia"/>
        </w:rPr>
        <w:t>天内，将应支付款支付给承包人。发包人不按期支付的，按第</w:t>
      </w:r>
      <w:r>
        <w:t>17.3.3</w:t>
      </w:r>
      <w:r>
        <w:rPr>
          <w:rFonts w:hint="eastAsia"/>
        </w:rPr>
        <w:t>（</w:t>
      </w:r>
      <w:r>
        <w:t>2</w:t>
      </w:r>
      <w:r>
        <w:rPr>
          <w:rFonts w:hint="eastAsia"/>
        </w:rPr>
        <w:t>）目的约定，将逾期付款违约金支付给承包人。</w:t>
      </w:r>
    </w:p>
    <w:p>
      <w:pPr>
        <w:spacing w:line="400" w:lineRule="exact"/>
        <w:ind w:firstLine="440" w:firstLineChars="200"/>
        <w:rPr>
          <w:rFonts w:cs="Times New Roman"/>
        </w:rPr>
      </w:pPr>
      <w:r>
        <w:rPr>
          <w:rFonts w:hint="eastAsia"/>
        </w:rPr>
        <w:t>（</w:t>
      </w:r>
      <w:r>
        <w:t>3</w:t>
      </w:r>
      <w:r>
        <w:rPr>
          <w:rFonts w:hint="eastAsia"/>
        </w:rPr>
        <w:t>）承包人对发包人签认的最终结清证书有异议的，按第</w:t>
      </w:r>
      <w:r>
        <w:t>24</w:t>
      </w:r>
      <w:r>
        <w:rPr>
          <w:rFonts w:hint="eastAsia"/>
        </w:rPr>
        <w:t>条的约定办理。</w:t>
      </w:r>
    </w:p>
    <w:p>
      <w:pPr>
        <w:spacing w:line="400" w:lineRule="exact"/>
        <w:ind w:firstLine="440" w:firstLineChars="200"/>
        <w:rPr>
          <w:rFonts w:cs="Times New Roman"/>
        </w:rPr>
      </w:pPr>
      <w:r>
        <w:rPr>
          <w:rFonts w:hint="eastAsia"/>
        </w:rPr>
        <w:t>（</w:t>
      </w:r>
      <w:r>
        <w:t>4</w:t>
      </w:r>
      <w:r>
        <w:rPr>
          <w:rFonts w:hint="eastAsia"/>
        </w:rPr>
        <w:t>）最终结清付款涉及政府投资资金的，按第</w:t>
      </w:r>
      <w:r>
        <w:t>17.3.3</w:t>
      </w:r>
      <w:r>
        <w:rPr>
          <w:rFonts w:hint="eastAsia"/>
        </w:rPr>
        <w:t>（４）目的约定办理。</w:t>
      </w:r>
    </w:p>
    <w:p>
      <w:pPr>
        <w:pStyle w:val="51"/>
        <w:rPr>
          <w:sz w:val="21"/>
          <w:szCs w:val="21"/>
        </w:rPr>
      </w:pPr>
      <w:bookmarkStart w:id="572" w:name="_Toc309397403"/>
      <w:bookmarkStart w:id="573" w:name="_Toc152042504"/>
      <w:bookmarkStart w:id="574" w:name="_Toc144974696"/>
      <w:bookmarkStart w:id="575" w:name="_Toc152045725"/>
      <w:bookmarkStart w:id="576" w:name="_Toc179632743"/>
      <w:r>
        <w:rPr>
          <w:sz w:val="21"/>
          <w:szCs w:val="21"/>
        </w:rPr>
        <w:t xml:space="preserve">18. </w:t>
      </w:r>
      <w:r>
        <w:rPr>
          <w:rFonts w:hint="eastAsia" w:cs="宋体"/>
          <w:sz w:val="21"/>
          <w:szCs w:val="21"/>
        </w:rPr>
        <w:t>竣工验收</w:t>
      </w:r>
      <w:bookmarkEnd w:id="572"/>
      <w:bookmarkEnd w:id="573"/>
      <w:bookmarkEnd w:id="574"/>
      <w:bookmarkEnd w:id="575"/>
      <w:bookmarkEnd w:id="576"/>
    </w:p>
    <w:p>
      <w:pPr>
        <w:pStyle w:val="52"/>
        <w:rPr>
          <w:rFonts w:cs="Times New Roman"/>
          <w:sz w:val="21"/>
          <w:szCs w:val="21"/>
        </w:rPr>
      </w:pPr>
      <w:bookmarkStart w:id="577" w:name="_Toc144974697"/>
      <w:bookmarkStart w:id="578" w:name="_Toc309397404"/>
      <w:bookmarkStart w:id="579" w:name="_Toc152042505"/>
      <w:bookmarkStart w:id="580" w:name="_Toc179632744"/>
      <w:bookmarkStart w:id="581" w:name="_Toc152045726"/>
      <w:r>
        <w:rPr>
          <w:sz w:val="21"/>
          <w:szCs w:val="21"/>
        </w:rPr>
        <w:t xml:space="preserve">18.1 </w:t>
      </w:r>
      <w:r>
        <w:rPr>
          <w:rFonts w:hint="eastAsia" w:cs="黑体"/>
          <w:sz w:val="21"/>
          <w:szCs w:val="21"/>
        </w:rPr>
        <w:t>竣工验收的含义</w:t>
      </w:r>
      <w:bookmarkEnd w:id="577"/>
      <w:bookmarkEnd w:id="578"/>
      <w:bookmarkEnd w:id="579"/>
      <w:bookmarkEnd w:id="580"/>
      <w:bookmarkEnd w:id="581"/>
    </w:p>
    <w:p>
      <w:pPr>
        <w:spacing w:line="400" w:lineRule="exact"/>
        <w:ind w:firstLine="440" w:firstLineChars="200"/>
        <w:rPr>
          <w:rFonts w:cs="Times New Roman"/>
        </w:rPr>
      </w:pPr>
      <w:r>
        <w:t xml:space="preserve">18.1.1 </w:t>
      </w:r>
      <w:r>
        <w:rPr>
          <w:rFonts w:hint="eastAsia"/>
        </w:rPr>
        <w:t>竣工验收指承包人完成了全部合同工作后，发包人按合同要求进行的验收。</w:t>
      </w:r>
    </w:p>
    <w:p>
      <w:pPr>
        <w:spacing w:line="400" w:lineRule="exact"/>
        <w:ind w:firstLine="440" w:firstLineChars="200"/>
        <w:rPr>
          <w:rFonts w:cs="Times New Roman"/>
        </w:rPr>
      </w:pPr>
      <w:r>
        <w:t xml:space="preserve">18.1.2 </w:t>
      </w:r>
      <w:r>
        <w:rPr>
          <w:rFonts w:hint="eastAsia"/>
        </w:rPr>
        <w:t>国家验收是政府有关部门根据法律、规范、规程和政策要求，针对发包人全面组织实施的整个工程正式交付投运前的验收。</w:t>
      </w:r>
    </w:p>
    <w:p>
      <w:pPr>
        <w:spacing w:line="400" w:lineRule="exact"/>
        <w:ind w:firstLine="440" w:firstLineChars="200"/>
      </w:pPr>
      <w:r>
        <w:t xml:space="preserve">18.1.3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r>
        <w:t xml:space="preserve"> </w:t>
      </w:r>
    </w:p>
    <w:p>
      <w:pPr>
        <w:pStyle w:val="52"/>
        <w:rPr>
          <w:rFonts w:cs="Times New Roman"/>
          <w:sz w:val="21"/>
          <w:szCs w:val="21"/>
        </w:rPr>
      </w:pPr>
      <w:bookmarkStart w:id="582" w:name="_Toc152042506"/>
      <w:bookmarkStart w:id="583" w:name="_Toc309397405"/>
      <w:bookmarkStart w:id="584" w:name="_Toc179632745"/>
      <w:bookmarkStart w:id="585" w:name="_Toc152045727"/>
      <w:bookmarkStart w:id="586" w:name="_Toc144974698"/>
      <w:r>
        <w:rPr>
          <w:sz w:val="21"/>
          <w:szCs w:val="21"/>
        </w:rPr>
        <w:t xml:space="preserve">18.2 </w:t>
      </w:r>
      <w:r>
        <w:rPr>
          <w:rFonts w:hint="eastAsia" w:cs="黑体"/>
          <w:sz w:val="21"/>
          <w:szCs w:val="21"/>
        </w:rPr>
        <w:t>竣工验收申请报告</w:t>
      </w:r>
      <w:bookmarkEnd w:id="582"/>
      <w:bookmarkEnd w:id="583"/>
      <w:bookmarkEnd w:id="584"/>
      <w:bookmarkEnd w:id="585"/>
      <w:bookmarkEnd w:id="586"/>
    </w:p>
    <w:p>
      <w:pPr>
        <w:spacing w:line="400" w:lineRule="exact"/>
        <w:ind w:firstLine="440" w:firstLineChars="200"/>
        <w:rPr>
          <w:rFonts w:cs="Times New Roman"/>
        </w:rPr>
      </w:pPr>
      <w:r>
        <w:rPr>
          <w:rFonts w:hint="eastAsia"/>
        </w:rPr>
        <w:t>当工程具备以下条件时，承包人即可向监理人报送竣工验收申请报告：</w:t>
      </w:r>
    </w:p>
    <w:p>
      <w:pPr>
        <w:spacing w:line="400" w:lineRule="exact"/>
        <w:ind w:firstLine="376" w:firstLineChars="171"/>
        <w:rPr>
          <w:rFonts w:cs="Times New Roman"/>
        </w:rPr>
      </w:pPr>
      <w:r>
        <w:rPr>
          <w:rFonts w:hint="eastAsia"/>
        </w:rPr>
        <w:t>（</w:t>
      </w:r>
      <w:r>
        <w:t>1</w:t>
      </w:r>
      <w:r>
        <w:rPr>
          <w:rFonts w:hint="eastAsia"/>
        </w:rPr>
        <w:t>）除监理人同意列入缺陷责任期内完成的尾工（甩项）工程和缺陷修补工作外，合同范围内的全部单位工程以及有关工作，包括合同要求的试验、试运行以及检验和验收均已完成，并符合合同要求；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pPr>
      <w:r>
        <w:rPr>
          <w:rFonts w:hint="eastAsia"/>
        </w:rPr>
        <w:t>（</w:t>
      </w:r>
      <w:r>
        <w:t>2</w:t>
      </w:r>
      <w:r>
        <w:rPr>
          <w:rFonts w:hint="eastAsia"/>
        </w:rPr>
        <w:t>）已按合同约定的内容和份数备齐了符合要求的竣工资料；</w:t>
      </w:r>
      <w:r>
        <w:t xml:space="preserve"> </w:t>
      </w:r>
    </w:p>
    <w:p>
      <w:pPr>
        <w:spacing w:line="400" w:lineRule="exact"/>
        <w:ind w:firstLine="376" w:firstLineChars="171"/>
        <w:rPr>
          <w:rFonts w:cs="Times New Roman"/>
        </w:rPr>
      </w:pPr>
      <w:r>
        <w:rPr>
          <w:rFonts w:hint="eastAsia"/>
        </w:rPr>
        <w:t>（</w:t>
      </w:r>
      <w:r>
        <w:t>3</w:t>
      </w:r>
      <w:r>
        <w:rPr>
          <w:rFonts w:hint="eastAsia"/>
        </w:rPr>
        <w:t>）已按监理人的要求编制了在缺陷责任期内完成的尾工（甩项）工程和缺陷修补工作清单以及相应施工计划；</w:t>
      </w:r>
    </w:p>
    <w:p>
      <w:pPr>
        <w:spacing w:line="400" w:lineRule="exact"/>
        <w:ind w:firstLine="376" w:firstLineChars="171"/>
        <w:rPr>
          <w:rFonts w:cs="Times New Roman"/>
        </w:rPr>
      </w:pPr>
      <w:r>
        <w:rPr>
          <w:rFonts w:hint="eastAsia"/>
        </w:rPr>
        <w:t>（</w:t>
      </w:r>
      <w:r>
        <w:t>4</w:t>
      </w:r>
      <w:r>
        <w:rPr>
          <w:rFonts w:hint="eastAsia"/>
        </w:rPr>
        <w:t>）监理人要求在竣工验收前应完成的其他工作；</w:t>
      </w:r>
    </w:p>
    <w:p>
      <w:pPr>
        <w:spacing w:line="400" w:lineRule="exact"/>
        <w:ind w:firstLine="376" w:firstLineChars="171"/>
        <w:rPr>
          <w:rFonts w:cs="Times New Roman"/>
        </w:rPr>
      </w:pPr>
      <w:r>
        <w:rPr>
          <w:rFonts w:hint="eastAsia"/>
        </w:rPr>
        <w:t>（</w:t>
      </w:r>
      <w:r>
        <w:t>5</w:t>
      </w:r>
      <w:r>
        <w:rPr>
          <w:rFonts w:hint="eastAsia"/>
        </w:rPr>
        <w:t>）监理人要求提交的竣工验收资料清单。</w:t>
      </w:r>
    </w:p>
    <w:p>
      <w:pPr>
        <w:spacing w:line="400" w:lineRule="exact"/>
        <w:ind w:firstLine="376" w:firstLineChars="171"/>
        <w:rPr>
          <w:rFonts w:cs="Times New Roman"/>
        </w:rPr>
      </w:pPr>
      <w:r>
        <w:rPr>
          <w:rFonts w:hint="eastAsia" w:ascii="仿宋" w:hAnsi="仿宋" w:eastAsia="仿宋" w:cs="仿宋"/>
        </w:rPr>
        <w:t>（</w:t>
      </w:r>
      <w:r>
        <w:rPr>
          <w:rFonts w:ascii="仿宋" w:hAnsi="仿宋" w:eastAsia="仿宋" w:cs="仿宋"/>
        </w:rPr>
        <w:t>6</w:t>
      </w:r>
      <w:r>
        <w:rPr>
          <w:rFonts w:hint="eastAsia" w:ascii="仿宋" w:hAnsi="仿宋" w:eastAsia="仿宋" w:cs="仿宋"/>
        </w:rPr>
        <w:t>）</w:t>
      </w:r>
      <w:r>
        <w:rPr>
          <w:rFonts w:hint="eastAsia"/>
        </w:rPr>
        <w:t>承包人应按照《公路工程竣（交）工验收办法》和相关规定编制竣工资料。并提交城瑶族自治县交通运输局农村公路建设管理办公室档案室预验收合格证书，完成交工验收准备工作。</w:t>
      </w:r>
    </w:p>
    <w:p>
      <w:pPr>
        <w:pStyle w:val="52"/>
        <w:rPr>
          <w:rFonts w:cs="Times New Roman"/>
          <w:sz w:val="21"/>
          <w:szCs w:val="21"/>
        </w:rPr>
      </w:pPr>
      <w:bookmarkStart w:id="587" w:name="_Toc144974699"/>
      <w:bookmarkStart w:id="588" w:name="_Toc179632746"/>
      <w:bookmarkStart w:id="589" w:name="_Toc152045728"/>
      <w:bookmarkStart w:id="590" w:name="_Toc152042507"/>
      <w:bookmarkStart w:id="591" w:name="_Toc309397406"/>
      <w:r>
        <w:rPr>
          <w:sz w:val="21"/>
          <w:szCs w:val="21"/>
        </w:rPr>
        <w:t xml:space="preserve">18.3 </w:t>
      </w:r>
      <w:r>
        <w:rPr>
          <w:rFonts w:hint="eastAsia" w:cs="黑体"/>
          <w:sz w:val="21"/>
          <w:szCs w:val="21"/>
        </w:rPr>
        <w:t>验收</w:t>
      </w:r>
      <w:bookmarkEnd w:id="587"/>
      <w:bookmarkEnd w:id="588"/>
      <w:bookmarkEnd w:id="589"/>
      <w:bookmarkEnd w:id="590"/>
      <w:bookmarkEnd w:id="591"/>
    </w:p>
    <w:p>
      <w:pPr>
        <w:spacing w:line="400" w:lineRule="exact"/>
        <w:ind w:firstLine="440" w:firstLineChars="200"/>
        <w:rPr>
          <w:rFonts w:cs="Times New Roman"/>
        </w:rPr>
      </w:pPr>
      <w:r>
        <w:rPr>
          <w:rFonts w:hint="eastAsia"/>
        </w:rPr>
        <w:t>监理人收到承包人按第</w:t>
      </w:r>
      <w:r>
        <w:t>18.2</w:t>
      </w:r>
      <w:r>
        <w:rPr>
          <w:rFonts w:hint="eastAsia"/>
        </w:rPr>
        <w:t>款约定提交的竣工验收申请报告后，应审查申请报告的各项内容，并按以下不同情况进行处理。</w:t>
      </w:r>
    </w:p>
    <w:p>
      <w:pPr>
        <w:spacing w:line="400" w:lineRule="exact"/>
        <w:ind w:firstLine="440" w:firstLineChars="200"/>
        <w:rPr>
          <w:rFonts w:cs="Times New Roman"/>
        </w:rPr>
      </w:pPr>
      <w:r>
        <w:t xml:space="preserve">18.3.1 </w:t>
      </w:r>
      <w:r>
        <w:rPr>
          <w:rFonts w:hint="eastAsia"/>
        </w:rPr>
        <w:t>监理人审查后认为尚不具备竣工验收条件的，应在收到竣工验收申请报告后的</w:t>
      </w:r>
      <w:r>
        <w:t>28</w:t>
      </w:r>
      <w:r>
        <w:rPr>
          <w:rFonts w:hint="eastAsia"/>
        </w:rPr>
        <w:t>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cs="Times New Roman"/>
        </w:rPr>
      </w:pPr>
      <w:r>
        <w:t xml:space="preserve">18.3.2 </w:t>
      </w:r>
      <w:r>
        <w:rPr>
          <w:rFonts w:hint="eastAsia"/>
        </w:rPr>
        <w:t>监理人审查后认为已具备竣工验收条件的，应在收到竣工验收申请报告后的</w:t>
      </w:r>
      <w:r>
        <w:t>28</w:t>
      </w:r>
      <w:r>
        <w:rPr>
          <w:rFonts w:hint="eastAsia"/>
        </w:rPr>
        <w:t>天内提请发包人进行工程验收。</w:t>
      </w:r>
    </w:p>
    <w:p>
      <w:pPr>
        <w:spacing w:line="400" w:lineRule="exact"/>
        <w:ind w:firstLine="440" w:firstLineChars="200"/>
        <w:rPr>
          <w:rFonts w:cs="Times New Roman"/>
        </w:rPr>
      </w:pPr>
      <w:r>
        <w:t>18.3.3</w:t>
      </w:r>
      <w:r>
        <w:rPr>
          <w:rFonts w:hint="eastAsia"/>
        </w:rPr>
        <w:t>发包人经过验收后同意接受工程的，应在监理人收到竣工验收申请报告后的</w:t>
      </w:r>
      <w:r>
        <w:t>56</w:t>
      </w:r>
      <w:r>
        <w:rPr>
          <w:rFonts w:hint="eastAsia"/>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cs="Times New Roman"/>
        </w:rPr>
      </w:pPr>
      <w:r>
        <w:t xml:space="preserve">18.3.4 </w:t>
      </w:r>
      <w:r>
        <w:rPr>
          <w:rFonts w:hint="eastAsia"/>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t>18.3.1</w:t>
      </w:r>
      <w:r>
        <w:rPr>
          <w:rFonts w:hint="eastAsia"/>
        </w:rPr>
        <w:t>项、第</w:t>
      </w:r>
      <w:r>
        <w:t>18.3.2</w:t>
      </w:r>
      <w:r>
        <w:rPr>
          <w:rFonts w:hint="eastAsia"/>
        </w:rPr>
        <w:t>项和第</w:t>
      </w:r>
      <w:r>
        <w:t>18.3.3</w:t>
      </w:r>
      <w:r>
        <w:rPr>
          <w:rFonts w:hint="eastAsia"/>
        </w:rPr>
        <w:t>项的约定进行。</w:t>
      </w:r>
    </w:p>
    <w:p>
      <w:pPr>
        <w:spacing w:line="400" w:lineRule="exact"/>
        <w:ind w:firstLine="440" w:firstLineChars="200"/>
        <w:rPr>
          <w:rFonts w:cs="Times New Roman"/>
        </w:rPr>
      </w:pPr>
      <w:r>
        <w:t xml:space="preserve">18.3.5 </w:t>
      </w:r>
      <w:r>
        <w:rPr>
          <w:rFonts w:hint="eastAsia"/>
        </w:rPr>
        <w:t>除专用合同条款另有约定外，经验收合格工程的实际竣工日期，以提交竣工验收申请报告的日期为准，并在工程接收证书中写明。</w:t>
      </w:r>
    </w:p>
    <w:p>
      <w:pPr>
        <w:spacing w:line="400" w:lineRule="exact"/>
        <w:ind w:firstLine="440" w:firstLineChars="200"/>
        <w:rPr>
          <w:rFonts w:cs="Times New Roman"/>
        </w:rPr>
      </w:pPr>
      <w:r>
        <w:t xml:space="preserve">18.3.6 </w:t>
      </w:r>
      <w:r>
        <w:rPr>
          <w:rFonts w:hint="eastAsia"/>
        </w:rPr>
        <w:t>发包人在收到承包人竣工验收申请报告</w:t>
      </w:r>
      <w:r>
        <w:t>56</w:t>
      </w:r>
      <w:r>
        <w:rPr>
          <w:rFonts w:hint="eastAsia"/>
        </w:rPr>
        <w:t>天后未进行验收的，视为验收合格，实际竣工日期以提交竣工验收申请报告的日期为准，但发包人由于不可抗力不能进行验收的除外。</w:t>
      </w:r>
    </w:p>
    <w:p>
      <w:pPr>
        <w:pStyle w:val="52"/>
        <w:rPr>
          <w:rFonts w:cs="Times New Roman"/>
          <w:sz w:val="21"/>
          <w:szCs w:val="21"/>
        </w:rPr>
      </w:pPr>
      <w:bookmarkStart w:id="592" w:name="_Toc309397407"/>
      <w:bookmarkStart w:id="593" w:name="_Toc179632747"/>
      <w:bookmarkStart w:id="594" w:name="_Toc152045729"/>
      <w:bookmarkStart w:id="595" w:name="_Toc152042508"/>
      <w:bookmarkStart w:id="596" w:name="_Toc144974700"/>
      <w:r>
        <w:rPr>
          <w:sz w:val="21"/>
          <w:szCs w:val="21"/>
        </w:rPr>
        <w:t xml:space="preserve">18.4 </w:t>
      </w:r>
      <w:r>
        <w:rPr>
          <w:rFonts w:hint="eastAsia" w:cs="黑体"/>
          <w:sz w:val="21"/>
          <w:szCs w:val="21"/>
        </w:rPr>
        <w:t>单位工程验收</w:t>
      </w:r>
      <w:bookmarkEnd w:id="592"/>
      <w:bookmarkEnd w:id="593"/>
      <w:bookmarkEnd w:id="594"/>
      <w:bookmarkEnd w:id="595"/>
      <w:bookmarkEnd w:id="596"/>
    </w:p>
    <w:p>
      <w:pPr>
        <w:spacing w:line="400" w:lineRule="exact"/>
        <w:ind w:firstLine="440" w:firstLineChars="200"/>
        <w:rPr>
          <w:rFonts w:cs="Times New Roman"/>
        </w:rPr>
      </w:pPr>
      <w:r>
        <w:t xml:space="preserve">18.4.1 </w:t>
      </w:r>
      <w:r>
        <w:rPr>
          <w:rFonts w:hint="eastAsia"/>
        </w:rPr>
        <w:t>发包人根据合同进度计划安排，在全部工程竣工前需要使用已经竣工的单位工程时，或承包人提出经发包人同意时，可进行单位工程验收。验收的程序可参照第</w:t>
      </w:r>
      <w:r>
        <w:t>18.2</w:t>
      </w:r>
      <w:r>
        <w:rPr>
          <w:rFonts w:hint="eastAsia"/>
        </w:rPr>
        <w:t>款与第</w:t>
      </w:r>
      <w:r>
        <w:t>18.3</w:t>
      </w:r>
      <w:r>
        <w:rPr>
          <w:rFonts w:hint="eastAsia"/>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cs="Times New Roman"/>
        </w:rPr>
      </w:pPr>
      <w:r>
        <w:t xml:space="preserve">18.4.2 </w:t>
      </w:r>
      <w:r>
        <w:rPr>
          <w:rFonts w:hint="eastAsia"/>
        </w:rPr>
        <w:t>发包人在全部工程竣工前，使用已接收的单位工程导致承包人费用增加的，发包人应承担由此增加的费用和（或）工期延误，并支付承包人合理利润。</w:t>
      </w:r>
    </w:p>
    <w:p>
      <w:pPr>
        <w:pStyle w:val="52"/>
        <w:rPr>
          <w:rFonts w:cs="Times New Roman"/>
          <w:sz w:val="21"/>
          <w:szCs w:val="21"/>
        </w:rPr>
      </w:pPr>
      <w:bookmarkStart w:id="597" w:name="_Toc144974701"/>
      <w:bookmarkStart w:id="598" w:name="_Toc179632748"/>
      <w:bookmarkStart w:id="599" w:name="_Toc152042509"/>
      <w:bookmarkStart w:id="600" w:name="_Toc309397408"/>
      <w:bookmarkStart w:id="601" w:name="_Toc152045730"/>
      <w:r>
        <w:rPr>
          <w:sz w:val="21"/>
          <w:szCs w:val="21"/>
        </w:rPr>
        <w:t xml:space="preserve">18.5 </w:t>
      </w:r>
      <w:r>
        <w:rPr>
          <w:rFonts w:hint="eastAsia" w:cs="黑体"/>
          <w:sz w:val="21"/>
          <w:szCs w:val="21"/>
        </w:rPr>
        <w:t>施工期运行</w:t>
      </w:r>
      <w:bookmarkEnd w:id="597"/>
      <w:bookmarkEnd w:id="598"/>
      <w:bookmarkEnd w:id="599"/>
      <w:bookmarkEnd w:id="600"/>
      <w:bookmarkEnd w:id="601"/>
    </w:p>
    <w:p>
      <w:pPr>
        <w:spacing w:line="400" w:lineRule="exact"/>
        <w:ind w:firstLine="440" w:firstLineChars="200"/>
        <w:rPr>
          <w:rFonts w:cs="Times New Roman"/>
        </w:rPr>
      </w:pPr>
      <w:r>
        <w:t xml:space="preserve">18.5.1 </w:t>
      </w:r>
      <w:r>
        <w:rPr>
          <w:rFonts w:hint="eastAsia"/>
        </w:rPr>
        <w:t>施工期运行是指合同工程尚未全部竣工，其中某项或某几项单位工程或工程设备安装已竣工，根据专用合同条款约定，需要投入施工期运行的，经发包人按第</w:t>
      </w:r>
      <w:r>
        <w:t>18.4</w:t>
      </w:r>
      <w:r>
        <w:rPr>
          <w:rFonts w:hint="eastAsia"/>
        </w:rPr>
        <w:t>款的约定验收合格，证明能确保安全后，才能在施工期投入运行。</w:t>
      </w:r>
    </w:p>
    <w:p>
      <w:pPr>
        <w:spacing w:line="400" w:lineRule="exact"/>
        <w:ind w:firstLine="440" w:firstLineChars="200"/>
        <w:rPr>
          <w:rFonts w:cs="Times New Roman"/>
        </w:rPr>
      </w:pPr>
      <w:r>
        <w:t xml:space="preserve">18.5.2 </w:t>
      </w:r>
      <w:r>
        <w:rPr>
          <w:rFonts w:hint="eastAsia"/>
        </w:rPr>
        <w:t>在施工期运行中发现工程或工程设备损坏或存在缺陷的，由承包人按第</w:t>
      </w:r>
      <w:r>
        <w:t>19.2</w:t>
      </w:r>
      <w:r>
        <w:rPr>
          <w:rFonts w:hint="eastAsia"/>
        </w:rPr>
        <w:t>款约定进行修复。</w:t>
      </w:r>
    </w:p>
    <w:p>
      <w:pPr>
        <w:pStyle w:val="52"/>
        <w:rPr>
          <w:rFonts w:cs="Times New Roman"/>
          <w:sz w:val="21"/>
          <w:szCs w:val="21"/>
        </w:rPr>
      </w:pPr>
      <w:bookmarkStart w:id="602" w:name="_Toc152042510"/>
      <w:bookmarkStart w:id="603" w:name="_Toc309397409"/>
      <w:bookmarkStart w:id="604" w:name="_Toc179632749"/>
      <w:bookmarkStart w:id="605" w:name="_Toc144974702"/>
      <w:bookmarkStart w:id="606" w:name="_Toc152045731"/>
      <w:r>
        <w:rPr>
          <w:sz w:val="21"/>
          <w:szCs w:val="21"/>
        </w:rPr>
        <w:t xml:space="preserve">18.6 </w:t>
      </w:r>
      <w:r>
        <w:rPr>
          <w:rFonts w:hint="eastAsia" w:cs="黑体"/>
          <w:sz w:val="21"/>
          <w:szCs w:val="21"/>
        </w:rPr>
        <w:t>试运行</w:t>
      </w:r>
      <w:bookmarkEnd w:id="602"/>
      <w:bookmarkEnd w:id="603"/>
      <w:bookmarkEnd w:id="604"/>
      <w:bookmarkEnd w:id="605"/>
      <w:bookmarkEnd w:id="606"/>
    </w:p>
    <w:p>
      <w:pPr>
        <w:spacing w:line="400" w:lineRule="exact"/>
        <w:ind w:firstLine="440" w:firstLineChars="200"/>
        <w:rPr>
          <w:rFonts w:cs="Times New Roman"/>
        </w:rPr>
      </w:pPr>
      <w:r>
        <w:t xml:space="preserve">18.6.1 </w:t>
      </w:r>
      <w:r>
        <w:rPr>
          <w:rFonts w:hint="eastAsia"/>
        </w:rPr>
        <w:t>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cs="Times New Roman"/>
        </w:rPr>
      </w:pPr>
      <w:r>
        <w:t xml:space="preserve">18.6.2 </w:t>
      </w:r>
      <w:r>
        <w:rPr>
          <w:rFonts w:hint="eastAsia"/>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2"/>
        <w:rPr>
          <w:rFonts w:cs="Times New Roman"/>
          <w:sz w:val="21"/>
          <w:szCs w:val="21"/>
        </w:rPr>
      </w:pPr>
      <w:bookmarkStart w:id="607" w:name="_Toc152042511"/>
      <w:bookmarkStart w:id="608" w:name="_Toc144974703"/>
      <w:bookmarkStart w:id="609" w:name="_Toc309397410"/>
      <w:bookmarkStart w:id="610" w:name="_Toc152045732"/>
      <w:bookmarkStart w:id="611" w:name="_Toc179632750"/>
      <w:r>
        <w:rPr>
          <w:sz w:val="21"/>
          <w:szCs w:val="21"/>
        </w:rPr>
        <w:t xml:space="preserve">18.7 </w:t>
      </w:r>
      <w:r>
        <w:rPr>
          <w:rFonts w:hint="eastAsia" w:cs="黑体"/>
          <w:sz w:val="21"/>
          <w:szCs w:val="21"/>
        </w:rPr>
        <w:t>竣工清场</w:t>
      </w:r>
      <w:bookmarkEnd w:id="607"/>
      <w:bookmarkEnd w:id="608"/>
      <w:bookmarkEnd w:id="609"/>
      <w:bookmarkEnd w:id="610"/>
      <w:bookmarkEnd w:id="611"/>
    </w:p>
    <w:p>
      <w:pPr>
        <w:spacing w:line="400" w:lineRule="exact"/>
        <w:ind w:firstLine="440" w:firstLineChars="200"/>
        <w:rPr>
          <w:rFonts w:cs="Times New Roman"/>
        </w:rPr>
      </w:pPr>
      <w:r>
        <w:t xml:space="preserve">18.7.1 </w:t>
      </w:r>
      <w:r>
        <w:rPr>
          <w:rFonts w:hint="eastAsia"/>
        </w:rPr>
        <w:t>除合同另有约定外，工程接收证书颁发后，承包人应按以下要求对施工场地进行清理，直至监理人检验合格为止。竣工清场费用由承包人承担。</w:t>
      </w:r>
    </w:p>
    <w:p>
      <w:pPr>
        <w:spacing w:line="400" w:lineRule="exact"/>
        <w:ind w:firstLine="440" w:firstLineChars="200"/>
        <w:rPr>
          <w:rFonts w:cs="Times New Roman"/>
        </w:rPr>
      </w:pPr>
      <w:r>
        <w:rPr>
          <w:rFonts w:hint="eastAsia"/>
        </w:rPr>
        <w:t>（</w:t>
      </w:r>
      <w:r>
        <w:t>1</w:t>
      </w:r>
      <w:r>
        <w:rPr>
          <w:rFonts w:hint="eastAsia"/>
        </w:rPr>
        <w:t>）施工场地内残留的垃圾已全部清除出场；</w:t>
      </w:r>
    </w:p>
    <w:p>
      <w:pPr>
        <w:spacing w:line="400" w:lineRule="exact"/>
        <w:ind w:firstLine="440" w:firstLineChars="200"/>
        <w:rPr>
          <w:rFonts w:cs="Times New Roman"/>
        </w:rPr>
      </w:pPr>
      <w:r>
        <w:rPr>
          <w:rFonts w:hint="eastAsia"/>
        </w:rPr>
        <w:t>（</w:t>
      </w:r>
      <w:r>
        <w:t>2</w:t>
      </w:r>
      <w:r>
        <w:rPr>
          <w:rFonts w:hint="eastAsia"/>
        </w:rPr>
        <w:t>）临时工程已拆除，场地已按合同要求进行清理、平整或复原；</w:t>
      </w:r>
    </w:p>
    <w:p>
      <w:pPr>
        <w:spacing w:line="400" w:lineRule="exact"/>
        <w:ind w:firstLine="440" w:firstLineChars="200"/>
        <w:rPr>
          <w:rFonts w:cs="Times New Roman"/>
        </w:rPr>
      </w:pPr>
      <w:r>
        <w:rPr>
          <w:rFonts w:hint="eastAsia"/>
        </w:rPr>
        <w:t>（</w:t>
      </w:r>
      <w:r>
        <w:t>3</w:t>
      </w:r>
      <w:r>
        <w:rPr>
          <w:rFonts w:hint="eastAsia"/>
        </w:rPr>
        <w:t>）按合同约定应撤离的承包人设备和剩余的材料，包括废弃的施工设备和材料，已按计划撤离施工场地；</w:t>
      </w:r>
    </w:p>
    <w:p>
      <w:pPr>
        <w:spacing w:line="400" w:lineRule="exact"/>
        <w:ind w:firstLine="440" w:firstLineChars="200"/>
        <w:rPr>
          <w:rFonts w:cs="Times New Roman"/>
        </w:rPr>
      </w:pPr>
      <w:r>
        <w:rPr>
          <w:rFonts w:hint="eastAsia"/>
        </w:rPr>
        <w:t>（</w:t>
      </w:r>
      <w:r>
        <w:t>4</w:t>
      </w:r>
      <w:r>
        <w:rPr>
          <w:rFonts w:hint="eastAsia"/>
        </w:rPr>
        <w:t>）工程建筑物周边及其附近道路、河道的施工堆积物，已按监理人指示全部清理；</w:t>
      </w:r>
    </w:p>
    <w:p>
      <w:pPr>
        <w:spacing w:line="400" w:lineRule="exact"/>
        <w:ind w:firstLine="440" w:firstLineChars="200"/>
        <w:rPr>
          <w:rFonts w:cs="Times New Roman"/>
        </w:rPr>
      </w:pPr>
      <w:r>
        <w:rPr>
          <w:rFonts w:hint="eastAsia"/>
        </w:rPr>
        <w:t>（</w:t>
      </w:r>
      <w:r>
        <w:t>5</w:t>
      </w:r>
      <w:r>
        <w:rPr>
          <w:rFonts w:hint="eastAsia"/>
        </w:rPr>
        <w:t>）监理人指示的其他场地清理工作已全部完成。</w:t>
      </w:r>
    </w:p>
    <w:p>
      <w:pPr>
        <w:spacing w:line="400" w:lineRule="exact"/>
        <w:ind w:firstLine="440" w:firstLineChars="200"/>
        <w:rPr>
          <w:rFonts w:cs="Times New Roman"/>
        </w:rPr>
      </w:pPr>
      <w:r>
        <w:t xml:space="preserve">18.7.2 </w:t>
      </w:r>
      <w:r>
        <w:rPr>
          <w:rFonts w:hint="eastAsia"/>
        </w:rPr>
        <w:t>承包人未按监理人的要求恢复临时占地，或者场地清理未达到合同约定的，发包人有权委托其他人恢复或清理，所发生的金额从拟支付给承包人的款项中扣除。</w:t>
      </w:r>
    </w:p>
    <w:p>
      <w:pPr>
        <w:pStyle w:val="52"/>
        <w:rPr>
          <w:rFonts w:cs="Times New Roman"/>
          <w:sz w:val="21"/>
          <w:szCs w:val="21"/>
        </w:rPr>
      </w:pPr>
      <w:bookmarkStart w:id="612" w:name="_Toc309397411"/>
      <w:bookmarkStart w:id="613" w:name="_Toc152045733"/>
      <w:bookmarkStart w:id="614" w:name="_Toc144974704"/>
      <w:bookmarkStart w:id="615" w:name="_Toc152042512"/>
      <w:bookmarkStart w:id="616" w:name="_Toc179632751"/>
      <w:r>
        <w:rPr>
          <w:sz w:val="21"/>
          <w:szCs w:val="21"/>
        </w:rPr>
        <w:t xml:space="preserve">18.8 </w:t>
      </w:r>
      <w:r>
        <w:rPr>
          <w:rFonts w:hint="eastAsia" w:cs="黑体"/>
          <w:sz w:val="21"/>
          <w:szCs w:val="21"/>
        </w:rPr>
        <w:t>施工队伍的撤离</w:t>
      </w:r>
      <w:bookmarkEnd w:id="612"/>
      <w:bookmarkEnd w:id="613"/>
      <w:bookmarkEnd w:id="614"/>
      <w:bookmarkEnd w:id="615"/>
      <w:bookmarkEnd w:id="616"/>
    </w:p>
    <w:p>
      <w:pPr>
        <w:spacing w:line="400" w:lineRule="exact"/>
        <w:ind w:firstLine="440" w:firstLineChars="200"/>
        <w:rPr>
          <w:rFonts w:cs="Times New Roman"/>
        </w:rPr>
      </w:pPr>
      <w:r>
        <w:rPr>
          <w:rFonts w:hint="eastAsia"/>
        </w:rPr>
        <w:t>工程接收证书颁发后的</w:t>
      </w:r>
      <w:r>
        <w:t>56</w:t>
      </w:r>
      <w:r>
        <w:rPr>
          <w:rFonts w:hint="eastAsia"/>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line="400" w:lineRule="exact"/>
        <w:ind w:firstLine="442" w:firstLineChars="200"/>
        <w:rPr>
          <w:rFonts w:ascii="仿宋" w:hAnsi="仿宋" w:eastAsia="仿宋" w:cs="Times New Roman"/>
          <w:b/>
          <w:bCs/>
        </w:rPr>
      </w:pPr>
      <w:r>
        <w:rPr>
          <w:rFonts w:hint="eastAsia" w:ascii="仿宋" w:hAnsi="仿宋" w:eastAsia="仿宋" w:cs="仿宋"/>
          <w:b/>
          <w:bCs/>
        </w:rPr>
        <w:t>本文补充第</w:t>
      </w:r>
      <w:r>
        <w:rPr>
          <w:rFonts w:ascii="仿宋" w:hAnsi="仿宋" w:eastAsia="仿宋" w:cs="仿宋"/>
          <w:b/>
          <w:bCs/>
        </w:rPr>
        <w:t>18.9</w:t>
      </w:r>
      <w:r>
        <w:rPr>
          <w:rFonts w:hint="eastAsia" w:ascii="仿宋" w:hAnsi="仿宋" w:eastAsia="仿宋" w:cs="仿宋"/>
          <w:b/>
          <w:bCs/>
        </w:rPr>
        <w:t>款：</w:t>
      </w:r>
    </w:p>
    <w:p>
      <w:pPr>
        <w:spacing w:line="400" w:lineRule="exact"/>
        <w:ind w:firstLine="440" w:firstLineChars="200"/>
        <w:rPr>
          <w:rFonts w:cs="Times New Roman"/>
        </w:rPr>
      </w:pPr>
      <w:r>
        <w:rPr>
          <w:rFonts w:hint="eastAsia"/>
        </w:rPr>
        <w:t>竣工文件承包人应按照交通运输部《关于印发公路工程竣交工验收办法实施细则的通知》（交公路发〔</w:t>
      </w:r>
      <w:r>
        <w:t>2010</w:t>
      </w:r>
      <w:r>
        <w:rPr>
          <w:rFonts w:hint="eastAsia"/>
        </w:rPr>
        <w:t>〕</w:t>
      </w:r>
      <w:r>
        <w:t>65</w:t>
      </w:r>
      <w:r>
        <w:rPr>
          <w:rFonts w:hint="eastAsia"/>
        </w:rPr>
        <w:t>号）中的相关规定，在缺陷责任期内为竣工验收补充竣工资料，并在签发缺陷责任期终止证书之前提交。其中工程竣工文件的立卷归档按交通部《公路工程竣工文件材料立卷归档管理办法》（交办发</w:t>
      </w:r>
      <w:r>
        <w:t>[2001]390</w:t>
      </w:r>
      <w:r>
        <w:rPr>
          <w:rFonts w:hint="eastAsia"/>
        </w:rPr>
        <w:t>号）和广西区公路管理局《广西路网项目公路工程竣工文件材料立卷归档管理办法》（路工程函</w:t>
      </w:r>
      <w:r>
        <w:t>[2005]210</w:t>
      </w:r>
      <w:r>
        <w:rPr>
          <w:rFonts w:hint="eastAsia"/>
        </w:rPr>
        <w:t>号）及广西区公路管理局</w:t>
      </w:r>
      <w:r>
        <w:t>2011</w:t>
      </w:r>
      <w:r>
        <w:rPr>
          <w:rFonts w:hint="eastAsia"/>
        </w:rPr>
        <w:t>年的《关于印发广西农村公路工程竣工档案目录的通知》执行。组织办理竣工验收和签发竣工证书的费用由承包人承担，其费用包含在相关单价或总额价中，业主不单独另行计量与支付。</w:t>
      </w:r>
    </w:p>
    <w:p>
      <w:pPr>
        <w:pStyle w:val="51"/>
        <w:rPr>
          <w:sz w:val="21"/>
          <w:szCs w:val="21"/>
        </w:rPr>
      </w:pPr>
      <w:bookmarkStart w:id="617" w:name="_Toc152045734"/>
      <w:bookmarkStart w:id="618" w:name="_Toc309397412"/>
      <w:bookmarkStart w:id="619" w:name="_Toc144974705"/>
      <w:bookmarkStart w:id="620" w:name="_Toc152042513"/>
      <w:bookmarkStart w:id="621" w:name="_Toc179632752"/>
      <w:r>
        <w:rPr>
          <w:sz w:val="21"/>
          <w:szCs w:val="21"/>
        </w:rPr>
        <w:t xml:space="preserve">19. </w:t>
      </w:r>
      <w:r>
        <w:rPr>
          <w:rFonts w:hint="eastAsia" w:cs="宋体"/>
          <w:sz w:val="21"/>
          <w:szCs w:val="21"/>
        </w:rPr>
        <w:t>缺陷责任与保修责任</w:t>
      </w:r>
      <w:bookmarkEnd w:id="617"/>
      <w:bookmarkEnd w:id="618"/>
      <w:bookmarkEnd w:id="619"/>
      <w:bookmarkEnd w:id="620"/>
      <w:bookmarkEnd w:id="621"/>
    </w:p>
    <w:p>
      <w:pPr>
        <w:pStyle w:val="52"/>
        <w:rPr>
          <w:rFonts w:cs="Times New Roman"/>
          <w:sz w:val="21"/>
          <w:szCs w:val="21"/>
        </w:rPr>
      </w:pPr>
      <w:bookmarkStart w:id="622" w:name="_Toc152045735"/>
      <w:bookmarkStart w:id="623" w:name="_Toc309397413"/>
      <w:bookmarkStart w:id="624" w:name="_Toc152042514"/>
      <w:bookmarkStart w:id="625" w:name="_Toc179632753"/>
      <w:bookmarkStart w:id="626" w:name="_Toc144974706"/>
      <w:r>
        <w:rPr>
          <w:sz w:val="21"/>
          <w:szCs w:val="21"/>
        </w:rPr>
        <w:t xml:space="preserve">19.1 </w:t>
      </w:r>
      <w:r>
        <w:rPr>
          <w:rFonts w:hint="eastAsia" w:cs="黑体"/>
          <w:sz w:val="21"/>
          <w:szCs w:val="21"/>
        </w:rPr>
        <w:t>缺陷责任期的起算时间</w:t>
      </w:r>
      <w:bookmarkEnd w:id="622"/>
      <w:bookmarkEnd w:id="623"/>
      <w:bookmarkEnd w:id="624"/>
      <w:bookmarkEnd w:id="625"/>
      <w:bookmarkEnd w:id="626"/>
    </w:p>
    <w:p>
      <w:pPr>
        <w:spacing w:line="400" w:lineRule="exact"/>
        <w:ind w:firstLine="440" w:firstLineChars="200"/>
        <w:rPr>
          <w:rFonts w:cs="Times New Roman"/>
        </w:rPr>
      </w:pPr>
      <w:r>
        <w:rPr>
          <w:rFonts w:hint="eastAsia"/>
        </w:rPr>
        <w:t>缺陷责任期自实际竣工日期起计算。在全部工程竣工验收前，已经发包人提前验收的单位工程，其缺陷责任期的起算日期相应提前。</w:t>
      </w:r>
    </w:p>
    <w:p>
      <w:pPr>
        <w:pStyle w:val="52"/>
        <w:rPr>
          <w:rFonts w:cs="Times New Roman"/>
          <w:sz w:val="21"/>
          <w:szCs w:val="21"/>
        </w:rPr>
      </w:pPr>
      <w:bookmarkStart w:id="627" w:name="_Toc179632754"/>
      <w:bookmarkStart w:id="628" w:name="_Toc144974707"/>
      <w:bookmarkStart w:id="629" w:name="_Toc309397414"/>
      <w:bookmarkStart w:id="630" w:name="_Toc152045736"/>
      <w:bookmarkStart w:id="631" w:name="_Toc152042515"/>
      <w:r>
        <w:rPr>
          <w:sz w:val="21"/>
          <w:szCs w:val="21"/>
        </w:rPr>
        <w:t xml:space="preserve">19.2 </w:t>
      </w:r>
      <w:r>
        <w:rPr>
          <w:rFonts w:hint="eastAsia" w:cs="黑体"/>
          <w:sz w:val="21"/>
          <w:szCs w:val="21"/>
        </w:rPr>
        <w:t>缺陷责任</w:t>
      </w:r>
      <w:bookmarkEnd w:id="627"/>
      <w:bookmarkEnd w:id="628"/>
      <w:bookmarkEnd w:id="629"/>
      <w:bookmarkEnd w:id="630"/>
      <w:bookmarkEnd w:id="631"/>
    </w:p>
    <w:p>
      <w:pPr>
        <w:spacing w:line="400" w:lineRule="exact"/>
        <w:ind w:firstLine="440" w:firstLineChars="200"/>
        <w:rPr>
          <w:rFonts w:cs="Times New Roman"/>
        </w:rPr>
      </w:pPr>
      <w:r>
        <w:t xml:space="preserve">19.2.1 </w:t>
      </w:r>
      <w:r>
        <w:rPr>
          <w:rFonts w:hint="eastAsia"/>
        </w:rPr>
        <w:t>承包人应在缺陷责任期内对已交付使用的工程承担缺陷责任。</w:t>
      </w:r>
    </w:p>
    <w:p>
      <w:pPr>
        <w:tabs>
          <w:tab w:val="left" w:pos="3193"/>
        </w:tabs>
        <w:spacing w:line="400" w:lineRule="exact"/>
        <w:ind w:firstLine="440" w:firstLineChars="200"/>
        <w:rPr>
          <w:rFonts w:cs="Times New Roman"/>
        </w:rPr>
      </w:pPr>
      <w:r>
        <w:t xml:space="preserve">19.2.2 </w:t>
      </w:r>
      <w:r>
        <w:rPr>
          <w:rFonts w:hint="eastAsia"/>
        </w:rPr>
        <w:t>缺陷责任期内，发包人对已接收使用的工程负责日常维护工作。发包人在使用过程中，发现已接收的工程存在新的缺陷或已修复的缺陷部位或部件又遭损坏的，承包人应负责修复，直至检验合格为止。在缺陷责任期内，承包人应尽快完成在交工验收证书中写明的未完成工作，并完成对本工程缺陷的修复或监理人指令的修补工作。如承包人在收到监理人或业主指令后</w:t>
      </w:r>
      <w:r>
        <w:t>15</w:t>
      </w:r>
      <w:r>
        <w:rPr>
          <w:rFonts w:hint="eastAsia"/>
        </w:rPr>
        <w:t>天内，未对指令内的工程进行修复，业主有权动用质保金进行修复。</w:t>
      </w:r>
    </w:p>
    <w:p>
      <w:pPr>
        <w:spacing w:line="400" w:lineRule="exact"/>
        <w:ind w:firstLine="440" w:firstLineChars="200"/>
        <w:rPr>
          <w:rFonts w:cs="Times New Roman"/>
        </w:rPr>
      </w:pPr>
      <w:r>
        <w:t xml:space="preserve">19.2.3 </w:t>
      </w:r>
      <w:r>
        <w:rPr>
          <w:rFonts w:hint="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cs="Times New Roman"/>
        </w:rPr>
      </w:pPr>
      <w:r>
        <w:t xml:space="preserve">19.2.4 </w:t>
      </w:r>
      <w:r>
        <w:rPr>
          <w:rFonts w:hint="eastAsia"/>
        </w:rPr>
        <w:t>承包人不能在合理时间内修复缺陷的，发包人可自行修复或委托其他人修复，所需费用和利润的承担，按第</w:t>
      </w:r>
      <w:r>
        <w:t>19.2.3</w:t>
      </w:r>
      <w:r>
        <w:rPr>
          <w:rFonts w:hint="eastAsia"/>
        </w:rPr>
        <w:t>项约定办理。</w:t>
      </w:r>
    </w:p>
    <w:p>
      <w:pPr>
        <w:pStyle w:val="52"/>
        <w:rPr>
          <w:rFonts w:cs="Times New Roman"/>
          <w:sz w:val="21"/>
          <w:szCs w:val="21"/>
        </w:rPr>
      </w:pPr>
      <w:bookmarkStart w:id="632" w:name="_Toc152042516"/>
      <w:bookmarkStart w:id="633" w:name="_Toc179632755"/>
      <w:bookmarkStart w:id="634" w:name="_Toc309397415"/>
      <w:bookmarkStart w:id="635" w:name="_Toc144974708"/>
      <w:bookmarkStart w:id="636" w:name="_Toc152045737"/>
      <w:r>
        <w:rPr>
          <w:sz w:val="21"/>
          <w:szCs w:val="21"/>
        </w:rPr>
        <w:t xml:space="preserve">19.3 </w:t>
      </w:r>
      <w:r>
        <w:rPr>
          <w:rFonts w:hint="eastAsia" w:cs="黑体"/>
          <w:sz w:val="21"/>
          <w:szCs w:val="21"/>
        </w:rPr>
        <w:t>缺陷责任期的延长</w:t>
      </w:r>
      <w:bookmarkEnd w:id="632"/>
      <w:bookmarkEnd w:id="633"/>
      <w:bookmarkEnd w:id="634"/>
      <w:bookmarkEnd w:id="635"/>
      <w:bookmarkEnd w:id="636"/>
    </w:p>
    <w:p>
      <w:pPr>
        <w:spacing w:line="400" w:lineRule="exact"/>
        <w:ind w:firstLine="440" w:firstLineChars="200"/>
        <w:rPr>
          <w:rFonts w:cs="Times New Roman"/>
        </w:rPr>
      </w:pPr>
      <w:r>
        <w:rPr>
          <w:rFonts w:hint="eastAsia"/>
        </w:rPr>
        <w:t>由于承包人原因造成某项缺陷或损坏使某项工程或工程设备不能按原定目标使用而需要再次检查、检验和修复的，发包人有权要求承包人相应延长缺陷责任期，但缺陷责任期最长不超过</w:t>
      </w:r>
      <w:r>
        <w:t>2</w:t>
      </w:r>
      <w:r>
        <w:rPr>
          <w:rFonts w:hint="eastAsia"/>
        </w:rPr>
        <w:t>年。</w:t>
      </w:r>
    </w:p>
    <w:p>
      <w:pPr>
        <w:pStyle w:val="52"/>
        <w:rPr>
          <w:rFonts w:cs="Times New Roman"/>
          <w:sz w:val="21"/>
          <w:szCs w:val="21"/>
        </w:rPr>
      </w:pPr>
      <w:bookmarkStart w:id="637" w:name="_Toc152042517"/>
      <w:bookmarkStart w:id="638" w:name="_Toc179632756"/>
      <w:bookmarkStart w:id="639" w:name="_Toc309397416"/>
      <w:bookmarkStart w:id="640" w:name="_Toc144974709"/>
      <w:bookmarkStart w:id="641" w:name="_Toc152045738"/>
      <w:r>
        <w:rPr>
          <w:sz w:val="21"/>
          <w:szCs w:val="21"/>
        </w:rPr>
        <w:t xml:space="preserve">19.4 </w:t>
      </w:r>
      <w:r>
        <w:rPr>
          <w:rFonts w:hint="eastAsia" w:cs="黑体"/>
          <w:sz w:val="21"/>
          <w:szCs w:val="21"/>
        </w:rPr>
        <w:t>进一步试验和试运行</w:t>
      </w:r>
      <w:bookmarkEnd w:id="637"/>
      <w:bookmarkEnd w:id="638"/>
      <w:bookmarkEnd w:id="639"/>
      <w:bookmarkEnd w:id="640"/>
      <w:bookmarkEnd w:id="641"/>
    </w:p>
    <w:p>
      <w:pPr>
        <w:spacing w:line="400" w:lineRule="exact"/>
        <w:ind w:firstLine="440" w:firstLineChars="200"/>
        <w:rPr>
          <w:rFonts w:cs="Times New Roman"/>
        </w:rPr>
      </w:pPr>
      <w:r>
        <w:rPr>
          <w:rFonts w:hint="eastAsia"/>
        </w:rPr>
        <w:t>任何一项缺陷或损坏修复后，经检查证明其影响了工程或工程设备的使用性能，承包人应重新进行合同约定的试验和试运行，试验和试运行的全部费用应由责任方承担。</w:t>
      </w:r>
    </w:p>
    <w:p>
      <w:pPr>
        <w:pStyle w:val="52"/>
        <w:rPr>
          <w:rFonts w:cs="Times New Roman"/>
          <w:sz w:val="21"/>
          <w:szCs w:val="21"/>
        </w:rPr>
      </w:pPr>
      <w:bookmarkStart w:id="642" w:name="_Toc179632757"/>
      <w:bookmarkStart w:id="643" w:name="_Toc152042518"/>
      <w:bookmarkStart w:id="644" w:name="_Toc144974710"/>
      <w:bookmarkStart w:id="645" w:name="_Toc309397417"/>
      <w:bookmarkStart w:id="646" w:name="_Toc152045739"/>
      <w:r>
        <w:rPr>
          <w:sz w:val="21"/>
          <w:szCs w:val="21"/>
        </w:rPr>
        <w:t xml:space="preserve">19.5 </w:t>
      </w:r>
      <w:r>
        <w:rPr>
          <w:rFonts w:hint="eastAsia" w:cs="黑体"/>
          <w:sz w:val="21"/>
          <w:szCs w:val="21"/>
        </w:rPr>
        <w:t>承包人的进入权</w:t>
      </w:r>
      <w:bookmarkEnd w:id="642"/>
      <w:bookmarkEnd w:id="643"/>
      <w:bookmarkEnd w:id="644"/>
      <w:bookmarkEnd w:id="645"/>
      <w:bookmarkEnd w:id="646"/>
    </w:p>
    <w:p>
      <w:pPr>
        <w:spacing w:line="400" w:lineRule="exact"/>
        <w:ind w:firstLine="440" w:firstLineChars="200"/>
        <w:rPr>
          <w:rFonts w:cs="Times New Roman"/>
        </w:rPr>
      </w:pPr>
      <w:r>
        <w:rPr>
          <w:rFonts w:hint="eastAsia"/>
        </w:rPr>
        <w:t>缺陷责任期内承包人为缺陷修复工作需要，有权进入工程现场，但应遵守发包人的保安和保密规定。</w:t>
      </w:r>
    </w:p>
    <w:p>
      <w:pPr>
        <w:pStyle w:val="52"/>
        <w:rPr>
          <w:rFonts w:cs="Times New Roman"/>
          <w:sz w:val="21"/>
          <w:szCs w:val="21"/>
        </w:rPr>
      </w:pPr>
      <w:bookmarkStart w:id="647" w:name="_Toc152045740"/>
      <w:bookmarkStart w:id="648" w:name="_Toc152042519"/>
      <w:bookmarkStart w:id="649" w:name="_Toc144974711"/>
      <w:bookmarkStart w:id="650" w:name="_Toc309397418"/>
      <w:bookmarkStart w:id="651" w:name="_Toc179632758"/>
      <w:r>
        <w:rPr>
          <w:sz w:val="21"/>
          <w:szCs w:val="21"/>
        </w:rPr>
        <w:t xml:space="preserve">19.6 </w:t>
      </w:r>
      <w:r>
        <w:rPr>
          <w:rFonts w:hint="eastAsia" w:cs="黑体"/>
          <w:sz w:val="21"/>
          <w:szCs w:val="21"/>
        </w:rPr>
        <w:t>缺陷责任期终止证书</w:t>
      </w:r>
      <w:bookmarkEnd w:id="647"/>
      <w:bookmarkEnd w:id="648"/>
      <w:bookmarkEnd w:id="649"/>
      <w:bookmarkEnd w:id="650"/>
      <w:bookmarkEnd w:id="651"/>
    </w:p>
    <w:p>
      <w:pPr>
        <w:spacing w:line="400" w:lineRule="exact"/>
        <w:ind w:firstLine="440" w:firstLineChars="200"/>
        <w:rPr>
          <w:rFonts w:cs="Times New Roman"/>
        </w:rPr>
      </w:pPr>
      <w:r>
        <w:rPr>
          <w:rFonts w:hint="eastAsia"/>
        </w:rPr>
        <w:t>在第</w:t>
      </w:r>
      <w:r>
        <w:t>1.1.4.5</w:t>
      </w:r>
      <w:r>
        <w:rPr>
          <w:rFonts w:hint="eastAsia"/>
        </w:rPr>
        <w:t>目约定的缺陷责任期，包括根据第</w:t>
      </w:r>
      <w:r>
        <w:t>19.3</w:t>
      </w:r>
      <w:r>
        <w:rPr>
          <w:rFonts w:hint="eastAsia"/>
        </w:rPr>
        <w:t>款延长的期限终止后</w:t>
      </w:r>
      <w:r>
        <w:t>14</w:t>
      </w:r>
      <w:r>
        <w:rPr>
          <w:rFonts w:hint="eastAsia"/>
        </w:rPr>
        <w:t>天内，由监理人向承包人出具经发包人签认的缺陷责任期终止证书，并退还剩余的质量保证金。</w:t>
      </w:r>
    </w:p>
    <w:p>
      <w:pPr>
        <w:pStyle w:val="52"/>
        <w:rPr>
          <w:rFonts w:cs="Times New Roman"/>
          <w:sz w:val="21"/>
          <w:szCs w:val="21"/>
        </w:rPr>
      </w:pPr>
      <w:bookmarkStart w:id="652" w:name="_Toc144974712"/>
      <w:bookmarkStart w:id="653" w:name="_Toc309397419"/>
      <w:bookmarkStart w:id="654" w:name="_Toc179632759"/>
      <w:bookmarkStart w:id="655" w:name="_Toc152042520"/>
      <w:bookmarkStart w:id="656" w:name="_Toc152045741"/>
      <w:r>
        <w:rPr>
          <w:sz w:val="21"/>
          <w:szCs w:val="21"/>
        </w:rPr>
        <w:t xml:space="preserve">19.7 </w:t>
      </w:r>
      <w:r>
        <w:rPr>
          <w:rFonts w:hint="eastAsia" w:cs="黑体"/>
          <w:sz w:val="21"/>
          <w:szCs w:val="21"/>
        </w:rPr>
        <w:t>保修责任</w:t>
      </w:r>
      <w:bookmarkEnd w:id="652"/>
      <w:bookmarkEnd w:id="653"/>
      <w:bookmarkEnd w:id="654"/>
      <w:bookmarkEnd w:id="655"/>
      <w:bookmarkEnd w:id="656"/>
    </w:p>
    <w:p>
      <w:pPr>
        <w:spacing w:line="400" w:lineRule="exact"/>
        <w:ind w:firstLine="440" w:firstLineChars="200"/>
        <w:rPr>
          <w:rFonts w:cs="Times New Roman"/>
        </w:rPr>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1"/>
        <w:rPr>
          <w:sz w:val="21"/>
          <w:szCs w:val="21"/>
        </w:rPr>
      </w:pPr>
      <w:bookmarkStart w:id="657" w:name="_Toc179632760"/>
      <w:bookmarkStart w:id="658" w:name="_Toc152042521"/>
      <w:bookmarkStart w:id="659" w:name="_Toc152045742"/>
      <w:bookmarkStart w:id="660" w:name="_Toc309397420"/>
      <w:bookmarkStart w:id="661" w:name="_Toc144974713"/>
      <w:r>
        <w:rPr>
          <w:sz w:val="21"/>
          <w:szCs w:val="21"/>
        </w:rPr>
        <w:t xml:space="preserve">20. </w:t>
      </w:r>
      <w:r>
        <w:rPr>
          <w:rFonts w:hint="eastAsia" w:cs="宋体"/>
          <w:sz w:val="21"/>
          <w:szCs w:val="21"/>
        </w:rPr>
        <w:t>保险</w:t>
      </w:r>
      <w:bookmarkEnd w:id="657"/>
      <w:bookmarkEnd w:id="658"/>
      <w:bookmarkEnd w:id="659"/>
      <w:bookmarkEnd w:id="660"/>
      <w:bookmarkEnd w:id="661"/>
    </w:p>
    <w:p>
      <w:pPr>
        <w:pStyle w:val="52"/>
        <w:rPr>
          <w:rFonts w:cs="Times New Roman"/>
          <w:sz w:val="21"/>
          <w:szCs w:val="21"/>
        </w:rPr>
      </w:pPr>
      <w:bookmarkStart w:id="662" w:name="_Toc309397421"/>
      <w:r>
        <w:rPr>
          <w:sz w:val="21"/>
          <w:szCs w:val="21"/>
        </w:rPr>
        <w:t xml:space="preserve">20.1 </w:t>
      </w:r>
      <w:r>
        <w:rPr>
          <w:rFonts w:hint="eastAsia" w:cs="黑体"/>
          <w:sz w:val="21"/>
          <w:szCs w:val="21"/>
        </w:rPr>
        <w:t>工程保险</w:t>
      </w:r>
      <w:bookmarkEnd w:id="662"/>
    </w:p>
    <w:p>
      <w:pPr>
        <w:spacing w:line="380" w:lineRule="exact"/>
        <w:ind w:firstLine="440" w:firstLineChars="200"/>
        <w:rPr>
          <w:rFonts w:cs="Times New Roman"/>
        </w:rPr>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2"/>
        <w:rPr>
          <w:rFonts w:cs="Times New Roman"/>
          <w:sz w:val="21"/>
          <w:szCs w:val="21"/>
        </w:rPr>
      </w:pPr>
      <w:bookmarkStart w:id="663" w:name="_Toc309397422"/>
      <w:r>
        <w:rPr>
          <w:sz w:val="21"/>
          <w:szCs w:val="21"/>
        </w:rPr>
        <w:t xml:space="preserve">20.2 </w:t>
      </w:r>
      <w:r>
        <w:rPr>
          <w:rFonts w:hint="eastAsia" w:cs="黑体"/>
          <w:sz w:val="21"/>
          <w:szCs w:val="21"/>
        </w:rPr>
        <w:t>人员工伤事故的保险</w:t>
      </w:r>
      <w:bookmarkEnd w:id="663"/>
    </w:p>
    <w:p>
      <w:pPr>
        <w:spacing w:line="380" w:lineRule="exact"/>
        <w:ind w:firstLine="440" w:firstLineChars="200"/>
        <w:rPr>
          <w:rFonts w:ascii="黑体" w:eastAsia="黑体" w:cs="Times New Roman"/>
        </w:rPr>
      </w:pPr>
      <w:r>
        <w:t xml:space="preserve">20.2.1 </w:t>
      </w:r>
      <w:r>
        <w:rPr>
          <w:rFonts w:hint="eastAsia" w:ascii="黑体" w:eastAsia="黑体" w:cs="黑体"/>
        </w:rPr>
        <w:t>承包人员工伤事故的保险</w:t>
      </w:r>
    </w:p>
    <w:p>
      <w:pPr>
        <w:spacing w:line="380" w:lineRule="exact"/>
        <w:ind w:firstLine="440" w:firstLineChars="200"/>
        <w:rPr>
          <w:rFonts w:cs="Times New Roman"/>
        </w:rPr>
      </w:pPr>
      <w:r>
        <w:rPr>
          <w:rFonts w:hint="eastAsia"/>
        </w:rPr>
        <w:t>承包人应依照有关法律规定参加工伤保险，为其履行合同所雇佣的全部人员，缴纳工伤保险费，并要求其分包人也进行此项保险。</w:t>
      </w:r>
    </w:p>
    <w:p>
      <w:pPr>
        <w:spacing w:line="380" w:lineRule="exact"/>
        <w:ind w:firstLine="440" w:firstLineChars="200"/>
        <w:rPr>
          <w:rFonts w:ascii="黑体" w:eastAsia="黑体" w:cs="Times New Roman"/>
        </w:rPr>
      </w:pPr>
      <w:r>
        <w:t>20.2.2</w:t>
      </w:r>
      <w:r>
        <w:rPr>
          <w:rFonts w:ascii="黑体" w:eastAsia="黑体" w:cs="黑体"/>
        </w:rPr>
        <w:t xml:space="preserve"> </w:t>
      </w:r>
      <w:r>
        <w:rPr>
          <w:rFonts w:hint="eastAsia" w:ascii="黑体" w:eastAsia="黑体" w:cs="黑体"/>
        </w:rPr>
        <w:t>发包人员工伤事故的保险</w:t>
      </w:r>
    </w:p>
    <w:p>
      <w:pPr>
        <w:spacing w:line="380" w:lineRule="exact"/>
        <w:ind w:firstLine="440" w:firstLineChars="200"/>
        <w:rPr>
          <w:rFonts w:cs="Times New Roman"/>
        </w:rPr>
      </w:pPr>
      <w:r>
        <w:rPr>
          <w:rFonts w:hint="eastAsia"/>
        </w:rPr>
        <w:t>发包人应依照有关法律规定参加工伤保险，为其现场机构雇佣的全部人员，缴纳工伤保险费，并要求其监理人也进行此项保险。</w:t>
      </w:r>
    </w:p>
    <w:p>
      <w:pPr>
        <w:pStyle w:val="52"/>
        <w:rPr>
          <w:rFonts w:cs="Times New Roman"/>
          <w:sz w:val="21"/>
          <w:szCs w:val="21"/>
        </w:rPr>
      </w:pPr>
      <w:bookmarkStart w:id="664" w:name="_Toc309397423"/>
      <w:r>
        <w:rPr>
          <w:sz w:val="21"/>
          <w:szCs w:val="21"/>
        </w:rPr>
        <w:t xml:space="preserve">20.3 </w:t>
      </w:r>
      <w:r>
        <w:rPr>
          <w:rFonts w:hint="eastAsia" w:cs="黑体"/>
          <w:sz w:val="21"/>
          <w:szCs w:val="21"/>
        </w:rPr>
        <w:t>人身意外伤害险</w:t>
      </w:r>
      <w:bookmarkEnd w:id="664"/>
    </w:p>
    <w:p>
      <w:pPr>
        <w:spacing w:line="380" w:lineRule="exact"/>
        <w:ind w:firstLine="440" w:firstLineChars="200"/>
        <w:rPr>
          <w:rFonts w:cs="Times New Roman"/>
        </w:rPr>
      </w:pPr>
      <w:r>
        <w:t xml:space="preserve">20.3.1 </w:t>
      </w:r>
      <w:r>
        <w:rPr>
          <w:rFonts w:hint="eastAsia"/>
        </w:rPr>
        <w:t>发包人应在整个施工期间为其现场机构雇用的全部人员，投保人身意外伤害险，缴纳保险费，并要求其监理人也进行此项保险。</w:t>
      </w:r>
    </w:p>
    <w:p>
      <w:pPr>
        <w:spacing w:line="380" w:lineRule="exact"/>
        <w:ind w:firstLine="440" w:firstLineChars="200"/>
        <w:rPr>
          <w:rFonts w:cs="Times New Roman"/>
        </w:rPr>
      </w:pPr>
      <w:r>
        <w:t xml:space="preserve">20.3.2 </w:t>
      </w:r>
      <w:r>
        <w:rPr>
          <w:rFonts w:hint="eastAsia"/>
        </w:rPr>
        <w:t>承包人应在整个施工期间为其现场机构雇用的全部人员，投保人身意外伤害险，缴纳保险费，并要求其分包人也进行此项保险。</w:t>
      </w:r>
    </w:p>
    <w:p>
      <w:pPr>
        <w:pStyle w:val="52"/>
        <w:rPr>
          <w:rFonts w:cs="Times New Roman"/>
          <w:sz w:val="21"/>
          <w:szCs w:val="21"/>
        </w:rPr>
      </w:pPr>
      <w:bookmarkStart w:id="665" w:name="_Toc179632764"/>
      <w:bookmarkStart w:id="666" w:name="_Toc152042525"/>
      <w:bookmarkStart w:id="667" w:name="_Toc309397424"/>
      <w:bookmarkStart w:id="668" w:name="_Toc152045746"/>
      <w:bookmarkStart w:id="669" w:name="_Toc144974717"/>
      <w:r>
        <w:rPr>
          <w:sz w:val="21"/>
          <w:szCs w:val="21"/>
        </w:rPr>
        <w:t xml:space="preserve">20.4 </w:t>
      </w:r>
      <w:r>
        <w:rPr>
          <w:rFonts w:hint="eastAsia" w:cs="黑体"/>
          <w:sz w:val="21"/>
          <w:szCs w:val="21"/>
        </w:rPr>
        <w:t>第三者责任险</w:t>
      </w:r>
      <w:bookmarkEnd w:id="665"/>
      <w:bookmarkEnd w:id="666"/>
      <w:bookmarkEnd w:id="667"/>
      <w:bookmarkEnd w:id="668"/>
      <w:bookmarkEnd w:id="669"/>
    </w:p>
    <w:p>
      <w:pPr>
        <w:spacing w:line="380" w:lineRule="exact"/>
        <w:ind w:firstLine="440" w:firstLineChars="200"/>
        <w:rPr>
          <w:rFonts w:cs="Times New Roman"/>
        </w:rPr>
      </w:pPr>
      <w:r>
        <w:t xml:space="preserve">20.4.1 </w:t>
      </w:r>
      <w:r>
        <w:rPr>
          <w:rFonts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cs="Times New Roman"/>
        </w:rPr>
      </w:pPr>
      <w:r>
        <w:t xml:space="preserve">20.4.2 </w:t>
      </w:r>
      <w:r>
        <w:rPr>
          <w:rFonts w:hint="eastAsia"/>
        </w:rPr>
        <w:t>在缺陷责任期终止证书颁发前，承包人应以承包人和发包人的共同名义，投保第</w:t>
      </w:r>
      <w:r>
        <w:t>20.4.1</w:t>
      </w:r>
      <w:r>
        <w:rPr>
          <w:rFonts w:hint="eastAsia"/>
        </w:rPr>
        <w:t>项约定的第三者责任险，其保险费率、保险金额等有关内容在专用合同条款中约定。</w:t>
      </w:r>
    </w:p>
    <w:p>
      <w:pPr>
        <w:pStyle w:val="52"/>
        <w:rPr>
          <w:rFonts w:cs="Times New Roman"/>
          <w:sz w:val="21"/>
          <w:szCs w:val="21"/>
        </w:rPr>
      </w:pPr>
      <w:bookmarkStart w:id="670" w:name="_Toc144974718"/>
      <w:bookmarkStart w:id="671" w:name="_Toc152042526"/>
      <w:bookmarkStart w:id="672" w:name="_Toc152045747"/>
      <w:bookmarkStart w:id="673" w:name="_Toc309397425"/>
      <w:bookmarkStart w:id="674" w:name="_Toc179632765"/>
      <w:r>
        <w:rPr>
          <w:sz w:val="21"/>
          <w:szCs w:val="21"/>
        </w:rPr>
        <w:t xml:space="preserve">20.5 </w:t>
      </w:r>
      <w:r>
        <w:rPr>
          <w:rFonts w:hint="eastAsia" w:cs="黑体"/>
          <w:sz w:val="21"/>
          <w:szCs w:val="21"/>
        </w:rPr>
        <w:t>其他保险</w:t>
      </w:r>
      <w:bookmarkEnd w:id="670"/>
      <w:bookmarkEnd w:id="671"/>
      <w:bookmarkEnd w:id="672"/>
      <w:bookmarkEnd w:id="673"/>
      <w:bookmarkEnd w:id="674"/>
    </w:p>
    <w:p>
      <w:pPr>
        <w:spacing w:line="380" w:lineRule="exact"/>
        <w:ind w:firstLine="440" w:firstLineChars="200"/>
        <w:rPr>
          <w:rFonts w:cs="Times New Roman"/>
        </w:rPr>
      </w:pPr>
      <w:r>
        <w:rPr>
          <w:rFonts w:hint="eastAsia"/>
        </w:rPr>
        <w:t>除专用合同条款另有约定外，承包人应为其施工设备、进场的材料和工程设备等办理保险。</w:t>
      </w:r>
    </w:p>
    <w:p>
      <w:pPr>
        <w:pStyle w:val="52"/>
        <w:rPr>
          <w:rFonts w:cs="Times New Roman"/>
          <w:sz w:val="21"/>
          <w:szCs w:val="21"/>
        </w:rPr>
      </w:pPr>
      <w:bookmarkStart w:id="675" w:name="_Toc152045748"/>
      <w:bookmarkStart w:id="676" w:name="_Toc144974719"/>
      <w:bookmarkStart w:id="677" w:name="_Toc152042527"/>
      <w:bookmarkStart w:id="678" w:name="_Toc309397426"/>
      <w:bookmarkStart w:id="679" w:name="_Toc179632766"/>
      <w:r>
        <w:rPr>
          <w:sz w:val="21"/>
          <w:szCs w:val="21"/>
        </w:rPr>
        <w:t xml:space="preserve">20.6 </w:t>
      </w:r>
      <w:r>
        <w:rPr>
          <w:rFonts w:hint="eastAsia" w:cs="黑体"/>
          <w:sz w:val="21"/>
          <w:szCs w:val="21"/>
        </w:rPr>
        <w:t>对各项保险的一般要求</w:t>
      </w:r>
      <w:bookmarkEnd w:id="675"/>
      <w:bookmarkEnd w:id="676"/>
      <w:bookmarkEnd w:id="677"/>
      <w:bookmarkEnd w:id="678"/>
      <w:bookmarkEnd w:id="679"/>
    </w:p>
    <w:p>
      <w:pPr>
        <w:spacing w:line="380" w:lineRule="exact"/>
        <w:ind w:firstLine="440" w:firstLineChars="200"/>
        <w:rPr>
          <w:rFonts w:cs="Times New Roman"/>
        </w:rPr>
      </w:pPr>
      <w:r>
        <w:t xml:space="preserve">20.6.1 </w:t>
      </w:r>
      <w:r>
        <w:rPr>
          <w:rFonts w:hint="eastAsia" w:ascii="黑体" w:eastAsia="黑体" w:cs="黑体"/>
        </w:rPr>
        <w:t>保险凭证</w:t>
      </w:r>
    </w:p>
    <w:p>
      <w:pPr>
        <w:spacing w:line="380" w:lineRule="exact"/>
        <w:ind w:firstLine="440" w:firstLineChars="200"/>
        <w:rPr>
          <w:rFonts w:cs="Times New Roman"/>
        </w:rPr>
      </w:pPr>
      <w:r>
        <w:rPr>
          <w:rFonts w:hint="eastAsia"/>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cs="Times New Roman"/>
        </w:rPr>
      </w:pPr>
      <w:r>
        <w:t xml:space="preserve">20.6.2 </w:t>
      </w:r>
      <w:r>
        <w:rPr>
          <w:rFonts w:hint="eastAsia" w:ascii="黑体" w:eastAsia="黑体" w:cs="黑体"/>
        </w:rPr>
        <w:t>保险合同条款的变动</w:t>
      </w:r>
    </w:p>
    <w:p>
      <w:pPr>
        <w:spacing w:line="380" w:lineRule="exact"/>
        <w:ind w:firstLine="440" w:firstLineChars="200"/>
        <w:rPr>
          <w:rFonts w:cs="Times New Roman"/>
        </w:rPr>
      </w:pPr>
      <w:r>
        <w:rPr>
          <w:rFonts w:hint="eastAsia"/>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cs="Times New Roman"/>
        </w:rPr>
      </w:pPr>
      <w:r>
        <w:t xml:space="preserve">20.6.3 </w:t>
      </w:r>
      <w:r>
        <w:rPr>
          <w:rFonts w:hint="eastAsia" w:ascii="黑体" w:eastAsia="黑体" w:cs="黑体"/>
        </w:rPr>
        <w:t>持续保险</w:t>
      </w:r>
    </w:p>
    <w:p>
      <w:pPr>
        <w:spacing w:line="380" w:lineRule="exact"/>
        <w:ind w:firstLine="440" w:firstLineChars="200"/>
        <w:rPr>
          <w:rFonts w:cs="Times New Roman"/>
        </w:rPr>
      </w:pPr>
      <w:r>
        <w:rPr>
          <w:rFonts w:hint="eastAsia"/>
        </w:rPr>
        <w:t>承包人应与保险人保持联系，使保险人能够随时了解工程实施中的变动，并确保按保险合同条款要求持续保险。</w:t>
      </w:r>
    </w:p>
    <w:p>
      <w:pPr>
        <w:spacing w:line="380" w:lineRule="exact"/>
        <w:ind w:firstLine="440" w:firstLineChars="200"/>
        <w:rPr>
          <w:rFonts w:ascii="黑体" w:eastAsia="黑体" w:cs="Times New Roman"/>
        </w:rPr>
      </w:pPr>
      <w:r>
        <w:t xml:space="preserve">20.6.4 </w:t>
      </w:r>
      <w:r>
        <w:rPr>
          <w:rFonts w:hint="eastAsia" w:ascii="黑体" w:eastAsia="黑体" w:cs="黑体"/>
        </w:rPr>
        <w:t>保险金不足的补偿</w:t>
      </w:r>
    </w:p>
    <w:p>
      <w:pPr>
        <w:spacing w:line="380" w:lineRule="exact"/>
        <w:ind w:firstLine="440" w:firstLineChars="200"/>
        <w:rPr>
          <w:rFonts w:cs="Times New Roman"/>
        </w:rPr>
      </w:pPr>
      <w:r>
        <w:rPr>
          <w:rFonts w:hint="eastAsia"/>
        </w:rPr>
        <w:t>保险金不足以补偿损失的，应由承包人和（或）发包人按合同约定负责补偿。</w:t>
      </w:r>
    </w:p>
    <w:p>
      <w:pPr>
        <w:spacing w:line="380" w:lineRule="exact"/>
        <w:ind w:firstLine="440" w:firstLineChars="200"/>
        <w:rPr>
          <w:rFonts w:ascii="黑体" w:eastAsia="黑体" w:cs="Times New Roman"/>
        </w:rPr>
      </w:pPr>
      <w:r>
        <w:t xml:space="preserve">20.6.5 </w:t>
      </w:r>
      <w:r>
        <w:rPr>
          <w:rFonts w:hint="eastAsia" w:ascii="黑体" w:eastAsia="黑体" w:cs="黑体"/>
        </w:rPr>
        <w:t>未按约定投保的补救</w:t>
      </w:r>
    </w:p>
    <w:p>
      <w:pPr>
        <w:spacing w:line="380" w:lineRule="exact"/>
        <w:ind w:firstLine="440" w:firstLineChars="200"/>
        <w:rPr>
          <w:rFonts w:ascii="黑体" w:eastAsia="黑体" w:cs="Times New Roman"/>
        </w:rPr>
      </w:pPr>
      <w:r>
        <w:rPr>
          <w:rFonts w:hint="eastAsia"/>
        </w:rPr>
        <w:t>（</w:t>
      </w:r>
      <w:r>
        <w:t>1</w:t>
      </w:r>
      <w:r>
        <w:rPr>
          <w:rFonts w:hint="eastAsia"/>
        </w:rPr>
        <w:t>）由于负有投保义务的一方当事人未按合同约定办理保险，或未能使保险持续有效的，另一方当事人可代为办理，所需费用由对方当事人承担。</w:t>
      </w:r>
    </w:p>
    <w:p>
      <w:pPr>
        <w:spacing w:line="380" w:lineRule="exact"/>
        <w:ind w:firstLine="440" w:firstLineChars="200"/>
        <w:rPr>
          <w:rFonts w:cs="Times New Roman"/>
        </w:rPr>
      </w:pPr>
      <w:r>
        <w:rPr>
          <w:rFonts w:hint="eastAsia"/>
        </w:rPr>
        <w:t>（</w:t>
      </w:r>
      <w:r>
        <w:t>2</w:t>
      </w:r>
      <w:r>
        <w:rPr>
          <w:rFonts w:hint="eastAsia"/>
        </w:rPr>
        <w:t>）由于负有投保义务的一方当事人未按合同约定办理某项保险，导致受益人未能得到保险人的赔偿，原应从该项保险得到的保险金应由负有投保义务的一方当事人支付。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黑体" w:eastAsia="黑体" w:cs="Times New Roman"/>
        </w:rPr>
      </w:pPr>
      <w:r>
        <w:t xml:space="preserve">20.6.6 </w:t>
      </w:r>
      <w:r>
        <w:rPr>
          <w:rFonts w:hint="eastAsia" w:ascii="黑体" w:eastAsia="黑体" w:cs="黑体"/>
        </w:rPr>
        <w:t>报告义务</w:t>
      </w:r>
    </w:p>
    <w:p>
      <w:pPr>
        <w:spacing w:line="400" w:lineRule="exact"/>
        <w:ind w:firstLine="440" w:firstLineChars="200"/>
        <w:rPr>
          <w:rFonts w:cs="Times New Roman"/>
        </w:rPr>
      </w:pPr>
      <w:r>
        <w:rPr>
          <w:rFonts w:hint="eastAsia"/>
        </w:rPr>
        <w:t>当保险事故发生时，投保人应按照保险单规定的条件和期限及时向保险人报告。</w:t>
      </w:r>
    </w:p>
    <w:p>
      <w:pPr>
        <w:pStyle w:val="51"/>
        <w:rPr>
          <w:sz w:val="21"/>
          <w:szCs w:val="21"/>
        </w:rPr>
      </w:pPr>
      <w:bookmarkStart w:id="680" w:name="_Toc179632767"/>
      <w:bookmarkStart w:id="681" w:name="_Toc309397427"/>
      <w:bookmarkStart w:id="682" w:name="_Toc152042528"/>
      <w:bookmarkStart w:id="683" w:name="_Toc144974720"/>
      <w:bookmarkStart w:id="684" w:name="_Toc152045749"/>
      <w:r>
        <w:rPr>
          <w:sz w:val="21"/>
          <w:szCs w:val="21"/>
        </w:rPr>
        <w:t xml:space="preserve">21. </w:t>
      </w:r>
      <w:r>
        <w:rPr>
          <w:rFonts w:hint="eastAsia" w:cs="宋体"/>
          <w:sz w:val="21"/>
          <w:szCs w:val="21"/>
        </w:rPr>
        <w:t>不可抗力</w:t>
      </w:r>
      <w:bookmarkEnd w:id="680"/>
      <w:bookmarkEnd w:id="681"/>
      <w:bookmarkEnd w:id="682"/>
      <w:bookmarkEnd w:id="683"/>
      <w:bookmarkEnd w:id="684"/>
    </w:p>
    <w:p>
      <w:pPr>
        <w:pStyle w:val="52"/>
        <w:rPr>
          <w:rFonts w:cs="Times New Roman"/>
          <w:sz w:val="21"/>
          <w:szCs w:val="21"/>
        </w:rPr>
      </w:pPr>
      <w:bookmarkStart w:id="685" w:name="_Toc179632768"/>
      <w:bookmarkStart w:id="686" w:name="_Toc152042529"/>
      <w:bookmarkStart w:id="687" w:name="_Toc309397428"/>
      <w:bookmarkStart w:id="688" w:name="_Toc152045750"/>
      <w:bookmarkStart w:id="689" w:name="_Toc144974721"/>
      <w:r>
        <w:rPr>
          <w:sz w:val="21"/>
          <w:szCs w:val="21"/>
        </w:rPr>
        <w:t xml:space="preserve">21.1 </w:t>
      </w:r>
      <w:r>
        <w:rPr>
          <w:rFonts w:hint="eastAsia" w:cs="黑体"/>
          <w:sz w:val="21"/>
          <w:szCs w:val="21"/>
        </w:rPr>
        <w:t>不可抗力的确认</w:t>
      </w:r>
      <w:bookmarkEnd w:id="685"/>
      <w:bookmarkEnd w:id="686"/>
      <w:bookmarkEnd w:id="687"/>
      <w:bookmarkEnd w:id="688"/>
      <w:bookmarkEnd w:id="689"/>
    </w:p>
    <w:p>
      <w:pPr>
        <w:spacing w:line="400" w:lineRule="exact"/>
        <w:ind w:firstLine="440" w:firstLineChars="200"/>
        <w:rPr>
          <w:rFonts w:cs="Times New Roman"/>
        </w:rPr>
      </w:pPr>
      <w:r>
        <w:t xml:space="preserve">21.1.1 </w:t>
      </w:r>
      <w:r>
        <w:rPr>
          <w:rFonts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cs="Times New Roman"/>
        </w:rPr>
      </w:pPr>
      <w:r>
        <w:t xml:space="preserve">21.1.2 </w:t>
      </w:r>
      <w:r>
        <w:rPr>
          <w:rFonts w:hint="eastAsia"/>
        </w:rPr>
        <w:t>不可抗力发生后，发包人和承包人应及时认真统计所造成的损失，收集不可抗力造成损失的证据。合同双方对是否属于不可抗力或其损失的意见不一致的，由监理人按第</w:t>
      </w:r>
      <w:r>
        <w:t>3.5</w:t>
      </w:r>
      <w:r>
        <w:rPr>
          <w:rFonts w:hint="eastAsia"/>
        </w:rPr>
        <w:t>款商定或确定。发生争议时，按第</w:t>
      </w:r>
      <w:r>
        <w:t>24</w:t>
      </w:r>
      <w:r>
        <w:rPr>
          <w:rFonts w:hint="eastAsia"/>
        </w:rPr>
        <w:t>条的约定办理。</w:t>
      </w:r>
    </w:p>
    <w:p>
      <w:pPr>
        <w:pStyle w:val="52"/>
        <w:rPr>
          <w:rFonts w:cs="Times New Roman"/>
          <w:sz w:val="21"/>
          <w:szCs w:val="21"/>
        </w:rPr>
      </w:pPr>
      <w:bookmarkStart w:id="690" w:name="_Toc152042530"/>
      <w:bookmarkStart w:id="691" w:name="_Toc179632769"/>
      <w:bookmarkStart w:id="692" w:name="_Toc309397429"/>
      <w:bookmarkStart w:id="693" w:name="_Toc152045751"/>
      <w:bookmarkStart w:id="694" w:name="_Toc144974722"/>
      <w:r>
        <w:rPr>
          <w:sz w:val="21"/>
          <w:szCs w:val="21"/>
        </w:rPr>
        <w:t xml:space="preserve">21.2 </w:t>
      </w:r>
      <w:r>
        <w:rPr>
          <w:rFonts w:hint="eastAsia" w:cs="黑体"/>
          <w:sz w:val="21"/>
          <w:szCs w:val="21"/>
        </w:rPr>
        <w:t>不可抗力的通知</w:t>
      </w:r>
      <w:bookmarkEnd w:id="690"/>
      <w:bookmarkEnd w:id="691"/>
      <w:bookmarkEnd w:id="692"/>
      <w:bookmarkEnd w:id="693"/>
      <w:bookmarkEnd w:id="694"/>
    </w:p>
    <w:p>
      <w:pPr>
        <w:spacing w:line="400" w:lineRule="exact"/>
        <w:ind w:firstLine="440" w:firstLineChars="200"/>
        <w:rPr>
          <w:rFonts w:cs="Times New Roman"/>
        </w:rPr>
      </w:pPr>
      <w:r>
        <w:t xml:space="preserve">21.2.1 </w:t>
      </w:r>
      <w:r>
        <w:rPr>
          <w:rFonts w:hint="eastAsia"/>
        </w:rPr>
        <w:t>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cs="Times New Roman"/>
        </w:rPr>
      </w:pPr>
      <w:r>
        <w:t xml:space="preserve">21.2.2 </w:t>
      </w:r>
      <w:r>
        <w:rPr>
          <w:rFonts w:hint="eastAsia"/>
        </w:rPr>
        <w:t>如不可抗力持续发生，合同一方当事人应及时向合同另一方当事人和监理人提交中间报告，说明不可抗力和履行合同受阻的情况，并于不可抗力事件结束后</w:t>
      </w:r>
      <w:r>
        <w:t>28</w:t>
      </w:r>
      <w:r>
        <w:rPr>
          <w:rFonts w:hint="eastAsia"/>
        </w:rPr>
        <w:t>天内提交最终报告及有关资料。</w:t>
      </w:r>
    </w:p>
    <w:p>
      <w:pPr>
        <w:pStyle w:val="52"/>
        <w:rPr>
          <w:rFonts w:cs="Times New Roman"/>
          <w:sz w:val="21"/>
          <w:szCs w:val="21"/>
        </w:rPr>
      </w:pPr>
      <w:bookmarkStart w:id="695" w:name="_Toc179632770"/>
      <w:bookmarkStart w:id="696" w:name="_Toc144974723"/>
      <w:bookmarkStart w:id="697" w:name="_Toc152042531"/>
      <w:bookmarkStart w:id="698" w:name="_Toc309397430"/>
      <w:bookmarkStart w:id="699" w:name="_Toc152045752"/>
      <w:r>
        <w:rPr>
          <w:sz w:val="21"/>
          <w:szCs w:val="21"/>
        </w:rPr>
        <w:t xml:space="preserve">21.3 </w:t>
      </w:r>
      <w:r>
        <w:rPr>
          <w:rFonts w:hint="eastAsia" w:cs="黑体"/>
          <w:sz w:val="21"/>
          <w:szCs w:val="21"/>
        </w:rPr>
        <w:t>不可抗力后果及其处理</w:t>
      </w:r>
      <w:bookmarkEnd w:id="695"/>
      <w:bookmarkEnd w:id="696"/>
      <w:bookmarkEnd w:id="697"/>
      <w:bookmarkEnd w:id="698"/>
      <w:bookmarkEnd w:id="699"/>
    </w:p>
    <w:p>
      <w:pPr>
        <w:spacing w:line="380" w:lineRule="exact"/>
        <w:ind w:firstLine="440" w:firstLineChars="200"/>
        <w:rPr>
          <w:rFonts w:cs="Times New Roman"/>
        </w:rPr>
      </w:pPr>
      <w:r>
        <w:t xml:space="preserve">21.3.1 </w:t>
      </w:r>
      <w:r>
        <w:rPr>
          <w:rFonts w:hint="eastAsia" w:ascii="黑体" w:eastAsia="黑体" w:cs="黑体"/>
        </w:rPr>
        <w:t>不可抗力造成损害的责任</w:t>
      </w:r>
    </w:p>
    <w:p>
      <w:pPr>
        <w:spacing w:line="400" w:lineRule="exact"/>
        <w:ind w:firstLine="440" w:firstLineChars="200"/>
        <w:rPr>
          <w:rFonts w:cs="Times New Roman"/>
        </w:rPr>
      </w:pPr>
      <w:r>
        <w:rPr>
          <w:rFonts w:hint="eastAsia"/>
        </w:rPr>
        <w:t>除专用合同条款另有约定外，不可抗力导致的人员伤亡、财产损失、费用增加和（或）工期延误等后果，由合同双方按以下原则承担：</w:t>
      </w:r>
    </w:p>
    <w:p>
      <w:pPr>
        <w:spacing w:line="400" w:lineRule="exact"/>
        <w:ind w:firstLine="440" w:firstLineChars="200"/>
        <w:rPr>
          <w:rFonts w:cs="Times New Roman"/>
        </w:rPr>
      </w:pPr>
      <w:r>
        <w:rPr>
          <w:rFonts w:hint="eastAsia"/>
        </w:rPr>
        <w:t>（</w:t>
      </w:r>
      <w:r>
        <w:t>1</w:t>
      </w:r>
      <w:r>
        <w:rPr>
          <w:rFonts w:hint="eastAsia"/>
        </w:rPr>
        <w:t>）永久工程，包括已运至施工场地的材料和工程设备的损害，以及因工程损害造成的第三者人员伤亡和财产损失由发包人承担；</w:t>
      </w:r>
    </w:p>
    <w:p>
      <w:pPr>
        <w:spacing w:line="400" w:lineRule="exact"/>
        <w:ind w:firstLine="440" w:firstLineChars="200"/>
        <w:rPr>
          <w:rFonts w:cs="Times New Roman"/>
        </w:rPr>
      </w:pPr>
      <w:r>
        <w:rPr>
          <w:rFonts w:hint="eastAsia"/>
        </w:rPr>
        <w:t>（</w:t>
      </w:r>
      <w:r>
        <w:t>2</w:t>
      </w:r>
      <w:r>
        <w:rPr>
          <w:rFonts w:hint="eastAsia"/>
        </w:rPr>
        <w:t>）承包人设备的损坏由承包人承担；</w:t>
      </w:r>
    </w:p>
    <w:p>
      <w:pPr>
        <w:spacing w:line="400" w:lineRule="exact"/>
        <w:ind w:firstLine="440" w:firstLineChars="200"/>
        <w:rPr>
          <w:rFonts w:cs="Times New Roman"/>
        </w:rPr>
      </w:pPr>
      <w:r>
        <w:rPr>
          <w:rFonts w:hint="eastAsia"/>
        </w:rPr>
        <w:t>（</w:t>
      </w:r>
      <w:r>
        <w:t>3</w:t>
      </w:r>
      <w:r>
        <w:rPr>
          <w:rFonts w:hint="eastAsia"/>
        </w:rPr>
        <w:t>）发包人和承包人各自承担其人员伤亡和其他财产损失及其相关费用；</w:t>
      </w:r>
    </w:p>
    <w:p>
      <w:pPr>
        <w:spacing w:line="400" w:lineRule="exact"/>
        <w:ind w:firstLine="440" w:firstLineChars="200"/>
        <w:rPr>
          <w:rFonts w:cs="Times New Roman"/>
        </w:rPr>
      </w:pPr>
      <w:r>
        <w:rPr>
          <w:rFonts w:hint="eastAsia"/>
        </w:rPr>
        <w:t>（</w:t>
      </w:r>
      <w:r>
        <w:t>4</w:t>
      </w:r>
      <w:r>
        <w:rPr>
          <w:rFonts w:hint="eastAsia"/>
        </w:rPr>
        <w:t>）承包人的停工损失由承包人承担，但停工期间应监理人要求照管工程和清理、修复工程的金额由发包人承担；</w:t>
      </w:r>
    </w:p>
    <w:p>
      <w:pPr>
        <w:spacing w:line="400" w:lineRule="exact"/>
        <w:ind w:firstLine="440" w:firstLineChars="200"/>
        <w:rPr>
          <w:rFonts w:cs="Times New Roman"/>
        </w:rPr>
      </w:pPr>
      <w:r>
        <w:rPr>
          <w:rFonts w:hint="eastAsia"/>
        </w:rPr>
        <w:t>（</w:t>
      </w:r>
      <w:r>
        <w:t>5</w:t>
      </w:r>
      <w:r>
        <w:rPr>
          <w:rFonts w:hint="eastAsia"/>
        </w:rPr>
        <w:t>）不能按期竣工的，应合理延长工期，承包人不需支付逾期竣工违约金。发包人要求赶工的，承包人应采取赶工措施，赶工费用由发包人承担。</w:t>
      </w:r>
    </w:p>
    <w:p>
      <w:pPr>
        <w:spacing w:line="400" w:lineRule="exact"/>
        <w:ind w:firstLine="440" w:firstLineChars="200"/>
        <w:rPr>
          <w:rFonts w:cs="Times New Roman"/>
        </w:rPr>
      </w:pPr>
      <w:r>
        <w:t xml:space="preserve">21.3.2 </w:t>
      </w:r>
      <w:r>
        <w:rPr>
          <w:rFonts w:hint="eastAsia" w:ascii="黑体" w:eastAsia="黑体" w:cs="黑体"/>
        </w:rPr>
        <w:t>延迟履行期间发生的不可抗力</w:t>
      </w:r>
    </w:p>
    <w:p>
      <w:pPr>
        <w:spacing w:line="400" w:lineRule="exact"/>
        <w:ind w:firstLine="440" w:firstLineChars="200"/>
        <w:rPr>
          <w:rFonts w:cs="Times New Roman"/>
        </w:rPr>
      </w:pPr>
      <w:r>
        <w:rPr>
          <w:rFonts w:hint="eastAsia"/>
        </w:rPr>
        <w:t>合同一方当事人延迟履行，在延迟履行期间发生不可抗力的，不免除其责任。</w:t>
      </w:r>
    </w:p>
    <w:p>
      <w:pPr>
        <w:spacing w:line="400" w:lineRule="exact"/>
        <w:ind w:firstLine="440" w:firstLineChars="200"/>
        <w:rPr>
          <w:rFonts w:cs="Times New Roman"/>
        </w:rPr>
      </w:pPr>
      <w:r>
        <w:t xml:space="preserve">21.3.3 </w:t>
      </w:r>
      <w:r>
        <w:rPr>
          <w:rFonts w:hint="eastAsia" w:ascii="黑体" w:eastAsia="黑体" w:cs="黑体"/>
        </w:rPr>
        <w:t>避免和减少不可抗力损失</w:t>
      </w:r>
    </w:p>
    <w:p>
      <w:pPr>
        <w:spacing w:line="400" w:lineRule="exact"/>
        <w:ind w:firstLine="440" w:firstLineChars="200"/>
        <w:rPr>
          <w:rFonts w:cs="Times New Roman"/>
        </w:rPr>
      </w:pPr>
      <w:r>
        <w:rPr>
          <w:rFonts w:hint="eastAsia"/>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cs="Times New Roman"/>
        </w:rPr>
      </w:pPr>
      <w:r>
        <w:t xml:space="preserve">21.3.4 </w:t>
      </w:r>
      <w:r>
        <w:rPr>
          <w:rFonts w:hint="eastAsia" w:ascii="黑体" w:eastAsia="黑体" w:cs="黑体"/>
        </w:rPr>
        <w:t>因不可抗力解除合同</w:t>
      </w:r>
    </w:p>
    <w:p>
      <w:pPr>
        <w:spacing w:line="400" w:lineRule="exact"/>
        <w:ind w:firstLine="440" w:firstLineChars="200"/>
        <w:rPr>
          <w:rFonts w:cs="Times New Roman"/>
        </w:rPr>
      </w:pPr>
      <w:r>
        <w:rPr>
          <w:rFonts w:hint="eastAsia"/>
        </w:rPr>
        <w:t>合同一方当事人因不可抗力不能履行合同的，应当及时通知对方解除合同。合同解除后，承包人应按照第</w:t>
      </w:r>
      <w:r>
        <w:t>22.2.5</w:t>
      </w:r>
      <w:r>
        <w:rPr>
          <w:rFonts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t>22.2.4</w:t>
      </w:r>
      <w:r>
        <w:rPr>
          <w:rFonts w:hint="eastAsia"/>
        </w:rPr>
        <w:t>项约定，由监理人按第</w:t>
      </w:r>
      <w:r>
        <w:t>3.5</w:t>
      </w:r>
      <w:r>
        <w:rPr>
          <w:rFonts w:hint="eastAsia"/>
        </w:rPr>
        <w:t>款商定或确定。</w:t>
      </w:r>
    </w:p>
    <w:p>
      <w:pPr>
        <w:pStyle w:val="51"/>
        <w:rPr>
          <w:sz w:val="21"/>
          <w:szCs w:val="21"/>
        </w:rPr>
      </w:pPr>
      <w:bookmarkStart w:id="700" w:name="_Toc144974724"/>
      <w:bookmarkStart w:id="701" w:name="_Toc179632771"/>
      <w:bookmarkStart w:id="702" w:name="_Toc152042532"/>
      <w:bookmarkStart w:id="703" w:name="_Toc152045753"/>
      <w:bookmarkStart w:id="704" w:name="_Toc309397431"/>
      <w:r>
        <w:rPr>
          <w:sz w:val="21"/>
          <w:szCs w:val="21"/>
        </w:rPr>
        <w:t xml:space="preserve">22. </w:t>
      </w:r>
      <w:r>
        <w:rPr>
          <w:rFonts w:hint="eastAsia" w:cs="宋体"/>
          <w:sz w:val="21"/>
          <w:szCs w:val="21"/>
        </w:rPr>
        <w:t>违约</w:t>
      </w:r>
      <w:bookmarkEnd w:id="700"/>
      <w:bookmarkEnd w:id="701"/>
      <w:bookmarkEnd w:id="702"/>
      <w:bookmarkEnd w:id="703"/>
      <w:bookmarkEnd w:id="704"/>
    </w:p>
    <w:p>
      <w:pPr>
        <w:pStyle w:val="52"/>
        <w:rPr>
          <w:rFonts w:cs="Times New Roman"/>
          <w:sz w:val="21"/>
          <w:szCs w:val="21"/>
        </w:rPr>
      </w:pPr>
      <w:bookmarkStart w:id="705" w:name="_Toc144974725"/>
      <w:bookmarkStart w:id="706" w:name="_Toc179632772"/>
      <w:bookmarkStart w:id="707" w:name="_Toc309397432"/>
      <w:bookmarkStart w:id="708" w:name="_Toc152042533"/>
      <w:bookmarkStart w:id="709" w:name="_Toc152045754"/>
      <w:r>
        <w:rPr>
          <w:sz w:val="21"/>
          <w:szCs w:val="21"/>
        </w:rPr>
        <w:t xml:space="preserve">22.1 </w:t>
      </w:r>
      <w:r>
        <w:rPr>
          <w:rFonts w:hint="eastAsia" w:cs="黑体"/>
          <w:sz w:val="21"/>
          <w:szCs w:val="21"/>
        </w:rPr>
        <w:t>承包人违约</w:t>
      </w:r>
      <w:bookmarkEnd w:id="705"/>
      <w:bookmarkEnd w:id="706"/>
      <w:bookmarkEnd w:id="707"/>
      <w:bookmarkEnd w:id="708"/>
      <w:bookmarkEnd w:id="709"/>
    </w:p>
    <w:p>
      <w:pPr>
        <w:spacing w:line="400" w:lineRule="exact"/>
        <w:ind w:firstLine="440" w:firstLineChars="200"/>
        <w:rPr>
          <w:rFonts w:cs="Times New Roman"/>
        </w:rPr>
      </w:pPr>
      <w:r>
        <w:t>22.1.1</w:t>
      </w:r>
      <w:r>
        <w:rPr>
          <w:rFonts w:ascii="黑体" w:eastAsia="黑体" w:cs="黑体"/>
        </w:rPr>
        <w:t xml:space="preserve"> </w:t>
      </w:r>
      <w:r>
        <w:rPr>
          <w:rFonts w:hint="eastAsia" w:ascii="黑体" w:eastAsia="黑体" w:cs="黑体"/>
        </w:rPr>
        <w:t>承包人违约的情形</w:t>
      </w:r>
    </w:p>
    <w:p>
      <w:pPr>
        <w:spacing w:line="400" w:lineRule="exact"/>
        <w:ind w:firstLine="440" w:firstLineChars="200"/>
        <w:rPr>
          <w:rFonts w:cs="Times New Roman"/>
        </w:rPr>
      </w:pPr>
      <w:r>
        <w:rPr>
          <w:rFonts w:hint="eastAsia"/>
        </w:rPr>
        <w:t>在履行合同过程中发生的下列情况属承包人违约：</w:t>
      </w:r>
    </w:p>
    <w:p>
      <w:pPr>
        <w:spacing w:line="400" w:lineRule="exact"/>
        <w:ind w:firstLine="440" w:firstLineChars="200"/>
        <w:rPr>
          <w:rFonts w:cs="Times New Roman"/>
        </w:rPr>
      </w:pPr>
      <w:r>
        <w:rPr>
          <w:rFonts w:hint="eastAsia"/>
        </w:rPr>
        <w:t>（</w:t>
      </w:r>
      <w:r>
        <w:t>1</w:t>
      </w:r>
      <w:r>
        <w:rPr>
          <w:rFonts w:hint="eastAsia"/>
        </w:rPr>
        <w:t>）承包人违反第</w:t>
      </w:r>
      <w:r>
        <w:t>1.8</w:t>
      </w:r>
      <w:r>
        <w:rPr>
          <w:rFonts w:hint="eastAsia"/>
        </w:rPr>
        <w:t>款或第</w:t>
      </w:r>
      <w:r>
        <w:t>4.3</w:t>
      </w:r>
      <w:r>
        <w:rPr>
          <w:rFonts w:hint="eastAsia"/>
        </w:rPr>
        <w:t>款的约定，私自将合同的全部或部分权利转让给其他人，或私自将合同的全部或部分义务转移给其他人；</w:t>
      </w:r>
    </w:p>
    <w:p>
      <w:pPr>
        <w:spacing w:line="400" w:lineRule="exact"/>
        <w:ind w:firstLine="440" w:firstLineChars="200"/>
        <w:rPr>
          <w:rFonts w:cs="Times New Roman"/>
        </w:rPr>
      </w:pPr>
      <w:r>
        <w:rPr>
          <w:rFonts w:hint="eastAsia"/>
        </w:rPr>
        <w:t>（</w:t>
      </w:r>
      <w:r>
        <w:t>2</w:t>
      </w:r>
      <w:r>
        <w:rPr>
          <w:rFonts w:hint="eastAsia"/>
        </w:rPr>
        <w:t>）承包人违反第</w:t>
      </w:r>
      <w:r>
        <w:t>5.3</w:t>
      </w:r>
      <w:r>
        <w:rPr>
          <w:rFonts w:hint="eastAsia"/>
        </w:rPr>
        <w:t>款或第</w:t>
      </w:r>
      <w:r>
        <w:t>6.4</w:t>
      </w:r>
      <w:r>
        <w:rPr>
          <w:rFonts w:hint="eastAsia"/>
        </w:rPr>
        <w:t>款的约定，未经监理人批准，私自将已按合同约定进入施工场地的施工设备、临时设施或材料撤离施工场地；</w:t>
      </w:r>
    </w:p>
    <w:p>
      <w:pPr>
        <w:spacing w:line="400" w:lineRule="exact"/>
        <w:ind w:firstLine="440" w:firstLineChars="200"/>
        <w:rPr>
          <w:rFonts w:cs="Times New Roman"/>
        </w:rPr>
      </w:pPr>
      <w:r>
        <w:rPr>
          <w:rFonts w:hint="eastAsia"/>
        </w:rPr>
        <w:t>（</w:t>
      </w:r>
      <w:r>
        <w:t>3</w:t>
      </w:r>
      <w:r>
        <w:rPr>
          <w:rFonts w:hint="eastAsia"/>
        </w:rPr>
        <w:t>）承包人违反第</w:t>
      </w:r>
      <w:r>
        <w:t>5.4</w:t>
      </w:r>
      <w:r>
        <w:rPr>
          <w:rFonts w:hint="eastAsia"/>
        </w:rPr>
        <w:t>款的约定使用了不合格材料或工程设备，工程质量达不到标准要求，又拒绝清除不合格工程；</w:t>
      </w:r>
    </w:p>
    <w:p>
      <w:pPr>
        <w:spacing w:line="400" w:lineRule="exact"/>
        <w:ind w:firstLine="440" w:firstLineChars="200"/>
        <w:rPr>
          <w:rFonts w:cs="Times New Roman"/>
        </w:rPr>
      </w:pPr>
      <w:r>
        <w:rPr>
          <w:rFonts w:hint="eastAsia"/>
        </w:rPr>
        <w:t>（</w:t>
      </w:r>
      <w:r>
        <w:t>4</w:t>
      </w:r>
      <w:r>
        <w:rPr>
          <w:rFonts w:hint="eastAsia"/>
        </w:rPr>
        <w:t>）承包人未能按合同进度计划及时完成合同约定的工作，已造成或预期造成工期延误；</w:t>
      </w:r>
    </w:p>
    <w:p>
      <w:pPr>
        <w:spacing w:line="400" w:lineRule="exact"/>
        <w:ind w:firstLine="440" w:firstLineChars="200"/>
        <w:rPr>
          <w:rFonts w:cs="Times New Roman"/>
        </w:rPr>
      </w:pPr>
      <w:r>
        <w:rPr>
          <w:rFonts w:hint="eastAsia"/>
        </w:rPr>
        <w:t>（</w:t>
      </w:r>
      <w:r>
        <w:t>5</w:t>
      </w:r>
      <w:r>
        <w:rPr>
          <w:rFonts w:hint="eastAsia"/>
        </w:rPr>
        <w:t>）承包人在缺陷责任期内，未能对工程接收证书所列的缺陷清单的内容或缺陷责任期内发生的缺陷进行修复，而又拒绝按监理人指示再进行修补；</w:t>
      </w:r>
    </w:p>
    <w:p>
      <w:pPr>
        <w:spacing w:line="400" w:lineRule="exact"/>
        <w:ind w:firstLine="440" w:firstLineChars="200"/>
        <w:rPr>
          <w:rFonts w:cs="Times New Roman"/>
        </w:rPr>
      </w:pPr>
      <w:r>
        <w:rPr>
          <w:rFonts w:hint="eastAsia"/>
        </w:rPr>
        <w:t>（</w:t>
      </w:r>
      <w:r>
        <w:t>6</w:t>
      </w:r>
      <w:r>
        <w:rPr>
          <w:rFonts w:hint="eastAsia"/>
        </w:rPr>
        <w:t>）承包人无法继续履行或明确表示不履行或实质上已停止履行合同；</w:t>
      </w:r>
    </w:p>
    <w:p>
      <w:pPr>
        <w:spacing w:line="400" w:lineRule="exact"/>
        <w:ind w:firstLine="440" w:firstLineChars="200"/>
        <w:rPr>
          <w:rFonts w:cs="Times New Roman"/>
        </w:rPr>
      </w:pPr>
      <w:r>
        <w:rPr>
          <w:rFonts w:hint="eastAsia"/>
        </w:rPr>
        <w:t>（</w:t>
      </w:r>
      <w:r>
        <w:t>7</w:t>
      </w:r>
      <w:r>
        <w:rPr>
          <w:rFonts w:hint="eastAsia"/>
        </w:rPr>
        <w:t>）承包人不按合同约定履行义务的其他情况。</w:t>
      </w:r>
    </w:p>
    <w:p>
      <w:pPr>
        <w:spacing w:line="400" w:lineRule="exact"/>
        <w:ind w:firstLine="440" w:firstLineChars="200"/>
        <w:rPr>
          <w:rFonts w:ascii="黑体" w:eastAsia="黑体" w:cs="Times New Roman"/>
        </w:rPr>
      </w:pPr>
      <w:r>
        <w:t>22.1.2</w:t>
      </w:r>
      <w:r>
        <w:rPr>
          <w:rFonts w:ascii="黑体" w:eastAsia="黑体" w:cs="黑体"/>
        </w:rPr>
        <w:t xml:space="preserve"> </w:t>
      </w:r>
      <w:r>
        <w:rPr>
          <w:rFonts w:hint="eastAsia" w:ascii="黑体" w:eastAsia="黑体" w:cs="黑体"/>
        </w:rPr>
        <w:t>对承包人违约的处理</w:t>
      </w:r>
    </w:p>
    <w:p>
      <w:pPr>
        <w:spacing w:line="400" w:lineRule="exact"/>
        <w:ind w:firstLine="440" w:firstLineChars="200"/>
        <w:rPr>
          <w:rFonts w:cs="Times New Roman"/>
        </w:rPr>
      </w:pPr>
      <w:r>
        <w:rPr>
          <w:rFonts w:hint="eastAsia"/>
        </w:rPr>
        <w:t>（</w:t>
      </w:r>
      <w:r>
        <w:t>1</w:t>
      </w:r>
      <w:r>
        <w:rPr>
          <w:rFonts w:hint="eastAsia"/>
        </w:rPr>
        <w:t>）承包人发生第</w:t>
      </w:r>
      <w:r>
        <w:t>22.1.1</w:t>
      </w:r>
      <w:r>
        <w:rPr>
          <w:rFonts w:hint="eastAsia"/>
        </w:rPr>
        <w:t>（</w:t>
      </w:r>
      <w:r>
        <w:t>6</w:t>
      </w:r>
      <w:r>
        <w:rPr>
          <w:rFonts w:hint="eastAsia"/>
        </w:rPr>
        <w:t>）目约定的违约情况时，发包人可通知承包人立即解除合同，并按有关法律处理。</w:t>
      </w:r>
    </w:p>
    <w:p>
      <w:pPr>
        <w:spacing w:line="400" w:lineRule="exact"/>
        <w:ind w:firstLine="440" w:firstLineChars="200"/>
        <w:rPr>
          <w:rFonts w:cs="Times New Roman"/>
        </w:rPr>
      </w:pPr>
      <w:r>
        <w:rPr>
          <w:rFonts w:hint="eastAsia"/>
        </w:rPr>
        <w:t>（</w:t>
      </w:r>
      <w:r>
        <w:t>2</w:t>
      </w:r>
      <w:r>
        <w:rPr>
          <w:rFonts w:hint="eastAsia"/>
        </w:rPr>
        <w:t>）承包人发生除第</w:t>
      </w:r>
      <w:r>
        <w:t>22.1.1</w:t>
      </w:r>
      <w:r>
        <w:rPr>
          <w:rFonts w:hint="eastAsia"/>
        </w:rPr>
        <w:t>（</w:t>
      </w:r>
      <w:r>
        <w:t>6</w:t>
      </w:r>
      <w:r>
        <w:rPr>
          <w:rFonts w:hint="eastAsia"/>
        </w:rPr>
        <w:t>）目约定以外的其他违约情况时，监理人可向承包人发出整改通知，要求其在指定的期限内改正。承包人应承担其违约所引起的费用增加和（或）工期延误。</w:t>
      </w:r>
    </w:p>
    <w:p>
      <w:pPr>
        <w:spacing w:line="400" w:lineRule="exact"/>
        <w:ind w:firstLine="440" w:firstLineChars="200"/>
        <w:rPr>
          <w:rFonts w:cs="Times New Roman"/>
        </w:rPr>
      </w:pPr>
      <w:r>
        <w:rPr>
          <w:rFonts w:hint="eastAsia"/>
        </w:rPr>
        <w:t>（</w:t>
      </w:r>
      <w:r>
        <w:t>3</w:t>
      </w:r>
      <w:r>
        <w:rPr>
          <w:rFonts w:hint="eastAsia"/>
        </w:rPr>
        <w:t>）经检查证明承包人已采取了有效措施纠正违约行为，具备复工条件的，可由监理人签发复工通知复工。</w:t>
      </w:r>
    </w:p>
    <w:p>
      <w:pPr>
        <w:spacing w:line="400" w:lineRule="exact"/>
        <w:ind w:firstLine="440" w:firstLineChars="200"/>
        <w:rPr>
          <w:rFonts w:ascii="黑体" w:eastAsia="黑体" w:cs="Times New Roman"/>
        </w:rPr>
      </w:pPr>
      <w:r>
        <w:t>22.1.3</w:t>
      </w:r>
      <w:r>
        <w:rPr>
          <w:rFonts w:ascii="黑体" w:eastAsia="黑体" w:cs="黑体"/>
        </w:rPr>
        <w:t xml:space="preserve"> </w:t>
      </w:r>
      <w:r>
        <w:rPr>
          <w:rFonts w:hint="eastAsia" w:ascii="黑体" w:eastAsia="黑体" w:cs="黑体"/>
        </w:rPr>
        <w:t>承包人违约解除合同</w:t>
      </w:r>
    </w:p>
    <w:p>
      <w:pPr>
        <w:spacing w:line="400" w:lineRule="exact"/>
        <w:ind w:firstLine="440" w:firstLineChars="200"/>
        <w:rPr>
          <w:rFonts w:cs="Times New Roman"/>
        </w:rPr>
      </w:pPr>
      <w:r>
        <w:rPr>
          <w:rFonts w:hint="eastAsia"/>
        </w:rPr>
        <w:t>监理人发出整改通知</w:t>
      </w:r>
      <w:r>
        <w:t>28</w:t>
      </w:r>
      <w:r>
        <w:rPr>
          <w:rFonts w:hint="eastAsia"/>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黑体" w:eastAsia="黑体" w:cs="Times New Roman"/>
        </w:rPr>
      </w:pPr>
      <w:r>
        <w:t>22.1.4</w:t>
      </w:r>
      <w:r>
        <w:rPr>
          <w:rFonts w:ascii="黑体" w:eastAsia="黑体" w:cs="黑体"/>
        </w:rPr>
        <w:t xml:space="preserve"> </w:t>
      </w:r>
      <w:r>
        <w:rPr>
          <w:rFonts w:hint="eastAsia" w:ascii="黑体" w:eastAsia="黑体" w:cs="黑体"/>
        </w:rPr>
        <w:t>合同解除后的估价、付款和结清</w:t>
      </w:r>
    </w:p>
    <w:p>
      <w:pPr>
        <w:spacing w:line="400" w:lineRule="exact"/>
        <w:ind w:firstLine="440" w:firstLineChars="200"/>
      </w:pPr>
      <w:r>
        <w:rPr>
          <w:rFonts w:hint="eastAsia"/>
        </w:rPr>
        <w:t>（</w:t>
      </w:r>
      <w:r>
        <w:t>1</w:t>
      </w:r>
      <w:r>
        <w:rPr>
          <w:rFonts w:hint="eastAsia"/>
        </w:rPr>
        <w:t>）合同解除后，监理人按第</w:t>
      </w:r>
      <w:r>
        <w:t>3.5</w:t>
      </w:r>
      <w:r>
        <w:rPr>
          <w:rFonts w:hint="eastAsia"/>
        </w:rPr>
        <w:t>款商定或确定承包人实际完成工作的价值，以及承包人已提供的材料、施工设备、工程设备和临时工程等的价值。</w:t>
      </w:r>
      <w:r>
        <w:t xml:space="preserve"> </w:t>
      </w:r>
    </w:p>
    <w:p>
      <w:pPr>
        <w:spacing w:line="400" w:lineRule="exact"/>
        <w:ind w:firstLine="440" w:firstLineChars="200"/>
      </w:pPr>
      <w:r>
        <w:rPr>
          <w:rFonts w:hint="eastAsia"/>
        </w:rPr>
        <w:t>（</w:t>
      </w:r>
      <w:r>
        <w:t>2</w:t>
      </w:r>
      <w:r>
        <w:rPr>
          <w:rFonts w:hint="eastAsia"/>
        </w:rPr>
        <w:t>）合同解除后，发包人应暂停对承包人的一切付款，查清各项付款和已扣款金额，包括承包人应支付的违约金。</w:t>
      </w:r>
      <w:r>
        <w:t xml:space="preserve"> </w:t>
      </w:r>
    </w:p>
    <w:p>
      <w:pPr>
        <w:spacing w:line="400" w:lineRule="exact"/>
        <w:ind w:firstLine="440" w:firstLineChars="200"/>
        <w:rPr>
          <w:rFonts w:cs="Times New Roman"/>
        </w:rPr>
      </w:pPr>
      <w:r>
        <w:rPr>
          <w:rFonts w:hint="eastAsia"/>
        </w:rPr>
        <w:t>（</w:t>
      </w:r>
      <w:r>
        <w:t>3</w:t>
      </w:r>
      <w:r>
        <w:rPr>
          <w:rFonts w:hint="eastAsia"/>
        </w:rPr>
        <w:t>）合同解除后，发包人应按第</w:t>
      </w:r>
      <w:r>
        <w:t>23.4</w:t>
      </w:r>
      <w:r>
        <w:rPr>
          <w:rFonts w:hint="eastAsia"/>
        </w:rPr>
        <w:t>款的约定向承包人索赔由于解除合同给发包人造成的损失。</w:t>
      </w:r>
    </w:p>
    <w:p>
      <w:pPr>
        <w:spacing w:line="400" w:lineRule="exact"/>
        <w:ind w:firstLine="440" w:firstLineChars="200"/>
        <w:rPr>
          <w:rFonts w:cs="Times New Roman"/>
        </w:rPr>
      </w:pPr>
      <w:r>
        <w:rPr>
          <w:rFonts w:hint="eastAsia"/>
        </w:rPr>
        <w:t>（</w:t>
      </w:r>
      <w:r>
        <w:t>4</w:t>
      </w:r>
      <w:r>
        <w:rPr>
          <w:rFonts w:hint="eastAsia"/>
        </w:rPr>
        <w:t>）合同双方确认上述往来款项后，出具最终结清付款证书，结清全部合同款项。</w:t>
      </w:r>
    </w:p>
    <w:p>
      <w:pPr>
        <w:spacing w:line="400" w:lineRule="exact"/>
        <w:ind w:firstLine="440" w:firstLineChars="200"/>
        <w:rPr>
          <w:rFonts w:cs="Times New Roman"/>
        </w:rPr>
      </w:pPr>
      <w:r>
        <w:rPr>
          <w:rFonts w:hint="eastAsia"/>
        </w:rPr>
        <w:t>（</w:t>
      </w:r>
      <w:r>
        <w:t>5</w:t>
      </w:r>
      <w:r>
        <w:rPr>
          <w:rFonts w:hint="eastAsia"/>
        </w:rPr>
        <w:t>）发包人和承包人未能就解除合同后的结清达成一致而形成争议的，按第</w:t>
      </w:r>
      <w:r>
        <w:t>24</w:t>
      </w:r>
      <w:r>
        <w:rPr>
          <w:rFonts w:hint="eastAsia"/>
        </w:rPr>
        <w:t>条的约定办理。</w:t>
      </w:r>
    </w:p>
    <w:p>
      <w:pPr>
        <w:spacing w:line="400" w:lineRule="exact"/>
        <w:ind w:firstLine="440" w:firstLineChars="200"/>
        <w:rPr>
          <w:rFonts w:ascii="黑体" w:eastAsia="黑体" w:cs="Times New Roman"/>
        </w:rPr>
      </w:pPr>
      <w:r>
        <w:t>22.1.5</w:t>
      </w:r>
      <w:r>
        <w:rPr>
          <w:rFonts w:ascii="黑体" w:eastAsia="黑体" w:cs="黑体"/>
        </w:rPr>
        <w:t xml:space="preserve"> </w:t>
      </w:r>
      <w:r>
        <w:rPr>
          <w:rFonts w:hint="eastAsia" w:ascii="黑体" w:eastAsia="黑体" w:cs="黑体"/>
        </w:rPr>
        <w:t>协议利益的转让</w:t>
      </w:r>
    </w:p>
    <w:p>
      <w:pPr>
        <w:spacing w:line="400" w:lineRule="exact"/>
        <w:ind w:firstLine="440" w:firstLineChars="200"/>
      </w:pPr>
      <w:r>
        <w:rPr>
          <w:rFonts w:hint="eastAsia"/>
        </w:rPr>
        <w:t>因承包人违约解除合同的，发包人有权要求承包人将其为实施合同而签订的材料和设备的订货协议或任何服务协议利益转让给发包人，并在解除合同后的</w:t>
      </w:r>
      <w:r>
        <w:t>14</w:t>
      </w:r>
      <w:r>
        <w:rPr>
          <w:rFonts w:hint="eastAsia"/>
        </w:rPr>
        <w:t>天内，依法办理转让手续。</w:t>
      </w:r>
      <w:r>
        <w:t xml:space="preserve"> </w:t>
      </w:r>
    </w:p>
    <w:p>
      <w:pPr>
        <w:spacing w:line="400" w:lineRule="exact"/>
        <w:ind w:firstLine="440" w:firstLineChars="200"/>
        <w:rPr>
          <w:rFonts w:ascii="黑体" w:eastAsia="黑体" w:cs="Times New Roman"/>
        </w:rPr>
      </w:pPr>
      <w:r>
        <w:t>22.1.6</w:t>
      </w:r>
      <w:r>
        <w:rPr>
          <w:rFonts w:ascii="黑体" w:eastAsia="黑体" w:cs="黑体"/>
        </w:rPr>
        <w:t xml:space="preserve"> </w:t>
      </w:r>
      <w:r>
        <w:rPr>
          <w:rFonts w:hint="eastAsia" w:ascii="黑体" w:eastAsia="黑体" w:cs="黑体"/>
        </w:rPr>
        <w:t>紧急情况下无能力或不愿进行抢救</w:t>
      </w:r>
    </w:p>
    <w:p>
      <w:pPr>
        <w:spacing w:line="400" w:lineRule="exact"/>
        <w:ind w:firstLine="440" w:firstLineChars="200"/>
        <w:rPr>
          <w:rFonts w:cs="Times New Roman"/>
        </w:rPr>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2"/>
        <w:rPr>
          <w:rFonts w:cs="Times New Roman"/>
          <w:sz w:val="21"/>
          <w:szCs w:val="21"/>
        </w:rPr>
      </w:pPr>
      <w:bookmarkStart w:id="710" w:name="_Toc309397433"/>
      <w:bookmarkStart w:id="711" w:name="_Toc179632773"/>
      <w:bookmarkStart w:id="712" w:name="_Toc152045755"/>
      <w:bookmarkStart w:id="713" w:name="_Toc144974726"/>
      <w:bookmarkStart w:id="714" w:name="_Toc152042534"/>
      <w:r>
        <w:rPr>
          <w:sz w:val="21"/>
          <w:szCs w:val="21"/>
        </w:rPr>
        <w:t xml:space="preserve">22.2 </w:t>
      </w:r>
      <w:r>
        <w:rPr>
          <w:rFonts w:hint="eastAsia" w:cs="黑体"/>
          <w:sz w:val="21"/>
          <w:szCs w:val="21"/>
        </w:rPr>
        <w:t>发包人违约</w:t>
      </w:r>
      <w:bookmarkEnd w:id="710"/>
      <w:bookmarkEnd w:id="711"/>
      <w:bookmarkEnd w:id="712"/>
      <w:bookmarkEnd w:id="713"/>
      <w:bookmarkEnd w:id="714"/>
    </w:p>
    <w:p>
      <w:pPr>
        <w:spacing w:line="400" w:lineRule="exact"/>
        <w:ind w:firstLine="440" w:firstLineChars="200"/>
        <w:rPr>
          <w:rFonts w:ascii="黑体" w:eastAsia="黑体" w:cs="Times New Roman"/>
        </w:rPr>
      </w:pPr>
      <w:r>
        <w:t xml:space="preserve">22.2.1 </w:t>
      </w:r>
      <w:r>
        <w:rPr>
          <w:rFonts w:hint="eastAsia" w:ascii="黑体" w:eastAsia="黑体" w:cs="黑体"/>
        </w:rPr>
        <w:t>发包人违约的情形</w:t>
      </w:r>
    </w:p>
    <w:p>
      <w:pPr>
        <w:spacing w:line="400" w:lineRule="exact"/>
        <w:ind w:firstLine="440" w:firstLineChars="200"/>
        <w:rPr>
          <w:rFonts w:cs="Times New Roman"/>
        </w:rPr>
      </w:pPr>
      <w:r>
        <w:rPr>
          <w:rFonts w:hint="eastAsia"/>
        </w:rPr>
        <w:t>在履行合同过程中发生的下列情形，属发包人违约：</w:t>
      </w:r>
    </w:p>
    <w:p>
      <w:pPr>
        <w:spacing w:line="400" w:lineRule="exact"/>
        <w:ind w:firstLine="440" w:firstLineChars="200"/>
        <w:rPr>
          <w:rFonts w:cs="Times New Roman"/>
        </w:rPr>
      </w:pPr>
      <w:r>
        <w:rPr>
          <w:rFonts w:hint="eastAsia"/>
        </w:rPr>
        <w:t>（</w:t>
      </w:r>
      <w:r>
        <w:t>1</w:t>
      </w:r>
      <w:r>
        <w:rPr>
          <w:rFonts w:hint="eastAsia"/>
        </w:rPr>
        <w:t>）发包人未能按合同约定支付预付款或合同价款，或拖延、拒绝批准付款申请和支付凭证，导致付款延误的；</w:t>
      </w:r>
    </w:p>
    <w:p>
      <w:pPr>
        <w:spacing w:line="400" w:lineRule="exact"/>
        <w:ind w:firstLine="440" w:firstLineChars="200"/>
        <w:rPr>
          <w:rFonts w:cs="Times New Roman"/>
        </w:rPr>
      </w:pPr>
      <w:r>
        <w:rPr>
          <w:rFonts w:hint="eastAsia"/>
        </w:rPr>
        <w:t>（</w:t>
      </w:r>
      <w:r>
        <w:t>2</w:t>
      </w:r>
      <w:r>
        <w:rPr>
          <w:rFonts w:hint="eastAsia"/>
        </w:rPr>
        <w:t>）发包人原因造成停工的；</w:t>
      </w:r>
    </w:p>
    <w:p>
      <w:pPr>
        <w:spacing w:line="400" w:lineRule="exact"/>
        <w:ind w:firstLine="440" w:firstLineChars="200"/>
        <w:rPr>
          <w:rFonts w:cs="Times New Roman"/>
        </w:rPr>
      </w:pPr>
      <w:r>
        <w:rPr>
          <w:rFonts w:hint="eastAsia"/>
        </w:rPr>
        <w:t>（</w:t>
      </w:r>
      <w:r>
        <w:t>3</w:t>
      </w:r>
      <w:r>
        <w:rPr>
          <w:rFonts w:hint="eastAsia"/>
        </w:rPr>
        <w:t>）监理人无正当理由没有在约定期限内发出复工指示，导致承包人无法复工的；</w:t>
      </w:r>
    </w:p>
    <w:p>
      <w:pPr>
        <w:spacing w:line="400" w:lineRule="exact"/>
        <w:ind w:firstLine="440" w:firstLineChars="200"/>
        <w:rPr>
          <w:rFonts w:cs="Times New Roman"/>
        </w:rPr>
      </w:pPr>
      <w:r>
        <w:rPr>
          <w:rFonts w:hint="eastAsia"/>
        </w:rPr>
        <w:t>（</w:t>
      </w:r>
      <w:r>
        <w:t>4</w:t>
      </w:r>
      <w:r>
        <w:rPr>
          <w:rFonts w:hint="eastAsia"/>
        </w:rPr>
        <w:t>）发包人无法继续履行或明确表示不履行或实质上已停止履行合同的；</w:t>
      </w:r>
    </w:p>
    <w:p>
      <w:pPr>
        <w:spacing w:line="400" w:lineRule="exact"/>
        <w:ind w:firstLine="440" w:firstLineChars="200"/>
        <w:rPr>
          <w:rFonts w:cs="Times New Roman"/>
        </w:rPr>
      </w:pPr>
      <w:r>
        <w:rPr>
          <w:rFonts w:hint="eastAsia"/>
        </w:rPr>
        <w:t>（</w:t>
      </w:r>
      <w:r>
        <w:t>5</w:t>
      </w:r>
      <w:r>
        <w:rPr>
          <w:rFonts w:hint="eastAsia"/>
        </w:rPr>
        <w:t>）发包人不履行合同约定其他义务的。</w:t>
      </w:r>
    </w:p>
    <w:p>
      <w:pPr>
        <w:spacing w:line="400" w:lineRule="exact"/>
        <w:ind w:firstLine="440" w:firstLineChars="200"/>
        <w:rPr>
          <w:rFonts w:cs="Times New Roman"/>
        </w:rPr>
      </w:pPr>
      <w:r>
        <w:t>22.2.2</w:t>
      </w:r>
      <w:r>
        <w:rPr>
          <w:rFonts w:ascii="黑体" w:eastAsia="黑体" w:cs="黑体"/>
        </w:rPr>
        <w:t xml:space="preserve"> </w:t>
      </w:r>
      <w:r>
        <w:rPr>
          <w:rFonts w:hint="eastAsia" w:ascii="黑体" w:eastAsia="黑体" w:cs="黑体"/>
        </w:rPr>
        <w:t>承包人有权暂停施工</w:t>
      </w:r>
    </w:p>
    <w:p>
      <w:pPr>
        <w:spacing w:line="400" w:lineRule="exact"/>
        <w:ind w:firstLine="440" w:firstLineChars="200"/>
        <w:rPr>
          <w:rFonts w:cs="Times New Roman"/>
        </w:rPr>
      </w:pPr>
      <w:r>
        <w:rPr>
          <w:rFonts w:hint="eastAsia"/>
        </w:rPr>
        <w:t>发包人发生除第</w:t>
      </w:r>
      <w:r>
        <w:t>22.2.1</w:t>
      </w:r>
      <w:r>
        <w:rPr>
          <w:rFonts w:hint="eastAsia"/>
        </w:rPr>
        <w:t>（</w:t>
      </w:r>
      <w:r>
        <w:t>4</w:t>
      </w:r>
      <w:r>
        <w:rPr>
          <w:rFonts w:hint="eastAsia"/>
        </w:rPr>
        <w:t>）目以外的违约情况时，承包人可向发包人发出通知，要求发包人采取有效措施纠正违约行为。发包人收到承包人通知后的</w:t>
      </w:r>
      <w:r>
        <w:t>28</w:t>
      </w:r>
      <w:r>
        <w:rPr>
          <w:rFonts w:hint="eastAsia"/>
        </w:rPr>
        <w:t>天内仍不履行合同义务，承包人有权暂停施工，并通知监理人，发包人应承担由此增加的费用和（或）工期延误，并支付承包人合理利润。</w:t>
      </w:r>
    </w:p>
    <w:p>
      <w:pPr>
        <w:spacing w:line="400" w:lineRule="exact"/>
        <w:ind w:firstLine="440" w:firstLineChars="200"/>
        <w:rPr>
          <w:rFonts w:cs="Times New Roman"/>
        </w:rPr>
      </w:pPr>
      <w:r>
        <w:t>22.2.3</w:t>
      </w:r>
      <w:r>
        <w:rPr>
          <w:rFonts w:ascii="黑体" w:eastAsia="黑体" w:cs="黑体"/>
        </w:rPr>
        <w:t xml:space="preserve"> </w:t>
      </w:r>
      <w:r>
        <w:rPr>
          <w:rFonts w:hint="eastAsia" w:ascii="黑体" w:eastAsia="黑体" w:cs="黑体"/>
        </w:rPr>
        <w:t>发包人违约解除合同</w:t>
      </w:r>
    </w:p>
    <w:p>
      <w:pPr>
        <w:spacing w:line="400" w:lineRule="exact"/>
        <w:ind w:firstLine="440" w:firstLineChars="200"/>
      </w:pPr>
      <w:r>
        <w:rPr>
          <w:rFonts w:hint="eastAsia"/>
        </w:rPr>
        <w:t>（</w:t>
      </w:r>
      <w:r>
        <w:t>1</w:t>
      </w:r>
      <w:r>
        <w:rPr>
          <w:rFonts w:hint="eastAsia"/>
        </w:rPr>
        <w:t>）发生第</w:t>
      </w:r>
      <w:r>
        <w:t>22.2.1</w:t>
      </w:r>
      <w:r>
        <w:rPr>
          <w:rFonts w:hint="eastAsia"/>
        </w:rPr>
        <w:t>（</w:t>
      </w:r>
      <w:r>
        <w:t>4</w:t>
      </w:r>
      <w:r>
        <w:rPr>
          <w:rFonts w:hint="eastAsia"/>
        </w:rPr>
        <w:t>）目的违约情况时，承包人可书面通知发包人解除合同。</w:t>
      </w:r>
      <w:r>
        <w:t xml:space="preserve">   </w:t>
      </w:r>
    </w:p>
    <w:p>
      <w:pPr>
        <w:spacing w:line="400" w:lineRule="exact"/>
        <w:ind w:firstLine="440" w:firstLineChars="200"/>
        <w:rPr>
          <w:rFonts w:cs="Times New Roman"/>
        </w:rPr>
      </w:pPr>
      <w:r>
        <w:rPr>
          <w:rFonts w:hint="eastAsia"/>
        </w:rPr>
        <w:t>（</w:t>
      </w:r>
      <w:r>
        <w:t>2</w:t>
      </w:r>
      <w:r>
        <w:rPr>
          <w:rFonts w:hint="eastAsia"/>
        </w:rPr>
        <w:t>）承包人按</w:t>
      </w:r>
      <w:r>
        <w:t>22.2.2</w:t>
      </w:r>
      <w:r>
        <w:rPr>
          <w:rFonts w:hint="eastAsia"/>
        </w:rPr>
        <w:t>项暂停施工</w:t>
      </w:r>
      <w:r>
        <w:t>28</w:t>
      </w:r>
      <w:r>
        <w:rPr>
          <w:rFonts w:hint="eastAsia"/>
        </w:rPr>
        <w:t>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黑体" w:eastAsia="黑体" w:cs="Times New Roman"/>
        </w:rPr>
      </w:pPr>
      <w:r>
        <w:t>22.2.4</w:t>
      </w:r>
      <w:r>
        <w:rPr>
          <w:rFonts w:ascii="黑体" w:eastAsia="黑体" w:cs="黑体"/>
        </w:rPr>
        <w:t xml:space="preserve"> </w:t>
      </w:r>
      <w:r>
        <w:rPr>
          <w:rFonts w:hint="eastAsia" w:ascii="黑体" w:eastAsia="黑体" w:cs="黑体"/>
        </w:rPr>
        <w:t>解除合同后的付款</w:t>
      </w:r>
    </w:p>
    <w:p>
      <w:pPr>
        <w:spacing w:line="400" w:lineRule="exact"/>
        <w:ind w:firstLine="440" w:firstLineChars="200"/>
        <w:rPr>
          <w:rFonts w:cs="Times New Roman"/>
        </w:rPr>
      </w:pPr>
      <w:r>
        <w:rPr>
          <w:rFonts w:hint="eastAsia"/>
        </w:rPr>
        <w:t>因发包人违约解除合同的，发包人应在解除合同后</w:t>
      </w:r>
      <w:r>
        <w:t>28</w:t>
      </w:r>
      <w:r>
        <w:rPr>
          <w:rFonts w:hint="eastAsia"/>
        </w:rPr>
        <w:t>天内向承包人支付下列金额，承包人应在此期限内及时向发包人提交要求支付下列金额的有关资料和凭证：</w:t>
      </w:r>
    </w:p>
    <w:p>
      <w:pPr>
        <w:spacing w:line="400" w:lineRule="exact"/>
        <w:ind w:firstLine="440" w:firstLineChars="200"/>
        <w:rPr>
          <w:rFonts w:cs="Times New Roman"/>
        </w:rPr>
      </w:pPr>
      <w:r>
        <w:rPr>
          <w:rFonts w:hint="eastAsia"/>
        </w:rPr>
        <w:t>（</w:t>
      </w:r>
      <w:r>
        <w:t>1</w:t>
      </w:r>
      <w:r>
        <w:rPr>
          <w:rFonts w:hint="eastAsia"/>
        </w:rPr>
        <w:t>）合同解除日以前所完成工作的价款；</w:t>
      </w:r>
    </w:p>
    <w:p>
      <w:pPr>
        <w:spacing w:line="400" w:lineRule="exact"/>
        <w:ind w:firstLine="440" w:firstLineChars="200"/>
        <w:rPr>
          <w:rFonts w:cs="Times New Roman"/>
        </w:rPr>
      </w:pPr>
      <w:r>
        <w:rPr>
          <w:rFonts w:hint="eastAsia"/>
        </w:rPr>
        <w:t>（</w:t>
      </w:r>
      <w:r>
        <w:t>2</w:t>
      </w:r>
      <w:r>
        <w:rPr>
          <w:rFonts w:hint="eastAsia"/>
        </w:rPr>
        <w:t>）承包人为该工程施工订购并已付款的材料、工程设备和其他物品的金额。发包人付还后，该材料、工程设备和其他物品归发包人所有；</w:t>
      </w:r>
    </w:p>
    <w:p>
      <w:pPr>
        <w:spacing w:line="400" w:lineRule="exact"/>
        <w:ind w:firstLine="440" w:firstLineChars="200"/>
        <w:rPr>
          <w:rFonts w:cs="Times New Roman"/>
        </w:rPr>
      </w:pPr>
      <w:r>
        <w:rPr>
          <w:rFonts w:hint="eastAsia"/>
        </w:rPr>
        <w:t>（</w:t>
      </w:r>
      <w:r>
        <w:t>3</w:t>
      </w:r>
      <w:r>
        <w:rPr>
          <w:rFonts w:hint="eastAsia"/>
        </w:rPr>
        <w:t>）承包人为完成工程所发生的，而发包人未支付的金额；</w:t>
      </w:r>
    </w:p>
    <w:p>
      <w:pPr>
        <w:spacing w:line="400" w:lineRule="exact"/>
        <w:ind w:firstLine="440" w:firstLineChars="200"/>
        <w:rPr>
          <w:rFonts w:cs="Times New Roman"/>
        </w:rPr>
      </w:pPr>
      <w:r>
        <w:rPr>
          <w:rFonts w:hint="eastAsia"/>
        </w:rPr>
        <w:t>（</w:t>
      </w:r>
      <w:r>
        <w:t>4</w:t>
      </w:r>
      <w:r>
        <w:rPr>
          <w:rFonts w:hint="eastAsia"/>
        </w:rPr>
        <w:t>）承包人撤离施工场地以及遣散承包人人员的金额；</w:t>
      </w:r>
    </w:p>
    <w:p>
      <w:pPr>
        <w:spacing w:line="400" w:lineRule="exact"/>
        <w:ind w:firstLine="440" w:firstLineChars="200"/>
        <w:rPr>
          <w:rFonts w:cs="Times New Roman"/>
        </w:rPr>
      </w:pPr>
      <w:r>
        <w:rPr>
          <w:rFonts w:hint="eastAsia"/>
        </w:rPr>
        <w:t>（</w:t>
      </w:r>
      <w:r>
        <w:t>5</w:t>
      </w:r>
      <w:r>
        <w:rPr>
          <w:rFonts w:hint="eastAsia"/>
        </w:rPr>
        <w:t>）由于解除合同应赔偿的承包人损失；</w:t>
      </w:r>
    </w:p>
    <w:p>
      <w:pPr>
        <w:spacing w:line="400" w:lineRule="exact"/>
        <w:ind w:firstLine="440" w:firstLineChars="200"/>
        <w:rPr>
          <w:rFonts w:cs="Times New Roman"/>
        </w:rPr>
      </w:pPr>
      <w:r>
        <w:rPr>
          <w:rFonts w:hint="eastAsia"/>
        </w:rPr>
        <w:t>（</w:t>
      </w:r>
      <w:r>
        <w:t>6</w:t>
      </w:r>
      <w:r>
        <w:rPr>
          <w:rFonts w:hint="eastAsia"/>
        </w:rPr>
        <w:t>）按合同约定在合同解除日前应支付给承包人的其他金额。</w:t>
      </w:r>
    </w:p>
    <w:p>
      <w:pPr>
        <w:spacing w:line="400" w:lineRule="exact"/>
        <w:ind w:firstLine="440" w:firstLineChars="200"/>
        <w:rPr>
          <w:rFonts w:cs="Times New Roman"/>
        </w:rPr>
      </w:pPr>
      <w:r>
        <w:rPr>
          <w:rFonts w:hint="eastAsia"/>
        </w:rPr>
        <w:t>发包人应按本项约定支付上述金额并退还质量保证金和履约担保，但有权要求承包人支付应偿还给发包人的各项金额。</w:t>
      </w:r>
    </w:p>
    <w:p>
      <w:pPr>
        <w:spacing w:line="400" w:lineRule="exact"/>
        <w:ind w:firstLine="440" w:firstLineChars="200"/>
        <w:rPr>
          <w:rFonts w:ascii="黑体" w:eastAsia="黑体" w:cs="Times New Roman"/>
        </w:rPr>
      </w:pPr>
      <w:r>
        <w:t>22.2.5</w:t>
      </w:r>
      <w:r>
        <w:rPr>
          <w:rFonts w:ascii="黑体" w:eastAsia="黑体" w:cs="黑体"/>
        </w:rPr>
        <w:t xml:space="preserve"> </w:t>
      </w:r>
      <w:r>
        <w:rPr>
          <w:rFonts w:hint="eastAsia" w:ascii="黑体" w:eastAsia="黑体" w:cs="黑体"/>
        </w:rPr>
        <w:t>解除合同后的承包人撤离</w:t>
      </w:r>
    </w:p>
    <w:p>
      <w:pPr>
        <w:spacing w:line="400" w:lineRule="exact"/>
        <w:ind w:firstLine="440" w:firstLineChars="200"/>
        <w:rPr>
          <w:rFonts w:cs="Times New Roman"/>
        </w:rPr>
      </w:pPr>
      <w:r>
        <w:rPr>
          <w:rFonts w:hint="eastAsia"/>
        </w:rPr>
        <w:t>因发包人违约而解除合同后，承包人应妥善做好已竣工工程和已购材料、设备的保护和移交工作，按发包人要求将承包人设备和人员撤出施工场地。承包人撤出施工场地应遵守第</w:t>
      </w:r>
      <w:r>
        <w:t>18.7.1</w:t>
      </w:r>
      <w:r>
        <w:rPr>
          <w:rFonts w:hint="eastAsia"/>
        </w:rPr>
        <w:t>项的约定，发包人应为承包人撤出提供必要条件。</w:t>
      </w:r>
    </w:p>
    <w:p>
      <w:pPr>
        <w:pStyle w:val="52"/>
        <w:rPr>
          <w:rFonts w:cs="Times New Roman"/>
          <w:sz w:val="21"/>
          <w:szCs w:val="21"/>
        </w:rPr>
      </w:pPr>
      <w:bookmarkStart w:id="715" w:name="_Toc152042535"/>
      <w:bookmarkStart w:id="716" w:name="_Toc309397434"/>
      <w:bookmarkStart w:id="717" w:name="_Toc152045756"/>
      <w:bookmarkStart w:id="718" w:name="_Toc179632774"/>
      <w:r>
        <w:rPr>
          <w:sz w:val="21"/>
          <w:szCs w:val="21"/>
        </w:rPr>
        <w:t xml:space="preserve">22.3 </w:t>
      </w:r>
      <w:r>
        <w:rPr>
          <w:rFonts w:hint="eastAsia" w:cs="黑体"/>
          <w:sz w:val="21"/>
          <w:szCs w:val="21"/>
        </w:rPr>
        <w:t>第三人造成的违约</w:t>
      </w:r>
      <w:bookmarkEnd w:id="715"/>
      <w:bookmarkEnd w:id="716"/>
      <w:bookmarkEnd w:id="717"/>
      <w:bookmarkEnd w:id="718"/>
    </w:p>
    <w:p>
      <w:pPr>
        <w:spacing w:line="400" w:lineRule="exact"/>
        <w:ind w:firstLine="440" w:firstLineChars="200"/>
        <w:rPr>
          <w:rFonts w:cs="Times New Roman"/>
        </w:rPr>
      </w:pPr>
      <w:r>
        <w:rPr>
          <w:rFonts w:hint="eastAsia"/>
        </w:rPr>
        <w:t>在履行合同过程中，一方当事人因第三人的原因造成违约的，应当向对方当事人承担违约责任。一方当事人和第三人之间的纠纷，依照法律规定或者按照约定解决。</w:t>
      </w:r>
    </w:p>
    <w:p>
      <w:pPr>
        <w:pStyle w:val="51"/>
        <w:rPr>
          <w:sz w:val="21"/>
          <w:szCs w:val="21"/>
        </w:rPr>
      </w:pPr>
      <w:bookmarkStart w:id="719" w:name="_Toc152045757"/>
      <w:bookmarkStart w:id="720" w:name="_Toc309397435"/>
      <w:bookmarkStart w:id="721" w:name="_Toc152042536"/>
      <w:bookmarkStart w:id="722" w:name="_Toc179632775"/>
      <w:bookmarkStart w:id="723" w:name="_Toc144974727"/>
      <w:r>
        <w:rPr>
          <w:sz w:val="21"/>
          <w:szCs w:val="21"/>
        </w:rPr>
        <w:t xml:space="preserve">23. </w:t>
      </w:r>
      <w:r>
        <w:rPr>
          <w:rFonts w:hint="eastAsia" w:cs="宋体"/>
          <w:sz w:val="21"/>
          <w:szCs w:val="21"/>
        </w:rPr>
        <w:t>索赔</w:t>
      </w:r>
      <w:bookmarkEnd w:id="719"/>
      <w:bookmarkEnd w:id="720"/>
      <w:bookmarkEnd w:id="721"/>
      <w:bookmarkEnd w:id="722"/>
      <w:bookmarkEnd w:id="723"/>
    </w:p>
    <w:p>
      <w:pPr>
        <w:pStyle w:val="52"/>
        <w:rPr>
          <w:rFonts w:cs="Times New Roman"/>
          <w:sz w:val="21"/>
          <w:szCs w:val="21"/>
        </w:rPr>
      </w:pPr>
      <w:bookmarkStart w:id="724" w:name="_Toc152045758"/>
      <w:bookmarkStart w:id="725" w:name="_Toc179632776"/>
      <w:bookmarkStart w:id="726" w:name="_Toc144974728"/>
      <w:bookmarkStart w:id="727" w:name="_Toc309397436"/>
      <w:bookmarkStart w:id="728" w:name="_Toc152042537"/>
      <w:r>
        <w:rPr>
          <w:sz w:val="21"/>
          <w:szCs w:val="21"/>
        </w:rPr>
        <w:t xml:space="preserve">23.1 </w:t>
      </w:r>
      <w:r>
        <w:rPr>
          <w:rFonts w:hint="eastAsia" w:cs="黑体"/>
          <w:sz w:val="21"/>
          <w:szCs w:val="21"/>
        </w:rPr>
        <w:t>承包人索赔的提出</w:t>
      </w:r>
      <w:bookmarkEnd w:id="724"/>
      <w:bookmarkEnd w:id="725"/>
      <w:bookmarkEnd w:id="726"/>
      <w:bookmarkEnd w:id="727"/>
      <w:bookmarkEnd w:id="728"/>
    </w:p>
    <w:p>
      <w:pPr>
        <w:spacing w:line="400" w:lineRule="exact"/>
        <w:ind w:firstLine="440" w:firstLineChars="200"/>
        <w:rPr>
          <w:rFonts w:cs="Times New Roman"/>
        </w:rPr>
      </w:pPr>
      <w:r>
        <w:rPr>
          <w:rFonts w:hint="eastAsia"/>
        </w:rPr>
        <w:t>根据合同约定，承包人认为有权得到追加付款和（或）延长工期的，应按以下程序向发包人提出索赔：</w:t>
      </w:r>
    </w:p>
    <w:p>
      <w:pPr>
        <w:spacing w:line="400" w:lineRule="exact"/>
        <w:ind w:firstLine="376" w:firstLineChars="171"/>
        <w:rPr>
          <w:rFonts w:cs="Times New Roman"/>
        </w:rPr>
      </w:pPr>
      <w:r>
        <w:rPr>
          <w:rFonts w:hint="eastAsia"/>
        </w:rPr>
        <w:t>（</w:t>
      </w:r>
      <w:r>
        <w:t>1</w:t>
      </w:r>
      <w:r>
        <w:rPr>
          <w:rFonts w:hint="eastAsia"/>
        </w:rPr>
        <w:t>）承包人应在知道或应当知道索赔事件发生后</w:t>
      </w:r>
      <w:r>
        <w:t>28</w:t>
      </w:r>
      <w:r>
        <w:rPr>
          <w:rFonts w:hint="eastAsia"/>
        </w:rPr>
        <w:t>天内，向监理人递交索赔意向通知书，并说明发生索赔事件的事由。承包人未在前述</w:t>
      </w:r>
      <w:r>
        <w:t>28</w:t>
      </w:r>
      <w:r>
        <w:rPr>
          <w:rFonts w:hint="eastAsia"/>
        </w:rPr>
        <w:t>天内发出索赔意向通知书的，丧失要求追加付款和（或）延长工期的权利；</w:t>
      </w:r>
    </w:p>
    <w:p>
      <w:pPr>
        <w:spacing w:line="400" w:lineRule="exact"/>
        <w:ind w:firstLine="376" w:firstLineChars="171"/>
        <w:rPr>
          <w:rFonts w:cs="Times New Roman"/>
        </w:rPr>
      </w:pPr>
      <w:r>
        <w:rPr>
          <w:rFonts w:hint="eastAsia"/>
        </w:rPr>
        <w:t>（</w:t>
      </w:r>
      <w:r>
        <w:t>2</w:t>
      </w:r>
      <w:r>
        <w:rPr>
          <w:rFonts w:hint="eastAsia"/>
        </w:rPr>
        <w:t>）承包人应在发出索赔意向通知书后</w:t>
      </w:r>
      <w:r>
        <w:t>28</w:t>
      </w:r>
      <w:r>
        <w:rPr>
          <w:rFonts w:hint="eastAsia"/>
        </w:rPr>
        <w:t>天内，向监理人正式递交索赔通知书。索赔通知书应详细说明索赔理由以及要求追加的付款金额和（或）延长的工期，并附必要的记录和证明材料；</w:t>
      </w:r>
    </w:p>
    <w:p>
      <w:pPr>
        <w:spacing w:line="400" w:lineRule="exact"/>
        <w:ind w:firstLine="376" w:firstLineChars="171"/>
        <w:rPr>
          <w:rFonts w:cs="Times New Roman"/>
        </w:rPr>
      </w:pPr>
      <w:r>
        <w:rPr>
          <w:rFonts w:hint="eastAsia"/>
        </w:rPr>
        <w:t>（</w:t>
      </w:r>
      <w:r>
        <w:t>3</w:t>
      </w:r>
      <w:r>
        <w:rPr>
          <w:rFonts w:hint="eastAsia"/>
        </w:rPr>
        <w:t>）索赔事件具有连续影响的，承包人应按合理时间间隔继续递交延续索赔通知，说明连续影响的实际情况和记录，列出累计的追加付款金额和（或）工期延长天数；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cs="Times New Roman"/>
        </w:rPr>
      </w:pPr>
      <w:r>
        <w:rPr>
          <w:rFonts w:hint="eastAsia"/>
        </w:rPr>
        <w:t>（</w:t>
      </w:r>
      <w:r>
        <w:t>4</w:t>
      </w:r>
      <w:r>
        <w:rPr>
          <w:rFonts w:hint="eastAsia"/>
        </w:rPr>
        <w:t>）在索赔事件影响结束后的</w:t>
      </w:r>
      <w:r>
        <w:t>28</w:t>
      </w:r>
      <w:r>
        <w:rPr>
          <w:rFonts w:hint="eastAsia"/>
        </w:rPr>
        <w:t>天内，承包人应向监理人递交最终索赔通知书，说明最终要求索赔的追加付款金额和延长的工期，并附必要的记录和证明材料。</w:t>
      </w:r>
    </w:p>
    <w:p>
      <w:pPr>
        <w:pStyle w:val="52"/>
        <w:rPr>
          <w:rFonts w:cs="Times New Roman"/>
          <w:sz w:val="21"/>
          <w:szCs w:val="21"/>
        </w:rPr>
      </w:pPr>
      <w:bookmarkStart w:id="729" w:name="_Toc309397437"/>
      <w:bookmarkStart w:id="730" w:name="_Toc152042538"/>
      <w:bookmarkStart w:id="731" w:name="_Toc152045759"/>
      <w:bookmarkStart w:id="732" w:name="_Toc144974729"/>
      <w:bookmarkStart w:id="733" w:name="_Toc179632777"/>
      <w:r>
        <w:rPr>
          <w:sz w:val="21"/>
          <w:szCs w:val="21"/>
        </w:rPr>
        <w:t xml:space="preserve">23.2 </w:t>
      </w:r>
      <w:r>
        <w:rPr>
          <w:rFonts w:hint="eastAsia" w:cs="黑体"/>
          <w:sz w:val="21"/>
          <w:szCs w:val="21"/>
        </w:rPr>
        <w:t>承包人索赔处理程序</w:t>
      </w:r>
      <w:bookmarkEnd w:id="729"/>
      <w:bookmarkEnd w:id="730"/>
      <w:bookmarkEnd w:id="731"/>
      <w:bookmarkEnd w:id="732"/>
      <w:bookmarkEnd w:id="733"/>
    </w:p>
    <w:p>
      <w:pPr>
        <w:spacing w:line="400" w:lineRule="exact"/>
        <w:ind w:firstLine="376" w:firstLineChars="171"/>
        <w:rPr>
          <w:rFonts w:cs="Times New Roman"/>
        </w:rPr>
      </w:pPr>
      <w:r>
        <w:rPr>
          <w:rFonts w:hint="eastAsia"/>
        </w:rPr>
        <w:t>（</w:t>
      </w:r>
      <w:r>
        <w:t>1</w:t>
      </w:r>
      <w:r>
        <w:rPr>
          <w:rFonts w:hint="eastAsia"/>
        </w:rPr>
        <w:t>）监理人收到承包人提交的索赔通知书后，应及时审查索赔通知书的内容、查验承包人的记录和证明材料，必要时监理人可要求承包人提交全部原始记录副本。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cs="Times New Roman"/>
        </w:rPr>
      </w:pPr>
      <w:r>
        <w:rPr>
          <w:rFonts w:hint="eastAsia"/>
        </w:rPr>
        <w:t>（</w:t>
      </w:r>
      <w:r>
        <w:t>2</w:t>
      </w:r>
      <w:r>
        <w:rPr>
          <w:rFonts w:hint="eastAsia"/>
        </w:rPr>
        <w:t>）监理人应按第</w:t>
      </w:r>
      <w:r>
        <w:t>3.5</w:t>
      </w:r>
      <w:r>
        <w:rPr>
          <w:rFonts w:hint="eastAsia"/>
        </w:rPr>
        <w:t>款商定或确定追加的付款和（或）延长的工期，并在收到上述索赔通知书或有关索赔的进一步证明材料后的</w:t>
      </w:r>
      <w:r>
        <w:t>42</w:t>
      </w:r>
      <w:r>
        <w:rPr>
          <w:rFonts w:hint="eastAsia"/>
        </w:rPr>
        <w:t>天内，将索赔处理结果答复承包人。</w:t>
      </w:r>
    </w:p>
    <w:p>
      <w:pPr>
        <w:spacing w:line="400" w:lineRule="exact"/>
        <w:ind w:firstLine="376" w:firstLineChars="171"/>
        <w:rPr>
          <w:rFonts w:cs="Times New Roman"/>
        </w:rPr>
      </w:pPr>
      <w:r>
        <w:rPr>
          <w:rFonts w:hint="eastAsia"/>
        </w:rPr>
        <w:t>（</w:t>
      </w:r>
      <w:r>
        <w:t>3</w:t>
      </w:r>
      <w:r>
        <w:rPr>
          <w:rFonts w:hint="eastAsia"/>
        </w:rPr>
        <w:t>）承包人接受索赔处理结果的，发包人应在作出索赔处理结果答复后</w:t>
      </w:r>
      <w:r>
        <w:t>28</w:t>
      </w:r>
      <w:r>
        <w:rPr>
          <w:rFonts w:hint="eastAsia"/>
        </w:rPr>
        <w:t>天内完成赔付。承包人不接受索赔处理结果的，按第</w:t>
      </w:r>
      <w:r>
        <w:t>24</w:t>
      </w:r>
      <w:r>
        <w:rPr>
          <w:rFonts w:hint="eastAsia"/>
        </w:rPr>
        <w:t>条的约定办理。</w:t>
      </w:r>
    </w:p>
    <w:p>
      <w:pPr>
        <w:pStyle w:val="52"/>
        <w:rPr>
          <w:rFonts w:cs="Times New Roman"/>
          <w:sz w:val="21"/>
          <w:szCs w:val="21"/>
        </w:rPr>
      </w:pPr>
      <w:bookmarkStart w:id="734" w:name="_Toc152045760"/>
      <w:bookmarkStart w:id="735" w:name="_Toc144974730"/>
      <w:bookmarkStart w:id="736" w:name="_Toc152042539"/>
      <w:bookmarkStart w:id="737" w:name="_Toc309397438"/>
      <w:bookmarkStart w:id="738" w:name="_Toc179632778"/>
      <w:r>
        <w:rPr>
          <w:sz w:val="21"/>
          <w:szCs w:val="21"/>
        </w:rPr>
        <w:t xml:space="preserve">23.3 </w:t>
      </w:r>
      <w:r>
        <w:rPr>
          <w:rFonts w:hint="eastAsia" w:cs="黑体"/>
          <w:sz w:val="21"/>
          <w:szCs w:val="21"/>
        </w:rPr>
        <w:t>承包人提出索赔的期限</w:t>
      </w:r>
      <w:bookmarkEnd w:id="734"/>
      <w:bookmarkEnd w:id="735"/>
      <w:bookmarkEnd w:id="736"/>
      <w:bookmarkEnd w:id="737"/>
      <w:bookmarkEnd w:id="738"/>
    </w:p>
    <w:p>
      <w:pPr>
        <w:spacing w:line="400" w:lineRule="exact"/>
        <w:ind w:firstLine="440" w:firstLineChars="200"/>
        <w:rPr>
          <w:rFonts w:cs="Times New Roman"/>
        </w:rPr>
      </w:pPr>
      <w:r>
        <w:t xml:space="preserve">23.3.1 </w:t>
      </w:r>
      <w:r>
        <w:rPr>
          <w:rFonts w:hint="eastAsia"/>
        </w:rPr>
        <w:t>承包人按第</w:t>
      </w:r>
      <w:r>
        <w:t>17.5</w:t>
      </w:r>
      <w:r>
        <w:rPr>
          <w:rFonts w:hint="eastAsia"/>
        </w:rPr>
        <w:t>款的约定接受了竣工付款证书后，应被认为已无权再提出在合同工程接收证书颁发前所发生的任何索赔。</w:t>
      </w:r>
    </w:p>
    <w:p>
      <w:pPr>
        <w:spacing w:line="400" w:lineRule="exact"/>
        <w:ind w:firstLine="440" w:firstLineChars="200"/>
      </w:pPr>
      <w:r>
        <w:t xml:space="preserve">23.3.2 </w:t>
      </w:r>
      <w:r>
        <w:rPr>
          <w:rFonts w:hint="eastAsia"/>
        </w:rPr>
        <w:t>承包人按第</w:t>
      </w:r>
      <w:r>
        <w:t>17.6</w:t>
      </w:r>
      <w:r>
        <w:rPr>
          <w:rFonts w:hint="eastAsia"/>
        </w:rPr>
        <w:t>款的约定提交的最终结清申请单中，只限于提出工程接收证书颁发后发生的索赔。提出索赔的期限自接受最终结清证书时终止。</w:t>
      </w:r>
      <w:r>
        <w:t xml:space="preserve"> </w:t>
      </w:r>
    </w:p>
    <w:p>
      <w:pPr>
        <w:pStyle w:val="52"/>
        <w:rPr>
          <w:rFonts w:cs="Times New Roman"/>
          <w:sz w:val="21"/>
          <w:szCs w:val="21"/>
        </w:rPr>
      </w:pPr>
      <w:bookmarkStart w:id="739" w:name="_Toc152045761"/>
      <w:bookmarkStart w:id="740" w:name="_Toc309397439"/>
      <w:bookmarkStart w:id="741" w:name="_Toc179632779"/>
      <w:bookmarkStart w:id="742" w:name="_Toc152042540"/>
      <w:bookmarkStart w:id="743" w:name="_Toc144974731"/>
      <w:r>
        <w:rPr>
          <w:sz w:val="21"/>
          <w:szCs w:val="21"/>
        </w:rPr>
        <w:t xml:space="preserve">23.4 </w:t>
      </w:r>
      <w:r>
        <w:rPr>
          <w:rFonts w:hint="eastAsia" w:cs="黑体"/>
          <w:sz w:val="21"/>
          <w:szCs w:val="21"/>
        </w:rPr>
        <w:t>发包人的索赔</w:t>
      </w:r>
      <w:bookmarkEnd w:id="739"/>
      <w:bookmarkEnd w:id="740"/>
      <w:bookmarkEnd w:id="741"/>
      <w:bookmarkEnd w:id="742"/>
      <w:bookmarkEnd w:id="743"/>
    </w:p>
    <w:p>
      <w:pPr>
        <w:spacing w:line="400" w:lineRule="exact"/>
        <w:ind w:firstLine="440" w:firstLineChars="200"/>
        <w:rPr>
          <w:rFonts w:cs="Times New Roman"/>
        </w:rPr>
      </w:pPr>
      <w:r>
        <w:t xml:space="preserve">23.4.1 </w:t>
      </w:r>
      <w:r>
        <w:rPr>
          <w:rFonts w:hint="eastAsia"/>
        </w:rPr>
        <w:t>发生索赔事件后，监理人应及时书面通知承包人，详细说明发包人有权得到的索赔金额和（或）延长缺陷责任期的细节和依据。发包人提出索赔的期限和要求与第</w:t>
      </w:r>
      <w:r>
        <w:t>23.3</w:t>
      </w:r>
      <w:r>
        <w:rPr>
          <w:rFonts w:hint="eastAsia"/>
        </w:rPr>
        <w:t>款的约定相同，延长缺陷责任期的通知应在缺陷责任期届满前发出。</w:t>
      </w:r>
    </w:p>
    <w:p>
      <w:pPr>
        <w:spacing w:line="400" w:lineRule="exact"/>
        <w:ind w:firstLine="440" w:firstLineChars="200"/>
        <w:rPr>
          <w:rFonts w:cs="Times New Roman"/>
        </w:rPr>
      </w:pPr>
      <w:r>
        <w:t xml:space="preserve">23.4.2 </w:t>
      </w:r>
      <w:r>
        <w:rPr>
          <w:rFonts w:hint="eastAsia"/>
        </w:rPr>
        <w:t>监理人按第</w:t>
      </w:r>
      <w:r>
        <w:t>3.5</w:t>
      </w:r>
      <w:r>
        <w:rPr>
          <w:rFonts w:hint="eastAsia"/>
        </w:rPr>
        <w:t>款商定或确定发包人从承包人处得到赔付的金额和（或）缺陷责任期的延长期。承包人应付给发包人的金额可从拟支付给承包人的合同价款中扣除，或由承包人以其他方式支付给发包人。</w:t>
      </w:r>
    </w:p>
    <w:p>
      <w:pPr>
        <w:pStyle w:val="51"/>
        <w:rPr>
          <w:sz w:val="21"/>
          <w:szCs w:val="21"/>
        </w:rPr>
      </w:pPr>
      <w:bookmarkStart w:id="744" w:name="_Toc152042541"/>
      <w:bookmarkStart w:id="745" w:name="_Toc144974732"/>
      <w:bookmarkStart w:id="746" w:name="_Toc309397440"/>
      <w:bookmarkStart w:id="747" w:name="_Toc179632780"/>
      <w:bookmarkStart w:id="748" w:name="_Toc152045762"/>
      <w:r>
        <w:rPr>
          <w:sz w:val="21"/>
          <w:szCs w:val="21"/>
        </w:rPr>
        <w:t xml:space="preserve">24. </w:t>
      </w:r>
      <w:r>
        <w:rPr>
          <w:rFonts w:hint="eastAsia" w:cs="宋体"/>
          <w:sz w:val="21"/>
          <w:szCs w:val="21"/>
        </w:rPr>
        <w:t>争议的解决</w:t>
      </w:r>
      <w:bookmarkEnd w:id="744"/>
      <w:bookmarkEnd w:id="745"/>
      <w:bookmarkEnd w:id="746"/>
      <w:bookmarkEnd w:id="747"/>
      <w:bookmarkEnd w:id="748"/>
    </w:p>
    <w:p>
      <w:pPr>
        <w:pStyle w:val="52"/>
        <w:rPr>
          <w:rFonts w:cs="Times New Roman"/>
          <w:sz w:val="21"/>
          <w:szCs w:val="21"/>
        </w:rPr>
      </w:pPr>
      <w:bookmarkStart w:id="749" w:name="_Toc309397441"/>
      <w:bookmarkStart w:id="750" w:name="_Toc152042542"/>
      <w:bookmarkStart w:id="751" w:name="_Toc144974733"/>
      <w:bookmarkStart w:id="752" w:name="_Toc152045763"/>
      <w:bookmarkStart w:id="753" w:name="_Toc179632781"/>
      <w:r>
        <w:rPr>
          <w:sz w:val="21"/>
          <w:szCs w:val="21"/>
        </w:rPr>
        <w:t xml:space="preserve">24.1 </w:t>
      </w:r>
      <w:r>
        <w:rPr>
          <w:rFonts w:hint="eastAsia" w:cs="黑体"/>
          <w:sz w:val="21"/>
          <w:szCs w:val="21"/>
        </w:rPr>
        <w:t>争议的解决方式</w:t>
      </w:r>
      <w:bookmarkEnd w:id="749"/>
      <w:bookmarkEnd w:id="750"/>
      <w:bookmarkEnd w:id="751"/>
      <w:bookmarkEnd w:id="752"/>
      <w:bookmarkEnd w:id="753"/>
    </w:p>
    <w:p>
      <w:pPr>
        <w:spacing w:line="400" w:lineRule="exact"/>
        <w:ind w:firstLine="440" w:firstLineChars="200"/>
        <w:rPr>
          <w:rFonts w:cs="Times New Roman"/>
        </w:rPr>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cs="Times New Roman"/>
        </w:rPr>
      </w:pPr>
      <w:r>
        <w:rPr>
          <w:rFonts w:hint="eastAsia"/>
        </w:rPr>
        <w:t>（</w:t>
      </w:r>
      <w:r>
        <w:t>1</w:t>
      </w:r>
      <w:r>
        <w:rPr>
          <w:rFonts w:hint="eastAsia"/>
        </w:rPr>
        <w:t>）向约定的仲裁委员会申请仲裁；</w:t>
      </w:r>
    </w:p>
    <w:p>
      <w:pPr>
        <w:spacing w:line="400" w:lineRule="exact"/>
        <w:ind w:firstLine="440" w:firstLineChars="200"/>
        <w:rPr>
          <w:rFonts w:cs="Times New Roman"/>
        </w:rPr>
      </w:pPr>
      <w:r>
        <w:rPr>
          <w:rFonts w:hint="eastAsia"/>
        </w:rPr>
        <w:t>（</w:t>
      </w:r>
      <w:r>
        <w:t>2</w:t>
      </w:r>
      <w:r>
        <w:rPr>
          <w:rFonts w:hint="eastAsia"/>
        </w:rPr>
        <w:t>）向有管辖权的人民法院提起诉讼。</w:t>
      </w:r>
    </w:p>
    <w:p>
      <w:pPr>
        <w:pStyle w:val="52"/>
        <w:rPr>
          <w:rFonts w:cs="Times New Roman"/>
          <w:sz w:val="21"/>
          <w:szCs w:val="21"/>
        </w:rPr>
      </w:pPr>
      <w:bookmarkStart w:id="754" w:name="_Toc152042543"/>
      <w:bookmarkStart w:id="755" w:name="_Toc152045764"/>
      <w:bookmarkStart w:id="756" w:name="_Toc309397442"/>
      <w:bookmarkStart w:id="757" w:name="_Toc179632782"/>
      <w:bookmarkStart w:id="758" w:name="_Toc144974734"/>
      <w:r>
        <w:rPr>
          <w:sz w:val="21"/>
          <w:szCs w:val="21"/>
        </w:rPr>
        <w:t xml:space="preserve">24.2 </w:t>
      </w:r>
      <w:r>
        <w:rPr>
          <w:rFonts w:hint="eastAsia" w:cs="黑体"/>
          <w:sz w:val="21"/>
          <w:szCs w:val="21"/>
        </w:rPr>
        <w:t>友好解决</w:t>
      </w:r>
      <w:bookmarkEnd w:id="754"/>
      <w:bookmarkEnd w:id="755"/>
      <w:bookmarkEnd w:id="756"/>
      <w:bookmarkEnd w:id="757"/>
      <w:bookmarkEnd w:id="758"/>
    </w:p>
    <w:p>
      <w:pPr>
        <w:spacing w:line="400" w:lineRule="exact"/>
        <w:ind w:firstLine="440" w:firstLineChars="200"/>
        <w:rPr>
          <w:rFonts w:cs="Times New Roman"/>
        </w:rPr>
      </w:pPr>
      <w:r>
        <w:rPr>
          <w:rFonts w:hint="eastAsia"/>
        </w:rPr>
        <w:t>在提请争议评审、仲裁或者诉讼前，以及在争议评审、仲裁或诉讼过程中，发包人和承包人均可共同努力友好协商解决争议。</w:t>
      </w:r>
    </w:p>
    <w:p>
      <w:pPr>
        <w:pStyle w:val="52"/>
        <w:rPr>
          <w:rFonts w:cs="Times New Roman"/>
          <w:sz w:val="21"/>
          <w:szCs w:val="21"/>
        </w:rPr>
      </w:pPr>
      <w:bookmarkStart w:id="759" w:name="_Toc152042544"/>
      <w:bookmarkStart w:id="760" w:name="_Toc144974735"/>
      <w:bookmarkStart w:id="761" w:name="_Toc152045765"/>
      <w:bookmarkStart w:id="762" w:name="_Toc309397443"/>
      <w:bookmarkStart w:id="763" w:name="_Toc179632783"/>
      <w:r>
        <w:rPr>
          <w:sz w:val="21"/>
          <w:szCs w:val="21"/>
        </w:rPr>
        <w:t xml:space="preserve">24.3 </w:t>
      </w:r>
      <w:r>
        <w:rPr>
          <w:rFonts w:hint="eastAsia" w:cs="黑体"/>
          <w:sz w:val="21"/>
          <w:szCs w:val="21"/>
        </w:rPr>
        <w:t>争议评审</w:t>
      </w:r>
      <w:bookmarkEnd w:id="759"/>
      <w:bookmarkEnd w:id="760"/>
      <w:bookmarkEnd w:id="761"/>
      <w:bookmarkEnd w:id="762"/>
      <w:bookmarkEnd w:id="763"/>
    </w:p>
    <w:p>
      <w:pPr>
        <w:spacing w:line="400" w:lineRule="exact"/>
        <w:ind w:firstLine="440" w:firstLineChars="200"/>
        <w:rPr>
          <w:rFonts w:cs="Times New Roman"/>
        </w:rPr>
      </w:pPr>
      <w:r>
        <w:t xml:space="preserve">24.3.1 </w:t>
      </w:r>
      <w:r>
        <w:rPr>
          <w:rFonts w:hint="eastAsia"/>
        </w:rPr>
        <w:t>采用争议评审的，发包人和承包人应在开工日后的</w:t>
      </w:r>
      <w:r>
        <w:t>28</w:t>
      </w:r>
      <w:r>
        <w:rPr>
          <w:rFonts w:hint="eastAsia"/>
        </w:rPr>
        <w:t>天内或在争议发生后，协商成立争议评审组。争议评审组由有合同管理和工程实践经验的专家组成。</w:t>
      </w:r>
    </w:p>
    <w:p>
      <w:pPr>
        <w:spacing w:line="400" w:lineRule="exact"/>
        <w:ind w:firstLine="440" w:firstLineChars="200"/>
        <w:rPr>
          <w:rFonts w:cs="Times New Roman"/>
        </w:rPr>
      </w:pPr>
      <w:r>
        <w:t xml:space="preserve">24.3.2 </w:t>
      </w:r>
      <w:r>
        <w:rPr>
          <w:rFonts w:hint="eastAsia"/>
        </w:rPr>
        <w:t>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cs="Times New Roman"/>
        </w:rPr>
      </w:pPr>
      <w:r>
        <w:t xml:space="preserve">24.3.3 </w:t>
      </w:r>
      <w:r>
        <w:rPr>
          <w:rFonts w:hint="eastAsia"/>
        </w:rPr>
        <w:t>被申请人在收到申请人评审申请报告副本后的</w:t>
      </w:r>
      <w:r>
        <w:t>28</w:t>
      </w:r>
      <w:r>
        <w:rPr>
          <w:rFonts w:hint="eastAsia"/>
        </w:rPr>
        <w:t>天内，向争议评审组提交一份答辩报告，并附证明材料。被申请人应将答辩报告的副本同时提交给申请人和监理人。</w:t>
      </w:r>
    </w:p>
    <w:p>
      <w:pPr>
        <w:spacing w:line="400" w:lineRule="exact"/>
        <w:ind w:firstLine="440" w:firstLineChars="200"/>
        <w:rPr>
          <w:rFonts w:cs="Times New Roman"/>
        </w:rPr>
      </w:pPr>
      <w:r>
        <w:t xml:space="preserve">24.3.4 </w:t>
      </w:r>
      <w:r>
        <w:rPr>
          <w:rFonts w:hint="eastAsia"/>
        </w:rPr>
        <w:t>除专用合同条款另有约定外，争议评审组在收到合同双方报告后的</w:t>
      </w:r>
      <w:r>
        <w:t>14</w:t>
      </w:r>
      <w:r>
        <w:rPr>
          <w:rFonts w:hint="eastAsia"/>
        </w:rPr>
        <w:t>天内，邀请双方代表和有关人员举行调查会，向双方调查争议细节；必要时争议评审组可要求双方进一步提供补充材料。</w:t>
      </w:r>
    </w:p>
    <w:p>
      <w:pPr>
        <w:spacing w:line="400" w:lineRule="exact"/>
        <w:ind w:firstLine="440" w:firstLineChars="200"/>
        <w:rPr>
          <w:rFonts w:cs="Times New Roman"/>
        </w:rPr>
      </w:pPr>
      <w:r>
        <w:t xml:space="preserve">24.3.5 </w:t>
      </w:r>
      <w:r>
        <w:rPr>
          <w:rFonts w:hint="eastAsia"/>
        </w:rPr>
        <w:t>除专用合同条款另有约定外，在调查会结束后的</w:t>
      </w:r>
      <w:r>
        <w:t>14</w:t>
      </w:r>
      <w:r>
        <w:rPr>
          <w:rFonts w:hint="eastAsia"/>
        </w:rPr>
        <w:t>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cs="Times New Roman"/>
        </w:rPr>
      </w:pPr>
      <w:r>
        <w:t xml:space="preserve">24.3.6 </w:t>
      </w:r>
      <w:r>
        <w:rPr>
          <w:rFonts w:hint="eastAsia"/>
        </w:rPr>
        <w:t>发包人和承包人接受评审意见的，由监理人根据评审意见拟定执行协议，经争议双方签字后作为合同的补充文件，并遵照执行。</w:t>
      </w:r>
    </w:p>
    <w:p>
      <w:pPr>
        <w:spacing w:line="400" w:lineRule="exact"/>
        <w:ind w:firstLine="440" w:firstLineChars="200"/>
        <w:rPr>
          <w:rFonts w:cs="Times New Roman"/>
        </w:rPr>
      </w:pPr>
      <w:r>
        <w:t xml:space="preserve">24.3.7 </w:t>
      </w:r>
      <w:r>
        <w:rPr>
          <w:rFonts w:hint="eastAsia"/>
        </w:rPr>
        <w:t>发包人或承包人不接受评审意见，并要求提交仲裁或提起诉讼的，应在收到评审意见后的</w:t>
      </w:r>
      <w:r>
        <w:t>14</w:t>
      </w:r>
      <w:r>
        <w:rPr>
          <w:rFonts w:hint="eastAsia"/>
        </w:rPr>
        <w:t>天内将仲裁或起诉意向书面通知另一方，并抄送监理人，但在仲裁或诉讼结束前应暂按总监理工程师的确定执行。</w:t>
      </w:r>
    </w:p>
    <w:p>
      <w:pPr>
        <w:rPr>
          <w:rFonts w:cs="Times New Roman"/>
        </w:rPr>
      </w:pPr>
    </w:p>
    <w:p>
      <w:pPr>
        <w:rPr>
          <w:rFonts w:cs="Times New Roman"/>
        </w:rPr>
      </w:pPr>
    </w:p>
    <w:p>
      <w:pPr>
        <w:rPr>
          <w:rFonts w:cs="Times New Roman"/>
        </w:rPr>
      </w:pPr>
    </w:p>
    <w:p>
      <w:pPr>
        <w:rPr>
          <w:rFonts w:cs="Times New Roman"/>
        </w:rPr>
      </w:pPr>
    </w:p>
    <w:p>
      <w:pPr>
        <w:pStyle w:val="3"/>
        <w:spacing w:after="120"/>
        <w:rPr>
          <w:rFonts w:ascii="黑体" w:eastAsia="黑体" w:cs="Times New Roman"/>
        </w:rPr>
      </w:pPr>
      <w:bookmarkStart w:id="764" w:name="_Toc309397444"/>
      <w:r>
        <w:rPr>
          <w:rFonts w:ascii="黑体" w:eastAsia="黑体" w:cs="Times New Roman"/>
        </w:rPr>
        <w:br w:type="page"/>
      </w:r>
      <w:r>
        <w:rPr>
          <w:rFonts w:hint="eastAsia" w:ascii="黑体" w:eastAsia="黑体" w:cs="黑体"/>
          <w:b w:val="0"/>
          <w:bCs w:val="0"/>
          <w:sz w:val="36"/>
          <w:szCs w:val="36"/>
        </w:rPr>
        <w:t>第二节</w:t>
      </w:r>
      <w:r>
        <w:rPr>
          <w:rFonts w:ascii="黑体" w:eastAsia="黑体" w:cs="黑体"/>
          <w:b w:val="0"/>
          <w:bCs w:val="0"/>
          <w:sz w:val="36"/>
          <w:szCs w:val="36"/>
        </w:rPr>
        <w:t xml:space="preserve">  </w:t>
      </w:r>
      <w:r>
        <w:rPr>
          <w:rFonts w:ascii="黑体" w:eastAsia="黑体" w:cs="黑体"/>
          <w:b w:val="0"/>
          <w:bCs w:val="0"/>
          <w:sz w:val="36"/>
          <w:szCs w:val="36"/>
        </w:rPr>
        <w:tab/>
      </w:r>
      <w:r>
        <w:rPr>
          <w:rFonts w:hint="eastAsia" w:ascii="黑体" w:eastAsia="黑体" w:cs="黑体"/>
          <w:b w:val="0"/>
          <w:bCs w:val="0"/>
          <w:sz w:val="36"/>
          <w:szCs w:val="36"/>
        </w:rPr>
        <w:t>专用合同条款</w:t>
      </w:r>
      <w:bookmarkEnd w:id="764"/>
    </w:p>
    <w:p>
      <w:pPr>
        <w:numPr>
          <w:ilvl w:val="1"/>
          <w:numId w:val="32"/>
        </w:numPr>
        <w:jc w:val="center"/>
        <w:rPr>
          <w:rFonts w:ascii="黑体" w:eastAsia="黑体" w:cs="Times New Roman"/>
          <w:sz w:val="36"/>
          <w:szCs w:val="36"/>
        </w:rPr>
      </w:pPr>
      <w:r>
        <w:rPr>
          <w:rFonts w:hint="eastAsia" w:ascii="黑体" w:eastAsia="黑体" w:cs="黑体"/>
          <w:sz w:val="36"/>
          <w:szCs w:val="36"/>
        </w:rPr>
        <w:t>公路行业标准专用合同条款</w:t>
      </w:r>
    </w:p>
    <w:p>
      <w:pPr>
        <w:pStyle w:val="3"/>
        <w:spacing w:beforeLines="50" w:line="400" w:lineRule="exact"/>
        <w:rPr>
          <w:rFonts w:cs="Times New Roman"/>
          <w:sz w:val="28"/>
          <w:szCs w:val="28"/>
        </w:rPr>
      </w:pPr>
      <w:bookmarkStart w:id="765" w:name="_Toc309397445"/>
      <w:r>
        <w:rPr>
          <w:sz w:val="28"/>
          <w:szCs w:val="28"/>
        </w:rPr>
        <w:t>1</w:t>
      </w:r>
      <w:r>
        <w:rPr>
          <w:rFonts w:hint="eastAsia"/>
          <w:sz w:val="28"/>
          <w:szCs w:val="28"/>
        </w:rPr>
        <w:t>．一般约定</w:t>
      </w:r>
      <w:bookmarkEnd w:id="765"/>
    </w:p>
    <w:p>
      <w:pPr>
        <w:pStyle w:val="3"/>
        <w:spacing w:beforeLines="50" w:line="400" w:lineRule="exact"/>
        <w:rPr>
          <w:rFonts w:cs="Times New Roman"/>
          <w:sz w:val="21"/>
          <w:szCs w:val="21"/>
        </w:rPr>
      </w:pPr>
      <w:bookmarkStart w:id="766" w:name="_Toc309397446"/>
      <w:r>
        <w:rPr>
          <w:sz w:val="21"/>
          <w:szCs w:val="21"/>
        </w:rPr>
        <w:t>1.1</w:t>
      </w:r>
      <w:r>
        <w:rPr>
          <w:rFonts w:hint="eastAsia"/>
          <w:sz w:val="21"/>
          <w:szCs w:val="21"/>
        </w:rPr>
        <w:t>词语定义</w:t>
      </w:r>
      <w:bookmarkEnd w:id="766"/>
    </w:p>
    <w:p>
      <w:pPr>
        <w:spacing w:line="400" w:lineRule="exact"/>
        <w:ind w:firstLine="440" w:firstLineChars="200"/>
        <w:rPr>
          <w:rFonts w:cs="Times New Roman"/>
        </w:rPr>
      </w:pPr>
      <w:r>
        <w:t>1.1.1</w:t>
      </w:r>
      <w:r>
        <w:rPr>
          <w:rFonts w:hint="eastAsia"/>
        </w:rPr>
        <w:t>合同</w:t>
      </w:r>
    </w:p>
    <w:p>
      <w:pPr>
        <w:spacing w:line="400" w:lineRule="exact"/>
        <w:ind w:firstLine="440" w:firstLineChars="200"/>
        <w:rPr>
          <w:rFonts w:cs="Times New Roman"/>
        </w:rPr>
      </w:pPr>
      <w:r>
        <w:rPr>
          <w:rFonts w:hint="eastAsia"/>
        </w:rPr>
        <w:t>第</w:t>
      </w:r>
      <w:r>
        <w:t>1.1.1.6</w:t>
      </w:r>
      <w:r>
        <w:rPr>
          <w:rFonts w:hint="eastAsia"/>
        </w:rPr>
        <w:t>目细化为：</w:t>
      </w:r>
    </w:p>
    <w:p>
      <w:pPr>
        <w:spacing w:line="400" w:lineRule="exact"/>
        <w:ind w:firstLine="440" w:firstLineChars="200"/>
        <w:rPr>
          <w:rFonts w:cs="Times New Roman"/>
        </w:rPr>
      </w:pPr>
      <w:r>
        <w:rPr>
          <w:rFonts w:hint="eastAsia"/>
        </w:rPr>
        <w:t>技术规范：为本合同所约定的技术标准和要求，是合同文件的组成部分。通用合同条款中“技术标准和要求”一词具有相同含义。</w:t>
      </w:r>
    </w:p>
    <w:p>
      <w:pPr>
        <w:spacing w:line="400" w:lineRule="exact"/>
        <w:ind w:firstLine="440" w:firstLineChars="200"/>
        <w:rPr>
          <w:rFonts w:cs="Times New Roman"/>
        </w:rPr>
      </w:pPr>
      <w:r>
        <w:rPr>
          <w:rFonts w:hint="eastAsia"/>
        </w:rPr>
        <w:t>第</w:t>
      </w:r>
      <w:r>
        <w:t>1.1.1.8</w:t>
      </w:r>
      <w:r>
        <w:rPr>
          <w:rFonts w:hint="eastAsia"/>
        </w:rPr>
        <w:t>目细化为：</w:t>
      </w:r>
    </w:p>
    <w:p>
      <w:pPr>
        <w:spacing w:line="400" w:lineRule="exact"/>
        <w:ind w:firstLine="440" w:firstLineChars="200"/>
        <w:rPr>
          <w:rFonts w:cs="Times New Roman"/>
        </w:rPr>
      </w:pPr>
      <w:r>
        <w:rPr>
          <w:rFonts w:hint="eastAsia"/>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t>5.1</w:t>
      </w:r>
      <w:r>
        <w:rPr>
          <w:rFonts w:hint="eastAsia"/>
        </w:rPr>
        <w:t>～表</w:t>
      </w:r>
      <w:r>
        <w:t>5.5</w:t>
      </w:r>
      <w:r>
        <w:rPr>
          <w:rFonts w:hint="eastAsia"/>
        </w:rPr>
        <w:t>）。</w:t>
      </w:r>
    </w:p>
    <w:p>
      <w:pPr>
        <w:spacing w:line="400" w:lineRule="exact"/>
        <w:ind w:firstLine="440" w:firstLineChars="200"/>
        <w:rPr>
          <w:rFonts w:cs="Times New Roman"/>
        </w:rPr>
      </w:pPr>
      <w:r>
        <w:rPr>
          <w:rFonts w:hint="eastAsia"/>
        </w:rPr>
        <w:t>本项补充第</w:t>
      </w:r>
      <w:r>
        <w:t>1.1.1.10</w:t>
      </w:r>
      <w:r>
        <w:rPr>
          <w:rFonts w:hint="eastAsia"/>
        </w:rPr>
        <w:t>目：</w:t>
      </w:r>
    </w:p>
    <w:p>
      <w:pPr>
        <w:spacing w:line="400" w:lineRule="exact"/>
        <w:ind w:firstLine="440" w:firstLineChars="200"/>
        <w:rPr>
          <w:rFonts w:cs="Times New Roman"/>
        </w:rPr>
      </w:pPr>
      <w:r>
        <w:t>1.1.1.10</w:t>
      </w:r>
      <w:r>
        <w:rPr>
          <w:rFonts w:hint="eastAsia"/>
        </w:rPr>
        <w:t>补遗书：指发出招标文件之后由招标人向已取得招标文件的投标人发出的、编号的对招标文件所作的澄清、修改书。</w:t>
      </w:r>
    </w:p>
    <w:p>
      <w:pPr>
        <w:spacing w:line="400" w:lineRule="exact"/>
        <w:ind w:firstLine="440" w:firstLineChars="200"/>
        <w:rPr>
          <w:rFonts w:cs="Times New Roman"/>
        </w:rPr>
      </w:pPr>
      <w:r>
        <w:t>1.1.2</w:t>
      </w:r>
      <w:r>
        <w:rPr>
          <w:rFonts w:hint="eastAsia"/>
        </w:rPr>
        <w:t>合同当事人和人员</w:t>
      </w:r>
    </w:p>
    <w:p>
      <w:pPr>
        <w:spacing w:line="400" w:lineRule="exact"/>
        <w:ind w:firstLine="440" w:firstLineChars="200"/>
        <w:rPr>
          <w:rFonts w:cs="Times New Roman"/>
        </w:rPr>
      </w:pPr>
      <w:r>
        <w:rPr>
          <w:rFonts w:hint="eastAsia"/>
        </w:rPr>
        <w:t>本项补充第</w:t>
      </w:r>
      <w:r>
        <w:t>1.1.2.8</w:t>
      </w:r>
      <w:r>
        <w:rPr>
          <w:rFonts w:hint="eastAsia"/>
        </w:rPr>
        <w:t>目：</w:t>
      </w:r>
    </w:p>
    <w:p>
      <w:pPr>
        <w:spacing w:line="400" w:lineRule="exact"/>
        <w:ind w:firstLine="440" w:firstLineChars="200"/>
        <w:rPr>
          <w:rFonts w:cs="Times New Roman"/>
        </w:rPr>
      </w:pPr>
      <w:r>
        <w:t xml:space="preserve">1.1.2.8 </w:t>
      </w:r>
      <w:r>
        <w:rPr>
          <w:rFonts w:hint="eastAsia"/>
        </w:rPr>
        <w:t>承包人项目总工：指由承包人书面委派常驻现场负责管理本合同工程的总工程师或技术总负责人。</w:t>
      </w:r>
    </w:p>
    <w:p>
      <w:pPr>
        <w:spacing w:line="400" w:lineRule="exact"/>
        <w:ind w:firstLine="440" w:firstLineChars="200"/>
        <w:rPr>
          <w:rFonts w:cs="Times New Roman"/>
        </w:rPr>
      </w:pPr>
      <w:r>
        <w:t xml:space="preserve">1.1.3 </w:t>
      </w:r>
      <w:r>
        <w:rPr>
          <w:rFonts w:hint="eastAsia"/>
        </w:rPr>
        <w:t>工程和设备</w:t>
      </w:r>
    </w:p>
    <w:p>
      <w:pPr>
        <w:spacing w:line="400" w:lineRule="exact"/>
        <w:ind w:firstLine="440" w:firstLineChars="200"/>
        <w:rPr>
          <w:rFonts w:cs="Times New Roman"/>
        </w:rPr>
      </w:pPr>
      <w:r>
        <w:rPr>
          <w:rFonts w:hint="eastAsia"/>
        </w:rPr>
        <w:t>第</w:t>
      </w:r>
      <w:r>
        <w:t>1.1.3.4</w:t>
      </w:r>
      <w:r>
        <w:rPr>
          <w:rFonts w:hint="eastAsia"/>
        </w:rPr>
        <w:t>目细化为：</w:t>
      </w:r>
    </w:p>
    <w:p>
      <w:pPr>
        <w:spacing w:line="400" w:lineRule="exact"/>
        <w:ind w:firstLine="440" w:firstLineChars="200"/>
        <w:rPr>
          <w:rFonts w:cs="Times New Roman"/>
        </w:rPr>
      </w:pPr>
      <w:r>
        <w:rPr>
          <w:rFonts w:hint="eastAsia"/>
        </w:rPr>
        <w:t>单位工程：指在建设项目中，根据签订的合同，具有独立施工条件的工程。</w:t>
      </w:r>
    </w:p>
    <w:p>
      <w:pPr>
        <w:spacing w:line="400" w:lineRule="exact"/>
        <w:ind w:firstLine="440" w:firstLineChars="200"/>
        <w:rPr>
          <w:rFonts w:cs="Times New Roman"/>
        </w:rPr>
      </w:pPr>
      <w:r>
        <w:t>1.1.3.10</w:t>
      </w:r>
      <w:r>
        <w:rPr>
          <w:rFonts w:hint="eastAsia"/>
        </w:rPr>
        <w:t>目细化为：</w:t>
      </w:r>
    </w:p>
    <w:p>
      <w:pPr>
        <w:spacing w:line="400" w:lineRule="exact"/>
        <w:ind w:firstLine="440" w:firstLineChars="200"/>
        <w:rPr>
          <w:rFonts w:cs="Times New Roman"/>
        </w:rPr>
      </w:pPr>
      <w:r>
        <w:rPr>
          <w:rFonts w:hint="eastAsia"/>
        </w:rPr>
        <w:t>永久占地：指为实施本合同工程而需要的一切永久占用的土地，包括公路两侧路权范围内的用地。</w:t>
      </w:r>
    </w:p>
    <w:p>
      <w:pPr>
        <w:spacing w:line="400" w:lineRule="exact"/>
        <w:ind w:firstLine="440" w:firstLineChars="200"/>
        <w:rPr>
          <w:rFonts w:cs="Times New Roman"/>
        </w:rPr>
      </w:pPr>
      <w:r>
        <w:rPr>
          <w:rFonts w:hint="eastAsia"/>
        </w:rPr>
        <w:t>第</w:t>
      </w:r>
      <w:r>
        <w:t>1.1.3.11</w:t>
      </w:r>
      <w:r>
        <w:rPr>
          <w:rFonts w:hint="eastAsia"/>
        </w:rPr>
        <w:t>目细化为：</w:t>
      </w:r>
    </w:p>
    <w:p>
      <w:pPr>
        <w:spacing w:line="400" w:lineRule="exact"/>
        <w:ind w:firstLine="440" w:firstLineChars="200"/>
        <w:rPr>
          <w:rFonts w:cs="Times New Roman"/>
        </w:rPr>
      </w:pPr>
      <w:r>
        <w:rPr>
          <w:rFonts w:hint="eastAsia"/>
        </w:rPr>
        <w:t>临时占地：指为实施本合同工程而需要的一切临时占用的土地，包括施工所用的临时支线、便道、便桥和现场的临时出入通道，以及生产（办公）、生活等临时设施用地等。</w:t>
      </w:r>
    </w:p>
    <w:p>
      <w:pPr>
        <w:spacing w:line="400" w:lineRule="exact"/>
        <w:ind w:firstLine="440" w:firstLineChars="200"/>
        <w:rPr>
          <w:rFonts w:cs="Times New Roman"/>
        </w:rPr>
      </w:pPr>
      <w:r>
        <w:rPr>
          <w:rFonts w:hint="eastAsia"/>
        </w:rPr>
        <w:t>本项补充第</w:t>
      </w:r>
      <w:r>
        <w:t>1.1.3.12</w:t>
      </w:r>
      <w:r>
        <w:rPr>
          <w:rFonts w:hint="eastAsia"/>
        </w:rPr>
        <w:t>目、第</w:t>
      </w:r>
      <w:r>
        <w:t>1.1.3.13</w:t>
      </w:r>
      <w:r>
        <w:rPr>
          <w:rFonts w:hint="eastAsia"/>
        </w:rPr>
        <w:t>目：</w:t>
      </w:r>
    </w:p>
    <w:p>
      <w:pPr>
        <w:spacing w:line="400" w:lineRule="exact"/>
        <w:ind w:firstLine="440" w:firstLineChars="200"/>
        <w:rPr>
          <w:rFonts w:cs="Times New Roman"/>
        </w:rPr>
      </w:pPr>
      <w:r>
        <w:t xml:space="preserve">1.1.3.12 </w:t>
      </w:r>
      <w:r>
        <w:rPr>
          <w:rFonts w:hint="eastAsia"/>
        </w:rPr>
        <w:t>分部工程：指在单位工程中，按结构部位、路段长度及施工特点或施工任务划分的若干个工程。</w:t>
      </w:r>
    </w:p>
    <w:p>
      <w:pPr>
        <w:spacing w:line="400" w:lineRule="exact"/>
        <w:ind w:firstLine="440" w:firstLineChars="200"/>
        <w:rPr>
          <w:rFonts w:cs="Times New Roman"/>
        </w:rPr>
      </w:pPr>
      <w:r>
        <w:t xml:space="preserve">1.1.3.13 </w:t>
      </w:r>
      <w:r>
        <w:rPr>
          <w:rFonts w:hint="eastAsia"/>
        </w:rPr>
        <w:t>分项工程：指在分部工程中，按不同的施工方法、材料、工序及路段长度等划分的若干个过程。</w:t>
      </w:r>
    </w:p>
    <w:p>
      <w:pPr>
        <w:spacing w:line="400" w:lineRule="exact"/>
        <w:ind w:firstLine="480"/>
        <w:rPr>
          <w:rFonts w:cs="Times New Roman"/>
        </w:rPr>
      </w:pPr>
      <w:r>
        <w:t xml:space="preserve">1.1.6 </w:t>
      </w:r>
      <w:r>
        <w:rPr>
          <w:rFonts w:hint="eastAsia"/>
        </w:rPr>
        <w:t>其他</w:t>
      </w:r>
    </w:p>
    <w:p>
      <w:pPr>
        <w:spacing w:line="400" w:lineRule="exact"/>
        <w:ind w:firstLine="480"/>
        <w:rPr>
          <w:rFonts w:cs="Times New Roman"/>
        </w:rPr>
      </w:pPr>
      <w:r>
        <w:rPr>
          <w:rFonts w:hint="eastAsia"/>
        </w:rPr>
        <w:t>本项补充第</w:t>
      </w:r>
      <w:r>
        <w:t>1.1.6.2</w:t>
      </w:r>
      <w:r>
        <w:rPr>
          <w:rFonts w:hint="eastAsia"/>
        </w:rPr>
        <w:t>目～</w:t>
      </w:r>
      <w:r>
        <w:t>1.1.6.8</w:t>
      </w:r>
      <w:r>
        <w:rPr>
          <w:rFonts w:hint="eastAsia"/>
        </w:rPr>
        <w:t>目：</w:t>
      </w:r>
    </w:p>
    <w:p>
      <w:pPr>
        <w:spacing w:line="400" w:lineRule="exact"/>
        <w:ind w:firstLine="480"/>
        <w:rPr>
          <w:rFonts w:cs="Times New Roman"/>
        </w:rPr>
      </w:pPr>
      <w:r>
        <w:t xml:space="preserve">1.1.6.2 </w:t>
      </w:r>
      <w:r>
        <w:rPr>
          <w:rFonts w:hint="eastAsia"/>
        </w:rPr>
        <w:t>竣工验收：指《公路工程竣（交）工验收办法》中的竣工验收。通用合同条款中“国家验收”一词具有相同含义。</w:t>
      </w:r>
    </w:p>
    <w:p>
      <w:pPr>
        <w:spacing w:line="400" w:lineRule="exact"/>
        <w:ind w:firstLine="480"/>
        <w:rPr>
          <w:rFonts w:cs="Times New Roman"/>
        </w:rPr>
      </w:pPr>
      <w:r>
        <w:t xml:space="preserve">1.1.6.3 </w:t>
      </w:r>
      <w:r>
        <w:rPr>
          <w:rFonts w:hint="eastAsia"/>
        </w:rPr>
        <w:t>交工：指《公路工程竣（交）工验收办法》中的交工验收。通用合同条款中“竣工”一词具有相同含义。</w:t>
      </w:r>
    </w:p>
    <w:p>
      <w:pPr>
        <w:spacing w:line="400" w:lineRule="exact"/>
        <w:ind w:firstLine="480"/>
        <w:rPr>
          <w:rFonts w:cs="Times New Roman"/>
        </w:rPr>
      </w:pPr>
      <w:r>
        <w:t xml:space="preserve">1.1.6.4 </w:t>
      </w:r>
      <w:r>
        <w:rPr>
          <w:rFonts w:hint="eastAsia"/>
        </w:rPr>
        <w:t>交工验收证书：指《公路工程竣（交）工验收办法》中的交工验收证书。通用合同条款中“工程接收证书”一词具有相同含义。</w:t>
      </w:r>
    </w:p>
    <w:p>
      <w:pPr>
        <w:spacing w:line="400" w:lineRule="exact"/>
        <w:ind w:firstLine="440" w:firstLineChars="200"/>
        <w:rPr>
          <w:rFonts w:cs="Times New Roman"/>
        </w:rPr>
      </w:pPr>
      <w:r>
        <w:t xml:space="preserve">1.1.6.5 </w:t>
      </w:r>
      <w:r>
        <w:rPr>
          <w:rFonts w:hint="eastAsia"/>
        </w:rPr>
        <w:t>转包：指承包人违反法律和不履行合同规定的责任和义务，将中标工程全部委托或以专业分包的名义将中标工程肢解后全部委托给其他施工企业施工的行为。</w:t>
      </w:r>
    </w:p>
    <w:p>
      <w:pPr>
        <w:spacing w:line="400" w:lineRule="exact"/>
        <w:ind w:firstLine="440" w:firstLineChars="200"/>
        <w:rPr>
          <w:rFonts w:cs="Times New Roman"/>
        </w:rPr>
      </w:pPr>
      <w:r>
        <w:t xml:space="preserve">1.1.6.6 </w:t>
      </w:r>
      <w:r>
        <w:rPr>
          <w:rFonts w:hint="eastAsia"/>
        </w:rPr>
        <w:t>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40" w:firstLineChars="200"/>
        <w:rPr>
          <w:rFonts w:cs="Times New Roman"/>
        </w:rPr>
      </w:pPr>
      <w:r>
        <w:t xml:space="preserve">1.1.6.7 </w:t>
      </w:r>
      <w:r>
        <w:rPr>
          <w:rFonts w:hint="eastAsia"/>
        </w:rPr>
        <w:t>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40" w:firstLineChars="200"/>
        <w:rPr>
          <w:rFonts w:cs="Times New Roman"/>
        </w:rPr>
      </w:pPr>
      <w:r>
        <w:t xml:space="preserve">1.1.6.8 </w:t>
      </w:r>
      <w:r>
        <w:rPr>
          <w:rFonts w:hint="eastAsia"/>
        </w:rPr>
        <w:t>雇佣民工：指承包人与具有相应劳动能力的自然人签订劳动合同，由承包人统一组织管理，从事分项工程施工或配套工程施工的行为。</w:t>
      </w:r>
    </w:p>
    <w:p>
      <w:pPr>
        <w:pStyle w:val="3"/>
        <w:spacing w:beforeLines="50" w:line="400" w:lineRule="exact"/>
        <w:rPr>
          <w:rFonts w:cs="Times New Roman"/>
          <w:sz w:val="21"/>
          <w:szCs w:val="21"/>
        </w:rPr>
      </w:pPr>
      <w:bookmarkStart w:id="767" w:name="_Toc309397447"/>
      <w:r>
        <w:rPr>
          <w:sz w:val="21"/>
          <w:szCs w:val="21"/>
        </w:rPr>
        <w:t>1.4</w:t>
      </w:r>
      <w:r>
        <w:rPr>
          <w:rFonts w:hint="eastAsia"/>
          <w:sz w:val="21"/>
          <w:szCs w:val="21"/>
        </w:rPr>
        <w:t>合同文件的优先顺序</w:t>
      </w:r>
      <w:bookmarkEnd w:id="767"/>
    </w:p>
    <w:p>
      <w:pPr>
        <w:spacing w:line="400" w:lineRule="exact"/>
        <w:ind w:firstLine="440" w:firstLineChars="200"/>
        <w:rPr>
          <w:rFonts w:cs="Times New Roman"/>
        </w:rPr>
      </w:pPr>
      <w:r>
        <w:rPr>
          <w:rFonts w:hint="eastAsia"/>
        </w:rPr>
        <w:t>本款约定为：</w:t>
      </w:r>
    </w:p>
    <w:p>
      <w:pPr>
        <w:spacing w:line="400" w:lineRule="exact"/>
        <w:ind w:firstLine="440" w:firstLineChars="200"/>
        <w:rPr>
          <w:rFonts w:cs="Times New Roman"/>
        </w:rPr>
      </w:pPr>
      <w:r>
        <w:rPr>
          <w:rFonts w:hint="eastAsia"/>
        </w:rPr>
        <w:t>组成合同的各项文件应互相解释，互为说明。除项目专用合同条款另有约定外，解释合同文件的优先顺序如下：</w:t>
      </w:r>
    </w:p>
    <w:p>
      <w:pPr>
        <w:spacing w:line="400" w:lineRule="exact"/>
        <w:ind w:firstLine="440" w:firstLineChars="200"/>
        <w:rPr>
          <w:rFonts w:cs="Times New Roman"/>
        </w:rPr>
      </w:pPr>
      <w:r>
        <w:rPr>
          <w:rFonts w:hint="eastAsia"/>
        </w:rPr>
        <w:t>（</w:t>
      </w:r>
      <w:r>
        <w:t>1</w:t>
      </w:r>
      <w:r>
        <w:rPr>
          <w:rFonts w:hint="eastAsia"/>
        </w:rPr>
        <w:t>）合同协议书及各种合同附件（含评标期间和合同谈判过程中的澄清文件和补充资料）；</w:t>
      </w:r>
    </w:p>
    <w:p>
      <w:pPr>
        <w:spacing w:line="400" w:lineRule="exact"/>
        <w:ind w:firstLine="440" w:firstLineChars="200"/>
        <w:rPr>
          <w:rFonts w:cs="Times New Roman"/>
        </w:rPr>
      </w:pPr>
      <w:r>
        <w:rPr>
          <w:rFonts w:hint="eastAsia"/>
        </w:rPr>
        <w:t>（</w:t>
      </w:r>
      <w:r>
        <w:t>2</w:t>
      </w:r>
      <w:r>
        <w:rPr>
          <w:rFonts w:hint="eastAsia"/>
        </w:rPr>
        <w:t>）中标通知书；</w:t>
      </w:r>
    </w:p>
    <w:p>
      <w:pPr>
        <w:spacing w:line="400" w:lineRule="exact"/>
        <w:ind w:firstLine="440" w:firstLineChars="200"/>
        <w:rPr>
          <w:rFonts w:cs="Times New Roman"/>
        </w:rPr>
      </w:pPr>
      <w:r>
        <w:rPr>
          <w:rFonts w:hint="eastAsia"/>
        </w:rPr>
        <w:t>（</w:t>
      </w:r>
      <w:r>
        <w:t>3</w:t>
      </w:r>
      <w:r>
        <w:rPr>
          <w:rFonts w:hint="eastAsia"/>
        </w:rPr>
        <w:t>）投标函及投标函附录；</w:t>
      </w:r>
    </w:p>
    <w:p>
      <w:pPr>
        <w:spacing w:line="400" w:lineRule="exact"/>
        <w:ind w:firstLine="440" w:firstLineChars="200"/>
        <w:rPr>
          <w:rFonts w:cs="Times New Roman"/>
        </w:rPr>
      </w:pPr>
      <w:r>
        <w:rPr>
          <w:rFonts w:hint="eastAsia"/>
        </w:rPr>
        <w:t>（</w:t>
      </w:r>
      <w:r>
        <w:t>4</w:t>
      </w:r>
      <w:r>
        <w:rPr>
          <w:rFonts w:hint="eastAsia"/>
        </w:rPr>
        <w:t>）项目专用合同条款；</w:t>
      </w:r>
    </w:p>
    <w:p>
      <w:pPr>
        <w:spacing w:line="400" w:lineRule="exact"/>
        <w:ind w:firstLine="440" w:firstLineChars="200"/>
        <w:rPr>
          <w:rFonts w:cs="Times New Roman"/>
        </w:rPr>
      </w:pPr>
      <w:r>
        <w:rPr>
          <w:rFonts w:hint="eastAsia"/>
        </w:rPr>
        <w:t>（</w:t>
      </w:r>
      <w:r>
        <w:t>5</w:t>
      </w:r>
      <w:r>
        <w:rPr>
          <w:rFonts w:hint="eastAsia"/>
        </w:rPr>
        <w:t>）公路工程专用合同条款；</w:t>
      </w:r>
    </w:p>
    <w:p>
      <w:pPr>
        <w:spacing w:line="400" w:lineRule="exact"/>
        <w:ind w:firstLine="440" w:firstLineChars="200"/>
        <w:rPr>
          <w:rFonts w:cs="Times New Roman"/>
        </w:rPr>
      </w:pPr>
      <w:r>
        <w:rPr>
          <w:rFonts w:hint="eastAsia"/>
        </w:rPr>
        <w:t>（</w:t>
      </w:r>
      <w:r>
        <w:t>6</w:t>
      </w:r>
      <w:r>
        <w:rPr>
          <w:rFonts w:hint="eastAsia"/>
        </w:rPr>
        <w:t>）通用合同条款；</w:t>
      </w:r>
    </w:p>
    <w:p>
      <w:pPr>
        <w:spacing w:line="400" w:lineRule="exact"/>
        <w:ind w:firstLine="440" w:firstLineChars="200"/>
        <w:rPr>
          <w:rFonts w:cs="Times New Roman"/>
        </w:rPr>
      </w:pPr>
      <w:r>
        <w:rPr>
          <w:rFonts w:hint="eastAsia"/>
        </w:rPr>
        <w:t>（</w:t>
      </w:r>
      <w:r>
        <w:t>7</w:t>
      </w:r>
      <w:r>
        <w:rPr>
          <w:rFonts w:hint="eastAsia"/>
        </w:rPr>
        <w:t>）技术规范；</w:t>
      </w:r>
    </w:p>
    <w:p>
      <w:pPr>
        <w:spacing w:line="400" w:lineRule="exact"/>
        <w:ind w:firstLine="440" w:firstLineChars="200"/>
        <w:rPr>
          <w:rFonts w:cs="Times New Roman"/>
        </w:rPr>
      </w:pPr>
      <w:r>
        <w:rPr>
          <w:rFonts w:hint="eastAsia"/>
        </w:rPr>
        <w:t>（</w:t>
      </w:r>
      <w:r>
        <w:t>8</w:t>
      </w:r>
      <w:r>
        <w:rPr>
          <w:rFonts w:hint="eastAsia"/>
        </w:rPr>
        <w:t>）图纸；</w:t>
      </w:r>
    </w:p>
    <w:p>
      <w:pPr>
        <w:spacing w:line="400" w:lineRule="exact"/>
        <w:ind w:firstLine="440" w:firstLineChars="200"/>
        <w:rPr>
          <w:rFonts w:cs="Times New Roman"/>
        </w:rPr>
      </w:pPr>
      <w:r>
        <w:rPr>
          <w:rFonts w:hint="eastAsia"/>
        </w:rPr>
        <w:t>（</w:t>
      </w:r>
      <w:r>
        <w:t>9</w:t>
      </w:r>
      <w:r>
        <w:rPr>
          <w:rFonts w:hint="eastAsia"/>
        </w:rPr>
        <w:t>）已标价工程量清单；</w:t>
      </w:r>
    </w:p>
    <w:p>
      <w:pPr>
        <w:spacing w:line="400" w:lineRule="exact"/>
        <w:ind w:firstLine="440" w:firstLineChars="200"/>
        <w:rPr>
          <w:rFonts w:cs="Times New Roman"/>
        </w:rPr>
      </w:pPr>
      <w:r>
        <w:rPr>
          <w:rFonts w:hint="eastAsia"/>
        </w:rPr>
        <w:t>（</w:t>
      </w:r>
      <w:r>
        <w:t>10</w:t>
      </w:r>
      <w:r>
        <w:rPr>
          <w:rFonts w:hint="eastAsia"/>
        </w:rPr>
        <w:t>）承包人有关人员、设备投入的承诺及投标文件中的施工组织设计；</w:t>
      </w:r>
    </w:p>
    <w:p>
      <w:pPr>
        <w:spacing w:line="400" w:lineRule="exact"/>
        <w:ind w:firstLine="440" w:firstLineChars="200"/>
        <w:rPr>
          <w:rFonts w:cs="Times New Roman"/>
        </w:rPr>
      </w:pPr>
      <w:r>
        <w:rPr>
          <w:rFonts w:hint="eastAsia"/>
        </w:rPr>
        <w:t>（</w:t>
      </w:r>
      <w:r>
        <w:t>11</w:t>
      </w:r>
      <w:r>
        <w:rPr>
          <w:rFonts w:hint="eastAsia"/>
        </w:rPr>
        <w:t>）其他合同文件。</w:t>
      </w:r>
    </w:p>
    <w:p>
      <w:pPr>
        <w:pStyle w:val="3"/>
        <w:spacing w:beforeLines="50" w:line="400" w:lineRule="exact"/>
        <w:rPr>
          <w:rFonts w:cs="Times New Roman"/>
          <w:sz w:val="21"/>
          <w:szCs w:val="21"/>
        </w:rPr>
      </w:pPr>
      <w:bookmarkStart w:id="768" w:name="_Toc309397448"/>
      <w:r>
        <w:rPr>
          <w:sz w:val="21"/>
          <w:szCs w:val="21"/>
        </w:rPr>
        <w:t>1.5</w:t>
      </w:r>
      <w:r>
        <w:rPr>
          <w:rFonts w:hint="eastAsia"/>
          <w:sz w:val="21"/>
          <w:szCs w:val="21"/>
        </w:rPr>
        <w:t>合同协议书</w:t>
      </w:r>
      <w:bookmarkEnd w:id="768"/>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制备本合同文件的费用由发包人承担。在合同协议书签订并生效之前，投标函和中标通知书将对双方具有约束力。</w:t>
      </w:r>
    </w:p>
    <w:p>
      <w:pPr>
        <w:pStyle w:val="3"/>
        <w:spacing w:beforeLines="50" w:line="400" w:lineRule="exact"/>
        <w:rPr>
          <w:rFonts w:cs="Times New Roman"/>
          <w:sz w:val="21"/>
          <w:szCs w:val="21"/>
        </w:rPr>
      </w:pPr>
      <w:bookmarkStart w:id="769" w:name="_Toc309397449"/>
      <w:r>
        <w:rPr>
          <w:sz w:val="21"/>
          <w:szCs w:val="21"/>
        </w:rPr>
        <w:t>1.6</w:t>
      </w:r>
      <w:r>
        <w:rPr>
          <w:rFonts w:hint="eastAsia"/>
          <w:sz w:val="21"/>
          <w:szCs w:val="21"/>
        </w:rPr>
        <w:t>图纸和承包人文件</w:t>
      </w:r>
      <w:bookmarkEnd w:id="769"/>
    </w:p>
    <w:p>
      <w:pPr>
        <w:spacing w:line="400" w:lineRule="exact"/>
        <w:ind w:firstLine="440" w:firstLineChars="200"/>
        <w:rPr>
          <w:rFonts w:cs="Times New Roman"/>
        </w:rPr>
      </w:pPr>
      <w:r>
        <w:t xml:space="preserve">1.6.1 </w:t>
      </w:r>
      <w:r>
        <w:rPr>
          <w:rFonts w:hint="eastAsia"/>
        </w:rPr>
        <w:t>图纸的提供</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监理人应在发出中标通知书之后</w:t>
      </w:r>
      <w:r>
        <w:t>42</w:t>
      </w:r>
      <w:r>
        <w:rPr>
          <w:rFonts w:hint="eastAsia"/>
        </w:rPr>
        <w:t>天内，向承包人免费提供由发包人或其委托的设计单位设计的施工图纸、技术规范和其他技术资料</w:t>
      </w:r>
      <w:r>
        <w:t>2</w:t>
      </w:r>
      <w:r>
        <w:rPr>
          <w:rFonts w:hint="eastAsia"/>
        </w:rPr>
        <w:t>份，并向承包人进行技术交底。承包人需要更多份数时，应自费复制。由于发包人未按时提供图纸造成工期延误的，按第</w:t>
      </w:r>
      <w:r>
        <w:t>11.3</w:t>
      </w:r>
      <w:r>
        <w:rPr>
          <w:rFonts w:hint="eastAsia"/>
        </w:rPr>
        <w:t>款的约定办理。</w:t>
      </w:r>
    </w:p>
    <w:p>
      <w:pPr>
        <w:spacing w:line="400" w:lineRule="exact"/>
        <w:ind w:firstLine="440" w:firstLineChars="200"/>
        <w:rPr>
          <w:rFonts w:cs="Times New Roman"/>
        </w:rPr>
      </w:pPr>
      <w:r>
        <w:t>1.6.2</w:t>
      </w:r>
      <w:r>
        <w:rPr>
          <w:rFonts w:hint="eastAsia"/>
        </w:rPr>
        <w:t>承包人提供的文件</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有下列情形之一的，承包人应免费向监理人提交相关部分工程的施工图纸</w:t>
      </w:r>
      <w:r>
        <w:t>3</w:t>
      </w:r>
      <w:r>
        <w:rPr>
          <w:rFonts w:hint="eastAsia"/>
        </w:rPr>
        <w:t>份，并附必要的计算书、技术资料，或施工工艺图、设备安装图及安装设备的使用和维护手册各</w:t>
      </w:r>
      <w:r>
        <w:t>2</w:t>
      </w:r>
      <w:r>
        <w:rPr>
          <w:rFonts w:hint="eastAsia"/>
        </w:rPr>
        <w:t>份供监理人批准。</w:t>
      </w:r>
    </w:p>
    <w:p>
      <w:pPr>
        <w:spacing w:line="400" w:lineRule="exact"/>
        <w:ind w:firstLine="440" w:firstLineChars="200"/>
        <w:rPr>
          <w:rFonts w:cs="Times New Roman"/>
        </w:rPr>
      </w:pPr>
      <w:r>
        <w:rPr>
          <w:rFonts w:hint="eastAsia"/>
        </w:rPr>
        <w:t>（</w:t>
      </w:r>
      <w:r>
        <w:t>1</w:t>
      </w:r>
      <w:r>
        <w:rPr>
          <w:rFonts w:hint="eastAsia"/>
        </w:rPr>
        <w:t>）为使第</w:t>
      </w:r>
      <w:r>
        <w:t>1.6.1</w:t>
      </w:r>
      <w:r>
        <w:rPr>
          <w:rFonts w:hint="eastAsia"/>
        </w:rPr>
        <w:t>项所述的施工图纸适合于经现场测量后的纵、横断面；</w:t>
      </w:r>
    </w:p>
    <w:p>
      <w:pPr>
        <w:spacing w:line="400" w:lineRule="exact"/>
        <w:ind w:firstLine="440" w:firstLineChars="200"/>
        <w:rPr>
          <w:rFonts w:cs="Times New Roman"/>
        </w:rPr>
      </w:pPr>
      <w:r>
        <w:rPr>
          <w:rFonts w:hint="eastAsia"/>
        </w:rPr>
        <w:t>（</w:t>
      </w:r>
      <w:r>
        <w:t>2</w:t>
      </w:r>
      <w:r>
        <w:rPr>
          <w:rFonts w:hint="eastAsia"/>
        </w:rPr>
        <w:t>）为使第</w:t>
      </w:r>
      <w:r>
        <w:t>1.6.1</w:t>
      </w:r>
      <w:r>
        <w:rPr>
          <w:rFonts w:hint="eastAsia"/>
        </w:rPr>
        <w:t>项所述的施工图纸适合于现场具体地形；</w:t>
      </w:r>
    </w:p>
    <w:p>
      <w:pPr>
        <w:spacing w:line="400" w:lineRule="exact"/>
        <w:ind w:firstLine="440" w:firstLineChars="200"/>
        <w:rPr>
          <w:rFonts w:cs="Times New Roman"/>
        </w:rPr>
      </w:pPr>
      <w:r>
        <w:rPr>
          <w:rFonts w:hint="eastAsia"/>
        </w:rPr>
        <w:t>（</w:t>
      </w:r>
      <w:r>
        <w:t>3</w:t>
      </w:r>
      <w:r>
        <w:rPr>
          <w:rFonts w:hint="eastAsia"/>
        </w:rPr>
        <w:t>）为使第</w:t>
      </w:r>
      <w:r>
        <w:t>1.6.1</w:t>
      </w:r>
      <w:r>
        <w:rPr>
          <w:rFonts w:hint="eastAsia"/>
        </w:rPr>
        <w:t>项所述的施工图纸适合于因尺寸与位置变化而引起局部变更；</w:t>
      </w:r>
    </w:p>
    <w:p>
      <w:pPr>
        <w:spacing w:line="400" w:lineRule="exact"/>
        <w:ind w:firstLine="440" w:firstLineChars="200"/>
        <w:rPr>
          <w:rFonts w:cs="Times New Roman"/>
        </w:rPr>
      </w:pPr>
      <w:r>
        <w:rPr>
          <w:rFonts w:hint="eastAsia"/>
        </w:rPr>
        <w:t>（</w:t>
      </w:r>
      <w:r>
        <w:t>4</w:t>
      </w:r>
      <w:r>
        <w:rPr>
          <w:rFonts w:hint="eastAsia"/>
        </w:rPr>
        <w:t>）由于合同要求与施工需要。</w:t>
      </w:r>
    </w:p>
    <w:p>
      <w:pPr>
        <w:spacing w:line="400" w:lineRule="exact"/>
        <w:ind w:firstLine="440" w:firstLineChars="200"/>
        <w:rPr>
          <w:rFonts w:cs="Times New Roman"/>
        </w:rPr>
      </w:pPr>
      <w:r>
        <w:rPr>
          <w:rFonts w:hint="eastAsia"/>
        </w:rPr>
        <w:t>此类图纸应按监理人规定的格式和图幅绘制。监理人在收到由承包人绘制的上述工程、工艺图纸、计算书和有关技术资料后</w:t>
      </w:r>
      <w:r>
        <w:t>14</w:t>
      </w:r>
      <w:r>
        <w:rPr>
          <w:rFonts w:hint="eastAsia"/>
        </w:rPr>
        <w:t>天内应予批准或提出修改要求，承包人应按监理人提出的要求做出修改，重新向监理人提交，监理人应在</w:t>
      </w:r>
      <w:r>
        <w:t>7</w:t>
      </w:r>
      <w:r>
        <w:rPr>
          <w:rFonts w:hint="eastAsia"/>
        </w:rPr>
        <w:t>天内批准或提出进一步的修改意见。</w:t>
      </w:r>
    </w:p>
    <w:p>
      <w:pPr>
        <w:spacing w:line="400" w:lineRule="exact"/>
        <w:ind w:firstLine="440" w:firstLineChars="200"/>
        <w:rPr>
          <w:rFonts w:cs="Times New Roman"/>
        </w:rPr>
      </w:pPr>
      <w:r>
        <w:t>1.6.4</w:t>
      </w:r>
      <w:r>
        <w:rPr>
          <w:rFonts w:hint="eastAsia"/>
        </w:rPr>
        <w:t>图纸的错误</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cs="Times New Roman"/>
          <w:sz w:val="21"/>
          <w:szCs w:val="21"/>
        </w:rPr>
      </w:pPr>
      <w:bookmarkStart w:id="770" w:name="_Toc309397450"/>
      <w:r>
        <w:rPr>
          <w:sz w:val="21"/>
          <w:szCs w:val="21"/>
        </w:rPr>
        <w:t>1.9</w:t>
      </w:r>
      <w:r>
        <w:rPr>
          <w:rFonts w:hint="eastAsia"/>
          <w:sz w:val="21"/>
          <w:szCs w:val="21"/>
        </w:rPr>
        <w:t>严禁贿赂</w:t>
      </w:r>
      <w:bookmarkEnd w:id="770"/>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cs="Times New Roman"/>
          <w:sz w:val="28"/>
          <w:szCs w:val="28"/>
        </w:rPr>
      </w:pPr>
      <w:bookmarkStart w:id="771" w:name="_Toc309397451"/>
      <w:r>
        <w:rPr>
          <w:sz w:val="28"/>
          <w:szCs w:val="28"/>
        </w:rPr>
        <w:t>2</w:t>
      </w:r>
      <w:r>
        <w:rPr>
          <w:rFonts w:hint="eastAsia"/>
          <w:sz w:val="28"/>
          <w:szCs w:val="28"/>
        </w:rPr>
        <w:t>．发包人义务</w:t>
      </w:r>
      <w:bookmarkEnd w:id="771"/>
    </w:p>
    <w:p>
      <w:pPr>
        <w:pStyle w:val="3"/>
        <w:spacing w:beforeLines="50" w:line="400" w:lineRule="exact"/>
        <w:rPr>
          <w:rFonts w:cs="Times New Roman"/>
          <w:sz w:val="21"/>
          <w:szCs w:val="21"/>
        </w:rPr>
      </w:pPr>
      <w:bookmarkStart w:id="772" w:name="_Toc309397452"/>
      <w:r>
        <w:rPr>
          <w:sz w:val="21"/>
          <w:szCs w:val="21"/>
        </w:rPr>
        <w:t>2.3</w:t>
      </w:r>
      <w:r>
        <w:rPr>
          <w:rFonts w:hint="eastAsia"/>
          <w:sz w:val="21"/>
          <w:szCs w:val="21"/>
        </w:rPr>
        <w:t>提供施工场地</w:t>
      </w:r>
      <w:bookmarkEnd w:id="772"/>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发包人负责办理永久占地的征用及与之有关的拆迁赔偿手续并承担相关费用。承包人在按第</w:t>
      </w:r>
      <w:r>
        <w:t>10</w:t>
      </w:r>
      <w:r>
        <w:rPr>
          <w:rFonts w:hint="eastAsia"/>
        </w:rPr>
        <w:t>条规定提交施工进度计划的同时，应向监理人提交一份按施工先后次序所需的永久占地计划。监理人应在收到此计划后的</w:t>
      </w:r>
      <w:r>
        <w:t>14</w:t>
      </w:r>
      <w:r>
        <w:rPr>
          <w:rFonts w:hint="eastAsia"/>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40" w:firstLineChars="200"/>
        <w:rPr>
          <w:rFonts w:cs="Times New Roman"/>
        </w:rPr>
      </w:pPr>
      <w:r>
        <w:rPr>
          <w:rFonts w:hint="eastAsia"/>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cs="Times New Roman"/>
          <w:sz w:val="28"/>
          <w:szCs w:val="28"/>
        </w:rPr>
      </w:pPr>
      <w:bookmarkStart w:id="773" w:name="_Toc309397453"/>
      <w:r>
        <w:rPr>
          <w:sz w:val="28"/>
          <w:szCs w:val="28"/>
        </w:rPr>
        <w:t>3</w:t>
      </w:r>
      <w:r>
        <w:rPr>
          <w:rFonts w:hint="eastAsia"/>
          <w:sz w:val="28"/>
          <w:szCs w:val="28"/>
        </w:rPr>
        <w:t>．监理人</w:t>
      </w:r>
      <w:bookmarkEnd w:id="773"/>
    </w:p>
    <w:p>
      <w:pPr>
        <w:pStyle w:val="3"/>
        <w:spacing w:beforeLines="50" w:line="400" w:lineRule="exact"/>
        <w:rPr>
          <w:rFonts w:cs="Times New Roman"/>
          <w:sz w:val="21"/>
          <w:szCs w:val="21"/>
        </w:rPr>
      </w:pPr>
      <w:bookmarkStart w:id="774" w:name="_Toc309397454"/>
      <w:r>
        <w:rPr>
          <w:sz w:val="21"/>
          <w:szCs w:val="21"/>
        </w:rPr>
        <w:t>3.1</w:t>
      </w:r>
      <w:r>
        <w:rPr>
          <w:rFonts w:hint="eastAsia"/>
          <w:sz w:val="21"/>
          <w:szCs w:val="21"/>
        </w:rPr>
        <w:t>监理人的职责和权力</w:t>
      </w:r>
      <w:bookmarkEnd w:id="774"/>
    </w:p>
    <w:p>
      <w:pPr>
        <w:spacing w:line="400" w:lineRule="exact"/>
        <w:ind w:firstLine="440" w:firstLineChars="200"/>
        <w:rPr>
          <w:rFonts w:cs="Times New Roman"/>
        </w:rPr>
      </w:pPr>
      <w:r>
        <w:rPr>
          <w:rFonts w:hint="eastAsia"/>
        </w:rPr>
        <w:t>第</w:t>
      </w:r>
      <w:r>
        <w:t>3.1.1</w:t>
      </w:r>
      <w:r>
        <w:rPr>
          <w:rFonts w:hint="eastAsia"/>
        </w:rPr>
        <w:t>项补充：</w:t>
      </w:r>
    </w:p>
    <w:p>
      <w:pPr>
        <w:spacing w:line="400" w:lineRule="exact"/>
        <w:ind w:firstLine="440" w:firstLineChars="200"/>
        <w:rPr>
          <w:rFonts w:cs="Times New Roman"/>
        </w:rPr>
      </w:pPr>
      <w:r>
        <w:rPr>
          <w:rFonts w:hint="eastAsia"/>
        </w:rPr>
        <w:t>监理人在行使下列权力前需要经发包人事先批准：</w:t>
      </w:r>
    </w:p>
    <w:p>
      <w:pPr>
        <w:spacing w:line="400" w:lineRule="exact"/>
        <w:ind w:firstLine="440" w:firstLineChars="200"/>
        <w:rPr>
          <w:rFonts w:cs="Times New Roman"/>
        </w:rPr>
      </w:pPr>
      <w:r>
        <w:rPr>
          <w:rFonts w:hint="eastAsia"/>
        </w:rPr>
        <w:t>（</w:t>
      </w:r>
      <w:r>
        <w:t>1</w:t>
      </w:r>
      <w:r>
        <w:rPr>
          <w:rFonts w:hint="eastAsia"/>
        </w:rPr>
        <w:t>）根据第</w:t>
      </w:r>
      <w:r>
        <w:t>4.3</w:t>
      </w:r>
      <w:r>
        <w:rPr>
          <w:rFonts w:hint="eastAsia"/>
        </w:rPr>
        <w:t>款，同意分包本工程的某些非主体和非关键性工作；</w:t>
      </w:r>
    </w:p>
    <w:p>
      <w:pPr>
        <w:spacing w:line="400" w:lineRule="exact"/>
        <w:ind w:firstLine="440" w:firstLineChars="200"/>
        <w:rPr>
          <w:rFonts w:cs="Times New Roman"/>
        </w:rPr>
      </w:pPr>
      <w:r>
        <w:rPr>
          <w:rFonts w:hint="eastAsia"/>
        </w:rPr>
        <w:t>（</w:t>
      </w:r>
      <w:r>
        <w:t>2</w:t>
      </w:r>
      <w:r>
        <w:rPr>
          <w:rFonts w:hint="eastAsia"/>
        </w:rPr>
        <w:t>）确定第</w:t>
      </w:r>
      <w:r>
        <w:t>4.11</w:t>
      </w:r>
      <w:r>
        <w:rPr>
          <w:rFonts w:hint="eastAsia"/>
        </w:rPr>
        <w:t>款下产生的费用增加额；</w:t>
      </w:r>
    </w:p>
    <w:p>
      <w:pPr>
        <w:spacing w:line="400" w:lineRule="exact"/>
        <w:ind w:firstLine="440" w:firstLineChars="200"/>
        <w:rPr>
          <w:rFonts w:cs="Times New Roman"/>
        </w:rPr>
      </w:pPr>
      <w:r>
        <w:rPr>
          <w:rFonts w:hint="eastAsia"/>
        </w:rPr>
        <w:t>（</w:t>
      </w:r>
      <w:r>
        <w:t>3</w:t>
      </w:r>
      <w:r>
        <w:rPr>
          <w:rFonts w:hint="eastAsia"/>
        </w:rPr>
        <w:t>）根据第</w:t>
      </w:r>
      <w:r>
        <w:t>11.1</w:t>
      </w:r>
      <w:r>
        <w:rPr>
          <w:rFonts w:hint="eastAsia"/>
        </w:rPr>
        <w:t>款、第</w:t>
      </w:r>
      <w:r>
        <w:t>12.3</w:t>
      </w:r>
      <w:r>
        <w:rPr>
          <w:rFonts w:hint="eastAsia"/>
        </w:rPr>
        <w:t>款、第</w:t>
      </w:r>
      <w:r>
        <w:t>12.4</w:t>
      </w:r>
      <w:r>
        <w:rPr>
          <w:rFonts w:hint="eastAsia"/>
        </w:rPr>
        <w:t>款发布开工通知、暂停施工指示或复工通知；</w:t>
      </w:r>
    </w:p>
    <w:p>
      <w:pPr>
        <w:spacing w:line="400" w:lineRule="exact"/>
        <w:ind w:firstLine="440" w:firstLineChars="200"/>
        <w:rPr>
          <w:rFonts w:cs="Times New Roman"/>
        </w:rPr>
      </w:pPr>
      <w:r>
        <w:rPr>
          <w:rFonts w:hint="eastAsia"/>
        </w:rPr>
        <w:t>（</w:t>
      </w:r>
      <w:r>
        <w:t>4</w:t>
      </w:r>
      <w:r>
        <w:rPr>
          <w:rFonts w:hint="eastAsia"/>
        </w:rPr>
        <w:t>）决定第</w:t>
      </w:r>
      <w:r>
        <w:t>11.3</w:t>
      </w:r>
      <w:r>
        <w:rPr>
          <w:rFonts w:hint="eastAsia"/>
        </w:rPr>
        <w:t>款、第</w:t>
      </w:r>
      <w:r>
        <w:t>11.4</w:t>
      </w:r>
      <w:r>
        <w:rPr>
          <w:rFonts w:hint="eastAsia"/>
        </w:rPr>
        <w:t>款下的工期延长；</w:t>
      </w:r>
    </w:p>
    <w:p>
      <w:pPr>
        <w:spacing w:line="400" w:lineRule="exact"/>
        <w:ind w:firstLine="440" w:firstLineChars="200"/>
        <w:rPr>
          <w:rFonts w:cs="Times New Roman"/>
        </w:rPr>
      </w:pPr>
      <w:r>
        <w:rPr>
          <w:rFonts w:hint="eastAsia"/>
        </w:rPr>
        <w:t>（</w:t>
      </w:r>
      <w:r>
        <w:t>5</w:t>
      </w:r>
      <w:r>
        <w:rPr>
          <w:rFonts w:hint="eastAsia"/>
        </w:rPr>
        <w:t>）审查批准技术规范或设计的变更；</w:t>
      </w:r>
    </w:p>
    <w:p>
      <w:pPr>
        <w:spacing w:line="400" w:lineRule="exact"/>
        <w:ind w:firstLine="440" w:firstLineChars="200"/>
        <w:rPr>
          <w:rFonts w:cs="Times New Roman"/>
        </w:rPr>
      </w:pPr>
      <w:r>
        <w:rPr>
          <w:rFonts w:hint="eastAsia"/>
        </w:rPr>
        <w:t>（</w:t>
      </w:r>
      <w:r>
        <w:t>6</w:t>
      </w:r>
      <w:r>
        <w:rPr>
          <w:rFonts w:hint="eastAsia"/>
        </w:rPr>
        <w:t>）根据第</w:t>
      </w:r>
      <w:r>
        <w:t>15.3</w:t>
      </w:r>
      <w:r>
        <w:rPr>
          <w:rFonts w:hint="eastAsia"/>
        </w:rPr>
        <w:t>款发出的变更指令，其单项工程变更或累计变更涉及的金额超过了项目专用合同条款数据表规定的金额；</w:t>
      </w:r>
    </w:p>
    <w:p>
      <w:pPr>
        <w:spacing w:line="400" w:lineRule="exact"/>
        <w:ind w:firstLine="440" w:firstLineChars="200"/>
        <w:rPr>
          <w:rFonts w:cs="Times New Roman"/>
        </w:rPr>
      </w:pPr>
      <w:r>
        <w:rPr>
          <w:rFonts w:hint="eastAsia"/>
        </w:rPr>
        <w:t>（</w:t>
      </w:r>
      <w:r>
        <w:t>7</w:t>
      </w:r>
      <w:r>
        <w:rPr>
          <w:rFonts w:hint="eastAsia"/>
        </w:rPr>
        <w:t>）确定第</w:t>
      </w:r>
      <w:r>
        <w:t>15.4</w:t>
      </w:r>
      <w:r>
        <w:rPr>
          <w:rFonts w:hint="eastAsia"/>
        </w:rPr>
        <w:t>款下变更工作的单价；</w:t>
      </w:r>
    </w:p>
    <w:p>
      <w:pPr>
        <w:spacing w:line="400" w:lineRule="exact"/>
        <w:ind w:firstLine="440" w:firstLineChars="200"/>
        <w:rPr>
          <w:rFonts w:cs="Times New Roman"/>
        </w:rPr>
      </w:pPr>
      <w:r>
        <w:rPr>
          <w:rFonts w:hint="eastAsia"/>
        </w:rPr>
        <w:t>（</w:t>
      </w:r>
      <w:r>
        <w:t>8</w:t>
      </w:r>
      <w:r>
        <w:rPr>
          <w:rFonts w:hint="eastAsia"/>
        </w:rPr>
        <w:t>）按照第</w:t>
      </w:r>
      <w:r>
        <w:t>15.6</w:t>
      </w:r>
      <w:r>
        <w:rPr>
          <w:rFonts w:hint="eastAsia"/>
        </w:rPr>
        <w:t>款决定有关暂列金额的使用；</w:t>
      </w:r>
    </w:p>
    <w:p>
      <w:pPr>
        <w:spacing w:line="400" w:lineRule="exact"/>
        <w:ind w:firstLine="440" w:firstLineChars="200"/>
        <w:rPr>
          <w:rFonts w:cs="Times New Roman"/>
        </w:rPr>
      </w:pPr>
      <w:r>
        <w:rPr>
          <w:rFonts w:hint="eastAsia"/>
        </w:rPr>
        <w:t>（</w:t>
      </w:r>
      <w:r>
        <w:t>9</w:t>
      </w:r>
      <w:r>
        <w:rPr>
          <w:rFonts w:hint="eastAsia"/>
        </w:rPr>
        <w:t>）确定第</w:t>
      </w:r>
      <w:r>
        <w:t>15.8</w:t>
      </w:r>
      <w:r>
        <w:rPr>
          <w:rFonts w:hint="eastAsia"/>
        </w:rPr>
        <w:t>款项下的暂估价金额；</w:t>
      </w:r>
    </w:p>
    <w:p>
      <w:pPr>
        <w:spacing w:line="400" w:lineRule="exact"/>
        <w:ind w:firstLine="440" w:firstLineChars="200"/>
        <w:rPr>
          <w:rFonts w:cs="Times New Roman"/>
        </w:rPr>
      </w:pPr>
      <w:r>
        <w:rPr>
          <w:rFonts w:hint="eastAsia"/>
        </w:rPr>
        <w:t>（</w:t>
      </w:r>
      <w:r>
        <w:t>10</w:t>
      </w:r>
      <w:r>
        <w:rPr>
          <w:rFonts w:hint="eastAsia"/>
        </w:rPr>
        <w:t>）确定第</w:t>
      </w:r>
      <w:r>
        <w:t>23.1</w:t>
      </w:r>
      <w:r>
        <w:rPr>
          <w:rFonts w:hint="eastAsia"/>
        </w:rPr>
        <w:t>款项下的索赔额。</w:t>
      </w:r>
    </w:p>
    <w:p>
      <w:pPr>
        <w:spacing w:line="400" w:lineRule="exact"/>
        <w:ind w:firstLine="440" w:firstLineChars="200"/>
        <w:rPr>
          <w:rFonts w:cs="Times New Roman"/>
        </w:rPr>
      </w:pPr>
      <w:r>
        <w:rPr>
          <w:rFonts w:hint="eastAsia"/>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w:t>
      </w:r>
      <w:r>
        <w:t>3.5</w:t>
      </w:r>
      <w:r>
        <w:rPr>
          <w:rFonts w:hint="eastAsia"/>
        </w:rPr>
        <w:t>款商定或确定。</w:t>
      </w:r>
    </w:p>
    <w:p>
      <w:pPr>
        <w:pStyle w:val="3"/>
        <w:spacing w:beforeLines="50" w:line="400" w:lineRule="exact"/>
        <w:rPr>
          <w:rFonts w:cs="Times New Roman"/>
          <w:sz w:val="21"/>
          <w:szCs w:val="21"/>
        </w:rPr>
      </w:pPr>
      <w:bookmarkStart w:id="775" w:name="_Toc309397455"/>
      <w:r>
        <w:rPr>
          <w:sz w:val="21"/>
          <w:szCs w:val="21"/>
        </w:rPr>
        <w:t>3.5</w:t>
      </w:r>
      <w:r>
        <w:rPr>
          <w:rFonts w:hint="eastAsia"/>
          <w:sz w:val="21"/>
          <w:szCs w:val="21"/>
        </w:rPr>
        <w:t>商定或确定</w:t>
      </w:r>
      <w:bookmarkEnd w:id="775"/>
    </w:p>
    <w:p>
      <w:pPr>
        <w:spacing w:line="400" w:lineRule="exact"/>
        <w:ind w:firstLine="440" w:firstLineChars="200"/>
        <w:rPr>
          <w:rFonts w:cs="Times New Roman"/>
        </w:rPr>
      </w:pPr>
      <w:r>
        <w:rPr>
          <w:rFonts w:hint="eastAsia"/>
        </w:rPr>
        <w:t>第</w:t>
      </w:r>
      <w:r>
        <w:t xml:space="preserve">3.5.1 </w:t>
      </w:r>
      <w:r>
        <w:rPr>
          <w:rFonts w:hint="eastAsia"/>
        </w:rPr>
        <w:t>项补充：</w:t>
      </w:r>
    </w:p>
    <w:p>
      <w:pPr>
        <w:spacing w:line="400" w:lineRule="exact"/>
        <w:ind w:firstLine="440" w:firstLineChars="200"/>
        <w:rPr>
          <w:rFonts w:cs="Times New Roman"/>
        </w:rPr>
      </w:pPr>
      <w:r>
        <w:rPr>
          <w:rFonts w:hint="eastAsia"/>
        </w:rPr>
        <w:t>如果这项商定或确定导致费用增加和（或）工期延长，或者涉及确定变更工程的价格，则总监理工程师在发出通知前，应征得发包人的同意。</w:t>
      </w:r>
    </w:p>
    <w:p>
      <w:pPr>
        <w:pStyle w:val="3"/>
        <w:spacing w:beforeLines="50" w:line="400" w:lineRule="exact"/>
        <w:rPr>
          <w:rFonts w:cs="Times New Roman"/>
          <w:sz w:val="28"/>
          <w:szCs w:val="28"/>
        </w:rPr>
      </w:pPr>
      <w:bookmarkStart w:id="776" w:name="_Toc309397456"/>
      <w:r>
        <w:rPr>
          <w:sz w:val="28"/>
          <w:szCs w:val="28"/>
        </w:rPr>
        <w:t>4.</w:t>
      </w:r>
      <w:r>
        <w:rPr>
          <w:rFonts w:hint="eastAsia"/>
          <w:sz w:val="28"/>
          <w:szCs w:val="28"/>
        </w:rPr>
        <w:t>承包人</w:t>
      </w:r>
      <w:bookmarkEnd w:id="776"/>
    </w:p>
    <w:p>
      <w:pPr>
        <w:pStyle w:val="3"/>
        <w:spacing w:beforeLines="50" w:line="400" w:lineRule="exact"/>
        <w:rPr>
          <w:rFonts w:cs="Times New Roman"/>
          <w:sz w:val="21"/>
          <w:szCs w:val="21"/>
        </w:rPr>
      </w:pPr>
      <w:bookmarkStart w:id="777" w:name="_Toc309397457"/>
      <w:r>
        <w:rPr>
          <w:sz w:val="21"/>
          <w:szCs w:val="21"/>
        </w:rPr>
        <w:t>4.1</w:t>
      </w:r>
      <w:r>
        <w:rPr>
          <w:rFonts w:hint="eastAsia"/>
          <w:sz w:val="21"/>
          <w:szCs w:val="21"/>
        </w:rPr>
        <w:t>承包人的一般义务</w:t>
      </w:r>
      <w:bookmarkEnd w:id="777"/>
    </w:p>
    <w:p>
      <w:pPr>
        <w:spacing w:line="400" w:lineRule="exact"/>
        <w:ind w:firstLine="440" w:firstLineChars="200"/>
        <w:rPr>
          <w:rFonts w:cs="Times New Roman"/>
        </w:rPr>
      </w:pPr>
      <w:r>
        <w:t>4.1.9</w:t>
      </w:r>
      <w:r>
        <w:rPr>
          <w:rFonts w:hint="eastAsia"/>
        </w:rPr>
        <w:t>工程的维护和照管</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w:t>
      </w:r>
      <w:r>
        <w:t>1</w:t>
      </w:r>
      <w:r>
        <w:rPr>
          <w:rFonts w:hint="eastAsia"/>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40" w:firstLineChars="200"/>
        <w:rPr>
          <w:rFonts w:cs="Times New Roman"/>
        </w:rPr>
      </w:pPr>
      <w:r>
        <w:rPr>
          <w:rFonts w:hint="eastAsia"/>
        </w:rPr>
        <w:t>（</w:t>
      </w:r>
      <w:r>
        <w:t>2</w:t>
      </w:r>
      <w:r>
        <w:rPr>
          <w:rFonts w:hint="eastAsia"/>
        </w:rPr>
        <w:t>）在承包人负责照管与维护期间，如果本工程或材料、设备等发生损失或损害，除不可抗力原因之外，承包人均应自费弥补，并达到合同要求。承包人还应对按第</w:t>
      </w:r>
      <w:r>
        <w:t>19</w:t>
      </w:r>
      <w:r>
        <w:rPr>
          <w:rFonts w:hint="eastAsia"/>
        </w:rPr>
        <w:t>条规定而实施作业的过程中由承包人造成的对工程的任何损失或损害负责。</w:t>
      </w:r>
    </w:p>
    <w:p>
      <w:pPr>
        <w:spacing w:line="400" w:lineRule="exact"/>
        <w:ind w:firstLine="440" w:firstLineChars="200"/>
        <w:rPr>
          <w:rFonts w:cs="Times New Roman"/>
        </w:rPr>
      </w:pPr>
      <w:r>
        <w:t>4.1.10</w:t>
      </w:r>
      <w:r>
        <w:rPr>
          <w:rFonts w:hint="eastAsia"/>
        </w:rPr>
        <w:t>其他义务</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w:t>
      </w:r>
      <w:r>
        <w:t>1</w:t>
      </w:r>
      <w:r>
        <w:rPr>
          <w:rFonts w:hint="eastAsia"/>
        </w:rPr>
        <w:t>）临时占地由承包人向当地政府土地管理部门申请，并办理租用手续，承包人按有关规定直接支付其费用，发包人对此将予以协调。</w:t>
      </w:r>
    </w:p>
    <w:p>
      <w:pPr>
        <w:spacing w:line="400" w:lineRule="exact"/>
        <w:ind w:firstLine="440" w:firstLineChars="200"/>
        <w:rPr>
          <w:rFonts w:cs="Times New Roman"/>
        </w:rPr>
      </w:pPr>
      <w:r>
        <w:rPr>
          <w:rFonts w:hint="eastAsia"/>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w:t>
      </w:r>
      <w:r>
        <w:t>100</w:t>
      </w:r>
      <w:r>
        <w:rPr>
          <w:rFonts w:hint="eastAsia"/>
        </w:rPr>
        <w:t>章中由承包人按总额报价。</w:t>
      </w:r>
    </w:p>
    <w:p>
      <w:pPr>
        <w:spacing w:line="400" w:lineRule="exact"/>
        <w:ind w:firstLine="440" w:firstLineChars="200"/>
        <w:rPr>
          <w:rFonts w:cs="Times New Roman"/>
        </w:rPr>
      </w:pPr>
      <w:r>
        <w:rPr>
          <w:rFonts w:hint="eastAsia"/>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40" w:firstLineChars="200"/>
        <w:rPr>
          <w:rFonts w:cs="Times New Roman"/>
        </w:rPr>
      </w:pPr>
      <w:r>
        <w:rPr>
          <w:rFonts w:hint="eastAsia"/>
        </w:rPr>
        <w:t>（</w:t>
      </w:r>
      <w:r>
        <w:t>2</w:t>
      </w:r>
      <w:r>
        <w:rPr>
          <w:rFonts w:hint="eastAsia"/>
        </w:rPr>
        <w:t>）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40" w:firstLineChars="200"/>
        <w:rPr>
          <w:rFonts w:cs="Times New Roman"/>
        </w:rPr>
      </w:pPr>
      <w:r>
        <w:rPr>
          <w:rFonts w:hint="eastAsia"/>
        </w:rPr>
        <w:t>（</w:t>
      </w:r>
      <w:r>
        <w:t>3</w:t>
      </w:r>
      <w:r>
        <w:rPr>
          <w:rFonts w:hint="eastAsia"/>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40" w:firstLineChars="200"/>
        <w:rPr>
          <w:rFonts w:cs="Times New Roman"/>
        </w:rPr>
      </w:pPr>
      <w:r>
        <w:rPr>
          <w:rFonts w:hint="eastAsia"/>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40" w:firstLineChars="200"/>
        <w:rPr>
          <w:rFonts w:cs="Times New Roman"/>
        </w:rPr>
      </w:pPr>
      <w:r>
        <w:rPr>
          <w:rFonts w:hint="eastAsia"/>
        </w:rPr>
        <w:t>工资支付表应如实记录支付单位、支付时间、支付对象、支付数额、支付对象的身份证号和签字等信息。民工花名册和工资支付表应报监理人备查。</w:t>
      </w:r>
    </w:p>
    <w:p>
      <w:pPr>
        <w:spacing w:line="400" w:lineRule="exact"/>
        <w:ind w:firstLine="440" w:firstLineChars="200"/>
        <w:rPr>
          <w:rFonts w:cs="Times New Roman"/>
        </w:rPr>
      </w:pPr>
      <w:r>
        <w:rPr>
          <w:rFonts w:hint="eastAsia"/>
        </w:rPr>
        <w:t>（</w:t>
      </w:r>
      <w:r>
        <w:t>4</w:t>
      </w:r>
      <w:r>
        <w:rPr>
          <w:rFonts w:hint="eastAsia"/>
        </w:rPr>
        <w:t>）承包人应履行项目专用合同条款约定的其他义务。</w:t>
      </w:r>
    </w:p>
    <w:p>
      <w:pPr>
        <w:pStyle w:val="3"/>
        <w:spacing w:beforeLines="50" w:line="400" w:lineRule="exact"/>
        <w:rPr>
          <w:rFonts w:cs="Times New Roman"/>
          <w:sz w:val="21"/>
          <w:szCs w:val="21"/>
        </w:rPr>
      </w:pPr>
      <w:bookmarkStart w:id="778" w:name="_Toc309397458"/>
      <w:r>
        <w:rPr>
          <w:sz w:val="21"/>
          <w:szCs w:val="21"/>
        </w:rPr>
        <w:t xml:space="preserve">4.3 </w:t>
      </w:r>
      <w:r>
        <w:rPr>
          <w:rFonts w:hint="eastAsia"/>
          <w:sz w:val="21"/>
          <w:szCs w:val="21"/>
        </w:rPr>
        <w:t>分包</w:t>
      </w:r>
      <w:bookmarkEnd w:id="778"/>
    </w:p>
    <w:p>
      <w:pPr>
        <w:spacing w:line="400" w:lineRule="exact"/>
        <w:ind w:firstLine="440" w:firstLineChars="200"/>
        <w:rPr>
          <w:rFonts w:cs="Times New Roman"/>
        </w:rPr>
      </w:pPr>
      <w:r>
        <w:rPr>
          <w:rFonts w:hint="eastAsia"/>
        </w:rPr>
        <w:t>第</w:t>
      </w:r>
      <w:r>
        <w:t>4.3.2</w:t>
      </w:r>
      <w:r>
        <w:rPr>
          <w:rFonts w:hint="eastAsia"/>
        </w:rPr>
        <w:t>项～第</w:t>
      </w:r>
      <w:r>
        <w:t>4.3.4</w:t>
      </w:r>
      <w:r>
        <w:rPr>
          <w:rFonts w:hint="eastAsia"/>
        </w:rPr>
        <w:t>项细化为：</w:t>
      </w:r>
    </w:p>
    <w:p>
      <w:pPr>
        <w:spacing w:line="400" w:lineRule="exact"/>
        <w:ind w:firstLine="440" w:firstLineChars="200"/>
        <w:rPr>
          <w:rFonts w:cs="Times New Roman"/>
        </w:rPr>
      </w:pPr>
      <w:r>
        <w:t xml:space="preserve">4.3.2 </w:t>
      </w:r>
      <w:r>
        <w:rPr>
          <w:rFonts w:hint="eastAsia"/>
        </w:rPr>
        <w:t>承包人不得将工程主体、关键性工作分包给第三人。经发包人同意，承包人可将工程的其他部分或工作分包给第三人。分包包括专业分包和劳务分包。</w:t>
      </w:r>
    </w:p>
    <w:p>
      <w:pPr>
        <w:spacing w:line="400" w:lineRule="exact"/>
        <w:ind w:firstLine="440" w:firstLineChars="200"/>
        <w:rPr>
          <w:rFonts w:cs="Times New Roman"/>
        </w:rPr>
      </w:pPr>
      <w:r>
        <w:t>4.3.3</w:t>
      </w:r>
      <w:r>
        <w:rPr>
          <w:rFonts w:hint="eastAsia"/>
        </w:rPr>
        <w:t>专业分包</w:t>
      </w:r>
    </w:p>
    <w:p>
      <w:pPr>
        <w:spacing w:line="400" w:lineRule="exact"/>
        <w:ind w:firstLine="440" w:firstLineChars="200"/>
        <w:rPr>
          <w:rFonts w:cs="Times New Roman"/>
        </w:rPr>
      </w:pPr>
      <w:r>
        <w:rPr>
          <w:rFonts w:hint="eastAsia"/>
        </w:rPr>
        <w:t>在工程施工过程中，承包人进行专业分包必须遵守以下规定：</w:t>
      </w:r>
    </w:p>
    <w:p>
      <w:pPr>
        <w:spacing w:line="400" w:lineRule="exact"/>
        <w:ind w:firstLine="440" w:firstLineChars="200"/>
        <w:rPr>
          <w:rFonts w:cs="Times New Roman"/>
        </w:rPr>
      </w:pPr>
      <w:r>
        <w:rPr>
          <w:rFonts w:hint="eastAsia"/>
        </w:rPr>
        <w:t>（</w:t>
      </w:r>
      <w:r>
        <w:t>1</w:t>
      </w:r>
      <w:r>
        <w:rPr>
          <w:rFonts w:hint="eastAsia"/>
        </w:rPr>
        <w:t>）允许专业分包的工程范围仅限于分部工程或分项工程、适合专业化队伍施工的工程，专业分包的工程量累计不得超过总工程量的</w:t>
      </w:r>
      <w:r>
        <w:t>30%</w:t>
      </w:r>
      <w:r>
        <w:rPr>
          <w:rFonts w:hint="eastAsia"/>
        </w:rPr>
        <w:t>。</w:t>
      </w:r>
    </w:p>
    <w:p>
      <w:pPr>
        <w:spacing w:line="400" w:lineRule="exact"/>
        <w:ind w:firstLine="440" w:firstLineChars="200"/>
        <w:rPr>
          <w:rFonts w:cs="Times New Roman"/>
        </w:rPr>
      </w:pPr>
      <w:r>
        <w:rPr>
          <w:rFonts w:hint="eastAsia"/>
        </w:rPr>
        <w:t>（</w:t>
      </w:r>
      <w:r>
        <w:t>2</w:t>
      </w:r>
      <w:r>
        <w:rPr>
          <w:rFonts w:hint="eastAsia"/>
        </w:rPr>
        <w:t>）专业分包人的资格能力（含安全生产能力）应与其分包工程的标准和规模相适应，具备相应的专业承包资质。</w:t>
      </w:r>
    </w:p>
    <w:p>
      <w:pPr>
        <w:spacing w:line="400" w:lineRule="exact"/>
        <w:ind w:firstLine="440" w:firstLineChars="200"/>
        <w:rPr>
          <w:rFonts w:cs="Times New Roman"/>
        </w:rPr>
      </w:pPr>
      <w:r>
        <w:rPr>
          <w:rFonts w:hint="eastAsia"/>
        </w:rPr>
        <w:t>（</w:t>
      </w:r>
      <w:r>
        <w:t>3</w:t>
      </w:r>
      <w:r>
        <w:rPr>
          <w:rFonts w:hint="eastAsia"/>
        </w:rPr>
        <w:t>）专业分工程不得再次分包。</w:t>
      </w:r>
    </w:p>
    <w:p>
      <w:pPr>
        <w:spacing w:line="400" w:lineRule="exact"/>
        <w:ind w:firstLine="440" w:firstLineChars="200"/>
        <w:rPr>
          <w:rFonts w:cs="Times New Roman"/>
        </w:rPr>
      </w:pPr>
      <w:r>
        <w:rPr>
          <w:rFonts w:hint="eastAsia"/>
        </w:rPr>
        <w:t>（</w:t>
      </w:r>
      <w:r>
        <w:t>4</w:t>
      </w:r>
      <w:r>
        <w:rPr>
          <w:rFonts w:hint="eastAsia"/>
        </w:rPr>
        <w:t>）承包人和专业分包人应当依法签订专业分包合同，并按照合同履行约定的义务。专业分包合同必须明确约定工程款支付条款、结算方式以及保证按期支付的相应措施，确保工程款的支付。</w:t>
      </w:r>
    </w:p>
    <w:p>
      <w:pPr>
        <w:spacing w:line="400" w:lineRule="exact"/>
        <w:ind w:firstLine="440" w:firstLineChars="200"/>
        <w:rPr>
          <w:rFonts w:cs="Times New Roman"/>
        </w:rPr>
      </w:pPr>
      <w:r>
        <w:rPr>
          <w:rFonts w:hint="eastAsia"/>
        </w:rPr>
        <w:t>（</w:t>
      </w:r>
      <w:r>
        <w:t>5</w:t>
      </w:r>
      <w:r>
        <w:rPr>
          <w:rFonts w:hint="eastAsia"/>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40" w:firstLineChars="200"/>
        <w:rPr>
          <w:rFonts w:cs="Times New Roman"/>
        </w:rPr>
      </w:pPr>
      <w:r>
        <w:rPr>
          <w:rFonts w:hint="eastAsia"/>
        </w:rPr>
        <w:t>（</w:t>
      </w:r>
      <w:r>
        <w:t>6</w:t>
      </w:r>
      <w:r>
        <w:rPr>
          <w:rFonts w:hint="eastAsia"/>
        </w:rPr>
        <w:t>）所有专业分包计划和专业分包合同须报监理人审批，并报发包人核备。监理人审批专业分包并不解除合同规定的承包人的任何责任或义务。</w:t>
      </w:r>
    </w:p>
    <w:p>
      <w:pPr>
        <w:spacing w:line="400" w:lineRule="exact"/>
        <w:ind w:firstLine="440" w:firstLineChars="200"/>
        <w:rPr>
          <w:rFonts w:cs="Times New Roman"/>
        </w:rPr>
      </w:pPr>
      <w:r>
        <w:t>4.3.4</w:t>
      </w:r>
      <w:r>
        <w:rPr>
          <w:rFonts w:hint="eastAsia"/>
        </w:rPr>
        <w:t>劳务分包</w:t>
      </w:r>
    </w:p>
    <w:p>
      <w:pPr>
        <w:spacing w:line="400" w:lineRule="exact"/>
        <w:ind w:firstLine="440" w:firstLineChars="200"/>
        <w:rPr>
          <w:rFonts w:cs="Times New Roman"/>
        </w:rPr>
      </w:pPr>
      <w:r>
        <w:rPr>
          <w:rFonts w:hint="eastAsia"/>
        </w:rPr>
        <w:t>在工程施工过程中，承包人进行劳务分包必须遵守以下规定：</w:t>
      </w:r>
    </w:p>
    <w:p>
      <w:pPr>
        <w:spacing w:line="400" w:lineRule="exact"/>
        <w:ind w:firstLine="440" w:firstLineChars="200"/>
        <w:rPr>
          <w:rFonts w:cs="Times New Roman"/>
        </w:rPr>
      </w:pPr>
      <w:r>
        <w:rPr>
          <w:rFonts w:hint="eastAsia"/>
        </w:rPr>
        <w:t>（</w:t>
      </w:r>
      <w:r>
        <w:t>1</w:t>
      </w:r>
      <w:r>
        <w:rPr>
          <w:rFonts w:hint="eastAsia"/>
        </w:rPr>
        <w:t>）劳务分包人应具有劳务分包资质。</w:t>
      </w:r>
    </w:p>
    <w:p>
      <w:pPr>
        <w:spacing w:line="400" w:lineRule="exact"/>
        <w:ind w:firstLine="440" w:firstLineChars="200"/>
        <w:rPr>
          <w:rFonts w:cs="Times New Roman"/>
        </w:rPr>
      </w:pPr>
      <w:r>
        <w:rPr>
          <w:rFonts w:hint="eastAsia"/>
        </w:rPr>
        <w:t>（</w:t>
      </w:r>
      <w:r>
        <w:t>2</w:t>
      </w:r>
      <w:r>
        <w:rPr>
          <w:rFonts w:hint="eastAsia"/>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40" w:firstLineChars="200"/>
        <w:rPr>
          <w:rFonts w:cs="Times New Roman"/>
        </w:rPr>
      </w:pPr>
      <w:r>
        <w:rPr>
          <w:rFonts w:hint="eastAsia"/>
        </w:rPr>
        <w:t>（</w:t>
      </w:r>
      <w:r>
        <w:t>3</w:t>
      </w:r>
      <w:r>
        <w:rPr>
          <w:rFonts w:hint="eastAsia"/>
        </w:rPr>
        <w:t>）承包人雇用的劳务作业应加入到承包人的施工班组统一管理。有关施工质量、施工安全、施工进度、环境保护、技术方案、试验检测、材料保管与供应、机械设备等都必须由承包人管理与调配，不得以包代管。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40" w:firstLineChars="200"/>
        <w:rPr>
          <w:rFonts w:cs="Times New Roman"/>
        </w:rPr>
      </w:pPr>
      <w:r>
        <w:rPr>
          <w:rFonts w:hint="eastAsia"/>
        </w:rPr>
        <w:t>（</w:t>
      </w:r>
      <w:r>
        <w:t>4</w:t>
      </w:r>
      <w:r>
        <w:rPr>
          <w:rFonts w:hint="eastAsia"/>
        </w:rPr>
        <w:t>）承包人应当对劳务分包人员进行安全培训和管理，劳务分包人不得将其分包的劳务作业再次分包。</w:t>
      </w:r>
    </w:p>
    <w:p>
      <w:pPr>
        <w:spacing w:line="400" w:lineRule="exact"/>
        <w:ind w:firstLine="440" w:firstLineChars="200"/>
        <w:rPr>
          <w:rFonts w:cs="Times New Roman"/>
        </w:rPr>
      </w:pPr>
      <w:r>
        <w:rPr>
          <w:rFonts w:hint="eastAsia"/>
        </w:rPr>
        <w:t>违反上述规定之一者属违规分包。</w:t>
      </w:r>
    </w:p>
    <w:p>
      <w:pPr>
        <w:spacing w:line="400" w:lineRule="exact"/>
        <w:ind w:firstLine="440" w:firstLineChars="200"/>
        <w:rPr>
          <w:rFonts w:cs="Times New Roman"/>
        </w:rPr>
      </w:pPr>
      <w:r>
        <w:rPr>
          <w:rFonts w:hint="eastAsia"/>
        </w:rPr>
        <w:t>本款补充第</w:t>
      </w:r>
      <w:r>
        <w:t>4.3.6</w:t>
      </w:r>
      <w:r>
        <w:rPr>
          <w:rFonts w:hint="eastAsia"/>
        </w:rPr>
        <w:t>项：</w:t>
      </w:r>
    </w:p>
    <w:p>
      <w:pPr>
        <w:spacing w:line="400" w:lineRule="exact"/>
        <w:ind w:firstLine="440" w:firstLineChars="200"/>
        <w:rPr>
          <w:rFonts w:cs="Times New Roman"/>
        </w:rPr>
      </w:pPr>
      <w:r>
        <w:t xml:space="preserve">4.3.6 </w:t>
      </w:r>
      <w:r>
        <w:rPr>
          <w:rFonts w:hint="eastAsia"/>
        </w:rPr>
        <w:t>发包人对承包人与分包人之间的法律与经济纠纷不承担任何责任和义务。</w:t>
      </w:r>
    </w:p>
    <w:p>
      <w:pPr>
        <w:pStyle w:val="3"/>
        <w:spacing w:beforeLines="50" w:line="400" w:lineRule="exact"/>
        <w:rPr>
          <w:rFonts w:cs="Times New Roman"/>
          <w:sz w:val="21"/>
          <w:szCs w:val="21"/>
        </w:rPr>
      </w:pPr>
      <w:bookmarkStart w:id="779" w:name="_Toc309397459"/>
      <w:r>
        <w:rPr>
          <w:sz w:val="21"/>
          <w:szCs w:val="21"/>
        </w:rPr>
        <w:t>4.4</w:t>
      </w:r>
      <w:r>
        <w:rPr>
          <w:rFonts w:hint="eastAsia"/>
          <w:sz w:val="21"/>
          <w:szCs w:val="21"/>
        </w:rPr>
        <w:t>联合体</w:t>
      </w:r>
      <w:bookmarkEnd w:id="779"/>
    </w:p>
    <w:p>
      <w:pPr>
        <w:spacing w:line="400" w:lineRule="exact"/>
        <w:ind w:firstLine="440" w:firstLineChars="200"/>
        <w:rPr>
          <w:rFonts w:cs="Times New Roman"/>
        </w:rPr>
      </w:pPr>
      <w:r>
        <w:rPr>
          <w:rFonts w:hint="eastAsia"/>
        </w:rPr>
        <w:t>本款增加第</w:t>
      </w:r>
      <w:r>
        <w:t>4.4.4</w:t>
      </w:r>
      <w:r>
        <w:rPr>
          <w:rFonts w:hint="eastAsia"/>
        </w:rPr>
        <w:t>项：</w:t>
      </w:r>
    </w:p>
    <w:p>
      <w:pPr>
        <w:spacing w:line="400" w:lineRule="exact"/>
        <w:ind w:firstLine="440" w:firstLineChars="200"/>
        <w:rPr>
          <w:rFonts w:cs="Times New Roman"/>
        </w:rPr>
      </w:pPr>
      <w:r>
        <w:t>4.4.4</w:t>
      </w:r>
      <w:r>
        <w:rPr>
          <w:rFonts w:hint="eastAsia"/>
        </w:rPr>
        <w:t>未经发包人事先同意，联合体的组成与结构不得变动。</w:t>
      </w:r>
    </w:p>
    <w:p>
      <w:pPr>
        <w:pStyle w:val="3"/>
        <w:spacing w:beforeLines="50" w:line="400" w:lineRule="exact"/>
        <w:rPr>
          <w:rFonts w:cs="Times New Roman"/>
          <w:sz w:val="21"/>
          <w:szCs w:val="21"/>
        </w:rPr>
      </w:pPr>
      <w:bookmarkStart w:id="780" w:name="_Toc309397460"/>
      <w:r>
        <w:rPr>
          <w:sz w:val="21"/>
          <w:szCs w:val="21"/>
        </w:rPr>
        <w:t>4.6</w:t>
      </w:r>
      <w:r>
        <w:rPr>
          <w:rFonts w:hint="eastAsia"/>
          <w:sz w:val="21"/>
          <w:szCs w:val="21"/>
        </w:rPr>
        <w:t>承包人人员的管理</w:t>
      </w:r>
      <w:bookmarkEnd w:id="780"/>
    </w:p>
    <w:p>
      <w:pPr>
        <w:spacing w:line="400" w:lineRule="exact"/>
        <w:ind w:firstLine="440" w:firstLineChars="200"/>
        <w:rPr>
          <w:rFonts w:cs="Times New Roman"/>
        </w:rPr>
      </w:pPr>
      <w:r>
        <w:rPr>
          <w:rFonts w:hint="eastAsia"/>
        </w:rPr>
        <w:t>第</w:t>
      </w:r>
      <w:r>
        <w:t>4.6.3</w:t>
      </w:r>
      <w:r>
        <w:rPr>
          <w:rFonts w:hint="eastAsia"/>
        </w:rPr>
        <w:t>项细化为：</w:t>
      </w:r>
    </w:p>
    <w:p>
      <w:pPr>
        <w:spacing w:line="400" w:lineRule="exact"/>
        <w:ind w:firstLine="440" w:firstLineChars="200"/>
        <w:rPr>
          <w:rFonts w:cs="Times New Roman"/>
        </w:rPr>
      </w:pPr>
      <w:r>
        <w:rPr>
          <w:rFonts w:hint="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40" w:firstLineChars="200"/>
        <w:rPr>
          <w:rFonts w:cs="Times New Roman"/>
        </w:rPr>
      </w:pPr>
      <w:r>
        <w:rPr>
          <w:rFonts w:hint="eastAsia"/>
        </w:rPr>
        <w:t>本款补充第</w:t>
      </w:r>
      <w:r>
        <w:t>4.6.5</w:t>
      </w:r>
      <w:r>
        <w:rPr>
          <w:rFonts w:hint="eastAsia"/>
        </w:rPr>
        <w:t>项：</w:t>
      </w:r>
    </w:p>
    <w:p>
      <w:pPr>
        <w:spacing w:line="400" w:lineRule="exact"/>
        <w:ind w:firstLine="440" w:firstLineChars="200"/>
        <w:rPr>
          <w:rFonts w:cs="Times New Roman"/>
        </w:rPr>
      </w:pPr>
      <w:r>
        <w:t>4.6.5</w:t>
      </w:r>
      <w:r>
        <w:rPr>
          <w:rFonts w:hint="eastAsia"/>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cs="Times New Roman"/>
          <w:sz w:val="21"/>
          <w:szCs w:val="21"/>
        </w:rPr>
      </w:pPr>
      <w:bookmarkStart w:id="781" w:name="_Toc309397461"/>
      <w:r>
        <w:rPr>
          <w:sz w:val="21"/>
          <w:szCs w:val="21"/>
        </w:rPr>
        <w:t>4.7</w:t>
      </w:r>
      <w:r>
        <w:rPr>
          <w:rFonts w:hint="eastAsia"/>
          <w:sz w:val="21"/>
          <w:szCs w:val="21"/>
        </w:rPr>
        <w:t>撤换承包人项目经理和其他人员</w:t>
      </w:r>
      <w:bookmarkEnd w:id="781"/>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rPr>
          <w:rFonts w:hint="eastAsia"/>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cs="Times New Roman"/>
          <w:sz w:val="21"/>
          <w:szCs w:val="21"/>
        </w:rPr>
      </w:pPr>
      <w:bookmarkStart w:id="782" w:name="_Toc309397462"/>
      <w:r>
        <w:rPr>
          <w:sz w:val="21"/>
          <w:szCs w:val="21"/>
        </w:rPr>
        <w:t>4.9</w:t>
      </w:r>
      <w:r>
        <w:rPr>
          <w:rFonts w:hint="eastAsia"/>
          <w:sz w:val="21"/>
          <w:szCs w:val="21"/>
        </w:rPr>
        <w:t>工程价款应专款专用</w:t>
      </w:r>
      <w:bookmarkEnd w:id="782"/>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rPr>
          <w:rFonts w:hint="eastAsia"/>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cs="Times New Roman"/>
          <w:sz w:val="21"/>
          <w:szCs w:val="21"/>
        </w:rPr>
      </w:pPr>
      <w:bookmarkStart w:id="783" w:name="_Toc309397463"/>
      <w:r>
        <w:rPr>
          <w:sz w:val="21"/>
          <w:szCs w:val="21"/>
        </w:rPr>
        <w:t>4.10</w:t>
      </w:r>
      <w:r>
        <w:rPr>
          <w:rFonts w:hint="eastAsia"/>
          <w:sz w:val="21"/>
          <w:szCs w:val="21"/>
        </w:rPr>
        <w:t>承包人现场查勘</w:t>
      </w:r>
      <w:bookmarkEnd w:id="783"/>
    </w:p>
    <w:p>
      <w:pPr>
        <w:spacing w:line="400" w:lineRule="exact"/>
        <w:ind w:firstLine="440" w:firstLineChars="200"/>
        <w:rPr>
          <w:rFonts w:cs="Times New Roman"/>
        </w:rPr>
      </w:pPr>
      <w:r>
        <w:rPr>
          <w:rFonts w:hint="eastAsia"/>
        </w:rPr>
        <w:t>第</w:t>
      </w:r>
      <w:r>
        <w:t>4.10.1</w:t>
      </w:r>
      <w:r>
        <w:rPr>
          <w:rFonts w:hint="eastAsia"/>
        </w:rPr>
        <w:t>项细化为：</w:t>
      </w:r>
    </w:p>
    <w:p>
      <w:pPr>
        <w:spacing w:line="400" w:lineRule="exact"/>
        <w:ind w:firstLine="440" w:firstLineChars="200"/>
        <w:rPr>
          <w:rFonts w:cs="Times New Roman"/>
        </w:rPr>
      </w:pPr>
      <w:r>
        <w:rPr>
          <w:rFonts w:hint="eastAsia"/>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cs="Times New Roman"/>
          <w:sz w:val="21"/>
          <w:szCs w:val="21"/>
        </w:rPr>
      </w:pPr>
      <w:bookmarkStart w:id="784" w:name="_Toc309397464"/>
      <w:r>
        <w:rPr>
          <w:sz w:val="21"/>
          <w:szCs w:val="21"/>
        </w:rPr>
        <w:t>4.11</w:t>
      </w:r>
      <w:r>
        <w:rPr>
          <w:rFonts w:hint="eastAsia"/>
          <w:sz w:val="21"/>
          <w:szCs w:val="21"/>
        </w:rPr>
        <w:t>不利物质条件</w:t>
      </w:r>
      <w:bookmarkEnd w:id="784"/>
    </w:p>
    <w:p>
      <w:pPr>
        <w:spacing w:line="400" w:lineRule="exact"/>
        <w:ind w:firstLine="440" w:firstLineChars="200"/>
        <w:rPr>
          <w:rFonts w:cs="Times New Roman"/>
        </w:rPr>
      </w:pPr>
      <w:r>
        <w:rPr>
          <w:rFonts w:hint="eastAsia"/>
        </w:rPr>
        <w:t>第</w:t>
      </w:r>
      <w:r>
        <w:t>4.11.2</w:t>
      </w:r>
      <w:r>
        <w:rPr>
          <w:rFonts w:hint="eastAsia"/>
        </w:rPr>
        <w:t>项细化为：</w:t>
      </w:r>
    </w:p>
    <w:p>
      <w:pPr>
        <w:spacing w:line="400" w:lineRule="exact"/>
        <w:ind w:firstLine="440" w:firstLineChars="200"/>
        <w:rPr>
          <w:rFonts w:cs="Times New Roman"/>
        </w:rPr>
      </w:pPr>
      <w:r>
        <w:t xml:space="preserve">4.11.2 </w:t>
      </w:r>
      <w:r>
        <w:rPr>
          <w:rFonts w:hint="eastAsia"/>
        </w:rPr>
        <w:t>承包人遇到不可预见的不利物质条件时，应采取适应不利物质条件的合理措施继续施工，并及时通知监理人。监理人应当及时发出指示，指示构成变更的，按第</w:t>
      </w:r>
      <w:r>
        <w:t>15</w:t>
      </w:r>
      <w:r>
        <w:rPr>
          <w:rFonts w:hint="eastAsia"/>
        </w:rPr>
        <w:t>条约定办理。监理人没有发出指示的，承包人因采取合理措施而增加的费用和（或）工期延误，由发包人承担。</w:t>
      </w:r>
    </w:p>
    <w:p>
      <w:pPr>
        <w:spacing w:line="400" w:lineRule="exact"/>
        <w:ind w:firstLine="440" w:firstLineChars="200"/>
        <w:rPr>
          <w:rFonts w:cs="Times New Roman"/>
        </w:rPr>
      </w:pPr>
      <w:r>
        <w:rPr>
          <w:rFonts w:hint="eastAsia"/>
        </w:rPr>
        <w:t>本款补充第</w:t>
      </w:r>
      <w:r>
        <w:t>4.11.3</w:t>
      </w:r>
      <w:r>
        <w:rPr>
          <w:rFonts w:hint="eastAsia"/>
        </w:rPr>
        <w:t>项：</w:t>
      </w:r>
    </w:p>
    <w:p>
      <w:pPr>
        <w:spacing w:line="400" w:lineRule="exact"/>
        <w:ind w:firstLine="440" w:firstLineChars="200"/>
        <w:rPr>
          <w:rFonts w:cs="Times New Roman"/>
        </w:rPr>
      </w:pPr>
      <w:r>
        <w:t xml:space="preserve">4.11.3 </w:t>
      </w:r>
      <w:r>
        <w:rPr>
          <w:rFonts w:hint="eastAsia"/>
        </w:rPr>
        <w:t>可预见的不利物质条件</w:t>
      </w:r>
    </w:p>
    <w:p>
      <w:pPr>
        <w:spacing w:line="400" w:lineRule="exact"/>
        <w:ind w:firstLine="440" w:firstLineChars="200"/>
        <w:rPr>
          <w:rFonts w:cs="Times New Roman"/>
        </w:rPr>
      </w:pPr>
      <w:r>
        <w:rPr>
          <w:rFonts w:hint="eastAsia"/>
        </w:rPr>
        <w:t>（</w:t>
      </w:r>
      <w:r>
        <w:t>1</w:t>
      </w:r>
      <w:r>
        <w:rPr>
          <w:rFonts w:hint="eastAsia"/>
        </w:rPr>
        <w:t>）对于项目专用合同条款中已经明确指出的不利物质条件无论承包人是否有其经历和经验均视为承包人在接受合同时已预见其影响，并已在签约合同价中计入因其影响而可能发生的一切费用。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40" w:firstLineChars="200"/>
        <w:rPr>
          <w:rFonts w:cs="Times New Roman"/>
        </w:rPr>
      </w:pPr>
      <w:r>
        <w:rPr>
          <w:rFonts w:hint="eastAsia"/>
        </w:rPr>
        <w:t>（</w:t>
      </w:r>
      <w:r>
        <w:t>2</w:t>
      </w:r>
      <w:r>
        <w:rPr>
          <w:rFonts w:hint="eastAsia"/>
        </w:rPr>
        <w:t>）对于项目专用合同条款未明确指出，但是在不利物质条件发生之前，监理人已经指示承包人有可能发生，但承包人未能及时采取有效措施，而导致的损失和后果均由承包人承担。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40" w:firstLineChars="200"/>
        <w:rPr>
          <w:rFonts w:cs="Times New Roman"/>
        </w:rPr>
      </w:pPr>
    </w:p>
    <w:p>
      <w:pPr>
        <w:spacing w:line="400" w:lineRule="exact"/>
        <w:ind w:firstLine="440" w:firstLineChars="200"/>
        <w:rPr>
          <w:rFonts w:cs="Times New Roman"/>
        </w:rPr>
      </w:pPr>
      <w:r>
        <w:rPr>
          <w:rFonts w:hint="eastAsia"/>
        </w:rPr>
        <w:t>补充第</w:t>
      </w:r>
      <w:r>
        <w:t>4.12</w:t>
      </w:r>
      <w:r>
        <w:rPr>
          <w:rFonts w:hint="eastAsia"/>
        </w:rPr>
        <w:t>款：</w:t>
      </w:r>
    </w:p>
    <w:p>
      <w:pPr>
        <w:pStyle w:val="3"/>
        <w:spacing w:beforeLines="50" w:line="400" w:lineRule="exact"/>
        <w:rPr>
          <w:rFonts w:cs="Times New Roman"/>
          <w:sz w:val="21"/>
          <w:szCs w:val="21"/>
        </w:rPr>
      </w:pPr>
      <w:bookmarkStart w:id="785" w:name="_Toc309397465"/>
      <w:r>
        <w:rPr>
          <w:sz w:val="21"/>
          <w:szCs w:val="21"/>
        </w:rPr>
        <w:t>4.12</w:t>
      </w:r>
      <w:r>
        <w:rPr>
          <w:rFonts w:hint="eastAsia"/>
          <w:sz w:val="21"/>
          <w:szCs w:val="21"/>
        </w:rPr>
        <w:t>投标文件的完备性</w:t>
      </w:r>
      <w:bookmarkEnd w:id="785"/>
    </w:p>
    <w:p>
      <w:pPr>
        <w:spacing w:line="400" w:lineRule="exact"/>
        <w:ind w:firstLine="440" w:firstLineChars="200"/>
        <w:rPr>
          <w:rFonts w:cs="Times New Roman"/>
        </w:rPr>
      </w:pPr>
      <w:r>
        <w:rPr>
          <w:rFonts w:hint="eastAsia"/>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cs="Times New Roman"/>
          <w:sz w:val="28"/>
          <w:szCs w:val="28"/>
        </w:rPr>
      </w:pPr>
      <w:bookmarkStart w:id="786" w:name="_Toc309397466"/>
      <w:r>
        <w:rPr>
          <w:sz w:val="28"/>
          <w:szCs w:val="28"/>
        </w:rPr>
        <w:t>5</w:t>
      </w:r>
      <w:r>
        <w:rPr>
          <w:rFonts w:hint="eastAsia"/>
          <w:sz w:val="28"/>
          <w:szCs w:val="28"/>
        </w:rPr>
        <w:t>．材料和工程设备</w:t>
      </w:r>
      <w:bookmarkEnd w:id="786"/>
    </w:p>
    <w:p>
      <w:pPr>
        <w:pStyle w:val="3"/>
        <w:spacing w:beforeLines="50" w:line="400" w:lineRule="exact"/>
        <w:rPr>
          <w:rFonts w:cs="Times New Roman"/>
          <w:sz w:val="21"/>
          <w:szCs w:val="21"/>
        </w:rPr>
      </w:pPr>
      <w:bookmarkStart w:id="787" w:name="_Toc309397467"/>
      <w:r>
        <w:rPr>
          <w:sz w:val="21"/>
          <w:szCs w:val="21"/>
        </w:rPr>
        <w:t>5.2</w:t>
      </w:r>
      <w:r>
        <w:rPr>
          <w:rFonts w:hint="eastAsia"/>
          <w:sz w:val="21"/>
          <w:szCs w:val="21"/>
        </w:rPr>
        <w:t>发包人提供的材料和工程设备</w:t>
      </w:r>
      <w:bookmarkEnd w:id="787"/>
    </w:p>
    <w:p>
      <w:pPr>
        <w:spacing w:line="400" w:lineRule="exact"/>
        <w:ind w:firstLine="440" w:firstLineChars="200"/>
        <w:rPr>
          <w:rFonts w:cs="Times New Roman"/>
        </w:rPr>
      </w:pPr>
      <w:r>
        <w:rPr>
          <w:rFonts w:hint="eastAsia"/>
        </w:rPr>
        <w:t>第</w:t>
      </w:r>
      <w:r>
        <w:t>5.2.3</w:t>
      </w:r>
      <w:r>
        <w:rPr>
          <w:rFonts w:hint="eastAsia"/>
        </w:rPr>
        <w:t>项补充：</w:t>
      </w:r>
    </w:p>
    <w:p>
      <w:pPr>
        <w:spacing w:line="400" w:lineRule="exact"/>
        <w:ind w:firstLine="440" w:firstLineChars="200"/>
        <w:rPr>
          <w:rFonts w:cs="Times New Roman"/>
        </w:rPr>
      </w:pPr>
      <w:r>
        <w:rPr>
          <w:rFonts w:hint="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cs="Times New Roman"/>
          <w:sz w:val="28"/>
          <w:szCs w:val="28"/>
        </w:rPr>
      </w:pPr>
      <w:bookmarkStart w:id="788" w:name="_Toc309397468"/>
      <w:r>
        <w:rPr>
          <w:sz w:val="28"/>
          <w:szCs w:val="28"/>
        </w:rPr>
        <w:t>6</w:t>
      </w:r>
      <w:r>
        <w:rPr>
          <w:rFonts w:hint="eastAsia"/>
          <w:sz w:val="28"/>
          <w:szCs w:val="28"/>
        </w:rPr>
        <w:t>．施工设备和临时设施</w:t>
      </w:r>
      <w:bookmarkEnd w:id="788"/>
    </w:p>
    <w:p>
      <w:pPr>
        <w:pStyle w:val="3"/>
        <w:spacing w:beforeLines="50" w:line="400" w:lineRule="exact"/>
        <w:rPr>
          <w:rFonts w:cs="Times New Roman"/>
          <w:sz w:val="21"/>
          <w:szCs w:val="21"/>
        </w:rPr>
      </w:pPr>
      <w:bookmarkStart w:id="789" w:name="_Toc309397469"/>
      <w:r>
        <w:rPr>
          <w:sz w:val="21"/>
          <w:szCs w:val="21"/>
        </w:rPr>
        <w:t>6.2</w:t>
      </w:r>
      <w:r>
        <w:rPr>
          <w:rFonts w:hint="eastAsia"/>
          <w:sz w:val="21"/>
          <w:szCs w:val="21"/>
        </w:rPr>
        <w:t>承包人提供的施工设备和临时设施</w:t>
      </w:r>
      <w:bookmarkEnd w:id="789"/>
    </w:p>
    <w:p>
      <w:pPr>
        <w:spacing w:line="400" w:lineRule="exact"/>
        <w:ind w:firstLine="440" w:firstLineChars="200"/>
        <w:rPr>
          <w:rFonts w:cs="Times New Roman"/>
        </w:rPr>
      </w:pPr>
      <w:r>
        <w:rPr>
          <w:rFonts w:hint="eastAsia"/>
        </w:rPr>
        <w:t>第</w:t>
      </w:r>
      <w:r>
        <w:t>6.1.2</w:t>
      </w:r>
      <w:r>
        <w:rPr>
          <w:rFonts w:hint="eastAsia"/>
        </w:rPr>
        <w:t>项约定为：</w:t>
      </w:r>
    </w:p>
    <w:p>
      <w:pPr>
        <w:spacing w:line="400" w:lineRule="exact"/>
        <w:ind w:firstLine="440" w:firstLineChars="200"/>
        <w:rPr>
          <w:rFonts w:cs="Times New Roman"/>
        </w:rPr>
      </w:pPr>
      <w:r>
        <w:rPr>
          <w:rFonts w:hint="eastAsia"/>
        </w:rPr>
        <w:t>承包人应自行承担修建临时设施的费用，需要临时占地的，应由承包人按第</w:t>
      </w:r>
      <w:r>
        <w:t>4.1.10</w:t>
      </w:r>
      <w:r>
        <w:rPr>
          <w:rFonts w:hint="eastAsia"/>
        </w:rPr>
        <w:t>项（</w:t>
      </w:r>
      <w:r>
        <w:t>1</w:t>
      </w:r>
      <w:r>
        <w:rPr>
          <w:rFonts w:hint="eastAsia"/>
        </w:rPr>
        <w:t>）目的规定办理。</w:t>
      </w:r>
    </w:p>
    <w:p>
      <w:pPr>
        <w:pStyle w:val="3"/>
        <w:spacing w:beforeLines="50" w:line="400" w:lineRule="exact"/>
        <w:rPr>
          <w:rFonts w:cs="Times New Roman"/>
          <w:sz w:val="21"/>
          <w:szCs w:val="21"/>
        </w:rPr>
      </w:pPr>
      <w:bookmarkStart w:id="790" w:name="_Toc309397470"/>
      <w:r>
        <w:rPr>
          <w:sz w:val="21"/>
          <w:szCs w:val="21"/>
        </w:rPr>
        <w:t>6.3</w:t>
      </w:r>
      <w:r>
        <w:rPr>
          <w:rFonts w:hint="eastAsia"/>
          <w:sz w:val="21"/>
          <w:szCs w:val="21"/>
        </w:rPr>
        <w:t>要求承包人增加或更换施工设备</w:t>
      </w:r>
      <w:bookmarkEnd w:id="790"/>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rPr>
          <w:rFonts w:hint="eastAsia"/>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cs="Times New Roman"/>
          <w:sz w:val="28"/>
          <w:szCs w:val="28"/>
        </w:rPr>
      </w:pPr>
      <w:bookmarkStart w:id="791" w:name="_Toc309397471"/>
      <w:r>
        <w:rPr>
          <w:sz w:val="28"/>
          <w:szCs w:val="28"/>
        </w:rPr>
        <w:t>7</w:t>
      </w:r>
      <w:r>
        <w:rPr>
          <w:rFonts w:hint="eastAsia"/>
          <w:sz w:val="28"/>
          <w:szCs w:val="28"/>
        </w:rPr>
        <w:t>．交通运输</w:t>
      </w:r>
      <w:bookmarkEnd w:id="791"/>
    </w:p>
    <w:p>
      <w:pPr>
        <w:pStyle w:val="3"/>
        <w:spacing w:beforeLines="50" w:line="400" w:lineRule="exact"/>
        <w:rPr>
          <w:rFonts w:cs="Times New Roman"/>
          <w:sz w:val="21"/>
          <w:szCs w:val="21"/>
        </w:rPr>
      </w:pPr>
      <w:bookmarkStart w:id="792" w:name="_Toc309397472"/>
      <w:r>
        <w:rPr>
          <w:sz w:val="21"/>
          <w:szCs w:val="21"/>
        </w:rPr>
        <w:t>7.1</w:t>
      </w:r>
      <w:r>
        <w:rPr>
          <w:rFonts w:hint="eastAsia"/>
          <w:sz w:val="21"/>
          <w:szCs w:val="21"/>
        </w:rPr>
        <w:t>道路通行权和场外设施</w:t>
      </w:r>
      <w:bookmarkEnd w:id="792"/>
    </w:p>
    <w:p>
      <w:pPr>
        <w:spacing w:line="400" w:lineRule="exact"/>
        <w:ind w:firstLine="440" w:firstLineChars="200"/>
        <w:rPr>
          <w:rFonts w:cs="Times New Roman"/>
        </w:rPr>
      </w:pPr>
      <w:r>
        <w:rPr>
          <w:rFonts w:hint="eastAsia"/>
        </w:rPr>
        <w:t>本款约定为：</w:t>
      </w:r>
    </w:p>
    <w:p>
      <w:pPr>
        <w:spacing w:line="400" w:lineRule="exact"/>
        <w:ind w:firstLine="440" w:firstLineChars="200"/>
        <w:rPr>
          <w:rFonts w:cs="Times New Roman"/>
        </w:rPr>
      </w:pPr>
      <w:r>
        <w:rPr>
          <w:rFonts w:hint="eastAsia"/>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cs="Times New Roman"/>
          <w:sz w:val="28"/>
          <w:szCs w:val="28"/>
        </w:rPr>
      </w:pPr>
      <w:bookmarkStart w:id="793" w:name="_Toc309397473"/>
      <w:r>
        <w:rPr>
          <w:sz w:val="28"/>
          <w:szCs w:val="28"/>
        </w:rPr>
        <w:t>8</w:t>
      </w:r>
      <w:r>
        <w:rPr>
          <w:rFonts w:hint="eastAsia"/>
          <w:sz w:val="28"/>
          <w:szCs w:val="28"/>
        </w:rPr>
        <w:t>．测量放线</w:t>
      </w:r>
      <w:bookmarkEnd w:id="793"/>
    </w:p>
    <w:p>
      <w:pPr>
        <w:pStyle w:val="3"/>
        <w:spacing w:beforeLines="50" w:line="400" w:lineRule="exact"/>
        <w:rPr>
          <w:rFonts w:cs="Times New Roman"/>
          <w:sz w:val="21"/>
          <w:szCs w:val="21"/>
        </w:rPr>
      </w:pPr>
      <w:bookmarkStart w:id="794" w:name="_Toc309397474"/>
      <w:r>
        <w:rPr>
          <w:sz w:val="21"/>
          <w:szCs w:val="21"/>
        </w:rPr>
        <w:t>8.4</w:t>
      </w:r>
      <w:r>
        <w:rPr>
          <w:rFonts w:hint="eastAsia"/>
          <w:sz w:val="21"/>
          <w:szCs w:val="21"/>
        </w:rPr>
        <w:t>监理人使用施工控制网</w:t>
      </w:r>
      <w:bookmarkEnd w:id="794"/>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经监理人批准，其他相关承包人也可免费使用施工控制网。</w:t>
      </w:r>
    </w:p>
    <w:p>
      <w:pPr>
        <w:pStyle w:val="3"/>
        <w:spacing w:beforeLines="50" w:line="400" w:lineRule="exact"/>
        <w:rPr>
          <w:rFonts w:cs="Times New Roman"/>
          <w:sz w:val="28"/>
          <w:szCs w:val="28"/>
        </w:rPr>
      </w:pPr>
      <w:bookmarkStart w:id="795" w:name="_Toc309397475"/>
      <w:r>
        <w:rPr>
          <w:sz w:val="28"/>
          <w:szCs w:val="28"/>
        </w:rPr>
        <w:t>9</w:t>
      </w:r>
      <w:r>
        <w:rPr>
          <w:rFonts w:hint="eastAsia"/>
          <w:sz w:val="28"/>
          <w:szCs w:val="28"/>
        </w:rPr>
        <w:t>．施工安全、治安保卫和环境保护</w:t>
      </w:r>
      <w:bookmarkEnd w:id="795"/>
    </w:p>
    <w:p>
      <w:pPr>
        <w:pStyle w:val="3"/>
        <w:spacing w:beforeLines="50" w:line="400" w:lineRule="exact"/>
        <w:rPr>
          <w:rFonts w:cs="Times New Roman"/>
          <w:sz w:val="21"/>
          <w:szCs w:val="21"/>
        </w:rPr>
      </w:pPr>
      <w:bookmarkStart w:id="796" w:name="_Toc309397476"/>
      <w:r>
        <w:rPr>
          <w:sz w:val="21"/>
          <w:szCs w:val="21"/>
        </w:rPr>
        <w:t>9</w:t>
      </w:r>
      <w:r>
        <w:rPr>
          <w:rFonts w:hint="eastAsia"/>
          <w:sz w:val="21"/>
          <w:szCs w:val="21"/>
        </w:rPr>
        <w:t>．</w:t>
      </w:r>
      <w:r>
        <w:rPr>
          <w:sz w:val="21"/>
          <w:szCs w:val="21"/>
        </w:rPr>
        <w:t>2</w:t>
      </w:r>
      <w:r>
        <w:rPr>
          <w:rFonts w:hint="eastAsia"/>
          <w:sz w:val="21"/>
          <w:szCs w:val="21"/>
        </w:rPr>
        <w:t>承包人的施工安全责任</w:t>
      </w:r>
      <w:bookmarkEnd w:id="796"/>
    </w:p>
    <w:p>
      <w:pPr>
        <w:spacing w:line="400" w:lineRule="exact"/>
        <w:ind w:firstLine="440" w:firstLineChars="200"/>
        <w:rPr>
          <w:rFonts w:cs="Times New Roman"/>
        </w:rPr>
      </w:pPr>
      <w:r>
        <w:rPr>
          <w:rFonts w:hint="eastAsia"/>
        </w:rPr>
        <w:t>第</w:t>
      </w:r>
      <w:r>
        <w:t>9.2.1</w:t>
      </w:r>
      <w:r>
        <w:rPr>
          <w:rFonts w:hint="eastAsia"/>
        </w:rPr>
        <w:t>项细化为：</w:t>
      </w:r>
    </w:p>
    <w:p>
      <w:pPr>
        <w:spacing w:line="400" w:lineRule="exact"/>
        <w:ind w:firstLine="440" w:firstLineChars="200"/>
        <w:rPr>
          <w:rFonts w:cs="Times New Roman"/>
        </w:rPr>
      </w:pPr>
      <w:r>
        <w:rPr>
          <w:rFonts w:hint="eastAsia"/>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40" w:firstLineChars="200"/>
        <w:rPr>
          <w:rFonts w:cs="Times New Roman"/>
        </w:rPr>
      </w:pPr>
      <w:r>
        <w:rPr>
          <w:rFonts w:hint="eastAsia"/>
        </w:rPr>
        <w:t>承包人应根据本工程的实际安全施工要求，编制施工安全技术措施，并在签订合同协议书后</w:t>
      </w:r>
      <w:r>
        <w:t>28</w:t>
      </w:r>
      <w:r>
        <w:rPr>
          <w:rFonts w:hint="eastAsia"/>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40" w:firstLineChars="200"/>
        <w:rPr>
          <w:rFonts w:cs="Times New Roman"/>
        </w:rPr>
      </w:pPr>
      <w:r>
        <w:rPr>
          <w:rFonts w:hint="eastAsia"/>
        </w:rPr>
        <w:t>本项目需要编制专项施工方案的工程包括但不限于以下内容：</w:t>
      </w:r>
    </w:p>
    <w:p>
      <w:pPr>
        <w:spacing w:line="400" w:lineRule="exact"/>
        <w:ind w:firstLine="440" w:firstLineChars="200"/>
        <w:rPr>
          <w:rFonts w:cs="Times New Roman"/>
        </w:rPr>
      </w:pPr>
      <w:r>
        <w:rPr>
          <w:rFonts w:hint="eastAsia"/>
        </w:rPr>
        <w:t>（</w:t>
      </w:r>
      <w:r>
        <w:t>1</w:t>
      </w:r>
      <w:r>
        <w:rPr>
          <w:rFonts w:hint="eastAsia"/>
        </w:rPr>
        <w:t>）不良地质条件下有潜在危险性的土方、石方开挖；</w:t>
      </w:r>
    </w:p>
    <w:p>
      <w:pPr>
        <w:spacing w:line="400" w:lineRule="exact"/>
        <w:ind w:firstLine="440" w:firstLineChars="200"/>
        <w:rPr>
          <w:rFonts w:cs="Times New Roman"/>
        </w:rPr>
      </w:pPr>
      <w:r>
        <w:rPr>
          <w:rFonts w:hint="eastAsia"/>
        </w:rPr>
        <w:t>（</w:t>
      </w:r>
      <w:r>
        <w:t>2</w:t>
      </w:r>
      <w:r>
        <w:rPr>
          <w:rFonts w:hint="eastAsia"/>
        </w:rPr>
        <w:t>）滑坡和高边坡处理；</w:t>
      </w:r>
    </w:p>
    <w:p>
      <w:pPr>
        <w:spacing w:line="400" w:lineRule="exact"/>
        <w:ind w:firstLine="440" w:firstLineChars="200"/>
        <w:rPr>
          <w:rFonts w:cs="Times New Roman"/>
        </w:rPr>
      </w:pPr>
      <w:r>
        <w:rPr>
          <w:rFonts w:hint="eastAsia"/>
        </w:rPr>
        <w:t>（</w:t>
      </w:r>
      <w:r>
        <w:t>3</w:t>
      </w:r>
      <w:r>
        <w:rPr>
          <w:rFonts w:hint="eastAsia"/>
        </w:rPr>
        <w:t>）桩基础、挡墙基础、深水基础及围堰工程；</w:t>
      </w:r>
    </w:p>
    <w:p>
      <w:pPr>
        <w:spacing w:line="400" w:lineRule="exact"/>
        <w:ind w:firstLine="440" w:firstLineChars="200"/>
        <w:rPr>
          <w:rFonts w:cs="Times New Roman"/>
        </w:rPr>
      </w:pPr>
      <w:r>
        <w:rPr>
          <w:rFonts w:hint="eastAsia"/>
        </w:rPr>
        <w:t>（</w:t>
      </w:r>
      <w:r>
        <w:t>4</w:t>
      </w:r>
      <w:r>
        <w:rPr>
          <w:rFonts w:hint="eastAsia"/>
        </w:rPr>
        <w:t>）桥梁工程中的梁、拱、柱等构件施工等；</w:t>
      </w:r>
    </w:p>
    <w:p>
      <w:pPr>
        <w:spacing w:line="400" w:lineRule="exact"/>
        <w:ind w:firstLine="440" w:firstLineChars="200"/>
        <w:rPr>
          <w:rFonts w:cs="Times New Roman"/>
        </w:rPr>
      </w:pPr>
      <w:r>
        <w:rPr>
          <w:rFonts w:hint="eastAsia"/>
        </w:rPr>
        <w:t>（</w:t>
      </w:r>
      <w:r>
        <w:t>5</w:t>
      </w:r>
      <w:r>
        <w:rPr>
          <w:rFonts w:hint="eastAsia"/>
        </w:rPr>
        <w:t>）隧道工程中的不良地质隧道、高瓦斯隧道等；</w:t>
      </w:r>
    </w:p>
    <w:p>
      <w:pPr>
        <w:spacing w:line="400" w:lineRule="exact"/>
        <w:ind w:firstLine="440" w:firstLineChars="200"/>
        <w:rPr>
          <w:rFonts w:cs="Times New Roman"/>
        </w:rPr>
      </w:pPr>
      <w:r>
        <w:rPr>
          <w:rFonts w:hint="eastAsia"/>
        </w:rPr>
        <w:t>（</w:t>
      </w:r>
      <w:r>
        <w:t>6</w:t>
      </w:r>
      <w:r>
        <w:rPr>
          <w:rFonts w:hint="eastAsia"/>
        </w:rPr>
        <w:t>）水上工程中的打桩船作业、施工船作业、外海孤岛作业、边通航边施工作业等；</w:t>
      </w:r>
    </w:p>
    <w:p>
      <w:pPr>
        <w:spacing w:line="400" w:lineRule="exact"/>
        <w:ind w:firstLine="440" w:firstLineChars="200"/>
        <w:rPr>
          <w:rFonts w:cs="Times New Roman"/>
        </w:rPr>
      </w:pPr>
      <w:r>
        <w:rPr>
          <w:rFonts w:hint="eastAsia"/>
        </w:rPr>
        <w:t>（</w:t>
      </w:r>
      <w:r>
        <w:t>7</w:t>
      </w:r>
      <w:r>
        <w:rPr>
          <w:rFonts w:hint="eastAsia"/>
        </w:rPr>
        <w:t>）水下工程中的水下焊接、混凝土浇筑、爆破工程等；</w:t>
      </w:r>
    </w:p>
    <w:p>
      <w:pPr>
        <w:spacing w:line="400" w:lineRule="exact"/>
        <w:ind w:firstLine="440" w:firstLineChars="200"/>
        <w:rPr>
          <w:rFonts w:cs="Times New Roman"/>
        </w:rPr>
      </w:pPr>
      <w:r>
        <w:rPr>
          <w:rFonts w:hint="eastAsia"/>
        </w:rPr>
        <w:t>（</w:t>
      </w:r>
      <w:r>
        <w:t>8</w:t>
      </w:r>
      <w:r>
        <w:rPr>
          <w:rFonts w:hint="eastAsia"/>
        </w:rPr>
        <w:t>）爆破工程；</w:t>
      </w:r>
    </w:p>
    <w:p>
      <w:pPr>
        <w:spacing w:line="400" w:lineRule="exact"/>
        <w:ind w:firstLine="440" w:firstLineChars="200"/>
        <w:rPr>
          <w:rFonts w:cs="Times New Roman"/>
        </w:rPr>
      </w:pPr>
      <w:r>
        <w:rPr>
          <w:rFonts w:hint="eastAsia"/>
        </w:rPr>
        <w:t>（</w:t>
      </w:r>
      <w:r>
        <w:t>9</w:t>
      </w:r>
      <w:r>
        <w:rPr>
          <w:rFonts w:hint="eastAsia"/>
        </w:rPr>
        <w:t>）大型临时工程中的大型支架、模板、便桥的架设与拆除；桥梁、码头的加固与拆除；</w:t>
      </w:r>
    </w:p>
    <w:p>
      <w:pPr>
        <w:spacing w:line="400" w:lineRule="exact"/>
        <w:ind w:firstLine="440" w:firstLineChars="200"/>
        <w:rPr>
          <w:rFonts w:cs="Times New Roman"/>
        </w:rPr>
      </w:pPr>
      <w:r>
        <w:rPr>
          <w:rFonts w:hint="eastAsia"/>
        </w:rPr>
        <w:t>（</w:t>
      </w:r>
      <w:r>
        <w:t>10</w:t>
      </w:r>
      <w:r>
        <w:rPr>
          <w:rFonts w:hint="eastAsia"/>
        </w:rPr>
        <w:t>）其他危险性较大的工程。</w:t>
      </w:r>
    </w:p>
    <w:p>
      <w:pPr>
        <w:spacing w:line="400" w:lineRule="exact"/>
        <w:ind w:firstLine="440" w:firstLineChars="200"/>
        <w:rPr>
          <w:rFonts w:cs="Times New Roman"/>
        </w:rPr>
      </w:pPr>
      <w:r>
        <w:rPr>
          <w:rFonts w:hint="eastAsia"/>
        </w:rPr>
        <w:t>监理人和发包人在检查中发现有安全问题或有违反安全管理规章制度的情况时，可视其为承包人违约，应按第</w:t>
      </w:r>
      <w:r>
        <w:t>22.1</w:t>
      </w:r>
      <w:r>
        <w:rPr>
          <w:rFonts w:hint="eastAsia"/>
        </w:rPr>
        <w:t>款的规定处理。</w:t>
      </w:r>
    </w:p>
    <w:p>
      <w:pPr>
        <w:spacing w:line="400" w:lineRule="exact"/>
        <w:ind w:firstLine="440" w:firstLineChars="200"/>
        <w:rPr>
          <w:rFonts w:cs="Times New Roman"/>
        </w:rPr>
      </w:pPr>
      <w:r>
        <w:rPr>
          <w:rFonts w:hint="eastAsia"/>
        </w:rPr>
        <w:t>第</w:t>
      </w:r>
      <w:r>
        <w:t>9.2.5</w:t>
      </w:r>
      <w:r>
        <w:rPr>
          <w:rFonts w:hint="eastAsia"/>
        </w:rPr>
        <w:t>项细化为：</w:t>
      </w:r>
    </w:p>
    <w:p>
      <w:pPr>
        <w:spacing w:line="400" w:lineRule="exact"/>
        <w:ind w:firstLine="440" w:firstLineChars="200"/>
        <w:rPr>
          <w:rFonts w:cs="Times New Roman"/>
        </w:rPr>
      </w:pPr>
      <w:r>
        <w:rPr>
          <w:rFonts w:hint="eastAsia"/>
        </w:rPr>
        <w:t>除项目用合同条款另有约定外，安全生产费用应为投标价（不含安全生产费及建筑工程一切险及第三者责任险的保险费）的</w:t>
      </w:r>
      <w:r>
        <w:t>1</w:t>
      </w:r>
      <w:r>
        <w:rPr>
          <w:lang w:val="en-US"/>
        </w:rPr>
        <w:t>.5</w:t>
      </w:r>
      <w:r>
        <w:t>%</w:t>
      </w:r>
      <w:r>
        <w:rPr>
          <w:rFonts w:hint="eastAsia"/>
        </w:rPr>
        <w:t>（若发包人公布了投标控制价上限时，按投标控制价上限的</w:t>
      </w:r>
      <w:r>
        <w:t>1</w:t>
      </w:r>
      <w:r>
        <w:rPr>
          <w:lang w:val="en-US"/>
        </w:rPr>
        <w:t>.5</w:t>
      </w:r>
      <w:r>
        <w:t>%</w:t>
      </w:r>
      <w:r>
        <w:rPr>
          <w:rFonts w:hint="eastAsia"/>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t>3.5</w:t>
      </w:r>
      <w:r>
        <w:rPr>
          <w:rFonts w:hint="eastAsia"/>
        </w:rPr>
        <w:t>款商定或确定。</w:t>
      </w:r>
    </w:p>
    <w:p>
      <w:pPr>
        <w:spacing w:line="400" w:lineRule="exact"/>
        <w:ind w:firstLine="440" w:firstLineChars="200"/>
        <w:rPr>
          <w:rFonts w:cs="Times New Roman"/>
        </w:rPr>
      </w:pPr>
      <w:r>
        <w:rPr>
          <w:rFonts w:hint="eastAsia"/>
        </w:rPr>
        <w:t>本款补充第</w:t>
      </w:r>
      <w:r>
        <w:t>9.2.8</w:t>
      </w:r>
      <w:r>
        <w:rPr>
          <w:rFonts w:hint="eastAsia"/>
        </w:rPr>
        <w:t>项～</w:t>
      </w:r>
      <w:r>
        <w:t>9.2.11</w:t>
      </w:r>
      <w:r>
        <w:rPr>
          <w:rFonts w:hint="eastAsia"/>
        </w:rPr>
        <w:t>项：</w:t>
      </w:r>
    </w:p>
    <w:p>
      <w:pPr>
        <w:spacing w:line="400" w:lineRule="exact"/>
        <w:ind w:firstLine="440" w:firstLineChars="200"/>
        <w:rPr>
          <w:rFonts w:cs="Times New Roman"/>
        </w:rPr>
      </w:pPr>
      <w:r>
        <w:t>9.2.8</w:t>
      </w:r>
      <w:r>
        <w:rPr>
          <w:rFonts w:hint="eastAsia"/>
        </w:rPr>
        <w:t>承包人应充分关注和保障所有在现场工作的人员的安全，采取以下有效措施，使现场和本合同工程的实施保持有条不紊，以免使让述人员的安全受到威胁。</w:t>
      </w:r>
    </w:p>
    <w:p>
      <w:pPr>
        <w:spacing w:line="400" w:lineRule="exact"/>
        <w:ind w:firstLine="440" w:firstLineChars="200"/>
        <w:rPr>
          <w:rFonts w:cs="Times New Roman"/>
        </w:rPr>
      </w:pPr>
      <w:r>
        <w:rPr>
          <w:rFonts w:hint="eastAsia"/>
        </w:rPr>
        <w:t>（</w:t>
      </w:r>
      <w:r>
        <w:t>1</w:t>
      </w:r>
      <w:r>
        <w:rPr>
          <w:rFonts w:hint="eastAsia"/>
        </w:rPr>
        <w:t>）按《公路水运工程安全生产临督管理办法》规定的最低数量和资质条件配备专职安全生产管理人员；</w:t>
      </w:r>
    </w:p>
    <w:p>
      <w:pPr>
        <w:spacing w:line="400" w:lineRule="exact"/>
        <w:ind w:firstLine="440" w:firstLineChars="200"/>
        <w:rPr>
          <w:rFonts w:cs="Times New Roman"/>
        </w:rPr>
      </w:pPr>
      <w:r>
        <w:rPr>
          <w:rFonts w:hint="eastAsia"/>
        </w:rPr>
        <w:t>（</w:t>
      </w:r>
      <w:r>
        <w:t>2</w:t>
      </w:r>
      <w:r>
        <w:rPr>
          <w:rFonts w:hint="eastAsia"/>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40" w:firstLineChars="200"/>
        <w:rPr>
          <w:rFonts w:cs="Times New Roman"/>
        </w:rPr>
      </w:pPr>
      <w:r>
        <w:rPr>
          <w:rFonts w:hint="eastAsia"/>
        </w:rPr>
        <w:t>（</w:t>
      </w:r>
      <w:r>
        <w:t>3</w:t>
      </w:r>
      <w:r>
        <w:rPr>
          <w:rFonts w:hint="eastAsia"/>
        </w:rPr>
        <w:t>）所有施工机具设备和高空作业设备均应定期检查，并有安全员的签字记录。</w:t>
      </w:r>
    </w:p>
    <w:p>
      <w:pPr>
        <w:spacing w:line="400" w:lineRule="exact"/>
        <w:ind w:firstLine="440" w:firstLineChars="200"/>
        <w:rPr>
          <w:rFonts w:cs="Times New Roman"/>
        </w:rPr>
      </w:pPr>
      <w:r>
        <w:rPr>
          <w:rFonts w:hint="eastAsia"/>
        </w:rPr>
        <w:t>（</w:t>
      </w:r>
      <w:r>
        <w:t>4</w:t>
      </w:r>
      <w:r>
        <w:rPr>
          <w:rFonts w:hint="eastAsia"/>
        </w:rPr>
        <w:t>）根据本合同各单位工程的特点，严格执行《公路水运工程安全生产监督管理办法》、《公路工程施工安全技术规程》与《公路筑养路机械操作规程》的具体规定。</w:t>
      </w:r>
    </w:p>
    <w:p>
      <w:pPr>
        <w:spacing w:line="400" w:lineRule="exact"/>
        <w:ind w:firstLine="440" w:firstLineChars="200"/>
        <w:rPr>
          <w:rFonts w:cs="Times New Roman"/>
        </w:rPr>
      </w:pPr>
      <w:r>
        <w:t>9.2.9</w:t>
      </w:r>
      <w:r>
        <w:rPr>
          <w:rFonts w:hint="eastAsia"/>
        </w:rPr>
        <w:t>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40" w:firstLineChars="200"/>
        <w:rPr>
          <w:rFonts w:cs="Times New Roman"/>
        </w:rPr>
      </w:pPr>
      <w:r>
        <w:t>9.2.10</w:t>
      </w:r>
      <w:r>
        <w:rPr>
          <w:rFonts w:hint="eastAsia"/>
        </w:rPr>
        <w:t>在通航水域施工时，承包人应与当地主管部门取得联系，设置必要的导航标志，及时发布航行通告，确保施工水域安全。</w:t>
      </w:r>
    </w:p>
    <w:p>
      <w:pPr>
        <w:spacing w:line="400" w:lineRule="exact"/>
        <w:ind w:firstLine="440" w:firstLineChars="200"/>
        <w:rPr>
          <w:rFonts w:cs="Times New Roman"/>
        </w:rPr>
      </w:pPr>
      <w:r>
        <w:t>9.2.11</w:t>
      </w:r>
      <w:r>
        <w:rPr>
          <w:rFonts w:hint="eastAsia"/>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cs="Times New Roman"/>
          <w:sz w:val="21"/>
          <w:szCs w:val="21"/>
        </w:rPr>
      </w:pPr>
      <w:bookmarkStart w:id="797" w:name="_Toc309397477"/>
      <w:r>
        <w:rPr>
          <w:sz w:val="21"/>
          <w:szCs w:val="21"/>
        </w:rPr>
        <w:t>9</w:t>
      </w:r>
      <w:r>
        <w:rPr>
          <w:rFonts w:hint="eastAsia"/>
          <w:sz w:val="21"/>
          <w:szCs w:val="21"/>
        </w:rPr>
        <w:t>．</w:t>
      </w:r>
      <w:r>
        <w:rPr>
          <w:sz w:val="21"/>
          <w:szCs w:val="21"/>
        </w:rPr>
        <w:t>4</w:t>
      </w:r>
      <w:r>
        <w:rPr>
          <w:rFonts w:hint="eastAsia"/>
          <w:sz w:val="21"/>
          <w:szCs w:val="21"/>
        </w:rPr>
        <w:t>环境保护</w:t>
      </w:r>
      <w:bookmarkEnd w:id="797"/>
    </w:p>
    <w:p>
      <w:pPr>
        <w:spacing w:line="400" w:lineRule="exact"/>
        <w:ind w:firstLine="440" w:firstLineChars="200"/>
        <w:rPr>
          <w:rFonts w:cs="Times New Roman"/>
        </w:rPr>
      </w:pPr>
      <w:r>
        <w:rPr>
          <w:rFonts w:hint="eastAsia"/>
        </w:rPr>
        <w:t>本款补充第</w:t>
      </w:r>
      <w:r>
        <w:t>9.4.7</w:t>
      </w:r>
      <w:r>
        <w:rPr>
          <w:rFonts w:hint="eastAsia"/>
        </w:rPr>
        <w:t>～第</w:t>
      </w:r>
      <w:r>
        <w:t>9.4.11</w:t>
      </w:r>
      <w:r>
        <w:rPr>
          <w:rFonts w:hint="eastAsia"/>
        </w:rPr>
        <w:t>项：</w:t>
      </w:r>
    </w:p>
    <w:p>
      <w:pPr>
        <w:spacing w:line="400" w:lineRule="exact"/>
        <w:ind w:firstLine="440" w:firstLineChars="200"/>
        <w:rPr>
          <w:rFonts w:cs="Times New Roman"/>
        </w:rPr>
      </w:pPr>
      <w:r>
        <w:t xml:space="preserve">9.4.7 </w:t>
      </w:r>
      <w:r>
        <w:rPr>
          <w:rFonts w:hint="eastAsia"/>
        </w:rPr>
        <w:t>承包人应切实执行技术规范中有关环境保护方面的条款和规定。</w:t>
      </w:r>
    </w:p>
    <w:p>
      <w:pPr>
        <w:spacing w:line="400" w:lineRule="exact"/>
        <w:ind w:firstLine="440" w:firstLineChars="200"/>
        <w:rPr>
          <w:rFonts w:cs="Times New Roman"/>
        </w:rPr>
      </w:pPr>
      <w:r>
        <w:rPr>
          <w:rFonts w:hint="eastAsia"/>
        </w:rPr>
        <w:t>（</w:t>
      </w:r>
      <w:r>
        <w:t>1</w:t>
      </w:r>
      <w:r>
        <w:rPr>
          <w:rFonts w:hint="eastAsia"/>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t>150m</w:t>
      </w:r>
      <w:r>
        <w:rPr>
          <w:rFonts w:hint="eastAsia"/>
        </w:rPr>
        <w:t>以内的施工现场，施工时间应加以控制。</w:t>
      </w:r>
    </w:p>
    <w:p>
      <w:pPr>
        <w:spacing w:line="400" w:lineRule="exact"/>
        <w:ind w:firstLine="440" w:firstLineChars="200"/>
        <w:rPr>
          <w:rFonts w:cs="Times New Roman"/>
        </w:rPr>
      </w:pPr>
      <w:r>
        <w:rPr>
          <w:rFonts w:hint="eastAsia"/>
        </w:rPr>
        <w:t>（</w:t>
      </w:r>
      <w:r>
        <w:t>2</w:t>
      </w:r>
      <w:r>
        <w:rPr>
          <w:rFonts w:hint="eastAsia"/>
        </w:rPr>
        <w:t>）对于公路施工中粉尘污染的主要污染源</w:t>
      </w:r>
      <w:r>
        <w:t>——</w:t>
      </w:r>
      <w:r>
        <w:rPr>
          <w:rFonts w:hint="eastAsia"/>
        </w:rPr>
        <w:t>灰土拌和、施工车辆和筑路机械运行及运输产生的扬尘，应采取有效措施减轻施工现场的大气污染，保护人民健康，如：</w:t>
      </w:r>
    </w:p>
    <w:p>
      <w:pPr>
        <w:spacing w:line="400" w:lineRule="exact"/>
        <w:ind w:firstLine="440" w:firstLineChars="200"/>
        <w:rPr>
          <w:rFonts w:cs="Times New Roman"/>
        </w:rPr>
      </w:pPr>
      <w:r>
        <w:t>a.</w:t>
      </w:r>
      <w:r>
        <w:rPr>
          <w:rFonts w:hint="eastAsia"/>
        </w:rPr>
        <w:t>拌和设备应有较好的密封，或有防尘设备。</w:t>
      </w:r>
    </w:p>
    <w:p>
      <w:pPr>
        <w:spacing w:line="400" w:lineRule="exact"/>
        <w:ind w:firstLine="440" w:firstLineChars="200"/>
        <w:rPr>
          <w:rFonts w:cs="Times New Roman"/>
        </w:rPr>
      </w:pPr>
      <w:r>
        <w:t>b.</w:t>
      </w:r>
      <w:r>
        <w:rPr>
          <w:rFonts w:hint="eastAsia"/>
        </w:rPr>
        <w:t>施工通道、沥青混凝土拌和站及灰土拌和站应经常进行洒水降尘。</w:t>
      </w:r>
    </w:p>
    <w:p>
      <w:pPr>
        <w:spacing w:line="400" w:lineRule="exact"/>
        <w:ind w:firstLine="440" w:firstLineChars="200"/>
        <w:rPr>
          <w:rFonts w:cs="Times New Roman"/>
        </w:rPr>
      </w:pPr>
      <w:r>
        <w:t>c.</w:t>
      </w:r>
      <w:r>
        <w:rPr>
          <w:rFonts w:hint="eastAsia"/>
        </w:rPr>
        <w:t>路面施工应注意保持水分，以免扬尘。</w:t>
      </w:r>
    </w:p>
    <w:p>
      <w:pPr>
        <w:spacing w:line="400" w:lineRule="exact"/>
        <w:ind w:firstLine="440" w:firstLineChars="200"/>
        <w:rPr>
          <w:rFonts w:cs="Times New Roman"/>
        </w:rPr>
      </w:pPr>
      <w:r>
        <w:t>d.</w:t>
      </w:r>
      <w:r>
        <w:rPr>
          <w:rFonts w:hint="eastAsia"/>
        </w:rPr>
        <w:t>隧道出渣和桥梁钻孔灌注桩施工时排出的泥浆要进行妥善处理，严禁向河流或农田排放。</w:t>
      </w:r>
    </w:p>
    <w:p>
      <w:pPr>
        <w:spacing w:line="400" w:lineRule="exact"/>
        <w:ind w:firstLine="440" w:firstLineChars="200"/>
        <w:rPr>
          <w:rFonts w:cs="Times New Roman"/>
        </w:rPr>
      </w:pPr>
      <w:r>
        <w:rPr>
          <w:rFonts w:hint="eastAsia"/>
        </w:rPr>
        <w:t>（</w:t>
      </w:r>
      <w:r>
        <w:t>3</w:t>
      </w:r>
      <w:r>
        <w:rPr>
          <w:rFonts w:hint="eastAsia"/>
        </w:rPr>
        <w:t>）采取可靠措施保证原有交通的正常通行，维持沿线村镇的居民饮水、农田灌溉、生产生活用电及通讯等管线的正常使用。</w:t>
      </w:r>
    </w:p>
    <w:p>
      <w:pPr>
        <w:spacing w:line="400" w:lineRule="exact"/>
        <w:ind w:firstLine="440" w:firstLineChars="200"/>
        <w:rPr>
          <w:rFonts w:cs="Times New Roman"/>
        </w:rPr>
      </w:pPr>
      <w:r>
        <w:t>9.4.8</w:t>
      </w:r>
      <w:r>
        <w:rPr>
          <w:rFonts w:hint="eastAsia"/>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40" w:firstLineChars="200"/>
        <w:rPr>
          <w:rFonts w:cs="Times New Roman"/>
        </w:rPr>
      </w:pPr>
      <w:r>
        <w:t>9.4.9</w:t>
      </w:r>
      <w:r>
        <w:rPr>
          <w:rFonts w:hint="eastAsia"/>
        </w:rPr>
        <w:t>在施工期间，承包人应随时保持现场整洁，施工设备和材料、工程设备应整齐妥善存放和储存，废料与垃圾及不再需要的临时设施应及时从现场清除、拆除并运走。</w:t>
      </w:r>
    </w:p>
    <w:p>
      <w:pPr>
        <w:spacing w:line="400" w:lineRule="exact"/>
        <w:ind w:firstLine="440" w:firstLineChars="200"/>
        <w:rPr>
          <w:rFonts w:cs="Times New Roman"/>
        </w:rPr>
      </w:pPr>
      <w:r>
        <w:t xml:space="preserve">9.4.10 </w:t>
      </w:r>
      <w:r>
        <w:rPr>
          <w:rFonts w:hint="eastAsia"/>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40" w:firstLineChars="200"/>
        <w:rPr>
          <w:rFonts w:cs="Times New Roman"/>
        </w:rPr>
      </w:pPr>
      <w:r>
        <w:t xml:space="preserve">9.4.11 </w:t>
      </w:r>
      <w:r>
        <w:rPr>
          <w:rFonts w:hint="eastAsia"/>
        </w:rPr>
        <w:t>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cs="Times New Roman"/>
          <w:sz w:val="28"/>
          <w:szCs w:val="28"/>
        </w:rPr>
      </w:pPr>
      <w:bookmarkStart w:id="798" w:name="_Toc309397478"/>
      <w:r>
        <w:rPr>
          <w:sz w:val="28"/>
          <w:szCs w:val="28"/>
        </w:rPr>
        <w:t>10</w:t>
      </w:r>
      <w:r>
        <w:rPr>
          <w:rFonts w:hint="eastAsia"/>
          <w:sz w:val="28"/>
          <w:szCs w:val="28"/>
        </w:rPr>
        <w:t>．进度计划</w:t>
      </w:r>
      <w:bookmarkEnd w:id="798"/>
    </w:p>
    <w:p>
      <w:pPr>
        <w:pStyle w:val="3"/>
        <w:spacing w:beforeLines="50" w:line="400" w:lineRule="exact"/>
        <w:rPr>
          <w:rFonts w:cs="Times New Roman"/>
          <w:sz w:val="21"/>
          <w:szCs w:val="21"/>
        </w:rPr>
      </w:pPr>
      <w:bookmarkStart w:id="799" w:name="_Toc309397479"/>
      <w:r>
        <w:rPr>
          <w:sz w:val="21"/>
          <w:szCs w:val="21"/>
        </w:rPr>
        <w:t>10.1</w:t>
      </w:r>
      <w:r>
        <w:rPr>
          <w:rFonts w:hint="eastAsia"/>
          <w:sz w:val="21"/>
          <w:szCs w:val="21"/>
        </w:rPr>
        <w:t>合同进度计划</w:t>
      </w:r>
      <w:bookmarkEnd w:id="799"/>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承包人编制施工方案说明的内容见项目专用合同条款。</w:t>
      </w:r>
    </w:p>
    <w:p>
      <w:pPr>
        <w:spacing w:line="400" w:lineRule="exact"/>
        <w:ind w:firstLine="440" w:firstLineChars="200"/>
        <w:rPr>
          <w:rFonts w:cs="Times New Roman"/>
        </w:rPr>
      </w:pPr>
      <w:r>
        <w:rPr>
          <w:rFonts w:hint="eastAsia"/>
        </w:rPr>
        <w:t>承包人向监理人报送施工进度计划和施工方案说明的期限：签订合同协议书后</w:t>
      </w:r>
      <w:r>
        <w:t>28</w:t>
      </w:r>
      <w:r>
        <w:rPr>
          <w:rFonts w:hint="eastAsia"/>
        </w:rPr>
        <w:t>天之内。</w:t>
      </w:r>
    </w:p>
    <w:p>
      <w:pPr>
        <w:spacing w:line="400" w:lineRule="exact"/>
        <w:ind w:firstLine="440" w:firstLineChars="200"/>
        <w:rPr>
          <w:rFonts w:cs="Times New Roman"/>
        </w:rPr>
      </w:pPr>
      <w:r>
        <w:rPr>
          <w:rFonts w:hint="eastAsia"/>
        </w:rPr>
        <w:t>监理人应在</w:t>
      </w:r>
      <w:r>
        <w:t>14</w:t>
      </w:r>
      <w:r>
        <w:rPr>
          <w:rFonts w:hint="eastAsia"/>
        </w:rPr>
        <w:t>天内对承包人施工进度计划和施工方案说明予以批复或提出修改意见。</w:t>
      </w:r>
    </w:p>
    <w:p>
      <w:pPr>
        <w:spacing w:line="400" w:lineRule="exact"/>
        <w:ind w:firstLine="440" w:firstLineChars="200"/>
        <w:rPr>
          <w:rFonts w:cs="Times New Roman"/>
        </w:rPr>
      </w:pPr>
      <w:r>
        <w:rPr>
          <w:rFonts w:hint="eastAsia"/>
        </w:rPr>
        <w:t>合同进度计划应按照关键线路网络图和主要工作横道图两种形式分别编绘，并应包括每月预计完成的工作量和形象进度。</w:t>
      </w:r>
    </w:p>
    <w:p>
      <w:pPr>
        <w:pStyle w:val="3"/>
        <w:spacing w:beforeLines="50" w:line="400" w:lineRule="exact"/>
        <w:rPr>
          <w:rFonts w:cs="Times New Roman"/>
          <w:sz w:val="21"/>
          <w:szCs w:val="21"/>
        </w:rPr>
      </w:pPr>
      <w:bookmarkStart w:id="800" w:name="_Toc309397480"/>
      <w:r>
        <w:rPr>
          <w:sz w:val="21"/>
          <w:szCs w:val="21"/>
        </w:rPr>
        <w:t>10.2</w:t>
      </w:r>
      <w:r>
        <w:rPr>
          <w:rFonts w:hint="eastAsia"/>
          <w:sz w:val="21"/>
          <w:szCs w:val="21"/>
        </w:rPr>
        <w:t>合同进度计划的修订</w:t>
      </w:r>
      <w:bookmarkEnd w:id="800"/>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承包人提交合同进度计划修订申请报告，并附有关措施和相关资料的期限：实际进度发生滞后的当月</w:t>
      </w:r>
      <w:r>
        <w:t>25</w:t>
      </w:r>
      <w:r>
        <w:rPr>
          <w:rFonts w:hint="eastAsia"/>
        </w:rPr>
        <w:t>日前。</w:t>
      </w:r>
    </w:p>
    <w:p>
      <w:pPr>
        <w:spacing w:line="400" w:lineRule="exact"/>
        <w:ind w:firstLine="440" w:firstLineChars="200"/>
        <w:rPr>
          <w:rFonts w:cs="Times New Roman"/>
        </w:rPr>
      </w:pPr>
      <w:r>
        <w:rPr>
          <w:rFonts w:hint="eastAsia"/>
        </w:rPr>
        <w:t>监理人批复修订合同进度计划的期限：收到修订合同进度计划后</w:t>
      </w:r>
      <w:r>
        <w:t>14</w:t>
      </w:r>
      <w:r>
        <w:rPr>
          <w:rFonts w:hint="eastAsia"/>
        </w:rPr>
        <w:t>天内。</w:t>
      </w:r>
    </w:p>
    <w:p>
      <w:pPr>
        <w:spacing w:line="400" w:lineRule="exact"/>
        <w:ind w:firstLine="440" w:firstLineChars="200"/>
        <w:rPr>
          <w:rFonts w:cs="Times New Roman"/>
        </w:rPr>
      </w:pPr>
    </w:p>
    <w:p>
      <w:pPr>
        <w:spacing w:line="400" w:lineRule="exact"/>
        <w:ind w:firstLine="440" w:firstLineChars="200"/>
        <w:rPr>
          <w:rFonts w:cs="Times New Roman"/>
        </w:rPr>
      </w:pPr>
      <w:r>
        <w:rPr>
          <w:rFonts w:hint="eastAsia"/>
        </w:rPr>
        <w:t>补充第</w:t>
      </w:r>
      <w:r>
        <w:t>10.3</w:t>
      </w:r>
      <w:r>
        <w:rPr>
          <w:rFonts w:hint="eastAsia"/>
        </w:rPr>
        <w:t>、</w:t>
      </w:r>
      <w:r>
        <w:t>10.4</w:t>
      </w:r>
      <w:r>
        <w:rPr>
          <w:rFonts w:hint="eastAsia"/>
        </w:rPr>
        <w:t>款：</w:t>
      </w:r>
    </w:p>
    <w:p>
      <w:pPr>
        <w:pStyle w:val="3"/>
        <w:spacing w:beforeLines="50" w:line="400" w:lineRule="exact"/>
        <w:rPr>
          <w:rFonts w:cs="Times New Roman"/>
          <w:sz w:val="21"/>
          <w:szCs w:val="21"/>
        </w:rPr>
      </w:pPr>
      <w:bookmarkStart w:id="801" w:name="_Toc309397481"/>
      <w:r>
        <w:rPr>
          <w:sz w:val="21"/>
          <w:szCs w:val="21"/>
        </w:rPr>
        <w:t>10.3</w:t>
      </w:r>
      <w:r>
        <w:rPr>
          <w:rFonts w:hint="eastAsia"/>
          <w:sz w:val="21"/>
          <w:szCs w:val="21"/>
        </w:rPr>
        <w:t>年度施工计划</w:t>
      </w:r>
      <w:bookmarkEnd w:id="801"/>
    </w:p>
    <w:p>
      <w:pPr>
        <w:spacing w:line="400" w:lineRule="exact"/>
        <w:ind w:firstLine="440" w:firstLineChars="200"/>
        <w:rPr>
          <w:rFonts w:cs="Times New Roman"/>
        </w:rPr>
      </w:pPr>
      <w:r>
        <w:rPr>
          <w:rFonts w:hint="eastAsia"/>
        </w:rPr>
        <w:t>承包人应在每年</w:t>
      </w:r>
      <w:r>
        <w:t>11</w:t>
      </w:r>
      <w:r>
        <w:rPr>
          <w:rFonts w:hint="eastAsia"/>
        </w:rPr>
        <w:t>月底前，根据已同意的合同进度计划或其修订的计划，向监理人提交</w:t>
      </w:r>
      <w:r>
        <w:t>2</w:t>
      </w:r>
      <w:r>
        <w:rPr>
          <w:rFonts w:hint="eastAsia"/>
        </w:rPr>
        <w:t>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cs="Times New Roman"/>
          <w:sz w:val="21"/>
          <w:szCs w:val="21"/>
        </w:rPr>
      </w:pPr>
      <w:bookmarkStart w:id="802" w:name="_Toc309397482"/>
      <w:r>
        <w:rPr>
          <w:sz w:val="21"/>
          <w:szCs w:val="21"/>
        </w:rPr>
        <w:t>10.4</w:t>
      </w:r>
      <w:r>
        <w:rPr>
          <w:rFonts w:hint="eastAsia"/>
          <w:sz w:val="21"/>
          <w:szCs w:val="21"/>
        </w:rPr>
        <w:t>合同用款计划</w:t>
      </w:r>
      <w:bookmarkEnd w:id="802"/>
    </w:p>
    <w:p>
      <w:pPr>
        <w:spacing w:line="400" w:lineRule="exact"/>
        <w:ind w:firstLine="440" w:firstLineChars="200"/>
        <w:rPr>
          <w:rFonts w:cs="Times New Roman"/>
        </w:rPr>
      </w:pPr>
      <w:r>
        <w:rPr>
          <w:rFonts w:hint="eastAsia"/>
        </w:rPr>
        <w:t>承包人应在签订本合同协议书后</w:t>
      </w:r>
      <w:r>
        <w:t>28</w:t>
      </w:r>
      <w:r>
        <w:rPr>
          <w:rFonts w:hint="eastAsia"/>
        </w:rPr>
        <w:t>天之内，按招标文件中规定的格式，向监理人提交</w:t>
      </w:r>
      <w:r>
        <w:t>2</w:t>
      </w:r>
      <w:r>
        <w:rPr>
          <w:rFonts w:hint="eastAsia"/>
        </w:rPr>
        <w:t>份按合同规定承包人有权得到支付的详细的季度合同用款计划，以备监理人查阅。如果监理人提出要求，承包人还应按季度提交修订的合同用款计划。</w:t>
      </w:r>
    </w:p>
    <w:p>
      <w:pPr>
        <w:pStyle w:val="3"/>
        <w:spacing w:beforeLines="50" w:line="400" w:lineRule="exact"/>
        <w:rPr>
          <w:rFonts w:cs="Times New Roman"/>
          <w:sz w:val="28"/>
          <w:szCs w:val="28"/>
        </w:rPr>
      </w:pPr>
      <w:bookmarkStart w:id="803" w:name="_Toc309397483"/>
      <w:r>
        <w:rPr>
          <w:sz w:val="28"/>
          <w:szCs w:val="28"/>
        </w:rPr>
        <w:t>11</w:t>
      </w:r>
      <w:r>
        <w:rPr>
          <w:rFonts w:hint="eastAsia"/>
          <w:sz w:val="28"/>
          <w:szCs w:val="28"/>
        </w:rPr>
        <w:t>．开工和竣工</w:t>
      </w:r>
      <w:bookmarkEnd w:id="803"/>
    </w:p>
    <w:p>
      <w:pPr>
        <w:pStyle w:val="3"/>
        <w:spacing w:beforeLines="50" w:line="400" w:lineRule="exact"/>
        <w:rPr>
          <w:rFonts w:cs="Times New Roman"/>
          <w:sz w:val="21"/>
          <w:szCs w:val="21"/>
        </w:rPr>
      </w:pPr>
      <w:bookmarkStart w:id="804" w:name="_Toc309397484"/>
      <w:r>
        <w:rPr>
          <w:sz w:val="21"/>
          <w:szCs w:val="21"/>
        </w:rPr>
        <w:t>11.1</w:t>
      </w:r>
      <w:r>
        <w:rPr>
          <w:rFonts w:hint="eastAsia"/>
          <w:sz w:val="21"/>
          <w:szCs w:val="21"/>
        </w:rPr>
        <w:t>开工</w:t>
      </w:r>
      <w:bookmarkEnd w:id="804"/>
    </w:p>
    <w:p>
      <w:pPr>
        <w:spacing w:line="400" w:lineRule="exact"/>
        <w:ind w:firstLine="440" w:firstLineChars="200"/>
        <w:rPr>
          <w:rFonts w:cs="Times New Roman"/>
        </w:rPr>
      </w:pPr>
      <w:r>
        <w:rPr>
          <w:rFonts w:hint="eastAsia"/>
        </w:rPr>
        <w:t>第</w:t>
      </w:r>
      <w:r>
        <w:t>11.1.2</w:t>
      </w:r>
      <w:r>
        <w:rPr>
          <w:rFonts w:hint="eastAsia"/>
        </w:rPr>
        <w:t>项补充：</w:t>
      </w:r>
    </w:p>
    <w:p>
      <w:pPr>
        <w:spacing w:line="400" w:lineRule="exact"/>
        <w:ind w:firstLine="440" w:firstLineChars="200"/>
        <w:rPr>
          <w:rFonts w:cs="Times New Roman"/>
        </w:rPr>
      </w:pPr>
      <w:r>
        <w:rPr>
          <w:rFonts w:hint="eastAsia"/>
        </w:rPr>
        <w:t>承包人应在分部工程开工前</w:t>
      </w:r>
      <w:r>
        <w:t>14</w:t>
      </w:r>
      <w:r>
        <w:rPr>
          <w:rFonts w:hint="eastAsia"/>
        </w:rPr>
        <w:t>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cs="Times New Roman"/>
          <w:sz w:val="21"/>
          <w:szCs w:val="21"/>
        </w:rPr>
      </w:pPr>
      <w:bookmarkStart w:id="805" w:name="_Toc309397485"/>
      <w:r>
        <w:rPr>
          <w:sz w:val="21"/>
          <w:szCs w:val="21"/>
        </w:rPr>
        <w:t>11.3</w:t>
      </w:r>
      <w:r>
        <w:rPr>
          <w:rFonts w:hint="eastAsia"/>
          <w:sz w:val="21"/>
          <w:szCs w:val="21"/>
        </w:rPr>
        <w:t>发包人的工期延误</w:t>
      </w:r>
      <w:bookmarkEnd w:id="805"/>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即使由于上述原因造成工期延误，如果受影响的工程并非处在工程施工进度网络计划的关键线路上，则承包人无权要求延长总工期。</w:t>
      </w:r>
    </w:p>
    <w:p>
      <w:pPr>
        <w:pStyle w:val="3"/>
        <w:spacing w:beforeLines="50" w:line="400" w:lineRule="exact"/>
        <w:rPr>
          <w:rFonts w:cs="Times New Roman"/>
          <w:sz w:val="21"/>
          <w:szCs w:val="21"/>
        </w:rPr>
      </w:pPr>
      <w:bookmarkStart w:id="806" w:name="_Toc309397486"/>
      <w:r>
        <w:rPr>
          <w:sz w:val="21"/>
          <w:szCs w:val="21"/>
        </w:rPr>
        <w:t>11.4</w:t>
      </w:r>
      <w:r>
        <w:rPr>
          <w:rFonts w:hint="eastAsia"/>
          <w:sz w:val="21"/>
          <w:szCs w:val="21"/>
        </w:rPr>
        <w:t>异常恶劣的气候条件</w:t>
      </w:r>
      <w:bookmarkEnd w:id="806"/>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异常气候条件是指项目所在地</w:t>
      </w:r>
      <w:r>
        <w:t>30</w:t>
      </w:r>
      <w:r>
        <w:rPr>
          <w:rFonts w:hint="eastAsia"/>
        </w:rPr>
        <w:t>年一遇的罕见气候现象（包括温度、降水、降雪、风等）。异常恶劣的气候条件在项目专用合同条款中作具体规定。</w:t>
      </w:r>
    </w:p>
    <w:p>
      <w:pPr>
        <w:pStyle w:val="3"/>
        <w:spacing w:beforeLines="50" w:line="400" w:lineRule="exact"/>
        <w:rPr>
          <w:rFonts w:cs="Times New Roman"/>
          <w:sz w:val="21"/>
          <w:szCs w:val="21"/>
        </w:rPr>
      </w:pPr>
      <w:bookmarkStart w:id="807" w:name="_Toc309397487"/>
      <w:r>
        <w:rPr>
          <w:sz w:val="21"/>
          <w:szCs w:val="21"/>
        </w:rPr>
        <w:t>11.5</w:t>
      </w:r>
      <w:r>
        <w:rPr>
          <w:rFonts w:hint="eastAsia"/>
          <w:sz w:val="21"/>
          <w:szCs w:val="21"/>
        </w:rPr>
        <w:t>承包人的工期延误</w:t>
      </w:r>
      <w:bookmarkEnd w:id="807"/>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rPr>
          <w:rFonts w:hint="eastAsia"/>
        </w:rPr>
        <w:t>（</w:t>
      </w:r>
      <w:r>
        <w:t>1</w:t>
      </w:r>
      <w:r>
        <w:rPr>
          <w:rFonts w:hint="eastAsia"/>
        </w:rPr>
        <w:t>）承包人应严格执行监理人批准的合同进度计划，对工作量计划和形象进度计划分别控制。除</w:t>
      </w:r>
      <w:r>
        <w:t>11.3</w:t>
      </w:r>
      <w:r>
        <w:rPr>
          <w:rFonts w:hint="eastAsia"/>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40" w:firstLineChars="200"/>
        <w:rPr>
          <w:rFonts w:cs="Times New Roman"/>
        </w:rPr>
      </w:pPr>
      <w:r>
        <w:rPr>
          <w:rFonts w:hint="eastAsia"/>
        </w:rPr>
        <w:t>（</w:t>
      </w:r>
      <w:r>
        <w:t>2</w:t>
      </w:r>
      <w:r>
        <w:rPr>
          <w:rFonts w:hint="eastAsia"/>
        </w:rPr>
        <w:t>）如果承包人在接到监理人通知后的</w:t>
      </w:r>
      <w:r>
        <w:t>14</w:t>
      </w:r>
      <w:r>
        <w:rPr>
          <w:rFonts w:hint="eastAsia"/>
        </w:rPr>
        <w:t>天内，未能采取加快工程进度的措施，致使实际工程进度进一步滞后，或承包人虽采取了一些措施，仍无法按预计工期交工时，监理人应立即通知发包人。发包人在向承包人发出书面警告通知</w:t>
      </w:r>
      <w:r>
        <w:t>14</w:t>
      </w:r>
      <w:r>
        <w:rPr>
          <w:rFonts w:hint="eastAsia"/>
        </w:rPr>
        <w:t>天后，发包人可按第</w:t>
      </w:r>
      <w:r>
        <w:t>22.1</w:t>
      </w:r>
      <w:r>
        <w:rPr>
          <w:rFonts w:hint="eastAsia"/>
        </w:rPr>
        <w:t>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40" w:firstLineChars="200"/>
        <w:rPr>
          <w:rFonts w:cs="Times New Roman"/>
        </w:rPr>
      </w:pPr>
      <w:r>
        <w:rPr>
          <w:rFonts w:hint="eastAsia"/>
        </w:rPr>
        <w:t>（</w:t>
      </w:r>
      <w:r>
        <w:t>2</w:t>
      </w:r>
      <w:r>
        <w:rPr>
          <w:rFonts w:hint="eastAsia"/>
        </w:rPr>
        <w:t>）由于承包人原因造成工期延误，承包人应支付逾期交工违约金。逾期交工违约金的计算方法在项目专用合同条款数据表中约定，时间自预定的交工日期起到交工验收证书</w:t>
      </w:r>
      <w:r>
        <w:rPr>
          <w:rFonts w:hint="eastAsia"/>
          <w:vanish/>
        </w:rPr>
        <w:t>证书人</w:t>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cs="Times New Roman"/>
          <w:vanish/>
        </w:rPr>
        <w:pgNum/>
      </w:r>
      <w:r>
        <w:rPr>
          <w:rFonts w:hint="eastAsia"/>
        </w:rPr>
        <w:t>为：每逾期一天支付</w:t>
      </w:r>
      <w:r>
        <w:t xml:space="preserve">    </w:t>
      </w:r>
      <w:r>
        <w:rPr>
          <w:rFonts w:hint="eastAsia"/>
        </w:rPr>
        <w:t>元人民币（在项目专用合同条款中约定），时间自预定的竣工日期起到工程接收证书中写明的实际竣工日期止（扣除已批准的延长工期），按天计算。逾期竣工违约金累计金额最高不超过签约合同价的</w:t>
      </w:r>
      <w:r>
        <w:t>10%</w:t>
      </w:r>
      <w:r>
        <w:rPr>
          <w:rFonts w:hint="eastAsia"/>
        </w:rPr>
        <w:t>。发包人可以从应付或到期应付给承包人的任何款项中或采用其他方法扣除此违约金。</w:t>
      </w:r>
    </w:p>
    <w:p>
      <w:pPr>
        <w:spacing w:line="400" w:lineRule="exact"/>
        <w:ind w:firstLine="440" w:firstLineChars="200"/>
        <w:rPr>
          <w:rFonts w:cs="Times New Roman"/>
        </w:rPr>
      </w:pPr>
      <w:r>
        <w:rPr>
          <w:rFonts w:hint="eastAsia"/>
        </w:rPr>
        <w:t>承包人支付逾期竣工建约金，不免除承包人完成工程及修补缺陷的义务。</w:t>
      </w:r>
    </w:p>
    <w:p>
      <w:pPr>
        <w:spacing w:line="400" w:lineRule="exact"/>
        <w:ind w:firstLine="440" w:firstLineChars="200"/>
        <w:rPr>
          <w:rFonts w:cs="Times New Roman"/>
        </w:rPr>
      </w:pPr>
      <w:r>
        <w:rPr>
          <w:rFonts w:hint="eastAsia"/>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cs="Times New Roman"/>
          <w:sz w:val="21"/>
          <w:szCs w:val="21"/>
        </w:rPr>
      </w:pPr>
      <w:bookmarkStart w:id="808" w:name="_Toc309397488"/>
      <w:r>
        <w:rPr>
          <w:sz w:val="21"/>
          <w:szCs w:val="21"/>
        </w:rPr>
        <w:t>11</w:t>
      </w:r>
      <w:r>
        <w:rPr>
          <w:rFonts w:hint="eastAsia"/>
          <w:sz w:val="21"/>
          <w:szCs w:val="21"/>
        </w:rPr>
        <w:t>．</w:t>
      </w:r>
      <w:r>
        <w:rPr>
          <w:sz w:val="21"/>
          <w:szCs w:val="21"/>
        </w:rPr>
        <w:t>6</w:t>
      </w:r>
      <w:r>
        <w:rPr>
          <w:rFonts w:hint="eastAsia"/>
          <w:sz w:val="21"/>
          <w:szCs w:val="21"/>
        </w:rPr>
        <w:t>工期提前</w:t>
      </w:r>
      <w:bookmarkEnd w:id="808"/>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发包人不得随意要求承包人提前交工，承包人也不得随意提出提前交工的建议。如遇特殊情况，确需将工期提前的，发包人和承包人必须采取有效措施，确保工程质量。</w:t>
      </w:r>
    </w:p>
    <w:p>
      <w:pPr>
        <w:spacing w:line="400" w:lineRule="exact"/>
        <w:ind w:firstLine="440" w:firstLineChars="200"/>
        <w:rPr>
          <w:rFonts w:cs="Times New Roman"/>
        </w:rPr>
      </w:pPr>
      <w:r>
        <w:rPr>
          <w:rFonts w:hint="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40" w:firstLineChars="200"/>
        <w:rPr>
          <w:rFonts w:cs="Times New Roman"/>
        </w:rPr>
      </w:pPr>
    </w:p>
    <w:p>
      <w:pPr>
        <w:spacing w:line="400" w:lineRule="exact"/>
        <w:ind w:firstLine="440" w:firstLineChars="200"/>
        <w:rPr>
          <w:rFonts w:cs="Times New Roman"/>
        </w:rPr>
      </w:pPr>
      <w:r>
        <w:rPr>
          <w:rFonts w:hint="eastAsia"/>
        </w:rPr>
        <w:t>补充</w:t>
      </w:r>
      <w:r>
        <w:t>11.7</w:t>
      </w:r>
      <w:r>
        <w:rPr>
          <w:rFonts w:hint="eastAsia"/>
        </w:rPr>
        <w:t>款：</w:t>
      </w:r>
    </w:p>
    <w:p>
      <w:pPr>
        <w:pStyle w:val="3"/>
        <w:spacing w:beforeLines="50" w:line="400" w:lineRule="exact"/>
        <w:rPr>
          <w:rFonts w:cs="Times New Roman"/>
          <w:sz w:val="21"/>
          <w:szCs w:val="21"/>
        </w:rPr>
      </w:pPr>
      <w:bookmarkStart w:id="809" w:name="_Toc309397489"/>
      <w:r>
        <w:rPr>
          <w:sz w:val="21"/>
          <w:szCs w:val="21"/>
        </w:rPr>
        <w:t>11</w:t>
      </w:r>
      <w:r>
        <w:rPr>
          <w:rFonts w:hint="eastAsia"/>
          <w:sz w:val="21"/>
          <w:szCs w:val="21"/>
        </w:rPr>
        <w:t>．</w:t>
      </w:r>
      <w:r>
        <w:rPr>
          <w:sz w:val="21"/>
          <w:szCs w:val="21"/>
        </w:rPr>
        <w:t>7</w:t>
      </w:r>
      <w:r>
        <w:rPr>
          <w:rFonts w:hint="eastAsia"/>
          <w:sz w:val="21"/>
          <w:szCs w:val="21"/>
        </w:rPr>
        <w:t>工作时间的限制</w:t>
      </w:r>
      <w:bookmarkEnd w:id="809"/>
    </w:p>
    <w:p>
      <w:pPr>
        <w:spacing w:line="400" w:lineRule="exact"/>
        <w:ind w:firstLine="440" w:firstLineChars="200"/>
        <w:rPr>
          <w:rFonts w:cs="Times New Roman"/>
        </w:rPr>
      </w:pPr>
      <w:r>
        <w:rPr>
          <w:rFonts w:hint="eastAsia"/>
        </w:rPr>
        <w:t>承包人在夜间或国家规定的节假日进行永久工程的施工，应向监理人报告，以便监理人履行监理人履行监理职责和义务。</w:t>
      </w:r>
    </w:p>
    <w:p>
      <w:pPr>
        <w:spacing w:line="400" w:lineRule="exact"/>
        <w:ind w:firstLine="440" w:firstLineChars="200"/>
        <w:rPr>
          <w:rFonts w:cs="Times New Roman"/>
        </w:rPr>
      </w:pPr>
      <w:r>
        <w:rPr>
          <w:rFonts w:hint="eastAsia"/>
        </w:rPr>
        <w:t>但是，为了抢救生命或保护财产，或为了工程的安全、质量而不可避免地短暂作业，则不必事先向监理人报告。但承包人应在事后立即向监理人报告。</w:t>
      </w:r>
    </w:p>
    <w:p>
      <w:pPr>
        <w:spacing w:line="400" w:lineRule="exact"/>
        <w:ind w:firstLine="440" w:firstLineChars="200"/>
        <w:rPr>
          <w:rFonts w:cs="Times New Roman"/>
        </w:rPr>
      </w:pPr>
      <w:r>
        <w:rPr>
          <w:rFonts w:hint="eastAsia"/>
        </w:rPr>
        <w:t>本款规定不适用于习惯上或施工本身要求实行连续生产的作业。</w:t>
      </w:r>
    </w:p>
    <w:p>
      <w:pPr>
        <w:pStyle w:val="3"/>
        <w:spacing w:beforeLines="50" w:line="400" w:lineRule="exact"/>
        <w:rPr>
          <w:rFonts w:cs="Times New Roman"/>
          <w:sz w:val="28"/>
          <w:szCs w:val="28"/>
        </w:rPr>
      </w:pPr>
      <w:bookmarkStart w:id="810" w:name="_Toc309397490"/>
      <w:r>
        <w:rPr>
          <w:sz w:val="28"/>
          <w:szCs w:val="28"/>
        </w:rPr>
        <w:t>12</w:t>
      </w:r>
      <w:r>
        <w:rPr>
          <w:rFonts w:hint="eastAsia"/>
          <w:sz w:val="28"/>
          <w:szCs w:val="28"/>
        </w:rPr>
        <w:t>．暂停施工</w:t>
      </w:r>
      <w:bookmarkEnd w:id="810"/>
    </w:p>
    <w:p>
      <w:pPr>
        <w:pStyle w:val="3"/>
        <w:spacing w:beforeLines="50" w:line="400" w:lineRule="exact"/>
        <w:rPr>
          <w:rFonts w:cs="Times New Roman"/>
          <w:sz w:val="21"/>
          <w:szCs w:val="21"/>
        </w:rPr>
      </w:pPr>
      <w:bookmarkStart w:id="811" w:name="_Toc309397491"/>
      <w:r>
        <w:rPr>
          <w:sz w:val="21"/>
          <w:szCs w:val="21"/>
        </w:rPr>
        <w:t>12</w:t>
      </w:r>
      <w:r>
        <w:rPr>
          <w:rFonts w:hint="eastAsia"/>
          <w:sz w:val="21"/>
          <w:szCs w:val="21"/>
        </w:rPr>
        <w:t>．</w:t>
      </w:r>
      <w:r>
        <w:rPr>
          <w:sz w:val="21"/>
          <w:szCs w:val="21"/>
        </w:rPr>
        <w:t>1</w:t>
      </w:r>
      <w:r>
        <w:rPr>
          <w:rFonts w:hint="eastAsia"/>
          <w:sz w:val="21"/>
          <w:szCs w:val="21"/>
        </w:rPr>
        <w:t>承包人暂停施工的责任</w:t>
      </w:r>
      <w:bookmarkEnd w:id="811"/>
    </w:p>
    <w:p>
      <w:pPr>
        <w:spacing w:line="400" w:lineRule="exact"/>
        <w:ind w:firstLine="440" w:firstLineChars="200"/>
        <w:rPr>
          <w:rFonts w:cs="Times New Roman"/>
        </w:rPr>
      </w:pPr>
      <w:r>
        <w:rPr>
          <w:rFonts w:hint="eastAsia"/>
        </w:rPr>
        <w:t>本款第（</w:t>
      </w:r>
      <w:r>
        <w:t>5</w:t>
      </w:r>
      <w:r>
        <w:rPr>
          <w:rFonts w:hint="eastAsia"/>
        </w:rPr>
        <w:t>）项细化为：</w:t>
      </w:r>
    </w:p>
    <w:p>
      <w:pPr>
        <w:spacing w:line="400" w:lineRule="exact"/>
        <w:ind w:firstLine="440" w:firstLineChars="200"/>
        <w:rPr>
          <w:rFonts w:cs="Times New Roman"/>
        </w:rPr>
      </w:pPr>
      <w:r>
        <w:rPr>
          <w:rFonts w:hint="eastAsia"/>
        </w:rPr>
        <w:t>（</w:t>
      </w:r>
      <w:r>
        <w:t>5</w:t>
      </w:r>
      <w:r>
        <w:rPr>
          <w:rFonts w:hint="eastAsia"/>
        </w:rPr>
        <w:t>）现场气候条件导致的必要停工（第</w:t>
      </w:r>
      <w:r>
        <w:t>11.4</w:t>
      </w:r>
      <w:r>
        <w:rPr>
          <w:rFonts w:hint="eastAsia"/>
        </w:rPr>
        <w:t>款规定的异常恶劣的气候条件除外）；</w:t>
      </w:r>
    </w:p>
    <w:p>
      <w:pPr>
        <w:spacing w:line="400" w:lineRule="exact"/>
        <w:ind w:firstLine="440" w:firstLineChars="200"/>
        <w:rPr>
          <w:rFonts w:cs="Times New Roman"/>
        </w:rPr>
      </w:pPr>
      <w:r>
        <w:rPr>
          <w:rFonts w:hint="eastAsia"/>
        </w:rPr>
        <w:t>（</w:t>
      </w:r>
      <w:r>
        <w:t>6</w:t>
      </w:r>
      <w:r>
        <w:rPr>
          <w:rFonts w:hint="eastAsia"/>
        </w:rPr>
        <w:t>）项目专用合同条款约定的由承包人承担的其他暂停施工。</w:t>
      </w:r>
    </w:p>
    <w:p>
      <w:pPr>
        <w:pStyle w:val="3"/>
        <w:spacing w:beforeLines="50" w:after="120" w:line="400" w:lineRule="exact"/>
        <w:rPr>
          <w:rFonts w:cs="Times New Roman"/>
          <w:sz w:val="28"/>
          <w:szCs w:val="28"/>
        </w:rPr>
      </w:pPr>
      <w:bookmarkStart w:id="812" w:name="_Toc309397492"/>
      <w:r>
        <w:rPr>
          <w:sz w:val="28"/>
          <w:szCs w:val="28"/>
        </w:rPr>
        <w:t>13</w:t>
      </w:r>
      <w:r>
        <w:rPr>
          <w:rFonts w:hint="eastAsia"/>
          <w:sz w:val="28"/>
          <w:szCs w:val="28"/>
        </w:rPr>
        <w:t>．工程质量</w:t>
      </w:r>
      <w:bookmarkEnd w:id="812"/>
    </w:p>
    <w:p>
      <w:pPr>
        <w:pStyle w:val="3"/>
        <w:spacing w:beforeLines="50" w:line="400" w:lineRule="exact"/>
        <w:rPr>
          <w:rFonts w:cs="Times New Roman"/>
          <w:sz w:val="21"/>
          <w:szCs w:val="21"/>
        </w:rPr>
      </w:pPr>
      <w:bookmarkStart w:id="813" w:name="_Toc309397493"/>
      <w:r>
        <w:rPr>
          <w:sz w:val="21"/>
          <w:szCs w:val="21"/>
        </w:rPr>
        <w:t>13</w:t>
      </w:r>
      <w:r>
        <w:rPr>
          <w:rFonts w:hint="eastAsia"/>
          <w:sz w:val="21"/>
          <w:szCs w:val="21"/>
        </w:rPr>
        <w:t>．</w:t>
      </w:r>
      <w:r>
        <w:rPr>
          <w:sz w:val="21"/>
          <w:szCs w:val="21"/>
        </w:rPr>
        <w:t>1</w:t>
      </w:r>
      <w:r>
        <w:rPr>
          <w:rFonts w:hint="eastAsia"/>
          <w:sz w:val="21"/>
          <w:szCs w:val="21"/>
        </w:rPr>
        <w:t>工程质量要求</w:t>
      </w:r>
      <w:bookmarkEnd w:id="813"/>
    </w:p>
    <w:p>
      <w:pPr>
        <w:spacing w:line="400" w:lineRule="exact"/>
        <w:ind w:firstLine="440" w:firstLineChars="200"/>
        <w:rPr>
          <w:rFonts w:cs="Times New Roman"/>
        </w:rPr>
      </w:pPr>
      <w:r>
        <w:rPr>
          <w:rFonts w:hint="eastAsia"/>
        </w:rPr>
        <w:t>第</w:t>
      </w:r>
      <w:r>
        <w:t>13.1.1</w:t>
      </w:r>
      <w:r>
        <w:rPr>
          <w:rFonts w:hint="eastAsia"/>
        </w:rPr>
        <w:t>项约定为：</w:t>
      </w:r>
    </w:p>
    <w:p>
      <w:pPr>
        <w:spacing w:line="400" w:lineRule="exact"/>
        <w:ind w:firstLine="440" w:firstLineChars="200"/>
        <w:rPr>
          <w:rFonts w:cs="Times New Roman"/>
        </w:rPr>
      </w:pPr>
      <w:r>
        <w:rPr>
          <w:rFonts w:hint="eastAsia"/>
        </w:rPr>
        <w:t>工程质量验收按技术规范及《公路工程质量检验评定标准》执行。</w:t>
      </w:r>
    </w:p>
    <w:p>
      <w:pPr>
        <w:spacing w:line="400" w:lineRule="exact"/>
        <w:ind w:firstLine="440" w:firstLineChars="200"/>
        <w:rPr>
          <w:rFonts w:cs="Times New Roman"/>
        </w:rPr>
      </w:pPr>
      <w:r>
        <w:rPr>
          <w:rFonts w:hint="eastAsia"/>
        </w:rPr>
        <w:t>本款补充第</w:t>
      </w:r>
      <w:r>
        <w:t>13.1.4</w:t>
      </w:r>
      <w:r>
        <w:rPr>
          <w:rFonts w:hint="eastAsia"/>
        </w:rPr>
        <w:t>和</w:t>
      </w:r>
      <w:r>
        <w:t>13.1.5</w:t>
      </w:r>
      <w:r>
        <w:rPr>
          <w:rFonts w:hint="eastAsia"/>
        </w:rPr>
        <w:t>项：</w:t>
      </w:r>
    </w:p>
    <w:p>
      <w:pPr>
        <w:spacing w:line="400" w:lineRule="exact"/>
        <w:ind w:firstLine="440" w:firstLineChars="200"/>
        <w:rPr>
          <w:rFonts w:cs="Times New Roman"/>
        </w:rPr>
      </w:pPr>
      <w:r>
        <w:t>13.1.4</w:t>
      </w:r>
      <w:r>
        <w:rPr>
          <w:rFonts w:hint="eastAsia"/>
        </w:rPr>
        <w:t>发包人和承包人应严格遵守《关于严格落实公路工程质量责任制的若干意见》的相关规定，认真执行工程质量责任登记制度并按要求填写工程质量责任登记表。</w:t>
      </w:r>
    </w:p>
    <w:p>
      <w:pPr>
        <w:spacing w:line="400" w:lineRule="exact"/>
        <w:ind w:firstLine="440" w:firstLineChars="200"/>
        <w:rPr>
          <w:rFonts w:cs="Times New Roman"/>
        </w:rPr>
      </w:pPr>
      <w:r>
        <w:t>13.1.5</w:t>
      </w:r>
      <w:r>
        <w:rPr>
          <w:rFonts w:hint="eastAsia"/>
        </w:rPr>
        <w:t>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cs="Times New Roman"/>
          <w:sz w:val="21"/>
          <w:szCs w:val="21"/>
        </w:rPr>
      </w:pPr>
      <w:bookmarkStart w:id="814" w:name="_Toc309397494"/>
      <w:r>
        <w:rPr>
          <w:sz w:val="21"/>
          <w:szCs w:val="21"/>
        </w:rPr>
        <w:t>13</w:t>
      </w:r>
      <w:r>
        <w:rPr>
          <w:rFonts w:hint="eastAsia"/>
          <w:sz w:val="21"/>
          <w:szCs w:val="21"/>
        </w:rPr>
        <w:t>．</w:t>
      </w:r>
      <w:r>
        <w:rPr>
          <w:sz w:val="21"/>
          <w:szCs w:val="21"/>
        </w:rPr>
        <w:t>2</w:t>
      </w:r>
      <w:r>
        <w:rPr>
          <w:rFonts w:hint="eastAsia"/>
          <w:sz w:val="21"/>
          <w:szCs w:val="21"/>
        </w:rPr>
        <w:t>承包人的质量管理</w:t>
      </w:r>
      <w:bookmarkEnd w:id="814"/>
    </w:p>
    <w:p>
      <w:pPr>
        <w:spacing w:line="400" w:lineRule="exact"/>
        <w:ind w:firstLine="440" w:firstLineChars="200"/>
        <w:rPr>
          <w:rFonts w:cs="Times New Roman"/>
        </w:rPr>
      </w:pPr>
      <w:r>
        <w:rPr>
          <w:rFonts w:hint="eastAsia"/>
        </w:rPr>
        <w:t>第</w:t>
      </w:r>
      <w:r>
        <w:t>13.2.1</w:t>
      </w:r>
      <w:r>
        <w:rPr>
          <w:rFonts w:hint="eastAsia"/>
        </w:rPr>
        <w:t>项补充：</w:t>
      </w:r>
    </w:p>
    <w:p>
      <w:pPr>
        <w:spacing w:line="400" w:lineRule="exact"/>
        <w:ind w:firstLine="440" w:firstLineChars="200"/>
        <w:rPr>
          <w:rFonts w:cs="Times New Roman"/>
        </w:rPr>
      </w:pPr>
      <w:r>
        <w:rPr>
          <w:rFonts w:hint="eastAsia"/>
        </w:rPr>
        <w:t>承包人提交工程质量保证措施文件的期限：签订合同协议书后</w:t>
      </w:r>
      <w:r>
        <w:t>28</w:t>
      </w:r>
      <w:r>
        <w:rPr>
          <w:rFonts w:hint="eastAsia"/>
        </w:rPr>
        <w:t>天之内。</w:t>
      </w:r>
    </w:p>
    <w:p>
      <w:pPr>
        <w:spacing w:line="400" w:lineRule="exact"/>
        <w:ind w:firstLine="440" w:firstLineChars="200"/>
        <w:rPr>
          <w:rFonts w:cs="Times New Roman"/>
        </w:rPr>
      </w:pPr>
      <w:r>
        <w:rPr>
          <w:rFonts w:hint="eastAsia"/>
        </w:rPr>
        <w:t>本款补充第</w:t>
      </w:r>
      <w:r>
        <w:t>13.2.3</w:t>
      </w:r>
      <w:r>
        <w:rPr>
          <w:rFonts w:hint="eastAsia"/>
        </w:rPr>
        <w:t>项～第</w:t>
      </w:r>
      <w:r>
        <w:t>13.2.7</w:t>
      </w:r>
      <w:r>
        <w:rPr>
          <w:rFonts w:hint="eastAsia"/>
        </w:rPr>
        <w:t>项：</w:t>
      </w:r>
    </w:p>
    <w:p>
      <w:pPr>
        <w:spacing w:line="400" w:lineRule="exact"/>
        <w:ind w:firstLine="440" w:firstLineChars="200"/>
        <w:rPr>
          <w:rFonts w:cs="Times New Roman"/>
        </w:rPr>
      </w:pPr>
      <w:r>
        <w:t>13.2.3</w:t>
      </w:r>
      <w:r>
        <w:rPr>
          <w:rFonts w:hint="eastAsia"/>
        </w:rPr>
        <w:t>承包人必须遵守国家有关法律、法规和规章，严格执行公路工程强制性技术标准、各类技术规范及规程，全面履行工程合同义务，依法对公路工程质量负责。</w:t>
      </w:r>
    </w:p>
    <w:p>
      <w:pPr>
        <w:spacing w:line="400" w:lineRule="exact"/>
        <w:ind w:firstLine="440" w:firstLineChars="200"/>
        <w:rPr>
          <w:rFonts w:cs="Times New Roman"/>
        </w:rPr>
      </w:pPr>
      <w:r>
        <w:t>13.2.4</w:t>
      </w:r>
      <w:r>
        <w:rPr>
          <w:rFonts w:hint="eastAsia"/>
        </w:rPr>
        <w:t>承包人应加强质量监控，确保规范规定的检验、抽检频率，现场质检的原始资料必须真实、准确、可靠，不得追记，接受质量检查时必须出示原始资料。</w:t>
      </w:r>
    </w:p>
    <w:p>
      <w:pPr>
        <w:spacing w:line="400" w:lineRule="exact"/>
        <w:ind w:firstLine="440" w:firstLineChars="200"/>
        <w:rPr>
          <w:rFonts w:cs="Times New Roman"/>
        </w:rPr>
      </w:pPr>
      <w:r>
        <w:t>13.2.5</w:t>
      </w:r>
      <w:r>
        <w:rPr>
          <w:rFonts w:hint="eastAsia"/>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line="400" w:lineRule="exact"/>
        <w:ind w:firstLine="440" w:firstLineChars="200"/>
        <w:rPr>
          <w:rFonts w:cs="Times New Roman"/>
        </w:rPr>
      </w:pPr>
      <w:r>
        <w:t>13.2.6</w:t>
      </w:r>
      <w:r>
        <w:rPr>
          <w:rFonts w:hint="eastAsia"/>
        </w:rPr>
        <w:t>承包人驻工程现场机构应在现场驻地和汇总要的分部、分项工程施工现场设置明显的工程质量责任登记表公示牌。</w:t>
      </w:r>
    </w:p>
    <w:p>
      <w:pPr>
        <w:pStyle w:val="3"/>
        <w:spacing w:beforeLines="50" w:line="400" w:lineRule="exact"/>
        <w:rPr>
          <w:rFonts w:cs="Times New Roman"/>
          <w:sz w:val="21"/>
          <w:szCs w:val="21"/>
        </w:rPr>
      </w:pPr>
      <w:bookmarkStart w:id="815" w:name="_Toc309397495"/>
      <w:r>
        <w:rPr>
          <w:sz w:val="21"/>
          <w:szCs w:val="21"/>
        </w:rPr>
        <w:t>13</w:t>
      </w:r>
      <w:r>
        <w:rPr>
          <w:rFonts w:hint="eastAsia"/>
          <w:sz w:val="21"/>
          <w:szCs w:val="21"/>
        </w:rPr>
        <w:t>．</w:t>
      </w:r>
      <w:r>
        <w:rPr>
          <w:sz w:val="21"/>
          <w:szCs w:val="21"/>
        </w:rPr>
        <w:t>4</w:t>
      </w:r>
      <w:r>
        <w:rPr>
          <w:rFonts w:hint="eastAsia"/>
          <w:sz w:val="21"/>
          <w:szCs w:val="21"/>
        </w:rPr>
        <w:t>监理人的质量检查</w:t>
      </w:r>
      <w:bookmarkEnd w:id="815"/>
    </w:p>
    <w:p>
      <w:pPr>
        <w:spacing w:line="400" w:lineRule="exact"/>
        <w:ind w:firstLine="440" w:firstLineChars="200"/>
        <w:rPr>
          <w:rFonts w:cs="Times New Roman"/>
        </w:rPr>
      </w:pPr>
      <w:r>
        <w:rPr>
          <w:rFonts w:hint="eastAsia"/>
        </w:rPr>
        <w:t>本款补充：</w:t>
      </w:r>
    </w:p>
    <w:p>
      <w:pPr>
        <w:spacing w:line="400" w:lineRule="exact"/>
        <w:ind w:firstLine="440" w:firstLineChars="200"/>
        <w:rPr>
          <w:rFonts w:cs="Times New Roman"/>
        </w:rPr>
      </w:pPr>
      <w:r>
        <w:rPr>
          <w:rFonts w:hint="eastAsia"/>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40" w:firstLineChars="200"/>
        <w:rPr>
          <w:rFonts w:cs="Times New Roman"/>
        </w:rPr>
      </w:pPr>
      <w:r>
        <w:rPr>
          <w:rFonts w:hint="eastAsia"/>
        </w:rPr>
        <w:t>监理人可以将材料或工程设备的检查委托给一家独立的有质量检验认证资格的检验单位。该独立检验单位的检验结果应视为监理人完成的。监理人应将这种委托的通知书不少于</w:t>
      </w:r>
      <w:r>
        <w:t>7</w:t>
      </w:r>
      <w:r>
        <w:rPr>
          <w:rFonts w:hint="eastAsia"/>
        </w:rPr>
        <w:t>天交给承包人。</w:t>
      </w:r>
    </w:p>
    <w:p>
      <w:pPr>
        <w:pStyle w:val="3"/>
        <w:spacing w:beforeLines="50" w:line="400" w:lineRule="exact"/>
        <w:rPr>
          <w:rFonts w:cs="Times New Roman"/>
          <w:sz w:val="21"/>
          <w:szCs w:val="21"/>
        </w:rPr>
      </w:pPr>
      <w:bookmarkStart w:id="816" w:name="_Toc309397496"/>
      <w:r>
        <w:rPr>
          <w:sz w:val="21"/>
          <w:szCs w:val="21"/>
        </w:rPr>
        <w:t>13</w:t>
      </w:r>
      <w:r>
        <w:rPr>
          <w:rFonts w:hint="eastAsia"/>
          <w:sz w:val="21"/>
          <w:szCs w:val="21"/>
        </w:rPr>
        <w:t>．</w:t>
      </w:r>
      <w:r>
        <w:rPr>
          <w:sz w:val="21"/>
          <w:szCs w:val="21"/>
        </w:rPr>
        <w:t>5</w:t>
      </w:r>
      <w:r>
        <w:rPr>
          <w:rFonts w:hint="eastAsia"/>
          <w:sz w:val="21"/>
          <w:szCs w:val="21"/>
        </w:rPr>
        <w:t>工程隐蔽部位覆盖前的检查</w:t>
      </w:r>
      <w:bookmarkEnd w:id="816"/>
    </w:p>
    <w:p>
      <w:pPr>
        <w:spacing w:line="400" w:lineRule="exact"/>
        <w:ind w:firstLine="440" w:firstLineChars="200"/>
        <w:rPr>
          <w:rFonts w:cs="Times New Roman"/>
        </w:rPr>
      </w:pPr>
      <w:r>
        <w:rPr>
          <w:rFonts w:hint="eastAsia"/>
        </w:rPr>
        <w:t>第</w:t>
      </w:r>
      <w:r>
        <w:t>13.5.1</w:t>
      </w:r>
      <w:r>
        <w:rPr>
          <w:rFonts w:hint="eastAsia"/>
        </w:rPr>
        <w:t>项补充：</w:t>
      </w:r>
    </w:p>
    <w:p>
      <w:pPr>
        <w:spacing w:line="400" w:lineRule="exact"/>
        <w:ind w:firstLine="440" w:firstLineChars="200"/>
        <w:rPr>
          <w:rFonts w:cs="Times New Roman"/>
        </w:rPr>
      </w:pPr>
      <w:r>
        <w:rPr>
          <w:rFonts w:hint="eastAsia"/>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cs="Times New Roman"/>
          <w:sz w:val="21"/>
          <w:szCs w:val="21"/>
        </w:rPr>
      </w:pPr>
      <w:bookmarkStart w:id="817" w:name="_Toc309397497"/>
      <w:r>
        <w:rPr>
          <w:sz w:val="21"/>
          <w:szCs w:val="21"/>
        </w:rPr>
        <w:t>13</w:t>
      </w:r>
      <w:r>
        <w:rPr>
          <w:rFonts w:hint="eastAsia"/>
          <w:sz w:val="21"/>
          <w:szCs w:val="21"/>
        </w:rPr>
        <w:t>．</w:t>
      </w:r>
      <w:r>
        <w:rPr>
          <w:sz w:val="21"/>
          <w:szCs w:val="21"/>
        </w:rPr>
        <w:t>6</w:t>
      </w:r>
      <w:r>
        <w:rPr>
          <w:rFonts w:hint="eastAsia"/>
          <w:sz w:val="21"/>
          <w:szCs w:val="21"/>
        </w:rPr>
        <w:t>清除不合格工程</w:t>
      </w:r>
      <w:bookmarkEnd w:id="817"/>
    </w:p>
    <w:p>
      <w:pPr>
        <w:spacing w:line="400" w:lineRule="exact"/>
        <w:ind w:firstLine="440" w:firstLineChars="200"/>
        <w:rPr>
          <w:rFonts w:cs="Times New Roman"/>
        </w:rPr>
      </w:pPr>
      <w:r>
        <w:rPr>
          <w:rFonts w:hint="eastAsia"/>
        </w:rPr>
        <w:t>第</w:t>
      </w:r>
      <w:r>
        <w:t>13.6.1</w:t>
      </w:r>
      <w:r>
        <w:rPr>
          <w:rFonts w:hint="eastAsia"/>
        </w:rPr>
        <w:t>项细化为：</w:t>
      </w:r>
    </w:p>
    <w:p>
      <w:pPr>
        <w:spacing w:line="400" w:lineRule="exact"/>
        <w:ind w:firstLine="440" w:firstLineChars="200"/>
        <w:rPr>
          <w:rFonts w:cs="Times New Roman"/>
        </w:rPr>
      </w:pPr>
      <w:r>
        <w:rPr>
          <w:rFonts w:hint="eastAsia"/>
        </w:rPr>
        <w:t>（</w:t>
      </w:r>
      <w:r>
        <w:t>1</w:t>
      </w:r>
      <w:r>
        <w:rPr>
          <w:rFonts w:hint="eastAsia"/>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40" w:firstLineChars="200"/>
        <w:rPr>
          <w:rFonts w:cs="Times New Roman"/>
        </w:rPr>
      </w:pPr>
      <w:r>
        <w:rPr>
          <w:rFonts w:hint="eastAsia"/>
        </w:rPr>
        <w:t>（</w:t>
      </w:r>
      <w:r>
        <w:t>2</w:t>
      </w:r>
      <w:r>
        <w:rPr>
          <w:rFonts w:hint="eastAsia"/>
        </w:rPr>
        <w:t>）如果承包人未在规定时间内执行监理人的指示，发包人有权雇用他人执行，由此增加的费用和（或）工期延误由承包人承担。</w:t>
      </w:r>
    </w:p>
    <w:p>
      <w:pPr>
        <w:pStyle w:val="3"/>
        <w:spacing w:beforeLines="50" w:after="120" w:line="400" w:lineRule="exact"/>
        <w:rPr>
          <w:rFonts w:cs="Times New Roman"/>
          <w:sz w:val="28"/>
          <w:szCs w:val="28"/>
        </w:rPr>
      </w:pPr>
      <w:bookmarkStart w:id="818" w:name="_Toc309397498"/>
      <w:r>
        <w:rPr>
          <w:sz w:val="28"/>
          <w:szCs w:val="28"/>
        </w:rPr>
        <w:t>14</w:t>
      </w:r>
      <w:r>
        <w:rPr>
          <w:rFonts w:hint="eastAsia"/>
          <w:sz w:val="28"/>
          <w:szCs w:val="28"/>
        </w:rPr>
        <w:t>．试验和检验</w:t>
      </w:r>
      <w:bookmarkEnd w:id="818"/>
    </w:p>
    <w:p>
      <w:pPr>
        <w:spacing w:line="400" w:lineRule="exact"/>
        <w:ind w:firstLine="440" w:firstLineChars="200"/>
        <w:rPr>
          <w:rFonts w:cs="Times New Roman"/>
        </w:rPr>
      </w:pPr>
      <w:r>
        <w:rPr>
          <w:rFonts w:hint="eastAsia"/>
        </w:rPr>
        <w:t>补充第</w:t>
      </w:r>
      <w:r>
        <w:t>14.4</w:t>
      </w:r>
      <w:r>
        <w:rPr>
          <w:rFonts w:hint="eastAsia"/>
        </w:rPr>
        <w:t>款：</w:t>
      </w:r>
    </w:p>
    <w:p>
      <w:pPr>
        <w:pStyle w:val="3"/>
        <w:spacing w:beforeLines="50" w:line="400" w:lineRule="exact"/>
        <w:rPr>
          <w:rFonts w:cs="Times New Roman"/>
          <w:sz w:val="21"/>
          <w:szCs w:val="21"/>
        </w:rPr>
      </w:pPr>
      <w:bookmarkStart w:id="819" w:name="_Toc309397499"/>
      <w:r>
        <w:rPr>
          <w:sz w:val="21"/>
          <w:szCs w:val="21"/>
        </w:rPr>
        <w:t>14</w:t>
      </w:r>
      <w:r>
        <w:rPr>
          <w:rFonts w:hint="eastAsia"/>
          <w:sz w:val="21"/>
          <w:szCs w:val="21"/>
        </w:rPr>
        <w:t>．</w:t>
      </w:r>
      <w:r>
        <w:rPr>
          <w:sz w:val="21"/>
          <w:szCs w:val="21"/>
        </w:rPr>
        <w:t>4</w:t>
      </w:r>
      <w:r>
        <w:rPr>
          <w:rFonts w:hint="eastAsia"/>
          <w:sz w:val="21"/>
          <w:szCs w:val="21"/>
        </w:rPr>
        <w:t>试验和检验费用</w:t>
      </w:r>
      <w:bookmarkEnd w:id="819"/>
    </w:p>
    <w:p>
      <w:pPr>
        <w:spacing w:line="400" w:lineRule="exact"/>
        <w:ind w:firstLine="440" w:firstLineChars="200"/>
        <w:rPr>
          <w:rFonts w:cs="Times New Roman"/>
        </w:rPr>
      </w:pPr>
      <w:r>
        <w:rPr>
          <w:rFonts w:hint="eastAsia"/>
        </w:rPr>
        <w:t>（</w:t>
      </w:r>
      <w:r>
        <w:t>1</w:t>
      </w:r>
      <w:r>
        <w:rPr>
          <w:rFonts w:hint="eastAsia"/>
        </w:rPr>
        <w:t>）承包人应负责提供合同和技术规范规定的试验和检验所需的全部样品，并承担其费用。</w:t>
      </w:r>
    </w:p>
    <w:p>
      <w:pPr>
        <w:spacing w:line="400" w:lineRule="exact"/>
        <w:ind w:firstLine="440" w:firstLineChars="200"/>
        <w:rPr>
          <w:rFonts w:cs="Times New Roman"/>
        </w:rPr>
      </w:pPr>
      <w:r>
        <w:rPr>
          <w:rFonts w:hint="eastAsia"/>
        </w:rPr>
        <w:t>（</w:t>
      </w:r>
      <w:r>
        <w:t>2</w:t>
      </w:r>
      <w:r>
        <w:rPr>
          <w:rFonts w:hint="eastAsia"/>
        </w:rPr>
        <w:t>）在合同中明确规定的试验和检验，包括无须在工程量清单中单独列项和已在工程量清单中单独列项的试验和检验，其试验和检验的费用由承包人承担。</w:t>
      </w:r>
    </w:p>
    <w:p>
      <w:pPr>
        <w:spacing w:line="400" w:lineRule="exact"/>
        <w:ind w:firstLine="440" w:firstLineChars="200"/>
        <w:rPr>
          <w:rFonts w:cs="Times New Roman"/>
        </w:rPr>
      </w:pPr>
      <w:r>
        <w:rPr>
          <w:rFonts w:hint="eastAsia"/>
        </w:rPr>
        <w:t>（</w:t>
      </w:r>
      <w:r>
        <w:t>3</w:t>
      </w:r>
      <w:r>
        <w:rPr>
          <w:rFonts w:hint="eastAsia"/>
        </w:rPr>
        <w:t>）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cs="Times New Roman"/>
          <w:sz w:val="28"/>
          <w:szCs w:val="28"/>
        </w:rPr>
      </w:pPr>
      <w:bookmarkStart w:id="820" w:name="_Toc309397500"/>
      <w:r>
        <w:rPr>
          <w:sz w:val="28"/>
          <w:szCs w:val="28"/>
        </w:rPr>
        <w:t>15</w:t>
      </w:r>
      <w:r>
        <w:rPr>
          <w:rFonts w:hint="eastAsia"/>
          <w:sz w:val="28"/>
          <w:szCs w:val="28"/>
        </w:rPr>
        <w:t>．变更</w:t>
      </w:r>
      <w:bookmarkEnd w:id="820"/>
    </w:p>
    <w:p>
      <w:pPr>
        <w:pStyle w:val="3"/>
        <w:spacing w:beforeLines="50" w:line="400" w:lineRule="exact"/>
        <w:rPr>
          <w:rFonts w:cs="Times New Roman"/>
          <w:sz w:val="21"/>
          <w:szCs w:val="21"/>
        </w:rPr>
      </w:pPr>
      <w:bookmarkStart w:id="821" w:name="_Toc309397501"/>
      <w:r>
        <w:rPr>
          <w:sz w:val="21"/>
          <w:szCs w:val="21"/>
        </w:rPr>
        <w:t>15</w:t>
      </w:r>
      <w:r>
        <w:rPr>
          <w:rFonts w:hint="eastAsia"/>
          <w:sz w:val="21"/>
          <w:szCs w:val="21"/>
        </w:rPr>
        <w:t>．</w:t>
      </w:r>
      <w:r>
        <w:rPr>
          <w:sz w:val="21"/>
          <w:szCs w:val="21"/>
        </w:rPr>
        <w:t>1</w:t>
      </w:r>
      <w:r>
        <w:rPr>
          <w:rFonts w:hint="eastAsia"/>
          <w:sz w:val="21"/>
          <w:szCs w:val="21"/>
        </w:rPr>
        <w:t>变更的范围和内容</w:t>
      </w:r>
      <w:bookmarkEnd w:id="821"/>
    </w:p>
    <w:p>
      <w:pPr>
        <w:spacing w:line="400" w:lineRule="exact"/>
        <w:ind w:firstLine="440" w:firstLineChars="200"/>
        <w:rPr>
          <w:rFonts w:cs="Times New Roman"/>
        </w:rPr>
      </w:pPr>
      <w:r>
        <w:rPr>
          <w:rFonts w:hint="eastAsia"/>
        </w:rPr>
        <w:t>本款第（</w:t>
      </w:r>
      <w:r>
        <w:t>1</w:t>
      </w:r>
      <w:r>
        <w:rPr>
          <w:rFonts w:hint="eastAsia"/>
        </w:rPr>
        <w:t>）项细化为：</w:t>
      </w:r>
    </w:p>
    <w:p>
      <w:pPr>
        <w:spacing w:line="400" w:lineRule="exact"/>
        <w:ind w:firstLine="440" w:firstLineChars="200"/>
        <w:rPr>
          <w:rFonts w:cs="Times New Roman"/>
        </w:rPr>
      </w:pPr>
      <w:r>
        <w:rPr>
          <w:rFonts w:hint="eastAsia"/>
        </w:rPr>
        <w:t>（</w:t>
      </w:r>
      <w:r>
        <w:t>1</w:t>
      </w:r>
      <w:r>
        <w:rPr>
          <w:rFonts w:hint="eastAsia"/>
        </w:rPr>
        <w:t>）取消合同中任何一项工作，但被取消的工作不能转由发包人或其他人实施，由于承包人违约造成的情况除外；</w:t>
      </w:r>
    </w:p>
    <w:p>
      <w:pPr>
        <w:pStyle w:val="3"/>
        <w:spacing w:beforeLines="50" w:line="400" w:lineRule="exact"/>
        <w:rPr>
          <w:rFonts w:cs="Times New Roman"/>
          <w:sz w:val="21"/>
          <w:szCs w:val="21"/>
        </w:rPr>
      </w:pPr>
      <w:bookmarkStart w:id="822" w:name="_Toc309397502"/>
      <w:r>
        <w:rPr>
          <w:sz w:val="21"/>
          <w:szCs w:val="21"/>
        </w:rPr>
        <w:t>15</w:t>
      </w:r>
      <w:r>
        <w:rPr>
          <w:rFonts w:hint="eastAsia"/>
          <w:sz w:val="21"/>
          <w:szCs w:val="21"/>
        </w:rPr>
        <w:t>．</w:t>
      </w:r>
      <w:r>
        <w:rPr>
          <w:sz w:val="21"/>
          <w:szCs w:val="21"/>
        </w:rPr>
        <w:t>3</w:t>
      </w:r>
      <w:r>
        <w:rPr>
          <w:rFonts w:hint="eastAsia"/>
          <w:sz w:val="21"/>
          <w:szCs w:val="21"/>
        </w:rPr>
        <w:t>变更程序</w:t>
      </w:r>
      <w:bookmarkEnd w:id="822"/>
    </w:p>
    <w:p>
      <w:pPr>
        <w:spacing w:line="400" w:lineRule="exact"/>
        <w:ind w:firstLine="440" w:firstLineChars="200"/>
        <w:rPr>
          <w:rFonts w:cs="Times New Roman"/>
        </w:rPr>
      </w:pPr>
      <w:r>
        <w:rPr>
          <w:rFonts w:hint="eastAsia"/>
        </w:rPr>
        <w:t>本款补充第</w:t>
      </w:r>
      <w:r>
        <w:t>15.3.4</w:t>
      </w:r>
      <w:r>
        <w:rPr>
          <w:rFonts w:hint="eastAsia"/>
        </w:rPr>
        <w:t>项：</w:t>
      </w:r>
    </w:p>
    <w:p>
      <w:pPr>
        <w:spacing w:line="400" w:lineRule="exact"/>
        <w:ind w:firstLine="440" w:firstLineChars="200"/>
        <w:rPr>
          <w:rFonts w:cs="Times New Roman"/>
        </w:rPr>
      </w:pPr>
      <w:r>
        <w:t>15.3.4</w:t>
      </w:r>
      <w:r>
        <w:rPr>
          <w:rFonts w:hint="eastAsia"/>
        </w:rPr>
        <w:t>设计变更程序应执行《公路工程设计变更管理办法》的相关规定。</w:t>
      </w:r>
    </w:p>
    <w:p>
      <w:pPr>
        <w:pStyle w:val="3"/>
        <w:spacing w:beforeLines="50" w:line="400" w:lineRule="exact"/>
        <w:rPr>
          <w:rFonts w:cs="Times New Roman"/>
          <w:sz w:val="21"/>
          <w:szCs w:val="21"/>
        </w:rPr>
      </w:pPr>
      <w:bookmarkStart w:id="823" w:name="_Toc309397503"/>
      <w:r>
        <w:rPr>
          <w:sz w:val="21"/>
          <w:szCs w:val="21"/>
        </w:rPr>
        <w:t>15</w:t>
      </w:r>
      <w:r>
        <w:rPr>
          <w:rFonts w:hint="eastAsia"/>
          <w:sz w:val="21"/>
          <w:szCs w:val="21"/>
        </w:rPr>
        <w:t>．</w:t>
      </w:r>
      <w:r>
        <w:rPr>
          <w:sz w:val="21"/>
          <w:szCs w:val="21"/>
        </w:rPr>
        <w:t>4</w:t>
      </w:r>
      <w:r>
        <w:rPr>
          <w:rFonts w:hint="eastAsia"/>
          <w:sz w:val="21"/>
          <w:szCs w:val="21"/>
        </w:rPr>
        <w:t>变更的估价原则</w:t>
      </w:r>
      <w:bookmarkEnd w:id="823"/>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rPr>
          <w:rFonts w:hint="eastAsia"/>
        </w:rPr>
        <w:t>除项目专用合同条款另有约定外，因变更引起的价格调整按照本款约定处理。</w:t>
      </w:r>
    </w:p>
    <w:p>
      <w:pPr>
        <w:spacing w:line="400" w:lineRule="exact"/>
        <w:ind w:firstLine="440" w:firstLineChars="200"/>
        <w:rPr>
          <w:rFonts w:cs="Times New Roman"/>
        </w:rPr>
      </w:pPr>
      <w:r>
        <w:t>15.4.1</w:t>
      </w:r>
      <w:r>
        <w:rPr>
          <w:rFonts w:hint="eastAsia"/>
        </w:rPr>
        <w:t>如果取消某项工作，则该项工作的总额价不予以支付；</w:t>
      </w:r>
    </w:p>
    <w:p>
      <w:pPr>
        <w:spacing w:line="400" w:lineRule="exact"/>
        <w:ind w:firstLine="440" w:firstLineChars="200"/>
        <w:rPr>
          <w:rFonts w:cs="Times New Roman"/>
        </w:rPr>
      </w:pPr>
      <w:r>
        <w:t>15.4.2</w:t>
      </w:r>
      <w:r>
        <w:rPr>
          <w:rFonts w:hint="eastAsia"/>
        </w:rPr>
        <w:t>已标价工程量清单中有适用于变更工作的子目的，采用该子目的单价。</w:t>
      </w:r>
    </w:p>
    <w:p>
      <w:pPr>
        <w:spacing w:line="400" w:lineRule="exact"/>
        <w:ind w:firstLine="440" w:firstLineChars="200"/>
        <w:rPr>
          <w:rFonts w:cs="Times New Roman"/>
        </w:rPr>
      </w:pPr>
      <w:r>
        <w:t>15.4.3</w:t>
      </w:r>
      <w:r>
        <w:rPr>
          <w:rFonts w:hint="eastAsia"/>
        </w:rPr>
        <w:t>已标价工程量清单中无适用于变更工作的子目，但有类似子目的，可在合理范围内参照类似子目的单价，由监理人按第</w:t>
      </w:r>
      <w:r>
        <w:t>3.5</w:t>
      </w:r>
      <w:r>
        <w:rPr>
          <w:rFonts w:hint="eastAsia"/>
        </w:rPr>
        <w:t>款商定或确定变更工作的单价。</w:t>
      </w:r>
    </w:p>
    <w:p>
      <w:pPr>
        <w:spacing w:line="400" w:lineRule="exact"/>
        <w:ind w:firstLine="440" w:firstLineChars="200"/>
        <w:rPr>
          <w:rFonts w:cs="Times New Roman"/>
        </w:rPr>
      </w:pPr>
      <w:r>
        <w:t>15.4.4</w:t>
      </w:r>
      <w:r>
        <w:rPr>
          <w:rFonts w:hint="eastAsia"/>
        </w:rPr>
        <w:t>已标价工程量清单中无适用或类似子目的单价，可在综合考虑承包人在投标时所提供的单价分析表的基础上，由监理人按第</w:t>
      </w:r>
      <w:r>
        <w:t>3.5</w:t>
      </w:r>
      <w:r>
        <w:rPr>
          <w:rFonts w:hint="eastAsia"/>
        </w:rPr>
        <w:t>款商定或确定变更工作的单价。</w:t>
      </w:r>
    </w:p>
    <w:p>
      <w:pPr>
        <w:spacing w:line="400" w:lineRule="exact"/>
        <w:ind w:firstLine="440" w:firstLineChars="200"/>
        <w:rPr>
          <w:rFonts w:cs="Times New Roman"/>
        </w:rPr>
      </w:pPr>
      <w:r>
        <w:t>15.4.5</w:t>
      </w:r>
      <w:r>
        <w:rPr>
          <w:rFonts w:hint="eastAsia"/>
        </w:rPr>
        <w:t>如果本工程的变更指示是因承包人过错、承包人建反合同或承包人责任造成的，则这种违约引起的任何额外费用应由承包人承担。</w:t>
      </w:r>
    </w:p>
    <w:p>
      <w:pPr>
        <w:pStyle w:val="3"/>
        <w:spacing w:beforeLines="50" w:line="400" w:lineRule="exact"/>
        <w:rPr>
          <w:rFonts w:cs="Times New Roman"/>
          <w:sz w:val="21"/>
          <w:szCs w:val="21"/>
        </w:rPr>
      </w:pPr>
      <w:bookmarkStart w:id="824" w:name="_Toc309397504"/>
      <w:r>
        <w:rPr>
          <w:sz w:val="21"/>
          <w:szCs w:val="21"/>
        </w:rPr>
        <w:t>15.5</w:t>
      </w:r>
      <w:r>
        <w:rPr>
          <w:rFonts w:hint="eastAsia"/>
          <w:sz w:val="21"/>
          <w:szCs w:val="21"/>
        </w:rPr>
        <w:t>承包人的合理化建议</w:t>
      </w:r>
      <w:bookmarkEnd w:id="824"/>
    </w:p>
    <w:p>
      <w:pPr>
        <w:spacing w:line="400" w:lineRule="exact"/>
        <w:ind w:firstLine="440" w:firstLineChars="200"/>
        <w:rPr>
          <w:rFonts w:cs="Times New Roman"/>
        </w:rPr>
      </w:pPr>
      <w:r>
        <w:rPr>
          <w:rFonts w:hint="eastAsia"/>
        </w:rPr>
        <w:t>第</w:t>
      </w:r>
      <w:r>
        <w:t>15.5.2</w:t>
      </w:r>
      <w:r>
        <w:rPr>
          <w:rFonts w:hint="eastAsia"/>
        </w:rPr>
        <w:t>项约定为：</w:t>
      </w:r>
    </w:p>
    <w:p>
      <w:pPr>
        <w:spacing w:line="400" w:lineRule="exact"/>
        <w:ind w:firstLine="440" w:firstLineChars="200"/>
        <w:rPr>
          <w:rFonts w:cs="Times New Roman"/>
        </w:rPr>
      </w:pPr>
      <w:r>
        <w:rPr>
          <w:rFonts w:hint="eastAsia"/>
        </w:rPr>
        <w:t>承包人提出的合理化建议缩短了工期，发包人按第</w:t>
      </w:r>
      <w:r>
        <w:t>11.6</w:t>
      </w:r>
      <w:r>
        <w:rPr>
          <w:rFonts w:hint="eastAsia"/>
        </w:rPr>
        <w:t>款的规定给予奖励。</w:t>
      </w:r>
    </w:p>
    <w:p>
      <w:pPr>
        <w:spacing w:line="400" w:lineRule="exact"/>
        <w:ind w:firstLine="440" w:firstLineChars="200"/>
        <w:rPr>
          <w:rFonts w:cs="Times New Roman"/>
        </w:rPr>
      </w:pPr>
      <w:r>
        <w:rPr>
          <w:rFonts w:hint="eastAsia"/>
        </w:rPr>
        <w:t>承包人提出的合理化建议降低了合同价格或者提高了工程经济效益的，发包人按项目专用合同条款数据表中规定的金额给予奖励。</w:t>
      </w:r>
    </w:p>
    <w:p>
      <w:pPr>
        <w:pStyle w:val="3"/>
        <w:spacing w:beforeLines="50" w:line="400" w:lineRule="exact"/>
        <w:rPr>
          <w:rFonts w:cs="Times New Roman"/>
          <w:sz w:val="21"/>
          <w:szCs w:val="21"/>
        </w:rPr>
      </w:pPr>
      <w:bookmarkStart w:id="825" w:name="_Toc309397505"/>
      <w:r>
        <w:rPr>
          <w:sz w:val="21"/>
          <w:szCs w:val="21"/>
        </w:rPr>
        <w:t>15.6</w:t>
      </w:r>
      <w:r>
        <w:rPr>
          <w:rFonts w:hint="eastAsia"/>
          <w:sz w:val="21"/>
          <w:szCs w:val="21"/>
        </w:rPr>
        <w:t>暂列金额</w:t>
      </w:r>
      <w:bookmarkEnd w:id="825"/>
    </w:p>
    <w:p>
      <w:pPr>
        <w:spacing w:line="400" w:lineRule="exact"/>
        <w:ind w:firstLine="440" w:firstLineChars="200"/>
        <w:rPr>
          <w:rFonts w:cs="Times New Roman"/>
        </w:rPr>
      </w:pPr>
      <w:r>
        <w:rPr>
          <w:rFonts w:hint="eastAsia"/>
        </w:rPr>
        <w:t>本款细化为：</w:t>
      </w:r>
    </w:p>
    <w:p>
      <w:pPr>
        <w:spacing w:line="400" w:lineRule="exact"/>
        <w:ind w:firstLine="440" w:firstLineChars="200"/>
        <w:rPr>
          <w:rFonts w:cs="Times New Roman"/>
        </w:rPr>
      </w:pPr>
      <w:r>
        <w:t>15.6.l</w:t>
      </w:r>
      <w:r>
        <w:rPr>
          <w:rFonts w:hint="eastAsia"/>
        </w:rPr>
        <w:t>暂列金额应由监理人报发包人批准后指令全部或部分地使用，或者根本不予动用。</w:t>
      </w:r>
    </w:p>
    <w:p>
      <w:pPr>
        <w:spacing w:line="400" w:lineRule="exact"/>
        <w:ind w:firstLine="440" w:firstLineChars="200"/>
        <w:rPr>
          <w:rFonts w:cs="Times New Roman"/>
        </w:rPr>
      </w:pPr>
      <w:r>
        <w:t>15.6.2</w:t>
      </w:r>
      <w:r>
        <w:rPr>
          <w:rFonts w:hint="eastAsia"/>
        </w:rPr>
        <w:t>对于经发包人批准的每一笔暂列金额，监理人有权向承包人发出实施工程或提供材料、工程设备或服务的指令。这些指令应由承包人完成，监理人应根据第</w:t>
      </w:r>
      <w:r>
        <w:t>15.4</w:t>
      </w:r>
      <w:r>
        <w:rPr>
          <w:rFonts w:hint="eastAsia"/>
        </w:rPr>
        <w:t>款约定的变更估价原则和第</w:t>
      </w:r>
      <w:r>
        <w:t>15.7</w:t>
      </w:r>
      <w:r>
        <w:rPr>
          <w:rFonts w:hint="eastAsia"/>
        </w:rPr>
        <w:t>款的规定，对合同价格进行相应调整。</w:t>
      </w:r>
    </w:p>
    <w:p>
      <w:pPr>
        <w:spacing w:line="400" w:lineRule="exact"/>
        <w:ind w:firstLine="440" w:firstLineChars="200"/>
        <w:rPr>
          <w:rFonts w:cs="Times New Roman"/>
        </w:rPr>
      </w:pPr>
      <w:r>
        <w:t>15.6.3</w:t>
      </w:r>
      <w:r>
        <w:rPr>
          <w:rFonts w:hint="eastAsia"/>
        </w:rPr>
        <w:t>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cs="Times New Roman"/>
          <w:sz w:val="28"/>
          <w:szCs w:val="28"/>
        </w:rPr>
      </w:pPr>
      <w:bookmarkStart w:id="826" w:name="_Toc309397506"/>
      <w:r>
        <w:rPr>
          <w:sz w:val="28"/>
          <w:szCs w:val="28"/>
        </w:rPr>
        <w:t>16.</w:t>
      </w:r>
      <w:r>
        <w:rPr>
          <w:rFonts w:hint="eastAsia"/>
          <w:sz w:val="28"/>
          <w:szCs w:val="28"/>
        </w:rPr>
        <w:t>价格调整</w:t>
      </w:r>
      <w:bookmarkEnd w:id="826"/>
    </w:p>
    <w:p>
      <w:pPr>
        <w:pStyle w:val="3"/>
        <w:spacing w:beforeLines="50" w:line="400" w:lineRule="exact"/>
        <w:rPr>
          <w:rFonts w:cs="Times New Roman"/>
          <w:sz w:val="21"/>
          <w:szCs w:val="21"/>
        </w:rPr>
      </w:pPr>
      <w:bookmarkStart w:id="827" w:name="_Toc309397507"/>
      <w:r>
        <w:rPr>
          <w:sz w:val="21"/>
          <w:szCs w:val="21"/>
        </w:rPr>
        <w:t>16.1</w:t>
      </w:r>
      <w:r>
        <w:rPr>
          <w:rFonts w:hint="eastAsia"/>
          <w:sz w:val="21"/>
          <w:szCs w:val="21"/>
        </w:rPr>
        <w:t>物价波动引起的价格调整</w:t>
      </w:r>
      <w:bookmarkEnd w:id="827"/>
    </w:p>
    <w:p>
      <w:pPr>
        <w:spacing w:line="400" w:lineRule="exact"/>
        <w:ind w:firstLine="440" w:firstLineChars="200"/>
        <w:rPr>
          <w:rFonts w:cs="Times New Roman"/>
        </w:rPr>
      </w:pPr>
      <w:r>
        <w:rPr>
          <w:rFonts w:hint="eastAsia"/>
        </w:rPr>
        <w:t>本款约定为：</w:t>
      </w:r>
    </w:p>
    <w:p>
      <w:pPr>
        <w:spacing w:line="400" w:lineRule="exact"/>
        <w:ind w:firstLine="440" w:firstLineChars="200"/>
        <w:rPr>
          <w:rFonts w:cs="Times New Roman"/>
        </w:rPr>
      </w:pPr>
      <w:r>
        <w:rPr>
          <w:rFonts w:hint="eastAsia"/>
        </w:rPr>
        <w:t>（</w:t>
      </w:r>
      <w:r>
        <w:t>1</w:t>
      </w:r>
      <w:r>
        <w:rPr>
          <w:rFonts w:hint="eastAsia"/>
        </w:rPr>
        <w:t>）除项目专用合同条款另有约定外，因物价波动引起的价格调整应按项目专用合同条款数据表的规定，按照第</w:t>
      </w:r>
      <w:r>
        <w:t>16.1.1</w:t>
      </w:r>
      <w:r>
        <w:rPr>
          <w:rFonts w:hint="eastAsia"/>
        </w:rPr>
        <w:t>项或第</w:t>
      </w:r>
      <w:r>
        <w:t>16.1.2</w:t>
      </w:r>
      <w:r>
        <w:rPr>
          <w:rFonts w:hint="eastAsia"/>
        </w:rPr>
        <w:t>项约定的原则处理；或者</w:t>
      </w:r>
    </w:p>
    <w:p>
      <w:pPr>
        <w:spacing w:line="400" w:lineRule="exact"/>
        <w:ind w:firstLine="440" w:firstLineChars="200"/>
        <w:rPr>
          <w:rFonts w:cs="Times New Roman"/>
        </w:rPr>
      </w:pPr>
      <w:r>
        <w:rPr>
          <w:rFonts w:hint="eastAsia"/>
        </w:rPr>
        <w:t>（</w:t>
      </w:r>
      <w:r>
        <w:t>2</w:t>
      </w:r>
      <w:r>
        <w:rPr>
          <w:rFonts w:hint="eastAsia"/>
        </w:rPr>
        <w:t>）在合同执行期间（包括工期拖延期间），由于人工、材料和设备价格的上涨而引起工程施工成本增加的风险由承包人自行承担，合同价格不会因此而调整。</w:t>
      </w:r>
    </w:p>
    <w:p>
      <w:pPr>
        <w:spacing w:line="400" w:lineRule="exact"/>
        <w:ind w:firstLine="440" w:firstLineChars="200"/>
        <w:rPr>
          <w:rFonts w:cs="Times New Roman"/>
        </w:rPr>
      </w:pPr>
      <w:r>
        <w:t>16.1.1</w:t>
      </w:r>
      <w:r>
        <w:rPr>
          <w:rFonts w:hint="eastAsia"/>
        </w:rPr>
        <w:t>采用价格指数调整价格差额</w:t>
      </w:r>
    </w:p>
    <w:p>
      <w:pPr>
        <w:spacing w:line="400" w:lineRule="exact"/>
        <w:ind w:firstLine="440" w:firstLineChars="200"/>
        <w:rPr>
          <w:rFonts w:cs="Times New Roman"/>
        </w:rPr>
      </w:pPr>
      <w:r>
        <w:t>16.1.1</w:t>
      </w:r>
      <w:r>
        <w:rPr>
          <w:rFonts w:hint="eastAsia"/>
        </w:rPr>
        <w:t>价格调整公式</w:t>
      </w:r>
    </w:p>
    <w:p>
      <w:pPr>
        <w:spacing w:line="400" w:lineRule="exact"/>
        <w:ind w:firstLine="440" w:firstLineChars="200"/>
        <w:rPr>
          <w:rFonts w:cs="Times New Roman"/>
        </w:rPr>
      </w:pPr>
      <w:r>
        <w:rPr>
          <w:rFonts w:hint="eastAsia"/>
        </w:rPr>
        <w:t>价格调整公式后增加备注如下：</w:t>
      </w:r>
    </w:p>
    <w:p>
      <w:pPr>
        <w:spacing w:line="400" w:lineRule="exact"/>
        <w:ind w:firstLine="440" w:firstLineChars="200"/>
        <w:rPr>
          <w:rFonts w:cs="Times New Roman"/>
        </w:rPr>
      </w:pPr>
      <w:r>
        <w:rPr>
          <w:rFonts w:hint="eastAsia"/>
        </w:rPr>
        <w:t>式中，</w:t>
      </w:r>
      <w:r>
        <w:rPr>
          <w:i/>
          <w:iCs/>
        </w:rPr>
        <w:t>A</w:t>
      </w:r>
      <w:r>
        <w:t xml:space="preserve"> </w:t>
      </w:r>
      <w:r>
        <w:rPr>
          <w:rFonts w:hint="eastAsia"/>
        </w:rPr>
        <w:t>＝</w:t>
      </w:r>
      <w:r>
        <w:t xml:space="preserve"> 1 </w:t>
      </w:r>
      <w:r>
        <w:rPr>
          <w:rFonts w:hint="eastAsia"/>
        </w:rPr>
        <w:t>－</w:t>
      </w:r>
      <w:r>
        <w:t xml:space="preserve"> </w:t>
      </w:r>
      <w:r>
        <w:rPr>
          <w:rFonts w:hint="eastAsia"/>
        </w:rPr>
        <w:t>（</w:t>
      </w:r>
      <w:r>
        <w:rPr>
          <w:i/>
          <w:iCs/>
        </w:rPr>
        <w:t>B</w:t>
      </w:r>
      <w:r>
        <w:rPr>
          <w:vertAlign w:val="subscript"/>
        </w:rPr>
        <w:t xml:space="preserve">1 </w:t>
      </w:r>
      <w:r>
        <w:rPr>
          <w:rFonts w:hint="eastAsia"/>
        </w:rPr>
        <w:t>＋</w:t>
      </w:r>
      <w:r>
        <w:t xml:space="preserve"> </w:t>
      </w:r>
      <w:r>
        <w:rPr>
          <w:i/>
          <w:iCs/>
        </w:rPr>
        <w:t>B</w:t>
      </w:r>
      <w:r>
        <w:rPr>
          <w:vertAlign w:val="subscript"/>
        </w:rPr>
        <w:t xml:space="preserve">2 </w:t>
      </w:r>
      <w:r>
        <w:rPr>
          <w:rFonts w:hint="eastAsia"/>
        </w:rPr>
        <w:t>＋</w:t>
      </w:r>
      <w:r>
        <w:t xml:space="preserve"> </w:t>
      </w:r>
      <w:r>
        <w:rPr>
          <w:i/>
          <w:iCs/>
        </w:rPr>
        <w:t>B</w:t>
      </w:r>
      <w:r>
        <w:rPr>
          <w:vertAlign w:val="subscript"/>
        </w:rPr>
        <w:t xml:space="preserve">3 </w:t>
      </w:r>
      <w:r>
        <w:rPr>
          <w:rFonts w:hint="eastAsia"/>
        </w:rPr>
        <w:t>＋</w:t>
      </w:r>
      <w:r>
        <w:t xml:space="preserve"> ... </w:t>
      </w:r>
      <w:r>
        <w:rPr>
          <w:rFonts w:hint="eastAsia"/>
        </w:rPr>
        <w:t>＋</w:t>
      </w:r>
      <w:r>
        <w:t xml:space="preserve"> </w:t>
      </w:r>
      <w:r>
        <w:rPr>
          <w:i/>
          <w:iCs/>
        </w:rPr>
        <w:t>B</w:t>
      </w:r>
      <w:r>
        <w:rPr>
          <w:vertAlign w:val="subscript"/>
        </w:rPr>
        <w:t xml:space="preserve">n </w:t>
      </w:r>
      <w:r>
        <w:rPr>
          <w:rFonts w:hint="eastAsia"/>
        </w:rPr>
        <w:t>）</w:t>
      </w:r>
    </w:p>
    <w:p>
      <w:pPr>
        <w:spacing w:line="400" w:lineRule="exact"/>
        <w:ind w:firstLine="440" w:firstLineChars="200"/>
        <w:rPr>
          <w:rFonts w:cs="Times New Roman"/>
        </w:rPr>
      </w:pPr>
      <w:r>
        <w:rPr>
          <w:rFonts w:hint="eastAsia"/>
        </w:rPr>
        <w:t>本目最后一段文字细化为：</w:t>
      </w:r>
    </w:p>
    <w:p>
      <w:pPr>
        <w:spacing w:line="400" w:lineRule="exact"/>
        <w:ind w:firstLine="440" w:firstLineChars="200"/>
        <w:rPr>
          <w:rFonts w:cs="Times New Roman"/>
        </w:rPr>
      </w:pPr>
      <w:r>
        <w:rPr>
          <w:rFonts w:hint="eastAsia"/>
        </w:rPr>
        <w:t>在采用价格调整公式进行调价时，还应遵守以下规定：</w:t>
      </w:r>
    </w:p>
    <w:p>
      <w:pPr>
        <w:spacing w:line="400" w:lineRule="exact"/>
        <w:ind w:firstLine="440" w:firstLineChars="200"/>
        <w:rPr>
          <w:rFonts w:cs="Times New Roman"/>
        </w:rPr>
      </w:pPr>
      <w:r>
        <w:rPr>
          <w:rFonts w:hint="eastAsia"/>
        </w:rPr>
        <w:t>（</w:t>
      </w:r>
      <w:r>
        <w:t>1</w:t>
      </w:r>
      <w:r>
        <w:rPr>
          <w:rFonts w:hint="eastAsia"/>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40" w:firstLineChars="200"/>
        <w:rPr>
          <w:rFonts w:cs="Times New Roman"/>
        </w:rPr>
      </w:pPr>
      <w:r>
        <w:rPr>
          <w:rFonts w:hint="eastAsia"/>
        </w:rPr>
        <w:t>（</w:t>
      </w:r>
      <w:r>
        <w:t>2</w:t>
      </w:r>
      <w:r>
        <w:rPr>
          <w:rFonts w:hint="eastAsia"/>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cs="Times New Roman"/>
          <w:sz w:val="28"/>
          <w:szCs w:val="28"/>
        </w:rPr>
      </w:pPr>
      <w:bookmarkStart w:id="828" w:name="_Toc309397508"/>
      <w:r>
        <w:rPr>
          <w:sz w:val="28"/>
          <w:szCs w:val="28"/>
        </w:rPr>
        <w:t>17.</w:t>
      </w:r>
      <w:r>
        <w:rPr>
          <w:rFonts w:hint="eastAsia"/>
          <w:sz w:val="28"/>
          <w:szCs w:val="28"/>
        </w:rPr>
        <w:t>计量与支付</w:t>
      </w:r>
      <w:bookmarkEnd w:id="828"/>
    </w:p>
    <w:p>
      <w:pPr>
        <w:pStyle w:val="3"/>
        <w:spacing w:beforeLines="50" w:line="400" w:lineRule="exact"/>
        <w:rPr>
          <w:rFonts w:cs="Times New Roman"/>
          <w:sz w:val="21"/>
          <w:szCs w:val="21"/>
        </w:rPr>
      </w:pPr>
      <w:bookmarkStart w:id="829" w:name="_Toc309397509"/>
      <w:r>
        <w:rPr>
          <w:sz w:val="21"/>
          <w:szCs w:val="21"/>
        </w:rPr>
        <w:t>17.1</w:t>
      </w:r>
      <w:r>
        <w:rPr>
          <w:rFonts w:hint="eastAsia"/>
          <w:sz w:val="21"/>
          <w:szCs w:val="21"/>
        </w:rPr>
        <w:t>计量</w:t>
      </w:r>
      <w:bookmarkEnd w:id="829"/>
    </w:p>
    <w:p>
      <w:pPr>
        <w:spacing w:line="400" w:lineRule="exact"/>
        <w:ind w:firstLine="440" w:firstLineChars="200"/>
        <w:rPr>
          <w:rFonts w:cs="Times New Roman"/>
        </w:rPr>
      </w:pPr>
      <w:r>
        <w:t>17.1.2</w:t>
      </w:r>
      <w:r>
        <w:rPr>
          <w:rFonts w:hint="eastAsia"/>
        </w:rPr>
        <w:t>计量方法</w:t>
      </w:r>
    </w:p>
    <w:p>
      <w:pPr>
        <w:spacing w:line="400" w:lineRule="exact"/>
        <w:ind w:firstLine="440" w:firstLineChars="200"/>
        <w:rPr>
          <w:rFonts w:cs="Times New Roman"/>
        </w:rPr>
      </w:pPr>
      <w:r>
        <w:rPr>
          <w:rFonts w:hint="eastAsia"/>
        </w:rPr>
        <w:t>本项约定为：</w:t>
      </w:r>
    </w:p>
    <w:p>
      <w:pPr>
        <w:spacing w:line="400" w:lineRule="exact"/>
        <w:ind w:firstLine="440" w:firstLineChars="200"/>
        <w:rPr>
          <w:rFonts w:cs="Times New Roman"/>
        </w:rPr>
      </w:pPr>
      <w:r>
        <w:rPr>
          <w:rFonts w:hint="eastAsia"/>
        </w:rPr>
        <w:t>工程的计量应以净值为准，除非项目专用合同条款另有约定。工程量清单中各个子目的具体计量方法按本合同文件技术标准中的规定执行。</w:t>
      </w:r>
    </w:p>
    <w:p>
      <w:pPr>
        <w:spacing w:line="400" w:lineRule="exact"/>
        <w:ind w:firstLine="440" w:firstLineChars="200"/>
        <w:rPr>
          <w:rFonts w:cs="Times New Roman"/>
        </w:rPr>
      </w:pPr>
      <w:r>
        <w:t>17.1.4</w:t>
      </w:r>
      <w:r>
        <w:rPr>
          <w:rFonts w:hint="eastAsia"/>
        </w:rPr>
        <w:t>单价子目的计量</w:t>
      </w:r>
    </w:p>
    <w:p>
      <w:pPr>
        <w:spacing w:line="400" w:lineRule="exact"/>
        <w:ind w:firstLine="440" w:firstLineChars="200"/>
        <w:rPr>
          <w:rFonts w:cs="Times New Roman"/>
        </w:rPr>
      </w:pPr>
      <w:r>
        <w:rPr>
          <w:rFonts w:hint="eastAsia"/>
        </w:rPr>
        <w:t>本项补充：</w:t>
      </w:r>
    </w:p>
    <w:p>
      <w:pPr>
        <w:spacing w:line="400" w:lineRule="exact"/>
        <w:ind w:firstLine="440" w:firstLineChars="200"/>
        <w:rPr>
          <w:rFonts w:cs="Times New Roman"/>
        </w:rPr>
      </w:pPr>
      <w:r>
        <w:rPr>
          <w:rFonts w:hint="eastAsia"/>
        </w:rPr>
        <w:t>（</w:t>
      </w:r>
      <w:r>
        <w:t>7</w:t>
      </w:r>
      <w:r>
        <w:rPr>
          <w:rFonts w:hint="eastAsia"/>
        </w:rPr>
        <w:t>）承包人未在已标价工程量清单中填入单价或总额价的工程子目，将被认为其已包含在本合同的其他子目的单价和总额价中，发包人将不另行支付。</w:t>
      </w:r>
    </w:p>
    <w:p>
      <w:pPr>
        <w:pStyle w:val="3"/>
        <w:spacing w:beforeLines="50" w:line="400" w:lineRule="exact"/>
        <w:rPr>
          <w:rFonts w:cs="Times New Roman"/>
          <w:sz w:val="21"/>
          <w:szCs w:val="21"/>
        </w:rPr>
      </w:pPr>
      <w:bookmarkStart w:id="830" w:name="_Toc309397510"/>
      <w:r>
        <w:rPr>
          <w:sz w:val="21"/>
          <w:szCs w:val="21"/>
        </w:rPr>
        <w:t>17.2</w:t>
      </w:r>
      <w:r>
        <w:rPr>
          <w:rFonts w:hint="eastAsia"/>
          <w:sz w:val="21"/>
          <w:szCs w:val="21"/>
        </w:rPr>
        <w:t>预付款</w:t>
      </w:r>
      <w:bookmarkEnd w:id="830"/>
    </w:p>
    <w:p>
      <w:pPr>
        <w:spacing w:line="400" w:lineRule="exact"/>
        <w:ind w:firstLine="440" w:firstLineChars="200"/>
        <w:rPr>
          <w:rFonts w:cs="Times New Roman"/>
        </w:rPr>
      </w:pPr>
      <w:r>
        <w:t>17.2.1</w:t>
      </w:r>
      <w:r>
        <w:rPr>
          <w:rFonts w:hint="eastAsia"/>
        </w:rPr>
        <w:t>预付款</w:t>
      </w:r>
    </w:p>
    <w:p>
      <w:pPr>
        <w:spacing w:line="400" w:lineRule="exact"/>
        <w:ind w:firstLine="440" w:firstLineChars="200"/>
        <w:rPr>
          <w:rFonts w:cs="Times New Roman"/>
        </w:rPr>
      </w:pPr>
      <w:r>
        <w:rPr>
          <w:rFonts w:hint="eastAsia"/>
        </w:rPr>
        <w:t>本项约定为：无</w:t>
      </w:r>
    </w:p>
    <w:p>
      <w:pPr>
        <w:spacing w:line="400" w:lineRule="exact"/>
        <w:ind w:firstLine="440" w:firstLineChars="200"/>
        <w:rPr>
          <w:rFonts w:cs="Times New Roman"/>
        </w:rPr>
      </w:pPr>
      <w:r>
        <w:rPr>
          <w:rFonts w:hint="eastAsia"/>
        </w:rPr>
        <w:t>预付款包括开工预付款和材料、设备预付款。具体额度和预付办法如下：</w:t>
      </w:r>
    </w:p>
    <w:p>
      <w:pPr>
        <w:spacing w:line="400" w:lineRule="exact"/>
        <w:ind w:firstLine="440" w:firstLineChars="200"/>
        <w:rPr>
          <w:rFonts w:cs="Times New Roman"/>
        </w:rPr>
      </w:pPr>
      <w:r>
        <w:rPr>
          <w:rFonts w:hint="eastAsia"/>
        </w:rPr>
        <w:t>（</w:t>
      </w:r>
      <w:r>
        <w:t>1</w:t>
      </w:r>
      <w:r>
        <w:rPr>
          <w:rFonts w:hint="eastAsia"/>
        </w:rPr>
        <w:t>）开工预付款的金额在项目专用条款数据表中约定。在承包人签订了合同协议书并提交了开工预付款保函后，监理人应在当期进度付款证书中向承包人支付开工预付款的</w:t>
      </w:r>
      <w:r>
        <w:t>70%</w:t>
      </w:r>
      <w:r>
        <w:rPr>
          <w:rFonts w:hint="eastAsia"/>
        </w:rPr>
        <w:t>的价款；在承包人承诺的主要设备进场后，再支付预付款</w:t>
      </w:r>
      <w:r>
        <w:t>30%</w:t>
      </w:r>
      <w:r>
        <w:rPr>
          <w:rFonts w:hint="eastAsia"/>
        </w:rPr>
        <w:t>。</w:t>
      </w:r>
    </w:p>
    <w:p>
      <w:pPr>
        <w:spacing w:line="400" w:lineRule="exact"/>
        <w:ind w:firstLine="440" w:firstLineChars="200"/>
        <w:rPr>
          <w:rFonts w:cs="Times New Roman"/>
        </w:rPr>
      </w:pPr>
      <w:r>
        <w:rPr>
          <w:rFonts w:hint="eastAsia"/>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40" w:firstLineChars="200"/>
        <w:rPr>
          <w:rFonts w:cs="Times New Roman"/>
        </w:rPr>
      </w:pPr>
      <w:r>
        <w:rPr>
          <w:rFonts w:hint="eastAsia"/>
        </w:rPr>
        <w:t>（</w:t>
      </w:r>
      <w:r>
        <w:t>2</w:t>
      </w:r>
      <w:r>
        <w:rPr>
          <w:rFonts w:hint="eastAsia"/>
        </w:rPr>
        <w:t>）材料、设备预付款按项目专用合同条款数据表中所列主要材料、设备单据费用（进口的材料、设备为到岸价，国内采购的为出厂价或销售价，地方材料为堆场价）的百分比支付。其预付条件为：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40" w:firstLineChars="200"/>
        <w:rPr>
          <w:rFonts w:cs="Times New Roman"/>
        </w:rPr>
      </w:pPr>
      <w:r>
        <w:t>a.</w:t>
      </w:r>
      <w:r>
        <w:rPr>
          <w:rFonts w:hint="eastAsia"/>
        </w:rPr>
        <w:t>材料、设备符合规范要求并经监理人认可；</w:t>
      </w:r>
    </w:p>
    <w:p>
      <w:pPr>
        <w:spacing w:line="400" w:lineRule="exact"/>
        <w:ind w:firstLine="440" w:firstLineChars="200"/>
        <w:rPr>
          <w:rFonts w:cs="Times New Roman"/>
        </w:rPr>
      </w:pPr>
      <w:r>
        <w:t>b.</w:t>
      </w:r>
      <w:r>
        <w:rPr>
          <w:rFonts w:hint="eastAsia"/>
        </w:rPr>
        <w:t>承包人已出具材料、设备费用凭证或支付单据；</w:t>
      </w:r>
    </w:p>
    <w:p>
      <w:pPr>
        <w:spacing w:line="400" w:lineRule="exact"/>
        <w:ind w:firstLine="440" w:firstLineChars="200"/>
        <w:rPr>
          <w:rFonts w:cs="Times New Roman"/>
        </w:rPr>
      </w:pPr>
      <w:r>
        <w:t>c.</w:t>
      </w:r>
      <w:r>
        <w:rPr>
          <w:rFonts w:hint="eastAsia"/>
        </w:rPr>
        <w:t>材料、设各已在现场交货，且存储良好，监理人认为材料、设备的存储方法符合要求。</w:t>
      </w:r>
    </w:p>
    <w:p>
      <w:pPr>
        <w:spacing w:line="400" w:lineRule="exact"/>
        <w:ind w:firstLine="440" w:firstLineChars="200"/>
        <w:rPr>
          <w:rFonts w:cs="Times New Roman"/>
        </w:rPr>
      </w:pPr>
      <w:r>
        <w:rPr>
          <w:rFonts w:hint="eastAsia"/>
        </w:rPr>
        <w:t>则监理人应将此项金额作为材料、设备预付款计入下一次的进度付款证书中。在预计竣工前</w:t>
      </w:r>
      <w:r>
        <w:t>3</w:t>
      </w:r>
      <w:r>
        <w:rPr>
          <w:rFonts w:hint="eastAsia"/>
        </w:rPr>
        <w:t>个月，将不再支付材料、设备预付款。</w:t>
      </w:r>
    </w:p>
    <w:p>
      <w:pPr>
        <w:spacing w:line="400" w:lineRule="exact"/>
        <w:ind w:firstLine="440" w:firstLineChars="200"/>
        <w:rPr>
          <w:rFonts w:cs="Times New Roman"/>
        </w:rPr>
      </w:pPr>
      <w:r>
        <w:t>17.2.2</w:t>
      </w:r>
      <w:r>
        <w:rPr>
          <w:rFonts w:hint="eastAsia"/>
        </w:rPr>
        <w:t>预付款保函</w:t>
      </w:r>
    </w:p>
    <w:p>
      <w:pPr>
        <w:spacing w:line="400" w:lineRule="exact"/>
        <w:ind w:firstLine="440" w:firstLineChars="200"/>
        <w:rPr>
          <w:rFonts w:cs="Times New Roman"/>
        </w:rPr>
      </w:pPr>
      <w:r>
        <w:rPr>
          <w:rFonts w:hint="eastAsia"/>
        </w:rPr>
        <w:t>本项细化为：</w:t>
      </w:r>
    </w:p>
    <w:p>
      <w:pPr>
        <w:spacing w:line="400" w:lineRule="exact"/>
        <w:ind w:firstLine="440" w:firstLineChars="200"/>
        <w:rPr>
          <w:rFonts w:cs="Times New Roman"/>
        </w:rPr>
      </w:pPr>
      <w:r>
        <w:rPr>
          <w:rFonts w:hint="eastAsia"/>
        </w:rPr>
        <w:t>除项目专用合同条款另有约定外，承包人应在收到开工预付款前向发包人提交开工预付款保函，开工预付款保函的担保金额应与开工预付款金额相同。出具保函的银行须与第</w:t>
      </w:r>
      <w:r>
        <w:t>4.2</w:t>
      </w:r>
      <w:r>
        <w:rPr>
          <w:rFonts w:hint="eastAsia"/>
        </w:rPr>
        <w:t>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40" w:firstLineChars="200"/>
        <w:rPr>
          <w:rFonts w:cs="Times New Roman"/>
        </w:rPr>
      </w:pPr>
      <w:r>
        <w:t>17.2.3</w:t>
      </w:r>
      <w:r>
        <w:rPr>
          <w:rFonts w:hint="eastAsia"/>
        </w:rPr>
        <w:t>预付款的扣回与还清</w:t>
      </w:r>
    </w:p>
    <w:p>
      <w:pPr>
        <w:spacing w:line="400" w:lineRule="exact"/>
        <w:ind w:firstLine="440" w:firstLineChars="200"/>
        <w:rPr>
          <w:rFonts w:cs="Times New Roman"/>
        </w:rPr>
      </w:pPr>
      <w:r>
        <w:rPr>
          <w:rFonts w:hint="eastAsia"/>
        </w:rPr>
        <w:t>本项约定为：</w:t>
      </w:r>
    </w:p>
    <w:p>
      <w:pPr>
        <w:spacing w:line="400" w:lineRule="exact"/>
        <w:ind w:firstLine="440" w:firstLineChars="200"/>
        <w:rPr>
          <w:rFonts w:cs="Times New Roman"/>
        </w:rPr>
      </w:pPr>
      <w:r>
        <w:rPr>
          <w:rFonts w:hint="eastAsia"/>
        </w:rPr>
        <w:t>（</w:t>
      </w:r>
      <w:r>
        <w:t>l</w:t>
      </w:r>
      <w:r>
        <w:rPr>
          <w:rFonts w:hint="eastAsia"/>
        </w:rPr>
        <w:t>）开工预付款在进度付款证书的累计金额未达到签约合同价的</w:t>
      </w:r>
      <w:r>
        <w:t>30</w:t>
      </w:r>
      <w:r>
        <w:rPr>
          <w:rFonts w:hint="eastAsia"/>
        </w:rPr>
        <w:t>％之前不予扣回，在达到签约合同价</w:t>
      </w:r>
      <w:r>
        <w:t>30</w:t>
      </w:r>
      <w:r>
        <w:rPr>
          <w:rFonts w:hint="eastAsia"/>
        </w:rPr>
        <w:t>％之后，开始按工程进度以固定比例（即每完成签约合同价的</w:t>
      </w:r>
      <w:r>
        <w:t>1</w:t>
      </w:r>
      <w:r>
        <w:rPr>
          <w:rFonts w:hint="eastAsia"/>
        </w:rPr>
        <w:t>％，扣回开工预付款的</w:t>
      </w:r>
      <w:r>
        <w:t>2</w:t>
      </w:r>
      <w:r>
        <w:rPr>
          <w:rFonts w:hint="eastAsia"/>
        </w:rPr>
        <w:t>％）分期从各月的进度付款证书中扣回，全部金额在进度付款证书的累计金额达到签约合同价的</w:t>
      </w:r>
      <w:r>
        <w:t>80</w:t>
      </w:r>
      <w:r>
        <w:rPr>
          <w:rFonts w:hint="eastAsia"/>
        </w:rPr>
        <w:t>％时扣完。</w:t>
      </w:r>
    </w:p>
    <w:p>
      <w:pPr>
        <w:spacing w:line="400" w:lineRule="exact"/>
        <w:ind w:firstLine="440" w:firstLineChars="200"/>
        <w:rPr>
          <w:rFonts w:cs="Times New Roman"/>
        </w:rPr>
      </w:pPr>
      <w:r>
        <w:rPr>
          <w:rFonts w:hint="eastAsia"/>
        </w:rPr>
        <w:t>（</w:t>
      </w:r>
      <w:r>
        <w:t>2</w:t>
      </w:r>
      <w:r>
        <w:rPr>
          <w:rFonts w:hint="eastAsia"/>
        </w:rPr>
        <w:t>）当材料、设各已用于或安装在永久工程之中时，材料、设备预付款应从进度付款证书中扣回，扣回期不超过</w:t>
      </w:r>
      <w:r>
        <w:t>3</w:t>
      </w:r>
      <w:r>
        <w:rPr>
          <w:rFonts w:hint="eastAsia"/>
        </w:rPr>
        <w:t>个月。已经支付材料、设备预付款的材料、设备的所有权应属于发包人。</w:t>
      </w:r>
    </w:p>
    <w:p>
      <w:pPr>
        <w:pStyle w:val="3"/>
        <w:spacing w:beforeLines="50" w:line="400" w:lineRule="exact"/>
        <w:rPr>
          <w:rFonts w:cs="Times New Roman"/>
          <w:sz w:val="21"/>
          <w:szCs w:val="21"/>
        </w:rPr>
      </w:pPr>
      <w:bookmarkStart w:id="831" w:name="_Toc309397511"/>
      <w:r>
        <w:rPr>
          <w:sz w:val="21"/>
          <w:szCs w:val="21"/>
        </w:rPr>
        <w:t>17.3</w:t>
      </w:r>
      <w:r>
        <w:rPr>
          <w:rFonts w:hint="eastAsia"/>
          <w:sz w:val="21"/>
          <w:szCs w:val="21"/>
        </w:rPr>
        <w:t>工程进度付款</w:t>
      </w:r>
      <w:bookmarkEnd w:id="831"/>
    </w:p>
    <w:p>
      <w:pPr>
        <w:spacing w:line="400" w:lineRule="exact"/>
        <w:ind w:firstLine="440" w:firstLineChars="200"/>
        <w:rPr>
          <w:rFonts w:cs="Times New Roman"/>
        </w:rPr>
      </w:pPr>
      <w:r>
        <w:t>17.3.3</w:t>
      </w:r>
      <w:r>
        <w:rPr>
          <w:rFonts w:hint="eastAsia"/>
        </w:rPr>
        <w:t>进度付款和支付时间</w:t>
      </w:r>
    </w:p>
    <w:p>
      <w:pPr>
        <w:spacing w:line="400" w:lineRule="exact"/>
        <w:ind w:firstLine="440" w:firstLineChars="200"/>
        <w:rPr>
          <w:rFonts w:cs="Times New Roman"/>
        </w:rPr>
      </w:pPr>
      <w:r>
        <w:rPr>
          <w:rFonts w:hint="eastAsia"/>
        </w:rPr>
        <w:t>本项约定为：</w:t>
      </w:r>
    </w:p>
    <w:p>
      <w:pPr>
        <w:spacing w:line="400" w:lineRule="exact"/>
        <w:ind w:firstLine="440" w:firstLineChars="200"/>
        <w:rPr>
          <w:rFonts w:cs="Times New Roman"/>
        </w:rPr>
      </w:pPr>
      <w:bookmarkStart w:id="832" w:name="_Toc309397512"/>
      <w:r>
        <w:rPr>
          <w:rFonts w:hint="eastAsia"/>
        </w:rPr>
        <w:t>按每月实际完成工程量的</w:t>
      </w:r>
      <w:r>
        <w:t>70%</w:t>
      </w:r>
      <w:r>
        <w:rPr>
          <w:rFonts w:hint="eastAsia"/>
        </w:rPr>
        <w:t>支付，工程完工验收合格后支付至审核后总造价的</w:t>
      </w:r>
      <w:r>
        <w:t>95%</w:t>
      </w:r>
      <w:r>
        <w:rPr>
          <w:rFonts w:hint="eastAsia"/>
        </w:rPr>
        <w:t>，余</w:t>
      </w:r>
      <w:r>
        <w:t>5%</w:t>
      </w:r>
      <w:r>
        <w:rPr>
          <w:rFonts w:hint="eastAsia"/>
        </w:rPr>
        <w:t>作为质量保证金，质保期满后</w:t>
      </w:r>
      <w:r>
        <w:t>1</w:t>
      </w:r>
      <w:r>
        <w:rPr>
          <w:rFonts w:hint="eastAsia"/>
        </w:rPr>
        <w:t>个月内支付（无息）。</w:t>
      </w:r>
    </w:p>
    <w:p>
      <w:pPr>
        <w:pStyle w:val="3"/>
        <w:spacing w:beforeLines="50" w:line="400" w:lineRule="exact"/>
        <w:rPr>
          <w:rFonts w:cs="Times New Roman"/>
          <w:sz w:val="21"/>
          <w:szCs w:val="21"/>
        </w:rPr>
      </w:pPr>
      <w:r>
        <w:rPr>
          <w:sz w:val="21"/>
          <w:szCs w:val="21"/>
        </w:rPr>
        <w:t>17.4</w:t>
      </w:r>
      <w:r>
        <w:rPr>
          <w:rFonts w:hint="eastAsia"/>
          <w:sz w:val="21"/>
          <w:szCs w:val="21"/>
        </w:rPr>
        <w:t>质量保证金</w:t>
      </w:r>
      <w:bookmarkEnd w:id="832"/>
    </w:p>
    <w:p>
      <w:pPr>
        <w:tabs>
          <w:tab w:val="left" w:pos="3193"/>
        </w:tabs>
        <w:spacing w:line="400" w:lineRule="exact"/>
        <w:ind w:firstLine="440" w:firstLineChars="200"/>
        <w:rPr>
          <w:rFonts w:cs="Times New Roman"/>
        </w:rPr>
      </w:pPr>
      <w:r>
        <w:rPr>
          <w:rFonts w:hint="eastAsia"/>
        </w:rPr>
        <w:t>第</w:t>
      </w:r>
      <w:r>
        <w:t>17.4.1</w:t>
      </w:r>
      <w:r>
        <w:rPr>
          <w:rFonts w:hint="eastAsia"/>
        </w:rPr>
        <w:t>项细化为：</w:t>
      </w:r>
    </w:p>
    <w:p>
      <w:pPr>
        <w:tabs>
          <w:tab w:val="left" w:pos="3193"/>
        </w:tabs>
        <w:spacing w:line="400" w:lineRule="exact"/>
        <w:ind w:firstLine="440" w:firstLineChars="200"/>
        <w:rPr>
          <w:rFonts w:cs="Times New Roman"/>
        </w:rPr>
      </w:pPr>
      <w:r>
        <w:rPr>
          <w:rFonts w:hint="eastAsia"/>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pStyle w:val="3"/>
        <w:spacing w:beforeLines="50" w:line="400" w:lineRule="exact"/>
        <w:rPr>
          <w:rFonts w:cs="Times New Roman"/>
          <w:sz w:val="21"/>
          <w:szCs w:val="21"/>
        </w:rPr>
      </w:pPr>
      <w:bookmarkStart w:id="833" w:name="_Toc309397513"/>
      <w:r>
        <w:rPr>
          <w:sz w:val="21"/>
          <w:szCs w:val="21"/>
        </w:rPr>
        <w:t>17.5</w:t>
      </w:r>
      <w:r>
        <w:rPr>
          <w:rFonts w:hint="eastAsia"/>
          <w:sz w:val="21"/>
          <w:szCs w:val="21"/>
        </w:rPr>
        <w:t>交工结算</w:t>
      </w:r>
      <w:bookmarkEnd w:id="833"/>
    </w:p>
    <w:p>
      <w:pPr>
        <w:tabs>
          <w:tab w:val="left" w:pos="3193"/>
        </w:tabs>
        <w:spacing w:line="400" w:lineRule="exact"/>
        <w:ind w:firstLine="440" w:firstLineChars="200"/>
        <w:rPr>
          <w:rFonts w:cs="Times New Roman"/>
        </w:rPr>
      </w:pPr>
      <w:r>
        <w:t>17.5.l</w:t>
      </w:r>
      <w:r>
        <w:rPr>
          <w:rFonts w:hint="eastAsia"/>
        </w:rPr>
        <w:t>交工付款申请单</w:t>
      </w:r>
    </w:p>
    <w:p>
      <w:pPr>
        <w:tabs>
          <w:tab w:val="left" w:pos="3193"/>
        </w:tabs>
        <w:spacing w:line="400" w:lineRule="exact"/>
        <w:ind w:firstLine="440" w:firstLineChars="200"/>
        <w:rPr>
          <w:rFonts w:cs="Times New Roman"/>
        </w:rPr>
      </w:pPr>
      <w:r>
        <w:rPr>
          <w:rFonts w:hint="eastAsia"/>
        </w:rPr>
        <w:t>本项（</w:t>
      </w:r>
      <w:r>
        <w:t>l</w:t>
      </w:r>
      <w:r>
        <w:rPr>
          <w:rFonts w:hint="eastAsia"/>
        </w:rPr>
        <w:t>）目约定为：</w:t>
      </w:r>
    </w:p>
    <w:p>
      <w:pPr>
        <w:tabs>
          <w:tab w:val="left" w:pos="3193"/>
        </w:tabs>
        <w:spacing w:line="400" w:lineRule="exact"/>
        <w:ind w:firstLine="440" w:firstLineChars="200"/>
        <w:rPr>
          <w:rFonts w:cs="Times New Roman"/>
        </w:rPr>
      </w:pPr>
      <w:r>
        <w:rPr>
          <w:rFonts w:hint="eastAsia"/>
        </w:rPr>
        <w:t>承包人向监理人提交交工付款申请单（包括相关证明材料）的份数在项目专用合同条款数据表中约定；期限：交工验收证书签发后</w:t>
      </w:r>
      <w:r>
        <w:t>42</w:t>
      </w:r>
      <w:r>
        <w:rPr>
          <w:rFonts w:hint="eastAsia"/>
        </w:rPr>
        <w:t>天内。</w:t>
      </w:r>
    </w:p>
    <w:p>
      <w:pPr>
        <w:pStyle w:val="3"/>
        <w:spacing w:beforeLines="50" w:line="400" w:lineRule="exact"/>
        <w:rPr>
          <w:rFonts w:cs="Times New Roman"/>
          <w:sz w:val="21"/>
          <w:szCs w:val="21"/>
        </w:rPr>
      </w:pPr>
      <w:bookmarkStart w:id="834" w:name="_Toc309397514"/>
      <w:r>
        <w:rPr>
          <w:sz w:val="21"/>
          <w:szCs w:val="21"/>
        </w:rPr>
        <w:t>17.6</w:t>
      </w:r>
      <w:r>
        <w:rPr>
          <w:rFonts w:hint="eastAsia"/>
          <w:sz w:val="21"/>
          <w:szCs w:val="21"/>
        </w:rPr>
        <w:t>最终结清</w:t>
      </w:r>
      <w:bookmarkEnd w:id="834"/>
    </w:p>
    <w:p>
      <w:pPr>
        <w:tabs>
          <w:tab w:val="left" w:pos="3193"/>
        </w:tabs>
        <w:spacing w:line="400" w:lineRule="exact"/>
        <w:ind w:firstLine="440" w:firstLineChars="200"/>
        <w:rPr>
          <w:rFonts w:cs="Times New Roman"/>
        </w:rPr>
      </w:pPr>
      <w:r>
        <w:t>17.6.1</w:t>
      </w:r>
      <w:r>
        <w:rPr>
          <w:rFonts w:hint="eastAsia"/>
        </w:rPr>
        <w:t>最终结清申请单</w:t>
      </w:r>
    </w:p>
    <w:p>
      <w:pPr>
        <w:tabs>
          <w:tab w:val="left" w:pos="3193"/>
        </w:tabs>
        <w:spacing w:line="400" w:lineRule="exact"/>
        <w:ind w:firstLine="440" w:firstLineChars="200"/>
        <w:rPr>
          <w:rFonts w:cs="Times New Roman"/>
        </w:rPr>
      </w:pPr>
      <w:r>
        <w:rPr>
          <w:rFonts w:hint="eastAsia"/>
        </w:rPr>
        <w:t>本项（</w:t>
      </w:r>
      <w:r>
        <w:t>1</w:t>
      </w:r>
      <w:r>
        <w:rPr>
          <w:rFonts w:hint="eastAsia"/>
        </w:rPr>
        <w:t>）目约定为：</w:t>
      </w:r>
    </w:p>
    <w:p>
      <w:pPr>
        <w:tabs>
          <w:tab w:val="left" w:pos="3193"/>
        </w:tabs>
        <w:spacing w:line="400" w:lineRule="exact"/>
        <w:ind w:firstLine="440" w:firstLineChars="200"/>
        <w:rPr>
          <w:rFonts w:cs="Times New Roman"/>
        </w:rPr>
      </w:pPr>
      <w:r>
        <w:rPr>
          <w:rFonts w:hint="eastAsia"/>
        </w:rPr>
        <w:t>承包人向监理人提交最终结清申请单（包括相关证明材料）的份数在项目专用合同条款数据表中约定；期限：缺陷责任期终止证书签发后</w:t>
      </w:r>
      <w:r>
        <w:t>28</w:t>
      </w:r>
      <w:r>
        <w:rPr>
          <w:rFonts w:hint="eastAsia"/>
        </w:rPr>
        <w:t>天内。</w:t>
      </w:r>
    </w:p>
    <w:p>
      <w:pPr>
        <w:tabs>
          <w:tab w:val="left" w:pos="3193"/>
        </w:tabs>
        <w:spacing w:line="400" w:lineRule="exact"/>
        <w:ind w:firstLine="440" w:firstLineChars="200"/>
        <w:rPr>
          <w:rFonts w:cs="Times New Roman"/>
        </w:rPr>
      </w:pPr>
      <w:r>
        <w:rPr>
          <w:rFonts w:hint="eastAsia"/>
        </w:rPr>
        <w:t>最终结清申请单中的总金额应认为是代表了根据合同规定应付给承包人的全部款项的最后结算。</w:t>
      </w:r>
    </w:p>
    <w:p>
      <w:pPr>
        <w:pStyle w:val="3"/>
        <w:spacing w:beforeLines="50" w:after="120" w:line="400" w:lineRule="exact"/>
        <w:rPr>
          <w:rFonts w:cs="Times New Roman"/>
          <w:sz w:val="28"/>
          <w:szCs w:val="28"/>
        </w:rPr>
      </w:pPr>
      <w:bookmarkStart w:id="835" w:name="_Toc309397515"/>
      <w:r>
        <w:rPr>
          <w:sz w:val="28"/>
          <w:szCs w:val="28"/>
        </w:rPr>
        <w:t>18</w:t>
      </w:r>
      <w:r>
        <w:rPr>
          <w:rFonts w:hint="eastAsia"/>
          <w:sz w:val="28"/>
          <w:szCs w:val="28"/>
        </w:rPr>
        <w:t>．交工验收</w:t>
      </w:r>
      <w:bookmarkEnd w:id="835"/>
    </w:p>
    <w:p>
      <w:pPr>
        <w:pStyle w:val="3"/>
        <w:spacing w:beforeLines="50" w:line="400" w:lineRule="exact"/>
        <w:rPr>
          <w:rFonts w:cs="Times New Roman"/>
          <w:sz w:val="21"/>
          <w:szCs w:val="21"/>
        </w:rPr>
      </w:pPr>
      <w:bookmarkStart w:id="836" w:name="_Toc309397516"/>
      <w:r>
        <w:rPr>
          <w:sz w:val="21"/>
          <w:szCs w:val="21"/>
        </w:rPr>
        <w:t>18.2</w:t>
      </w:r>
      <w:r>
        <w:rPr>
          <w:rFonts w:hint="eastAsia"/>
          <w:sz w:val="21"/>
          <w:szCs w:val="21"/>
        </w:rPr>
        <w:t>交工验收申请报告</w:t>
      </w:r>
      <w:bookmarkEnd w:id="836"/>
    </w:p>
    <w:p>
      <w:pPr>
        <w:tabs>
          <w:tab w:val="left" w:pos="3193"/>
        </w:tabs>
        <w:spacing w:line="400" w:lineRule="exact"/>
        <w:ind w:firstLine="440" w:firstLineChars="200"/>
        <w:rPr>
          <w:rFonts w:cs="Times New Roman"/>
        </w:rPr>
      </w:pPr>
      <w:r>
        <w:rPr>
          <w:rFonts w:hint="eastAsia"/>
        </w:rPr>
        <w:t>本款第（</w:t>
      </w:r>
      <w:r>
        <w:t>2</w:t>
      </w:r>
      <w:r>
        <w:rPr>
          <w:rFonts w:hint="eastAsia"/>
        </w:rPr>
        <w:t>）项约定为：</w:t>
      </w:r>
    </w:p>
    <w:p>
      <w:pPr>
        <w:tabs>
          <w:tab w:val="left" w:pos="3193"/>
        </w:tabs>
        <w:spacing w:line="400" w:lineRule="exact"/>
        <w:ind w:firstLine="440" w:firstLineChars="200"/>
        <w:rPr>
          <w:rFonts w:cs="Times New Roman"/>
        </w:rPr>
      </w:pPr>
      <w:r>
        <w:rPr>
          <w:rFonts w:hint="eastAsia"/>
        </w:rPr>
        <w:t>竣工资料的内容：承包人应按照《公路工程竣（交）工验收办法》和相关规定编制竣工资料。</w:t>
      </w:r>
    </w:p>
    <w:p>
      <w:pPr>
        <w:tabs>
          <w:tab w:val="left" w:pos="3193"/>
        </w:tabs>
        <w:spacing w:line="400" w:lineRule="exact"/>
        <w:ind w:firstLine="440" w:firstLineChars="200"/>
        <w:rPr>
          <w:rFonts w:cs="Times New Roman"/>
        </w:rPr>
      </w:pPr>
      <w:r>
        <w:rPr>
          <w:rFonts w:hint="eastAsia"/>
        </w:rPr>
        <w:t>竣工资料的份数在项目专用合同条款数据表中约定。</w:t>
      </w:r>
    </w:p>
    <w:p>
      <w:pPr>
        <w:pStyle w:val="3"/>
        <w:spacing w:beforeLines="50" w:line="400" w:lineRule="exact"/>
        <w:rPr>
          <w:rFonts w:cs="Times New Roman"/>
          <w:sz w:val="21"/>
          <w:szCs w:val="21"/>
        </w:rPr>
      </w:pPr>
      <w:bookmarkStart w:id="837" w:name="_Toc309397517"/>
      <w:r>
        <w:rPr>
          <w:sz w:val="21"/>
          <w:szCs w:val="21"/>
        </w:rPr>
        <w:t xml:space="preserve">18.3 </w:t>
      </w:r>
      <w:r>
        <w:rPr>
          <w:rFonts w:hint="eastAsia"/>
          <w:sz w:val="21"/>
          <w:szCs w:val="21"/>
        </w:rPr>
        <w:t>验收</w:t>
      </w:r>
      <w:bookmarkEnd w:id="837"/>
    </w:p>
    <w:p>
      <w:pPr>
        <w:tabs>
          <w:tab w:val="left" w:pos="3193"/>
        </w:tabs>
        <w:spacing w:line="400" w:lineRule="exact"/>
        <w:ind w:firstLine="440" w:firstLineChars="200"/>
        <w:rPr>
          <w:rFonts w:cs="Times New Roman"/>
        </w:rPr>
      </w:pPr>
      <w:r>
        <w:rPr>
          <w:rFonts w:hint="eastAsia"/>
        </w:rPr>
        <w:t>第</w:t>
      </w:r>
      <w:r>
        <w:t>18.3.2</w:t>
      </w:r>
      <w:r>
        <w:rPr>
          <w:rFonts w:hint="eastAsia"/>
        </w:rPr>
        <w:t>项补充：</w:t>
      </w:r>
    </w:p>
    <w:p>
      <w:pPr>
        <w:tabs>
          <w:tab w:val="left" w:pos="3193"/>
        </w:tabs>
        <w:spacing w:line="400" w:lineRule="exact"/>
        <w:ind w:firstLine="440" w:firstLineChars="200"/>
        <w:rPr>
          <w:rFonts w:cs="Times New Roman"/>
        </w:rPr>
      </w:pPr>
      <w:r>
        <w:rPr>
          <w:rFonts w:hint="eastAsia"/>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40" w:firstLineChars="200"/>
        <w:rPr>
          <w:rFonts w:cs="Times New Roman"/>
        </w:rPr>
      </w:pPr>
      <w:r>
        <w:rPr>
          <w:rFonts w:hint="eastAsia"/>
        </w:rPr>
        <w:t>第</w:t>
      </w:r>
      <w:r>
        <w:t>18.3.5</w:t>
      </w:r>
      <w:r>
        <w:rPr>
          <w:rFonts w:hint="eastAsia"/>
        </w:rPr>
        <w:t>项约定为：</w:t>
      </w:r>
    </w:p>
    <w:p>
      <w:pPr>
        <w:tabs>
          <w:tab w:val="left" w:pos="3193"/>
        </w:tabs>
        <w:spacing w:line="400" w:lineRule="exact"/>
        <w:ind w:firstLine="440" w:firstLineChars="200"/>
        <w:rPr>
          <w:rFonts w:cs="Times New Roman"/>
        </w:rPr>
      </w:pPr>
      <w:r>
        <w:rPr>
          <w:rFonts w:hint="eastAsia"/>
        </w:rPr>
        <w:t>经验收合格工程的实际交工日期，以最终提交交工验收申请报告的日期为准，并在交工验收证书中写明。</w:t>
      </w:r>
    </w:p>
    <w:p>
      <w:pPr>
        <w:tabs>
          <w:tab w:val="left" w:pos="3193"/>
        </w:tabs>
        <w:spacing w:line="400" w:lineRule="exact"/>
        <w:ind w:firstLine="440" w:firstLineChars="200"/>
        <w:rPr>
          <w:rFonts w:cs="Times New Roman"/>
        </w:rPr>
      </w:pPr>
      <w:r>
        <w:rPr>
          <w:rFonts w:hint="eastAsia"/>
        </w:rPr>
        <w:t>本款补充第</w:t>
      </w:r>
      <w:r>
        <w:t>18.3.7</w:t>
      </w:r>
      <w:r>
        <w:rPr>
          <w:rFonts w:hint="eastAsia"/>
        </w:rPr>
        <w:t>项：</w:t>
      </w:r>
    </w:p>
    <w:p>
      <w:pPr>
        <w:tabs>
          <w:tab w:val="left" w:pos="3193"/>
        </w:tabs>
        <w:spacing w:line="400" w:lineRule="exact"/>
        <w:ind w:firstLine="440" w:firstLineChars="200"/>
        <w:rPr>
          <w:rFonts w:cs="Times New Roman"/>
        </w:rPr>
      </w:pPr>
      <w:r>
        <w:rPr>
          <w:rFonts w:hint="eastAsia"/>
        </w:rPr>
        <w:t>组织办理交工验收和签发交工验收证书的费用由发包人承担。但按照第</w:t>
      </w:r>
      <w:r>
        <w:t>18.3.4</w:t>
      </w:r>
      <w:r>
        <w:rPr>
          <w:rFonts w:hint="eastAsia"/>
        </w:rPr>
        <w:t>项规定达不到合格标准的交工验收费用由承包人承担。</w:t>
      </w:r>
    </w:p>
    <w:p>
      <w:pPr>
        <w:tabs>
          <w:tab w:val="left" w:pos="3193"/>
        </w:tabs>
        <w:spacing w:line="400" w:lineRule="exact"/>
        <w:ind w:firstLine="440" w:firstLineChars="200"/>
        <w:rPr>
          <w:rFonts w:cs="Times New Roman"/>
        </w:rPr>
      </w:pPr>
    </w:p>
    <w:p>
      <w:pPr>
        <w:tabs>
          <w:tab w:val="left" w:pos="3193"/>
        </w:tabs>
        <w:spacing w:line="400" w:lineRule="exact"/>
        <w:ind w:firstLine="440" w:firstLineChars="200"/>
        <w:rPr>
          <w:rFonts w:cs="Times New Roman"/>
        </w:rPr>
      </w:pPr>
      <w:r>
        <w:rPr>
          <w:rFonts w:hint="eastAsia"/>
        </w:rPr>
        <w:t>本条补充第</w:t>
      </w:r>
      <w:r>
        <w:t>18.9</w:t>
      </w:r>
      <w:r>
        <w:rPr>
          <w:rFonts w:hint="eastAsia"/>
        </w:rPr>
        <w:t>款：</w:t>
      </w:r>
    </w:p>
    <w:p>
      <w:pPr>
        <w:pStyle w:val="3"/>
        <w:spacing w:beforeLines="50" w:line="400" w:lineRule="exact"/>
        <w:rPr>
          <w:rFonts w:cs="Times New Roman"/>
          <w:sz w:val="21"/>
          <w:szCs w:val="21"/>
        </w:rPr>
      </w:pPr>
      <w:bookmarkStart w:id="838" w:name="_Toc309397518"/>
      <w:r>
        <w:rPr>
          <w:sz w:val="21"/>
          <w:szCs w:val="21"/>
        </w:rPr>
        <w:t>18.9</w:t>
      </w:r>
      <w:r>
        <w:rPr>
          <w:rFonts w:hint="eastAsia"/>
          <w:sz w:val="21"/>
          <w:szCs w:val="21"/>
        </w:rPr>
        <w:t>竣工文件</w:t>
      </w:r>
      <w:bookmarkEnd w:id="838"/>
    </w:p>
    <w:p>
      <w:pPr>
        <w:tabs>
          <w:tab w:val="left" w:pos="3193"/>
        </w:tabs>
        <w:spacing w:line="400" w:lineRule="exact"/>
        <w:ind w:firstLine="440" w:firstLineChars="200"/>
        <w:rPr>
          <w:rFonts w:cs="Times New Roman"/>
        </w:rPr>
      </w:pPr>
      <w:r>
        <w:rPr>
          <w:rFonts w:hint="eastAsia"/>
        </w:rPr>
        <w:t>承包人应按照《公路工程竣（交）工验收办法》中的相关规定，在缺陷责任期内为竣工验收补充竣工资料，并在签发缺陷责任期终止证书之前提交。在本条款后增加：工程竣工文件的立卷归档按交通部《公路工程竣工文件材料立卷归档管理办法》（交办发</w:t>
      </w:r>
      <w:r>
        <w:t>[2001]390</w:t>
      </w:r>
      <w:r>
        <w:rPr>
          <w:rFonts w:hint="eastAsia"/>
        </w:rPr>
        <w:t>号）和广西区公路管理局《广西公路网建设工程档案验收办法》（路工程函</w:t>
      </w:r>
      <w:r>
        <w:t>[2005]591</w:t>
      </w:r>
      <w:r>
        <w:rPr>
          <w:rFonts w:hint="eastAsia"/>
        </w:rPr>
        <w:t>号）执行。</w:t>
      </w:r>
    </w:p>
    <w:p>
      <w:pPr>
        <w:pStyle w:val="3"/>
        <w:spacing w:beforeLines="50" w:after="120" w:line="400" w:lineRule="exact"/>
        <w:rPr>
          <w:rFonts w:cs="Times New Roman"/>
          <w:sz w:val="28"/>
          <w:szCs w:val="28"/>
        </w:rPr>
      </w:pPr>
      <w:bookmarkStart w:id="839" w:name="_Toc309397519"/>
      <w:r>
        <w:rPr>
          <w:sz w:val="28"/>
          <w:szCs w:val="28"/>
        </w:rPr>
        <w:t>19</w:t>
      </w:r>
      <w:r>
        <w:rPr>
          <w:rFonts w:hint="eastAsia"/>
          <w:sz w:val="28"/>
          <w:szCs w:val="28"/>
        </w:rPr>
        <w:t>．缺陷责任与保修责任</w:t>
      </w:r>
      <w:bookmarkEnd w:id="839"/>
    </w:p>
    <w:p>
      <w:pPr>
        <w:pStyle w:val="3"/>
        <w:spacing w:beforeLines="50" w:line="400" w:lineRule="exact"/>
        <w:rPr>
          <w:rFonts w:cs="Times New Roman"/>
          <w:sz w:val="21"/>
          <w:szCs w:val="21"/>
        </w:rPr>
      </w:pPr>
      <w:bookmarkStart w:id="840" w:name="_Toc309397520"/>
      <w:r>
        <w:rPr>
          <w:sz w:val="21"/>
          <w:szCs w:val="21"/>
        </w:rPr>
        <w:t>19.2</w:t>
      </w:r>
      <w:r>
        <w:rPr>
          <w:rFonts w:hint="eastAsia"/>
          <w:sz w:val="21"/>
          <w:szCs w:val="21"/>
        </w:rPr>
        <w:t>缺陷责任</w:t>
      </w:r>
      <w:bookmarkEnd w:id="840"/>
    </w:p>
    <w:p>
      <w:pPr>
        <w:tabs>
          <w:tab w:val="left" w:pos="3193"/>
        </w:tabs>
        <w:spacing w:line="400" w:lineRule="exact"/>
        <w:ind w:firstLine="440" w:firstLineChars="200"/>
        <w:rPr>
          <w:rFonts w:cs="Times New Roman"/>
        </w:rPr>
      </w:pPr>
      <w:r>
        <w:rPr>
          <w:rFonts w:hint="eastAsia"/>
        </w:rPr>
        <w:t>第</w:t>
      </w:r>
      <w:r>
        <w:t>19.2.2</w:t>
      </w:r>
      <w:r>
        <w:rPr>
          <w:rFonts w:hint="eastAsia"/>
        </w:rPr>
        <w:t>项补充：</w:t>
      </w:r>
    </w:p>
    <w:p>
      <w:pPr>
        <w:tabs>
          <w:tab w:val="left" w:pos="3193"/>
        </w:tabs>
        <w:spacing w:line="400" w:lineRule="exact"/>
        <w:ind w:firstLine="440" w:firstLineChars="200"/>
        <w:rPr>
          <w:rFonts w:cs="Times New Roman"/>
        </w:rPr>
      </w:pPr>
      <w:r>
        <w:rPr>
          <w:rFonts w:hint="eastAsia"/>
        </w:rPr>
        <w:t>在缺陷责任期内，承包人应尽快完成在交工验收证书中写明的未完成工作，并完成对本工程缺陷的修复或监理人指令的修补工作。</w:t>
      </w:r>
    </w:p>
    <w:p>
      <w:pPr>
        <w:pStyle w:val="3"/>
        <w:spacing w:beforeLines="50" w:line="400" w:lineRule="exact"/>
        <w:rPr>
          <w:rFonts w:cs="Times New Roman"/>
          <w:sz w:val="21"/>
          <w:szCs w:val="21"/>
        </w:rPr>
      </w:pPr>
      <w:bookmarkStart w:id="841" w:name="_Toc309397521"/>
      <w:r>
        <w:rPr>
          <w:sz w:val="21"/>
          <w:szCs w:val="21"/>
        </w:rPr>
        <w:t>19.5</w:t>
      </w:r>
      <w:r>
        <w:rPr>
          <w:rFonts w:hint="eastAsia"/>
          <w:sz w:val="21"/>
          <w:szCs w:val="21"/>
        </w:rPr>
        <w:t>承包人的进入权</w:t>
      </w:r>
      <w:bookmarkEnd w:id="841"/>
    </w:p>
    <w:p>
      <w:pPr>
        <w:tabs>
          <w:tab w:val="left" w:pos="3193"/>
        </w:tabs>
        <w:spacing w:line="400" w:lineRule="exact"/>
        <w:ind w:firstLine="440" w:firstLineChars="200"/>
        <w:rPr>
          <w:rFonts w:cs="Times New Roman"/>
        </w:rPr>
      </w:pPr>
      <w:r>
        <w:rPr>
          <w:rFonts w:hint="eastAsia"/>
        </w:rPr>
        <w:t>本款补充：</w:t>
      </w:r>
    </w:p>
    <w:p>
      <w:pPr>
        <w:tabs>
          <w:tab w:val="left" w:pos="3193"/>
        </w:tabs>
        <w:spacing w:line="400" w:lineRule="exact"/>
        <w:ind w:firstLine="440" w:firstLineChars="200"/>
        <w:rPr>
          <w:rFonts w:cs="Times New Roman"/>
        </w:rPr>
      </w:pPr>
      <w:r>
        <w:rPr>
          <w:rFonts w:hint="eastAsia"/>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cs="Times New Roman"/>
          <w:sz w:val="21"/>
          <w:szCs w:val="21"/>
        </w:rPr>
      </w:pPr>
      <w:bookmarkStart w:id="842" w:name="_Toc309397522"/>
      <w:r>
        <w:rPr>
          <w:sz w:val="21"/>
          <w:szCs w:val="21"/>
        </w:rPr>
        <w:t>19.7</w:t>
      </w:r>
      <w:r>
        <w:rPr>
          <w:rFonts w:hint="eastAsia"/>
          <w:sz w:val="21"/>
          <w:szCs w:val="21"/>
        </w:rPr>
        <w:t>保修责任</w:t>
      </w:r>
      <w:bookmarkEnd w:id="842"/>
    </w:p>
    <w:p>
      <w:pPr>
        <w:tabs>
          <w:tab w:val="left" w:pos="3193"/>
        </w:tabs>
        <w:spacing w:line="400" w:lineRule="exact"/>
        <w:ind w:firstLine="440" w:firstLineChars="200"/>
        <w:rPr>
          <w:rFonts w:cs="Times New Roman"/>
        </w:rPr>
      </w:pPr>
      <w:r>
        <w:rPr>
          <w:rFonts w:hint="eastAsia"/>
        </w:rPr>
        <w:t>本款细化为：</w:t>
      </w:r>
    </w:p>
    <w:p>
      <w:pPr>
        <w:tabs>
          <w:tab w:val="left" w:pos="3193"/>
        </w:tabs>
        <w:spacing w:line="400" w:lineRule="exact"/>
        <w:ind w:firstLine="440" w:firstLineChars="200"/>
        <w:rPr>
          <w:rFonts w:cs="Times New Roman"/>
        </w:rPr>
      </w:pPr>
      <w:r>
        <w:rPr>
          <w:rFonts w:hint="eastAsia"/>
        </w:rPr>
        <w:t>（</w:t>
      </w:r>
      <w:r>
        <w:t>1</w:t>
      </w:r>
      <w:r>
        <w:rPr>
          <w:rFonts w:hint="eastAsia"/>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40" w:firstLineChars="200"/>
        <w:rPr>
          <w:rFonts w:cs="Times New Roman"/>
        </w:rPr>
      </w:pPr>
      <w:r>
        <w:rPr>
          <w:rFonts w:hint="eastAsia"/>
        </w:rPr>
        <w:t>（</w:t>
      </w:r>
      <w:r>
        <w:t>2</w:t>
      </w:r>
      <w:r>
        <w:rPr>
          <w:rFonts w:hint="eastAsia"/>
        </w:rPr>
        <w:t>）在全部工程交工验收前，已经发包人提前验收的单位工程，其保修期的起算日期相应提前。</w:t>
      </w:r>
    </w:p>
    <w:p>
      <w:pPr>
        <w:tabs>
          <w:tab w:val="left" w:pos="3193"/>
        </w:tabs>
        <w:spacing w:line="400" w:lineRule="exact"/>
        <w:ind w:firstLine="440" w:firstLineChars="200"/>
        <w:rPr>
          <w:rFonts w:cs="Times New Roman"/>
        </w:rPr>
      </w:pPr>
      <w:r>
        <w:rPr>
          <w:rFonts w:hint="eastAsia"/>
        </w:rPr>
        <w:t>（</w:t>
      </w:r>
      <w:r>
        <w:t>3</w:t>
      </w:r>
      <w:r>
        <w:rPr>
          <w:rFonts w:hint="eastAsia"/>
        </w:rPr>
        <w:t>）工程保修期终止后</w:t>
      </w:r>
      <w:r>
        <w:t>28</w:t>
      </w:r>
      <w:r>
        <w:rPr>
          <w:rFonts w:hint="eastAsia"/>
        </w:rPr>
        <w:t>天内，监理人签发保修期终止证书。</w:t>
      </w:r>
    </w:p>
    <w:p>
      <w:pPr>
        <w:tabs>
          <w:tab w:val="left" w:pos="3193"/>
        </w:tabs>
        <w:spacing w:line="400" w:lineRule="exact"/>
        <w:ind w:firstLine="440" w:firstLineChars="200"/>
        <w:rPr>
          <w:rFonts w:cs="Times New Roman"/>
        </w:rPr>
      </w:pPr>
      <w:r>
        <w:rPr>
          <w:rFonts w:hint="eastAsia"/>
        </w:rPr>
        <w:t>（</w:t>
      </w:r>
      <w:r>
        <w:t>4</w:t>
      </w:r>
      <w:r>
        <w:rPr>
          <w:rFonts w:hint="eastAsia"/>
        </w:rPr>
        <w:t>）若承包人不履行保修义务和责任，则承包人应承担由于违约造成的法律后果，并由发包人将其违约行为上报省级交通主管部门，作为不良记录纳入公路建设时常信用信息管理系统。</w:t>
      </w:r>
    </w:p>
    <w:p>
      <w:pPr>
        <w:pStyle w:val="3"/>
        <w:spacing w:beforeLines="50" w:after="120" w:line="400" w:lineRule="exact"/>
        <w:rPr>
          <w:rFonts w:cs="Times New Roman"/>
          <w:sz w:val="28"/>
          <w:szCs w:val="28"/>
        </w:rPr>
      </w:pPr>
      <w:bookmarkStart w:id="843" w:name="_Toc309397523"/>
      <w:r>
        <w:rPr>
          <w:sz w:val="28"/>
          <w:szCs w:val="28"/>
        </w:rPr>
        <w:t>20.</w:t>
      </w:r>
      <w:r>
        <w:rPr>
          <w:rFonts w:hint="eastAsia"/>
          <w:sz w:val="28"/>
          <w:szCs w:val="28"/>
        </w:rPr>
        <w:t>保险</w:t>
      </w:r>
      <w:bookmarkEnd w:id="843"/>
    </w:p>
    <w:p>
      <w:pPr>
        <w:pStyle w:val="3"/>
        <w:spacing w:beforeLines="50" w:line="400" w:lineRule="exact"/>
        <w:rPr>
          <w:rFonts w:cs="Times New Roman"/>
          <w:sz w:val="21"/>
          <w:szCs w:val="21"/>
        </w:rPr>
      </w:pPr>
      <w:bookmarkStart w:id="844" w:name="_Toc309397524"/>
      <w:r>
        <w:rPr>
          <w:sz w:val="21"/>
          <w:szCs w:val="21"/>
        </w:rPr>
        <w:t>20.1</w:t>
      </w:r>
      <w:r>
        <w:rPr>
          <w:rFonts w:hint="eastAsia"/>
          <w:sz w:val="21"/>
          <w:szCs w:val="21"/>
        </w:rPr>
        <w:t>工程保险</w:t>
      </w:r>
      <w:bookmarkEnd w:id="844"/>
    </w:p>
    <w:p>
      <w:pPr>
        <w:tabs>
          <w:tab w:val="left" w:pos="3193"/>
        </w:tabs>
        <w:spacing w:line="400" w:lineRule="exact"/>
        <w:ind w:firstLine="440" w:firstLineChars="200"/>
        <w:rPr>
          <w:rFonts w:cs="Times New Roman"/>
        </w:rPr>
      </w:pPr>
      <w:r>
        <w:rPr>
          <w:rFonts w:hint="eastAsia"/>
        </w:rPr>
        <w:t>本款约定为：</w:t>
      </w:r>
    </w:p>
    <w:p>
      <w:pPr>
        <w:tabs>
          <w:tab w:val="left" w:pos="3193"/>
        </w:tabs>
        <w:spacing w:line="400" w:lineRule="exact"/>
        <w:ind w:firstLine="440" w:firstLineChars="200"/>
        <w:rPr>
          <w:rFonts w:cs="Times New Roman"/>
        </w:rPr>
      </w:pPr>
      <w:r>
        <w:rPr>
          <w:rFonts w:hint="eastAsia"/>
        </w:rPr>
        <w:t>建筑工程</w:t>
      </w:r>
      <w:r>
        <w:t>—</w:t>
      </w:r>
      <w:r>
        <w:rPr>
          <w:rFonts w:hint="eastAsia"/>
        </w:rPr>
        <w:t>切险的投保内容：为本合同工程的永久工程、临时工程和设备及已运至施工工地用于永久工程的材料和设备所投的保险。</w:t>
      </w:r>
    </w:p>
    <w:p>
      <w:pPr>
        <w:tabs>
          <w:tab w:val="left" w:pos="3193"/>
        </w:tabs>
        <w:spacing w:line="400" w:lineRule="exact"/>
        <w:ind w:firstLine="440" w:firstLineChars="200"/>
        <w:rPr>
          <w:rFonts w:cs="Times New Roman"/>
        </w:rPr>
      </w:pPr>
      <w:r>
        <w:rPr>
          <w:rFonts w:hint="eastAsia"/>
        </w:rPr>
        <w:t>保险金额：工程量清单第</w:t>
      </w:r>
      <w:r>
        <w:t>100</w:t>
      </w:r>
      <w:r>
        <w:rPr>
          <w:rFonts w:hint="eastAsia"/>
        </w:rPr>
        <w:t>章（不含建筑工程一切险及第三者责任险的保险费）至</w:t>
      </w:r>
      <w:r>
        <w:t>700</w:t>
      </w:r>
      <w:r>
        <w:rPr>
          <w:rFonts w:hint="eastAsia"/>
        </w:rPr>
        <w:t>章的合计金额。</w:t>
      </w:r>
    </w:p>
    <w:p>
      <w:pPr>
        <w:tabs>
          <w:tab w:val="left" w:pos="3193"/>
        </w:tabs>
        <w:spacing w:line="400" w:lineRule="exact"/>
        <w:ind w:firstLine="440" w:firstLineChars="200"/>
        <w:rPr>
          <w:rFonts w:cs="Times New Roman"/>
        </w:rPr>
      </w:pPr>
      <w:r>
        <w:rPr>
          <w:rFonts w:hint="eastAsia"/>
        </w:rPr>
        <w:t>保险费率：在项目专用条款数据表中约定。</w:t>
      </w:r>
    </w:p>
    <w:p>
      <w:pPr>
        <w:tabs>
          <w:tab w:val="left" w:pos="3193"/>
        </w:tabs>
        <w:spacing w:line="400" w:lineRule="exact"/>
        <w:ind w:firstLine="440" w:firstLineChars="200"/>
        <w:rPr>
          <w:rFonts w:cs="Times New Roman"/>
        </w:rPr>
      </w:pPr>
      <w:r>
        <w:rPr>
          <w:rFonts w:hint="eastAsia"/>
        </w:rPr>
        <w:t>保险期限：开工日起直至本合同工程签发缺陷责任期终止证书止（即合同工期＋缺陷责任期）</w:t>
      </w:r>
    </w:p>
    <w:p>
      <w:pPr>
        <w:tabs>
          <w:tab w:val="left" w:pos="3193"/>
        </w:tabs>
        <w:spacing w:line="400" w:lineRule="exact"/>
        <w:ind w:firstLine="440" w:firstLineChars="200"/>
        <w:rPr>
          <w:rFonts w:cs="Times New Roman"/>
        </w:rPr>
      </w:pPr>
      <w:r>
        <w:rPr>
          <w:rFonts w:hint="eastAsia"/>
        </w:rPr>
        <w:t>承包人应以发包人和承包人的共同名义投保建筑工程一切险。建筑工程一切险的保险费包含在工程量清单投标报价内，发包人不再另行支付该项费用。</w:t>
      </w:r>
    </w:p>
    <w:p>
      <w:pPr>
        <w:tabs>
          <w:tab w:val="left" w:pos="3193"/>
        </w:tabs>
        <w:spacing w:line="400" w:lineRule="exact"/>
        <w:ind w:firstLine="440" w:firstLineChars="200"/>
        <w:rPr>
          <w:rFonts w:cs="Times New Roman"/>
        </w:rPr>
      </w:pPr>
      <w:r>
        <w:rPr>
          <w:rFonts w:hint="eastAsia"/>
        </w:rPr>
        <w:t>第</w:t>
      </w:r>
      <w:r>
        <w:t>20.4.2</w:t>
      </w:r>
      <w:r>
        <w:rPr>
          <w:rFonts w:hint="eastAsia"/>
        </w:rPr>
        <w:t>项补充：</w:t>
      </w:r>
    </w:p>
    <w:p>
      <w:pPr>
        <w:tabs>
          <w:tab w:val="left" w:pos="3193"/>
        </w:tabs>
        <w:spacing w:line="400" w:lineRule="exact"/>
        <w:ind w:firstLine="440" w:firstLineChars="200"/>
        <w:rPr>
          <w:rFonts w:cs="Times New Roman"/>
        </w:rPr>
      </w:pPr>
      <w:r>
        <w:rPr>
          <w:rFonts w:hint="eastAsia"/>
        </w:rPr>
        <w:t>第三者责任险的保险费的保险费包含在工程量清单投标报价内，发包人不再另行支付该项费用。</w:t>
      </w:r>
    </w:p>
    <w:p>
      <w:pPr>
        <w:pStyle w:val="3"/>
        <w:spacing w:beforeLines="50" w:line="400" w:lineRule="exact"/>
        <w:rPr>
          <w:rFonts w:cs="Times New Roman"/>
          <w:sz w:val="21"/>
          <w:szCs w:val="21"/>
        </w:rPr>
      </w:pPr>
      <w:bookmarkStart w:id="845" w:name="_Toc309397525"/>
      <w:r>
        <w:rPr>
          <w:sz w:val="21"/>
          <w:szCs w:val="21"/>
        </w:rPr>
        <w:t>20.5</w:t>
      </w:r>
      <w:r>
        <w:rPr>
          <w:rFonts w:hint="eastAsia"/>
          <w:sz w:val="21"/>
          <w:szCs w:val="21"/>
        </w:rPr>
        <w:t>其他保险</w:t>
      </w:r>
      <w:bookmarkEnd w:id="845"/>
    </w:p>
    <w:p>
      <w:pPr>
        <w:tabs>
          <w:tab w:val="left" w:pos="3193"/>
        </w:tabs>
        <w:spacing w:line="400" w:lineRule="exact"/>
        <w:ind w:firstLine="440" w:firstLineChars="200"/>
        <w:rPr>
          <w:rFonts w:cs="Times New Roman"/>
        </w:rPr>
      </w:pPr>
      <w:r>
        <w:rPr>
          <w:rFonts w:hint="eastAsia"/>
        </w:rPr>
        <w:t>本款约定为：</w:t>
      </w:r>
    </w:p>
    <w:p>
      <w:pPr>
        <w:tabs>
          <w:tab w:val="left" w:pos="3193"/>
        </w:tabs>
        <w:spacing w:line="400" w:lineRule="exact"/>
        <w:ind w:firstLine="440" w:firstLineChars="200"/>
        <w:rPr>
          <w:rFonts w:cs="Times New Roman"/>
        </w:rPr>
      </w:pPr>
      <w:r>
        <w:rPr>
          <w:rFonts w:hint="eastAsia"/>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cs="Times New Roman"/>
          <w:sz w:val="21"/>
          <w:szCs w:val="21"/>
        </w:rPr>
      </w:pPr>
      <w:bookmarkStart w:id="846" w:name="_Toc309397526"/>
      <w:r>
        <w:rPr>
          <w:sz w:val="21"/>
          <w:szCs w:val="21"/>
        </w:rPr>
        <w:t>20.6</w:t>
      </w:r>
      <w:r>
        <w:rPr>
          <w:rFonts w:hint="eastAsia"/>
          <w:sz w:val="21"/>
          <w:szCs w:val="21"/>
        </w:rPr>
        <w:t>对各项保险的一般要求</w:t>
      </w:r>
      <w:bookmarkEnd w:id="846"/>
    </w:p>
    <w:p>
      <w:pPr>
        <w:tabs>
          <w:tab w:val="left" w:pos="3193"/>
        </w:tabs>
        <w:spacing w:line="400" w:lineRule="exact"/>
        <w:ind w:firstLine="440" w:firstLineChars="200"/>
        <w:rPr>
          <w:rFonts w:cs="Times New Roman"/>
        </w:rPr>
      </w:pPr>
      <w:r>
        <w:t>20.6.1</w:t>
      </w:r>
      <w:r>
        <w:rPr>
          <w:rFonts w:hint="eastAsia"/>
        </w:rPr>
        <w:t>保险凭证</w:t>
      </w:r>
    </w:p>
    <w:p>
      <w:pPr>
        <w:tabs>
          <w:tab w:val="left" w:pos="3193"/>
        </w:tabs>
        <w:spacing w:line="400" w:lineRule="exact"/>
        <w:ind w:firstLine="440" w:firstLineChars="200"/>
        <w:rPr>
          <w:rFonts w:cs="Times New Roman"/>
        </w:rPr>
      </w:pPr>
      <w:r>
        <w:rPr>
          <w:rFonts w:hint="eastAsia"/>
        </w:rPr>
        <w:t>本项约定为：</w:t>
      </w:r>
    </w:p>
    <w:p>
      <w:pPr>
        <w:tabs>
          <w:tab w:val="left" w:pos="3193"/>
        </w:tabs>
        <w:spacing w:line="400" w:lineRule="exact"/>
        <w:ind w:firstLine="440" w:firstLineChars="200"/>
        <w:rPr>
          <w:rFonts w:cs="Times New Roman"/>
        </w:rPr>
      </w:pPr>
      <w:r>
        <w:rPr>
          <w:rFonts w:hint="eastAsia"/>
        </w:rPr>
        <w:t>承包人向发包人提交各项保险生效的证据和保险单副本的期限：开工后</w:t>
      </w:r>
      <w:r>
        <w:t>56</w:t>
      </w:r>
      <w:r>
        <w:rPr>
          <w:rFonts w:hint="eastAsia"/>
        </w:rPr>
        <w:t>天内。</w:t>
      </w:r>
    </w:p>
    <w:p>
      <w:pPr>
        <w:tabs>
          <w:tab w:val="left" w:pos="3193"/>
        </w:tabs>
        <w:spacing w:line="400" w:lineRule="exact"/>
        <w:ind w:firstLine="440" w:firstLineChars="200"/>
        <w:rPr>
          <w:rFonts w:cs="Times New Roman"/>
        </w:rPr>
      </w:pPr>
      <w:r>
        <w:t xml:space="preserve">20.6.3 </w:t>
      </w:r>
      <w:r>
        <w:rPr>
          <w:rFonts w:hint="eastAsia"/>
        </w:rPr>
        <w:t>持续保险</w:t>
      </w:r>
    </w:p>
    <w:p>
      <w:pPr>
        <w:tabs>
          <w:tab w:val="left" w:pos="3193"/>
        </w:tabs>
        <w:spacing w:line="400" w:lineRule="exact"/>
        <w:ind w:firstLine="440" w:firstLineChars="200"/>
        <w:rPr>
          <w:rFonts w:cs="Times New Roman"/>
        </w:rPr>
      </w:pPr>
      <w:r>
        <w:rPr>
          <w:rFonts w:hint="eastAsia"/>
        </w:rPr>
        <w:t>本项补充：</w:t>
      </w:r>
    </w:p>
    <w:p>
      <w:pPr>
        <w:tabs>
          <w:tab w:val="left" w:pos="3193"/>
        </w:tabs>
        <w:spacing w:line="400" w:lineRule="exact"/>
        <w:ind w:firstLine="440" w:firstLineChars="200"/>
        <w:rPr>
          <w:rFonts w:cs="Times New Roman"/>
        </w:rPr>
      </w:pPr>
      <w:r>
        <w:rPr>
          <w:rFonts w:hint="eastAsia"/>
        </w:rPr>
        <w:t>在整个合同期内，承包人应按合同条款保证足够的保险额。</w:t>
      </w:r>
    </w:p>
    <w:p>
      <w:pPr>
        <w:tabs>
          <w:tab w:val="left" w:pos="3193"/>
        </w:tabs>
        <w:spacing w:line="400" w:lineRule="exact"/>
        <w:ind w:firstLine="440" w:firstLineChars="200"/>
        <w:rPr>
          <w:rFonts w:cs="Times New Roman"/>
        </w:rPr>
      </w:pPr>
      <w:r>
        <w:t>20.6.4</w:t>
      </w:r>
      <w:r>
        <w:rPr>
          <w:rFonts w:hint="eastAsia"/>
        </w:rPr>
        <w:t>保险金不足的补偿</w:t>
      </w:r>
    </w:p>
    <w:p>
      <w:pPr>
        <w:tabs>
          <w:tab w:val="left" w:pos="3193"/>
        </w:tabs>
        <w:spacing w:line="400" w:lineRule="exact"/>
        <w:ind w:firstLine="440" w:firstLineChars="200"/>
        <w:rPr>
          <w:rFonts w:cs="Times New Roman"/>
        </w:rPr>
      </w:pPr>
      <w:r>
        <w:rPr>
          <w:rFonts w:hint="eastAsia"/>
        </w:rPr>
        <w:t>本项细化为：</w:t>
      </w:r>
    </w:p>
    <w:p>
      <w:pPr>
        <w:tabs>
          <w:tab w:val="left" w:pos="3193"/>
        </w:tabs>
        <w:spacing w:line="400" w:lineRule="exact"/>
        <w:ind w:firstLine="440" w:firstLineChars="200"/>
        <w:rPr>
          <w:rFonts w:ascii="仿宋_GB2312" w:eastAsia="仿宋_GB2312" w:cs="Times New Roman"/>
        </w:rPr>
      </w:pPr>
      <w:r>
        <w:rPr>
          <w:rFonts w:hint="eastAsia"/>
        </w:rPr>
        <w:t>保险金不足补偿损失的（包括免赔额和超过赔偿限额的部分），应由承包人应由承包人自行承担。</w:t>
      </w:r>
    </w:p>
    <w:p>
      <w:pPr>
        <w:tabs>
          <w:tab w:val="left" w:pos="3193"/>
        </w:tabs>
        <w:spacing w:line="400" w:lineRule="exact"/>
        <w:ind w:firstLine="440" w:firstLineChars="200"/>
        <w:rPr>
          <w:rFonts w:cs="Times New Roman"/>
        </w:rPr>
      </w:pPr>
      <w:r>
        <w:t>20.6.5</w:t>
      </w:r>
      <w:r>
        <w:rPr>
          <w:rFonts w:hint="eastAsia"/>
        </w:rPr>
        <w:t>未按约定投保的补救</w:t>
      </w:r>
    </w:p>
    <w:p>
      <w:pPr>
        <w:tabs>
          <w:tab w:val="left" w:pos="3193"/>
        </w:tabs>
        <w:spacing w:line="400" w:lineRule="exact"/>
        <w:ind w:firstLine="440" w:firstLineChars="200"/>
        <w:rPr>
          <w:rFonts w:cs="Times New Roman"/>
        </w:rPr>
      </w:pPr>
      <w:r>
        <w:rPr>
          <w:rFonts w:hint="eastAsia"/>
        </w:rPr>
        <w:t>本项（</w:t>
      </w:r>
      <w:r>
        <w:t>2</w:t>
      </w:r>
      <w:r>
        <w:rPr>
          <w:rFonts w:hint="eastAsia"/>
        </w:rPr>
        <w:t>）目细化为：</w:t>
      </w:r>
    </w:p>
    <w:p>
      <w:pPr>
        <w:tabs>
          <w:tab w:val="left" w:pos="3193"/>
        </w:tabs>
        <w:spacing w:line="400" w:lineRule="exact"/>
        <w:ind w:firstLine="440" w:firstLineChars="200"/>
        <w:rPr>
          <w:rFonts w:cs="Times New Roman"/>
        </w:rPr>
      </w:pPr>
      <w:r>
        <w:rPr>
          <w:rFonts w:hint="eastAsia"/>
        </w:rPr>
        <w:t>（</w:t>
      </w:r>
      <w:r>
        <w:t>2</w:t>
      </w:r>
      <w:r>
        <w:rPr>
          <w:rFonts w:hint="eastAsia"/>
        </w:rPr>
        <w:t>）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cs="Times New Roman"/>
          <w:sz w:val="28"/>
          <w:szCs w:val="28"/>
        </w:rPr>
      </w:pPr>
      <w:bookmarkStart w:id="847" w:name="_Toc309397527"/>
      <w:r>
        <w:rPr>
          <w:sz w:val="28"/>
          <w:szCs w:val="28"/>
        </w:rPr>
        <w:t>21</w:t>
      </w:r>
      <w:r>
        <w:rPr>
          <w:rFonts w:hint="eastAsia"/>
          <w:sz w:val="28"/>
          <w:szCs w:val="28"/>
        </w:rPr>
        <w:t>．不可抗力</w:t>
      </w:r>
      <w:bookmarkEnd w:id="847"/>
    </w:p>
    <w:p>
      <w:pPr>
        <w:pStyle w:val="3"/>
        <w:spacing w:beforeLines="50" w:line="400" w:lineRule="exact"/>
        <w:rPr>
          <w:rFonts w:cs="Times New Roman"/>
          <w:sz w:val="21"/>
          <w:szCs w:val="21"/>
        </w:rPr>
      </w:pPr>
      <w:bookmarkStart w:id="848" w:name="_Toc309397528"/>
      <w:r>
        <w:rPr>
          <w:sz w:val="21"/>
          <w:szCs w:val="21"/>
        </w:rPr>
        <w:t>21.1</w:t>
      </w:r>
      <w:r>
        <w:rPr>
          <w:rFonts w:hint="eastAsia"/>
          <w:sz w:val="21"/>
          <w:szCs w:val="21"/>
        </w:rPr>
        <w:t>不可抗力的确认</w:t>
      </w:r>
      <w:bookmarkEnd w:id="848"/>
    </w:p>
    <w:p>
      <w:pPr>
        <w:tabs>
          <w:tab w:val="left" w:pos="3193"/>
        </w:tabs>
        <w:spacing w:line="400" w:lineRule="exact"/>
        <w:ind w:firstLine="440" w:firstLineChars="200"/>
        <w:rPr>
          <w:rFonts w:cs="Times New Roman"/>
        </w:rPr>
      </w:pPr>
      <w:r>
        <w:t>21.1.1</w:t>
      </w:r>
      <w:r>
        <w:rPr>
          <w:rFonts w:hint="eastAsia"/>
        </w:rPr>
        <w:t>项细化为：</w:t>
      </w:r>
    </w:p>
    <w:p>
      <w:pPr>
        <w:tabs>
          <w:tab w:val="left" w:pos="3193"/>
        </w:tabs>
        <w:spacing w:line="400" w:lineRule="exact"/>
        <w:ind w:firstLine="440" w:firstLineChars="200"/>
        <w:rPr>
          <w:rFonts w:cs="Times New Roman"/>
        </w:rPr>
      </w:pPr>
      <w:r>
        <w:rPr>
          <w:rFonts w:hint="eastAsia"/>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40" w:firstLineChars="200"/>
        <w:rPr>
          <w:rFonts w:cs="Times New Roman"/>
        </w:rPr>
      </w:pPr>
      <w:r>
        <w:rPr>
          <w:rFonts w:hint="eastAsia"/>
        </w:rPr>
        <w:t>（</w:t>
      </w:r>
      <w:r>
        <w:t>1</w:t>
      </w:r>
      <w:r>
        <w:rPr>
          <w:rFonts w:hint="eastAsia"/>
        </w:rPr>
        <w:t>）地震、海啸、火山爆发、泥石流、暴雨（雪）、台风、龙卷风、水灾等自然灾害；</w:t>
      </w:r>
    </w:p>
    <w:p>
      <w:pPr>
        <w:tabs>
          <w:tab w:val="left" w:pos="3193"/>
        </w:tabs>
        <w:spacing w:line="400" w:lineRule="exact"/>
        <w:ind w:firstLine="440" w:firstLineChars="200"/>
        <w:rPr>
          <w:rFonts w:cs="Times New Roman"/>
        </w:rPr>
      </w:pPr>
      <w:r>
        <w:rPr>
          <w:rFonts w:hint="eastAsia"/>
        </w:rPr>
        <w:t>（</w:t>
      </w:r>
      <w:r>
        <w:t>2</w:t>
      </w:r>
      <w:r>
        <w:rPr>
          <w:rFonts w:hint="eastAsia"/>
        </w:rPr>
        <w:t>）战争、骚乱、暴动，但纯属承包人或其分包人派遣与雇用的人员由于本合同工程施工原因引起者除外；</w:t>
      </w:r>
    </w:p>
    <w:p>
      <w:pPr>
        <w:tabs>
          <w:tab w:val="left" w:pos="3193"/>
        </w:tabs>
        <w:spacing w:line="400" w:lineRule="exact"/>
        <w:ind w:firstLine="440" w:firstLineChars="200"/>
        <w:rPr>
          <w:rFonts w:cs="Times New Roman"/>
        </w:rPr>
      </w:pPr>
      <w:r>
        <w:rPr>
          <w:rFonts w:hint="eastAsia"/>
        </w:rPr>
        <w:t>（</w:t>
      </w:r>
      <w:r>
        <w:t>3</w:t>
      </w:r>
      <w:r>
        <w:rPr>
          <w:rFonts w:hint="eastAsia"/>
        </w:rPr>
        <w:t>）核反应、辐射或放射性污染；</w:t>
      </w:r>
    </w:p>
    <w:p>
      <w:pPr>
        <w:tabs>
          <w:tab w:val="left" w:pos="3193"/>
        </w:tabs>
        <w:spacing w:line="400" w:lineRule="exact"/>
        <w:ind w:firstLine="440" w:firstLineChars="200"/>
        <w:rPr>
          <w:rFonts w:cs="Times New Roman"/>
        </w:rPr>
      </w:pPr>
      <w:r>
        <w:rPr>
          <w:rFonts w:hint="eastAsia"/>
        </w:rPr>
        <w:t>（</w:t>
      </w:r>
      <w:r>
        <w:t>4</w:t>
      </w:r>
      <w:r>
        <w:rPr>
          <w:rFonts w:hint="eastAsia"/>
        </w:rPr>
        <w:t>）空中飞行物体附落或非发包人或承包人责任造成的爆炸、火灾；</w:t>
      </w:r>
    </w:p>
    <w:p>
      <w:pPr>
        <w:tabs>
          <w:tab w:val="left" w:pos="3193"/>
        </w:tabs>
        <w:spacing w:line="400" w:lineRule="exact"/>
        <w:ind w:firstLine="440" w:firstLineChars="200"/>
        <w:rPr>
          <w:rFonts w:cs="Times New Roman"/>
        </w:rPr>
      </w:pPr>
      <w:r>
        <w:rPr>
          <w:rFonts w:hint="eastAsia"/>
        </w:rPr>
        <w:t>（</w:t>
      </w:r>
      <w:r>
        <w:t>5</w:t>
      </w:r>
      <w:r>
        <w:rPr>
          <w:rFonts w:hint="eastAsia"/>
        </w:rPr>
        <w:t>）瘟疫；</w:t>
      </w:r>
    </w:p>
    <w:p>
      <w:pPr>
        <w:tabs>
          <w:tab w:val="left" w:pos="3193"/>
        </w:tabs>
        <w:spacing w:line="400" w:lineRule="exact"/>
        <w:ind w:firstLine="440" w:firstLineChars="200"/>
        <w:rPr>
          <w:rFonts w:cs="Times New Roman"/>
        </w:rPr>
      </w:pPr>
      <w:r>
        <w:rPr>
          <w:rFonts w:hint="eastAsia"/>
        </w:rPr>
        <w:t>（</w:t>
      </w:r>
      <w:r>
        <w:t>6</w:t>
      </w:r>
      <w:r>
        <w:rPr>
          <w:rFonts w:hint="eastAsia"/>
        </w:rPr>
        <w:t>）项目专用合同条款约定的其他情形。</w:t>
      </w:r>
    </w:p>
    <w:p>
      <w:pPr>
        <w:pStyle w:val="3"/>
        <w:spacing w:beforeLines="50" w:line="400" w:lineRule="exact"/>
        <w:rPr>
          <w:rFonts w:cs="Times New Roman"/>
          <w:sz w:val="21"/>
          <w:szCs w:val="21"/>
        </w:rPr>
      </w:pPr>
      <w:bookmarkStart w:id="849" w:name="_Toc309397529"/>
      <w:r>
        <w:rPr>
          <w:sz w:val="21"/>
          <w:szCs w:val="21"/>
        </w:rPr>
        <w:t>21.3</w:t>
      </w:r>
      <w:r>
        <w:rPr>
          <w:rFonts w:hint="eastAsia"/>
          <w:sz w:val="21"/>
          <w:szCs w:val="21"/>
        </w:rPr>
        <w:t>不可抗力后果及其处理</w:t>
      </w:r>
      <w:bookmarkEnd w:id="849"/>
    </w:p>
    <w:p>
      <w:pPr>
        <w:tabs>
          <w:tab w:val="left" w:pos="3193"/>
        </w:tabs>
        <w:spacing w:line="400" w:lineRule="exact"/>
        <w:ind w:firstLine="440" w:firstLineChars="200"/>
        <w:rPr>
          <w:rFonts w:cs="Times New Roman"/>
        </w:rPr>
      </w:pPr>
      <w:r>
        <w:t>21.3.4</w:t>
      </w:r>
      <w:r>
        <w:rPr>
          <w:rFonts w:hint="eastAsia"/>
        </w:rPr>
        <w:t>因不可抗力解除合同</w:t>
      </w:r>
    </w:p>
    <w:p>
      <w:pPr>
        <w:tabs>
          <w:tab w:val="left" w:pos="3193"/>
        </w:tabs>
        <w:spacing w:line="400" w:lineRule="exact"/>
        <w:ind w:firstLine="440" w:firstLineChars="200"/>
        <w:rPr>
          <w:rFonts w:cs="Times New Roman"/>
        </w:rPr>
      </w:pPr>
      <w:r>
        <w:rPr>
          <w:rFonts w:hint="eastAsia"/>
        </w:rPr>
        <w:t>本项细化为：</w:t>
      </w:r>
    </w:p>
    <w:p>
      <w:pPr>
        <w:tabs>
          <w:tab w:val="left" w:pos="3193"/>
        </w:tabs>
        <w:spacing w:line="400" w:lineRule="exact"/>
        <w:ind w:firstLine="440" w:firstLineChars="200"/>
        <w:rPr>
          <w:rFonts w:cs="Times New Roman"/>
        </w:rPr>
      </w:pPr>
      <w:r>
        <w:rPr>
          <w:rFonts w:hint="eastAsia"/>
        </w:rPr>
        <w:t>合同一方当事人因不可抗力不能履行合同的，应当及时通知对方解除合同。合同解除后，承包人应按照第</w:t>
      </w:r>
      <w:r>
        <w:t>22.2.5</w:t>
      </w:r>
      <w:r>
        <w:rPr>
          <w:rFonts w:hint="eastAsia"/>
        </w:rPr>
        <w:t>项约定撤离施工场地。已经订货的材料、设备由订货方负责退货或解除订货合同，不能退还的货款和因退货、解除订货合同发生的费作，由发包人承担，因未有时退货造成的损失由责任方承担。合同解除后的付款，参照第</w:t>
      </w:r>
      <w:r>
        <w:t xml:space="preserve">22.2.4 </w:t>
      </w:r>
      <w:r>
        <w:rPr>
          <w:rFonts w:hint="eastAsia"/>
        </w:rPr>
        <w:t>项约定，由监理人按第</w:t>
      </w:r>
      <w:r>
        <w:t>3.5</w:t>
      </w:r>
      <w:r>
        <w:rPr>
          <w:rFonts w:hint="eastAsia"/>
        </w:rPr>
        <w:t>款商定或确定，但由于解除合同应赔偿的承包人损失不予考虑。</w:t>
      </w:r>
    </w:p>
    <w:p>
      <w:pPr>
        <w:pStyle w:val="3"/>
        <w:spacing w:beforeLines="50" w:after="120" w:line="400" w:lineRule="exact"/>
        <w:rPr>
          <w:rFonts w:cs="Times New Roman"/>
          <w:sz w:val="28"/>
          <w:szCs w:val="28"/>
        </w:rPr>
      </w:pPr>
      <w:bookmarkStart w:id="850" w:name="_Toc309397530"/>
      <w:r>
        <w:rPr>
          <w:sz w:val="28"/>
          <w:szCs w:val="28"/>
        </w:rPr>
        <w:t>22</w:t>
      </w:r>
      <w:r>
        <w:rPr>
          <w:rFonts w:hint="eastAsia"/>
          <w:sz w:val="28"/>
          <w:szCs w:val="28"/>
        </w:rPr>
        <w:t>．违约</w:t>
      </w:r>
      <w:bookmarkEnd w:id="850"/>
    </w:p>
    <w:p>
      <w:pPr>
        <w:pStyle w:val="3"/>
        <w:spacing w:beforeLines="50" w:line="400" w:lineRule="exact"/>
        <w:rPr>
          <w:rFonts w:cs="Times New Roman"/>
          <w:sz w:val="21"/>
          <w:szCs w:val="21"/>
        </w:rPr>
      </w:pPr>
      <w:bookmarkStart w:id="851" w:name="_Toc309397531"/>
      <w:r>
        <w:rPr>
          <w:sz w:val="21"/>
          <w:szCs w:val="21"/>
        </w:rPr>
        <w:t>22.1</w:t>
      </w:r>
      <w:r>
        <w:rPr>
          <w:rFonts w:hint="eastAsia"/>
          <w:sz w:val="21"/>
          <w:szCs w:val="21"/>
        </w:rPr>
        <w:t>承包人违约</w:t>
      </w:r>
      <w:bookmarkEnd w:id="851"/>
    </w:p>
    <w:p>
      <w:pPr>
        <w:tabs>
          <w:tab w:val="left" w:pos="3193"/>
        </w:tabs>
        <w:spacing w:line="400" w:lineRule="exact"/>
        <w:ind w:firstLine="440" w:firstLineChars="200"/>
        <w:rPr>
          <w:rFonts w:cs="Times New Roman"/>
        </w:rPr>
      </w:pPr>
      <w:r>
        <w:t>22.1.1</w:t>
      </w:r>
      <w:r>
        <w:rPr>
          <w:rFonts w:hint="eastAsia"/>
        </w:rPr>
        <w:t>承包人违约的情形</w:t>
      </w:r>
    </w:p>
    <w:p>
      <w:pPr>
        <w:tabs>
          <w:tab w:val="left" w:pos="3193"/>
        </w:tabs>
        <w:spacing w:line="400" w:lineRule="exact"/>
        <w:ind w:firstLine="440" w:firstLineChars="200"/>
        <w:rPr>
          <w:rFonts w:cs="Times New Roman"/>
        </w:rPr>
      </w:pPr>
      <w:r>
        <w:rPr>
          <w:rFonts w:hint="eastAsia"/>
        </w:rPr>
        <w:t>本项（</w:t>
      </w:r>
      <w:r>
        <w:t>2</w:t>
      </w:r>
      <w:r>
        <w:rPr>
          <w:rFonts w:hint="eastAsia"/>
        </w:rPr>
        <w:t>）目细化为：</w:t>
      </w:r>
    </w:p>
    <w:p>
      <w:pPr>
        <w:tabs>
          <w:tab w:val="left" w:pos="3193"/>
        </w:tabs>
        <w:spacing w:line="400" w:lineRule="exact"/>
        <w:ind w:firstLine="440" w:firstLineChars="200"/>
        <w:rPr>
          <w:rFonts w:cs="Times New Roman"/>
        </w:rPr>
      </w:pPr>
      <w:r>
        <w:rPr>
          <w:rFonts w:hint="eastAsia"/>
        </w:rPr>
        <w:t>（</w:t>
      </w:r>
      <w:r>
        <w:t>2</w:t>
      </w:r>
      <w:r>
        <w:rPr>
          <w:rFonts w:hint="eastAsia"/>
        </w:rPr>
        <w:t>）承包人违反第</w:t>
      </w:r>
      <w:r>
        <w:t>5.3</w:t>
      </w:r>
      <w:r>
        <w:rPr>
          <w:rFonts w:hint="eastAsia"/>
        </w:rPr>
        <w:t>款或第</w:t>
      </w:r>
      <w:r>
        <w:t>6.4</w:t>
      </w:r>
      <w:r>
        <w:rPr>
          <w:rFonts w:hint="eastAsia"/>
        </w:rPr>
        <w:t>款的约定，未经监理人批准，私自将已按合同约定进入施工场地的施工设备、临时设施、材料或工程设备撤离施工场地；</w:t>
      </w:r>
    </w:p>
    <w:p>
      <w:pPr>
        <w:tabs>
          <w:tab w:val="left" w:pos="3193"/>
        </w:tabs>
        <w:spacing w:line="400" w:lineRule="exact"/>
        <w:ind w:firstLine="440" w:firstLineChars="200"/>
        <w:rPr>
          <w:rFonts w:cs="Times New Roman"/>
        </w:rPr>
      </w:pPr>
      <w:r>
        <w:rPr>
          <w:rFonts w:hint="eastAsia"/>
        </w:rPr>
        <w:t>本项（</w:t>
      </w:r>
      <w:r>
        <w:t>7</w:t>
      </w:r>
      <w:r>
        <w:rPr>
          <w:rFonts w:hint="eastAsia"/>
        </w:rPr>
        <w:t>）目细化为：</w:t>
      </w:r>
    </w:p>
    <w:p>
      <w:pPr>
        <w:tabs>
          <w:tab w:val="left" w:pos="3193"/>
        </w:tabs>
        <w:spacing w:line="400" w:lineRule="exact"/>
        <w:ind w:firstLine="440" w:firstLineChars="200"/>
        <w:rPr>
          <w:rFonts w:cs="Times New Roman"/>
        </w:rPr>
      </w:pPr>
      <w:r>
        <w:rPr>
          <w:rFonts w:hint="eastAsia"/>
        </w:rPr>
        <w:t>（</w:t>
      </w:r>
      <w:r>
        <w:t>7</w:t>
      </w:r>
      <w:r>
        <w:rPr>
          <w:rFonts w:hint="eastAsia"/>
        </w:rPr>
        <w:t>）承包人未能按期开工；</w:t>
      </w:r>
    </w:p>
    <w:p>
      <w:pPr>
        <w:tabs>
          <w:tab w:val="left" w:pos="3193"/>
        </w:tabs>
        <w:spacing w:line="400" w:lineRule="exact"/>
        <w:ind w:firstLine="440" w:firstLineChars="200"/>
        <w:rPr>
          <w:rFonts w:cs="Times New Roman"/>
        </w:rPr>
      </w:pPr>
      <w:r>
        <w:rPr>
          <w:rFonts w:hint="eastAsia"/>
        </w:rPr>
        <w:t>（</w:t>
      </w:r>
      <w:r>
        <w:t>8</w:t>
      </w:r>
      <w:r>
        <w:rPr>
          <w:rFonts w:hint="eastAsia"/>
        </w:rPr>
        <w:t>）承包人违反第</w:t>
      </w:r>
      <w:r>
        <w:t>4.6</w:t>
      </w:r>
      <w:r>
        <w:rPr>
          <w:rFonts w:hint="eastAsia"/>
        </w:rPr>
        <w:t>款或</w:t>
      </w:r>
      <w:r>
        <w:t>6.3</w:t>
      </w:r>
      <w:r>
        <w:rPr>
          <w:rFonts w:hint="eastAsia"/>
        </w:rPr>
        <w:t>款的规定，未按承诺或未按监理人的要求及时配备称职的主要管理人员、技术骨干或关键施工设备；</w:t>
      </w:r>
    </w:p>
    <w:p>
      <w:pPr>
        <w:tabs>
          <w:tab w:val="left" w:pos="3193"/>
        </w:tabs>
        <w:spacing w:line="400" w:lineRule="exact"/>
        <w:ind w:firstLine="440" w:firstLineChars="200"/>
        <w:rPr>
          <w:rFonts w:cs="Times New Roman"/>
        </w:rPr>
      </w:pPr>
      <w:r>
        <w:rPr>
          <w:rFonts w:hint="eastAsia"/>
        </w:rPr>
        <w:t>（</w:t>
      </w:r>
      <w:r>
        <w:t>9</w:t>
      </w:r>
      <w:r>
        <w:rPr>
          <w:rFonts w:hint="eastAsia"/>
        </w:rPr>
        <w:t>）经监理人和发包人检查，发现承包人有安全问题或有违反安全管理规章制度的情况；</w:t>
      </w:r>
    </w:p>
    <w:p>
      <w:pPr>
        <w:tabs>
          <w:tab w:val="left" w:pos="3193"/>
        </w:tabs>
        <w:spacing w:line="400" w:lineRule="exact"/>
        <w:ind w:firstLine="440" w:firstLineChars="200"/>
        <w:rPr>
          <w:rFonts w:cs="Times New Roman"/>
        </w:rPr>
      </w:pPr>
      <w:r>
        <w:rPr>
          <w:rFonts w:hint="eastAsia"/>
        </w:rPr>
        <w:t>（</w:t>
      </w:r>
      <w:r>
        <w:t>10</w:t>
      </w:r>
      <w:r>
        <w:rPr>
          <w:rFonts w:hint="eastAsia"/>
        </w:rPr>
        <w:t>）承包人不按合同约定履行义务的其他情况。</w:t>
      </w:r>
    </w:p>
    <w:p>
      <w:pPr>
        <w:tabs>
          <w:tab w:val="left" w:pos="3193"/>
        </w:tabs>
        <w:spacing w:line="400" w:lineRule="exact"/>
        <w:ind w:firstLine="440" w:firstLineChars="200"/>
        <w:rPr>
          <w:rFonts w:cs="Times New Roman"/>
        </w:rPr>
      </w:pPr>
      <w:r>
        <w:t>22.1.2</w:t>
      </w:r>
      <w:r>
        <w:rPr>
          <w:rFonts w:hint="eastAsia"/>
        </w:rPr>
        <w:t>对承包人违约的处理</w:t>
      </w:r>
    </w:p>
    <w:p>
      <w:pPr>
        <w:tabs>
          <w:tab w:val="left" w:pos="3193"/>
        </w:tabs>
        <w:spacing w:line="400" w:lineRule="exact"/>
        <w:ind w:firstLine="440" w:firstLineChars="200"/>
        <w:rPr>
          <w:rFonts w:cs="Times New Roman"/>
        </w:rPr>
      </w:pPr>
      <w:r>
        <w:rPr>
          <w:rFonts w:hint="eastAsia"/>
        </w:rPr>
        <w:t>本项补充：</w:t>
      </w:r>
    </w:p>
    <w:p>
      <w:pPr>
        <w:tabs>
          <w:tab w:val="left" w:pos="3193"/>
        </w:tabs>
        <w:spacing w:line="400" w:lineRule="exact"/>
        <w:ind w:firstLine="440" w:firstLineChars="200"/>
        <w:rPr>
          <w:rFonts w:cs="Times New Roman"/>
        </w:rPr>
      </w:pPr>
      <w:r>
        <w:rPr>
          <w:rFonts w:hint="eastAsia"/>
        </w:rPr>
        <w:t>（</w:t>
      </w:r>
      <w:r>
        <w:t>4</w:t>
      </w:r>
      <w:r>
        <w:rPr>
          <w:rFonts w:hint="eastAsia"/>
        </w:rPr>
        <w:t>）承包人发生第</w:t>
      </w:r>
      <w:r>
        <w:t>22.1.1</w:t>
      </w:r>
      <w:r>
        <w:rPr>
          <w:rFonts w:hint="eastAsia"/>
        </w:rPr>
        <w:t>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cs="Times New Roman"/>
          <w:sz w:val="21"/>
          <w:szCs w:val="21"/>
        </w:rPr>
      </w:pPr>
      <w:bookmarkStart w:id="852" w:name="_Toc309397532"/>
      <w:r>
        <w:rPr>
          <w:sz w:val="21"/>
          <w:szCs w:val="21"/>
        </w:rPr>
        <w:t>22.2</w:t>
      </w:r>
      <w:r>
        <w:rPr>
          <w:rFonts w:hint="eastAsia"/>
          <w:sz w:val="21"/>
          <w:szCs w:val="21"/>
        </w:rPr>
        <w:t>发包人违约</w:t>
      </w:r>
      <w:bookmarkEnd w:id="852"/>
    </w:p>
    <w:p>
      <w:pPr>
        <w:tabs>
          <w:tab w:val="left" w:pos="3193"/>
        </w:tabs>
        <w:spacing w:line="400" w:lineRule="exact"/>
        <w:ind w:firstLine="440" w:firstLineChars="200"/>
        <w:rPr>
          <w:rFonts w:cs="Times New Roman"/>
        </w:rPr>
      </w:pPr>
      <w:r>
        <w:t xml:space="preserve">22.2.4 </w:t>
      </w:r>
      <w:r>
        <w:rPr>
          <w:rFonts w:hint="eastAsia"/>
        </w:rPr>
        <w:t>解除合同后的付款</w:t>
      </w:r>
    </w:p>
    <w:p>
      <w:pPr>
        <w:tabs>
          <w:tab w:val="left" w:pos="3193"/>
        </w:tabs>
        <w:spacing w:line="400" w:lineRule="exact"/>
        <w:ind w:firstLine="440" w:firstLineChars="200"/>
        <w:rPr>
          <w:rFonts w:cs="Times New Roman"/>
        </w:rPr>
      </w:pPr>
      <w:r>
        <w:rPr>
          <w:rFonts w:hint="eastAsia"/>
        </w:rPr>
        <w:t>本项（</w:t>
      </w:r>
      <w:r>
        <w:t>2</w:t>
      </w:r>
      <w:r>
        <w:rPr>
          <w:rFonts w:hint="eastAsia"/>
        </w:rPr>
        <w:t>）目细化为：</w:t>
      </w:r>
    </w:p>
    <w:p>
      <w:pPr>
        <w:tabs>
          <w:tab w:val="left" w:pos="3193"/>
        </w:tabs>
        <w:spacing w:line="400" w:lineRule="exact"/>
        <w:ind w:firstLine="440" w:firstLineChars="200"/>
        <w:rPr>
          <w:rFonts w:cs="Times New Roman"/>
        </w:rPr>
      </w:pPr>
      <w:r>
        <w:rPr>
          <w:rFonts w:hint="eastAsia"/>
        </w:rPr>
        <w:t>（</w:t>
      </w:r>
      <w:r>
        <w:t>2</w:t>
      </w:r>
      <w:r>
        <w:rPr>
          <w:rFonts w:hint="eastAsia"/>
        </w:rPr>
        <w:t>）承包人为该工程施工订购并已付款的材料、工程设备和其他物品的金额，发包人付款后，该材料、工程设备和其他物品归发包人所有；</w:t>
      </w:r>
    </w:p>
    <w:p>
      <w:pPr>
        <w:pStyle w:val="3"/>
        <w:spacing w:before="120" w:line="400" w:lineRule="exact"/>
        <w:rPr>
          <w:rFonts w:cs="Times New Roman"/>
          <w:sz w:val="28"/>
          <w:szCs w:val="28"/>
        </w:rPr>
      </w:pPr>
      <w:bookmarkStart w:id="853" w:name="_Toc309397533"/>
      <w:r>
        <w:rPr>
          <w:sz w:val="28"/>
          <w:szCs w:val="28"/>
        </w:rPr>
        <w:t>23.</w:t>
      </w:r>
      <w:r>
        <w:rPr>
          <w:rFonts w:hint="eastAsia"/>
          <w:sz w:val="28"/>
          <w:szCs w:val="28"/>
        </w:rPr>
        <w:t>索赔</w:t>
      </w:r>
      <w:bookmarkEnd w:id="853"/>
    </w:p>
    <w:p>
      <w:pPr>
        <w:pStyle w:val="3"/>
        <w:spacing w:beforeLines="50" w:line="400" w:lineRule="exact"/>
        <w:rPr>
          <w:rFonts w:cs="Times New Roman"/>
          <w:sz w:val="21"/>
          <w:szCs w:val="21"/>
        </w:rPr>
      </w:pPr>
      <w:bookmarkStart w:id="854" w:name="_Toc309397534"/>
      <w:r>
        <w:rPr>
          <w:sz w:val="21"/>
          <w:szCs w:val="21"/>
        </w:rPr>
        <w:t>23.1</w:t>
      </w:r>
      <w:r>
        <w:rPr>
          <w:rFonts w:hint="eastAsia"/>
          <w:sz w:val="21"/>
          <w:szCs w:val="21"/>
        </w:rPr>
        <w:t>承包人索赔的提出</w:t>
      </w:r>
      <w:bookmarkEnd w:id="854"/>
    </w:p>
    <w:p>
      <w:pPr>
        <w:tabs>
          <w:tab w:val="left" w:pos="3193"/>
        </w:tabs>
        <w:spacing w:line="400" w:lineRule="exact"/>
        <w:ind w:firstLine="440" w:firstLineChars="200"/>
        <w:rPr>
          <w:rFonts w:cs="Times New Roman"/>
        </w:rPr>
      </w:pPr>
      <w:r>
        <w:rPr>
          <w:rFonts w:hint="eastAsia"/>
        </w:rPr>
        <w:t>本款第（</w:t>
      </w:r>
      <w:r>
        <w:t>4</w:t>
      </w:r>
      <w:r>
        <w:rPr>
          <w:rFonts w:hint="eastAsia"/>
        </w:rPr>
        <w:t>）项细化为：</w:t>
      </w:r>
    </w:p>
    <w:p>
      <w:pPr>
        <w:tabs>
          <w:tab w:val="left" w:pos="3193"/>
        </w:tabs>
        <w:spacing w:line="400" w:lineRule="exact"/>
        <w:ind w:firstLine="440" w:firstLineChars="200"/>
        <w:rPr>
          <w:rFonts w:cs="Times New Roman"/>
        </w:rPr>
      </w:pPr>
      <w:r>
        <w:rPr>
          <w:rFonts w:hint="eastAsia"/>
        </w:rPr>
        <w:t>（</w:t>
      </w:r>
      <w:r>
        <w:t>4</w:t>
      </w:r>
      <w:r>
        <w:rPr>
          <w:rFonts w:hint="eastAsia"/>
        </w:rPr>
        <w:t>）在索赔事件影响结束后的</w:t>
      </w:r>
      <w:r>
        <w:t>28</w:t>
      </w:r>
      <w:r>
        <w:rPr>
          <w:rFonts w:hint="eastAsia"/>
        </w:rPr>
        <w:t>天内，承包人应向监理人递交最终索赔通知书，说明最终要求索赔的追加付款金额和（或）延长的工期，并附必要的记录和证明材料。</w:t>
      </w:r>
    </w:p>
    <w:p>
      <w:pPr>
        <w:pStyle w:val="3"/>
        <w:spacing w:beforeLines="50" w:line="400" w:lineRule="exact"/>
        <w:rPr>
          <w:rFonts w:cs="Times New Roman"/>
          <w:sz w:val="21"/>
          <w:szCs w:val="21"/>
        </w:rPr>
      </w:pPr>
      <w:bookmarkStart w:id="855" w:name="_Toc309397535"/>
      <w:r>
        <w:rPr>
          <w:sz w:val="21"/>
          <w:szCs w:val="21"/>
        </w:rPr>
        <w:t>23.2</w:t>
      </w:r>
      <w:r>
        <w:rPr>
          <w:rFonts w:hint="eastAsia"/>
          <w:sz w:val="21"/>
          <w:szCs w:val="21"/>
        </w:rPr>
        <w:t>承包人索赔处理程序</w:t>
      </w:r>
      <w:bookmarkEnd w:id="855"/>
    </w:p>
    <w:p>
      <w:pPr>
        <w:tabs>
          <w:tab w:val="left" w:pos="3193"/>
        </w:tabs>
        <w:spacing w:line="400" w:lineRule="exact"/>
        <w:ind w:firstLine="440" w:firstLineChars="200"/>
        <w:rPr>
          <w:rFonts w:cs="Times New Roman"/>
        </w:rPr>
      </w:pPr>
      <w:r>
        <w:rPr>
          <w:rFonts w:hint="eastAsia"/>
        </w:rPr>
        <w:t>本款第（</w:t>
      </w:r>
      <w:r>
        <w:t>2</w:t>
      </w:r>
      <w:r>
        <w:rPr>
          <w:rFonts w:hint="eastAsia"/>
        </w:rPr>
        <w:t>）项细化为：</w:t>
      </w:r>
    </w:p>
    <w:p>
      <w:pPr>
        <w:tabs>
          <w:tab w:val="left" w:pos="3193"/>
        </w:tabs>
        <w:spacing w:line="400" w:lineRule="exact"/>
        <w:ind w:firstLine="440" w:firstLineChars="200"/>
        <w:rPr>
          <w:rFonts w:cs="Times New Roman"/>
        </w:rPr>
      </w:pPr>
      <w:r>
        <w:rPr>
          <w:rFonts w:hint="eastAsia"/>
        </w:rPr>
        <w:t>（</w:t>
      </w:r>
      <w:r>
        <w:t>2</w:t>
      </w:r>
      <w:r>
        <w:rPr>
          <w:rFonts w:hint="eastAsia"/>
        </w:rPr>
        <w:t>）监理人应按第</w:t>
      </w:r>
      <w:r>
        <w:t>3.5</w:t>
      </w:r>
      <w:r>
        <w:rPr>
          <w:rFonts w:hint="eastAsia"/>
        </w:rPr>
        <w:t>款商定或确定追加的付款和（或）延长的工期，并在收到上述索赔通知书或有关索赔的进一步证明材料后的</w:t>
      </w:r>
      <w:r>
        <w:t>42</w:t>
      </w:r>
      <w:r>
        <w:rPr>
          <w:rFonts w:hint="eastAsia"/>
        </w:rPr>
        <w:t>天内，将索赔处理结果报发包人批准后答复承包人。如果承包人提出的索赔要求未能遵守第</w:t>
      </w:r>
      <w:r>
        <w:t>23.1</w:t>
      </w:r>
      <w:r>
        <w:rPr>
          <w:rFonts w:hint="eastAsia"/>
        </w:rPr>
        <w:t>（</w:t>
      </w:r>
      <w:r>
        <w:t>2</w:t>
      </w:r>
      <w:r>
        <w:rPr>
          <w:rFonts w:hint="eastAsia"/>
        </w:rPr>
        <w:t>）～（</w:t>
      </w:r>
      <w:r>
        <w:t>4</w:t>
      </w:r>
      <w:r>
        <w:rPr>
          <w:rFonts w:hint="eastAsia"/>
        </w:rPr>
        <w:t>）项规定，则承包人只限于索赔由监理人按当时记当予以核实的那部分款额外负担和（或）工期延长天数。</w:t>
      </w:r>
    </w:p>
    <w:p>
      <w:pPr>
        <w:pStyle w:val="3"/>
        <w:spacing w:beforeLines="50" w:after="120" w:line="400" w:lineRule="exact"/>
        <w:rPr>
          <w:rFonts w:cs="Times New Roman"/>
          <w:sz w:val="28"/>
          <w:szCs w:val="28"/>
        </w:rPr>
      </w:pPr>
      <w:bookmarkStart w:id="856" w:name="_Toc309397536"/>
      <w:r>
        <w:rPr>
          <w:sz w:val="28"/>
          <w:szCs w:val="28"/>
        </w:rPr>
        <w:t>24</w:t>
      </w:r>
      <w:r>
        <w:rPr>
          <w:rFonts w:hint="eastAsia"/>
          <w:sz w:val="28"/>
          <w:szCs w:val="28"/>
        </w:rPr>
        <w:t>．争议的解决</w:t>
      </w:r>
      <w:bookmarkEnd w:id="856"/>
    </w:p>
    <w:p>
      <w:pPr>
        <w:pStyle w:val="3"/>
        <w:spacing w:beforeLines="50" w:line="400" w:lineRule="exact"/>
        <w:rPr>
          <w:rFonts w:cs="Times New Roman"/>
          <w:sz w:val="21"/>
          <w:szCs w:val="21"/>
        </w:rPr>
      </w:pPr>
      <w:bookmarkStart w:id="857" w:name="_Toc309397537"/>
      <w:r>
        <w:rPr>
          <w:sz w:val="21"/>
          <w:szCs w:val="21"/>
        </w:rPr>
        <w:t>24.3</w:t>
      </w:r>
      <w:r>
        <w:rPr>
          <w:rFonts w:hint="eastAsia"/>
          <w:sz w:val="21"/>
          <w:szCs w:val="21"/>
        </w:rPr>
        <w:t>争议评审</w:t>
      </w:r>
      <w:bookmarkEnd w:id="857"/>
    </w:p>
    <w:p>
      <w:pPr>
        <w:tabs>
          <w:tab w:val="left" w:pos="3193"/>
        </w:tabs>
        <w:spacing w:line="400" w:lineRule="exact"/>
        <w:ind w:firstLine="440" w:firstLineChars="200"/>
        <w:rPr>
          <w:rFonts w:cs="Times New Roman"/>
        </w:rPr>
      </w:pPr>
      <w:r>
        <w:rPr>
          <w:rFonts w:hint="eastAsia"/>
        </w:rPr>
        <w:t>第</w:t>
      </w:r>
      <w:r>
        <w:t>24.3.1</w:t>
      </w:r>
      <w:r>
        <w:rPr>
          <w:rFonts w:hint="eastAsia"/>
        </w:rPr>
        <w:t>项补充：</w:t>
      </w:r>
    </w:p>
    <w:p>
      <w:pPr>
        <w:tabs>
          <w:tab w:val="left" w:pos="3193"/>
        </w:tabs>
        <w:spacing w:line="400" w:lineRule="exact"/>
        <w:ind w:firstLine="440" w:firstLineChars="200"/>
        <w:rPr>
          <w:rFonts w:cs="Times New Roman"/>
        </w:rPr>
      </w:pPr>
      <w:r>
        <w:rPr>
          <w:rFonts w:hint="eastAsia"/>
        </w:rPr>
        <w:t>争议评审组由</w:t>
      </w:r>
      <w:r>
        <w:t>3</w:t>
      </w:r>
      <w:r>
        <w:rPr>
          <w:rFonts w:hint="eastAsia"/>
        </w:rPr>
        <w:t>人或</w:t>
      </w:r>
      <w:r>
        <w:t>5</w:t>
      </w:r>
      <w:r>
        <w:rPr>
          <w:rFonts w:hint="eastAsia"/>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40" w:firstLineChars="200"/>
        <w:rPr>
          <w:rFonts w:cs="Times New Roman"/>
        </w:rPr>
      </w:pPr>
    </w:p>
    <w:p>
      <w:pPr>
        <w:tabs>
          <w:tab w:val="left" w:pos="3193"/>
        </w:tabs>
        <w:spacing w:line="400" w:lineRule="exact"/>
        <w:ind w:firstLine="440" w:firstLineChars="200"/>
        <w:rPr>
          <w:rFonts w:cs="Times New Roman"/>
        </w:rPr>
      </w:pPr>
      <w:r>
        <w:rPr>
          <w:rFonts w:hint="eastAsia"/>
        </w:rPr>
        <w:t>本条补充第</w:t>
      </w:r>
      <w:r>
        <w:t>24.4</w:t>
      </w:r>
      <w:r>
        <w:rPr>
          <w:rFonts w:hint="eastAsia"/>
        </w:rPr>
        <w:t>、第</w:t>
      </w:r>
      <w:r>
        <w:t>24.5</w:t>
      </w:r>
      <w:r>
        <w:rPr>
          <w:rFonts w:hint="eastAsia"/>
        </w:rPr>
        <w:t>款（适用于采用仲裁方式最终解决争议的项目）：</w:t>
      </w:r>
    </w:p>
    <w:p>
      <w:pPr>
        <w:pStyle w:val="3"/>
        <w:spacing w:beforeLines="50" w:line="400" w:lineRule="exact"/>
        <w:rPr>
          <w:rFonts w:cs="Times New Roman"/>
          <w:sz w:val="21"/>
          <w:szCs w:val="21"/>
        </w:rPr>
      </w:pPr>
      <w:bookmarkStart w:id="858" w:name="_Toc309397538"/>
      <w:r>
        <w:rPr>
          <w:sz w:val="21"/>
          <w:szCs w:val="21"/>
        </w:rPr>
        <w:t>24.4</w:t>
      </w:r>
      <w:r>
        <w:rPr>
          <w:rFonts w:hint="eastAsia"/>
          <w:sz w:val="21"/>
          <w:szCs w:val="21"/>
        </w:rPr>
        <w:t>仲裁</w:t>
      </w:r>
      <w:bookmarkEnd w:id="858"/>
    </w:p>
    <w:p>
      <w:pPr>
        <w:tabs>
          <w:tab w:val="left" w:pos="3193"/>
        </w:tabs>
        <w:spacing w:line="400" w:lineRule="exact"/>
        <w:ind w:firstLine="440" w:firstLineChars="200"/>
        <w:rPr>
          <w:rFonts w:cs="Times New Roman"/>
        </w:rPr>
      </w:pPr>
      <w:r>
        <w:rPr>
          <w:rFonts w:hint="eastAsia"/>
        </w:rPr>
        <w:t>（</w:t>
      </w:r>
      <w:r>
        <w:t>1</w:t>
      </w:r>
      <w:r>
        <w:rPr>
          <w:rFonts w:hint="eastAsia"/>
        </w:rPr>
        <w:t>）对于未能友好解决或通过争议评审解决的争议，发包人或承包人任一方均有权提交给第</w:t>
      </w:r>
      <w:r>
        <w:t>24.1</w:t>
      </w:r>
      <w:r>
        <w:rPr>
          <w:rFonts w:hint="eastAsia"/>
        </w:rPr>
        <w:t>款约定的仲裁委员会仲裁。</w:t>
      </w:r>
    </w:p>
    <w:p>
      <w:pPr>
        <w:tabs>
          <w:tab w:val="left" w:pos="3193"/>
        </w:tabs>
        <w:spacing w:line="400" w:lineRule="exact"/>
        <w:ind w:firstLine="440" w:firstLineChars="200"/>
        <w:rPr>
          <w:rFonts w:cs="Times New Roman"/>
        </w:rPr>
      </w:pPr>
      <w:r>
        <w:rPr>
          <w:rFonts w:hint="eastAsia"/>
        </w:rPr>
        <w:t>（</w:t>
      </w:r>
      <w:r>
        <w:t>2</w:t>
      </w:r>
      <w:r>
        <w:rPr>
          <w:rFonts w:hint="eastAsia"/>
        </w:rPr>
        <w:t>）仲裁可在交工之前或之后进行，但发包人、监理人和承包人各自的义务不得因在工程实施期间进行仲裁而有所改变。如果仲裁是在终止合同的情况下进行，则对合同工程应采取保护措施，措施费由败诉方承担。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40" w:firstLineChars="200"/>
        <w:rPr>
          <w:rFonts w:cs="Times New Roman"/>
        </w:rPr>
      </w:pPr>
      <w:r>
        <w:rPr>
          <w:rFonts w:hint="eastAsia"/>
        </w:rPr>
        <w:t>（</w:t>
      </w:r>
      <w:r>
        <w:t>3</w:t>
      </w:r>
      <w:r>
        <w:rPr>
          <w:rFonts w:hint="eastAsia"/>
        </w:rPr>
        <w:t>）仲裁裁决是终局性的并对发包人和承包人双方具有约束力。</w:t>
      </w:r>
    </w:p>
    <w:p>
      <w:pPr>
        <w:tabs>
          <w:tab w:val="left" w:pos="3193"/>
        </w:tabs>
        <w:spacing w:line="400" w:lineRule="exact"/>
        <w:ind w:firstLine="440" w:firstLineChars="200"/>
        <w:rPr>
          <w:rFonts w:cs="Times New Roman"/>
        </w:rPr>
      </w:pPr>
      <w:r>
        <w:rPr>
          <w:rFonts w:hint="eastAsia"/>
        </w:rPr>
        <w:t>（</w:t>
      </w:r>
      <w:r>
        <w:t>4</w:t>
      </w:r>
      <w:r>
        <w:rPr>
          <w:rFonts w:hint="eastAsia"/>
        </w:rPr>
        <w:t>）全部仲裁费用应由败诉方承担；或按仲裁员会裁决的比例分担。</w:t>
      </w:r>
    </w:p>
    <w:p>
      <w:pPr>
        <w:pStyle w:val="3"/>
        <w:spacing w:beforeLines="50" w:line="400" w:lineRule="exact"/>
        <w:rPr>
          <w:rFonts w:cs="Times New Roman"/>
          <w:sz w:val="21"/>
          <w:szCs w:val="21"/>
        </w:rPr>
      </w:pPr>
      <w:bookmarkStart w:id="859" w:name="_Toc309397539"/>
      <w:r>
        <w:rPr>
          <w:sz w:val="21"/>
          <w:szCs w:val="21"/>
        </w:rPr>
        <w:t>24.5</w:t>
      </w:r>
      <w:r>
        <w:rPr>
          <w:rFonts w:hint="eastAsia"/>
          <w:sz w:val="21"/>
          <w:szCs w:val="21"/>
        </w:rPr>
        <w:t>仲裁的执行</w:t>
      </w:r>
      <w:bookmarkEnd w:id="859"/>
    </w:p>
    <w:p>
      <w:pPr>
        <w:tabs>
          <w:tab w:val="left" w:pos="3193"/>
        </w:tabs>
        <w:spacing w:line="400" w:lineRule="exact"/>
        <w:ind w:firstLine="440" w:firstLineChars="200"/>
        <w:rPr>
          <w:rFonts w:cs="Times New Roman"/>
        </w:rPr>
      </w:pPr>
      <w:r>
        <w:rPr>
          <w:rFonts w:hint="eastAsia"/>
        </w:rPr>
        <w:t>（</w:t>
      </w:r>
      <w:r>
        <w:t>1</w:t>
      </w:r>
      <w:r>
        <w:rPr>
          <w:rFonts w:hint="eastAsia"/>
        </w:rPr>
        <w:t>）任何一方不履行仲裁机构的裁决的，对方可以向有管辖权的人民法院申请执行。</w:t>
      </w:r>
    </w:p>
    <w:p>
      <w:pPr>
        <w:tabs>
          <w:tab w:val="left" w:pos="3193"/>
        </w:tabs>
        <w:spacing w:line="400" w:lineRule="exact"/>
        <w:ind w:firstLine="440" w:firstLineChars="200"/>
        <w:rPr>
          <w:rFonts w:cs="Times New Roman"/>
        </w:rPr>
      </w:pPr>
      <w:r>
        <w:rPr>
          <w:rFonts w:hint="eastAsia"/>
        </w:rPr>
        <w:t>（</w:t>
      </w:r>
      <w:r>
        <w:t>2</w:t>
      </w:r>
      <w:r>
        <w:rPr>
          <w:rFonts w:hint="eastAsia"/>
        </w:rPr>
        <w:t>）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tabs>
          <w:tab w:val="left" w:pos="3193"/>
        </w:tabs>
        <w:spacing w:line="400" w:lineRule="exact"/>
        <w:ind w:firstLine="440" w:firstLineChars="200"/>
        <w:rPr>
          <w:rFonts w:cs="Times New Roman"/>
        </w:rPr>
      </w:pPr>
    </w:p>
    <w:p>
      <w:pPr>
        <w:pStyle w:val="3"/>
        <w:spacing w:beforeLines="50" w:line="400" w:lineRule="exact"/>
        <w:rPr>
          <w:rFonts w:cs="Times New Roman"/>
          <w:sz w:val="21"/>
          <w:szCs w:val="21"/>
        </w:rPr>
      </w:pPr>
      <w:bookmarkStart w:id="860" w:name="_Toc309397540"/>
      <w:r>
        <w:rPr>
          <w:sz w:val="21"/>
          <w:szCs w:val="21"/>
        </w:rPr>
        <w:t xml:space="preserve">25 </w:t>
      </w:r>
      <w:r>
        <w:rPr>
          <w:rFonts w:hint="eastAsia"/>
          <w:sz w:val="21"/>
          <w:szCs w:val="21"/>
        </w:rPr>
        <w:t>其他</w:t>
      </w:r>
      <w:bookmarkEnd w:id="860"/>
    </w:p>
    <w:p>
      <w:pPr>
        <w:pStyle w:val="3"/>
        <w:spacing w:beforeLines="50" w:line="400" w:lineRule="exact"/>
        <w:rPr>
          <w:rFonts w:cs="Times New Roman"/>
          <w:sz w:val="21"/>
          <w:szCs w:val="21"/>
        </w:rPr>
      </w:pPr>
      <w:bookmarkStart w:id="861" w:name="_Toc309397541"/>
      <w:r>
        <w:rPr>
          <w:sz w:val="21"/>
          <w:szCs w:val="21"/>
        </w:rPr>
        <w:t>25.1</w:t>
      </w:r>
      <w:r>
        <w:rPr>
          <w:rFonts w:hint="eastAsia"/>
          <w:sz w:val="21"/>
          <w:szCs w:val="21"/>
        </w:rPr>
        <w:t>农民工工资保障金（增加）</w:t>
      </w:r>
      <w:bookmarkEnd w:id="861"/>
    </w:p>
    <w:p>
      <w:pPr>
        <w:pStyle w:val="13"/>
        <w:spacing w:line="460" w:lineRule="exact"/>
        <w:ind w:firstLine="480"/>
        <w:rPr>
          <w:rFonts w:ascii="宋体" w:eastAsia="宋体" w:cs="Times New Roman"/>
          <w:sz w:val="21"/>
          <w:szCs w:val="21"/>
        </w:rPr>
      </w:pPr>
      <w:r>
        <w:rPr>
          <w:rFonts w:hint="eastAsia" w:ascii="宋体" w:eastAsia="宋体" w:cs="宋体"/>
          <w:sz w:val="21"/>
          <w:szCs w:val="21"/>
        </w:rPr>
        <w:t>根据广西壮族自治区公路管理局（路工程〔</w:t>
      </w:r>
      <w:r>
        <w:rPr>
          <w:rFonts w:ascii="宋体" w:eastAsia="宋体" w:cs="宋体"/>
          <w:sz w:val="21"/>
          <w:szCs w:val="21"/>
        </w:rPr>
        <w:t>2006</w:t>
      </w:r>
      <w:r>
        <w:rPr>
          <w:rFonts w:hint="eastAsia" w:ascii="宋体" w:eastAsia="宋体" w:cs="宋体"/>
          <w:sz w:val="21"/>
          <w:szCs w:val="21"/>
        </w:rPr>
        <w:t>〕</w:t>
      </w:r>
      <w:r>
        <w:rPr>
          <w:rFonts w:ascii="宋体" w:eastAsia="宋体" w:cs="宋体"/>
          <w:sz w:val="21"/>
          <w:szCs w:val="21"/>
        </w:rPr>
        <w:t>61</w:t>
      </w:r>
      <w:r>
        <w:rPr>
          <w:rFonts w:hint="eastAsia" w:ascii="宋体" w:eastAsia="宋体" w:cs="宋体"/>
          <w:sz w:val="21"/>
          <w:szCs w:val="21"/>
        </w:rPr>
        <w:t>号）文件要求：投标文件中对农民工工资支付管理约定支付保障金制度，其金额为投标总价</w:t>
      </w:r>
      <w:r>
        <w:rPr>
          <w:rFonts w:ascii="宋体" w:eastAsia="宋体" w:cs="宋体"/>
          <w:sz w:val="21"/>
          <w:szCs w:val="21"/>
        </w:rPr>
        <w:t>2%</w:t>
      </w:r>
      <w:r>
        <w:rPr>
          <w:rFonts w:hint="eastAsia" w:ascii="宋体" w:eastAsia="宋体" w:cs="宋体"/>
          <w:sz w:val="21"/>
          <w:szCs w:val="21"/>
        </w:rPr>
        <w:t>。</w:t>
      </w:r>
    </w:p>
    <w:p>
      <w:pPr>
        <w:pStyle w:val="13"/>
        <w:spacing w:line="460" w:lineRule="exact"/>
        <w:ind w:firstLine="0"/>
        <w:rPr>
          <w:rFonts w:ascii="黑体" w:hAnsi="黑体" w:eastAsia="黑体" w:cs="Times New Roman"/>
          <w:b/>
          <w:bCs/>
          <w:kern w:val="44"/>
          <w:sz w:val="21"/>
          <w:szCs w:val="21"/>
        </w:rPr>
      </w:pPr>
      <w:r>
        <w:rPr>
          <w:rFonts w:ascii="黑体" w:hAnsi="黑体" w:eastAsia="黑体" w:cs="黑体"/>
          <w:b/>
          <w:bCs/>
          <w:kern w:val="44"/>
          <w:sz w:val="21"/>
          <w:szCs w:val="21"/>
        </w:rPr>
        <w:t>25.2</w:t>
      </w:r>
      <w:r>
        <w:rPr>
          <w:rFonts w:hint="eastAsia" w:ascii="黑体" w:hAnsi="黑体" w:eastAsia="黑体" w:cs="黑体"/>
          <w:b/>
          <w:bCs/>
          <w:kern w:val="44"/>
          <w:sz w:val="21"/>
          <w:szCs w:val="21"/>
        </w:rPr>
        <w:t>履约保证金退还</w:t>
      </w:r>
    </w:p>
    <w:p>
      <w:pPr>
        <w:pStyle w:val="13"/>
        <w:spacing w:line="460" w:lineRule="exact"/>
        <w:ind w:firstLine="480"/>
        <w:rPr>
          <w:rFonts w:ascii="宋体" w:eastAsia="宋体" w:cs="Times New Roman"/>
          <w:sz w:val="21"/>
          <w:szCs w:val="21"/>
        </w:rPr>
      </w:pPr>
      <w:r>
        <w:rPr>
          <w:rFonts w:hint="eastAsia" w:ascii="宋体" w:eastAsia="宋体" w:cs="宋体"/>
          <w:sz w:val="21"/>
          <w:szCs w:val="21"/>
        </w:rPr>
        <w:t>完成合同工程量后退还。</w:t>
      </w:r>
    </w:p>
    <w:p>
      <w:pPr>
        <w:pStyle w:val="13"/>
        <w:spacing w:line="460" w:lineRule="exact"/>
        <w:ind w:firstLine="480"/>
        <w:rPr>
          <w:rFonts w:ascii="宋体" w:eastAsia="宋体" w:cs="Times New Roman"/>
          <w:sz w:val="21"/>
          <w:szCs w:val="21"/>
        </w:rPr>
      </w:pPr>
    </w:p>
    <w:p>
      <w:pPr>
        <w:pStyle w:val="13"/>
        <w:spacing w:line="460" w:lineRule="exact"/>
        <w:ind w:firstLine="480"/>
        <w:rPr>
          <w:rFonts w:ascii="宋体" w:eastAsia="宋体" w:cs="Times New Roman"/>
          <w:sz w:val="21"/>
          <w:szCs w:val="21"/>
        </w:rPr>
        <w:sectPr>
          <w:pgSz w:w="11910" w:h="16850"/>
          <w:pgMar w:top="1418" w:right="1418" w:bottom="1418" w:left="1418" w:header="851" w:footer="964" w:gutter="0"/>
          <w:cols w:space="720" w:num="1"/>
        </w:sectPr>
      </w:pPr>
    </w:p>
    <w:p>
      <w:pPr>
        <w:numPr>
          <w:ilvl w:val="0"/>
          <w:numId w:val="33"/>
        </w:numPr>
        <w:ind w:left="420"/>
        <w:jc w:val="center"/>
        <w:rPr>
          <w:rFonts w:ascii="黑体" w:eastAsia="黑体" w:cs="Times New Roman"/>
          <w:sz w:val="36"/>
          <w:szCs w:val="36"/>
        </w:rPr>
      </w:pPr>
      <w:r>
        <w:rPr>
          <w:rFonts w:hint="eastAsia" w:ascii="黑体" w:eastAsia="黑体" w:cs="黑体"/>
          <w:sz w:val="36"/>
          <w:szCs w:val="36"/>
        </w:rPr>
        <w:t>项目专用合同条款</w:t>
      </w:r>
    </w:p>
    <w:p>
      <w:pPr>
        <w:tabs>
          <w:tab w:val="left" w:pos="660"/>
        </w:tabs>
        <w:spacing w:line="274" w:lineRule="exact"/>
        <w:ind w:left="200"/>
        <w:rPr>
          <w:sz w:val="24"/>
        </w:rPr>
      </w:pPr>
      <w:r>
        <w:rPr>
          <w:sz w:val="24"/>
        </w:rPr>
        <w:t>说</w:t>
      </w:r>
      <w:r>
        <w:rPr>
          <w:sz w:val="24"/>
        </w:rPr>
        <w:tab/>
      </w:r>
      <w:r>
        <w:rPr>
          <w:sz w:val="24"/>
        </w:rPr>
        <w:t>明：</w:t>
      </w:r>
    </w:p>
    <w:p>
      <w:pPr>
        <w:spacing w:line="208" w:lineRule="exact"/>
        <w:rPr>
          <w:rFonts w:eastAsia="Times New Roman"/>
        </w:rPr>
      </w:pPr>
    </w:p>
    <w:p>
      <w:pPr>
        <w:spacing w:line="402" w:lineRule="exact"/>
        <w:ind w:left="200" w:right="146" w:firstLine="720"/>
        <w:rPr>
          <w:rFonts w:ascii="Arial Unicode MS" w:hAnsi="Arial Unicode MS" w:eastAsia="Arial Unicode MS"/>
          <w:sz w:val="24"/>
        </w:rPr>
      </w:pPr>
      <w:r>
        <w:rPr>
          <w:rFonts w:ascii="Arial Unicode MS" w:hAnsi="Arial Unicode MS" w:eastAsia="Arial Unicode MS"/>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line="218" w:lineRule="exact"/>
        <w:rPr>
          <w:rFonts w:eastAsia="Times New Roman"/>
        </w:rPr>
      </w:pPr>
    </w:p>
    <w:p>
      <w:pPr>
        <w:spacing w:line="322" w:lineRule="exact"/>
        <w:ind w:left="920"/>
        <w:rPr>
          <w:rFonts w:ascii="Arial Unicode MS" w:hAnsi="Arial Unicode MS" w:eastAsia="Arial Unicode MS"/>
          <w:sz w:val="24"/>
        </w:rPr>
      </w:pPr>
      <w:r>
        <w:rPr>
          <w:rFonts w:ascii="Arial Unicode MS" w:hAnsi="Arial Unicode MS" w:eastAsia="Arial Unicode MS"/>
          <w:sz w:val="24"/>
        </w:rPr>
        <w:t>2.项目专用合同条款的编号应与通用合同条款和公路工程专用合同条款一</w:t>
      </w:r>
    </w:p>
    <w:p>
      <w:pPr>
        <w:spacing w:line="96" w:lineRule="exact"/>
        <w:rPr>
          <w:rFonts w:eastAsia="Times New Roman"/>
        </w:rPr>
      </w:pPr>
    </w:p>
    <w:p>
      <w:pPr>
        <w:spacing w:line="322" w:lineRule="exact"/>
        <w:ind w:left="200"/>
        <w:rPr>
          <w:rFonts w:ascii="Arial Unicode MS" w:hAnsi="Arial Unicode MS" w:eastAsia="Arial Unicode MS"/>
          <w:sz w:val="24"/>
        </w:rPr>
      </w:pPr>
      <w:r>
        <w:rPr>
          <w:rFonts w:ascii="Arial Unicode MS" w:hAnsi="Arial Unicode MS" w:eastAsia="Arial Unicode MS"/>
          <w:sz w:val="24"/>
        </w:rPr>
        <w:t>致。</w:t>
      </w:r>
    </w:p>
    <w:p>
      <w:pPr>
        <w:spacing w:line="219" w:lineRule="exact"/>
        <w:rPr>
          <w:rFonts w:eastAsia="Times New Roman"/>
        </w:rPr>
      </w:pPr>
    </w:p>
    <w:p>
      <w:pPr>
        <w:spacing w:line="322" w:lineRule="exact"/>
        <w:ind w:left="920"/>
        <w:rPr>
          <w:rFonts w:ascii="Arial Unicode MS" w:hAnsi="Arial Unicode MS" w:eastAsia="Arial Unicode MS"/>
          <w:sz w:val="24"/>
        </w:rPr>
      </w:pPr>
      <w:r>
        <w:rPr>
          <w:rFonts w:ascii="Arial Unicode MS" w:hAnsi="Arial Unicode MS" w:eastAsia="Arial Unicode MS"/>
          <w:sz w:val="24"/>
        </w:rPr>
        <w:t>3.项目专用合同条款可对下列内容进行补充和细化：</w:t>
      </w:r>
    </w:p>
    <w:p>
      <w:pPr>
        <w:spacing w:line="231" w:lineRule="exact"/>
        <w:rPr>
          <w:rFonts w:eastAsia="Times New Roman"/>
        </w:rPr>
      </w:pPr>
    </w:p>
    <w:p>
      <w:pPr>
        <w:spacing w:line="381" w:lineRule="exact"/>
        <w:ind w:left="200" w:right="66" w:firstLine="720"/>
        <w:rPr>
          <w:rFonts w:ascii="Arial Unicode MS" w:hAnsi="Arial Unicode MS" w:eastAsia="Arial Unicode MS"/>
          <w:sz w:val="23"/>
        </w:rPr>
      </w:pPr>
      <w:r>
        <w:rPr>
          <w:rFonts w:ascii="Arial Unicode MS" w:hAnsi="Arial Unicode MS" w:eastAsia="Arial Unicode MS"/>
          <w:sz w:val="23"/>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233" w:lineRule="exact"/>
        <w:rPr>
          <w:rFonts w:eastAsia="Times New Roman"/>
        </w:rPr>
      </w:pPr>
    </w:p>
    <w:p>
      <w:pPr>
        <w:spacing w:line="390" w:lineRule="exact"/>
        <w:ind w:left="200" w:right="146" w:firstLine="720"/>
        <w:rPr>
          <w:rFonts w:ascii="Arial Unicode MS" w:hAnsi="Arial Unicode MS" w:eastAsia="Arial Unicode MS"/>
          <w:sz w:val="24"/>
        </w:rPr>
      </w:pPr>
      <w:r>
        <w:rPr>
          <w:rFonts w:ascii="Arial Unicode MS" w:hAnsi="Arial Unicode MS" w:eastAsia="Arial Unicode MS"/>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219" w:lineRule="exact"/>
        <w:rPr>
          <w:rFonts w:eastAsia="Times New Roman"/>
        </w:rPr>
      </w:pPr>
    </w:p>
    <w:p>
      <w:pPr>
        <w:spacing w:line="322" w:lineRule="exact"/>
        <w:ind w:left="920"/>
        <w:rPr>
          <w:rFonts w:ascii="Arial Unicode MS" w:hAnsi="Arial Unicode MS" w:eastAsia="Arial Unicode MS"/>
          <w:sz w:val="24"/>
        </w:rPr>
      </w:pPr>
      <w:r>
        <w:rPr>
          <w:rFonts w:ascii="Arial Unicode MS" w:hAnsi="Arial Unicode MS" w:eastAsia="Arial Unicode MS"/>
          <w:sz w:val="24"/>
        </w:rPr>
        <w:t>（3）其他需要补充、细化的内容。</w:t>
      </w:r>
    </w:p>
    <w:p>
      <w:pPr>
        <w:tabs>
          <w:tab w:val="left" w:pos="1080"/>
        </w:tabs>
        <w:spacing w:line="360" w:lineRule="exact"/>
        <w:ind w:left="-376" w:leftChars="-171"/>
        <w:rPr>
          <w:rFonts w:cs="Times New Roman"/>
          <w:color w:val="000000"/>
          <w:sz w:val="24"/>
          <w:szCs w:val="24"/>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rPr>
          <w:rFonts w:ascii="黑体" w:eastAsia="黑体" w:cs="Times New Roman"/>
          <w:sz w:val="36"/>
          <w:szCs w:val="36"/>
        </w:rPr>
      </w:pPr>
    </w:p>
    <w:p>
      <w:pPr>
        <w:spacing w:before="240" w:after="240"/>
        <w:jc w:val="center"/>
        <w:rPr>
          <w:rFonts w:ascii="黑体" w:eastAsia="黑体" w:cs="Times New Roman"/>
          <w:b/>
          <w:bCs/>
          <w:sz w:val="30"/>
          <w:szCs w:val="30"/>
        </w:rPr>
      </w:pPr>
      <w:r>
        <w:rPr>
          <w:rFonts w:hint="eastAsia" w:ascii="黑体" w:eastAsia="黑体" w:cs="黑体"/>
          <w:b/>
          <w:bCs/>
          <w:sz w:val="30"/>
          <w:szCs w:val="30"/>
        </w:rPr>
        <w:t>项目专用条款数据表</w:t>
      </w:r>
    </w:p>
    <w:p>
      <w:pPr>
        <w:rPr>
          <w:rFonts w:cs="Times New Roman"/>
        </w:rPr>
      </w:pPr>
      <w:r>
        <w:rPr>
          <w:rFonts w:hint="eastAsia" w:ascii="黑体" w:eastAsia="黑体" w:cs="黑体"/>
        </w:rPr>
        <w:t>说明</w:t>
      </w:r>
      <w:r>
        <w:rPr>
          <w:rFonts w:hint="eastAsia"/>
        </w:rPr>
        <w:t>：</w:t>
      </w:r>
      <w:r>
        <w:rPr>
          <w:rFonts w:hint="eastAsia" w:ascii="楷体_GB2312" w:eastAsia="楷体_GB2312" w:cs="楷体_GB2312"/>
        </w:rPr>
        <w:t>本数据表是项目专用合同条款中适用于本项目的信息和数据的归纳与提示，是项目专用合同条款的组成部分。第八章“招标文件格式”的投标函附录中的数据（供投标人确认）与本表所列有重复。编写招标文件的单位应仔细校核，不使数据出现差错或不一致。</w:t>
      </w:r>
    </w:p>
    <w:tbl>
      <w:tblPr>
        <w:tblStyle w:val="20"/>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9" w:type="dxa"/>
            <w:tcBorders>
              <w:top w:val="single" w:color="auto" w:sz="12" w:space="0"/>
            </w:tcBorders>
            <w:noWrap/>
            <w:vAlign w:val="center"/>
          </w:tcPr>
          <w:p>
            <w:pPr>
              <w:jc w:val="center"/>
              <w:rPr>
                <w:rFonts w:cs="Times New Roman"/>
                <w:b/>
                <w:bCs/>
              </w:rPr>
            </w:pPr>
            <w:r>
              <w:rPr>
                <w:rFonts w:hint="eastAsia"/>
                <w:b/>
                <w:bCs/>
              </w:rPr>
              <w:t>序号</w:t>
            </w:r>
          </w:p>
        </w:tc>
        <w:tc>
          <w:tcPr>
            <w:tcW w:w="1484" w:type="dxa"/>
            <w:tcBorders>
              <w:top w:val="single" w:color="auto" w:sz="12" w:space="0"/>
            </w:tcBorders>
            <w:noWrap/>
            <w:vAlign w:val="center"/>
          </w:tcPr>
          <w:p>
            <w:pPr>
              <w:jc w:val="center"/>
              <w:rPr>
                <w:rFonts w:cs="Times New Roman"/>
                <w:b/>
                <w:bCs/>
              </w:rPr>
            </w:pPr>
            <w:r>
              <w:rPr>
                <w:rFonts w:hint="eastAsia"/>
                <w:b/>
                <w:bCs/>
              </w:rPr>
              <w:t>条款号</w:t>
            </w:r>
          </w:p>
        </w:tc>
        <w:tc>
          <w:tcPr>
            <w:tcW w:w="7426" w:type="dxa"/>
            <w:tcBorders>
              <w:top w:val="single" w:color="auto" w:sz="12" w:space="0"/>
            </w:tcBorders>
            <w:noWrap/>
            <w:vAlign w:val="center"/>
          </w:tcPr>
          <w:p>
            <w:pPr>
              <w:jc w:val="center"/>
              <w:rPr>
                <w:rFonts w:cs="Times New Roman"/>
                <w:b/>
                <w:bCs/>
              </w:rPr>
            </w:pPr>
            <w:r>
              <w:rPr>
                <w:rFonts w:hint="eastAsia"/>
                <w:b/>
                <w:bCs/>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729" w:type="dxa"/>
            <w:noWrap/>
            <w:vAlign w:val="center"/>
          </w:tcPr>
          <w:p>
            <w:pPr>
              <w:jc w:val="center"/>
              <w:rPr>
                <w:rFonts w:cs="Times New Roman"/>
                <w:sz w:val="24"/>
                <w:szCs w:val="24"/>
              </w:rPr>
            </w:pPr>
            <w:r>
              <w:t>1</w:t>
            </w:r>
          </w:p>
        </w:tc>
        <w:tc>
          <w:tcPr>
            <w:tcW w:w="1484" w:type="dxa"/>
            <w:noWrap/>
            <w:vAlign w:val="center"/>
          </w:tcPr>
          <w:p>
            <w:pPr>
              <w:jc w:val="center"/>
              <w:rPr>
                <w:rFonts w:cs="Times New Roman"/>
                <w:sz w:val="24"/>
                <w:szCs w:val="24"/>
              </w:rPr>
            </w:pPr>
            <w:r>
              <w:t>1.1.2.2</w:t>
            </w:r>
          </w:p>
        </w:tc>
        <w:tc>
          <w:tcPr>
            <w:tcW w:w="7426" w:type="dxa"/>
            <w:noWrap/>
            <w:vAlign w:val="center"/>
          </w:tcPr>
          <w:p>
            <w:pPr>
              <w:rPr>
                <w:rFonts w:hint="eastAsia" w:eastAsia="宋体" w:cs="Times New Roman"/>
                <w:lang w:eastAsia="zh-CN"/>
              </w:rPr>
            </w:pPr>
            <w:r>
              <w:rPr>
                <w:rFonts w:hint="eastAsia"/>
              </w:rPr>
              <w:t>发</w:t>
            </w:r>
            <w:r>
              <w:t xml:space="preserve"> </w:t>
            </w:r>
            <w:r>
              <w:rPr>
                <w:rFonts w:hint="eastAsia"/>
              </w:rPr>
              <w:t>包</w:t>
            </w:r>
            <w:r>
              <w:t xml:space="preserve"> </w:t>
            </w:r>
            <w:r>
              <w:rPr>
                <w:rFonts w:hint="eastAsia"/>
              </w:rPr>
              <w:t>人：</w:t>
            </w:r>
            <w:r>
              <w:rPr>
                <w:rFonts w:hint="eastAsia"/>
                <w:lang w:eastAsia="zh-CN"/>
              </w:rPr>
              <w:t>平乐县农村公路建设管理办公室</w:t>
            </w:r>
          </w:p>
          <w:p>
            <w:r>
              <w:rPr>
                <w:rFonts w:hint="eastAsia"/>
              </w:rPr>
              <w:t>地</w:t>
            </w:r>
            <w:r>
              <w:t xml:space="preserve">    </w:t>
            </w:r>
            <w:r>
              <w:rPr>
                <w:rFonts w:hint="eastAsia"/>
              </w:rPr>
              <w:t>址：平乐镇新安街</w:t>
            </w:r>
            <w:r>
              <w:t>231</w:t>
            </w:r>
            <w:r>
              <w:rPr>
                <w:rFonts w:hint="eastAsia"/>
              </w:rPr>
              <w:t>号</w:t>
            </w:r>
            <w:r>
              <w:t xml:space="preserve">         </w:t>
            </w:r>
          </w:p>
          <w:p>
            <w:pPr>
              <w:rPr>
                <w:rFonts w:cs="Times New Roman"/>
                <w:sz w:val="24"/>
                <w:szCs w:val="24"/>
              </w:rPr>
            </w:pPr>
            <w:r>
              <w:t xml:space="preserve"> </w:t>
            </w:r>
            <w:r>
              <w:rPr>
                <w:rFonts w:hint="eastAsia"/>
              </w:rPr>
              <w:t>邮政编码：</w:t>
            </w:r>
            <w:r>
              <w:t>542400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729" w:type="dxa"/>
            <w:noWrap/>
            <w:vAlign w:val="center"/>
          </w:tcPr>
          <w:p>
            <w:pPr>
              <w:jc w:val="center"/>
              <w:rPr>
                <w:rFonts w:cs="Times New Roman"/>
                <w:sz w:val="24"/>
                <w:szCs w:val="24"/>
              </w:rPr>
            </w:pPr>
            <w:r>
              <w:t>2</w:t>
            </w:r>
          </w:p>
        </w:tc>
        <w:tc>
          <w:tcPr>
            <w:tcW w:w="1484" w:type="dxa"/>
            <w:noWrap/>
            <w:vAlign w:val="center"/>
          </w:tcPr>
          <w:p>
            <w:pPr>
              <w:jc w:val="center"/>
              <w:rPr>
                <w:rFonts w:cs="Times New Roman"/>
                <w:sz w:val="24"/>
                <w:szCs w:val="24"/>
              </w:rPr>
            </w:pPr>
            <w:r>
              <w:t>1.1.2.6</w:t>
            </w:r>
          </w:p>
        </w:tc>
        <w:tc>
          <w:tcPr>
            <w:tcW w:w="7426" w:type="dxa"/>
            <w:noWrap/>
            <w:vAlign w:val="center"/>
          </w:tcPr>
          <w:p>
            <w:pPr>
              <w:rPr>
                <w:rFonts w:cs="Times New Roman"/>
              </w:rPr>
            </w:pPr>
            <w:r>
              <w:rPr>
                <w:rFonts w:hint="eastAsia"/>
              </w:rPr>
              <w:t>监</w:t>
            </w:r>
            <w:r>
              <w:t xml:space="preserve"> </w:t>
            </w:r>
            <w:r>
              <w:rPr>
                <w:rFonts w:hint="eastAsia"/>
              </w:rPr>
              <w:t>理</w:t>
            </w:r>
            <w:r>
              <w:t xml:space="preserve"> </w:t>
            </w:r>
            <w:r>
              <w:rPr>
                <w:rFonts w:hint="eastAsia"/>
              </w:rPr>
              <w:t>人：</w:t>
            </w:r>
          </w:p>
          <w:p>
            <w:pPr>
              <w:rPr>
                <w:rFonts w:cs="Times New Roman"/>
                <w:sz w:val="24"/>
                <w:szCs w:val="24"/>
              </w:rPr>
            </w:pPr>
            <w:r>
              <w:rPr>
                <w:rFonts w:hint="eastAsia"/>
              </w:rPr>
              <w:t>地</w:t>
            </w:r>
            <w:r>
              <w:t xml:space="preserve">    </w:t>
            </w:r>
            <w:r>
              <w:rPr>
                <w:rFonts w:hint="eastAsia"/>
              </w:rPr>
              <w:t>址：</w:t>
            </w:r>
            <w:r>
              <w:t xml:space="preserve">                             </w:t>
            </w:r>
            <w:r>
              <w:rPr>
                <w:rFonts w:hint="eastAsia"/>
              </w:rPr>
              <w:t>邮政编码：</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ign w:val="center"/>
          </w:tcPr>
          <w:p>
            <w:pPr>
              <w:jc w:val="center"/>
              <w:rPr>
                <w:rFonts w:cs="Times New Roman"/>
                <w:sz w:val="24"/>
                <w:szCs w:val="24"/>
              </w:rPr>
            </w:pPr>
            <w:r>
              <w:t>3</w:t>
            </w:r>
          </w:p>
        </w:tc>
        <w:tc>
          <w:tcPr>
            <w:tcW w:w="1484" w:type="dxa"/>
            <w:noWrap/>
            <w:vAlign w:val="center"/>
          </w:tcPr>
          <w:p>
            <w:pPr>
              <w:jc w:val="center"/>
              <w:rPr>
                <w:rFonts w:cs="Times New Roman"/>
                <w:sz w:val="24"/>
                <w:szCs w:val="24"/>
              </w:rPr>
            </w:pPr>
            <w:r>
              <w:t>1.1.4.5</w:t>
            </w:r>
          </w:p>
        </w:tc>
        <w:tc>
          <w:tcPr>
            <w:tcW w:w="7426" w:type="dxa"/>
            <w:noWrap/>
            <w:vAlign w:val="center"/>
          </w:tcPr>
          <w:p>
            <w:pPr>
              <w:rPr>
                <w:rFonts w:cs="Times New Roman"/>
                <w:sz w:val="24"/>
                <w:szCs w:val="24"/>
              </w:rPr>
            </w:pPr>
            <w:r>
              <w:rPr>
                <w:rFonts w:hint="eastAsia"/>
              </w:rPr>
              <w:t>缺陷责任期：自实际交工日期起</w:t>
            </w:r>
            <w:r>
              <w:rPr>
                <w:rFonts w:hint="eastAsia"/>
                <w:color w:val="auto"/>
              </w:rPr>
              <w:t>计算</w:t>
            </w:r>
            <w:r>
              <w:rPr>
                <w:color w:val="auto"/>
                <w:lang w:val="en-US"/>
              </w:rPr>
              <w:t>2</w:t>
            </w:r>
            <w:r>
              <w:rPr>
                <w:rFonts w:hint="eastAsia"/>
                <w:color w:val="auto"/>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ign w:val="center"/>
          </w:tcPr>
          <w:p>
            <w:pPr>
              <w:jc w:val="center"/>
              <w:rPr>
                <w:rFonts w:cs="Times New Roman"/>
                <w:sz w:val="24"/>
                <w:szCs w:val="24"/>
              </w:rPr>
            </w:pPr>
            <w:r>
              <w:t>4</w:t>
            </w:r>
          </w:p>
        </w:tc>
        <w:tc>
          <w:tcPr>
            <w:tcW w:w="1484" w:type="dxa"/>
            <w:noWrap/>
            <w:vAlign w:val="center"/>
          </w:tcPr>
          <w:p>
            <w:pPr>
              <w:jc w:val="center"/>
              <w:rPr>
                <w:rFonts w:cs="Times New Roman"/>
                <w:sz w:val="24"/>
                <w:szCs w:val="24"/>
              </w:rPr>
            </w:pPr>
            <w:r>
              <w:t>1.6.3</w:t>
            </w:r>
          </w:p>
        </w:tc>
        <w:tc>
          <w:tcPr>
            <w:tcW w:w="7426" w:type="dxa"/>
            <w:noWrap/>
            <w:vAlign w:val="center"/>
          </w:tcPr>
          <w:p>
            <w:pPr>
              <w:rPr>
                <w:rFonts w:cs="Times New Roman"/>
                <w:sz w:val="24"/>
                <w:szCs w:val="24"/>
              </w:rPr>
            </w:pPr>
            <w:r>
              <w:rPr>
                <w:rFonts w:hint="eastAsia"/>
              </w:rPr>
              <w:t>图纸需要修改和补充的，应由监理人取得发包人同意后，在该项工程或工程相应部位施工前</w:t>
            </w:r>
            <w:r>
              <w:t>7</w:t>
            </w:r>
            <w:r>
              <w:rPr>
                <w:rFonts w:hint="eastAsia"/>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ign w:val="center"/>
          </w:tcPr>
          <w:p>
            <w:pPr>
              <w:jc w:val="center"/>
              <w:rPr>
                <w:rFonts w:cs="Times New Roman"/>
                <w:sz w:val="24"/>
                <w:szCs w:val="24"/>
              </w:rPr>
            </w:pPr>
            <w:r>
              <w:t>5</w:t>
            </w:r>
          </w:p>
        </w:tc>
        <w:tc>
          <w:tcPr>
            <w:tcW w:w="1484" w:type="dxa"/>
            <w:noWrap/>
            <w:vAlign w:val="center"/>
          </w:tcPr>
          <w:p>
            <w:pPr>
              <w:jc w:val="center"/>
              <w:rPr>
                <w:rFonts w:cs="Times New Roman"/>
                <w:sz w:val="24"/>
                <w:szCs w:val="24"/>
              </w:rPr>
            </w:pPr>
            <w:r>
              <w:t>3.1.1</w:t>
            </w:r>
          </w:p>
        </w:tc>
        <w:tc>
          <w:tcPr>
            <w:tcW w:w="7426" w:type="dxa"/>
            <w:noWrap/>
            <w:vAlign w:val="center"/>
          </w:tcPr>
          <w:p>
            <w:pPr>
              <w:rPr>
                <w:rFonts w:cs="Times New Roman"/>
              </w:rPr>
            </w:pPr>
            <w:r>
              <w:rPr>
                <w:rFonts w:hint="eastAsia"/>
              </w:rPr>
              <w:t>监理人在行使下列权利前需要经发包人事先批准：</w:t>
            </w:r>
          </w:p>
          <w:p>
            <w:pPr>
              <w:rPr>
                <w:rFonts w:cs="Times New Roman"/>
                <w:sz w:val="24"/>
                <w:szCs w:val="24"/>
              </w:rPr>
            </w:pPr>
            <w:r>
              <w:rPr>
                <w:rFonts w:hint="eastAsia"/>
              </w:rPr>
              <w:t>（</w:t>
            </w:r>
            <w:r>
              <w:t>6</w:t>
            </w:r>
            <w:r>
              <w:rPr>
                <w:rFonts w:hint="eastAsia"/>
              </w:rPr>
              <w:t>）根据第</w:t>
            </w:r>
            <w:r>
              <w:t>15.3</w:t>
            </w:r>
            <w:r>
              <w:rPr>
                <w:rFonts w:hint="eastAsia"/>
              </w:rPr>
              <w:t>款发出的变更指示，其单项工程变更涉及的金额超过了该单项工程签约时合同价的</w:t>
            </w:r>
            <w:r>
              <w:t>15%</w:t>
            </w:r>
            <w:r>
              <w:rPr>
                <w:rFonts w:hint="eastAsia"/>
              </w:rPr>
              <w:t>或累计变更超过了签约合同价的</w:t>
            </w:r>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729" w:type="dxa"/>
            <w:noWrap/>
            <w:vAlign w:val="center"/>
          </w:tcPr>
          <w:p>
            <w:pPr>
              <w:jc w:val="center"/>
              <w:rPr>
                <w:rFonts w:cs="Times New Roman"/>
                <w:sz w:val="24"/>
                <w:szCs w:val="24"/>
              </w:rPr>
            </w:pPr>
            <w:r>
              <w:t>6</w:t>
            </w:r>
          </w:p>
        </w:tc>
        <w:tc>
          <w:tcPr>
            <w:tcW w:w="1484" w:type="dxa"/>
            <w:noWrap/>
            <w:vAlign w:val="center"/>
          </w:tcPr>
          <w:p>
            <w:pPr>
              <w:jc w:val="center"/>
              <w:rPr>
                <w:rFonts w:cs="Times New Roman"/>
                <w:sz w:val="24"/>
                <w:szCs w:val="24"/>
              </w:rPr>
            </w:pPr>
            <w:r>
              <w:t>5.1.1</w:t>
            </w:r>
          </w:p>
        </w:tc>
        <w:tc>
          <w:tcPr>
            <w:tcW w:w="7426" w:type="dxa"/>
            <w:noWrap/>
            <w:vAlign w:val="center"/>
          </w:tcPr>
          <w:p>
            <w:pPr>
              <w:rPr>
                <w:rFonts w:cs="Times New Roman"/>
              </w:rPr>
            </w:pPr>
            <w:r>
              <w:rPr>
                <w:rFonts w:hint="eastAsia"/>
              </w:rPr>
              <w:t>本项目承包人提供的材料：</w:t>
            </w:r>
          </w:p>
          <w:p>
            <w:pPr>
              <w:rPr>
                <w:rFonts w:cs="Times New Roman"/>
              </w:rPr>
            </w:pPr>
            <w:r>
              <w:rPr>
                <w:rFonts w:hint="eastAsia"/>
              </w:rPr>
              <w:t>砂：必须采用河砂</w:t>
            </w:r>
          </w:p>
          <w:p>
            <w:pPr>
              <w:rPr>
                <w:rFonts w:cs="Times New Roman"/>
                <w:sz w:val="24"/>
                <w:szCs w:val="24"/>
              </w:rPr>
            </w:pPr>
            <w:r>
              <w:rPr>
                <w:rFonts w:hint="eastAsia"/>
              </w:rPr>
              <w:t>水泥：必须采用大厂生产的旋窑水泥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exact"/>
          <w:jc w:val="center"/>
        </w:trPr>
        <w:tc>
          <w:tcPr>
            <w:tcW w:w="729" w:type="dxa"/>
            <w:noWrap/>
            <w:vAlign w:val="center"/>
          </w:tcPr>
          <w:p>
            <w:pPr>
              <w:jc w:val="center"/>
              <w:rPr>
                <w:rFonts w:cs="Times New Roman"/>
                <w:sz w:val="24"/>
                <w:szCs w:val="24"/>
              </w:rPr>
            </w:pPr>
            <w:r>
              <w:t>7</w:t>
            </w:r>
          </w:p>
        </w:tc>
        <w:tc>
          <w:tcPr>
            <w:tcW w:w="1484" w:type="dxa"/>
            <w:noWrap/>
            <w:vAlign w:val="center"/>
          </w:tcPr>
          <w:p>
            <w:pPr>
              <w:jc w:val="center"/>
              <w:rPr>
                <w:rFonts w:cs="Times New Roman"/>
                <w:sz w:val="24"/>
                <w:szCs w:val="24"/>
              </w:rPr>
            </w:pPr>
            <w:r>
              <w:t>5.2.1</w:t>
            </w:r>
          </w:p>
        </w:tc>
        <w:tc>
          <w:tcPr>
            <w:tcW w:w="7426" w:type="dxa"/>
            <w:noWrap/>
            <w:vAlign w:val="center"/>
          </w:tcPr>
          <w:p>
            <w:pPr>
              <w:rPr>
                <w:rFonts w:cs="Times New Roman"/>
              </w:rPr>
            </w:pPr>
            <w:r>
              <w:rPr>
                <w:rFonts w:hint="eastAsia"/>
              </w:rPr>
              <w:t>发包人是否提供材料或工程设备：否</w:t>
            </w:r>
          </w:p>
          <w:p>
            <w:pPr>
              <w:rPr>
                <w:rFonts w:cs="Times New Roman"/>
                <w:sz w:val="24"/>
                <w:szCs w:val="24"/>
              </w:rPr>
            </w:pPr>
            <w:r>
              <w:rPr>
                <w:rFonts w:hint="eastAsia"/>
              </w:rPr>
              <w:t>如发包人负责提供部分材料或工程设备，相关规定如下：</w:t>
            </w:r>
            <w: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ign w:val="center"/>
          </w:tcPr>
          <w:p>
            <w:pPr>
              <w:jc w:val="center"/>
              <w:rPr>
                <w:rFonts w:cs="Times New Roman"/>
                <w:sz w:val="24"/>
                <w:szCs w:val="24"/>
              </w:rPr>
            </w:pPr>
            <w:r>
              <w:t>8</w:t>
            </w:r>
          </w:p>
        </w:tc>
        <w:tc>
          <w:tcPr>
            <w:tcW w:w="1484" w:type="dxa"/>
            <w:noWrap/>
            <w:vAlign w:val="center"/>
          </w:tcPr>
          <w:p>
            <w:pPr>
              <w:jc w:val="center"/>
              <w:rPr>
                <w:rFonts w:cs="Times New Roman"/>
                <w:sz w:val="24"/>
                <w:szCs w:val="24"/>
              </w:rPr>
            </w:pPr>
            <w:r>
              <w:t>6.2</w:t>
            </w:r>
          </w:p>
        </w:tc>
        <w:tc>
          <w:tcPr>
            <w:tcW w:w="7426" w:type="dxa"/>
            <w:noWrap/>
            <w:vAlign w:val="center"/>
          </w:tcPr>
          <w:p>
            <w:pPr>
              <w:rPr>
                <w:rFonts w:cs="Times New Roman"/>
              </w:rPr>
            </w:pPr>
            <w:r>
              <w:rPr>
                <w:rFonts w:hint="eastAsia"/>
              </w:rPr>
              <w:t>发包人是否提供施工设备和临时设施：否</w:t>
            </w:r>
          </w:p>
          <w:p>
            <w:pPr>
              <w:rPr>
                <w:rFonts w:cs="Times New Roman"/>
                <w:sz w:val="24"/>
                <w:szCs w:val="24"/>
              </w:rPr>
            </w:pPr>
            <w:r>
              <w:rPr>
                <w:rFonts w:hint="eastAsia"/>
              </w:rPr>
              <w:t>如发包人负责提供部分施工设备和临时设施，相关规定如下：</w:t>
            </w:r>
            <w: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exact"/>
          <w:jc w:val="center"/>
        </w:trPr>
        <w:tc>
          <w:tcPr>
            <w:tcW w:w="729" w:type="dxa"/>
            <w:noWrap/>
            <w:vAlign w:val="center"/>
          </w:tcPr>
          <w:p>
            <w:pPr>
              <w:jc w:val="center"/>
              <w:rPr>
                <w:rFonts w:cs="Times New Roman"/>
                <w:sz w:val="24"/>
                <w:szCs w:val="24"/>
              </w:rPr>
            </w:pPr>
            <w:r>
              <w:t>9</w:t>
            </w:r>
          </w:p>
        </w:tc>
        <w:tc>
          <w:tcPr>
            <w:tcW w:w="1484" w:type="dxa"/>
            <w:noWrap/>
            <w:vAlign w:val="center"/>
          </w:tcPr>
          <w:p>
            <w:pPr>
              <w:jc w:val="center"/>
              <w:rPr>
                <w:rFonts w:cs="Times New Roman"/>
                <w:sz w:val="24"/>
                <w:szCs w:val="24"/>
              </w:rPr>
            </w:pPr>
            <w:r>
              <w:t>8.1.1</w:t>
            </w:r>
          </w:p>
        </w:tc>
        <w:tc>
          <w:tcPr>
            <w:tcW w:w="7426" w:type="dxa"/>
            <w:noWrap/>
            <w:vAlign w:val="center"/>
          </w:tcPr>
          <w:p>
            <w:pPr>
              <w:rPr>
                <w:rFonts w:cs="Times New Roman"/>
              </w:rPr>
            </w:pPr>
            <w:r>
              <w:rPr>
                <w:rFonts w:hint="eastAsia"/>
              </w:rPr>
              <w:t>发包人提供测量基准点、基准先和水准点及其书面资料的期限：</w:t>
            </w:r>
            <w:r>
              <w:t>7</w:t>
            </w:r>
            <w:r>
              <w:rPr>
                <w:rFonts w:hint="eastAsia"/>
              </w:rPr>
              <w:t>天</w:t>
            </w:r>
          </w:p>
          <w:p>
            <w:pPr>
              <w:rPr>
                <w:rFonts w:cs="Times New Roman"/>
                <w:sz w:val="24"/>
                <w:szCs w:val="24"/>
              </w:rPr>
            </w:pPr>
            <w:r>
              <w:rPr>
                <w:rFonts w:hint="eastAsia"/>
              </w:rPr>
              <w:t>承包人将施工控制网资料报送监理人审批的期限：</w:t>
            </w:r>
            <w:r>
              <w:t>7</w:t>
            </w:r>
            <w:r>
              <w:rPr>
                <w:rFonts w:hint="eastAsia"/>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ign w:val="center"/>
          </w:tcPr>
          <w:p>
            <w:pPr>
              <w:jc w:val="center"/>
              <w:rPr>
                <w:rFonts w:cs="Times New Roman"/>
                <w:sz w:val="24"/>
                <w:szCs w:val="24"/>
              </w:rPr>
            </w:pPr>
            <w:r>
              <w:t>10</w:t>
            </w:r>
          </w:p>
        </w:tc>
        <w:tc>
          <w:tcPr>
            <w:tcW w:w="1484" w:type="dxa"/>
            <w:noWrap/>
            <w:vAlign w:val="center"/>
          </w:tcPr>
          <w:p>
            <w:pPr>
              <w:jc w:val="center"/>
              <w:rPr>
                <w:rFonts w:cs="Times New Roman"/>
                <w:sz w:val="24"/>
                <w:szCs w:val="24"/>
              </w:rPr>
            </w:pPr>
            <w:r>
              <w:t>11.5</w:t>
            </w:r>
          </w:p>
        </w:tc>
        <w:tc>
          <w:tcPr>
            <w:tcW w:w="7426" w:type="dxa"/>
            <w:noWrap/>
            <w:vAlign w:val="center"/>
          </w:tcPr>
          <w:p>
            <w:pPr>
              <w:rPr>
                <w:rFonts w:cs="Times New Roman"/>
                <w:sz w:val="24"/>
                <w:szCs w:val="24"/>
              </w:rPr>
            </w:pPr>
            <w:r>
              <w:rPr>
                <w:rFonts w:hint="eastAsia"/>
              </w:rPr>
              <w:t>逾期交工违约金：</w:t>
            </w:r>
            <w:r>
              <w:t>3000</w:t>
            </w:r>
            <w:r>
              <w:rPr>
                <w:rFonts w:hint="eastAsia"/>
              </w:rPr>
              <w:t>元</w:t>
            </w:r>
            <w:r>
              <w:t>/</w:t>
            </w:r>
            <w:r>
              <w:rPr>
                <w:rFonts w:hint="eastAsia"/>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9" w:type="dxa"/>
            <w:noWrap/>
            <w:vAlign w:val="center"/>
          </w:tcPr>
          <w:p>
            <w:pPr>
              <w:jc w:val="center"/>
              <w:rPr>
                <w:rFonts w:cs="Times New Roman"/>
                <w:sz w:val="24"/>
                <w:szCs w:val="24"/>
              </w:rPr>
            </w:pPr>
            <w:r>
              <w:t>11</w:t>
            </w:r>
          </w:p>
        </w:tc>
        <w:tc>
          <w:tcPr>
            <w:tcW w:w="1484" w:type="dxa"/>
            <w:noWrap/>
            <w:vAlign w:val="center"/>
          </w:tcPr>
          <w:p>
            <w:pPr>
              <w:jc w:val="center"/>
              <w:rPr>
                <w:rFonts w:cs="Times New Roman"/>
                <w:sz w:val="24"/>
                <w:szCs w:val="24"/>
              </w:rPr>
            </w:pPr>
            <w:r>
              <w:t>11.5</w:t>
            </w:r>
          </w:p>
        </w:tc>
        <w:tc>
          <w:tcPr>
            <w:tcW w:w="7426" w:type="dxa"/>
            <w:noWrap/>
            <w:vAlign w:val="center"/>
          </w:tcPr>
          <w:p>
            <w:pPr>
              <w:rPr>
                <w:rFonts w:cs="Times New Roman"/>
                <w:sz w:val="24"/>
                <w:szCs w:val="24"/>
              </w:rPr>
            </w:pPr>
            <w:r>
              <w:rPr>
                <w:rFonts w:hint="eastAsia"/>
              </w:rPr>
              <w:t>逾期交工违约金限额：合同价的</w:t>
            </w:r>
            <w:r>
              <w:t>5%</w:t>
            </w:r>
            <w:r>
              <w:rPr>
                <w:rFonts w:hint="eastAsia"/>
              </w:rPr>
              <w:t>；在支付第一次进度款时扣除，投标人按时完工后，招标人在竣工后退还（不计利息），若中标人不按时完工，招标人将按</w:t>
            </w:r>
            <w:r>
              <w:t>3000</w:t>
            </w:r>
            <w:r>
              <w:rPr>
                <w:rFonts w:hint="eastAsia"/>
              </w:rPr>
              <w:t>元</w:t>
            </w:r>
            <w:r>
              <w:t>/</w:t>
            </w:r>
            <w:r>
              <w:rPr>
                <w:rFonts w:hint="eastAsia"/>
              </w:rPr>
              <w:t>天罚款，直至扣完为止。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ign w:val="center"/>
          </w:tcPr>
          <w:p>
            <w:pPr>
              <w:jc w:val="center"/>
              <w:rPr>
                <w:rFonts w:cs="Times New Roman"/>
                <w:sz w:val="24"/>
                <w:szCs w:val="24"/>
              </w:rPr>
            </w:pPr>
            <w:r>
              <w:t>12</w:t>
            </w:r>
          </w:p>
        </w:tc>
        <w:tc>
          <w:tcPr>
            <w:tcW w:w="1484" w:type="dxa"/>
            <w:noWrap/>
            <w:vAlign w:val="center"/>
          </w:tcPr>
          <w:p>
            <w:pPr>
              <w:jc w:val="center"/>
              <w:rPr>
                <w:rFonts w:cs="Times New Roman"/>
                <w:sz w:val="24"/>
                <w:szCs w:val="24"/>
              </w:rPr>
            </w:pPr>
            <w:r>
              <w:t>11.6</w:t>
            </w:r>
          </w:p>
        </w:tc>
        <w:tc>
          <w:tcPr>
            <w:tcW w:w="7426" w:type="dxa"/>
            <w:noWrap/>
            <w:vAlign w:val="center"/>
          </w:tcPr>
          <w:p>
            <w:pPr>
              <w:rPr>
                <w:rFonts w:cs="Times New Roman"/>
                <w:sz w:val="24"/>
                <w:szCs w:val="24"/>
              </w:rPr>
            </w:pPr>
            <w:r>
              <w:rPr>
                <w:rFonts w:hint="eastAsia"/>
              </w:rPr>
              <w:t>提前交工的奖金：不计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ign w:val="center"/>
          </w:tcPr>
          <w:p>
            <w:pPr>
              <w:jc w:val="center"/>
              <w:rPr>
                <w:rFonts w:cs="Times New Roman"/>
                <w:sz w:val="24"/>
                <w:szCs w:val="24"/>
              </w:rPr>
            </w:pPr>
            <w:r>
              <w:t>13</w:t>
            </w:r>
          </w:p>
        </w:tc>
        <w:tc>
          <w:tcPr>
            <w:tcW w:w="1484" w:type="dxa"/>
            <w:noWrap/>
            <w:vAlign w:val="center"/>
          </w:tcPr>
          <w:p>
            <w:pPr>
              <w:jc w:val="center"/>
              <w:rPr>
                <w:rFonts w:cs="Times New Roman"/>
                <w:sz w:val="24"/>
                <w:szCs w:val="24"/>
              </w:rPr>
            </w:pPr>
            <w:r>
              <w:t>11.6</w:t>
            </w:r>
          </w:p>
        </w:tc>
        <w:tc>
          <w:tcPr>
            <w:tcW w:w="7426" w:type="dxa"/>
            <w:noWrap/>
            <w:vAlign w:val="center"/>
          </w:tcPr>
          <w:p>
            <w:pPr>
              <w:rPr>
                <w:rFonts w:cs="Times New Roman"/>
                <w:sz w:val="24"/>
                <w:szCs w:val="24"/>
              </w:rPr>
            </w:pPr>
            <w:r>
              <w:rPr>
                <w:rFonts w:hint="eastAsia"/>
              </w:rPr>
              <w:t>提前交工的奖金限额：不计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tcBorders>
              <w:bottom w:val="single" w:color="auto" w:sz="12" w:space="0"/>
            </w:tcBorders>
            <w:noWrap/>
            <w:vAlign w:val="center"/>
          </w:tcPr>
          <w:p>
            <w:pPr>
              <w:jc w:val="center"/>
              <w:rPr>
                <w:rFonts w:cs="Times New Roman"/>
                <w:sz w:val="24"/>
                <w:szCs w:val="24"/>
              </w:rPr>
            </w:pPr>
            <w:r>
              <w:t>14</w:t>
            </w:r>
          </w:p>
        </w:tc>
        <w:tc>
          <w:tcPr>
            <w:tcW w:w="1484" w:type="dxa"/>
            <w:tcBorders>
              <w:bottom w:val="single" w:color="auto" w:sz="12" w:space="0"/>
            </w:tcBorders>
            <w:noWrap/>
            <w:vAlign w:val="center"/>
          </w:tcPr>
          <w:p>
            <w:pPr>
              <w:jc w:val="center"/>
              <w:rPr>
                <w:rFonts w:cs="Times New Roman"/>
                <w:sz w:val="24"/>
                <w:szCs w:val="24"/>
              </w:rPr>
            </w:pPr>
            <w:r>
              <w:t>15.2.2</w:t>
            </w:r>
          </w:p>
        </w:tc>
        <w:tc>
          <w:tcPr>
            <w:tcW w:w="7426" w:type="dxa"/>
            <w:tcBorders>
              <w:bottom w:val="single" w:color="auto" w:sz="12" w:space="0"/>
            </w:tcBorders>
            <w:noWrap/>
            <w:vAlign w:val="center"/>
          </w:tcPr>
          <w:p>
            <w:pPr>
              <w:rPr>
                <w:rFonts w:cs="Times New Roman"/>
              </w:rPr>
            </w:pPr>
            <w:r>
              <w:rPr>
                <w:rFonts w:hint="eastAsia"/>
              </w:rPr>
              <w:t>承包人提出的合理化建议降低了合同价格或者提高了工程经济效益的，发包人按所节约成本的</w:t>
            </w:r>
            <w:r>
              <w:rPr>
                <w:u w:val="single"/>
              </w:rPr>
              <w:t xml:space="preserve">  /  </w:t>
            </w:r>
            <w:r>
              <w:t>%</w:t>
            </w:r>
            <w:r>
              <w:rPr>
                <w:rFonts w:hint="eastAsia"/>
              </w:rPr>
              <w:t>或增加收益的</w:t>
            </w:r>
            <w:r>
              <w:rPr>
                <w:u w:val="single"/>
              </w:rPr>
              <w:t xml:space="preserve">  /  </w:t>
            </w:r>
            <w:r>
              <w:t>%</w:t>
            </w:r>
            <w:r>
              <w:rPr>
                <w:rFonts w:hint="eastAsia"/>
              </w:rPr>
              <w:t>给予奖励</w:t>
            </w:r>
          </w:p>
        </w:tc>
      </w:tr>
    </w:tbl>
    <w:p>
      <w:pPr>
        <w:jc w:val="right"/>
        <w:rPr>
          <w:rFonts w:cs="Times New Roman"/>
        </w:rPr>
      </w:pPr>
    </w:p>
    <w:p>
      <w:pPr>
        <w:jc w:val="right"/>
        <w:rPr>
          <w:rFonts w:cs="Times New Roman"/>
        </w:rPr>
      </w:pPr>
    </w:p>
    <w:p>
      <w:pPr>
        <w:jc w:val="right"/>
        <w:rPr>
          <w:rFonts w:cs="Times New Roman"/>
        </w:rPr>
      </w:pPr>
      <w:r>
        <w:rPr>
          <w:rFonts w:hint="eastAsia"/>
        </w:rPr>
        <w:t>续上表</w:t>
      </w:r>
    </w:p>
    <w:tbl>
      <w:tblPr>
        <w:tblStyle w:val="20"/>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tcBorders>
            <w:noWrap/>
            <w:vAlign w:val="center"/>
          </w:tcPr>
          <w:p>
            <w:pPr>
              <w:spacing w:line="360" w:lineRule="auto"/>
              <w:jc w:val="center"/>
              <w:rPr>
                <w:rFonts w:cs="Times New Roman"/>
                <w:sz w:val="24"/>
                <w:szCs w:val="24"/>
              </w:rPr>
            </w:pPr>
            <w:r>
              <w:rPr>
                <w:rFonts w:hint="eastAsia"/>
              </w:rPr>
              <w:t>序号</w:t>
            </w:r>
          </w:p>
        </w:tc>
        <w:tc>
          <w:tcPr>
            <w:tcW w:w="1484" w:type="dxa"/>
            <w:tcBorders>
              <w:top w:val="single" w:color="auto" w:sz="12" w:space="0"/>
            </w:tcBorders>
            <w:noWrap/>
            <w:vAlign w:val="center"/>
          </w:tcPr>
          <w:p>
            <w:pPr>
              <w:spacing w:line="360" w:lineRule="auto"/>
              <w:jc w:val="center"/>
              <w:rPr>
                <w:rFonts w:cs="Times New Roman"/>
                <w:sz w:val="24"/>
                <w:szCs w:val="24"/>
              </w:rPr>
            </w:pPr>
            <w:r>
              <w:rPr>
                <w:rFonts w:hint="eastAsia"/>
              </w:rPr>
              <w:t>条款号</w:t>
            </w:r>
          </w:p>
        </w:tc>
        <w:tc>
          <w:tcPr>
            <w:tcW w:w="7426" w:type="dxa"/>
            <w:tcBorders>
              <w:top w:val="single" w:color="auto" w:sz="12" w:space="0"/>
            </w:tcBorders>
            <w:noWrap/>
            <w:vAlign w:val="center"/>
          </w:tcPr>
          <w:p>
            <w:pPr>
              <w:spacing w:line="360" w:lineRule="auto"/>
              <w:jc w:val="center"/>
              <w:rPr>
                <w:rFonts w:cs="Times New Roman"/>
                <w:sz w:val="24"/>
                <w:szCs w:val="24"/>
              </w:rPr>
            </w:pPr>
            <w:r>
              <w:rPr>
                <w:rFonts w:hint="eastAsia"/>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tcBorders>
              <w:bottom w:val="single" w:color="auto" w:sz="4" w:space="0"/>
            </w:tcBorders>
            <w:noWrap/>
            <w:vAlign w:val="center"/>
          </w:tcPr>
          <w:p>
            <w:pPr>
              <w:jc w:val="center"/>
            </w:pPr>
            <w:r>
              <w:t>15</w:t>
            </w:r>
          </w:p>
        </w:tc>
        <w:tc>
          <w:tcPr>
            <w:tcW w:w="1484" w:type="dxa"/>
            <w:tcBorders>
              <w:bottom w:val="single" w:color="auto" w:sz="4" w:space="0"/>
            </w:tcBorders>
            <w:noWrap/>
            <w:vAlign w:val="center"/>
          </w:tcPr>
          <w:p>
            <w:pPr>
              <w:jc w:val="center"/>
            </w:pPr>
            <w:r>
              <w:t>16.1</w:t>
            </w:r>
          </w:p>
        </w:tc>
        <w:tc>
          <w:tcPr>
            <w:tcW w:w="7426" w:type="dxa"/>
            <w:tcBorders>
              <w:bottom w:val="single" w:color="auto" w:sz="4" w:space="0"/>
            </w:tcBorders>
            <w:noWrap/>
            <w:vAlign w:val="center"/>
          </w:tcPr>
          <w:p>
            <w:pPr>
              <w:ind w:firstLine="330" w:firstLineChars="150"/>
              <w:rPr>
                <w:rFonts w:cs="Times New Roman"/>
              </w:rPr>
            </w:pPr>
            <w:r>
              <w:rPr>
                <w:lang w:val="en-US"/>
              </w:rPr>
              <w:pict>
                <v:rect id="_x0000_s1056" o:spid="_x0000_s1056" o:spt="1" style="position:absolute;left:0pt;margin-left:0.75pt;margin-top:3.75pt;height:8.1pt;width:8.1pt;z-index:1024;mso-width-relative:page;mso-height-relative:page;" coordsize="21600,21600">
                  <v:path/>
                  <v:fill focussize="0,0"/>
                  <v:stroke/>
                  <v:imagedata o:title=""/>
                  <o:lock v:ext="edit"/>
                  <v:textbox>
                    <w:txbxContent>
                      <w:p/>
                    </w:txbxContent>
                  </v:textbox>
                </v:rect>
              </w:pict>
            </w:r>
            <w:r>
              <w:rPr>
                <w:rFonts w:hint="eastAsia"/>
              </w:rPr>
              <w:t>因物价波动引起的价格调整按照第</w:t>
            </w:r>
            <w:r>
              <w:t>16.1.1</w:t>
            </w:r>
            <w:r>
              <w:rPr>
                <w:rFonts w:hint="eastAsia"/>
              </w:rPr>
              <w:t>或</w:t>
            </w:r>
            <w:r>
              <w:t xml:space="preserve">16.1.2 </w:t>
            </w:r>
            <w:r>
              <w:rPr>
                <w:rFonts w:hint="eastAsia"/>
              </w:rPr>
              <w:t>项约定的原则处理</w:t>
            </w:r>
          </w:p>
          <w:p>
            <w:pPr>
              <w:rPr>
                <w:rFonts w:cs="Times New Roman"/>
              </w:rPr>
            </w:pPr>
            <w:r>
              <w:rPr>
                <w:rFonts w:hint="eastAsia"/>
              </w:rPr>
              <w:t>若按第</w:t>
            </w:r>
            <w:r>
              <w:t>16.1.1</w:t>
            </w:r>
            <w:r>
              <w:rPr>
                <w:rFonts w:hint="eastAsia"/>
              </w:rPr>
              <w:t>项的约定采用价格调整公式进行调价，每半年或一年按价格调整公式进行一次调整</w:t>
            </w:r>
          </w:p>
          <w:p>
            <w:pPr>
              <w:rPr>
                <w:rFonts w:cs="Times New Roman"/>
              </w:rPr>
            </w:pPr>
            <w:r>
              <w:fldChar w:fldCharType="begin"/>
            </w:r>
            <w:r>
              <w:instrText xml:space="preserve">eq \o\ac(</w:instrText>
            </w:r>
            <w:r>
              <w:rPr>
                <w:rFonts w:hint="eastAsia"/>
              </w:rPr>
              <w:instrText xml:space="preserve">□</w:instrText>
            </w:r>
            <w:r>
              <w:instrText xml:space="preserve">,</w:instrText>
            </w:r>
            <w:r>
              <w:rPr>
                <w:rFonts w:hint="eastAsia"/>
              </w:rPr>
              <w:instrText xml:space="preserve">√</w:instrText>
            </w:r>
            <w:r>
              <w:instrText xml:space="preserve">)</w:instrText>
            </w:r>
            <w:r>
              <w:fldChar w:fldCharType="end"/>
            </w:r>
            <w:r>
              <w:t xml:space="preserve"> </w:t>
            </w:r>
            <w:r>
              <w:rPr>
                <w:rFonts w:hint="eastAsia"/>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4" w:space="0"/>
            </w:tcBorders>
            <w:noWrap/>
            <w:vAlign w:val="center"/>
          </w:tcPr>
          <w:p>
            <w:pPr>
              <w:spacing w:line="360" w:lineRule="auto"/>
              <w:jc w:val="center"/>
              <w:rPr>
                <w:rFonts w:cs="Times New Roman"/>
                <w:sz w:val="24"/>
                <w:szCs w:val="24"/>
              </w:rPr>
            </w:pPr>
            <w:r>
              <w:t>16</w:t>
            </w:r>
          </w:p>
        </w:tc>
        <w:tc>
          <w:tcPr>
            <w:tcW w:w="1484" w:type="dxa"/>
            <w:tcBorders>
              <w:top w:val="single" w:color="auto" w:sz="4" w:space="0"/>
            </w:tcBorders>
            <w:noWrap/>
            <w:vAlign w:val="center"/>
          </w:tcPr>
          <w:p>
            <w:pPr>
              <w:spacing w:line="360" w:lineRule="auto"/>
              <w:jc w:val="center"/>
              <w:rPr>
                <w:rFonts w:cs="Times New Roman"/>
                <w:sz w:val="24"/>
                <w:szCs w:val="24"/>
              </w:rPr>
            </w:pPr>
            <w:r>
              <w:t>17.2.1</w:t>
            </w:r>
          </w:p>
        </w:tc>
        <w:tc>
          <w:tcPr>
            <w:tcW w:w="7426" w:type="dxa"/>
            <w:tcBorders>
              <w:top w:val="single" w:color="auto" w:sz="4" w:space="0"/>
            </w:tcBorders>
            <w:noWrap/>
            <w:vAlign w:val="center"/>
          </w:tcPr>
          <w:p>
            <w:pPr>
              <w:spacing w:line="360" w:lineRule="auto"/>
              <w:rPr>
                <w:rFonts w:cs="Times New Roman"/>
                <w:sz w:val="24"/>
                <w:szCs w:val="24"/>
              </w:rPr>
            </w:pPr>
            <w:r>
              <w:rPr>
                <w:rFonts w:hint="eastAsia"/>
                <w:color w:val="auto"/>
              </w:rPr>
              <w:t>开工预付款金额：</w:t>
            </w:r>
            <w:r>
              <w:rPr>
                <w:color w:val="auto"/>
                <w:u w:val="single"/>
              </w:rPr>
              <w:t xml:space="preserve">  </w:t>
            </w:r>
            <w:r>
              <w:rPr>
                <w:rFonts w:hint="eastAsia"/>
                <w:color w:val="auto"/>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17</w:t>
            </w:r>
          </w:p>
        </w:tc>
        <w:tc>
          <w:tcPr>
            <w:tcW w:w="1484" w:type="dxa"/>
            <w:noWrap/>
            <w:vAlign w:val="center"/>
          </w:tcPr>
          <w:p>
            <w:pPr>
              <w:spacing w:line="360" w:lineRule="auto"/>
              <w:jc w:val="center"/>
              <w:rPr>
                <w:rFonts w:cs="Times New Roman"/>
                <w:sz w:val="24"/>
                <w:szCs w:val="24"/>
              </w:rPr>
            </w:pPr>
            <w:r>
              <w:t>17.2.1</w:t>
            </w:r>
          </w:p>
        </w:tc>
        <w:tc>
          <w:tcPr>
            <w:tcW w:w="7426" w:type="dxa"/>
            <w:noWrap/>
            <w:vAlign w:val="center"/>
          </w:tcPr>
          <w:p>
            <w:pPr>
              <w:spacing w:line="360" w:lineRule="auto"/>
              <w:rPr>
                <w:rFonts w:cs="Times New Roman"/>
                <w:sz w:val="24"/>
                <w:szCs w:val="24"/>
              </w:rPr>
            </w:pPr>
            <w:r>
              <w:rPr>
                <w:rFonts w:hint="eastAsia"/>
              </w:rPr>
              <w:t>材料、设备预付款比例：</w:t>
            </w:r>
            <w:r>
              <w:rPr>
                <w:u w:val="single"/>
              </w:rPr>
              <w:t xml:space="preserve"> </w:t>
            </w:r>
            <w:r>
              <w:rPr>
                <w:rFonts w:hint="eastAsia"/>
                <w:u w:val="single"/>
              </w:rPr>
              <w:t>无</w:t>
            </w:r>
            <w:r>
              <w:rPr>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18</w:t>
            </w:r>
          </w:p>
        </w:tc>
        <w:tc>
          <w:tcPr>
            <w:tcW w:w="1484" w:type="dxa"/>
            <w:noWrap/>
            <w:vAlign w:val="center"/>
          </w:tcPr>
          <w:p>
            <w:pPr>
              <w:spacing w:line="360" w:lineRule="auto"/>
              <w:jc w:val="center"/>
              <w:rPr>
                <w:rFonts w:cs="Times New Roman"/>
                <w:sz w:val="24"/>
                <w:szCs w:val="24"/>
              </w:rPr>
            </w:pPr>
            <w:r>
              <w:t>17.3.2</w:t>
            </w:r>
          </w:p>
        </w:tc>
        <w:tc>
          <w:tcPr>
            <w:tcW w:w="7426" w:type="dxa"/>
            <w:noWrap/>
            <w:vAlign w:val="center"/>
          </w:tcPr>
          <w:p>
            <w:pPr>
              <w:spacing w:line="360" w:lineRule="auto"/>
              <w:rPr>
                <w:rFonts w:cs="Times New Roman"/>
                <w:sz w:val="24"/>
                <w:szCs w:val="24"/>
              </w:rPr>
            </w:pPr>
            <w:r>
              <w:rPr>
                <w:rFonts w:hint="eastAsia"/>
              </w:rPr>
              <w:t>承包人在每个付款周期末向监理人提交进度付款申请单的份数：</w:t>
            </w:r>
            <w:r>
              <w:t>6</w:t>
            </w:r>
            <w:r>
              <w:rPr>
                <w:rFonts w:hint="eastAsia"/>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729" w:type="dxa"/>
            <w:noWrap/>
            <w:vAlign w:val="center"/>
          </w:tcPr>
          <w:p>
            <w:pPr>
              <w:spacing w:line="360" w:lineRule="auto"/>
              <w:jc w:val="center"/>
              <w:rPr>
                <w:rFonts w:cs="Times New Roman"/>
                <w:sz w:val="24"/>
                <w:szCs w:val="24"/>
              </w:rPr>
            </w:pPr>
            <w:r>
              <w:t>19</w:t>
            </w:r>
          </w:p>
        </w:tc>
        <w:tc>
          <w:tcPr>
            <w:tcW w:w="1484" w:type="dxa"/>
            <w:noWrap/>
            <w:vAlign w:val="center"/>
          </w:tcPr>
          <w:p>
            <w:pPr>
              <w:spacing w:line="360" w:lineRule="auto"/>
              <w:jc w:val="center"/>
              <w:rPr>
                <w:rFonts w:cs="Times New Roman"/>
                <w:sz w:val="24"/>
                <w:szCs w:val="24"/>
              </w:rPr>
            </w:pPr>
            <w:r>
              <w:t>17.3.3</w:t>
            </w:r>
            <w:r>
              <w:rPr>
                <w:rFonts w:hint="eastAsia"/>
              </w:rPr>
              <w:t>（</w:t>
            </w:r>
            <w:r>
              <w:t>1</w:t>
            </w:r>
            <w:r>
              <w:rPr>
                <w:rFonts w:hint="eastAsia"/>
              </w:rPr>
              <w:t>）</w:t>
            </w:r>
          </w:p>
        </w:tc>
        <w:tc>
          <w:tcPr>
            <w:tcW w:w="7426" w:type="dxa"/>
            <w:noWrap/>
            <w:vAlign w:val="center"/>
          </w:tcPr>
          <w:p>
            <w:pPr>
              <w:spacing w:line="360" w:lineRule="auto"/>
              <w:rPr>
                <w:rFonts w:cs="Times New Roman"/>
                <w:color w:val="auto"/>
              </w:rPr>
            </w:pPr>
            <w:r>
              <w:rPr>
                <w:rFonts w:hint="eastAsia"/>
                <w:color w:val="auto"/>
              </w:rPr>
              <w:t>工程进度款的支付方式：</w:t>
            </w:r>
          </w:p>
          <w:p>
            <w:pPr>
              <w:spacing w:line="360" w:lineRule="auto"/>
              <w:rPr>
                <w:rFonts w:cs="Times New Roman"/>
              </w:rPr>
            </w:pPr>
            <w:r>
              <w:rPr>
                <w:rFonts w:hint="eastAsia"/>
                <w:color w:val="auto"/>
              </w:rPr>
              <w:t>按每月实际完成工程量的</w:t>
            </w:r>
            <w:r>
              <w:rPr>
                <w:color w:val="auto"/>
              </w:rPr>
              <w:t>70%</w:t>
            </w:r>
            <w:r>
              <w:rPr>
                <w:rFonts w:hint="eastAsia"/>
                <w:color w:val="auto"/>
              </w:rPr>
              <w:t>支付，工程完工验收合格后支付至审核后总造价的</w:t>
            </w:r>
            <w:r>
              <w:rPr>
                <w:color w:val="auto"/>
              </w:rPr>
              <w:t>95%</w:t>
            </w:r>
            <w:r>
              <w:rPr>
                <w:rFonts w:hint="eastAsia"/>
                <w:color w:val="auto"/>
              </w:rPr>
              <w:t>，余</w:t>
            </w:r>
            <w:r>
              <w:rPr>
                <w:color w:val="auto"/>
              </w:rPr>
              <w:t>5%</w:t>
            </w:r>
            <w:r>
              <w:rPr>
                <w:rFonts w:hint="eastAsia"/>
                <w:color w:val="auto"/>
              </w:rPr>
              <w:t>作为质量保证金，质保期满后</w:t>
            </w:r>
            <w:r>
              <w:rPr>
                <w:color w:val="auto"/>
              </w:rPr>
              <w:t>1</w:t>
            </w:r>
            <w:r>
              <w:rPr>
                <w:rFonts w:hint="eastAsia"/>
                <w:color w:val="auto"/>
              </w:rPr>
              <w:t>个月内支付（无息）。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20</w:t>
            </w:r>
          </w:p>
        </w:tc>
        <w:tc>
          <w:tcPr>
            <w:tcW w:w="1484" w:type="dxa"/>
            <w:noWrap/>
            <w:vAlign w:val="center"/>
          </w:tcPr>
          <w:p>
            <w:pPr>
              <w:spacing w:line="360" w:lineRule="auto"/>
              <w:jc w:val="center"/>
              <w:rPr>
                <w:rFonts w:cs="Times New Roman"/>
                <w:sz w:val="24"/>
                <w:szCs w:val="24"/>
              </w:rPr>
            </w:pPr>
            <w:r>
              <w:t>17.3.3</w:t>
            </w:r>
            <w:r>
              <w:rPr>
                <w:rFonts w:hint="eastAsia"/>
              </w:rPr>
              <w:t>（</w:t>
            </w:r>
            <w:r>
              <w:t>2</w:t>
            </w:r>
            <w:r>
              <w:rPr>
                <w:rFonts w:hint="eastAsia"/>
              </w:rPr>
              <w:t>）</w:t>
            </w:r>
          </w:p>
        </w:tc>
        <w:tc>
          <w:tcPr>
            <w:tcW w:w="7426" w:type="dxa"/>
            <w:noWrap/>
            <w:vAlign w:val="center"/>
          </w:tcPr>
          <w:p>
            <w:pPr>
              <w:spacing w:line="360" w:lineRule="auto"/>
              <w:rPr>
                <w:rFonts w:cs="Times New Roman"/>
              </w:rPr>
            </w:pPr>
            <w:r>
              <w:rPr>
                <w:rFonts w:hint="eastAsia"/>
              </w:rPr>
              <w:t>逾期付款违约金的利率：</w:t>
            </w:r>
            <w:r>
              <w:t>0.16</w:t>
            </w:r>
            <w:r>
              <w:rPr>
                <w:rFonts w:hint="eastAsia"/>
              </w:rPr>
              <w:t>‰</w:t>
            </w:r>
            <w:r>
              <w:t>/</w:t>
            </w:r>
            <w:r>
              <w:rPr>
                <w:rFonts w:hint="eastAsia"/>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21</w:t>
            </w:r>
          </w:p>
        </w:tc>
        <w:tc>
          <w:tcPr>
            <w:tcW w:w="1484" w:type="dxa"/>
            <w:noWrap/>
            <w:vAlign w:val="center"/>
          </w:tcPr>
          <w:p>
            <w:pPr>
              <w:spacing w:line="360" w:lineRule="auto"/>
              <w:jc w:val="center"/>
              <w:rPr>
                <w:rFonts w:cs="Times New Roman"/>
                <w:sz w:val="24"/>
                <w:szCs w:val="24"/>
              </w:rPr>
            </w:pPr>
            <w:r>
              <w:t>17.4.1</w:t>
            </w:r>
          </w:p>
        </w:tc>
        <w:tc>
          <w:tcPr>
            <w:tcW w:w="7426" w:type="dxa"/>
            <w:noWrap/>
            <w:vAlign w:val="center"/>
          </w:tcPr>
          <w:p>
            <w:pPr>
              <w:spacing w:line="360" w:lineRule="auto"/>
              <w:rPr>
                <w:rFonts w:cs="Times New Roman"/>
                <w:sz w:val="24"/>
                <w:szCs w:val="24"/>
              </w:rPr>
            </w:pPr>
            <w:r>
              <w:rPr>
                <w:rFonts w:hint="eastAsia"/>
              </w:rPr>
              <w:t>质量保证金百分比：月支付额的</w:t>
            </w:r>
            <w:r>
              <w:rPr>
                <w:u w:val="single"/>
              </w:rPr>
              <w:t xml:space="preserve">  5  </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22</w:t>
            </w:r>
          </w:p>
        </w:tc>
        <w:tc>
          <w:tcPr>
            <w:tcW w:w="1484" w:type="dxa"/>
            <w:noWrap/>
            <w:vAlign w:val="center"/>
          </w:tcPr>
          <w:p>
            <w:pPr>
              <w:spacing w:line="360" w:lineRule="auto"/>
              <w:jc w:val="center"/>
              <w:rPr>
                <w:rFonts w:cs="Times New Roman"/>
                <w:sz w:val="24"/>
                <w:szCs w:val="24"/>
              </w:rPr>
            </w:pPr>
            <w:r>
              <w:t>17.4.1</w:t>
            </w:r>
          </w:p>
        </w:tc>
        <w:tc>
          <w:tcPr>
            <w:tcW w:w="7426" w:type="dxa"/>
            <w:noWrap/>
            <w:vAlign w:val="center"/>
          </w:tcPr>
          <w:p>
            <w:pPr>
              <w:spacing w:line="360" w:lineRule="auto"/>
              <w:rPr>
                <w:rFonts w:cs="Times New Roman"/>
                <w:sz w:val="24"/>
                <w:szCs w:val="24"/>
              </w:rPr>
            </w:pPr>
            <w:r>
              <w:rPr>
                <w:rFonts w:hint="eastAsia"/>
              </w:rPr>
              <w:t>质量保证金限额：</w:t>
            </w:r>
            <w:r>
              <w:t>5%</w:t>
            </w:r>
            <w:r>
              <w:rPr>
                <w:rFonts w:hint="eastAsia"/>
              </w:rPr>
              <w:t>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23</w:t>
            </w:r>
          </w:p>
        </w:tc>
        <w:tc>
          <w:tcPr>
            <w:tcW w:w="1484" w:type="dxa"/>
            <w:noWrap/>
            <w:vAlign w:val="center"/>
          </w:tcPr>
          <w:p>
            <w:pPr>
              <w:spacing w:line="360" w:lineRule="auto"/>
              <w:jc w:val="center"/>
              <w:rPr>
                <w:rFonts w:cs="Times New Roman"/>
                <w:sz w:val="24"/>
                <w:szCs w:val="24"/>
              </w:rPr>
            </w:pPr>
            <w:r>
              <w:t>17.5.1</w:t>
            </w:r>
          </w:p>
        </w:tc>
        <w:tc>
          <w:tcPr>
            <w:tcW w:w="7426" w:type="dxa"/>
            <w:noWrap/>
            <w:vAlign w:val="center"/>
          </w:tcPr>
          <w:p>
            <w:pPr>
              <w:spacing w:line="360" w:lineRule="auto"/>
              <w:rPr>
                <w:rFonts w:cs="Times New Roman"/>
                <w:sz w:val="24"/>
                <w:szCs w:val="24"/>
              </w:rPr>
            </w:pPr>
            <w:r>
              <w:rPr>
                <w:rFonts w:hint="eastAsia"/>
              </w:rPr>
              <w:t>承包人向监理人提交交工付款申请单（包括相关证明材料）的份数：</w:t>
            </w:r>
            <w:r>
              <w:t>6</w:t>
            </w:r>
            <w:r>
              <w:rPr>
                <w:rFonts w:hint="eastAsia"/>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24</w:t>
            </w:r>
          </w:p>
        </w:tc>
        <w:tc>
          <w:tcPr>
            <w:tcW w:w="1484" w:type="dxa"/>
            <w:noWrap/>
            <w:vAlign w:val="center"/>
          </w:tcPr>
          <w:p>
            <w:pPr>
              <w:spacing w:line="360" w:lineRule="auto"/>
              <w:jc w:val="center"/>
              <w:rPr>
                <w:rFonts w:cs="Times New Roman"/>
                <w:sz w:val="24"/>
                <w:szCs w:val="24"/>
              </w:rPr>
            </w:pPr>
            <w:r>
              <w:t>17.6.1</w:t>
            </w:r>
          </w:p>
        </w:tc>
        <w:tc>
          <w:tcPr>
            <w:tcW w:w="7426" w:type="dxa"/>
            <w:noWrap/>
            <w:vAlign w:val="center"/>
          </w:tcPr>
          <w:p>
            <w:pPr>
              <w:spacing w:line="360" w:lineRule="auto"/>
              <w:rPr>
                <w:rFonts w:cs="Times New Roman"/>
                <w:sz w:val="24"/>
                <w:szCs w:val="24"/>
              </w:rPr>
            </w:pPr>
            <w:r>
              <w:rPr>
                <w:rFonts w:hint="eastAsia"/>
              </w:rPr>
              <w:t>承包人向监理人提交最终结清申请单（包括相关证明材料）的份数：</w:t>
            </w:r>
            <w:r>
              <w:t>6</w:t>
            </w:r>
            <w:r>
              <w:rPr>
                <w:rFonts w:hint="eastAsia"/>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25</w:t>
            </w:r>
          </w:p>
        </w:tc>
        <w:tc>
          <w:tcPr>
            <w:tcW w:w="1484" w:type="dxa"/>
            <w:noWrap/>
            <w:vAlign w:val="center"/>
          </w:tcPr>
          <w:p>
            <w:pPr>
              <w:spacing w:line="360" w:lineRule="auto"/>
              <w:jc w:val="center"/>
              <w:rPr>
                <w:rFonts w:cs="Times New Roman"/>
                <w:sz w:val="24"/>
                <w:szCs w:val="24"/>
              </w:rPr>
            </w:pPr>
            <w:r>
              <w:t>18.2</w:t>
            </w:r>
          </w:p>
        </w:tc>
        <w:tc>
          <w:tcPr>
            <w:tcW w:w="7426" w:type="dxa"/>
            <w:noWrap/>
            <w:vAlign w:val="center"/>
          </w:tcPr>
          <w:p>
            <w:pPr>
              <w:spacing w:line="360" w:lineRule="auto"/>
              <w:rPr>
                <w:rFonts w:cs="Times New Roman"/>
                <w:sz w:val="24"/>
                <w:szCs w:val="24"/>
              </w:rPr>
            </w:pPr>
            <w:r>
              <w:rPr>
                <w:rFonts w:hint="eastAsia"/>
              </w:rPr>
              <w:t>竣工资料的份数：</w:t>
            </w:r>
            <w:r>
              <w:t>3</w:t>
            </w:r>
            <w:r>
              <w:rPr>
                <w:rFonts w:hint="eastAsia"/>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26</w:t>
            </w:r>
          </w:p>
        </w:tc>
        <w:tc>
          <w:tcPr>
            <w:tcW w:w="1484" w:type="dxa"/>
            <w:noWrap/>
            <w:vAlign w:val="center"/>
          </w:tcPr>
          <w:p>
            <w:pPr>
              <w:spacing w:line="360" w:lineRule="auto"/>
              <w:jc w:val="center"/>
              <w:rPr>
                <w:rFonts w:cs="Times New Roman"/>
                <w:sz w:val="24"/>
                <w:szCs w:val="24"/>
              </w:rPr>
            </w:pPr>
            <w:r>
              <w:t>18.5.1</w:t>
            </w:r>
          </w:p>
        </w:tc>
        <w:tc>
          <w:tcPr>
            <w:tcW w:w="7426" w:type="dxa"/>
            <w:noWrap/>
            <w:vAlign w:val="center"/>
          </w:tcPr>
          <w:p>
            <w:pPr>
              <w:spacing w:line="360" w:lineRule="auto"/>
              <w:rPr>
                <w:rFonts w:cs="Times New Roman"/>
              </w:rPr>
            </w:pPr>
            <w:r>
              <w:rPr>
                <w:rFonts w:hint="eastAsia"/>
              </w:rPr>
              <w:t>单位工程或工程设备是否需投入施工期运行：否</w:t>
            </w:r>
          </w:p>
          <w:p>
            <w:pPr>
              <w:spacing w:line="360" w:lineRule="auto"/>
              <w:rPr>
                <w:rFonts w:cs="Times New Roman"/>
                <w:sz w:val="24"/>
                <w:szCs w:val="24"/>
              </w:rPr>
            </w:pPr>
            <w:r>
              <w:rPr>
                <w:rFonts w:hint="eastAsia"/>
              </w:rPr>
              <w:t>如单位工程或工程设备需要进行施工期运行，需要施工期运行的单位工程或工程设备规定如下：</w:t>
            </w:r>
            <w:r>
              <w:rPr>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27</w:t>
            </w:r>
          </w:p>
        </w:tc>
        <w:tc>
          <w:tcPr>
            <w:tcW w:w="1484" w:type="dxa"/>
            <w:noWrap/>
            <w:vAlign w:val="center"/>
          </w:tcPr>
          <w:p>
            <w:pPr>
              <w:spacing w:line="360" w:lineRule="auto"/>
              <w:jc w:val="center"/>
              <w:rPr>
                <w:rFonts w:cs="Times New Roman"/>
                <w:sz w:val="24"/>
                <w:szCs w:val="24"/>
              </w:rPr>
            </w:pPr>
            <w:r>
              <w:t>18.6.1</w:t>
            </w:r>
          </w:p>
        </w:tc>
        <w:tc>
          <w:tcPr>
            <w:tcW w:w="7426" w:type="dxa"/>
            <w:noWrap/>
            <w:vAlign w:val="center"/>
          </w:tcPr>
          <w:p>
            <w:pPr>
              <w:spacing w:line="360" w:lineRule="auto"/>
              <w:rPr>
                <w:rFonts w:cs="Times New Roman"/>
              </w:rPr>
            </w:pPr>
            <w:r>
              <w:rPr>
                <w:rFonts w:hint="eastAsia"/>
              </w:rPr>
              <w:t>本工程及工程设备是否进行试运行：否</w:t>
            </w:r>
          </w:p>
          <w:p>
            <w:pPr>
              <w:spacing w:line="360" w:lineRule="auto"/>
              <w:rPr>
                <w:rFonts w:cs="Times New Roman"/>
                <w:sz w:val="24"/>
                <w:szCs w:val="24"/>
              </w:rPr>
            </w:pPr>
            <w:r>
              <w:rPr>
                <w:rFonts w:hint="eastAsia"/>
              </w:rPr>
              <w:t>如本工程及工程设备需要进行试运行，试运行的具体规定如下：</w:t>
            </w:r>
            <w:r>
              <w:rPr>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29" w:type="dxa"/>
            <w:noWrap/>
            <w:vAlign w:val="center"/>
          </w:tcPr>
          <w:p>
            <w:pPr>
              <w:spacing w:line="360" w:lineRule="auto"/>
              <w:jc w:val="center"/>
              <w:rPr>
                <w:rFonts w:cs="Times New Roman"/>
                <w:sz w:val="24"/>
                <w:szCs w:val="24"/>
              </w:rPr>
            </w:pPr>
            <w:r>
              <w:t>28</w:t>
            </w:r>
          </w:p>
        </w:tc>
        <w:tc>
          <w:tcPr>
            <w:tcW w:w="1484" w:type="dxa"/>
            <w:noWrap/>
            <w:vAlign w:val="center"/>
          </w:tcPr>
          <w:p>
            <w:pPr>
              <w:spacing w:line="360" w:lineRule="auto"/>
              <w:jc w:val="center"/>
              <w:rPr>
                <w:rFonts w:cs="Times New Roman"/>
                <w:sz w:val="24"/>
                <w:szCs w:val="24"/>
              </w:rPr>
            </w:pPr>
            <w:r>
              <w:t>19.7</w:t>
            </w:r>
          </w:p>
        </w:tc>
        <w:tc>
          <w:tcPr>
            <w:tcW w:w="7426" w:type="dxa"/>
            <w:noWrap/>
            <w:vAlign w:val="center"/>
          </w:tcPr>
          <w:p>
            <w:pPr>
              <w:spacing w:line="360" w:lineRule="auto"/>
              <w:rPr>
                <w:rFonts w:cs="Times New Roman"/>
                <w:sz w:val="24"/>
                <w:szCs w:val="24"/>
              </w:rPr>
            </w:pPr>
            <w:r>
              <w:rPr>
                <w:rFonts w:hint="eastAsia"/>
              </w:rPr>
              <w:t>保修期：自实际交工日期起计算</w:t>
            </w:r>
            <w:r>
              <w:t>1</w:t>
            </w:r>
            <w:r>
              <w:rPr>
                <w:rFonts w:hint="eastAsia"/>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29</w:t>
            </w:r>
          </w:p>
        </w:tc>
        <w:tc>
          <w:tcPr>
            <w:tcW w:w="1484" w:type="dxa"/>
            <w:noWrap/>
            <w:vAlign w:val="center"/>
          </w:tcPr>
          <w:p>
            <w:pPr>
              <w:spacing w:line="360" w:lineRule="auto"/>
              <w:jc w:val="center"/>
              <w:rPr>
                <w:rFonts w:cs="Times New Roman"/>
                <w:sz w:val="24"/>
                <w:szCs w:val="24"/>
              </w:rPr>
            </w:pPr>
            <w:r>
              <w:t>20.1</w:t>
            </w:r>
          </w:p>
        </w:tc>
        <w:tc>
          <w:tcPr>
            <w:tcW w:w="7426" w:type="dxa"/>
            <w:noWrap/>
            <w:vAlign w:val="center"/>
          </w:tcPr>
          <w:p>
            <w:pPr>
              <w:spacing w:line="360" w:lineRule="auto"/>
              <w:rPr>
                <w:rFonts w:cs="Times New Roman"/>
                <w:sz w:val="24"/>
                <w:szCs w:val="24"/>
              </w:rPr>
            </w:pPr>
            <w:r>
              <w:rPr>
                <w:rFonts w:hint="eastAsia"/>
              </w:rPr>
              <w:t>建筑工程一切险的保险费率：按有关规定确定同时投标人应在所报的单价和总额价中对该保险费率予以考虑，业主不单独进行计量与支付。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ign w:val="center"/>
          </w:tcPr>
          <w:p>
            <w:pPr>
              <w:spacing w:line="360" w:lineRule="auto"/>
              <w:jc w:val="center"/>
              <w:rPr>
                <w:rFonts w:cs="Times New Roman"/>
                <w:sz w:val="24"/>
                <w:szCs w:val="24"/>
              </w:rPr>
            </w:pPr>
            <w:r>
              <w:t>30</w:t>
            </w:r>
          </w:p>
        </w:tc>
        <w:tc>
          <w:tcPr>
            <w:tcW w:w="1484" w:type="dxa"/>
            <w:noWrap/>
            <w:vAlign w:val="center"/>
          </w:tcPr>
          <w:p>
            <w:pPr>
              <w:spacing w:line="360" w:lineRule="auto"/>
              <w:jc w:val="center"/>
              <w:rPr>
                <w:rFonts w:cs="Times New Roman"/>
                <w:sz w:val="24"/>
                <w:szCs w:val="24"/>
              </w:rPr>
            </w:pPr>
            <w:r>
              <w:t>20.4.2</w:t>
            </w:r>
          </w:p>
        </w:tc>
        <w:tc>
          <w:tcPr>
            <w:tcW w:w="7426" w:type="dxa"/>
            <w:noWrap/>
            <w:vAlign w:val="center"/>
          </w:tcPr>
          <w:p>
            <w:pPr>
              <w:spacing w:line="360" w:lineRule="auto"/>
              <w:rPr>
                <w:rFonts w:cs="Times New Roman"/>
                <w:sz w:val="24"/>
                <w:szCs w:val="24"/>
              </w:rPr>
            </w:pPr>
            <w:r>
              <w:rPr>
                <w:rFonts w:hint="eastAsia"/>
              </w:rPr>
              <w:t>第三者责任险由承包人以承包人与业主的名义联名投保，保险费由承包人承担并支付，投标人应在所报的单价和总额价中对该保险费率予以考虑，业主不单独进行计量与支付。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bottom w:val="single" w:color="auto" w:sz="12" w:space="0"/>
            </w:tcBorders>
            <w:noWrap/>
            <w:vAlign w:val="center"/>
          </w:tcPr>
          <w:p>
            <w:pPr>
              <w:spacing w:line="360" w:lineRule="auto"/>
              <w:jc w:val="center"/>
              <w:rPr>
                <w:rFonts w:cs="Times New Roman"/>
                <w:sz w:val="24"/>
                <w:szCs w:val="24"/>
              </w:rPr>
            </w:pPr>
            <w:r>
              <w:t>31</w:t>
            </w:r>
          </w:p>
        </w:tc>
        <w:tc>
          <w:tcPr>
            <w:tcW w:w="1484" w:type="dxa"/>
            <w:tcBorders>
              <w:bottom w:val="single" w:color="auto" w:sz="12" w:space="0"/>
            </w:tcBorders>
            <w:noWrap/>
            <w:vAlign w:val="center"/>
          </w:tcPr>
          <w:p>
            <w:pPr>
              <w:spacing w:line="360" w:lineRule="auto"/>
              <w:jc w:val="center"/>
              <w:rPr>
                <w:rFonts w:cs="Times New Roman"/>
                <w:sz w:val="24"/>
                <w:szCs w:val="24"/>
              </w:rPr>
            </w:pPr>
            <w:r>
              <w:t>24.1</w:t>
            </w:r>
          </w:p>
        </w:tc>
        <w:tc>
          <w:tcPr>
            <w:tcW w:w="7426" w:type="dxa"/>
            <w:tcBorders>
              <w:bottom w:val="single" w:color="auto" w:sz="12" w:space="0"/>
            </w:tcBorders>
            <w:noWrap/>
            <w:vAlign w:val="center"/>
          </w:tcPr>
          <w:p>
            <w:pPr>
              <w:spacing w:line="360" w:lineRule="auto"/>
              <w:rPr>
                <w:rFonts w:cs="Times New Roman"/>
              </w:rPr>
            </w:pPr>
            <w:r>
              <w:rPr>
                <w:rFonts w:hint="eastAsia"/>
              </w:rPr>
              <w:t>争议的最终解决方式：仲裁或诉讼</w:t>
            </w:r>
          </w:p>
          <w:p>
            <w:pPr>
              <w:spacing w:line="360" w:lineRule="auto"/>
              <w:rPr>
                <w:rFonts w:cs="Times New Roman"/>
              </w:rPr>
            </w:pPr>
            <w:r>
              <w:rPr>
                <w:rFonts w:hint="eastAsia"/>
              </w:rPr>
              <w:t>如采用仲裁，仲裁委员会名称：桂林市仲裁委员会</w:t>
            </w:r>
          </w:p>
        </w:tc>
      </w:tr>
    </w:tbl>
    <w:p>
      <w:pPr>
        <w:tabs>
          <w:tab w:val="left" w:pos="1679"/>
        </w:tabs>
        <w:spacing w:before="49"/>
        <w:ind w:right="406"/>
        <w:jc w:val="both"/>
        <w:rPr>
          <w:rFonts w:cs="Times New Roman"/>
          <w:sz w:val="28"/>
          <w:szCs w:val="28"/>
        </w:rPr>
        <w:sectPr>
          <w:pgSz w:w="11910" w:h="16850"/>
          <w:pgMar w:top="1418" w:right="1418" w:bottom="1418" w:left="1418" w:header="851" w:footer="964" w:gutter="0"/>
          <w:cols w:space="720" w:num="1"/>
        </w:sectPr>
      </w:pPr>
    </w:p>
    <w:p>
      <w:pPr>
        <w:spacing w:before="240" w:after="240"/>
        <w:rPr>
          <w:rFonts w:ascii="黑体" w:eastAsia="黑体" w:cs="Times New Roman"/>
          <w:b/>
          <w:bCs/>
          <w:sz w:val="30"/>
          <w:szCs w:val="30"/>
        </w:rPr>
      </w:pPr>
      <w:bookmarkStart w:id="862" w:name="项目专用合同条款"/>
      <w:bookmarkEnd w:id="862"/>
      <w:r>
        <w:rPr>
          <w:rFonts w:hint="eastAsia" w:ascii="黑体" w:eastAsia="黑体" w:cs="黑体"/>
          <w:b/>
          <w:bCs/>
          <w:sz w:val="30"/>
          <w:szCs w:val="30"/>
        </w:rPr>
        <w:t>项目专用合同条款</w:t>
      </w:r>
    </w:p>
    <w:p>
      <w:pPr>
        <w:rPr>
          <w:rFonts w:cs="Times New Roman"/>
        </w:rPr>
      </w:pPr>
      <w:r>
        <w:rPr>
          <w:rFonts w:hint="eastAsia" w:ascii="黑体" w:eastAsia="黑体" w:cs="黑体"/>
        </w:rPr>
        <w:t>说明</w:t>
      </w:r>
      <w:r>
        <w:rPr>
          <w:rFonts w:hint="eastAsia"/>
        </w:rPr>
        <w:t>：</w:t>
      </w:r>
      <w:r>
        <w:rPr>
          <w:rFonts w:hint="eastAsia" w:ascii="楷体_GB2312" w:eastAsia="楷体_GB2312" w:cs="楷体_GB2312"/>
        </w:rPr>
        <w:t>本部分所列的项目专用合同条款是对“公路工程专用合同条款”中规定必须在项目专用合同条款中明确的内容的集中，招标人编制的“项目专用合同条款”不限于本部分所列内容。</w:t>
      </w:r>
    </w:p>
    <w:p>
      <w:pPr>
        <w:pStyle w:val="5"/>
        <w:spacing w:line="400" w:lineRule="exact"/>
        <w:rPr>
          <w:rFonts w:cs="Times New Roman"/>
          <w:sz w:val="28"/>
          <w:szCs w:val="28"/>
        </w:rPr>
      </w:pPr>
      <w:bookmarkStart w:id="863" w:name="_Toc309397542"/>
      <w:bookmarkStart w:id="864" w:name="_Toc272172607"/>
      <w:r>
        <w:rPr>
          <w:sz w:val="28"/>
          <w:szCs w:val="28"/>
        </w:rPr>
        <w:t xml:space="preserve">1.6.4 </w:t>
      </w:r>
      <w:r>
        <w:rPr>
          <w:rFonts w:hint="eastAsia"/>
          <w:sz w:val="28"/>
          <w:szCs w:val="28"/>
        </w:rPr>
        <w:t>图纸的错误</w:t>
      </w:r>
      <w:bookmarkEnd w:id="863"/>
      <w:bookmarkEnd w:id="864"/>
    </w:p>
    <w:p>
      <w:pPr>
        <w:pStyle w:val="5"/>
        <w:spacing w:line="400" w:lineRule="exact"/>
        <w:ind w:firstLine="420" w:firstLineChars="200"/>
        <w:rPr>
          <w:rFonts w:ascii="仿宋_GB2312" w:eastAsia="仿宋_GB2312" w:cs="Times New Roman"/>
          <w:sz w:val="21"/>
          <w:szCs w:val="21"/>
        </w:rPr>
      </w:pPr>
      <w:bookmarkStart w:id="865" w:name="_Toc309397543"/>
      <w:bookmarkStart w:id="866" w:name="_Toc272172608"/>
      <w:r>
        <w:rPr>
          <w:rFonts w:hint="eastAsia"/>
          <w:sz w:val="21"/>
          <w:szCs w:val="21"/>
        </w:rPr>
        <w:t>施工图纸中存在差错、遗漏或缺陷应以国内现行规范为依据，或以国内惯例来解释处理，承包人不得利用以上文件的缺陷从中索取利益。</w:t>
      </w:r>
      <w:bookmarkEnd w:id="865"/>
      <w:bookmarkEnd w:id="866"/>
    </w:p>
    <w:p>
      <w:pPr>
        <w:pStyle w:val="3"/>
        <w:spacing w:beforeLines="50" w:line="400" w:lineRule="exact"/>
        <w:rPr>
          <w:rFonts w:cs="Times New Roman"/>
          <w:sz w:val="21"/>
          <w:szCs w:val="21"/>
        </w:rPr>
      </w:pPr>
      <w:bookmarkStart w:id="867" w:name="_Toc309397544"/>
      <w:r>
        <w:rPr>
          <w:sz w:val="21"/>
          <w:szCs w:val="21"/>
        </w:rPr>
        <w:t>4.1</w:t>
      </w:r>
      <w:r>
        <w:rPr>
          <w:rFonts w:hint="eastAsia"/>
          <w:sz w:val="21"/>
          <w:szCs w:val="21"/>
        </w:rPr>
        <w:t>承包人的一般义务</w:t>
      </w:r>
      <w:bookmarkEnd w:id="867"/>
    </w:p>
    <w:p>
      <w:pPr>
        <w:tabs>
          <w:tab w:val="left" w:pos="3193"/>
        </w:tabs>
        <w:spacing w:line="400" w:lineRule="exact"/>
        <w:ind w:firstLine="440" w:firstLineChars="200"/>
        <w:rPr>
          <w:rFonts w:cs="Times New Roman"/>
        </w:rPr>
      </w:pPr>
      <w:r>
        <w:t xml:space="preserve">4.1.10 </w:t>
      </w:r>
      <w:r>
        <w:rPr>
          <w:rFonts w:hint="eastAsia"/>
        </w:rPr>
        <w:t>其他义务</w:t>
      </w:r>
    </w:p>
    <w:p>
      <w:pPr>
        <w:tabs>
          <w:tab w:val="left" w:pos="3193"/>
        </w:tabs>
        <w:spacing w:line="400" w:lineRule="exact"/>
        <w:ind w:firstLine="440" w:firstLineChars="200"/>
        <w:rPr>
          <w:rFonts w:cs="Times New Roman"/>
          <w:u w:val="single"/>
        </w:rPr>
      </w:pPr>
      <w:r>
        <w:rPr>
          <w:rFonts w:hint="eastAsia"/>
        </w:rPr>
        <w:t>（</w:t>
      </w:r>
      <w:r>
        <w:t>4</w:t>
      </w:r>
      <w:r>
        <w:rPr>
          <w:rFonts w:hint="eastAsia"/>
        </w:rPr>
        <w:t>）承包人应履行的其他义务：</w:t>
      </w:r>
    </w:p>
    <w:p>
      <w:pPr>
        <w:tabs>
          <w:tab w:val="left" w:pos="3193"/>
        </w:tabs>
        <w:spacing w:line="400" w:lineRule="exact"/>
        <w:ind w:firstLine="440" w:firstLineChars="200"/>
        <w:rPr>
          <w:rFonts w:cs="Times New Roman"/>
        </w:rPr>
      </w:pPr>
      <w:bookmarkStart w:id="868" w:name="_Toc271190970"/>
      <w:r>
        <w:rPr>
          <w:rFonts w:hint="eastAsia"/>
        </w:rPr>
        <w:t>（</w:t>
      </w:r>
      <w:r>
        <w:t>4</w:t>
      </w:r>
      <w:r>
        <w:rPr>
          <w:rFonts w:hint="eastAsia"/>
        </w:rPr>
        <w:t>）承包人应履行的其他义务：</w:t>
      </w:r>
      <w:r>
        <w:rPr>
          <w:rFonts w:hint="eastAsia"/>
          <w:u w:val="single"/>
        </w:rPr>
        <w:t>（</w:t>
      </w:r>
      <w:r>
        <w:rPr>
          <w:u w:val="single"/>
        </w:rPr>
        <w:t>a</w:t>
      </w:r>
      <w:r>
        <w:rPr>
          <w:rFonts w:hint="eastAsia"/>
          <w:u w:val="single"/>
        </w:rPr>
        <w:t>）承包人在施工过程中应对出现交通堵塞及时采取措施进行排除，对堵车采取措施不力的，由业主和监理工程师采取措施，所涉及的费用由承包人承担；</w:t>
      </w:r>
      <w:r>
        <w:rPr>
          <w:u w:val="single"/>
        </w:rPr>
        <w:t>(b)</w:t>
      </w:r>
      <w:r>
        <w:rPr>
          <w:rFonts w:hint="eastAsia"/>
          <w:u w:val="single"/>
        </w:rPr>
        <w:t>承包人在施工过程中，必须保持交通畅通，如因承包人原因造成交通堵塞的，按下列规定支付违约金：堵车</w:t>
      </w:r>
      <w:r>
        <w:rPr>
          <w:u w:val="single"/>
        </w:rPr>
        <w:t>30</w:t>
      </w:r>
      <w:r>
        <w:rPr>
          <w:rFonts w:hint="eastAsia"/>
          <w:u w:val="single"/>
        </w:rPr>
        <w:t>分钟至一小时的支付</w:t>
      </w:r>
      <w:r>
        <w:rPr>
          <w:u w:val="single"/>
        </w:rPr>
        <w:t>5000</w:t>
      </w:r>
      <w:r>
        <w:rPr>
          <w:rFonts w:hint="eastAsia"/>
          <w:u w:val="single"/>
        </w:rPr>
        <w:t>元；堵车一小时至二小时的支付</w:t>
      </w:r>
      <w:r>
        <w:rPr>
          <w:u w:val="single"/>
        </w:rPr>
        <w:t>10000</w:t>
      </w:r>
      <w:r>
        <w:rPr>
          <w:rFonts w:hint="eastAsia"/>
          <w:u w:val="single"/>
        </w:rPr>
        <w:t>元；堵车二小时以上的，除按每小时</w:t>
      </w:r>
      <w:r>
        <w:rPr>
          <w:u w:val="single"/>
        </w:rPr>
        <w:t>10000</w:t>
      </w:r>
      <w:r>
        <w:rPr>
          <w:rFonts w:hint="eastAsia"/>
          <w:u w:val="single"/>
        </w:rPr>
        <w:t>元支付违约金外（不满</w:t>
      </w:r>
      <w:r>
        <w:rPr>
          <w:u w:val="single"/>
        </w:rPr>
        <w:t>1</w:t>
      </w:r>
      <w:r>
        <w:rPr>
          <w:rFonts w:hint="eastAsia"/>
          <w:u w:val="single"/>
        </w:rPr>
        <w:t>小时的，按</w:t>
      </w:r>
      <w:r>
        <w:rPr>
          <w:u w:val="single"/>
        </w:rPr>
        <w:t>1</w:t>
      </w:r>
      <w:r>
        <w:rPr>
          <w:rFonts w:hint="eastAsia"/>
          <w:u w:val="single"/>
        </w:rPr>
        <w:t>小时计算），还将向上级有关部门进行通报</w:t>
      </w:r>
      <w:r>
        <w:rPr>
          <w:rFonts w:hint="eastAsia"/>
        </w:rPr>
        <w:t>。</w:t>
      </w:r>
      <w:bookmarkEnd w:id="868"/>
    </w:p>
    <w:p>
      <w:pPr>
        <w:tabs>
          <w:tab w:val="left" w:pos="3193"/>
        </w:tabs>
        <w:spacing w:line="400" w:lineRule="exact"/>
        <w:ind w:firstLine="440" w:firstLineChars="200"/>
        <w:rPr>
          <w:rFonts w:cs="Times New Roman"/>
        </w:rPr>
      </w:pPr>
      <w:r>
        <w:rPr>
          <w:rFonts w:hint="eastAsia"/>
        </w:rPr>
        <w:t>（</w:t>
      </w:r>
      <w:r>
        <w:t>5</w:t>
      </w:r>
      <w:r>
        <w:rPr>
          <w:rFonts w:hint="eastAsia"/>
        </w:rPr>
        <w:t>）根据广西壮族自治区公路管理局（路工程〔</w:t>
      </w:r>
      <w:r>
        <w:t>2006</w:t>
      </w:r>
      <w:r>
        <w:rPr>
          <w:rFonts w:hint="eastAsia"/>
        </w:rPr>
        <w:t>〕</w:t>
      </w:r>
      <w:r>
        <w:t>61</w:t>
      </w:r>
      <w:r>
        <w:rPr>
          <w:rFonts w:hint="eastAsia"/>
        </w:rPr>
        <w:t>号）文件要求：投标文件中对农民工工资支付管理约定支付保障金制度，其金额为投标总价</w:t>
      </w:r>
      <w:r>
        <w:t>2%</w:t>
      </w:r>
      <w:r>
        <w:rPr>
          <w:rFonts w:hint="eastAsia"/>
        </w:rPr>
        <w:t>。</w:t>
      </w:r>
    </w:p>
    <w:p>
      <w:pPr>
        <w:pStyle w:val="3"/>
        <w:spacing w:beforeLines="50" w:line="400" w:lineRule="exact"/>
        <w:rPr>
          <w:rFonts w:cs="Times New Roman"/>
          <w:sz w:val="21"/>
          <w:szCs w:val="21"/>
        </w:rPr>
      </w:pPr>
      <w:r>
        <w:rPr>
          <w:sz w:val="21"/>
          <w:szCs w:val="21"/>
        </w:rPr>
        <w:t xml:space="preserve">4.6  </w:t>
      </w:r>
      <w:r>
        <w:rPr>
          <w:rFonts w:hint="eastAsia"/>
          <w:sz w:val="21"/>
          <w:szCs w:val="21"/>
        </w:rPr>
        <w:t>承包人人员的管理</w:t>
      </w:r>
    </w:p>
    <w:p>
      <w:pPr>
        <w:tabs>
          <w:tab w:val="left" w:pos="3193"/>
        </w:tabs>
        <w:spacing w:line="400" w:lineRule="exact"/>
        <w:ind w:firstLine="440" w:firstLineChars="200"/>
        <w:rPr>
          <w:rFonts w:cs="Times New Roman"/>
        </w:rPr>
      </w:pPr>
      <w:r>
        <w:rPr>
          <w:rFonts w:hint="eastAsia"/>
        </w:rPr>
        <w:t>第</w:t>
      </w:r>
      <w:r>
        <w:t>4.6.1</w:t>
      </w:r>
      <w:r>
        <w:rPr>
          <w:rFonts w:hint="eastAsia"/>
        </w:rPr>
        <w:t>项补充为：</w:t>
      </w:r>
    </w:p>
    <w:p>
      <w:pPr>
        <w:widowControl/>
        <w:spacing w:line="520" w:lineRule="exact"/>
        <w:ind w:firstLine="440" w:firstLineChars="200"/>
        <w:rPr>
          <w:rFonts w:cs="Times New Roman"/>
        </w:rPr>
      </w:pPr>
      <w:r>
        <w:rPr>
          <w:rFonts w:hint="eastAsia"/>
        </w:rPr>
        <w:t>中标人项目经理、技术负责人、安全员、质检员的从业资格证书必须押在相关城瑶族自治县交通运输局农村公路建设管理办公室招投标监管机构，待工程验收合格并经建设单位书面同意后方可退还。</w:t>
      </w:r>
    </w:p>
    <w:p>
      <w:pPr>
        <w:tabs>
          <w:tab w:val="left" w:pos="3193"/>
        </w:tabs>
        <w:spacing w:line="400" w:lineRule="exact"/>
        <w:ind w:firstLine="440" w:firstLineChars="200"/>
        <w:rPr>
          <w:rFonts w:cs="Times New Roman"/>
        </w:rPr>
      </w:pPr>
      <w:r>
        <w:rPr>
          <w:rFonts w:hint="eastAsia"/>
        </w:rPr>
        <w:t>在项目实质性开工之前，建设单位对施工单位主要管理人员（以合同约定为准）进行复核，未按合同要求时间进场，或进场主要管理人员与合同不一致的，或进场主要管理人员非中标人本单位人员的，不得开工，且不向中标人支付任何款项。同时应向承包人发出整改通知书，在规定时间仍未能到位的，可采取终止合同，课以合同总金额</w:t>
      </w:r>
      <w:r>
        <w:t>10%</w:t>
      </w:r>
      <w:r>
        <w:rPr>
          <w:rFonts w:hint="eastAsia"/>
        </w:rPr>
        <w:t>的违约金等措施。以上所指非本单位人员，是指与中标人无合法的人事劳动合同、工资福利及社会保险关系的人员。</w:t>
      </w:r>
    </w:p>
    <w:p>
      <w:pPr>
        <w:tabs>
          <w:tab w:val="left" w:pos="3193"/>
        </w:tabs>
        <w:spacing w:line="400" w:lineRule="exact"/>
        <w:ind w:firstLine="440" w:firstLineChars="200"/>
        <w:rPr>
          <w:rFonts w:cs="Times New Roman"/>
        </w:rPr>
      </w:pPr>
      <w:r>
        <w:rPr>
          <w:rFonts w:hint="eastAsia"/>
        </w:rPr>
        <w:t>第</w:t>
      </w:r>
      <w:r>
        <w:t>4.6.3</w:t>
      </w:r>
      <w:r>
        <w:rPr>
          <w:rFonts w:hint="eastAsia"/>
        </w:rPr>
        <w:t>项细化为：</w:t>
      </w:r>
    </w:p>
    <w:p>
      <w:pPr>
        <w:tabs>
          <w:tab w:val="left" w:pos="3193"/>
        </w:tabs>
        <w:spacing w:line="400" w:lineRule="exact"/>
        <w:ind w:firstLine="440" w:firstLineChars="200"/>
        <w:rPr>
          <w:rFonts w:cs="Times New Roman"/>
        </w:rPr>
      </w:pPr>
      <w:r>
        <w:rPr>
          <w:rFonts w:hint="eastAsia"/>
        </w:rPr>
        <w:t>中标人在中标后或施工期间不可随意变更主要管理人员和技术骨干，如因特殊情况，确需变更的，必须经建设单位同意，并提供必要的证明文件报市交通质量监督站备案，用同等资质和经历的人员替换。</w:t>
      </w:r>
    </w:p>
    <w:p>
      <w:pPr>
        <w:tabs>
          <w:tab w:val="left" w:pos="3193"/>
        </w:tabs>
        <w:spacing w:line="400" w:lineRule="exact"/>
        <w:ind w:firstLine="440" w:firstLineChars="200"/>
        <w:rPr>
          <w:rFonts w:cs="Times New Roman"/>
        </w:rPr>
      </w:pPr>
      <w:r>
        <w:rPr>
          <w:rFonts w:hint="eastAsia"/>
        </w:rPr>
        <w:t>本款补充第</w:t>
      </w:r>
      <w:r>
        <w:t>4.6.5</w:t>
      </w:r>
      <w:r>
        <w:rPr>
          <w:rFonts w:hint="eastAsia"/>
        </w:rPr>
        <w:t>项：</w:t>
      </w:r>
    </w:p>
    <w:p>
      <w:pPr>
        <w:tabs>
          <w:tab w:val="left" w:pos="3193"/>
        </w:tabs>
        <w:spacing w:line="400" w:lineRule="exact"/>
        <w:ind w:firstLine="440" w:firstLineChars="200"/>
        <w:rPr>
          <w:rFonts w:cs="Times New Roman"/>
        </w:rPr>
      </w:pPr>
      <w:r>
        <w:t>4.6.5</w:t>
      </w:r>
      <w:r>
        <w:rPr>
          <w:rFonts w:hint="eastAsia"/>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tabs>
          <w:tab w:val="left" w:pos="3193"/>
        </w:tabs>
        <w:spacing w:line="400" w:lineRule="exact"/>
        <w:ind w:firstLine="440" w:firstLineChars="200"/>
        <w:rPr>
          <w:rFonts w:cs="Times New Roman"/>
        </w:rPr>
      </w:pPr>
      <w:r>
        <w:rPr>
          <w:rFonts w:hint="eastAsia"/>
        </w:rPr>
        <w:t>本款补充第</w:t>
      </w:r>
      <w:r>
        <w:t>4.6.6</w:t>
      </w:r>
      <w:r>
        <w:rPr>
          <w:rFonts w:hint="eastAsia"/>
        </w:rPr>
        <w:t>项：</w:t>
      </w:r>
    </w:p>
    <w:p>
      <w:pPr>
        <w:tabs>
          <w:tab w:val="left" w:pos="3193"/>
        </w:tabs>
        <w:spacing w:line="400" w:lineRule="exact"/>
        <w:ind w:firstLine="440" w:firstLineChars="200"/>
        <w:rPr>
          <w:rFonts w:cs="Times New Roman"/>
        </w:rPr>
      </w:pPr>
      <w:r>
        <w:t>4.6.6</w:t>
      </w:r>
      <w:r>
        <w:rPr>
          <w:rFonts w:hint="eastAsia"/>
        </w:rPr>
        <w:t>承包人主要人员月驻场时间少于</w:t>
      </w:r>
      <w:r>
        <w:t>20</w:t>
      </w:r>
      <w:r>
        <w:rPr>
          <w:rFonts w:hint="eastAsia"/>
        </w:rPr>
        <w:t>日或未经批准擅自更换的，课以合同总金额</w:t>
      </w:r>
      <w:r>
        <w:t>1%</w:t>
      </w:r>
      <w:r>
        <w:rPr>
          <w:rFonts w:hint="eastAsia"/>
        </w:rPr>
        <w:t>～</w:t>
      </w:r>
      <w:r>
        <w:t>5%</w:t>
      </w:r>
      <w:r>
        <w:rPr>
          <w:rFonts w:hint="eastAsia"/>
        </w:rPr>
        <w:t>的违约金；被建设单位（业主）或行业监管部门通报而仍未按要求改正的，课以合同总金额</w:t>
      </w:r>
      <w:r>
        <w:t>10%</w:t>
      </w:r>
      <w:r>
        <w:rPr>
          <w:rFonts w:hint="eastAsia"/>
        </w:rPr>
        <w:t>的违约金。</w:t>
      </w:r>
    </w:p>
    <w:p>
      <w:pPr>
        <w:pStyle w:val="3"/>
        <w:spacing w:beforeLines="50" w:line="400" w:lineRule="exact"/>
        <w:rPr>
          <w:rFonts w:cs="Times New Roman"/>
          <w:sz w:val="21"/>
          <w:szCs w:val="21"/>
        </w:rPr>
      </w:pPr>
      <w:bookmarkStart w:id="869" w:name="_Toc309397545"/>
      <w:r>
        <w:rPr>
          <w:sz w:val="21"/>
          <w:szCs w:val="21"/>
        </w:rPr>
        <w:t>4.11</w:t>
      </w:r>
      <w:r>
        <w:rPr>
          <w:rFonts w:hint="eastAsia"/>
          <w:sz w:val="21"/>
          <w:szCs w:val="21"/>
        </w:rPr>
        <w:t>不利物质条件</w:t>
      </w:r>
      <w:bookmarkEnd w:id="869"/>
    </w:p>
    <w:p>
      <w:pPr>
        <w:tabs>
          <w:tab w:val="left" w:pos="3193"/>
        </w:tabs>
        <w:spacing w:line="400" w:lineRule="exact"/>
        <w:ind w:firstLine="440" w:firstLineChars="200"/>
        <w:rPr>
          <w:rFonts w:cs="Times New Roman"/>
        </w:rPr>
      </w:pPr>
      <w:r>
        <w:t>4.11.1</w:t>
      </w:r>
      <w:r>
        <w:rPr>
          <w:rFonts w:hint="eastAsia"/>
        </w:rPr>
        <w:t>不利物质条件的范围：</w:t>
      </w:r>
    </w:p>
    <w:p>
      <w:pPr>
        <w:pStyle w:val="3"/>
        <w:spacing w:beforeLines="50" w:line="400" w:lineRule="exact"/>
        <w:rPr>
          <w:rFonts w:cs="Times New Roman"/>
          <w:sz w:val="21"/>
          <w:szCs w:val="21"/>
        </w:rPr>
      </w:pPr>
      <w:bookmarkStart w:id="870" w:name="_Toc309397546"/>
      <w:r>
        <w:rPr>
          <w:sz w:val="21"/>
          <w:szCs w:val="21"/>
        </w:rPr>
        <w:t xml:space="preserve">10.1 </w:t>
      </w:r>
      <w:r>
        <w:rPr>
          <w:rFonts w:hint="eastAsia"/>
          <w:sz w:val="21"/>
          <w:szCs w:val="21"/>
        </w:rPr>
        <w:t>合同进度计划</w:t>
      </w:r>
      <w:bookmarkEnd w:id="870"/>
    </w:p>
    <w:p>
      <w:pPr>
        <w:pStyle w:val="51"/>
        <w:ind w:firstLine="420"/>
        <w:rPr>
          <w:rFonts w:ascii="仿宋_GB2312" w:eastAsia="仿宋_GB2312"/>
          <w:sz w:val="21"/>
          <w:szCs w:val="21"/>
        </w:rPr>
      </w:pPr>
      <w:bookmarkStart w:id="871" w:name="_Toc272172612"/>
      <w:bookmarkStart w:id="872" w:name="_Toc271190973"/>
      <w:bookmarkStart w:id="873" w:name="_Toc309397547"/>
      <w:bookmarkStart w:id="874" w:name="_Toc271203709"/>
      <w:r>
        <w:rPr>
          <w:rFonts w:hint="eastAsia" w:ascii="宋体" w:hAnsi="宋体" w:cs="宋体"/>
          <w:sz w:val="21"/>
          <w:szCs w:val="21"/>
        </w:rPr>
        <w:t>承包人编制施工方案的内容：</w:t>
      </w:r>
      <w:r>
        <w:rPr>
          <w:rFonts w:hint="eastAsia" w:ascii="宋体" w:hAnsi="宋体" w:cs="宋体"/>
          <w:sz w:val="21"/>
          <w:szCs w:val="21"/>
          <w:u w:val="single"/>
        </w:rPr>
        <w:t>在编制施工方案中，承包人应充分考虑到会有阻工的因素，请在编制施工方案予以考虑。承包人不能因阻工而提出索赔或别的要求</w:t>
      </w:r>
      <w:r>
        <w:rPr>
          <w:rFonts w:hint="eastAsia" w:ascii="宋体" w:hAnsi="宋体" w:cs="宋体"/>
          <w:sz w:val="21"/>
          <w:szCs w:val="21"/>
        </w:rPr>
        <w:t>。</w:t>
      </w:r>
      <w:bookmarkEnd w:id="871"/>
      <w:bookmarkEnd w:id="872"/>
      <w:bookmarkEnd w:id="873"/>
      <w:bookmarkEnd w:id="874"/>
    </w:p>
    <w:p>
      <w:pPr>
        <w:tabs>
          <w:tab w:val="left" w:pos="3193"/>
        </w:tabs>
        <w:spacing w:line="400" w:lineRule="exact"/>
        <w:ind w:firstLine="440" w:firstLineChars="200"/>
        <w:rPr>
          <w:rFonts w:cs="Times New Roman"/>
        </w:rPr>
      </w:pPr>
      <w:r>
        <w:t>11.4</w:t>
      </w:r>
      <w:r>
        <w:rPr>
          <w:rFonts w:hint="eastAsia"/>
        </w:rPr>
        <w:t>异常恶劣的气候条件</w:t>
      </w:r>
    </w:p>
    <w:p>
      <w:pPr>
        <w:tabs>
          <w:tab w:val="left" w:pos="3193"/>
        </w:tabs>
        <w:spacing w:line="400" w:lineRule="exact"/>
        <w:ind w:firstLine="440" w:firstLineChars="200"/>
        <w:rPr>
          <w:rFonts w:cs="Times New Roman"/>
        </w:rPr>
      </w:pPr>
      <w:r>
        <w:rPr>
          <w:rFonts w:hint="eastAsia"/>
        </w:rPr>
        <w:t>异常恶劣的气候条件的范围：</w:t>
      </w:r>
    </w:p>
    <w:p>
      <w:pPr>
        <w:pStyle w:val="3"/>
        <w:spacing w:beforeLines="50" w:line="400" w:lineRule="exact"/>
        <w:rPr>
          <w:rFonts w:cs="Times New Roman"/>
          <w:sz w:val="21"/>
          <w:szCs w:val="21"/>
        </w:rPr>
      </w:pPr>
      <w:bookmarkStart w:id="875" w:name="_Toc309397548"/>
      <w:r>
        <w:rPr>
          <w:sz w:val="21"/>
          <w:szCs w:val="21"/>
        </w:rPr>
        <w:t>12.1</w:t>
      </w:r>
      <w:r>
        <w:rPr>
          <w:rFonts w:hint="eastAsia"/>
          <w:sz w:val="21"/>
          <w:szCs w:val="21"/>
        </w:rPr>
        <w:t>承包人暂停施工的责任</w:t>
      </w:r>
      <w:bookmarkEnd w:id="875"/>
    </w:p>
    <w:p>
      <w:pPr>
        <w:tabs>
          <w:tab w:val="left" w:pos="3193"/>
        </w:tabs>
        <w:spacing w:line="400" w:lineRule="exact"/>
        <w:ind w:firstLine="440" w:firstLineChars="200"/>
        <w:rPr>
          <w:u w:val="single"/>
        </w:rPr>
      </w:pPr>
      <w:r>
        <w:t>12.1</w:t>
      </w:r>
      <w:r>
        <w:rPr>
          <w:rFonts w:hint="eastAsia"/>
        </w:rPr>
        <w:t>（</w:t>
      </w:r>
      <w:r>
        <w:t>6</w:t>
      </w:r>
      <w:r>
        <w:rPr>
          <w:rFonts w:hint="eastAsia"/>
        </w:rPr>
        <w:t>）由承包人承担的其他暂停施工：</w:t>
      </w:r>
      <w:r>
        <w:rPr>
          <w:rFonts w:hint="eastAsia"/>
          <w:u w:val="single"/>
        </w:rPr>
        <w:t>因资金筹措不到位而造成的停工</w:t>
      </w:r>
      <w:r>
        <w:rPr>
          <w:u w:val="single"/>
        </w:rPr>
        <w:t xml:space="preserve">                </w:t>
      </w:r>
    </w:p>
    <w:p>
      <w:pPr>
        <w:pStyle w:val="51"/>
        <w:rPr>
          <w:rFonts w:ascii="宋体"/>
          <w:b/>
          <w:bCs/>
          <w:sz w:val="21"/>
          <w:szCs w:val="21"/>
          <w:u w:val="single"/>
        </w:rPr>
      </w:pPr>
      <w:bookmarkStart w:id="876" w:name="_Toc309397549"/>
      <w:r>
        <w:rPr>
          <w:rFonts w:ascii="宋体" w:hAnsi="宋体" w:cs="宋体"/>
          <w:b/>
          <w:bCs/>
          <w:sz w:val="21"/>
          <w:szCs w:val="21"/>
          <w:u w:val="single"/>
        </w:rPr>
        <w:t>11.3</w:t>
      </w:r>
      <w:r>
        <w:rPr>
          <w:rFonts w:hint="eastAsia" w:ascii="宋体" w:hAnsi="宋体" w:cs="宋体"/>
          <w:b/>
          <w:bCs/>
          <w:sz w:val="21"/>
          <w:szCs w:val="21"/>
          <w:u w:val="single"/>
        </w:rPr>
        <w:t>发包人的工期延误</w:t>
      </w:r>
      <w:bookmarkEnd w:id="876"/>
    </w:p>
    <w:p>
      <w:pPr>
        <w:pStyle w:val="51"/>
        <w:ind w:firstLine="420" w:firstLineChars="200"/>
        <w:rPr>
          <w:rFonts w:ascii="宋体"/>
          <w:sz w:val="21"/>
          <w:szCs w:val="21"/>
        </w:rPr>
      </w:pPr>
      <w:bookmarkStart w:id="877" w:name="_Toc272172615"/>
      <w:bookmarkStart w:id="878" w:name="_Toc309397550"/>
      <w:r>
        <w:rPr>
          <w:rFonts w:hint="eastAsia" w:ascii="宋体" w:hAnsi="宋体" w:cs="宋体"/>
          <w:sz w:val="21"/>
          <w:szCs w:val="21"/>
        </w:rPr>
        <w:t>因征地拆迁或别的原因引发的某段暂不能施工的情况发生时，承包人应合理安排自己的施工方案，如先到可以施工路段进行施工等</w:t>
      </w:r>
      <w:bookmarkEnd w:id="877"/>
      <w:r>
        <w:rPr>
          <w:rFonts w:hint="eastAsia" w:ascii="宋体" w:hAnsi="宋体" w:cs="宋体"/>
          <w:sz w:val="21"/>
          <w:szCs w:val="21"/>
        </w:rPr>
        <w:t>。</w:t>
      </w:r>
      <w:bookmarkEnd w:id="878"/>
    </w:p>
    <w:p>
      <w:pPr>
        <w:pStyle w:val="3"/>
        <w:spacing w:beforeLines="50" w:line="400" w:lineRule="exact"/>
        <w:rPr>
          <w:rFonts w:cs="Times New Roman"/>
          <w:sz w:val="21"/>
          <w:szCs w:val="21"/>
        </w:rPr>
      </w:pPr>
      <w:bookmarkStart w:id="879" w:name="_Toc309397551"/>
      <w:r>
        <w:rPr>
          <w:sz w:val="21"/>
          <w:szCs w:val="21"/>
        </w:rPr>
        <w:t>17.1.2</w:t>
      </w:r>
      <w:r>
        <w:rPr>
          <w:rFonts w:hint="eastAsia"/>
          <w:sz w:val="21"/>
          <w:szCs w:val="21"/>
        </w:rPr>
        <w:t>计量方法</w:t>
      </w:r>
    </w:p>
    <w:p>
      <w:pPr>
        <w:pStyle w:val="3"/>
        <w:spacing w:beforeLines="50" w:line="400" w:lineRule="exact"/>
        <w:ind w:firstLine="422" w:firstLineChars="200"/>
        <w:rPr>
          <w:rFonts w:cs="Times New Roman"/>
          <w:sz w:val="21"/>
          <w:szCs w:val="21"/>
        </w:rPr>
      </w:pPr>
      <w:r>
        <w:rPr>
          <w:rFonts w:hint="eastAsia"/>
          <w:sz w:val="21"/>
          <w:szCs w:val="21"/>
        </w:rPr>
        <w:t>本项目路基路面加宽工程由于涉及群众筹集资金及农民土地问题，路基土石方工程可能由当地农民投工投劳完成或部分取消。</w:t>
      </w:r>
    </w:p>
    <w:p>
      <w:pPr>
        <w:pStyle w:val="3"/>
        <w:spacing w:beforeLines="50" w:line="400" w:lineRule="exact"/>
        <w:rPr>
          <w:rFonts w:cs="Times New Roman"/>
          <w:sz w:val="21"/>
          <w:szCs w:val="21"/>
        </w:rPr>
      </w:pPr>
      <w:r>
        <w:rPr>
          <w:sz w:val="21"/>
          <w:szCs w:val="21"/>
        </w:rPr>
        <w:t>21.1</w:t>
      </w:r>
      <w:r>
        <w:rPr>
          <w:rFonts w:hint="eastAsia"/>
          <w:sz w:val="21"/>
          <w:szCs w:val="21"/>
        </w:rPr>
        <w:t>不可抗力的确认</w:t>
      </w:r>
      <w:bookmarkEnd w:id="879"/>
    </w:p>
    <w:p>
      <w:pPr>
        <w:tabs>
          <w:tab w:val="left" w:pos="3193"/>
        </w:tabs>
        <w:spacing w:line="400" w:lineRule="exact"/>
        <w:ind w:firstLine="440" w:firstLineChars="200"/>
        <w:rPr>
          <w:rFonts w:cs="Times New Roman"/>
        </w:rPr>
      </w:pPr>
      <w:r>
        <w:t>21.1.1</w:t>
      </w:r>
      <w:r>
        <w:rPr>
          <w:rFonts w:hint="eastAsia"/>
        </w:rPr>
        <w:t>（</w:t>
      </w:r>
      <w:r>
        <w:t>6</w:t>
      </w:r>
      <w:r>
        <w:rPr>
          <w:rFonts w:hint="eastAsia"/>
        </w:rPr>
        <w:t>）不可抗力的其他情形：</w:t>
      </w:r>
    </w:p>
    <w:p>
      <w:pPr>
        <w:pStyle w:val="3"/>
        <w:spacing w:beforeLines="50" w:line="400" w:lineRule="exact"/>
        <w:rPr>
          <w:rFonts w:cs="Times New Roman"/>
          <w:sz w:val="21"/>
          <w:szCs w:val="21"/>
        </w:rPr>
      </w:pPr>
      <w:bookmarkStart w:id="880" w:name="_Toc271190977"/>
      <w:bookmarkStart w:id="881" w:name="_Toc309397552"/>
      <w:r>
        <w:rPr>
          <w:sz w:val="21"/>
          <w:szCs w:val="21"/>
        </w:rPr>
        <w:t>20.2</w:t>
      </w:r>
      <w:r>
        <w:rPr>
          <w:rFonts w:hint="eastAsia"/>
          <w:sz w:val="21"/>
          <w:szCs w:val="21"/>
        </w:rPr>
        <w:t>人员工伤事故的保险</w:t>
      </w:r>
      <w:bookmarkEnd w:id="880"/>
      <w:bookmarkEnd w:id="881"/>
    </w:p>
    <w:p>
      <w:pPr>
        <w:pStyle w:val="3"/>
        <w:spacing w:beforeLines="50" w:line="400" w:lineRule="exact"/>
        <w:rPr>
          <w:rFonts w:cs="Times New Roman"/>
          <w:sz w:val="21"/>
          <w:szCs w:val="21"/>
        </w:rPr>
      </w:pPr>
      <w:bookmarkStart w:id="882" w:name="_Toc271190978"/>
      <w:bookmarkStart w:id="883" w:name="_Toc309397553"/>
      <w:r>
        <w:rPr>
          <w:sz w:val="21"/>
          <w:szCs w:val="21"/>
        </w:rPr>
        <w:t xml:space="preserve">20.2.1  </w:t>
      </w:r>
      <w:r>
        <w:rPr>
          <w:rFonts w:hint="eastAsia"/>
          <w:sz w:val="21"/>
          <w:szCs w:val="21"/>
        </w:rPr>
        <w:t>承包人员工伤事故的保险</w:t>
      </w:r>
      <w:bookmarkEnd w:id="882"/>
      <w:bookmarkEnd w:id="883"/>
    </w:p>
    <w:p>
      <w:pPr>
        <w:pStyle w:val="51"/>
        <w:ind w:firstLine="420"/>
        <w:rPr>
          <w:rFonts w:ascii="宋体"/>
          <w:sz w:val="21"/>
          <w:szCs w:val="21"/>
        </w:rPr>
      </w:pPr>
      <w:bookmarkStart w:id="884" w:name="_Toc271190979"/>
      <w:bookmarkStart w:id="885" w:name="_Toc271203714"/>
      <w:bookmarkStart w:id="886" w:name="_Toc309397554"/>
      <w:bookmarkStart w:id="887" w:name="_Toc272172619"/>
      <w:r>
        <w:rPr>
          <w:rFonts w:hint="eastAsia" w:ascii="宋体" w:hAnsi="宋体" w:cs="宋体"/>
          <w:sz w:val="21"/>
          <w:szCs w:val="21"/>
        </w:rPr>
        <w:t>办理保险的一切费用均由承包人承担，并包括在工程量清单的单价及总额价中，发包人不单独计量支付。</w:t>
      </w:r>
      <w:bookmarkEnd w:id="884"/>
      <w:bookmarkEnd w:id="885"/>
      <w:bookmarkEnd w:id="886"/>
      <w:bookmarkEnd w:id="887"/>
    </w:p>
    <w:p>
      <w:pPr>
        <w:pStyle w:val="3"/>
        <w:spacing w:beforeLines="50" w:line="400" w:lineRule="exact"/>
        <w:rPr>
          <w:rFonts w:cs="Times New Roman"/>
          <w:sz w:val="21"/>
          <w:szCs w:val="21"/>
        </w:rPr>
      </w:pPr>
      <w:bookmarkStart w:id="888" w:name="_Toc309397555"/>
      <w:bookmarkStart w:id="889" w:name="_Toc271190980"/>
      <w:r>
        <w:rPr>
          <w:sz w:val="21"/>
          <w:szCs w:val="21"/>
        </w:rPr>
        <w:t xml:space="preserve">20.3  </w:t>
      </w:r>
      <w:r>
        <w:rPr>
          <w:rFonts w:hint="eastAsia"/>
          <w:sz w:val="21"/>
          <w:szCs w:val="21"/>
        </w:rPr>
        <w:t>人身意外伤害险（增加）</w:t>
      </w:r>
      <w:bookmarkEnd w:id="888"/>
      <w:bookmarkEnd w:id="889"/>
    </w:p>
    <w:p>
      <w:pPr>
        <w:pStyle w:val="51"/>
        <w:ind w:firstLine="435"/>
        <w:rPr>
          <w:rFonts w:ascii="宋体"/>
          <w:sz w:val="21"/>
          <w:szCs w:val="21"/>
        </w:rPr>
      </w:pPr>
      <w:bookmarkStart w:id="890" w:name="_Toc272172621"/>
      <w:bookmarkStart w:id="891" w:name="_Toc309397556"/>
      <w:bookmarkStart w:id="892" w:name="_Toc271203716"/>
      <w:bookmarkStart w:id="893" w:name="_Toc271190981"/>
      <w:r>
        <w:rPr>
          <w:rFonts w:ascii="宋体" w:hAnsi="宋体" w:cs="宋体"/>
          <w:sz w:val="21"/>
          <w:szCs w:val="21"/>
        </w:rPr>
        <w:t>20.3.2</w:t>
      </w:r>
      <w:r>
        <w:rPr>
          <w:rFonts w:hint="eastAsia" w:ascii="宋体" w:hAnsi="宋体" w:cs="宋体"/>
          <w:sz w:val="21"/>
          <w:szCs w:val="21"/>
        </w:rPr>
        <w:t>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bookmarkEnd w:id="890"/>
      <w:bookmarkEnd w:id="891"/>
      <w:bookmarkEnd w:id="892"/>
      <w:bookmarkEnd w:id="893"/>
    </w:p>
    <w:p>
      <w:pPr>
        <w:pStyle w:val="3"/>
        <w:spacing w:beforeLines="50" w:line="400" w:lineRule="exact"/>
        <w:rPr>
          <w:rFonts w:cs="Times New Roman"/>
          <w:sz w:val="21"/>
          <w:szCs w:val="21"/>
        </w:rPr>
      </w:pPr>
      <w:bookmarkStart w:id="894" w:name="_Toc309397557"/>
      <w:r>
        <w:rPr>
          <w:sz w:val="21"/>
          <w:szCs w:val="21"/>
        </w:rPr>
        <w:t>22.1</w:t>
      </w:r>
      <w:r>
        <w:rPr>
          <w:rFonts w:hint="eastAsia"/>
          <w:sz w:val="21"/>
          <w:szCs w:val="21"/>
        </w:rPr>
        <w:t>承包人违约</w:t>
      </w:r>
      <w:bookmarkEnd w:id="894"/>
    </w:p>
    <w:p>
      <w:pPr>
        <w:tabs>
          <w:tab w:val="left" w:pos="3193"/>
        </w:tabs>
        <w:spacing w:line="400" w:lineRule="exact"/>
        <w:ind w:firstLine="440" w:firstLineChars="200"/>
        <w:rPr>
          <w:rFonts w:cs="Times New Roman"/>
          <w:u w:val="single"/>
        </w:rPr>
      </w:pPr>
      <w:r>
        <w:t>22.1.2</w:t>
      </w:r>
      <w:r>
        <w:rPr>
          <w:rFonts w:hint="eastAsia"/>
        </w:rPr>
        <w:t>当承包人发生第</w:t>
      </w:r>
      <w:r>
        <w:t>22.1.1</w:t>
      </w:r>
      <w:r>
        <w:rPr>
          <w:rFonts w:hint="eastAsia"/>
        </w:rPr>
        <w:t>项约定的违约情况时，发包人有权向承包人课以违约金，具体约定如下：</w:t>
      </w:r>
      <w:r>
        <w:rPr>
          <w:rFonts w:hint="eastAsia"/>
          <w:u w:val="single"/>
        </w:rPr>
        <w:t>将不退还承包人的履约保证金及农民工工资保障金，待工程完工后双方协商解决。</w:t>
      </w:r>
    </w:p>
    <w:p>
      <w:pPr>
        <w:tabs>
          <w:tab w:val="left" w:pos="1080"/>
        </w:tabs>
        <w:spacing w:line="400" w:lineRule="exact"/>
        <w:ind w:firstLine="560" w:firstLineChars="200"/>
        <w:rPr>
          <w:rFonts w:cs="Times New Roman"/>
          <w:sz w:val="28"/>
          <w:szCs w:val="28"/>
        </w:rPr>
      </w:pPr>
      <w:r>
        <w:rPr>
          <w:rFonts w:hint="eastAsia"/>
          <w:sz w:val="28"/>
          <w:szCs w:val="28"/>
        </w:rPr>
        <w:t>增加以下条款：</w:t>
      </w:r>
    </w:p>
    <w:p>
      <w:pPr>
        <w:tabs>
          <w:tab w:val="left" w:pos="3193"/>
        </w:tabs>
        <w:spacing w:line="400" w:lineRule="exact"/>
        <w:ind w:firstLine="440" w:firstLineChars="200"/>
        <w:rPr>
          <w:rFonts w:cs="Times New Roman"/>
        </w:rPr>
      </w:pPr>
      <w:r>
        <w:rPr>
          <w:rFonts w:hint="eastAsia"/>
        </w:rPr>
        <w:t>（</w:t>
      </w:r>
      <w:r>
        <w:t>4</w:t>
      </w:r>
      <w:r>
        <w:rPr>
          <w:rFonts w:hint="eastAsia"/>
        </w:rPr>
        <w:t>）有以下行为的，可对承包人处以相应条款的违约金。</w:t>
      </w:r>
    </w:p>
    <w:p>
      <w:pPr>
        <w:tabs>
          <w:tab w:val="left" w:pos="3193"/>
        </w:tabs>
        <w:spacing w:line="400" w:lineRule="exact"/>
        <w:ind w:firstLine="440" w:firstLineChars="200"/>
        <w:rPr>
          <w:rFonts w:cs="Times New Roman"/>
        </w:rPr>
      </w:pPr>
      <w:r>
        <w:t>1</w:t>
      </w:r>
      <w:r>
        <w:rPr>
          <w:rFonts w:hint="eastAsia"/>
        </w:rPr>
        <w:t>）承包人存在以下情况的，承包人履约保证金部分或全部不予退回：</w:t>
      </w:r>
    </w:p>
    <w:p>
      <w:pPr>
        <w:tabs>
          <w:tab w:val="left" w:pos="3193"/>
        </w:tabs>
        <w:spacing w:line="400" w:lineRule="exact"/>
        <w:ind w:firstLine="440" w:firstLineChars="200"/>
        <w:rPr>
          <w:rFonts w:cs="Times New Roman"/>
        </w:rPr>
      </w:pPr>
      <w:r>
        <w:rPr>
          <w:rFonts w:hint="eastAsia"/>
        </w:rPr>
        <w:t>（</w:t>
      </w:r>
      <w:r>
        <w:t>a</w:t>
      </w:r>
      <w:r>
        <w:rPr>
          <w:rFonts w:hint="eastAsia"/>
        </w:rPr>
        <w:t>）承包人主要管理人员（项目经理、技术负责人、安全员、质检员，驻地监理工程师代表、专业监理工程师）未按合同要求时间进场，或进场主要管理人员与合同不一致的，或进场主要管理人员非中标人本单位人员的，终止合同并课以合同总金额</w:t>
      </w:r>
      <w:r>
        <w:t>10%</w:t>
      </w:r>
      <w:r>
        <w:rPr>
          <w:rFonts w:hint="eastAsia"/>
        </w:rPr>
        <w:t>的违约金。</w:t>
      </w:r>
    </w:p>
    <w:p>
      <w:pPr>
        <w:tabs>
          <w:tab w:val="left" w:pos="3193"/>
        </w:tabs>
        <w:spacing w:line="400" w:lineRule="exact"/>
        <w:ind w:firstLine="440" w:firstLineChars="200"/>
        <w:rPr>
          <w:rFonts w:cs="Times New Roman"/>
        </w:rPr>
      </w:pPr>
      <w:r>
        <w:rPr>
          <w:rFonts w:hint="eastAsia"/>
        </w:rPr>
        <w:t>（</w:t>
      </w:r>
      <w:r>
        <w:t>b</w:t>
      </w:r>
      <w:r>
        <w:rPr>
          <w:rFonts w:hint="eastAsia"/>
        </w:rPr>
        <w:t>）承包人主要人员月驻场时间少于</w:t>
      </w:r>
      <w:r>
        <w:t>20</w:t>
      </w:r>
      <w:r>
        <w:rPr>
          <w:rFonts w:hint="eastAsia"/>
        </w:rPr>
        <w:t>日或未经批准擅自更换，课以合同总金额</w:t>
      </w:r>
      <w:r>
        <w:t>1%</w:t>
      </w:r>
      <w:r>
        <w:rPr>
          <w:rFonts w:hint="eastAsia"/>
        </w:rPr>
        <w:t>～</w:t>
      </w:r>
      <w:r>
        <w:t>5%</w:t>
      </w:r>
      <w:r>
        <w:rPr>
          <w:rFonts w:hint="eastAsia"/>
        </w:rPr>
        <w:t>的违约金；被建设单位（业主）或行业监管部门通报而仍未按要求改正的，课以合同总金额</w:t>
      </w:r>
      <w:r>
        <w:t>10%</w:t>
      </w:r>
      <w:r>
        <w:rPr>
          <w:rFonts w:hint="eastAsia"/>
        </w:rPr>
        <w:t>的违约金。</w:t>
      </w:r>
    </w:p>
    <w:p>
      <w:pPr>
        <w:tabs>
          <w:tab w:val="left" w:pos="3193"/>
        </w:tabs>
        <w:spacing w:line="400" w:lineRule="exact"/>
        <w:ind w:firstLine="440" w:firstLineChars="200"/>
        <w:rPr>
          <w:rFonts w:cs="Times New Roman"/>
        </w:rPr>
      </w:pPr>
      <w:r>
        <w:rPr>
          <w:rFonts w:hint="eastAsia"/>
        </w:rPr>
        <w:t>（</w:t>
      </w:r>
      <w:r>
        <w:t>c</w:t>
      </w:r>
      <w:r>
        <w:rPr>
          <w:rFonts w:hint="eastAsia"/>
        </w:rPr>
        <w:t>）承包人因工程质量、进度、安全问题被平乐县交通运输局农村公路建设管理办公室、桂林市公路管理处、桂林市交通工程质量监督站通报的，每次课以合同总金额</w:t>
      </w:r>
      <w:r>
        <w:t>2%</w:t>
      </w:r>
      <w:r>
        <w:rPr>
          <w:rFonts w:hint="eastAsia"/>
        </w:rPr>
        <w:t>的违约金。被市级及市级以上交通主管部门通报的，每次课以合同总金额</w:t>
      </w:r>
      <w:r>
        <w:t>3%</w:t>
      </w:r>
      <w:r>
        <w:rPr>
          <w:rFonts w:hint="eastAsia"/>
        </w:rPr>
        <w:t>的违约金。同一时间被多个部门通报的，不重复扣款，以最高额处罚。</w:t>
      </w:r>
    </w:p>
    <w:p>
      <w:pPr>
        <w:tabs>
          <w:tab w:val="left" w:pos="3193"/>
        </w:tabs>
        <w:spacing w:line="400" w:lineRule="exact"/>
        <w:ind w:firstLine="440" w:firstLineChars="200"/>
      </w:pPr>
      <w:r>
        <w:rPr>
          <w:rFonts w:hint="eastAsia"/>
        </w:rPr>
        <w:t>（</w:t>
      </w:r>
      <w:r>
        <w:t>d</w:t>
      </w:r>
      <w:r>
        <w:rPr>
          <w:rFonts w:hint="eastAsia"/>
        </w:rPr>
        <w:t>）</w:t>
      </w:r>
      <w:r>
        <w:t xml:space="preserve">. </w:t>
      </w:r>
      <w:r>
        <w:rPr>
          <w:rFonts w:hint="eastAsia"/>
        </w:rPr>
        <w:t>其他违约行为由项目业主按合同文件相应条款处罚。履约保证金不足以抵扣违约金的，由项目业主从到期应支付给承包人的任何款项中扣回。</w:t>
      </w:r>
      <w:r>
        <w:t xml:space="preserve">   </w:t>
      </w:r>
    </w:p>
    <w:p>
      <w:pPr>
        <w:tabs>
          <w:tab w:val="left" w:pos="3193"/>
        </w:tabs>
        <w:spacing w:line="400" w:lineRule="exact"/>
        <w:ind w:firstLine="440" w:firstLineChars="200"/>
        <w:rPr>
          <w:rFonts w:cs="Times New Roman"/>
        </w:rPr>
      </w:pPr>
      <w:r>
        <w:t>2</w:t>
      </w:r>
      <w:r>
        <w:rPr>
          <w:rFonts w:hint="eastAsia"/>
        </w:rPr>
        <w:t>）主要设备没有按承诺进场的处</w:t>
      </w:r>
      <w:r>
        <w:t>500</w:t>
      </w:r>
      <w:r>
        <w:rPr>
          <w:rFonts w:hint="eastAsia"/>
        </w:rPr>
        <w:t>元台</w:t>
      </w:r>
      <w:r>
        <w:t>/</w:t>
      </w:r>
      <w:r>
        <w:rPr>
          <w:rFonts w:hint="eastAsia"/>
        </w:rPr>
        <w:t>日。</w:t>
      </w:r>
    </w:p>
    <w:p>
      <w:pPr>
        <w:pStyle w:val="3"/>
        <w:spacing w:beforeLines="50" w:line="400" w:lineRule="exact"/>
        <w:rPr>
          <w:rFonts w:cs="Times New Roman"/>
          <w:sz w:val="21"/>
          <w:szCs w:val="21"/>
        </w:rPr>
      </w:pPr>
      <w:r>
        <w:rPr>
          <w:sz w:val="21"/>
          <w:szCs w:val="21"/>
        </w:rPr>
        <w:t>25.2</w:t>
      </w:r>
      <w:r>
        <w:rPr>
          <w:rFonts w:hint="eastAsia"/>
          <w:sz w:val="21"/>
          <w:szCs w:val="21"/>
        </w:rPr>
        <w:t>路基工程</w:t>
      </w:r>
    </w:p>
    <w:p>
      <w:pPr>
        <w:tabs>
          <w:tab w:val="left" w:pos="3193"/>
        </w:tabs>
        <w:spacing w:line="400" w:lineRule="exact"/>
        <w:ind w:firstLine="440" w:firstLineChars="200"/>
        <w:rPr>
          <w:rFonts w:cs="Times New Roman"/>
        </w:rPr>
      </w:pPr>
      <w:r>
        <w:t xml:space="preserve">25.2.1 </w:t>
      </w:r>
      <w:r>
        <w:rPr>
          <w:rFonts w:hint="eastAsia"/>
        </w:rPr>
        <w:t>路基工程：包括调整路线纵坡、填补路面坑槽、修整水沟、边坡。</w:t>
      </w:r>
    </w:p>
    <w:p>
      <w:pPr>
        <w:pStyle w:val="3"/>
        <w:spacing w:beforeLines="50" w:line="400" w:lineRule="exact"/>
        <w:rPr>
          <w:rFonts w:cs="Times New Roman"/>
          <w:sz w:val="21"/>
          <w:szCs w:val="21"/>
        </w:rPr>
      </w:pPr>
      <w:r>
        <w:rPr>
          <w:sz w:val="21"/>
          <w:szCs w:val="21"/>
        </w:rPr>
        <w:t xml:space="preserve">25.3 </w:t>
      </w:r>
      <w:r>
        <w:rPr>
          <w:rFonts w:hint="eastAsia"/>
          <w:sz w:val="21"/>
          <w:szCs w:val="21"/>
        </w:rPr>
        <w:t>投标人出现以下情况视为挂靠、转包及违法分包行为：</w:t>
      </w:r>
    </w:p>
    <w:p>
      <w:pPr>
        <w:spacing w:line="400" w:lineRule="exact"/>
        <w:ind w:firstLine="440" w:firstLineChars="200"/>
        <w:rPr>
          <w:rFonts w:cs="Times New Roman"/>
        </w:rPr>
      </w:pPr>
      <w:r>
        <w:t>25.3.1</w:t>
      </w:r>
      <w:r>
        <w:rPr>
          <w:rFonts w:hint="eastAsia"/>
        </w:rPr>
        <w:t>投标文件中填报的主要管理人员及其备选人员非投标人本单位人员的（“本单位人员”是指，按《中华人民共和国劳动法》规定与所在单位订立了劳动合同，且所在单位为其向法定机构足额缴纳了养老保险的人员，下同）。</w:t>
      </w:r>
    </w:p>
    <w:p>
      <w:pPr>
        <w:widowControl/>
        <w:spacing w:line="520" w:lineRule="exact"/>
        <w:ind w:firstLine="440" w:firstLineChars="200"/>
        <w:rPr>
          <w:rFonts w:cs="Times New Roman"/>
        </w:rPr>
      </w:pPr>
      <w:r>
        <w:t>25.3.2</w:t>
      </w:r>
      <w:r>
        <w:rPr>
          <w:rFonts w:hint="eastAsia"/>
        </w:rPr>
        <w:t>履约保证金由非投标人银行基本账户转出，或虽由投标人银行基本账户转出，或以其他方式抵押的。</w:t>
      </w:r>
    </w:p>
    <w:p>
      <w:pPr>
        <w:widowControl/>
        <w:spacing w:line="520" w:lineRule="exact"/>
        <w:ind w:firstLine="440" w:firstLineChars="200"/>
        <w:rPr>
          <w:rFonts w:ascii="仿宋_GB2312" w:hAnsi="仿宋_GB2312" w:eastAsia="仿宋_GB2312" w:cs="Times New Roman"/>
          <w:sz w:val="32"/>
          <w:szCs w:val="32"/>
        </w:rPr>
      </w:pPr>
      <w:r>
        <w:t>25.3.3</w:t>
      </w:r>
      <w:r>
        <w:rPr>
          <w:rFonts w:hint="eastAsia"/>
        </w:rPr>
        <w:t>投标文件中承诺的主要管理人员未按合同到位或未经建设单位</w:t>
      </w:r>
      <w:r>
        <w:t>(</w:t>
      </w:r>
      <w:r>
        <w:rPr>
          <w:rFonts w:hint="eastAsia"/>
        </w:rPr>
        <w:t>或业主</w:t>
      </w:r>
      <w:r>
        <w:t>)</w:t>
      </w:r>
      <w:r>
        <w:rPr>
          <w:rFonts w:hint="eastAsia"/>
        </w:rPr>
        <w:t>同意擅自更换的</w:t>
      </w:r>
      <w:r>
        <w:rPr>
          <w:rFonts w:hint="eastAsia" w:ascii="仿宋_GB2312" w:hAnsi="仿宋_GB2312" w:eastAsia="仿宋_GB2312" w:cs="仿宋_GB2312"/>
          <w:sz w:val="32"/>
          <w:szCs w:val="32"/>
        </w:rPr>
        <w:t>。</w:t>
      </w:r>
    </w:p>
    <w:p>
      <w:pPr>
        <w:widowControl/>
        <w:spacing w:line="520" w:lineRule="exact"/>
        <w:ind w:firstLine="440" w:firstLineChars="200"/>
        <w:rPr>
          <w:rFonts w:cs="Times New Roman"/>
        </w:rPr>
      </w:pPr>
      <w:r>
        <w:t>25.3.4</w:t>
      </w:r>
      <w:r>
        <w:rPr>
          <w:rFonts w:hint="eastAsia"/>
        </w:rPr>
        <w:t>合同约定的主要管理人员不到岗或严重缺岗（月驻地少于</w:t>
      </w:r>
      <w:r>
        <w:t>20</w:t>
      </w:r>
      <w:r>
        <w:rPr>
          <w:rFonts w:hint="eastAsia"/>
        </w:rPr>
        <w:t>天），实际由非本单位人员履行职责的。</w:t>
      </w:r>
    </w:p>
    <w:p>
      <w:pPr>
        <w:widowControl/>
        <w:spacing w:line="520" w:lineRule="exact"/>
        <w:ind w:firstLine="440" w:firstLineChars="200"/>
        <w:rPr>
          <w:rFonts w:cs="Times New Roman"/>
        </w:rPr>
      </w:pPr>
      <w:r>
        <w:t>25.3.5</w:t>
      </w:r>
      <w:r>
        <w:rPr>
          <w:rFonts w:hint="eastAsia"/>
        </w:rPr>
        <w:t>由其他单位（本单位下属机构除外）或个人提供机械设备、并承担技术和组织管理、自行组织大宗材料或主要材料采购的行为，视为分包行为。而该分包行为在投标文件中未事先做出约定并经建设单位（业主）同意的。</w:t>
      </w:r>
    </w:p>
    <w:p>
      <w:pPr>
        <w:widowControl/>
        <w:spacing w:line="520" w:lineRule="exact"/>
        <w:ind w:firstLine="440" w:firstLineChars="200"/>
        <w:rPr>
          <w:rFonts w:cs="Times New Roman"/>
        </w:rPr>
      </w:pPr>
      <w:r>
        <w:t>25.3.6</w:t>
      </w:r>
      <w:r>
        <w:rPr>
          <w:rFonts w:hint="eastAsia"/>
        </w:rPr>
        <w:t>合同约定的施工单位与现场实际施工方（监理方）之间无产权关系；与现场实际施工方（监理方）之间无统一的财务管理；与施工现场的施工（监理）主要工程管理人员之间无合法的人事调动、任免、聘用以及社会保险关系；与施工现场的工人之间无合法的建筑劳动用工关系的。</w:t>
      </w:r>
    </w:p>
    <w:p>
      <w:pPr>
        <w:widowControl/>
        <w:spacing w:line="520" w:lineRule="exact"/>
        <w:ind w:firstLine="440" w:firstLineChars="200"/>
        <w:rPr>
          <w:rFonts w:cs="Times New Roman"/>
        </w:rPr>
      </w:pPr>
      <w:r>
        <w:t>25.3.7</w:t>
      </w:r>
      <w:r>
        <w:rPr>
          <w:rFonts w:hint="eastAsia"/>
        </w:rPr>
        <w:t>合同项目财务管理出现以下情况，又无合理解释的：（</w:t>
      </w:r>
      <w:r>
        <w:t>1</w:t>
      </w:r>
      <w:r>
        <w:rPr>
          <w:rFonts w:hint="eastAsia"/>
        </w:rPr>
        <w:t>）以提取一定比列的管理费或其他固定费用后向其他单位（本单位下属机构除外）或个人直接支付工程款的；（</w:t>
      </w:r>
      <w:r>
        <w:t>2</w:t>
      </w:r>
      <w:r>
        <w:rPr>
          <w:rFonts w:hint="eastAsia"/>
        </w:rPr>
        <w:t>）向其他单位（本单位下属机构除外）或个人直接支付各类款项累计超过</w:t>
      </w:r>
      <w:r>
        <w:t>30%</w:t>
      </w:r>
      <w:r>
        <w:rPr>
          <w:rFonts w:hint="eastAsia"/>
        </w:rPr>
        <w:t>的；（</w:t>
      </w:r>
      <w:r>
        <w:t>3</w:t>
      </w:r>
      <w:r>
        <w:rPr>
          <w:rFonts w:hint="eastAsia"/>
        </w:rPr>
        <w:t>）大宗材料或主要材料支出收款单位或个人不具备相应材料生产或经营资格的；（</w:t>
      </w:r>
      <w:r>
        <w:t>4</w:t>
      </w:r>
      <w:r>
        <w:rPr>
          <w:rFonts w:hint="eastAsia"/>
        </w:rPr>
        <w:t>）主要工程款支出未经项目经理审定即行支付的，或实际支配资金使用的人员非本单位人员的；（</w:t>
      </w:r>
      <w:r>
        <w:t>5</w:t>
      </w:r>
      <w:r>
        <w:rPr>
          <w:rFonts w:hint="eastAsia"/>
        </w:rPr>
        <w:t>）人工、主要材料及机械费用支出未能提供合法有效协议或合同的。</w:t>
      </w:r>
    </w:p>
    <w:p>
      <w:pPr>
        <w:widowControl/>
        <w:spacing w:line="520" w:lineRule="exact"/>
        <w:ind w:firstLine="440" w:firstLineChars="200"/>
        <w:rPr>
          <w:rFonts w:cs="Times New Roman"/>
        </w:rPr>
      </w:pPr>
      <w:r>
        <w:t>25.3.8</w:t>
      </w:r>
      <w:r>
        <w:rPr>
          <w:rFonts w:hint="eastAsia"/>
        </w:rPr>
        <w:t>国家法律法规明确界定的其他挂靠、转包、违法分包行为。</w:t>
      </w:r>
    </w:p>
    <w:p>
      <w:pPr>
        <w:widowControl/>
        <w:spacing w:line="520" w:lineRule="exact"/>
        <w:ind w:firstLine="440" w:firstLineChars="200"/>
        <w:rPr>
          <w:rFonts w:cs="Times New Roman"/>
        </w:rPr>
      </w:pPr>
      <w:r>
        <w:rPr>
          <w:rFonts w:hint="eastAsia"/>
        </w:rPr>
        <w:t>按照以上规定被认定为存在“挂靠、转包、违法分包”行为的施工单位，由相关监督部门责令改正并依法作出罚款、没收违法所得、取消投标或中标资格、终止合同履行，记入不良行为记录，取消或限制其在本市境内参加农村公路建设工程的投标和承揽资格，并在全市范围内予以通报。情节严重的，建议建设行政主管部门降低资质等级直至吊销资质证书。</w:t>
      </w:r>
    </w:p>
    <w:p>
      <w:pPr>
        <w:tabs>
          <w:tab w:val="left" w:pos="3193"/>
        </w:tabs>
        <w:spacing w:line="400" w:lineRule="exact"/>
        <w:ind w:firstLine="440" w:firstLineChars="200"/>
        <w:rPr>
          <w:rFonts w:cs="Times New Roman"/>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pStyle w:val="12"/>
        <w:spacing w:before="5"/>
        <w:rPr>
          <w:rFonts w:cs="Times New Roman"/>
          <w:sz w:val="24"/>
          <w:szCs w:val="24"/>
        </w:rPr>
      </w:pPr>
    </w:p>
    <w:p>
      <w:pPr>
        <w:tabs>
          <w:tab w:val="left" w:pos="1679"/>
        </w:tabs>
        <w:spacing w:before="49"/>
        <w:ind w:right="406"/>
        <w:jc w:val="both"/>
        <w:rPr>
          <w:rFonts w:cs="Times New Roman"/>
          <w:sz w:val="36"/>
          <w:szCs w:val="36"/>
        </w:rPr>
      </w:pPr>
      <w:bookmarkStart w:id="895" w:name="第三节合同附件格式"/>
      <w:bookmarkEnd w:id="895"/>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1800" w:firstLineChars="500"/>
        <w:jc w:val="both"/>
        <w:rPr>
          <w:rFonts w:cs="Times New Roman"/>
          <w:sz w:val="36"/>
          <w:szCs w:val="36"/>
        </w:rPr>
      </w:pPr>
    </w:p>
    <w:p>
      <w:pPr>
        <w:tabs>
          <w:tab w:val="left" w:pos="1679"/>
        </w:tabs>
        <w:spacing w:before="49"/>
        <w:ind w:right="406" w:firstLine="2160" w:firstLineChars="600"/>
        <w:jc w:val="both"/>
        <w:rPr>
          <w:rFonts w:cs="Times New Roman"/>
          <w:sz w:val="36"/>
          <w:szCs w:val="36"/>
        </w:rPr>
      </w:pPr>
      <w:r>
        <w:rPr>
          <w:rFonts w:hint="eastAsia"/>
          <w:sz w:val="36"/>
          <w:szCs w:val="36"/>
        </w:rPr>
        <w:t>第三节</w:t>
      </w:r>
      <w:r>
        <w:rPr>
          <w:rFonts w:cs="Times New Roman"/>
          <w:sz w:val="36"/>
          <w:szCs w:val="36"/>
        </w:rPr>
        <w:tab/>
      </w:r>
      <w:r>
        <w:rPr>
          <w:rFonts w:hint="eastAsia"/>
          <w:sz w:val="36"/>
          <w:szCs w:val="36"/>
        </w:rPr>
        <w:t>合同附件格式</w:t>
      </w: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rPr>
          <w:rFonts w:ascii="黑体" w:eastAsia="黑体" w:cs="Times New Roman"/>
          <w:sz w:val="21"/>
          <w:szCs w:val="21"/>
        </w:rPr>
      </w:pPr>
    </w:p>
    <w:p>
      <w:pPr>
        <w:pStyle w:val="3"/>
        <w:spacing w:beforeLines="50" w:afterLines="50" w:line="400" w:lineRule="exact"/>
        <w:jc w:val="both"/>
        <w:rPr>
          <w:rFonts w:ascii="黑体" w:eastAsia="黑体" w:cs="Times New Roman"/>
          <w:sz w:val="21"/>
          <w:szCs w:val="21"/>
        </w:rPr>
      </w:pPr>
      <w:r>
        <w:rPr>
          <w:rFonts w:hint="eastAsia" w:ascii="黑体" w:eastAsia="黑体" w:cs="黑体"/>
          <w:sz w:val="21"/>
          <w:szCs w:val="21"/>
        </w:rPr>
        <w:t>附件一</w:t>
      </w:r>
      <w:r>
        <w:rPr>
          <w:rFonts w:ascii="黑体" w:eastAsia="黑体" w:cs="黑体"/>
          <w:sz w:val="21"/>
          <w:szCs w:val="21"/>
        </w:rPr>
        <w:t xml:space="preserve">   </w:t>
      </w:r>
      <w:r>
        <w:rPr>
          <w:rFonts w:hint="eastAsia" w:ascii="黑体" w:eastAsia="黑体" w:cs="黑体"/>
          <w:sz w:val="21"/>
          <w:szCs w:val="21"/>
        </w:rPr>
        <w:t>合同协议书</w:t>
      </w:r>
    </w:p>
    <w:p>
      <w:pPr>
        <w:rPr>
          <w:rFonts w:cs="Times New Roman"/>
        </w:rPr>
      </w:pPr>
    </w:p>
    <w:p>
      <w:pPr>
        <w:jc w:val="center"/>
        <w:rPr>
          <w:rFonts w:ascii="黑体" w:eastAsia="黑体" w:cs="Times New Roman"/>
          <w:b/>
          <w:bCs/>
          <w:sz w:val="32"/>
          <w:szCs w:val="32"/>
        </w:rPr>
      </w:pPr>
      <w:r>
        <w:rPr>
          <w:rFonts w:hint="eastAsia" w:ascii="黑体" w:eastAsia="黑体" w:cs="黑体"/>
          <w:b/>
          <w:bCs/>
          <w:sz w:val="32"/>
          <w:szCs w:val="32"/>
        </w:rPr>
        <w:t>合同协议书</w:t>
      </w:r>
    </w:p>
    <w:p>
      <w:pPr>
        <w:rPr>
          <w:rFonts w:cs="Times New Roman"/>
        </w:rPr>
      </w:pPr>
    </w:p>
    <w:p>
      <w:pPr>
        <w:rPr>
          <w:rFonts w:cs="Times New Roman"/>
        </w:rPr>
      </w:pPr>
    </w:p>
    <w:p>
      <w:pPr>
        <w:spacing w:line="400" w:lineRule="exact"/>
        <w:ind w:firstLine="440" w:firstLineChars="200"/>
        <w:rPr>
          <w:rFonts w:cs="Times New Roman"/>
          <w:color w:val="auto"/>
        </w:rPr>
      </w:pPr>
      <w:r>
        <w:rPr>
          <w:rFonts w:hint="eastAsia"/>
          <w:color w:val="auto"/>
        </w:rPr>
        <w:t>（发包人名称，以下简称“发包人”）为实施（项目名称），已接受（承包人名称，以下简称“承包人”）对该项目标段施工的投标。</w:t>
      </w:r>
      <w:r>
        <w:rPr>
          <w:color w:val="auto"/>
        </w:rPr>
        <w:t xml:space="preserve"> </w:t>
      </w:r>
      <w:r>
        <w:rPr>
          <w:rFonts w:hint="eastAsia"/>
          <w:color w:val="auto"/>
        </w:rPr>
        <w:t>发包人和承包人共同达成如下协议。</w:t>
      </w:r>
    </w:p>
    <w:p>
      <w:pPr>
        <w:spacing w:line="400" w:lineRule="exact"/>
        <w:ind w:firstLine="440" w:firstLineChars="200"/>
        <w:rPr>
          <w:rFonts w:cs="Times New Roman"/>
          <w:color w:val="FF0000"/>
        </w:rPr>
      </w:pPr>
      <w:r>
        <w:rPr>
          <w:color w:val="auto"/>
        </w:rPr>
        <w:t>1</w:t>
      </w:r>
      <w:r>
        <w:rPr>
          <w:rFonts w:hint="eastAsia"/>
          <w:color w:val="auto"/>
        </w:rPr>
        <w:t>．</w:t>
      </w:r>
      <w:r>
        <w:rPr>
          <w:rFonts w:hint="eastAsia" w:ascii="宋体" w:hAnsi="宋体" w:eastAsia="宋体" w:cs="宋体"/>
          <w:color w:val="auto"/>
          <w:kern w:val="2"/>
          <w:sz w:val="21"/>
          <w:szCs w:val="21"/>
          <w:u w:val="none"/>
          <w:lang w:val="en-US" w:eastAsia="zh-CN" w:bidi="ar"/>
        </w:rPr>
        <w:t>项目共涉及</w:t>
      </w:r>
      <w:r>
        <w:rPr>
          <w:rFonts w:hint="default" w:ascii="宋体" w:hAnsi="宋体" w:eastAsia="宋体" w:cs="宋体"/>
          <w:color w:val="auto"/>
          <w:kern w:val="2"/>
          <w:sz w:val="21"/>
          <w:szCs w:val="21"/>
          <w:u w:val="none"/>
          <w:lang w:val="en-US" w:eastAsia="zh-CN" w:bidi="ar"/>
        </w:rPr>
        <w:t>野猫界至悍冲公路</w:t>
      </w:r>
      <w:r>
        <w:rPr>
          <w:rFonts w:hint="eastAsia" w:ascii="宋体" w:hAnsi="宋体" w:eastAsia="宋体" w:cs="宋体"/>
          <w:color w:val="auto"/>
          <w:kern w:val="2"/>
          <w:sz w:val="21"/>
          <w:szCs w:val="21"/>
          <w:u w:val="none"/>
          <w:lang w:val="en-US" w:eastAsia="zh-CN" w:bidi="ar"/>
        </w:rPr>
        <w:t>、</w:t>
      </w:r>
      <w:r>
        <w:rPr>
          <w:rFonts w:hint="default" w:ascii="宋体" w:hAnsi="宋体" w:eastAsia="宋体" w:cs="宋体"/>
          <w:color w:val="auto"/>
          <w:kern w:val="2"/>
          <w:sz w:val="21"/>
          <w:szCs w:val="21"/>
          <w:u w:val="none"/>
          <w:lang w:val="en-US" w:eastAsia="zh-CN" w:bidi="ar"/>
        </w:rPr>
        <w:t>兴旺至二步水公路</w:t>
      </w:r>
      <w:r>
        <w:rPr>
          <w:rFonts w:hint="eastAsia" w:ascii="宋体" w:hAnsi="宋体" w:eastAsia="宋体" w:cs="宋体"/>
          <w:color w:val="auto"/>
          <w:kern w:val="2"/>
          <w:sz w:val="21"/>
          <w:szCs w:val="21"/>
          <w:u w:val="none"/>
          <w:lang w:val="en-US" w:eastAsia="zh-CN" w:bidi="ar"/>
        </w:rPr>
        <w:t>、</w:t>
      </w:r>
      <w:r>
        <w:rPr>
          <w:rFonts w:hint="default" w:ascii="宋体" w:hAnsi="宋体" w:eastAsia="宋体" w:cs="宋体"/>
          <w:color w:val="auto"/>
          <w:kern w:val="2"/>
          <w:sz w:val="21"/>
          <w:szCs w:val="21"/>
          <w:u w:val="none"/>
          <w:lang w:val="en-US" w:eastAsia="zh-CN" w:bidi="ar"/>
        </w:rPr>
        <w:t>广运村张家二队至荔浦界</w:t>
      </w:r>
      <w:r>
        <w:rPr>
          <w:rFonts w:hint="eastAsia" w:ascii="宋体" w:hAnsi="宋体" w:eastAsia="宋体" w:cs="宋体"/>
          <w:color w:val="auto"/>
          <w:kern w:val="2"/>
          <w:sz w:val="21"/>
          <w:szCs w:val="21"/>
          <w:u w:val="none"/>
          <w:lang w:val="en-US" w:eastAsia="zh-CN" w:bidi="ar"/>
        </w:rPr>
        <w:t>、</w:t>
      </w:r>
      <w:r>
        <w:rPr>
          <w:rFonts w:hint="default" w:ascii="宋体" w:hAnsi="宋体" w:eastAsia="宋体" w:cs="宋体"/>
          <w:color w:val="auto"/>
          <w:kern w:val="2"/>
          <w:sz w:val="21"/>
          <w:szCs w:val="21"/>
          <w:u w:val="none"/>
          <w:lang w:val="en-US" w:eastAsia="zh-CN" w:bidi="ar"/>
        </w:rPr>
        <w:t>大冲口桥</w:t>
      </w:r>
      <w:r>
        <w:rPr>
          <w:rFonts w:hint="eastAsia" w:ascii="宋体" w:hAnsi="宋体" w:eastAsia="宋体" w:cs="宋体"/>
          <w:color w:val="auto"/>
          <w:kern w:val="2"/>
          <w:sz w:val="21"/>
          <w:szCs w:val="21"/>
          <w:u w:val="none"/>
          <w:lang w:val="en-US" w:eastAsia="zh-CN" w:bidi="ar"/>
        </w:rPr>
        <w:t>、</w:t>
      </w:r>
      <w:r>
        <w:rPr>
          <w:rFonts w:hint="default" w:ascii="宋体" w:hAnsi="宋体" w:eastAsia="宋体" w:cs="宋体"/>
          <w:color w:val="auto"/>
          <w:kern w:val="2"/>
          <w:sz w:val="21"/>
          <w:szCs w:val="21"/>
          <w:u w:val="none"/>
          <w:lang w:val="en-US" w:eastAsia="zh-CN" w:bidi="ar"/>
        </w:rPr>
        <w:t>大</w:t>
      </w:r>
      <w:r>
        <w:rPr>
          <w:rFonts w:hint="default" w:ascii="宋体" w:hAnsi="宋体" w:eastAsia="宋体" w:cs="宋体"/>
          <w:color w:val="333333"/>
          <w:kern w:val="2"/>
          <w:sz w:val="21"/>
          <w:szCs w:val="21"/>
          <w:u w:val="none"/>
          <w:lang w:val="en-US" w:eastAsia="zh-CN" w:bidi="ar"/>
        </w:rPr>
        <w:t>田冲桥</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国道323线至香炉</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关门洞至大练坝</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同安至大里</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石面山村道</w:t>
      </w:r>
      <w:r>
        <w:rPr>
          <w:rFonts w:hint="eastAsia" w:ascii="宋体" w:hAnsi="宋体" w:eastAsia="宋体" w:cs="宋体"/>
          <w:color w:val="333333"/>
          <w:kern w:val="2"/>
          <w:sz w:val="21"/>
          <w:szCs w:val="21"/>
          <w:u w:val="none"/>
          <w:lang w:val="en-US" w:eastAsia="zh-CN" w:bidi="ar"/>
        </w:rPr>
        <w:t>、</w:t>
      </w:r>
      <w:r>
        <w:rPr>
          <w:rFonts w:hint="default" w:ascii="宋体" w:hAnsi="宋体" w:eastAsia="宋体" w:cs="宋体"/>
          <w:color w:val="333333"/>
          <w:kern w:val="2"/>
          <w:sz w:val="21"/>
          <w:szCs w:val="21"/>
          <w:u w:val="none"/>
          <w:lang w:val="en-US" w:eastAsia="zh-CN" w:bidi="ar"/>
        </w:rPr>
        <w:t>湖塘崩冲至水淹塘</w:t>
      </w:r>
      <w:r>
        <w:rPr>
          <w:rFonts w:hint="eastAsia" w:ascii="宋体" w:hAnsi="宋体" w:eastAsia="宋体" w:cs="宋体"/>
          <w:color w:val="333333"/>
          <w:kern w:val="2"/>
          <w:sz w:val="21"/>
          <w:szCs w:val="21"/>
          <w:u w:val="none"/>
          <w:lang w:val="en-US" w:eastAsia="zh-CN" w:bidi="ar"/>
        </w:rPr>
        <w:t>等</w:t>
      </w:r>
      <w:r>
        <w:rPr>
          <w:rFonts w:hint="eastAsia"/>
          <w:color w:val="FF0000"/>
        </w:rPr>
        <w:t>。</w:t>
      </w:r>
    </w:p>
    <w:p>
      <w:pPr>
        <w:spacing w:line="400" w:lineRule="exact"/>
        <w:ind w:firstLine="440" w:firstLineChars="200"/>
        <w:rPr>
          <w:rFonts w:cs="Times New Roman"/>
        </w:rPr>
      </w:pPr>
      <w:r>
        <w:t xml:space="preserve">2. </w:t>
      </w:r>
      <w:r>
        <w:rPr>
          <w:rFonts w:hint="eastAsia"/>
        </w:rPr>
        <w:t>下列文件应视为构成合同文件的组成部分：</w:t>
      </w:r>
    </w:p>
    <w:p>
      <w:pPr>
        <w:spacing w:line="400" w:lineRule="exact"/>
        <w:ind w:firstLine="440" w:firstLineChars="200"/>
        <w:rPr>
          <w:rFonts w:cs="Times New Roman"/>
        </w:rPr>
      </w:pPr>
      <w:r>
        <w:rPr>
          <w:rFonts w:hint="eastAsia"/>
        </w:rPr>
        <w:t>（</w:t>
      </w:r>
      <w:r>
        <w:t>1</w:t>
      </w:r>
      <w:r>
        <w:rPr>
          <w:rFonts w:hint="eastAsia"/>
        </w:rPr>
        <w:t>）本协议书及各种合同附件（含评标期间和合同谈判过程中的澄清文件和补充资料）；</w:t>
      </w:r>
    </w:p>
    <w:p>
      <w:pPr>
        <w:spacing w:line="400" w:lineRule="exact"/>
        <w:ind w:firstLine="440" w:firstLineChars="200"/>
        <w:rPr>
          <w:rFonts w:cs="Times New Roman"/>
        </w:rPr>
      </w:pPr>
      <w:r>
        <w:rPr>
          <w:rFonts w:hint="eastAsia"/>
        </w:rPr>
        <w:t>（</w:t>
      </w:r>
      <w:r>
        <w:t>2</w:t>
      </w:r>
      <w:r>
        <w:rPr>
          <w:rFonts w:hint="eastAsia"/>
        </w:rPr>
        <w:t>）中标通知书；</w:t>
      </w:r>
    </w:p>
    <w:p>
      <w:pPr>
        <w:spacing w:line="400" w:lineRule="exact"/>
        <w:ind w:firstLine="440" w:firstLineChars="200"/>
        <w:rPr>
          <w:rFonts w:cs="Times New Roman"/>
        </w:rPr>
      </w:pPr>
      <w:r>
        <w:rPr>
          <w:rFonts w:hint="eastAsia"/>
        </w:rPr>
        <w:t>（</w:t>
      </w:r>
      <w:r>
        <w:t>3</w:t>
      </w:r>
      <w:r>
        <w:rPr>
          <w:rFonts w:hint="eastAsia"/>
        </w:rPr>
        <w:t>）补遗书；</w:t>
      </w:r>
    </w:p>
    <w:p>
      <w:pPr>
        <w:spacing w:line="400" w:lineRule="exact"/>
        <w:ind w:firstLine="440" w:firstLineChars="200"/>
        <w:rPr>
          <w:rFonts w:cs="Times New Roman"/>
        </w:rPr>
      </w:pPr>
      <w:r>
        <w:rPr>
          <w:rFonts w:hint="eastAsia"/>
        </w:rPr>
        <w:t>（</w:t>
      </w:r>
      <w:r>
        <w:t>4</w:t>
      </w:r>
      <w:r>
        <w:rPr>
          <w:rFonts w:hint="eastAsia"/>
        </w:rPr>
        <w:t>）投标函及投标函附录；</w:t>
      </w:r>
    </w:p>
    <w:p>
      <w:pPr>
        <w:spacing w:line="400" w:lineRule="exact"/>
        <w:ind w:firstLine="440" w:firstLineChars="200"/>
        <w:rPr>
          <w:rFonts w:cs="Times New Roman"/>
        </w:rPr>
      </w:pPr>
      <w:r>
        <w:rPr>
          <w:rFonts w:hint="eastAsia"/>
        </w:rPr>
        <w:t>（</w:t>
      </w:r>
      <w:r>
        <w:t>5</w:t>
      </w:r>
      <w:r>
        <w:rPr>
          <w:rFonts w:hint="eastAsia"/>
        </w:rPr>
        <w:t>）项目专用合同条款；</w:t>
      </w:r>
    </w:p>
    <w:p>
      <w:pPr>
        <w:spacing w:line="400" w:lineRule="exact"/>
        <w:ind w:firstLine="440" w:firstLineChars="200"/>
        <w:rPr>
          <w:rFonts w:cs="Times New Roman"/>
        </w:rPr>
      </w:pPr>
      <w:r>
        <w:rPr>
          <w:rFonts w:hint="eastAsia"/>
        </w:rPr>
        <w:t>（</w:t>
      </w:r>
      <w:r>
        <w:t>6</w:t>
      </w:r>
      <w:r>
        <w:rPr>
          <w:rFonts w:hint="eastAsia"/>
        </w:rPr>
        <w:t>）公路工程专用合同条款；</w:t>
      </w:r>
    </w:p>
    <w:p>
      <w:pPr>
        <w:spacing w:line="400" w:lineRule="exact"/>
        <w:ind w:firstLine="440" w:firstLineChars="200"/>
        <w:rPr>
          <w:rFonts w:cs="Times New Roman"/>
        </w:rPr>
      </w:pPr>
      <w:r>
        <w:rPr>
          <w:rFonts w:hint="eastAsia"/>
        </w:rPr>
        <w:t>（</w:t>
      </w:r>
      <w:r>
        <w:t>7</w:t>
      </w:r>
      <w:r>
        <w:rPr>
          <w:rFonts w:hint="eastAsia"/>
        </w:rPr>
        <w:t>）通用合同条款；</w:t>
      </w:r>
    </w:p>
    <w:p>
      <w:pPr>
        <w:spacing w:line="400" w:lineRule="exact"/>
        <w:ind w:firstLine="440" w:firstLineChars="200"/>
        <w:rPr>
          <w:rFonts w:cs="Times New Roman"/>
        </w:rPr>
      </w:pPr>
      <w:r>
        <w:rPr>
          <w:rFonts w:hint="eastAsia"/>
        </w:rPr>
        <w:t>（</w:t>
      </w:r>
      <w:r>
        <w:t>8</w:t>
      </w:r>
      <w:r>
        <w:rPr>
          <w:rFonts w:hint="eastAsia"/>
        </w:rPr>
        <w:t>）技术规范；</w:t>
      </w:r>
    </w:p>
    <w:p>
      <w:pPr>
        <w:spacing w:line="400" w:lineRule="exact"/>
        <w:ind w:firstLine="440" w:firstLineChars="200"/>
        <w:rPr>
          <w:rFonts w:cs="Times New Roman"/>
        </w:rPr>
      </w:pPr>
      <w:r>
        <w:rPr>
          <w:rFonts w:hint="eastAsia"/>
        </w:rPr>
        <w:t>（</w:t>
      </w:r>
      <w:r>
        <w:t>9</w:t>
      </w:r>
      <w:r>
        <w:rPr>
          <w:rFonts w:hint="eastAsia"/>
        </w:rPr>
        <w:t>）图纸；</w:t>
      </w:r>
    </w:p>
    <w:p>
      <w:pPr>
        <w:spacing w:line="400" w:lineRule="exact"/>
        <w:ind w:firstLine="440" w:firstLineChars="200"/>
        <w:rPr>
          <w:rFonts w:cs="Times New Roman"/>
        </w:rPr>
      </w:pPr>
      <w:r>
        <w:rPr>
          <w:rFonts w:hint="eastAsia"/>
        </w:rPr>
        <w:t>（</w:t>
      </w:r>
      <w:r>
        <w:t>10</w:t>
      </w:r>
      <w:r>
        <w:rPr>
          <w:rFonts w:hint="eastAsia"/>
        </w:rPr>
        <w:t>）已标价工程量清单；</w:t>
      </w:r>
    </w:p>
    <w:p>
      <w:pPr>
        <w:spacing w:line="400" w:lineRule="exact"/>
        <w:ind w:firstLine="440" w:firstLineChars="200"/>
        <w:rPr>
          <w:rFonts w:cs="Times New Roman"/>
        </w:rPr>
      </w:pPr>
      <w:r>
        <w:rPr>
          <w:rFonts w:hint="eastAsia"/>
        </w:rPr>
        <w:t>（</w:t>
      </w:r>
      <w:r>
        <w:t>11</w:t>
      </w:r>
      <w:r>
        <w:rPr>
          <w:rFonts w:hint="eastAsia"/>
        </w:rPr>
        <w:t>）承包人有关人员、设备投入的承诺及投标文件中的施工组织设计；</w:t>
      </w:r>
    </w:p>
    <w:p>
      <w:pPr>
        <w:spacing w:line="400" w:lineRule="exact"/>
        <w:ind w:firstLine="440" w:firstLineChars="200"/>
        <w:rPr>
          <w:rFonts w:cs="Times New Roman"/>
        </w:rPr>
      </w:pPr>
      <w:r>
        <w:rPr>
          <w:rFonts w:hint="eastAsia"/>
        </w:rPr>
        <w:t>（</w:t>
      </w:r>
      <w:r>
        <w:t>12</w:t>
      </w:r>
      <w:r>
        <w:rPr>
          <w:rFonts w:hint="eastAsia"/>
        </w:rPr>
        <w:t>）其他合同文件。</w:t>
      </w:r>
    </w:p>
    <w:p>
      <w:pPr>
        <w:spacing w:line="400" w:lineRule="exact"/>
        <w:ind w:firstLine="440" w:firstLineChars="200"/>
        <w:rPr>
          <w:rFonts w:cs="Times New Roman"/>
        </w:rPr>
      </w:pPr>
      <w:r>
        <w:rPr>
          <w:rFonts w:hint="eastAsia"/>
        </w:rPr>
        <w:t>上述文件互相补充和解释，如有不明确或不一致之处，以合同约定次序在先者为准。</w:t>
      </w:r>
    </w:p>
    <w:p>
      <w:pPr>
        <w:spacing w:line="400" w:lineRule="exact"/>
        <w:ind w:firstLine="440" w:firstLineChars="200"/>
        <w:rPr>
          <w:rFonts w:cs="Times New Roman"/>
        </w:rPr>
      </w:pPr>
      <w:r>
        <w:t xml:space="preserve">4. </w:t>
      </w:r>
      <w:r>
        <w:rPr>
          <w:rFonts w:hint="eastAsia"/>
        </w:rPr>
        <w:t>根据工程量清单所列的预计数量和单价或总额价计算的签约合同价：人民币（大写）元（</w:t>
      </w:r>
      <w:r>
        <w:rPr>
          <w:rFonts w:cs="Times New Roman"/>
        </w:rPr>
        <w:t>¥</w:t>
      </w:r>
      <w:r>
        <w:rPr>
          <w:rFonts w:hint="eastAsia"/>
        </w:rPr>
        <w:t>）。</w:t>
      </w:r>
    </w:p>
    <w:p>
      <w:pPr>
        <w:spacing w:line="400" w:lineRule="exact"/>
        <w:ind w:firstLine="440" w:firstLineChars="200"/>
        <w:rPr>
          <w:rFonts w:cs="Times New Roman"/>
        </w:rPr>
      </w:pPr>
      <w:r>
        <w:t xml:space="preserve">5. </w:t>
      </w:r>
      <w:r>
        <w:rPr>
          <w:rFonts w:hint="eastAsia"/>
        </w:rPr>
        <w:t>承包人项目经理：承包人项目总工。</w:t>
      </w:r>
    </w:p>
    <w:p>
      <w:pPr>
        <w:spacing w:line="400" w:lineRule="exact"/>
        <w:ind w:firstLine="440" w:firstLineChars="200"/>
        <w:rPr>
          <w:rFonts w:cs="Times New Roman"/>
        </w:rPr>
      </w:pPr>
      <w:r>
        <w:t xml:space="preserve">6. </w:t>
      </w:r>
      <w:r>
        <w:rPr>
          <w:rFonts w:hint="eastAsia"/>
        </w:rPr>
        <w:t>工程质量符合标准。</w:t>
      </w:r>
    </w:p>
    <w:p>
      <w:pPr>
        <w:spacing w:line="400" w:lineRule="exact"/>
        <w:ind w:firstLine="440" w:firstLineChars="200"/>
        <w:rPr>
          <w:rFonts w:cs="Times New Roman"/>
        </w:rPr>
      </w:pPr>
      <w:r>
        <w:t xml:space="preserve">7. </w:t>
      </w:r>
      <w:r>
        <w:rPr>
          <w:rFonts w:hint="eastAsia"/>
        </w:rPr>
        <w:t>承包人承诺按合同约定承担工程的实施、完成及缺陷修复。</w:t>
      </w:r>
    </w:p>
    <w:p>
      <w:pPr>
        <w:spacing w:line="400" w:lineRule="exact"/>
        <w:ind w:firstLine="440" w:firstLineChars="200"/>
        <w:rPr>
          <w:rFonts w:cs="Times New Roman"/>
        </w:rPr>
      </w:pPr>
      <w:r>
        <w:t xml:space="preserve">8. </w:t>
      </w:r>
      <w:r>
        <w:rPr>
          <w:rFonts w:hint="eastAsia"/>
        </w:rPr>
        <w:t>发包人承诺按合同约定的条件、时间和方式向承包人支付合同价款。</w:t>
      </w:r>
    </w:p>
    <w:p>
      <w:pPr>
        <w:spacing w:line="400" w:lineRule="exact"/>
        <w:ind w:firstLine="440" w:firstLineChars="200"/>
        <w:rPr>
          <w:rFonts w:cs="Times New Roman"/>
        </w:rPr>
      </w:pPr>
      <w:r>
        <w:t xml:space="preserve">9. </w:t>
      </w:r>
      <w:r>
        <w:rPr>
          <w:rFonts w:hint="eastAsia"/>
        </w:rPr>
        <w:t>承包人应按照监理人指示开工，工期为日历天。</w:t>
      </w:r>
    </w:p>
    <w:p>
      <w:pPr>
        <w:spacing w:line="400" w:lineRule="exact"/>
        <w:ind w:firstLine="440" w:firstLineChars="200"/>
        <w:rPr>
          <w:rFonts w:cs="Times New Roman"/>
        </w:rPr>
      </w:pPr>
      <w:r>
        <w:rPr>
          <w:lang w:val="en-US"/>
        </w:rPr>
        <w:t>10.</w:t>
      </w:r>
      <w:r>
        <w:rPr>
          <w:rFonts w:hint="eastAsia"/>
        </w:rPr>
        <w:t>计量方法：</w:t>
      </w:r>
    </w:p>
    <w:p>
      <w:pPr>
        <w:spacing w:line="400" w:lineRule="exact"/>
        <w:ind w:firstLine="660" w:firstLineChars="300"/>
        <w:rPr>
          <w:rFonts w:cs="Times New Roman"/>
          <w:color w:val="000000"/>
        </w:rPr>
      </w:pPr>
      <w:r>
        <w:rPr>
          <w:rFonts w:hint="eastAsia"/>
        </w:rPr>
        <w:t>（</w:t>
      </w:r>
      <w:r>
        <w:t>1</w:t>
      </w:r>
      <w:r>
        <w:rPr>
          <w:rFonts w:hint="eastAsia"/>
        </w:rPr>
        <w:t>）</w:t>
      </w:r>
      <w:r>
        <w:rPr>
          <w:rFonts w:hint="eastAsia"/>
          <w:color w:val="000000"/>
        </w:rPr>
        <w:t>逾期交工违约金：</w:t>
      </w:r>
      <w:r>
        <w:rPr>
          <w:color w:val="000000"/>
          <w:u w:val="single"/>
          <w:lang w:val="en-US"/>
        </w:rPr>
        <w:t>3</w:t>
      </w:r>
      <w:r>
        <w:rPr>
          <w:color w:val="000000"/>
          <w:u w:val="single"/>
        </w:rPr>
        <w:t>000</w:t>
      </w:r>
      <w:r>
        <w:rPr>
          <w:rFonts w:hint="eastAsia"/>
          <w:color w:val="000000"/>
        </w:rPr>
        <w:t>元</w:t>
      </w:r>
      <w:r>
        <w:rPr>
          <w:color w:val="000000"/>
        </w:rPr>
        <w:t>/</w:t>
      </w:r>
      <w:r>
        <w:rPr>
          <w:rFonts w:hint="eastAsia"/>
          <w:color w:val="000000"/>
        </w:rPr>
        <w:t>天。</w:t>
      </w:r>
    </w:p>
    <w:p>
      <w:pPr>
        <w:spacing w:line="400" w:lineRule="exact"/>
        <w:ind w:firstLine="660" w:firstLineChars="300"/>
        <w:rPr>
          <w:rFonts w:cs="Times New Roman"/>
        </w:rPr>
      </w:pPr>
      <w:r>
        <w:rPr>
          <w:rFonts w:hint="eastAsia"/>
          <w:color w:val="000000"/>
        </w:rPr>
        <w:t>（</w:t>
      </w:r>
      <w:r>
        <w:rPr>
          <w:color w:val="000000"/>
        </w:rPr>
        <w:t>2</w:t>
      </w:r>
      <w:r>
        <w:rPr>
          <w:rFonts w:hint="eastAsia"/>
          <w:color w:val="000000"/>
        </w:rPr>
        <w:t>）</w:t>
      </w:r>
      <w:r>
        <w:rPr>
          <w:rFonts w:hint="eastAsia"/>
        </w:rPr>
        <w:t>逾期交工违约金限额：合同价的</w:t>
      </w:r>
      <w:r>
        <w:rPr>
          <w:lang w:val="en-US"/>
        </w:rPr>
        <w:t>5</w:t>
      </w:r>
      <w:r>
        <w:t>%</w:t>
      </w:r>
      <w:r>
        <w:rPr>
          <w:rFonts w:hint="eastAsia"/>
        </w:rPr>
        <w:t>；在支付第一次进度款时扣除，投标人按时完工后，招标人在竣工后退还（不计利息），若中标人不按时完工，招标人将按</w:t>
      </w:r>
      <w:r>
        <w:t>3000</w:t>
      </w:r>
      <w:r>
        <w:rPr>
          <w:rFonts w:hint="eastAsia"/>
        </w:rPr>
        <w:t>元</w:t>
      </w:r>
      <w:r>
        <w:t>/</w:t>
      </w:r>
      <w:r>
        <w:rPr>
          <w:rFonts w:hint="eastAsia"/>
        </w:rPr>
        <w:t>天罚款，直至扣完为止。</w:t>
      </w:r>
    </w:p>
    <w:p>
      <w:pPr>
        <w:spacing w:line="360" w:lineRule="auto"/>
        <w:ind w:firstLine="220" w:firstLineChars="100"/>
        <w:rPr>
          <w:rFonts w:cs="Times New Roman"/>
        </w:rPr>
      </w:pPr>
      <w:r>
        <w:rPr>
          <w:rFonts w:hint="eastAsia"/>
        </w:rPr>
        <w:t>（</w:t>
      </w:r>
      <w:r>
        <w:t>3</w:t>
      </w:r>
      <w:r>
        <w:rPr>
          <w:rFonts w:hint="eastAsia"/>
        </w:rPr>
        <w:t>）工程进度款的支付方式：</w:t>
      </w:r>
    </w:p>
    <w:p>
      <w:pPr>
        <w:spacing w:line="360" w:lineRule="auto"/>
        <w:ind w:firstLine="440" w:firstLineChars="200"/>
        <w:rPr>
          <w:rFonts w:cs="Times New Roman"/>
        </w:rPr>
      </w:pPr>
      <w:r>
        <w:rPr>
          <w:rFonts w:hint="eastAsia"/>
        </w:rPr>
        <w:t>按每月实际完成工程量的</w:t>
      </w:r>
      <w:r>
        <w:t>70%</w:t>
      </w:r>
      <w:r>
        <w:rPr>
          <w:rFonts w:hint="eastAsia"/>
        </w:rPr>
        <w:t>支付，工程完工验收合格后支付至审核后总造价的</w:t>
      </w:r>
      <w:r>
        <w:t>95%</w:t>
      </w:r>
      <w:r>
        <w:rPr>
          <w:rFonts w:hint="eastAsia"/>
        </w:rPr>
        <w:t>，余</w:t>
      </w:r>
      <w:r>
        <w:t>5%</w:t>
      </w:r>
      <w:r>
        <w:rPr>
          <w:rFonts w:hint="eastAsia"/>
        </w:rPr>
        <w:t>作为质量保证金，质保期满后</w:t>
      </w:r>
      <w:r>
        <w:t>1</w:t>
      </w:r>
      <w:r>
        <w:rPr>
          <w:rFonts w:hint="eastAsia"/>
        </w:rPr>
        <w:t>个月内支付（无息）。</w:t>
      </w:r>
    </w:p>
    <w:p>
      <w:pPr>
        <w:spacing w:line="360" w:lineRule="auto"/>
        <w:ind w:firstLine="220" w:firstLineChars="100"/>
        <w:rPr>
          <w:rFonts w:cs="Times New Roman"/>
          <w:color w:val="000000"/>
        </w:rPr>
      </w:pPr>
      <w:r>
        <w:rPr>
          <w:rFonts w:hint="eastAsia"/>
        </w:rPr>
        <w:t>（</w:t>
      </w:r>
      <w:r>
        <w:t>4</w:t>
      </w:r>
      <w:r>
        <w:rPr>
          <w:rFonts w:hint="eastAsia"/>
        </w:rPr>
        <w:t>）</w:t>
      </w:r>
      <w:r>
        <w:rPr>
          <w:rFonts w:hint="eastAsia"/>
          <w:color w:val="000000"/>
        </w:rPr>
        <w:t>逾期付款违约金的的利率：</w:t>
      </w:r>
      <w:r>
        <w:rPr>
          <w:color w:val="000000"/>
        </w:rPr>
        <w:t>0.1</w:t>
      </w:r>
      <w:r>
        <w:rPr>
          <w:color w:val="000000"/>
          <w:lang w:val="en-US"/>
        </w:rPr>
        <w:t>6</w:t>
      </w:r>
      <w:r>
        <w:rPr>
          <w:rFonts w:hint="eastAsia"/>
          <w:color w:val="000000"/>
        </w:rPr>
        <w:t>‰</w:t>
      </w:r>
      <w:r>
        <w:rPr>
          <w:color w:val="000000"/>
        </w:rPr>
        <w:t>/</w:t>
      </w:r>
      <w:r>
        <w:rPr>
          <w:rFonts w:hint="eastAsia"/>
          <w:color w:val="000000"/>
        </w:rPr>
        <w:t>天。</w:t>
      </w:r>
    </w:p>
    <w:p>
      <w:pPr>
        <w:spacing w:line="360" w:lineRule="auto"/>
        <w:ind w:firstLine="220" w:firstLineChars="100"/>
        <w:rPr>
          <w:rFonts w:cs="Times New Roman"/>
          <w:color w:val="000000"/>
        </w:rPr>
      </w:pPr>
      <w:r>
        <w:rPr>
          <w:rFonts w:hint="eastAsia"/>
          <w:color w:val="000000"/>
        </w:rPr>
        <w:t>（</w:t>
      </w:r>
      <w:r>
        <w:rPr>
          <w:color w:val="000000"/>
        </w:rPr>
        <w:t>5</w:t>
      </w:r>
      <w:r>
        <w:rPr>
          <w:rFonts w:hint="eastAsia"/>
          <w:color w:val="000000"/>
        </w:rPr>
        <w:t>）质量保证金百分比：月支付额的</w:t>
      </w:r>
      <w:r>
        <w:rPr>
          <w:color w:val="000000"/>
          <w:u w:val="single"/>
          <w:lang w:val="en-US"/>
        </w:rPr>
        <w:t>5</w:t>
      </w:r>
      <w:r>
        <w:rPr>
          <w:color w:val="000000"/>
        </w:rPr>
        <w:t>%</w:t>
      </w:r>
      <w:r>
        <w:rPr>
          <w:rFonts w:hint="eastAsia"/>
          <w:color w:val="000000"/>
        </w:rPr>
        <w:t>。</w:t>
      </w:r>
    </w:p>
    <w:p>
      <w:pPr>
        <w:tabs>
          <w:tab w:val="left" w:pos="3193"/>
        </w:tabs>
        <w:spacing w:line="360" w:lineRule="auto"/>
        <w:ind w:firstLine="220" w:firstLineChars="100"/>
        <w:rPr>
          <w:rFonts w:cs="Times New Roman"/>
          <w:color w:val="000000"/>
        </w:rPr>
      </w:pPr>
      <w:r>
        <w:rPr>
          <w:rFonts w:hint="eastAsia"/>
        </w:rPr>
        <w:t>（</w:t>
      </w:r>
      <w:r>
        <w:rPr>
          <w:lang w:val="en-US"/>
        </w:rPr>
        <w:t>6</w:t>
      </w:r>
      <w:r>
        <w:rPr>
          <w:rFonts w:hint="eastAsia"/>
        </w:rPr>
        <w:t>）承包人应履行的其他义务：（</w:t>
      </w:r>
      <w:r>
        <w:t>a</w:t>
      </w:r>
      <w:r>
        <w:rPr>
          <w:rFonts w:hint="eastAsia"/>
        </w:rPr>
        <w:t>）承包人在施工过程中应对出现交通堵塞及时采取措施进行排除，对堵车采取措施不力的，由业主和监理工程师采取措施，所涉及的费用由承包人承担；</w:t>
      </w:r>
      <w:r>
        <w:t>(b)</w:t>
      </w:r>
      <w:r>
        <w:rPr>
          <w:rFonts w:hint="eastAsia"/>
        </w:rPr>
        <w:t>承包人在施工过程中，必须保持交通畅通，如因承包人原因造成交通堵塞的，按下列规定支付违约金：堵车</w:t>
      </w:r>
      <w:r>
        <w:t>30</w:t>
      </w:r>
      <w:r>
        <w:rPr>
          <w:rFonts w:hint="eastAsia"/>
        </w:rPr>
        <w:t>分钟至一小时的支付</w:t>
      </w:r>
      <w:r>
        <w:t>5000</w:t>
      </w:r>
      <w:r>
        <w:rPr>
          <w:rFonts w:hint="eastAsia"/>
        </w:rPr>
        <w:t>元；堵车一小时至二小时的支付</w:t>
      </w:r>
      <w:r>
        <w:t>10000</w:t>
      </w:r>
      <w:r>
        <w:rPr>
          <w:rFonts w:hint="eastAsia"/>
        </w:rPr>
        <w:t>元；堵车二小时以上的，除按每小时</w:t>
      </w:r>
      <w:r>
        <w:t>10000</w:t>
      </w:r>
      <w:r>
        <w:rPr>
          <w:rFonts w:hint="eastAsia"/>
        </w:rPr>
        <w:t>元支付违约金外（不满</w:t>
      </w:r>
      <w:r>
        <w:t>1</w:t>
      </w:r>
      <w:r>
        <w:rPr>
          <w:rFonts w:hint="eastAsia"/>
        </w:rPr>
        <w:t>小时的，按</w:t>
      </w:r>
      <w:r>
        <w:t>1</w:t>
      </w:r>
      <w:r>
        <w:rPr>
          <w:rFonts w:hint="eastAsia"/>
        </w:rPr>
        <w:t>小时计算），还将向上级有关部门进行通报。</w:t>
      </w:r>
    </w:p>
    <w:p>
      <w:pPr>
        <w:spacing w:line="360" w:lineRule="auto"/>
        <w:ind w:firstLine="440" w:firstLineChars="200"/>
        <w:rPr>
          <w:rFonts w:cs="Times New Roman"/>
        </w:rPr>
      </w:pPr>
      <w:r>
        <w:t>1</w:t>
      </w:r>
      <w:r>
        <w:rPr>
          <w:lang w:val="en-US"/>
        </w:rPr>
        <w:t>1</w:t>
      </w:r>
      <w:r>
        <w:t xml:space="preserve">. </w:t>
      </w:r>
      <w:r>
        <w:rPr>
          <w:rFonts w:hint="eastAsia"/>
        </w:rPr>
        <w:t>本协议书在承包人提供履约担保后，由双方法定代表人或其委托代理人签署并加盖单位章后生效。全部工程完工后经竣交工验收合格、缺陷责任期满签发缺陷责任终止证书后失效。</w:t>
      </w:r>
    </w:p>
    <w:p>
      <w:pPr>
        <w:spacing w:line="360" w:lineRule="auto"/>
        <w:ind w:firstLine="440" w:firstLineChars="200"/>
        <w:rPr>
          <w:rFonts w:cs="Times New Roman"/>
        </w:rPr>
      </w:pPr>
      <w:r>
        <w:t>1</w:t>
      </w:r>
      <w:r>
        <w:rPr>
          <w:lang w:val="en-US"/>
        </w:rPr>
        <w:t>2</w:t>
      </w:r>
      <w:r>
        <w:rPr>
          <w:rFonts w:hint="eastAsia"/>
        </w:rPr>
        <w:t>．本协议书正本二份、副本四份，合同双方各执正本一份，副本二份，当正本与副本的内容不一致时，以正本为准。</w:t>
      </w:r>
    </w:p>
    <w:p>
      <w:pPr>
        <w:spacing w:line="360" w:lineRule="auto"/>
        <w:ind w:firstLine="440" w:firstLineChars="200"/>
        <w:rPr>
          <w:rFonts w:cs="Times New Roman"/>
        </w:rPr>
      </w:pPr>
      <w:r>
        <w:t>1</w:t>
      </w:r>
      <w:r>
        <w:rPr>
          <w:lang w:val="en-US"/>
        </w:rPr>
        <w:t>3</w:t>
      </w:r>
      <w:r>
        <w:t>.</w:t>
      </w:r>
      <w:r>
        <w:rPr>
          <w:rFonts w:hint="eastAsia"/>
        </w:rPr>
        <w:t>合同未尽事宜，双方另行签订补充协议。补充协议是合同的组成部分。</w:t>
      </w:r>
    </w:p>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pPr>
      <w:r>
        <w:rPr>
          <w:rFonts w:hint="eastAsia"/>
        </w:rPr>
        <w:t>发包人：（盖单位章）承包人：（盖单位章）</w:t>
      </w:r>
      <w:r>
        <w:t xml:space="preserve"> </w:t>
      </w:r>
    </w:p>
    <w:p>
      <w:pPr>
        <w:spacing w:line="400" w:lineRule="exact"/>
        <w:rPr>
          <w:rFonts w:cs="Times New Roman"/>
        </w:rPr>
      </w:pPr>
      <w:r>
        <w:rPr>
          <w:rFonts w:hint="eastAsia"/>
        </w:rPr>
        <w:t>法定代表人或其委托代理人：（签字）法定代表人或其委托代理人：（签字）</w:t>
      </w:r>
    </w:p>
    <w:p>
      <w:pPr>
        <w:spacing w:line="400" w:lineRule="exact"/>
        <w:ind w:firstLine="840"/>
        <w:rPr>
          <w:rFonts w:cs="Times New Roman"/>
        </w:rPr>
      </w:pPr>
      <w:r>
        <w:rPr>
          <w:rFonts w:hint="eastAsia"/>
        </w:rPr>
        <w:t>年月日年月日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Lines="50" w:afterLines="50" w:line="400" w:lineRule="exact"/>
        <w:jc w:val="both"/>
        <w:rPr>
          <w:rFonts w:ascii="黑体" w:eastAsia="黑体" w:cs="Times New Roman"/>
          <w:sz w:val="21"/>
          <w:szCs w:val="21"/>
        </w:rPr>
      </w:pPr>
      <w:bookmarkStart w:id="896" w:name="_Toc309397559"/>
      <w:r>
        <w:rPr>
          <w:rFonts w:hint="eastAsia" w:ascii="黑体" w:eastAsia="黑体" w:cs="黑体"/>
          <w:sz w:val="21"/>
          <w:szCs w:val="21"/>
        </w:rPr>
        <w:t>附件二</w:t>
      </w:r>
      <w:r>
        <w:rPr>
          <w:rFonts w:ascii="黑体" w:eastAsia="黑体" w:cs="黑体"/>
          <w:sz w:val="21"/>
          <w:szCs w:val="21"/>
        </w:rPr>
        <w:t xml:space="preserve">   </w:t>
      </w:r>
      <w:r>
        <w:rPr>
          <w:rFonts w:hint="eastAsia" w:ascii="黑体" w:eastAsia="黑体" w:cs="黑体"/>
          <w:sz w:val="21"/>
          <w:szCs w:val="21"/>
        </w:rPr>
        <w:t>廉政合同</w:t>
      </w:r>
      <w:bookmarkEnd w:id="896"/>
    </w:p>
    <w:p>
      <w:pPr>
        <w:spacing w:before="120" w:after="120"/>
        <w:jc w:val="center"/>
        <w:rPr>
          <w:rFonts w:ascii="黑体" w:eastAsia="黑体" w:cs="Times New Roman"/>
          <w:b/>
          <w:bCs/>
          <w:sz w:val="32"/>
          <w:szCs w:val="32"/>
        </w:rPr>
      </w:pPr>
      <w:r>
        <w:rPr>
          <w:rFonts w:hint="eastAsia" w:ascii="黑体" w:eastAsia="黑体" w:cs="黑体"/>
          <w:b/>
          <w:bCs/>
          <w:sz w:val="32"/>
          <w:szCs w:val="32"/>
        </w:rPr>
        <w:t>廉政合同</w:t>
      </w:r>
    </w:p>
    <w:p>
      <w:pPr>
        <w:spacing w:line="400" w:lineRule="exact"/>
        <w:ind w:firstLine="440" w:firstLineChars="200"/>
        <w:rPr>
          <w:rFonts w:cs="Times New Roman"/>
        </w:rPr>
      </w:pPr>
      <w:r>
        <w:rPr>
          <w:rFonts w:hint="eastAsia"/>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w:t>
      </w:r>
      <w:r>
        <w:t xml:space="preserve"> </w:t>
      </w:r>
      <w:r>
        <w:rPr>
          <w:rFonts w:hint="eastAsia"/>
        </w:rPr>
        <w:t>（项目法人名称，以下简称“发包人”）与该项目标段的施工单位（施工单位名称，以下简称“承包人”），特订立如下合同。</w:t>
      </w:r>
    </w:p>
    <w:p>
      <w:pPr>
        <w:spacing w:line="400" w:lineRule="exact"/>
        <w:ind w:firstLine="440" w:firstLineChars="200"/>
        <w:rPr>
          <w:rFonts w:cs="Times New Roman"/>
        </w:rPr>
      </w:pPr>
      <w:r>
        <w:t>1</w:t>
      </w:r>
      <w:r>
        <w:rPr>
          <w:rFonts w:hint="eastAsia"/>
        </w:rPr>
        <w:t>．发包人和承包人双方的权利和义务</w:t>
      </w:r>
    </w:p>
    <w:p>
      <w:pPr>
        <w:spacing w:line="400" w:lineRule="exact"/>
        <w:ind w:firstLine="440" w:firstLineChars="200"/>
        <w:rPr>
          <w:rFonts w:cs="Times New Roman"/>
        </w:rPr>
      </w:pPr>
      <w:r>
        <w:rPr>
          <w:rFonts w:hint="eastAsia"/>
        </w:rPr>
        <w:t>（</w:t>
      </w:r>
      <w:r>
        <w:t>1</w:t>
      </w:r>
      <w:r>
        <w:rPr>
          <w:rFonts w:hint="eastAsia"/>
        </w:rPr>
        <w:t>）严格遵守党的政策规定和国家有关法律法规及交通运输部的有关规定。</w:t>
      </w:r>
    </w:p>
    <w:p>
      <w:pPr>
        <w:spacing w:line="400" w:lineRule="exact"/>
        <w:ind w:firstLine="440" w:firstLineChars="200"/>
        <w:rPr>
          <w:rFonts w:cs="Times New Roman"/>
        </w:rPr>
      </w:pPr>
      <w:r>
        <w:rPr>
          <w:rFonts w:hint="eastAsia"/>
        </w:rPr>
        <w:t>（</w:t>
      </w:r>
      <w:r>
        <w:t>2</w:t>
      </w:r>
      <w:r>
        <w:rPr>
          <w:rFonts w:hint="eastAsia"/>
        </w:rPr>
        <w:t>）严格执行（项目名称）标段施工合同文件，自觉按合同办事。</w:t>
      </w:r>
    </w:p>
    <w:p>
      <w:pPr>
        <w:spacing w:line="400" w:lineRule="exact"/>
        <w:ind w:firstLine="440" w:firstLineChars="200"/>
        <w:rPr>
          <w:rFonts w:cs="Times New Roman"/>
        </w:rPr>
      </w:pPr>
      <w:r>
        <w:rPr>
          <w:rFonts w:hint="eastAsia"/>
        </w:rPr>
        <w:t>（</w:t>
      </w:r>
      <w:r>
        <w:t>3</w:t>
      </w:r>
      <w:r>
        <w:rPr>
          <w:rFonts w:hint="eastAsia"/>
        </w:rPr>
        <w:t>）双方的业务活动坚持公开、公正、诚信、透明的原则（法律认定的商业秘密和合同文件另有规定除外），不得损害国家和集体利益，不得违反工程建设管理规章制度。</w:t>
      </w:r>
    </w:p>
    <w:p>
      <w:pPr>
        <w:spacing w:line="400" w:lineRule="exact"/>
        <w:ind w:firstLine="440" w:firstLineChars="200"/>
        <w:rPr>
          <w:rFonts w:cs="Times New Roman"/>
        </w:rPr>
      </w:pPr>
      <w:r>
        <w:rPr>
          <w:rFonts w:hint="eastAsia"/>
        </w:rPr>
        <w:t>（</w:t>
      </w:r>
      <w:r>
        <w:t>4</w:t>
      </w:r>
      <w:r>
        <w:rPr>
          <w:rFonts w:hint="eastAsia"/>
        </w:rPr>
        <w:t>）建立健全廉政制度，开展廉政教育，设立廉政告示牌，公布举报电话，监督并认真查处违法违纪行为。</w:t>
      </w:r>
    </w:p>
    <w:p>
      <w:pPr>
        <w:spacing w:line="400" w:lineRule="exact"/>
        <w:ind w:firstLine="440" w:firstLineChars="200"/>
        <w:rPr>
          <w:rFonts w:cs="Times New Roman"/>
        </w:rPr>
      </w:pPr>
      <w:r>
        <w:rPr>
          <w:rFonts w:hint="eastAsia"/>
        </w:rPr>
        <w:t>（</w:t>
      </w:r>
      <w:r>
        <w:t>5</w:t>
      </w:r>
      <w:r>
        <w:rPr>
          <w:rFonts w:hint="eastAsia"/>
        </w:rPr>
        <w:t>）发现对方在业务活动中有违反廉政规定的行为，有及时提醒对方纠正的权利和义务。</w:t>
      </w:r>
    </w:p>
    <w:p>
      <w:pPr>
        <w:spacing w:line="400" w:lineRule="exact"/>
        <w:ind w:firstLine="440" w:firstLineChars="200"/>
        <w:rPr>
          <w:rFonts w:cs="Times New Roman"/>
        </w:rPr>
      </w:pPr>
      <w:r>
        <w:rPr>
          <w:rFonts w:hint="eastAsia"/>
        </w:rPr>
        <w:t>（</w:t>
      </w:r>
      <w:r>
        <w:t>6</w:t>
      </w:r>
      <w:r>
        <w:rPr>
          <w:rFonts w:hint="eastAsia"/>
        </w:rPr>
        <w:t>）发现对方严重违反本合同义务条款的行为，有向其上级有关部门举报、建议给予处理并要求告知处理结果的权利。</w:t>
      </w:r>
    </w:p>
    <w:p>
      <w:pPr>
        <w:spacing w:line="400" w:lineRule="exact"/>
        <w:ind w:firstLine="440" w:firstLineChars="200"/>
        <w:rPr>
          <w:rFonts w:cs="Times New Roman"/>
        </w:rPr>
      </w:pPr>
      <w:r>
        <w:t>2</w:t>
      </w:r>
      <w:r>
        <w:rPr>
          <w:rFonts w:hint="eastAsia"/>
        </w:rPr>
        <w:t>．发包人的义务</w:t>
      </w:r>
    </w:p>
    <w:p>
      <w:pPr>
        <w:spacing w:line="400" w:lineRule="exact"/>
        <w:ind w:firstLine="440" w:firstLineChars="200"/>
        <w:rPr>
          <w:rFonts w:cs="Times New Roman"/>
        </w:rPr>
      </w:pPr>
      <w:r>
        <w:rPr>
          <w:rFonts w:hint="eastAsia"/>
        </w:rPr>
        <w:t>（</w:t>
      </w:r>
      <w:r>
        <w:t>1</w:t>
      </w:r>
      <w:r>
        <w:rPr>
          <w:rFonts w:hint="eastAsia"/>
        </w:rPr>
        <w:t>）发包人及其工作人员不得索要或接受承包人的礼金、有价证券和贵重物品，不得让承包人报销任何应由发包人或发包人工作人员个人支付的费用等。</w:t>
      </w:r>
    </w:p>
    <w:p>
      <w:pPr>
        <w:spacing w:line="400" w:lineRule="exact"/>
        <w:ind w:firstLine="440" w:firstLineChars="200"/>
        <w:rPr>
          <w:rFonts w:cs="Times New Roman"/>
        </w:rPr>
      </w:pPr>
      <w:r>
        <w:rPr>
          <w:rFonts w:hint="eastAsia"/>
        </w:rPr>
        <w:t>（</w:t>
      </w:r>
      <w:r>
        <w:t>2</w:t>
      </w:r>
      <w:r>
        <w:rPr>
          <w:rFonts w:hint="eastAsia"/>
        </w:rPr>
        <w:t>）发包人工作人员不得参加承包人安排的超标准宴请和娱乐活动；不得接受承包人提供的通讯工具、交通工具和高档办公用品等。</w:t>
      </w:r>
    </w:p>
    <w:p>
      <w:pPr>
        <w:spacing w:line="400" w:lineRule="exact"/>
        <w:ind w:firstLine="440" w:firstLineChars="200"/>
        <w:rPr>
          <w:rFonts w:cs="Times New Roman"/>
        </w:rPr>
      </w:pPr>
      <w:r>
        <w:rPr>
          <w:rFonts w:hint="eastAsia"/>
        </w:rPr>
        <w:t>（</w:t>
      </w:r>
      <w:r>
        <w:t>3</w:t>
      </w:r>
      <w:r>
        <w:rPr>
          <w:rFonts w:hint="eastAsia"/>
        </w:rPr>
        <w:t>）发包人及其工作人员不利要求或者接受承包人为其住房装修、婚丧嫁娶活动、配偶子女的工作安排以及出国出境、旅游等提供方便等。</w:t>
      </w:r>
    </w:p>
    <w:p>
      <w:pPr>
        <w:spacing w:line="400" w:lineRule="exact"/>
        <w:ind w:firstLine="440" w:firstLineChars="200"/>
        <w:rPr>
          <w:rFonts w:cs="Times New Roman"/>
        </w:rPr>
      </w:pPr>
      <w:r>
        <w:rPr>
          <w:rFonts w:hint="eastAsia"/>
        </w:rPr>
        <w:t>（</w:t>
      </w:r>
      <w:r>
        <w:t>4</w:t>
      </w:r>
      <w:r>
        <w:rPr>
          <w:rFonts w:hint="eastAsia"/>
        </w:rPr>
        <w:t>）发包人工作人员及其配偶、子女不得从事与发包人工作有关的材料设备供应、工程分包、劳务等经济活动等。</w:t>
      </w:r>
    </w:p>
    <w:p>
      <w:pPr>
        <w:spacing w:line="400" w:lineRule="exact"/>
        <w:ind w:firstLine="440" w:firstLineChars="200"/>
        <w:rPr>
          <w:rFonts w:cs="Times New Roman"/>
        </w:rPr>
      </w:pPr>
      <w:r>
        <w:rPr>
          <w:rFonts w:hint="eastAsia"/>
        </w:rPr>
        <w:t>（</w:t>
      </w:r>
      <w:r>
        <w:t>5</w:t>
      </w:r>
      <w:r>
        <w:rPr>
          <w:rFonts w:hint="eastAsia"/>
        </w:rPr>
        <w:t>）发包人及期工作人员不得以任何理由向承包人推荐分包单位或推销材料，不得要求承包人购买合同规定外的材料和设备。</w:t>
      </w:r>
    </w:p>
    <w:p>
      <w:pPr>
        <w:spacing w:line="400" w:lineRule="exact"/>
        <w:ind w:firstLine="440" w:firstLineChars="200"/>
        <w:rPr>
          <w:rFonts w:cs="Times New Roman"/>
        </w:rPr>
      </w:pPr>
      <w:r>
        <w:rPr>
          <w:rFonts w:hint="eastAsia"/>
        </w:rPr>
        <w:t>（</w:t>
      </w:r>
      <w:r>
        <w:t>6</w:t>
      </w:r>
      <w:r>
        <w:rPr>
          <w:rFonts w:hint="eastAsia"/>
        </w:rPr>
        <w:t>）发包人工作人员要秉公办事，不准营私舞弊，不准利用职权从事各种个人有偿中介活动和安排个人施工队伍。</w:t>
      </w:r>
    </w:p>
    <w:p>
      <w:pPr>
        <w:spacing w:line="400" w:lineRule="exact"/>
        <w:ind w:firstLine="440" w:firstLineChars="200"/>
        <w:rPr>
          <w:rFonts w:cs="Times New Roman"/>
        </w:rPr>
      </w:pPr>
      <w:r>
        <w:t>3</w:t>
      </w:r>
      <w:r>
        <w:rPr>
          <w:rFonts w:hint="eastAsia"/>
        </w:rPr>
        <w:t>．承包人的义务</w:t>
      </w:r>
    </w:p>
    <w:p>
      <w:pPr>
        <w:spacing w:line="400" w:lineRule="exact"/>
        <w:ind w:firstLine="440" w:firstLineChars="200"/>
        <w:rPr>
          <w:rFonts w:cs="Times New Roman"/>
        </w:rPr>
      </w:pPr>
      <w:r>
        <w:rPr>
          <w:rFonts w:hint="eastAsia"/>
        </w:rPr>
        <w:t>（</w:t>
      </w:r>
      <w:r>
        <w:t>1</w:t>
      </w:r>
      <w:r>
        <w:rPr>
          <w:rFonts w:hint="eastAsia"/>
        </w:rPr>
        <w:t>）承包人不得以任何理由向发包人及其工作人员行贿或馈赠礼金、有价证券、贵重礼品。</w:t>
      </w:r>
    </w:p>
    <w:p>
      <w:pPr>
        <w:spacing w:line="400" w:lineRule="exact"/>
        <w:ind w:firstLine="440" w:firstLineChars="200"/>
        <w:rPr>
          <w:rFonts w:cs="Times New Roman"/>
        </w:rPr>
      </w:pPr>
      <w:r>
        <w:rPr>
          <w:rFonts w:hint="eastAsia"/>
        </w:rPr>
        <w:t>（</w:t>
      </w:r>
      <w:r>
        <w:t>2</w:t>
      </w:r>
      <w:r>
        <w:rPr>
          <w:rFonts w:hint="eastAsia"/>
        </w:rPr>
        <w:t>）承包人不得以任何名义为发包人及其工作人员报销应由发包人单位或个人支付的任何费用。</w:t>
      </w:r>
    </w:p>
    <w:p>
      <w:pPr>
        <w:spacing w:line="400" w:lineRule="exact"/>
        <w:ind w:firstLine="440" w:firstLineChars="200"/>
        <w:rPr>
          <w:rFonts w:cs="Times New Roman"/>
        </w:rPr>
      </w:pPr>
      <w:r>
        <w:rPr>
          <w:rFonts w:hint="eastAsia"/>
        </w:rPr>
        <w:t>（</w:t>
      </w:r>
      <w:r>
        <w:t>3</w:t>
      </w:r>
      <w:r>
        <w:rPr>
          <w:rFonts w:hint="eastAsia"/>
        </w:rPr>
        <w:t>）承包人不得以任何理由安排发包人工作人员参加超标准宴请及娱乐活动。</w:t>
      </w:r>
    </w:p>
    <w:p>
      <w:pPr>
        <w:spacing w:line="400" w:lineRule="exact"/>
        <w:ind w:firstLine="440" w:firstLineChars="200"/>
        <w:rPr>
          <w:rFonts w:cs="Times New Roman"/>
        </w:rPr>
      </w:pPr>
      <w:r>
        <w:rPr>
          <w:rFonts w:hint="eastAsia"/>
        </w:rPr>
        <w:t>（</w:t>
      </w:r>
      <w:r>
        <w:t>4</w:t>
      </w:r>
      <w:r>
        <w:rPr>
          <w:rFonts w:hint="eastAsia"/>
        </w:rPr>
        <w:t>）承包人不得为发包人单位和个人购置或提供通讯工具、交通工具和高档办公用品等。</w:t>
      </w:r>
    </w:p>
    <w:p>
      <w:pPr>
        <w:spacing w:line="400" w:lineRule="exact"/>
        <w:ind w:firstLine="440" w:firstLineChars="200"/>
        <w:rPr>
          <w:rFonts w:cs="Times New Roman"/>
        </w:rPr>
      </w:pPr>
      <w:r>
        <w:t>4</w:t>
      </w:r>
      <w:r>
        <w:rPr>
          <w:rFonts w:hint="eastAsia"/>
        </w:rPr>
        <w:t>．违约责任</w:t>
      </w:r>
    </w:p>
    <w:p>
      <w:pPr>
        <w:spacing w:line="400" w:lineRule="exact"/>
        <w:ind w:firstLine="440" w:firstLineChars="200"/>
        <w:rPr>
          <w:rFonts w:cs="Times New Roman"/>
        </w:rPr>
      </w:pPr>
      <w:r>
        <w:rPr>
          <w:rFonts w:hint="eastAsia"/>
        </w:rPr>
        <w:t>（</w:t>
      </w:r>
      <w:r>
        <w:t>1</w:t>
      </w:r>
      <w:r>
        <w:rPr>
          <w:rFonts w:hint="eastAsia"/>
        </w:rPr>
        <w:t>）发包人及其工作人员违反本合同第</w:t>
      </w:r>
      <w:r>
        <w:t>1</w:t>
      </w:r>
      <w:r>
        <w:rPr>
          <w:rFonts w:hint="eastAsia"/>
        </w:rPr>
        <w:t>、</w:t>
      </w:r>
      <w:r>
        <w:t>2</w:t>
      </w:r>
      <w:r>
        <w:rPr>
          <w:rFonts w:hint="eastAsia"/>
        </w:rPr>
        <w:t>条，按管理权限，依据有关规定给予党纪、政纪或组织处理；涉嫌犯罪的，移交司法机关追究刑事责任；给承包人单位造成经济损失的，应予以赔偿。</w:t>
      </w:r>
    </w:p>
    <w:p>
      <w:pPr>
        <w:spacing w:line="400" w:lineRule="exact"/>
        <w:ind w:firstLine="440" w:firstLineChars="200"/>
        <w:rPr>
          <w:rFonts w:cs="Times New Roman"/>
        </w:rPr>
      </w:pPr>
      <w:r>
        <w:rPr>
          <w:rFonts w:hint="eastAsia"/>
        </w:rPr>
        <w:t>（</w:t>
      </w:r>
      <w:r>
        <w:t>2</w:t>
      </w:r>
      <w:r>
        <w:rPr>
          <w:rFonts w:hint="eastAsia"/>
        </w:rPr>
        <w:t>）承包人及其工作人员违反本合同第</w:t>
      </w:r>
      <w:r>
        <w:t>1</w:t>
      </w:r>
      <w:r>
        <w:rPr>
          <w:rFonts w:hint="eastAsia"/>
        </w:rPr>
        <w:t>、</w:t>
      </w:r>
      <w:r>
        <w:t>3</w:t>
      </w:r>
      <w:r>
        <w:rPr>
          <w:rFonts w:hint="eastAsia"/>
        </w:rPr>
        <w:t>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40" w:firstLineChars="200"/>
        <w:rPr>
          <w:rFonts w:cs="Times New Roman"/>
        </w:rPr>
      </w:pPr>
      <w:r>
        <w:t>5.</w:t>
      </w:r>
      <w:r>
        <w:rPr>
          <w:rFonts w:hint="eastAsia"/>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40" w:firstLineChars="200"/>
        <w:rPr>
          <w:rFonts w:cs="Times New Roman"/>
        </w:rPr>
      </w:pPr>
      <w:r>
        <w:t>6.</w:t>
      </w:r>
      <w:r>
        <w:rPr>
          <w:rFonts w:hint="eastAsia"/>
        </w:rPr>
        <w:t>本合同有效期为发包人和承包人签署之日起至该工程项目竣工验收后止。</w:t>
      </w:r>
    </w:p>
    <w:p>
      <w:pPr>
        <w:spacing w:line="400" w:lineRule="exact"/>
        <w:ind w:firstLine="440" w:firstLineChars="200"/>
        <w:rPr>
          <w:rFonts w:cs="Times New Roman"/>
        </w:rPr>
      </w:pPr>
      <w:r>
        <w:t>7</w:t>
      </w:r>
      <w:r>
        <w:rPr>
          <w:rFonts w:hint="eastAsia"/>
        </w:rPr>
        <w:t>．本合同作为（项目名称）标段施工合同的附件，与工程施工合同具有同等的法律效力，经合同双方签署后立即生效。</w:t>
      </w:r>
    </w:p>
    <w:p>
      <w:pPr>
        <w:spacing w:line="400" w:lineRule="exact"/>
        <w:ind w:firstLine="440" w:firstLineChars="200"/>
        <w:rPr>
          <w:rFonts w:cs="Times New Roman"/>
        </w:rPr>
      </w:pPr>
      <w:r>
        <w:t>8</w:t>
      </w:r>
      <w:r>
        <w:rPr>
          <w:rFonts w:hint="eastAsia"/>
        </w:rPr>
        <w:t>．本合同一式四份，由发包人和承包人各执</w:t>
      </w:r>
      <w:r>
        <w:t>—</w:t>
      </w:r>
      <w:r>
        <w:rPr>
          <w:rFonts w:hint="eastAsia"/>
        </w:rPr>
        <w:t>份，送交发包人和承包人的监督单位各一份</w:t>
      </w:r>
    </w:p>
    <w:p>
      <w:pPr>
        <w:spacing w:line="400" w:lineRule="exact"/>
        <w:rPr>
          <w:rFonts w:cs="Times New Roman"/>
        </w:rPr>
      </w:pPr>
    </w:p>
    <w:p>
      <w:pPr>
        <w:spacing w:line="400" w:lineRule="exact"/>
      </w:pPr>
      <w:r>
        <w:rPr>
          <w:rFonts w:hint="eastAsia"/>
        </w:rPr>
        <w:t>发包人：（盖单位章）承包人：（盖单位章）</w:t>
      </w:r>
      <w:r>
        <w:t xml:space="preserve"> </w:t>
      </w:r>
    </w:p>
    <w:p>
      <w:pPr>
        <w:spacing w:line="400" w:lineRule="exact"/>
        <w:rPr>
          <w:rFonts w:cs="Times New Roman"/>
        </w:rPr>
      </w:pPr>
      <w:r>
        <w:rPr>
          <w:rFonts w:hint="eastAsia"/>
        </w:rPr>
        <w:t>法定代表人或其委托代理人：（签字）法定代表人或其委托代理人：（签字）</w:t>
      </w:r>
    </w:p>
    <w:p>
      <w:pPr>
        <w:spacing w:line="400" w:lineRule="exact"/>
        <w:ind w:firstLine="840"/>
        <w:rPr>
          <w:rFonts w:cs="Times New Roman"/>
        </w:rPr>
      </w:pPr>
      <w:r>
        <w:rPr>
          <w:rFonts w:hint="eastAsia"/>
        </w:rPr>
        <w:t>年月日年月日</w:t>
      </w:r>
    </w:p>
    <w:p>
      <w:pPr>
        <w:spacing w:line="400" w:lineRule="exact"/>
        <w:rPr>
          <w:rFonts w:cs="Times New Roman"/>
        </w:rPr>
      </w:pPr>
      <w:r>
        <w:rPr>
          <w:rFonts w:hint="eastAsia"/>
        </w:rPr>
        <w:t>发包人监督单位：</w:t>
      </w:r>
      <w:r>
        <w:rPr>
          <w:rFonts w:hint="eastAsia"/>
          <w:u w:val="single"/>
        </w:rPr>
        <w:t>（全称）</w:t>
      </w:r>
      <w:r>
        <w:rPr>
          <w:u w:val="single"/>
        </w:rPr>
        <w:t xml:space="preserve"> </w:t>
      </w:r>
      <w:r>
        <w:rPr>
          <w:rFonts w:hint="eastAsia"/>
          <w:u w:val="single"/>
        </w:rPr>
        <w:t>（盖单位章）</w:t>
      </w:r>
      <w:r>
        <w:t xml:space="preserve">  </w:t>
      </w:r>
      <w:r>
        <w:rPr>
          <w:rFonts w:hint="eastAsia"/>
        </w:rPr>
        <w:t>承包人监督单位：</w:t>
      </w:r>
      <w:r>
        <w:rPr>
          <w:rFonts w:hint="eastAsia"/>
          <w:u w:val="single"/>
        </w:rPr>
        <w:t>（全称）</w:t>
      </w:r>
      <w:r>
        <w:rPr>
          <w:u w:val="single"/>
        </w:rPr>
        <w:t xml:space="preserve"> </w:t>
      </w:r>
      <w:r>
        <w:rPr>
          <w:rFonts w:hint="eastAsia"/>
          <w:u w:val="single"/>
        </w:rPr>
        <w:t>（盖单位章）</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1080"/>
        </w:tabs>
        <w:spacing w:line="360" w:lineRule="auto"/>
        <w:rPr>
          <w:rFonts w:cs="Times New Roman"/>
          <w:b/>
          <w:bCs/>
          <w:sz w:val="24"/>
          <w:szCs w:val="24"/>
        </w:rPr>
      </w:pPr>
      <w:r>
        <w:rPr>
          <w:rFonts w:ascii="黑体" w:eastAsia="黑体" w:cs="Times New Roman"/>
          <w:sz w:val="21"/>
          <w:szCs w:val="21"/>
        </w:rPr>
        <w:br w:type="page"/>
      </w:r>
      <w:r>
        <w:rPr>
          <w:rFonts w:hint="eastAsia"/>
          <w:b/>
          <w:bCs/>
          <w:sz w:val="24"/>
          <w:szCs w:val="24"/>
        </w:rPr>
        <w:t>附件三</w:t>
      </w:r>
      <w:r>
        <w:rPr>
          <w:b/>
          <w:bCs/>
          <w:sz w:val="24"/>
          <w:szCs w:val="24"/>
        </w:rPr>
        <w:t xml:space="preserve">  </w:t>
      </w:r>
      <w:r>
        <w:rPr>
          <w:rFonts w:hint="eastAsia"/>
          <w:b/>
          <w:bCs/>
          <w:sz w:val="24"/>
          <w:szCs w:val="24"/>
        </w:rPr>
        <w:t>安全生产合同</w:t>
      </w:r>
    </w:p>
    <w:p>
      <w:pPr>
        <w:spacing w:before="120" w:after="120"/>
        <w:jc w:val="center"/>
        <w:rPr>
          <w:rFonts w:ascii="黑体" w:eastAsia="黑体" w:cs="Times New Roman"/>
          <w:b/>
          <w:bCs/>
          <w:sz w:val="32"/>
          <w:szCs w:val="32"/>
        </w:rPr>
      </w:pPr>
      <w:r>
        <w:rPr>
          <w:rFonts w:hint="eastAsia" w:ascii="黑体" w:eastAsia="黑体" w:cs="黑体"/>
          <w:b/>
          <w:bCs/>
          <w:sz w:val="32"/>
          <w:szCs w:val="32"/>
        </w:rPr>
        <w:t>安全生产合同</w:t>
      </w:r>
    </w:p>
    <w:p>
      <w:pPr>
        <w:spacing w:line="400" w:lineRule="exact"/>
        <w:ind w:firstLine="440" w:firstLineChars="200"/>
        <w:rPr>
          <w:rFonts w:cs="Times New Roman"/>
        </w:rPr>
      </w:pPr>
      <w:r>
        <w:rPr>
          <w:rFonts w:hint="eastAsia"/>
        </w:rPr>
        <w:t>为在（项目名称）（标段）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40" w:firstLineChars="200"/>
        <w:rPr>
          <w:rFonts w:cs="Times New Roman"/>
        </w:rPr>
      </w:pPr>
      <w:r>
        <w:t>1.</w:t>
      </w:r>
      <w:r>
        <w:rPr>
          <w:rFonts w:hint="eastAsia"/>
        </w:rPr>
        <w:t>发包人职责</w:t>
      </w:r>
    </w:p>
    <w:p>
      <w:pPr>
        <w:spacing w:line="400" w:lineRule="exact"/>
        <w:ind w:firstLine="440" w:firstLineChars="200"/>
        <w:rPr>
          <w:rFonts w:cs="Times New Roman"/>
        </w:rPr>
      </w:pPr>
      <w:r>
        <w:rPr>
          <w:rFonts w:hint="eastAsia"/>
        </w:rPr>
        <w:t>（</w:t>
      </w:r>
      <w:r>
        <w:t>1</w:t>
      </w:r>
      <w:r>
        <w:rPr>
          <w:rFonts w:hint="eastAsia"/>
        </w:rPr>
        <w:t>）严格遵守国家有关安全生产的法律法规，认真执行工程承包合同中的有关安全要求。</w:t>
      </w:r>
    </w:p>
    <w:p>
      <w:pPr>
        <w:spacing w:line="400" w:lineRule="exact"/>
        <w:ind w:firstLine="440" w:firstLineChars="200"/>
        <w:rPr>
          <w:rFonts w:cs="Times New Roman"/>
        </w:rPr>
      </w:pPr>
      <w:r>
        <w:rPr>
          <w:rFonts w:hint="eastAsia"/>
        </w:rPr>
        <w:t>（</w:t>
      </w:r>
      <w:r>
        <w:t>2</w:t>
      </w:r>
      <w:r>
        <w:rPr>
          <w:rFonts w:hint="eastAsia"/>
        </w:rPr>
        <w:t>）按照“安全第一、预防为主”和坚持“管生产必须管安全”的原则进行安全生产管理，做到生产与安全工作同时计划、布置、检查、总结和评比。</w:t>
      </w:r>
    </w:p>
    <w:p>
      <w:pPr>
        <w:spacing w:line="400" w:lineRule="exact"/>
        <w:ind w:firstLine="440" w:firstLineChars="200"/>
        <w:rPr>
          <w:rFonts w:cs="Times New Roman"/>
        </w:rPr>
      </w:pPr>
      <w:r>
        <w:rPr>
          <w:rFonts w:hint="eastAsia"/>
        </w:rPr>
        <w:t>（</w:t>
      </w:r>
      <w:r>
        <w:t>3</w:t>
      </w:r>
      <w:r>
        <w:rPr>
          <w:rFonts w:hint="eastAsia"/>
        </w:rPr>
        <w:t>）重要的安全设施必须坚持与主体工程“三同时”的原则，即：同时设计、审批，同时施工，同时验收，投入使用。</w:t>
      </w:r>
    </w:p>
    <w:p>
      <w:pPr>
        <w:spacing w:line="400" w:lineRule="exact"/>
        <w:ind w:firstLine="440" w:firstLineChars="200"/>
        <w:rPr>
          <w:rFonts w:cs="Times New Roman"/>
        </w:rPr>
      </w:pPr>
      <w:r>
        <w:rPr>
          <w:rFonts w:hint="eastAsia"/>
        </w:rPr>
        <w:t>（</w:t>
      </w:r>
      <w:r>
        <w:t>4</w:t>
      </w:r>
      <w:r>
        <w:rPr>
          <w:rFonts w:hint="eastAsia"/>
        </w:rPr>
        <w:t>）定期召开安全生产调度会，及时传达中央及地方有关安全生产的精神。</w:t>
      </w:r>
    </w:p>
    <w:p>
      <w:pPr>
        <w:spacing w:line="400" w:lineRule="exact"/>
        <w:ind w:firstLine="440" w:firstLineChars="200"/>
        <w:rPr>
          <w:rFonts w:cs="Times New Roman"/>
        </w:rPr>
      </w:pPr>
      <w:r>
        <w:rPr>
          <w:rFonts w:hint="eastAsia"/>
        </w:rPr>
        <w:t>（</w:t>
      </w:r>
      <w:r>
        <w:t>5</w:t>
      </w:r>
      <w:r>
        <w:rPr>
          <w:rFonts w:hint="eastAsia"/>
        </w:rPr>
        <w:t>）组织对承包人施工现场安全生产检查，监督承包人及时处理发现的各种安全隐患。</w:t>
      </w:r>
    </w:p>
    <w:p>
      <w:pPr>
        <w:spacing w:line="400" w:lineRule="exact"/>
        <w:ind w:firstLine="440" w:firstLineChars="200"/>
        <w:rPr>
          <w:rFonts w:cs="Times New Roman"/>
        </w:rPr>
      </w:pPr>
      <w:r>
        <w:t>2.</w:t>
      </w:r>
      <w:r>
        <w:rPr>
          <w:rFonts w:hint="eastAsia"/>
        </w:rPr>
        <w:t>承包人职责</w:t>
      </w:r>
    </w:p>
    <w:p>
      <w:pPr>
        <w:spacing w:line="400" w:lineRule="exact"/>
        <w:ind w:firstLine="440" w:firstLineChars="200"/>
        <w:rPr>
          <w:rFonts w:cs="Times New Roman"/>
        </w:rPr>
      </w:pPr>
      <w:r>
        <w:rPr>
          <w:rFonts w:hint="eastAsia"/>
        </w:rPr>
        <w:t>（</w:t>
      </w:r>
      <w:r>
        <w:t>1</w:t>
      </w:r>
      <w:r>
        <w:rPr>
          <w:rFonts w:hint="eastAsia"/>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40" w:firstLineChars="200"/>
        <w:rPr>
          <w:rFonts w:cs="Times New Roman"/>
        </w:rPr>
      </w:pPr>
      <w:r>
        <w:rPr>
          <w:rFonts w:hint="eastAsia"/>
        </w:rPr>
        <w:t>（</w:t>
      </w:r>
      <w:r>
        <w:t>2</w:t>
      </w:r>
      <w:r>
        <w:rPr>
          <w:rFonts w:hint="eastAsi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40" w:firstLineChars="200"/>
        <w:rPr>
          <w:rFonts w:cs="Times New Roman"/>
        </w:rPr>
      </w:pPr>
      <w:r>
        <w:rPr>
          <w:rFonts w:hint="eastAsia"/>
        </w:rPr>
        <w:t>（</w:t>
      </w:r>
      <w:r>
        <w:t>3</w:t>
      </w:r>
      <w:r>
        <w:rPr>
          <w:rFonts w:hint="eastAsia"/>
        </w:rPr>
        <w:t>）建立健全安全生产责任制。从派往项目实施的项目经理到生产工人（包括临时雇请的民工）的安全生产管理系统必须做到纵向到底，</w:t>
      </w:r>
      <w:r>
        <w:t>—</w:t>
      </w:r>
      <w:r>
        <w:rPr>
          <w:rFonts w:hint="eastAsia"/>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40" w:firstLineChars="200"/>
        <w:rPr>
          <w:rFonts w:cs="Times New Roman"/>
        </w:rPr>
      </w:pPr>
      <w:r>
        <w:rPr>
          <w:rFonts w:hint="eastAsia"/>
        </w:rPr>
        <w:t>（</w:t>
      </w:r>
      <w:r>
        <w:t>4</w:t>
      </w:r>
      <w:r>
        <w:rPr>
          <w:rFonts w:hint="eastAsia"/>
        </w:rPr>
        <w:t>）承包人在任何时候都应采取各种合理的预防措施，防止其员工发生任何违法、违禁、暴力或妨碍治安的行为。</w:t>
      </w:r>
    </w:p>
    <w:p>
      <w:pPr>
        <w:spacing w:line="400" w:lineRule="exact"/>
        <w:ind w:firstLine="440" w:firstLineChars="200"/>
        <w:rPr>
          <w:rFonts w:cs="Times New Roman"/>
        </w:rPr>
      </w:pPr>
      <w:r>
        <w:rPr>
          <w:rFonts w:hint="eastAsia"/>
        </w:rPr>
        <w:t>（</w:t>
      </w:r>
      <w:r>
        <w:t>5</w:t>
      </w:r>
      <w:r>
        <w:rPr>
          <w:rFonts w:hint="eastAsia"/>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40" w:firstLineChars="200"/>
        <w:rPr>
          <w:rFonts w:cs="Times New Roman"/>
        </w:rPr>
      </w:pPr>
      <w:r>
        <w:rPr>
          <w:rFonts w:hint="eastAsia"/>
        </w:rPr>
        <w:t>（</w:t>
      </w:r>
      <w:r>
        <w:t>6</w:t>
      </w:r>
      <w:r>
        <w:rPr>
          <w:rFonts w:hint="eastAsia"/>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40" w:firstLineChars="200"/>
        <w:rPr>
          <w:rFonts w:cs="Times New Roman"/>
        </w:rPr>
      </w:pPr>
      <w:r>
        <w:rPr>
          <w:rFonts w:hint="eastAsia"/>
        </w:rPr>
        <w:t>（</w:t>
      </w:r>
      <w:r>
        <w:t>7</w:t>
      </w:r>
      <w:r>
        <w:rPr>
          <w:rFonts w:hint="eastAsia"/>
        </w:rPr>
        <w:t>）操作人员上岗，必须按规定穿戴防护用品。施工负责人和安全检查员应随时检查劳动防护用品的穿戴情况，不按规定穿戴防护用品的人员不得上岗。</w:t>
      </w:r>
    </w:p>
    <w:p>
      <w:pPr>
        <w:spacing w:line="400" w:lineRule="exact"/>
        <w:ind w:firstLine="440" w:firstLineChars="200"/>
        <w:rPr>
          <w:rFonts w:cs="Times New Roman"/>
        </w:rPr>
      </w:pPr>
      <w:r>
        <w:rPr>
          <w:rFonts w:hint="eastAsia"/>
        </w:rPr>
        <w:t>（</w:t>
      </w:r>
      <w:r>
        <w:t>8</w:t>
      </w:r>
      <w:r>
        <w:rPr>
          <w:rFonts w:hint="eastAsia"/>
        </w:rPr>
        <w:t>）所有施工机具设备和高空作业的设备均应定期检查，并有安全员的签字记录，保证其经常处于完好状态；不合格的机具、设备和劳动保护用品严禁使用：</w:t>
      </w:r>
    </w:p>
    <w:p>
      <w:pPr>
        <w:spacing w:line="400" w:lineRule="exact"/>
        <w:ind w:firstLine="440" w:firstLineChars="200"/>
        <w:rPr>
          <w:rFonts w:cs="Times New Roman"/>
        </w:rPr>
      </w:pPr>
      <w:r>
        <w:rPr>
          <w:rFonts w:hint="eastAsia"/>
        </w:rPr>
        <w:t>（</w:t>
      </w:r>
      <w:r>
        <w:t>9</w:t>
      </w:r>
      <w:r>
        <w:rPr>
          <w:rFonts w:hint="eastAsia"/>
        </w:rPr>
        <w:t>）施工中采用新技术、新工艺、新设备、新材料时，必须制定相应的安全技术措施，施工现场必须具有相关的安全标志牌。</w:t>
      </w:r>
    </w:p>
    <w:p>
      <w:pPr>
        <w:spacing w:line="400" w:lineRule="exact"/>
        <w:ind w:firstLine="440" w:firstLineChars="200"/>
        <w:rPr>
          <w:rFonts w:cs="Times New Roman"/>
        </w:rPr>
      </w:pPr>
      <w:r>
        <w:rPr>
          <w:rFonts w:hint="eastAsia"/>
        </w:rPr>
        <w:t>（</w:t>
      </w:r>
      <w:r>
        <w:t>10</w:t>
      </w:r>
      <w:r>
        <w:rPr>
          <w:rFonts w:hint="eastAsia"/>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40" w:firstLineChars="200"/>
        <w:rPr>
          <w:rFonts w:cs="Times New Roman"/>
        </w:rPr>
      </w:pPr>
      <w:r>
        <w:rPr>
          <w:rFonts w:hint="eastAsia"/>
        </w:rPr>
        <w:t>（</w:t>
      </w:r>
      <w:r>
        <w:t>11</w:t>
      </w:r>
      <w:r>
        <w:rPr>
          <w:rFonts w:hint="eastAsia"/>
        </w:rPr>
        <w:t>）安全生产费用按照《公路水运工程安全生产监督管理办法》的相关规定使用和管理。</w:t>
      </w:r>
    </w:p>
    <w:p>
      <w:pPr>
        <w:spacing w:line="400" w:lineRule="exact"/>
        <w:ind w:firstLine="440" w:firstLineChars="200"/>
        <w:rPr>
          <w:rFonts w:cs="Times New Roman"/>
        </w:rPr>
      </w:pPr>
      <w:r>
        <w:t>3.</w:t>
      </w:r>
      <w:r>
        <w:rPr>
          <w:rFonts w:hint="eastAsia"/>
        </w:rPr>
        <w:t>违约责任</w:t>
      </w:r>
    </w:p>
    <w:p>
      <w:pPr>
        <w:spacing w:line="400" w:lineRule="exact"/>
        <w:ind w:firstLine="440" w:firstLineChars="200"/>
        <w:rPr>
          <w:rFonts w:cs="Times New Roman"/>
        </w:rPr>
      </w:pPr>
      <w:r>
        <w:rPr>
          <w:rFonts w:hint="eastAsia"/>
        </w:rPr>
        <w:t>如因发包人或承包人违约造成安全事故，将依法追究责任。</w:t>
      </w:r>
    </w:p>
    <w:p>
      <w:pPr>
        <w:spacing w:line="400" w:lineRule="exact"/>
        <w:ind w:firstLine="440" w:firstLineChars="200"/>
        <w:rPr>
          <w:rFonts w:cs="Times New Roman"/>
        </w:rPr>
      </w:pPr>
      <w:r>
        <w:t>4.</w:t>
      </w:r>
      <w:r>
        <w:rPr>
          <w:rFonts w:hint="eastAsia"/>
        </w:rPr>
        <w:t>本合同由双方法定代表人或其授权的代理人签署并加盖单位章后生效，全部工程竣工验收后失效。</w:t>
      </w:r>
    </w:p>
    <w:p>
      <w:pPr>
        <w:spacing w:line="400" w:lineRule="exact"/>
        <w:ind w:firstLine="440" w:firstLineChars="200"/>
        <w:rPr>
          <w:rFonts w:cs="Times New Roman"/>
        </w:rPr>
      </w:pPr>
      <w:r>
        <w:t>5.</w:t>
      </w:r>
      <w:r>
        <w:rPr>
          <w:rFonts w:hint="eastAsia"/>
        </w:rPr>
        <w:t>本合同正本</w:t>
      </w:r>
      <w:r>
        <w:t>—</w:t>
      </w:r>
      <w:r>
        <w:rPr>
          <w:rFonts w:hint="eastAsia"/>
        </w:rPr>
        <w:t>式二份，副本份，合同双方各执正本</w:t>
      </w:r>
      <w:r>
        <w:t>—</w:t>
      </w:r>
      <w:r>
        <w:rPr>
          <w:rFonts w:hint="eastAsia"/>
        </w:rPr>
        <w:t>份，副本份，当正本与副本的内容不一致时，以正本为准。</w:t>
      </w:r>
    </w:p>
    <w:p>
      <w:pPr>
        <w:rPr>
          <w:rFonts w:ascii="隶书" w:eastAsia="隶书" w:cs="Times New Roman"/>
        </w:rPr>
      </w:pPr>
    </w:p>
    <w:p>
      <w:pPr>
        <w:spacing w:line="400" w:lineRule="exact"/>
      </w:pPr>
      <w:r>
        <w:rPr>
          <w:rFonts w:hint="eastAsia"/>
        </w:rPr>
        <w:t>发包人：（盖单位章）承包人：（盖单位章）</w:t>
      </w:r>
      <w:r>
        <w:t xml:space="preserve"> </w:t>
      </w:r>
    </w:p>
    <w:p>
      <w:pPr>
        <w:spacing w:line="400" w:lineRule="exact"/>
        <w:rPr>
          <w:rFonts w:cs="Times New Roman"/>
        </w:rPr>
      </w:pPr>
      <w:r>
        <w:rPr>
          <w:rFonts w:hint="eastAsia"/>
        </w:rPr>
        <w:t>法定代表人或其委托代理人：（签字）法定代表人或其委托代理人：（签字）</w:t>
      </w:r>
    </w:p>
    <w:p>
      <w:pPr>
        <w:spacing w:line="400" w:lineRule="exact"/>
        <w:ind w:firstLine="7433" w:firstLineChars="3379"/>
        <w:rPr>
          <w:rFonts w:cs="Times New Roman"/>
        </w:rPr>
      </w:pPr>
      <w:r>
        <w:rPr>
          <w:rFonts w:hint="eastAsia"/>
        </w:rPr>
        <w:t>年月日</w:t>
      </w: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
        <w:spacing w:beforeLines="50" w:afterLines="50" w:line="400" w:lineRule="exact"/>
        <w:jc w:val="both"/>
        <w:rPr>
          <w:rFonts w:ascii="黑体" w:eastAsia="黑体" w:cs="黑体"/>
          <w:sz w:val="21"/>
          <w:szCs w:val="21"/>
        </w:rPr>
      </w:pPr>
      <w:bookmarkStart w:id="897" w:name="_Toc309397561"/>
      <w:r>
        <w:rPr>
          <w:rFonts w:hint="eastAsia" w:ascii="黑体" w:eastAsia="黑体" w:cs="黑体"/>
          <w:sz w:val="21"/>
          <w:szCs w:val="21"/>
        </w:rPr>
        <w:t>附件四</w:t>
      </w:r>
      <w:r>
        <w:rPr>
          <w:rFonts w:ascii="黑体" w:eastAsia="黑体" w:cs="黑体"/>
          <w:sz w:val="21"/>
          <w:szCs w:val="21"/>
        </w:rPr>
        <w:t xml:space="preserve">   </w:t>
      </w:r>
    </w:p>
    <w:bookmarkEnd w:id="897"/>
    <w:p>
      <w:pPr>
        <w:pStyle w:val="3"/>
        <w:spacing w:beforeLines="50" w:afterLines="50" w:line="400" w:lineRule="exact"/>
        <w:rPr>
          <w:rFonts w:ascii="黑体" w:eastAsia="黑体" w:cs="Times New Roman"/>
          <w:sz w:val="21"/>
          <w:szCs w:val="21"/>
        </w:rPr>
      </w:pPr>
      <w:r>
        <w:rPr>
          <w:rFonts w:hint="eastAsia" w:ascii="黑体" w:eastAsia="黑体" w:cs="黑体"/>
          <w:sz w:val="21"/>
          <w:szCs w:val="21"/>
        </w:rPr>
        <w:t>公路工程其他主要管理人员和技术人员最低要求</w:t>
      </w:r>
    </w:p>
    <w:tbl>
      <w:tblPr>
        <w:tblStyle w:val="20"/>
        <w:tblW w:w="922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557"/>
        <w:gridCol w:w="5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235" w:type="dxa"/>
            <w:tcBorders>
              <w:top w:val="single" w:color="auto" w:sz="12" w:space="0"/>
            </w:tcBorders>
            <w:vAlign w:val="center"/>
          </w:tcPr>
          <w:p>
            <w:pPr>
              <w:jc w:val="center"/>
              <w:rPr>
                <w:rFonts w:cs="Times New Roman"/>
                <w:sz w:val="24"/>
                <w:szCs w:val="24"/>
              </w:rPr>
            </w:pPr>
            <w:r>
              <w:rPr>
                <w:rFonts w:hint="eastAsia"/>
              </w:rPr>
              <w:t>人</w:t>
            </w:r>
            <w:r>
              <w:t xml:space="preserve">  </w:t>
            </w:r>
            <w:r>
              <w:rPr>
                <w:rFonts w:hint="eastAsia"/>
              </w:rPr>
              <w:t>员</w:t>
            </w:r>
          </w:p>
        </w:tc>
        <w:tc>
          <w:tcPr>
            <w:tcW w:w="1557" w:type="dxa"/>
            <w:tcBorders>
              <w:top w:val="single" w:color="auto" w:sz="12" w:space="0"/>
            </w:tcBorders>
            <w:vAlign w:val="center"/>
          </w:tcPr>
          <w:p>
            <w:pPr>
              <w:jc w:val="center"/>
              <w:rPr>
                <w:rFonts w:cs="Times New Roman"/>
                <w:sz w:val="24"/>
                <w:szCs w:val="24"/>
              </w:rPr>
            </w:pPr>
            <w:r>
              <w:rPr>
                <w:rFonts w:hint="eastAsia"/>
              </w:rPr>
              <w:t>数</w:t>
            </w:r>
            <w:r>
              <w:t xml:space="preserve">  </w:t>
            </w:r>
            <w:r>
              <w:rPr>
                <w:rFonts w:hint="eastAsia"/>
              </w:rPr>
              <w:t>量</w:t>
            </w:r>
          </w:p>
        </w:tc>
        <w:tc>
          <w:tcPr>
            <w:tcW w:w="5429" w:type="dxa"/>
            <w:tcBorders>
              <w:top w:val="single" w:color="auto" w:sz="12" w:space="0"/>
            </w:tcBorders>
            <w:vAlign w:val="center"/>
          </w:tcPr>
          <w:p>
            <w:pPr>
              <w:jc w:val="center"/>
              <w:rPr>
                <w:rFonts w:cs="Times New Roman"/>
                <w:sz w:val="24"/>
                <w:szCs w:val="24"/>
              </w:rPr>
            </w:pPr>
            <w:r>
              <w:rPr>
                <w:rFonts w:hint="eastAsia"/>
              </w:rPr>
              <w:t>资</w:t>
            </w:r>
            <w:r>
              <w:t xml:space="preserve"> </w:t>
            </w:r>
            <w:r>
              <w:rPr>
                <w:rFonts w:hint="eastAsia"/>
              </w:rPr>
              <w:t>格</w:t>
            </w:r>
            <w:r>
              <w:t xml:space="preserve"> </w:t>
            </w:r>
            <w:r>
              <w:rPr>
                <w:rFonts w:hint="eastAsia"/>
              </w:rPr>
              <w:t>要</w:t>
            </w:r>
            <w:r>
              <w:t xml:space="preserve"> </w:t>
            </w:r>
            <w:r>
              <w:rPr>
                <w:rFonts w:hint="eastAsia"/>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235" w:type="dxa"/>
            <w:vAlign w:val="center"/>
          </w:tcPr>
          <w:p>
            <w:pPr>
              <w:spacing w:line="300" w:lineRule="exact"/>
              <w:jc w:val="center"/>
              <w:rPr>
                <w:rFonts w:cs="Times New Roman"/>
                <w:color w:val="auto"/>
              </w:rPr>
            </w:pPr>
            <w:r>
              <w:rPr>
                <w:rFonts w:hint="eastAsia"/>
                <w:color w:val="auto"/>
              </w:rPr>
              <w:t>结构、路基路面专业工程师</w:t>
            </w:r>
          </w:p>
        </w:tc>
        <w:tc>
          <w:tcPr>
            <w:tcW w:w="1557" w:type="dxa"/>
            <w:vAlign w:val="center"/>
          </w:tcPr>
          <w:p>
            <w:pPr>
              <w:spacing w:line="400" w:lineRule="exact"/>
              <w:jc w:val="center"/>
              <w:rPr>
                <w:color w:val="auto"/>
              </w:rPr>
            </w:pPr>
            <w:r>
              <w:rPr>
                <w:color w:val="auto"/>
              </w:rPr>
              <w:t>1</w:t>
            </w:r>
          </w:p>
        </w:tc>
        <w:tc>
          <w:tcPr>
            <w:tcW w:w="5429" w:type="dxa"/>
            <w:vAlign w:val="center"/>
          </w:tcPr>
          <w:p>
            <w:pPr>
              <w:spacing w:line="300" w:lineRule="exact"/>
              <w:rPr>
                <w:rFonts w:cs="Times New Roman"/>
                <w:color w:val="auto"/>
              </w:rPr>
            </w:pPr>
            <w:r>
              <w:rPr>
                <w:rFonts w:hint="eastAsia"/>
                <w:color w:val="auto"/>
              </w:rPr>
              <w:t>具有同类工程施工经验</w:t>
            </w:r>
            <w:r>
              <w:rPr>
                <w:color w:val="auto"/>
              </w:rPr>
              <w:t>3</w:t>
            </w:r>
            <w:r>
              <w:rPr>
                <w:rFonts w:hint="eastAsia"/>
                <w:color w:val="auto"/>
              </w:rPr>
              <w:t>年以上，担任过</w:t>
            </w:r>
            <w:r>
              <w:rPr>
                <w:color w:val="auto"/>
              </w:rPr>
              <w:t>1</w:t>
            </w:r>
            <w:r>
              <w:rPr>
                <w:rFonts w:hint="eastAsia"/>
                <w:color w:val="auto"/>
              </w:rPr>
              <w:t>个与本项目相同（及以上）等级公路工程项目的路基路面专业工程师，具有土建类专业助理工程师及以上职称。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spacing w:line="300" w:lineRule="exact"/>
              <w:jc w:val="center"/>
              <w:rPr>
                <w:rFonts w:cs="Times New Roman"/>
                <w:color w:val="auto"/>
              </w:rPr>
            </w:pPr>
            <w:r>
              <w:rPr>
                <w:rFonts w:hint="eastAsia"/>
                <w:color w:val="auto"/>
              </w:rPr>
              <w:t>材料、试验工程师</w:t>
            </w:r>
          </w:p>
        </w:tc>
        <w:tc>
          <w:tcPr>
            <w:tcW w:w="1557" w:type="dxa"/>
            <w:vAlign w:val="center"/>
          </w:tcPr>
          <w:p>
            <w:pPr>
              <w:spacing w:line="400" w:lineRule="exact"/>
              <w:jc w:val="center"/>
              <w:rPr>
                <w:color w:val="auto"/>
              </w:rPr>
            </w:pPr>
            <w:r>
              <w:rPr>
                <w:color w:val="auto"/>
              </w:rPr>
              <w:t>1</w:t>
            </w:r>
          </w:p>
        </w:tc>
        <w:tc>
          <w:tcPr>
            <w:tcW w:w="5429" w:type="dxa"/>
            <w:vAlign w:val="center"/>
          </w:tcPr>
          <w:p>
            <w:pPr>
              <w:spacing w:line="300" w:lineRule="exact"/>
              <w:rPr>
                <w:rFonts w:cs="Times New Roman"/>
                <w:color w:val="auto"/>
              </w:rPr>
            </w:pPr>
            <w:r>
              <w:rPr>
                <w:rFonts w:hint="eastAsia"/>
                <w:color w:val="auto"/>
              </w:rPr>
              <w:t>具有公路工程施工经验</w:t>
            </w:r>
            <w:r>
              <w:rPr>
                <w:color w:val="auto"/>
              </w:rPr>
              <w:t>1</w:t>
            </w:r>
            <w:r>
              <w:rPr>
                <w:rFonts w:hint="eastAsia"/>
                <w:color w:val="auto"/>
              </w:rPr>
              <w:t>年以上，担任过</w:t>
            </w:r>
            <w:r>
              <w:rPr>
                <w:color w:val="auto"/>
              </w:rPr>
              <w:t>1</w:t>
            </w:r>
            <w:r>
              <w:rPr>
                <w:rFonts w:hint="eastAsia"/>
                <w:color w:val="auto"/>
              </w:rPr>
              <w:t>个与本项目相同（及以上）等级公路工程项目的专业工程师，具有助理工程师及以上职称，具有材料试验员资格证书。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spacing w:line="300" w:lineRule="exact"/>
              <w:jc w:val="center"/>
              <w:rPr>
                <w:rFonts w:cs="Times New Roman"/>
                <w:color w:val="auto"/>
              </w:rPr>
            </w:pPr>
            <w:r>
              <w:rPr>
                <w:rFonts w:hint="eastAsia"/>
                <w:color w:val="auto"/>
              </w:rPr>
              <w:t>测量、计量支付</w:t>
            </w:r>
          </w:p>
          <w:p>
            <w:pPr>
              <w:spacing w:line="300" w:lineRule="exact"/>
              <w:jc w:val="center"/>
              <w:rPr>
                <w:rFonts w:cs="Times New Roman"/>
                <w:color w:val="auto"/>
              </w:rPr>
            </w:pPr>
            <w:r>
              <w:rPr>
                <w:rFonts w:hint="eastAsia"/>
                <w:color w:val="auto"/>
              </w:rPr>
              <w:t>专业工程师</w:t>
            </w:r>
          </w:p>
        </w:tc>
        <w:tc>
          <w:tcPr>
            <w:tcW w:w="1557" w:type="dxa"/>
            <w:vAlign w:val="center"/>
          </w:tcPr>
          <w:p>
            <w:pPr>
              <w:spacing w:line="400" w:lineRule="exact"/>
              <w:jc w:val="center"/>
              <w:rPr>
                <w:color w:val="auto"/>
              </w:rPr>
            </w:pPr>
            <w:r>
              <w:rPr>
                <w:color w:val="auto"/>
              </w:rPr>
              <w:t>1</w:t>
            </w:r>
          </w:p>
        </w:tc>
        <w:tc>
          <w:tcPr>
            <w:tcW w:w="5429" w:type="dxa"/>
            <w:vAlign w:val="center"/>
          </w:tcPr>
          <w:p>
            <w:pPr>
              <w:spacing w:line="300" w:lineRule="exact"/>
              <w:rPr>
                <w:rFonts w:cs="Times New Roman"/>
                <w:color w:val="auto"/>
              </w:rPr>
            </w:pPr>
            <w:r>
              <w:rPr>
                <w:rFonts w:hint="eastAsia"/>
                <w:color w:val="auto"/>
              </w:rPr>
              <w:t>具有同类工程施工经验</w:t>
            </w:r>
            <w:r>
              <w:rPr>
                <w:color w:val="auto"/>
              </w:rPr>
              <w:t>1</w:t>
            </w:r>
            <w:r>
              <w:rPr>
                <w:rFonts w:hint="eastAsia"/>
                <w:color w:val="auto"/>
              </w:rPr>
              <w:t>年以上，担任过</w:t>
            </w:r>
            <w:r>
              <w:rPr>
                <w:color w:val="auto"/>
              </w:rPr>
              <w:t>1</w:t>
            </w:r>
            <w:r>
              <w:rPr>
                <w:rFonts w:hint="eastAsia"/>
                <w:color w:val="auto"/>
              </w:rPr>
              <w:t>个与本项目相同（及以上）等级公路工程项目的专业工程师，具有助理工程师及以上职称。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spacing w:line="400" w:lineRule="exact"/>
              <w:jc w:val="center"/>
              <w:rPr>
                <w:rFonts w:cs="Times New Roman"/>
                <w:color w:val="auto"/>
              </w:rPr>
            </w:pPr>
            <w:r>
              <w:rPr>
                <w:rFonts w:hint="eastAsia"/>
                <w:color w:val="auto"/>
              </w:rPr>
              <w:t>专职安全员</w:t>
            </w:r>
          </w:p>
        </w:tc>
        <w:tc>
          <w:tcPr>
            <w:tcW w:w="1557" w:type="dxa"/>
            <w:vAlign w:val="center"/>
          </w:tcPr>
          <w:p>
            <w:pPr>
              <w:spacing w:line="400" w:lineRule="exact"/>
              <w:jc w:val="center"/>
              <w:rPr>
                <w:color w:val="auto"/>
              </w:rPr>
            </w:pPr>
            <w:r>
              <w:rPr>
                <w:color w:val="auto"/>
              </w:rPr>
              <w:t>1</w:t>
            </w:r>
          </w:p>
        </w:tc>
        <w:tc>
          <w:tcPr>
            <w:tcW w:w="5429" w:type="dxa"/>
            <w:vAlign w:val="center"/>
          </w:tcPr>
          <w:p>
            <w:pPr>
              <w:spacing w:line="300" w:lineRule="exact"/>
              <w:rPr>
                <w:rFonts w:cs="Times New Roman"/>
                <w:color w:val="auto"/>
              </w:rPr>
            </w:pPr>
            <w:r>
              <w:rPr>
                <w:rFonts w:hint="eastAsia"/>
                <w:color w:val="auto"/>
              </w:rPr>
              <w:t>具有安全工作经验</w:t>
            </w:r>
            <w:r>
              <w:rPr>
                <w:color w:val="auto"/>
              </w:rPr>
              <w:t>1</w:t>
            </w:r>
            <w:r>
              <w:rPr>
                <w:rFonts w:hint="eastAsia"/>
                <w:color w:val="auto"/>
              </w:rPr>
              <w:t>年以上，从事过</w:t>
            </w:r>
            <w:r>
              <w:rPr>
                <w:color w:val="auto"/>
              </w:rPr>
              <w:t>1</w:t>
            </w:r>
            <w:r>
              <w:rPr>
                <w:rFonts w:hint="eastAsia"/>
                <w:color w:val="auto"/>
              </w:rPr>
              <w:t>个与本项目相同（及以上）等级公路工程项目的专职安全员工作，具有省级（及以上）主管部门颁发的《安全生产考核合格证书》</w:t>
            </w:r>
            <w:r>
              <w:rPr>
                <w:color w:val="auto"/>
              </w:rPr>
              <w:t>C</w:t>
            </w:r>
            <w:r>
              <w:rPr>
                <w:rFonts w:hint="eastAsia"/>
                <w:color w:val="auto"/>
              </w:rPr>
              <w:t>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jc w:val="center"/>
              <w:rPr>
                <w:rFonts w:cs="Times New Roman"/>
                <w:sz w:val="24"/>
                <w:szCs w:val="24"/>
              </w:rPr>
            </w:pPr>
          </w:p>
        </w:tc>
        <w:tc>
          <w:tcPr>
            <w:tcW w:w="1557" w:type="dxa"/>
            <w:vAlign w:val="center"/>
          </w:tcPr>
          <w:p>
            <w:pPr>
              <w:jc w:val="center"/>
              <w:rPr>
                <w:rFonts w:cs="Times New Roman"/>
                <w:sz w:val="24"/>
                <w:szCs w:val="24"/>
              </w:rPr>
            </w:pPr>
          </w:p>
        </w:tc>
        <w:tc>
          <w:tcPr>
            <w:tcW w:w="5429" w:type="dxa"/>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jc w:val="center"/>
              <w:rPr>
                <w:rFonts w:cs="Times New Roman"/>
                <w:sz w:val="24"/>
                <w:szCs w:val="24"/>
              </w:rPr>
            </w:pPr>
          </w:p>
        </w:tc>
        <w:tc>
          <w:tcPr>
            <w:tcW w:w="1557" w:type="dxa"/>
            <w:vAlign w:val="center"/>
          </w:tcPr>
          <w:p>
            <w:pPr>
              <w:jc w:val="center"/>
              <w:rPr>
                <w:rFonts w:cs="Times New Roman"/>
                <w:sz w:val="24"/>
                <w:szCs w:val="24"/>
              </w:rPr>
            </w:pPr>
          </w:p>
        </w:tc>
        <w:tc>
          <w:tcPr>
            <w:tcW w:w="5429" w:type="dxa"/>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vAlign w:val="center"/>
          </w:tcPr>
          <w:p>
            <w:pPr>
              <w:jc w:val="center"/>
              <w:rPr>
                <w:rFonts w:cs="Times New Roman"/>
                <w:sz w:val="24"/>
                <w:szCs w:val="24"/>
              </w:rPr>
            </w:pPr>
          </w:p>
        </w:tc>
        <w:tc>
          <w:tcPr>
            <w:tcW w:w="1557" w:type="dxa"/>
            <w:vAlign w:val="center"/>
          </w:tcPr>
          <w:p>
            <w:pPr>
              <w:jc w:val="center"/>
              <w:rPr>
                <w:rFonts w:cs="Times New Roman"/>
                <w:sz w:val="24"/>
                <w:szCs w:val="24"/>
              </w:rPr>
            </w:pPr>
          </w:p>
        </w:tc>
        <w:tc>
          <w:tcPr>
            <w:tcW w:w="5429" w:type="dxa"/>
            <w:vAlign w:val="center"/>
          </w:tcPr>
          <w:p>
            <w:pPr>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35" w:type="dxa"/>
            <w:tcBorders>
              <w:bottom w:val="single" w:color="auto" w:sz="12" w:space="0"/>
            </w:tcBorders>
            <w:vAlign w:val="center"/>
          </w:tcPr>
          <w:p>
            <w:pPr>
              <w:jc w:val="center"/>
              <w:rPr>
                <w:rFonts w:cs="Times New Roman"/>
                <w:sz w:val="24"/>
                <w:szCs w:val="24"/>
              </w:rPr>
            </w:pPr>
          </w:p>
        </w:tc>
        <w:tc>
          <w:tcPr>
            <w:tcW w:w="1557" w:type="dxa"/>
            <w:tcBorders>
              <w:bottom w:val="single" w:color="auto" w:sz="12" w:space="0"/>
            </w:tcBorders>
            <w:vAlign w:val="center"/>
          </w:tcPr>
          <w:p>
            <w:pPr>
              <w:jc w:val="center"/>
              <w:rPr>
                <w:rFonts w:cs="Times New Roman"/>
                <w:sz w:val="24"/>
                <w:szCs w:val="24"/>
              </w:rPr>
            </w:pPr>
          </w:p>
        </w:tc>
        <w:tc>
          <w:tcPr>
            <w:tcW w:w="5429" w:type="dxa"/>
            <w:tcBorders>
              <w:bottom w:val="single" w:color="auto" w:sz="12" w:space="0"/>
            </w:tcBorders>
            <w:vAlign w:val="center"/>
          </w:tcPr>
          <w:p>
            <w:pPr>
              <w:jc w:val="center"/>
              <w:rPr>
                <w:rFonts w:cs="Times New Roman"/>
              </w:rPr>
            </w:pPr>
          </w:p>
        </w:tc>
      </w:tr>
    </w:tbl>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2"/>
        <w:rPr>
          <w:rFonts w:ascii="隶书" w:eastAsia="隶书" w:cs="Times New Roman"/>
        </w:rPr>
      </w:pPr>
    </w:p>
    <w:p>
      <w:pPr>
        <w:pStyle w:val="3"/>
        <w:spacing w:beforeLines="50" w:afterLines="50" w:line="400" w:lineRule="exact"/>
        <w:jc w:val="both"/>
        <w:rPr>
          <w:rFonts w:ascii="黑体" w:eastAsia="黑体" w:cs="Times New Roman"/>
          <w:sz w:val="21"/>
          <w:szCs w:val="21"/>
        </w:rPr>
      </w:pPr>
      <w:r>
        <w:rPr>
          <w:rFonts w:hint="eastAsia" w:ascii="黑体" w:eastAsia="黑体" w:cs="黑体"/>
          <w:sz w:val="21"/>
          <w:szCs w:val="21"/>
        </w:rPr>
        <w:t>附件五</w:t>
      </w:r>
    </w:p>
    <w:p>
      <w:pPr>
        <w:pStyle w:val="3"/>
        <w:spacing w:beforeLines="50" w:afterLines="50" w:line="400" w:lineRule="exact"/>
        <w:rPr>
          <w:rFonts w:ascii="黑体" w:eastAsia="黑体" w:cs="Times New Roman"/>
          <w:sz w:val="21"/>
          <w:szCs w:val="21"/>
        </w:rPr>
      </w:pPr>
      <w:r>
        <w:rPr>
          <w:rFonts w:hint="eastAsia" w:ascii="黑体" w:eastAsia="黑体" w:cs="黑体"/>
          <w:sz w:val="21"/>
          <w:szCs w:val="21"/>
        </w:rPr>
        <w:t>公路工程主要机械设备和试验检测设备最低要求</w:t>
      </w:r>
    </w:p>
    <w:tbl>
      <w:tblPr>
        <w:tblStyle w:val="20"/>
        <w:tblW w:w="964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3417"/>
        <w:gridCol w:w="1553"/>
        <w:gridCol w:w="2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tcBorders>
              <w:top w:val="single" w:color="auto" w:sz="12" w:space="0"/>
            </w:tcBorders>
            <w:vAlign w:val="center"/>
          </w:tcPr>
          <w:p>
            <w:pPr>
              <w:jc w:val="center"/>
              <w:rPr>
                <w:rFonts w:cs="Times New Roman"/>
                <w:sz w:val="24"/>
                <w:szCs w:val="24"/>
              </w:rPr>
            </w:pPr>
            <w:r>
              <w:rPr>
                <w:rFonts w:hint="eastAsia"/>
                <w:sz w:val="24"/>
                <w:szCs w:val="24"/>
              </w:rPr>
              <w:t>设备名称</w:t>
            </w:r>
          </w:p>
        </w:tc>
        <w:tc>
          <w:tcPr>
            <w:tcW w:w="3417" w:type="dxa"/>
            <w:tcBorders>
              <w:top w:val="single" w:color="auto" w:sz="12" w:space="0"/>
            </w:tcBorders>
            <w:vAlign w:val="center"/>
          </w:tcPr>
          <w:p>
            <w:pPr>
              <w:jc w:val="center"/>
              <w:rPr>
                <w:rFonts w:cs="Times New Roman"/>
                <w:sz w:val="24"/>
                <w:szCs w:val="24"/>
              </w:rPr>
            </w:pPr>
            <w:r>
              <w:rPr>
                <w:rFonts w:hint="eastAsia"/>
                <w:sz w:val="24"/>
                <w:szCs w:val="24"/>
              </w:rPr>
              <w:t>规格、功率及容量</w:t>
            </w:r>
          </w:p>
        </w:tc>
        <w:tc>
          <w:tcPr>
            <w:tcW w:w="1553" w:type="dxa"/>
            <w:tcBorders>
              <w:top w:val="single" w:color="auto" w:sz="12" w:space="0"/>
            </w:tcBorders>
            <w:vAlign w:val="center"/>
          </w:tcPr>
          <w:p>
            <w:pPr>
              <w:jc w:val="center"/>
              <w:rPr>
                <w:rFonts w:cs="Times New Roman"/>
                <w:sz w:val="24"/>
                <w:szCs w:val="24"/>
              </w:rPr>
            </w:pPr>
            <w:r>
              <w:rPr>
                <w:rFonts w:hint="eastAsia"/>
                <w:sz w:val="24"/>
                <w:szCs w:val="24"/>
              </w:rPr>
              <w:t>单位</w:t>
            </w:r>
          </w:p>
        </w:tc>
        <w:tc>
          <w:tcPr>
            <w:tcW w:w="2970" w:type="dxa"/>
            <w:tcBorders>
              <w:top w:val="single" w:color="auto" w:sz="12" w:space="0"/>
            </w:tcBorders>
            <w:vAlign w:val="center"/>
          </w:tcPr>
          <w:p>
            <w:pPr>
              <w:jc w:val="center"/>
              <w:rPr>
                <w:rFonts w:cs="Times New Roman"/>
                <w:sz w:val="24"/>
                <w:szCs w:val="24"/>
              </w:rPr>
            </w:pPr>
            <w:r>
              <w:rPr>
                <w:rFonts w:hint="eastAsia"/>
                <w:sz w:val="24"/>
                <w:szCs w:val="24"/>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挖掘机</w:t>
            </w:r>
          </w:p>
        </w:tc>
        <w:tc>
          <w:tcPr>
            <w:tcW w:w="3417" w:type="dxa"/>
            <w:vAlign w:val="center"/>
          </w:tcPr>
          <w:p>
            <w:pPr>
              <w:tabs>
                <w:tab w:val="left" w:pos="1080"/>
              </w:tabs>
              <w:spacing w:line="280" w:lineRule="exact"/>
              <w:jc w:val="center"/>
              <w:rPr>
                <w:rFonts w:cs="Times New Roman"/>
                <w:b/>
                <w:bCs/>
                <w:color w:val="auto"/>
                <w:sz w:val="21"/>
                <w:szCs w:val="21"/>
              </w:rPr>
            </w:pPr>
            <w:r>
              <w:rPr>
                <w:rFonts w:ascii="宋体" w:hAnsi="宋体"/>
                <w:color w:val="auto"/>
                <w:sz w:val="21"/>
                <w:szCs w:val="21"/>
                <w:highlight w:val="none"/>
              </w:rPr>
              <w:t>1m3</w:t>
            </w:r>
            <w:r>
              <w:rPr>
                <w:rFonts w:hint="eastAsia" w:ascii="宋体" w:hAnsi="宋体"/>
                <w:color w:val="auto"/>
                <w:sz w:val="21"/>
                <w:szCs w:val="21"/>
                <w:highlight w:val="none"/>
              </w:rPr>
              <w:t>以上</w:t>
            </w: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color w:val="auto"/>
                <w:sz w:val="21"/>
                <w:szCs w:val="21"/>
              </w:rPr>
            </w:pPr>
            <w:r>
              <w:rPr>
                <w:rFonts w:hint="eastAsia" w:ascii="宋体" w:hAnsi="宋体"/>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振动压路机</w:t>
            </w:r>
          </w:p>
        </w:tc>
        <w:tc>
          <w:tcPr>
            <w:tcW w:w="3417" w:type="dxa"/>
            <w:vAlign w:val="center"/>
          </w:tcPr>
          <w:p>
            <w:pPr>
              <w:tabs>
                <w:tab w:val="left" w:pos="1080"/>
              </w:tabs>
              <w:spacing w:line="280" w:lineRule="exact"/>
              <w:jc w:val="center"/>
              <w:rPr>
                <w:rFonts w:cs="Times New Roman"/>
                <w:b/>
                <w:bCs/>
                <w:color w:val="auto"/>
                <w:sz w:val="21"/>
                <w:szCs w:val="21"/>
              </w:rPr>
            </w:pPr>
            <w:r>
              <w:rPr>
                <w:rFonts w:hint="eastAsia" w:ascii="宋体" w:hAnsi="宋体"/>
                <w:color w:val="auto"/>
                <w:sz w:val="21"/>
                <w:szCs w:val="21"/>
                <w:highlight w:val="none"/>
              </w:rPr>
              <w:t>15</w:t>
            </w:r>
            <w:r>
              <w:rPr>
                <w:rFonts w:ascii="宋体" w:hAnsi="宋体"/>
                <w:color w:val="auto"/>
                <w:sz w:val="21"/>
                <w:szCs w:val="21"/>
                <w:highlight w:val="none"/>
              </w:rPr>
              <w:t>T</w:t>
            </w:r>
            <w:r>
              <w:rPr>
                <w:rFonts w:hint="eastAsia" w:ascii="宋体" w:hAnsi="宋体"/>
                <w:color w:val="auto"/>
                <w:sz w:val="21"/>
                <w:szCs w:val="21"/>
                <w:highlight w:val="none"/>
              </w:rPr>
              <w:t>以上</w:t>
            </w: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冲击钻机</w:t>
            </w:r>
          </w:p>
        </w:tc>
        <w:tc>
          <w:tcPr>
            <w:tcW w:w="3417" w:type="dxa"/>
            <w:vAlign w:val="center"/>
          </w:tcPr>
          <w:p>
            <w:pPr>
              <w:jc w:val="center"/>
              <w:rPr>
                <w:rFonts w:cs="Times New Roman"/>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强制式砼拌和楼</w:t>
            </w:r>
          </w:p>
        </w:tc>
        <w:tc>
          <w:tcPr>
            <w:tcW w:w="3417" w:type="dxa"/>
            <w:vAlign w:val="center"/>
          </w:tcPr>
          <w:p>
            <w:pPr>
              <w:tabs>
                <w:tab w:val="left" w:pos="1080"/>
              </w:tabs>
              <w:spacing w:line="280" w:lineRule="exact"/>
              <w:jc w:val="center"/>
              <w:rPr>
                <w:rFonts w:cs="Times New Roman"/>
                <w:b/>
                <w:bCs/>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座</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砂浆拌和机</w:t>
            </w:r>
          </w:p>
        </w:tc>
        <w:tc>
          <w:tcPr>
            <w:tcW w:w="3417" w:type="dxa"/>
            <w:vAlign w:val="center"/>
          </w:tcPr>
          <w:p>
            <w:pPr>
              <w:tabs>
                <w:tab w:val="left" w:pos="1080"/>
              </w:tabs>
              <w:spacing w:line="280" w:lineRule="exact"/>
              <w:jc w:val="center"/>
              <w:rPr>
                <w:rFonts w:cs="Times New Roman"/>
                <w:b/>
                <w:bCs/>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试验设备</w:t>
            </w:r>
          </w:p>
        </w:tc>
        <w:tc>
          <w:tcPr>
            <w:tcW w:w="3417" w:type="dxa"/>
            <w:vAlign w:val="center"/>
          </w:tcPr>
          <w:p>
            <w:pPr>
              <w:tabs>
                <w:tab w:val="left" w:pos="1080"/>
              </w:tabs>
              <w:spacing w:line="280" w:lineRule="exact"/>
              <w:jc w:val="center"/>
              <w:rPr>
                <w:rFonts w:cs="Times New Roman"/>
                <w:b/>
                <w:bCs/>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套</w:t>
            </w:r>
          </w:p>
        </w:tc>
        <w:tc>
          <w:tcPr>
            <w:tcW w:w="2970" w:type="dxa"/>
            <w:vAlign w:val="center"/>
          </w:tcPr>
          <w:p>
            <w:pPr>
              <w:jc w:val="center"/>
              <w:rPr>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全站仪</w:t>
            </w:r>
          </w:p>
        </w:tc>
        <w:tc>
          <w:tcPr>
            <w:tcW w:w="3417" w:type="dxa"/>
            <w:vAlign w:val="center"/>
          </w:tcPr>
          <w:p>
            <w:pPr>
              <w:tabs>
                <w:tab w:val="left" w:pos="1080"/>
              </w:tabs>
              <w:spacing w:line="280" w:lineRule="exact"/>
              <w:jc w:val="center"/>
              <w:rPr>
                <w:rFonts w:cs="Times New Roman"/>
                <w:b/>
                <w:bCs/>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hint="eastAsia" w:ascii="宋体" w:hAnsi="宋体"/>
                <w:color w:val="auto"/>
                <w:sz w:val="21"/>
                <w:szCs w:val="21"/>
                <w:highlight w:val="none"/>
              </w:rPr>
            </w:pPr>
            <w:r>
              <w:rPr>
                <w:rFonts w:hint="eastAsia" w:ascii="宋体" w:hAnsi="宋体"/>
                <w:color w:val="auto"/>
                <w:sz w:val="21"/>
                <w:szCs w:val="21"/>
              </w:rPr>
              <w:t>经纬仪</w:t>
            </w:r>
          </w:p>
        </w:tc>
        <w:tc>
          <w:tcPr>
            <w:tcW w:w="3417" w:type="dxa"/>
            <w:vAlign w:val="center"/>
          </w:tcPr>
          <w:p>
            <w:pPr>
              <w:tabs>
                <w:tab w:val="left" w:pos="1080"/>
              </w:tabs>
              <w:spacing w:line="280" w:lineRule="exact"/>
              <w:jc w:val="center"/>
              <w:rPr>
                <w:rFonts w:cs="Times New Roman"/>
                <w:b/>
                <w:bCs/>
                <w:color w:val="auto"/>
                <w:sz w:val="21"/>
                <w:szCs w:val="21"/>
              </w:rPr>
            </w:pPr>
          </w:p>
        </w:tc>
        <w:tc>
          <w:tcPr>
            <w:tcW w:w="1553"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2970" w:type="dxa"/>
            <w:vAlign w:val="center"/>
          </w:tcPr>
          <w:p>
            <w:pPr>
              <w:jc w:val="center"/>
              <w:rPr>
                <w:rFonts w:hint="eastAsia" w:ascii="宋体" w:hAnsi="宋体" w:eastAsia="宋体"/>
                <w:color w:val="auto"/>
                <w:sz w:val="21"/>
                <w:szCs w:val="21"/>
                <w:highlight w:val="none"/>
                <w:lang w:val="en-US" w:eastAsia="zh-CN"/>
              </w:rPr>
            </w:pPr>
            <w:r>
              <w:rPr>
                <w:rFonts w:hint="eastAsia"/>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水准仪</w:t>
            </w:r>
          </w:p>
        </w:tc>
        <w:tc>
          <w:tcPr>
            <w:tcW w:w="3417" w:type="dxa"/>
            <w:vAlign w:val="center"/>
          </w:tcPr>
          <w:p>
            <w:pPr>
              <w:tabs>
                <w:tab w:val="left" w:pos="1080"/>
              </w:tabs>
              <w:spacing w:line="280" w:lineRule="exact"/>
              <w:jc w:val="center"/>
              <w:rPr>
                <w:rFonts w:cs="Times New Roman"/>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发电机组</w:t>
            </w:r>
          </w:p>
        </w:tc>
        <w:tc>
          <w:tcPr>
            <w:tcW w:w="3417" w:type="dxa"/>
            <w:vAlign w:val="center"/>
          </w:tcPr>
          <w:p>
            <w:pPr>
              <w:tabs>
                <w:tab w:val="left" w:pos="1080"/>
              </w:tabs>
              <w:spacing w:line="280" w:lineRule="exact"/>
              <w:jc w:val="center"/>
              <w:rPr>
                <w:rFonts w:cs="Times New Roman"/>
                <w:color w:val="auto"/>
                <w:sz w:val="21"/>
                <w:szCs w:val="21"/>
              </w:rPr>
            </w:pPr>
            <w:r>
              <w:rPr>
                <w:rFonts w:hint="eastAsia" w:ascii="宋体" w:hAnsi="宋体"/>
                <w:color w:val="auto"/>
                <w:sz w:val="21"/>
                <w:szCs w:val="21"/>
                <w:highlight w:val="none"/>
              </w:rPr>
              <w:t>120KW以上</w:t>
            </w: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混凝土水泥路面刚性刻纹机</w:t>
            </w:r>
          </w:p>
        </w:tc>
        <w:tc>
          <w:tcPr>
            <w:tcW w:w="3417" w:type="dxa"/>
            <w:vAlign w:val="center"/>
          </w:tcPr>
          <w:p>
            <w:pPr>
              <w:jc w:val="center"/>
              <w:rPr>
                <w:rFonts w:cs="Times New Roman"/>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钢模</w:t>
            </w:r>
          </w:p>
        </w:tc>
        <w:tc>
          <w:tcPr>
            <w:tcW w:w="3417" w:type="dxa"/>
            <w:vAlign w:val="center"/>
          </w:tcPr>
          <w:p>
            <w:pPr>
              <w:jc w:val="center"/>
              <w:rPr>
                <w:rFonts w:cs="Times New Roman"/>
                <w:color w:val="auto"/>
                <w:sz w:val="21"/>
                <w:szCs w:val="21"/>
              </w:rPr>
            </w:pPr>
            <w:r>
              <w:rPr>
                <w:rFonts w:hint="eastAsia" w:ascii="宋体" w:hAnsi="宋体"/>
                <w:color w:val="auto"/>
                <w:sz w:val="21"/>
                <w:szCs w:val="21"/>
                <w:highlight w:val="none"/>
              </w:rPr>
              <w:t>20cm高</w:t>
            </w: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m</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r>
              <w:rPr>
                <w:rFonts w:hint="eastAsia" w:ascii="宋体" w:hAnsi="宋体"/>
                <w:color w:val="auto"/>
                <w:sz w:val="21"/>
                <w:szCs w:val="21"/>
                <w:highlight w:val="none"/>
              </w:rPr>
              <w:t>水泥混凝土路面排式振捣机</w:t>
            </w:r>
          </w:p>
        </w:tc>
        <w:tc>
          <w:tcPr>
            <w:tcW w:w="3417" w:type="dxa"/>
            <w:vAlign w:val="center"/>
          </w:tcPr>
          <w:p>
            <w:pPr>
              <w:jc w:val="center"/>
              <w:rPr>
                <w:rFonts w:cs="Times New Roman"/>
                <w:color w:val="auto"/>
                <w:sz w:val="21"/>
                <w:szCs w:val="21"/>
              </w:rPr>
            </w:pPr>
          </w:p>
        </w:tc>
        <w:tc>
          <w:tcPr>
            <w:tcW w:w="1553" w:type="dxa"/>
            <w:vAlign w:val="center"/>
          </w:tcPr>
          <w:p>
            <w:pPr>
              <w:jc w:val="center"/>
              <w:rPr>
                <w:rFonts w:cs="Times New Roman"/>
                <w:color w:val="auto"/>
                <w:sz w:val="21"/>
                <w:szCs w:val="21"/>
              </w:rPr>
            </w:pPr>
            <w:r>
              <w:rPr>
                <w:rFonts w:hint="eastAsia" w:ascii="宋体" w:hAnsi="宋体"/>
                <w:color w:val="auto"/>
                <w:sz w:val="21"/>
                <w:szCs w:val="21"/>
                <w:highlight w:val="none"/>
              </w:rPr>
              <w:t>台</w:t>
            </w:r>
          </w:p>
        </w:tc>
        <w:tc>
          <w:tcPr>
            <w:tcW w:w="2970" w:type="dxa"/>
            <w:vAlign w:val="center"/>
          </w:tcPr>
          <w:p>
            <w:pPr>
              <w:jc w:val="center"/>
              <w:rPr>
                <w:rFonts w:cs="Times New Roman"/>
                <w:color w:val="auto"/>
                <w:sz w:val="21"/>
                <w:szCs w:val="21"/>
              </w:rPr>
            </w:pPr>
            <w:r>
              <w:rPr>
                <w:rFonts w:hint="eastAsia" w:ascii="宋体" w:hAnsi="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vAlign w:val="center"/>
          </w:tcPr>
          <w:p>
            <w:pPr>
              <w:jc w:val="center"/>
              <w:rPr>
                <w:rFonts w:cs="Times New Roman"/>
                <w:color w:val="auto"/>
                <w:sz w:val="21"/>
                <w:szCs w:val="21"/>
              </w:rPr>
            </w:pPr>
          </w:p>
        </w:tc>
        <w:tc>
          <w:tcPr>
            <w:tcW w:w="3417" w:type="dxa"/>
            <w:vAlign w:val="center"/>
          </w:tcPr>
          <w:p>
            <w:pPr>
              <w:tabs>
                <w:tab w:val="left" w:pos="1080"/>
              </w:tabs>
              <w:spacing w:line="280" w:lineRule="exact"/>
              <w:jc w:val="center"/>
              <w:rPr>
                <w:rFonts w:cs="Times New Roman"/>
                <w:color w:val="auto"/>
                <w:sz w:val="21"/>
                <w:szCs w:val="21"/>
              </w:rPr>
            </w:pPr>
          </w:p>
        </w:tc>
        <w:tc>
          <w:tcPr>
            <w:tcW w:w="1553" w:type="dxa"/>
            <w:vAlign w:val="center"/>
          </w:tcPr>
          <w:p>
            <w:pPr>
              <w:jc w:val="center"/>
              <w:rPr>
                <w:rFonts w:cs="Times New Roman"/>
                <w:color w:val="auto"/>
                <w:sz w:val="21"/>
                <w:szCs w:val="21"/>
              </w:rPr>
            </w:pPr>
          </w:p>
        </w:tc>
        <w:tc>
          <w:tcPr>
            <w:tcW w:w="2970" w:type="dxa"/>
            <w:vAlign w:val="center"/>
          </w:tcPr>
          <w:p>
            <w:pPr>
              <w:jc w:val="center"/>
              <w:rPr>
                <w:rFonts w:cs="Times New Roman"/>
                <w:color w:val="auto"/>
                <w:sz w:val="21"/>
                <w:szCs w:val="21"/>
              </w:rPr>
            </w:pPr>
          </w:p>
        </w:tc>
      </w:tr>
    </w:tbl>
    <w:p>
      <w:pPr>
        <w:rPr>
          <w:rFonts w:cs="Times New Roman"/>
        </w:rPr>
      </w:pPr>
    </w:p>
    <w:p>
      <w:pPr>
        <w:pStyle w:val="3"/>
        <w:spacing w:beforeLines="50" w:afterLines="50" w:line="400" w:lineRule="exact"/>
        <w:rPr>
          <w:rFonts w:ascii="黑体" w:eastAsia="黑体" w:cs="黑体"/>
          <w:sz w:val="21"/>
          <w:szCs w:val="21"/>
        </w:rPr>
      </w:pPr>
      <w:r>
        <w:rPr>
          <w:rFonts w:ascii="黑体" w:eastAsia="黑体" w:cs="黑体"/>
          <w:sz w:val="21"/>
          <w:szCs w:val="21"/>
        </w:rPr>
        <w:t xml:space="preserve"> </w:t>
      </w:r>
    </w:p>
    <w:p>
      <w:pPr>
        <w:rPr>
          <w:rFonts w:ascii="隶书" w:eastAsia="隶书" w:cs="Times New Roman"/>
        </w:rPr>
        <w:sectPr>
          <w:footnotePr>
            <w:numFmt w:val="decimalEnclosedCircleChinese"/>
            <w:numRestart w:val="eachPage"/>
          </w:footnotePr>
          <w:pgSz w:w="11907" w:h="16840"/>
          <w:pgMar w:top="1418" w:right="1418" w:bottom="1418" w:left="1418" w:header="851" w:footer="964" w:gutter="0"/>
          <w:cols w:space="720" w:num="1"/>
          <w:titlePg/>
          <w:docGrid w:linePitch="312" w:charSpace="0"/>
        </w:sectPr>
      </w:pPr>
    </w:p>
    <w:p>
      <w:pPr>
        <w:pStyle w:val="3"/>
        <w:spacing w:beforeLines="50" w:afterLines="50" w:line="400" w:lineRule="exact"/>
        <w:jc w:val="both"/>
        <w:rPr>
          <w:rFonts w:ascii="隶书" w:eastAsia="隶书" w:cs="Times New Roman"/>
          <w:sz w:val="21"/>
          <w:szCs w:val="21"/>
        </w:rPr>
      </w:pPr>
      <w:r>
        <w:rPr>
          <w:rFonts w:hint="eastAsia" w:ascii="黑体" w:eastAsia="黑体" w:cs="黑体"/>
          <w:sz w:val="21"/>
          <w:szCs w:val="21"/>
        </w:rPr>
        <w:t>附件六</w:t>
      </w:r>
      <w:r>
        <w:rPr>
          <w:rFonts w:ascii="黑体" w:eastAsia="黑体" w:cs="黑体"/>
          <w:sz w:val="21"/>
          <w:szCs w:val="21"/>
        </w:rPr>
        <w:t xml:space="preserve">  </w:t>
      </w:r>
      <w:r>
        <w:rPr>
          <w:rFonts w:hint="eastAsia" w:ascii="黑体" w:eastAsia="黑体" w:cs="黑体"/>
          <w:sz w:val="21"/>
          <w:szCs w:val="21"/>
        </w:rPr>
        <w:t>项目经理委托书</w:t>
      </w:r>
    </w:p>
    <w:p>
      <w:pPr>
        <w:spacing w:line="400" w:lineRule="exact"/>
        <w:rPr>
          <w:rFonts w:ascii="隶书" w:eastAsia="隶书" w:cs="Times New Roman"/>
        </w:rPr>
      </w:pPr>
    </w:p>
    <w:p>
      <w:pPr>
        <w:spacing w:line="400" w:lineRule="exact"/>
        <w:jc w:val="center"/>
        <w:rPr>
          <w:rFonts w:ascii="黑体" w:eastAsia="黑体" w:cs="Times New Roman"/>
          <w:u w:val="single"/>
        </w:rPr>
      </w:pPr>
      <w:r>
        <w:rPr>
          <w:rFonts w:hint="eastAsia" w:ascii="黑体" w:eastAsia="黑体" w:cs="黑体"/>
          <w:u w:val="single"/>
        </w:rPr>
        <w:t>（承包人全称）</w:t>
      </w:r>
    </w:p>
    <w:p>
      <w:pPr>
        <w:spacing w:line="400" w:lineRule="exact"/>
        <w:jc w:val="center"/>
        <w:rPr>
          <w:rFonts w:ascii="黑体" w:eastAsia="黑体" w:cs="Times New Roman"/>
          <w:u w:val="single"/>
        </w:rPr>
      </w:pPr>
      <w:r>
        <w:rPr>
          <w:rFonts w:hint="eastAsia" w:ascii="黑体" w:eastAsia="黑体" w:cs="黑体"/>
          <w:u w:val="single"/>
        </w:rPr>
        <w:t>（合同工程名称）项目经理委任书</w:t>
      </w:r>
    </w:p>
    <w:p>
      <w:pPr>
        <w:spacing w:line="400" w:lineRule="exact"/>
        <w:rPr>
          <w:rFonts w:cs="Times New Roman"/>
        </w:rPr>
      </w:pPr>
    </w:p>
    <w:p>
      <w:pPr>
        <w:spacing w:line="400" w:lineRule="exact"/>
        <w:rPr>
          <w:rFonts w:cs="Times New Roman"/>
        </w:rPr>
      </w:pPr>
      <w:r>
        <w:rPr>
          <w:rFonts w:hint="eastAsia"/>
        </w:rPr>
        <w:t>致：</w:t>
      </w:r>
      <w:r>
        <w:rPr>
          <w:rFonts w:hint="eastAsia"/>
          <w:u w:val="single"/>
        </w:rPr>
        <w:t>（发包人全称</w:t>
      </w:r>
      <w:r>
        <w:rPr>
          <w:rFonts w:hint="eastAsia"/>
        </w:rPr>
        <w:t>）</w:t>
      </w:r>
    </w:p>
    <w:p>
      <w:pPr>
        <w:spacing w:line="400" w:lineRule="exact"/>
        <w:ind w:firstLine="440" w:firstLineChars="200"/>
        <w:rPr>
          <w:rFonts w:cs="Times New Roman"/>
        </w:rPr>
      </w:pPr>
      <w:r>
        <w:rPr>
          <w:rFonts w:hint="eastAsia"/>
          <w:u w:val="single"/>
        </w:rPr>
        <w:t>（承包人全称）</w:t>
      </w:r>
      <w:r>
        <w:t xml:space="preserve"> </w:t>
      </w:r>
      <w:r>
        <w:rPr>
          <w:rFonts w:hint="eastAsia"/>
        </w:rPr>
        <w:t>法定代表人</w:t>
      </w:r>
      <w:r>
        <w:rPr>
          <w:u w:val="single"/>
        </w:rPr>
        <w:t xml:space="preserve"> </w:t>
      </w:r>
      <w:r>
        <w:rPr>
          <w:rFonts w:hint="eastAsia"/>
          <w:u w:val="single"/>
        </w:rPr>
        <w:t>（职务、姓名）</w:t>
      </w:r>
      <w:r>
        <w:t xml:space="preserve"> </w:t>
      </w:r>
      <w:r>
        <w:rPr>
          <w:rFonts w:hint="eastAsia"/>
        </w:rPr>
        <w:t>代表本单位委任</w:t>
      </w:r>
      <w:r>
        <w:t xml:space="preserve"> </w:t>
      </w:r>
      <w:r>
        <w:rPr>
          <w:rFonts w:hint="eastAsia"/>
          <w:u w:val="single"/>
        </w:rPr>
        <w:t>（职务、姓名）</w:t>
      </w:r>
      <w:r>
        <w:t xml:space="preserve"> </w:t>
      </w:r>
      <w:r>
        <w:rPr>
          <w:rFonts w:hint="eastAsia"/>
        </w:rPr>
        <w:t>为</w:t>
      </w:r>
      <w:r>
        <w:rPr>
          <w:rFonts w:hint="eastAsia"/>
          <w:u w:val="single"/>
        </w:rPr>
        <w:t>（合同工程名称）</w:t>
      </w:r>
      <w:r>
        <w:rPr>
          <w:rFonts w:hint="eastAsia"/>
        </w:rPr>
        <w:t>的项目经理。凡本合同执行中的有关技术、工程进度、现场管理、质量检验、结算与支付等方面工作，由</w:t>
      </w:r>
      <w:r>
        <w:rPr>
          <w:u w:val="single"/>
        </w:rPr>
        <w:t xml:space="preserve"> </w:t>
      </w:r>
      <w:r>
        <w:rPr>
          <w:rFonts w:hint="eastAsia"/>
          <w:u w:val="single"/>
        </w:rPr>
        <w:t>（姓名）</w:t>
      </w:r>
      <w:r>
        <w:rPr>
          <w:u w:val="single"/>
        </w:rPr>
        <w:t xml:space="preserve"> </w:t>
      </w:r>
      <w:r>
        <w:rPr>
          <w:rFonts w:hint="eastAsia"/>
        </w:rPr>
        <w:t>代表本单位全面负责。</w:t>
      </w:r>
    </w:p>
    <w:p>
      <w:pPr>
        <w:spacing w:line="400" w:lineRule="exact"/>
        <w:rPr>
          <w:rFonts w:cs="Times New Roman"/>
        </w:rPr>
      </w:pPr>
    </w:p>
    <w:p>
      <w:pPr>
        <w:wordWrap w:val="0"/>
        <w:spacing w:line="400" w:lineRule="exact"/>
        <w:jc w:val="right"/>
        <w:rPr>
          <w:rFonts w:cs="Times New Roman"/>
        </w:rPr>
      </w:pPr>
      <w:r>
        <w:rPr>
          <w:rFonts w:hint="eastAsia"/>
        </w:rPr>
        <w:t>承包人：（盖单位章）</w:t>
      </w:r>
    </w:p>
    <w:p>
      <w:pPr>
        <w:wordWrap w:val="0"/>
        <w:spacing w:line="400" w:lineRule="exact"/>
        <w:jc w:val="right"/>
        <w:rPr>
          <w:u w:val="single"/>
        </w:rPr>
      </w:pPr>
      <w:r>
        <w:rPr>
          <w:rFonts w:hint="eastAsia"/>
        </w:rPr>
        <w:t>法定代表人：</w:t>
      </w:r>
      <w:r>
        <w:rPr>
          <w:u w:val="single"/>
        </w:rPr>
        <w:t xml:space="preserve">  </w:t>
      </w:r>
      <w:r>
        <w:rPr>
          <w:rFonts w:hint="eastAsia"/>
          <w:u w:val="single"/>
        </w:rPr>
        <w:t>（职务）</w:t>
      </w:r>
      <w:r>
        <w:rPr>
          <w:u w:val="single"/>
        </w:rPr>
        <w:t xml:space="preserve"> </w:t>
      </w:r>
    </w:p>
    <w:p>
      <w:pPr>
        <w:wordWrap w:val="0"/>
        <w:spacing w:line="400" w:lineRule="exact"/>
        <w:ind w:firstLine="1650" w:firstLineChars="750"/>
        <w:jc w:val="right"/>
        <w:rPr>
          <w:u w:val="single"/>
        </w:rPr>
      </w:pPr>
      <w:r>
        <w:rPr>
          <w:u w:val="single"/>
        </w:rPr>
        <w:t xml:space="preserve">  </w:t>
      </w:r>
      <w:r>
        <w:rPr>
          <w:rFonts w:hint="eastAsia"/>
          <w:u w:val="single"/>
        </w:rPr>
        <w:t>（姓名）</w:t>
      </w:r>
      <w:r>
        <w:rPr>
          <w:u w:val="single"/>
        </w:rPr>
        <w:t xml:space="preserve"> </w:t>
      </w:r>
    </w:p>
    <w:p>
      <w:pPr>
        <w:wordWrap w:val="0"/>
        <w:spacing w:line="400" w:lineRule="exact"/>
        <w:ind w:firstLine="1650" w:firstLineChars="750"/>
        <w:jc w:val="right"/>
        <w:rPr>
          <w:u w:val="single"/>
        </w:rPr>
      </w:pPr>
      <w:r>
        <w:rPr>
          <w:u w:val="single"/>
        </w:rPr>
        <w:t xml:space="preserve">  </w:t>
      </w:r>
      <w:r>
        <w:rPr>
          <w:rFonts w:hint="eastAsia"/>
          <w:u w:val="single"/>
        </w:rPr>
        <w:t>（签字）</w:t>
      </w:r>
      <w:r>
        <w:rPr>
          <w:u w:val="single"/>
        </w:rPr>
        <w:t xml:space="preserve"> </w:t>
      </w:r>
    </w:p>
    <w:p>
      <w:pPr>
        <w:spacing w:line="400" w:lineRule="exact"/>
        <w:rPr>
          <w:rFonts w:cs="Times New Roman"/>
        </w:rPr>
      </w:pPr>
    </w:p>
    <w:p>
      <w:pPr>
        <w:wordWrap w:val="0"/>
        <w:spacing w:line="400" w:lineRule="exact"/>
        <w:jc w:val="right"/>
        <w:rPr>
          <w:rFonts w:cs="Times New Roman"/>
        </w:rPr>
      </w:pPr>
      <w:r>
        <w:rPr>
          <w:rFonts w:hint="eastAsia"/>
        </w:rPr>
        <w:t>年月</w:t>
      </w:r>
      <w:r>
        <w:t xml:space="preserve"> </w:t>
      </w:r>
      <w:r>
        <w:rPr>
          <w:rFonts w:hint="eastAsia"/>
        </w:rPr>
        <w:t>日</w:t>
      </w:r>
    </w:p>
    <w:p>
      <w:pPr>
        <w:spacing w:line="400" w:lineRule="exact"/>
        <w:rPr>
          <w:rFonts w:cs="Times New Roman"/>
        </w:rPr>
      </w:pPr>
    </w:p>
    <w:p>
      <w:pPr>
        <w:spacing w:line="400" w:lineRule="exact"/>
        <w:rPr>
          <w:rFonts w:cs="Times New Roman"/>
        </w:rPr>
      </w:pPr>
      <w:r>
        <w:rPr>
          <w:rFonts w:hint="eastAsia"/>
        </w:rPr>
        <w:t>抄送：</w:t>
      </w:r>
      <w:r>
        <w:rPr>
          <w:u w:val="single"/>
        </w:rPr>
        <w:t xml:space="preserve">  </w:t>
      </w:r>
      <w:r>
        <w:rPr>
          <w:rFonts w:hint="eastAsia"/>
          <w:u w:val="single"/>
        </w:rPr>
        <w:t>（监理人）</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Lines="50" w:afterLines="50" w:line="400" w:lineRule="exact"/>
        <w:jc w:val="both"/>
        <w:rPr>
          <w:rFonts w:ascii="黑体" w:eastAsia="黑体" w:cs="Times New Roman"/>
          <w:sz w:val="21"/>
          <w:szCs w:val="21"/>
        </w:rPr>
      </w:pPr>
      <w:bookmarkStart w:id="898" w:name="_Toc309397564"/>
      <w:r>
        <w:rPr>
          <w:rFonts w:ascii="黑体" w:eastAsia="黑体" w:cs="Times New Roman"/>
          <w:sz w:val="21"/>
          <w:szCs w:val="21"/>
        </w:rPr>
        <w:br w:type="page"/>
      </w:r>
      <w:r>
        <w:rPr>
          <w:rFonts w:hint="eastAsia" w:ascii="黑体" w:eastAsia="黑体" w:cs="黑体"/>
          <w:sz w:val="21"/>
          <w:szCs w:val="21"/>
        </w:rPr>
        <w:t>附件七</w:t>
      </w:r>
      <w:r>
        <w:rPr>
          <w:rFonts w:ascii="黑体" w:eastAsia="黑体" w:cs="黑体"/>
          <w:sz w:val="21"/>
          <w:szCs w:val="21"/>
        </w:rPr>
        <w:t xml:space="preserve">   </w:t>
      </w:r>
      <w:r>
        <w:rPr>
          <w:rFonts w:hint="eastAsia" w:ascii="黑体" w:eastAsia="黑体" w:cs="黑体"/>
          <w:sz w:val="21"/>
          <w:szCs w:val="21"/>
        </w:rPr>
        <w:t>履约担保格式</w:t>
      </w:r>
      <w:bookmarkEnd w:id="898"/>
    </w:p>
    <w:p>
      <w:pPr>
        <w:jc w:val="center"/>
        <w:rPr>
          <w:rFonts w:ascii="黑体" w:eastAsia="黑体" w:cs="Times New Roman"/>
          <w:b/>
          <w:bCs/>
          <w:sz w:val="28"/>
          <w:szCs w:val="28"/>
        </w:rPr>
      </w:pPr>
      <w:r>
        <w:rPr>
          <w:rFonts w:hint="eastAsia" w:ascii="黑体" w:eastAsia="黑体" w:cs="黑体"/>
          <w:b/>
          <w:bCs/>
          <w:sz w:val="28"/>
          <w:szCs w:val="28"/>
        </w:rPr>
        <w:t>履</w:t>
      </w:r>
      <w:r>
        <w:rPr>
          <w:rFonts w:ascii="黑体" w:eastAsia="黑体" w:cs="黑体"/>
          <w:b/>
          <w:bCs/>
          <w:sz w:val="28"/>
          <w:szCs w:val="28"/>
        </w:rPr>
        <w:t xml:space="preserve"> </w:t>
      </w:r>
      <w:r>
        <w:rPr>
          <w:rFonts w:hint="eastAsia" w:ascii="黑体" w:eastAsia="黑体" w:cs="黑体"/>
          <w:b/>
          <w:bCs/>
          <w:sz w:val="28"/>
          <w:szCs w:val="28"/>
        </w:rPr>
        <w:t>约</w:t>
      </w:r>
      <w:r>
        <w:rPr>
          <w:rFonts w:ascii="黑体" w:eastAsia="黑体" w:cs="黑体"/>
          <w:b/>
          <w:bCs/>
          <w:sz w:val="28"/>
          <w:szCs w:val="28"/>
        </w:rPr>
        <w:t xml:space="preserve"> </w:t>
      </w:r>
      <w:r>
        <w:rPr>
          <w:rFonts w:hint="eastAsia" w:ascii="黑体" w:eastAsia="黑体" w:cs="黑体"/>
          <w:b/>
          <w:bCs/>
          <w:sz w:val="28"/>
          <w:szCs w:val="28"/>
        </w:rPr>
        <w:t>担</w:t>
      </w:r>
      <w:r>
        <w:rPr>
          <w:rFonts w:ascii="黑体" w:eastAsia="黑体" w:cs="黑体"/>
          <w:b/>
          <w:bCs/>
          <w:sz w:val="28"/>
          <w:szCs w:val="28"/>
        </w:rPr>
        <w:t xml:space="preserve"> </w:t>
      </w:r>
      <w:r>
        <w:rPr>
          <w:rFonts w:hint="eastAsia" w:ascii="黑体" w:eastAsia="黑体" w:cs="黑体"/>
          <w:b/>
          <w:bCs/>
          <w:sz w:val="28"/>
          <w:szCs w:val="28"/>
        </w:rPr>
        <w:t>保</w:t>
      </w:r>
    </w:p>
    <w:p>
      <w:pPr>
        <w:rPr>
          <w:rFonts w:cs="Times New Roman"/>
        </w:rPr>
      </w:pPr>
    </w:p>
    <w:p>
      <w:pPr>
        <w:rPr>
          <w:rFonts w:cs="Times New Roman"/>
        </w:rPr>
      </w:pPr>
      <w:r>
        <w:rPr>
          <w:rFonts w:hint="eastAsia"/>
        </w:rPr>
        <w:t>（发包人名称）：</w:t>
      </w:r>
    </w:p>
    <w:p>
      <w:pPr>
        <w:rPr>
          <w:rFonts w:cs="Times New Roman"/>
        </w:rPr>
      </w:pPr>
    </w:p>
    <w:p>
      <w:pPr>
        <w:spacing w:line="400" w:lineRule="exact"/>
        <w:ind w:firstLine="440" w:firstLineChars="200"/>
        <w:rPr>
          <w:rFonts w:cs="Times New Roman"/>
        </w:rPr>
      </w:pPr>
      <w:r>
        <w:rPr>
          <w:rFonts w:hint="eastAsia"/>
        </w:rPr>
        <w:t>鉴于（发包人名称，以下简称“发包人”）接受（承包人名称）（以下称“承包人”）于年月日参加（项目名称）标段施工的投标。我方愿意无条件地、不可撤销地就承包人履行与你方订立的合同，向你方提供担保。</w:t>
      </w:r>
    </w:p>
    <w:p>
      <w:pPr>
        <w:spacing w:line="400" w:lineRule="exact"/>
        <w:ind w:firstLine="440" w:firstLineChars="200"/>
        <w:rPr>
          <w:rFonts w:cs="Times New Roman"/>
        </w:rPr>
      </w:pPr>
      <w:r>
        <w:t>1.</w:t>
      </w:r>
      <w:r>
        <w:rPr>
          <w:rFonts w:hint="eastAsia"/>
        </w:rPr>
        <w:t>担保金额人民币（大写）元（</w:t>
      </w:r>
      <w:r>
        <w:rPr>
          <w:rFonts w:cs="Times New Roman"/>
        </w:rPr>
        <w:t>¥</w:t>
      </w:r>
      <w:r>
        <w:rPr>
          <w:rFonts w:hint="eastAsia"/>
        </w:rPr>
        <w:t>）。</w:t>
      </w:r>
    </w:p>
    <w:p>
      <w:pPr>
        <w:spacing w:line="400" w:lineRule="exact"/>
        <w:ind w:firstLine="440" w:firstLineChars="200"/>
        <w:rPr>
          <w:rFonts w:cs="Times New Roman"/>
        </w:rPr>
      </w:pPr>
      <w:r>
        <w:t>2.</w:t>
      </w:r>
      <w:r>
        <w:rPr>
          <w:rFonts w:hint="eastAsia"/>
        </w:rPr>
        <w:t>担保有效期自发包人与承包人签订的合同生效之日起至发包人签发工程接收交工验收证书之日止。</w:t>
      </w:r>
    </w:p>
    <w:p>
      <w:pPr>
        <w:spacing w:line="400" w:lineRule="exact"/>
        <w:ind w:firstLine="440" w:firstLineChars="200"/>
        <w:rPr>
          <w:rFonts w:cs="Times New Roman"/>
        </w:rPr>
      </w:pPr>
      <w:r>
        <w:t>3.</w:t>
      </w:r>
      <w:r>
        <w:rPr>
          <w:rFonts w:hint="eastAsia"/>
        </w:rPr>
        <w:t>在本担保有效期内，因承包人违反合同约定的义务给你方造成经济损失时，我方在收到你方以书面形式提出的在担保金额内的赔偿要求后，在</w:t>
      </w:r>
      <w:r>
        <w:t>7</w:t>
      </w:r>
      <w:r>
        <w:rPr>
          <w:rFonts w:hint="eastAsia"/>
        </w:rPr>
        <w:t>天内无条件支付，无须你方出具证明或陈述理由。</w:t>
      </w:r>
    </w:p>
    <w:p>
      <w:pPr>
        <w:spacing w:line="400" w:lineRule="exact"/>
        <w:ind w:firstLine="440" w:firstLineChars="200"/>
        <w:rPr>
          <w:rFonts w:cs="Times New Roman"/>
        </w:rPr>
      </w:pPr>
      <w:r>
        <w:t>4.</w:t>
      </w:r>
      <w:r>
        <w:rPr>
          <w:rFonts w:hint="eastAsia"/>
        </w:rPr>
        <w:t>发包人和承包人按合同条款第</w:t>
      </w:r>
      <w:r>
        <w:t>15</w:t>
      </w:r>
      <w:r>
        <w:rPr>
          <w:rFonts w:hint="eastAsia"/>
        </w:rPr>
        <w:t>条变更合同时，我方承担本担保规定的义务不变。</w:t>
      </w:r>
    </w:p>
    <w:p>
      <w:pPr>
        <w:rPr>
          <w:rFonts w:cs="Times New Roman"/>
        </w:rPr>
      </w:pPr>
    </w:p>
    <w:p>
      <w:pPr>
        <w:rPr>
          <w:rFonts w:cs="Times New Roman"/>
        </w:rPr>
      </w:pPr>
    </w:p>
    <w:p>
      <w:pPr>
        <w:rPr>
          <w:rFonts w:cs="Times New Roman"/>
        </w:rPr>
      </w:pPr>
    </w:p>
    <w:p>
      <w:pPr>
        <w:rPr>
          <w:rFonts w:cs="Times New Roman"/>
        </w:rPr>
      </w:pPr>
    </w:p>
    <w:p>
      <w:pPr>
        <w:spacing w:line="440" w:lineRule="exact"/>
        <w:rPr>
          <w:rFonts w:cs="Times New Roman"/>
        </w:rPr>
      </w:pPr>
      <w:r>
        <w:rPr>
          <w:rFonts w:hint="eastAsia"/>
        </w:rPr>
        <w:t>担保人：（盖单位章）</w:t>
      </w:r>
    </w:p>
    <w:p>
      <w:pPr>
        <w:spacing w:line="440" w:lineRule="exact"/>
        <w:rPr>
          <w:rFonts w:cs="Times New Roman"/>
        </w:rPr>
      </w:pPr>
      <w:r>
        <w:rPr>
          <w:rFonts w:hint="eastAsia"/>
        </w:rPr>
        <w:t>法定代表人或其委托代理人：（签字）</w:t>
      </w:r>
    </w:p>
    <w:p>
      <w:pPr>
        <w:spacing w:line="440" w:lineRule="exact"/>
        <w:rPr>
          <w:rFonts w:cs="Times New Roman"/>
        </w:rPr>
      </w:pPr>
      <w:r>
        <w:rPr>
          <w:rFonts w:hint="eastAsia"/>
        </w:rPr>
        <w:t>地址：</w:t>
      </w:r>
    </w:p>
    <w:p>
      <w:pPr>
        <w:spacing w:line="440" w:lineRule="exact"/>
        <w:rPr>
          <w:rFonts w:cs="Times New Roman"/>
        </w:rPr>
      </w:pPr>
      <w:r>
        <w:rPr>
          <w:rFonts w:hint="eastAsia"/>
        </w:rPr>
        <w:t>邮政编码：</w:t>
      </w:r>
    </w:p>
    <w:p>
      <w:pPr>
        <w:spacing w:line="440" w:lineRule="exact"/>
        <w:rPr>
          <w:rFonts w:cs="Times New Roman"/>
        </w:rPr>
      </w:pPr>
      <w:r>
        <w:rPr>
          <w:rFonts w:hint="eastAsia"/>
        </w:rPr>
        <w:t>电话：</w:t>
      </w:r>
    </w:p>
    <w:p>
      <w:pPr>
        <w:spacing w:line="440" w:lineRule="exact"/>
        <w:rPr>
          <w:rFonts w:cs="Times New Roman"/>
        </w:rPr>
      </w:pPr>
      <w:r>
        <w:rPr>
          <w:rFonts w:hint="eastAsia"/>
        </w:rPr>
        <w:t>传真：</w:t>
      </w:r>
    </w:p>
    <w:p>
      <w:pPr>
        <w:rPr>
          <w:rFonts w:cs="Times New Roman"/>
        </w:rPr>
      </w:pPr>
    </w:p>
    <w:p>
      <w:pPr>
        <w:rPr>
          <w:rFonts w:cs="Times New Roman"/>
        </w:rPr>
      </w:pPr>
    </w:p>
    <w:p>
      <w:pPr>
        <w:rPr>
          <w:rFonts w:cs="Times New Roman"/>
        </w:rPr>
      </w:pPr>
      <w:r>
        <w:rPr>
          <w:rFonts w:hint="eastAsia"/>
        </w:rPr>
        <w:t>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Lines="50" w:afterLines="50" w:line="400" w:lineRule="exact"/>
        <w:jc w:val="both"/>
        <w:rPr>
          <w:rFonts w:ascii="黑体" w:eastAsia="黑体" w:cs="Times New Roman"/>
          <w:sz w:val="21"/>
          <w:szCs w:val="21"/>
        </w:rPr>
      </w:pPr>
      <w:bookmarkStart w:id="899" w:name="_Toc309397565"/>
      <w:r>
        <w:rPr>
          <w:rFonts w:ascii="黑体" w:eastAsia="黑体" w:cs="Times New Roman"/>
          <w:sz w:val="21"/>
          <w:szCs w:val="21"/>
        </w:rPr>
        <w:br w:type="page"/>
      </w:r>
      <w:r>
        <w:rPr>
          <w:rFonts w:hint="eastAsia" w:ascii="黑体" w:eastAsia="黑体" w:cs="黑体"/>
          <w:sz w:val="21"/>
          <w:szCs w:val="21"/>
        </w:rPr>
        <w:t>附件八</w:t>
      </w:r>
      <w:r>
        <w:rPr>
          <w:rFonts w:ascii="黑体" w:eastAsia="黑体" w:cs="黑体"/>
          <w:sz w:val="21"/>
          <w:szCs w:val="21"/>
        </w:rPr>
        <w:t xml:space="preserve">   </w:t>
      </w:r>
      <w:r>
        <w:rPr>
          <w:rFonts w:hint="eastAsia" w:ascii="黑体" w:eastAsia="黑体" w:cs="黑体"/>
          <w:sz w:val="21"/>
          <w:szCs w:val="21"/>
        </w:rPr>
        <w:t>预付款担保格式</w:t>
      </w:r>
      <w:bookmarkEnd w:id="899"/>
    </w:p>
    <w:p>
      <w:pPr>
        <w:rPr>
          <w:rFonts w:cs="Times New Roman"/>
        </w:rPr>
      </w:pPr>
    </w:p>
    <w:p>
      <w:pPr>
        <w:jc w:val="center"/>
        <w:rPr>
          <w:rFonts w:ascii="黑体" w:eastAsia="黑体" w:cs="Times New Roman"/>
          <w:b/>
          <w:bCs/>
          <w:sz w:val="28"/>
          <w:szCs w:val="28"/>
        </w:rPr>
      </w:pPr>
      <w:r>
        <w:rPr>
          <w:rFonts w:hint="eastAsia" w:ascii="黑体" w:eastAsia="黑体" w:cs="黑体"/>
          <w:b/>
          <w:bCs/>
          <w:sz w:val="28"/>
          <w:szCs w:val="28"/>
        </w:rPr>
        <w:t>预</w:t>
      </w:r>
      <w:r>
        <w:rPr>
          <w:rFonts w:ascii="黑体" w:eastAsia="黑体" w:cs="黑体"/>
          <w:b/>
          <w:bCs/>
          <w:sz w:val="28"/>
          <w:szCs w:val="28"/>
        </w:rPr>
        <w:t xml:space="preserve"> </w:t>
      </w:r>
      <w:r>
        <w:rPr>
          <w:rFonts w:hint="eastAsia" w:ascii="黑体" w:eastAsia="黑体" w:cs="黑体"/>
          <w:b/>
          <w:bCs/>
          <w:sz w:val="28"/>
          <w:szCs w:val="28"/>
        </w:rPr>
        <w:t>付</w:t>
      </w:r>
      <w:r>
        <w:rPr>
          <w:rFonts w:ascii="黑体" w:eastAsia="黑体" w:cs="黑体"/>
          <w:b/>
          <w:bCs/>
          <w:sz w:val="28"/>
          <w:szCs w:val="28"/>
        </w:rPr>
        <w:t xml:space="preserve"> </w:t>
      </w:r>
      <w:r>
        <w:rPr>
          <w:rFonts w:hint="eastAsia" w:ascii="黑体" w:eastAsia="黑体" w:cs="黑体"/>
          <w:b/>
          <w:bCs/>
          <w:sz w:val="28"/>
          <w:szCs w:val="28"/>
        </w:rPr>
        <w:t>款</w:t>
      </w:r>
      <w:r>
        <w:rPr>
          <w:rFonts w:ascii="黑体" w:eastAsia="黑体" w:cs="黑体"/>
          <w:b/>
          <w:bCs/>
          <w:sz w:val="28"/>
          <w:szCs w:val="28"/>
        </w:rPr>
        <w:t xml:space="preserve"> </w:t>
      </w:r>
      <w:r>
        <w:rPr>
          <w:rFonts w:hint="eastAsia" w:ascii="黑体" w:eastAsia="黑体" w:cs="黑体"/>
          <w:b/>
          <w:bCs/>
          <w:sz w:val="28"/>
          <w:szCs w:val="28"/>
        </w:rPr>
        <w:t>担</w:t>
      </w:r>
      <w:r>
        <w:rPr>
          <w:rFonts w:ascii="黑体" w:eastAsia="黑体" w:cs="黑体"/>
          <w:b/>
          <w:bCs/>
          <w:sz w:val="28"/>
          <w:szCs w:val="28"/>
        </w:rPr>
        <w:t xml:space="preserve"> </w:t>
      </w:r>
      <w:r>
        <w:rPr>
          <w:rFonts w:hint="eastAsia" w:ascii="黑体" w:eastAsia="黑体" w:cs="黑体"/>
          <w:b/>
          <w:bCs/>
          <w:sz w:val="28"/>
          <w:szCs w:val="28"/>
        </w:rPr>
        <w:t>保</w:t>
      </w:r>
    </w:p>
    <w:p>
      <w:pPr>
        <w:rPr>
          <w:rFonts w:cs="Times New Roman"/>
        </w:rPr>
      </w:pPr>
    </w:p>
    <w:p>
      <w:pPr>
        <w:rPr>
          <w:rFonts w:cs="Times New Roman"/>
        </w:rPr>
      </w:pPr>
      <w:r>
        <w:rPr>
          <w:rFonts w:hint="eastAsia"/>
        </w:rPr>
        <w:t>（发包人名称）：</w:t>
      </w:r>
    </w:p>
    <w:p>
      <w:pPr>
        <w:rPr>
          <w:rFonts w:cs="Times New Roman"/>
        </w:rPr>
      </w:pPr>
    </w:p>
    <w:p>
      <w:pPr>
        <w:spacing w:line="400" w:lineRule="exact"/>
        <w:ind w:firstLine="440" w:firstLineChars="200"/>
        <w:rPr>
          <w:rFonts w:cs="Times New Roman"/>
        </w:rPr>
      </w:pPr>
      <w:r>
        <w:rPr>
          <w:rFonts w:hint="eastAsia"/>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spacing w:line="400" w:lineRule="exact"/>
        <w:ind w:firstLine="440" w:firstLineChars="200"/>
        <w:rPr>
          <w:rFonts w:cs="Times New Roman"/>
        </w:rPr>
      </w:pPr>
      <w:r>
        <w:t>1.</w:t>
      </w:r>
      <w:r>
        <w:rPr>
          <w:rFonts w:hint="eastAsia"/>
        </w:rPr>
        <w:t>担保金额人民币（大写）元（</w:t>
      </w:r>
      <w:r>
        <w:rPr>
          <w:rFonts w:cs="Times New Roman"/>
        </w:rPr>
        <w:t>¥</w:t>
      </w:r>
      <w:r>
        <w:rPr>
          <w:rFonts w:hint="eastAsia"/>
        </w:rPr>
        <w:t>）。</w:t>
      </w:r>
    </w:p>
    <w:p>
      <w:pPr>
        <w:spacing w:line="400" w:lineRule="exact"/>
        <w:ind w:firstLine="440" w:firstLineChars="200"/>
        <w:rPr>
          <w:rFonts w:cs="Times New Roman"/>
        </w:rPr>
      </w:pPr>
      <w:r>
        <w:t>2.</w:t>
      </w:r>
      <w:r>
        <w:rPr>
          <w:rFonts w:hint="eastAsia"/>
        </w:rPr>
        <w:t>担保有效期自预付款支付给承包人起生效，至发包人签发的进度付款证书说明已完全扣清止。</w:t>
      </w:r>
    </w:p>
    <w:p>
      <w:pPr>
        <w:spacing w:line="400" w:lineRule="exact"/>
        <w:ind w:firstLine="440" w:firstLineChars="200"/>
        <w:rPr>
          <w:rFonts w:cs="Times New Roman"/>
        </w:rPr>
      </w:pPr>
      <w:r>
        <w:t>3.</w:t>
      </w:r>
      <w:r>
        <w:rPr>
          <w:rFonts w:hint="eastAsia"/>
        </w:rPr>
        <w:t>在本保函有效期内，因承包人违反合同约定的义务而要求收回预付款时，我方在收到你方的书面通知后，在</w:t>
      </w:r>
      <w:r>
        <w:t>7</w:t>
      </w:r>
      <w:r>
        <w:rPr>
          <w:rFonts w:hint="eastAsia"/>
        </w:rPr>
        <w:t>天内无条件支付，无须你方出具证明或陈述理由。但本保函的担保金额，在任何时候不应超过预付款金额减去发包人按合同约定在向承包人签发的进度付款证书中扣除的金额。</w:t>
      </w:r>
    </w:p>
    <w:p>
      <w:pPr>
        <w:spacing w:line="400" w:lineRule="exact"/>
        <w:ind w:firstLine="440" w:firstLineChars="200"/>
        <w:rPr>
          <w:rFonts w:cs="Times New Roman"/>
        </w:rPr>
      </w:pPr>
      <w:r>
        <w:t>4.</w:t>
      </w:r>
      <w:r>
        <w:rPr>
          <w:rFonts w:hint="eastAsia"/>
        </w:rPr>
        <w:t>发包人和承包人按合同条款第</w:t>
      </w:r>
      <w:r>
        <w:t xml:space="preserve"> 15 </w:t>
      </w:r>
      <w:r>
        <w:rPr>
          <w:rFonts w:hint="eastAsia"/>
        </w:rPr>
        <w:t>条变更合同时，我方承担本保函规定的义务不变。</w:t>
      </w:r>
    </w:p>
    <w:p>
      <w:pPr>
        <w:rPr>
          <w:rFonts w:cs="Times New Roman"/>
        </w:rPr>
      </w:pPr>
    </w:p>
    <w:p>
      <w:pPr>
        <w:rPr>
          <w:rFonts w:cs="Times New Roman"/>
        </w:rPr>
      </w:pPr>
    </w:p>
    <w:p>
      <w:pPr>
        <w:rPr>
          <w:rFonts w:cs="Times New Roman"/>
        </w:rPr>
      </w:pPr>
    </w:p>
    <w:p>
      <w:pPr>
        <w:spacing w:line="440" w:lineRule="exact"/>
        <w:rPr>
          <w:rFonts w:cs="Times New Roman"/>
        </w:rPr>
      </w:pPr>
      <w:r>
        <w:rPr>
          <w:rFonts w:hint="eastAsia"/>
        </w:rPr>
        <w:t>担保人：（盖单位章）</w:t>
      </w:r>
    </w:p>
    <w:p>
      <w:pPr>
        <w:spacing w:line="440" w:lineRule="exact"/>
        <w:rPr>
          <w:rFonts w:cs="Times New Roman"/>
        </w:rPr>
      </w:pPr>
      <w:r>
        <w:rPr>
          <w:rFonts w:hint="eastAsia"/>
        </w:rPr>
        <w:t>法定代表人或其委托代理人：（签字）</w:t>
      </w:r>
    </w:p>
    <w:p>
      <w:pPr>
        <w:spacing w:line="440" w:lineRule="exact"/>
        <w:rPr>
          <w:rFonts w:cs="Times New Roman"/>
        </w:rPr>
      </w:pPr>
      <w:r>
        <w:rPr>
          <w:rFonts w:hint="eastAsia"/>
        </w:rPr>
        <w:t>地址：</w:t>
      </w:r>
    </w:p>
    <w:p>
      <w:pPr>
        <w:spacing w:line="440" w:lineRule="exact"/>
        <w:rPr>
          <w:rFonts w:cs="Times New Roman"/>
        </w:rPr>
      </w:pPr>
      <w:r>
        <w:rPr>
          <w:rFonts w:hint="eastAsia"/>
        </w:rPr>
        <w:t>邮政编码：</w:t>
      </w:r>
    </w:p>
    <w:p>
      <w:pPr>
        <w:spacing w:line="440" w:lineRule="exact"/>
        <w:rPr>
          <w:rFonts w:cs="Times New Roman"/>
        </w:rPr>
      </w:pPr>
      <w:r>
        <w:rPr>
          <w:rFonts w:hint="eastAsia"/>
        </w:rPr>
        <w:t>电话：</w:t>
      </w:r>
    </w:p>
    <w:p>
      <w:pPr>
        <w:spacing w:line="440" w:lineRule="exact"/>
        <w:rPr>
          <w:rFonts w:cs="Times New Roman"/>
        </w:rPr>
      </w:pPr>
      <w:r>
        <w:rPr>
          <w:rFonts w:hint="eastAsia"/>
        </w:rPr>
        <w:t>传真：</w:t>
      </w:r>
    </w:p>
    <w:p>
      <w:pPr>
        <w:rPr>
          <w:rFonts w:cs="Times New Roman"/>
        </w:rPr>
      </w:pPr>
    </w:p>
    <w:p>
      <w:pPr>
        <w:rPr>
          <w:rFonts w:cs="Times New Roman"/>
        </w:rPr>
      </w:pPr>
      <w:r>
        <w:rPr>
          <w:rFonts w:hint="eastAsia"/>
        </w:rPr>
        <w:t>年月日</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Lines="50" w:afterLines="50" w:line="400" w:lineRule="exact"/>
        <w:jc w:val="both"/>
        <w:rPr>
          <w:rFonts w:ascii="黑体" w:eastAsia="黑体" w:cs="Times New Roman"/>
          <w:sz w:val="21"/>
          <w:szCs w:val="21"/>
        </w:rPr>
      </w:pPr>
      <w:bookmarkStart w:id="900" w:name="_Toc309397566"/>
      <w:r>
        <w:rPr>
          <w:rFonts w:ascii="黑体" w:eastAsia="黑体" w:cs="Times New Roman"/>
          <w:sz w:val="21"/>
          <w:szCs w:val="21"/>
        </w:rPr>
        <w:br w:type="page"/>
      </w:r>
      <w:r>
        <w:rPr>
          <w:rFonts w:hint="eastAsia" w:ascii="黑体" w:eastAsia="黑体" w:cs="黑体"/>
          <w:sz w:val="21"/>
          <w:szCs w:val="21"/>
        </w:rPr>
        <w:t>附件九</w:t>
      </w:r>
      <w:r>
        <w:rPr>
          <w:rFonts w:ascii="黑体" w:eastAsia="黑体" w:cs="黑体"/>
          <w:sz w:val="21"/>
          <w:szCs w:val="21"/>
        </w:rPr>
        <w:t xml:space="preserve">   </w:t>
      </w:r>
      <w:r>
        <w:rPr>
          <w:rFonts w:hint="eastAsia" w:ascii="黑体" w:eastAsia="黑体" w:cs="黑体"/>
          <w:sz w:val="21"/>
          <w:szCs w:val="21"/>
        </w:rPr>
        <w:t>工程资金监管协议格式</w:t>
      </w:r>
      <w:bookmarkEnd w:id="900"/>
    </w:p>
    <w:p>
      <w:pPr>
        <w:ind w:firstLine="440" w:firstLineChars="200"/>
        <w:rPr>
          <w:rFonts w:cs="Times New Roman"/>
        </w:rPr>
      </w:pPr>
      <w:r>
        <w:rPr>
          <w:rFonts w:hint="eastAsia"/>
        </w:rPr>
        <w:t>（发包人与承包人签订合同协议书时应与发包人制订的银行签署工程资金监管协议，工程资金监管协议内容在保证本项目资金有效监管的前提下由三方共同商定）</w:t>
      </w:r>
    </w:p>
    <w:p>
      <w:pPr>
        <w:spacing w:before="240" w:after="240"/>
        <w:jc w:val="center"/>
        <w:rPr>
          <w:rFonts w:ascii="黑体" w:eastAsia="黑体" w:cs="Times New Roman"/>
          <w:b/>
          <w:bCs/>
          <w:sz w:val="28"/>
          <w:szCs w:val="28"/>
        </w:rPr>
      </w:pPr>
      <w:r>
        <w:rPr>
          <w:rFonts w:hint="eastAsia" w:ascii="黑体" w:eastAsia="黑体" w:cs="黑体"/>
          <w:b/>
          <w:bCs/>
          <w:sz w:val="28"/>
          <w:szCs w:val="28"/>
        </w:rPr>
        <w:t>工程资金监管协议</w:t>
      </w:r>
    </w:p>
    <w:p>
      <w:pPr>
        <w:rPr>
          <w:rFonts w:cs="Times New Roman"/>
        </w:rPr>
      </w:pPr>
      <w:r>
        <w:rPr>
          <w:rFonts w:hint="eastAsia"/>
        </w:rPr>
        <w:t>发</w:t>
      </w:r>
      <w:r>
        <w:t xml:space="preserve"> </w:t>
      </w:r>
      <w:r>
        <w:rPr>
          <w:rFonts w:hint="eastAsia"/>
        </w:rPr>
        <w:t>包</w:t>
      </w:r>
      <w:r>
        <w:t xml:space="preserve"> </w:t>
      </w:r>
      <w:r>
        <w:rPr>
          <w:rFonts w:hint="eastAsia"/>
        </w:rPr>
        <w:t>人：（以下简称“甲方”）</w:t>
      </w:r>
    </w:p>
    <w:p>
      <w:pPr>
        <w:rPr>
          <w:rFonts w:cs="Times New Roman"/>
        </w:rPr>
      </w:pPr>
      <w:r>
        <w:rPr>
          <w:rFonts w:hint="eastAsia"/>
        </w:rPr>
        <w:t>承</w:t>
      </w:r>
      <w:r>
        <w:t xml:space="preserve"> </w:t>
      </w:r>
      <w:r>
        <w:rPr>
          <w:rFonts w:hint="eastAsia"/>
        </w:rPr>
        <w:t>包</w:t>
      </w:r>
      <w:r>
        <w:t xml:space="preserve"> </w:t>
      </w:r>
      <w:r>
        <w:rPr>
          <w:rFonts w:hint="eastAsia"/>
        </w:rPr>
        <w:t>人：（以下简称“乙方”）</w:t>
      </w:r>
    </w:p>
    <w:p>
      <w:pPr>
        <w:rPr>
          <w:rFonts w:cs="Times New Roman"/>
        </w:rPr>
      </w:pPr>
      <w:r>
        <w:rPr>
          <w:rFonts w:hint="eastAsia"/>
        </w:rPr>
        <w:t>经办银行：（以下简称“丙方”）</w:t>
      </w:r>
    </w:p>
    <w:p>
      <w:pPr>
        <w:rPr>
          <w:rFonts w:cs="Times New Roman"/>
        </w:rPr>
      </w:pPr>
    </w:p>
    <w:p>
      <w:pPr>
        <w:spacing w:line="400" w:lineRule="exact"/>
        <w:ind w:firstLine="440" w:firstLineChars="200"/>
        <w:rPr>
          <w:rFonts w:cs="Times New Roman"/>
        </w:rPr>
      </w:pPr>
      <w:r>
        <w:rPr>
          <w:rFonts w:hint="eastAsia"/>
        </w:rPr>
        <w:t>为了促进（项目名称）的顺利实施，管好用好建设资金，确保工程资金专款专用，同时为承包人提供便捷有效的银行业务服务，根据（项目名称）合同条款有关规定，经甲、乙、丙三方协商，达成协议如下：</w:t>
      </w:r>
    </w:p>
    <w:p>
      <w:pPr>
        <w:spacing w:line="400" w:lineRule="exact"/>
        <w:ind w:firstLine="440" w:firstLineChars="200"/>
        <w:rPr>
          <w:rFonts w:cs="Times New Roman"/>
        </w:rPr>
      </w:pPr>
      <w:r>
        <w:t>1.</w:t>
      </w:r>
      <w:r>
        <w:rPr>
          <w:rFonts w:hint="eastAsia"/>
        </w:rPr>
        <w:t>资金管理的内容</w:t>
      </w:r>
    </w:p>
    <w:p>
      <w:pPr>
        <w:spacing w:line="400" w:lineRule="exact"/>
        <w:ind w:firstLine="440" w:firstLineChars="200"/>
        <w:rPr>
          <w:rFonts w:cs="Times New Roman"/>
        </w:rPr>
      </w:pPr>
      <w:r>
        <w:rPr>
          <w:rFonts w:hint="eastAsia"/>
        </w:rPr>
        <w:t>（</w:t>
      </w:r>
      <w:r>
        <w:t>1</w:t>
      </w:r>
      <w:r>
        <w:rPr>
          <w:rFonts w:hint="eastAsia"/>
        </w:rPr>
        <w:t>）乙方为完成（项目名称）工程成立的项目经理部在丙方开设基本结算户；</w:t>
      </w:r>
    </w:p>
    <w:p>
      <w:pPr>
        <w:spacing w:line="400" w:lineRule="exact"/>
        <w:ind w:firstLine="440" w:firstLineChars="200"/>
        <w:rPr>
          <w:rFonts w:cs="Times New Roman"/>
        </w:rPr>
      </w:pPr>
      <w:r>
        <w:rPr>
          <w:rFonts w:hint="eastAsia"/>
        </w:rPr>
        <w:t>（</w:t>
      </w:r>
      <w:r>
        <w:t>2</w:t>
      </w:r>
      <w:r>
        <w:rPr>
          <w:rFonts w:hint="eastAsia"/>
        </w:rPr>
        <w:t>）甲方应将按合同规定将工程款（质量保证金除外）汇入乙方在丙方开设的账户；</w:t>
      </w:r>
    </w:p>
    <w:p>
      <w:pPr>
        <w:spacing w:line="400" w:lineRule="exact"/>
        <w:ind w:firstLine="440" w:firstLineChars="200"/>
        <w:rPr>
          <w:rFonts w:cs="Times New Roman"/>
        </w:rPr>
      </w:pPr>
      <w:r>
        <w:rPr>
          <w:rFonts w:hint="eastAsia"/>
        </w:rPr>
        <w:t>（</w:t>
      </w:r>
      <w:r>
        <w:t>3</w:t>
      </w:r>
      <w:r>
        <w:rPr>
          <w:rFonts w:hint="eastAsia"/>
        </w:rPr>
        <w:t>）乙方应将流动资金及甲方所拨付资金专项用于（项目名称）；</w:t>
      </w:r>
    </w:p>
    <w:p>
      <w:pPr>
        <w:spacing w:line="400" w:lineRule="exact"/>
        <w:ind w:firstLine="440" w:firstLineChars="200"/>
        <w:rPr>
          <w:rFonts w:cs="Times New Roman"/>
        </w:rPr>
      </w:pPr>
      <w:r>
        <w:rPr>
          <w:rFonts w:hint="eastAsia"/>
        </w:rPr>
        <w:t>（</w:t>
      </w:r>
      <w:r>
        <w:t>4</w:t>
      </w:r>
      <w:r>
        <w:rPr>
          <w:rFonts w:hint="eastAsia"/>
        </w:rPr>
        <w:t>）丙方应为乙方提供便捷有效的银行业务服务，并接受甲方委托对乙方在丙方开设的基本结算户资金使用情况进行监督。</w:t>
      </w:r>
    </w:p>
    <w:p>
      <w:pPr>
        <w:spacing w:line="400" w:lineRule="exact"/>
        <w:ind w:firstLine="440" w:firstLineChars="200"/>
        <w:rPr>
          <w:rFonts w:cs="Times New Roman"/>
        </w:rPr>
      </w:pPr>
      <w:r>
        <w:t>2.</w:t>
      </w:r>
      <w:r>
        <w:rPr>
          <w:rFonts w:hint="eastAsia"/>
        </w:rPr>
        <w:t>甲方的权责</w:t>
      </w:r>
    </w:p>
    <w:p>
      <w:pPr>
        <w:spacing w:line="400" w:lineRule="exact"/>
        <w:ind w:firstLine="440" w:firstLineChars="200"/>
        <w:rPr>
          <w:rFonts w:cs="Times New Roman"/>
        </w:rPr>
      </w:pPr>
      <w:r>
        <w:rPr>
          <w:rFonts w:hint="eastAsia"/>
        </w:rPr>
        <w:t>（</w:t>
      </w:r>
      <w:r>
        <w:t>1</w:t>
      </w:r>
      <w:r>
        <w:rPr>
          <w:rFonts w:hint="eastAsia"/>
        </w:rPr>
        <w:t>）按照（项目名称）合同有关条款规定的时间和方式，向乙方支付工程款；</w:t>
      </w:r>
    </w:p>
    <w:p>
      <w:pPr>
        <w:spacing w:line="400" w:lineRule="exact"/>
        <w:ind w:firstLine="440" w:firstLineChars="200"/>
        <w:rPr>
          <w:rFonts w:cs="Times New Roman"/>
        </w:rPr>
      </w:pPr>
      <w:r>
        <w:rPr>
          <w:rFonts w:hint="eastAsia"/>
        </w:rPr>
        <w:t>（</w:t>
      </w:r>
      <w:r>
        <w:t>2</w:t>
      </w:r>
      <w:r>
        <w:rPr>
          <w:rFonts w:hint="eastAsia"/>
        </w:rPr>
        <w:t>）在发现乙方将本项目资金挪用、转移时，甲方有权中止工程支付，直至乙方改正为止；</w:t>
      </w:r>
    </w:p>
    <w:p>
      <w:pPr>
        <w:spacing w:line="400" w:lineRule="exact"/>
        <w:ind w:firstLine="440" w:firstLineChars="200"/>
        <w:rPr>
          <w:rFonts w:cs="Times New Roman"/>
        </w:rPr>
      </w:pPr>
      <w:r>
        <w:rPr>
          <w:rFonts w:hint="eastAsia"/>
        </w:rPr>
        <w:t>（</w:t>
      </w:r>
      <w:r>
        <w:t>3</w:t>
      </w:r>
      <w:r>
        <w:rPr>
          <w:rFonts w:hint="eastAsia"/>
        </w:rPr>
        <w:t>）不定期审查丙方对乙方的资金使用监督情况，如丙方不能履行其责任，甲方有权随时终止本协议；</w:t>
      </w:r>
    </w:p>
    <w:p>
      <w:pPr>
        <w:spacing w:line="400" w:lineRule="exact"/>
        <w:ind w:firstLine="440" w:firstLineChars="200"/>
        <w:rPr>
          <w:rFonts w:cs="Times New Roman"/>
        </w:rPr>
      </w:pPr>
      <w:r>
        <w:rPr>
          <w:rFonts w:hint="eastAsia"/>
        </w:rPr>
        <w:t>（</w:t>
      </w:r>
      <w:r>
        <w:t>4</w:t>
      </w:r>
      <w:r>
        <w:rPr>
          <w:rFonts w:hint="eastAsia"/>
        </w:rPr>
        <w:t>）在乙、丙双方发生争议时，甲方应负责协调、解决。</w:t>
      </w:r>
    </w:p>
    <w:p>
      <w:pPr>
        <w:spacing w:line="400" w:lineRule="exact"/>
        <w:ind w:firstLine="440" w:firstLineChars="200"/>
        <w:rPr>
          <w:rFonts w:cs="Times New Roman"/>
        </w:rPr>
      </w:pPr>
      <w:r>
        <w:t>3.</w:t>
      </w:r>
      <w:r>
        <w:rPr>
          <w:rFonts w:hint="eastAsia"/>
        </w:rPr>
        <w:t>乙方的权责</w:t>
      </w:r>
    </w:p>
    <w:p>
      <w:pPr>
        <w:spacing w:line="400" w:lineRule="exact"/>
        <w:ind w:firstLine="440" w:firstLineChars="200"/>
        <w:rPr>
          <w:rFonts w:cs="Times New Roman"/>
        </w:rPr>
      </w:pPr>
      <w:r>
        <w:rPr>
          <w:rFonts w:hint="eastAsia"/>
        </w:rPr>
        <w:t>（</w:t>
      </w:r>
      <w:r>
        <w:t>1</w:t>
      </w:r>
      <w:r>
        <w:rPr>
          <w:rFonts w:hint="eastAsia"/>
        </w:rPr>
        <w:t>）项目经理部成立以后，乙方应尽快在丙方开设基本结算户；</w:t>
      </w:r>
    </w:p>
    <w:p>
      <w:pPr>
        <w:spacing w:line="400" w:lineRule="exact"/>
        <w:ind w:firstLine="440" w:firstLineChars="200"/>
        <w:rPr>
          <w:rFonts w:cs="Times New Roman"/>
        </w:rPr>
      </w:pPr>
      <w:r>
        <w:rPr>
          <w:rFonts w:hint="eastAsia"/>
        </w:rPr>
        <w:t>（</w:t>
      </w:r>
      <w:r>
        <w:t>2</w:t>
      </w:r>
      <w:r>
        <w:rPr>
          <w:rFonts w:hint="eastAsia"/>
        </w:rPr>
        <w:t>）确保本项目资金专款专用，不发生挪用、转移资金的现象；保证不通过权益转让、抵押、担保承担债务等任何其他方式使用基本结算户的资金；</w:t>
      </w:r>
    </w:p>
    <w:p>
      <w:pPr>
        <w:spacing w:line="400" w:lineRule="exact"/>
        <w:ind w:firstLine="440" w:firstLineChars="200"/>
        <w:rPr>
          <w:rFonts w:cs="Times New Roman"/>
        </w:rPr>
      </w:pPr>
      <w:r>
        <w:rPr>
          <w:rFonts w:hint="eastAsia"/>
        </w:rPr>
        <w:t>（</w:t>
      </w:r>
      <w:r>
        <w:t>3</w:t>
      </w:r>
      <w:r>
        <w:rPr>
          <w:rFonts w:hint="eastAsia"/>
        </w:rPr>
        <w:t>）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spacing w:line="400" w:lineRule="exact"/>
        <w:ind w:firstLine="440" w:firstLineChars="200"/>
        <w:rPr>
          <w:rFonts w:cs="Times New Roman"/>
        </w:rPr>
      </w:pPr>
      <w:r>
        <w:rPr>
          <w:rFonts w:hint="eastAsia"/>
        </w:rPr>
        <w:t>（</w:t>
      </w:r>
      <w:r>
        <w:t>4</w:t>
      </w:r>
      <w:r>
        <w:rPr>
          <w:rFonts w:hint="eastAsia"/>
        </w:rPr>
        <w:t>）用银行转账支票办理支付款项时，必须将转账支票送交丙方，由丙方负责办理支票转付手续；</w:t>
      </w:r>
    </w:p>
    <w:p>
      <w:pPr>
        <w:spacing w:line="400" w:lineRule="exact"/>
        <w:ind w:firstLine="440" w:firstLineChars="200"/>
        <w:rPr>
          <w:rFonts w:cs="Times New Roman"/>
        </w:rPr>
      </w:pPr>
      <w:r>
        <w:rPr>
          <w:rFonts w:hint="eastAsia"/>
        </w:rPr>
        <w:t>（</w:t>
      </w:r>
      <w:r>
        <w:t>5</w:t>
      </w:r>
      <w:r>
        <w:rPr>
          <w:rFonts w:hint="eastAsia"/>
        </w:rPr>
        <w:t>）向分包单位支付工程进度款时，应附甲方批准分包的文件；</w:t>
      </w:r>
    </w:p>
    <w:p>
      <w:pPr>
        <w:spacing w:line="400" w:lineRule="exact"/>
        <w:ind w:firstLine="440" w:firstLineChars="200"/>
        <w:rPr>
          <w:rFonts w:cs="Times New Roman"/>
        </w:rPr>
      </w:pPr>
      <w:r>
        <w:rPr>
          <w:rFonts w:hint="eastAsia"/>
        </w:rPr>
        <w:t>（</w:t>
      </w:r>
      <w:r>
        <w:t>6</w:t>
      </w:r>
      <w:r>
        <w:rPr>
          <w:rFonts w:hint="eastAsia"/>
        </w:rPr>
        <w:t>）向上级单位缴纳管理费、机械设备及周转材料租赁摊销费等款项时，应附上级单位出具的转账通知等有关资料，以确保资金专款专用。</w:t>
      </w:r>
    </w:p>
    <w:p>
      <w:pPr>
        <w:spacing w:line="400" w:lineRule="exact"/>
        <w:ind w:firstLine="440" w:firstLineChars="200"/>
        <w:rPr>
          <w:rFonts w:cs="Times New Roman"/>
        </w:rPr>
      </w:pPr>
      <w:r>
        <w:t>4.</w:t>
      </w:r>
      <w:r>
        <w:rPr>
          <w:rFonts w:hint="eastAsia"/>
        </w:rPr>
        <w:t>丙方的权责</w:t>
      </w:r>
    </w:p>
    <w:p>
      <w:pPr>
        <w:spacing w:line="400" w:lineRule="exact"/>
        <w:ind w:firstLine="440" w:firstLineChars="200"/>
        <w:rPr>
          <w:rFonts w:cs="Times New Roman"/>
        </w:rPr>
      </w:pPr>
      <w:r>
        <w:rPr>
          <w:rFonts w:hint="eastAsia"/>
        </w:rPr>
        <w:t>（</w:t>
      </w:r>
      <w:r>
        <w:t>1</w:t>
      </w:r>
      <w:r>
        <w:rPr>
          <w:rFonts w:hint="eastAsia"/>
        </w:rPr>
        <w:t>）成立（项目名称）工程资金管理服务小组，明确业务流程，提高工作效率，杜绝“压票”现象；</w:t>
      </w:r>
    </w:p>
    <w:p>
      <w:pPr>
        <w:spacing w:line="400" w:lineRule="exact"/>
        <w:ind w:firstLine="440" w:firstLineChars="200"/>
        <w:rPr>
          <w:rFonts w:cs="Times New Roman"/>
        </w:rPr>
      </w:pPr>
      <w:r>
        <w:rPr>
          <w:rFonts w:hint="eastAsia"/>
        </w:rPr>
        <w:t>（</w:t>
      </w:r>
      <w:r>
        <w:t>2</w:t>
      </w:r>
      <w:r>
        <w:rPr>
          <w:rFonts w:hint="eastAsia"/>
        </w:rPr>
        <w:t>）根据乙方提供的购货合同、协议和发票，检查其所购材料、设备是否用于（项目名称）工程建设，对本标段以外的购货款项，有权拒绝办理，并及时报告甲方；</w:t>
      </w:r>
    </w:p>
    <w:p>
      <w:pPr>
        <w:spacing w:line="400" w:lineRule="exact"/>
        <w:ind w:firstLine="440" w:firstLineChars="200"/>
        <w:rPr>
          <w:rFonts w:cs="Times New Roman"/>
        </w:rPr>
      </w:pPr>
      <w:r>
        <w:rPr>
          <w:rFonts w:hint="eastAsia"/>
        </w:rPr>
        <w:t>（</w:t>
      </w:r>
      <w:r>
        <w:t>3</w:t>
      </w:r>
      <w:r>
        <w:rPr>
          <w:rFonts w:hint="eastAsia"/>
        </w:rPr>
        <w:t>）根据乙方与分包单位签订的合同及支付文件，检查其支付款项是否符合有关条件，向分包单位以外单位的支付有权拒绝办理，并及时报告甲方；</w:t>
      </w:r>
    </w:p>
    <w:p>
      <w:pPr>
        <w:spacing w:line="400" w:lineRule="exact"/>
        <w:ind w:firstLine="440" w:firstLineChars="200"/>
        <w:rPr>
          <w:rFonts w:cs="Times New Roman"/>
        </w:rPr>
      </w:pPr>
      <w:r>
        <w:rPr>
          <w:rFonts w:hint="eastAsia"/>
        </w:rPr>
        <w:t>（</w:t>
      </w:r>
      <w:r>
        <w:t>4</w:t>
      </w:r>
      <w:r>
        <w:rPr>
          <w:rFonts w:hint="eastAsia"/>
        </w:rPr>
        <w:t>）根据乙方提供的上级单位出具的转账通知等有关资料，办理管理费、机械设备及周转材料租赁摊销费等款项的支付；对超出转账通知等有关资料以外的支付，有权拒绝办理，并及时转告甲方；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40" w:firstLineChars="200"/>
        <w:rPr>
          <w:rFonts w:cs="Times New Roman"/>
        </w:rPr>
      </w:pPr>
      <w:r>
        <w:rPr>
          <w:rFonts w:hint="eastAsia"/>
        </w:rPr>
        <w:t>（</w:t>
      </w:r>
      <w:r>
        <w:t>5</w:t>
      </w:r>
      <w:r>
        <w:rPr>
          <w:rFonts w:hint="eastAsia"/>
        </w:rPr>
        <w:t>）定期将乙方前一个周期的支付情况，整理后书面报送甲方；乙方复印备案的材料一并送甲方。</w:t>
      </w:r>
    </w:p>
    <w:p>
      <w:pPr>
        <w:spacing w:line="400" w:lineRule="exact"/>
        <w:ind w:firstLine="440" w:firstLineChars="200"/>
        <w:rPr>
          <w:rFonts w:cs="Times New Roman"/>
        </w:rPr>
      </w:pPr>
      <w:r>
        <w:t>5.</w:t>
      </w:r>
      <w:r>
        <w:rPr>
          <w:rFonts w:hint="eastAsia"/>
        </w:rPr>
        <w:t>甲、乙、丙三方都应履行保密责任，不得将其他两方的业务情况透露给三方以外的其他单位或个人。</w:t>
      </w:r>
    </w:p>
    <w:p>
      <w:pPr>
        <w:spacing w:line="400" w:lineRule="exact"/>
        <w:ind w:firstLine="440" w:firstLineChars="200"/>
        <w:rPr>
          <w:rFonts w:cs="Times New Roman"/>
        </w:rPr>
      </w:pPr>
      <w:r>
        <w:t>6.</w:t>
      </w:r>
      <w:r>
        <w:rPr>
          <w:rFonts w:hint="eastAsia"/>
        </w:rPr>
        <w:t>本协议有效期自乙方在丙方开户起，至工程交工验收甲方向乙方颁发交工验收证书后结束。</w:t>
      </w:r>
    </w:p>
    <w:p>
      <w:pPr>
        <w:spacing w:line="400" w:lineRule="exact"/>
        <w:ind w:firstLine="440" w:firstLineChars="200"/>
        <w:rPr>
          <w:rFonts w:cs="Times New Roman"/>
        </w:rPr>
      </w:pPr>
      <w:r>
        <w:t>7.</w:t>
      </w:r>
      <w:r>
        <w:rPr>
          <w:rFonts w:hint="eastAsia"/>
        </w:rPr>
        <w:t>本协议未尽事宜，由甲方牵头，三方协商解决。</w:t>
      </w:r>
    </w:p>
    <w:p>
      <w:pPr>
        <w:spacing w:line="400" w:lineRule="exact"/>
        <w:ind w:firstLine="440" w:firstLineChars="200"/>
        <w:rPr>
          <w:rFonts w:cs="Times New Roman"/>
        </w:rPr>
      </w:pPr>
      <w:r>
        <w:t>8.</w:t>
      </w:r>
      <w:r>
        <w:rPr>
          <w:rFonts w:hint="eastAsia"/>
        </w:rPr>
        <w:t>本协议正本三份、副本份。合同三方各执正本一份、副本份，当正本与副本内容不一致时，以正本为准。</w:t>
      </w:r>
    </w:p>
    <w:p>
      <w:pPr>
        <w:rPr>
          <w:rFonts w:cs="Times New Roman"/>
        </w:rPr>
      </w:pPr>
    </w:p>
    <w:p>
      <w:pPr>
        <w:spacing w:line="360" w:lineRule="exact"/>
        <w:ind w:firstLine="465"/>
        <w:rPr>
          <w:rFonts w:cs="Times New Roman"/>
        </w:rPr>
      </w:pPr>
      <w:r>
        <w:rPr>
          <w:rFonts w:hint="eastAsia"/>
        </w:rPr>
        <w:t>发包人：（盖单位章）</w:t>
      </w:r>
    </w:p>
    <w:p>
      <w:pPr>
        <w:spacing w:line="360" w:lineRule="exact"/>
        <w:ind w:firstLine="465"/>
        <w:rPr>
          <w:rFonts w:cs="Times New Roman"/>
        </w:rPr>
      </w:pPr>
      <w:r>
        <w:rPr>
          <w:rFonts w:hint="eastAsia"/>
        </w:rPr>
        <w:t>法定人或代表其委托代理人：（签字）</w:t>
      </w:r>
    </w:p>
    <w:p>
      <w:pPr>
        <w:spacing w:line="360" w:lineRule="exact"/>
        <w:ind w:firstLine="465"/>
        <w:rPr>
          <w:rFonts w:cs="Times New Roman"/>
        </w:rPr>
      </w:pPr>
      <w:r>
        <w:rPr>
          <w:rFonts w:hint="eastAsia"/>
        </w:rPr>
        <w:t>年月日</w:t>
      </w:r>
    </w:p>
    <w:p>
      <w:pPr>
        <w:spacing w:line="360" w:lineRule="exact"/>
        <w:rPr>
          <w:rFonts w:cs="Times New Roman"/>
        </w:rPr>
      </w:pPr>
    </w:p>
    <w:p>
      <w:pPr>
        <w:spacing w:line="360" w:lineRule="exact"/>
        <w:ind w:firstLine="465"/>
        <w:rPr>
          <w:rFonts w:cs="Times New Roman"/>
        </w:rPr>
      </w:pPr>
      <w:r>
        <w:rPr>
          <w:rFonts w:hint="eastAsia"/>
        </w:rPr>
        <w:t>承包人：（盖单位章）</w:t>
      </w:r>
    </w:p>
    <w:p>
      <w:pPr>
        <w:spacing w:line="360" w:lineRule="exact"/>
        <w:ind w:firstLine="465"/>
        <w:rPr>
          <w:rFonts w:cs="Times New Roman"/>
        </w:rPr>
      </w:pPr>
      <w:r>
        <w:rPr>
          <w:rFonts w:hint="eastAsia"/>
        </w:rPr>
        <w:t>法定人或代表其委托代理人：（签字）</w:t>
      </w:r>
    </w:p>
    <w:p>
      <w:pPr>
        <w:spacing w:line="360" w:lineRule="exact"/>
        <w:ind w:firstLine="465"/>
        <w:rPr>
          <w:rFonts w:cs="Times New Roman"/>
        </w:rPr>
      </w:pPr>
      <w:r>
        <w:rPr>
          <w:rFonts w:hint="eastAsia"/>
        </w:rPr>
        <w:t>年月日</w:t>
      </w:r>
    </w:p>
    <w:p>
      <w:pPr>
        <w:spacing w:line="360" w:lineRule="exact"/>
        <w:rPr>
          <w:rFonts w:cs="Times New Roman"/>
        </w:rPr>
      </w:pPr>
    </w:p>
    <w:p>
      <w:pPr>
        <w:spacing w:line="360" w:lineRule="exact"/>
        <w:ind w:firstLine="465"/>
        <w:rPr>
          <w:rFonts w:cs="Times New Roman"/>
        </w:rPr>
      </w:pPr>
      <w:r>
        <w:rPr>
          <w:rFonts w:hint="eastAsia"/>
        </w:rPr>
        <w:t>经办银行：（盖单位章）</w:t>
      </w:r>
    </w:p>
    <w:p>
      <w:pPr>
        <w:spacing w:line="360" w:lineRule="exact"/>
        <w:ind w:firstLine="465"/>
        <w:rPr>
          <w:rFonts w:cs="Times New Roman"/>
        </w:rPr>
      </w:pPr>
      <w:r>
        <w:rPr>
          <w:rFonts w:hint="eastAsia"/>
        </w:rPr>
        <w:t>法定人或代表其委托代理人：（签字）</w:t>
      </w:r>
    </w:p>
    <w:p>
      <w:pPr>
        <w:spacing w:line="360" w:lineRule="exact"/>
        <w:ind w:firstLine="465"/>
        <w:rPr>
          <w:rFonts w:cs="Times New Roman"/>
        </w:rPr>
      </w:pPr>
      <w:r>
        <w:rPr>
          <w:rFonts w:hint="eastAsia"/>
        </w:rPr>
        <w:t>年月日</w:t>
      </w:r>
    </w:p>
    <w:p>
      <w:pPr>
        <w:rPr>
          <w:rFonts w:cs="Times New Roman"/>
        </w:rPr>
      </w:pPr>
    </w:p>
    <w:p>
      <w:pPr>
        <w:rPr>
          <w:rFonts w:cs="Times New Roman"/>
        </w:rPr>
      </w:pPr>
      <w:r>
        <w:rPr>
          <w:rFonts w:cs="Times New Roman"/>
        </w:rPr>
        <w:br w:type="page"/>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ascii="黑体" w:eastAsia="黑体" w:cs="Times New Roman"/>
          <w:sz w:val="52"/>
          <w:szCs w:val="52"/>
        </w:rPr>
      </w:pPr>
      <w:r>
        <w:rPr>
          <w:rFonts w:hint="eastAsia" w:ascii="黑体" w:eastAsia="黑体" w:cs="黑体"/>
          <w:sz w:val="52"/>
          <w:szCs w:val="52"/>
        </w:rPr>
        <w:t>第五章工程量清单</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sz w:val="24"/>
          <w:szCs w:val="24"/>
        </w:rPr>
        <w:sectPr>
          <w:headerReference r:id="rId10" w:type="first"/>
          <w:pgSz w:w="11906" w:h="16838"/>
          <w:pgMar w:top="1418" w:right="1418" w:bottom="1418" w:left="1418" w:header="851" w:footer="964" w:gutter="0"/>
          <w:cols w:space="720" w:num="1"/>
          <w:titlePg/>
          <w:docGrid w:linePitch="312" w:charSpace="0"/>
        </w:sect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4"/>
        <w:tabs>
          <w:tab w:val="left" w:pos="1444"/>
        </w:tabs>
        <w:spacing w:before="211"/>
        <w:ind w:right="137"/>
        <w:rPr>
          <w:rFonts w:cs="Times New Roman"/>
        </w:rPr>
      </w:pPr>
      <w:bookmarkStart w:id="901" w:name="第五章__工程量清单"/>
      <w:bookmarkEnd w:id="901"/>
      <w:bookmarkStart w:id="902" w:name="_bookmark5"/>
      <w:bookmarkEnd w:id="902"/>
      <w:r>
        <w:rPr>
          <w:rFonts w:hint="eastAsia"/>
        </w:rPr>
        <w:t>第五章</w:t>
      </w:r>
      <w:r>
        <w:rPr>
          <w:rFonts w:cs="Times New Roman"/>
        </w:rPr>
        <w:tab/>
      </w:r>
      <w:r>
        <w:rPr>
          <w:rFonts w:hint="eastAsia"/>
        </w:rPr>
        <w:t>工程量清单</w:t>
      </w:r>
    </w:p>
    <w:p>
      <w:pPr>
        <w:pStyle w:val="12"/>
        <w:rPr>
          <w:rFonts w:cs="Times New Roman"/>
          <w:b/>
          <w:bCs/>
          <w:sz w:val="36"/>
          <w:szCs w:val="36"/>
        </w:rPr>
      </w:pPr>
    </w:p>
    <w:p>
      <w:pPr>
        <w:pStyle w:val="12"/>
        <w:spacing w:before="7"/>
        <w:rPr>
          <w:rFonts w:cs="Times New Roman"/>
          <w:b/>
          <w:bCs/>
          <w:sz w:val="25"/>
          <w:szCs w:val="25"/>
        </w:rPr>
      </w:pPr>
    </w:p>
    <w:p>
      <w:pPr>
        <w:pStyle w:val="5"/>
        <w:spacing w:before="0"/>
        <w:ind w:left="61" w:right="142"/>
        <w:rPr>
          <w:rFonts w:cs="Times New Roman"/>
        </w:rPr>
      </w:pPr>
      <w:bookmarkStart w:id="903" w:name="（另册发放）"/>
      <w:bookmarkEnd w:id="903"/>
      <w:r>
        <w:rPr>
          <w:rFonts w:hint="eastAsia"/>
        </w:rPr>
        <w:t>（另册发放）</w:t>
      </w:r>
    </w:p>
    <w:p>
      <w:pPr>
        <w:rPr>
          <w:rFonts w:cs="Times New Roman"/>
        </w:rPr>
        <w:sectPr>
          <w:headerReference r:id="rId11" w:type="default"/>
          <w:pgSz w:w="11910" w:h="16850"/>
          <w:pgMar w:top="1418" w:right="1418" w:bottom="1418" w:left="1418" w:header="851" w:footer="964" w:gutter="0"/>
          <w:cols w:space="720" w:num="1"/>
          <w:docGrid w:linePitch="299" w:charSpace="0"/>
        </w:sect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3"/>
        <w:tabs>
          <w:tab w:val="left" w:pos="1519"/>
          <w:tab w:val="left" w:pos="3040"/>
        </w:tabs>
        <w:spacing w:before="153"/>
        <w:rPr>
          <w:rFonts w:cs="Times New Roman"/>
        </w:rPr>
      </w:pPr>
      <w:bookmarkStart w:id="904" w:name="_bookmark6"/>
      <w:bookmarkEnd w:id="904"/>
      <w:bookmarkStart w:id="905" w:name="第二卷"/>
      <w:bookmarkEnd w:id="905"/>
      <w:r>
        <w:rPr>
          <w:rFonts w:hint="eastAsia"/>
        </w:rPr>
        <w:t>第</w:t>
      </w:r>
      <w:r>
        <w:rPr>
          <w:rFonts w:cs="Times New Roman"/>
        </w:rPr>
        <w:tab/>
      </w:r>
      <w:r>
        <w:rPr>
          <w:rFonts w:hint="eastAsia"/>
        </w:rPr>
        <w:t>二</w:t>
      </w:r>
      <w:r>
        <w:rPr>
          <w:rFonts w:cs="Times New Roman"/>
        </w:rPr>
        <w:tab/>
      </w:r>
      <w:r>
        <w:rPr>
          <w:rFonts w:hint="eastAsia"/>
        </w:rPr>
        <w:t>卷</w:t>
      </w:r>
    </w:p>
    <w:p>
      <w:pPr>
        <w:rPr>
          <w:rFonts w:cs="Times New Roman"/>
        </w:rPr>
        <w:sectPr>
          <w:headerReference r:id="rId12" w:type="default"/>
          <w:pgSz w:w="11910" w:h="16850"/>
          <w:pgMar w:top="1418" w:right="1418" w:bottom="1418" w:left="1418" w:header="851" w:footer="964" w:gutter="0"/>
          <w:cols w:space="720" w:num="1"/>
          <w:docGrid w:linePitch="299" w:charSpace="0"/>
        </w:sect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3"/>
        <w:rPr>
          <w:rFonts w:cs="Times New Roman"/>
          <w:b/>
          <w:bCs/>
          <w:sz w:val="20"/>
          <w:szCs w:val="20"/>
        </w:rPr>
      </w:pPr>
    </w:p>
    <w:p>
      <w:pPr>
        <w:pStyle w:val="4"/>
        <w:tabs>
          <w:tab w:val="left" w:pos="1444"/>
        </w:tabs>
        <w:rPr>
          <w:rFonts w:cs="Times New Roman"/>
        </w:rPr>
      </w:pPr>
      <w:bookmarkStart w:id="906" w:name="_bookmark7"/>
      <w:bookmarkEnd w:id="906"/>
      <w:bookmarkStart w:id="907" w:name="第六章__图纸（另册）"/>
      <w:bookmarkEnd w:id="907"/>
      <w:r>
        <w:rPr>
          <w:rFonts w:hint="eastAsia"/>
        </w:rPr>
        <w:t>第六章</w:t>
      </w:r>
      <w:r>
        <w:rPr>
          <w:rFonts w:cs="Times New Roman"/>
        </w:rPr>
        <w:tab/>
      </w:r>
      <w:r>
        <w:rPr>
          <w:rFonts w:hint="eastAsia"/>
        </w:rPr>
        <w:t>图纸（另册）</w:t>
      </w:r>
    </w:p>
    <w:p>
      <w:pPr>
        <w:rPr>
          <w:rFonts w:cs="Times New Roman"/>
        </w:rPr>
        <w:sectPr>
          <w:headerReference r:id="rId13" w:type="default"/>
          <w:pgSz w:w="11910" w:h="16850"/>
          <w:pgMar w:top="1418" w:right="1418" w:bottom="1418" w:left="1418" w:header="851" w:footer="964" w:gutter="0"/>
          <w:cols w:space="720" w:num="1"/>
          <w:docGrid w:linePitch="299" w:charSpace="0"/>
        </w:sect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3"/>
        <w:tabs>
          <w:tab w:val="left" w:pos="1519"/>
          <w:tab w:val="left" w:pos="3040"/>
        </w:tabs>
        <w:spacing w:before="144"/>
        <w:rPr>
          <w:rFonts w:cs="Times New Roman"/>
        </w:rPr>
        <w:sectPr>
          <w:headerReference r:id="rId14" w:type="default"/>
          <w:pgSz w:w="11910" w:h="16850"/>
          <w:pgMar w:top="1418" w:right="1418" w:bottom="1418" w:left="1418" w:header="851" w:footer="964" w:gutter="0"/>
          <w:cols w:space="720" w:num="1"/>
          <w:docGrid w:linePitch="299" w:charSpace="0"/>
        </w:sectPr>
      </w:pPr>
      <w:bookmarkStart w:id="908" w:name="第三卷"/>
      <w:bookmarkEnd w:id="908"/>
      <w:bookmarkStart w:id="909" w:name="_bookmark8"/>
      <w:bookmarkEnd w:id="909"/>
      <w:r>
        <w:rPr>
          <w:rFonts w:hint="eastAsia"/>
        </w:rPr>
        <w:t>第</w:t>
      </w:r>
      <w:r>
        <w:rPr>
          <w:rFonts w:cs="Times New Roman"/>
        </w:rPr>
        <w:tab/>
      </w:r>
      <w:r>
        <w:rPr>
          <w:rFonts w:hint="eastAsia"/>
        </w:rPr>
        <w:t>三</w:t>
      </w:r>
      <w:r>
        <w:rPr>
          <w:rFonts w:cs="Times New Roman"/>
        </w:rPr>
        <w:tab/>
      </w:r>
      <w:r>
        <w:rPr>
          <w:rFonts w:hint="eastAsia"/>
        </w:rPr>
        <w:t>卷</w:t>
      </w: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3"/>
        <w:rPr>
          <w:rFonts w:cs="Times New Roman"/>
          <w:b/>
          <w:bCs/>
          <w:sz w:val="20"/>
          <w:szCs w:val="20"/>
        </w:rPr>
      </w:pPr>
    </w:p>
    <w:p>
      <w:pPr>
        <w:pStyle w:val="4"/>
        <w:tabs>
          <w:tab w:val="left" w:pos="1444"/>
        </w:tabs>
        <w:ind w:right="36"/>
        <w:rPr>
          <w:rFonts w:cs="Times New Roman"/>
        </w:rPr>
      </w:pPr>
      <w:bookmarkStart w:id="910" w:name="第七章__技术规范"/>
      <w:bookmarkEnd w:id="910"/>
      <w:bookmarkStart w:id="911" w:name="_bookmark9"/>
      <w:bookmarkEnd w:id="911"/>
      <w:r>
        <w:rPr>
          <w:rFonts w:hint="eastAsia"/>
        </w:rPr>
        <w:t>第七章</w:t>
      </w:r>
      <w:r>
        <w:rPr>
          <w:rFonts w:cs="Times New Roman"/>
        </w:rPr>
        <w:tab/>
      </w:r>
      <w:r>
        <w:rPr>
          <w:rFonts w:hint="eastAsia"/>
        </w:rPr>
        <w:t>技术规范</w:t>
      </w:r>
    </w:p>
    <w:p>
      <w:pPr>
        <w:spacing w:before="292" w:line="362" w:lineRule="auto"/>
        <w:ind w:left="340" w:right="363" w:firstLine="468"/>
        <w:rPr>
          <w:rFonts w:cs="Times New Roman"/>
          <w:b/>
          <w:bCs/>
          <w:sz w:val="24"/>
          <w:szCs w:val="24"/>
        </w:rPr>
      </w:pPr>
      <w:r>
        <w:rPr>
          <w:rFonts w:hint="eastAsia"/>
          <w:b/>
          <w:bCs/>
          <w:sz w:val="24"/>
          <w:szCs w:val="24"/>
        </w:rPr>
        <w:t>本章技术规范采用交通运输部《公路工程标准施工招标文件》（</w:t>
      </w:r>
      <w:r>
        <w:rPr>
          <w:b/>
          <w:bCs/>
          <w:sz w:val="24"/>
          <w:szCs w:val="24"/>
        </w:rPr>
        <w:t>2018</w:t>
      </w:r>
      <w:r>
        <w:rPr>
          <w:rFonts w:hint="eastAsia"/>
          <w:b/>
          <w:bCs/>
          <w:sz w:val="24"/>
          <w:szCs w:val="24"/>
        </w:rPr>
        <w:t>年版）的技术规范。</w:t>
      </w:r>
    </w:p>
    <w:p>
      <w:pPr>
        <w:spacing w:line="362" w:lineRule="auto"/>
        <w:rPr>
          <w:rFonts w:cs="Times New Roman"/>
          <w:sz w:val="24"/>
          <w:szCs w:val="24"/>
        </w:rPr>
        <w:sectPr>
          <w:headerReference r:id="rId15" w:type="default"/>
          <w:pgSz w:w="11910" w:h="16850"/>
          <w:pgMar w:top="1418" w:right="1418" w:bottom="1418" w:left="1418" w:header="851" w:footer="964" w:gutter="0"/>
          <w:cols w:space="720" w:num="1"/>
          <w:docGrid w:linePitch="299" w:charSpace="0"/>
        </w:sect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4"/>
        <w:tabs>
          <w:tab w:val="left" w:pos="1444"/>
        </w:tabs>
        <w:spacing w:before="223"/>
        <w:rPr>
          <w:rFonts w:cs="Times New Roman"/>
        </w:rPr>
      </w:pPr>
      <w:bookmarkStart w:id="912" w:name="第八章__工程量清单计量规则"/>
      <w:bookmarkEnd w:id="912"/>
      <w:bookmarkStart w:id="913" w:name="_bookmark10"/>
      <w:bookmarkEnd w:id="913"/>
      <w:r>
        <w:rPr>
          <w:rFonts w:hint="eastAsia"/>
        </w:rPr>
        <w:t>第八章</w:t>
      </w:r>
      <w:r>
        <w:rPr>
          <w:rFonts w:cs="Times New Roman"/>
        </w:rPr>
        <w:tab/>
      </w:r>
      <w:r>
        <w:rPr>
          <w:rFonts w:hint="eastAsia"/>
        </w:rPr>
        <w:t>工程量清</w:t>
      </w:r>
      <w:r>
        <w:rPr>
          <w:rFonts w:hint="eastAsia"/>
          <w:spacing w:val="7"/>
        </w:rPr>
        <w:t>单</w:t>
      </w:r>
      <w:r>
        <w:rPr>
          <w:rFonts w:hint="eastAsia"/>
        </w:rPr>
        <w:t>计量规则</w:t>
      </w:r>
    </w:p>
    <w:p>
      <w:pPr>
        <w:pStyle w:val="12"/>
        <w:rPr>
          <w:rFonts w:cs="Times New Roman"/>
          <w:b/>
          <w:bCs/>
          <w:sz w:val="36"/>
          <w:szCs w:val="36"/>
        </w:rPr>
      </w:pPr>
    </w:p>
    <w:p>
      <w:pPr>
        <w:pStyle w:val="12"/>
        <w:rPr>
          <w:rFonts w:cs="Times New Roman"/>
          <w:b/>
          <w:bCs/>
          <w:sz w:val="36"/>
          <w:szCs w:val="36"/>
        </w:rPr>
      </w:pPr>
    </w:p>
    <w:p>
      <w:pPr>
        <w:tabs>
          <w:tab w:val="left" w:pos="1960"/>
        </w:tabs>
        <w:spacing w:before="289"/>
        <w:ind w:right="39"/>
        <w:jc w:val="center"/>
        <w:rPr>
          <w:rFonts w:cs="Times New Roman"/>
          <w:sz w:val="36"/>
          <w:szCs w:val="36"/>
        </w:rPr>
      </w:pPr>
      <w:r>
        <w:rPr>
          <w:rFonts w:hint="eastAsia"/>
          <w:sz w:val="36"/>
          <w:szCs w:val="36"/>
        </w:rPr>
        <w:t>（另</w:t>
      </w:r>
      <w:r>
        <w:rPr>
          <w:rFonts w:cs="Times New Roman"/>
          <w:sz w:val="36"/>
          <w:szCs w:val="36"/>
        </w:rPr>
        <w:tab/>
      </w:r>
      <w:r>
        <w:rPr>
          <w:rFonts w:hint="eastAsia"/>
          <w:sz w:val="36"/>
          <w:szCs w:val="36"/>
        </w:rPr>
        <w:t>册）</w:t>
      </w:r>
    </w:p>
    <w:p>
      <w:pPr>
        <w:jc w:val="center"/>
        <w:rPr>
          <w:rFonts w:cs="Times New Roman"/>
          <w:sz w:val="36"/>
          <w:szCs w:val="36"/>
        </w:rPr>
        <w:sectPr>
          <w:headerReference r:id="rId16" w:type="default"/>
          <w:pgSz w:w="11910" w:h="16850"/>
          <w:pgMar w:top="1418" w:right="1418" w:bottom="1418" w:left="1418" w:header="851" w:footer="964" w:gutter="0"/>
          <w:cols w:space="720" w:num="1"/>
          <w:docGrid w:linePitch="299" w:charSpace="0"/>
        </w:sect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9"/>
        <w:rPr>
          <w:rFonts w:cs="Times New Roman"/>
          <w:sz w:val="22"/>
          <w:szCs w:val="22"/>
        </w:rPr>
      </w:pPr>
    </w:p>
    <w:p>
      <w:pPr>
        <w:pStyle w:val="3"/>
        <w:tabs>
          <w:tab w:val="left" w:pos="1519"/>
          <w:tab w:val="left" w:pos="3040"/>
        </w:tabs>
        <w:spacing w:line="969" w:lineRule="exact"/>
        <w:rPr>
          <w:rFonts w:cs="Times New Roman"/>
        </w:rPr>
      </w:pPr>
      <w:bookmarkStart w:id="914" w:name="_bookmark11"/>
      <w:bookmarkEnd w:id="914"/>
      <w:bookmarkStart w:id="915" w:name="第四卷"/>
      <w:bookmarkEnd w:id="915"/>
      <w:r>
        <w:rPr>
          <w:rFonts w:hint="eastAsia"/>
        </w:rPr>
        <w:t>第</w:t>
      </w:r>
      <w:r>
        <w:rPr>
          <w:rFonts w:cs="Times New Roman"/>
        </w:rPr>
        <w:tab/>
      </w:r>
      <w:r>
        <w:rPr>
          <w:rFonts w:hint="eastAsia"/>
        </w:rPr>
        <w:t>四</w:t>
      </w:r>
      <w:r>
        <w:rPr>
          <w:rFonts w:cs="Times New Roman"/>
        </w:rPr>
        <w:tab/>
      </w:r>
      <w:r>
        <w:rPr>
          <w:rFonts w:hint="eastAsia"/>
        </w:rPr>
        <w:t>卷</w:t>
      </w:r>
    </w:p>
    <w:p>
      <w:pPr>
        <w:spacing w:line="969" w:lineRule="exact"/>
        <w:rPr>
          <w:rFonts w:cs="Times New Roman"/>
        </w:rPr>
        <w:sectPr>
          <w:headerReference r:id="rId17" w:type="default"/>
          <w:pgSz w:w="11910" w:h="16850"/>
          <w:pgMar w:top="1418" w:right="1418" w:bottom="1418" w:left="1418" w:header="851" w:footer="964" w:gutter="0"/>
          <w:cols w:space="720" w:num="1"/>
          <w:docGrid w:linePitch="299" w:charSpace="0"/>
        </w:sect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rPr>
          <w:rFonts w:cs="Times New Roman"/>
          <w:b/>
          <w:bCs/>
          <w:sz w:val="20"/>
          <w:szCs w:val="20"/>
        </w:rPr>
      </w:pPr>
    </w:p>
    <w:p>
      <w:pPr>
        <w:pStyle w:val="12"/>
        <w:spacing w:before="3"/>
        <w:rPr>
          <w:rFonts w:cs="Times New Roman"/>
          <w:b/>
          <w:bCs/>
          <w:sz w:val="22"/>
          <w:szCs w:val="22"/>
        </w:rPr>
      </w:pPr>
    </w:p>
    <w:p>
      <w:pPr>
        <w:pStyle w:val="4"/>
        <w:tabs>
          <w:tab w:val="left" w:pos="1444"/>
        </w:tabs>
        <w:rPr>
          <w:rFonts w:cs="Times New Roman"/>
        </w:rPr>
      </w:pPr>
      <w:bookmarkStart w:id="916" w:name="第九章__投标文件格式"/>
      <w:bookmarkEnd w:id="916"/>
      <w:bookmarkStart w:id="917" w:name="_bookmark12"/>
      <w:bookmarkEnd w:id="917"/>
      <w:r>
        <w:rPr>
          <w:rFonts w:hint="eastAsia"/>
        </w:rPr>
        <w:t>第九章</w:t>
      </w:r>
      <w:r>
        <w:rPr>
          <w:rFonts w:cs="Times New Roman"/>
        </w:rPr>
        <w:tab/>
      </w:r>
      <w:r>
        <w:rPr>
          <w:rFonts w:hint="eastAsia"/>
        </w:rPr>
        <w:t>投标文件格式</w:t>
      </w:r>
    </w:p>
    <w:p>
      <w:pPr>
        <w:rPr>
          <w:rFonts w:cs="Times New Roman"/>
        </w:rPr>
        <w:sectPr>
          <w:headerReference r:id="rId18" w:type="default"/>
          <w:pgSz w:w="11910" w:h="16850"/>
          <w:pgMar w:top="1418" w:right="1418" w:bottom="1418" w:left="1418" w:header="851" w:footer="964" w:gutter="0"/>
          <w:cols w:space="720" w:num="1"/>
          <w:docGrid w:linePitch="299" w:charSpace="0"/>
        </w:sectPr>
      </w:pPr>
    </w:p>
    <w:p>
      <w:pPr>
        <w:pStyle w:val="12"/>
        <w:rPr>
          <w:rFonts w:cs="Times New Roman"/>
          <w:b/>
          <w:bCs/>
          <w:sz w:val="20"/>
          <w:szCs w:val="20"/>
        </w:rPr>
      </w:pPr>
    </w:p>
    <w:p>
      <w:pPr>
        <w:pStyle w:val="12"/>
        <w:spacing w:before="2"/>
        <w:rPr>
          <w:rFonts w:cs="Times New Roman"/>
          <w:b/>
          <w:bCs/>
        </w:rPr>
      </w:pPr>
    </w:p>
    <w:p>
      <w:pPr>
        <w:tabs>
          <w:tab w:val="left" w:pos="6196"/>
        </w:tabs>
        <w:spacing w:before="67"/>
        <w:ind w:left="2296"/>
        <w:rPr>
          <w:rFonts w:cs="Times New Roman"/>
          <w:sz w:val="30"/>
          <w:szCs w:val="30"/>
        </w:rPr>
      </w:pPr>
      <w:r>
        <w:rPr>
          <w:rFonts w:ascii="Times New Roman" w:eastAsia="Times New Roman" w:cs="Times New Roman"/>
          <w:sz w:val="30"/>
          <w:szCs w:val="30"/>
          <w:u w:val="single"/>
        </w:rPr>
        <w:tab/>
      </w:r>
      <w:r>
        <w:rPr>
          <w:rFonts w:hint="eastAsia"/>
          <w:sz w:val="30"/>
          <w:szCs w:val="30"/>
        </w:rPr>
        <w:t>施工招标</w:t>
      </w: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spacing w:before="11"/>
        <w:rPr>
          <w:rFonts w:cs="Times New Roman"/>
          <w:sz w:val="47"/>
          <w:szCs w:val="47"/>
        </w:rPr>
      </w:pPr>
    </w:p>
    <w:p>
      <w:pPr>
        <w:tabs>
          <w:tab w:val="left" w:pos="3823"/>
          <w:tab w:val="left" w:pos="5263"/>
          <w:tab w:val="left" w:pos="6703"/>
        </w:tabs>
        <w:spacing w:before="1"/>
        <w:ind w:left="2383"/>
        <w:rPr>
          <w:rFonts w:cs="Times New Roman"/>
          <w:sz w:val="72"/>
          <w:szCs w:val="72"/>
        </w:rPr>
      </w:pPr>
      <w:r>
        <w:rPr>
          <w:rFonts w:hint="eastAsia"/>
          <w:sz w:val="72"/>
          <w:szCs w:val="72"/>
        </w:rPr>
        <w:t>投</w:t>
      </w:r>
      <w:r>
        <w:rPr>
          <w:rFonts w:cs="Times New Roman"/>
          <w:sz w:val="72"/>
          <w:szCs w:val="72"/>
        </w:rPr>
        <w:tab/>
      </w:r>
      <w:r>
        <w:rPr>
          <w:rFonts w:hint="eastAsia"/>
          <w:sz w:val="72"/>
          <w:szCs w:val="72"/>
        </w:rPr>
        <w:t>标</w:t>
      </w:r>
      <w:r>
        <w:rPr>
          <w:rFonts w:cs="Times New Roman"/>
          <w:sz w:val="72"/>
          <w:szCs w:val="72"/>
        </w:rPr>
        <w:tab/>
      </w:r>
      <w:r>
        <w:rPr>
          <w:rFonts w:hint="eastAsia"/>
          <w:sz w:val="72"/>
          <w:szCs w:val="72"/>
        </w:rPr>
        <w:t>文</w:t>
      </w:r>
      <w:r>
        <w:rPr>
          <w:rFonts w:cs="Times New Roman"/>
          <w:sz w:val="72"/>
          <w:szCs w:val="72"/>
        </w:rPr>
        <w:tab/>
      </w:r>
      <w:r>
        <w:rPr>
          <w:rFonts w:hint="eastAsia"/>
          <w:sz w:val="72"/>
          <w:szCs w:val="72"/>
        </w:rPr>
        <w:t>件</w:t>
      </w:r>
    </w:p>
    <w:p>
      <w:pPr>
        <w:spacing w:before="485" w:line="523" w:lineRule="auto"/>
        <w:ind w:left="3463" w:right="2695"/>
        <w:jc w:val="center"/>
        <w:rPr>
          <w:rFonts w:cs="Times New Roman"/>
          <w:sz w:val="32"/>
          <w:szCs w:val="32"/>
        </w:rPr>
      </w:pPr>
      <w:bookmarkStart w:id="918" w:name="（商务及技术文件）"/>
      <w:bookmarkEnd w:id="918"/>
      <w:r>
        <w:rPr>
          <w:rFonts w:hint="eastAsia"/>
          <w:sz w:val="32"/>
          <w:szCs w:val="32"/>
        </w:rPr>
        <w:t>（商务及技术文件）</w:t>
      </w:r>
      <w:r>
        <w:rPr>
          <w:sz w:val="32"/>
          <w:szCs w:val="32"/>
        </w:rPr>
        <w:t xml:space="preserve"> </w:t>
      </w:r>
      <w:r>
        <w:rPr>
          <w:rFonts w:hint="eastAsia"/>
          <w:sz w:val="32"/>
          <w:szCs w:val="32"/>
        </w:rPr>
        <w:t>项目编号：</w:t>
      </w: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spacing w:before="10"/>
        <w:rPr>
          <w:rFonts w:cs="Times New Roman"/>
          <w:sz w:val="38"/>
          <w:szCs w:val="38"/>
        </w:rPr>
      </w:pPr>
    </w:p>
    <w:p>
      <w:pPr>
        <w:tabs>
          <w:tab w:val="left" w:pos="5879"/>
        </w:tabs>
        <w:ind w:right="39"/>
        <w:jc w:val="center"/>
        <w:rPr>
          <w:rFonts w:cs="Times New Roman"/>
          <w:sz w:val="32"/>
          <w:szCs w:val="32"/>
        </w:rPr>
      </w:pPr>
      <w:r>
        <w:rPr>
          <w:rFonts w:hint="eastAsia"/>
          <w:sz w:val="32"/>
          <w:szCs w:val="32"/>
        </w:rPr>
        <w:t>投标人：</w:t>
      </w:r>
      <w:r>
        <w:rPr>
          <w:rFonts w:cs="Times New Roman"/>
          <w:sz w:val="32"/>
          <w:szCs w:val="32"/>
          <w:u w:val="single"/>
        </w:rPr>
        <w:tab/>
      </w:r>
      <w:r>
        <w:rPr>
          <w:rFonts w:hint="eastAsia"/>
          <w:sz w:val="32"/>
          <w:szCs w:val="32"/>
        </w:rPr>
        <w:t>（盖单</w:t>
      </w:r>
      <w:r>
        <w:rPr>
          <w:rFonts w:hint="eastAsia"/>
          <w:spacing w:val="-5"/>
          <w:sz w:val="32"/>
          <w:szCs w:val="32"/>
        </w:rPr>
        <w:t>位</w:t>
      </w:r>
      <w:r>
        <w:rPr>
          <w:rFonts w:hint="eastAsia"/>
          <w:sz w:val="32"/>
          <w:szCs w:val="32"/>
        </w:rPr>
        <w:t>章）</w:t>
      </w:r>
    </w:p>
    <w:p>
      <w:pPr>
        <w:pStyle w:val="12"/>
        <w:rPr>
          <w:rFonts w:cs="Times New Roman"/>
          <w:sz w:val="20"/>
          <w:szCs w:val="20"/>
        </w:rPr>
      </w:pPr>
    </w:p>
    <w:p>
      <w:pPr>
        <w:pStyle w:val="12"/>
        <w:spacing w:before="5"/>
        <w:rPr>
          <w:rFonts w:cs="Times New Roman"/>
          <w:sz w:val="14"/>
          <w:szCs w:val="14"/>
        </w:rPr>
      </w:pPr>
    </w:p>
    <w:p>
      <w:pPr>
        <w:tabs>
          <w:tab w:val="left" w:pos="1118"/>
          <w:tab w:val="left" w:pos="2520"/>
          <w:tab w:val="left" w:pos="4058"/>
        </w:tabs>
        <w:spacing w:before="55"/>
        <w:ind w:right="8"/>
        <w:jc w:val="center"/>
        <w:rPr>
          <w:rFonts w:cs="Times New Roman"/>
          <w:sz w:val="32"/>
          <w:szCs w:val="32"/>
        </w:rPr>
      </w:pPr>
      <w:r>
        <w:rPr>
          <w:rFonts w:ascii="Times New Roman" w:eastAsia="Times New Roman" w:cs="Times New Roman"/>
          <w:sz w:val="32"/>
          <w:szCs w:val="32"/>
          <w:u w:val="single"/>
        </w:rPr>
        <w:tab/>
      </w:r>
      <w:r>
        <w:rPr>
          <w:rFonts w:hint="eastAsia"/>
          <w:sz w:val="32"/>
          <w:szCs w:val="32"/>
        </w:rPr>
        <w:t>年</w:t>
      </w:r>
      <w:r>
        <w:rPr>
          <w:rFonts w:cs="Times New Roman"/>
          <w:sz w:val="32"/>
          <w:szCs w:val="32"/>
          <w:u w:val="single"/>
        </w:rPr>
        <w:tab/>
      </w:r>
      <w:r>
        <w:rPr>
          <w:rFonts w:hint="eastAsia"/>
          <w:sz w:val="32"/>
          <w:szCs w:val="32"/>
        </w:rPr>
        <w:t>月</w:t>
      </w:r>
      <w:r>
        <w:rPr>
          <w:rFonts w:cs="Times New Roman"/>
          <w:sz w:val="32"/>
          <w:szCs w:val="32"/>
          <w:u w:val="single"/>
        </w:rPr>
        <w:tab/>
      </w:r>
      <w:r>
        <w:rPr>
          <w:rFonts w:hint="eastAsia"/>
          <w:sz w:val="32"/>
          <w:szCs w:val="32"/>
        </w:rPr>
        <w:t>日</w:t>
      </w:r>
    </w:p>
    <w:p>
      <w:pPr>
        <w:jc w:val="center"/>
        <w:rPr>
          <w:rFonts w:cs="Times New Roman"/>
          <w:sz w:val="32"/>
          <w:szCs w:val="32"/>
        </w:rPr>
        <w:sectPr>
          <w:headerReference r:id="rId19" w:type="default"/>
          <w:pgSz w:w="11910" w:h="16850"/>
          <w:pgMar w:top="1418" w:right="1418" w:bottom="1418" w:left="1418" w:header="851" w:footer="964" w:gutter="0"/>
          <w:cols w:space="720" w:num="1"/>
          <w:docGrid w:linePitch="299" w:charSpace="0"/>
        </w:sectPr>
      </w:pPr>
    </w:p>
    <w:p>
      <w:pPr>
        <w:pStyle w:val="12"/>
        <w:spacing w:before="4"/>
        <w:rPr>
          <w:rFonts w:cs="Times New Roman"/>
          <w:sz w:val="22"/>
          <w:szCs w:val="22"/>
        </w:rPr>
      </w:pPr>
    </w:p>
    <w:p>
      <w:pPr>
        <w:tabs>
          <w:tab w:val="left" w:pos="1048"/>
        </w:tabs>
        <w:spacing w:before="58"/>
        <w:ind w:right="46"/>
        <w:jc w:val="center"/>
        <w:rPr>
          <w:rFonts w:cs="Times New Roman"/>
          <w:sz w:val="30"/>
          <w:szCs w:val="30"/>
        </w:rPr>
      </w:pPr>
      <w:r>
        <w:rPr>
          <w:rFonts w:hint="eastAsia"/>
          <w:sz w:val="30"/>
          <w:szCs w:val="30"/>
        </w:rPr>
        <w:t>目</w:t>
      </w:r>
      <w:r>
        <w:rPr>
          <w:rFonts w:cs="Times New Roman"/>
          <w:sz w:val="30"/>
          <w:szCs w:val="30"/>
        </w:rPr>
        <w:tab/>
      </w:r>
      <w:r>
        <w:rPr>
          <w:rFonts w:hint="eastAsia"/>
          <w:sz w:val="30"/>
          <w:szCs w:val="30"/>
        </w:rPr>
        <w:t>录</w:t>
      </w:r>
    </w:p>
    <w:p>
      <w:pPr>
        <w:pStyle w:val="12"/>
        <w:rPr>
          <w:rFonts w:cs="Times New Roman"/>
          <w:sz w:val="30"/>
          <w:szCs w:val="30"/>
        </w:rPr>
      </w:pPr>
    </w:p>
    <w:p>
      <w:pPr>
        <w:pStyle w:val="12"/>
        <w:spacing w:before="1"/>
        <w:rPr>
          <w:rFonts w:cs="Times New Roman"/>
          <w:sz w:val="33"/>
          <w:szCs w:val="33"/>
        </w:rPr>
      </w:pPr>
    </w:p>
    <w:p>
      <w:pPr>
        <w:pStyle w:val="10"/>
        <w:numPr>
          <w:ilvl w:val="0"/>
          <w:numId w:val="34"/>
        </w:numPr>
        <w:spacing w:before="1" w:line="360" w:lineRule="auto"/>
        <w:ind w:left="340"/>
        <w:rPr>
          <w:rFonts w:hint="eastAsia"/>
        </w:rPr>
      </w:pPr>
      <w:r>
        <w:rPr>
          <w:rFonts w:hint="eastAsia"/>
        </w:rPr>
        <w:t>投标函及投标函附录</w:t>
      </w:r>
    </w:p>
    <w:p>
      <w:pPr>
        <w:numPr>
          <w:ilvl w:val="0"/>
          <w:numId w:val="34"/>
        </w:numPr>
        <w:spacing w:line="360" w:lineRule="auto"/>
        <w:ind w:left="340" w:leftChars="0" w:firstLine="0" w:firstLineChars="0"/>
        <w:rPr>
          <w:rFonts w:hint="eastAsia"/>
          <w:lang w:val="en-US" w:eastAsia="zh-CN"/>
        </w:rPr>
      </w:pPr>
      <w:r>
        <w:rPr>
          <w:rFonts w:hint="eastAsia"/>
          <w:lang w:val="en-US" w:eastAsia="zh-CN"/>
        </w:rPr>
        <w:t>授权委托书或法定代表身份证明</w:t>
      </w:r>
    </w:p>
    <w:p>
      <w:pPr>
        <w:numPr>
          <w:ilvl w:val="0"/>
          <w:numId w:val="34"/>
        </w:numPr>
        <w:spacing w:line="360" w:lineRule="auto"/>
        <w:ind w:left="340" w:leftChars="0" w:firstLine="0" w:firstLineChars="0"/>
      </w:pPr>
      <w:r>
        <w:rPr>
          <w:rFonts w:hint="eastAsia"/>
          <w:lang w:val="en-US" w:eastAsia="zh-CN"/>
        </w:rPr>
        <w:t>施工组织设计</w:t>
      </w:r>
    </w:p>
    <w:p>
      <w:pPr>
        <w:numPr>
          <w:ilvl w:val="0"/>
          <w:numId w:val="34"/>
        </w:numPr>
        <w:spacing w:line="360" w:lineRule="auto"/>
        <w:ind w:left="340" w:leftChars="0" w:firstLine="0" w:firstLineChars="0"/>
      </w:pPr>
      <w:r>
        <w:rPr>
          <w:rFonts w:hint="eastAsia"/>
          <w:lang w:val="en-US" w:eastAsia="zh-CN"/>
        </w:rPr>
        <w:t>项目管理机构</w:t>
      </w:r>
    </w:p>
    <w:p>
      <w:pPr>
        <w:numPr>
          <w:ilvl w:val="0"/>
          <w:numId w:val="34"/>
        </w:numPr>
        <w:spacing w:line="360" w:lineRule="auto"/>
        <w:ind w:left="340" w:leftChars="0" w:firstLine="0" w:firstLineChars="0"/>
      </w:pPr>
      <w:r>
        <w:rPr>
          <w:rFonts w:hint="eastAsia"/>
          <w:lang w:val="en-US" w:eastAsia="zh-CN"/>
        </w:rPr>
        <w:t>资格审查资料</w:t>
      </w:r>
    </w:p>
    <w:p>
      <w:pPr>
        <w:numPr>
          <w:ilvl w:val="0"/>
          <w:numId w:val="34"/>
        </w:numPr>
        <w:spacing w:line="360" w:lineRule="auto"/>
        <w:ind w:left="340" w:leftChars="0" w:firstLine="0" w:firstLineChars="0"/>
      </w:pPr>
      <w:r>
        <w:rPr>
          <w:rFonts w:hint="eastAsia"/>
          <w:lang w:val="en-US" w:eastAsia="zh-CN"/>
        </w:rPr>
        <w:t xml:space="preserve">承诺函   </w:t>
      </w:r>
    </w:p>
    <w:p>
      <w:pPr>
        <w:spacing w:line="360" w:lineRule="auto"/>
        <w:ind w:left="340"/>
        <w:rPr>
          <w:rFonts w:cs="Times New Roman"/>
          <w:sz w:val="24"/>
          <w:szCs w:val="24"/>
        </w:rPr>
      </w:pPr>
      <w:r>
        <w:rPr>
          <w:rFonts w:hint="eastAsia"/>
          <w:sz w:val="24"/>
          <w:szCs w:val="24"/>
        </w:rPr>
        <w:t>七、其他资料</w:t>
      </w:r>
    </w:p>
    <w:p>
      <w:pPr>
        <w:pStyle w:val="2"/>
        <w:sectPr>
          <w:headerReference r:id="rId20" w:type="default"/>
          <w:pgSz w:w="11910" w:h="16850"/>
          <w:pgMar w:top="1418" w:right="1418" w:bottom="1418" w:left="1418" w:header="851" w:footer="964" w:gutter="0"/>
          <w:cols w:space="720" w:num="1"/>
          <w:docGrid w:linePitch="299" w:charSpace="0"/>
        </w:sectPr>
      </w:pPr>
    </w:p>
    <w:p>
      <w:pPr>
        <w:pStyle w:val="12"/>
        <w:spacing w:before="5"/>
        <w:rPr>
          <w:rFonts w:cs="Times New Roman"/>
          <w:sz w:val="9"/>
          <w:szCs w:val="9"/>
        </w:rPr>
      </w:pPr>
    </w:p>
    <w:p>
      <w:pPr>
        <w:spacing w:before="58"/>
        <w:ind w:left="108" w:right="142"/>
        <w:jc w:val="center"/>
        <w:rPr>
          <w:rFonts w:cs="Times New Roman"/>
          <w:sz w:val="30"/>
          <w:szCs w:val="30"/>
        </w:rPr>
      </w:pPr>
      <w:r>
        <w:rPr>
          <w:rFonts w:hint="eastAsia"/>
          <w:sz w:val="30"/>
          <w:szCs w:val="30"/>
        </w:rPr>
        <w:t>一、投标函及投标函附录</w:t>
      </w:r>
    </w:p>
    <w:p>
      <w:pPr>
        <w:pStyle w:val="12"/>
        <w:spacing w:before="1"/>
        <w:rPr>
          <w:rFonts w:cs="Times New Roman"/>
          <w:sz w:val="29"/>
          <w:szCs w:val="29"/>
        </w:rPr>
      </w:pPr>
    </w:p>
    <w:p>
      <w:pPr>
        <w:pStyle w:val="12"/>
        <w:ind w:left="106" w:right="142"/>
        <w:jc w:val="center"/>
        <w:rPr>
          <w:rFonts w:cs="Times New Roman"/>
        </w:rPr>
      </w:pPr>
      <w:r>
        <w:rPr>
          <w:rFonts w:hint="eastAsia"/>
        </w:rPr>
        <w:t>（一）</w:t>
      </w:r>
      <w:r>
        <w:t xml:space="preserve"> </w:t>
      </w:r>
      <w:r>
        <w:rPr>
          <w:rFonts w:hint="eastAsia"/>
        </w:rPr>
        <w:t>投</w:t>
      </w:r>
      <w:r>
        <w:t xml:space="preserve"> </w:t>
      </w:r>
      <w:r>
        <w:rPr>
          <w:rFonts w:hint="eastAsia"/>
        </w:rPr>
        <w:t>标</w:t>
      </w:r>
      <w:r>
        <w:t xml:space="preserve"> </w:t>
      </w:r>
      <w:r>
        <w:rPr>
          <w:rFonts w:hint="eastAsia"/>
        </w:rPr>
        <w:t>函</w:t>
      </w:r>
    </w:p>
    <w:p>
      <w:pPr>
        <w:pStyle w:val="12"/>
        <w:spacing w:before="7"/>
        <w:rPr>
          <w:rFonts w:cs="Times New Roman"/>
        </w:rPr>
      </w:pPr>
    </w:p>
    <w:p>
      <w:pPr>
        <w:pStyle w:val="12"/>
        <w:tabs>
          <w:tab w:val="left" w:pos="3563"/>
        </w:tabs>
        <w:spacing w:before="77"/>
        <w:ind w:left="684"/>
        <w:rPr>
          <w:rFonts w:cs="Times New Roman"/>
        </w:rPr>
      </w:pPr>
      <w:r>
        <w:rPr>
          <w:rFonts w:ascii="Times New Roman" w:eastAsia="Times New Roman" w:cs="Times New Roman"/>
          <w:u w:val="single"/>
        </w:rPr>
        <w:tab/>
      </w:r>
      <w:r>
        <w:rPr>
          <w:rFonts w:hint="eastAsia"/>
        </w:rPr>
        <w:t>（招标人名称）：</w:t>
      </w:r>
    </w:p>
    <w:p>
      <w:pPr>
        <w:pStyle w:val="49"/>
        <w:numPr>
          <w:ilvl w:val="0"/>
          <w:numId w:val="35"/>
        </w:numPr>
        <w:tabs>
          <w:tab w:val="left" w:pos="1407"/>
          <w:tab w:val="left" w:pos="5263"/>
          <w:tab w:val="left" w:pos="7792"/>
        </w:tabs>
        <w:spacing w:before="177" w:line="283" w:lineRule="auto"/>
        <w:ind w:right="564" w:firstLine="480"/>
        <w:jc w:val="both"/>
        <w:rPr>
          <w:rFonts w:cs="Times New Roman"/>
          <w:sz w:val="21"/>
          <w:szCs w:val="21"/>
        </w:rPr>
      </w:pPr>
      <w:r>
        <w:rPr>
          <w:rFonts w:hint="eastAsia"/>
          <w:sz w:val="21"/>
          <w:szCs w:val="21"/>
        </w:rPr>
        <w:t>我方已仔细研究</w:t>
      </w:r>
      <w:r>
        <w:rPr>
          <w:rFonts w:cs="Times New Roman"/>
          <w:sz w:val="21"/>
          <w:szCs w:val="21"/>
          <w:u w:val="single"/>
        </w:rPr>
        <w:tab/>
      </w:r>
      <w:r>
        <w:rPr>
          <w:rFonts w:hint="eastAsia"/>
          <w:sz w:val="21"/>
          <w:szCs w:val="21"/>
        </w:rPr>
        <w:t>（项目名称）</w:t>
      </w:r>
      <w:r>
        <w:rPr>
          <w:rFonts w:cs="Times New Roman"/>
          <w:sz w:val="21"/>
          <w:szCs w:val="21"/>
          <w:u w:val="single"/>
        </w:rPr>
        <w:tab/>
      </w:r>
      <w:r>
        <w:rPr>
          <w:rFonts w:hint="eastAsia"/>
          <w:sz w:val="21"/>
          <w:szCs w:val="21"/>
        </w:rPr>
        <w:t>标段</w:t>
      </w:r>
      <w:r>
        <w:rPr>
          <w:rFonts w:hint="eastAsia"/>
          <w:spacing w:val="4"/>
          <w:sz w:val="21"/>
          <w:szCs w:val="21"/>
        </w:rPr>
        <w:t>施</w:t>
      </w:r>
      <w:r>
        <w:rPr>
          <w:rFonts w:hint="eastAsia"/>
          <w:sz w:val="21"/>
          <w:szCs w:val="21"/>
        </w:rPr>
        <w:t>工招</w:t>
      </w:r>
      <w:r>
        <w:rPr>
          <w:rFonts w:hint="eastAsia"/>
          <w:spacing w:val="-25"/>
          <w:sz w:val="21"/>
          <w:szCs w:val="21"/>
        </w:rPr>
        <w:t>标</w:t>
      </w:r>
      <w:r>
        <w:rPr>
          <w:rFonts w:hint="eastAsia"/>
          <w:sz w:val="21"/>
          <w:szCs w:val="21"/>
        </w:rPr>
        <w:t>文件的全部内</w:t>
      </w:r>
      <w:r>
        <w:rPr>
          <w:rFonts w:hint="eastAsia"/>
          <w:spacing w:val="-56"/>
          <w:sz w:val="21"/>
          <w:szCs w:val="21"/>
        </w:rPr>
        <w:t>容</w:t>
      </w:r>
      <w:r>
        <w:rPr>
          <w:rFonts w:hint="eastAsia"/>
          <w:sz w:val="21"/>
          <w:szCs w:val="21"/>
        </w:rPr>
        <w:t>（含补遗书第号至第号</w:t>
      </w:r>
      <w:r>
        <w:rPr>
          <w:rFonts w:hint="eastAsia"/>
          <w:spacing w:val="-149"/>
          <w:sz w:val="21"/>
          <w:szCs w:val="21"/>
        </w:rPr>
        <w:t>），</w:t>
      </w:r>
      <w:r>
        <w:rPr>
          <w:rFonts w:hint="eastAsia"/>
          <w:sz w:val="21"/>
          <w:szCs w:val="21"/>
        </w:rPr>
        <w:t>在考察工程现场后</w:t>
      </w:r>
      <w:r>
        <w:rPr>
          <w:rFonts w:hint="eastAsia"/>
          <w:spacing w:val="-56"/>
          <w:sz w:val="21"/>
          <w:szCs w:val="21"/>
        </w:rPr>
        <w:t>，</w:t>
      </w:r>
      <w:r>
        <w:rPr>
          <w:rFonts w:hint="eastAsia"/>
          <w:sz w:val="21"/>
          <w:szCs w:val="21"/>
        </w:rPr>
        <w:t>愿意以第二个信封（报价文件）</w:t>
      </w:r>
      <w:r>
        <w:rPr>
          <w:sz w:val="21"/>
          <w:szCs w:val="21"/>
        </w:rPr>
        <w:t xml:space="preserve"> </w:t>
      </w:r>
      <w:r>
        <w:rPr>
          <w:rFonts w:hint="eastAsia"/>
          <w:sz w:val="21"/>
          <w:szCs w:val="21"/>
        </w:rPr>
        <w:t>中的投标总报价（或根据招标文件规定修正核实后确定的另一金额），按合同约定实施和完成承包工程，修补工程中的任何缺陷。</w:t>
      </w:r>
    </w:p>
    <w:p>
      <w:pPr>
        <w:pStyle w:val="49"/>
        <w:numPr>
          <w:ilvl w:val="0"/>
          <w:numId w:val="35"/>
        </w:numPr>
        <w:tabs>
          <w:tab w:val="left" w:pos="1407"/>
        </w:tabs>
        <w:spacing w:before="2"/>
        <w:ind w:left="1406"/>
        <w:rPr>
          <w:rFonts w:cs="Times New Roman"/>
          <w:sz w:val="21"/>
          <w:szCs w:val="21"/>
        </w:rPr>
      </w:pPr>
      <w:r>
        <w:rPr>
          <w:rFonts w:hint="eastAsia"/>
          <w:sz w:val="21"/>
          <w:szCs w:val="21"/>
        </w:rPr>
        <w:t>我方承诺在招标文件规定的投标有效期内不撤销投标文件。</w:t>
      </w:r>
    </w:p>
    <w:p>
      <w:pPr>
        <w:pStyle w:val="49"/>
        <w:numPr>
          <w:ilvl w:val="0"/>
          <w:numId w:val="35"/>
        </w:numPr>
        <w:tabs>
          <w:tab w:val="left" w:pos="1407"/>
          <w:tab w:val="left" w:pos="3923"/>
          <w:tab w:val="left" w:pos="6683"/>
          <w:tab w:val="left" w:pos="8123"/>
        </w:tabs>
        <w:spacing w:before="55"/>
        <w:ind w:left="1406"/>
        <w:rPr>
          <w:rFonts w:cs="Times New Roman"/>
          <w:sz w:val="21"/>
          <w:szCs w:val="21"/>
        </w:rPr>
      </w:pPr>
      <w:r>
        <w:rPr>
          <w:rFonts w:hint="eastAsia"/>
          <w:sz w:val="21"/>
          <w:szCs w:val="21"/>
        </w:rPr>
        <w:t>工程质量：</w:t>
      </w:r>
      <w:r>
        <w:rPr>
          <w:rFonts w:cs="Times New Roman"/>
          <w:sz w:val="21"/>
          <w:szCs w:val="21"/>
          <w:u w:val="single"/>
        </w:rPr>
        <w:tab/>
      </w:r>
      <w:r>
        <w:rPr>
          <w:rFonts w:hint="eastAsia"/>
          <w:sz w:val="21"/>
          <w:szCs w:val="21"/>
        </w:rPr>
        <w:t>，安全目标：</w:t>
      </w:r>
      <w:r>
        <w:rPr>
          <w:rFonts w:cs="Times New Roman"/>
          <w:sz w:val="21"/>
          <w:szCs w:val="21"/>
          <w:u w:val="single"/>
        </w:rPr>
        <w:tab/>
      </w:r>
      <w:r>
        <w:rPr>
          <w:rFonts w:hint="eastAsia"/>
          <w:sz w:val="21"/>
          <w:szCs w:val="21"/>
        </w:rPr>
        <w:t>，工期：</w:t>
      </w:r>
      <w:r>
        <w:rPr>
          <w:rFonts w:cs="Times New Roman"/>
          <w:sz w:val="21"/>
          <w:szCs w:val="21"/>
          <w:u w:val="single"/>
        </w:rPr>
        <w:tab/>
      </w:r>
      <w:r>
        <w:rPr>
          <w:rFonts w:hint="eastAsia"/>
          <w:sz w:val="21"/>
          <w:szCs w:val="21"/>
        </w:rPr>
        <w:t>日历日。</w:t>
      </w:r>
    </w:p>
    <w:p>
      <w:pPr>
        <w:pStyle w:val="49"/>
        <w:numPr>
          <w:ilvl w:val="0"/>
          <w:numId w:val="35"/>
        </w:numPr>
        <w:tabs>
          <w:tab w:val="left" w:pos="1407"/>
        </w:tabs>
        <w:spacing w:before="55"/>
        <w:ind w:left="1406"/>
        <w:rPr>
          <w:rFonts w:cs="Times New Roman"/>
          <w:sz w:val="21"/>
          <w:szCs w:val="21"/>
        </w:rPr>
      </w:pPr>
      <w:r>
        <w:rPr>
          <w:rFonts w:hint="eastAsia"/>
          <w:sz w:val="21"/>
          <w:szCs w:val="21"/>
        </w:rPr>
        <w:t>如我方中标，我方承诺：</w:t>
      </w:r>
    </w:p>
    <w:p>
      <w:pPr>
        <w:pStyle w:val="49"/>
        <w:numPr>
          <w:ilvl w:val="0"/>
          <w:numId w:val="36"/>
        </w:numPr>
        <w:tabs>
          <w:tab w:val="left" w:pos="1647"/>
        </w:tabs>
        <w:spacing w:before="59"/>
        <w:rPr>
          <w:rFonts w:cs="Times New Roman"/>
          <w:sz w:val="21"/>
          <w:szCs w:val="21"/>
        </w:rPr>
      </w:pPr>
      <w:r>
        <w:rPr>
          <w:rFonts w:hint="eastAsia"/>
          <w:sz w:val="21"/>
          <w:szCs w:val="21"/>
        </w:rPr>
        <w:t>在收到中标通知书后，在中标通知书规定的期限内与你方签订合同；</w:t>
      </w:r>
    </w:p>
    <w:p>
      <w:pPr>
        <w:pStyle w:val="49"/>
        <w:numPr>
          <w:ilvl w:val="0"/>
          <w:numId w:val="36"/>
        </w:numPr>
        <w:tabs>
          <w:tab w:val="left" w:pos="1647"/>
        </w:tabs>
        <w:spacing w:before="52"/>
        <w:rPr>
          <w:rFonts w:cs="Times New Roman"/>
          <w:sz w:val="21"/>
          <w:szCs w:val="21"/>
        </w:rPr>
      </w:pPr>
      <w:r>
        <w:rPr>
          <w:rFonts w:hint="eastAsia"/>
          <w:sz w:val="21"/>
          <w:szCs w:val="21"/>
        </w:rPr>
        <w:t>在签订合同时不向你方提出附加条件；</w:t>
      </w:r>
    </w:p>
    <w:p>
      <w:pPr>
        <w:pStyle w:val="49"/>
        <w:numPr>
          <w:ilvl w:val="0"/>
          <w:numId w:val="36"/>
        </w:numPr>
        <w:tabs>
          <w:tab w:val="left" w:pos="1647"/>
        </w:tabs>
        <w:spacing w:before="54"/>
        <w:rPr>
          <w:rFonts w:cs="Times New Roman"/>
          <w:sz w:val="21"/>
          <w:szCs w:val="21"/>
        </w:rPr>
      </w:pPr>
      <w:r>
        <w:rPr>
          <w:rFonts w:hint="eastAsia"/>
          <w:sz w:val="21"/>
          <w:szCs w:val="21"/>
        </w:rPr>
        <w:t>按照招标文件要求提交履约保证金；</w:t>
      </w:r>
    </w:p>
    <w:p>
      <w:pPr>
        <w:pStyle w:val="49"/>
        <w:numPr>
          <w:ilvl w:val="0"/>
          <w:numId w:val="36"/>
        </w:numPr>
        <w:tabs>
          <w:tab w:val="left" w:pos="1647"/>
        </w:tabs>
        <w:spacing w:before="52"/>
        <w:rPr>
          <w:rFonts w:cs="Times New Roman"/>
          <w:sz w:val="21"/>
          <w:szCs w:val="21"/>
        </w:rPr>
      </w:pPr>
      <w:r>
        <w:rPr>
          <w:rFonts w:hint="eastAsia"/>
          <w:sz w:val="21"/>
          <w:szCs w:val="21"/>
        </w:rPr>
        <w:t>在合同约定的期限内完成合同规定的全部义务；</w:t>
      </w:r>
    </w:p>
    <w:p>
      <w:pPr>
        <w:pStyle w:val="49"/>
        <w:numPr>
          <w:ilvl w:val="0"/>
          <w:numId w:val="36"/>
        </w:numPr>
        <w:tabs>
          <w:tab w:val="left" w:pos="1647"/>
        </w:tabs>
        <w:spacing w:before="51" w:line="283" w:lineRule="auto"/>
        <w:ind w:left="564" w:right="595" w:firstLine="480"/>
        <w:jc w:val="both"/>
        <w:rPr>
          <w:rFonts w:cs="Times New Roman"/>
          <w:sz w:val="21"/>
          <w:szCs w:val="21"/>
        </w:rPr>
      </w:pPr>
      <w:r>
        <w:rPr>
          <w:rFonts w:hint="eastAsia"/>
          <w:sz w:val="21"/>
          <w:szCs w:val="21"/>
        </w:rPr>
        <w:t>在你方和我方进行合同谈判之前，我方将按照合同附件提出的最低要求填报派驻本标段的其他管理和技术人员及主要机械设备和试验检测设备，经你方审批后作为派驻本标段的项目管理</w:t>
      </w:r>
      <w:r>
        <w:rPr>
          <w:rFonts w:hint="eastAsia"/>
          <w:spacing w:val="-10"/>
          <w:w w:val="95"/>
          <w:sz w:val="21"/>
          <w:szCs w:val="21"/>
        </w:rPr>
        <w:t>机构</w:t>
      </w:r>
      <w:r>
        <w:rPr>
          <w:rFonts w:hint="eastAsia"/>
          <w:sz w:val="21"/>
          <w:szCs w:val="21"/>
        </w:rPr>
        <w:t>主要人员和主要设备且不进行更换。如我方拟派驻的人员和设备不满足合同附件要求，你方</w:t>
      </w:r>
      <w:r>
        <w:rPr>
          <w:rFonts w:hint="eastAsia"/>
          <w:spacing w:val="-8"/>
          <w:sz w:val="21"/>
          <w:szCs w:val="21"/>
        </w:rPr>
        <w:t>有权取消我方中标资格。</w:t>
      </w:r>
    </w:p>
    <w:p>
      <w:pPr>
        <w:pStyle w:val="49"/>
        <w:numPr>
          <w:ilvl w:val="0"/>
          <w:numId w:val="35"/>
        </w:numPr>
        <w:tabs>
          <w:tab w:val="left" w:pos="1407"/>
        </w:tabs>
        <w:spacing w:line="285" w:lineRule="auto"/>
        <w:ind w:right="595" w:firstLine="480"/>
        <w:rPr>
          <w:rFonts w:cs="Times New Roman"/>
          <w:sz w:val="21"/>
          <w:szCs w:val="21"/>
        </w:rPr>
      </w:pPr>
      <w:r>
        <w:rPr>
          <w:rFonts w:hint="eastAsia"/>
          <w:spacing w:val="-16"/>
          <w:sz w:val="21"/>
          <w:szCs w:val="21"/>
        </w:rPr>
        <w:t>我方在此声明，所递交的投标文件及有关资料内容完整、真实和准确，且</w:t>
      </w:r>
      <w:r>
        <w:rPr>
          <w:spacing w:val="-16"/>
          <w:sz w:val="21"/>
          <w:szCs w:val="21"/>
        </w:rPr>
        <w:t xml:space="preserve"> </w:t>
      </w:r>
      <w:r>
        <w:rPr>
          <w:rFonts w:hint="eastAsia"/>
          <w:spacing w:val="-16"/>
          <w:sz w:val="21"/>
          <w:szCs w:val="21"/>
        </w:rPr>
        <w:t>不存在招标文件</w:t>
      </w:r>
      <w:r>
        <w:rPr>
          <w:rFonts w:hint="eastAsia"/>
          <w:spacing w:val="-7"/>
          <w:sz w:val="21"/>
          <w:szCs w:val="21"/>
        </w:rPr>
        <w:t>第二章“投标人须知”第</w:t>
      </w:r>
      <w:r>
        <w:rPr>
          <w:sz w:val="21"/>
          <w:szCs w:val="21"/>
        </w:rPr>
        <w:t>1.4.3</w:t>
      </w:r>
      <w:r>
        <w:rPr>
          <w:spacing w:val="-27"/>
          <w:sz w:val="21"/>
          <w:szCs w:val="21"/>
        </w:rPr>
        <w:t xml:space="preserve"> </w:t>
      </w:r>
      <w:r>
        <w:rPr>
          <w:rFonts w:hint="eastAsia"/>
          <w:spacing w:val="-27"/>
          <w:sz w:val="21"/>
          <w:szCs w:val="21"/>
        </w:rPr>
        <w:t>项和第</w:t>
      </w:r>
      <w:r>
        <w:rPr>
          <w:spacing w:val="-27"/>
          <w:sz w:val="21"/>
          <w:szCs w:val="21"/>
        </w:rPr>
        <w:t xml:space="preserve"> </w:t>
      </w:r>
      <w:r>
        <w:rPr>
          <w:sz w:val="21"/>
          <w:szCs w:val="21"/>
        </w:rPr>
        <w:t>1.4.4</w:t>
      </w:r>
      <w:r>
        <w:rPr>
          <w:spacing w:val="-1"/>
          <w:sz w:val="21"/>
          <w:szCs w:val="21"/>
        </w:rPr>
        <w:t xml:space="preserve"> </w:t>
      </w:r>
      <w:r>
        <w:rPr>
          <w:rFonts w:hint="eastAsia"/>
          <w:spacing w:val="-1"/>
          <w:sz w:val="21"/>
          <w:szCs w:val="21"/>
        </w:rPr>
        <w:t>项规定的任何一种情形。</w:t>
      </w:r>
    </w:p>
    <w:p>
      <w:pPr>
        <w:pStyle w:val="49"/>
        <w:numPr>
          <w:ilvl w:val="0"/>
          <w:numId w:val="35"/>
        </w:numPr>
        <w:tabs>
          <w:tab w:val="left" w:pos="1407"/>
        </w:tabs>
        <w:spacing w:line="285" w:lineRule="auto"/>
        <w:ind w:right="694" w:firstLine="480"/>
        <w:rPr>
          <w:rFonts w:cs="Times New Roman"/>
          <w:sz w:val="21"/>
          <w:szCs w:val="21"/>
        </w:rPr>
      </w:pPr>
      <w:r>
        <w:rPr>
          <w:rFonts w:hint="eastAsia"/>
          <w:spacing w:val="-16"/>
          <w:sz w:val="21"/>
          <w:szCs w:val="21"/>
        </w:rPr>
        <w:t>在合同协议书正式签署生效之前，本投标函连同你方的中标通知书将构成我们双方之间</w:t>
      </w:r>
      <w:r>
        <w:rPr>
          <w:rFonts w:hint="eastAsia"/>
          <w:spacing w:val="-8"/>
          <w:sz w:val="21"/>
          <w:szCs w:val="21"/>
        </w:rPr>
        <w:t>共同遵守的文件，对双方具有约束力。</w:t>
      </w:r>
    </w:p>
    <w:p>
      <w:pPr>
        <w:pStyle w:val="49"/>
        <w:numPr>
          <w:ilvl w:val="0"/>
          <w:numId w:val="35"/>
        </w:numPr>
        <w:tabs>
          <w:tab w:val="left" w:pos="1406"/>
          <w:tab w:val="left" w:pos="6083"/>
        </w:tabs>
        <w:spacing w:line="265" w:lineRule="exact"/>
        <w:ind w:left="1406" w:hanging="362"/>
        <w:rPr>
          <w:rFonts w:cs="Times New Roman"/>
          <w:sz w:val="21"/>
          <w:szCs w:val="21"/>
        </w:rPr>
      </w:pPr>
      <w:r>
        <w:rPr>
          <w:rFonts w:ascii="Times New Roman" w:eastAsia="Times New Roman" w:cs="Times New Roman"/>
          <w:u w:val="single"/>
        </w:rPr>
        <w:tab/>
      </w:r>
      <w:r>
        <w:rPr>
          <w:rFonts w:hint="eastAsia"/>
          <w:sz w:val="21"/>
          <w:szCs w:val="21"/>
        </w:rPr>
        <w:t>（其他补充说明</w:t>
      </w:r>
      <w:r>
        <w:rPr>
          <w:rFonts w:hint="eastAsia"/>
          <w:spacing w:val="-209"/>
          <w:sz w:val="21"/>
          <w:szCs w:val="21"/>
        </w:rPr>
        <w:t>）</w:t>
      </w:r>
      <w:r>
        <w:rPr>
          <w:rFonts w:hint="eastAsia"/>
          <w:sz w:val="21"/>
          <w:szCs w:val="21"/>
        </w:rPr>
        <w:t>。</w:t>
      </w:r>
    </w:p>
    <w:p>
      <w:pPr>
        <w:pStyle w:val="12"/>
        <w:spacing w:before="2"/>
        <w:rPr>
          <w:rFonts w:cs="Times New Roman"/>
        </w:rPr>
      </w:pPr>
    </w:p>
    <w:p>
      <w:pPr>
        <w:pStyle w:val="12"/>
        <w:tabs>
          <w:tab w:val="left" w:pos="7689"/>
        </w:tabs>
        <w:spacing w:line="285" w:lineRule="auto"/>
        <w:ind w:left="3984" w:right="2"/>
        <w:jc w:val="both"/>
        <w:rPr>
          <w:rFonts w:cs="Times New Roman"/>
        </w:rPr>
      </w:pPr>
      <w:r>
        <w:rPr>
          <w:rFonts w:hint="eastAsia"/>
        </w:rPr>
        <w:t>投</w:t>
      </w:r>
      <w:r>
        <w:t xml:space="preserve"> </w:t>
      </w:r>
      <w:r>
        <w:rPr>
          <w:rFonts w:hint="eastAsia"/>
        </w:rPr>
        <w:t>标人</w:t>
      </w:r>
      <w:r>
        <w:rPr>
          <w:rFonts w:hint="eastAsia"/>
          <w:spacing w:val="-15"/>
        </w:rPr>
        <w:t>：</w:t>
      </w:r>
      <w:r>
        <w:rPr>
          <w:rFonts w:cs="Times New Roman"/>
          <w:spacing w:val="-15"/>
          <w:u w:val="single"/>
        </w:rPr>
        <w:tab/>
      </w:r>
      <w:r>
        <w:rPr>
          <w:rFonts w:hint="eastAsia"/>
        </w:rPr>
        <w:t>（盖单位章）</w:t>
      </w:r>
      <w:r>
        <w:t xml:space="preserve"> </w:t>
      </w:r>
      <w:r>
        <w:rPr>
          <w:rFonts w:hint="eastAsia"/>
        </w:rPr>
        <w:t>法定代表人或其委托代理人</w:t>
      </w:r>
      <w:r>
        <w:rPr>
          <w:rFonts w:hint="eastAsia"/>
          <w:spacing w:val="-22"/>
        </w:rPr>
        <w:t>：</w:t>
      </w:r>
      <w:r>
        <w:rPr>
          <w:rFonts w:cs="Times New Roman"/>
          <w:spacing w:val="-22"/>
          <w:u w:val="single"/>
        </w:rPr>
        <w:tab/>
      </w:r>
      <w:r>
        <w:rPr>
          <w:rFonts w:cs="Times New Roman"/>
          <w:spacing w:val="-22"/>
          <w:u w:val="single"/>
        </w:rPr>
        <w:tab/>
      </w:r>
      <w:r>
        <w:rPr>
          <w:rFonts w:hint="eastAsia"/>
        </w:rPr>
        <w:t>（签字</w:t>
      </w:r>
      <w:r>
        <w:rPr>
          <w:rFonts w:hint="eastAsia"/>
          <w:spacing w:val="-15"/>
        </w:rPr>
        <w:t>）</w:t>
      </w:r>
    </w:p>
    <w:p>
      <w:pPr>
        <w:pStyle w:val="12"/>
        <w:tabs>
          <w:tab w:val="left" w:pos="8970"/>
        </w:tabs>
        <w:spacing w:line="283" w:lineRule="auto"/>
        <w:ind w:left="3984" w:right="2"/>
        <w:jc w:val="both"/>
        <w:rPr>
          <w:rFonts w:ascii="Times New Roman" w:cs="Times New Roman" w:eastAsiaTheme="minorEastAsia"/>
          <w:u w:val="single"/>
        </w:rPr>
      </w:pPr>
      <w:r>
        <w:rPr>
          <w:rFonts w:hint="eastAsia"/>
        </w:rPr>
        <w:t>地</w:t>
      </w:r>
      <w:r>
        <w:t xml:space="preserve">   </w:t>
      </w:r>
      <w:r>
        <w:rPr>
          <w:rFonts w:hint="eastAsia"/>
        </w:rPr>
        <w:t>址：</w:t>
      </w:r>
      <w:r>
        <w:rPr>
          <w:rFonts w:ascii="Times New Roman" w:eastAsia="Times New Roman" w:cs="Times New Roman"/>
          <w:u w:val="single"/>
        </w:rPr>
        <w:tab/>
      </w:r>
    </w:p>
    <w:p>
      <w:pPr>
        <w:pStyle w:val="12"/>
        <w:tabs>
          <w:tab w:val="left" w:pos="9072"/>
        </w:tabs>
        <w:spacing w:line="283" w:lineRule="auto"/>
        <w:ind w:left="3984" w:right="2"/>
        <w:jc w:val="both"/>
        <w:rPr>
          <w:rFonts w:ascii="Times New Roman" w:cs="Times New Roman" w:eastAsiaTheme="minorEastAsia"/>
          <w:u w:val="single"/>
        </w:rPr>
      </w:pPr>
      <w:r>
        <w:rPr>
          <w:rFonts w:hint="eastAsia"/>
        </w:rPr>
        <w:t>网</w:t>
      </w:r>
      <w:r>
        <w:t xml:space="preserve">   </w:t>
      </w:r>
      <w:r>
        <w:rPr>
          <w:rFonts w:hint="eastAsia"/>
        </w:rPr>
        <w:t>址：</w:t>
      </w:r>
      <w:r>
        <w:rPr>
          <w:rFonts w:ascii="Times New Roman" w:eastAsia="Times New Roman" w:cs="Times New Roman"/>
          <w:u w:val="single"/>
        </w:rPr>
        <w:tab/>
      </w:r>
    </w:p>
    <w:p>
      <w:pPr>
        <w:pStyle w:val="12"/>
        <w:tabs>
          <w:tab w:val="left" w:pos="9072"/>
        </w:tabs>
        <w:spacing w:line="283" w:lineRule="auto"/>
        <w:ind w:left="3984" w:right="2"/>
        <w:jc w:val="both"/>
        <w:rPr>
          <w:rFonts w:ascii="Times New Roman" w:cs="Times New Roman" w:eastAsiaTheme="minorEastAsia"/>
          <w:u w:val="single"/>
        </w:rPr>
      </w:pPr>
      <w:r>
        <w:rPr>
          <w:rFonts w:hint="eastAsia"/>
        </w:rPr>
        <w:t>电</w:t>
      </w:r>
      <w:r>
        <w:t xml:space="preserve">   </w:t>
      </w:r>
      <w:r>
        <w:rPr>
          <w:rFonts w:hint="eastAsia"/>
        </w:rPr>
        <w:t>话：</w:t>
      </w:r>
      <w:r>
        <w:rPr>
          <w:rFonts w:ascii="Times New Roman" w:eastAsia="Times New Roman" w:cs="Times New Roman"/>
          <w:u w:val="single"/>
        </w:rPr>
        <w:tab/>
      </w:r>
    </w:p>
    <w:p>
      <w:pPr>
        <w:pStyle w:val="12"/>
        <w:tabs>
          <w:tab w:val="left" w:pos="9072"/>
        </w:tabs>
        <w:spacing w:line="283" w:lineRule="auto"/>
        <w:ind w:left="3984" w:right="2"/>
        <w:jc w:val="both"/>
        <w:rPr>
          <w:rFonts w:ascii="Times New Roman" w:cs="Times New Roman" w:eastAsiaTheme="minorEastAsia"/>
          <w:u w:val="single"/>
        </w:rPr>
      </w:pPr>
      <w:r>
        <w:rPr>
          <w:rFonts w:hint="eastAsia"/>
        </w:rPr>
        <w:t>传</w:t>
      </w:r>
      <w:r>
        <w:t xml:space="preserve">   </w:t>
      </w:r>
      <w:r>
        <w:rPr>
          <w:rFonts w:hint="eastAsia"/>
        </w:rPr>
        <w:t>真：</w:t>
      </w:r>
      <w:r>
        <w:rPr>
          <w:rFonts w:ascii="Times New Roman" w:eastAsia="Times New Roman" w:cs="Times New Roman"/>
          <w:u w:val="single"/>
        </w:rPr>
        <w:tab/>
      </w:r>
    </w:p>
    <w:p>
      <w:pPr>
        <w:pStyle w:val="12"/>
        <w:tabs>
          <w:tab w:val="left" w:pos="9072"/>
        </w:tabs>
        <w:spacing w:line="283" w:lineRule="auto"/>
        <w:ind w:left="3984" w:right="2"/>
        <w:jc w:val="both"/>
        <w:rPr>
          <w:rFonts w:ascii="Times New Roman" w:eastAsia="Times New Roman" w:cs="Times New Roman"/>
        </w:rPr>
      </w:pPr>
      <w:r>
        <w:rPr>
          <w:rFonts w:hint="eastAsia"/>
          <w:w w:val="95"/>
        </w:rPr>
        <w:t>邮政编码：</w:t>
      </w:r>
      <w:r>
        <w:rPr>
          <w:rFonts w:ascii="Times New Roman" w:eastAsia="Times New Roman" w:cs="Times New Roman"/>
          <w:u w:val="single"/>
        </w:rPr>
        <w:tab/>
      </w:r>
    </w:p>
    <w:p>
      <w:pPr>
        <w:pStyle w:val="12"/>
        <w:spacing w:before="11"/>
        <w:ind w:right="2"/>
        <w:rPr>
          <w:rFonts w:ascii="Times New Roman" w:cs="Times New Roman"/>
          <w:sz w:val="23"/>
          <w:szCs w:val="23"/>
        </w:rPr>
      </w:pPr>
    </w:p>
    <w:p>
      <w:pPr>
        <w:pStyle w:val="12"/>
        <w:tabs>
          <w:tab w:val="left" w:pos="6383"/>
          <w:tab w:val="left" w:pos="7463"/>
          <w:tab w:val="left" w:pos="8543"/>
        </w:tabs>
        <w:spacing w:before="70"/>
        <w:ind w:left="5304" w:right="2"/>
        <w:rPr>
          <w:rFonts w:cs="Times New Roman"/>
        </w:rPr>
      </w:pPr>
      <w:r>
        <w:rPr>
          <w:rFonts w:ascii="Times New Roman"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rPr>
          <w:rFonts w:cs="Times New Roman"/>
        </w:rPr>
        <w:sectPr>
          <w:headerReference r:id="rId21" w:type="default"/>
          <w:pgSz w:w="11910" w:h="16850"/>
          <w:pgMar w:top="1418" w:right="1418" w:bottom="1418" w:left="1418" w:header="851" w:footer="964" w:gutter="0"/>
          <w:cols w:space="720" w:num="1"/>
        </w:sectPr>
      </w:pPr>
    </w:p>
    <w:p>
      <w:pPr>
        <w:pStyle w:val="12"/>
        <w:spacing w:before="1"/>
        <w:rPr>
          <w:rFonts w:cs="Times New Roman"/>
          <w:sz w:val="17"/>
          <w:szCs w:val="17"/>
        </w:rPr>
      </w:pPr>
    </w:p>
    <w:p>
      <w:pPr>
        <w:pStyle w:val="3"/>
        <w:spacing w:beforeLines="50" w:afterLines="100" w:line="360" w:lineRule="exact"/>
        <w:rPr>
          <w:rFonts w:cs="Times New Roman"/>
          <w:sz w:val="21"/>
          <w:szCs w:val="21"/>
        </w:rPr>
      </w:pPr>
      <w:bookmarkStart w:id="919" w:name="（二）投标函附录"/>
      <w:bookmarkEnd w:id="919"/>
      <w:bookmarkStart w:id="920" w:name="_Toc309397577"/>
      <w:bookmarkStart w:id="921" w:name="_Toc273146775"/>
      <w:r>
        <w:rPr>
          <w:rFonts w:hint="eastAsia" w:ascii="黑体" w:eastAsia="黑体" w:cs="黑体"/>
          <w:sz w:val="28"/>
          <w:szCs w:val="28"/>
        </w:rPr>
        <w:t>（二）投标函附录</w:t>
      </w:r>
      <w:bookmarkEnd w:id="920"/>
      <w:bookmarkEnd w:id="921"/>
    </w:p>
    <w:tbl>
      <w:tblPr>
        <w:tblStyle w:val="20"/>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tcBorders>
              <w:top w:val="single" w:color="auto" w:sz="12" w:space="0"/>
            </w:tcBorders>
            <w:noWrap/>
            <w:vAlign w:val="center"/>
          </w:tcPr>
          <w:p>
            <w:pPr>
              <w:jc w:val="center"/>
              <w:rPr>
                <w:rFonts w:cs="Times New Roman"/>
              </w:rPr>
            </w:pPr>
            <w:r>
              <w:rPr>
                <w:rFonts w:hint="eastAsia"/>
              </w:rPr>
              <w:t>序号</w:t>
            </w:r>
          </w:p>
        </w:tc>
        <w:tc>
          <w:tcPr>
            <w:tcW w:w="2693" w:type="dxa"/>
            <w:tcBorders>
              <w:top w:val="single" w:color="auto" w:sz="12" w:space="0"/>
            </w:tcBorders>
            <w:noWrap/>
            <w:vAlign w:val="center"/>
          </w:tcPr>
          <w:p>
            <w:pPr>
              <w:jc w:val="center"/>
              <w:rPr>
                <w:rFonts w:cs="Times New Roman"/>
              </w:rPr>
            </w:pPr>
            <w:r>
              <w:rPr>
                <w:rFonts w:hint="eastAsia"/>
              </w:rPr>
              <w:t>条款名称</w:t>
            </w:r>
          </w:p>
        </w:tc>
        <w:tc>
          <w:tcPr>
            <w:tcW w:w="1417" w:type="dxa"/>
            <w:tcBorders>
              <w:top w:val="single" w:color="auto" w:sz="12" w:space="0"/>
            </w:tcBorders>
            <w:noWrap/>
            <w:vAlign w:val="center"/>
          </w:tcPr>
          <w:p>
            <w:pPr>
              <w:jc w:val="center"/>
              <w:rPr>
                <w:rFonts w:cs="Times New Roman"/>
              </w:rPr>
            </w:pPr>
            <w:r>
              <w:rPr>
                <w:rFonts w:hint="eastAsia"/>
              </w:rPr>
              <w:t>合同条目号</w:t>
            </w:r>
          </w:p>
        </w:tc>
        <w:tc>
          <w:tcPr>
            <w:tcW w:w="3686" w:type="dxa"/>
            <w:tcBorders>
              <w:top w:val="single" w:color="auto" w:sz="12" w:space="0"/>
            </w:tcBorders>
            <w:noWrap/>
            <w:vAlign w:val="center"/>
          </w:tcPr>
          <w:p>
            <w:pPr>
              <w:jc w:val="center"/>
              <w:rPr>
                <w:rFonts w:cs="Times New Roman"/>
              </w:rPr>
            </w:pPr>
            <w:r>
              <w:rPr>
                <w:rFonts w:hint="eastAsia"/>
              </w:rPr>
              <w:t>约定内容</w:t>
            </w:r>
          </w:p>
        </w:tc>
        <w:tc>
          <w:tcPr>
            <w:tcW w:w="1190" w:type="dxa"/>
            <w:tcBorders>
              <w:top w:val="single" w:color="auto" w:sz="12" w:space="0"/>
            </w:tcBorders>
            <w:noWrap/>
            <w:vAlign w:val="center"/>
          </w:tcPr>
          <w:p>
            <w:pPr>
              <w:jc w:val="center"/>
              <w:rPr>
                <w:rFonts w:cs="Times New Roman"/>
              </w:rP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1</w:t>
            </w:r>
          </w:p>
        </w:tc>
        <w:tc>
          <w:tcPr>
            <w:tcW w:w="2693" w:type="dxa"/>
            <w:noWrap/>
            <w:vAlign w:val="center"/>
          </w:tcPr>
          <w:p>
            <w:pPr>
              <w:jc w:val="center"/>
              <w:rPr>
                <w:rFonts w:cs="Times New Roman"/>
              </w:rPr>
            </w:pPr>
            <w:r>
              <w:rPr>
                <w:rFonts w:hint="eastAsia"/>
              </w:rPr>
              <w:t>缺陷责任期</w:t>
            </w:r>
          </w:p>
        </w:tc>
        <w:tc>
          <w:tcPr>
            <w:tcW w:w="1417" w:type="dxa"/>
            <w:noWrap/>
            <w:vAlign w:val="center"/>
          </w:tcPr>
          <w:p>
            <w:pPr>
              <w:jc w:val="center"/>
            </w:pPr>
            <w:r>
              <w:t>1.1.4.5</w:t>
            </w:r>
          </w:p>
        </w:tc>
        <w:tc>
          <w:tcPr>
            <w:tcW w:w="3686" w:type="dxa"/>
            <w:noWrap/>
            <w:vAlign w:val="center"/>
          </w:tcPr>
          <w:p>
            <w:pPr>
              <w:ind w:firstLine="220" w:firstLineChars="100"/>
              <w:rPr>
                <w:rFonts w:cs="Times New Roman"/>
              </w:rPr>
            </w:pPr>
            <w:r>
              <w:rPr>
                <w:rFonts w:hint="eastAsia"/>
              </w:rPr>
              <w:t>自实际交工日期起计算年</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2</w:t>
            </w:r>
          </w:p>
        </w:tc>
        <w:tc>
          <w:tcPr>
            <w:tcW w:w="2693" w:type="dxa"/>
            <w:noWrap/>
            <w:vAlign w:val="center"/>
          </w:tcPr>
          <w:p>
            <w:pPr>
              <w:jc w:val="center"/>
              <w:rPr>
                <w:rFonts w:cs="Times New Roman"/>
              </w:rPr>
            </w:pPr>
            <w:r>
              <w:rPr>
                <w:rFonts w:hint="eastAsia"/>
              </w:rPr>
              <w:t>逾期交工违约金</w:t>
            </w:r>
          </w:p>
        </w:tc>
        <w:tc>
          <w:tcPr>
            <w:tcW w:w="1417" w:type="dxa"/>
            <w:noWrap/>
            <w:vAlign w:val="center"/>
          </w:tcPr>
          <w:p>
            <w:pPr>
              <w:jc w:val="center"/>
            </w:pPr>
            <w:r>
              <w:t>11.5</w:t>
            </w:r>
          </w:p>
        </w:tc>
        <w:tc>
          <w:tcPr>
            <w:tcW w:w="3686" w:type="dxa"/>
            <w:noWrap/>
            <w:vAlign w:val="center"/>
          </w:tcPr>
          <w:p>
            <w:pPr>
              <w:ind w:firstLine="220" w:firstLineChars="100"/>
              <w:rPr>
                <w:rFonts w:cs="Times New Roman"/>
              </w:rPr>
            </w:pPr>
            <w:r>
              <w:rPr>
                <w:rFonts w:hint="eastAsia"/>
              </w:rPr>
              <w:t>元</w:t>
            </w:r>
            <w:r>
              <w:t>/</w:t>
            </w:r>
            <w:r>
              <w:rPr>
                <w:rFonts w:hint="eastAsia"/>
              </w:rPr>
              <w:t>天</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3</w:t>
            </w:r>
          </w:p>
        </w:tc>
        <w:tc>
          <w:tcPr>
            <w:tcW w:w="2693" w:type="dxa"/>
            <w:noWrap/>
            <w:vAlign w:val="center"/>
          </w:tcPr>
          <w:p>
            <w:pPr>
              <w:jc w:val="center"/>
              <w:rPr>
                <w:rFonts w:cs="Times New Roman"/>
              </w:rPr>
            </w:pPr>
            <w:r>
              <w:rPr>
                <w:rFonts w:hint="eastAsia"/>
              </w:rPr>
              <w:t>逾期交工违约金限额</w:t>
            </w:r>
          </w:p>
        </w:tc>
        <w:tc>
          <w:tcPr>
            <w:tcW w:w="1417" w:type="dxa"/>
            <w:noWrap/>
            <w:vAlign w:val="center"/>
          </w:tcPr>
          <w:p>
            <w:pPr>
              <w:jc w:val="center"/>
            </w:pPr>
            <w:r>
              <w:t>11.5</w:t>
            </w:r>
          </w:p>
        </w:tc>
        <w:tc>
          <w:tcPr>
            <w:tcW w:w="3686" w:type="dxa"/>
            <w:noWrap/>
            <w:vAlign w:val="center"/>
          </w:tcPr>
          <w:p>
            <w:pPr>
              <w:ind w:firstLine="220" w:firstLineChars="100"/>
              <w:rPr>
                <w:rFonts w:cs="Times New Roman"/>
              </w:rPr>
            </w:pP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4</w:t>
            </w:r>
          </w:p>
        </w:tc>
        <w:tc>
          <w:tcPr>
            <w:tcW w:w="2693" w:type="dxa"/>
            <w:noWrap/>
            <w:vAlign w:val="center"/>
          </w:tcPr>
          <w:p>
            <w:pPr>
              <w:jc w:val="center"/>
              <w:rPr>
                <w:rFonts w:cs="Times New Roman"/>
              </w:rPr>
            </w:pPr>
            <w:r>
              <w:rPr>
                <w:rFonts w:hint="eastAsia"/>
              </w:rPr>
              <w:t>提前交工的奖金</w:t>
            </w:r>
          </w:p>
        </w:tc>
        <w:tc>
          <w:tcPr>
            <w:tcW w:w="1417" w:type="dxa"/>
            <w:noWrap/>
            <w:vAlign w:val="center"/>
          </w:tcPr>
          <w:p>
            <w:pPr>
              <w:jc w:val="center"/>
            </w:pPr>
            <w:r>
              <w:t>11.6</w:t>
            </w:r>
          </w:p>
        </w:tc>
        <w:tc>
          <w:tcPr>
            <w:tcW w:w="3686" w:type="dxa"/>
            <w:noWrap/>
            <w:vAlign w:val="center"/>
          </w:tcPr>
          <w:p>
            <w:pPr>
              <w:ind w:firstLine="220" w:firstLineChars="100"/>
              <w:rPr>
                <w:rFonts w:cs="Times New Roman"/>
              </w:rPr>
            </w:pPr>
            <w:r>
              <w:rPr>
                <w:rFonts w:hint="eastAsia"/>
              </w:rPr>
              <w:t>元</w:t>
            </w:r>
            <w:r>
              <w:t>/</w:t>
            </w:r>
            <w:r>
              <w:rPr>
                <w:rFonts w:hint="eastAsia"/>
              </w:rPr>
              <w:t>天</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5</w:t>
            </w:r>
          </w:p>
        </w:tc>
        <w:tc>
          <w:tcPr>
            <w:tcW w:w="2693" w:type="dxa"/>
            <w:noWrap/>
            <w:vAlign w:val="center"/>
          </w:tcPr>
          <w:p>
            <w:pPr>
              <w:jc w:val="center"/>
              <w:rPr>
                <w:rFonts w:cs="Times New Roman"/>
              </w:rPr>
            </w:pPr>
            <w:r>
              <w:rPr>
                <w:rFonts w:hint="eastAsia"/>
              </w:rPr>
              <w:t>提前交工的奖金限额</w:t>
            </w:r>
          </w:p>
        </w:tc>
        <w:tc>
          <w:tcPr>
            <w:tcW w:w="1417" w:type="dxa"/>
            <w:noWrap/>
            <w:vAlign w:val="center"/>
          </w:tcPr>
          <w:p>
            <w:pPr>
              <w:jc w:val="center"/>
            </w:pPr>
            <w:r>
              <w:t>11.6</w:t>
            </w:r>
          </w:p>
        </w:tc>
        <w:tc>
          <w:tcPr>
            <w:tcW w:w="3686" w:type="dxa"/>
            <w:noWrap/>
            <w:vAlign w:val="center"/>
          </w:tcPr>
          <w:p>
            <w:pPr>
              <w:ind w:firstLine="220" w:firstLineChars="100"/>
              <w:rPr>
                <w:rFonts w:cs="Times New Roman"/>
              </w:rPr>
            </w:pPr>
            <w:r>
              <w:t>%</w:t>
            </w:r>
            <w:r>
              <w:rPr>
                <w:rFonts w:hint="eastAsia"/>
              </w:rPr>
              <w:t>签约合同价</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6</w:t>
            </w:r>
          </w:p>
        </w:tc>
        <w:tc>
          <w:tcPr>
            <w:tcW w:w="2693" w:type="dxa"/>
            <w:noWrap/>
            <w:vAlign w:val="center"/>
          </w:tcPr>
          <w:p>
            <w:pPr>
              <w:jc w:val="center"/>
              <w:rPr>
                <w:rFonts w:cs="Times New Roman"/>
              </w:rPr>
            </w:pPr>
            <w:r>
              <w:rPr>
                <w:rFonts w:hint="eastAsia"/>
              </w:rPr>
              <w:t>价格调整的差额计算</w:t>
            </w:r>
          </w:p>
        </w:tc>
        <w:tc>
          <w:tcPr>
            <w:tcW w:w="1417" w:type="dxa"/>
            <w:noWrap/>
            <w:vAlign w:val="center"/>
          </w:tcPr>
          <w:p>
            <w:pPr>
              <w:jc w:val="center"/>
            </w:pPr>
            <w:r>
              <w:t>16.1.1</w:t>
            </w:r>
          </w:p>
        </w:tc>
        <w:tc>
          <w:tcPr>
            <w:tcW w:w="3686" w:type="dxa"/>
            <w:noWrap/>
            <w:vAlign w:val="center"/>
          </w:tcPr>
          <w:p>
            <w:pPr>
              <w:ind w:firstLine="220" w:firstLineChars="100"/>
              <w:rPr>
                <w:rFonts w:cs="Times New Roman"/>
              </w:rPr>
            </w:pPr>
            <w:r>
              <w:rPr>
                <w:rFonts w:hint="eastAsia"/>
              </w:rPr>
              <w:t>见价格指数和权重表</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7</w:t>
            </w:r>
          </w:p>
        </w:tc>
        <w:tc>
          <w:tcPr>
            <w:tcW w:w="2693" w:type="dxa"/>
            <w:noWrap/>
            <w:vAlign w:val="center"/>
          </w:tcPr>
          <w:p>
            <w:pPr>
              <w:jc w:val="center"/>
              <w:rPr>
                <w:rFonts w:cs="Times New Roman"/>
              </w:rPr>
            </w:pPr>
            <w:r>
              <w:rPr>
                <w:rFonts w:hint="eastAsia"/>
              </w:rPr>
              <w:t>开工预付款金额</w:t>
            </w:r>
          </w:p>
        </w:tc>
        <w:tc>
          <w:tcPr>
            <w:tcW w:w="1417" w:type="dxa"/>
            <w:noWrap/>
            <w:vAlign w:val="center"/>
          </w:tcPr>
          <w:p>
            <w:pPr>
              <w:jc w:val="center"/>
            </w:pPr>
            <w:r>
              <w:t>17.2.1</w:t>
            </w:r>
          </w:p>
        </w:tc>
        <w:tc>
          <w:tcPr>
            <w:tcW w:w="3686" w:type="dxa"/>
            <w:noWrap/>
            <w:vAlign w:val="center"/>
          </w:tcPr>
          <w:p>
            <w:pPr>
              <w:ind w:firstLine="440" w:firstLineChars="200"/>
              <w:rPr>
                <w:rFonts w:cs="Times New Roman"/>
              </w:rPr>
            </w:pPr>
            <w:r>
              <w:t>%</w:t>
            </w:r>
            <w:r>
              <w:rPr>
                <w:rFonts w:hint="eastAsia"/>
              </w:rPr>
              <w:t>签约合同价</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653" w:type="dxa"/>
            <w:noWrap/>
            <w:vAlign w:val="center"/>
          </w:tcPr>
          <w:p>
            <w:pPr>
              <w:jc w:val="center"/>
            </w:pPr>
            <w:r>
              <w:t>8</w:t>
            </w:r>
          </w:p>
        </w:tc>
        <w:tc>
          <w:tcPr>
            <w:tcW w:w="2693" w:type="dxa"/>
            <w:noWrap/>
            <w:vAlign w:val="center"/>
          </w:tcPr>
          <w:p>
            <w:pPr>
              <w:jc w:val="center"/>
              <w:rPr>
                <w:rFonts w:cs="Times New Roman"/>
              </w:rPr>
            </w:pPr>
            <w:r>
              <w:rPr>
                <w:rFonts w:hint="eastAsia"/>
              </w:rPr>
              <w:t>材料、设备预付款</w:t>
            </w:r>
          </w:p>
        </w:tc>
        <w:tc>
          <w:tcPr>
            <w:tcW w:w="1417" w:type="dxa"/>
            <w:noWrap/>
            <w:vAlign w:val="center"/>
          </w:tcPr>
          <w:p>
            <w:pPr>
              <w:jc w:val="center"/>
            </w:pPr>
            <w:r>
              <w:t>17.2.1</w:t>
            </w:r>
          </w:p>
        </w:tc>
        <w:tc>
          <w:tcPr>
            <w:tcW w:w="3686" w:type="dxa"/>
            <w:noWrap/>
            <w:vAlign w:val="center"/>
          </w:tcPr>
          <w:p>
            <w:pPr>
              <w:ind w:firstLine="220" w:firstLineChars="100"/>
            </w:pPr>
            <w:r>
              <w:rPr>
                <w:u w:val="single"/>
              </w:rPr>
              <w:t xml:space="preserve"> / </w:t>
            </w:r>
            <w:r>
              <w:rPr>
                <w:rFonts w:hint="eastAsia"/>
              </w:rPr>
              <w:t>等主要材料、设备单据所列费用的</w:t>
            </w:r>
            <w:r>
              <w:rPr>
                <w:u w:val="single"/>
              </w:rPr>
              <w:t xml:space="preserve"> /  </w:t>
            </w:r>
            <w:r>
              <w:t>%</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9</w:t>
            </w:r>
          </w:p>
        </w:tc>
        <w:tc>
          <w:tcPr>
            <w:tcW w:w="2693" w:type="dxa"/>
            <w:noWrap/>
            <w:vAlign w:val="center"/>
          </w:tcPr>
          <w:p>
            <w:pPr>
              <w:jc w:val="center"/>
              <w:rPr>
                <w:rFonts w:cs="Times New Roman"/>
              </w:rPr>
            </w:pPr>
            <w:r>
              <w:rPr>
                <w:rFonts w:hint="eastAsia"/>
              </w:rPr>
              <w:t>进度付款证书最低限额</w:t>
            </w:r>
          </w:p>
        </w:tc>
        <w:tc>
          <w:tcPr>
            <w:tcW w:w="1417" w:type="dxa"/>
            <w:noWrap/>
            <w:vAlign w:val="center"/>
          </w:tcPr>
          <w:p>
            <w:pPr>
              <w:jc w:val="center"/>
            </w:pPr>
            <w:r>
              <w:t>17.3.3(1)</w:t>
            </w:r>
          </w:p>
        </w:tc>
        <w:tc>
          <w:tcPr>
            <w:tcW w:w="3686" w:type="dxa"/>
            <w:noWrap/>
            <w:vAlign w:val="center"/>
          </w:tcPr>
          <w:p>
            <w:pPr>
              <w:ind w:firstLine="220" w:firstLineChars="100"/>
              <w:rPr>
                <w:rFonts w:cs="Times New Roman"/>
              </w:rPr>
            </w:pPr>
            <w:r>
              <w:rPr>
                <w:u w:val="single"/>
              </w:rPr>
              <w:t xml:space="preserve">  /  </w:t>
            </w:r>
            <w:r>
              <w:t>%</w:t>
            </w:r>
            <w:r>
              <w:rPr>
                <w:rFonts w:hint="eastAsia"/>
              </w:rPr>
              <w:t>签约合同价或</w:t>
            </w:r>
            <w:r>
              <w:rPr>
                <w:u w:val="single"/>
              </w:rPr>
              <w:t xml:space="preserve">  /   </w:t>
            </w:r>
            <w:r>
              <w:rPr>
                <w:rFonts w:hint="eastAsia"/>
              </w:rPr>
              <w:t>万元</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10</w:t>
            </w:r>
          </w:p>
        </w:tc>
        <w:tc>
          <w:tcPr>
            <w:tcW w:w="2693" w:type="dxa"/>
            <w:noWrap/>
            <w:vAlign w:val="center"/>
          </w:tcPr>
          <w:p>
            <w:pPr>
              <w:jc w:val="center"/>
              <w:rPr>
                <w:rFonts w:cs="Times New Roman"/>
              </w:rPr>
            </w:pPr>
            <w:r>
              <w:rPr>
                <w:rFonts w:hint="eastAsia"/>
              </w:rPr>
              <w:t>逾期付款违约金的利率</w:t>
            </w:r>
          </w:p>
        </w:tc>
        <w:tc>
          <w:tcPr>
            <w:tcW w:w="1417" w:type="dxa"/>
            <w:noWrap/>
            <w:vAlign w:val="center"/>
          </w:tcPr>
          <w:p>
            <w:pPr>
              <w:jc w:val="center"/>
            </w:pPr>
            <w:r>
              <w:t>17.3.3(2)</w:t>
            </w:r>
          </w:p>
        </w:tc>
        <w:tc>
          <w:tcPr>
            <w:tcW w:w="3686" w:type="dxa"/>
            <w:noWrap/>
            <w:vAlign w:val="center"/>
          </w:tcPr>
          <w:p>
            <w:pPr>
              <w:ind w:firstLine="220" w:firstLineChars="100"/>
              <w:rPr>
                <w:rFonts w:cs="Times New Roman"/>
              </w:rPr>
            </w:pPr>
            <w:r>
              <w:rPr>
                <w:rFonts w:hint="eastAsia"/>
              </w:rPr>
              <w:t>‰</w:t>
            </w:r>
            <w:r>
              <w:t>/</w:t>
            </w:r>
            <w:r>
              <w:rPr>
                <w:rFonts w:hint="eastAsia"/>
              </w:rPr>
              <w:t>天</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noWrap/>
            <w:vAlign w:val="center"/>
          </w:tcPr>
          <w:p>
            <w:pPr>
              <w:jc w:val="center"/>
            </w:pPr>
            <w:r>
              <w:t>11</w:t>
            </w:r>
          </w:p>
        </w:tc>
        <w:tc>
          <w:tcPr>
            <w:tcW w:w="2693" w:type="dxa"/>
            <w:noWrap/>
            <w:vAlign w:val="center"/>
          </w:tcPr>
          <w:p>
            <w:pPr>
              <w:jc w:val="center"/>
              <w:rPr>
                <w:rFonts w:cs="Times New Roman"/>
              </w:rPr>
            </w:pPr>
            <w:r>
              <w:rPr>
                <w:rFonts w:hint="eastAsia"/>
              </w:rPr>
              <w:t>质量保证金百分比</w:t>
            </w:r>
          </w:p>
        </w:tc>
        <w:tc>
          <w:tcPr>
            <w:tcW w:w="1417" w:type="dxa"/>
            <w:noWrap/>
            <w:vAlign w:val="center"/>
          </w:tcPr>
          <w:p>
            <w:pPr>
              <w:jc w:val="center"/>
            </w:pPr>
            <w:r>
              <w:t>17.4.1</w:t>
            </w:r>
          </w:p>
        </w:tc>
        <w:tc>
          <w:tcPr>
            <w:tcW w:w="3686" w:type="dxa"/>
            <w:noWrap/>
            <w:vAlign w:val="center"/>
          </w:tcPr>
          <w:p>
            <w:pPr>
              <w:ind w:firstLine="220" w:firstLineChars="100"/>
            </w:pPr>
            <w:r>
              <w:rPr>
                <w:rFonts w:hint="eastAsia"/>
              </w:rPr>
              <w:t>月支付额的</w:t>
            </w:r>
            <w:r>
              <w:t>%</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8" w:hRule="exact"/>
          <w:jc w:val="center"/>
        </w:trPr>
        <w:tc>
          <w:tcPr>
            <w:tcW w:w="653" w:type="dxa"/>
            <w:noWrap/>
            <w:vAlign w:val="center"/>
          </w:tcPr>
          <w:p>
            <w:pPr>
              <w:jc w:val="center"/>
            </w:pPr>
            <w:r>
              <w:t>13</w:t>
            </w:r>
          </w:p>
        </w:tc>
        <w:tc>
          <w:tcPr>
            <w:tcW w:w="2693" w:type="dxa"/>
            <w:noWrap/>
            <w:vAlign w:val="center"/>
          </w:tcPr>
          <w:p>
            <w:pPr>
              <w:jc w:val="center"/>
              <w:rPr>
                <w:rFonts w:cs="Times New Roman"/>
              </w:rPr>
            </w:pPr>
            <w:r>
              <w:rPr>
                <w:rFonts w:hint="eastAsia"/>
              </w:rPr>
              <w:t>质量保证金限额</w:t>
            </w:r>
          </w:p>
        </w:tc>
        <w:tc>
          <w:tcPr>
            <w:tcW w:w="1417" w:type="dxa"/>
            <w:noWrap/>
            <w:vAlign w:val="center"/>
          </w:tcPr>
          <w:p>
            <w:pPr>
              <w:jc w:val="center"/>
            </w:pPr>
            <w:r>
              <w:t>17.4.1</w:t>
            </w:r>
          </w:p>
        </w:tc>
        <w:tc>
          <w:tcPr>
            <w:tcW w:w="3686" w:type="dxa"/>
            <w:noWrap/>
            <w:vAlign w:val="center"/>
          </w:tcPr>
          <w:p>
            <w:pPr>
              <w:ind w:firstLine="220" w:firstLineChars="100"/>
              <w:rPr>
                <w:rFonts w:cs="Times New Roman"/>
              </w:rPr>
            </w:pPr>
            <w:r>
              <w:t>%</w:t>
            </w:r>
            <w:r>
              <w:rPr>
                <w:rFonts w:hint="eastAsia"/>
              </w:rPr>
              <w:t>合同价格，若交工验收时承包人具备被招标项目所在地省级交通主管部门评定的最高信用等级，发包人给予</w:t>
            </w:r>
            <w:r>
              <w:t>%</w:t>
            </w:r>
            <w:r>
              <w:rPr>
                <w:rFonts w:hint="eastAsia"/>
              </w:rPr>
              <w:t>合同价格质量保证金的优惠，并在交工验收时向承包人返还质量保证金优惠的金额</w:t>
            </w:r>
          </w:p>
        </w:tc>
        <w:tc>
          <w:tcPr>
            <w:tcW w:w="1190" w:type="dxa"/>
            <w:noWrap/>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tcBorders>
              <w:bottom w:val="single" w:color="auto" w:sz="12" w:space="0"/>
            </w:tcBorders>
            <w:noWrap/>
            <w:vAlign w:val="center"/>
          </w:tcPr>
          <w:p>
            <w:pPr>
              <w:jc w:val="center"/>
            </w:pPr>
            <w:r>
              <w:t>14</w:t>
            </w:r>
          </w:p>
        </w:tc>
        <w:tc>
          <w:tcPr>
            <w:tcW w:w="2693" w:type="dxa"/>
            <w:tcBorders>
              <w:bottom w:val="single" w:color="auto" w:sz="12" w:space="0"/>
            </w:tcBorders>
            <w:noWrap/>
            <w:vAlign w:val="center"/>
          </w:tcPr>
          <w:p>
            <w:pPr>
              <w:jc w:val="center"/>
              <w:rPr>
                <w:rFonts w:cs="Times New Roman"/>
              </w:rPr>
            </w:pPr>
            <w:r>
              <w:rPr>
                <w:rFonts w:hint="eastAsia"/>
              </w:rPr>
              <w:t>保修期</w:t>
            </w:r>
          </w:p>
        </w:tc>
        <w:tc>
          <w:tcPr>
            <w:tcW w:w="1417" w:type="dxa"/>
            <w:tcBorders>
              <w:bottom w:val="single" w:color="auto" w:sz="12" w:space="0"/>
            </w:tcBorders>
            <w:noWrap/>
            <w:vAlign w:val="center"/>
          </w:tcPr>
          <w:p>
            <w:pPr>
              <w:jc w:val="center"/>
            </w:pPr>
            <w:r>
              <w:t>19.7</w:t>
            </w:r>
          </w:p>
        </w:tc>
        <w:tc>
          <w:tcPr>
            <w:tcW w:w="3686" w:type="dxa"/>
            <w:tcBorders>
              <w:bottom w:val="single" w:color="auto" w:sz="12" w:space="0"/>
            </w:tcBorders>
            <w:noWrap/>
            <w:vAlign w:val="center"/>
          </w:tcPr>
          <w:p>
            <w:pPr>
              <w:ind w:firstLine="220" w:firstLineChars="100"/>
              <w:rPr>
                <w:rFonts w:cs="Times New Roman"/>
              </w:rPr>
            </w:pPr>
            <w:r>
              <w:rPr>
                <w:rFonts w:hint="eastAsia"/>
              </w:rPr>
              <w:t>自实际交工日期起计算年</w:t>
            </w:r>
          </w:p>
        </w:tc>
        <w:tc>
          <w:tcPr>
            <w:tcW w:w="1190" w:type="dxa"/>
            <w:tcBorders>
              <w:bottom w:val="single" w:color="auto" w:sz="12" w:space="0"/>
            </w:tcBorders>
            <w:noWrap/>
            <w:vAlign w:val="center"/>
          </w:tcPr>
          <w:p>
            <w:pPr>
              <w:jc w:val="center"/>
              <w:rPr>
                <w:rFonts w:cs="Times New Roman"/>
              </w:rPr>
            </w:pPr>
          </w:p>
        </w:tc>
      </w:tr>
    </w:tbl>
    <w:p>
      <w:pPr>
        <w:spacing w:beforeLines="100" w:line="500" w:lineRule="exact"/>
      </w:pPr>
      <w:r>
        <w:t xml:space="preserve">                             </w:t>
      </w:r>
      <w:r>
        <w:rPr>
          <w:rFonts w:hint="eastAsia"/>
        </w:rPr>
        <w:t>投</w:t>
      </w:r>
      <w:r>
        <w:t xml:space="preserve"> </w:t>
      </w:r>
      <w:r>
        <w:rPr>
          <w:rFonts w:hint="eastAsia"/>
        </w:rPr>
        <w:t>标</w:t>
      </w:r>
      <w:r>
        <w:t xml:space="preserve"> </w:t>
      </w:r>
      <w:r>
        <w:rPr>
          <w:rFonts w:hint="eastAsia"/>
        </w:rPr>
        <w:t>人</w:t>
      </w:r>
      <w:r>
        <w:t>:</w:t>
      </w:r>
      <w:r>
        <w:rPr>
          <w:u w:val="single"/>
        </w:rPr>
        <w:t xml:space="preserve">                       (</w:t>
      </w:r>
      <w:r>
        <w:rPr>
          <w:rFonts w:hint="eastAsia"/>
        </w:rPr>
        <w:t>盖单位章</w:t>
      </w:r>
      <w:r>
        <w:t>)</w:t>
      </w:r>
    </w:p>
    <w:p>
      <w:pPr>
        <w:spacing w:line="500" w:lineRule="exact"/>
        <w:ind w:right="480" w:firstLine="3190" w:firstLineChars="1450"/>
      </w:pPr>
      <w:r>
        <w:rPr>
          <w:rFonts w:hint="eastAsia"/>
        </w:rPr>
        <w:t>投标文件签署人签名</w:t>
      </w:r>
      <w:r>
        <w:t>:</w:t>
      </w:r>
    </w:p>
    <w:p>
      <w:pPr>
        <w:spacing w:line="500" w:lineRule="exact"/>
        <w:ind w:right="480" w:firstLine="3190" w:firstLineChars="1450"/>
      </w:pPr>
    </w:p>
    <w:p>
      <w:pPr>
        <w:pStyle w:val="12"/>
        <w:spacing w:before="8"/>
        <w:rPr>
          <w:rFonts w:cs="Times New Roman"/>
          <w:sz w:val="8"/>
          <w:szCs w:val="8"/>
        </w:rPr>
      </w:pPr>
    </w:p>
    <w:p>
      <w:pPr>
        <w:spacing w:before="58"/>
        <w:ind w:left="97" w:right="142"/>
        <w:jc w:val="center"/>
        <w:rPr>
          <w:rFonts w:cs="Times New Roman"/>
          <w:sz w:val="30"/>
          <w:szCs w:val="30"/>
        </w:rPr>
      </w:pPr>
      <w:bookmarkStart w:id="922" w:name="二、授权委托书或法定代表人身份证明"/>
      <w:bookmarkEnd w:id="922"/>
      <w:r>
        <w:rPr>
          <w:rFonts w:hint="eastAsia"/>
          <w:sz w:val="30"/>
          <w:szCs w:val="30"/>
        </w:rPr>
        <w:t>二、授权委托书或法定代表人身份证明</w:t>
      </w:r>
    </w:p>
    <w:p>
      <w:pPr>
        <w:pStyle w:val="12"/>
        <w:spacing w:before="7"/>
        <w:rPr>
          <w:rFonts w:cs="Times New Roman"/>
          <w:sz w:val="30"/>
          <w:szCs w:val="30"/>
        </w:rPr>
      </w:pPr>
    </w:p>
    <w:p>
      <w:pPr>
        <w:ind w:left="103" w:right="142"/>
        <w:jc w:val="center"/>
        <w:rPr>
          <w:rFonts w:cs="Times New Roman"/>
          <w:sz w:val="28"/>
          <w:szCs w:val="28"/>
        </w:rPr>
      </w:pPr>
      <w:r>
        <w:rPr>
          <w:rFonts w:hint="eastAsia"/>
          <w:b/>
          <w:bCs/>
          <w:sz w:val="28"/>
          <w:szCs w:val="28"/>
        </w:rPr>
        <w:t>（一）</w:t>
      </w:r>
      <w:r>
        <w:rPr>
          <w:rFonts w:hint="eastAsia"/>
          <w:sz w:val="28"/>
          <w:szCs w:val="28"/>
        </w:rPr>
        <w:t>授权委托书</w:t>
      </w:r>
    </w:p>
    <w:p>
      <w:pPr>
        <w:pStyle w:val="12"/>
        <w:rPr>
          <w:rFonts w:cs="Times New Roman"/>
          <w:sz w:val="28"/>
          <w:szCs w:val="28"/>
        </w:rPr>
      </w:pPr>
    </w:p>
    <w:p>
      <w:pPr>
        <w:pStyle w:val="12"/>
        <w:spacing w:before="11"/>
        <w:rPr>
          <w:rFonts w:cs="Times New Roman"/>
          <w:sz w:val="34"/>
          <w:szCs w:val="34"/>
        </w:rPr>
      </w:pPr>
    </w:p>
    <w:p>
      <w:pPr>
        <w:pStyle w:val="12"/>
        <w:tabs>
          <w:tab w:val="left" w:pos="2029"/>
          <w:tab w:val="left" w:pos="3239"/>
          <w:tab w:val="left" w:pos="6011"/>
          <w:tab w:val="left" w:pos="8421"/>
        </w:tabs>
        <w:spacing w:line="343" w:lineRule="auto"/>
        <w:ind w:left="224" w:right="282" w:firstLine="479"/>
        <w:rPr>
          <w:rFonts w:cs="Times New Roman"/>
        </w:rPr>
      </w:pPr>
      <w:r>
        <w:rPr>
          <w:rFonts w:hint="eastAsia"/>
        </w:rPr>
        <w:t>本人</w:t>
      </w:r>
      <w:r>
        <w:rPr>
          <w:rFonts w:cs="Times New Roman"/>
          <w:u w:val="single"/>
        </w:rPr>
        <w:tab/>
      </w:r>
      <w:r>
        <w:rPr>
          <w:rFonts w:hint="eastAsia"/>
          <w:u w:val="single"/>
        </w:rPr>
        <w:t>（</w:t>
      </w:r>
      <w:r>
        <w:rPr>
          <w:rFonts w:hint="eastAsia"/>
        </w:rPr>
        <w:t>姓名</w:t>
      </w:r>
      <w:r>
        <w:rPr>
          <w:rFonts w:hint="eastAsia"/>
          <w:spacing w:val="-116"/>
        </w:rPr>
        <w:t>）</w:t>
      </w:r>
      <w:r>
        <w:rPr>
          <w:rFonts w:hint="eastAsia"/>
        </w:rPr>
        <w:t>系</w:t>
      </w:r>
      <w:r>
        <w:rPr>
          <w:rFonts w:hint="eastAsia"/>
          <w:u w:val="single"/>
        </w:rPr>
        <w:t>（</w:t>
      </w:r>
      <w:r>
        <w:rPr>
          <w:rFonts w:hint="eastAsia"/>
        </w:rPr>
        <w:t>投标人名称</w:t>
      </w:r>
      <w:r>
        <w:rPr>
          <w:rFonts w:hint="eastAsia"/>
          <w:spacing w:val="-116"/>
        </w:rPr>
        <w:t>）</w:t>
      </w:r>
      <w:r>
        <w:rPr>
          <w:rFonts w:hint="eastAsia"/>
        </w:rPr>
        <w:t>的法定代表人</w:t>
      </w:r>
      <w:r>
        <w:rPr>
          <w:rFonts w:hint="eastAsia"/>
          <w:spacing w:val="-116"/>
        </w:rPr>
        <w:t>，</w:t>
      </w:r>
      <w:r>
        <w:rPr>
          <w:rFonts w:hint="eastAsia"/>
        </w:rPr>
        <w:t>现委托</w:t>
      </w:r>
      <w:r>
        <w:rPr>
          <w:rFonts w:cs="Times New Roman"/>
          <w:u w:val="single"/>
        </w:rPr>
        <w:tab/>
      </w:r>
      <w:r>
        <w:rPr>
          <w:rFonts w:hint="eastAsia"/>
          <w:u w:val="single"/>
        </w:rPr>
        <w:t>（</w:t>
      </w:r>
      <w:r>
        <w:rPr>
          <w:rFonts w:hint="eastAsia"/>
          <w:spacing w:val="-17"/>
        </w:rPr>
        <w:t>姓</w:t>
      </w:r>
      <w:r>
        <w:rPr>
          <w:rFonts w:hint="eastAsia"/>
        </w:rPr>
        <w:t>名）为我方代理人。代理人根据授权，以我方名义签署、澄清确认、递交、撤回、修改</w:t>
      </w:r>
      <w:r>
        <w:rPr>
          <w:rFonts w:cs="Times New Roman"/>
          <w:u w:val="single"/>
        </w:rPr>
        <w:tab/>
      </w:r>
      <w:r>
        <w:rPr>
          <w:rFonts w:cs="Times New Roman"/>
          <w:u w:val="single"/>
        </w:rPr>
        <w:tab/>
      </w:r>
      <w:r>
        <w:rPr>
          <w:rFonts w:hint="eastAsia"/>
        </w:rPr>
        <w:t>（项目名称）</w:t>
      </w:r>
      <w:r>
        <w:rPr>
          <w:rFonts w:cs="Times New Roman"/>
          <w:u w:val="single"/>
        </w:rPr>
        <w:tab/>
      </w:r>
      <w:r>
        <w:rPr>
          <w:rFonts w:hint="eastAsia"/>
        </w:rPr>
        <w:t>标段施工投标文件、签订</w:t>
      </w:r>
      <w:r>
        <w:rPr>
          <w:rFonts w:hint="eastAsia"/>
          <w:spacing w:val="-11"/>
        </w:rPr>
        <w:t>合</w:t>
      </w:r>
      <w:r>
        <w:rPr>
          <w:rFonts w:hint="eastAsia"/>
        </w:rPr>
        <w:t>同和处理有关事宜，其法律后果由我方承担。</w:t>
      </w:r>
    </w:p>
    <w:p>
      <w:pPr>
        <w:pStyle w:val="12"/>
        <w:spacing w:before="4" w:line="343" w:lineRule="auto"/>
        <w:ind w:left="704" w:right="2719"/>
        <w:rPr>
          <w:rFonts w:cs="Times New Roman"/>
        </w:rPr>
      </w:pPr>
      <w:r>
        <w:rPr>
          <w:rFonts w:hint="eastAsia"/>
        </w:rPr>
        <w:t>委托期限：自本委托书签署之日起至投标有效期期满。</w:t>
      </w:r>
    </w:p>
    <w:p>
      <w:pPr>
        <w:pStyle w:val="12"/>
        <w:spacing w:before="4" w:line="343" w:lineRule="auto"/>
        <w:ind w:left="704" w:right="2719"/>
        <w:rPr>
          <w:rFonts w:cs="Times New Roman"/>
        </w:rPr>
      </w:pPr>
      <w:r>
        <w:rPr>
          <w:rFonts w:hint="eastAsia"/>
        </w:rPr>
        <w:t>代理人无转委托权。</w:t>
      </w:r>
    </w:p>
    <w:p>
      <w:pPr>
        <w:pStyle w:val="12"/>
        <w:rPr>
          <w:rFonts w:cs="Times New Roman"/>
        </w:rPr>
      </w:pPr>
    </w:p>
    <w:p>
      <w:pPr>
        <w:spacing w:before="163"/>
        <w:ind w:left="224"/>
        <w:rPr>
          <w:rFonts w:cs="Times New Roman"/>
        </w:rPr>
      </w:pPr>
      <w:r>
        <w:rPr>
          <w:rFonts w:hint="eastAsia"/>
        </w:rPr>
        <w:t>附：法定代表人身份证复印件及委托代理人身份证复印件。</w:t>
      </w:r>
    </w:p>
    <w:p>
      <w:pPr>
        <w:pStyle w:val="12"/>
        <w:rPr>
          <w:rFonts w:cs="Times New Roman"/>
          <w:sz w:val="20"/>
          <w:szCs w:val="20"/>
        </w:rPr>
      </w:pPr>
    </w:p>
    <w:p>
      <w:pPr>
        <w:pStyle w:val="12"/>
        <w:spacing w:before="4"/>
        <w:rPr>
          <w:rFonts w:cs="Times New Roman"/>
          <w:sz w:val="23"/>
          <w:szCs w:val="23"/>
        </w:rPr>
      </w:pPr>
    </w:p>
    <w:p>
      <w:pPr>
        <w:pStyle w:val="12"/>
        <w:tabs>
          <w:tab w:val="left" w:pos="7115"/>
          <w:tab w:val="left" w:pos="7716"/>
          <w:tab w:val="left" w:pos="8371"/>
        </w:tabs>
        <w:spacing w:line="624" w:lineRule="auto"/>
        <w:ind w:left="3515" w:right="508"/>
        <w:rPr>
          <w:rFonts w:eastAsia="Times New Roman" w:cs="Times New Roman"/>
        </w:rPr>
      </w:pPr>
      <w:r>
        <w:rPr>
          <w:rFonts w:hint="eastAsia"/>
        </w:rPr>
        <w:t>投标人：</w:t>
      </w:r>
      <w:r>
        <w:rPr>
          <w:rFonts w:cs="Times New Roman"/>
          <w:u w:val="single"/>
        </w:rPr>
        <w:tab/>
      </w:r>
      <w:r>
        <w:rPr>
          <w:rFonts w:hint="eastAsia"/>
        </w:rPr>
        <w:t>（盖单位章）</w:t>
      </w:r>
      <w:r>
        <w:t xml:space="preserve"> </w:t>
      </w:r>
      <w:r>
        <w:rPr>
          <w:rFonts w:hint="eastAsia"/>
        </w:rPr>
        <w:t>法定代表人：</w:t>
      </w:r>
      <w:r>
        <w:rPr>
          <w:rFonts w:cs="Times New Roman"/>
          <w:u w:val="single"/>
        </w:rPr>
        <w:tab/>
      </w:r>
      <w:r>
        <w:rPr>
          <w:rFonts w:cs="Times New Roman"/>
          <w:u w:val="single"/>
        </w:rPr>
        <w:tab/>
      </w:r>
      <w:r>
        <w:rPr>
          <w:rFonts w:hint="eastAsia"/>
        </w:rPr>
        <w:t>（签字</w:t>
      </w:r>
      <w:r>
        <w:rPr>
          <w:rFonts w:hint="eastAsia"/>
          <w:spacing w:val="-18"/>
        </w:rPr>
        <w:t>）</w:t>
      </w:r>
      <w:r>
        <w:rPr>
          <w:spacing w:val="-18"/>
        </w:rPr>
        <w:t xml:space="preserve"> </w:t>
      </w:r>
      <w:r>
        <w:rPr>
          <w:rFonts w:hint="eastAsia"/>
        </w:rPr>
        <w:t>身份证号码：</w:t>
      </w:r>
      <w:r>
        <w:rPr>
          <w:rFonts w:eastAsia="Times New Roman" w:cs="Times New Roman"/>
          <w:u w:val="single"/>
        </w:rPr>
        <w:tab/>
      </w:r>
      <w:r>
        <w:rPr>
          <w:rFonts w:eastAsia="Times New Roman" w:cs="Times New Roman"/>
          <w:u w:val="single"/>
        </w:rPr>
        <w:tab/>
      </w:r>
      <w:r>
        <w:rPr>
          <w:rFonts w:eastAsia="Times New Roman" w:cs="Times New Roman"/>
          <w:u w:val="single"/>
        </w:rPr>
        <w:tab/>
      </w:r>
    </w:p>
    <w:p>
      <w:pPr>
        <w:pStyle w:val="12"/>
        <w:tabs>
          <w:tab w:val="left" w:pos="7836"/>
          <w:tab w:val="left" w:pos="8491"/>
        </w:tabs>
        <w:spacing w:before="2" w:line="626" w:lineRule="auto"/>
        <w:ind w:left="3515" w:right="388"/>
        <w:rPr>
          <w:rFonts w:eastAsia="Times New Roman" w:cs="Times New Roman"/>
        </w:rPr>
      </w:pPr>
      <w:r>
        <w:rPr>
          <w:rFonts w:hint="eastAsia"/>
        </w:rPr>
        <w:t>委托代理人：</w:t>
      </w:r>
      <w:r>
        <w:rPr>
          <w:rFonts w:cs="Times New Roman"/>
          <w:u w:val="single"/>
        </w:rPr>
        <w:tab/>
      </w:r>
      <w:r>
        <w:rPr>
          <w:rFonts w:hint="eastAsia"/>
        </w:rPr>
        <w:t>（签字</w:t>
      </w:r>
      <w:r>
        <w:rPr>
          <w:rFonts w:hint="eastAsia"/>
          <w:spacing w:val="-18"/>
        </w:rPr>
        <w:t>）</w:t>
      </w:r>
      <w:r>
        <w:rPr>
          <w:spacing w:val="-18"/>
        </w:rPr>
        <w:t xml:space="preserve"> </w:t>
      </w:r>
      <w:r>
        <w:rPr>
          <w:rFonts w:hint="eastAsia"/>
        </w:rPr>
        <w:t>身份证号码：</w:t>
      </w:r>
      <w:r>
        <w:rPr>
          <w:rFonts w:eastAsia="Times New Roman" w:cs="Times New Roman"/>
          <w:u w:val="single"/>
        </w:rPr>
        <w:tab/>
      </w:r>
      <w:r>
        <w:rPr>
          <w:rFonts w:eastAsia="Times New Roman" w:cs="Times New Roman"/>
          <w:u w:val="single"/>
        </w:rPr>
        <w:tab/>
      </w:r>
    </w:p>
    <w:p>
      <w:pPr>
        <w:pStyle w:val="12"/>
        <w:tabs>
          <w:tab w:val="left" w:pos="5682"/>
          <w:tab w:val="left" w:pos="7002"/>
          <w:tab w:val="left" w:pos="8138"/>
        </w:tabs>
        <w:spacing w:line="304" w:lineRule="exact"/>
        <w:ind w:left="4842"/>
        <w:rPr>
          <w:rFonts w:cs="Times New Roman"/>
        </w:rPr>
      </w:pPr>
      <w:r>
        <w:rPr>
          <w:rFonts w:eastAsia="Times New Roman" w:cs="Times New Roman"/>
          <w:u w:val="single"/>
        </w:rPr>
        <w:tab/>
      </w:r>
      <w:r>
        <w:rPr>
          <w:rFonts w:hint="eastAsia"/>
        </w:rPr>
        <w:t>年</w:t>
      </w:r>
      <w:r>
        <w:rPr>
          <w:rFonts w:cs="Times New Roman"/>
          <w:u w:val="single"/>
        </w:rPr>
        <w:tab/>
      </w:r>
      <w:r>
        <w:rPr>
          <w:rFonts w:hint="eastAsia"/>
        </w:rPr>
        <w:t>月</w:t>
      </w:r>
      <w:r>
        <w:rPr>
          <w:rFonts w:cs="Times New Roman"/>
          <w:u w:val="single"/>
        </w:rPr>
        <w:tab/>
      </w:r>
      <w:r>
        <w:rPr>
          <w:rFonts w:hint="eastAsia"/>
        </w:rPr>
        <w:t>日</w:t>
      </w:r>
    </w:p>
    <w:p>
      <w:pPr>
        <w:pStyle w:val="12"/>
        <w:spacing w:before="9"/>
        <w:rPr>
          <w:rFonts w:cs="Times New Roman"/>
          <w:sz w:val="34"/>
          <w:szCs w:val="34"/>
        </w:rPr>
      </w:pPr>
    </w:p>
    <w:p>
      <w:pPr>
        <w:ind w:left="224"/>
        <w:rPr>
          <w:rFonts w:cs="Times New Roman"/>
        </w:rPr>
      </w:pPr>
      <w:r>
        <w:rPr>
          <w:rFonts w:hint="eastAsia"/>
        </w:rPr>
        <w:t>注：</w:t>
      </w:r>
    </w:p>
    <w:p>
      <w:pPr>
        <w:pStyle w:val="49"/>
        <w:numPr>
          <w:ilvl w:val="0"/>
          <w:numId w:val="37"/>
        </w:numPr>
        <w:tabs>
          <w:tab w:val="left" w:pos="804"/>
        </w:tabs>
        <w:spacing w:before="132" w:line="355" w:lineRule="auto"/>
        <w:ind w:right="277" w:firstLine="420"/>
        <w:rPr>
          <w:rFonts w:cs="Times New Roman"/>
        </w:rPr>
      </w:pPr>
      <w:r>
        <w:rPr>
          <w:rFonts w:hint="eastAsia"/>
          <w:spacing w:val="-7"/>
        </w:rPr>
        <w:t>法定代表人和委托代理人必须在授权委托书上亲笔签名，不得使用印章、签名章或其他电</w:t>
      </w:r>
      <w:r>
        <w:rPr>
          <w:rFonts w:hint="eastAsia"/>
          <w:spacing w:val="-5"/>
        </w:rPr>
        <w:t>子制版签名代替；</w:t>
      </w:r>
    </w:p>
    <w:p>
      <w:pPr>
        <w:pStyle w:val="49"/>
        <w:numPr>
          <w:ilvl w:val="0"/>
          <w:numId w:val="37"/>
        </w:numPr>
        <w:tabs>
          <w:tab w:val="left" w:pos="804"/>
        </w:tabs>
        <w:spacing w:before="2"/>
        <w:ind w:left="803" w:hanging="159"/>
        <w:rPr>
          <w:rFonts w:cs="Times New Roman"/>
        </w:rPr>
      </w:pPr>
      <w:r>
        <w:rPr>
          <w:rFonts w:hint="eastAsia"/>
          <w:spacing w:val="-3"/>
        </w:rPr>
        <w:t>以联合体形式投标的，本授权委托书应由联合体牵头人的法定代表人按上述规定签署。</w:t>
      </w:r>
    </w:p>
    <w:p>
      <w:pPr>
        <w:pStyle w:val="12"/>
        <w:spacing w:before="5"/>
        <w:rPr>
          <w:rFonts w:cs="Times New Roman"/>
          <w:sz w:val="18"/>
          <w:szCs w:val="18"/>
        </w:rPr>
      </w:pPr>
      <w:r>
        <w:rPr>
          <w:lang w:val="en-US"/>
        </w:rPr>
        <w:pict>
          <v:line id="直线 54" o:spid="_x0000_s1074" o:spt="20" style="position:absolute;left:0pt;margin-left:82.2pt;margin-top:14pt;height:0pt;width:144pt;mso-position-horizontal-relative:page;mso-wrap-distance-bottom:0pt;mso-wrap-distance-top:0pt;z-index:1024;mso-width-relative:page;mso-height-relative:page;" coordsize="21600,21600">
            <v:path arrowok="t"/>
            <v:fill focussize="0,0"/>
            <v:stroke weight="0.48pt"/>
            <v:imagedata o:title=""/>
            <o:lock v:ext="edit"/>
            <w10:wrap type="topAndBottom"/>
          </v:line>
        </w:pict>
      </w:r>
    </w:p>
    <w:p>
      <w:pPr>
        <w:spacing w:before="129"/>
        <w:ind w:left="224"/>
        <w:rPr>
          <w:rFonts w:cs="Times New Roman"/>
          <w:sz w:val="18"/>
          <w:szCs w:val="18"/>
        </w:rPr>
      </w:pPr>
      <w:r>
        <w:rPr>
          <w:rFonts w:hint="eastAsia"/>
          <w:position w:val="8"/>
          <w:sz w:val="9"/>
          <w:szCs w:val="9"/>
        </w:rPr>
        <w:t>①</w:t>
      </w:r>
      <w:r>
        <w:rPr>
          <w:position w:val="8"/>
          <w:sz w:val="9"/>
          <w:szCs w:val="9"/>
        </w:rPr>
        <w:t xml:space="preserve"> </w:t>
      </w:r>
      <w:r>
        <w:rPr>
          <w:rFonts w:hint="eastAsia"/>
          <w:sz w:val="18"/>
          <w:szCs w:val="18"/>
        </w:rPr>
        <w:t>如果由投标人的法定代表人签署投标文件，则无须提交授权委托书。</w:t>
      </w:r>
    </w:p>
    <w:p>
      <w:pPr>
        <w:rPr>
          <w:rFonts w:cs="Times New Roman"/>
          <w:sz w:val="18"/>
          <w:szCs w:val="18"/>
        </w:rPr>
        <w:sectPr>
          <w:pgSz w:w="11910" w:h="16850"/>
          <w:pgMar w:top="1418" w:right="1418" w:bottom="1418" w:left="1418" w:header="851" w:footer="964" w:gutter="0"/>
          <w:cols w:space="720" w:num="1"/>
          <w:docGrid w:linePitch="299" w:charSpace="0"/>
        </w:sectPr>
      </w:pPr>
    </w:p>
    <w:p>
      <w:pPr>
        <w:pStyle w:val="12"/>
        <w:rPr>
          <w:rFonts w:cs="Times New Roman"/>
          <w:sz w:val="20"/>
          <w:szCs w:val="20"/>
        </w:rPr>
      </w:pPr>
    </w:p>
    <w:p>
      <w:pPr>
        <w:pStyle w:val="12"/>
        <w:spacing w:before="2"/>
        <w:rPr>
          <w:rFonts w:cs="Times New Roman"/>
          <w:sz w:val="18"/>
          <w:szCs w:val="18"/>
        </w:rPr>
      </w:pPr>
    </w:p>
    <w:p>
      <w:pPr>
        <w:pStyle w:val="9"/>
        <w:spacing w:before="62"/>
        <w:ind w:left="96" w:right="142"/>
        <w:rPr>
          <w:rFonts w:cs="Times New Roman"/>
        </w:rPr>
      </w:pPr>
      <w:r>
        <w:rPr>
          <w:rFonts w:hint="eastAsia"/>
        </w:rPr>
        <w:t>（二）法定代表人身份证明</w:t>
      </w:r>
    </w:p>
    <w:p>
      <w:pPr>
        <w:pStyle w:val="12"/>
        <w:rPr>
          <w:rFonts w:cs="Times New Roman"/>
          <w:sz w:val="28"/>
          <w:szCs w:val="28"/>
        </w:rPr>
      </w:pPr>
    </w:p>
    <w:p>
      <w:pPr>
        <w:pStyle w:val="12"/>
        <w:spacing w:before="12"/>
        <w:rPr>
          <w:rFonts w:cs="Times New Roman"/>
          <w:sz w:val="34"/>
          <w:szCs w:val="34"/>
        </w:rPr>
      </w:pPr>
    </w:p>
    <w:p>
      <w:pPr>
        <w:pStyle w:val="10"/>
        <w:tabs>
          <w:tab w:val="left" w:pos="5478"/>
        </w:tabs>
        <w:spacing w:before="1"/>
        <w:rPr>
          <w:rFonts w:ascii="Times New Roman" w:eastAsia="Times New Roman" w:cs="Times New Roman"/>
        </w:rPr>
      </w:pPr>
      <w:r>
        <w:rPr>
          <w:rFonts w:hint="eastAsia"/>
          <w:spacing w:val="-3"/>
        </w:rPr>
        <w:t>投</w:t>
      </w:r>
      <w:r>
        <w:rPr>
          <w:rFonts w:hint="eastAsia"/>
          <w:spacing w:val="-1"/>
        </w:rPr>
        <w:t>标</w:t>
      </w:r>
      <w:r>
        <w:rPr>
          <w:rFonts w:hint="eastAsia"/>
        </w:rPr>
        <w:t>人名称：</w:t>
      </w:r>
      <w:r>
        <w:rPr>
          <w:rFonts w:ascii="Times New Roman" w:eastAsia="Times New Roman" w:cs="Times New Roman"/>
          <w:u w:val="single"/>
        </w:rPr>
        <w:tab/>
      </w:r>
    </w:p>
    <w:p>
      <w:pPr>
        <w:tabs>
          <w:tab w:val="left" w:pos="1641"/>
          <w:tab w:val="left" w:pos="4339"/>
          <w:tab w:val="left" w:pos="4639"/>
          <w:tab w:val="left" w:pos="5779"/>
          <w:tab w:val="left" w:pos="7523"/>
          <w:tab w:val="left" w:pos="9090"/>
        </w:tabs>
        <w:spacing w:before="138" w:line="345" w:lineRule="auto"/>
        <w:ind w:left="564" w:right="522"/>
        <w:rPr>
          <w:rFonts w:ascii="Times New Roman" w:cs="Times New Roman" w:eastAsiaTheme="minorEastAsia"/>
          <w:sz w:val="24"/>
          <w:szCs w:val="24"/>
          <w:u w:val="single"/>
        </w:rPr>
      </w:pPr>
      <w:r>
        <w:rPr>
          <w:rFonts w:hint="eastAsia"/>
          <w:sz w:val="24"/>
          <w:szCs w:val="24"/>
        </w:rPr>
        <w:t>姓名：</w:t>
      </w:r>
      <w:r>
        <w:rPr>
          <w:rFonts w:cs="Times New Roman"/>
          <w:sz w:val="24"/>
          <w:szCs w:val="24"/>
          <w:u w:val="single"/>
        </w:rPr>
        <w:tab/>
      </w:r>
      <w:r>
        <w:rPr>
          <w:rFonts w:hint="eastAsia"/>
          <w:sz w:val="24"/>
          <w:szCs w:val="24"/>
          <w:u w:val="single"/>
        </w:rPr>
        <w:t>（法定代表人亲笔签字）</w:t>
      </w:r>
      <w:r>
        <w:rPr>
          <w:rFonts w:cs="Times New Roman"/>
          <w:sz w:val="24"/>
          <w:szCs w:val="24"/>
        </w:rPr>
        <w:tab/>
      </w:r>
      <w:r>
        <w:rPr>
          <w:rFonts w:cs="Times New Roman"/>
          <w:sz w:val="24"/>
          <w:szCs w:val="24"/>
        </w:rPr>
        <w:tab/>
      </w:r>
      <w:r>
        <w:rPr>
          <w:rFonts w:hint="eastAsia"/>
          <w:sz w:val="24"/>
          <w:szCs w:val="24"/>
        </w:rPr>
        <w:t>性别：</w:t>
      </w:r>
      <w:r>
        <w:rPr>
          <w:rFonts w:cs="Times New Roman"/>
          <w:sz w:val="24"/>
          <w:szCs w:val="24"/>
          <w:u w:val="single"/>
        </w:rPr>
        <w:tab/>
      </w:r>
      <w:r>
        <w:rPr>
          <w:rFonts w:hint="eastAsia"/>
          <w:sz w:val="24"/>
          <w:szCs w:val="24"/>
        </w:rPr>
        <w:t>年龄：</w:t>
      </w:r>
      <w:r>
        <w:rPr>
          <w:rFonts w:cs="Times New Roman"/>
          <w:sz w:val="24"/>
          <w:szCs w:val="24"/>
          <w:u w:val="single"/>
        </w:rPr>
        <w:tab/>
      </w:r>
      <w:r>
        <w:rPr>
          <w:rFonts w:hint="eastAsia"/>
          <w:sz w:val="24"/>
          <w:szCs w:val="24"/>
        </w:rPr>
        <w:t>职务：</w:t>
      </w:r>
      <w:r>
        <w:rPr>
          <w:rFonts w:ascii="Times New Roman" w:eastAsia="Times New Roman" w:cs="Times New Roman"/>
          <w:sz w:val="24"/>
          <w:szCs w:val="24"/>
          <w:u w:val="single"/>
        </w:rPr>
        <w:tab/>
      </w:r>
    </w:p>
    <w:p>
      <w:pPr>
        <w:tabs>
          <w:tab w:val="left" w:pos="1641"/>
          <w:tab w:val="left" w:pos="4339"/>
          <w:tab w:val="left" w:pos="4639"/>
          <w:tab w:val="left" w:pos="5779"/>
          <w:tab w:val="left" w:pos="7523"/>
          <w:tab w:val="left" w:pos="9325"/>
        </w:tabs>
        <w:spacing w:before="138" w:line="345" w:lineRule="auto"/>
        <w:ind w:left="564" w:right="522"/>
        <w:rPr>
          <w:rFonts w:cs="Times New Roman"/>
          <w:sz w:val="24"/>
          <w:szCs w:val="24"/>
        </w:rPr>
      </w:pPr>
      <w:r>
        <w:rPr>
          <w:rFonts w:hint="eastAsia"/>
          <w:sz w:val="24"/>
          <w:szCs w:val="24"/>
        </w:rPr>
        <w:t>系</w:t>
      </w:r>
      <w:r>
        <w:rPr>
          <w:rFonts w:cs="Times New Roman"/>
          <w:sz w:val="24"/>
          <w:szCs w:val="24"/>
          <w:u w:val="single"/>
        </w:rPr>
        <w:tab/>
      </w:r>
      <w:r>
        <w:rPr>
          <w:rFonts w:cs="Times New Roman"/>
          <w:sz w:val="24"/>
          <w:szCs w:val="24"/>
          <w:u w:val="single"/>
        </w:rPr>
        <w:tab/>
      </w:r>
      <w:r>
        <w:rPr>
          <w:rFonts w:hint="eastAsia"/>
          <w:sz w:val="24"/>
          <w:szCs w:val="24"/>
        </w:rPr>
        <w:t>（投标人名称）的法定代表人。</w:t>
      </w:r>
    </w:p>
    <w:p>
      <w:pPr>
        <w:spacing w:before="8"/>
        <w:ind w:left="1044"/>
        <w:rPr>
          <w:rFonts w:cs="Times New Roman"/>
          <w:sz w:val="24"/>
          <w:szCs w:val="24"/>
        </w:rPr>
      </w:pPr>
      <w:r>
        <w:rPr>
          <w:rFonts w:hint="eastAsia"/>
          <w:sz w:val="24"/>
          <w:szCs w:val="24"/>
        </w:rPr>
        <w:t>特此证明。</w:t>
      </w:r>
    </w:p>
    <w:p>
      <w:pPr>
        <w:pStyle w:val="12"/>
        <w:rPr>
          <w:rFonts w:cs="Times New Roman"/>
          <w:sz w:val="24"/>
          <w:szCs w:val="24"/>
        </w:rPr>
      </w:pPr>
    </w:p>
    <w:p>
      <w:pPr>
        <w:pStyle w:val="12"/>
        <w:spacing w:before="3"/>
        <w:rPr>
          <w:rFonts w:cs="Times New Roman"/>
          <w:sz w:val="23"/>
          <w:szCs w:val="23"/>
        </w:rPr>
      </w:pPr>
    </w:p>
    <w:p>
      <w:pPr>
        <w:pStyle w:val="12"/>
        <w:ind w:left="564"/>
        <w:rPr>
          <w:rFonts w:cs="Times New Roman"/>
        </w:rPr>
      </w:pPr>
      <w:r>
        <w:rPr>
          <w:rFonts w:hint="eastAsia"/>
        </w:rPr>
        <w:t>附：法定代表人身份证复印件。</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rPr>
      </w:pPr>
    </w:p>
    <w:p>
      <w:pPr>
        <w:pStyle w:val="10"/>
        <w:tabs>
          <w:tab w:val="left" w:pos="6683"/>
        </w:tabs>
        <w:ind w:left="3684"/>
        <w:rPr>
          <w:rFonts w:cs="Times New Roman"/>
        </w:rPr>
      </w:pPr>
      <w:r>
        <w:rPr>
          <w:rFonts w:hint="eastAsia"/>
        </w:rPr>
        <w:t>投标人：</w:t>
      </w:r>
      <w:r>
        <w:rPr>
          <w:rFonts w:cs="Times New Roman"/>
          <w:u w:val="single"/>
        </w:rPr>
        <w:tab/>
      </w:r>
      <w:r>
        <w:rPr>
          <w:rFonts w:hint="eastAsia"/>
        </w:rPr>
        <w:t>（盖单位章）</w:t>
      </w:r>
    </w:p>
    <w:p>
      <w:pPr>
        <w:tabs>
          <w:tab w:val="left" w:pos="5963"/>
          <w:tab w:val="left" w:pos="6923"/>
          <w:tab w:val="left" w:pos="7579"/>
        </w:tabs>
        <w:spacing w:before="134"/>
        <w:ind w:left="4884"/>
        <w:rPr>
          <w:rFonts w:cs="Times New Roman"/>
          <w:sz w:val="24"/>
          <w:szCs w:val="24"/>
        </w:rPr>
      </w:pPr>
      <w:r>
        <w:rPr>
          <w:rFonts w:ascii="Times New Roman" w:eastAsia="Times New Roman" w:cs="Times New Roman"/>
          <w:sz w:val="24"/>
          <w:szCs w:val="24"/>
          <w:u w:val="single"/>
        </w:rPr>
        <w:tab/>
      </w:r>
      <w:r>
        <w:rPr>
          <w:rFonts w:hint="eastAsia"/>
          <w:sz w:val="24"/>
          <w:szCs w:val="24"/>
        </w:rPr>
        <w:t>年</w:t>
      </w:r>
      <w:r>
        <w:rPr>
          <w:rFonts w:cs="Times New Roman"/>
          <w:sz w:val="24"/>
          <w:szCs w:val="24"/>
          <w:u w:val="single"/>
        </w:rPr>
        <w:tab/>
      </w:r>
      <w:r>
        <w:rPr>
          <w:rFonts w:hint="eastAsia"/>
          <w:sz w:val="24"/>
          <w:szCs w:val="24"/>
        </w:rPr>
        <w:t>月</w:t>
      </w:r>
      <w:r>
        <w:rPr>
          <w:rFonts w:cs="Times New Roman"/>
          <w:sz w:val="24"/>
          <w:szCs w:val="24"/>
          <w:u w:val="single"/>
        </w:rPr>
        <w:tab/>
      </w:r>
      <w:r>
        <w:rPr>
          <w:rFonts w:hint="eastAsia"/>
          <w:sz w:val="24"/>
          <w:szCs w:val="24"/>
        </w:rPr>
        <w:t>日</w:t>
      </w: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spacing w:before="3"/>
        <w:rPr>
          <w:rFonts w:cs="Times New Roman"/>
        </w:rPr>
      </w:pPr>
    </w:p>
    <w:p>
      <w:pPr>
        <w:pStyle w:val="12"/>
        <w:rPr>
          <w:rFonts w:cs="Times New Roman"/>
        </w:rPr>
        <w:sectPr>
          <w:pgSz w:w="11910" w:h="16850"/>
          <w:pgMar w:top="1418" w:right="1418" w:bottom="1418" w:left="1418" w:header="851" w:footer="964" w:gutter="0"/>
          <w:cols w:space="720" w:num="1"/>
        </w:sectPr>
      </w:pPr>
      <w:r>
        <w:rPr>
          <w:rFonts w:hint="eastAsia"/>
        </w:rPr>
        <w:t>注：法定代表人的签字必须是亲笔签名，不得使用印章、签名章或其他电子制版签名代替</w:t>
      </w:r>
    </w:p>
    <w:p>
      <w:pPr>
        <w:pStyle w:val="12"/>
        <w:spacing w:before="7"/>
        <w:rPr>
          <w:rFonts w:cs="Times New Roman"/>
          <w:sz w:val="9"/>
          <w:szCs w:val="9"/>
        </w:rPr>
      </w:pPr>
    </w:p>
    <w:p>
      <w:pPr>
        <w:pStyle w:val="12"/>
        <w:spacing w:before="7"/>
        <w:rPr>
          <w:rFonts w:cs="Times New Roman"/>
          <w:sz w:val="9"/>
          <w:szCs w:val="9"/>
        </w:rPr>
      </w:pPr>
    </w:p>
    <w:p>
      <w:pPr>
        <w:pStyle w:val="12"/>
        <w:spacing w:before="7"/>
        <w:rPr>
          <w:rFonts w:cs="Times New Roman"/>
          <w:sz w:val="9"/>
          <w:szCs w:val="9"/>
        </w:rPr>
      </w:pPr>
    </w:p>
    <w:p>
      <w:pPr>
        <w:pStyle w:val="12"/>
        <w:spacing w:before="7"/>
        <w:rPr>
          <w:rFonts w:cs="Times New Roman"/>
          <w:sz w:val="9"/>
          <w:szCs w:val="9"/>
        </w:rPr>
      </w:pPr>
    </w:p>
    <w:p>
      <w:pPr>
        <w:pStyle w:val="12"/>
        <w:spacing w:before="7"/>
        <w:rPr>
          <w:rFonts w:cs="Times New Roman"/>
          <w:sz w:val="9"/>
          <w:szCs w:val="9"/>
        </w:rPr>
      </w:pPr>
    </w:p>
    <w:p>
      <w:pPr>
        <w:pStyle w:val="12"/>
        <w:spacing w:before="7"/>
        <w:rPr>
          <w:rFonts w:cs="Times New Roman"/>
          <w:sz w:val="9"/>
          <w:szCs w:val="9"/>
        </w:rPr>
      </w:pPr>
    </w:p>
    <w:p>
      <w:pPr>
        <w:pStyle w:val="12"/>
        <w:spacing w:before="7"/>
        <w:rPr>
          <w:rFonts w:cs="Times New Roman"/>
          <w:sz w:val="9"/>
          <w:szCs w:val="9"/>
        </w:rPr>
      </w:pPr>
    </w:p>
    <w:p>
      <w:pPr>
        <w:pStyle w:val="9"/>
        <w:spacing w:before="61"/>
        <w:ind w:left="108" w:right="142"/>
        <w:rPr>
          <w:rFonts w:cs="Times New Roman"/>
        </w:rPr>
      </w:pPr>
      <w:r>
        <w:rPr>
          <w:rFonts w:hint="eastAsia"/>
        </w:rPr>
        <w:t>三、施工组织设计</w:t>
      </w:r>
    </w:p>
    <w:p>
      <w:pPr>
        <w:pStyle w:val="12"/>
        <w:rPr>
          <w:rFonts w:cs="Times New Roman"/>
          <w:sz w:val="28"/>
          <w:szCs w:val="28"/>
        </w:rPr>
      </w:pPr>
    </w:p>
    <w:p>
      <w:pPr>
        <w:pStyle w:val="10"/>
        <w:spacing w:before="206"/>
        <w:ind w:left="1044"/>
        <w:rPr>
          <w:rFonts w:cs="Times New Roman"/>
        </w:rPr>
      </w:pPr>
      <w:r>
        <w:rPr>
          <w:rFonts w:hint="eastAsia"/>
        </w:rPr>
        <w:t>投标人应按以下要点编制施工组织设计（文字宜精炼、内容具有针对性</w:t>
      </w:r>
      <w:r>
        <w:rPr>
          <w:rFonts w:hint="eastAsia"/>
          <w:spacing w:val="-240"/>
        </w:rPr>
        <w:t>）</w:t>
      </w:r>
      <w:r>
        <w:rPr>
          <w:rFonts w:hint="eastAsia"/>
        </w:rPr>
        <w:t>：</w:t>
      </w:r>
    </w:p>
    <w:p>
      <w:pPr>
        <w:pStyle w:val="49"/>
        <w:numPr>
          <w:ilvl w:val="0"/>
          <w:numId w:val="38"/>
        </w:numPr>
        <w:tabs>
          <w:tab w:val="left" w:pos="1227"/>
        </w:tabs>
        <w:spacing w:before="137"/>
        <w:rPr>
          <w:rFonts w:cs="Times New Roman"/>
          <w:sz w:val="24"/>
          <w:szCs w:val="24"/>
        </w:rPr>
      </w:pPr>
      <w:r>
        <w:rPr>
          <w:rFonts w:hint="eastAsia"/>
          <w:sz w:val="24"/>
          <w:szCs w:val="24"/>
        </w:rPr>
        <w:t>总体施工组织布置及规划</w:t>
      </w:r>
    </w:p>
    <w:p>
      <w:pPr>
        <w:pStyle w:val="49"/>
        <w:numPr>
          <w:ilvl w:val="0"/>
          <w:numId w:val="38"/>
        </w:numPr>
        <w:tabs>
          <w:tab w:val="left" w:pos="1227"/>
        </w:tabs>
        <w:spacing w:before="134"/>
        <w:rPr>
          <w:rFonts w:cs="Times New Roman"/>
          <w:sz w:val="24"/>
          <w:szCs w:val="24"/>
        </w:rPr>
      </w:pPr>
      <w:r>
        <w:rPr>
          <w:rFonts w:hint="eastAsia"/>
          <w:sz w:val="24"/>
          <w:szCs w:val="24"/>
        </w:rPr>
        <w:t>重点、关键和难点工程的施工方案</w:t>
      </w:r>
    </w:p>
    <w:p>
      <w:pPr>
        <w:pStyle w:val="49"/>
        <w:numPr>
          <w:ilvl w:val="0"/>
          <w:numId w:val="38"/>
        </w:numPr>
        <w:tabs>
          <w:tab w:val="left" w:pos="1227"/>
        </w:tabs>
        <w:spacing w:before="139"/>
        <w:rPr>
          <w:rFonts w:cs="Times New Roman"/>
          <w:sz w:val="24"/>
          <w:szCs w:val="24"/>
        </w:rPr>
      </w:pPr>
      <w:r>
        <w:rPr>
          <w:rFonts w:hint="eastAsia"/>
          <w:sz w:val="24"/>
          <w:szCs w:val="24"/>
        </w:rPr>
        <w:t>工期关键线路图及保证措施</w:t>
      </w:r>
    </w:p>
    <w:p>
      <w:pPr>
        <w:pStyle w:val="49"/>
        <w:numPr>
          <w:ilvl w:val="0"/>
          <w:numId w:val="38"/>
        </w:numPr>
        <w:tabs>
          <w:tab w:val="left" w:pos="1227"/>
        </w:tabs>
        <w:spacing w:before="134"/>
        <w:rPr>
          <w:rFonts w:cs="Times New Roman"/>
          <w:sz w:val="24"/>
          <w:szCs w:val="24"/>
        </w:rPr>
      </w:pPr>
      <w:r>
        <w:rPr>
          <w:rFonts w:hint="eastAsia"/>
          <w:sz w:val="24"/>
          <w:szCs w:val="24"/>
        </w:rPr>
        <w:t>关键工程质量保证措施</w:t>
      </w:r>
    </w:p>
    <w:p>
      <w:pPr>
        <w:pStyle w:val="49"/>
        <w:numPr>
          <w:ilvl w:val="0"/>
          <w:numId w:val="38"/>
        </w:numPr>
        <w:tabs>
          <w:tab w:val="left" w:pos="1227"/>
        </w:tabs>
        <w:spacing w:before="136"/>
        <w:rPr>
          <w:rFonts w:cs="Times New Roman"/>
          <w:sz w:val="24"/>
          <w:szCs w:val="24"/>
        </w:rPr>
      </w:pPr>
      <w:r>
        <w:rPr>
          <w:rFonts w:hint="eastAsia"/>
          <w:sz w:val="24"/>
          <w:szCs w:val="24"/>
        </w:rPr>
        <w:t>安全保证措施</w:t>
      </w:r>
    </w:p>
    <w:p>
      <w:pPr>
        <w:pStyle w:val="49"/>
        <w:numPr>
          <w:ilvl w:val="0"/>
          <w:numId w:val="38"/>
        </w:numPr>
        <w:tabs>
          <w:tab w:val="left" w:pos="1227"/>
        </w:tabs>
        <w:spacing w:before="137"/>
        <w:rPr>
          <w:rFonts w:cs="Times New Roman"/>
          <w:sz w:val="24"/>
          <w:szCs w:val="24"/>
        </w:rPr>
      </w:pPr>
      <w:r>
        <w:rPr>
          <w:rFonts w:hint="eastAsia"/>
          <w:sz w:val="24"/>
          <w:szCs w:val="24"/>
        </w:rPr>
        <w:t>环境保护、水土保持、文明施工、文物保护保证措施</w:t>
      </w:r>
    </w:p>
    <w:p>
      <w:pPr>
        <w:pStyle w:val="49"/>
        <w:numPr>
          <w:ilvl w:val="0"/>
          <w:numId w:val="38"/>
        </w:numPr>
        <w:tabs>
          <w:tab w:val="left" w:pos="1227"/>
        </w:tabs>
        <w:spacing w:before="136"/>
        <w:rPr>
          <w:rFonts w:cs="Times New Roman"/>
          <w:sz w:val="24"/>
          <w:szCs w:val="24"/>
        </w:rPr>
      </w:pPr>
      <w:r>
        <w:rPr>
          <w:rFonts w:hint="eastAsia"/>
          <w:sz w:val="24"/>
          <w:szCs w:val="24"/>
        </w:rPr>
        <w:t>项目风险预测与防范，事故应急预案</w:t>
      </w:r>
    </w:p>
    <w:p>
      <w:pPr>
        <w:pStyle w:val="49"/>
        <w:numPr>
          <w:ilvl w:val="0"/>
          <w:numId w:val="38"/>
        </w:numPr>
        <w:tabs>
          <w:tab w:val="left" w:pos="1227"/>
        </w:tabs>
        <w:spacing w:before="137"/>
        <w:rPr>
          <w:rFonts w:cs="Times New Roman"/>
          <w:sz w:val="24"/>
          <w:szCs w:val="24"/>
        </w:rPr>
      </w:pPr>
      <w:r>
        <w:rPr>
          <w:rFonts w:hint="eastAsia"/>
          <w:sz w:val="24"/>
          <w:szCs w:val="24"/>
        </w:rPr>
        <w:t>其他应说明的事项</w:t>
      </w:r>
    </w:p>
    <w:p>
      <w:pPr>
        <w:rPr>
          <w:rFonts w:cs="Times New Roman"/>
          <w:sz w:val="24"/>
          <w:szCs w:val="24"/>
        </w:rPr>
        <w:sectPr>
          <w:pgSz w:w="11910" w:h="16850"/>
          <w:pgMar w:top="1418" w:right="1418" w:bottom="1418" w:left="1418" w:header="851" w:footer="964" w:gutter="0"/>
          <w:cols w:space="720" w:num="1"/>
          <w:docGrid w:linePitch="299" w:charSpace="0"/>
        </w:sectPr>
      </w:pPr>
    </w:p>
    <w:p>
      <w:pPr>
        <w:pStyle w:val="12"/>
        <w:rPr>
          <w:rFonts w:cs="Times New Roman"/>
          <w:sz w:val="20"/>
          <w:szCs w:val="20"/>
        </w:rPr>
      </w:pPr>
    </w:p>
    <w:p>
      <w:pPr>
        <w:pStyle w:val="12"/>
        <w:spacing w:before="2"/>
        <w:rPr>
          <w:rFonts w:cs="Times New Roman"/>
          <w:sz w:val="18"/>
          <w:szCs w:val="18"/>
        </w:rPr>
      </w:pPr>
    </w:p>
    <w:p>
      <w:pPr>
        <w:spacing w:before="62"/>
        <w:ind w:left="111" w:right="142"/>
        <w:jc w:val="center"/>
        <w:rPr>
          <w:rFonts w:cs="Times New Roman"/>
          <w:sz w:val="28"/>
          <w:szCs w:val="28"/>
        </w:rPr>
      </w:pPr>
      <w:r>
        <w:rPr>
          <w:lang w:val="en-US"/>
        </w:rPr>
        <w:pict>
          <v:shape id="自选图形 37" o:spid="_x0000_s1079" o:spt="100" style="position:absolute;left:0pt;margin-left:82.2pt;margin-top:2.05pt;height:590.7pt;width:437.05pt;mso-position-horizontal-relative:page;z-index:-1024;mso-width-relative:page;mso-height-relative:page;" filled="f" coordsize="8741,11814" path="m0,1140l8740,1140m0,9824l8740,9824m0,12946l8740,12946m7,1133l7,12939m8733,1133l8733,12939e">
            <v:path textboxrect="3163,3163,18437,18437" o:connecttype="segments"/>
            <v:fill on="f" focussize="0,0"/>
            <v:stroke weight="0.72pt" joinstyle="round"/>
            <v:imagedata o:title=""/>
            <o:lock v:ext="edit"/>
            <v:textbox>
              <w:txbxContent>
                <w:p/>
              </w:txbxContent>
            </v:textbox>
          </v:shape>
        </w:pict>
      </w:r>
      <w:r>
        <w:rPr>
          <w:rFonts w:hint="eastAsia"/>
        </w:rPr>
        <w:t>四</w:t>
      </w:r>
      <w:r>
        <w:rPr>
          <w:rFonts w:hint="eastAsia"/>
          <w:sz w:val="28"/>
          <w:szCs w:val="28"/>
        </w:rPr>
        <w:t>、项目管理机构</w:t>
      </w:r>
    </w:p>
    <w:p>
      <w:pPr>
        <w:pStyle w:val="12"/>
        <w:rPr>
          <w:rFonts w:cs="Times New Roman"/>
          <w:sz w:val="28"/>
          <w:szCs w:val="28"/>
        </w:rPr>
      </w:pPr>
    </w:p>
    <w:p>
      <w:pPr>
        <w:pStyle w:val="12"/>
        <w:rPr>
          <w:rFonts w:cs="Times New Roman"/>
          <w:sz w:val="28"/>
          <w:szCs w:val="28"/>
        </w:rPr>
      </w:pPr>
    </w:p>
    <w:p>
      <w:pPr>
        <w:pStyle w:val="12"/>
        <w:rPr>
          <w:rFonts w:cs="Times New Roman"/>
          <w:sz w:val="28"/>
          <w:szCs w:val="28"/>
        </w:rPr>
      </w:pPr>
    </w:p>
    <w:p>
      <w:pPr>
        <w:pStyle w:val="12"/>
        <w:spacing w:before="10"/>
        <w:rPr>
          <w:rFonts w:cs="Times New Roman"/>
          <w:sz w:val="36"/>
          <w:szCs w:val="36"/>
        </w:rPr>
      </w:pPr>
    </w:p>
    <w:p>
      <w:pPr>
        <w:pStyle w:val="12"/>
        <w:ind w:left="957"/>
        <w:rPr>
          <w:rFonts w:cs="Times New Roman"/>
        </w:rPr>
      </w:pPr>
      <w:r>
        <w:rPr>
          <w:rFonts w:hint="eastAsia"/>
        </w:rPr>
        <w:t>拟为承包本标段工程设立的组织机构以框图方式表示。</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11"/>
        <w:rPr>
          <w:rFonts w:cs="Times New Roman"/>
          <w:sz w:val="15"/>
          <w:szCs w:val="15"/>
        </w:rPr>
      </w:pPr>
    </w:p>
    <w:p>
      <w:pPr>
        <w:pStyle w:val="12"/>
        <w:ind w:left="957"/>
        <w:rPr>
          <w:rFonts w:cs="Times New Roman"/>
        </w:rPr>
      </w:pPr>
      <w:r>
        <w:rPr>
          <w:rFonts w:hint="eastAsia"/>
        </w:rPr>
        <w:t>说明</w:t>
      </w:r>
    </w:p>
    <w:p>
      <w:pPr>
        <w:rPr>
          <w:rFonts w:cs="Times New Roman"/>
        </w:rPr>
        <w:sectPr>
          <w:pgSz w:w="11910" w:h="16850"/>
          <w:pgMar w:top="1418" w:right="1418" w:bottom="1418" w:left="1418" w:header="851" w:footer="964" w:gutter="0"/>
          <w:cols w:space="720" w:num="1"/>
        </w:sectPr>
      </w:pPr>
    </w:p>
    <w:p>
      <w:pPr>
        <w:pStyle w:val="9"/>
        <w:spacing w:before="62"/>
        <w:ind w:left="111" w:right="142"/>
        <w:rPr>
          <w:rFonts w:cs="Times New Roman"/>
        </w:rPr>
      </w:pPr>
      <w:r>
        <w:rPr>
          <w:rFonts w:hint="eastAsia"/>
        </w:rPr>
        <w:t>五、资格审查资料</w:t>
      </w:r>
    </w:p>
    <w:p>
      <w:pPr>
        <w:pStyle w:val="12"/>
        <w:rPr>
          <w:rFonts w:cs="Times New Roman"/>
          <w:sz w:val="36"/>
          <w:szCs w:val="36"/>
        </w:rPr>
      </w:pPr>
    </w:p>
    <w:p>
      <w:pPr>
        <w:pStyle w:val="10"/>
        <w:spacing w:after="8"/>
        <w:ind w:left="106" w:right="142"/>
        <w:jc w:val="center"/>
        <w:rPr>
          <w:rFonts w:cs="Times New Roman"/>
        </w:rPr>
      </w:pPr>
      <w:r>
        <w:rPr>
          <w:rFonts w:hint="eastAsia"/>
        </w:rPr>
        <w:t>（一）投标人基本情况表</w:t>
      </w:r>
    </w:p>
    <w:tbl>
      <w:tblPr>
        <w:tblStyle w:val="20"/>
        <w:tblW w:w="89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08" w:type="dxa"/>
          </w:tcPr>
          <w:p>
            <w:pPr>
              <w:pStyle w:val="50"/>
              <w:spacing w:before="142"/>
              <w:ind w:left="431"/>
              <w:rPr>
                <w:rFonts w:cs="Times New Roman"/>
                <w:sz w:val="21"/>
                <w:szCs w:val="21"/>
              </w:rPr>
            </w:pPr>
            <w:r>
              <w:rPr>
                <w:rFonts w:hint="eastAsia"/>
                <w:sz w:val="21"/>
                <w:szCs w:val="21"/>
              </w:rPr>
              <w:t>投标人名称</w:t>
            </w:r>
          </w:p>
        </w:tc>
        <w:tc>
          <w:tcPr>
            <w:tcW w:w="7021" w:type="dxa"/>
            <w:gridSpan w:val="8"/>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8" w:type="dxa"/>
          </w:tcPr>
          <w:p>
            <w:pPr>
              <w:pStyle w:val="50"/>
              <w:spacing w:before="143"/>
              <w:ind w:left="537"/>
              <w:rPr>
                <w:rFonts w:cs="Times New Roman"/>
                <w:sz w:val="21"/>
                <w:szCs w:val="21"/>
              </w:rPr>
            </w:pPr>
            <w:r>
              <w:rPr>
                <w:rFonts w:hint="eastAsia"/>
                <w:sz w:val="21"/>
                <w:szCs w:val="21"/>
              </w:rPr>
              <w:t>注册地址</w:t>
            </w:r>
          </w:p>
        </w:tc>
        <w:tc>
          <w:tcPr>
            <w:tcW w:w="3241" w:type="dxa"/>
            <w:gridSpan w:val="4"/>
          </w:tcPr>
          <w:p>
            <w:pPr>
              <w:pStyle w:val="50"/>
              <w:rPr>
                <w:rFonts w:ascii="Times New Roman" w:cs="Times New Roman"/>
                <w:sz w:val="20"/>
                <w:szCs w:val="20"/>
              </w:rPr>
            </w:pPr>
          </w:p>
        </w:tc>
        <w:tc>
          <w:tcPr>
            <w:tcW w:w="1077" w:type="dxa"/>
          </w:tcPr>
          <w:p>
            <w:pPr>
              <w:pStyle w:val="50"/>
              <w:spacing w:before="143"/>
              <w:ind w:left="102" w:right="85"/>
              <w:jc w:val="center"/>
              <w:rPr>
                <w:rFonts w:cs="Times New Roman"/>
                <w:sz w:val="21"/>
                <w:szCs w:val="21"/>
              </w:rPr>
            </w:pPr>
            <w:r>
              <w:rPr>
                <w:rFonts w:hint="eastAsia"/>
                <w:sz w:val="21"/>
                <w:szCs w:val="21"/>
              </w:rPr>
              <w:t>邮政编码</w:t>
            </w:r>
          </w:p>
        </w:tc>
        <w:tc>
          <w:tcPr>
            <w:tcW w:w="2703" w:type="dxa"/>
            <w:gridSpan w:val="3"/>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tcPr>
          <w:p>
            <w:pPr>
              <w:pStyle w:val="50"/>
              <w:spacing w:before="12"/>
              <w:rPr>
                <w:rFonts w:cs="Times New Roman"/>
                <w:sz w:val="28"/>
                <w:szCs w:val="28"/>
              </w:rPr>
            </w:pPr>
          </w:p>
          <w:p>
            <w:pPr>
              <w:pStyle w:val="50"/>
              <w:ind w:left="537"/>
              <w:rPr>
                <w:rFonts w:cs="Times New Roman"/>
                <w:sz w:val="21"/>
                <w:szCs w:val="21"/>
              </w:rPr>
            </w:pPr>
            <w:r>
              <w:rPr>
                <w:rFonts w:hint="eastAsia"/>
                <w:sz w:val="21"/>
                <w:szCs w:val="21"/>
              </w:rPr>
              <w:t>联系方式</w:t>
            </w:r>
          </w:p>
        </w:tc>
        <w:tc>
          <w:tcPr>
            <w:tcW w:w="901" w:type="dxa"/>
          </w:tcPr>
          <w:p>
            <w:pPr>
              <w:pStyle w:val="50"/>
              <w:spacing w:before="143"/>
              <w:ind w:left="15"/>
              <w:jc w:val="center"/>
              <w:rPr>
                <w:rFonts w:cs="Times New Roman"/>
                <w:sz w:val="21"/>
                <w:szCs w:val="21"/>
              </w:rPr>
            </w:pPr>
            <w:r>
              <w:rPr>
                <w:rFonts w:hint="eastAsia"/>
                <w:sz w:val="21"/>
                <w:szCs w:val="21"/>
              </w:rPr>
              <w:t>联系人</w:t>
            </w:r>
          </w:p>
        </w:tc>
        <w:tc>
          <w:tcPr>
            <w:tcW w:w="2340" w:type="dxa"/>
            <w:gridSpan w:val="3"/>
          </w:tcPr>
          <w:p>
            <w:pPr>
              <w:pStyle w:val="50"/>
              <w:rPr>
                <w:rFonts w:ascii="Times New Roman" w:cs="Times New Roman"/>
                <w:sz w:val="20"/>
                <w:szCs w:val="20"/>
              </w:rPr>
            </w:pPr>
          </w:p>
        </w:tc>
        <w:tc>
          <w:tcPr>
            <w:tcW w:w="1077" w:type="dxa"/>
          </w:tcPr>
          <w:p>
            <w:pPr>
              <w:pStyle w:val="50"/>
              <w:spacing w:before="143"/>
              <w:ind w:left="102" w:right="82"/>
              <w:jc w:val="center"/>
              <w:rPr>
                <w:rFonts w:cs="Times New Roman"/>
                <w:sz w:val="21"/>
                <w:szCs w:val="21"/>
              </w:rPr>
            </w:pPr>
            <w:r>
              <w:rPr>
                <w:rFonts w:hint="eastAsia"/>
                <w:sz w:val="21"/>
                <w:szCs w:val="21"/>
              </w:rPr>
              <w:t>电</w:t>
            </w:r>
            <w:r>
              <w:rPr>
                <w:sz w:val="21"/>
                <w:szCs w:val="21"/>
              </w:rPr>
              <w:t xml:space="preserve"> </w:t>
            </w:r>
            <w:r>
              <w:rPr>
                <w:rFonts w:hint="eastAsia"/>
                <w:sz w:val="21"/>
                <w:szCs w:val="21"/>
              </w:rPr>
              <w:t>话</w:t>
            </w:r>
          </w:p>
        </w:tc>
        <w:tc>
          <w:tcPr>
            <w:tcW w:w="2703" w:type="dxa"/>
            <w:gridSpan w:val="3"/>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8" w:type="dxa"/>
            <w:vMerge w:val="continue"/>
            <w:tcBorders>
              <w:top w:val="nil"/>
            </w:tcBorders>
          </w:tcPr>
          <w:p>
            <w:pPr>
              <w:rPr>
                <w:rFonts w:cs="Times New Roman"/>
                <w:sz w:val="2"/>
                <w:szCs w:val="2"/>
              </w:rPr>
            </w:pPr>
          </w:p>
        </w:tc>
        <w:tc>
          <w:tcPr>
            <w:tcW w:w="901" w:type="dxa"/>
          </w:tcPr>
          <w:p>
            <w:pPr>
              <w:pStyle w:val="50"/>
              <w:tabs>
                <w:tab w:val="left" w:pos="440"/>
              </w:tabs>
              <w:spacing w:before="141"/>
              <w:ind w:left="18"/>
              <w:jc w:val="center"/>
              <w:rPr>
                <w:rFonts w:cs="Times New Roman"/>
                <w:sz w:val="21"/>
                <w:szCs w:val="21"/>
              </w:rPr>
            </w:pPr>
            <w:r>
              <w:rPr>
                <w:rFonts w:hint="eastAsia"/>
                <w:sz w:val="21"/>
                <w:szCs w:val="21"/>
              </w:rPr>
              <w:t>传</w:t>
            </w:r>
            <w:r>
              <w:rPr>
                <w:rFonts w:cs="Times New Roman"/>
                <w:sz w:val="21"/>
                <w:szCs w:val="21"/>
              </w:rPr>
              <w:tab/>
            </w:r>
            <w:r>
              <w:rPr>
                <w:rFonts w:hint="eastAsia"/>
                <w:sz w:val="21"/>
                <w:szCs w:val="21"/>
              </w:rPr>
              <w:t>真</w:t>
            </w:r>
          </w:p>
        </w:tc>
        <w:tc>
          <w:tcPr>
            <w:tcW w:w="2340" w:type="dxa"/>
            <w:gridSpan w:val="3"/>
          </w:tcPr>
          <w:p>
            <w:pPr>
              <w:pStyle w:val="50"/>
              <w:rPr>
                <w:rFonts w:ascii="Times New Roman" w:cs="Times New Roman"/>
                <w:sz w:val="20"/>
                <w:szCs w:val="20"/>
              </w:rPr>
            </w:pPr>
          </w:p>
        </w:tc>
        <w:tc>
          <w:tcPr>
            <w:tcW w:w="1077" w:type="dxa"/>
          </w:tcPr>
          <w:p>
            <w:pPr>
              <w:pStyle w:val="50"/>
              <w:spacing w:before="141"/>
              <w:ind w:left="102" w:right="85"/>
              <w:jc w:val="center"/>
              <w:rPr>
                <w:rFonts w:cs="Times New Roman"/>
                <w:sz w:val="21"/>
                <w:szCs w:val="21"/>
              </w:rPr>
            </w:pPr>
            <w:r>
              <w:rPr>
                <w:rFonts w:hint="eastAsia"/>
                <w:sz w:val="21"/>
                <w:szCs w:val="21"/>
              </w:rPr>
              <w:t>电子邮件</w:t>
            </w:r>
          </w:p>
        </w:tc>
        <w:tc>
          <w:tcPr>
            <w:tcW w:w="2703" w:type="dxa"/>
            <w:gridSpan w:val="3"/>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tcPr>
          <w:p>
            <w:pPr>
              <w:pStyle w:val="50"/>
              <w:spacing w:before="144"/>
              <w:ind w:left="431"/>
              <w:rPr>
                <w:rFonts w:cs="Times New Roman"/>
                <w:sz w:val="21"/>
                <w:szCs w:val="21"/>
              </w:rPr>
            </w:pPr>
            <w:r>
              <w:rPr>
                <w:rFonts w:hint="eastAsia"/>
                <w:sz w:val="21"/>
                <w:szCs w:val="21"/>
              </w:rPr>
              <w:t>法定代表人</w:t>
            </w:r>
          </w:p>
        </w:tc>
        <w:tc>
          <w:tcPr>
            <w:tcW w:w="901" w:type="dxa"/>
          </w:tcPr>
          <w:p>
            <w:pPr>
              <w:pStyle w:val="50"/>
              <w:spacing w:before="144"/>
              <w:ind w:left="15"/>
              <w:jc w:val="center"/>
              <w:rPr>
                <w:rFonts w:cs="Times New Roman"/>
                <w:sz w:val="21"/>
                <w:szCs w:val="21"/>
              </w:rPr>
            </w:pPr>
            <w:r>
              <w:rPr>
                <w:rFonts w:hint="eastAsia"/>
                <w:sz w:val="21"/>
                <w:szCs w:val="21"/>
              </w:rPr>
              <w:t>姓名</w:t>
            </w:r>
          </w:p>
        </w:tc>
        <w:tc>
          <w:tcPr>
            <w:tcW w:w="1080" w:type="dxa"/>
          </w:tcPr>
          <w:p>
            <w:pPr>
              <w:pStyle w:val="50"/>
              <w:rPr>
                <w:rFonts w:ascii="Times New Roman" w:cs="Times New Roman"/>
                <w:sz w:val="20"/>
                <w:szCs w:val="20"/>
              </w:rPr>
            </w:pPr>
          </w:p>
        </w:tc>
        <w:tc>
          <w:tcPr>
            <w:tcW w:w="1260" w:type="dxa"/>
            <w:gridSpan w:val="2"/>
          </w:tcPr>
          <w:p>
            <w:pPr>
              <w:pStyle w:val="50"/>
              <w:spacing w:before="144"/>
              <w:ind w:left="212"/>
              <w:rPr>
                <w:rFonts w:cs="Times New Roman"/>
                <w:sz w:val="21"/>
                <w:szCs w:val="21"/>
              </w:rPr>
            </w:pPr>
            <w:r>
              <w:rPr>
                <w:rFonts w:hint="eastAsia"/>
                <w:sz w:val="21"/>
                <w:szCs w:val="21"/>
              </w:rPr>
              <w:t>技术职称</w:t>
            </w:r>
          </w:p>
        </w:tc>
        <w:tc>
          <w:tcPr>
            <w:tcW w:w="1077" w:type="dxa"/>
          </w:tcPr>
          <w:p>
            <w:pPr>
              <w:pStyle w:val="50"/>
              <w:rPr>
                <w:rFonts w:ascii="Times New Roman" w:cs="Times New Roman"/>
                <w:sz w:val="20"/>
                <w:szCs w:val="20"/>
              </w:rPr>
            </w:pPr>
          </w:p>
        </w:tc>
        <w:tc>
          <w:tcPr>
            <w:tcW w:w="1082" w:type="dxa"/>
            <w:gridSpan w:val="2"/>
          </w:tcPr>
          <w:p>
            <w:pPr>
              <w:pStyle w:val="50"/>
              <w:spacing w:before="144"/>
              <w:ind w:left="335"/>
              <w:rPr>
                <w:rFonts w:cs="Times New Roman"/>
                <w:sz w:val="21"/>
                <w:szCs w:val="21"/>
              </w:rPr>
            </w:pPr>
            <w:r>
              <w:rPr>
                <w:rFonts w:hint="eastAsia"/>
                <w:sz w:val="21"/>
                <w:szCs w:val="21"/>
              </w:rPr>
              <w:t>电话</w:t>
            </w:r>
          </w:p>
        </w:tc>
        <w:tc>
          <w:tcPr>
            <w:tcW w:w="1621"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8" w:type="dxa"/>
          </w:tcPr>
          <w:p>
            <w:pPr>
              <w:pStyle w:val="50"/>
              <w:spacing w:before="141"/>
              <w:ind w:left="431"/>
              <w:rPr>
                <w:rFonts w:cs="Times New Roman"/>
                <w:sz w:val="21"/>
                <w:szCs w:val="21"/>
              </w:rPr>
            </w:pPr>
            <w:r>
              <w:rPr>
                <w:rFonts w:hint="eastAsia"/>
                <w:sz w:val="21"/>
                <w:szCs w:val="21"/>
              </w:rPr>
              <w:t>技术负责人</w:t>
            </w:r>
          </w:p>
        </w:tc>
        <w:tc>
          <w:tcPr>
            <w:tcW w:w="901" w:type="dxa"/>
          </w:tcPr>
          <w:p>
            <w:pPr>
              <w:pStyle w:val="50"/>
              <w:spacing w:before="141"/>
              <w:ind w:left="15"/>
              <w:jc w:val="center"/>
              <w:rPr>
                <w:rFonts w:cs="Times New Roman"/>
                <w:sz w:val="21"/>
                <w:szCs w:val="21"/>
              </w:rPr>
            </w:pPr>
            <w:r>
              <w:rPr>
                <w:rFonts w:hint="eastAsia"/>
                <w:sz w:val="21"/>
                <w:szCs w:val="21"/>
              </w:rPr>
              <w:t>姓名</w:t>
            </w:r>
          </w:p>
        </w:tc>
        <w:tc>
          <w:tcPr>
            <w:tcW w:w="1080" w:type="dxa"/>
          </w:tcPr>
          <w:p>
            <w:pPr>
              <w:pStyle w:val="50"/>
              <w:rPr>
                <w:rFonts w:ascii="Times New Roman" w:cs="Times New Roman"/>
                <w:sz w:val="20"/>
                <w:szCs w:val="20"/>
              </w:rPr>
            </w:pPr>
          </w:p>
        </w:tc>
        <w:tc>
          <w:tcPr>
            <w:tcW w:w="1260" w:type="dxa"/>
            <w:gridSpan w:val="2"/>
          </w:tcPr>
          <w:p>
            <w:pPr>
              <w:pStyle w:val="50"/>
              <w:spacing w:before="141"/>
              <w:ind w:left="212"/>
              <w:rPr>
                <w:rFonts w:cs="Times New Roman"/>
                <w:sz w:val="21"/>
                <w:szCs w:val="21"/>
              </w:rPr>
            </w:pPr>
            <w:r>
              <w:rPr>
                <w:rFonts w:hint="eastAsia"/>
                <w:sz w:val="21"/>
                <w:szCs w:val="21"/>
              </w:rPr>
              <w:t>技术职称</w:t>
            </w:r>
          </w:p>
        </w:tc>
        <w:tc>
          <w:tcPr>
            <w:tcW w:w="1077" w:type="dxa"/>
          </w:tcPr>
          <w:p>
            <w:pPr>
              <w:pStyle w:val="50"/>
              <w:rPr>
                <w:rFonts w:ascii="Times New Roman" w:cs="Times New Roman"/>
                <w:sz w:val="20"/>
                <w:szCs w:val="20"/>
              </w:rPr>
            </w:pPr>
          </w:p>
        </w:tc>
        <w:tc>
          <w:tcPr>
            <w:tcW w:w="1082" w:type="dxa"/>
            <w:gridSpan w:val="2"/>
          </w:tcPr>
          <w:p>
            <w:pPr>
              <w:pStyle w:val="50"/>
              <w:spacing w:before="141"/>
              <w:ind w:left="335"/>
              <w:rPr>
                <w:rFonts w:cs="Times New Roman"/>
                <w:sz w:val="21"/>
                <w:szCs w:val="21"/>
              </w:rPr>
            </w:pPr>
            <w:r>
              <w:rPr>
                <w:rFonts w:hint="eastAsia"/>
                <w:sz w:val="21"/>
                <w:szCs w:val="21"/>
              </w:rPr>
              <w:t>电话</w:t>
            </w:r>
          </w:p>
        </w:tc>
        <w:tc>
          <w:tcPr>
            <w:tcW w:w="1621"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08" w:type="dxa"/>
          </w:tcPr>
          <w:p>
            <w:pPr>
              <w:pStyle w:val="50"/>
              <w:spacing w:before="141"/>
              <w:ind w:left="431"/>
              <w:rPr>
                <w:rFonts w:cs="Times New Roman"/>
                <w:sz w:val="21"/>
                <w:szCs w:val="21"/>
              </w:rPr>
            </w:pPr>
            <w:r>
              <w:rPr>
                <w:rFonts w:hint="eastAsia"/>
                <w:sz w:val="21"/>
                <w:szCs w:val="21"/>
              </w:rPr>
              <w:t>营业执照号</w:t>
            </w:r>
          </w:p>
        </w:tc>
        <w:tc>
          <w:tcPr>
            <w:tcW w:w="1981" w:type="dxa"/>
            <w:gridSpan w:val="2"/>
          </w:tcPr>
          <w:p>
            <w:pPr>
              <w:pStyle w:val="50"/>
              <w:rPr>
                <w:rFonts w:ascii="Times New Roman" w:cs="Times New Roman"/>
                <w:sz w:val="20"/>
                <w:szCs w:val="20"/>
              </w:rPr>
            </w:pPr>
          </w:p>
        </w:tc>
        <w:tc>
          <w:tcPr>
            <w:tcW w:w="5040" w:type="dxa"/>
            <w:gridSpan w:val="6"/>
          </w:tcPr>
          <w:p>
            <w:pPr>
              <w:pStyle w:val="50"/>
              <w:spacing w:before="141"/>
              <w:ind w:left="1926" w:right="1804"/>
              <w:jc w:val="center"/>
              <w:rPr>
                <w:rFonts w:cs="Times New Roman"/>
                <w:sz w:val="21"/>
                <w:szCs w:val="21"/>
              </w:rPr>
            </w:pPr>
            <w:r>
              <w:rPr>
                <w:rFonts w:hint="eastAsia"/>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50"/>
              <w:spacing w:before="142"/>
              <w:ind w:left="328"/>
              <w:rPr>
                <w:rFonts w:cs="Times New Roman"/>
                <w:sz w:val="21"/>
                <w:szCs w:val="21"/>
              </w:rPr>
            </w:pPr>
            <w:r>
              <w:rPr>
                <w:rFonts w:hint="eastAsia"/>
                <w:sz w:val="21"/>
                <w:szCs w:val="21"/>
              </w:rPr>
              <w:t>企业资质等级</w:t>
            </w:r>
          </w:p>
        </w:tc>
        <w:tc>
          <w:tcPr>
            <w:tcW w:w="1981" w:type="dxa"/>
            <w:gridSpan w:val="2"/>
          </w:tcPr>
          <w:p>
            <w:pPr>
              <w:pStyle w:val="50"/>
              <w:rPr>
                <w:rFonts w:ascii="Times New Roman" w:cs="Times New Roman"/>
                <w:sz w:val="20"/>
                <w:szCs w:val="20"/>
              </w:rPr>
            </w:pPr>
          </w:p>
        </w:tc>
        <w:tc>
          <w:tcPr>
            <w:tcW w:w="528" w:type="dxa"/>
            <w:vMerge w:val="restart"/>
          </w:tcPr>
          <w:p>
            <w:pPr>
              <w:pStyle w:val="50"/>
              <w:rPr>
                <w:rFonts w:cs="Times New Roman"/>
                <w:sz w:val="20"/>
                <w:szCs w:val="20"/>
              </w:rPr>
            </w:pPr>
          </w:p>
          <w:p>
            <w:pPr>
              <w:pStyle w:val="50"/>
              <w:rPr>
                <w:rFonts w:cs="Times New Roman"/>
                <w:sz w:val="20"/>
                <w:szCs w:val="20"/>
              </w:rPr>
            </w:pPr>
          </w:p>
          <w:p>
            <w:pPr>
              <w:pStyle w:val="50"/>
              <w:rPr>
                <w:rFonts w:cs="Times New Roman"/>
                <w:sz w:val="25"/>
                <w:szCs w:val="25"/>
              </w:rPr>
            </w:pPr>
          </w:p>
          <w:p>
            <w:pPr>
              <w:pStyle w:val="50"/>
              <w:spacing w:line="396" w:lineRule="auto"/>
              <w:ind w:left="161" w:right="145"/>
              <w:rPr>
                <w:rFonts w:cs="Times New Roman"/>
                <w:sz w:val="21"/>
                <w:szCs w:val="21"/>
              </w:rPr>
            </w:pPr>
            <w:r>
              <w:rPr>
                <w:rFonts w:hint="eastAsia"/>
                <w:sz w:val="21"/>
                <w:szCs w:val="21"/>
              </w:rPr>
              <w:t>其中</w:t>
            </w:r>
          </w:p>
        </w:tc>
        <w:tc>
          <w:tcPr>
            <w:tcW w:w="1991" w:type="dxa"/>
            <w:gridSpan w:val="3"/>
          </w:tcPr>
          <w:p>
            <w:pPr>
              <w:pStyle w:val="50"/>
              <w:spacing w:before="142"/>
              <w:ind w:left="579"/>
              <w:rPr>
                <w:rFonts w:cs="Times New Roman"/>
                <w:sz w:val="21"/>
                <w:szCs w:val="21"/>
              </w:rPr>
            </w:pPr>
            <w:r>
              <w:rPr>
                <w:rFonts w:hint="eastAsia"/>
                <w:sz w:val="21"/>
                <w:szCs w:val="21"/>
              </w:rPr>
              <w:t>项目经理</w:t>
            </w:r>
          </w:p>
        </w:tc>
        <w:tc>
          <w:tcPr>
            <w:tcW w:w="2521"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08" w:type="dxa"/>
          </w:tcPr>
          <w:p>
            <w:pPr>
              <w:pStyle w:val="50"/>
              <w:spacing w:before="142"/>
              <w:ind w:left="537"/>
              <w:rPr>
                <w:rFonts w:cs="Times New Roman"/>
                <w:sz w:val="21"/>
                <w:szCs w:val="21"/>
              </w:rPr>
            </w:pPr>
            <w:r>
              <w:rPr>
                <w:rFonts w:hint="eastAsia"/>
                <w:sz w:val="21"/>
                <w:szCs w:val="21"/>
              </w:rPr>
              <w:t>注册资本</w:t>
            </w:r>
          </w:p>
        </w:tc>
        <w:tc>
          <w:tcPr>
            <w:tcW w:w="1981" w:type="dxa"/>
            <w:gridSpan w:val="2"/>
          </w:tcPr>
          <w:p>
            <w:pPr>
              <w:pStyle w:val="50"/>
              <w:rPr>
                <w:rFonts w:ascii="Times New Roman" w:cs="Times New Roman"/>
                <w:sz w:val="20"/>
                <w:szCs w:val="20"/>
              </w:rPr>
            </w:pPr>
          </w:p>
        </w:tc>
        <w:tc>
          <w:tcPr>
            <w:tcW w:w="528" w:type="dxa"/>
            <w:vMerge w:val="continue"/>
            <w:tcBorders>
              <w:top w:val="nil"/>
            </w:tcBorders>
          </w:tcPr>
          <w:p>
            <w:pPr>
              <w:rPr>
                <w:rFonts w:cs="Times New Roman"/>
                <w:sz w:val="2"/>
                <w:szCs w:val="2"/>
              </w:rPr>
            </w:pPr>
          </w:p>
        </w:tc>
        <w:tc>
          <w:tcPr>
            <w:tcW w:w="1991" w:type="dxa"/>
            <w:gridSpan w:val="3"/>
          </w:tcPr>
          <w:p>
            <w:pPr>
              <w:pStyle w:val="50"/>
              <w:spacing w:before="142"/>
              <w:ind w:left="368"/>
              <w:rPr>
                <w:rFonts w:cs="Times New Roman"/>
                <w:sz w:val="21"/>
                <w:szCs w:val="21"/>
              </w:rPr>
            </w:pPr>
            <w:r>
              <w:rPr>
                <w:rFonts w:hint="eastAsia"/>
                <w:sz w:val="21"/>
                <w:szCs w:val="21"/>
              </w:rPr>
              <w:t>高级职称人员</w:t>
            </w:r>
          </w:p>
        </w:tc>
        <w:tc>
          <w:tcPr>
            <w:tcW w:w="2521"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50"/>
              <w:spacing w:before="141"/>
              <w:ind w:left="537"/>
              <w:rPr>
                <w:rFonts w:cs="Times New Roman"/>
                <w:sz w:val="21"/>
                <w:szCs w:val="21"/>
              </w:rPr>
            </w:pPr>
            <w:r>
              <w:rPr>
                <w:rFonts w:hint="eastAsia"/>
                <w:sz w:val="21"/>
                <w:szCs w:val="21"/>
              </w:rPr>
              <w:t>成立日期</w:t>
            </w:r>
          </w:p>
        </w:tc>
        <w:tc>
          <w:tcPr>
            <w:tcW w:w="1981" w:type="dxa"/>
            <w:gridSpan w:val="2"/>
          </w:tcPr>
          <w:p>
            <w:pPr>
              <w:pStyle w:val="50"/>
              <w:rPr>
                <w:rFonts w:ascii="Times New Roman" w:cs="Times New Roman"/>
                <w:sz w:val="20"/>
                <w:szCs w:val="20"/>
              </w:rPr>
            </w:pPr>
          </w:p>
        </w:tc>
        <w:tc>
          <w:tcPr>
            <w:tcW w:w="528" w:type="dxa"/>
            <w:vMerge w:val="continue"/>
            <w:tcBorders>
              <w:top w:val="nil"/>
            </w:tcBorders>
          </w:tcPr>
          <w:p>
            <w:pPr>
              <w:rPr>
                <w:rFonts w:cs="Times New Roman"/>
                <w:sz w:val="2"/>
                <w:szCs w:val="2"/>
              </w:rPr>
            </w:pPr>
          </w:p>
        </w:tc>
        <w:tc>
          <w:tcPr>
            <w:tcW w:w="1991" w:type="dxa"/>
            <w:gridSpan w:val="3"/>
          </w:tcPr>
          <w:p>
            <w:pPr>
              <w:pStyle w:val="50"/>
              <w:spacing w:before="141"/>
              <w:ind w:left="368"/>
              <w:rPr>
                <w:rFonts w:cs="Times New Roman"/>
                <w:sz w:val="21"/>
                <w:szCs w:val="21"/>
              </w:rPr>
            </w:pPr>
            <w:r>
              <w:rPr>
                <w:rFonts w:hint="eastAsia"/>
                <w:sz w:val="21"/>
                <w:szCs w:val="21"/>
              </w:rPr>
              <w:t>中级职称人员</w:t>
            </w:r>
          </w:p>
        </w:tc>
        <w:tc>
          <w:tcPr>
            <w:tcW w:w="2521"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50"/>
              <w:spacing w:before="141"/>
              <w:ind w:left="537"/>
              <w:rPr>
                <w:rFonts w:cs="Times New Roman"/>
                <w:sz w:val="21"/>
                <w:szCs w:val="21"/>
              </w:rPr>
            </w:pPr>
            <w:r>
              <w:rPr>
                <w:rFonts w:hint="eastAsia"/>
                <w:sz w:val="21"/>
                <w:szCs w:val="21"/>
              </w:rPr>
              <w:t>基本账户开户银行</w:t>
            </w:r>
          </w:p>
        </w:tc>
        <w:tc>
          <w:tcPr>
            <w:tcW w:w="1981" w:type="dxa"/>
            <w:gridSpan w:val="2"/>
          </w:tcPr>
          <w:p>
            <w:pPr>
              <w:pStyle w:val="50"/>
              <w:rPr>
                <w:rFonts w:ascii="Times New Roman" w:cs="Times New Roman"/>
                <w:sz w:val="20"/>
                <w:szCs w:val="20"/>
              </w:rPr>
            </w:pPr>
          </w:p>
        </w:tc>
        <w:tc>
          <w:tcPr>
            <w:tcW w:w="528" w:type="dxa"/>
            <w:vMerge w:val="continue"/>
            <w:tcBorders>
              <w:top w:val="nil"/>
            </w:tcBorders>
          </w:tcPr>
          <w:p>
            <w:pPr>
              <w:rPr>
                <w:rFonts w:cs="Times New Roman"/>
                <w:sz w:val="2"/>
                <w:szCs w:val="2"/>
              </w:rPr>
            </w:pPr>
          </w:p>
        </w:tc>
        <w:tc>
          <w:tcPr>
            <w:tcW w:w="1991" w:type="dxa"/>
            <w:gridSpan w:val="3"/>
          </w:tcPr>
          <w:p>
            <w:pPr>
              <w:pStyle w:val="50"/>
              <w:spacing w:before="141"/>
              <w:ind w:left="368"/>
              <w:rPr>
                <w:rFonts w:cs="Times New Roman"/>
                <w:sz w:val="21"/>
                <w:szCs w:val="21"/>
              </w:rPr>
            </w:pPr>
            <w:r>
              <w:rPr>
                <w:rFonts w:hint="eastAsia"/>
                <w:sz w:val="21"/>
                <w:szCs w:val="21"/>
              </w:rPr>
              <w:t>初级职称人员</w:t>
            </w:r>
          </w:p>
        </w:tc>
        <w:tc>
          <w:tcPr>
            <w:tcW w:w="2521"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8" w:type="dxa"/>
          </w:tcPr>
          <w:p>
            <w:pPr>
              <w:pStyle w:val="50"/>
              <w:spacing w:before="141"/>
              <w:ind w:left="537"/>
              <w:rPr>
                <w:rFonts w:cs="Times New Roman"/>
                <w:sz w:val="21"/>
                <w:szCs w:val="21"/>
              </w:rPr>
            </w:pPr>
            <w:r>
              <w:rPr>
                <w:rFonts w:hint="eastAsia"/>
                <w:sz w:val="21"/>
                <w:szCs w:val="21"/>
              </w:rPr>
              <w:t>基本账户银行账号</w:t>
            </w:r>
          </w:p>
        </w:tc>
        <w:tc>
          <w:tcPr>
            <w:tcW w:w="1981" w:type="dxa"/>
            <w:gridSpan w:val="2"/>
          </w:tcPr>
          <w:p>
            <w:pPr>
              <w:pStyle w:val="50"/>
              <w:rPr>
                <w:rFonts w:ascii="Times New Roman" w:cs="Times New Roman"/>
                <w:sz w:val="20"/>
                <w:szCs w:val="20"/>
              </w:rPr>
            </w:pPr>
          </w:p>
        </w:tc>
        <w:tc>
          <w:tcPr>
            <w:tcW w:w="528" w:type="dxa"/>
            <w:vMerge w:val="continue"/>
            <w:tcBorders>
              <w:top w:val="nil"/>
            </w:tcBorders>
          </w:tcPr>
          <w:p>
            <w:pPr>
              <w:rPr>
                <w:rFonts w:cs="Times New Roman"/>
                <w:sz w:val="2"/>
                <w:szCs w:val="2"/>
              </w:rPr>
            </w:pPr>
          </w:p>
        </w:tc>
        <w:tc>
          <w:tcPr>
            <w:tcW w:w="1991" w:type="dxa"/>
            <w:gridSpan w:val="3"/>
          </w:tcPr>
          <w:p>
            <w:pPr>
              <w:pStyle w:val="50"/>
              <w:spacing w:before="154"/>
              <w:ind w:left="776" w:right="764"/>
              <w:jc w:val="center"/>
              <w:rPr>
                <w:rFonts w:cs="Times New Roman"/>
                <w:sz w:val="20"/>
                <w:szCs w:val="20"/>
              </w:rPr>
            </w:pPr>
            <w:r>
              <w:rPr>
                <w:rFonts w:hint="eastAsia"/>
                <w:sz w:val="20"/>
                <w:szCs w:val="20"/>
              </w:rPr>
              <w:t>技工</w:t>
            </w:r>
          </w:p>
        </w:tc>
        <w:tc>
          <w:tcPr>
            <w:tcW w:w="2521"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908" w:type="dxa"/>
          </w:tcPr>
          <w:p>
            <w:pPr>
              <w:pStyle w:val="50"/>
              <w:rPr>
                <w:rFonts w:cs="Times New Roman"/>
                <w:sz w:val="20"/>
                <w:szCs w:val="20"/>
              </w:rPr>
            </w:pPr>
          </w:p>
          <w:p>
            <w:pPr>
              <w:pStyle w:val="50"/>
              <w:rPr>
                <w:rFonts w:cs="Times New Roman"/>
                <w:sz w:val="20"/>
                <w:szCs w:val="20"/>
              </w:rPr>
            </w:pPr>
          </w:p>
          <w:p>
            <w:pPr>
              <w:pStyle w:val="50"/>
              <w:spacing w:before="4"/>
              <w:rPr>
                <w:rFonts w:cs="Times New Roman"/>
                <w:sz w:val="23"/>
                <w:szCs w:val="23"/>
              </w:rPr>
            </w:pPr>
          </w:p>
          <w:p>
            <w:pPr>
              <w:pStyle w:val="50"/>
              <w:ind w:left="642"/>
              <w:rPr>
                <w:rFonts w:cs="Times New Roman"/>
                <w:sz w:val="21"/>
                <w:szCs w:val="21"/>
              </w:rPr>
            </w:pPr>
            <w:r>
              <w:rPr>
                <w:rFonts w:hint="eastAsia"/>
                <w:sz w:val="21"/>
                <w:szCs w:val="21"/>
              </w:rPr>
              <w:t>经营范围</w:t>
            </w:r>
          </w:p>
        </w:tc>
        <w:tc>
          <w:tcPr>
            <w:tcW w:w="7021" w:type="dxa"/>
            <w:gridSpan w:val="8"/>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908" w:type="dxa"/>
          </w:tcPr>
          <w:p>
            <w:pPr>
              <w:pStyle w:val="50"/>
              <w:rPr>
                <w:rFonts w:cs="Times New Roman"/>
                <w:sz w:val="20"/>
                <w:szCs w:val="20"/>
              </w:rPr>
            </w:pPr>
          </w:p>
          <w:p>
            <w:pPr>
              <w:pStyle w:val="50"/>
              <w:rPr>
                <w:rFonts w:cs="Times New Roman"/>
                <w:sz w:val="20"/>
                <w:szCs w:val="20"/>
              </w:rPr>
            </w:pPr>
          </w:p>
          <w:p>
            <w:pPr>
              <w:pStyle w:val="50"/>
              <w:rPr>
                <w:rFonts w:cs="Times New Roman"/>
                <w:sz w:val="20"/>
                <w:szCs w:val="20"/>
              </w:rPr>
            </w:pPr>
          </w:p>
          <w:p>
            <w:pPr>
              <w:pStyle w:val="50"/>
              <w:rPr>
                <w:rFonts w:cs="Times New Roman"/>
                <w:sz w:val="20"/>
                <w:szCs w:val="20"/>
              </w:rPr>
            </w:pPr>
          </w:p>
          <w:p>
            <w:pPr>
              <w:pStyle w:val="50"/>
              <w:spacing w:before="5"/>
              <w:rPr>
                <w:rFonts w:cs="Times New Roman"/>
                <w:sz w:val="24"/>
                <w:szCs w:val="24"/>
              </w:rPr>
            </w:pPr>
          </w:p>
          <w:p>
            <w:pPr>
              <w:pStyle w:val="50"/>
              <w:spacing w:line="396" w:lineRule="auto"/>
              <w:ind w:left="851" w:right="103" w:hanging="737"/>
              <w:rPr>
                <w:rFonts w:cs="Times New Roman"/>
                <w:sz w:val="21"/>
                <w:szCs w:val="21"/>
              </w:rPr>
            </w:pPr>
            <w:r>
              <w:rPr>
                <w:rFonts w:hint="eastAsia"/>
                <w:sz w:val="21"/>
                <w:szCs w:val="21"/>
              </w:rPr>
              <w:t>投标人关联企业情况</w:t>
            </w:r>
          </w:p>
        </w:tc>
        <w:tc>
          <w:tcPr>
            <w:tcW w:w="7021" w:type="dxa"/>
            <w:gridSpan w:val="8"/>
          </w:tcPr>
          <w:p>
            <w:pPr>
              <w:pStyle w:val="50"/>
              <w:spacing w:before="128"/>
              <w:ind w:left="112"/>
              <w:rPr>
                <w:rFonts w:cs="Times New Roman"/>
                <w:sz w:val="21"/>
                <w:szCs w:val="21"/>
              </w:rPr>
            </w:pPr>
            <w:r>
              <w:rPr>
                <w:rFonts w:hint="eastAsia"/>
                <w:sz w:val="21"/>
                <w:szCs w:val="21"/>
              </w:rPr>
              <w:t>投标人应提供关联企业情况，包括：</w:t>
            </w:r>
          </w:p>
          <w:p>
            <w:pPr>
              <w:pStyle w:val="50"/>
              <w:numPr>
                <w:ilvl w:val="0"/>
                <w:numId w:val="39"/>
              </w:numPr>
              <w:tabs>
                <w:tab w:val="left" w:pos="542"/>
              </w:tabs>
              <w:spacing w:before="134" w:line="362" w:lineRule="auto"/>
              <w:ind w:right="75" w:hanging="106"/>
              <w:jc w:val="both"/>
              <w:rPr>
                <w:rFonts w:cs="Times New Roman"/>
                <w:sz w:val="21"/>
                <w:szCs w:val="21"/>
              </w:rPr>
            </w:pPr>
            <w:r>
              <w:rPr>
                <w:rFonts w:hint="eastAsia"/>
                <w:sz w:val="21"/>
                <w:szCs w:val="21"/>
              </w:rPr>
              <w:t>投标人的所有股东名称及相应股权（出资额）比例；如投标人为上市公</w:t>
            </w:r>
            <w:r>
              <w:rPr>
                <w:rFonts w:hint="eastAsia"/>
                <w:spacing w:val="-16"/>
                <w:sz w:val="21"/>
                <w:szCs w:val="21"/>
              </w:rPr>
              <w:t>司，投标人应提供股权占公司股份总数</w:t>
            </w:r>
            <w:r>
              <w:rPr>
                <w:spacing w:val="-6"/>
                <w:sz w:val="21"/>
                <w:szCs w:val="21"/>
              </w:rPr>
              <w:t xml:space="preserve"> %</w:t>
            </w:r>
            <w:r>
              <w:rPr>
                <w:rFonts w:hint="eastAsia"/>
                <w:spacing w:val="-6"/>
                <w:sz w:val="21"/>
                <w:szCs w:val="21"/>
              </w:rPr>
              <w:t>以上的所有股东名称及相应股权比</w:t>
            </w:r>
            <w:r>
              <w:rPr>
                <w:rFonts w:hint="eastAsia"/>
                <w:spacing w:val="-3"/>
                <w:sz w:val="21"/>
                <w:szCs w:val="21"/>
              </w:rPr>
              <w:t>例；</w:t>
            </w:r>
          </w:p>
          <w:p>
            <w:pPr>
              <w:pStyle w:val="50"/>
              <w:numPr>
                <w:ilvl w:val="0"/>
                <w:numId w:val="39"/>
              </w:numPr>
              <w:tabs>
                <w:tab w:val="left" w:pos="542"/>
              </w:tabs>
              <w:spacing w:line="362" w:lineRule="auto"/>
              <w:ind w:right="63" w:hanging="106"/>
              <w:jc w:val="both"/>
              <w:rPr>
                <w:rFonts w:cs="Times New Roman"/>
                <w:sz w:val="21"/>
                <w:szCs w:val="21"/>
              </w:rPr>
            </w:pPr>
            <w:r>
              <w:rPr>
                <w:rFonts w:hint="eastAsia"/>
                <w:spacing w:val="-16"/>
                <w:sz w:val="21"/>
                <w:szCs w:val="21"/>
              </w:rPr>
              <w:t>投标人投资（控股）或管理的下属企业名称、持有股权（出资额）比</w:t>
            </w:r>
            <w:r>
              <w:rPr>
                <w:rFonts w:hint="eastAsia"/>
                <w:sz w:val="21"/>
                <w:szCs w:val="21"/>
              </w:rPr>
              <w:t>例；</w:t>
            </w:r>
          </w:p>
          <w:p>
            <w:pPr>
              <w:pStyle w:val="50"/>
              <w:numPr>
                <w:ilvl w:val="0"/>
                <w:numId w:val="39"/>
              </w:numPr>
              <w:tabs>
                <w:tab w:val="left" w:pos="538"/>
              </w:tabs>
              <w:spacing w:line="268" w:lineRule="exact"/>
              <w:ind w:left="537" w:hanging="532"/>
              <w:jc w:val="both"/>
              <w:rPr>
                <w:rFonts w:cs="Times New Roman"/>
                <w:sz w:val="21"/>
                <w:szCs w:val="21"/>
              </w:rPr>
            </w:pPr>
            <w:r>
              <w:rPr>
                <w:rFonts w:hint="eastAsia"/>
                <w:spacing w:val="-5"/>
                <w:sz w:val="21"/>
                <w:szCs w:val="21"/>
              </w:rPr>
              <w:t>与投标人单位负责人</w:t>
            </w:r>
            <w:r>
              <w:rPr>
                <w:rFonts w:hint="eastAsia"/>
                <w:sz w:val="21"/>
                <w:szCs w:val="21"/>
              </w:rPr>
              <w:t>（</w:t>
            </w:r>
            <w:r>
              <w:rPr>
                <w:rFonts w:hint="eastAsia"/>
                <w:spacing w:val="-5"/>
                <w:sz w:val="21"/>
                <w:szCs w:val="21"/>
              </w:rPr>
              <w:t>即法定代表人</w:t>
            </w:r>
            <w:r>
              <w:rPr>
                <w:rFonts w:hint="eastAsia"/>
                <w:sz w:val="21"/>
                <w:szCs w:val="21"/>
              </w:rPr>
              <w:t>）</w:t>
            </w:r>
            <w:r>
              <w:rPr>
                <w:rFonts w:hint="eastAsia"/>
                <w:spacing w:val="-5"/>
                <w:sz w:val="21"/>
                <w:szCs w:val="21"/>
              </w:rPr>
              <w:t>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8" w:type="dxa"/>
          </w:tcPr>
          <w:p>
            <w:pPr>
              <w:pStyle w:val="50"/>
              <w:spacing w:before="142"/>
              <w:ind w:left="727" w:right="711"/>
              <w:jc w:val="center"/>
              <w:rPr>
                <w:rFonts w:cs="Times New Roman"/>
                <w:sz w:val="21"/>
                <w:szCs w:val="21"/>
              </w:rPr>
            </w:pPr>
            <w:r>
              <w:rPr>
                <w:rFonts w:hint="eastAsia"/>
                <w:sz w:val="21"/>
                <w:szCs w:val="21"/>
              </w:rPr>
              <w:t>备注</w:t>
            </w:r>
          </w:p>
        </w:tc>
        <w:tc>
          <w:tcPr>
            <w:tcW w:w="7021" w:type="dxa"/>
            <w:gridSpan w:val="8"/>
          </w:tcPr>
          <w:p>
            <w:pPr>
              <w:pStyle w:val="50"/>
              <w:rPr>
                <w:rFonts w:ascii="Times New Roman" w:cs="Times New Roman"/>
                <w:sz w:val="20"/>
                <w:szCs w:val="20"/>
              </w:rPr>
            </w:pPr>
          </w:p>
        </w:tc>
      </w:tr>
    </w:tbl>
    <w:p>
      <w:pPr>
        <w:pStyle w:val="12"/>
        <w:spacing w:before="126"/>
        <w:ind w:left="61" w:right="4"/>
        <w:jc w:val="center"/>
        <w:rPr>
          <w:rFonts w:cs="Times New Roman"/>
        </w:rPr>
      </w:pPr>
      <w:r>
        <w:rPr>
          <w:rFonts w:hint="eastAsia"/>
        </w:rPr>
        <w:t>注：</w:t>
      </w:r>
      <w:r>
        <w:t>1.</w:t>
      </w:r>
      <w:r>
        <w:rPr>
          <w:rFonts w:hint="eastAsia"/>
        </w:rPr>
        <w:t>投标人应根据招标文件第二章“投标人须知”第</w:t>
      </w:r>
      <w:r>
        <w:t>3.5.1</w:t>
      </w:r>
      <w:r>
        <w:rPr>
          <w:rFonts w:hint="eastAsia"/>
        </w:rPr>
        <w:t>项的要求在本表后附相关证明材料。</w:t>
      </w:r>
    </w:p>
    <w:p>
      <w:pPr>
        <w:spacing w:line="280" w:lineRule="exact"/>
        <w:ind w:firstLine="368" w:firstLineChars="179"/>
        <w:rPr>
          <w:rFonts w:cs="Times New Roman"/>
          <w:b/>
          <w:bCs/>
        </w:rPr>
      </w:pPr>
      <w:r>
        <w:rPr>
          <w:spacing w:val="-7"/>
        </w:rPr>
        <w:t>2</w:t>
      </w:r>
      <w:r>
        <w:rPr>
          <w:rFonts w:hint="eastAsia"/>
          <w:spacing w:val="-7"/>
        </w:rPr>
        <w:t>、</w:t>
      </w:r>
      <w:r>
        <w:rPr>
          <w:rFonts w:hint="eastAsia"/>
          <w:b/>
          <w:bCs/>
        </w:rPr>
        <w:t>由桂林市交通工程质量监督站核准的《公路工程施工企业基本情况登记表》及企业法人代表亲自签署并经桂林市交通质量监督站核认的不出借资质、不转包、不违法分包的承诺书的彩色复印件（并加盖单位章）。</w:t>
      </w:r>
    </w:p>
    <w:p>
      <w:pPr>
        <w:jc w:val="center"/>
        <w:rPr>
          <w:rFonts w:cs="Times New Roman"/>
        </w:rPr>
        <w:sectPr>
          <w:pgSz w:w="11910" w:h="16850"/>
          <w:pgMar w:top="1418" w:right="1418" w:bottom="1418" w:left="1418" w:header="851" w:footer="964" w:gutter="0"/>
          <w:cols w:space="720" w:num="1"/>
        </w:sectPr>
      </w:pPr>
    </w:p>
    <w:p>
      <w:pPr>
        <w:pStyle w:val="12"/>
        <w:spacing w:before="8"/>
        <w:rPr>
          <w:rFonts w:cs="Times New Roman"/>
          <w:sz w:val="12"/>
          <w:szCs w:val="12"/>
        </w:rPr>
      </w:pPr>
    </w:p>
    <w:p>
      <w:pPr>
        <w:pStyle w:val="3"/>
        <w:spacing w:beforeLines="100" w:afterLines="150" w:line="360" w:lineRule="exact"/>
        <w:rPr>
          <w:rFonts w:ascii="黑体" w:eastAsia="黑体" w:cs="Times New Roman"/>
          <w:sz w:val="28"/>
          <w:szCs w:val="28"/>
        </w:rPr>
      </w:pPr>
      <w:bookmarkStart w:id="923" w:name="_Toc309397596"/>
      <w:bookmarkStart w:id="924" w:name="_Toc273146794"/>
      <w:r>
        <w:rPr>
          <w:rFonts w:hint="eastAsia" w:ascii="黑体" w:eastAsia="黑体" w:cs="黑体"/>
          <w:sz w:val="28"/>
          <w:szCs w:val="28"/>
        </w:rPr>
        <w:t>（二）投标人企业组织结构框图</w:t>
      </w:r>
      <w:bookmarkEnd w:id="923"/>
      <w:bookmarkEnd w:id="924"/>
    </w:p>
    <w:tbl>
      <w:tblPr>
        <w:tblStyle w:val="20"/>
        <w:tblW w:w="87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8790" w:type="dxa"/>
            <w:tcBorders>
              <w:top w:val="single" w:color="auto" w:sz="12" w:space="0"/>
            </w:tcBorders>
            <w:noWrap/>
          </w:tcPr>
          <w:p>
            <w:pPr>
              <w:rPr>
                <w:rFonts w:cs="Times New Roman"/>
              </w:rPr>
            </w:pPr>
          </w:p>
          <w:p>
            <w:pPr>
              <w:rPr>
                <w:rFonts w:cs="Times New Roman"/>
              </w:rPr>
            </w:pPr>
            <w:r>
              <w:rPr>
                <w:rFonts w:hint="eastAsia"/>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8790" w:type="dxa"/>
            <w:tcBorders>
              <w:bottom w:val="single" w:color="auto" w:sz="12" w:space="0"/>
            </w:tcBorders>
            <w:noWrap/>
          </w:tcPr>
          <w:p>
            <w:pPr>
              <w:rPr>
                <w:rFonts w:cs="Times New Roman"/>
              </w:rPr>
            </w:pPr>
          </w:p>
          <w:p>
            <w:pPr>
              <w:rPr>
                <w:rFonts w:cs="Times New Roman"/>
              </w:rPr>
            </w:pPr>
            <w:r>
              <w:rPr>
                <w:rFonts w:hint="eastAsia"/>
              </w:rPr>
              <w:t>说明</w:t>
            </w:r>
          </w:p>
        </w:tc>
      </w:tr>
    </w:tbl>
    <w:p>
      <w:pPr>
        <w:pStyle w:val="12"/>
        <w:spacing w:before="8"/>
        <w:rPr>
          <w:rFonts w:cs="Times New Roman"/>
          <w:sz w:val="12"/>
          <w:szCs w:val="12"/>
        </w:rPr>
      </w:pPr>
    </w:p>
    <w:p>
      <w:pPr>
        <w:spacing w:before="67" w:line="631" w:lineRule="auto"/>
        <w:ind w:right="-200"/>
        <w:jc w:val="both"/>
        <w:rPr>
          <w:rFonts w:cs="Times New Roman"/>
          <w:sz w:val="24"/>
          <w:szCs w:val="24"/>
        </w:rPr>
      </w:pPr>
    </w:p>
    <w:p>
      <w:pPr>
        <w:numPr>
          <w:ilvl w:val="0"/>
          <w:numId w:val="40"/>
        </w:numPr>
        <w:spacing w:before="67" w:line="631" w:lineRule="auto"/>
        <w:ind w:left="12" w:right="-200" w:hanging="12"/>
        <w:jc w:val="center"/>
        <w:rPr>
          <w:rFonts w:cs="Times New Roman"/>
          <w:sz w:val="24"/>
          <w:szCs w:val="24"/>
        </w:rPr>
      </w:pPr>
      <w:r>
        <w:rPr>
          <w:rFonts w:hint="eastAsia"/>
          <w:sz w:val="24"/>
          <w:szCs w:val="24"/>
        </w:rPr>
        <w:t>近年财务状况表</w:t>
      </w:r>
    </w:p>
    <w:p>
      <w:pPr>
        <w:spacing w:line="360" w:lineRule="auto"/>
        <w:jc w:val="center"/>
        <w:rPr>
          <w:rFonts w:cs="Times New Roman"/>
          <w:b/>
          <w:bCs/>
          <w:sz w:val="24"/>
          <w:szCs w:val="24"/>
        </w:rPr>
      </w:pPr>
      <w:r>
        <w:rPr>
          <w:b/>
          <w:bCs/>
          <w:sz w:val="24"/>
          <w:szCs w:val="24"/>
        </w:rPr>
        <w:t>A</w:t>
      </w:r>
      <w:r>
        <w:rPr>
          <w:rFonts w:hint="eastAsia"/>
          <w:b/>
          <w:bCs/>
          <w:sz w:val="24"/>
          <w:szCs w:val="24"/>
        </w:rPr>
        <w:t>．财务状况表</w:t>
      </w:r>
    </w:p>
    <w:p>
      <w:pPr>
        <w:spacing w:line="360" w:lineRule="auto"/>
        <w:jc w:val="center"/>
        <w:rPr>
          <w:rFonts w:cs="Times New Roman"/>
          <w:b/>
          <w:bCs/>
          <w:sz w:val="24"/>
          <w:szCs w:val="24"/>
        </w:rPr>
      </w:pPr>
    </w:p>
    <w:tbl>
      <w:tblPr>
        <w:tblStyle w:val="20"/>
        <w:tblW w:w="9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tcBorders>
              <w:top w:val="single" w:color="auto" w:sz="12" w:space="0"/>
            </w:tcBorders>
            <w:vAlign w:val="center"/>
          </w:tcPr>
          <w:p>
            <w:pPr>
              <w:jc w:val="center"/>
              <w:rPr>
                <w:rFonts w:cs="Times New Roman"/>
              </w:rPr>
            </w:pPr>
            <w:r>
              <w:rPr>
                <w:rFonts w:hint="eastAsia"/>
              </w:rPr>
              <w:t>项目或指标</w:t>
            </w:r>
          </w:p>
        </w:tc>
        <w:tc>
          <w:tcPr>
            <w:tcW w:w="990" w:type="dxa"/>
            <w:tcBorders>
              <w:top w:val="single" w:color="auto" w:sz="12" w:space="0"/>
            </w:tcBorders>
            <w:vAlign w:val="center"/>
          </w:tcPr>
          <w:p>
            <w:pPr>
              <w:jc w:val="center"/>
              <w:rPr>
                <w:rFonts w:cs="Times New Roman"/>
              </w:rPr>
            </w:pPr>
            <w:r>
              <w:rPr>
                <w:rFonts w:hint="eastAsia"/>
              </w:rPr>
              <w:t>单位</w:t>
            </w:r>
          </w:p>
        </w:tc>
        <w:tc>
          <w:tcPr>
            <w:tcW w:w="1258" w:type="dxa"/>
            <w:tcBorders>
              <w:top w:val="single" w:color="auto" w:sz="12" w:space="0"/>
            </w:tcBorders>
            <w:vAlign w:val="center"/>
          </w:tcPr>
          <w:p>
            <w:pPr>
              <w:jc w:val="center"/>
              <w:rPr>
                <w:rFonts w:cs="Times New Roman"/>
              </w:rPr>
            </w:pPr>
            <w:r>
              <w:t>201</w:t>
            </w:r>
            <w:r>
              <w:rPr>
                <w:rFonts w:hint="eastAsia"/>
                <w:lang w:val="en-US" w:eastAsia="zh-CN"/>
              </w:rPr>
              <w:t>7</w:t>
            </w:r>
            <w:r>
              <w:rPr>
                <w:rFonts w:hint="eastAsia"/>
              </w:rPr>
              <w:t>年</w:t>
            </w:r>
          </w:p>
        </w:tc>
        <w:tc>
          <w:tcPr>
            <w:tcW w:w="1259" w:type="dxa"/>
            <w:tcBorders>
              <w:top w:val="single" w:color="auto" w:sz="12" w:space="0"/>
            </w:tcBorders>
            <w:vAlign w:val="center"/>
          </w:tcPr>
          <w:p>
            <w:pPr>
              <w:jc w:val="center"/>
              <w:rPr>
                <w:rFonts w:cs="Times New Roman"/>
              </w:rPr>
            </w:pPr>
            <w:r>
              <w:t>201</w:t>
            </w:r>
            <w:r>
              <w:rPr>
                <w:rFonts w:hint="eastAsia"/>
                <w:lang w:val="en-US" w:eastAsia="zh-CN"/>
              </w:rPr>
              <w:t>8</w:t>
            </w:r>
            <w:r>
              <w:rPr>
                <w:rFonts w:hint="eastAsia"/>
              </w:rPr>
              <w:t>年</w:t>
            </w:r>
          </w:p>
        </w:tc>
        <w:tc>
          <w:tcPr>
            <w:tcW w:w="1259" w:type="dxa"/>
            <w:tcBorders>
              <w:top w:val="single" w:color="auto" w:sz="12" w:space="0"/>
            </w:tcBorders>
            <w:vAlign w:val="center"/>
          </w:tcPr>
          <w:p>
            <w:pPr>
              <w:jc w:val="center"/>
              <w:rPr>
                <w:rFonts w:cs="Times New Roman"/>
              </w:rPr>
            </w:pPr>
            <w:r>
              <w:t>201</w:t>
            </w:r>
            <w:r>
              <w:rPr>
                <w:rFonts w:hint="eastAsia"/>
                <w:lang w:val="en-US" w:eastAsia="zh-CN"/>
              </w:rPr>
              <w:t>9</w:t>
            </w:r>
            <w:r>
              <w:rPr>
                <w:rFonts w:hint="eastAsia"/>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一、注册资金</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二、净资产</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三、总资产</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四、固定资产</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五、流动资产</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六、流动负债</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七、负债合计</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八、营业收入</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九、净利润</w:t>
            </w:r>
          </w:p>
          <w:p>
            <w:pPr>
              <w:rPr>
                <w:rFonts w:cs="Times New Roman"/>
              </w:rPr>
            </w:pPr>
          </w:p>
        </w:tc>
        <w:tc>
          <w:tcPr>
            <w:tcW w:w="990" w:type="dxa"/>
            <w:vAlign w:val="center"/>
          </w:tcPr>
          <w:p>
            <w:pPr>
              <w:jc w:val="center"/>
              <w:rPr>
                <w:rFonts w:cs="Times New Roman"/>
              </w:rPr>
            </w:pPr>
            <w:r>
              <w:rPr>
                <w:rFonts w:hint="eastAsia"/>
              </w:rPr>
              <w:t>万元</w:t>
            </w: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十、现金流量净额</w:t>
            </w:r>
          </w:p>
        </w:tc>
        <w:tc>
          <w:tcPr>
            <w:tcW w:w="990" w:type="dxa"/>
            <w:vAlign w:val="center"/>
          </w:tcPr>
          <w:p>
            <w:pPr>
              <w:jc w:val="center"/>
              <w:rPr>
                <w:rFonts w:cs="Times New Roman"/>
              </w:rPr>
            </w:pPr>
          </w:p>
        </w:tc>
        <w:tc>
          <w:tcPr>
            <w:tcW w:w="1258" w:type="dxa"/>
            <w:vAlign w:val="center"/>
          </w:tcPr>
          <w:p>
            <w:pPr>
              <w:jc w:val="center"/>
              <w:rPr>
                <w:rFonts w:cs="Times New Roman"/>
              </w:rPr>
            </w:pPr>
          </w:p>
        </w:tc>
        <w:tc>
          <w:tcPr>
            <w:tcW w:w="1259" w:type="dxa"/>
            <w:vAlign w:val="center"/>
          </w:tcPr>
          <w:p>
            <w:pPr>
              <w:jc w:val="center"/>
              <w:rPr>
                <w:rFonts w:cs="Times New Roman"/>
              </w:rPr>
            </w:pPr>
          </w:p>
        </w:tc>
        <w:tc>
          <w:tcPr>
            <w:tcW w:w="1259" w:type="dxa"/>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rPr>
                <w:rFonts w:cs="Times New Roman"/>
              </w:rPr>
            </w:pPr>
            <w:r>
              <w:rPr>
                <w:rFonts w:hint="eastAsia"/>
              </w:rPr>
              <w:t>十一、主要财务指标</w:t>
            </w:r>
          </w:p>
          <w:p>
            <w:pPr>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ind w:firstLine="550" w:firstLineChars="250"/>
              <w:rPr>
                <w:rFonts w:cs="Times New Roman"/>
              </w:rPr>
            </w:pPr>
            <w:r>
              <w:t>1</w:t>
            </w:r>
            <w:r>
              <w:rPr>
                <w:rFonts w:hint="eastAsia"/>
              </w:rPr>
              <w:t>．净资产收益率</w:t>
            </w:r>
          </w:p>
          <w:p>
            <w:pPr>
              <w:ind w:firstLine="550" w:firstLineChars="250"/>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ind w:firstLine="550" w:firstLineChars="250"/>
              <w:rPr>
                <w:rFonts w:cs="Times New Roman"/>
              </w:rPr>
            </w:pPr>
            <w:r>
              <w:t>2</w:t>
            </w:r>
            <w:r>
              <w:rPr>
                <w:rFonts w:hint="eastAsia"/>
              </w:rPr>
              <w:t>．总资产报酬</w:t>
            </w:r>
          </w:p>
          <w:p>
            <w:pPr>
              <w:ind w:firstLine="550" w:firstLineChars="250"/>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ind w:firstLine="550" w:firstLineChars="250"/>
              <w:rPr>
                <w:rFonts w:cs="Times New Roman"/>
              </w:rPr>
            </w:pPr>
            <w:r>
              <w:t>3</w:t>
            </w:r>
            <w:r>
              <w:rPr>
                <w:rFonts w:hint="eastAsia"/>
              </w:rPr>
              <w:t>．主营业务利润率</w:t>
            </w:r>
          </w:p>
          <w:p>
            <w:pPr>
              <w:ind w:firstLine="550" w:firstLineChars="250"/>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ind w:firstLine="550" w:firstLineChars="250"/>
              <w:rPr>
                <w:rFonts w:cs="Times New Roman"/>
              </w:rPr>
            </w:pPr>
            <w:r>
              <w:t>4</w:t>
            </w:r>
            <w:r>
              <w:rPr>
                <w:rFonts w:hint="eastAsia"/>
              </w:rPr>
              <w:t>．资产负债率</w:t>
            </w:r>
          </w:p>
          <w:p>
            <w:pPr>
              <w:ind w:firstLine="550" w:firstLineChars="250"/>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vAlign w:val="center"/>
          </w:tcPr>
          <w:p>
            <w:pPr>
              <w:ind w:firstLine="550" w:firstLineChars="250"/>
              <w:rPr>
                <w:rFonts w:cs="Times New Roman"/>
              </w:rPr>
            </w:pPr>
            <w:r>
              <w:t>5</w:t>
            </w:r>
            <w:r>
              <w:rPr>
                <w:rFonts w:hint="eastAsia"/>
              </w:rPr>
              <w:t>、流动比率</w:t>
            </w:r>
          </w:p>
          <w:p>
            <w:pPr>
              <w:ind w:firstLine="550" w:firstLineChars="250"/>
              <w:rPr>
                <w:rFonts w:cs="Times New Roman"/>
              </w:rPr>
            </w:pPr>
          </w:p>
        </w:tc>
        <w:tc>
          <w:tcPr>
            <w:tcW w:w="990" w:type="dxa"/>
            <w:vAlign w:val="center"/>
          </w:tcPr>
          <w:p>
            <w:pPr>
              <w:jc w:val="center"/>
            </w:pPr>
            <w:r>
              <w:t>%</w:t>
            </w:r>
          </w:p>
        </w:tc>
        <w:tc>
          <w:tcPr>
            <w:tcW w:w="1258" w:type="dxa"/>
            <w:vAlign w:val="center"/>
          </w:tcPr>
          <w:p>
            <w:pPr>
              <w:jc w:val="center"/>
            </w:pPr>
          </w:p>
        </w:tc>
        <w:tc>
          <w:tcPr>
            <w:tcW w:w="1259" w:type="dxa"/>
            <w:vAlign w:val="center"/>
          </w:tcPr>
          <w:p>
            <w:pPr>
              <w:jc w:val="center"/>
            </w:pPr>
          </w:p>
        </w:tc>
        <w:tc>
          <w:tcPr>
            <w:tcW w:w="1259"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38" w:type="dxa"/>
            <w:tcBorders>
              <w:bottom w:val="single" w:color="auto" w:sz="12" w:space="0"/>
            </w:tcBorders>
            <w:vAlign w:val="center"/>
          </w:tcPr>
          <w:p>
            <w:pPr>
              <w:ind w:firstLine="550" w:firstLineChars="250"/>
              <w:rPr>
                <w:rFonts w:cs="Times New Roman"/>
              </w:rPr>
            </w:pPr>
            <w:r>
              <w:t>6</w:t>
            </w:r>
            <w:r>
              <w:rPr>
                <w:rFonts w:hint="eastAsia"/>
              </w:rPr>
              <w:t>、速动比率</w:t>
            </w:r>
          </w:p>
          <w:p>
            <w:pPr>
              <w:ind w:firstLine="550" w:firstLineChars="250"/>
              <w:rPr>
                <w:rFonts w:cs="Times New Roman"/>
              </w:rPr>
            </w:pPr>
          </w:p>
        </w:tc>
        <w:tc>
          <w:tcPr>
            <w:tcW w:w="990" w:type="dxa"/>
            <w:tcBorders>
              <w:bottom w:val="single" w:color="auto" w:sz="12" w:space="0"/>
            </w:tcBorders>
            <w:vAlign w:val="center"/>
          </w:tcPr>
          <w:p>
            <w:pPr>
              <w:jc w:val="center"/>
            </w:pPr>
            <w:r>
              <w:t>%</w:t>
            </w:r>
          </w:p>
        </w:tc>
        <w:tc>
          <w:tcPr>
            <w:tcW w:w="1258" w:type="dxa"/>
            <w:tcBorders>
              <w:bottom w:val="single" w:color="auto" w:sz="12" w:space="0"/>
            </w:tcBorders>
            <w:vAlign w:val="center"/>
          </w:tcPr>
          <w:p>
            <w:pPr>
              <w:jc w:val="center"/>
            </w:pPr>
          </w:p>
        </w:tc>
        <w:tc>
          <w:tcPr>
            <w:tcW w:w="1259" w:type="dxa"/>
            <w:tcBorders>
              <w:bottom w:val="single" w:color="auto" w:sz="12" w:space="0"/>
            </w:tcBorders>
            <w:vAlign w:val="center"/>
          </w:tcPr>
          <w:p>
            <w:pPr>
              <w:jc w:val="center"/>
            </w:pPr>
          </w:p>
        </w:tc>
        <w:tc>
          <w:tcPr>
            <w:tcW w:w="1259" w:type="dxa"/>
            <w:tcBorders>
              <w:bottom w:val="single" w:color="auto" w:sz="12" w:space="0"/>
            </w:tcBorders>
            <w:vAlign w:val="center"/>
          </w:tcPr>
          <w:p>
            <w:pPr>
              <w:jc w:val="center"/>
            </w:pPr>
          </w:p>
        </w:tc>
      </w:tr>
    </w:tbl>
    <w:p>
      <w:pPr>
        <w:spacing w:before="48"/>
        <w:ind w:left="184"/>
        <w:rPr>
          <w:rFonts w:cs="Times New Roman"/>
          <w:sz w:val="20"/>
          <w:szCs w:val="20"/>
        </w:rPr>
      </w:pPr>
      <w:r>
        <w:rPr>
          <w:rFonts w:hint="eastAsia"/>
          <w:sz w:val="20"/>
          <w:szCs w:val="20"/>
        </w:rPr>
        <w:t>注：</w:t>
      </w:r>
      <w:r>
        <w:rPr>
          <w:sz w:val="20"/>
          <w:szCs w:val="20"/>
        </w:rPr>
        <w:t>1.</w:t>
      </w:r>
      <w:r>
        <w:rPr>
          <w:rFonts w:hint="eastAsia"/>
          <w:sz w:val="20"/>
          <w:szCs w:val="20"/>
        </w:rPr>
        <w:t>投标人应根据招标文件第二章“投标人须知”第</w:t>
      </w:r>
      <w:r>
        <w:rPr>
          <w:sz w:val="20"/>
          <w:szCs w:val="20"/>
        </w:rPr>
        <w:t xml:space="preserve"> 3.5.2 </w:t>
      </w:r>
      <w:r>
        <w:rPr>
          <w:rFonts w:hint="eastAsia"/>
          <w:sz w:val="20"/>
          <w:szCs w:val="20"/>
        </w:rPr>
        <w:t>项的要求在本表后附相关证明材料。</w:t>
      </w:r>
    </w:p>
    <w:p>
      <w:pPr>
        <w:pStyle w:val="49"/>
        <w:tabs>
          <w:tab w:val="left" w:pos="1064"/>
        </w:tabs>
        <w:spacing w:before="3" w:line="269" w:lineRule="exact"/>
        <w:ind w:left="0" w:firstLine="600" w:firstLineChars="300"/>
        <w:rPr>
          <w:rFonts w:cs="Times New Roman"/>
          <w:sz w:val="20"/>
          <w:szCs w:val="20"/>
        </w:rPr>
      </w:pPr>
      <w:r>
        <w:rPr>
          <w:sz w:val="20"/>
          <w:szCs w:val="20"/>
          <w:lang w:val="en-US"/>
        </w:rPr>
        <w:t>2.</w:t>
      </w:r>
      <w:r>
        <w:rPr>
          <w:rFonts w:hint="eastAsia"/>
          <w:sz w:val="20"/>
          <w:szCs w:val="20"/>
        </w:rPr>
        <w:t>本表所列数据必须与本表各附件中的数据相一致。</w:t>
      </w:r>
    </w:p>
    <w:p>
      <w:pPr>
        <w:spacing w:before="67" w:line="631" w:lineRule="auto"/>
        <w:ind w:right="3867"/>
        <w:rPr>
          <w:rFonts w:cs="Times New Roman"/>
          <w:sz w:val="24"/>
          <w:szCs w:val="24"/>
        </w:rPr>
      </w:pPr>
    </w:p>
    <w:p>
      <w:pPr>
        <w:pStyle w:val="12"/>
        <w:rPr>
          <w:rFonts w:cs="Times New Roman"/>
          <w:sz w:val="24"/>
          <w:szCs w:val="24"/>
        </w:rPr>
      </w:pPr>
    </w:p>
    <w:p>
      <w:pPr>
        <w:pStyle w:val="12"/>
        <w:rPr>
          <w:rFonts w:cs="Times New Roman"/>
          <w:sz w:val="24"/>
          <w:szCs w:val="24"/>
        </w:rPr>
      </w:pPr>
    </w:p>
    <w:p>
      <w:pPr>
        <w:pStyle w:val="12"/>
        <w:rPr>
          <w:rFonts w:cs="Times New Roman"/>
          <w:sz w:val="24"/>
          <w:szCs w:val="24"/>
        </w:rPr>
      </w:pPr>
    </w:p>
    <w:p>
      <w:pPr>
        <w:pStyle w:val="12"/>
        <w:rPr>
          <w:rFonts w:cs="Times New Roman"/>
          <w:sz w:val="24"/>
          <w:szCs w:val="24"/>
        </w:rPr>
      </w:pPr>
    </w:p>
    <w:p>
      <w:pPr>
        <w:pStyle w:val="12"/>
        <w:rPr>
          <w:rFonts w:cs="Times New Roman"/>
          <w:sz w:val="24"/>
          <w:szCs w:val="24"/>
        </w:rPr>
      </w:pPr>
    </w:p>
    <w:p>
      <w:pPr>
        <w:pStyle w:val="12"/>
        <w:rPr>
          <w:rFonts w:cs="Times New Roman"/>
          <w:sz w:val="24"/>
          <w:szCs w:val="24"/>
        </w:rPr>
      </w:pPr>
    </w:p>
    <w:p>
      <w:pPr>
        <w:numPr>
          <w:ilvl w:val="0"/>
          <w:numId w:val="41"/>
        </w:numPr>
        <w:spacing w:line="360" w:lineRule="auto"/>
        <w:jc w:val="center"/>
        <w:rPr>
          <w:rFonts w:cs="Times New Roman"/>
          <w:b/>
          <w:bCs/>
          <w:sz w:val="28"/>
          <w:szCs w:val="28"/>
        </w:rPr>
      </w:pPr>
      <w:r>
        <w:rPr>
          <w:rFonts w:hint="eastAsia"/>
          <w:b/>
          <w:bCs/>
          <w:sz w:val="28"/>
          <w:szCs w:val="28"/>
        </w:rPr>
        <w:t>银行信贷证明</w:t>
      </w:r>
    </w:p>
    <w:p>
      <w:pPr>
        <w:spacing w:line="360" w:lineRule="auto"/>
        <w:jc w:val="center"/>
        <w:rPr>
          <w:rFonts w:cs="Times New Roman"/>
          <w:b/>
          <w:bCs/>
          <w:sz w:val="28"/>
          <w:szCs w:val="28"/>
        </w:rPr>
      </w:pPr>
    </w:p>
    <w:p>
      <w:pPr>
        <w:widowControl/>
        <w:ind w:firstLine="720" w:firstLineChars="300"/>
        <w:rPr>
          <w:rFonts w:cs="Times New Roman"/>
        </w:rPr>
      </w:pPr>
      <w:r>
        <w:rPr>
          <w:rFonts w:hint="eastAsia"/>
          <w:sz w:val="24"/>
          <w:szCs w:val="24"/>
          <w:lang w:val="en-US"/>
        </w:rPr>
        <w:t>可不按格式提供《银行信贷证明》，但投标人必须提供开户银行出具的其他形式证明材料（包括有银行证明的现金资源、银行贷款和信用额度），以证明投标人用于合同的营运资金满足招标文件的相关要求。</w:t>
      </w:r>
      <w:r>
        <w:rPr>
          <w:sz w:val="24"/>
          <w:szCs w:val="24"/>
          <w:lang w:val="en-US"/>
        </w:rPr>
        <w:t xml:space="preserve"> </w:t>
      </w:r>
    </w:p>
    <w:p>
      <w:pPr>
        <w:pStyle w:val="12"/>
        <w:rPr>
          <w:rFonts w:cs="Times New Roman"/>
          <w:b/>
          <w:bCs/>
          <w:sz w:val="20"/>
          <w:szCs w:val="20"/>
        </w:rPr>
      </w:pPr>
    </w:p>
    <w:p>
      <w:pPr>
        <w:pStyle w:val="12"/>
        <w:spacing w:before="8"/>
        <w:rPr>
          <w:rFonts w:cs="Times New Roman"/>
          <w:sz w:val="12"/>
          <w:szCs w:val="12"/>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Pr>
        <w:pStyle w:val="10"/>
        <w:spacing w:before="67"/>
        <w:ind w:left="96" w:right="142"/>
        <w:jc w:val="center"/>
        <w:rPr>
          <w:rFonts w:cs="Times New Roman"/>
        </w:rPr>
      </w:pPr>
    </w:p>
    <w:p/>
    <w:p>
      <w:pPr>
        <w:pStyle w:val="32"/>
        <w:rPr>
          <w:lang w:val="zh-CN"/>
        </w:rPr>
      </w:pPr>
    </w:p>
    <w:p>
      <w:pPr>
        <w:pStyle w:val="10"/>
        <w:spacing w:before="67"/>
        <w:ind w:left="96" w:right="142"/>
        <w:jc w:val="center"/>
        <w:rPr>
          <w:rFonts w:cs="Times New Roman"/>
        </w:rPr>
      </w:pPr>
      <w:r>
        <w:rPr>
          <w:rFonts w:hint="eastAsia"/>
        </w:rPr>
        <w:t>（四）近年完成的类似项目情况表</w:t>
      </w:r>
    </w:p>
    <w:tbl>
      <w:tblPr>
        <w:tblStyle w:val="20"/>
        <w:tblpPr w:leftFromText="180" w:rightFromText="180" w:vertAnchor="text" w:horzAnchor="page" w:tblpXSpec="center" w:tblpY="108"/>
        <w:tblOverlap w:val="never"/>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367" w:type="dxa"/>
          </w:tcPr>
          <w:p>
            <w:pPr>
              <w:pStyle w:val="50"/>
              <w:spacing w:before="4"/>
              <w:rPr>
                <w:rFonts w:cs="Times New Roman"/>
                <w:sz w:val="20"/>
                <w:szCs w:val="20"/>
              </w:rPr>
            </w:pPr>
          </w:p>
          <w:p>
            <w:pPr>
              <w:pStyle w:val="50"/>
              <w:tabs>
                <w:tab w:val="left" w:pos="649"/>
              </w:tabs>
              <w:ind w:left="18"/>
              <w:jc w:val="center"/>
              <w:rPr>
                <w:rFonts w:cs="Times New Roman"/>
                <w:sz w:val="21"/>
                <w:szCs w:val="21"/>
              </w:rPr>
            </w:pPr>
            <w:r>
              <w:rPr>
                <w:rFonts w:hint="eastAsia"/>
                <w:sz w:val="21"/>
                <w:szCs w:val="21"/>
              </w:rPr>
              <w:t>序</w:t>
            </w:r>
            <w:r>
              <w:rPr>
                <w:rFonts w:cs="Times New Roman"/>
                <w:sz w:val="21"/>
                <w:szCs w:val="21"/>
              </w:rPr>
              <w:tab/>
            </w:r>
            <w:r>
              <w:rPr>
                <w:rFonts w:hint="eastAsia"/>
                <w:sz w:val="21"/>
                <w:szCs w:val="21"/>
              </w:rPr>
              <w:t>号</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2367" w:type="dxa"/>
          </w:tcPr>
          <w:p>
            <w:pPr>
              <w:pStyle w:val="50"/>
              <w:spacing w:before="2"/>
              <w:rPr>
                <w:rFonts w:cs="Times New Roman"/>
                <w:sz w:val="21"/>
                <w:szCs w:val="21"/>
              </w:rPr>
            </w:pPr>
          </w:p>
          <w:p>
            <w:pPr>
              <w:pStyle w:val="50"/>
              <w:ind w:left="10"/>
              <w:jc w:val="center"/>
              <w:rPr>
                <w:rFonts w:cs="Times New Roman"/>
                <w:sz w:val="20"/>
                <w:szCs w:val="20"/>
              </w:rPr>
            </w:pPr>
            <w:r>
              <w:rPr>
                <w:rFonts w:hint="eastAsia"/>
                <w:sz w:val="20"/>
                <w:szCs w:val="20"/>
              </w:rPr>
              <w:t>项目名称</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2367" w:type="dxa"/>
          </w:tcPr>
          <w:p>
            <w:pPr>
              <w:pStyle w:val="50"/>
              <w:spacing w:before="9"/>
              <w:rPr>
                <w:rFonts w:cs="Times New Roman"/>
                <w:sz w:val="18"/>
                <w:szCs w:val="18"/>
              </w:rPr>
            </w:pPr>
          </w:p>
          <w:p>
            <w:pPr>
              <w:pStyle w:val="50"/>
              <w:spacing w:before="1"/>
              <w:ind w:left="8"/>
              <w:jc w:val="center"/>
              <w:rPr>
                <w:rFonts w:cs="Times New Roman"/>
                <w:sz w:val="20"/>
                <w:szCs w:val="20"/>
              </w:rPr>
            </w:pPr>
            <w:r>
              <w:rPr>
                <w:rFonts w:hint="eastAsia"/>
                <w:sz w:val="20"/>
                <w:szCs w:val="20"/>
              </w:rPr>
              <w:t>项目所在地</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367" w:type="dxa"/>
          </w:tcPr>
          <w:p>
            <w:pPr>
              <w:pStyle w:val="50"/>
              <w:rPr>
                <w:rFonts w:cs="Times New Roman"/>
                <w:sz w:val="19"/>
                <w:szCs w:val="19"/>
              </w:rPr>
            </w:pPr>
          </w:p>
          <w:p>
            <w:pPr>
              <w:pStyle w:val="50"/>
              <w:ind w:left="8"/>
              <w:jc w:val="center"/>
              <w:rPr>
                <w:rFonts w:cs="Times New Roman"/>
                <w:sz w:val="20"/>
                <w:szCs w:val="20"/>
              </w:rPr>
            </w:pPr>
            <w:r>
              <w:rPr>
                <w:rFonts w:hint="eastAsia"/>
                <w:sz w:val="20"/>
                <w:szCs w:val="20"/>
              </w:rPr>
              <w:t>发包人名称</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2367" w:type="dxa"/>
          </w:tcPr>
          <w:p>
            <w:pPr>
              <w:pStyle w:val="50"/>
              <w:spacing w:before="10"/>
              <w:rPr>
                <w:rFonts w:cs="Times New Roman"/>
                <w:sz w:val="18"/>
                <w:szCs w:val="18"/>
              </w:rPr>
            </w:pPr>
          </w:p>
          <w:p>
            <w:pPr>
              <w:pStyle w:val="50"/>
              <w:ind w:left="8"/>
              <w:jc w:val="center"/>
              <w:rPr>
                <w:rFonts w:cs="Times New Roman"/>
                <w:sz w:val="20"/>
                <w:szCs w:val="20"/>
              </w:rPr>
            </w:pPr>
            <w:r>
              <w:rPr>
                <w:rFonts w:hint="eastAsia"/>
                <w:sz w:val="20"/>
                <w:szCs w:val="20"/>
              </w:rPr>
              <w:t>发包人地址</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367" w:type="dxa"/>
          </w:tcPr>
          <w:p>
            <w:pPr>
              <w:pStyle w:val="50"/>
              <w:spacing w:before="1"/>
              <w:rPr>
                <w:rFonts w:cs="Times New Roman"/>
                <w:sz w:val="19"/>
                <w:szCs w:val="19"/>
              </w:rPr>
            </w:pPr>
          </w:p>
          <w:p>
            <w:pPr>
              <w:pStyle w:val="50"/>
              <w:ind w:left="8"/>
              <w:jc w:val="center"/>
              <w:rPr>
                <w:rFonts w:cs="Times New Roman"/>
                <w:sz w:val="20"/>
                <w:szCs w:val="20"/>
              </w:rPr>
            </w:pPr>
            <w:r>
              <w:rPr>
                <w:rFonts w:hint="eastAsia"/>
                <w:sz w:val="20"/>
                <w:szCs w:val="20"/>
              </w:rPr>
              <w:t>发包人电话</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367" w:type="dxa"/>
          </w:tcPr>
          <w:p>
            <w:pPr>
              <w:pStyle w:val="50"/>
              <w:spacing w:before="11"/>
              <w:rPr>
                <w:rFonts w:cs="Times New Roman"/>
                <w:sz w:val="18"/>
                <w:szCs w:val="18"/>
              </w:rPr>
            </w:pPr>
          </w:p>
          <w:p>
            <w:pPr>
              <w:pStyle w:val="50"/>
              <w:spacing w:before="1"/>
              <w:ind w:left="10"/>
              <w:jc w:val="center"/>
              <w:rPr>
                <w:rFonts w:cs="Times New Roman"/>
                <w:sz w:val="20"/>
                <w:szCs w:val="20"/>
              </w:rPr>
            </w:pPr>
            <w:r>
              <w:rPr>
                <w:rFonts w:hint="eastAsia"/>
                <w:sz w:val="20"/>
                <w:szCs w:val="20"/>
              </w:rPr>
              <w:t>合同价格</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2367" w:type="dxa"/>
          </w:tcPr>
          <w:p>
            <w:pPr>
              <w:pStyle w:val="50"/>
              <w:spacing w:before="9"/>
              <w:rPr>
                <w:rFonts w:cs="Times New Roman"/>
                <w:sz w:val="18"/>
                <w:szCs w:val="18"/>
              </w:rPr>
            </w:pPr>
          </w:p>
          <w:p>
            <w:pPr>
              <w:pStyle w:val="50"/>
              <w:ind w:left="10"/>
              <w:jc w:val="center"/>
              <w:rPr>
                <w:rFonts w:cs="Times New Roman"/>
                <w:sz w:val="20"/>
                <w:szCs w:val="20"/>
              </w:rPr>
            </w:pPr>
            <w:r>
              <w:rPr>
                <w:rFonts w:hint="eastAsia"/>
                <w:sz w:val="20"/>
                <w:szCs w:val="20"/>
              </w:rPr>
              <w:t>开工日期</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367" w:type="dxa"/>
          </w:tcPr>
          <w:p>
            <w:pPr>
              <w:pStyle w:val="50"/>
              <w:spacing w:before="6"/>
              <w:rPr>
                <w:rFonts w:cs="Times New Roman"/>
                <w:sz w:val="19"/>
                <w:szCs w:val="19"/>
              </w:rPr>
            </w:pPr>
          </w:p>
          <w:p>
            <w:pPr>
              <w:pStyle w:val="50"/>
              <w:spacing w:before="1"/>
              <w:ind w:left="10"/>
              <w:jc w:val="center"/>
              <w:rPr>
                <w:rFonts w:cs="Times New Roman"/>
                <w:sz w:val="20"/>
                <w:szCs w:val="20"/>
              </w:rPr>
            </w:pPr>
            <w:r>
              <w:rPr>
                <w:rFonts w:hint="eastAsia"/>
                <w:sz w:val="20"/>
                <w:szCs w:val="20"/>
              </w:rPr>
              <w:t>交工日期</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2367" w:type="dxa"/>
          </w:tcPr>
          <w:p>
            <w:pPr>
              <w:pStyle w:val="50"/>
              <w:spacing w:before="10"/>
              <w:rPr>
                <w:rFonts w:cs="Times New Roman"/>
                <w:sz w:val="18"/>
                <w:szCs w:val="18"/>
              </w:rPr>
            </w:pPr>
          </w:p>
          <w:p>
            <w:pPr>
              <w:pStyle w:val="50"/>
              <w:ind w:left="8"/>
              <w:jc w:val="center"/>
              <w:rPr>
                <w:rFonts w:cs="Times New Roman"/>
                <w:sz w:val="20"/>
                <w:szCs w:val="20"/>
              </w:rPr>
            </w:pPr>
            <w:r>
              <w:rPr>
                <w:rFonts w:hint="eastAsia"/>
                <w:sz w:val="20"/>
                <w:szCs w:val="20"/>
              </w:rPr>
              <w:t>承担的工作</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67" w:type="dxa"/>
          </w:tcPr>
          <w:p>
            <w:pPr>
              <w:pStyle w:val="50"/>
              <w:spacing w:before="11"/>
              <w:rPr>
                <w:rFonts w:cs="Times New Roman"/>
                <w:sz w:val="18"/>
                <w:szCs w:val="18"/>
              </w:rPr>
            </w:pPr>
          </w:p>
          <w:p>
            <w:pPr>
              <w:pStyle w:val="50"/>
              <w:ind w:left="10"/>
              <w:jc w:val="center"/>
              <w:rPr>
                <w:rFonts w:cs="Times New Roman"/>
                <w:sz w:val="20"/>
                <w:szCs w:val="20"/>
              </w:rPr>
            </w:pPr>
            <w:r>
              <w:rPr>
                <w:rFonts w:hint="eastAsia"/>
                <w:sz w:val="20"/>
                <w:szCs w:val="20"/>
              </w:rPr>
              <w:t>工程质量</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367" w:type="dxa"/>
          </w:tcPr>
          <w:p>
            <w:pPr>
              <w:pStyle w:val="50"/>
              <w:spacing w:before="11"/>
              <w:rPr>
                <w:rFonts w:cs="Times New Roman"/>
                <w:sz w:val="18"/>
                <w:szCs w:val="18"/>
              </w:rPr>
            </w:pPr>
          </w:p>
          <w:p>
            <w:pPr>
              <w:pStyle w:val="50"/>
              <w:ind w:left="10"/>
              <w:jc w:val="center"/>
              <w:rPr>
                <w:rFonts w:cs="Times New Roman"/>
                <w:sz w:val="20"/>
                <w:szCs w:val="20"/>
              </w:rPr>
            </w:pPr>
            <w:r>
              <w:rPr>
                <w:rFonts w:hint="eastAsia"/>
                <w:sz w:val="20"/>
                <w:szCs w:val="20"/>
              </w:rPr>
              <w:t>项目经理</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367" w:type="dxa"/>
          </w:tcPr>
          <w:p>
            <w:pPr>
              <w:pStyle w:val="50"/>
              <w:spacing w:before="1"/>
              <w:rPr>
                <w:rFonts w:cs="Times New Roman"/>
                <w:sz w:val="19"/>
                <w:szCs w:val="19"/>
              </w:rPr>
            </w:pPr>
          </w:p>
          <w:p>
            <w:pPr>
              <w:pStyle w:val="50"/>
              <w:ind w:left="10"/>
              <w:jc w:val="center"/>
              <w:rPr>
                <w:rFonts w:cs="Times New Roman"/>
                <w:sz w:val="20"/>
                <w:szCs w:val="20"/>
              </w:rPr>
            </w:pPr>
            <w:r>
              <w:rPr>
                <w:rFonts w:hint="eastAsia"/>
                <w:sz w:val="20"/>
                <w:szCs w:val="20"/>
              </w:rPr>
              <w:t>项目总工</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367" w:type="dxa"/>
          </w:tcPr>
          <w:p>
            <w:pPr>
              <w:pStyle w:val="50"/>
              <w:spacing w:before="1"/>
              <w:rPr>
                <w:rFonts w:cs="Times New Roman"/>
                <w:sz w:val="19"/>
                <w:szCs w:val="19"/>
              </w:rPr>
            </w:pPr>
          </w:p>
          <w:p>
            <w:pPr>
              <w:pStyle w:val="50"/>
              <w:ind w:left="13"/>
              <w:jc w:val="center"/>
              <w:rPr>
                <w:rFonts w:cs="Times New Roman"/>
                <w:sz w:val="20"/>
                <w:szCs w:val="20"/>
              </w:rPr>
            </w:pPr>
            <w:r>
              <w:rPr>
                <w:rFonts w:hint="eastAsia"/>
                <w:sz w:val="20"/>
                <w:szCs w:val="20"/>
              </w:rPr>
              <w:t>总监理工程师及电话</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2367" w:type="dxa"/>
          </w:tcPr>
          <w:p>
            <w:pPr>
              <w:pStyle w:val="50"/>
              <w:rPr>
                <w:rFonts w:cs="Times New Roman"/>
                <w:sz w:val="20"/>
                <w:szCs w:val="20"/>
              </w:rPr>
            </w:pPr>
          </w:p>
          <w:p>
            <w:pPr>
              <w:pStyle w:val="50"/>
              <w:spacing w:before="10"/>
              <w:rPr>
                <w:rFonts w:cs="Times New Roman"/>
                <w:sz w:val="26"/>
                <w:szCs w:val="26"/>
              </w:rPr>
            </w:pPr>
          </w:p>
          <w:p>
            <w:pPr>
              <w:pStyle w:val="50"/>
              <w:ind w:left="10"/>
              <w:jc w:val="center"/>
              <w:rPr>
                <w:rFonts w:cs="Times New Roman"/>
                <w:sz w:val="20"/>
                <w:szCs w:val="20"/>
              </w:rPr>
            </w:pPr>
            <w:r>
              <w:rPr>
                <w:rFonts w:hint="eastAsia"/>
                <w:sz w:val="20"/>
                <w:szCs w:val="20"/>
              </w:rPr>
              <w:t>项目描述</w:t>
            </w:r>
          </w:p>
        </w:tc>
        <w:tc>
          <w:tcPr>
            <w:tcW w:w="6527"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367" w:type="dxa"/>
          </w:tcPr>
          <w:p>
            <w:pPr>
              <w:pStyle w:val="50"/>
              <w:spacing w:before="7"/>
              <w:rPr>
                <w:rFonts w:cs="Times New Roman"/>
                <w:sz w:val="18"/>
                <w:szCs w:val="18"/>
              </w:rPr>
            </w:pPr>
          </w:p>
          <w:p>
            <w:pPr>
              <w:pStyle w:val="50"/>
              <w:ind w:left="8"/>
              <w:jc w:val="center"/>
              <w:rPr>
                <w:rFonts w:cs="Times New Roman"/>
                <w:sz w:val="20"/>
                <w:szCs w:val="20"/>
              </w:rPr>
            </w:pPr>
            <w:r>
              <w:rPr>
                <w:rFonts w:hint="eastAsia"/>
                <w:sz w:val="20"/>
                <w:szCs w:val="20"/>
              </w:rPr>
              <w:t>备注</w:t>
            </w:r>
          </w:p>
        </w:tc>
        <w:tc>
          <w:tcPr>
            <w:tcW w:w="6527" w:type="dxa"/>
          </w:tcPr>
          <w:p>
            <w:pPr>
              <w:pStyle w:val="50"/>
              <w:rPr>
                <w:rFonts w:ascii="Times New Roman" w:cs="Times New Roman"/>
                <w:sz w:val="20"/>
                <w:szCs w:val="20"/>
              </w:rPr>
            </w:pPr>
          </w:p>
        </w:tc>
      </w:tr>
    </w:tbl>
    <w:p>
      <w:pPr>
        <w:pStyle w:val="12"/>
        <w:spacing w:before="12"/>
        <w:rPr>
          <w:rFonts w:cs="Times New Roman"/>
          <w:sz w:val="14"/>
          <w:szCs w:val="14"/>
        </w:rPr>
      </w:pPr>
    </w:p>
    <w:p>
      <w:pPr>
        <w:spacing w:line="360" w:lineRule="auto"/>
        <w:rPr>
          <w:sz w:val="18"/>
          <w:szCs w:val="18"/>
        </w:rPr>
      </w:pPr>
    </w:p>
    <w:p>
      <w:pPr>
        <w:spacing w:line="360" w:lineRule="auto"/>
        <w:rPr>
          <w:rFonts w:cs="Times New Roman"/>
          <w:sz w:val="18"/>
          <w:szCs w:val="18"/>
        </w:rPr>
      </w:pPr>
      <w:r>
        <w:rPr>
          <w:rFonts w:hint="eastAsia"/>
          <w:sz w:val="18"/>
          <w:szCs w:val="18"/>
        </w:rPr>
        <w:t>注：</w:t>
      </w:r>
      <w:r>
        <w:rPr>
          <w:sz w:val="18"/>
          <w:szCs w:val="18"/>
        </w:rPr>
        <w:t>1.</w:t>
      </w:r>
      <w:r>
        <w:rPr>
          <w:rFonts w:hint="eastAsia"/>
          <w:sz w:val="18"/>
          <w:szCs w:val="18"/>
        </w:rPr>
        <w:t>每张表格只填写一个项目，并标明序号。</w:t>
      </w:r>
    </w:p>
    <w:p>
      <w:pPr>
        <w:spacing w:line="360" w:lineRule="auto"/>
        <w:ind w:firstLine="360"/>
        <w:rPr>
          <w:rFonts w:cs="Times New Roman"/>
          <w:b/>
          <w:bCs/>
          <w:sz w:val="18"/>
          <w:szCs w:val="18"/>
        </w:rPr>
      </w:pPr>
      <w:r>
        <w:rPr>
          <w:sz w:val="18"/>
          <w:szCs w:val="18"/>
        </w:rPr>
        <w:t>2.</w:t>
      </w:r>
      <w:r>
        <w:rPr>
          <w:rFonts w:hint="eastAsia"/>
          <w:sz w:val="18"/>
          <w:szCs w:val="18"/>
        </w:rPr>
        <w:t>每张表后须附有：①中标通知书或合同协议书复印件；②完工质量证明文件复印件（按《公路工程竣（交）工验收办法》验收的公路工程（标段）交工验收证书或竣工验收委员会出具的公路工程竣工验收鉴定书，或质量监督机构对各参建单位签发的工作综合评价等级证书。</w:t>
      </w:r>
      <w:r>
        <w:rPr>
          <w:rFonts w:hint="eastAsia"/>
          <w:b/>
          <w:bCs/>
          <w:sz w:val="18"/>
          <w:szCs w:val="18"/>
        </w:rPr>
        <w:t>两者缺一不可，否则业绩不予认可。</w:t>
      </w:r>
    </w:p>
    <w:p>
      <w:pPr>
        <w:spacing w:line="360" w:lineRule="auto"/>
        <w:rPr>
          <w:rFonts w:cs="Times New Roman"/>
          <w:sz w:val="18"/>
          <w:szCs w:val="18"/>
        </w:rPr>
        <w:sectPr>
          <w:headerReference r:id="rId22" w:type="default"/>
          <w:pgSz w:w="11906" w:h="16838"/>
          <w:pgMar w:top="1418" w:right="1418" w:bottom="1418" w:left="1418" w:header="851" w:footer="964" w:gutter="0"/>
          <w:cols w:space="720" w:num="1"/>
          <w:docGrid w:linePitch="312" w:charSpace="0"/>
        </w:sectPr>
      </w:pPr>
    </w:p>
    <w:p>
      <w:pPr>
        <w:pStyle w:val="12"/>
        <w:rPr>
          <w:rFonts w:cs="Times New Roman"/>
          <w:sz w:val="20"/>
          <w:szCs w:val="20"/>
        </w:rPr>
      </w:pPr>
    </w:p>
    <w:p>
      <w:pPr>
        <w:pStyle w:val="12"/>
        <w:spacing w:before="7"/>
        <w:rPr>
          <w:rFonts w:cs="Times New Roman"/>
          <w:sz w:val="14"/>
          <w:szCs w:val="14"/>
        </w:rPr>
      </w:pPr>
    </w:p>
    <w:p>
      <w:pPr>
        <w:pStyle w:val="10"/>
        <w:spacing w:before="67"/>
        <w:ind w:left="106" w:right="142"/>
        <w:jc w:val="center"/>
        <w:rPr>
          <w:rFonts w:cs="Times New Roman"/>
        </w:rPr>
      </w:pPr>
      <w:r>
        <w:rPr>
          <w:rFonts w:hint="eastAsia"/>
        </w:rPr>
        <w:t>（五）投标人的信誉情况表</w:t>
      </w:r>
    </w:p>
    <w:p>
      <w:pPr>
        <w:pStyle w:val="12"/>
        <w:rPr>
          <w:rFonts w:cs="Times New Roman"/>
          <w:sz w:val="20"/>
          <w:szCs w:val="20"/>
        </w:rPr>
      </w:pPr>
    </w:p>
    <w:p>
      <w:pPr>
        <w:pStyle w:val="12"/>
        <w:spacing w:after="1"/>
        <w:rPr>
          <w:rFonts w:cs="Times New Roman"/>
          <w:sz w:val="12"/>
          <w:szCs w:val="12"/>
        </w:rPr>
      </w:pPr>
    </w:p>
    <w:tbl>
      <w:tblPr>
        <w:tblStyle w:val="20"/>
        <w:tblW w:w="852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tcPr>
          <w:p>
            <w:pPr>
              <w:pStyle w:val="50"/>
              <w:rPr>
                <w:rFonts w:cs="Times New Roman"/>
                <w:sz w:val="20"/>
                <w:szCs w:val="20"/>
              </w:rPr>
            </w:pPr>
          </w:p>
          <w:p>
            <w:pPr>
              <w:pStyle w:val="50"/>
              <w:spacing w:before="12"/>
              <w:rPr>
                <w:rFonts w:cs="Times New Roman"/>
                <w:sz w:val="15"/>
                <w:szCs w:val="15"/>
              </w:rPr>
            </w:pPr>
          </w:p>
          <w:p>
            <w:pPr>
              <w:pStyle w:val="50"/>
              <w:ind w:left="1852" w:right="1834"/>
              <w:jc w:val="center"/>
              <w:rPr>
                <w:rFonts w:cs="Times New Roman"/>
                <w:sz w:val="21"/>
                <w:szCs w:val="21"/>
              </w:rPr>
            </w:pPr>
            <w:r>
              <w:rPr>
                <w:rFonts w:hint="eastAsia"/>
                <w:sz w:val="21"/>
                <w:szCs w:val="21"/>
              </w:rPr>
              <w:t>项</w:t>
            </w:r>
            <w:r>
              <w:rPr>
                <w:sz w:val="21"/>
                <w:szCs w:val="21"/>
              </w:rPr>
              <w:t xml:space="preserve"> </w:t>
            </w:r>
            <w:r>
              <w:rPr>
                <w:rFonts w:hint="eastAsia"/>
                <w:sz w:val="21"/>
                <w:szCs w:val="21"/>
              </w:rPr>
              <w:t>目</w:t>
            </w:r>
          </w:p>
        </w:tc>
        <w:tc>
          <w:tcPr>
            <w:tcW w:w="4264" w:type="dxa"/>
          </w:tcPr>
          <w:p>
            <w:pPr>
              <w:pStyle w:val="50"/>
              <w:rPr>
                <w:rFonts w:cs="Times New Roman"/>
                <w:sz w:val="20"/>
                <w:szCs w:val="20"/>
              </w:rPr>
            </w:pPr>
          </w:p>
          <w:p>
            <w:pPr>
              <w:pStyle w:val="50"/>
              <w:spacing w:before="12"/>
              <w:rPr>
                <w:rFonts w:cs="Times New Roman"/>
                <w:sz w:val="15"/>
                <w:szCs w:val="15"/>
              </w:rPr>
            </w:pPr>
          </w:p>
          <w:p>
            <w:pPr>
              <w:pStyle w:val="50"/>
              <w:ind w:left="1397"/>
              <w:rPr>
                <w:rFonts w:cs="Times New Roman"/>
                <w:sz w:val="21"/>
                <w:szCs w:val="21"/>
              </w:rPr>
            </w:pPr>
            <w:r>
              <w:rPr>
                <w:rFonts w:hint="eastAsia"/>
                <w:sz w:val="21"/>
                <w:szCs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50"/>
              <w:rPr>
                <w:rFonts w:ascii="Times New Roman" w:cs="Times New Roman"/>
                <w:sz w:val="20"/>
                <w:szCs w:val="20"/>
              </w:rPr>
            </w:pPr>
          </w:p>
        </w:tc>
        <w:tc>
          <w:tcPr>
            <w:tcW w:w="4264" w:type="dxa"/>
          </w:tcPr>
          <w:p>
            <w:pPr>
              <w:pStyle w:val="50"/>
              <w:rPr>
                <w:rFonts w:ascii="Times New Roman" w:cs="Times New Roman"/>
                <w:sz w:val="20"/>
                <w:szCs w:val="20"/>
              </w:rPr>
            </w:pPr>
          </w:p>
        </w:tc>
      </w:tr>
    </w:tbl>
    <w:p>
      <w:pPr>
        <w:pStyle w:val="12"/>
        <w:spacing w:before="127" w:line="362" w:lineRule="auto"/>
        <w:ind w:left="984" w:right="539" w:hanging="420"/>
        <w:rPr>
          <w:rFonts w:cs="Times New Roman"/>
        </w:rPr>
      </w:pPr>
      <w:r>
        <w:rPr>
          <w:rFonts w:hint="eastAsia"/>
          <w:spacing w:val="-13"/>
        </w:rPr>
        <w:t>注：</w:t>
      </w:r>
      <w:r>
        <w:rPr>
          <w:spacing w:val="-25"/>
        </w:rPr>
        <w:t>1.</w:t>
      </w:r>
      <w:r>
        <w:rPr>
          <w:rFonts w:hint="eastAsia"/>
          <w:spacing w:val="-10"/>
        </w:rPr>
        <w:t>投标人应按照招标文件第二章“投标人须知”前附表附录</w:t>
      </w:r>
      <w:r>
        <w:rPr>
          <w:spacing w:val="-10"/>
        </w:rPr>
        <w:t xml:space="preserve"> </w:t>
      </w:r>
      <w:r>
        <w:t>4</w:t>
      </w:r>
      <w:r>
        <w:rPr>
          <w:spacing w:val="-16"/>
        </w:rPr>
        <w:t xml:space="preserve"> </w:t>
      </w:r>
      <w:r>
        <w:rPr>
          <w:rFonts w:hint="eastAsia"/>
          <w:spacing w:val="-16"/>
        </w:rPr>
        <w:t>和“投标人须知”正文第</w:t>
      </w:r>
      <w:r>
        <w:rPr>
          <w:spacing w:val="-16"/>
        </w:rPr>
        <w:t xml:space="preserve"> </w:t>
      </w:r>
      <w:r>
        <w:t xml:space="preserve">1.4.4 </w:t>
      </w:r>
      <w:r>
        <w:rPr>
          <w:rFonts w:hint="eastAsia"/>
        </w:rPr>
        <w:t>项规定，逐条说明其信誉情况。</w:t>
      </w:r>
    </w:p>
    <w:p>
      <w:pPr>
        <w:pStyle w:val="49"/>
        <w:numPr>
          <w:ilvl w:val="0"/>
          <w:numId w:val="42"/>
        </w:numPr>
        <w:tabs>
          <w:tab w:val="left" w:pos="1145"/>
        </w:tabs>
        <w:spacing w:before="1"/>
        <w:rPr>
          <w:rFonts w:cs="Times New Roman"/>
          <w:sz w:val="21"/>
          <w:szCs w:val="21"/>
        </w:rPr>
      </w:pPr>
      <w:r>
        <w:rPr>
          <w:rFonts w:hint="eastAsia"/>
          <w:spacing w:val="-26"/>
          <w:sz w:val="21"/>
          <w:szCs w:val="21"/>
        </w:rPr>
        <w:t>投标人应根据招标文件第二章“投标人须知”第</w:t>
      </w:r>
      <w:r>
        <w:rPr>
          <w:spacing w:val="-26"/>
          <w:sz w:val="21"/>
          <w:szCs w:val="21"/>
        </w:rPr>
        <w:t xml:space="preserve"> </w:t>
      </w:r>
      <w:r>
        <w:rPr>
          <w:sz w:val="21"/>
          <w:szCs w:val="21"/>
        </w:rPr>
        <w:t>3.4</w:t>
      </w:r>
      <w:r>
        <w:rPr>
          <w:spacing w:val="-5"/>
          <w:sz w:val="21"/>
          <w:szCs w:val="21"/>
        </w:rPr>
        <w:t xml:space="preserve"> </w:t>
      </w:r>
      <w:r>
        <w:rPr>
          <w:rFonts w:hint="eastAsia"/>
          <w:spacing w:val="-5"/>
          <w:sz w:val="21"/>
          <w:szCs w:val="21"/>
        </w:rPr>
        <w:t>项的要求在本表后附相关证明材料。</w:t>
      </w:r>
    </w:p>
    <w:p>
      <w:pPr>
        <w:rPr>
          <w:rFonts w:cs="Times New Roman"/>
          <w:sz w:val="21"/>
          <w:szCs w:val="21"/>
        </w:rPr>
        <w:sectPr>
          <w:pgSz w:w="11910" w:h="16850"/>
          <w:pgMar w:top="1418" w:right="1418" w:bottom="1418" w:left="1418" w:header="851" w:footer="964" w:gutter="0"/>
          <w:cols w:space="720" w:num="1"/>
        </w:sectPr>
      </w:pPr>
    </w:p>
    <w:p>
      <w:pPr>
        <w:pStyle w:val="12"/>
        <w:spacing w:before="8"/>
        <w:rPr>
          <w:rFonts w:cs="Times New Roman"/>
          <w:sz w:val="12"/>
          <w:szCs w:val="12"/>
        </w:rPr>
      </w:pPr>
    </w:p>
    <w:p>
      <w:pPr>
        <w:pStyle w:val="10"/>
        <w:spacing w:before="67"/>
        <w:ind w:left="96" w:right="142"/>
        <w:jc w:val="center"/>
        <w:rPr>
          <w:rFonts w:cs="Times New Roman"/>
        </w:rPr>
      </w:pPr>
      <w:r>
        <w:rPr>
          <w:rFonts w:hint="eastAsia"/>
        </w:rPr>
        <w:t>（六）拟委任的项目经理和项目总工资历表</w:t>
      </w:r>
    </w:p>
    <w:p>
      <w:pPr>
        <w:pStyle w:val="12"/>
        <w:rPr>
          <w:rFonts w:cs="Times New Roman"/>
          <w:sz w:val="20"/>
          <w:szCs w:val="20"/>
        </w:rPr>
      </w:pPr>
    </w:p>
    <w:p>
      <w:pPr>
        <w:pStyle w:val="12"/>
        <w:spacing w:before="11"/>
        <w:rPr>
          <w:rFonts w:cs="Times New Roman"/>
          <w:sz w:val="11"/>
          <w:szCs w:val="11"/>
        </w:rPr>
      </w:pPr>
    </w:p>
    <w:tbl>
      <w:tblPr>
        <w:tblStyle w:val="20"/>
        <w:tblW w:w="873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614"/>
        <w:gridCol w:w="1377"/>
        <w:gridCol w:w="103"/>
        <w:gridCol w:w="535"/>
        <w:gridCol w:w="526"/>
        <w:gridCol w:w="571"/>
        <w:gridCol w:w="810"/>
        <w:gridCol w:w="339"/>
        <w:gridCol w:w="605"/>
        <w:gridCol w:w="938"/>
        <w:gridCol w:w="387"/>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47" w:type="dxa"/>
            <w:tcBorders>
              <w:right w:val="nil"/>
            </w:tcBorders>
          </w:tcPr>
          <w:p>
            <w:pPr>
              <w:pStyle w:val="50"/>
              <w:spacing w:before="7"/>
              <w:rPr>
                <w:rFonts w:cs="Times New Roman"/>
                <w:sz w:val="14"/>
                <w:szCs w:val="14"/>
              </w:rPr>
            </w:pPr>
          </w:p>
          <w:p>
            <w:pPr>
              <w:pStyle w:val="50"/>
              <w:spacing w:before="1"/>
              <w:ind w:left="203"/>
              <w:rPr>
                <w:rFonts w:cs="Times New Roman"/>
                <w:sz w:val="21"/>
                <w:szCs w:val="21"/>
              </w:rPr>
            </w:pPr>
            <w:r>
              <w:rPr>
                <w:rFonts w:hint="eastAsia"/>
                <w:w w:val="99"/>
                <w:sz w:val="21"/>
                <w:szCs w:val="21"/>
              </w:rPr>
              <w:t>姓</w:t>
            </w:r>
          </w:p>
        </w:tc>
        <w:tc>
          <w:tcPr>
            <w:tcW w:w="614" w:type="dxa"/>
            <w:tcBorders>
              <w:left w:val="nil"/>
            </w:tcBorders>
          </w:tcPr>
          <w:p>
            <w:pPr>
              <w:pStyle w:val="50"/>
              <w:spacing w:before="7"/>
              <w:rPr>
                <w:rFonts w:cs="Times New Roman"/>
                <w:sz w:val="14"/>
                <w:szCs w:val="14"/>
              </w:rPr>
            </w:pPr>
          </w:p>
          <w:p>
            <w:pPr>
              <w:pStyle w:val="50"/>
              <w:spacing w:before="1"/>
              <w:ind w:right="207"/>
              <w:jc w:val="right"/>
              <w:rPr>
                <w:rFonts w:cs="Times New Roman"/>
                <w:sz w:val="21"/>
                <w:szCs w:val="21"/>
              </w:rPr>
            </w:pPr>
            <w:r>
              <w:rPr>
                <w:rFonts w:hint="eastAsia"/>
                <w:w w:val="99"/>
                <w:sz w:val="21"/>
                <w:szCs w:val="21"/>
              </w:rPr>
              <w:t>名</w:t>
            </w:r>
          </w:p>
        </w:tc>
        <w:tc>
          <w:tcPr>
            <w:tcW w:w="1480" w:type="dxa"/>
            <w:gridSpan w:val="2"/>
          </w:tcPr>
          <w:p>
            <w:pPr>
              <w:pStyle w:val="50"/>
              <w:rPr>
                <w:rFonts w:ascii="Times New Roman" w:cs="Times New Roman"/>
                <w:sz w:val="20"/>
                <w:szCs w:val="20"/>
              </w:rPr>
            </w:pPr>
          </w:p>
        </w:tc>
        <w:tc>
          <w:tcPr>
            <w:tcW w:w="535" w:type="dxa"/>
            <w:tcBorders>
              <w:right w:val="nil"/>
            </w:tcBorders>
          </w:tcPr>
          <w:p>
            <w:pPr>
              <w:pStyle w:val="50"/>
              <w:spacing w:before="7"/>
              <w:rPr>
                <w:rFonts w:cs="Times New Roman"/>
                <w:sz w:val="14"/>
                <w:szCs w:val="14"/>
              </w:rPr>
            </w:pPr>
          </w:p>
          <w:p>
            <w:pPr>
              <w:pStyle w:val="50"/>
              <w:spacing w:before="1"/>
              <w:ind w:left="114"/>
              <w:rPr>
                <w:rFonts w:cs="Times New Roman"/>
                <w:sz w:val="21"/>
                <w:szCs w:val="21"/>
              </w:rPr>
            </w:pPr>
            <w:r>
              <w:rPr>
                <w:rFonts w:hint="eastAsia"/>
                <w:w w:val="99"/>
                <w:sz w:val="21"/>
                <w:szCs w:val="21"/>
              </w:rPr>
              <w:t>年</w:t>
            </w:r>
          </w:p>
        </w:tc>
        <w:tc>
          <w:tcPr>
            <w:tcW w:w="526" w:type="dxa"/>
            <w:tcBorders>
              <w:left w:val="nil"/>
            </w:tcBorders>
          </w:tcPr>
          <w:p>
            <w:pPr>
              <w:pStyle w:val="50"/>
              <w:spacing w:before="7"/>
              <w:rPr>
                <w:rFonts w:cs="Times New Roman"/>
                <w:sz w:val="14"/>
                <w:szCs w:val="14"/>
              </w:rPr>
            </w:pPr>
          </w:p>
          <w:p>
            <w:pPr>
              <w:pStyle w:val="50"/>
              <w:spacing w:before="1"/>
              <w:ind w:right="94"/>
              <w:jc w:val="right"/>
              <w:rPr>
                <w:rFonts w:cs="Times New Roman"/>
                <w:sz w:val="21"/>
                <w:szCs w:val="21"/>
              </w:rPr>
            </w:pPr>
            <w:r>
              <w:rPr>
                <w:rFonts w:hint="eastAsia"/>
                <w:w w:val="99"/>
                <w:sz w:val="21"/>
                <w:szCs w:val="21"/>
              </w:rPr>
              <w:t>龄</w:t>
            </w:r>
          </w:p>
        </w:tc>
        <w:tc>
          <w:tcPr>
            <w:tcW w:w="1381" w:type="dxa"/>
            <w:gridSpan w:val="2"/>
          </w:tcPr>
          <w:p>
            <w:pPr>
              <w:pStyle w:val="50"/>
              <w:rPr>
                <w:rFonts w:ascii="Times New Roman" w:cs="Times New Roman"/>
                <w:sz w:val="20"/>
                <w:szCs w:val="20"/>
              </w:rPr>
            </w:pPr>
          </w:p>
        </w:tc>
        <w:tc>
          <w:tcPr>
            <w:tcW w:w="339" w:type="dxa"/>
            <w:tcBorders>
              <w:right w:val="nil"/>
            </w:tcBorders>
          </w:tcPr>
          <w:p>
            <w:pPr>
              <w:pStyle w:val="50"/>
              <w:rPr>
                <w:rFonts w:ascii="Times New Roman" w:cs="Times New Roman"/>
                <w:sz w:val="20"/>
                <w:szCs w:val="20"/>
              </w:rPr>
            </w:pPr>
          </w:p>
        </w:tc>
        <w:tc>
          <w:tcPr>
            <w:tcW w:w="605" w:type="dxa"/>
            <w:tcBorders>
              <w:left w:val="nil"/>
              <w:right w:val="nil"/>
            </w:tcBorders>
          </w:tcPr>
          <w:p>
            <w:pPr>
              <w:pStyle w:val="50"/>
              <w:spacing w:before="7"/>
              <w:rPr>
                <w:rFonts w:cs="Times New Roman"/>
                <w:sz w:val="14"/>
                <w:szCs w:val="14"/>
              </w:rPr>
            </w:pPr>
          </w:p>
          <w:p>
            <w:pPr>
              <w:pStyle w:val="50"/>
              <w:spacing w:before="1"/>
              <w:ind w:left="189"/>
              <w:rPr>
                <w:rFonts w:cs="Times New Roman"/>
                <w:sz w:val="21"/>
                <w:szCs w:val="21"/>
              </w:rPr>
            </w:pPr>
            <w:r>
              <w:rPr>
                <w:rFonts w:hint="eastAsia"/>
                <w:w w:val="99"/>
                <w:sz w:val="21"/>
                <w:szCs w:val="21"/>
              </w:rPr>
              <w:t>专</w:t>
            </w:r>
          </w:p>
        </w:tc>
        <w:tc>
          <w:tcPr>
            <w:tcW w:w="938" w:type="dxa"/>
            <w:tcBorders>
              <w:left w:val="nil"/>
            </w:tcBorders>
          </w:tcPr>
          <w:p>
            <w:pPr>
              <w:pStyle w:val="50"/>
              <w:spacing w:before="7"/>
              <w:rPr>
                <w:rFonts w:cs="Times New Roman"/>
                <w:sz w:val="14"/>
                <w:szCs w:val="14"/>
              </w:rPr>
            </w:pPr>
          </w:p>
          <w:p>
            <w:pPr>
              <w:pStyle w:val="50"/>
              <w:spacing w:before="1"/>
              <w:ind w:left="216"/>
              <w:rPr>
                <w:rFonts w:cs="Times New Roman"/>
                <w:sz w:val="21"/>
                <w:szCs w:val="21"/>
              </w:rPr>
            </w:pPr>
            <w:r>
              <w:rPr>
                <w:rFonts w:hint="eastAsia"/>
                <w:w w:val="99"/>
                <w:sz w:val="21"/>
                <w:szCs w:val="21"/>
              </w:rPr>
              <w:t>业</w:t>
            </w:r>
          </w:p>
        </w:tc>
        <w:tc>
          <w:tcPr>
            <w:tcW w:w="1669"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gridSpan w:val="2"/>
          </w:tcPr>
          <w:p>
            <w:pPr>
              <w:pStyle w:val="50"/>
              <w:rPr>
                <w:rFonts w:cs="Times New Roman"/>
                <w:sz w:val="20"/>
                <w:szCs w:val="20"/>
              </w:rPr>
            </w:pPr>
          </w:p>
          <w:p>
            <w:pPr>
              <w:pStyle w:val="50"/>
              <w:spacing w:before="164"/>
              <w:ind w:left="203"/>
              <w:rPr>
                <w:rFonts w:cs="Times New Roman"/>
                <w:sz w:val="21"/>
                <w:szCs w:val="21"/>
              </w:rPr>
            </w:pPr>
            <w:r>
              <w:rPr>
                <w:rFonts w:hint="eastAsia"/>
                <w:sz w:val="21"/>
                <w:szCs w:val="21"/>
              </w:rPr>
              <w:t>技术职称</w:t>
            </w:r>
          </w:p>
        </w:tc>
        <w:tc>
          <w:tcPr>
            <w:tcW w:w="1480" w:type="dxa"/>
            <w:gridSpan w:val="2"/>
          </w:tcPr>
          <w:p>
            <w:pPr>
              <w:pStyle w:val="50"/>
              <w:rPr>
                <w:rFonts w:ascii="Times New Roman" w:cs="Times New Roman"/>
                <w:sz w:val="20"/>
                <w:szCs w:val="20"/>
              </w:rPr>
            </w:pPr>
          </w:p>
        </w:tc>
        <w:tc>
          <w:tcPr>
            <w:tcW w:w="535" w:type="dxa"/>
            <w:tcBorders>
              <w:right w:val="nil"/>
            </w:tcBorders>
          </w:tcPr>
          <w:p>
            <w:pPr>
              <w:pStyle w:val="50"/>
              <w:rPr>
                <w:rFonts w:cs="Times New Roman"/>
                <w:sz w:val="20"/>
                <w:szCs w:val="20"/>
              </w:rPr>
            </w:pPr>
          </w:p>
          <w:p>
            <w:pPr>
              <w:pStyle w:val="50"/>
              <w:spacing w:before="164"/>
              <w:ind w:left="114"/>
              <w:rPr>
                <w:rFonts w:cs="Times New Roman"/>
                <w:sz w:val="21"/>
                <w:szCs w:val="21"/>
              </w:rPr>
            </w:pPr>
            <w:r>
              <w:rPr>
                <w:rFonts w:hint="eastAsia"/>
                <w:w w:val="99"/>
                <w:sz w:val="21"/>
                <w:szCs w:val="21"/>
              </w:rPr>
              <w:t>学</w:t>
            </w:r>
          </w:p>
        </w:tc>
        <w:tc>
          <w:tcPr>
            <w:tcW w:w="526" w:type="dxa"/>
            <w:tcBorders>
              <w:left w:val="nil"/>
            </w:tcBorders>
          </w:tcPr>
          <w:p>
            <w:pPr>
              <w:pStyle w:val="50"/>
              <w:rPr>
                <w:rFonts w:cs="Times New Roman"/>
                <w:sz w:val="20"/>
                <w:szCs w:val="20"/>
              </w:rPr>
            </w:pPr>
          </w:p>
          <w:p>
            <w:pPr>
              <w:pStyle w:val="50"/>
              <w:spacing w:before="164"/>
              <w:ind w:right="94"/>
              <w:jc w:val="right"/>
              <w:rPr>
                <w:rFonts w:cs="Times New Roman"/>
                <w:sz w:val="21"/>
                <w:szCs w:val="21"/>
              </w:rPr>
            </w:pPr>
            <w:r>
              <w:rPr>
                <w:rFonts w:hint="eastAsia"/>
                <w:w w:val="99"/>
                <w:sz w:val="21"/>
                <w:szCs w:val="21"/>
              </w:rPr>
              <w:t>历</w:t>
            </w:r>
          </w:p>
        </w:tc>
        <w:tc>
          <w:tcPr>
            <w:tcW w:w="1381" w:type="dxa"/>
            <w:gridSpan w:val="2"/>
          </w:tcPr>
          <w:p>
            <w:pPr>
              <w:pStyle w:val="50"/>
              <w:rPr>
                <w:rFonts w:ascii="Times New Roman" w:cs="Times New Roman"/>
                <w:sz w:val="20"/>
                <w:szCs w:val="20"/>
              </w:rPr>
            </w:pPr>
          </w:p>
        </w:tc>
        <w:tc>
          <w:tcPr>
            <w:tcW w:w="1882" w:type="dxa"/>
            <w:gridSpan w:val="3"/>
          </w:tcPr>
          <w:p>
            <w:pPr>
              <w:pStyle w:val="50"/>
              <w:spacing w:before="7" w:line="450" w:lineRule="atLeast"/>
              <w:ind w:left="523" w:right="402" w:hanging="106"/>
              <w:rPr>
                <w:rFonts w:cs="Times New Roman"/>
                <w:sz w:val="21"/>
                <w:szCs w:val="21"/>
              </w:rPr>
            </w:pPr>
            <w:r>
              <w:rPr>
                <w:rFonts w:hint="eastAsia"/>
                <w:sz w:val="21"/>
                <w:szCs w:val="21"/>
              </w:rPr>
              <w:t>拟在本标段工程任职</w:t>
            </w:r>
          </w:p>
        </w:tc>
        <w:tc>
          <w:tcPr>
            <w:tcW w:w="1669"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spacing w:before="9"/>
              <w:rPr>
                <w:rFonts w:cs="Times New Roman"/>
                <w:sz w:val="14"/>
                <w:szCs w:val="14"/>
              </w:rPr>
            </w:pPr>
          </w:p>
          <w:p>
            <w:pPr>
              <w:pStyle w:val="50"/>
              <w:ind w:left="203"/>
              <w:rPr>
                <w:rFonts w:cs="Times New Roman"/>
                <w:sz w:val="21"/>
                <w:szCs w:val="21"/>
              </w:rPr>
            </w:pPr>
            <w:r>
              <w:rPr>
                <w:rFonts w:hint="eastAsia"/>
                <w:sz w:val="21"/>
                <w:szCs w:val="21"/>
              </w:rPr>
              <w:t>工作年限</w:t>
            </w:r>
          </w:p>
        </w:tc>
        <w:tc>
          <w:tcPr>
            <w:tcW w:w="3922" w:type="dxa"/>
            <w:gridSpan w:val="6"/>
          </w:tcPr>
          <w:p>
            <w:pPr>
              <w:pStyle w:val="50"/>
              <w:rPr>
                <w:rFonts w:ascii="Times New Roman" w:cs="Times New Roman"/>
                <w:sz w:val="20"/>
                <w:szCs w:val="20"/>
              </w:rPr>
            </w:pPr>
          </w:p>
        </w:tc>
        <w:tc>
          <w:tcPr>
            <w:tcW w:w="1882" w:type="dxa"/>
            <w:gridSpan w:val="3"/>
          </w:tcPr>
          <w:p>
            <w:pPr>
              <w:pStyle w:val="50"/>
              <w:spacing w:before="9"/>
              <w:rPr>
                <w:rFonts w:cs="Times New Roman"/>
                <w:sz w:val="14"/>
                <w:szCs w:val="14"/>
              </w:rPr>
            </w:pPr>
          </w:p>
          <w:p>
            <w:pPr>
              <w:pStyle w:val="50"/>
              <w:ind w:left="103"/>
              <w:rPr>
                <w:rFonts w:cs="Times New Roman"/>
                <w:sz w:val="21"/>
                <w:szCs w:val="21"/>
              </w:rPr>
            </w:pPr>
            <w:r>
              <w:rPr>
                <w:rFonts w:hint="eastAsia"/>
                <w:sz w:val="21"/>
                <w:szCs w:val="21"/>
              </w:rPr>
              <w:t>类似施工经验年限</w:t>
            </w:r>
          </w:p>
        </w:tc>
        <w:tc>
          <w:tcPr>
            <w:tcW w:w="1669" w:type="dxa"/>
            <w:gridSpan w:val="2"/>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spacing w:before="9"/>
              <w:rPr>
                <w:rFonts w:cs="Times New Roman"/>
                <w:sz w:val="14"/>
                <w:szCs w:val="14"/>
              </w:rPr>
            </w:pPr>
          </w:p>
          <w:p>
            <w:pPr>
              <w:pStyle w:val="50"/>
              <w:ind w:left="203"/>
              <w:rPr>
                <w:rFonts w:cs="Times New Roman"/>
                <w:sz w:val="21"/>
                <w:szCs w:val="21"/>
              </w:rPr>
            </w:pPr>
            <w:r>
              <w:rPr>
                <w:rFonts w:hint="eastAsia"/>
                <w:sz w:val="21"/>
                <w:szCs w:val="21"/>
              </w:rPr>
              <w:t>毕业学校</w:t>
            </w:r>
          </w:p>
        </w:tc>
        <w:tc>
          <w:tcPr>
            <w:tcW w:w="7473" w:type="dxa"/>
            <w:gridSpan w:val="11"/>
          </w:tcPr>
          <w:p>
            <w:pPr>
              <w:pStyle w:val="50"/>
              <w:tabs>
                <w:tab w:val="left" w:pos="536"/>
                <w:tab w:val="left" w:pos="1061"/>
                <w:tab w:val="left" w:pos="3896"/>
                <w:tab w:val="left" w:pos="5470"/>
                <w:tab w:val="left" w:pos="7150"/>
              </w:tabs>
              <w:spacing w:before="189"/>
              <w:ind w:left="10"/>
              <w:rPr>
                <w:rFonts w:cs="Times New Roman"/>
                <w:sz w:val="21"/>
                <w:szCs w:val="21"/>
              </w:rPr>
            </w:pPr>
            <w:r>
              <w:rPr>
                <w:rFonts w:ascii="Times New Roman" w:eastAsia="Times New Roman" w:cs="Times New Roman"/>
                <w:sz w:val="21"/>
                <w:szCs w:val="21"/>
                <w:u w:val="single"/>
              </w:rPr>
              <w:tab/>
            </w:r>
            <w:r>
              <w:rPr>
                <w:rFonts w:hint="eastAsia"/>
                <w:sz w:val="21"/>
                <w:szCs w:val="21"/>
              </w:rPr>
              <w:t>年</w:t>
            </w:r>
            <w:r>
              <w:rPr>
                <w:rFonts w:cs="Times New Roman"/>
                <w:sz w:val="21"/>
                <w:szCs w:val="21"/>
                <w:u w:val="single"/>
              </w:rPr>
              <w:tab/>
            </w:r>
            <w:r>
              <w:rPr>
                <w:rFonts w:hint="eastAsia"/>
                <w:spacing w:val="-5"/>
                <w:sz w:val="21"/>
                <w:szCs w:val="21"/>
              </w:rPr>
              <w:t>月</w:t>
            </w:r>
            <w:r>
              <w:rPr>
                <w:rFonts w:hint="eastAsia"/>
                <w:sz w:val="21"/>
                <w:szCs w:val="21"/>
              </w:rPr>
              <w:t>毕</w:t>
            </w:r>
            <w:r>
              <w:rPr>
                <w:rFonts w:hint="eastAsia"/>
                <w:spacing w:val="-5"/>
                <w:sz w:val="21"/>
                <w:szCs w:val="21"/>
              </w:rPr>
              <w:t>业</w:t>
            </w:r>
            <w:r>
              <w:rPr>
                <w:rFonts w:hint="eastAsia"/>
                <w:sz w:val="21"/>
                <w:szCs w:val="21"/>
              </w:rPr>
              <w:t>于</w:t>
            </w:r>
            <w:r>
              <w:rPr>
                <w:rFonts w:cs="Times New Roman"/>
                <w:sz w:val="21"/>
                <w:szCs w:val="21"/>
                <w:u w:val="single"/>
              </w:rPr>
              <w:tab/>
            </w:r>
            <w:r>
              <w:rPr>
                <w:rFonts w:hint="eastAsia"/>
                <w:spacing w:val="-5"/>
                <w:sz w:val="21"/>
                <w:szCs w:val="21"/>
              </w:rPr>
              <w:t>学</w:t>
            </w:r>
            <w:r>
              <w:rPr>
                <w:rFonts w:hint="eastAsia"/>
                <w:sz w:val="21"/>
                <w:szCs w:val="21"/>
              </w:rPr>
              <w:t>校</w:t>
            </w:r>
            <w:r>
              <w:rPr>
                <w:rFonts w:cs="Times New Roman"/>
                <w:sz w:val="21"/>
                <w:szCs w:val="21"/>
                <w:u w:val="single"/>
              </w:rPr>
              <w:tab/>
            </w:r>
            <w:r>
              <w:rPr>
                <w:rFonts w:hint="eastAsia"/>
                <w:spacing w:val="-5"/>
                <w:sz w:val="21"/>
                <w:szCs w:val="21"/>
              </w:rPr>
              <w:t>专</w:t>
            </w:r>
            <w:r>
              <w:rPr>
                <w:rFonts w:hint="eastAsia"/>
                <w:sz w:val="21"/>
                <w:szCs w:val="21"/>
              </w:rPr>
              <w:t>业</w:t>
            </w:r>
            <w:r>
              <w:rPr>
                <w:rFonts w:hint="eastAsia"/>
                <w:spacing w:val="-5"/>
                <w:sz w:val="21"/>
                <w:szCs w:val="21"/>
              </w:rPr>
              <w:t>，</w:t>
            </w:r>
            <w:r>
              <w:rPr>
                <w:rFonts w:hint="eastAsia"/>
                <w:sz w:val="21"/>
                <w:szCs w:val="21"/>
              </w:rPr>
              <w:t>学制</w:t>
            </w:r>
            <w:r>
              <w:rPr>
                <w:rFonts w:cs="Times New Roman"/>
                <w:sz w:val="21"/>
                <w:szCs w:val="21"/>
                <w:u w:val="single"/>
              </w:rPr>
              <w:tab/>
            </w:r>
            <w:r>
              <w:rPr>
                <w:rFonts w:hint="eastAsia"/>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647" w:type="dxa"/>
            <w:tcBorders>
              <w:right w:val="nil"/>
            </w:tcBorders>
          </w:tcPr>
          <w:p>
            <w:pPr>
              <w:pStyle w:val="50"/>
              <w:rPr>
                <w:rFonts w:ascii="Times New Roman" w:cs="Times New Roman"/>
                <w:sz w:val="20"/>
                <w:szCs w:val="20"/>
              </w:rPr>
            </w:pPr>
          </w:p>
        </w:tc>
        <w:tc>
          <w:tcPr>
            <w:tcW w:w="614" w:type="dxa"/>
            <w:tcBorders>
              <w:left w:val="nil"/>
              <w:right w:val="nil"/>
            </w:tcBorders>
          </w:tcPr>
          <w:p>
            <w:pPr>
              <w:pStyle w:val="50"/>
              <w:rPr>
                <w:rFonts w:ascii="Times New Roman" w:cs="Times New Roman"/>
                <w:sz w:val="20"/>
                <w:szCs w:val="20"/>
              </w:rPr>
            </w:pPr>
          </w:p>
        </w:tc>
        <w:tc>
          <w:tcPr>
            <w:tcW w:w="1377" w:type="dxa"/>
            <w:tcBorders>
              <w:left w:val="nil"/>
              <w:right w:val="nil"/>
            </w:tcBorders>
          </w:tcPr>
          <w:p>
            <w:pPr>
              <w:pStyle w:val="50"/>
              <w:rPr>
                <w:rFonts w:ascii="Times New Roman" w:cs="Times New Roman"/>
                <w:sz w:val="20"/>
                <w:szCs w:val="20"/>
              </w:rPr>
            </w:pPr>
          </w:p>
        </w:tc>
        <w:tc>
          <w:tcPr>
            <w:tcW w:w="103" w:type="dxa"/>
            <w:tcBorders>
              <w:left w:val="nil"/>
              <w:right w:val="nil"/>
            </w:tcBorders>
          </w:tcPr>
          <w:p>
            <w:pPr>
              <w:pStyle w:val="50"/>
              <w:rPr>
                <w:rFonts w:ascii="Times New Roman" w:cs="Times New Roman"/>
                <w:sz w:val="20"/>
                <w:szCs w:val="20"/>
              </w:rPr>
            </w:pPr>
          </w:p>
        </w:tc>
        <w:tc>
          <w:tcPr>
            <w:tcW w:w="535" w:type="dxa"/>
            <w:tcBorders>
              <w:left w:val="nil"/>
              <w:right w:val="nil"/>
            </w:tcBorders>
          </w:tcPr>
          <w:p>
            <w:pPr>
              <w:pStyle w:val="50"/>
              <w:rPr>
                <w:rFonts w:ascii="Times New Roman" w:cs="Times New Roman"/>
                <w:sz w:val="20"/>
                <w:szCs w:val="20"/>
              </w:rPr>
            </w:pPr>
          </w:p>
        </w:tc>
        <w:tc>
          <w:tcPr>
            <w:tcW w:w="1097" w:type="dxa"/>
            <w:gridSpan w:val="2"/>
            <w:tcBorders>
              <w:left w:val="nil"/>
              <w:right w:val="nil"/>
            </w:tcBorders>
          </w:tcPr>
          <w:p>
            <w:pPr>
              <w:pStyle w:val="50"/>
              <w:spacing w:before="9"/>
              <w:rPr>
                <w:rFonts w:cs="Times New Roman"/>
                <w:sz w:val="14"/>
                <w:szCs w:val="14"/>
              </w:rPr>
            </w:pPr>
          </w:p>
          <w:p>
            <w:pPr>
              <w:pStyle w:val="50"/>
              <w:spacing w:before="1"/>
              <w:ind w:right="50"/>
              <w:jc w:val="center"/>
              <w:rPr>
                <w:rFonts w:cs="Times New Roman"/>
                <w:sz w:val="21"/>
                <w:szCs w:val="21"/>
              </w:rPr>
            </w:pPr>
            <w:r>
              <w:rPr>
                <w:rFonts w:hint="eastAsia"/>
                <w:w w:val="99"/>
                <w:sz w:val="21"/>
                <w:szCs w:val="21"/>
              </w:rPr>
              <w:t>经</w:t>
            </w:r>
          </w:p>
        </w:tc>
        <w:tc>
          <w:tcPr>
            <w:tcW w:w="1149" w:type="dxa"/>
            <w:gridSpan w:val="2"/>
            <w:tcBorders>
              <w:left w:val="nil"/>
              <w:right w:val="nil"/>
            </w:tcBorders>
          </w:tcPr>
          <w:p>
            <w:pPr>
              <w:pStyle w:val="50"/>
              <w:spacing w:before="9"/>
              <w:rPr>
                <w:rFonts w:cs="Times New Roman"/>
                <w:sz w:val="14"/>
                <w:szCs w:val="14"/>
              </w:rPr>
            </w:pPr>
          </w:p>
          <w:p>
            <w:pPr>
              <w:pStyle w:val="50"/>
              <w:spacing w:before="1"/>
              <w:ind w:left="19"/>
              <w:jc w:val="center"/>
              <w:rPr>
                <w:rFonts w:cs="Times New Roman"/>
                <w:sz w:val="21"/>
                <w:szCs w:val="21"/>
              </w:rPr>
            </w:pPr>
            <w:r>
              <w:rPr>
                <w:rFonts w:hint="eastAsia"/>
                <w:w w:val="99"/>
                <w:sz w:val="21"/>
                <w:szCs w:val="21"/>
              </w:rPr>
              <w:t>历</w:t>
            </w:r>
          </w:p>
        </w:tc>
        <w:tc>
          <w:tcPr>
            <w:tcW w:w="605" w:type="dxa"/>
            <w:tcBorders>
              <w:left w:val="nil"/>
              <w:right w:val="nil"/>
            </w:tcBorders>
          </w:tcPr>
          <w:p>
            <w:pPr>
              <w:pStyle w:val="50"/>
              <w:rPr>
                <w:rFonts w:ascii="Times New Roman" w:cs="Times New Roman"/>
                <w:sz w:val="20"/>
                <w:szCs w:val="20"/>
              </w:rPr>
            </w:pPr>
          </w:p>
        </w:tc>
        <w:tc>
          <w:tcPr>
            <w:tcW w:w="938" w:type="dxa"/>
            <w:tcBorders>
              <w:left w:val="nil"/>
              <w:right w:val="nil"/>
            </w:tcBorders>
          </w:tcPr>
          <w:p>
            <w:pPr>
              <w:pStyle w:val="50"/>
              <w:rPr>
                <w:rFonts w:ascii="Times New Roman" w:cs="Times New Roman"/>
                <w:sz w:val="20"/>
                <w:szCs w:val="20"/>
              </w:rPr>
            </w:pPr>
          </w:p>
        </w:tc>
        <w:tc>
          <w:tcPr>
            <w:tcW w:w="1669" w:type="dxa"/>
            <w:gridSpan w:val="2"/>
            <w:tcBorders>
              <w:left w:val="nil"/>
            </w:tcBorders>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647" w:type="dxa"/>
            <w:tcBorders>
              <w:right w:val="nil"/>
            </w:tcBorders>
          </w:tcPr>
          <w:p>
            <w:pPr>
              <w:pStyle w:val="50"/>
              <w:rPr>
                <w:rFonts w:cs="Times New Roman"/>
                <w:sz w:val="20"/>
                <w:szCs w:val="20"/>
              </w:rPr>
            </w:pPr>
          </w:p>
          <w:p>
            <w:pPr>
              <w:pStyle w:val="50"/>
              <w:spacing w:before="135"/>
              <w:ind w:left="330"/>
              <w:rPr>
                <w:rFonts w:cs="Times New Roman"/>
                <w:sz w:val="21"/>
                <w:szCs w:val="21"/>
              </w:rPr>
            </w:pPr>
            <w:r>
              <w:rPr>
                <w:rFonts w:hint="eastAsia"/>
                <w:w w:val="99"/>
                <w:sz w:val="21"/>
                <w:szCs w:val="21"/>
              </w:rPr>
              <w:t>时</w:t>
            </w:r>
          </w:p>
        </w:tc>
        <w:tc>
          <w:tcPr>
            <w:tcW w:w="614" w:type="dxa"/>
            <w:tcBorders>
              <w:left w:val="nil"/>
            </w:tcBorders>
          </w:tcPr>
          <w:p>
            <w:pPr>
              <w:pStyle w:val="50"/>
              <w:rPr>
                <w:rFonts w:cs="Times New Roman"/>
                <w:sz w:val="20"/>
                <w:szCs w:val="20"/>
              </w:rPr>
            </w:pPr>
          </w:p>
          <w:p>
            <w:pPr>
              <w:pStyle w:val="50"/>
              <w:spacing w:before="135"/>
              <w:ind w:left="111"/>
              <w:rPr>
                <w:rFonts w:cs="Times New Roman"/>
                <w:sz w:val="21"/>
                <w:szCs w:val="21"/>
              </w:rPr>
            </w:pPr>
            <w:r>
              <w:rPr>
                <w:rFonts w:hint="eastAsia"/>
                <w:w w:val="99"/>
                <w:sz w:val="21"/>
                <w:szCs w:val="21"/>
              </w:rPr>
              <w:t>间</w:t>
            </w:r>
          </w:p>
        </w:tc>
        <w:tc>
          <w:tcPr>
            <w:tcW w:w="4261" w:type="dxa"/>
            <w:gridSpan w:val="7"/>
          </w:tcPr>
          <w:p>
            <w:pPr>
              <w:pStyle w:val="50"/>
              <w:rPr>
                <w:rFonts w:cs="Times New Roman"/>
                <w:sz w:val="20"/>
                <w:szCs w:val="20"/>
              </w:rPr>
            </w:pPr>
          </w:p>
          <w:p>
            <w:pPr>
              <w:pStyle w:val="50"/>
              <w:spacing w:before="135"/>
              <w:ind w:left="881"/>
              <w:rPr>
                <w:rFonts w:cs="Times New Roman"/>
                <w:sz w:val="21"/>
                <w:szCs w:val="21"/>
              </w:rPr>
            </w:pPr>
            <w:r>
              <w:rPr>
                <w:rFonts w:hint="eastAsia"/>
                <w:sz w:val="21"/>
                <w:szCs w:val="21"/>
              </w:rPr>
              <w:t>参加过的类似工程项目名称</w:t>
            </w:r>
          </w:p>
        </w:tc>
        <w:tc>
          <w:tcPr>
            <w:tcW w:w="1930" w:type="dxa"/>
            <w:gridSpan w:val="3"/>
          </w:tcPr>
          <w:p>
            <w:pPr>
              <w:pStyle w:val="50"/>
              <w:rPr>
                <w:rFonts w:cs="Times New Roman"/>
                <w:sz w:val="20"/>
                <w:szCs w:val="20"/>
              </w:rPr>
            </w:pPr>
          </w:p>
          <w:p>
            <w:pPr>
              <w:pStyle w:val="50"/>
              <w:spacing w:before="135"/>
              <w:ind w:left="544"/>
              <w:rPr>
                <w:rFonts w:cs="Times New Roman"/>
                <w:sz w:val="21"/>
                <w:szCs w:val="21"/>
              </w:rPr>
            </w:pPr>
            <w:r>
              <w:rPr>
                <w:rFonts w:hint="eastAsia"/>
                <w:sz w:val="21"/>
                <w:szCs w:val="21"/>
              </w:rPr>
              <w:t>担任职务</w:t>
            </w:r>
          </w:p>
        </w:tc>
        <w:tc>
          <w:tcPr>
            <w:tcW w:w="1282" w:type="dxa"/>
          </w:tcPr>
          <w:p>
            <w:pPr>
              <w:pStyle w:val="50"/>
              <w:spacing w:before="54" w:line="400" w:lineRule="atLeast"/>
              <w:ind w:left="326" w:right="106" w:hanging="212"/>
              <w:rPr>
                <w:rFonts w:cs="Times New Roman"/>
                <w:sz w:val="21"/>
                <w:szCs w:val="21"/>
              </w:rPr>
            </w:pPr>
            <w:r>
              <w:rPr>
                <w:rFonts w:hint="eastAsia"/>
                <w:sz w:val="21"/>
                <w:szCs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gridSpan w:val="2"/>
          </w:tcPr>
          <w:p>
            <w:pPr>
              <w:pStyle w:val="50"/>
              <w:rPr>
                <w:rFonts w:ascii="Times New Roman" w:cs="Times New Roman"/>
                <w:sz w:val="20"/>
                <w:szCs w:val="20"/>
              </w:rPr>
            </w:pPr>
          </w:p>
        </w:tc>
        <w:tc>
          <w:tcPr>
            <w:tcW w:w="4261" w:type="dxa"/>
            <w:gridSpan w:val="7"/>
          </w:tcPr>
          <w:p>
            <w:pPr>
              <w:pStyle w:val="50"/>
              <w:rPr>
                <w:rFonts w:ascii="Times New Roman" w:cs="Times New Roman"/>
                <w:sz w:val="20"/>
                <w:szCs w:val="20"/>
              </w:rPr>
            </w:pPr>
          </w:p>
        </w:tc>
        <w:tc>
          <w:tcPr>
            <w:tcW w:w="1930" w:type="dxa"/>
            <w:gridSpan w:val="3"/>
          </w:tcPr>
          <w:p>
            <w:pPr>
              <w:pStyle w:val="50"/>
              <w:rPr>
                <w:rFonts w:ascii="Times New Roman" w:cs="Times New Roman"/>
                <w:sz w:val="20"/>
                <w:szCs w:val="20"/>
              </w:rPr>
            </w:pPr>
          </w:p>
        </w:tc>
        <w:tc>
          <w:tcPr>
            <w:tcW w:w="1282" w:type="dxa"/>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3"/>
          </w:tcPr>
          <w:p>
            <w:pPr>
              <w:pStyle w:val="50"/>
              <w:spacing w:before="11"/>
              <w:rPr>
                <w:rFonts w:cs="Times New Roman"/>
                <w:sz w:val="14"/>
                <w:szCs w:val="14"/>
              </w:rPr>
            </w:pPr>
          </w:p>
          <w:p>
            <w:pPr>
              <w:pStyle w:val="50"/>
              <w:ind w:left="881" w:right="867"/>
              <w:jc w:val="center"/>
              <w:rPr>
                <w:rFonts w:cs="Times New Roman"/>
                <w:sz w:val="21"/>
                <w:szCs w:val="21"/>
              </w:rPr>
            </w:pPr>
            <w:r>
              <w:rPr>
                <w:rFonts w:hint="eastAsia"/>
                <w:sz w:val="21"/>
                <w:szCs w:val="21"/>
              </w:rPr>
              <w:t>获奖情况</w:t>
            </w:r>
          </w:p>
        </w:tc>
        <w:tc>
          <w:tcPr>
            <w:tcW w:w="6096" w:type="dxa"/>
            <w:gridSpan w:val="10"/>
          </w:tcPr>
          <w:p>
            <w:pPr>
              <w:pStyle w:val="50"/>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2638" w:type="dxa"/>
            <w:gridSpan w:val="3"/>
          </w:tcPr>
          <w:p>
            <w:pPr>
              <w:pStyle w:val="50"/>
              <w:rPr>
                <w:rFonts w:cs="Times New Roman"/>
                <w:sz w:val="20"/>
                <w:szCs w:val="20"/>
              </w:rPr>
            </w:pPr>
          </w:p>
          <w:p>
            <w:pPr>
              <w:pStyle w:val="50"/>
              <w:rPr>
                <w:rFonts w:cs="Times New Roman"/>
                <w:sz w:val="20"/>
                <w:szCs w:val="20"/>
              </w:rPr>
            </w:pPr>
          </w:p>
          <w:p>
            <w:pPr>
              <w:pStyle w:val="50"/>
              <w:ind w:left="693"/>
              <w:rPr>
                <w:rFonts w:cs="Times New Roman"/>
                <w:sz w:val="21"/>
                <w:szCs w:val="21"/>
              </w:rPr>
            </w:pPr>
            <w:r>
              <w:rPr>
                <w:rFonts w:hint="eastAsia"/>
                <w:sz w:val="21"/>
                <w:szCs w:val="21"/>
              </w:rPr>
              <w:t>说明在岗情况</w:t>
            </w:r>
          </w:p>
        </w:tc>
        <w:tc>
          <w:tcPr>
            <w:tcW w:w="6096" w:type="dxa"/>
            <w:gridSpan w:val="10"/>
          </w:tcPr>
          <w:p>
            <w:pPr>
              <w:pStyle w:val="50"/>
              <w:tabs>
                <w:tab w:val="left" w:pos="5785"/>
              </w:tabs>
              <w:spacing w:before="90"/>
              <w:ind w:left="112"/>
              <w:rPr>
                <w:rFonts w:cs="Times New Roman"/>
                <w:sz w:val="21"/>
                <w:szCs w:val="21"/>
              </w:rPr>
            </w:pPr>
            <w:r>
              <w:rPr>
                <w:rFonts w:hint="eastAsia"/>
                <w:sz w:val="21"/>
                <w:szCs w:val="21"/>
              </w:rPr>
              <w:t>□目</w:t>
            </w:r>
            <w:r>
              <w:rPr>
                <w:rFonts w:hint="eastAsia"/>
                <w:spacing w:val="-5"/>
                <w:sz w:val="21"/>
                <w:szCs w:val="21"/>
              </w:rPr>
              <w:t>前</w:t>
            </w:r>
            <w:r>
              <w:rPr>
                <w:rFonts w:hint="eastAsia"/>
                <w:sz w:val="21"/>
                <w:szCs w:val="21"/>
              </w:rPr>
              <w:t>未</w:t>
            </w:r>
            <w:r>
              <w:rPr>
                <w:rFonts w:hint="eastAsia"/>
                <w:spacing w:val="-5"/>
                <w:sz w:val="21"/>
                <w:szCs w:val="21"/>
              </w:rPr>
              <w:t>在</w:t>
            </w:r>
            <w:r>
              <w:rPr>
                <w:rFonts w:hint="eastAsia"/>
                <w:sz w:val="21"/>
                <w:szCs w:val="21"/>
              </w:rPr>
              <w:t>其</w:t>
            </w:r>
            <w:r>
              <w:rPr>
                <w:rFonts w:hint="eastAsia"/>
                <w:spacing w:val="-5"/>
                <w:sz w:val="21"/>
                <w:szCs w:val="21"/>
              </w:rPr>
              <w:t>他</w:t>
            </w:r>
            <w:r>
              <w:rPr>
                <w:rFonts w:hint="eastAsia"/>
                <w:sz w:val="21"/>
                <w:szCs w:val="21"/>
              </w:rPr>
              <w:t>项</w:t>
            </w:r>
            <w:r>
              <w:rPr>
                <w:rFonts w:hint="eastAsia"/>
                <w:spacing w:val="-5"/>
                <w:sz w:val="21"/>
                <w:szCs w:val="21"/>
              </w:rPr>
              <w:t>目</w:t>
            </w:r>
            <w:r>
              <w:rPr>
                <w:rFonts w:hint="eastAsia"/>
                <w:sz w:val="21"/>
                <w:szCs w:val="21"/>
              </w:rPr>
              <w:t>上</w:t>
            </w:r>
            <w:r>
              <w:rPr>
                <w:rFonts w:hint="eastAsia"/>
                <w:spacing w:val="-5"/>
                <w:sz w:val="21"/>
                <w:szCs w:val="21"/>
              </w:rPr>
              <w:t>任</w:t>
            </w:r>
            <w:r>
              <w:rPr>
                <w:rFonts w:hint="eastAsia"/>
                <w:sz w:val="21"/>
                <w:szCs w:val="21"/>
              </w:rPr>
              <w:t>职，</w:t>
            </w:r>
            <w:r>
              <w:rPr>
                <w:rFonts w:hint="eastAsia"/>
                <w:spacing w:val="-5"/>
                <w:sz w:val="21"/>
                <w:szCs w:val="21"/>
              </w:rPr>
              <w:t>现</w:t>
            </w:r>
            <w:r>
              <w:rPr>
                <w:rFonts w:hint="eastAsia"/>
                <w:sz w:val="21"/>
                <w:szCs w:val="21"/>
              </w:rPr>
              <w:t>从</w:t>
            </w:r>
            <w:r>
              <w:rPr>
                <w:rFonts w:hint="eastAsia"/>
                <w:spacing w:val="-5"/>
                <w:sz w:val="21"/>
                <w:szCs w:val="21"/>
              </w:rPr>
              <w:t>事</w:t>
            </w:r>
            <w:r>
              <w:rPr>
                <w:rFonts w:hint="eastAsia"/>
                <w:sz w:val="21"/>
                <w:szCs w:val="21"/>
              </w:rPr>
              <w:t>工</w:t>
            </w:r>
            <w:r>
              <w:rPr>
                <w:rFonts w:hint="eastAsia"/>
                <w:spacing w:val="-5"/>
                <w:sz w:val="21"/>
                <w:szCs w:val="21"/>
              </w:rPr>
              <w:t>作</w:t>
            </w:r>
            <w:r>
              <w:rPr>
                <w:rFonts w:hint="eastAsia"/>
                <w:sz w:val="21"/>
                <w:szCs w:val="21"/>
              </w:rPr>
              <w:t>为</w:t>
            </w:r>
            <w:r>
              <w:rPr>
                <w:rFonts w:hint="eastAsia"/>
                <w:spacing w:val="-6"/>
                <w:sz w:val="21"/>
                <w:szCs w:val="21"/>
              </w:rPr>
              <w:t>：</w:t>
            </w:r>
            <w:r>
              <w:rPr>
                <w:rFonts w:cs="Times New Roman"/>
                <w:spacing w:val="-6"/>
                <w:sz w:val="21"/>
                <w:szCs w:val="21"/>
                <w:u w:val="single"/>
              </w:rPr>
              <w:tab/>
            </w:r>
            <w:r>
              <w:rPr>
                <w:rFonts w:hint="eastAsia"/>
                <w:sz w:val="21"/>
                <w:szCs w:val="21"/>
              </w:rPr>
              <w:t>。</w:t>
            </w:r>
          </w:p>
          <w:p>
            <w:pPr>
              <w:pStyle w:val="50"/>
              <w:tabs>
                <w:tab w:val="left" w:pos="3629"/>
                <w:tab w:val="left" w:pos="5886"/>
              </w:tabs>
              <w:spacing w:line="400" w:lineRule="atLeast"/>
              <w:ind w:left="112" w:right="-15"/>
              <w:rPr>
                <w:rFonts w:cs="Times New Roman"/>
                <w:sz w:val="21"/>
                <w:szCs w:val="21"/>
              </w:rPr>
            </w:pPr>
            <w:r>
              <w:rPr>
                <w:rFonts w:hint="eastAsia"/>
                <w:spacing w:val="14"/>
                <w:w w:val="95"/>
                <w:sz w:val="21"/>
                <w:szCs w:val="21"/>
              </w:rPr>
              <w:t>□</w:t>
            </w:r>
            <w:r>
              <w:rPr>
                <w:rFonts w:hint="eastAsia"/>
                <w:spacing w:val="-5"/>
                <w:sz w:val="21"/>
                <w:szCs w:val="21"/>
              </w:rPr>
              <w:t>目前虽在其他项目上任职，但本项目中标后能够从该项目撤</w:t>
            </w:r>
            <w:r>
              <w:rPr>
                <w:rFonts w:hint="eastAsia"/>
                <w:sz w:val="21"/>
                <w:szCs w:val="21"/>
              </w:rPr>
              <w:t>离</w:t>
            </w:r>
            <w:r>
              <w:rPr>
                <w:rFonts w:hint="eastAsia"/>
                <w:spacing w:val="-164"/>
                <w:sz w:val="21"/>
                <w:szCs w:val="21"/>
              </w:rPr>
              <w:t>，</w:t>
            </w:r>
            <w:r>
              <w:rPr>
                <w:rFonts w:hint="eastAsia"/>
                <w:sz w:val="21"/>
                <w:szCs w:val="21"/>
              </w:rPr>
              <w:t>目前</w:t>
            </w:r>
            <w:r>
              <w:rPr>
                <w:rFonts w:hint="eastAsia"/>
                <w:spacing w:val="-5"/>
                <w:sz w:val="21"/>
                <w:szCs w:val="21"/>
              </w:rPr>
              <w:t>任</w:t>
            </w:r>
            <w:r>
              <w:rPr>
                <w:rFonts w:hint="eastAsia"/>
                <w:sz w:val="21"/>
                <w:szCs w:val="21"/>
              </w:rPr>
              <w:t>职</w:t>
            </w:r>
            <w:r>
              <w:rPr>
                <w:rFonts w:hint="eastAsia"/>
                <w:spacing w:val="-5"/>
                <w:sz w:val="21"/>
                <w:szCs w:val="21"/>
              </w:rPr>
              <w:t>项</w:t>
            </w:r>
            <w:r>
              <w:rPr>
                <w:rFonts w:hint="eastAsia"/>
                <w:sz w:val="21"/>
                <w:szCs w:val="21"/>
              </w:rPr>
              <w:t>目</w:t>
            </w:r>
            <w:r>
              <w:rPr>
                <w:rFonts w:hint="eastAsia"/>
                <w:sz w:val="21"/>
                <w:szCs w:val="21"/>
                <w:u w:val="single"/>
              </w:rPr>
              <w:t>：</w:t>
            </w:r>
            <w:r>
              <w:rPr>
                <w:rFonts w:cs="Times New Roman"/>
                <w:sz w:val="21"/>
                <w:szCs w:val="21"/>
                <w:u w:val="single"/>
              </w:rPr>
              <w:tab/>
            </w:r>
            <w:r>
              <w:rPr>
                <w:rFonts w:hint="eastAsia"/>
                <w:spacing w:val="-164"/>
                <w:sz w:val="21"/>
                <w:szCs w:val="21"/>
              </w:rPr>
              <w:t>，</w:t>
            </w:r>
            <w:r>
              <w:rPr>
                <w:rFonts w:hint="eastAsia"/>
                <w:sz w:val="21"/>
                <w:szCs w:val="21"/>
              </w:rPr>
              <w:t>担</w:t>
            </w:r>
            <w:r>
              <w:rPr>
                <w:rFonts w:hint="eastAsia"/>
                <w:spacing w:val="-5"/>
                <w:sz w:val="21"/>
                <w:szCs w:val="21"/>
              </w:rPr>
              <w:t>任</w:t>
            </w:r>
            <w:r>
              <w:rPr>
                <w:rFonts w:hint="eastAsia"/>
                <w:sz w:val="21"/>
                <w:szCs w:val="21"/>
              </w:rPr>
              <w:t>职</w:t>
            </w:r>
            <w:r>
              <w:rPr>
                <w:rFonts w:hint="eastAsia"/>
                <w:spacing w:val="-5"/>
                <w:sz w:val="21"/>
                <w:szCs w:val="21"/>
              </w:rPr>
              <w:t>位</w:t>
            </w:r>
            <w:r>
              <w:rPr>
                <w:rFonts w:hint="eastAsia"/>
                <w:sz w:val="21"/>
                <w:szCs w:val="21"/>
              </w:rPr>
              <w:t>：</w:t>
            </w:r>
            <w:r>
              <w:rPr>
                <w:rFonts w:cs="Times New Roman"/>
                <w:sz w:val="21"/>
                <w:szCs w:val="21"/>
              </w:rPr>
              <w:tab/>
            </w:r>
            <w:r>
              <w:rPr>
                <w:rFonts w:hint="eastAsia"/>
                <w:spacing w:val="-14"/>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647" w:type="dxa"/>
            <w:tcBorders>
              <w:right w:val="nil"/>
            </w:tcBorders>
          </w:tcPr>
          <w:p>
            <w:pPr>
              <w:pStyle w:val="50"/>
              <w:rPr>
                <w:rFonts w:ascii="Times New Roman" w:cs="Times New Roman"/>
                <w:sz w:val="20"/>
                <w:szCs w:val="20"/>
              </w:rPr>
            </w:pPr>
          </w:p>
        </w:tc>
        <w:tc>
          <w:tcPr>
            <w:tcW w:w="614" w:type="dxa"/>
            <w:tcBorders>
              <w:left w:val="nil"/>
              <w:right w:val="nil"/>
            </w:tcBorders>
          </w:tcPr>
          <w:p>
            <w:pPr>
              <w:pStyle w:val="50"/>
              <w:rPr>
                <w:rFonts w:cs="Times New Roman"/>
                <w:sz w:val="20"/>
                <w:szCs w:val="20"/>
              </w:rPr>
            </w:pPr>
          </w:p>
          <w:p>
            <w:pPr>
              <w:pStyle w:val="50"/>
              <w:spacing w:before="8"/>
              <w:rPr>
                <w:rFonts w:cs="Times New Roman"/>
                <w:sz w:val="17"/>
                <w:szCs w:val="17"/>
              </w:rPr>
            </w:pPr>
          </w:p>
          <w:p>
            <w:pPr>
              <w:pStyle w:val="50"/>
              <w:spacing w:before="1"/>
              <w:ind w:right="195"/>
              <w:jc w:val="right"/>
              <w:rPr>
                <w:rFonts w:cs="Times New Roman"/>
                <w:sz w:val="21"/>
                <w:szCs w:val="21"/>
              </w:rPr>
            </w:pPr>
            <w:r>
              <w:rPr>
                <w:rFonts w:hint="eastAsia"/>
                <w:w w:val="99"/>
                <w:sz w:val="21"/>
                <w:szCs w:val="21"/>
              </w:rPr>
              <w:t>备</w:t>
            </w:r>
          </w:p>
        </w:tc>
        <w:tc>
          <w:tcPr>
            <w:tcW w:w="1377" w:type="dxa"/>
            <w:tcBorders>
              <w:left w:val="nil"/>
            </w:tcBorders>
          </w:tcPr>
          <w:p>
            <w:pPr>
              <w:pStyle w:val="50"/>
              <w:rPr>
                <w:rFonts w:cs="Times New Roman"/>
                <w:sz w:val="20"/>
                <w:szCs w:val="20"/>
              </w:rPr>
            </w:pPr>
          </w:p>
          <w:p>
            <w:pPr>
              <w:pStyle w:val="50"/>
              <w:spacing w:before="8"/>
              <w:rPr>
                <w:rFonts w:cs="Times New Roman"/>
                <w:sz w:val="17"/>
                <w:szCs w:val="17"/>
              </w:rPr>
            </w:pPr>
          </w:p>
          <w:p>
            <w:pPr>
              <w:pStyle w:val="50"/>
              <w:spacing w:before="1"/>
              <w:ind w:left="330"/>
              <w:rPr>
                <w:rFonts w:cs="Times New Roman"/>
                <w:sz w:val="21"/>
                <w:szCs w:val="21"/>
              </w:rPr>
            </w:pPr>
            <w:r>
              <w:rPr>
                <w:rFonts w:hint="eastAsia"/>
                <w:w w:val="99"/>
                <w:sz w:val="21"/>
                <w:szCs w:val="21"/>
              </w:rPr>
              <w:t>注</w:t>
            </w:r>
          </w:p>
        </w:tc>
        <w:tc>
          <w:tcPr>
            <w:tcW w:w="6096" w:type="dxa"/>
            <w:gridSpan w:val="10"/>
          </w:tcPr>
          <w:p>
            <w:pPr>
              <w:pStyle w:val="50"/>
              <w:rPr>
                <w:rFonts w:ascii="Times New Roman" w:cs="Times New Roman"/>
                <w:sz w:val="20"/>
                <w:szCs w:val="20"/>
              </w:rPr>
            </w:pPr>
          </w:p>
        </w:tc>
      </w:tr>
    </w:tbl>
    <w:p>
      <w:pPr>
        <w:pStyle w:val="12"/>
        <w:spacing w:before="127"/>
        <w:ind w:left="564"/>
        <w:rPr>
          <w:rFonts w:cs="Times New Roman"/>
        </w:rPr>
      </w:pPr>
      <w:r>
        <w:rPr>
          <w:rFonts w:hint="eastAsia"/>
        </w:rPr>
        <w:t>注：</w:t>
      </w:r>
      <w:r>
        <w:t>1.</w:t>
      </w:r>
      <w:r>
        <w:rPr>
          <w:rFonts w:hint="eastAsia"/>
        </w:rPr>
        <w:t>本表应填写项目经理和项目总工相关情况。</w:t>
      </w:r>
    </w:p>
    <w:p>
      <w:pPr>
        <w:pStyle w:val="12"/>
        <w:spacing w:before="132"/>
        <w:ind w:left="984"/>
        <w:rPr>
          <w:rFonts w:cs="Times New Roman"/>
        </w:rPr>
      </w:pPr>
      <w:r>
        <w:t>2.</w:t>
      </w:r>
      <w:r>
        <w:rPr>
          <w:rFonts w:hint="eastAsia"/>
        </w:rPr>
        <w:t>投标人应根据招标文件第二章“投标人须知”第</w:t>
      </w:r>
      <w:r>
        <w:t xml:space="preserve"> 3.</w:t>
      </w:r>
      <w:r>
        <w:rPr>
          <w:rFonts w:hint="eastAsia"/>
          <w:lang w:val="en-US" w:eastAsia="zh-CN"/>
        </w:rPr>
        <w:t>4</w:t>
      </w:r>
      <w:r>
        <w:t xml:space="preserve"> </w:t>
      </w:r>
      <w:r>
        <w:rPr>
          <w:rFonts w:hint="eastAsia"/>
        </w:rPr>
        <w:t>项的要求在本表后附相关证明材料。</w:t>
      </w:r>
    </w:p>
    <w:p>
      <w:pPr>
        <w:rPr>
          <w:rFonts w:cs="Times New Roman"/>
        </w:rPr>
        <w:sectPr>
          <w:pgSz w:w="11910" w:h="16850"/>
          <w:pgMar w:top="1418" w:right="1418" w:bottom="1418" w:left="1418" w:header="851" w:footer="964" w:gutter="0"/>
          <w:cols w:space="720" w:num="1"/>
        </w:sectPr>
      </w:pPr>
    </w:p>
    <w:p>
      <w:pPr>
        <w:pStyle w:val="12"/>
        <w:spacing w:before="8"/>
        <w:rPr>
          <w:rFonts w:cs="Times New Roman"/>
          <w:sz w:val="12"/>
          <w:szCs w:val="12"/>
        </w:rPr>
      </w:pPr>
    </w:p>
    <w:p>
      <w:pPr>
        <w:pStyle w:val="12"/>
        <w:spacing w:before="2"/>
        <w:rPr>
          <w:rFonts w:cs="Times New Roman"/>
          <w:sz w:val="14"/>
          <w:szCs w:val="14"/>
        </w:rPr>
      </w:pPr>
    </w:p>
    <w:p>
      <w:pPr>
        <w:spacing w:before="62"/>
        <w:ind w:left="961" w:right="947"/>
        <w:jc w:val="center"/>
        <w:rPr>
          <w:rFonts w:cs="Times New Roman"/>
          <w:b/>
          <w:bCs/>
          <w:sz w:val="28"/>
          <w:szCs w:val="28"/>
        </w:rPr>
      </w:pPr>
      <w:bookmarkStart w:id="925" w:name="七、承诺函"/>
      <w:bookmarkEnd w:id="925"/>
      <w:r>
        <w:rPr>
          <w:rFonts w:hint="eastAsia"/>
          <w:b/>
          <w:bCs/>
          <w:sz w:val="28"/>
          <w:szCs w:val="28"/>
        </w:rPr>
        <w:t>六、承诺函</w:t>
      </w:r>
    </w:p>
    <w:p>
      <w:pPr>
        <w:pStyle w:val="12"/>
        <w:rPr>
          <w:rFonts w:cs="Times New Roman"/>
          <w:b/>
          <w:bCs/>
          <w:sz w:val="28"/>
          <w:szCs w:val="28"/>
        </w:rPr>
      </w:pPr>
    </w:p>
    <w:p>
      <w:pPr>
        <w:spacing w:before="240" w:after="240" w:line="500" w:lineRule="exact"/>
        <w:rPr>
          <w:rFonts w:cs="Times New Roman"/>
        </w:rPr>
      </w:pPr>
      <w:r>
        <w:rPr>
          <w:rFonts w:hint="eastAsia"/>
        </w:rPr>
        <w:t>（招标人名称）：</w:t>
      </w:r>
    </w:p>
    <w:p>
      <w:pPr>
        <w:pStyle w:val="12"/>
        <w:spacing w:before="11"/>
        <w:rPr>
          <w:rFonts w:cs="Times New Roman"/>
          <w:sz w:val="35"/>
          <w:szCs w:val="35"/>
        </w:rPr>
      </w:pPr>
    </w:p>
    <w:p>
      <w:pPr>
        <w:spacing w:line="500" w:lineRule="exact"/>
        <w:ind w:firstLine="440" w:firstLineChars="200"/>
        <w:rPr>
          <w:rFonts w:cs="Times New Roman"/>
        </w:rPr>
      </w:pPr>
      <w:r>
        <w:rPr>
          <w:rFonts w:hint="eastAsia"/>
        </w:rPr>
        <w:t>我方参加了（项目名称）标段施工投标，若我方中标，我方在此承诺：</w:t>
      </w:r>
    </w:p>
    <w:p>
      <w:pPr>
        <w:spacing w:line="500" w:lineRule="exact"/>
        <w:ind w:firstLine="440" w:firstLineChars="200"/>
        <w:rPr>
          <w:rFonts w:cs="Times New Roman"/>
        </w:rPr>
      </w:pPr>
      <w:r>
        <w:rPr>
          <w:rFonts w:hint="eastAsia"/>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pPr>
        <w:spacing w:line="500" w:lineRule="exact"/>
        <w:ind w:firstLine="440" w:firstLineChars="200"/>
        <w:rPr>
          <w:rFonts w:cs="Times New Roman"/>
        </w:rPr>
      </w:pPr>
      <w:r>
        <w:rPr>
          <w:rFonts w:hint="eastAsia"/>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pPr>
        <w:spacing w:line="500" w:lineRule="exact"/>
        <w:ind w:firstLine="440" w:firstLineChars="200"/>
        <w:rPr>
          <w:rFonts w:cs="Times New Roman"/>
        </w:rPr>
      </w:pPr>
      <w:r>
        <w:rPr>
          <w:rFonts w:hint="eastAsia"/>
        </w:rPr>
        <w:t>如我方违背了上述承诺，本项目招标人有权取消我方的中标资格，并由招标人将我方的违约行为上报省级交通主管部门，作为不良记录纳入公路建设市场信息管理系统。</w:t>
      </w:r>
    </w:p>
    <w:p>
      <w:pPr>
        <w:spacing w:line="500" w:lineRule="exact"/>
        <w:ind w:firstLine="440" w:firstLineChars="200"/>
        <w:rPr>
          <w:rFonts w:cs="Times New Roman"/>
        </w:rPr>
      </w:pPr>
      <w:r>
        <w:t xml:space="preserve"> </w:t>
      </w:r>
      <w:r>
        <w:rPr>
          <w:rFonts w:hint="eastAsia"/>
        </w:rPr>
        <w:t>在本项目投标截止日前所承建的工程项目不存在拖欠或克扣农民工工资的行为。</w:t>
      </w:r>
    </w:p>
    <w:p>
      <w:pPr>
        <w:spacing w:line="500" w:lineRule="exact"/>
        <w:ind w:firstLine="440" w:firstLineChars="200"/>
        <w:rPr>
          <w:rFonts w:cs="Times New Roman"/>
        </w:rPr>
      </w:pPr>
      <w:r>
        <w:rPr>
          <w:rFonts w:hint="eastAsia"/>
        </w:rPr>
        <w:t>一旦中标，我方保证按照政府相关部门的规定，在发出中标通知书之日起</w:t>
      </w:r>
      <w:r>
        <w:t>7</w:t>
      </w:r>
      <w:r>
        <w:rPr>
          <w:rFonts w:hint="eastAsia"/>
        </w:rPr>
        <w:t>个工作日内按中标价的</w:t>
      </w:r>
      <w:r>
        <w:t>2%</w:t>
      </w:r>
      <w:r>
        <w:rPr>
          <w:rFonts w:hint="eastAsia"/>
        </w:rPr>
        <w:t>农民工工资保障金交到发包人指定账户。一旦我方所承包的该项目中出现拖欠农民工工资情况，由劳动保障、公路行政主管部门按照《关于进一步完善建筑行业农民工工资保证金制度的通知》（桂劳社发〔</w:t>
      </w:r>
      <w:r>
        <w:t>2009</w:t>
      </w:r>
      <w:r>
        <w:rPr>
          <w:rFonts w:hint="eastAsia"/>
        </w:rPr>
        <w:t>〕</w:t>
      </w:r>
      <w:r>
        <w:t>52</w:t>
      </w:r>
      <w:r>
        <w:rPr>
          <w:rFonts w:hint="eastAsia"/>
        </w:rPr>
        <w:t>号）从我方农民工工资保障金中先予划支。</w:t>
      </w:r>
    </w:p>
    <w:p>
      <w:pPr>
        <w:spacing w:line="500" w:lineRule="exact"/>
        <w:rPr>
          <w:rFonts w:cs="Times New Roman"/>
        </w:rPr>
      </w:pPr>
    </w:p>
    <w:p>
      <w:pPr>
        <w:rPr>
          <w:rFonts w:cs="Times New Roman"/>
        </w:rPr>
      </w:pPr>
    </w:p>
    <w:p>
      <w:pPr>
        <w:spacing w:line="500" w:lineRule="exact"/>
        <w:rPr>
          <w:rFonts w:cs="Times New Roman"/>
        </w:rPr>
      </w:pPr>
      <w:r>
        <w:rPr>
          <w:rFonts w:hint="eastAsia"/>
        </w:rPr>
        <w:t>投</w:t>
      </w:r>
      <w:r>
        <w:t xml:space="preserve">  </w:t>
      </w:r>
      <w:r>
        <w:rPr>
          <w:rFonts w:hint="eastAsia"/>
        </w:rPr>
        <w:t>标</w:t>
      </w:r>
      <w:r>
        <w:t xml:space="preserve">  </w:t>
      </w:r>
      <w:r>
        <w:rPr>
          <w:rFonts w:hint="eastAsia"/>
        </w:rPr>
        <w:t>人：（盖单位章）</w:t>
      </w:r>
    </w:p>
    <w:p>
      <w:pPr>
        <w:spacing w:line="500" w:lineRule="exact"/>
        <w:rPr>
          <w:rFonts w:cs="Times New Roman"/>
        </w:rPr>
      </w:pPr>
      <w:r>
        <w:t xml:space="preserve">                            </w:t>
      </w:r>
      <w:r>
        <w:rPr>
          <w:rFonts w:hint="eastAsia"/>
        </w:rPr>
        <w:t>法定代表人或其委托代理人：（签字）</w:t>
      </w:r>
    </w:p>
    <w:p>
      <w:pPr>
        <w:spacing w:line="500" w:lineRule="exact"/>
        <w:rPr>
          <w:rFonts w:cs="Times New Roman"/>
        </w:rPr>
      </w:pPr>
    </w:p>
    <w:p>
      <w:pPr>
        <w:spacing w:line="500" w:lineRule="exact"/>
        <w:jc w:val="right"/>
        <w:rPr>
          <w:rFonts w:cs="Times New Roman"/>
        </w:rPr>
      </w:pPr>
      <w:r>
        <w:rPr>
          <w:rFonts w:hint="eastAsia"/>
        </w:rPr>
        <w:t>年月日</w:t>
      </w:r>
    </w:p>
    <w:p>
      <w:pPr>
        <w:spacing w:line="500" w:lineRule="exact"/>
        <w:rPr>
          <w:rFonts w:cs="Times New Roman"/>
        </w:rPr>
      </w:pPr>
    </w:p>
    <w:p>
      <w:pPr>
        <w:rPr>
          <w:rFonts w:cs="Times New Roman"/>
        </w:rPr>
      </w:pPr>
    </w:p>
    <w:p>
      <w:pPr>
        <w:pStyle w:val="12"/>
        <w:rPr>
          <w:rFonts w:cs="Times New Roman"/>
          <w:sz w:val="20"/>
          <w:szCs w:val="20"/>
        </w:rPr>
      </w:pPr>
    </w:p>
    <w:p>
      <w:pPr>
        <w:spacing w:before="215"/>
        <w:ind w:right="236"/>
        <w:jc w:val="center"/>
        <w:rPr>
          <w:rFonts w:cs="Times New Roman"/>
          <w:sz w:val="28"/>
          <w:szCs w:val="28"/>
        </w:rPr>
      </w:pPr>
      <w:r>
        <w:rPr>
          <w:rFonts w:hint="eastAsia"/>
          <w:sz w:val="28"/>
          <w:szCs w:val="28"/>
        </w:rPr>
        <w:t>七、其他资料</w:t>
      </w:r>
    </w:p>
    <w:p>
      <w:pPr>
        <w:pStyle w:val="12"/>
        <w:spacing w:before="7"/>
        <w:rPr>
          <w:rFonts w:cs="Times New Roman"/>
          <w:sz w:val="28"/>
          <w:szCs w:val="28"/>
        </w:rPr>
      </w:pPr>
    </w:p>
    <w:p>
      <w:pPr>
        <w:spacing w:line="364" w:lineRule="auto"/>
        <w:ind w:left="120" w:right="105" w:firstLine="439"/>
        <w:rPr>
          <w:rFonts w:cs="Times New Roman"/>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3"/>
        <w:rPr>
          <w:rFonts w:cs="Times New Roman"/>
          <w:sz w:val="28"/>
          <w:szCs w:val="28"/>
        </w:rPr>
      </w:pPr>
    </w:p>
    <w:p>
      <w:pPr>
        <w:tabs>
          <w:tab w:val="left" w:pos="2759"/>
        </w:tabs>
        <w:spacing w:before="74"/>
        <w:ind w:right="353"/>
        <w:jc w:val="center"/>
        <w:rPr>
          <w:rFonts w:cs="Times New Roman"/>
          <w:sz w:val="24"/>
          <w:szCs w:val="24"/>
        </w:rPr>
      </w:pPr>
      <w:r>
        <w:rPr>
          <w:rFonts w:ascii="Times New Roman" w:eastAsia="Times New Roman" w:cs="Times New Roman"/>
          <w:sz w:val="24"/>
          <w:szCs w:val="24"/>
          <w:u w:val="single"/>
        </w:rPr>
        <w:tab/>
      </w:r>
      <w:r>
        <w:rPr>
          <w:rFonts w:hint="eastAsia"/>
          <w:sz w:val="24"/>
          <w:szCs w:val="24"/>
        </w:rPr>
        <w:t>施工招标</w:t>
      </w: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rPr>
          <w:rFonts w:cs="Times New Roman"/>
          <w:sz w:val="26"/>
          <w:szCs w:val="26"/>
        </w:rPr>
      </w:pPr>
    </w:p>
    <w:p>
      <w:pPr>
        <w:pStyle w:val="12"/>
        <w:spacing w:before="8"/>
        <w:rPr>
          <w:rFonts w:cs="Times New Roman"/>
          <w:sz w:val="37"/>
          <w:szCs w:val="37"/>
        </w:rPr>
      </w:pPr>
    </w:p>
    <w:p>
      <w:pPr>
        <w:tabs>
          <w:tab w:val="left" w:pos="1439"/>
          <w:tab w:val="left" w:pos="2879"/>
          <w:tab w:val="left" w:pos="4319"/>
        </w:tabs>
        <w:ind w:right="241"/>
        <w:jc w:val="center"/>
        <w:rPr>
          <w:rFonts w:cs="Times New Roman"/>
          <w:sz w:val="72"/>
          <w:szCs w:val="72"/>
        </w:rPr>
      </w:pPr>
      <w:bookmarkStart w:id="926" w:name="投标文件"/>
      <w:bookmarkEnd w:id="926"/>
      <w:r>
        <w:rPr>
          <w:rFonts w:hint="eastAsia"/>
          <w:sz w:val="72"/>
          <w:szCs w:val="72"/>
        </w:rPr>
        <w:t>投</w:t>
      </w:r>
      <w:r>
        <w:rPr>
          <w:rFonts w:cs="Times New Roman"/>
          <w:sz w:val="72"/>
          <w:szCs w:val="72"/>
        </w:rPr>
        <w:tab/>
      </w:r>
      <w:r>
        <w:rPr>
          <w:rFonts w:hint="eastAsia"/>
          <w:sz w:val="72"/>
          <w:szCs w:val="72"/>
        </w:rPr>
        <w:t>标</w:t>
      </w:r>
      <w:r>
        <w:rPr>
          <w:rFonts w:cs="Times New Roman"/>
          <w:sz w:val="72"/>
          <w:szCs w:val="72"/>
        </w:rPr>
        <w:tab/>
      </w:r>
      <w:r>
        <w:rPr>
          <w:rFonts w:hint="eastAsia"/>
          <w:sz w:val="72"/>
          <w:szCs w:val="72"/>
        </w:rPr>
        <w:t>文</w:t>
      </w:r>
      <w:r>
        <w:rPr>
          <w:rFonts w:cs="Times New Roman"/>
          <w:sz w:val="72"/>
          <w:szCs w:val="72"/>
        </w:rPr>
        <w:tab/>
      </w:r>
      <w:r>
        <w:rPr>
          <w:rFonts w:hint="eastAsia"/>
          <w:sz w:val="72"/>
          <w:szCs w:val="72"/>
        </w:rPr>
        <w:t>件</w:t>
      </w:r>
    </w:p>
    <w:p>
      <w:pPr>
        <w:spacing w:before="488" w:line="523" w:lineRule="auto"/>
        <w:ind w:left="3765" w:right="3120"/>
        <w:jc w:val="center"/>
        <w:rPr>
          <w:rFonts w:cs="Times New Roman"/>
          <w:sz w:val="32"/>
          <w:szCs w:val="32"/>
        </w:rPr>
      </w:pPr>
      <w:bookmarkStart w:id="927" w:name="（报价文件）"/>
      <w:bookmarkEnd w:id="927"/>
      <w:r>
        <w:rPr>
          <w:rFonts w:hint="eastAsia"/>
          <w:sz w:val="32"/>
          <w:szCs w:val="32"/>
        </w:rPr>
        <w:t>（报价文件）</w:t>
      </w:r>
      <w:r>
        <w:rPr>
          <w:sz w:val="32"/>
          <w:szCs w:val="32"/>
        </w:rPr>
        <w:t xml:space="preserve"> </w:t>
      </w:r>
      <w:bookmarkStart w:id="928" w:name="项目编号：___"/>
      <w:bookmarkEnd w:id="928"/>
      <w:r>
        <w:rPr>
          <w:rFonts w:hint="eastAsia"/>
          <w:sz w:val="32"/>
          <w:szCs w:val="32"/>
        </w:rPr>
        <w:t>项目编号：</w:t>
      </w: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rPr>
          <w:rFonts w:cs="Times New Roman"/>
          <w:sz w:val="32"/>
          <w:szCs w:val="32"/>
        </w:rPr>
      </w:pPr>
    </w:p>
    <w:p>
      <w:pPr>
        <w:pStyle w:val="12"/>
        <w:spacing w:before="4"/>
        <w:rPr>
          <w:rFonts w:cs="Times New Roman"/>
          <w:sz w:val="34"/>
          <w:szCs w:val="34"/>
        </w:rPr>
      </w:pPr>
    </w:p>
    <w:p>
      <w:pPr>
        <w:tabs>
          <w:tab w:val="left" w:pos="5879"/>
        </w:tabs>
        <w:ind w:right="234"/>
        <w:jc w:val="center"/>
        <w:rPr>
          <w:rFonts w:cs="Times New Roman"/>
          <w:sz w:val="28"/>
          <w:szCs w:val="28"/>
        </w:rPr>
      </w:pPr>
      <w:r>
        <w:rPr>
          <w:rFonts w:hint="eastAsia"/>
          <w:sz w:val="28"/>
          <w:szCs w:val="28"/>
        </w:rPr>
        <w:t>投</w:t>
      </w:r>
      <w:r>
        <w:rPr>
          <w:rFonts w:hint="eastAsia"/>
          <w:spacing w:val="-3"/>
          <w:sz w:val="28"/>
          <w:szCs w:val="28"/>
        </w:rPr>
        <w:t>标</w:t>
      </w:r>
      <w:r>
        <w:rPr>
          <w:rFonts w:hint="eastAsia"/>
          <w:sz w:val="28"/>
          <w:szCs w:val="28"/>
        </w:rPr>
        <w:t>人：</w:t>
      </w:r>
      <w:r>
        <w:rPr>
          <w:rFonts w:cs="Times New Roman"/>
          <w:sz w:val="28"/>
          <w:szCs w:val="28"/>
          <w:u w:val="single"/>
        </w:rPr>
        <w:tab/>
      </w:r>
      <w:r>
        <w:rPr>
          <w:rFonts w:hint="eastAsia"/>
          <w:sz w:val="28"/>
          <w:szCs w:val="28"/>
        </w:rPr>
        <w:t>（</w:t>
      </w:r>
      <w:r>
        <w:rPr>
          <w:rFonts w:hint="eastAsia"/>
          <w:spacing w:val="-3"/>
          <w:sz w:val="28"/>
          <w:szCs w:val="28"/>
        </w:rPr>
        <w:t>盖</w:t>
      </w:r>
      <w:r>
        <w:rPr>
          <w:rFonts w:hint="eastAsia"/>
          <w:sz w:val="28"/>
          <w:szCs w:val="28"/>
        </w:rPr>
        <w:t>单</w:t>
      </w:r>
      <w:r>
        <w:rPr>
          <w:rFonts w:hint="eastAsia"/>
          <w:spacing w:val="-5"/>
          <w:sz w:val="28"/>
          <w:szCs w:val="28"/>
        </w:rPr>
        <w:t>位</w:t>
      </w:r>
      <w:r>
        <w:rPr>
          <w:rFonts w:hint="eastAsia"/>
          <w:sz w:val="28"/>
          <w:szCs w:val="28"/>
        </w:rPr>
        <w:t>章）</w:t>
      </w:r>
    </w:p>
    <w:p>
      <w:pPr>
        <w:pStyle w:val="12"/>
        <w:rPr>
          <w:rFonts w:cs="Times New Roman"/>
          <w:sz w:val="20"/>
          <w:szCs w:val="20"/>
        </w:rPr>
      </w:pPr>
    </w:p>
    <w:p>
      <w:pPr>
        <w:pStyle w:val="12"/>
        <w:spacing w:before="9"/>
        <w:rPr>
          <w:rFonts w:cs="Times New Roman"/>
          <w:sz w:val="16"/>
          <w:szCs w:val="16"/>
        </w:rPr>
      </w:pPr>
    </w:p>
    <w:p>
      <w:pPr>
        <w:tabs>
          <w:tab w:val="left" w:pos="1118"/>
          <w:tab w:val="left" w:pos="2520"/>
          <w:tab w:val="left" w:pos="4058"/>
        </w:tabs>
        <w:spacing w:before="61"/>
        <w:ind w:right="246"/>
        <w:jc w:val="center"/>
        <w:rPr>
          <w:rFonts w:cs="Times New Roman"/>
          <w:sz w:val="28"/>
          <w:szCs w:val="28"/>
        </w:rPr>
      </w:pPr>
      <w:r>
        <w:rPr>
          <w:rFonts w:ascii="Times New Roman" w:eastAsia="Times New Roman" w:cs="Times New Roman"/>
          <w:sz w:val="28"/>
          <w:szCs w:val="28"/>
          <w:u w:val="single"/>
        </w:rPr>
        <w:tab/>
      </w:r>
      <w:r>
        <w:rPr>
          <w:rFonts w:hint="eastAsia"/>
          <w:sz w:val="28"/>
          <w:szCs w:val="28"/>
        </w:rPr>
        <w:t>年</w:t>
      </w:r>
      <w:r>
        <w:rPr>
          <w:rFonts w:cs="Times New Roman"/>
          <w:sz w:val="28"/>
          <w:szCs w:val="28"/>
          <w:u w:val="single"/>
        </w:rPr>
        <w:tab/>
      </w:r>
      <w:r>
        <w:rPr>
          <w:rFonts w:hint="eastAsia"/>
          <w:sz w:val="28"/>
          <w:szCs w:val="28"/>
        </w:rPr>
        <w:t>月</w:t>
      </w:r>
      <w:r>
        <w:rPr>
          <w:rFonts w:cs="Times New Roman"/>
          <w:sz w:val="28"/>
          <w:szCs w:val="28"/>
          <w:u w:val="single"/>
        </w:rPr>
        <w:tab/>
      </w:r>
      <w:r>
        <w:rPr>
          <w:rFonts w:hint="eastAsia"/>
          <w:sz w:val="28"/>
          <w:szCs w:val="28"/>
        </w:rPr>
        <w:t>日</w:t>
      </w:r>
    </w:p>
    <w:p>
      <w:pPr>
        <w:jc w:val="center"/>
        <w:rPr>
          <w:rFonts w:cs="Times New Roman"/>
          <w:sz w:val="28"/>
          <w:szCs w:val="28"/>
        </w:rPr>
        <w:sectPr>
          <w:headerReference r:id="rId23" w:type="default"/>
          <w:pgSz w:w="11910" w:h="16850"/>
          <w:pgMar w:top="1418" w:right="1418" w:bottom="1418" w:left="1418" w:header="851" w:footer="964" w:gutter="0"/>
          <w:cols w:space="720" w:num="1"/>
        </w:sectPr>
      </w:pP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11"/>
        <w:rPr>
          <w:rFonts w:cs="Times New Roman"/>
          <w:sz w:val="15"/>
          <w:szCs w:val="15"/>
        </w:rPr>
      </w:pPr>
    </w:p>
    <w:p>
      <w:pPr>
        <w:tabs>
          <w:tab w:val="left" w:pos="1051"/>
        </w:tabs>
        <w:spacing w:before="58"/>
        <w:ind w:right="101"/>
        <w:jc w:val="center"/>
        <w:rPr>
          <w:rFonts w:cs="Times New Roman"/>
          <w:b/>
          <w:bCs/>
          <w:sz w:val="30"/>
          <w:szCs w:val="30"/>
        </w:rPr>
      </w:pPr>
      <w:r>
        <w:rPr>
          <w:rFonts w:hint="eastAsia"/>
          <w:b/>
          <w:bCs/>
          <w:sz w:val="30"/>
          <w:szCs w:val="30"/>
        </w:rPr>
        <w:t>目</w:t>
      </w:r>
      <w:r>
        <w:rPr>
          <w:rFonts w:cs="Times New Roman"/>
          <w:b/>
          <w:bCs/>
          <w:sz w:val="30"/>
          <w:szCs w:val="30"/>
        </w:rPr>
        <w:tab/>
      </w:r>
      <w:r>
        <w:rPr>
          <w:rFonts w:hint="eastAsia"/>
          <w:b/>
          <w:bCs/>
          <w:sz w:val="30"/>
          <w:szCs w:val="30"/>
        </w:rPr>
        <w:t>录</w:t>
      </w:r>
    </w:p>
    <w:p>
      <w:pPr>
        <w:pStyle w:val="12"/>
        <w:spacing w:before="2"/>
        <w:rPr>
          <w:rFonts w:cs="Times New Roman"/>
          <w:b/>
          <w:bCs/>
          <w:sz w:val="44"/>
          <w:szCs w:val="44"/>
        </w:rPr>
      </w:pPr>
    </w:p>
    <w:p>
      <w:pPr>
        <w:numPr>
          <w:ilvl w:val="0"/>
          <w:numId w:val="43"/>
        </w:numPr>
        <w:spacing w:line="360" w:lineRule="auto"/>
        <w:ind w:left="2003"/>
        <w:rPr>
          <w:rFonts w:hint="eastAsia"/>
          <w:sz w:val="24"/>
          <w:szCs w:val="24"/>
        </w:rPr>
      </w:pPr>
      <w:r>
        <w:rPr>
          <w:rFonts w:hint="eastAsia"/>
          <w:sz w:val="24"/>
          <w:szCs w:val="24"/>
        </w:rPr>
        <w:t>投标函</w:t>
      </w:r>
    </w:p>
    <w:p>
      <w:pPr>
        <w:pStyle w:val="2"/>
        <w:numPr>
          <w:ilvl w:val="0"/>
          <w:numId w:val="43"/>
        </w:numPr>
        <w:spacing w:line="360" w:lineRule="auto"/>
        <w:ind w:left="2003" w:leftChars="0" w:firstLine="0" w:firstLineChars="0"/>
        <w:rPr>
          <w:rFonts w:hint="eastAsia"/>
          <w:lang w:eastAsia="zh-CN"/>
        </w:rPr>
      </w:pPr>
      <w:r>
        <w:rPr>
          <w:rFonts w:hint="eastAsia"/>
          <w:lang w:eastAsia="zh-CN"/>
        </w:rPr>
        <w:t>已标价工程量清单</w:t>
      </w:r>
    </w:p>
    <w:p>
      <w:pPr>
        <w:pStyle w:val="2"/>
        <w:numPr>
          <w:ilvl w:val="0"/>
          <w:numId w:val="43"/>
        </w:numPr>
        <w:spacing w:line="360" w:lineRule="auto"/>
        <w:ind w:left="2003" w:leftChars="0" w:firstLine="0" w:firstLineChars="0"/>
        <w:rPr>
          <w:rFonts w:hint="eastAsia"/>
          <w:lang w:eastAsia="zh-CN"/>
        </w:rPr>
      </w:pPr>
      <w:r>
        <w:rPr>
          <w:rFonts w:hint="eastAsia"/>
          <w:lang w:eastAsia="zh-CN"/>
        </w:rPr>
        <w:t>合同用款估价表</w:t>
      </w:r>
    </w:p>
    <w:p>
      <w:pPr>
        <w:spacing w:before="98"/>
        <w:ind w:right="234"/>
        <w:jc w:val="center"/>
        <w:rPr>
          <w:rFonts w:hint="eastAsia"/>
          <w:sz w:val="30"/>
          <w:szCs w:val="30"/>
        </w:rPr>
      </w:pPr>
      <w:bookmarkStart w:id="929" w:name="一、投标函"/>
      <w:bookmarkEnd w:id="929"/>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center"/>
        <w:rPr>
          <w:rFonts w:hint="eastAsia"/>
          <w:sz w:val="30"/>
          <w:szCs w:val="30"/>
        </w:rPr>
      </w:pPr>
    </w:p>
    <w:p>
      <w:pPr>
        <w:spacing w:before="98"/>
        <w:ind w:right="234"/>
        <w:jc w:val="both"/>
        <w:rPr>
          <w:rFonts w:hint="eastAsia"/>
          <w:sz w:val="30"/>
          <w:szCs w:val="30"/>
        </w:rPr>
      </w:pPr>
    </w:p>
    <w:p>
      <w:pPr>
        <w:spacing w:before="98"/>
        <w:ind w:right="234"/>
        <w:jc w:val="center"/>
        <w:rPr>
          <w:rFonts w:cs="Times New Roman"/>
          <w:sz w:val="30"/>
          <w:szCs w:val="30"/>
        </w:rPr>
      </w:pPr>
      <w:r>
        <w:rPr>
          <w:rFonts w:hint="eastAsia"/>
          <w:sz w:val="30"/>
          <w:szCs w:val="30"/>
        </w:rPr>
        <w:t>一、投标函</w:t>
      </w:r>
    </w:p>
    <w:p>
      <w:pPr>
        <w:pStyle w:val="12"/>
        <w:rPr>
          <w:rFonts w:cs="Times New Roman"/>
          <w:sz w:val="20"/>
          <w:szCs w:val="20"/>
        </w:rPr>
      </w:pPr>
    </w:p>
    <w:p>
      <w:pPr>
        <w:pStyle w:val="12"/>
        <w:rPr>
          <w:rFonts w:cs="Times New Roman"/>
          <w:sz w:val="20"/>
          <w:szCs w:val="20"/>
        </w:rPr>
      </w:pPr>
    </w:p>
    <w:p>
      <w:pPr>
        <w:pStyle w:val="12"/>
        <w:rPr>
          <w:rFonts w:cs="Times New Roman"/>
          <w:sz w:val="20"/>
          <w:szCs w:val="20"/>
        </w:rPr>
      </w:pPr>
    </w:p>
    <w:p>
      <w:pPr>
        <w:pStyle w:val="12"/>
        <w:spacing w:before="12"/>
        <w:rPr>
          <w:rFonts w:cs="Times New Roman"/>
          <w:sz w:val="20"/>
          <w:szCs w:val="20"/>
        </w:rPr>
      </w:pPr>
    </w:p>
    <w:p>
      <w:pPr>
        <w:tabs>
          <w:tab w:val="left" w:pos="3383"/>
        </w:tabs>
        <w:spacing w:before="74"/>
        <w:ind w:firstLine="480" w:firstLineChars="200"/>
        <w:rPr>
          <w:rFonts w:cs="Times New Roman"/>
          <w:sz w:val="24"/>
          <w:szCs w:val="24"/>
        </w:rPr>
      </w:pPr>
      <w:r>
        <w:rPr>
          <w:rFonts w:ascii="Times New Roman" w:eastAsia="Times New Roman" w:cs="Times New Roman"/>
          <w:sz w:val="24"/>
          <w:szCs w:val="24"/>
          <w:u w:val="single"/>
        </w:rPr>
        <w:tab/>
      </w:r>
      <w:r>
        <w:rPr>
          <w:rFonts w:hint="eastAsia"/>
          <w:sz w:val="24"/>
          <w:szCs w:val="24"/>
        </w:rPr>
        <w:t>（招标人名称</w:t>
      </w:r>
      <w:r>
        <w:rPr>
          <w:rFonts w:hint="eastAsia"/>
          <w:spacing w:val="-240"/>
          <w:sz w:val="24"/>
          <w:szCs w:val="24"/>
        </w:rPr>
        <w:t>）</w:t>
      </w:r>
      <w:r>
        <w:rPr>
          <w:rFonts w:hint="eastAsia"/>
          <w:sz w:val="24"/>
          <w:szCs w:val="24"/>
        </w:rPr>
        <w:t>：</w:t>
      </w:r>
    </w:p>
    <w:p>
      <w:pPr>
        <w:tabs>
          <w:tab w:val="left" w:pos="5083"/>
          <w:tab w:val="left" w:pos="7612"/>
        </w:tabs>
        <w:spacing w:before="216" w:line="316" w:lineRule="auto"/>
        <w:ind w:firstLine="4" w:firstLineChars="200"/>
        <w:jc w:val="both"/>
        <w:rPr>
          <w:rFonts w:cs="Times New Roman"/>
          <w:sz w:val="24"/>
          <w:szCs w:val="24"/>
        </w:rPr>
      </w:pPr>
      <w:r>
        <w:rPr>
          <w:spacing w:val="-109"/>
        </w:rPr>
        <w:t>1</w:t>
      </w:r>
      <w:r>
        <w:t>..</w:t>
      </w:r>
      <w:r>
        <w:rPr>
          <w:rFonts w:hint="eastAsia"/>
          <w:sz w:val="24"/>
          <w:szCs w:val="24"/>
        </w:rPr>
        <w:t>我方已仔细研</w:t>
      </w:r>
      <w:r>
        <w:rPr>
          <w:rFonts w:hint="eastAsia"/>
          <w:spacing w:val="-1"/>
          <w:sz w:val="24"/>
          <w:szCs w:val="24"/>
        </w:rPr>
        <w:t>究</w:t>
      </w:r>
      <w:r>
        <w:rPr>
          <w:rFonts w:ascii="Times New Roman" w:eastAsia="Times New Roman" w:cs="Times New Roman"/>
          <w:sz w:val="24"/>
          <w:szCs w:val="24"/>
          <w:u w:val="single"/>
        </w:rPr>
        <w:tab/>
      </w:r>
      <w:r>
        <w:rPr>
          <w:rFonts w:hint="eastAsia"/>
          <w:sz w:val="24"/>
          <w:szCs w:val="24"/>
        </w:rPr>
        <w:t>（项目名称</w:t>
      </w:r>
      <w:r>
        <w:rPr>
          <w:rFonts w:hint="eastAsia"/>
          <w:spacing w:val="-1"/>
          <w:sz w:val="24"/>
          <w:szCs w:val="24"/>
        </w:rPr>
        <w:t>）</w:t>
      </w:r>
      <w:r>
        <w:rPr>
          <w:rFonts w:ascii="Times New Roman" w:eastAsia="Times New Roman" w:cs="Times New Roman"/>
          <w:sz w:val="24"/>
          <w:szCs w:val="24"/>
          <w:u w:val="single"/>
        </w:rPr>
        <w:tab/>
      </w:r>
      <w:r>
        <w:rPr>
          <w:rFonts w:hint="eastAsia"/>
          <w:sz w:val="24"/>
          <w:szCs w:val="24"/>
        </w:rPr>
        <w:t>标段施工招</w:t>
      </w:r>
      <w:r>
        <w:rPr>
          <w:rFonts w:hint="eastAsia"/>
          <w:spacing w:val="-17"/>
          <w:sz w:val="24"/>
          <w:szCs w:val="24"/>
        </w:rPr>
        <w:t>标</w:t>
      </w:r>
      <w:r>
        <w:rPr>
          <w:rFonts w:hint="eastAsia"/>
          <w:sz w:val="24"/>
          <w:szCs w:val="24"/>
        </w:rPr>
        <w:t>文件的全部内</w:t>
      </w:r>
      <w:r>
        <w:rPr>
          <w:rFonts w:hint="eastAsia"/>
          <w:spacing w:val="-58"/>
          <w:sz w:val="24"/>
          <w:szCs w:val="24"/>
        </w:rPr>
        <w:t>容</w:t>
      </w:r>
      <w:r>
        <w:rPr>
          <w:rFonts w:hint="eastAsia"/>
          <w:sz w:val="24"/>
          <w:szCs w:val="24"/>
        </w:rPr>
        <w:t>（含补遗书第号至第</w:t>
      </w:r>
      <w:r>
        <w:rPr>
          <w:sz w:val="24"/>
          <w:szCs w:val="24"/>
        </w:rPr>
        <w:t xml:space="preserve"> </w:t>
      </w:r>
      <w:r>
        <w:rPr>
          <w:rFonts w:hint="eastAsia"/>
          <w:sz w:val="24"/>
          <w:szCs w:val="24"/>
        </w:rPr>
        <w:t>号</w:t>
      </w:r>
      <w:r>
        <w:rPr>
          <w:rFonts w:hint="eastAsia"/>
          <w:spacing w:val="-151"/>
          <w:sz w:val="24"/>
          <w:szCs w:val="24"/>
        </w:rPr>
        <w:t>），</w:t>
      </w:r>
      <w:r>
        <w:rPr>
          <w:rFonts w:hint="eastAsia"/>
          <w:sz w:val="24"/>
          <w:szCs w:val="24"/>
        </w:rPr>
        <w:t>在考察工程现场后</w:t>
      </w:r>
      <w:r>
        <w:rPr>
          <w:rFonts w:hint="eastAsia"/>
          <w:spacing w:val="-58"/>
          <w:sz w:val="24"/>
          <w:szCs w:val="24"/>
        </w:rPr>
        <w:t>，</w:t>
      </w:r>
      <w:r>
        <w:rPr>
          <w:rFonts w:hint="eastAsia"/>
          <w:sz w:val="24"/>
          <w:szCs w:val="24"/>
        </w:rPr>
        <w:t>愿意以人民币</w:t>
      </w:r>
    </w:p>
    <w:p>
      <w:pPr>
        <w:tabs>
          <w:tab w:val="left" w:pos="2675"/>
          <w:tab w:val="left" w:pos="4243"/>
          <w:tab w:val="left" w:pos="6047"/>
        </w:tabs>
        <w:spacing w:line="316" w:lineRule="auto"/>
        <w:ind w:firstLine="480" w:firstLineChars="200"/>
        <w:jc w:val="both"/>
        <w:rPr>
          <w:rFonts w:cs="Times New Roman"/>
          <w:sz w:val="24"/>
          <w:szCs w:val="24"/>
        </w:rPr>
      </w:pPr>
      <w:r>
        <w:rPr>
          <w:rFonts w:hint="eastAsia"/>
          <w:sz w:val="24"/>
          <w:szCs w:val="24"/>
        </w:rPr>
        <w:t>（大写）</w:t>
      </w:r>
      <w:r>
        <w:rPr>
          <w:rFonts w:cs="Times New Roman"/>
          <w:sz w:val="24"/>
          <w:szCs w:val="24"/>
          <w:u w:val="single"/>
        </w:rPr>
        <w:tab/>
      </w:r>
      <w:r>
        <w:rPr>
          <w:rFonts w:hint="eastAsia"/>
          <w:sz w:val="24"/>
          <w:szCs w:val="24"/>
        </w:rPr>
        <w:t>元（</w:t>
      </w:r>
      <w:r>
        <w:rPr>
          <w:rFonts w:cs="Times New Roman"/>
          <w:sz w:val="24"/>
          <w:szCs w:val="24"/>
        </w:rPr>
        <w:t>¥</w:t>
      </w:r>
      <w:r>
        <w:rPr>
          <w:rFonts w:cs="Times New Roman"/>
          <w:sz w:val="24"/>
          <w:szCs w:val="24"/>
          <w:u w:val="single"/>
        </w:rPr>
        <w:tab/>
      </w:r>
      <w:r>
        <w:rPr>
          <w:rFonts w:hint="eastAsia"/>
          <w:sz w:val="24"/>
          <w:szCs w:val="24"/>
        </w:rPr>
        <w:t>）的投标总报</w:t>
      </w:r>
      <w:r>
        <w:rPr>
          <w:rFonts w:hint="eastAsia"/>
          <w:spacing w:val="7"/>
          <w:sz w:val="24"/>
          <w:szCs w:val="24"/>
        </w:rPr>
        <w:t>价</w:t>
      </w:r>
      <w:r>
        <w:rPr>
          <w:rFonts w:hint="eastAsia"/>
          <w:sz w:val="24"/>
          <w:szCs w:val="24"/>
        </w:rPr>
        <w:t>（或根据招标文件规定修正</w:t>
      </w:r>
      <w:r>
        <w:rPr>
          <w:rFonts w:hint="eastAsia"/>
          <w:spacing w:val="-10"/>
          <w:sz w:val="24"/>
          <w:szCs w:val="24"/>
        </w:rPr>
        <w:t>核</w:t>
      </w:r>
      <w:r>
        <w:rPr>
          <w:rFonts w:hint="eastAsia"/>
          <w:sz w:val="24"/>
          <w:szCs w:val="24"/>
        </w:rPr>
        <w:t>实后确</w:t>
      </w:r>
      <w:r>
        <w:rPr>
          <w:rFonts w:hint="eastAsia"/>
          <w:spacing w:val="4"/>
          <w:sz w:val="24"/>
          <w:szCs w:val="24"/>
        </w:rPr>
        <w:t>定</w:t>
      </w:r>
      <w:r>
        <w:rPr>
          <w:rFonts w:hint="eastAsia"/>
          <w:sz w:val="24"/>
          <w:szCs w:val="24"/>
        </w:rPr>
        <w:t>的</w:t>
      </w:r>
      <w:r>
        <w:rPr>
          <w:rFonts w:hint="eastAsia"/>
          <w:spacing w:val="2"/>
          <w:sz w:val="24"/>
          <w:szCs w:val="24"/>
        </w:rPr>
        <w:t>另</w:t>
      </w:r>
      <w:r>
        <w:rPr>
          <w:rFonts w:hint="eastAsia"/>
          <w:sz w:val="24"/>
          <w:szCs w:val="24"/>
        </w:rPr>
        <w:t>一金</w:t>
      </w:r>
      <w:r>
        <w:rPr>
          <w:rFonts w:hint="eastAsia"/>
          <w:spacing w:val="7"/>
          <w:sz w:val="24"/>
          <w:szCs w:val="24"/>
        </w:rPr>
        <w:t>额</w:t>
      </w:r>
      <w:r>
        <w:rPr>
          <w:rFonts w:hint="eastAsia"/>
          <w:spacing w:val="2"/>
          <w:sz w:val="24"/>
          <w:szCs w:val="24"/>
        </w:rPr>
        <w:t>，</w:t>
      </w:r>
      <w:r>
        <w:rPr>
          <w:rFonts w:hint="eastAsia"/>
          <w:sz w:val="24"/>
          <w:szCs w:val="24"/>
        </w:rPr>
        <w:t>其中，</w:t>
      </w:r>
      <w:r>
        <w:rPr>
          <w:rFonts w:hint="eastAsia"/>
          <w:spacing w:val="4"/>
          <w:sz w:val="24"/>
          <w:szCs w:val="24"/>
        </w:rPr>
        <w:t>增</w:t>
      </w:r>
      <w:r>
        <w:rPr>
          <w:rFonts w:hint="eastAsia"/>
          <w:sz w:val="24"/>
          <w:szCs w:val="24"/>
        </w:rPr>
        <w:t>值</w:t>
      </w:r>
      <w:r>
        <w:rPr>
          <w:rFonts w:hint="eastAsia"/>
          <w:spacing w:val="4"/>
          <w:sz w:val="24"/>
          <w:szCs w:val="24"/>
        </w:rPr>
        <w:t>税</w:t>
      </w:r>
      <w:r>
        <w:rPr>
          <w:rFonts w:hint="eastAsia"/>
          <w:sz w:val="24"/>
          <w:szCs w:val="24"/>
        </w:rPr>
        <w:t>税率</w:t>
      </w:r>
      <w:r>
        <w:rPr>
          <w:rFonts w:hint="eastAsia"/>
          <w:spacing w:val="1"/>
          <w:sz w:val="24"/>
          <w:szCs w:val="24"/>
        </w:rPr>
        <w:t>为</w:t>
      </w:r>
      <w:r>
        <w:rPr>
          <w:rFonts w:ascii="Times New Roman" w:hAnsi="Times New Roman" w:cs="Times New Roman"/>
          <w:sz w:val="24"/>
          <w:szCs w:val="24"/>
          <w:u w:val="single"/>
        </w:rPr>
        <w:tab/>
      </w:r>
      <w:r>
        <w:rPr>
          <w:rFonts w:hint="eastAsia"/>
          <w:spacing w:val="-240"/>
          <w:sz w:val="24"/>
          <w:szCs w:val="24"/>
        </w:rPr>
        <w:t>）</w:t>
      </w:r>
      <w:r>
        <w:rPr>
          <w:rFonts w:hint="eastAsia"/>
          <w:spacing w:val="-82"/>
          <w:sz w:val="24"/>
          <w:szCs w:val="24"/>
        </w:rPr>
        <w:t>，</w:t>
      </w:r>
      <w:r>
        <w:rPr>
          <w:rFonts w:hint="eastAsia"/>
          <w:sz w:val="24"/>
          <w:szCs w:val="24"/>
        </w:rPr>
        <w:t>按合</w:t>
      </w:r>
      <w:r>
        <w:rPr>
          <w:rFonts w:hint="eastAsia"/>
          <w:spacing w:val="2"/>
          <w:sz w:val="24"/>
          <w:szCs w:val="24"/>
        </w:rPr>
        <w:t>同</w:t>
      </w:r>
      <w:r>
        <w:rPr>
          <w:rFonts w:hint="eastAsia"/>
          <w:sz w:val="24"/>
          <w:szCs w:val="24"/>
        </w:rPr>
        <w:t>约</w:t>
      </w:r>
      <w:r>
        <w:rPr>
          <w:rFonts w:hint="eastAsia"/>
          <w:spacing w:val="4"/>
          <w:sz w:val="24"/>
          <w:szCs w:val="24"/>
        </w:rPr>
        <w:t>定</w:t>
      </w:r>
      <w:r>
        <w:rPr>
          <w:rFonts w:hint="eastAsia"/>
          <w:sz w:val="24"/>
          <w:szCs w:val="24"/>
        </w:rPr>
        <w:t>实施和</w:t>
      </w:r>
      <w:r>
        <w:rPr>
          <w:rFonts w:hint="eastAsia"/>
          <w:spacing w:val="4"/>
          <w:sz w:val="24"/>
          <w:szCs w:val="24"/>
        </w:rPr>
        <w:t>完</w:t>
      </w:r>
      <w:r>
        <w:rPr>
          <w:rFonts w:hint="eastAsia"/>
          <w:sz w:val="24"/>
          <w:szCs w:val="24"/>
        </w:rPr>
        <w:t>成</w:t>
      </w:r>
      <w:r>
        <w:rPr>
          <w:rFonts w:hint="eastAsia"/>
          <w:spacing w:val="-34"/>
          <w:sz w:val="24"/>
          <w:szCs w:val="24"/>
        </w:rPr>
        <w:t>承</w:t>
      </w:r>
      <w:r>
        <w:rPr>
          <w:rFonts w:hint="eastAsia"/>
          <w:sz w:val="24"/>
          <w:szCs w:val="24"/>
        </w:rPr>
        <w:t>包工程，修补工程中的任何缺陷。</w:t>
      </w:r>
    </w:p>
    <w:p>
      <w:pPr>
        <w:spacing w:line="314" w:lineRule="auto"/>
        <w:ind w:firstLine="4" w:firstLineChars="200"/>
        <w:jc w:val="both"/>
        <w:rPr>
          <w:rFonts w:cs="Times New Roman"/>
          <w:sz w:val="24"/>
          <w:szCs w:val="24"/>
        </w:rPr>
      </w:pPr>
      <w:r>
        <w:rPr>
          <w:spacing w:val="-109"/>
        </w:rPr>
        <w:t>2</w:t>
      </w:r>
      <w:r>
        <w:t>..</w:t>
      </w:r>
      <w:r>
        <w:rPr>
          <w:rFonts w:hint="eastAsia"/>
          <w:spacing w:val="-16"/>
          <w:sz w:val="24"/>
          <w:szCs w:val="24"/>
        </w:rPr>
        <w:t>在合同协议书正式签署生效之前，本投标函连同你方的中标通知书将构成我们</w:t>
      </w:r>
      <w:r>
        <w:rPr>
          <w:rFonts w:hint="eastAsia"/>
          <w:spacing w:val="-10"/>
          <w:sz w:val="24"/>
          <w:szCs w:val="24"/>
        </w:rPr>
        <w:t>双方之间共同遵守的文件，对双方具有约束力。</w:t>
      </w:r>
    </w:p>
    <w:p>
      <w:pPr>
        <w:tabs>
          <w:tab w:val="left" w:pos="5903"/>
        </w:tabs>
        <w:spacing w:before="4"/>
        <w:ind w:firstLine="4" w:firstLineChars="200"/>
        <w:jc w:val="both"/>
        <w:rPr>
          <w:rFonts w:cs="Times New Roman"/>
          <w:sz w:val="24"/>
          <w:szCs w:val="24"/>
        </w:rPr>
      </w:pPr>
      <w:r>
        <w:rPr>
          <w:spacing w:val="-109"/>
        </w:rPr>
        <w:t>3</w:t>
      </w:r>
      <w:r>
        <w:t>..</w:t>
      </w:r>
      <w:r>
        <w:rPr>
          <w:rFonts w:ascii="Times New Roman" w:eastAsia="Times New Roman" w:cs="Times New Roman"/>
          <w:u w:val="single"/>
        </w:rPr>
        <w:tab/>
      </w:r>
      <w:r>
        <w:rPr>
          <w:rFonts w:hint="eastAsia"/>
          <w:sz w:val="24"/>
          <w:szCs w:val="24"/>
        </w:rPr>
        <w:t>（其他补充说明</w:t>
      </w:r>
      <w:r>
        <w:rPr>
          <w:rFonts w:hint="eastAsia"/>
          <w:spacing w:val="-240"/>
          <w:sz w:val="24"/>
          <w:szCs w:val="24"/>
        </w:rPr>
        <w:t>）</w:t>
      </w:r>
      <w:r>
        <w:rPr>
          <w:rFonts w:hint="eastAsia"/>
          <w:sz w:val="24"/>
          <w:szCs w:val="24"/>
        </w:rPr>
        <w:t>。</w:t>
      </w:r>
    </w:p>
    <w:p>
      <w:pPr>
        <w:pStyle w:val="12"/>
        <w:ind w:firstLine="480" w:firstLineChars="200"/>
        <w:rPr>
          <w:rFonts w:cs="Times New Roman"/>
          <w:sz w:val="24"/>
          <w:szCs w:val="24"/>
        </w:rPr>
      </w:pPr>
    </w:p>
    <w:p>
      <w:pPr>
        <w:tabs>
          <w:tab w:val="left" w:pos="4523"/>
          <w:tab w:val="left" w:pos="7509"/>
          <w:tab w:val="left" w:pos="8099"/>
          <w:tab w:val="left" w:pos="8159"/>
        </w:tabs>
        <w:spacing w:before="187" w:line="316" w:lineRule="auto"/>
        <w:ind w:firstLine="4108" w:firstLineChars="1712"/>
        <w:rPr>
          <w:sz w:val="24"/>
          <w:szCs w:val="24"/>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rFonts w:hint="eastAsia"/>
          <w:spacing w:val="-15"/>
          <w:sz w:val="24"/>
          <w:szCs w:val="24"/>
        </w:rPr>
        <w:t>：</w:t>
      </w:r>
      <w:r>
        <w:rPr>
          <w:rFonts w:cs="Times New Roman"/>
          <w:spacing w:val="-15"/>
          <w:sz w:val="24"/>
          <w:szCs w:val="24"/>
          <w:u w:val="single"/>
        </w:rPr>
        <w:tab/>
      </w:r>
      <w:r>
        <w:rPr>
          <w:rFonts w:hint="eastAsia"/>
          <w:sz w:val="24"/>
          <w:szCs w:val="24"/>
        </w:rPr>
        <w:t>（盖单位章）</w:t>
      </w:r>
      <w:r>
        <w:rPr>
          <w:sz w:val="24"/>
          <w:szCs w:val="24"/>
        </w:rPr>
        <w:t xml:space="preserve"> </w:t>
      </w:r>
    </w:p>
    <w:p>
      <w:pPr>
        <w:tabs>
          <w:tab w:val="left" w:pos="4523"/>
          <w:tab w:val="left" w:pos="7509"/>
          <w:tab w:val="left" w:pos="8099"/>
          <w:tab w:val="left" w:pos="8159"/>
        </w:tabs>
        <w:spacing w:before="187" w:line="316" w:lineRule="auto"/>
        <w:ind w:firstLine="4108" w:firstLineChars="1712"/>
        <w:rPr>
          <w:spacing w:val="-18"/>
          <w:sz w:val="24"/>
          <w:szCs w:val="24"/>
        </w:rPr>
      </w:pPr>
      <w:r>
        <w:rPr>
          <w:rFonts w:hint="eastAsia"/>
          <w:sz w:val="24"/>
          <w:szCs w:val="24"/>
        </w:rPr>
        <w:t>法定代表人或其委托代理人</w:t>
      </w:r>
      <w:r>
        <w:rPr>
          <w:rFonts w:hint="eastAsia"/>
          <w:spacing w:val="-24"/>
          <w:sz w:val="24"/>
          <w:szCs w:val="24"/>
        </w:rPr>
        <w:t>：</w:t>
      </w:r>
      <w:r>
        <w:rPr>
          <w:rFonts w:cs="Times New Roman"/>
          <w:spacing w:val="-24"/>
          <w:sz w:val="24"/>
          <w:szCs w:val="24"/>
          <w:u w:val="single"/>
        </w:rPr>
        <w:tab/>
      </w:r>
      <w:r>
        <w:rPr>
          <w:rFonts w:cs="Times New Roman"/>
          <w:spacing w:val="-24"/>
          <w:sz w:val="24"/>
          <w:szCs w:val="24"/>
          <w:u w:val="single"/>
        </w:rPr>
        <w:tab/>
      </w:r>
      <w:r>
        <w:rPr>
          <w:rFonts w:hint="eastAsia"/>
          <w:sz w:val="24"/>
          <w:szCs w:val="24"/>
        </w:rPr>
        <w:t>（签字</w:t>
      </w:r>
      <w:r>
        <w:rPr>
          <w:rFonts w:hint="eastAsia"/>
          <w:spacing w:val="-18"/>
          <w:sz w:val="24"/>
          <w:szCs w:val="24"/>
        </w:rPr>
        <w:t>）</w:t>
      </w:r>
      <w:r>
        <w:rPr>
          <w:spacing w:val="-18"/>
          <w:sz w:val="24"/>
          <w:szCs w:val="24"/>
        </w:rPr>
        <w:t xml:space="preserve"> </w:t>
      </w:r>
    </w:p>
    <w:p>
      <w:pPr>
        <w:tabs>
          <w:tab w:val="left" w:pos="4523"/>
          <w:tab w:val="left" w:pos="7509"/>
          <w:tab w:val="left" w:pos="8099"/>
          <w:tab w:val="left" w:pos="8159"/>
        </w:tabs>
        <w:spacing w:before="187" w:line="316" w:lineRule="auto"/>
        <w:ind w:firstLine="4108" w:firstLineChars="1712"/>
        <w:rPr>
          <w:rFonts w:ascii="Times New Roman" w:eastAsia="Times New Roman" w:cs="Times New Roman"/>
          <w:sz w:val="24"/>
          <w:szCs w:val="24"/>
        </w:rPr>
      </w:pPr>
      <w:r>
        <w:rPr>
          <w:rFonts w:hint="eastAsia"/>
          <w:sz w:val="24"/>
          <w:szCs w:val="24"/>
        </w:rPr>
        <w:t>地</w:t>
      </w:r>
      <w:r>
        <w:rPr>
          <w:rFonts w:cs="Times New Roman"/>
          <w:sz w:val="24"/>
          <w:szCs w:val="24"/>
        </w:rPr>
        <w:tab/>
      </w:r>
      <w:r>
        <w:rPr>
          <w:rFonts w:hint="eastAsia"/>
          <w:sz w:val="24"/>
          <w:szCs w:val="24"/>
        </w:rPr>
        <w:t>址：</w:t>
      </w:r>
      <w:r>
        <w:rPr>
          <w:rFonts w:ascii="Times New Roman" w:eastAsia="Times New Roman" w:cs="Times New Roman"/>
          <w:sz w:val="24"/>
          <w:szCs w:val="24"/>
          <w:u w:val="single"/>
        </w:rPr>
        <w:tab/>
      </w:r>
      <w:r>
        <w:rPr>
          <w:rFonts w:ascii="Times New Roman" w:eastAsia="Times New Roman" w:cs="Times New Roman"/>
          <w:sz w:val="24"/>
          <w:szCs w:val="24"/>
          <w:u w:val="single"/>
        </w:rPr>
        <w:tab/>
      </w:r>
      <w:r>
        <w:rPr>
          <w:rFonts w:ascii="Times New Roman" w:eastAsia="Times New Roman" w:cs="Times New Roman"/>
          <w:sz w:val="24"/>
          <w:szCs w:val="24"/>
          <w:u w:val="single"/>
        </w:rPr>
        <w:tab/>
      </w:r>
    </w:p>
    <w:p>
      <w:pPr>
        <w:tabs>
          <w:tab w:val="left" w:pos="9174"/>
        </w:tabs>
        <w:spacing w:line="316" w:lineRule="auto"/>
        <w:ind w:firstLine="4108" w:firstLineChars="1712"/>
        <w:jc w:val="both"/>
        <w:rPr>
          <w:rFonts w:ascii="Times New Roman" w:cs="Times New Roman" w:eastAsiaTheme="minorEastAsia"/>
          <w:sz w:val="24"/>
          <w:szCs w:val="24"/>
          <w:u w:val="single"/>
        </w:rPr>
      </w:pPr>
      <w:r>
        <w:rPr>
          <w:rFonts w:hint="eastAsia"/>
          <w:sz w:val="24"/>
          <w:szCs w:val="24"/>
        </w:rPr>
        <w:t>网址：</w:t>
      </w:r>
      <w:r>
        <w:rPr>
          <w:rFonts w:ascii="Times New Roman" w:eastAsia="Times New Roman" w:cs="Times New Roman"/>
          <w:sz w:val="24"/>
          <w:szCs w:val="24"/>
          <w:u w:val="single"/>
        </w:rPr>
        <w:tab/>
      </w:r>
    </w:p>
    <w:p>
      <w:pPr>
        <w:tabs>
          <w:tab w:val="left" w:pos="9174"/>
        </w:tabs>
        <w:spacing w:line="316" w:lineRule="auto"/>
        <w:ind w:firstLine="4108" w:firstLineChars="1712"/>
        <w:jc w:val="both"/>
        <w:rPr>
          <w:rFonts w:ascii="Times New Roman" w:cs="Times New Roman" w:eastAsiaTheme="minorEastAsia"/>
          <w:sz w:val="24"/>
          <w:szCs w:val="24"/>
          <w:u w:val="single"/>
        </w:rPr>
      </w:pPr>
      <w:r>
        <w:rPr>
          <w:rFonts w:hint="eastAsia"/>
          <w:sz w:val="24"/>
          <w:szCs w:val="24"/>
        </w:rPr>
        <w:t>电</w:t>
      </w:r>
      <w:r>
        <w:rPr>
          <w:sz w:val="24"/>
          <w:szCs w:val="24"/>
        </w:rPr>
        <w:t xml:space="preserve">    </w:t>
      </w:r>
      <w:r>
        <w:rPr>
          <w:rFonts w:hint="eastAsia"/>
          <w:sz w:val="24"/>
          <w:szCs w:val="24"/>
        </w:rPr>
        <w:t>话：</w:t>
      </w:r>
      <w:r>
        <w:rPr>
          <w:rFonts w:ascii="Times New Roman" w:eastAsia="Times New Roman" w:cs="Times New Roman"/>
          <w:sz w:val="24"/>
          <w:szCs w:val="24"/>
          <w:u w:val="single"/>
        </w:rPr>
        <w:tab/>
      </w:r>
    </w:p>
    <w:p>
      <w:pPr>
        <w:tabs>
          <w:tab w:val="left" w:pos="9174"/>
        </w:tabs>
        <w:spacing w:line="316" w:lineRule="auto"/>
        <w:ind w:firstLine="4108" w:firstLineChars="1712"/>
        <w:jc w:val="both"/>
        <w:rPr>
          <w:rFonts w:ascii="Times New Roman" w:cs="Times New Roman" w:eastAsiaTheme="minorEastAsia"/>
          <w:sz w:val="24"/>
          <w:szCs w:val="24"/>
          <w:u w:val="single"/>
        </w:rPr>
      </w:pPr>
      <w:r>
        <w:rPr>
          <w:rFonts w:hint="eastAsia"/>
          <w:sz w:val="24"/>
          <w:szCs w:val="24"/>
        </w:rPr>
        <w:t>传</w:t>
      </w:r>
      <w:r>
        <w:rPr>
          <w:sz w:val="24"/>
          <w:szCs w:val="24"/>
        </w:rPr>
        <w:t xml:space="preserve">    </w:t>
      </w:r>
      <w:r>
        <w:rPr>
          <w:rFonts w:hint="eastAsia"/>
          <w:sz w:val="24"/>
          <w:szCs w:val="24"/>
        </w:rPr>
        <w:t>真：</w:t>
      </w:r>
      <w:r>
        <w:rPr>
          <w:rFonts w:ascii="Times New Roman" w:eastAsia="Times New Roman" w:cs="Times New Roman"/>
          <w:sz w:val="24"/>
          <w:szCs w:val="24"/>
          <w:u w:val="single"/>
        </w:rPr>
        <w:tab/>
      </w:r>
    </w:p>
    <w:p>
      <w:pPr>
        <w:tabs>
          <w:tab w:val="left" w:pos="9174"/>
        </w:tabs>
        <w:spacing w:line="316" w:lineRule="auto"/>
        <w:ind w:firstLine="4108" w:firstLineChars="1712"/>
        <w:jc w:val="both"/>
        <w:rPr>
          <w:rFonts w:ascii="Times New Roman" w:eastAsia="Times New Roman" w:cs="Times New Roman"/>
          <w:sz w:val="24"/>
          <w:szCs w:val="24"/>
        </w:rPr>
      </w:pPr>
      <w:r>
        <w:rPr>
          <w:rFonts w:hint="eastAsia"/>
          <w:sz w:val="24"/>
          <w:szCs w:val="24"/>
        </w:rPr>
        <w:t>邮政编码：</w:t>
      </w:r>
      <w:r>
        <w:rPr>
          <w:rFonts w:ascii="Times New Roman" w:eastAsia="Times New Roman" w:cs="Times New Roman"/>
          <w:sz w:val="24"/>
          <w:szCs w:val="24"/>
          <w:u w:val="single"/>
        </w:rPr>
        <w:tab/>
      </w:r>
    </w:p>
    <w:p>
      <w:pPr>
        <w:pStyle w:val="12"/>
        <w:ind w:firstLine="3424" w:firstLineChars="1712"/>
        <w:rPr>
          <w:rFonts w:ascii="Times New Roman" w:cs="Times New Roman"/>
          <w:sz w:val="20"/>
          <w:szCs w:val="20"/>
        </w:rPr>
      </w:pPr>
    </w:p>
    <w:p>
      <w:pPr>
        <w:tabs>
          <w:tab w:val="left" w:pos="6203"/>
          <w:tab w:val="left" w:pos="7283"/>
          <w:tab w:val="left" w:pos="8363"/>
        </w:tabs>
        <w:spacing w:before="204"/>
        <w:ind w:firstLine="4108" w:firstLineChars="1712"/>
        <w:rPr>
          <w:rFonts w:cs="Times New Roman"/>
          <w:sz w:val="24"/>
          <w:szCs w:val="24"/>
        </w:rPr>
      </w:pPr>
      <w:r>
        <w:rPr>
          <w:rFonts w:ascii="Times New Roman" w:eastAsia="Times New Roman" w:cs="Times New Roman"/>
          <w:sz w:val="24"/>
          <w:szCs w:val="24"/>
          <w:u w:val="single"/>
        </w:rPr>
        <w:tab/>
      </w:r>
      <w:r>
        <w:rPr>
          <w:rFonts w:hint="eastAsia"/>
          <w:sz w:val="24"/>
          <w:szCs w:val="24"/>
        </w:rPr>
        <w:t>年</w:t>
      </w:r>
      <w:r>
        <w:rPr>
          <w:rFonts w:cs="Times New Roman"/>
          <w:sz w:val="24"/>
          <w:szCs w:val="24"/>
          <w:u w:val="single"/>
        </w:rPr>
        <w:tab/>
      </w:r>
      <w:r>
        <w:rPr>
          <w:rFonts w:hint="eastAsia"/>
          <w:sz w:val="24"/>
          <w:szCs w:val="24"/>
        </w:rPr>
        <w:t>月</w:t>
      </w:r>
      <w:r>
        <w:rPr>
          <w:rFonts w:cs="Times New Roman"/>
          <w:sz w:val="24"/>
          <w:szCs w:val="24"/>
          <w:u w:val="single"/>
        </w:rPr>
        <w:tab/>
      </w:r>
      <w:r>
        <w:rPr>
          <w:rFonts w:hint="eastAsia"/>
          <w:sz w:val="24"/>
          <w:szCs w:val="24"/>
        </w:rPr>
        <w:t>日</w:t>
      </w:r>
    </w:p>
    <w:p>
      <w:pPr>
        <w:ind w:firstLine="480" w:firstLineChars="200"/>
        <w:rPr>
          <w:rFonts w:cs="Times New Roman"/>
          <w:sz w:val="24"/>
          <w:szCs w:val="24"/>
        </w:rPr>
        <w:sectPr>
          <w:pgSz w:w="11910" w:h="16850"/>
          <w:pgMar w:top="1418" w:right="1418" w:bottom="1418" w:left="1418" w:header="851" w:footer="964" w:gutter="0"/>
          <w:cols w:space="720" w:num="1"/>
        </w:sectPr>
      </w:pPr>
    </w:p>
    <w:p>
      <w:pPr>
        <w:pStyle w:val="12"/>
        <w:rPr>
          <w:rFonts w:cs="Times New Roman"/>
          <w:sz w:val="20"/>
          <w:szCs w:val="20"/>
        </w:rPr>
      </w:pPr>
    </w:p>
    <w:p>
      <w:pPr>
        <w:pStyle w:val="12"/>
        <w:rPr>
          <w:rFonts w:cs="Times New Roman"/>
          <w:sz w:val="20"/>
          <w:szCs w:val="20"/>
        </w:rPr>
      </w:pPr>
    </w:p>
    <w:p>
      <w:pPr>
        <w:pStyle w:val="12"/>
        <w:spacing w:before="6"/>
        <w:rPr>
          <w:rFonts w:cs="Times New Roman"/>
          <w:sz w:val="23"/>
          <w:szCs w:val="23"/>
        </w:rPr>
      </w:pPr>
    </w:p>
    <w:p>
      <w:pPr>
        <w:spacing w:before="61"/>
        <w:ind w:right="243"/>
        <w:jc w:val="center"/>
        <w:rPr>
          <w:rFonts w:cs="Times New Roman"/>
          <w:sz w:val="28"/>
          <w:szCs w:val="28"/>
        </w:rPr>
      </w:pPr>
      <w:r>
        <w:rPr>
          <w:rFonts w:hint="eastAsia"/>
          <w:sz w:val="28"/>
          <w:szCs w:val="28"/>
        </w:rPr>
        <w:t>二、已标价工程量清单</w:t>
      </w:r>
    </w:p>
    <w:p>
      <w:pPr>
        <w:pStyle w:val="12"/>
        <w:rPr>
          <w:rFonts w:cs="Times New Roman"/>
          <w:sz w:val="28"/>
          <w:szCs w:val="28"/>
        </w:rPr>
      </w:pPr>
    </w:p>
    <w:p>
      <w:pPr>
        <w:pStyle w:val="12"/>
        <w:spacing w:before="2"/>
        <w:rPr>
          <w:rFonts w:cs="Times New Roman"/>
          <w:sz w:val="35"/>
          <w:szCs w:val="35"/>
        </w:rPr>
      </w:pPr>
    </w:p>
    <w:p>
      <w:pPr>
        <w:spacing w:line="348" w:lineRule="auto"/>
        <w:ind w:left="384" w:right="623" w:firstLine="480"/>
        <w:jc w:val="both"/>
        <w:rPr>
          <w:rFonts w:cs="Times New Roman"/>
          <w:sz w:val="24"/>
          <w:szCs w:val="24"/>
        </w:rPr>
      </w:pPr>
      <w:r>
        <w:rPr>
          <w:rFonts w:hint="eastAsia"/>
          <w:spacing w:val="-1"/>
          <w:sz w:val="24"/>
          <w:szCs w:val="24"/>
        </w:rPr>
        <w:t>投标人应按照第五章“工程量清单”的要求逐项填报工程量清单，包括工程量</w:t>
      </w:r>
      <w:r>
        <w:rPr>
          <w:rFonts w:hint="eastAsia"/>
          <w:sz w:val="24"/>
          <w:szCs w:val="24"/>
        </w:rPr>
        <w:t>清单说明、投标报价说明、计日工说明、其他说明及工程量清单各项表格（</w:t>
      </w:r>
      <w:r>
        <w:rPr>
          <w:rFonts w:hint="eastAsia"/>
          <w:spacing w:val="-4"/>
          <w:sz w:val="24"/>
          <w:szCs w:val="24"/>
        </w:rPr>
        <w:t>工程量</w:t>
      </w:r>
      <w:r>
        <w:rPr>
          <w:rFonts w:hint="eastAsia"/>
          <w:spacing w:val="-3"/>
          <w:sz w:val="24"/>
          <w:szCs w:val="24"/>
        </w:rPr>
        <w:t>清单表</w:t>
      </w:r>
      <w:r>
        <w:rPr>
          <w:sz w:val="24"/>
          <w:szCs w:val="24"/>
        </w:rPr>
        <w:t>5.1</w:t>
      </w:r>
      <w:r>
        <w:rPr>
          <w:rFonts w:hint="eastAsia"/>
          <w:sz w:val="24"/>
          <w:szCs w:val="24"/>
        </w:rPr>
        <w:t>～表</w:t>
      </w:r>
      <w:r>
        <w:rPr>
          <w:sz w:val="24"/>
          <w:szCs w:val="24"/>
        </w:rPr>
        <w:t>5.5</w:t>
      </w:r>
      <w:r>
        <w:rPr>
          <w:rFonts w:hint="eastAsia"/>
          <w:spacing w:val="-240"/>
          <w:sz w:val="24"/>
          <w:szCs w:val="24"/>
        </w:rPr>
        <w:t>）</w:t>
      </w:r>
      <w:r>
        <w:rPr>
          <w:rFonts w:hint="eastAsia"/>
          <w:sz w:val="24"/>
          <w:szCs w:val="24"/>
        </w:rPr>
        <w:t>。</w:t>
      </w:r>
    </w:p>
    <w:p>
      <w:pPr>
        <w:spacing w:line="348" w:lineRule="auto"/>
        <w:jc w:val="both"/>
        <w:rPr>
          <w:rFonts w:cs="Times New Roman"/>
          <w:sz w:val="24"/>
          <w:szCs w:val="24"/>
        </w:rPr>
        <w:sectPr>
          <w:pgSz w:w="11910" w:h="16850"/>
          <w:pgMar w:top="1418" w:right="1418" w:bottom="1418" w:left="1418" w:header="851" w:footer="964" w:gutter="0"/>
          <w:cols w:space="720" w:num="1"/>
        </w:sectPr>
      </w:pPr>
    </w:p>
    <w:p>
      <w:pPr>
        <w:spacing w:before="106"/>
        <w:ind w:right="241"/>
        <w:jc w:val="center"/>
        <w:rPr>
          <w:rFonts w:cs="Times New Roman"/>
          <w:sz w:val="28"/>
          <w:szCs w:val="28"/>
        </w:rPr>
      </w:pPr>
      <w:r>
        <w:rPr>
          <w:rFonts w:hint="eastAsia"/>
          <w:sz w:val="28"/>
          <w:szCs w:val="28"/>
        </w:rPr>
        <w:t>三、合同用款估算表</w:t>
      </w:r>
    </w:p>
    <w:p>
      <w:pPr>
        <w:pStyle w:val="12"/>
        <w:rPr>
          <w:rFonts w:cs="Times New Roman"/>
          <w:sz w:val="20"/>
          <w:szCs w:val="20"/>
        </w:rPr>
      </w:pPr>
    </w:p>
    <w:p>
      <w:pPr>
        <w:pStyle w:val="12"/>
        <w:spacing w:before="1"/>
        <w:rPr>
          <w:rFonts w:cs="Times New Roman"/>
          <w:sz w:val="12"/>
          <w:szCs w:val="12"/>
        </w:rPr>
      </w:pPr>
    </w:p>
    <w:tbl>
      <w:tblPr>
        <w:tblStyle w:val="20"/>
        <w:tblW w:w="884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tcPr>
          <w:p>
            <w:pPr>
              <w:pStyle w:val="50"/>
              <w:rPr>
                <w:rFonts w:cs="Times New Roman"/>
                <w:sz w:val="20"/>
                <w:szCs w:val="20"/>
              </w:rPr>
            </w:pPr>
          </w:p>
          <w:p>
            <w:pPr>
              <w:pStyle w:val="50"/>
              <w:spacing w:before="11"/>
              <w:rPr>
                <w:rFonts w:cs="Times New Roman"/>
                <w:sz w:val="18"/>
                <w:szCs w:val="18"/>
              </w:rPr>
            </w:pPr>
          </w:p>
          <w:p>
            <w:pPr>
              <w:pStyle w:val="50"/>
              <w:ind w:left="367" w:right="342"/>
              <w:jc w:val="center"/>
              <w:rPr>
                <w:rFonts w:cs="Times New Roman"/>
                <w:sz w:val="21"/>
                <w:szCs w:val="21"/>
              </w:rPr>
            </w:pPr>
            <w:r>
              <w:rPr>
                <w:rFonts w:hint="eastAsia"/>
                <w:sz w:val="21"/>
                <w:szCs w:val="21"/>
              </w:rPr>
              <w:t>从开工月算起的时间</w:t>
            </w:r>
          </w:p>
          <w:p>
            <w:pPr>
              <w:pStyle w:val="50"/>
              <w:spacing w:before="6"/>
              <w:rPr>
                <w:rFonts w:cs="Times New Roman"/>
                <w:sz w:val="15"/>
                <w:szCs w:val="15"/>
              </w:rPr>
            </w:pPr>
          </w:p>
          <w:p>
            <w:pPr>
              <w:pStyle w:val="50"/>
              <w:spacing w:before="1"/>
              <w:ind w:left="367" w:right="339"/>
              <w:jc w:val="center"/>
              <w:rPr>
                <w:rFonts w:cs="Times New Roman"/>
                <w:sz w:val="21"/>
                <w:szCs w:val="21"/>
              </w:rPr>
            </w:pPr>
            <w:r>
              <w:rPr>
                <w:rFonts w:hint="eastAsia"/>
                <w:sz w:val="21"/>
                <w:szCs w:val="21"/>
              </w:rPr>
              <w:t>（月）</w:t>
            </w:r>
          </w:p>
        </w:tc>
        <w:tc>
          <w:tcPr>
            <w:tcW w:w="6188" w:type="dxa"/>
            <w:gridSpan w:val="4"/>
          </w:tcPr>
          <w:p>
            <w:pPr>
              <w:pStyle w:val="50"/>
              <w:spacing w:before="11"/>
              <w:rPr>
                <w:rFonts w:cs="Times New Roman"/>
                <w:sz w:val="14"/>
                <w:szCs w:val="14"/>
              </w:rPr>
            </w:pPr>
          </w:p>
          <w:p>
            <w:pPr>
              <w:pStyle w:val="50"/>
              <w:ind w:left="2449" w:right="2423"/>
              <w:jc w:val="center"/>
              <w:rPr>
                <w:rFonts w:cs="Times New Roman"/>
                <w:sz w:val="21"/>
                <w:szCs w:val="21"/>
              </w:rPr>
            </w:pPr>
            <w:r>
              <w:rPr>
                <w:rFonts w:hint="eastAsia"/>
                <w:sz w:val="21"/>
                <w:szCs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655" w:type="dxa"/>
            <w:gridSpan w:val="2"/>
            <w:vMerge w:val="continue"/>
            <w:tcBorders>
              <w:top w:val="nil"/>
            </w:tcBorders>
          </w:tcPr>
          <w:p>
            <w:pPr>
              <w:rPr>
                <w:rFonts w:cs="Times New Roman"/>
                <w:sz w:val="2"/>
                <w:szCs w:val="2"/>
              </w:rPr>
            </w:pPr>
          </w:p>
        </w:tc>
        <w:tc>
          <w:tcPr>
            <w:tcW w:w="3093" w:type="dxa"/>
            <w:gridSpan w:val="2"/>
          </w:tcPr>
          <w:p>
            <w:pPr>
              <w:pStyle w:val="50"/>
              <w:spacing w:before="11"/>
              <w:rPr>
                <w:rFonts w:cs="Times New Roman"/>
                <w:sz w:val="14"/>
                <w:szCs w:val="14"/>
              </w:rPr>
            </w:pPr>
          </w:p>
          <w:p>
            <w:pPr>
              <w:pStyle w:val="50"/>
              <w:tabs>
                <w:tab w:val="left" w:pos="762"/>
              </w:tabs>
              <w:ind w:left="25"/>
              <w:jc w:val="center"/>
              <w:rPr>
                <w:rFonts w:cs="Times New Roman"/>
                <w:sz w:val="21"/>
                <w:szCs w:val="21"/>
              </w:rPr>
            </w:pPr>
            <w:r>
              <w:rPr>
                <w:rFonts w:hint="eastAsia"/>
                <w:sz w:val="21"/>
                <w:szCs w:val="21"/>
              </w:rPr>
              <w:t>分</w:t>
            </w:r>
            <w:r>
              <w:rPr>
                <w:rFonts w:cs="Times New Roman"/>
                <w:sz w:val="21"/>
                <w:szCs w:val="21"/>
              </w:rPr>
              <w:tab/>
            </w:r>
            <w:r>
              <w:rPr>
                <w:rFonts w:hint="eastAsia"/>
                <w:sz w:val="21"/>
                <w:szCs w:val="21"/>
              </w:rPr>
              <w:t>期</w:t>
            </w:r>
          </w:p>
        </w:tc>
        <w:tc>
          <w:tcPr>
            <w:tcW w:w="3095" w:type="dxa"/>
            <w:gridSpan w:val="2"/>
          </w:tcPr>
          <w:p>
            <w:pPr>
              <w:pStyle w:val="50"/>
              <w:spacing w:before="11"/>
              <w:rPr>
                <w:rFonts w:cs="Times New Roman"/>
                <w:sz w:val="14"/>
                <w:szCs w:val="14"/>
              </w:rPr>
            </w:pPr>
          </w:p>
          <w:p>
            <w:pPr>
              <w:pStyle w:val="50"/>
              <w:tabs>
                <w:tab w:val="left" w:pos="771"/>
              </w:tabs>
              <w:ind w:left="34"/>
              <w:jc w:val="center"/>
              <w:rPr>
                <w:rFonts w:cs="Times New Roman"/>
                <w:sz w:val="21"/>
                <w:szCs w:val="21"/>
              </w:rPr>
            </w:pPr>
            <w:r>
              <w:rPr>
                <w:rFonts w:hint="eastAsia"/>
                <w:sz w:val="21"/>
                <w:szCs w:val="21"/>
              </w:rPr>
              <w:t>累</w:t>
            </w:r>
            <w:r>
              <w:rPr>
                <w:rFonts w:cs="Times New Roman"/>
                <w:sz w:val="21"/>
                <w:szCs w:val="21"/>
              </w:rPr>
              <w:tab/>
            </w:r>
            <w:r>
              <w:rPr>
                <w:rFonts w:hint="eastAsia"/>
                <w:sz w:val="21"/>
                <w:szCs w:val="21"/>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tcPr>
          <w:p>
            <w:pPr>
              <w:rPr>
                <w:rFonts w:cs="Times New Roman"/>
                <w:sz w:val="2"/>
                <w:szCs w:val="2"/>
              </w:rPr>
            </w:pPr>
          </w:p>
        </w:tc>
        <w:tc>
          <w:tcPr>
            <w:tcW w:w="1545" w:type="dxa"/>
          </w:tcPr>
          <w:p>
            <w:pPr>
              <w:pStyle w:val="50"/>
              <w:spacing w:before="2"/>
              <w:rPr>
                <w:rFonts w:cs="Times New Roman"/>
                <w:sz w:val="15"/>
                <w:szCs w:val="15"/>
              </w:rPr>
            </w:pPr>
          </w:p>
          <w:p>
            <w:pPr>
              <w:pStyle w:val="50"/>
              <w:ind w:left="251"/>
              <w:rPr>
                <w:rFonts w:cs="Times New Roman"/>
                <w:sz w:val="21"/>
                <w:szCs w:val="21"/>
              </w:rPr>
            </w:pPr>
            <w:r>
              <w:rPr>
                <w:rFonts w:hint="eastAsia"/>
                <w:sz w:val="21"/>
                <w:szCs w:val="21"/>
              </w:rPr>
              <w:t>金额（元）</w:t>
            </w:r>
          </w:p>
        </w:tc>
        <w:tc>
          <w:tcPr>
            <w:tcW w:w="1548" w:type="dxa"/>
          </w:tcPr>
          <w:p>
            <w:pPr>
              <w:pStyle w:val="50"/>
              <w:spacing w:before="12"/>
              <w:rPr>
                <w:rFonts w:cs="Times New Roman"/>
                <w:sz w:val="14"/>
                <w:szCs w:val="14"/>
              </w:rPr>
            </w:pPr>
          </w:p>
          <w:p>
            <w:pPr>
              <w:pStyle w:val="50"/>
              <w:ind w:left="446" w:right="415"/>
              <w:jc w:val="center"/>
              <w:rPr>
                <w:rFonts w:cs="Times New Roman"/>
                <w:sz w:val="21"/>
                <w:szCs w:val="21"/>
              </w:rPr>
            </w:pPr>
            <w:r>
              <w:rPr>
                <w:rFonts w:hint="eastAsia"/>
                <w:sz w:val="21"/>
                <w:szCs w:val="21"/>
              </w:rPr>
              <w:t>（</w:t>
            </w:r>
            <w:r>
              <w:rPr>
                <w:sz w:val="21"/>
                <w:szCs w:val="21"/>
              </w:rPr>
              <w:t>%</w:t>
            </w:r>
            <w:r>
              <w:rPr>
                <w:rFonts w:hint="eastAsia"/>
                <w:sz w:val="21"/>
                <w:szCs w:val="21"/>
              </w:rPr>
              <w:t>）</w:t>
            </w:r>
          </w:p>
        </w:tc>
        <w:tc>
          <w:tcPr>
            <w:tcW w:w="1548" w:type="dxa"/>
          </w:tcPr>
          <w:p>
            <w:pPr>
              <w:pStyle w:val="50"/>
              <w:spacing w:before="2"/>
              <w:rPr>
                <w:rFonts w:cs="Times New Roman"/>
                <w:sz w:val="15"/>
                <w:szCs w:val="15"/>
              </w:rPr>
            </w:pPr>
          </w:p>
          <w:p>
            <w:pPr>
              <w:pStyle w:val="50"/>
              <w:ind w:left="256"/>
              <w:rPr>
                <w:rFonts w:cs="Times New Roman"/>
                <w:sz w:val="21"/>
                <w:szCs w:val="21"/>
              </w:rPr>
            </w:pPr>
            <w:r>
              <w:rPr>
                <w:rFonts w:hint="eastAsia"/>
                <w:sz w:val="21"/>
                <w:szCs w:val="21"/>
              </w:rPr>
              <w:t>金额（元）</w:t>
            </w:r>
          </w:p>
        </w:tc>
        <w:tc>
          <w:tcPr>
            <w:tcW w:w="1547" w:type="dxa"/>
          </w:tcPr>
          <w:p>
            <w:pPr>
              <w:pStyle w:val="50"/>
              <w:spacing w:before="12"/>
              <w:rPr>
                <w:rFonts w:cs="Times New Roman"/>
                <w:sz w:val="14"/>
                <w:szCs w:val="14"/>
              </w:rPr>
            </w:pPr>
          </w:p>
          <w:p>
            <w:pPr>
              <w:pStyle w:val="50"/>
              <w:ind w:left="484"/>
              <w:rPr>
                <w:rFonts w:cs="Times New Roman"/>
                <w:sz w:val="21"/>
                <w:szCs w:val="21"/>
              </w:rPr>
            </w:pPr>
            <w:r>
              <w:rPr>
                <w:rFonts w:hint="eastAsia"/>
                <w:sz w:val="21"/>
                <w:szCs w:val="21"/>
              </w:rPr>
              <w:t>（</w:t>
            </w:r>
            <w:r>
              <w:rPr>
                <w:sz w:val="21"/>
                <w:szCs w:val="21"/>
              </w:rPr>
              <w:t>%</w:t>
            </w:r>
            <w:r>
              <w:rPr>
                <w:rFonts w:hint="eastAsia"/>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spacing w:before="12"/>
              <w:rPr>
                <w:rFonts w:cs="Times New Roman"/>
                <w:sz w:val="14"/>
                <w:szCs w:val="14"/>
              </w:rPr>
            </w:pPr>
          </w:p>
          <w:p>
            <w:pPr>
              <w:pStyle w:val="50"/>
              <w:ind w:left="491"/>
              <w:rPr>
                <w:rFonts w:cs="Times New Roman"/>
                <w:sz w:val="21"/>
                <w:szCs w:val="21"/>
              </w:rPr>
            </w:pPr>
            <w:r>
              <w:rPr>
                <w:rFonts w:hint="eastAsia"/>
                <w:sz w:val="21"/>
                <w:szCs w:val="21"/>
              </w:rPr>
              <w:t>第一次开工预付款</w:t>
            </w: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ind w:left="366" w:right="342"/>
              <w:jc w:val="center"/>
              <w:rPr>
                <w:rFonts w:cs="Times New Roman"/>
                <w:sz w:val="21"/>
                <w:szCs w:val="21"/>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ind w:left="366" w:right="342"/>
              <w:jc w:val="center"/>
              <w:rPr>
                <w:rFonts w:cs="Times New Roman"/>
                <w:sz w:val="21"/>
                <w:szCs w:val="21"/>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ind w:left="366" w:right="342"/>
              <w:jc w:val="center"/>
              <w:rPr>
                <w:rFonts w:cs="Times New Roman"/>
                <w:sz w:val="21"/>
                <w:szCs w:val="21"/>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ind w:left="367" w:right="338"/>
              <w:jc w:val="center"/>
              <w:rPr>
                <w:rFonts w:cs="Times New Roman"/>
                <w:sz w:val="21"/>
                <w:szCs w:val="21"/>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ind w:left="367" w:right="338"/>
              <w:jc w:val="center"/>
              <w:rPr>
                <w:rFonts w:cs="Times New Roman"/>
                <w:sz w:val="21"/>
                <w:szCs w:val="21"/>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spacing w:before="9"/>
              <w:rPr>
                <w:rFonts w:cs="Times New Roman"/>
                <w:sz w:val="16"/>
                <w:szCs w:val="16"/>
              </w:rPr>
            </w:pPr>
          </w:p>
          <w:p>
            <w:pPr>
              <w:pStyle w:val="50"/>
              <w:spacing w:before="1"/>
              <w:ind w:left="365" w:right="342"/>
              <w:jc w:val="center"/>
              <w:rPr>
                <w:rFonts w:cs="Times New Roman"/>
                <w:sz w:val="21"/>
                <w:szCs w:val="21"/>
              </w:rPr>
            </w:pPr>
            <w:r>
              <w:rPr>
                <w:rFonts w:hint="eastAsia"/>
                <w:sz w:val="21"/>
                <w:szCs w:val="21"/>
              </w:rPr>
              <w:t>……</w:t>
            </w: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spacing w:before="10"/>
              <w:rPr>
                <w:rFonts w:cs="Times New Roman"/>
                <w:sz w:val="16"/>
                <w:szCs w:val="16"/>
              </w:rPr>
            </w:pPr>
          </w:p>
          <w:p>
            <w:pPr>
              <w:pStyle w:val="50"/>
              <w:ind w:left="365" w:right="342"/>
              <w:jc w:val="center"/>
              <w:rPr>
                <w:rFonts w:cs="Times New Roman"/>
                <w:sz w:val="21"/>
                <w:szCs w:val="21"/>
              </w:rPr>
            </w:pPr>
            <w:r>
              <w:rPr>
                <w:rFonts w:hint="eastAsia"/>
                <w:sz w:val="21"/>
                <w:szCs w:val="21"/>
              </w:rPr>
              <w:t>……</w:t>
            </w: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rPr>
                <w:rFonts w:ascii="Times New Roman" w:cs="Times New Roman"/>
                <w:sz w:val="20"/>
                <w:szCs w:val="20"/>
              </w:rPr>
            </w:pP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0"/>
              <w:spacing w:before="9"/>
              <w:rPr>
                <w:rFonts w:cs="Times New Roman"/>
                <w:sz w:val="14"/>
                <w:szCs w:val="14"/>
              </w:rPr>
            </w:pPr>
          </w:p>
          <w:p>
            <w:pPr>
              <w:pStyle w:val="50"/>
              <w:ind w:left="808"/>
              <w:rPr>
                <w:rFonts w:cs="Times New Roman"/>
                <w:sz w:val="21"/>
                <w:szCs w:val="21"/>
              </w:rPr>
            </w:pPr>
            <w:r>
              <w:rPr>
                <w:rFonts w:hint="eastAsia"/>
                <w:sz w:val="21"/>
                <w:szCs w:val="21"/>
              </w:rPr>
              <w:t>缺陷责任期</w:t>
            </w:r>
          </w:p>
        </w:tc>
        <w:tc>
          <w:tcPr>
            <w:tcW w:w="1545"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tcPr>
          <w:p>
            <w:pPr>
              <w:pStyle w:val="50"/>
              <w:spacing w:before="9"/>
              <w:rPr>
                <w:rFonts w:cs="Times New Roman"/>
                <w:sz w:val="14"/>
                <w:szCs w:val="14"/>
              </w:rPr>
            </w:pPr>
          </w:p>
          <w:p>
            <w:pPr>
              <w:pStyle w:val="50"/>
              <w:tabs>
                <w:tab w:val="left" w:pos="1648"/>
              </w:tabs>
              <w:spacing w:before="1"/>
              <w:ind w:left="808"/>
              <w:rPr>
                <w:rFonts w:cs="Times New Roman"/>
                <w:sz w:val="21"/>
                <w:szCs w:val="21"/>
              </w:rPr>
            </w:pPr>
            <w:r>
              <w:rPr>
                <w:rFonts w:hint="eastAsia"/>
                <w:sz w:val="21"/>
                <w:szCs w:val="21"/>
              </w:rPr>
              <w:t>小</w:t>
            </w:r>
            <w:r>
              <w:rPr>
                <w:rFonts w:cs="Times New Roman"/>
                <w:sz w:val="21"/>
                <w:szCs w:val="21"/>
              </w:rPr>
              <w:tab/>
            </w:r>
            <w:r>
              <w:rPr>
                <w:rFonts w:hint="eastAsia"/>
                <w:sz w:val="21"/>
                <w:szCs w:val="21"/>
              </w:rPr>
              <w:t>计</w:t>
            </w:r>
          </w:p>
        </w:tc>
        <w:tc>
          <w:tcPr>
            <w:tcW w:w="1545" w:type="dxa"/>
          </w:tcPr>
          <w:p>
            <w:pPr>
              <w:pStyle w:val="50"/>
              <w:rPr>
                <w:rFonts w:ascii="Times New Roman" w:cs="Times New Roman"/>
                <w:sz w:val="20"/>
                <w:szCs w:val="20"/>
              </w:rPr>
            </w:pPr>
          </w:p>
        </w:tc>
        <w:tc>
          <w:tcPr>
            <w:tcW w:w="1548" w:type="dxa"/>
          </w:tcPr>
          <w:p>
            <w:pPr>
              <w:pStyle w:val="50"/>
              <w:spacing w:before="8"/>
              <w:rPr>
                <w:rFonts w:cs="Times New Roman"/>
                <w:sz w:val="16"/>
                <w:szCs w:val="16"/>
              </w:rPr>
            </w:pPr>
          </w:p>
          <w:p>
            <w:pPr>
              <w:pStyle w:val="50"/>
              <w:ind w:left="447" w:right="415"/>
              <w:jc w:val="center"/>
              <w:rPr>
                <w:sz w:val="21"/>
                <w:szCs w:val="21"/>
              </w:rPr>
            </w:pPr>
            <w:r>
              <w:rPr>
                <w:sz w:val="21"/>
                <w:szCs w:val="21"/>
              </w:rPr>
              <w:t>100.00</w:t>
            </w:r>
          </w:p>
        </w:tc>
        <w:tc>
          <w:tcPr>
            <w:tcW w:w="1548" w:type="dxa"/>
          </w:tcPr>
          <w:p>
            <w:pPr>
              <w:pStyle w:val="50"/>
              <w:rPr>
                <w:rFonts w:ascii="Times New Roman" w:cs="Times New Roman"/>
                <w:sz w:val="20"/>
                <w:szCs w:val="20"/>
              </w:rPr>
            </w:pPr>
          </w:p>
        </w:tc>
        <w:tc>
          <w:tcPr>
            <w:tcW w:w="1547" w:type="dxa"/>
          </w:tcPr>
          <w:p>
            <w:pPr>
              <w:pStyle w:val="50"/>
              <w:rPr>
                <w:rFonts w:asci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843" w:type="dxa"/>
            <w:gridSpan w:val="6"/>
          </w:tcPr>
          <w:p>
            <w:pPr>
              <w:pStyle w:val="50"/>
              <w:rPr>
                <w:rFonts w:cs="Times New Roman"/>
                <w:sz w:val="15"/>
                <w:szCs w:val="15"/>
              </w:rPr>
            </w:pPr>
          </w:p>
          <w:p>
            <w:pPr>
              <w:pStyle w:val="50"/>
              <w:ind w:left="35"/>
              <w:rPr>
                <w:rFonts w:cs="Times New Roman"/>
                <w:sz w:val="21"/>
                <w:szCs w:val="21"/>
              </w:rPr>
            </w:pPr>
            <w:r>
              <w:rPr>
                <w:rFonts w:hint="eastAsia"/>
                <w:sz w:val="21"/>
                <w:szCs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trPr>
        <w:tc>
          <w:tcPr>
            <w:tcW w:w="629" w:type="dxa"/>
          </w:tcPr>
          <w:p>
            <w:pPr>
              <w:pStyle w:val="50"/>
              <w:rPr>
                <w:rFonts w:cs="Times New Roman"/>
                <w:sz w:val="20"/>
                <w:szCs w:val="20"/>
              </w:rPr>
            </w:pPr>
          </w:p>
          <w:p>
            <w:pPr>
              <w:pStyle w:val="50"/>
              <w:rPr>
                <w:rFonts w:cs="Times New Roman"/>
                <w:sz w:val="20"/>
                <w:szCs w:val="20"/>
              </w:rPr>
            </w:pPr>
          </w:p>
          <w:p>
            <w:pPr>
              <w:pStyle w:val="50"/>
              <w:spacing w:before="3"/>
              <w:rPr>
                <w:rFonts w:cs="Times New Roman"/>
                <w:sz w:val="16"/>
                <w:szCs w:val="16"/>
              </w:rPr>
            </w:pPr>
          </w:p>
          <w:p>
            <w:pPr>
              <w:pStyle w:val="50"/>
              <w:ind w:left="215"/>
              <w:rPr>
                <w:rFonts w:cs="Times New Roman"/>
                <w:sz w:val="21"/>
                <w:szCs w:val="21"/>
              </w:rPr>
            </w:pPr>
            <w:r>
              <w:rPr>
                <w:rFonts w:hint="eastAsia"/>
                <w:w w:val="99"/>
                <w:sz w:val="21"/>
                <w:szCs w:val="21"/>
              </w:rPr>
              <w:t>说</w:t>
            </w:r>
          </w:p>
          <w:p>
            <w:pPr>
              <w:pStyle w:val="50"/>
              <w:rPr>
                <w:rFonts w:cs="Times New Roman"/>
                <w:sz w:val="20"/>
                <w:szCs w:val="20"/>
              </w:rPr>
            </w:pPr>
          </w:p>
          <w:p>
            <w:pPr>
              <w:pStyle w:val="50"/>
              <w:rPr>
                <w:rFonts w:cs="Times New Roman"/>
                <w:sz w:val="20"/>
                <w:szCs w:val="20"/>
              </w:rPr>
            </w:pPr>
          </w:p>
          <w:p>
            <w:pPr>
              <w:pStyle w:val="50"/>
              <w:rPr>
                <w:rFonts w:cs="Times New Roman"/>
                <w:sz w:val="20"/>
                <w:szCs w:val="20"/>
              </w:rPr>
            </w:pPr>
          </w:p>
          <w:p>
            <w:pPr>
              <w:pStyle w:val="50"/>
              <w:rPr>
                <w:rFonts w:cs="Times New Roman"/>
                <w:sz w:val="20"/>
                <w:szCs w:val="20"/>
              </w:rPr>
            </w:pPr>
          </w:p>
          <w:p>
            <w:pPr>
              <w:pStyle w:val="50"/>
              <w:spacing w:before="3"/>
              <w:rPr>
                <w:rFonts w:cs="Times New Roman"/>
                <w:sz w:val="25"/>
                <w:szCs w:val="25"/>
              </w:rPr>
            </w:pPr>
          </w:p>
          <w:p>
            <w:pPr>
              <w:pStyle w:val="50"/>
              <w:ind w:left="215"/>
              <w:rPr>
                <w:rFonts w:cs="Times New Roman"/>
                <w:sz w:val="21"/>
                <w:szCs w:val="21"/>
              </w:rPr>
            </w:pPr>
            <w:r>
              <w:rPr>
                <w:rFonts w:hint="eastAsia"/>
                <w:w w:val="99"/>
                <w:sz w:val="21"/>
                <w:szCs w:val="21"/>
              </w:rPr>
              <w:t>明</w:t>
            </w:r>
          </w:p>
        </w:tc>
        <w:tc>
          <w:tcPr>
            <w:tcW w:w="8214" w:type="dxa"/>
            <w:gridSpan w:val="5"/>
          </w:tcPr>
          <w:p>
            <w:pPr>
              <w:pStyle w:val="50"/>
              <w:rPr>
                <w:rFonts w:ascii="Times New Roman" w:cs="Times New Roman"/>
                <w:sz w:val="20"/>
                <w:szCs w:val="20"/>
              </w:rPr>
            </w:pPr>
          </w:p>
        </w:tc>
      </w:tr>
    </w:tbl>
    <w:p>
      <w:pPr>
        <w:pStyle w:val="12"/>
        <w:spacing w:before="70"/>
        <w:ind w:left="595"/>
        <w:rPr>
          <w:rFonts w:cs="Times New Roman"/>
        </w:rPr>
      </w:pPr>
      <w:r>
        <w:rPr>
          <w:rFonts w:hint="eastAsia"/>
        </w:rPr>
        <w:t>注：</w:t>
      </w:r>
      <w:r>
        <w:t>1.</w:t>
      </w:r>
      <w:r>
        <w:rPr>
          <w:rFonts w:hint="eastAsia"/>
        </w:rPr>
        <w:t>投标人可按工程进度估算并填写本表。</w:t>
      </w:r>
    </w:p>
    <w:p>
      <w:pPr>
        <w:pStyle w:val="12"/>
        <w:spacing w:before="74" w:line="307" w:lineRule="auto"/>
        <w:ind w:left="1250" w:right="306" w:hanging="267"/>
        <w:rPr>
          <w:rFonts w:cs="Times New Roman"/>
        </w:rPr>
      </w:pPr>
      <w:r>
        <w:rPr>
          <w:w w:val="95"/>
        </w:rPr>
        <w:t>2.</w:t>
      </w:r>
      <w:r>
        <w:rPr>
          <w:rFonts w:hint="eastAsia"/>
        </w:rPr>
        <w:t>用款额按所报单价和总额价估算，不包括价格调整和暂列金额、暂估价，但应考虑开工预付款的扣回以及签发付款证书后到实际支付的时间间隔。</w:t>
      </w:r>
    </w:p>
    <w:sectPr>
      <w:pgSz w:w="11910" w:h="16850"/>
      <w:pgMar w:top="1418" w:right="1418" w:bottom="1418" w:left="1418" w:header="851"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2</w:t>
    </w:r>
    <w:r>
      <w:fldChar w:fldCharType="end"/>
    </w:r>
  </w:p>
  <w:p>
    <w:pPr>
      <w:pStyle w:val="12"/>
      <w:spacing w:line="14" w:lineRule="auto"/>
      <w:rPr>
        <w:rFonts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124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0"/>
        <w:szCs w:val="20"/>
      </w:rPr>
    </w:pPr>
    <w:r>
      <w:rPr>
        <w:lang w:val="en-US"/>
      </w:rPr>
      <w:pict>
        <v:shape id="文本框 49" o:spid="_x0000_s2091" o:spt="202" type="#_x0000_t202" style="position:absolute;left:0pt;margin-left:394.5pt;margin-top:38.95pt;height:11.95pt;width:116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MingLiU" w:eastAsia="MingLiU" w:cs="Times New Roman"/>
                    <w:sz w:val="20"/>
                    <w:szCs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Cs w:val="15"/>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CD887"/>
    <w:multiLevelType w:val="singleLevel"/>
    <w:tmpl w:val="824CD887"/>
    <w:lvl w:ilvl="0" w:tentative="0">
      <w:start w:val="3"/>
      <w:numFmt w:val="chineseCounting"/>
      <w:suff w:val="nothing"/>
      <w:lvlText w:val="（%1）"/>
      <w:lvlJc w:val="left"/>
      <w:rPr>
        <w:rFonts w:hint="eastAsia"/>
      </w:rPr>
    </w:lvl>
  </w:abstractNum>
  <w:abstractNum w:abstractNumId="1">
    <w:nsid w:val="845B5372"/>
    <w:multiLevelType w:val="multilevel"/>
    <w:tmpl w:val="845B5372"/>
    <w:lvl w:ilvl="0" w:tentative="0">
      <w:start w:val="1"/>
      <w:numFmt w:val="decimal"/>
      <w:lvlText w:val="（%1）"/>
      <w:lvlJc w:val="left"/>
      <w:pPr>
        <w:ind w:left="1819" w:hanging="684"/>
      </w:pPr>
      <w:rPr>
        <w:rFonts w:hint="default" w:ascii="宋体" w:hAnsi="宋体" w:eastAsia="宋体"/>
        <w:spacing w:val="-12"/>
        <w:w w:val="100"/>
        <w:sz w:val="24"/>
        <w:szCs w:val="24"/>
      </w:rPr>
    </w:lvl>
    <w:lvl w:ilvl="1" w:tentative="0">
      <w:start w:val="0"/>
      <w:numFmt w:val="bullet"/>
      <w:lvlText w:val="•"/>
      <w:lvlJc w:val="left"/>
      <w:pPr>
        <w:ind w:left="2623" w:hanging="684"/>
      </w:pPr>
      <w:rPr>
        <w:rFonts w:hint="default"/>
      </w:rPr>
    </w:lvl>
    <w:lvl w:ilvl="2" w:tentative="0">
      <w:start w:val="0"/>
      <w:numFmt w:val="bullet"/>
      <w:lvlText w:val="•"/>
      <w:lvlJc w:val="left"/>
      <w:pPr>
        <w:ind w:left="3426" w:hanging="684"/>
      </w:pPr>
      <w:rPr>
        <w:rFonts w:hint="default"/>
      </w:rPr>
    </w:lvl>
    <w:lvl w:ilvl="3" w:tentative="0">
      <w:start w:val="0"/>
      <w:numFmt w:val="bullet"/>
      <w:lvlText w:val="•"/>
      <w:lvlJc w:val="left"/>
      <w:pPr>
        <w:ind w:left="4229" w:hanging="684"/>
      </w:pPr>
      <w:rPr>
        <w:rFonts w:hint="default"/>
      </w:rPr>
    </w:lvl>
    <w:lvl w:ilvl="4" w:tentative="0">
      <w:start w:val="0"/>
      <w:numFmt w:val="bullet"/>
      <w:lvlText w:val="•"/>
      <w:lvlJc w:val="left"/>
      <w:pPr>
        <w:ind w:left="5032" w:hanging="684"/>
      </w:pPr>
      <w:rPr>
        <w:rFonts w:hint="default"/>
      </w:rPr>
    </w:lvl>
    <w:lvl w:ilvl="5" w:tentative="0">
      <w:start w:val="0"/>
      <w:numFmt w:val="bullet"/>
      <w:lvlText w:val="•"/>
      <w:lvlJc w:val="left"/>
      <w:pPr>
        <w:ind w:left="5835" w:hanging="684"/>
      </w:pPr>
      <w:rPr>
        <w:rFonts w:hint="default"/>
      </w:rPr>
    </w:lvl>
    <w:lvl w:ilvl="6" w:tentative="0">
      <w:start w:val="0"/>
      <w:numFmt w:val="bullet"/>
      <w:lvlText w:val="•"/>
      <w:lvlJc w:val="left"/>
      <w:pPr>
        <w:ind w:left="6638" w:hanging="684"/>
      </w:pPr>
      <w:rPr>
        <w:rFonts w:hint="default"/>
      </w:rPr>
    </w:lvl>
    <w:lvl w:ilvl="7" w:tentative="0">
      <w:start w:val="0"/>
      <w:numFmt w:val="bullet"/>
      <w:lvlText w:val="•"/>
      <w:lvlJc w:val="left"/>
      <w:pPr>
        <w:ind w:left="7441" w:hanging="684"/>
      </w:pPr>
      <w:rPr>
        <w:rFonts w:hint="default"/>
      </w:rPr>
    </w:lvl>
    <w:lvl w:ilvl="8" w:tentative="0">
      <w:start w:val="0"/>
      <w:numFmt w:val="bullet"/>
      <w:lvlText w:val="•"/>
      <w:lvlJc w:val="left"/>
      <w:pPr>
        <w:ind w:left="8244" w:hanging="684"/>
      </w:pPr>
      <w:rPr>
        <w:rFonts w:hint="default"/>
      </w:rPr>
    </w:lvl>
  </w:abstractNum>
  <w:abstractNum w:abstractNumId="2">
    <w:nsid w:val="8CAEB125"/>
    <w:multiLevelType w:val="multilevel"/>
    <w:tmpl w:val="8CAEB125"/>
    <w:lvl w:ilvl="0" w:tentative="0">
      <w:start w:val="1"/>
      <w:numFmt w:val="lowerLetter"/>
      <w:lvlText w:val="%1."/>
      <w:lvlJc w:val="left"/>
      <w:pPr>
        <w:ind w:left="1399" w:hanging="356"/>
      </w:pPr>
      <w:rPr>
        <w:rFonts w:hint="default" w:ascii="宋体" w:hAnsi="宋体" w:eastAsia="宋体"/>
        <w:w w:val="100"/>
        <w:sz w:val="24"/>
        <w:szCs w:val="24"/>
      </w:rPr>
    </w:lvl>
    <w:lvl w:ilvl="1" w:tentative="0">
      <w:start w:val="0"/>
      <w:numFmt w:val="bullet"/>
      <w:lvlText w:val="•"/>
      <w:lvlJc w:val="left"/>
      <w:pPr>
        <w:ind w:left="2245" w:hanging="356"/>
      </w:pPr>
      <w:rPr>
        <w:rFonts w:hint="default"/>
      </w:rPr>
    </w:lvl>
    <w:lvl w:ilvl="2" w:tentative="0">
      <w:start w:val="0"/>
      <w:numFmt w:val="bullet"/>
      <w:lvlText w:val="•"/>
      <w:lvlJc w:val="left"/>
      <w:pPr>
        <w:ind w:left="3090" w:hanging="356"/>
      </w:pPr>
      <w:rPr>
        <w:rFonts w:hint="default"/>
      </w:rPr>
    </w:lvl>
    <w:lvl w:ilvl="3" w:tentative="0">
      <w:start w:val="0"/>
      <w:numFmt w:val="bullet"/>
      <w:lvlText w:val="•"/>
      <w:lvlJc w:val="left"/>
      <w:pPr>
        <w:ind w:left="3935" w:hanging="356"/>
      </w:pPr>
      <w:rPr>
        <w:rFonts w:hint="default"/>
      </w:rPr>
    </w:lvl>
    <w:lvl w:ilvl="4" w:tentative="0">
      <w:start w:val="0"/>
      <w:numFmt w:val="bullet"/>
      <w:lvlText w:val="•"/>
      <w:lvlJc w:val="left"/>
      <w:pPr>
        <w:ind w:left="4780" w:hanging="356"/>
      </w:pPr>
      <w:rPr>
        <w:rFonts w:hint="default"/>
      </w:rPr>
    </w:lvl>
    <w:lvl w:ilvl="5" w:tentative="0">
      <w:start w:val="0"/>
      <w:numFmt w:val="bullet"/>
      <w:lvlText w:val="•"/>
      <w:lvlJc w:val="left"/>
      <w:pPr>
        <w:ind w:left="5625" w:hanging="356"/>
      </w:pPr>
      <w:rPr>
        <w:rFonts w:hint="default"/>
      </w:rPr>
    </w:lvl>
    <w:lvl w:ilvl="6" w:tentative="0">
      <w:start w:val="0"/>
      <w:numFmt w:val="bullet"/>
      <w:lvlText w:val="•"/>
      <w:lvlJc w:val="left"/>
      <w:pPr>
        <w:ind w:left="6470" w:hanging="356"/>
      </w:pPr>
      <w:rPr>
        <w:rFonts w:hint="default"/>
      </w:rPr>
    </w:lvl>
    <w:lvl w:ilvl="7" w:tentative="0">
      <w:start w:val="0"/>
      <w:numFmt w:val="bullet"/>
      <w:lvlText w:val="•"/>
      <w:lvlJc w:val="left"/>
      <w:pPr>
        <w:ind w:left="7315" w:hanging="356"/>
      </w:pPr>
      <w:rPr>
        <w:rFonts w:hint="default"/>
      </w:rPr>
    </w:lvl>
    <w:lvl w:ilvl="8" w:tentative="0">
      <w:start w:val="0"/>
      <w:numFmt w:val="bullet"/>
      <w:lvlText w:val="•"/>
      <w:lvlJc w:val="left"/>
      <w:pPr>
        <w:ind w:left="8160" w:hanging="356"/>
      </w:pPr>
      <w:rPr>
        <w:rFonts w:hint="default"/>
      </w:rPr>
    </w:lvl>
  </w:abstractNum>
  <w:abstractNum w:abstractNumId="3">
    <w:nsid w:val="8D578305"/>
    <w:multiLevelType w:val="singleLevel"/>
    <w:tmpl w:val="8D578305"/>
    <w:lvl w:ilvl="0" w:tentative="0">
      <w:start w:val="1"/>
      <w:numFmt w:val="chineseCounting"/>
      <w:suff w:val="nothing"/>
      <w:lvlText w:val="%1、"/>
      <w:lvlJc w:val="left"/>
      <w:rPr>
        <w:rFonts w:hint="eastAsia"/>
      </w:rPr>
    </w:lvl>
  </w:abstractNum>
  <w:abstractNum w:abstractNumId="4">
    <w:nsid w:val="9288B902"/>
    <w:multiLevelType w:val="multilevel"/>
    <w:tmpl w:val="9288B902"/>
    <w:lvl w:ilvl="0" w:tentative="0">
      <w:start w:val="1"/>
      <w:numFmt w:val="decimal"/>
      <w:lvlText w:val="（%1）"/>
      <w:lvlJc w:val="left"/>
      <w:pPr>
        <w:ind w:left="1471" w:hanging="603"/>
      </w:pPr>
      <w:rPr>
        <w:rFonts w:hint="default" w:ascii="宋体" w:hAnsi="宋体" w:eastAsia="宋体"/>
        <w:spacing w:val="-41"/>
        <w:w w:val="100"/>
        <w:sz w:val="22"/>
        <w:szCs w:val="22"/>
      </w:rPr>
    </w:lvl>
    <w:lvl w:ilvl="1" w:tentative="0">
      <w:start w:val="0"/>
      <w:numFmt w:val="bullet"/>
      <w:lvlText w:val="•"/>
      <w:lvlJc w:val="left"/>
      <w:pPr>
        <w:ind w:left="2317" w:hanging="603"/>
      </w:pPr>
      <w:rPr>
        <w:rFonts w:hint="default"/>
      </w:rPr>
    </w:lvl>
    <w:lvl w:ilvl="2" w:tentative="0">
      <w:start w:val="0"/>
      <w:numFmt w:val="bullet"/>
      <w:lvlText w:val="•"/>
      <w:lvlJc w:val="left"/>
      <w:pPr>
        <w:ind w:left="3154" w:hanging="603"/>
      </w:pPr>
      <w:rPr>
        <w:rFonts w:hint="default"/>
      </w:rPr>
    </w:lvl>
    <w:lvl w:ilvl="3" w:tentative="0">
      <w:start w:val="0"/>
      <w:numFmt w:val="bullet"/>
      <w:lvlText w:val="•"/>
      <w:lvlJc w:val="left"/>
      <w:pPr>
        <w:ind w:left="3991" w:hanging="603"/>
      </w:pPr>
      <w:rPr>
        <w:rFonts w:hint="default"/>
      </w:rPr>
    </w:lvl>
    <w:lvl w:ilvl="4" w:tentative="0">
      <w:start w:val="0"/>
      <w:numFmt w:val="bullet"/>
      <w:lvlText w:val="•"/>
      <w:lvlJc w:val="left"/>
      <w:pPr>
        <w:ind w:left="4828" w:hanging="603"/>
      </w:pPr>
      <w:rPr>
        <w:rFonts w:hint="default"/>
      </w:rPr>
    </w:lvl>
    <w:lvl w:ilvl="5" w:tentative="0">
      <w:start w:val="0"/>
      <w:numFmt w:val="bullet"/>
      <w:lvlText w:val="•"/>
      <w:lvlJc w:val="left"/>
      <w:pPr>
        <w:ind w:left="5665" w:hanging="603"/>
      </w:pPr>
      <w:rPr>
        <w:rFonts w:hint="default"/>
      </w:rPr>
    </w:lvl>
    <w:lvl w:ilvl="6" w:tentative="0">
      <w:start w:val="0"/>
      <w:numFmt w:val="bullet"/>
      <w:lvlText w:val="•"/>
      <w:lvlJc w:val="left"/>
      <w:pPr>
        <w:ind w:left="6502" w:hanging="603"/>
      </w:pPr>
      <w:rPr>
        <w:rFonts w:hint="default"/>
      </w:rPr>
    </w:lvl>
    <w:lvl w:ilvl="7" w:tentative="0">
      <w:start w:val="0"/>
      <w:numFmt w:val="bullet"/>
      <w:lvlText w:val="•"/>
      <w:lvlJc w:val="left"/>
      <w:pPr>
        <w:ind w:left="7339" w:hanging="603"/>
      </w:pPr>
      <w:rPr>
        <w:rFonts w:hint="default"/>
      </w:rPr>
    </w:lvl>
    <w:lvl w:ilvl="8" w:tentative="0">
      <w:start w:val="0"/>
      <w:numFmt w:val="bullet"/>
      <w:lvlText w:val="•"/>
      <w:lvlJc w:val="left"/>
      <w:pPr>
        <w:ind w:left="8176" w:hanging="603"/>
      </w:pPr>
      <w:rPr>
        <w:rFonts w:hint="default"/>
      </w:rPr>
    </w:lvl>
  </w:abstractNum>
  <w:abstractNum w:abstractNumId="5">
    <w:nsid w:val="9C8AC8EF"/>
    <w:multiLevelType w:val="multilevel"/>
    <w:tmpl w:val="9C8AC8EF"/>
    <w:lvl w:ilvl="0" w:tentative="0">
      <w:start w:val="1"/>
      <w:numFmt w:val="decimal"/>
      <w:lvlText w:val="（%1）"/>
      <w:lvlJc w:val="left"/>
      <w:pPr>
        <w:ind w:left="508" w:hanging="522"/>
      </w:pPr>
      <w:rPr>
        <w:rFonts w:hint="default" w:ascii="宋体" w:hAnsi="宋体" w:eastAsia="宋体"/>
        <w:spacing w:val="-8"/>
        <w:w w:val="99"/>
        <w:sz w:val="19"/>
        <w:szCs w:val="19"/>
      </w:rPr>
    </w:lvl>
    <w:lvl w:ilvl="1" w:tentative="0">
      <w:start w:val="0"/>
      <w:numFmt w:val="bullet"/>
      <w:lvlText w:val="•"/>
      <w:lvlJc w:val="left"/>
      <w:pPr>
        <w:ind w:left="1435" w:hanging="522"/>
      </w:pPr>
      <w:rPr>
        <w:rFonts w:hint="default"/>
      </w:rPr>
    </w:lvl>
    <w:lvl w:ilvl="2" w:tentative="0">
      <w:start w:val="0"/>
      <w:numFmt w:val="bullet"/>
      <w:lvlText w:val="•"/>
      <w:lvlJc w:val="left"/>
      <w:pPr>
        <w:ind w:left="2370" w:hanging="522"/>
      </w:pPr>
      <w:rPr>
        <w:rFonts w:hint="default"/>
      </w:rPr>
    </w:lvl>
    <w:lvl w:ilvl="3" w:tentative="0">
      <w:start w:val="0"/>
      <w:numFmt w:val="bullet"/>
      <w:lvlText w:val="•"/>
      <w:lvlJc w:val="left"/>
      <w:pPr>
        <w:ind w:left="3305" w:hanging="522"/>
      </w:pPr>
      <w:rPr>
        <w:rFonts w:hint="default"/>
      </w:rPr>
    </w:lvl>
    <w:lvl w:ilvl="4" w:tentative="0">
      <w:start w:val="0"/>
      <w:numFmt w:val="bullet"/>
      <w:lvlText w:val="•"/>
      <w:lvlJc w:val="left"/>
      <w:pPr>
        <w:ind w:left="4240" w:hanging="522"/>
      </w:pPr>
      <w:rPr>
        <w:rFonts w:hint="default"/>
      </w:rPr>
    </w:lvl>
    <w:lvl w:ilvl="5" w:tentative="0">
      <w:start w:val="0"/>
      <w:numFmt w:val="bullet"/>
      <w:lvlText w:val="•"/>
      <w:lvlJc w:val="left"/>
      <w:pPr>
        <w:ind w:left="5175" w:hanging="522"/>
      </w:pPr>
      <w:rPr>
        <w:rFonts w:hint="default"/>
      </w:rPr>
    </w:lvl>
    <w:lvl w:ilvl="6" w:tentative="0">
      <w:start w:val="0"/>
      <w:numFmt w:val="bullet"/>
      <w:lvlText w:val="•"/>
      <w:lvlJc w:val="left"/>
      <w:pPr>
        <w:ind w:left="6110" w:hanging="522"/>
      </w:pPr>
      <w:rPr>
        <w:rFonts w:hint="default"/>
      </w:rPr>
    </w:lvl>
    <w:lvl w:ilvl="7" w:tentative="0">
      <w:start w:val="0"/>
      <w:numFmt w:val="bullet"/>
      <w:lvlText w:val="•"/>
      <w:lvlJc w:val="left"/>
      <w:pPr>
        <w:ind w:left="7045" w:hanging="522"/>
      </w:pPr>
      <w:rPr>
        <w:rFonts w:hint="default"/>
      </w:rPr>
    </w:lvl>
    <w:lvl w:ilvl="8" w:tentative="0">
      <w:start w:val="0"/>
      <w:numFmt w:val="bullet"/>
      <w:lvlText w:val="•"/>
      <w:lvlJc w:val="left"/>
      <w:pPr>
        <w:ind w:left="7980" w:hanging="522"/>
      </w:pPr>
      <w:rPr>
        <w:rFonts w:hint="default"/>
      </w:rPr>
    </w:lvl>
  </w:abstractNum>
  <w:abstractNum w:abstractNumId="6">
    <w:nsid w:val="9D7EB8E6"/>
    <w:multiLevelType w:val="multilevel"/>
    <w:tmpl w:val="9D7EB8E6"/>
    <w:lvl w:ilvl="0" w:tentative="0">
      <w:start w:val="1"/>
      <w:numFmt w:val="decimal"/>
      <w:lvlText w:val="（%1）"/>
      <w:lvlJc w:val="left"/>
      <w:pPr>
        <w:ind w:left="112" w:hanging="536"/>
      </w:pPr>
      <w:rPr>
        <w:rFonts w:hint="default" w:ascii="宋体" w:hAnsi="宋体" w:eastAsia="宋体"/>
        <w:spacing w:val="0"/>
        <w:w w:val="100"/>
        <w:sz w:val="19"/>
        <w:szCs w:val="19"/>
      </w:rPr>
    </w:lvl>
    <w:lvl w:ilvl="1" w:tentative="0">
      <w:start w:val="0"/>
      <w:numFmt w:val="bullet"/>
      <w:lvlText w:val="•"/>
      <w:lvlJc w:val="left"/>
      <w:pPr>
        <w:ind w:left="809" w:hanging="536"/>
      </w:pPr>
      <w:rPr>
        <w:rFonts w:hint="default"/>
      </w:rPr>
    </w:lvl>
    <w:lvl w:ilvl="2" w:tentative="0">
      <w:start w:val="0"/>
      <w:numFmt w:val="bullet"/>
      <w:lvlText w:val="•"/>
      <w:lvlJc w:val="left"/>
      <w:pPr>
        <w:ind w:left="1498" w:hanging="536"/>
      </w:pPr>
      <w:rPr>
        <w:rFonts w:hint="default"/>
      </w:rPr>
    </w:lvl>
    <w:lvl w:ilvl="3" w:tentative="0">
      <w:start w:val="0"/>
      <w:numFmt w:val="bullet"/>
      <w:lvlText w:val="•"/>
      <w:lvlJc w:val="left"/>
      <w:pPr>
        <w:ind w:left="2187" w:hanging="536"/>
      </w:pPr>
      <w:rPr>
        <w:rFonts w:hint="default"/>
      </w:rPr>
    </w:lvl>
    <w:lvl w:ilvl="4" w:tentative="0">
      <w:start w:val="0"/>
      <w:numFmt w:val="bullet"/>
      <w:lvlText w:val="•"/>
      <w:lvlJc w:val="left"/>
      <w:pPr>
        <w:ind w:left="2876" w:hanging="536"/>
      </w:pPr>
      <w:rPr>
        <w:rFonts w:hint="default"/>
      </w:rPr>
    </w:lvl>
    <w:lvl w:ilvl="5" w:tentative="0">
      <w:start w:val="0"/>
      <w:numFmt w:val="bullet"/>
      <w:lvlText w:val="•"/>
      <w:lvlJc w:val="left"/>
      <w:pPr>
        <w:ind w:left="3565" w:hanging="536"/>
      </w:pPr>
      <w:rPr>
        <w:rFonts w:hint="default"/>
      </w:rPr>
    </w:lvl>
    <w:lvl w:ilvl="6" w:tentative="0">
      <w:start w:val="0"/>
      <w:numFmt w:val="bullet"/>
      <w:lvlText w:val="•"/>
      <w:lvlJc w:val="left"/>
      <w:pPr>
        <w:ind w:left="4254" w:hanging="536"/>
      </w:pPr>
      <w:rPr>
        <w:rFonts w:hint="default"/>
      </w:rPr>
    </w:lvl>
    <w:lvl w:ilvl="7" w:tentative="0">
      <w:start w:val="0"/>
      <w:numFmt w:val="bullet"/>
      <w:lvlText w:val="•"/>
      <w:lvlJc w:val="left"/>
      <w:pPr>
        <w:ind w:left="4943" w:hanging="536"/>
      </w:pPr>
      <w:rPr>
        <w:rFonts w:hint="default"/>
      </w:rPr>
    </w:lvl>
    <w:lvl w:ilvl="8" w:tentative="0">
      <w:start w:val="0"/>
      <w:numFmt w:val="bullet"/>
      <w:lvlText w:val="•"/>
      <w:lvlJc w:val="left"/>
      <w:pPr>
        <w:ind w:left="5632" w:hanging="536"/>
      </w:pPr>
      <w:rPr>
        <w:rFonts w:hint="default"/>
      </w:rPr>
    </w:lvl>
  </w:abstractNum>
  <w:abstractNum w:abstractNumId="7">
    <w:nsid w:val="AA3FE946"/>
    <w:multiLevelType w:val="singleLevel"/>
    <w:tmpl w:val="AA3FE946"/>
    <w:lvl w:ilvl="0" w:tentative="0">
      <w:start w:val="1"/>
      <w:numFmt w:val="chineseCounting"/>
      <w:suff w:val="nothing"/>
      <w:lvlText w:val="%1、"/>
      <w:lvlJc w:val="left"/>
      <w:rPr>
        <w:rFonts w:hint="eastAsia"/>
      </w:rPr>
    </w:lvl>
  </w:abstractNum>
  <w:abstractNum w:abstractNumId="8">
    <w:nsid w:val="B0F1ACD9"/>
    <w:multiLevelType w:val="multilevel"/>
    <w:tmpl w:val="B0F1ACD9"/>
    <w:lvl w:ilvl="0" w:tentative="0">
      <w:start w:val="1"/>
      <w:numFmt w:val="decimal"/>
      <w:lvlText w:val="（%1）"/>
      <w:lvlJc w:val="left"/>
      <w:pPr>
        <w:ind w:left="139" w:hanging="518"/>
      </w:pPr>
      <w:rPr>
        <w:rFonts w:hint="default" w:ascii="宋体" w:hAnsi="宋体" w:eastAsia="宋体"/>
        <w:spacing w:val="-27"/>
        <w:w w:val="99"/>
        <w:sz w:val="19"/>
        <w:szCs w:val="19"/>
      </w:rPr>
    </w:lvl>
    <w:lvl w:ilvl="1" w:tentative="0">
      <w:start w:val="0"/>
      <w:numFmt w:val="bullet"/>
      <w:lvlText w:val="•"/>
      <w:lvlJc w:val="left"/>
      <w:pPr>
        <w:ind w:left="1111" w:hanging="518"/>
      </w:pPr>
      <w:rPr>
        <w:rFonts w:hint="default"/>
      </w:rPr>
    </w:lvl>
    <w:lvl w:ilvl="2" w:tentative="0">
      <w:start w:val="0"/>
      <w:numFmt w:val="bullet"/>
      <w:lvlText w:val="•"/>
      <w:lvlJc w:val="left"/>
      <w:pPr>
        <w:ind w:left="2082" w:hanging="518"/>
      </w:pPr>
      <w:rPr>
        <w:rFonts w:hint="default"/>
      </w:rPr>
    </w:lvl>
    <w:lvl w:ilvl="3" w:tentative="0">
      <w:start w:val="0"/>
      <w:numFmt w:val="bullet"/>
      <w:lvlText w:val="•"/>
      <w:lvlJc w:val="left"/>
      <w:pPr>
        <w:ind w:left="3053" w:hanging="518"/>
      </w:pPr>
      <w:rPr>
        <w:rFonts w:hint="default"/>
      </w:rPr>
    </w:lvl>
    <w:lvl w:ilvl="4" w:tentative="0">
      <w:start w:val="0"/>
      <w:numFmt w:val="bullet"/>
      <w:lvlText w:val="•"/>
      <w:lvlJc w:val="left"/>
      <w:pPr>
        <w:ind w:left="4024" w:hanging="518"/>
      </w:pPr>
      <w:rPr>
        <w:rFonts w:hint="default"/>
      </w:rPr>
    </w:lvl>
    <w:lvl w:ilvl="5" w:tentative="0">
      <w:start w:val="0"/>
      <w:numFmt w:val="bullet"/>
      <w:lvlText w:val="•"/>
      <w:lvlJc w:val="left"/>
      <w:pPr>
        <w:ind w:left="4995" w:hanging="518"/>
      </w:pPr>
      <w:rPr>
        <w:rFonts w:hint="default"/>
      </w:rPr>
    </w:lvl>
    <w:lvl w:ilvl="6" w:tentative="0">
      <w:start w:val="0"/>
      <w:numFmt w:val="bullet"/>
      <w:lvlText w:val="•"/>
      <w:lvlJc w:val="left"/>
      <w:pPr>
        <w:ind w:left="5966" w:hanging="518"/>
      </w:pPr>
      <w:rPr>
        <w:rFonts w:hint="default"/>
      </w:rPr>
    </w:lvl>
    <w:lvl w:ilvl="7" w:tentative="0">
      <w:start w:val="0"/>
      <w:numFmt w:val="bullet"/>
      <w:lvlText w:val="•"/>
      <w:lvlJc w:val="left"/>
      <w:pPr>
        <w:ind w:left="6937" w:hanging="518"/>
      </w:pPr>
      <w:rPr>
        <w:rFonts w:hint="default"/>
      </w:rPr>
    </w:lvl>
    <w:lvl w:ilvl="8" w:tentative="0">
      <w:start w:val="0"/>
      <w:numFmt w:val="bullet"/>
      <w:lvlText w:val="•"/>
      <w:lvlJc w:val="left"/>
      <w:pPr>
        <w:ind w:left="7908" w:hanging="518"/>
      </w:pPr>
      <w:rPr>
        <w:rFonts w:hint="default"/>
      </w:rPr>
    </w:lvl>
  </w:abstractNum>
  <w:abstractNum w:abstractNumId="9">
    <w:nsid w:val="B5E306ED"/>
    <w:multiLevelType w:val="multilevel"/>
    <w:tmpl w:val="B5E306ED"/>
    <w:lvl w:ilvl="0" w:tentative="0">
      <w:start w:val="2"/>
      <w:numFmt w:val="decimal"/>
      <w:lvlText w:val="（%1）"/>
      <w:lvlJc w:val="left"/>
      <w:pPr>
        <w:ind w:left="528" w:hanging="525"/>
      </w:pPr>
      <w:rPr>
        <w:rFonts w:hint="default" w:ascii="宋体" w:hAnsi="宋体" w:eastAsia="宋体"/>
        <w:spacing w:val="-2"/>
        <w:w w:val="99"/>
        <w:sz w:val="19"/>
        <w:szCs w:val="19"/>
      </w:rPr>
    </w:lvl>
    <w:lvl w:ilvl="1" w:tentative="0">
      <w:start w:val="0"/>
      <w:numFmt w:val="bullet"/>
      <w:lvlText w:val="•"/>
      <w:lvlJc w:val="left"/>
      <w:pPr>
        <w:ind w:left="1062" w:hanging="525"/>
      </w:pPr>
      <w:rPr>
        <w:rFonts w:hint="default"/>
      </w:rPr>
    </w:lvl>
    <w:lvl w:ilvl="2" w:tentative="0">
      <w:start w:val="0"/>
      <w:numFmt w:val="bullet"/>
      <w:lvlText w:val="•"/>
      <w:lvlJc w:val="left"/>
      <w:pPr>
        <w:ind w:left="1604" w:hanging="525"/>
      </w:pPr>
      <w:rPr>
        <w:rFonts w:hint="default"/>
      </w:rPr>
    </w:lvl>
    <w:lvl w:ilvl="3" w:tentative="0">
      <w:start w:val="0"/>
      <w:numFmt w:val="bullet"/>
      <w:lvlText w:val="•"/>
      <w:lvlJc w:val="left"/>
      <w:pPr>
        <w:ind w:left="2146" w:hanging="525"/>
      </w:pPr>
      <w:rPr>
        <w:rFonts w:hint="default"/>
      </w:rPr>
    </w:lvl>
    <w:lvl w:ilvl="4" w:tentative="0">
      <w:start w:val="0"/>
      <w:numFmt w:val="bullet"/>
      <w:lvlText w:val="•"/>
      <w:lvlJc w:val="left"/>
      <w:pPr>
        <w:ind w:left="2688" w:hanging="525"/>
      </w:pPr>
      <w:rPr>
        <w:rFonts w:hint="default"/>
      </w:rPr>
    </w:lvl>
    <w:lvl w:ilvl="5" w:tentative="0">
      <w:start w:val="0"/>
      <w:numFmt w:val="bullet"/>
      <w:lvlText w:val="•"/>
      <w:lvlJc w:val="left"/>
      <w:pPr>
        <w:ind w:left="3230" w:hanging="525"/>
      </w:pPr>
      <w:rPr>
        <w:rFonts w:hint="default"/>
      </w:rPr>
    </w:lvl>
    <w:lvl w:ilvl="6" w:tentative="0">
      <w:start w:val="0"/>
      <w:numFmt w:val="bullet"/>
      <w:lvlText w:val="•"/>
      <w:lvlJc w:val="left"/>
      <w:pPr>
        <w:ind w:left="3772" w:hanging="525"/>
      </w:pPr>
      <w:rPr>
        <w:rFonts w:hint="default"/>
      </w:rPr>
    </w:lvl>
    <w:lvl w:ilvl="7" w:tentative="0">
      <w:start w:val="0"/>
      <w:numFmt w:val="bullet"/>
      <w:lvlText w:val="•"/>
      <w:lvlJc w:val="left"/>
      <w:pPr>
        <w:ind w:left="4314" w:hanging="525"/>
      </w:pPr>
      <w:rPr>
        <w:rFonts w:hint="default"/>
      </w:rPr>
    </w:lvl>
    <w:lvl w:ilvl="8" w:tentative="0">
      <w:start w:val="0"/>
      <w:numFmt w:val="bullet"/>
      <w:lvlText w:val="•"/>
      <w:lvlJc w:val="left"/>
      <w:pPr>
        <w:ind w:left="4856" w:hanging="525"/>
      </w:pPr>
      <w:rPr>
        <w:rFonts w:hint="default"/>
      </w:rPr>
    </w:lvl>
  </w:abstractNum>
  <w:abstractNum w:abstractNumId="10">
    <w:nsid w:val="B8CEF35B"/>
    <w:multiLevelType w:val="multilevel"/>
    <w:tmpl w:val="B8CEF35B"/>
    <w:lvl w:ilvl="0" w:tentative="0">
      <w:start w:val="1"/>
      <w:numFmt w:val="decimal"/>
      <w:lvlText w:val="%1."/>
      <w:lvlJc w:val="left"/>
      <w:pPr>
        <w:ind w:left="984" w:hanging="420"/>
      </w:pPr>
      <w:rPr>
        <w:rFonts w:hint="default" w:ascii="黑体" w:hAnsi="黑体" w:eastAsia="黑体"/>
        <w:spacing w:val="0"/>
        <w:w w:val="100"/>
        <w:sz w:val="28"/>
        <w:szCs w:val="28"/>
      </w:rPr>
    </w:lvl>
    <w:lvl w:ilvl="1" w:tentative="0">
      <w:start w:val="1"/>
      <w:numFmt w:val="decimal"/>
      <w:lvlText w:val="%1.%2"/>
      <w:lvlJc w:val="left"/>
      <w:pPr>
        <w:ind w:left="984" w:hanging="420"/>
      </w:pPr>
      <w:rPr>
        <w:rFonts w:hint="default"/>
        <w:w w:val="100"/>
      </w:rPr>
    </w:lvl>
    <w:lvl w:ilvl="2" w:tentative="0">
      <w:start w:val="1"/>
      <w:numFmt w:val="decimal"/>
      <w:lvlText w:val="%1.%2.%3"/>
      <w:lvlJc w:val="left"/>
      <w:pPr>
        <w:ind w:left="1761" w:hanging="420"/>
      </w:pPr>
      <w:rPr>
        <w:rFonts w:hint="default" w:ascii="宋体" w:hAnsi="宋体" w:eastAsia="宋体"/>
        <w:w w:val="100"/>
        <w:sz w:val="24"/>
        <w:szCs w:val="24"/>
      </w:rPr>
    </w:lvl>
    <w:lvl w:ilvl="3" w:tentative="0">
      <w:start w:val="0"/>
      <w:numFmt w:val="bullet"/>
      <w:lvlText w:val="•"/>
      <w:lvlJc w:val="left"/>
      <w:pPr>
        <w:ind w:left="1760" w:hanging="420"/>
      </w:pPr>
      <w:rPr>
        <w:rFonts w:hint="default"/>
      </w:rPr>
    </w:lvl>
    <w:lvl w:ilvl="4" w:tentative="0">
      <w:start w:val="0"/>
      <w:numFmt w:val="bullet"/>
      <w:lvlText w:val="•"/>
      <w:lvlJc w:val="left"/>
      <w:pPr>
        <w:ind w:left="2915" w:hanging="420"/>
      </w:pPr>
      <w:rPr>
        <w:rFonts w:hint="default"/>
      </w:rPr>
    </w:lvl>
    <w:lvl w:ilvl="5" w:tentative="0">
      <w:start w:val="0"/>
      <w:numFmt w:val="bullet"/>
      <w:lvlText w:val="•"/>
      <w:lvlJc w:val="left"/>
      <w:pPr>
        <w:ind w:left="4071" w:hanging="420"/>
      </w:pPr>
      <w:rPr>
        <w:rFonts w:hint="default"/>
      </w:rPr>
    </w:lvl>
    <w:lvl w:ilvl="6" w:tentative="0">
      <w:start w:val="0"/>
      <w:numFmt w:val="bullet"/>
      <w:lvlText w:val="•"/>
      <w:lvlJc w:val="left"/>
      <w:pPr>
        <w:ind w:left="5227" w:hanging="420"/>
      </w:pPr>
      <w:rPr>
        <w:rFonts w:hint="default"/>
      </w:rPr>
    </w:lvl>
    <w:lvl w:ilvl="7" w:tentative="0">
      <w:start w:val="0"/>
      <w:numFmt w:val="bullet"/>
      <w:lvlText w:val="•"/>
      <w:lvlJc w:val="left"/>
      <w:pPr>
        <w:ind w:left="6382" w:hanging="420"/>
      </w:pPr>
      <w:rPr>
        <w:rFonts w:hint="default"/>
      </w:rPr>
    </w:lvl>
    <w:lvl w:ilvl="8" w:tentative="0">
      <w:start w:val="0"/>
      <w:numFmt w:val="bullet"/>
      <w:lvlText w:val="•"/>
      <w:lvlJc w:val="left"/>
      <w:pPr>
        <w:ind w:left="7538" w:hanging="420"/>
      </w:pPr>
      <w:rPr>
        <w:rFonts w:hint="default"/>
      </w:rPr>
    </w:lvl>
  </w:abstractNum>
  <w:abstractNum w:abstractNumId="11">
    <w:nsid w:val="B97BBC29"/>
    <w:multiLevelType w:val="singleLevel"/>
    <w:tmpl w:val="B97BBC29"/>
    <w:lvl w:ilvl="0" w:tentative="0">
      <w:start w:val="2"/>
      <w:numFmt w:val="upperLetter"/>
      <w:lvlText w:val="%1."/>
      <w:lvlJc w:val="left"/>
      <w:pPr>
        <w:tabs>
          <w:tab w:val="left" w:pos="312"/>
        </w:tabs>
      </w:pPr>
    </w:lvl>
  </w:abstractNum>
  <w:abstractNum w:abstractNumId="12">
    <w:nsid w:val="BC267377"/>
    <w:multiLevelType w:val="multilevel"/>
    <w:tmpl w:val="BC267377"/>
    <w:lvl w:ilvl="0" w:tentative="0">
      <w:start w:val="1"/>
      <w:numFmt w:val="decimal"/>
      <w:lvlText w:val="%1."/>
      <w:lvlJc w:val="left"/>
      <w:pPr>
        <w:ind w:left="224" w:hanging="160"/>
      </w:pPr>
      <w:rPr>
        <w:rFonts w:hint="default" w:ascii="Times New Roman" w:hAnsi="Times New Roman" w:eastAsia="Times New Roman"/>
        <w:w w:val="100"/>
        <w:sz w:val="19"/>
        <w:szCs w:val="19"/>
      </w:rPr>
    </w:lvl>
    <w:lvl w:ilvl="1" w:tentative="0">
      <w:start w:val="0"/>
      <w:numFmt w:val="bullet"/>
      <w:lvlText w:val="•"/>
      <w:lvlJc w:val="left"/>
      <w:pPr>
        <w:ind w:left="1116" w:hanging="160"/>
      </w:pPr>
      <w:rPr>
        <w:rFonts w:hint="default"/>
      </w:rPr>
    </w:lvl>
    <w:lvl w:ilvl="2" w:tentative="0">
      <w:start w:val="0"/>
      <w:numFmt w:val="bullet"/>
      <w:lvlText w:val="•"/>
      <w:lvlJc w:val="left"/>
      <w:pPr>
        <w:ind w:left="2013" w:hanging="160"/>
      </w:pPr>
      <w:rPr>
        <w:rFonts w:hint="default"/>
      </w:rPr>
    </w:lvl>
    <w:lvl w:ilvl="3" w:tentative="0">
      <w:start w:val="0"/>
      <w:numFmt w:val="bullet"/>
      <w:lvlText w:val="•"/>
      <w:lvlJc w:val="left"/>
      <w:pPr>
        <w:ind w:left="2909" w:hanging="160"/>
      </w:pPr>
      <w:rPr>
        <w:rFonts w:hint="default"/>
      </w:rPr>
    </w:lvl>
    <w:lvl w:ilvl="4" w:tentative="0">
      <w:start w:val="0"/>
      <w:numFmt w:val="bullet"/>
      <w:lvlText w:val="•"/>
      <w:lvlJc w:val="left"/>
      <w:pPr>
        <w:ind w:left="3806" w:hanging="160"/>
      </w:pPr>
      <w:rPr>
        <w:rFonts w:hint="default"/>
      </w:rPr>
    </w:lvl>
    <w:lvl w:ilvl="5" w:tentative="0">
      <w:start w:val="0"/>
      <w:numFmt w:val="bullet"/>
      <w:lvlText w:val="•"/>
      <w:lvlJc w:val="left"/>
      <w:pPr>
        <w:ind w:left="4703" w:hanging="160"/>
      </w:pPr>
      <w:rPr>
        <w:rFonts w:hint="default"/>
      </w:rPr>
    </w:lvl>
    <w:lvl w:ilvl="6" w:tentative="0">
      <w:start w:val="0"/>
      <w:numFmt w:val="bullet"/>
      <w:lvlText w:val="•"/>
      <w:lvlJc w:val="left"/>
      <w:pPr>
        <w:ind w:left="5599" w:hanging="160"/>
      </w:pPr>
      <w:rPr>
        <w:rFonts w:hint="default"/>
      </w:rPr>
    </w:lvl>
    <w:lvl w:ilvl="7" w:tentative="0">
      <w:start w:val="0"/>
      <w:numFmt w:val="bullet"/>
      <w:lvlText w:val="•"/>
      <w:lvlJc w:val="left"/>
      <w:pPr>
        <w:ind w:left="6496" w:hanging="160"/>
      </w:pPr>
      <w:rPr>
        <w:rFonts w:hint="default"/>
      </w:rPr>
    </w:lvl>
    <w:lvl w:ilvl="8" w:tentative="0">
      <w:start w:val="0"/>
      <w:numFmt w:val="bullet"/>
      <w:lvlText w:val="•"/>
      <w:lvlJc w:val="left"/>
      <w:pPr>
        <w:ind w:left="7393" w:hanging="160"/>
      </w:pPr>
      <w:rPr>
        <w:rFonts w:hint="default"/>
      </w:rPr>
    </w:lvl>
  </w:abstractNum>
  <w:abstractNum w:abstractNumId="13">
    <w:nsid w:val="BE923771"/>
    <w:multiLevelType w:val="multilevel"/>
    <w:tmpl w:val="BE923771"/>
    <w:lvl w:ilvl="0" w:tentative="0">
      <w:start w:val="1"/>
      <w:numFmt w:val="decimal"/>
      <w:lvlText w:val="（%1）"/>
      <w:lvlJc w:val="left"/>
      <w:pPr>
        <w:ind w:left="1588" w:hanging="684"/>
      </w:pPr>
      <w:rPr>
        <w:rFonts w:hint="default" w:ascii="宋体" w:hAnsi="宋体" w:eastAsia="宋体"/>
        <w:spacing w:val="-8"/>
        <w:w w:val="99"/>
        <w:sz w:val="21"/>
        <w:szCs w:val="21"/>
      </w:rPr>
    </w:lvl>
    <w:lvl w:ilvl="1" w:tentative="0">
      <w:start w:val="0"/>
      <w:numFmt w:val="bullet"/>
      <w:lvlText w:val="•"/>
      <w:lvlJc w:val="left"/>
      <w:pPr>
        <w:ind w:left="2407" w:hanging="684"/>
      </w:pPr>
      <w:rPr>
        <w:rFonts w:hint="default"/>
      </w:rPr>
    </w:lvl>
    <w:lvl w:ilvl="2" w:tentative="0">
      <w:start w:val="0"/>
      <w:numFmt w:val="bullet"/>
      <w:lvlText w:val="•"/>
      <w:lvlJc w:val="left"/>
      <w:pPr>
        <w:ind w:left="3234" w:hanging="684"/>
      </w:pPr>
      <w:rPr>
        <w:rFonts w:hint="default"/>
      </w:rPr>
    </w:lvl>
    <w:lvl w:ilvl="3" w:tentative="0">
      <w:start w:val="0"/>
      <w:numFmt w:val="bullet"/>
      <w:lvlText w:val="•"/>
      <w:lvlJc w:val="left"/>
      <w:pPr>
        <w:ind w:left="4061" w:hanging="684"/>
      </w:pPr>
      <w:rPr>
        <w:rFonts w:hint="default"/>
      </w:rPr>
    </w:lvl>
    <w:lvl w:ilvl="4" w:tentative="0">
      <w:start w:val="0"/>
      <w:numFmt w:val="bullet"/>
      <w:lvlText w:val="•"/>
      <w:lvlJc w:val="left"/>
      <w:pPr>
        <w:ind w:left="4888" w:hanging="684"/>
      </w:pPr>
      <w:rPr>
        <w:rFonts w:hint="default"/>
      </w:rPr>
    </w:lvl>
    <w:lvl w:ilvl="5" w:tentative="0">
      <w:start w:val="0"/>
      <w:numFmt w:val="bullet"/>
      <w:lvlText w:val="•"/>
      <w:lvlJc w:val="left"/>
      <w:pPr>
        <w:ind w:left="5715" w:hanging="684"/>
      </w:pPr>
      <w:rPr>
        <w:rFonts w:hint="default"/>
      </w:rPr>
    </w:lvl>
    <w:lvl w:ilvl="6" w:tentative="0">
      <w:start w:val="0"/>
      <w:numFmt w:val="bullet"/>
      <w:lvlText w:val="•"/>
      <w:lvlJc w:val="left"/>
      <w:pPr>
        <w:ind w:left="6542" w:hanging="684"/>
      </w:pPr>
      <w:rPr>
        <w:rFonts w:hint="default"/>
      </w:rPr>
    </w:lvl>
    <w:lvl w:ilvl="7" w:tentative="0">
      <w:start w:val="0"/>
      <w:numFmt w:val="bullet"/>
      <w:lvlText w:val="•"/>
      <w:lvlJc w:val="left"/>
      <w:pPr>
        <w:ind w:left="7369" w:hanging="684"/>
      </w:pPr>
      <w:rPr>
        <w:rFonts w:hint="default"/>
      </w:rPr>
    </w:lvl>
    <w:lvl w:ilvl="8" w:tentative="0">
      <w:start w:val="0"/>
      <w:numFmt w:val="bullet"/>
      <w:lvlText w:val="•"/>
      <w:lvlJc w:val="left"/>
      <w:pPr>
        <w:ind w:left="8196" w:hanging="684"/>
      </w:pPr>
      <w:rPr>
        <w:rFonts w:hint="default"/>
      </w:rPr>
    </w:lvl>
  </w:abstractNum>
  <w:abstractNum w:abstractNumId="14">
    <w:nsid w:val="C8879AEF"/>
    <w:multiLevelType w:val="multilevel"/>
    <w:tmpl w:val="C8879AEF"/>
    <w:lvl w:ilvl="0" w:tentative="0">
      <w:start w:val="1"/>
      <w:numFmt w:val="decimal"/>
      <w:lvlText w:val="（%1）"/>
      <w:lvlJc w:val="left"/>
      <w:pPr>
        <w:ind w:left="1471" w:hanging="603"/>
      </w:pPr>
      <w:rPr>
        <w:rFonts w:hint="default" w:ascii="宋体" w:hAnsi="宋体" w:eastAsia="宋体"/>
        <w:spacing w:val="-3"/>
        <w:w w:val="100"/>
        <w:sz w:val="22"/>
        <w:szCs w:val="22"/>
      </w:rPr>
    </w:lvl>
    <w:lvl w:ilvl="1" w:tentative="0">
      <w:start w:val="0"/>
      <w:numFmt w:val="bullet"/>
      <w:lvlText w:val="•"/>
      <w:lvlJc w:val="left"/>
      <w:pPr>
        <w:ind w:left="2317" w:hanging="603"/>
      </w:pPr>
      <w:rPr>
        <w:rFonts w:hint="default"/>
      </w:rPr>
    </w:lvl>
    <w:lvl w:ilvl="2" w:tentative="0">
      <w:start w:val="0"/>
      <w:numFmt w:val="bullet"/>
      <w:lvlText w:val="•"/>
      <w:lvlJc w:val="left"/>
      <w:pPr>
        <w:ind w:left="3154" w:hanging="603"/>
      </w:pPr>
      <w:rPr>
        <w:rFonts w:hint="default"/>
      </w:rPr>
    </w:lvl>
    <w:lvl w:ilvl="3" w:tentative="0">
      <w:start w:val="0"/>
      <w:numFmt w:val="bullet"/>
      <w:lvlText w:val="•"/>
      <w:lvlJc w:val="left"/>
      <w:pPr>
        <w:ind w:left="3991" w:hanging="603"/>
      </w:pPr>
      <w:rPr>
        <w:rFonts w:hint="default"/>
      </w:rPr>
    </w:lvl>
    <w:lvl w:ilvl="4" w:tentative="0">
      <w:start w:val="0"/>
      <w:numFmt w:val="bullet"/>
      <w:lvlText w:val="•"/>
      <w:lvlJc w:val="left"/>
      <w:pPr>
        <w:ind w:left="4828" w:hanging="603"/>
      </w:pPr>
      <w:rPr>
        <w:rFonts w:hint="default"/>
      </w:rPr>
    </w:lvl>
    <w:lvl w:ilvl="5" w:tentative="0">
      <w:start w:val="0"/>
      <w:numFmt w:val="bullet"/>
      <w:lvlText w:val="•"/>
      <w:lvlJc w:val="left"/>
      <w:pPr>
        <w:ind w:left="5665" w:hanging="603"/>
      </w:pPr>
      <w:rPr>
        <w:rFonts w:hint="default"/>
      </w:rPr>
    </w:lvl>
    <w:lvl w:ilvl="6" w:tentative="0">
      <w:start w:val="0"/>
      <w:numFmt w:val="bullet"/>
      <w:lvlText w:val="•"/>
      <w:lvlJc w:val="left"/>
      <w:pPr>
        <w:ind w:left="6502" w:hanging="603"/>
      </w:pPr>
      <w:rPr>
        <w:rFonts w:hint="default"/>
      </w:rPr>
    </w:lvl>
    <w:lvl w:ilvl="7" w:tentative="0">
      <w:start w:val="0"/>
      <w:numFmt w:val="bullet"/>
      <w:lvlText w:val="•"/>
      <w:lvlJc w:val="left"/>
      <w:pPr>
        <w:ind w:left="7339" w:hanging="603"/>
      </w:pPr>
      <w:rPr>
        <w:rFonts w:hint="default"/>
      </w:rPr>
    </w:lvl>
    <w:lvl w:ilvl="8" w:tentative="0">
      <w:start w:val="0"/>
      <w:numFmt w:val="bullet"/>
      <w:lvlText w:val="•"/>
      <w:lvlJc w:val="left"/>
      <w:pPr>
        <w:ind w:left="8176" w:hanging="603"/>
      </w:pPr>
      <w:rPr>
        <w:rFonts w:hint="default"/>
      </w:rPr>
    </w:lvl>
  </w:abstractNum>
  <w:abstractNum w:abstractNumId="15">
    <w:nsid w:val="CA02CB22"/>
    <w:multiLevelType w:val="singleLevel"/>
    <w:tmpl w:val="CA02CB22"/>
    <w:lvl w:ilvl="0" w:tentative="0">
      <w:start w:val="3"/>
      <w:numFmt w:val="decimal"/>
      <w:suff w:val="nothing"/>
      <w:lvlText w:val="（%1）"/>
      <w:lvlJc w:val="left"/>
    </w:lvl>
  </w:abstractNum>
  <w:abstractNum w:abstractNumId="16">
    <w:nsid w:val="CC73F532"/>
    <w:multiLevelType w:val="singleLevel"/>
    <w:tmpl w:val="CC73F532"/>
    <w:lvl w:ilvl="0" w:tentative="0">
      <w:start w:val="2"/>
      <w:numFmt w:val="upperLetter"/>
      <w:suff w:val="nothing"/>
      <w:lvlText w:val="%1、"/>
      <w:lvlJc w:val="left"/>
    </w:lvl>
  </w:abstractNum>
  <w:abstractNum w:abstractNumId="17">
    <w:nsid w:val="D7F9FE59"/>
    <w:multiLevelType w:val="multilevel"/>
    <w:tmpl w:val="D7F9FE59"/>
    <w:lvl w:ilvl="0" w:tentative="0">
      <w:start w:val="1"/>
      <w:numFmt w:val="decimal"/>
      <w:lvlText w:val="（%1）"/>
      <w:lvlJc w:val="left"/>
      <w:pPr>
        <w:ind w:left="508" w:hanging="525"/>
      </w:pPr>
      <w:rPr>
        <w:rFonts w:hint="default" w:ascii="宋体" w:hAnsi="宋体" w:eastAsia="宋体"/>
        <w:spacing w:val="-2"/>
        <w:w w:val="99"/>
        <w:sz w:val="19"/>
        <w:szCs w:val="19"/>
      </w:rPr>
    </w:lvl>
    <w:lvl w:ilvl="1" w:tentative="0">
      <w:start w:val="0"/>
      <w:numFmt w:val="bullet"/>
      <w:lvlText w:val="•"/>
      <w:lvlJc w:val="left"/>
      <w:pPr>
        <w:ind w:left="1435" w:hanging="525"/>
      </w:pPr>
      <w:rPr>
        <w:rFonts w:hint="default"/>
      </w:rPr>
    </w:lvl>
    <w:lvl w:ilvl="2" w:tentative="0">
      <w:start w:val="0"/>
      <w:numFmt w:val="bullet"/>
      <w:lvlText w:val="•"/>
      <w:lvlJc w:val="left"/>
      <w:pPr>
        <w:ind w:left="2370" w:hanging="525"/>
      </w:pPr>
      <w:rPr>
        <w:rFonts w:hint="default"/>
      </w:rPr>
    </w:lvl>
    <w:lvl w:ilvl="3" w:tentative="0">
      <w:start w:val="0"/>
      <w:numFmt w:val="bullet"/>
      <w:lvlText w:val="•"/>
      <w:lvlJc w:val="left"/>
      <w:pPr>
        <w:ind w:left="3305" w:hanging="525"/>
      </w:pPr>
      <w:rPr>
        <w:rFonts w:hint="default"/>
      </w:rPr>
    </w:lvl>
    <w:lvl w:ilvl="4" w:tentative="0">
      <w:start w:val="0"/>
      <w:numFmt w:val="bullet"/>
      <w:lvlText w:val="•"/>
      <w:lvlJc w:val="left"/>
      <w:pPr>
        <w:ind w:left="4240" w:hanging="525"/>
      </w:pPr>
      <w:rPr>
        <w:rFonts w:hint="default"/>
      </w:rPr>
    </w:lvl>
    <w:lvl w:ilvl="5" w:tentative="0">
      <w:start w:val="0"/>
      <w:numFmt w:val="bullet"/>
      <w:lvlText w:val="•"/>
      <w:lvlJc w:val="left"/>
      <w:pPr>
        <w:ind w:left="5175" w:hanging="525"/>
      </w:pPr>
      <w:rPr>
        <w:rFonts w:hint="default"/>
      </w:rPr>
    </w:lvl>
    <w:lvl w:ilvl="6" w:tentative="0">
      <w:start w:val="0"/>
      <w:numFmt w:val="bullet"/>
      <w:lvlText w:val="•"/>
      <w:lvlJc w:val="left"/>
      <w:pPr>
        <w:ind w:left="6110" w:hanging="525"/>
      </w:pPr>
      <w:rPr>
        <w:rFonts w:hint="default"/>
      </w:rPr>
    </w:lvl>
    <w:lvl w:ilvl="7" w:tentative="0">
      <w:start w:val="0"/>
      <w:numFmt w:val="bullet"/>
      <w:lvlText w:val="•"/>
      <w:lvlJc w:val="left"/>
      <w:pPr>
        <w:ind w:left="7045" w:hanging="525"/>
      </w:pPr>
      <w:rPr>
        <w:rFonts w:hint="default"/>
      </w:rPr>
    </w:lvl>
    <w:lvl w:ilvl="8" w:tentative="0">
      <w:start w:val="0"/>
      <w:numFmt w:val="bullet"/>
      <w:lvlText w:val="•"/>
      <w:lvlJc w:val="left"/>
      <w:pPr>
        <w:ind w:left="7980" w:hanging="525"/>
      </w:pPr>
      <w:rPr>
        <w:rFonts w:hint="default"/>
      </w:rPr>
    </w:lvl>
  </w:abstractNum>
  <w:abstractNum w:abstractNumId="18">
    <w:nsid w:val="DCBA6B53"/>
    <w:multiLevelType w:val="multilevel"/>
    <w:tmpl w:val="DCBA6B53"/>
    <w:lvl w:ilvl="0" w:tentative="0">
      <w:start w:val="1"/>
      <w:numFmt w:val="decimal"/>
      <w:lvlText w:val="（%1）"/>
      <w:lvlJc w:val="left"/>
      <w:pPr>
        <w:ind w:left="1033" w:hanging="525"/>
      </w:pPr>
      <w:rPr>
        <w:rFonts w:hint="default" w:ascii="宋体" w:hAnsi="宋体" w:eastAsia="宋体"/>
        <w:spacing w:val="-2"/>
        <w:w w:val="99"/>
        <w:sz w:val="19"/>
        <w:szCs w:val="19"/>
      </w:rPr>
    </w:lvl>
    <w:lvl w:ilvl="1" w:tentative="0">
      <w:start w:val="0"/>
      <w:numFmt w:val="bullet"/>
      <w:lvlText w:val="•"/>
      <w:lvlJc w:val="left"/>
      <w:pPr>
        <w:ind w:left="1921" w:hanging="525"/>
      </w:pPr>
      <w:rPr>
        <w:rFonts w:hint="default"/>
      </w:rPr>
    </w:lvl>
    <w:lvl w:ilvl="2" w:tentative="0">
      <w:start w:val="0"/>
      <w:numFmt w:val="bullet"/>
      <w:lvlText w:val="•"/>
      <w:lvlJc w:val="left"/>
      <w:pPr>
        <w:ind w:left="2802" w:hanging="525"/>
      </w:pPr>
      <w:rPr>
        <w:rFonts w:hint="default"/>
      </w:rPr>
    </w:lvl>
    <w:lvl w:ilvl="3" w:tentative="0">
      <w:start w:val="0"/>
      <w:numFmt w:val="bullet"/>
      <w:lvlText w:val="•"/>
      <w:lvlJc w:val="left"/>
      <w:pPr>
        <w:ind w:left="3683" w:hanging="525"/>
      </w:pPr>
      <w:rPr>
        <w:rFonts w:hint="default"/>
      </w:rPr>
    </w:lvl>
    <w:lvl w:ilvl="4" w:tentative="0">
      <w:start w:val="0"/>
      <w:numFmt w:val="bullet"/>
      <w:lvlText w:val="•"/>
      <w:lvlJc w:val="left"/>
      <w:pPr>
        <w:ind w:left="4564" w:hanging="525"/>
      </w:pPr>
      <w:rPr>
        <w:rFonts w:hint="default"/>
      </w:rPr>
    </w:lvl>
    <w:lvl w:ilvl="5" w:tentative="0">
      <w:start w:val="0"/>
      <w:numFmt w:val="bullet"/>
      <w:lvlText w:val="•"/>
      <w:lvlJc w:val="left"/>
      <w:pPr>
        <w:ind w:left="5445" w:hanging="525"/>
      </w:pPr>
      <w:rPr>
        <w:rFonts w:hint="default"/>
      </w:rPr>
    </w:lvl>
    <w:lvl w:ilvl="6" w:tentative="0">
      <w:start w:val="0"/>
      <w:numFmt w:val="bullet"/>
      <w:lvlText w:val="•"/>
      <w:lvlJc w:val="left"/>
      <w:pPr>
        <w:ind w:left="6326" w:hanging="525"/>
      </w:pPr>
      <w:rPr>
        <w:rFonts w:hint="default"/>
      </w:rPr>
    </w:lvl>
    <w:lvl w:ilvl="7" w:tentative="0">
      <w:start w:val="0"/>
      <w:numFmt w:val="bullet"/>
      <w:lvlText w:val="•"/>
      <w:lvlJc w:val="left"/>
      <w:pPr>
        <w:ind w:left="7207" w:hanging="525"/>
      </w:pPr>
      <w:rPr>
        <w:rFonts w:hint="default"/>
      </w:rPr>
    </w:lvl>
    <w:lvl w:ilvl="8" w:tentative="0">
      <w:start w:val="0"/>
      <w:numFmt w:val="bullet"/>
      <w:lvlText w:val="•"/>
      <w:lvlJc w:val="left"/>
      <w:pPr>
        <w:ind w:left="8088" w:hanging="525"/>
      </w:pPr>
      <w:rPr>
        <w:rFonts w:hint="default"/>
      </w:rPr>
    </w:lvl>
  </w:abstractNum>
  <w:abstractNum w:abstractNumId="19">
    <w:nsid w:val="E52D9448"/>
    <w:multiLevelType w:val="multilevel"/>
    <w:tmpl w:val="E52D9448"/>
    <w:lvl w:ilvl="0" w:tentative="0">
      <w:start w:val="1"/>
      <w:numFmt w:val="decimal"/>
      <w:lvlText w:val="%1."/>
      <w:lvlJc w:val="left"/>
      <w:pPr>
        <w:ind w:left="1226" w:hanging="183"/>
      </w:pPr>
      <w:rPr>
        <w:rFonts w:hint="default" w:ascii="Times New Roman" w:hAnsi="Times New Roman" w:eastAsia="Times New Roman"/>
        <w:spacing w:val="-1"/>
        <w:w w:val="100"/>
        <w:sz w:val="20"/>
        <w:szCs w:val="20"/>
      </w:rPr>
    </w:lvl>
    <w:lvl w:ilvl="1" w:tentative="0">
      <w:start w:val="0"/>
      <w:numFmt w:val="bullet"/>
      <w:lvlText w:val="•"/>
      <w:lvlJc w:val="left"/>
      <w:pPr>
        <w:ind w:left="2083" w:hanging="183"/>
      </w:pPr>
      <w:rPr>
        <w:rFonts w:hint="default"/>
      </w:rPr>
    </w:lvl>
    <w:lvl w:ilvl="2" w:tentative="0">
      <w:start w:val="0"/>
      <w:numFmt w:val="bullet"/>
      <w:lvlText w:val="•"/>
      <w:lvlJc w:val="left"/>
      <w:pPr>
        <w:ind w:left="2946" w:hanging="183"/>
      </w:pPr>
      <w:rPr>
        <w:rFonts w:hint="default"/>
      </w:rPr>
    </w:lvl>
    <w:lvl w:ilvl="3" w:tentative="0">
      <w:start w:val="0"/>
      <w:numFmt w:val="bullet"/>
      <w:lvlText w:val="•"/>
      <w:lvlJc w:val="left"/>
      <w:pPr>
        <w:ind w:left="3809" w:hanging="183"/>
      </w:pPr>
      <w:rPr>
        <w:rFonts w:hint="default"/>
      </w:rPr>
    </w:lvl>
    <w:lvl w:ilvl="4" w:tentative="0">
      <w:start w:val="0"/>
      <w:numFmt w:val="bullet"/>
      <w:lvlText w:val="•"/>
      <w:lvlJc w:val="left"/>
      <w:pPr>
        <w:ind w:left="4672" w:hanging="183"/>
      </w:pPr>
      <w:rPr>
        <w:rFonts w:hint="default"/>
      </w:rPr>
    </w:lvl>
    <w:lvl w:ilvl="5" w:tentative="0">
      <w:start w:val="0"/>
      <w:numFmt w:val="bullet"/>
      <w:lvlText w:val="•"/>
      <w:lvlJc w:val="left"/>
      <w:pPr>
        <w:ind w:left="5535" w:hanging="183"/>
      </w:pPr>
      <w:rPr>
        <w:rFonts w:hint="default"/>
      </w:rPr>
    </w:lvl>
    <w:lvl w:ilvl="6" w:tentative="0">
      <w:start w:val="0"/>
      <w:numFmt w:val="bullet"/>
      <w:lvlText w:val="•"/>
      <w:lvlJc w:val="left"/>
      <w:pPr>
        <w:ind w:left="6398" w:hanging="183"/>
      </w:pPr>
      <w:rPr>
        <w:rFonts w:hint="default"/>
      </w:rPr>
    </w:lvl>
    <w:lvl w:ilvl="7" w:tentative="0">
      <w:start w:val="0"/>
      <w:numFmt w:val="bullet"/>
      <w:lvlText w:val="•"/>
      <w:lvlJc w:val="left"/>
      <w:pPr>
        <w:ind w:left="7261" w:hanging="183"/>
      </w:pPr>
      <w:rPr>
        <w:rFonts w:hint="default"/>
      </w:rPr>
    </w:lvl>
    <w:lvl w:ilvl="8" w:tentative="0">
      <w:start w:val="0"/>
      <w:numFmt w:val="bullet"/>
      <w:lvlText w:val="•"/>
      <w:lvlJc w:val="left"/>
      <w:pPr>
        <w:ind w:left="8124" w:hanging="183"/>
      </w:pPr>
      <w:rPr>
        <w:rFonts w:hint="default"/>
      </w:rPr>
    </w:lvl>
  </w:abstractNum>
  <w:abstractNum w:abstractNumId="20">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C424406"/>
    <w:multiLevelType w:val="singleLevel"/>
    <w:tmpl w:val="0C424406"/>
    <w:lvl w:ilvl="0" w:tentative="0">
      <w:start w:val="1"/>
      <w:numFmt w:val="decimal"/>
      <w:suff w:val="nothing"/>
      <w:lvlText w:val="（%1）"/>
      <w:lvlJc w:val="left"/>
    </w:lvl>
  </w:abstractNum>
  <w:abstractNum w:abstractNumId="22">
    <w:nsid w:val="0E640482"/>
    <w:multiLevelType w:val="multilevel"/>
    <w:tmpl w:val="0E640482"/>
    <w:lvl w:ilvl="0" w:tentative="0">
      <w:start w:val="1"/>
      <w:numFmt w:val="decimal"/>
      <w:lvlText w:val="（%1）"/>
      <w:lvlJc w:val="left"/>
      <w:pPr>
        <w:ind w:left="1352" w:hanging="554"/>
      </w:pPr>
      <w:rPr>
        <w:rFonts w:hint="default" w:ascii="宋体" w:hAnsi="宋体" w:eastAsia="宋体"/>
        <w:spacing w:val="-1"/>
        <w:w w:val="100"/>
        <w:sz w:val="20"/>
        <w:szCs w:val="20"/>
      </w:rPr>
    </w:lvl>
    <w:lvl w:ilvl="1" w:tentative="0">
      <w:start w:val="0"/>
      <w:numFmt w:val="bullet"/>
      <w:lvlText w:val="•"/>
      <w:lvlJc w:val="left"/>
      <w:pPr>
        <w:ind w:left="2209" w:hanging="554"/>
      </w:pPr>
      <w:rPr>
        <w:rFonts w:hint="default"/>
      </w:rPr>
    </w:lvl>
    <w:lvl w:ilvl="2" w:tentative="0">
      <w:start w:val="0"/>
      <w:numFmt w:val="bullet"/>
      <w:lvlText w:val="•"/>
      <w:lvlJc w:val="left"/>
      <w:pPr>
        <w:ind w:left="3058" w:hanging="554"/>
      </w:pPr>
      <w:rPr>
        <w:rFonts w:hint="default"/>
      </w:rPr>
    </w:lvl>
    <w:lvl w:ilvl="3" w:tentative="0">
      <w:start w:val="0"/>
      <w:numFmt w:val="bullet"/>
      <w:lvlText w:val="•"/>
      <w:lvlJc w:val="left"/>
      <w:pPr>
        <w:ind w:left="3907" w:hanging="554"/>
      </w:pPr>
      <w:rPr>
        <w:rFonts w:hint="default"/>
      </w:rPr>
    </w:lvl>
    <w:lvl w:ilvl="4" w:tentative="0">
      <w:start w:val="0"/>
      <w:numFmt w:val="bullet"/>
      <w:lvlText w:val="•"/>
      <w:lvlJc w:val="left"/>
      <w:pPr>
        <w:ind w:left="4756" w:hanging="554"/>
      </w:pPr>
      <w:rPr>
        <w:rFonts w:hint="default"/>
      </w:rPr>
    </w:lvl>
    <w:lvl w:ilvl="5" w:tentative="0">
      <w:start w:val="0"/>
      <w:numFmt w:val="bullet"/>
      <w:lvlText w:val="•"/>
      <w:lvlJc w:val="left"/>
      <w:pPr>
        <w:ind w:left="5605" w:hanging="554"/>
      </w:pPr>
      <w:rPr>
        <w:rFonts w:hint="default"/>
      </w:rPr>
    </w:lvl>
    <w:lvl w:ilvl="6" w:tentative="0">
      <w:start w:val="0"/>
      <w:numFmt w:val="bullet"/>
      <w:lvlText w:val="•"/>
      <w:lvlJc w:val="left"/>
      <w:pPr>
        <w:ind w:left="6454" w:hanging="554"/>
      </w:pPr>
      <w:rPr>
        <w:rFonts w:hint="default"/>
      </w:rPr>
    </w:lvl>
    <w:lvl w:ilvl="7" w:tentative="0">
      <w:start w:val="0"/>
      <w:numFmt w:val="bullet"/>
      <w:lvlText w:val="•"/>
      <w:lvlJc w:val="left"/>
      <w:pPr>
        <w:ind w:left="7303" w:hanging="554"/>
      </w:pPr>
      <w:rPr>
        <w:rFonts w:hint="default"/>
      </w:rPr>
    </w:lvl>
    <w:lvl w:ilvl="8" w:tentative="0">
      <w:start w:val="0"/>
      <w:numFmt w:val="bullet"/>
      <w:lvlText w:val="•"/>
      <w:lvlJc w:val="left"/>
      <w:pPr>
        <w:ind w:left="8152" w:hanging="554"/>
      </w:pPr>
      <w:rPr>
        <w:rFonts w:hint="default"/>
      </w:rPr>
    </w:lvl>
  </w:abstractNum>
  <w:abstractNum w:abstractNumId="23">
    <w:nsid w:val="1ACDE60F"/>
    <w:multiLevelType w:val="multilevel"/>
    <w:tmpl w:val="1ACDE60F"/>
    <w:lvl w:ilvl="0" w:tentative="0">
      <w:start w:val="1"/>
      <w:numFmt w:val="decimal"/>
      <w:lvlText w:val="（%1）"/>
      <w:lvlJc w:val="left"/>
      <w:pPr>
        <w:ind w:left="1819" w:hanging="776"/>
      </w:pPr>
      <w:rPr>
        <w:rFonts w:hint="default" w:ascii="宋体" w:hAnsi="宋体" w:eastAsia="宋体"/>
        <w:w w:val="100"/>
        <w:sz w:val="24"/>
        <w:szCs w:val="24"/>
      </w:rPr>
    </w:lvl>
    <w:lvl w:ilvl="1" w:tentative="0">
      <w:start w:val="0"/>
      <w:numFmt w:val="bullet"/>
      <w:lvlText w:val="•"/>
      <w:lvlJc w:val="left"/>
      <w:pPr>
        <w:ind w:left="2623" w:hanging="776"/>
      </w:pPr>
      <w:rPr>
        <w:rFonts w:hint="default"/>
      </w:rPr>
    </w:lvl>
    <w:lvl w:ilvl="2" w:tentative="0">
      <w:start w:val="0"/>
      <w:numFmt w:val="bullet"/>
      <w:lvlText w:val="•"/>
      <w:lvlJc w:val="left"/>
      <w:pPr>
        <w:ind w:left="3426" w:hanging="776"/>
      </w:pPr>
      <w:rPr>
        <w:rFonts w:hint="default"/>
      </w:rPr>
    </w:lvl>
    <w:lvl w:ilvl="3" w:tentative="0">
      <w:start w:val="0"/>
      <w:numFmt w:val="bullet"/>
      <w:lvlText w:val="•"/>
      <w:lvlJc w:val="left"/>
      <w:pPr>
        <w:ind w:left="4229" w:hanging="776"/>
      </w:pPr>
      <w:rPr>
        <w:rFonts w:hint="default"/>
      </w:rPr>
    </w:lvl>
    <w:lvl w:ilvl="4" w:tentative="0">
      <w:start w:val="0"/>
      <w:numFmt w:val="bullet"/>
      <w:lvlText w:val="•"/>
      <w:lvlJc w:val="left"/>
      <w:pPr>
        <w:ind w:left="5032" w:hanging="776"/>
      </w:pPr>
      <w:rPr>
        <w:rFonts w:hint="default"/>
      </w:rPr>
    </w:lvl>
    <w:lvl w:ilvl="5" w:tentative="0">
      <w:start w:val="0"/>
      <w:numFmt w:val="bullet"/>
      <w:lvlText w:val="•"/>
      <w:lvlJc w:val="left"/>
      <w:pPr>
        <w:ind w:left="5835" w:hanging="776"/>
      </w:pPr>
      <w:rPr>
        <w:rFonts w:hint="default"/>
      </w:rPr>
    </w:lvl>
    <w:lvl w:ilvl="6" w:tentative="0">
      <w:start w:val="0"/>
      <w:numFmt w:val="bullet"/>
      <w:lvlText w:val="•"/>
      <w:lvlJc w:val="left"/>
      <w:pPr>
        <w:ind w:left="6638" w:hanging="776"/>
      </w:pPr>
      <w:rPr>
        <w:rFonts w:hint="default"/>
      </w:rPr>
    </w:lvl>
    <w:lvl w:ilvl="7" w:tentative="0">
      <w:start w:val="0"/>
      <w:numFmt w:val="bullet"/>
      <w:lvlText w:val="•"/>
      <w:lvlJc w:val="left"/>
      <w:pPr>
        <w:ind w:left="7441" w:hanging="776"/>
      </w:pPr>
      <w:rPr>
        <w:rFonts w:hint="default"/>
      </w:rPr>
    </w:lvl>
    <w:lvl w:ilvl="8" w:tentative="0">
      <w:start w:val="0"/>
      <w:numFmt w:val="bullet"/>
      <w:lvlText w:val="•"/>
      <w:lvlJc w:val="left"/>
      <w:pPr>
        <w:ind w:left="8244" w:hanging="776"/>
      </w:pPr>
      <w:rPr>
        <w:rFonts w:hint="default"/>
      </w:rPr>
    </w:lvl>
  </w:abstractNum>
  <w:abstractNum w:abstractNumId="24">
    <w:nsid w:val="2470EC97"/>
    <w:multiLevelType w:val="multilevel"/>
    <w:tmpl w:val="2470EC97"/>
    <w:lvl w:ilvl="0" w:tentative="0">
      <w:start w:val="1"/>
      <w:numFmt w:val="decimal"/>
      <w:lvlText w:val="%1"/>
      <w:lvlJc w:val="left"/>
      <w:pPr>
        <w:ind w:left="1048" w:hanging="540"/>
      </w:pPr>
      <w:rPr>
        <w:rFonts w:hint="default"/>
      </w:rPr>
    </w:lvl>
    <w:lvl w:ilvl="1" w:tentative="0">
      <w:start w:val="4"/>
      <w:numFmt w:val="decimal"/>
      <w:lvlText w:val="%1.%2"/>
      <w:lvlJc w:val="left"/>
      <w:pPr>
        <w:ind w:left="1048" w:hanging="540"/>
      </w:pPr>
      <w:rPr>
        <w:rFonts w:hint="default"/>
      </w:rPr>
    </w:lvl>
    <w:lvl w:ilvl="2" w:tentative="0">
      <w:start w:val="3"/>
      <w:numFmt w:val="decimal"/>
      <w:lvlText w:val="%1.%2.%3"/>
      <w:lvlJc w:val="left"/>
      <w:pPr>
        <w:ind w:left="1048" w:hanging="540"/>
      </w:pPr>
      <w:rPr>
        <w:rFonts w:hint="default" w:ascii="宋体" w:hAnsi="宋体" w:eastAsia="宋体"/>
        <w:spacing w:val="1"/>
        <w:w w:val="99"/>
        <w:sz w:val="19"/>
        <w:szCs w:val="19"/>
      </w:rPr>
    </w:lvl>
    <w:lvl w:ilvl="3" w:tentative="0">
      <w:start w:val="0"/>
      <w:numFmt w:val="bullet"/>
      <w:lvlText w:val="•"/>
      <w:lvlJc w:val="left"/>
      <w:pPr>
        <w:ind w:left="3683" w:hanging="540"/>
      </w:pPr>
      <w:rPr>
        <w:rFonts w:hint="default"/>
      </w:rPr>
    </w:lvl>
    <w:lvl w:ilvl="4" w:tentative="0">
      <w:start w:val="0"/>
      <w:numFmt w:val="bullet"/>
      <w:lvlText w:val="•"/>
      <w:lvlJc w:val="left"/>
      <w:pPr>
        <w:ind w:left="4564" w:hanging="540"/>
      </w:pPr>
      <w:rPr>
        <w:rFonts w:hint="default"/>
      </w:rPr>
    </w:lvl>
    <w:lvl w:ilvl="5" w:tentative="0">
      <w:start w:val="0"/>
      <w:numFmt w:val="bullet"/>
      <w:lvlText w:val="•"/>
      <w:lvlJc w:val="left"/>
      <w:pPr>
        <w:ind w:left="5445" w:hanging="540"/>
      </w:pPr>
      <w:rPr>
        <w:rFonts w:hint="default"/>
      </w:rPr>
    </w:lvl>
    <w:lvl w:ilvl="6" w:tentative="0">
      <w:start w:val="0"/>
      <w:numFmt w:val="bullet"/>
      <w:lvlText w:val="•"/>
      <w:lvlJc w:val="left"/>
      <w:pPr>
        <w:ind w:left="6326" w:hanging="540"/>
      </w:pPr>
      <w:rPr>
        <w:rFonts w:hint="default"/>
      </w:rPr>
    </w:lvl>
    <w:lvl w:ilvl="7" w:tentative="0">
      <w:start w:val="0"/>
      <w:numFmt w:val="bullet"/>
      <w:lvlText w:val="•"/>
      <w:lvlJc w:val="left"/>
      <w:pPr>
        <w:ind w:left="7207" w:hanging="540"/>
      </w:pPr>
      <w:rPr>
        <w:rFonts w:hint="default"/>
      </w:rPr>
    </w:lvl>
    <w:lvl w:ilvl="8" w:tentative="0">
      <w:start w:val="0"/>
      <w:numFmt w:val="bullet"/>
      <w:lvlText w:val="•"/>
      <w:lvlJc w:val="left"/>
      <w:pPr>
        <w:ind w:left="8088" w:hanging="540"/>
      </w:pPr>
      <w:rPr>
        <w:rFonts w:hint="default"/>
      </w:rPr>
    </w:lvl>
  </w:abstractNum>
  <w:abstractNum w:abstractNumId="25">
    <w:nsid w:val="39A0D9AC"/>
    <w:multiLevelType w:val="multilevel"/>
    <w:tmpl w:val="39A0D9AC"/>
    <w:lvl w:ilvl="0" w:tentative="0">
      <w:start w:val="1"/>
      <w:numFmt w:val="decimal"/>
      <w:lvlText w:val="（%1）"/>
      <w:lvlJc w:val="left"/>
      <w:pPr>
        <w:ind w:left="508" w:hanging="648"/>
      </w:pPr>
      <w:rPr>
        <w:rFonts w:hint="default" w:ascii="宋体" w:hAnsi="宋体" w:eastAsia="宋体"/>
        <w:spacing w:val="-15"/>
        <w:w w:val="99"/>
        <w:sz w:val="21"/>
        <w:szCs w:val="21"/>
      </w:rPr>
    </w:lvl>
    <w:lvl w:ilvl="1" w:tentative="0">
      <w:start w:val="0"/>
      <w:numFmt w:val="bullet"/>
      <w:lvlText w:val="•"/>
      <w:lvlJc w:val="left"/>
      <w:pPr>
        <w:ind w:left="1435" w:hanging="648"/>
      </w:pPr>
      <w:rPr>
        <w:rFonts w:hint="default"/>
      </w:rPr>
    </w:lvl>
    <w:lvl w:ilvl="2" w:tentative="0">
      <w:start w:val="0"/>
      <w:numFmt w:val="bullet"/>
      <w:lvlText w:val="•"/>
      <w:lvlJc w:val="left"/>
      <w:pPr>
        <w:ind w:left="2370" w:hanging="648"/>
      </w:pPr>
      <w:rPr>
        <w:rFonts w:hint="default"/>
      </w:rPr>
    </w:lvl>
    <w:lvl w:ilvl="3" w:tentative="0">
      <w:start w:val="0"/>
      <w:numFmt w:val="bullet"/>
      <w:lvlText w:val="•"/>
      <w:lvlJc w:val="left"/>
      <w:pPr>
        <w:ind w:left="3305" w:hanging="648"/>
      </w:pPr>
      <w:rPr>
        <w:rFonts w:hint="default"/>
      </w:rPr>
    </w:lvl>
    <w:lvl w:ilvl="4" w:tentative="0">
      <w:start w:val="0"/>
      <w:numFmt w:val="bullet"/>
      <w:lvlText w:val="•"/>
      <w:lvlJc w:val="left"/>
      <w:pPr>
        <w:ind w:left="4240" w:hanging="648"/>
      </w:pPr>
      <w:rPr>
        <w:rFonts w:hint="default"/>
      </w:rPr>
    </w:lvl>
    <w:lvl w:ilvl="5" w:tentative="0">
      <w:start w:val="0"/>
      <w:numFmt w:val="bullet"/>
      <w:lvlText w:val="•"/>
      <w:lvlJc w:val="left"/>
      <w:pPr>
        <w:ind w:left="5175" w:hanging="648"/>
      </w:pPr>
      <w:rPr>
        <w:rFonts w:hint="default"/>
      </w:rPr>
    </w:lvl>
    <w:lvl w:ilvl="6" w:tentative="0">
      <w:start w:val="0"/>
      <w:numFmt w:val="bullet"/>
      <w:lvlText w:val="•"/>
      <w:lvlJc w:val="left"/>
      <w:pPr>
        <w:ind w:left="6110" w:hanging="648"/>
      </w:pPr>
      <w:rPr>
        <w:rFonts w:hint="default"/>
      </w:rPr>
    </w:lvl>
    <w:lvl w:ilvl="7" w:tentative="0">
      <w:start w:val="0"/>
      <w:numFmt w:val="bullet"/>
      <w:lvlText w:val="•"/>
      <w:lvlJc w:val="left"/>
      <w:pPr>
        <w:ind w:left="7045" w:hanging="648"/>
      </w:pPr>
      <w:rPr>
        <w:rFonts w:hint="default"/>
      </w:rPr>
    </w:lvl>
    <w:lvl w:ilvl="8" w:tentative="0">
      <w:start w:val="0"/>
      <w:numFmt w:val="bullet"/>
      <w:lvlText w:val="•"/>
      <w:lvlJc w:val="left"/>
      <w:pPr>
        <w:ind w:left="7980" w:hanging="648"/>
      </w:pPr>
      <w:rPr>
        <w:rFonts w:hint="default"/>
      </w:rPr>
    </w:lvl>
  </w:abstractNum>
  <w:abstractNum w:abstractNumId="26">
    <w:nsid w:val="3FE315B6"/>
    <w:multiLevelType w:val="multilevel"/>
    <w:tmpl w:val="3FE315B6"/>
    <w:lvl w:ilvl="0" w:tentative="0">
      <w:start w:val="2"/>
      <w:numFmt w:val="decimal"/>
      <w:lvlText w:val="%1."/>
      <w:lvlJc w:val="left"/>
      <w:pPr>
        <w:ind w:left="1144" w:hanging="161"/>
      </w:pPr>
      <w:rPr>
        <w:rFonts w:hint="default" w:ascii="Times New Roman" w:hAnsi="Times New Roman" w:eastAsia="Times New Roman"/>
        <w:spacing w:val="0"/>
        <w:w w:val="100"/>
        <w:sz w:val="17"/>
        <w:szCs w:val="17"/>
      </w:rPr>
    </w:lvl>
    <w:lvl w:ilvl="1" w:tentative="0">
      <w:start w:val="0"/>
      <w:numFmt w:val="bullet"/>
      <w:lvlText w:val="•"/>
      <w:lvlJc w:val="left"/>
      <w:pPr>
        <w:ind w:left="2011" w:hanging="161"/>
      </w:pPr>
      <w:rPr>
        <w:rFonts w:hint="default"/>
      </w:rPr>
    </w:lvl>
    <w:lvl w:ilvl="2" w:tentative="0">
      <w:start w:val="0"/>
      <w:numFmt w:val="bullet"/>
      <w:lvlText w:val="•"/>
      <w:lvlJc w:val="left"/>
      <w:pPr>
        <w:ind w:left="2882" w:hanging="161"/>
      </w:pPr>
      <w:rPr>
        <w:rFonts w:hint="default"/>
      </w:rPr>
    </w:lvl>
    <w:lvl w:ilvl="3" w:tentative="0">
      <w:start w:val="0"/>
      <w:numFmt w:val="bullet"/>
      <w:lvlText w:val="•"/>
      <w:lvlJc w:val="left"/>
      <w:pPr>
        <w:ind w:left="3753" w:hanging="161"/>
      </w:pPr>
      <w:rPr>
        <w:rFonts w:hint="default"/>
      </w:rPr>
    </w:lvl>
    <w:lvl w:ilvl="4" w:tentative="0">
      <w:start w:val="0"/>
      <w:numFmt w:val="bullet"/>
      <w:lvlText w:val="•"/>
      <w:lvlJc w:val="left"/>
      <w:pPr>
        <w:ind w:left="4624" w:hanging="161"/>
      </w:pPr>
      <w:rPr>
        <w:rFonts w:hint="default"/>
      </w:rPr>
    </w:lvl>
    <w:lvl w:ilvl="5" w:tentative="0">
      <w:start w:val="0"/>
      <w:numFmt w:val="bullet"/>
      <w:lvlText w:val="•"/>
      <w:lvlJc w:val="left"/>
      <w:pPr>
        <w:ind w:left="5495" w:hanging="161"/>
      </w:pPr>
      <w:rPr>
        <w:rFonts w:hint="default"/>
      </w:rPr>
    </w:lvl>
    <w:lvl w:ilvl="6" w:tentative="0">
      <w:start w:val="0"/>
      <w:numFmt w:val="bullet"/>
      <w:lvlText w:val="•"/>
      <w:lvlJc w:val="left"/>
      <w:pPr>
        <w:ind w:left="6366" w:hanging="161"/>
      </w:pPr>
      <w:rPr>
        <w:rFonts w:hint="default"/>
      </w:rPr>
    </w:lvl>
    <w:lvl w:ilvl="7" w:tentative="0">
      <w:start w:val="0"/>
      <w:numFmt w:val="bullet"/>
      <w:lvlText w:val="•"/>
      <w:lvlJc w:val="left"/>
      <w:pPr>
        <w:ind w:left="7237" w:hanging="161"/>
      </w:pPr>
      <w:rPr>
        <w:rFonts w:hint="default"/>
      </w:rPr>
    </w:lvl>
    <w:lvl w:ilvl="8" w:tentative="0">
      <w:start w:val="0"/>
      <w:numFmt w:val="bullet"/>
      <w:lvlText w:val="•"/>
      <w:lvlJc w:val="left"/>
      <w:pPr>
        <w:ind w:left="8108" w:hanging="161"/>
      </w:pPr>
      <w:rPr>
        <w:rFonts w:hint="default"/>
      </w:rPr>
    </w:lvl>
  </w:abstractNum>
  <w:abstractNum w:abstractNumId="27">
    <w:nsid w:val="46A08BB8"/>
    <w:multiLevelType w:val="multilevel"/>
    <w:tmpl w:val="46A08BB8"/>
    <w:lvl w:ilvl="0" w:tentative="0">
      <w:start w:val="1"/>
      <w:numFmt w:val="decimal"/>
      <w:lvlText w:val="（%1）"/>
      <w:lvlJc w:val="left"/>
      <w:pPr>
        <w:ind w:left="1352" w:hanging="554"/>
      </w:pPr>
      <w:rPr>
        <w:rFonts w:hint="default" w:ascii="宋体" w:hAnsi="宋体" w:eastAsia="宋体"/>
        <w:spacing w:val="-1"/>
        <w:w w:val="100"/>
        <w:sz w:val="20"/>
        <w:szCs w:val="20"/>
      </w:rPr>
    </w:lvl>
    <w:lvl w:ilvl="1" w:tentative="0">
      <w:start w:val="0"/>
      <w:numFmt w:val="bullet"/>
      <w:lvlText w:val="•"/>
      <w:lvlJc w:val="left"/>
      <w:pPr>
        <w:ind w:left="2209" w:hanging="554"/>
      </w:pPr>
      <w:rPr>
        <w:rFonts w:hint="default"/>
      </w:rPr>
    </w:lvl>
    <w:lvl w:ilvl="2" w:tentative="0">
      <w:start w:val="0"/>
      <w:numFmt w:val="bullet"/>
      <w:lvlText w:val="•"/>
      <w:lvlJc w:val="left"/>
      <w:pPr>
        <w:ind w:left="3058" w:hanging="554"/>
      </w:pPr>
      <w:rPr>
        <w:rFonts w:hint="default"/>
      </w:rPr>
    </w:lvl>
    <w:lvl w:ilvl="3" w:tentative="0">
      <w:start w:val="0"/>
      <w:numFmt w:val="bullet"/>
      <w:lvlText w:val="•"/>
      <w:lvlJc w:val="left"/>
      <w:pPr>
        <w:ind w:left="3907" w:hanging="554"/>
      </w:pPr>
      <w:rPr>
        <w:rFonts w:hint="default"/>
      </w:rPr>
    </w:lvl>
    <w:lvl w:ilvl="4" w:tentative="0">
      <w:start w:val="0"/>
      <w:numFmt w:val="bullet"/>
      <w:lvlText w:val="•"/>
      <w:lvlJc w:val="left"/>
      <w:pPr>
        <w:ind w:left="4756" w:hanging="554"/>
      </w:pPr>
      <w:rPr>
        <w:rFonts w:hint="default"/>
      </w:rPr>
    </w:lvl>
    <w:lvl w:ilvl="5" w:tentative="0">
      <w:start w:val="0"/>
      <w:numFmt w:val="bullet"/>
      <w:lvlText w:val="•"/>
      <w:lvlJc w:val="left"/>
      <w:pPr>
        <w:ind w:left="5605" w:hanging="554"/>
      </w:pPr>
      <w:rPr>
        <w:rFonts w:hint="default"/>
      </w:rPr>
    </w:lvl>
    <w:lvl w:ilvl="6" w:tentative="0">
      <w:start w:val="0"/>
      <w:numFmt w:val="bullet"/>
      <w:lvlText w:val="•"/>
      <w:lvlJc w:val="left"/>
      <w:pPr>
        <w:ind w:left="6454" w:hanging="554"/>
      </w:pPr>
      <w:rPr>
        <w:rFonts w:hint="default"/>
      </w:rPr>
    </w:lvl>
    <w:lvl w:ilvl="7" w:tentative="0">
      <w:start w:val="0"/>
      <w:numFmt w:val="bullet"/>
      <w:lvlText w:val="•"/>
      <w:lvlJc w:val="left"/>
      <w:pPr>
        <w:ind w:left="7303" w:hanging="554"/>
      </w:pPr>
      <w:rPr>
        <w:rFonts w:hint="default"/>
      </w:rPr>
    </w:lvl>
    <w:lvl w:ilvl="8" w:tentative="0">
      <w:start w:val="0"/>
      <w:numFmt w:val="bullet"/>
      <w:lvlText w:val="•"/>
      <w:lvlJc w:val="left"/>
      <w:pPr>
        <w:ind w:left="8152" w:hanging="554"/>
      </w:pPr>
      <w:rPr>
        <w:rFonts w:hint="default"/>
      </w:rPr>
    </w:lvl>
  </w:abstractNum>
  <w:abstractNum w:abstractNumId="28">
    <w:nsid w:val="4C1BAE26"/>
    <w:multiLevelType w:val="multilevel"/>
    <w:tmpl w:val="4C1BAE26"/>
    <w:lvl w:ilvl="0" w:tentative="0">
      <w:start w:val="1"/>
      <w:numFmt w:val="decimal"/>
      <w:lvlText w:val="（%1）"/>
      <w:lvlJc w:val="left"/>
      <w:pPr>
        <w:ind w:left="1399" w:hanging="579"/>
      </w:pPr>
      <w:rPr>
        <w:rFonts w:hint="default" w:ascii="宋体" w:hAnsi="宋体" w:eastAsia="宋体"/>
        <w:spacing w:val="-2"/>
        <w:w w:val="99"/>
        <w:sz w:val="21"/>
        <w:szCs w:val="21"/>
      </w:rPr>
    </w:lvl>
    <w:lvl w:ilvl="1" w:tentative="0">
      <w:start w:val="0"/>
      <w:numFmt w:val="bullet"/>
      <w:lvlText w:val="•"/>
      <w:lvlJc w:val="left"/>
      <w:pPr>
        <w:ind w:left="2245" w:hanging="579"/>
      </w:pPr>
      <w:rPr>
        <w:rFonts w:hint="default"/>
      </w:rPr>
    </w:lvl>
    <w:lvl w:ilvl="2" w:tentative="0">
      <w:start w:val="0"/>
      <w:numFmt w:val="bullet"/>
      <w:lvlText w:val="•"/>
      <w:lvlJc w:val="left"/>
      <w:pPr>
        <w:ind w:left="3090" w:hanging="579"/>
      </w:pPr>
      <w:rPr>
        <w:rFonts w:hint="default"/>
      </w:rPr>
    </w:lvl>
    <w:lvl w:ilvl="3" w:tentative="0">
      <w:start w:val="0"/>
      <w:numFmt w:val="bullet"/>
      <w:lvlText w:val="•"/>
      <w:lvlJc w:val="left"/>
      <w:pPr>
        <w:ind w:left="3935" w:hanging="579"/>
      </w:pPr>
      <w:rPr>
        <w:rFonts w:hint="default"/>
      </w:rPr>
    </w:lvl>
    <w:lvl w:ilvl="4" w:tentative="0">
      <w:start w:val="0"/>
      <w:numFmt w:val="bullet"/>
      <w:lvlText w:val="•"/>
      <w:lvlJc w:val="left"/>
      <w:pPr>
        <w:ind w:left="4780" w:hanging="579"/>
      </w:pPr>
      <w:rPr>
        <w:rFonts w:hint="default"/>
      </w:rPr>
    </w:lvl>
    <w:lvl w:ilvl="5" w:tentative="0">
      <w:start w:val="0"/>
      <w:numFmt w:val="bullet"/>
      <w:lvlText w:val="•"/>
      <w:lvlJc w:val="left"/>
      <w:pPr>
        <w:ind w:left="5625" w:hanging="579"/>
      </w:pPr>
      <w:rPr>
        <w:rFonts w:hint="default"/>
      </w:rPr>
    </w:lvl>
    <w:lvl w:ilvl="6" w:tentative="0">
      <w:start w:val="0"/>
      <w:numFmt w:val="bullet"/>
      <w:lvlText w:val="•"/>
      <w:lvlJc w:val="left"/>
      <w:pPr>
        <w:ind w:left="6470" w:hanging="579"/>
      </w:pPr>
      <w:rPr>
        <w:rFonts w:hint="default"/>
      </w:rPr>
    </w:lvl>
    <w:lvl w:ilvl="7" w:tentative="0">
      <w:start w:val="0"/>
      <w:numFmt w:val="bullet"/>
      <w:lvlText w:val="•"/>
      <w:lvlJc w:val="left"/>
      <w:pPr>
        <w:ind w:left="7315" w:hanging="579"/>
      </w:pPr>
      <w:rPr>
        <w:rFonts w:hint="default"/>
      </w:rPr>
    </w:lvl>
    <w:lvl w:ilvl="8" w:tentative="0">
      <w:start w:val="0"/>
      <w:numFmt w:val="bullet"/>
      <w:lvlText w:val="•"/>
      <w:lvlJc w:val="left"/>
      <w:pPr>
        <w:ind w:left="8160" w:hanging="579"/>
      </w:pPr>
      <w:rPr>
        <w:rFonts w:hint="default"/>
      </w:rPr>
    </w:lvl>
  </w:abstractNum>
  <w:abstractNum w:abstractNumId="29">
    <w:nsid w:val="4C3D7A74"/>
    <w:multiLevelType w:val="multilevel"/>
    <w:tmpl w:val="4C3D7A74"/>
    <w:lvl w:ilvl="0" w:tentative="0">
      <w:start w:val="1"/>
      <w:numFmt w:val="lowerLetter"/>
      <w:lvlText w:val="%1."/>
      <w:lvlJc w:val="left"/>
      <w:pPr>
        <w:ind w:left="1399" w:hanging="356"/>
      </w:pPr>
      <w:rPr>
        <w:rFonts w:hint="default" w:ascii="宋体" w:hAnsi="宋体" w:eastAsia="宋体"/>
        <w:w w:val="100"/>
        <w:sz w:val="24"/>
        <w:szCs w:val="24"/>
      </w:rPr>
    </w:lvl>
    <w:lvl w:ilvl="1" w:tentative="0">
      <w:start w:val="0"/>
      <w:numFmt w:val="bullet"/>
      <w:lvlText w:val="•"/>
      <w:lvlJc w:val="left"/>
      <w:pPr>
        <w:ind w:left="2245" w:hanging="356"/>
      </w:pPr>
      <w:rPr>
        <w:rFonts w:hint="default"/>
      </w:rPr>
    </w:lvl>
    <w:lvl w:ilvl="2" w:tentative="0">
      <w:start w:val="0"/>
      <w:numFmt w:val="bullet"/>
      <w:lvlText w:val="•"/>
      <w:lvlJc w:val="left"/>
      <w:pPr>
        <w:ind w:left="3090" w:hanging="356"/>
      </w:pPr>
      <w:rPr>
        <w:rFonts w:hint="default"/>
      </w:rPr>
    </w:lvl>
    <w:lvl w:ilvl="3" w:tentative="0">
      <w:start w:val="0"/>
      <w:numFmt w:val="bullet"/>
      <w:lvlText w:val="•"/>
      <w:lvlJc w:val="left"/>
      <w:pPr>
        <w:ind w:left="3935" w:hanging="356"/>
      </w:pPr>
      <w:rPr>
        <w:rFonts w:hint="default"/>
      </w:rPr>
    </w:lvl>
    <w:lvl w:ilvl="4" w:tentative="0">
      <w:start w:val="0"/>
      <w:numFmt w:val="bullet"/>
      <w:lvlText w:val="•"/>
      <w:lvlJc w:val="left"/>
      <w:pPr>
        <w:ind w:left="4780" w:hanging="356"/>
      </w:pPr>
      <w:rPr>
        <w:rFonts w:hint="default"/>
      </w:rPr>
    </w:lvl>
    <w:lvl w:ilvl="5" w:tentative="0">
      <w:start w:val="0"/>
      <w:numFmt w:val="bullet"/>
      <w:lvlText w:val="•"/>
      <w:lvlJc w:val="left"/>
      <w:pPr>
        <w:ind w:left="5625" w:hanging="356"/>
      </w:pPr>
      <w:rPr>
        <w:rFonts w:hint="default"/>
      </w:rPr>
    </w:lvl>
    <w:lvl w:ilvl="6" w:tentative="0">
      <w:start w:val="0"/>
      <w:numFmt w:val="bullet"/>
      <w:lvlText w:val="•"/>
      <w:lvlJc w:val="left"/>
      <w:pPr>
        <w:ind w:left="6470" w:hanging="356"/>
      </w:pPr>
      <w:rPr>
        <w:rFonts w:hint="default"/>
      </w:rPr>
    </w:lvl>
    <w:lvl w:ilvl="7" w:tentative="0">
      <w:start w:val="0"/>
      <w:numFmt w:val="bullet"/>
      <w:lvlText w:val="•"/>
      <w:lvlJc w:val="left"/>
      <w:pPr>
        <w:ind w:left="7315" w:hanging="356"/>
      </w:pPr>
      <w:rPr>
        <w:rFonts w:hint="default"/>
      </w:rPr>
    </w:lvl>
    <w:lvl w:ilvl="8" w:tentative="0">
      <w:start w:val="0"/>
      <w:numFmt w:val="bullet"/>
      <w:lvlText w:val="•"/>
      <w:lvlJc w:val="left"/>
      <w:pPr>
        <w:ind w:left="8160" w:hanging="356"/>
      </w:pPr>
      <w:rPr>
        <w:rFonts w:hint="default"/>
      </w:rPr>
    </w:lvl>
  </w:abstractNum>
  <w:abstractNum w:abstractNumId="30">
    <w:nsid w:val="4D63189B"/>
    <w:multiLevelType w:val="multilevel"/>
    <w:tmpl w:val="4D63189B"/>
    <w:lvl w:ilvl="0" w:tentative="0">
      <w:start w:val="1"/>
      <w:numFmt w:val="decimal"/>
      <w:lvlText w:val="%1."/>
      <w:lvlJc w:val="left"/>
      <w:pPr>
        <w:ind w:left="564" w:hanging="363"/>
      </w:pPr>
      <w:rPr>
        <w:rFonts w:hint="default" w:ascii="Times New Roman" w:hAnsi="Times New Roman" w:eastAsia="Times New Roman"/>
        <w:spacing w:val="-109"/>
        <w:w w:val="100"/>
        <w:sz w:val="22"/>
        <w:szCs w:val="22"/>
      </w:rPr>
    </w:lvl>
    <w:lvl w:ilvl="1" w:tentative="0">
      <w:start w:val="0"/>
      <w:numFmt w:val="bullet"/>
      <w:lvlText w:val="•"/>
      <w:lvlJc w:val="left"/>
      <w:pPr>
        <w:ind w:left="1489" w:hanging="363"/>
      </w:pPr>
      <w:rPr>
        <w:rFonts w:hint="default"/>
      </w:rPr>
    </w:lvl>
    <w:lvl w:ilvl="2" w:tentative="0">
      <w:start w:val="0"/>
      <w:numFmt w:val="bullet"/>
      <w:lvlText w:val="•"/>
      <w:lvlJc w:val="left"/>
      <w:pPr>
        <w:ind w:left="2418" w:hanging="363"/>
      </w:pPr>
      <w:rPr>
        <w:rFonts w:hint="default"/>
      </w:rPr>
    </w:lvl>
    <w:lvl w:ilvl="3" w:tentative="0">
      <w:start w:val="0"/>
      <w:numFmt w:val="bullet"/>
      <w:lvlText w:val="•"/>
      <w:lvlJc w:val="left"/>
      <w:pPr>
        <w:ind w:left="3347" w:hanging="363"/>
      </w:pPr>
      <w:rPr>
        <w:rFonts w:hint="default"/>
      </w:rPr>
    </w:lvl>
    <w:lvl w:ilvl="4" w:tentative="0">
      <w:start w:val="0"/>
      <w:numFmt w:val="bullet"/>
      <w:lvlText w:val="•"/>
      <w:lvlJc w:val="left"/>
      <w:pPr>
        <w:ind w:left="4276" w:hanging="363"/>
      </w:pPr>
      <w:rPr>
        <w:rFonts w:hint="default"/>
      </w:rPr>
    </w:lvl>
    <w:lvl w:ilvl="5" w:tentative="0">
      <w:start w:val="0"/>
      <w:numFmt w:val="bullet"/>
      <w:lvlText w:val="•"/>
      <w:lvlJc w:val="left"/>
      <w:pPr>
        <w:ind w:left="5205" w:hanging="363"/>
      </w:pPr>
      <w:rPr>
        <w:rFonts w:hint="default"/>
      </w:rPr>
    </w:lvl>
    <w:lvl w:ilvl="6" w:tentative="0">
      <w:start w:val="0"/>
      <w:numFmt w:val="bullet"/>
      <w:lvlText w:val="•"/>
      <w:lvlJc w:val="left"/>
      <w:pPr>
        <w:ind w:left="6134" w:hanging="363"/>
      </w:pPr>
      <w:rPr>
        <w:rFonts w:hint="default"/>
      </w:rPr>
    </w:lvl>
    <w:lvl w:ilvl="7" w:tentative="0">
      <w:start w:val="0"/>
      <w:numFmt w:val="bullet"/>
      <w:lvlText w:val="•"/>
      <w:lvlJc w:val="left"/>
      <w:pPr>
        <w:ind w:left="7063" w:hanging="363"/>
      </w:pPr>
      <w:rPr>
        <w:rFonts w:hint="default"/>
      </w:rPr>
    </w:lvl>
    <w:lvl w:ilvl="8" w:tentative="0">
      <w:start w:val="0"/>
      <w:numFmt w:val="bullet"/>
      <w:lvlText w:val="•"/>
      <w:lvlJc w:val="left"/>
      <w:pPr>
        <w:ind w:left="7992" w:hanging="363"/>
      </w:pPr>
      <w:rPr>
        <w:rFonts w:hint="default"/>
      </w:rPr>
    </w:lvl>
  </w:abstractNum>
  <w:abstractNum w:abstractNumId="31">
    <w:nsid w:val="4FB438A5"/>
    <w:multiLevelType w:val="multilevel"/>
    <w:tmpl w:val="4FB438A5"/>
    <w:lvl w:ilvl="0" w:tentative="0">
      <w:start w:val="1"/>
      <w:numFmt w:val="decimal"/>
      <w:lvlText w:val="（%1）"/>
      <w:lvlJc w:val="left"/>
      <w:pPr>
        <w:ind w:left="1646" w:hanging="603"/>
      </w:pPr>
      <w:rPr>
        <w:rFonts w:hint="default" w:ascii="宋体" w:hAnsi="宋体" w:eastAsia="宋体"/>
        <w:spacing w:val="-3"/>
        <w:w w:val="100"/>
        <w:sz w:val="22"/>
        <w:szCs w:val="22"/>
      </w:rPr>
    </w:lvl>
    <w:lvl w:ilvl="1" w:tentative="0">
      <w:start w:val="0"/>
      <w:numFmt w:val="bullet"/>
      <w:lvlText w:val="•"/>
      <w:lvlJc w:val="left"/>
      <w:pPr>
        <w:ind w:left="2461" w:hanging="603"/>
      </w:pPr>
      <w:rPr>
        <w:rFonts w:hint="default"/>
      </w:rPr>
    </w:lvl>
    <w:lvl w:ilvl="2" w:tentative="0">
      <w:start w:val="0"/>
      <w:numFmt w:val="bullet"/>
      <w:lvlText w:val="•"/>
      <w:lvlJc w:val="left"/>
      <w:pPr>
        <w:ind w:left="3282" w:hanging="603"/>
      </w:pPr>
      <w:rPr>
        <w:rFonts w:hint="default"/>
      </w:rPr>
    </w:lvl>
    <w:lvl w:ilvl="3" w:tentative="0">
      <w:start w:val="0"/>
      <w:numFmt w:val="bullet"/>
      <w:lvlText w:val="•"/>
      <w:lvlJc w:val="left"/>
      <w:pPr>
        <w:ind w:left="4103" w:hanging="603"/>
      </w:pPr>
      <w:rPr>
        <w:rFonts w:hint="default"/>
      </w:rPr>
    </w:lvl>
    <w:lvl w:ilvl="4" w:tentative="0">
      <w:start w:val="0"/>
      <w:numFmt w:val="bullet"/>
      <w:lvlText w:val="•"/>
      <w:lvlJc w:val="left"/>
      <w:pPr>
        <w:ind w:left="4924" w:hanging="603"/>
      </w:pPr>
      <w:rPr>
        <w:rFonts w:hint="default"/>
      </w:rPr>
    </w:lvl>
    <w:lvl w:ilvl="5" w:tentative="0">
      <w:start w:val="0"/>
      <w:numFmt w:val="bullet"/>
      <w:lvlText w:val="•"/>
      <w:lvlJc w:val="left"/>
      <w:pPr>
        <w:ind w:left="5745" w:hanging="603"/>
      </w:pPr>
      <w:rPr>
        <w:rFonts w:hint="default"/>
      </w:rPr>
    </w:lvl>
    <w:lvl w:ilvl="6" w:tentative="0">
      <w:start w:val="0"/>
      <w:numFmt w:val="bullet"/>
      <w:lvlText w:val="•"/>
      <w:lvlJc w:val="left"/>
      <w:pPr>
        <w:ind w:left="6566" w:hanging="603"/>
      </w:pPr>
      <w:rPr>
        <w:rFonts w:hint="default"/>
      </w:rPr>
    </w:lvl>
    <w:lvl w:ilvl="7" w:tentative="0">
      <w:start w:val="0"/>
      <w:numFmt w:val="bullet"/>
      <w:lvlText w:val="•"/>
      <w:lvlJc w:val="left"/>
      <w:pPr>
        <w:ind w:left="7387" w:hanging="603"/>
      </w:pPr>
      <w:rPr>
        <w:rFonts w:hint="default"/>
      </w:rPr>
    </w:lvl>
    <w:lvl w:ilvl="8" w:tentative="0">
      <w:start w:val="0"/>
      <w:numFmt w:val="bullet"/>
      <w:lvlText w:val="•"/>
      <w:lvlJc w:val="left"/>
      <w:pPr>
        <w:ind w:left="8208" w:hanging="603"/>
      </w:pPr>
      <w:rPr>
        <w:rFonts w:hint="default"/>
      </w:rPr>
    </w:lvl>
  </w:abstractNum>
  <w:abstractNum w:abstractNumId="32">
    <w:nsid w:val="586EF951"/>
    <w:multiLevelType w:val="singleLevel"/>
    <w:tmpl w:val="586EF951"/>
    <w:lvl w:ilvl="0" w:tentative="0">
      <w:start w:val="1"/>
      <w:numFmt w:val="decimal"/>
      <w:suff w:val="nothing"/>
      <w:lvlText w:val="%1、"/>
      <w:lvlJc w:val="left"/>
    </w:lvl>
  </w:abstractNum>
  <w:abstractNum w:abstractNumId="33">
    <w:nsid w:val="5A241D34"/>
    <w:multiLevelType w:val="multilevel"/>
    <w:tmpl w:val="5A241D34"/>
    <w:lvl w:ilvl="0" w:tentative="0">
      <w:start w:val="1"/>
      <w:numFmt w:val="decimal"/>
      <w:lvlText w:val="%1."/>
      <w:lvlJc w:val="left"/>
      <w:pPr>
        <w:ind w:left="928" w:hanging="430"/>
      </w:pPr>
      <w:rPr>
        <w:rFonts w:hint="default"/>
        <w:spacing w:val="0"/>
        <w:w w:val="100"/>
      </w:rPr>
    </w:lvl>
    <w:lvl w:ilvl="1" w:tentative="0">
      <w:start w:val="1"/>
      <w:numFmt w:val="decimal"/>
      <w:lvlText w:val="%1.%2"/>
      <w:lvlJc w:val="left"/>
      <w:pPr>
        <w:ind w:left="139" w:hanging="423"/>
      </w:pPr>
      <w:rPr>
        <w:rFonts w:hint="default"/>
        <w:spacing w:val="-2"/>
        <w:w w:val="99"/>
      </w:rPr>
    </w:lvl>
    <w:lvl w:ilvl="2" w:tentative="0">
      <w:start w:val="1"/>
      <w:numFmt w:val="decimal"/>
      <w:lvlText w:val="%1.%2.%3"/>
      <w:lvlJc w:val="left"/>
      <w:pPr>
        <w:ind w:left="508" w:hanging="423"/>
      </w:pPr>
      <w:rPr>
        <w:rFonts w:hint="default"/>
        <w:spacing w:val="-9"/>
        <w:w w:val="99"/>
      </w:rPr>
    </w:lvl>
    <w:lvl w:ilvl="3" w:tentative="0">
      <w:start w:val="1"/>
      <w:numFmt w:val="decimal"/>
      <w:lvlText w:val="（%4）"/>
      <w:lvlJc w:val="left"/>
      <w:pPr>
        <w:ind w:left="1471" w:hanging="423"/>
      </w:pPr>
      <w:rPr>
        <w:rFonts w:hint="default" w:ascii="宋体" w:hAnsi="宋体" w:eastAsia="宋体"/>
        <w:spacing w:val="-3"/>
        <w:w w:val="100"/>
        <w:sz w:val="22"/>
        <w:szCs w:val="22"/>
      </w:rPr>
    </w:lvl>
    <w:lvl w:ilvl="4" w:tentative="0">
      <w:start w:val="0"/>
      <w:numFmt w:val="bullet"/>
      <w:lvlText w:val="•"/>
      <w:lvlJc w:val="left"/>
      <w:pPr>
        <w:ind w:left="860" w:hanging="423"/>
      </w:pPr>
      <w:rPr>
        <w:rFonts w:hint="default"/>
      </w:rPr>
    </w:lvl>
    <w:lvl w:ilvl="5" w:tentative="0">
      <w:start w:val="0"/>
      <w:numFmt w:val="bullet"/>
      <w:lvlText w:val="•"/>
      <w:lvlJc w:val="left"/>
      <w:pPr>
        <w:ind w:left="920" w:hanging="423"/>
      </w:pPr>
      <w:rPr>
        <w:rFonts w:hint="default"/>
      </w:rPr>
    </w:lvl>
    <w:lvl w:ilvl="6" w:tentative="0">
      <w:start w:val="0"/>
      <w:numFmt w:val="bullet"/>
      <w:lvlText w:val="•"/>
      <w:lvlJc w:val="left"/>
      <w:pPr>
        <w:ind w:left="980" w:hanging="423"/>
      </w:pPr>
      <w:rPr>
        <w:rFonts w:hint="default"/>
      </w:rPr>
    </w:lvl>
    <w:lvl w:ilvl="7" w:tentative="0">
      <w:start w:val="0"/>
      <w:numFmt w:val="bullet"/>
      <w:lvlText w:val="•"/>
      <w:lvlJc w:val="left"/>
      <w:pPr>
        <w:ind w:left="1060" w:hanging="423"/>
      </w:pPr>
      <w:rPr>
        <w:rFonts w:hint="default"/>
      </w:rPr>
    </w:lvl>
    <w:lvl w:ilvl="8" w:tentative="0">
      <w:start w:val="0"/>
      <w:numFmt w:val="bullet"/>
      <w:lvlText w:val="•"/>
      <w:lvlJc w:val="left"/>
      <w:pPr>
        <w:ind w:left="1400" w:hanging="423"/>
      </w:pPr>
      <w:rPr>
        <w:rFonts w:hint="default"/>
      </w:rPr>
    </w:lvl>
  </w:abstractNum>
  <w:abstractNum w:abstractNumId="34">
    <w:nsid w:val="5E29AB5A"/>
    <w:multiLevelType w:val="multilevel"/>
    <w:tmpl w:val="5E29AB5A"/>
    <w:lvl w:ilvl="0" w:tentative="0">
      <w:start w:val="3"/>
      <w:numFmt w:val="decimal"/>
      <w:lvlText w:val="%1"/>
      <w:lvlJc w:val="left"/>
      <w:pPr>
        <w:ind w:left="925" w:hanging="361"/>
      </w:pPr>
      <w:rPr>
        <w:rFonts w:hint="default"/>
      </w:rPr>
    </w:lvl>
    <w:lvl w:ilvl="1" w:tentative="0">
      <w:start w:val="3"/>
      <w:numFmt w:val="decimal"/>
      <w:lvlText w:val="%1.%2"/>
      <w:lvlJc w:val="left"/>
      <w:pPr>
        <w:ind w:left="925" w:hanging="361"/>
      </w:pPr>
      <w:rPr>
        <w:rFonts w:hint="default"/>
        <w:w w:val="100"/>
      </w:rPr>
    </w:lvl>
    <w:lvl w:ilvl="2" w:tentative="0">
      <w:start w:val="1"/>
      <w:numFmt w:val="decimal"/>
      <w:lvlText w:val="%1.%2.%3"/>
      <w:lvlJc w:val="left"/>
      <w:pPr>
        <w:ind w:left="564" w:hanging="684"/>
      </w:pPr>
      <w:rPr>
        <w:rFonts w:hint="default" w:ascii="宋体" w:hAnsi="宋体" w:eastAsia="宋体"/>
        <w:spacing w:val="-8"/>
        <w:w w:val="100"/>
        <w:sz w:val="24"/>
        <w:szCs w:val="24"/>
      </w:rPr>
    </w:lvl>
    <w:lvl w:ilvl="3" w:tentative="0">
      <w:start w:val="1"/>
      <w:numFmt w:val="decimal"/>
      <w:lvlText w:val="（%4）"/>
      <w:lvlJc w:val="left"/>
      <w:pPr>
        <w:ind w:left="564" w:hanging="589"/>
      </w:pPr>
      <w:rPr>
        <w:rFonts w:hint="default" w:ascii="宋体" w:hAnsi="宋体" w:eastAsia="宋体"/>
        <w:spacing w:val="-8"/>
        <w:w w:val="100"/>
        <w:sz w:val="22"/>
        <w:szCs w:val="22"/>
      </w:rPr>
    </w:lvl>
    <w:lvl w:ilvl="4" w:tentative="0">
      <w:start w:val="0"/>
      <w:numFmt w:val="bullet"/>
      <w:lvlText w:val="•"/>
      <w:lvlJc w:val="left"/>
      <w:pPr>
        <w:ind w:left="3896" w:hanging="589"/>
      </w:pPr>
      <w:rPr>
        <w:rFonts w:hint="default"/>
      </w:rPr>
    </w:lvl>
    <w:lvl w:ilvl="5" w:tentative="0">
      <w:start w:val="0"/>
      <w:numFmt w:val="bullet"/>
      <w:lvlText w:val="•"/>
      <w:lvlJc w:val="left"/>
      <w:pPr>
        <w:ind w:left="4888" w:hanging="589"/>
      </w:pPr>
      <w:rPr>
        <w:rFonts w:hint="default"/>
      </w:rPr>
    </w:lvl>
    <w:lvl w:ilvl="6" w:tentative="0">
      <w:start w:val="0"/>
      <w:numFmt w:val="bullet"/>
      <w:lvlText w:val="•"/>
      <w:lvlJc w:val="left"/>
      <w:pPr>
        <w:ind w:left="5881" w:hanging="589"/>
      </w:pPr>
      <w:rPr>
        <w:rFonts w:hint="default"/>
      </w:rPr>
    </w:lvl>
    <w:lvl w:ilvl="7" w:tentative="0">
      <w:start w:val="0"/>
      <w:numFmt w:val="bullet"/>
      <w:lvlText w:val="•"/>
      <w:lvlJc w:val="left"/>
      <w:pPr>
        <w:ind w:left="6873" w:hanging="589"/>
      </w:pPr>
      <w:rPr>
        <w:rFonts w:hint="default"/>
      </w:rPr>
    </w:lvl>
    <w:lvl w:ilvl="8" w:tentative="0">
      <w:start w:val="0"/>
      <w:numFmt w:val="bullet"/>
      <w:lvlText w:val="•"/>
      <w:lvlJc w:val="left"/>
      <w:pPr>
        <w:ind w:left="7865" w:hanging="589"/>
      </w:pPr>
      <w:rPr>
        <w:rFonts w:hint="default"/>
      </w:rPr>
    </w:lvl>
  </w:abstractNum>
  <w:abstractNum w:abstractNumId="35">
    <w:nsid w:val="5FFFB1A7"/>
    <w:multiLevelType w:val="multilevel"/>
    <w:tmpl w:val="5FFFB1A7"/>
    <w:lvl w:ilvl="0" w:tentative="0">
      <w:start w:val="1"/>
      <w:numFmt w:val="lowerLetter"/>
      <w:lvlText w:val="%1."/>
      <w:lvlJc w:val="left"/>
      <w:pPr>
        <w:ind w:left="1399" w:hanging="356"/>
      </w:pPr>
      <w:rPr>
        <w:rFonts w:hint="default" w:ascii="宋体" w:hAnsi="宋体" w:eastAsia="宋体"/>
        <w:w w:val="100"/>
        <w:sz w:val="24"/>
        <w:szCs w:val="24"/>
      </w:rPr>
    </w:lvl>
    <w:lvl w:ilvl="1" w:tentative="0">
      <w:start w:val="0"/>
      <w:numFmt w:val="bullet"/>
      <w:lvlText w:val="•"/>
      <w:lvlJc w:val="left"/>
      <w:pPr>
        <w:ind w:left="2245" w:hanging="356"/>
      </w:pPr>
      <w:rPr>
        <w:rFonts w:hint="default"/>
      </w:rPr>
    </w:lvl>
    <w:lvl w:ilvl="2" w:tentative="0">
      <w:start w:val="0"/>
      <w:numFmt w:val="bullet"/>
      <w:lvlText w:val="•"/>
      <w:lvlJc w:val="left"/>
      <w:pPr>
        <w:ind w:left="3090" w:hanging="356"/>
      </w:pPr>
      <w:rPr>
        <w:rFonts w:hint="default"/>
      </w:rPr>
    </w:lvl>
    <w:lvl w:ilvl="3" w:tentative="0">
      <w:start w:val="0"/>
      <w:numFmt w:val="bullet"/>
      <w:lvlText w:val="•"/>
      <w:lvlJc w:val="left"/>
      <w:pPr>
        <w:ind w:left="3935" w:hanging="356"/>
      </w:pPr>
      <w:rPr>
        <w:rFonts w:hint="default"/>
      </w:rPr>
    </w:lvl>
    <w:lvl w:ilvl="4" w:tentative="0">
      <w:start w:val="0"/>
      <w:numFmt w:val="bullet"/>
      <w:lvlText w:val="•"/>
      <w:lvlJc w:val="left"/>
      <w:pPr>
        <w:ind w:left="4780" w:hanging="356"/>
      </w:pPr>
      <w:rPr>
        <w:rFonts w:hint="default"/>
      </w:rPr>
    </w:lvl>
    <w:lvl w:ilvl="5" w:tentative="0">
      <w:start w:val="0"/>
      <w:numFmt w:val="bullet"/>
      <w:lvlText w:val="•"/>
      <w:lvlJc w:val="left"/>
      <w:pPr>
        <w:ind w:left="5625" w:hanging="356"/>
      </w:pPr>
      <w:rPr>
        <w:rFonts w:hint="default"/>
      </w:rPr>
    </w:lvl>
    <w:lvl w:ilvl="6" w:tentative="0">
      <w:start w:val="0"/>
      <w:numFmt w:val="bullet"/>
      <w:lvlText w:val="•"/>
      <w:lvlJc w:val="left"/>
      <w:pPr>
        <w:ind w:left="6470" w:hanging="356"/>
      </w:pPr>
      <w:rPr>
        <w:rFonts w:hint="default"/>
      </w:rPr>
    </w:lvl>
    <w:lvl w:ilvl="7" w:tentative="0">
      <w:start w:val="0"/>
      <w:numFmt w:val="bullet"/>
      <w:lvlText w:val="•"/>
      <w:lvlJc w:val="left"/>
      <w:pPr>
        <w:ind w:left="7315" w:hanging="356"/>
      </w:pPr>
      <w:rPr>
        <w:rFonts w:hint="default"/>
      </w:rPr>
    </w:lvl>
    <w:lvl w:ilvl="8" w:tentative="0">
      <w:start w:val="0"/>
      <w:numFmt w:val="bullet"/>
      <w:lvlText w:val="•"/>
      <w:lvlJc w:val="left"/>
      <w:pPr>
        <w:ind w:left="8160" w:hanging="356"/>
      </w:pPr>
      <w:rPr>
        <w:rFonts w:hint="default"/>
      </w:rPr>
    </w:lvl>
  </w:abstractNum>
  <w:abstractNum w:abstractNumId="36">
    <w:nsid w:val="60382F6E"/>
    <w:multiLevelType w:val="multilevel"/>
    <w:tmpl w:val="60382F6E"/>
    <w:lvl w:ilvl="0" w:tentative="0">
      <w:start w:val="1"/>
      <w:numFmt w:val="decimal"/>
      <w:lvlText w:val="（%1）"/>
      <w:lvlJc w:val="left"/>
      <w:pPr>
        <w:ind w:left="1513" w:hanging="525"/>
      </w:pPr>
      <w:rPr>
        <w:rFonts w:hint="default" w:ascii="宋体" w:hAnsi="宋体" w:eastAsia="宋体"/>
        <w:spacing w:val="-1"/>
        <w:w w:val="99"/>
        <w:sz w:val="19"/>
        <w:szCs w:val="19"/>
      </w:rPr>
    </w:lvl>
    <w:lvl w:ilvl="1" w:tentative="0">
      <w:start w:val="0"/>
      <w:numFmt w:val="bullet"/>
      <w:lvlText w:val="•"/>
      <w:lvlJc w:val="left"/>
      <w:pPr>
        <w:ind w:left="2353" w:hanging="525"/>
      </w:pPr>
      <w:rPr>
        <w:rFonts w:hint="default"/>
      </w:rPr>
    </w:lvl>
    <w:lvl w:ilvl="2" w:tentative="0">
      <w:start w:val="0"/>
      <w:numFmt w:val="bullet"/>
      <w:lvlText w:val="•"/>
      <w:lvlJc w:val="left"/>
      <w:pPr>
        <w:ind w:left="3186" w:hanging="525"/>
      </w:pPr>
      <w:rPr>
        <w:rFonts w:hint="default"/>
      </w:rPr>
    </w:lvl>
    <w:lvl w:ilvl="3" w:tentative="0">
      <w:start w:val="0"/>
      <w:numFmt w:val="bullet"/>
      <w:lvlText w:val="•"/>
      <w:lvlJc w:val="left"/>
      <w:pPr>
        <w:ind w:left="4019" w:hanging="525"/>
      </w:pPr>
      <w:rPr>
        <w:rFonts w:hint="default"/>
      </w:rPr>
    </w:lvl>
    <w:lvl w:ilvl="4" w:tentative="0">
      <w:start w:val="0"/>
      <w:numFmt w:val="bullet"/>
      <w:lvlText w:val="•"/>
      <w:lvlJc w:val="left"/>
      <w:pPr>
        <w:ind w:left="4852" w:hanging="525"/>
      </w:pPr>
      <w:rPr>
        <w:rFonts w:hint="default"/>
      </w:rPr>
    </w:lvl>
    <w:lvl w:ilvl="5" w:tentative="0">
      <w:start w:val="0"/>
      <w:numFmt w:val="bullet"/>
      <w:lvlText w:val="•"/>
      <w:lvlJc w:val="left"/>
      <w:pPr>
        <w:ind w:left="5685" w:hanging="525"/>
      </w:pPr>
      <w:rPr>
        <w:rFonts w:hint="default"/>
      </w:rPr>
    </w:lvl>
    <w:lvl w:ilvl="6" w:tentative="0">
      <w:start w:val="0"/>
      <w:numFmt w:val="bullet"/>
      <w:lvlText w:val="•"/>
      <w:lvlJc w:val="left"/>
      <w:pPr>
        <w:ind w:left="6518" w:hanging="525"/>
      </w:pPr>
      <w:rPr>
        <w:rFonts w:hint="default"/>
      </w:rPr>
    </w:lvl>
    <w:lvl w:ilvl="7" w:tentative="0">
      <w:start w:val="0"/>
      <w:numFmt w:val="bullet"/>
      <w:lvlText w:val="•"/>
      <w:lvlJc w:val="left"/>
      <w:pPr>
        <w:ind w:left="7351" w:hanging="525"/>
      </w:pPr>
      <w:rPr>
        <w:rFonts w:hint="default"/>
      </w:rPr>
    </w:lvl>
    <w:lvl w:ilvl="8" w:tentative="0">
      <w:start w:val="0"/>
      <w:numFmt w:val="bullet"/>
      <w:lvlText w:val="•"/>
      <w:lvlJc w:val="left"/>
      <w:pPr>
        <w:ind w:left="8184" w:hanging="525"/>
      </w:pPr>
      <w:rPr>
        <w:rFonts w:hint="default"/>
      </w:rPr>
    </w:lvl>
  </w:abstractNum>
  <w:abstractNum w:abstractNumId="37">
    <w:nsid w:val="61C39A79"/>
    <w:multiLevelType w:val="singleLevel"/>
    <w:tmpl w:val="61C39A79"/>
    <w:lvl w:ilvl="0" w:tentative="0">
      <w:start w:val="2"/>
      <w:numFmt w:val="decimal"/>
      <w:suff w:val="nothing"/>
      <w:lvlText w:val="（%1）"/>
      <w:lvlJc w:val="left"/>
    </w:lvl>
  </w:abstractNum>
  <w:abstractNum w:abstractNumId="38">
    <w:nsid w:val="629F7852"/>
    <w:multiLevelType w:val="multilevel"/>
    <w:tmpl w:val="629F7852"/>
    <w:lvl w:ilvl="0" w:tentative="0">
      <w:start w:val="1"/>
      <w:numFmt w:val="decimal"/>
      <w:lvlText w:val="（%1）"/>
      <w:lvlJc w:val="left"/>
      <w:pPr>
        <w:ind w:left="1471" w:hanging="603"/>
      </w:pPr>
      <w:rPr>
        <w:rFonts w:hint="default" w:ascii="宋体" w:hAnsi="宋体" w:eastAsia="宋体"/>
        <w:spacing w:val="-3"/>
        <w:w w:val="100"/>
        <w:sz w:val="22"/>
        <w:szCs w:val="22"/>
      </w:rPr>
    </w:lvl>
    <w:lvl w:ilvl="1" w:tentative="0">
      <w:start w:val="0"/>
      <w:numFmt w:val="bullet"/>
      <w:lvlText w:val="•"/>
      <w:lvlJc w:val="left"/>
      <w:pPr>
        <w:ind w:left="2317" w:hanging="603"/>
      </w:pPr>
      <w:rPr>
        <w:rFonts w:hint="default"/>
      </w:rPr>
    </w:lvl>
    <w:lvl w:ilvl="2" w:tentative="0">
      <w:start w:val="0"/>
      <w:numFmt w:val="bullet"/>
      <w:lvlText w:val="•"/>
      <w:lvlJc w:val="left"/>
      <w:pPr>
        <w:ind w:left="3154" w:hanging="603"/>
      </w:pPr>
      <w:rPr>
        <w:rFonts w:hint="default"/>
      </w:rPr>
    </w:lvl>
    <w:lvl w:ilvl="3" w:tentative="0">
      <w:start w:val="0"/>
      <w:numFmt w:val="bullet"/>
      <w:lvlText w:val="•"/>
      <w:lvlJc w:val="left"/>
      <w:pPr>
        <w:ind w:left="3991" w:hanging="603"/>
      </w:pPr>
      <w:rPr>
        <w:rFonts w:hint="default"/>
      </w:rPr>
    </w:lvl>
    <w:lvl w:ilvl="4" w:tentative="0">
      <w:start w:val="0"/>
      <w:numFmt w:val="bullet"/>
      <w:lvlText w:val="•"/>
      <w:lvlJc w:val="left"/>
      <w:pPr>
        <w:ind w:left="4828" w:hanging="603"/>
      </w:pPr>
      <w:rPr>
        <w:rFonts w:hint="default"/>
      </w:rPr>
    </w:lvl>
    <w:lvl w:ilvl="5" w:tentative="0">
      <w:start w:val="0"/>
      <w:numFmt w:val="bullet"/>
      <w:lvlText w:val="•"/>
      <w:lvlJc w:val="left"/>
      <w:pPr>
        <w:ind w:left="5665" w:hanging="603"/>
      </w:pPr>
      <w:rPr>
        <w:rFonts w:hint="default"/>
      </w:rPr>
    </w:lvl>
    <w:lvl w:ilvl="6" w:tentative="0">
      <w:start w:val="0"/>
      <w:numFmt w:val="bullet"/>
      <w:lvlText w:val="•"/>
      <w:lvlJc w:val="left"/>
      <w:pPr>
        <w:ind w:left="6502" w:hanging="603"/>
      </w:pPr>
      <w:rPr>
        <w:rFonts w:hint="default"/>
      </w:rPr>
    </w:lvl>
    <w:lvl w:ilvl="7" w:tentative="0">
      <w:start w:val="0"/>
      <w:numFmt w:val="bullet"/>
      <w:lvlText w:val="•"/>
      <w:lvlJc w:val="left"/>
      <w:pPr>
        <w:ind w:left="7339" w:hanging="603"/>
      </w:pPr>
      <w:rPr>
        <w:rFonts w:hint="default"/>
      </w:rPr>
    </w:lvl>
    <w:lvl w:ilvl="8" w:tentative="0">
      <w:start w:val="0"/>
      <w:numFmt w:val="bullet"/>
      <w:lvlText w:val="•"/>
      <w:lvlJc w:val="left"/>
      <w:pPr>
        <w:ind w:left="8176" w:hanging="603"/>
      </w:pPr>
      <w:rPr>
        <w:rFonts w:hint="default"/>
      </w:rPr>
    </w:lvl>
  </w:abstractNum>
  <w:abstractNum w:abstractNumId="39">
    <w:nsid w:val="6CFA6217"/>
    <w:multiLevelType w:val="singleLevel"/>
    <w:tmpl w:val="6CFA6217"/>
    <w:lvl w:ilvl="0" w:tentative="0">
      <w:start w:val="3"/>
      <w:numFmt w:val="chineseCounting"/>
      <w:suff w:val="space"/>
      <w:lvlText w:val="（%1）"/>
      <w:lvlJc w:val="left"/>
      <w:rPr>
        <w:rFonts w:hint="eastAsia"/>
      </w:rPr>
    </w:lvl>
  </w:abstractNum>
  <w:abstractNum w:abstractNumId="40">
    <w:nsid w:val="74C28B35"/>
    <w:multiLevelType w:val="multilevel"/>
    <w:tmpl w:val="74C28B35"/>
    <w:lvl w:ilvl="0" w:tentative="0">
      <w:start w:val="1"/>
      <w:numFmt w:val="lowerLetter"/>
      <w:lvlText w:val="%1."/>
      <w:lvlJc w:val="left"/>
      <w:pPr>
        <w:ind w:left="1399" w:hanging="356"/>
      </w:pPr>
      <w:rPr>
        <w:rFonts w:hint="default" w:ascii="宋体" w:hAnsi="宋体" w:eastAsia="宋体"/>
        <w:w w:val="100"/>
        <w:sz w:val="24"/>
        <w:szCs w:val="24"/>
      </w:rPr>
    </w:lvl>
    <w:lvl w:ilvl="1" w:tentative="0">
      <w:start w:val="0"/>
      <w:numFmt w:val="bullet"/>
      <w:lvlText w:val="•"/>
      <w:lvlJc w:val="left"/>
      <w:pPr>
        <w:ind w:left="2245" w:hanging="356"/>
      </w:pPr>
      <w:rPr>
        <w:rFonts w:hint="default"/>
      </w:rPr>
    </w:lvl>
    <w:lvl w:ilvl="2" w:tentative="0">
      <w:start w:val="0"/>
      <w:numFmt w:val="bullet"/>
      <w:lvlText w:val="•"/>
      <w:lvlJc w:val="left"/>
      <w:pPr>
        <w:ind w:left="3090" w:hanging="356"/>
      </w:pPr>
      <w:rPr>
        <w:rFonts w:hint="default"/>
      </w:rPr>
    </w:lvl>
    <w:lvl w:ilvl="3" w:tentative="0">
      <w:start w:val="0"/>
      <w:numFmt w:val="bullet"/>
      <w:lvlText w:val="•"/>
      <w:lvlJc w:val="left"/>
      <w:pPr>
        <w:ind w:left="3935" w:hanging="356"/>
      </w:pPr>
      <w:rPr>
        <w:rFonts w:hint="default"/>
      </w:rPr>
    </w:lvl>
    <w:lvl w:ilvl="4" w:tentative="0">
      <w:start w:val="0"/>
      <w:numFmt w:val="bullet"/>
      <w:lvlText w:val="•"/>
      <w:lvlJc w:val="left"/>
      <w:pPr>
        <w:ind w:left="4780" w:hanging="356"/>
      </w:pPr>
      <w:rPr>
        <w:rFonts w:hint="default"/>
      </w:rPr>
    </w:lvl>
    <w:lvl w:ilvl="5" w:tentative="0">
      <w:start w:val="0"/>
      <w:numFmt w:val="bullet"/>
      <w:lvlText w:val="•"/>
      <w:lvlJc w:val="left"/>
      <w:pPr>
        <w:ind w:left="5625" w:hanging="356"/>
      </w:pPr>
      <w:rPr>
        <w:rFonts w:hint="default"/>
      </w:rPr>
    </w:lvl>
    <w:lvl w:ilvl="6" w:tentative="0">
      <w:start w:val="0"/>
      <w:numFmt w:val="bullet"/>
      <w:lvlText w:val="•"/>
      <w:lvlJc w:val="left"/>
      <w:pPr>
        <w:ind w:left="6470" w:hanging="356"/>
      </w:pPr>
      <w:rPr>
        <w:rFonts w:hint="default"/>
      </w:rPr>
    </w:lvl>
    <w:lvl w:ilvl="7" w:tentative="0">
      <w:start w:val="0"/>
      <w:numFmt w:val="bullet"/>
      <w:lvlText w:val="•"/>
      <w:lvlJc w:val="left"/>
      <w:pPr>
        <w:ind w:left="7315" w:hanging="356"/>
      </w:pPr>
      <w:rPr>
        <w:rFonts w:hint="default"/>
      </w:rPr>
    </w:lvl>
    <w:lvl w:ilvl="8" w:tentative="0">
      <w:start w:val="0"/>
      <w:numFmt w:val="bullet"/>
      <w:lvlText w:val="•"/>
      <w:lvlJc w:val="left"/>
      <w:pPr>
        <w:ind w:left="8160" w:hanging="356"/>
      </w:pPr>
      <w:rPr>
        <w:rFonts w:hint="default"/>
      </w:rPr>
    </w:lvl>
  </w:abstractNum>
  <w:abstractNum w:abstractNumId="41">
    <w:nsid w:val="77ECEA79"/>
    <w:multiLevelType w:val="multilevel"/>
    <w:tmpl w:val="77ECEA79"/>
    <w:lvl w:ilvl="0" w:tentative="0">
      <w:start w:val="1"/>
      <w:numFmt w:val="decimal"/>
      <w:lvlText w:val="（%1）"/>
      <w:lvlJc w:val="left"/>
      <w:pPr>
        <w:ind w:left="1588" w:hanging="684"/>
      </w:pPr>
      <w:rPr>
        <w:rFonts w:hint="default" w:ascii="宋体" w:hAnsi="宋体" w:eastAsia="宋体"/>
        <w:spacing w:val="-8"/>
        <w:w w:val="99"/>
        <w:sz w:val="21"/>
        <w:szCs w:val="21"/>
      </w:rPr>
    </w:lvl>
    <w:lvl w:ilvl="1" w:tentative="0">
      <w:start w:val="0"/>
      <w:numFmt w:val="bullet"/>
      <w:lvlText w:val="•"/>
      <w:lvlJc w:val="left"/>
      <w:pPr>
        <w:ind w:left="2407" w:hanging="684"/>
      </w:pPr>
      <w:rPr>
        <w:rFonts w:hint="default"/>
      </w:rPr>
    </w:lvl>
    <w:lvl w:ilvl="2" w:tentative="0">
      <w:start w:val="0"/>
      <w:numFmt w:val="bullet"/>
      <w:lvlText w:val="•"/>
      <w:lvlJc w:val="left"/>
      <w:pPr>
        <w:ind w:left="3234" w:hanging="684"/>
      </w:pPr>
      <w:rPr>
        <w:rFonts w:hint="default"/>
      </w:rPr>
    </w:lvl>
    <w:lvl w:ilvl="3" w:tentative="0">
      <w:start w:val="0"/>
      <w:numFmt w:val="bullet"/>
      <w:lvlText w:val="•"/>
      <w:lvlJc w:val="left"/>
      <w:pPr>
        <w:ind w:left="4061" w:hanging="684"/>
      </w:pPr>
      <w:rPr>
        <w:rFonts w:hint="default"/>
      </w:rPr>
    </w:lvl>
    <w:lvl w:ilvl="4" w:tentative="0">
      <w:start w:val="0"/>
      <w:numFmt w:val="bullet"/>
      <w:lvlText w:val="•"/>
      <w:lvlJc w:val="left"/>
      <w:pPr>
        <w:ind w:left="4888" w:hanging="684"/>
      </w:pPr>
      <w:rPr>
        <w:rFonts w:hint="default"/>
      </w:rPr>
    </w:lvl>
    <w:lvl w:ilvl="5" w:tentative="0">
      <w:start w:val="0"/>
      <w:numFmt w:val="bullet"/>
      <w:lvlText w:val="•"/>
      <w:lvlJc w:val="left"/>
      <w:pPr>
        <w:ind w:left="5715" w:hanging="684"/>
      </w:pPr>
      <w:rPr>
        <w:rFonts w:hint="default"/>
      </w:rPr>
    </w:lvl>
    <w:lvl w:ilvl="6" w:tentative="0">
      <w:start w:val="0"/>
      <w:numFmt w:val="bullet"/>
      <w:lvlText w:val="•"/>
      <w:lvlJc w:val="left"/>
      <w:pPr>
        <w:ind w:left="6542" w:hanging="684"/>
      </w:pPr>
      <w:rPr>
        <w:rFonts w:hint="default"/>
      </w:rPr>
    </w:lvl>
    <w:lvl w:ilvl="7" w:tentative="0">
      <w:start w:val="0"/>
      <w:numFmt w:val="bullet"/>
      <w:lvlText w:val="•"/>
      <w:lvlJc w:val="left"/>
      <w:pPr>
        <w:ind w:left="7369" w:hanging="684"/>
      </w:pPr>
      <w:rPr>
        <w:rFonts w:hint="default"/>
      </w:rPr>
    </w:lvl>
    <w:lvl w:ilvl="8" w:tentative="0">
      <w:start w:val="0"/>
      <w:numFmt w:val="bullet"/>
      <w:lvlText w:val="•"/>
      <w:lvlJc w:val="left"/>
      <w:pPr>
        <w:ind w:left="8196" w:hanging="684"/>
      </w:pPr>
      <w:rPr>
        <w:rFonts w:hint="default"/>
      </w:rPr>
    </w:lvl>
  </w:abstractNum>
  <w:abstractNum w:abstractNumId="42">
    <w:nsid w:val="7C246926"/>
    <w:multiLevelType w:val="multilevel"/>
    <w:tmpl w:val="7C246926"/>
    <w:lvl w:ilvl="0" w:tentative="0">
      <w:start w:val="1"/>
      <w:numFmt w:val="decimal"/>
      <w:lvlText w:val="（%1）"/>
      <w:lvlJc w:val="left"/>
      <w:pPr>
        <w:ind w:left="1588" w:hanging="684"/>
      </w:pPr>
      <w:rPr>
        <w:rFonts w:hint="default" w:ascii="宋体" w:hAnsi="宋体" w:eastAsia="宋体"/>
        <w:spacing w:val="-8"/>
        <w:w w:val="99"/>
        <w:sz w:val="21"/>
        <w:szCs w:val="21"/>
      </w:rPr>
    </w:lvl>
    <w:lvl w:ilvl="1" w:tentative="0">
      <w:start w:val="0"/>
      <w:numFmt w:val="bullet"/>
      <w:lvlText w:val="•"/>
      <w:lvlJc w:val="left"/>
      <w:pPr>
        <w:ind w:left="2407" w:hanging="684"/>
      </w:pPr>
      <w:rPr>
        <w:rFonts w:hint="default"/>
      </w:rPr>
    </w:lvl>
    <w:lvl w:ilvl="2" w:tentative="0">
      <w:start w:val="0"/>
      <w:numFmt w:val="bullet"/>
      <w:lvlText w:val="•"/>
      <w:lvlJc w:val="left"/>
      <w:pPr>
        <w:ind w:left="3234" w:hanging="684"/>
      </w:pPr>
      <w:rPr>
        <w:rFonts w:hint="default"/>
      </w:rPr>
    </w:lvl>
    <w:lvl w:ilvl="3" w:tentative="0">
      <w:start w:val="0"/>
      <w:numFmt w:val="bullet"/>
      <w:lvlText w:val="•"/>
      <w:lvlJc w:val="left"/>
      <w:pPr>
        <w:ind w:left="4061" w:hanging="684"/>
      </w:pPr>
      <w:rPr>
        <w:rFonts w:hint="default"/>
      </w:rPr>
    </w:lvl>
    <w:lvl w:ilvl="4" w:tentative="0">
      <w:start w:val="0"/>
      <w:numFmt w:val="bullet"/>
      <w:lvlText w:val="•"/>
      <w:lvlJc w:val="left"/>
      <w:pPr>
        <w:ind w:left="4888" w:hanging="684"/>
      </w:pPr>
      <w:rPr>
        <w:rFonts w:hint="default"/>
      </w:rPr>
    </w:lvl>
    <w:lvl w:ilvl="5" w:tentative="0">
      <w:start w:val="0"/>
      <w:numFmt w:val="bullet"/>
      <w:lvlText w:val="•"/>
      <w:lvlJc w:val="left"/>
      <w:pPr>
        <w:ind w:left="5715" w:hanging="684"/>
      </w:pPr>
      <w:rPr>
        <w:rFonts w:hint="default"/>
      </w:rPr>
    </w:lvl>
    <w:lvl w:ilvl="6" w:tentative="0">
      <w:start w:val="0"/>
      <w:numFmt w:val="bullet"/>
      <w:lvlText w:val="•"/>
      <w:lvlJc w:val="left"/>
      <w:pPr>
        <w:ind w:left="6542" w:hanging="684"/>
      </w:pPr>
      <w:rPr>
        <w:rFonts w:hint="default"/>
      </w:rPr>
    </w:lvl>
    <w:lvl w:ilvl="7" w:tentative="0">
      <w:start w:val="0"/>
      <w:numFmt w:val="bullet"/>
      <w:lvlText w:val="•"/>
      <w:lvlJc w:val="left"/>
      <w:pPr>
        <w:ind w:left="7369" w:hanging="684"/>
      </w:pPr>
      <w:rPr>
        <w:rFonts w:hint="default"/>
      </w:rPr>
    </w:lvl>
    <w:lvl w:ilvl="8" w:tentative="0">
      <w:start w:val="0"/>
      <w:numFmt w:val="bullet"/>
      <w:lvlText w:val="•"/>
      <w:lvlJc w:val="left"/>
      <w:pPr>
        <w:ind w:left="8196" w:hanging="684"/>
      </w:pPr>
      <w:rPr>
        <w:rFonts w:hint="default"/>
      </w:rPr>
    </w:lvl>
  </w:abstractNum>
  <w:num w:numId="1">
    <w:abstractNumId w:val="9"/>
  </w:num>
  <w:num w:numId="2">
    <w:abstractNumId w:val="32"/>
  </w:num>
  <w:num w:numId="3">
    <w:abstractNumId w:val="33"/>
  </w:num>
  <w:num w:numId="4">
    <w:abstractNumId w:val="14"/>
  </w:num>
  <w:num w:numId="5">
    <w:abstractNumId w:val="24"/>
  </w:num>
  <w:num w:numId="6">
    <w:abstractNumId w:val="18"/>
  </w:num>
  <w:num w:numId="7">
    <w:abstractNumId w:val="17"/>
  </w:num>
  <w:num w:numId="8">
    <w:abstractNumId w:val="5"/>
  </w:num>
  <w:num w:numId="9">
    <w:abstractNumId w:val="28"/>
  </w:num>
  <w:num w:numId="10">
    <w:abstractNumId w:val="36"/>
  </w:num>
  <w:num w:numId="11">
    <w:abstractNumId w:val="22"/>
  </w:num>
  <w:num w:numId="12">
    <w:abstractNumId w:val="27"/>
  </w:num>
  <w:num w:numId="13">
    <w:abstractNumId w:val="8"/>
  </w:num>
  <w:num w:numId="14">
    <w:abstractNumId w:val="42"/>
  </w:num>
  <w:num w:numId="15">
    <w:abstractNumId w:val="41"/>
  </w:num>
  <w:num w:numId="16">
    <w:abstractNumId w:val="13"/>
  </w:num>
  <w:num w:numId="17">
    <w:abstractNumId w:val="38"/>
  </w:num>
  <w:num w:numId="18">
    <w:abstractNumId w:val="4"/>
  </w:num>
  <w:num w:numId="19">
    <w:abstractNumId w:val="25"/>
  </w:num>
  <w:num w:numId="20">
    <w:abstractNumId w:val="15"/>
  </w:num>
  <w:num w:numId="21">
    <w:abstractNumId w:val="37"/>
  </w:num>
  <w:num w:numId="22">
    <w:abstractNumId w:val="21"/>
  </w:num>
  <w:num w:numId="23">
    <w:abstractNumId w:val="39"/>
  </w:num>
  <w:num w:numId="24">
    <w:abstractNumId w:val="10"/>
  </w:num>
  <w:num w:numId="25">
    <w:abstractNumId w:val="34"/>
  </w:num>
  <w:num w:numId="26">
    <w:abstractNumId w:val="1"/>
  </w:num>
  <w:num w:numId="27">
    <w:abstractNumId w:val="23"/>
  </w:num>
  <w:num w:numId="28">
    <w:abstractNumId w:val="2"/>
  </w:num>
  <w:num w:numId="29">
    <w:abstractNumId w:val="35"/>
  </w:num>
  <w:num w:numId="30">
    <w:abstractNumId w:val="40"/>
  </w:num>
  <w:num w:numId="31">
    <w:abstractNumId w:val="29"/>
  </w:num>
  <w:num w:numId="32">
    <w:abstractNumId w:val="20"/>
  </w:num>
  <w:num w:numId="33">
    <w:abstractNumId w:val="16"/>
  </w:num>
  <w:num w:numId="34">
    <w:abstractNumId w:val="3"/>
  </w:num>
  <w:num w:numId="35">
    <w:abstractNumId w:val="30"/>
  </w:num>
  <w:num w:numId="36">
    <w:abstractNumId w:val="31"/>
  </w:num>
  <w:num w:numId="37">
    <w:abstractNumId w:val="12"/>
  </w:num>
  <w:num w:numId="38">
    <w:abstractNumId w:val="19"/>
  </w:num>
  <w:num w:numId="39">
    <w:abstractNumId w:val="6"/>
  </w:num>
  <w:num w:numId="40">
    <w:abstractNumId w:val="0"/>
  </w:num>
  <w:num w:numId="41">
    <w:abstractNumId w:val="11"/>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oNotHyphenateCaps/>
  <w:drawingGridHorizontalSpacing w:val="11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23"/>
    <w:rsid w:val="000B0A42"/>
    <w:rsid w:val="00177485"/>
    <w:rsid w:val="001E3644"/>
    <w:rsid w:val="001E4E94"/>
    <w:rsid w:val="00232185"/>
    <w:rsid w:val="00282D54"/>
    <w:rsid w:val="002B45FA"/>
    <w:rsid w:val="002D2C49"/>
    <w:rsid w:val="00343263"/>
    <w:rsid w:val="003E5E64"/>
    <w:rsid w:val="00455F40"/>
    <w:rsid w:val="00462C9A"/>
    <w:rsid w:val="00524509"/>
    <w:rsid w:val="0054162D"/>
    <w:rsid w:val="00552E9D"/>
    <w:rsid w:val="00585600"/>
    <w:rsid w:val="006E0821"/>
    <w:rsid w:val="00710523"/>
    <w:rsid w:val="00724AD7"/>
    <w:rsid w:val="00734198"/>
    <w:rsid w:val="007D1C1D"/>
    <w:rsid w:val="00865AFB"/>
    <w:rsid w:val="00896E95"/>
    <w:rsid w:val="008B3EAE"/>
    <w:rsid w:val="008D589F"/>
    <w:rsid w:val="008F6B1D"/>
    <w:rsid w:val="00974767"/>
    <w:rsid w:val="009A3F1A"/>
    <w:rsid w:val="009E3EA1"/>
    <w:rsid w:val="00A077D8"/>
    <w:rsid w:val="00A71F4D"/>
    <w:rsid w:val="00A900B1"/>
    <w:rsid w:val="00B51CAC"/>
    <w:rsid w:val="00B837B7"/>
    <w:rsid w:val="00B91514"/>
    <w:rsid w:val="00BE5AD8"/>
    <w:rsid w:val="00CA2FBF"/>
    <w:rsid w:val="00CD6406"/>
    <w:rsid w:val="00CF56E6"/>
    <w:rsid w:val="00D11CD3"/>
    <w:rsid w:val="00D255B6"/>
    <w:rsid w:val="00D3626F"/>
    <w:rsid w:val="00DB0E79"/>
    <w:rsid w:val="00DF2F90"/>
    <w:rsid w:val="00E7747D"/>
    <w:rsid w:val="00EA0033"/>
    <w:rsid w:val="00EC0B74"/>
    <w:rsid w:val="00EF22ED"/>
    <w:rsid w:val="00EF4A33"/>
    <w:rsid w:val="00F113ED"/>
    <w:rsid w:val="00F230B5"/>
    <w:rsid w:val="02E4483A"/>
    <w:rsid w:val="03D02515"/>
    <w:rsid w:val="05944EB7"/>
    <w:rsid w:val="06E84DAC"/>
    <w:rsid w:val="0711206A"/>
    <w:rsid w:val="07DB6BF2"/>
    <w:rsid w:val="091D018D"/>
    <w:rsid w:val="0C0B7541"/>
    <w:rsid w:val="0CC01040"/>
    <w:rsid w:val="0DF100C9"/>
    <w:rsid w:val="0E531CD0"/>
    <w:rsid w:val="0EBC366A"/>
    <w:rsid w:val="0F171765"/>
    <w:rsid w:val="0FB4374C"/>
    <w:rsid w:val="0FE71118"/>
    <w:rsid w:val="0FEB5E96"/>
    <w:rsid w:val="15B81ECB"/>
    <w:rsid w:val="172C7BF1"/>
    <w:rsid w:val="174C1D74"/>
    <w:rsid w:val="1B160CA3"/>
    <w:rsid w:val="1BB04555"/>
    <w:rsid w:val="1CDC710B"/>
    <w:rsid w:val="1F5D64E5"/>
    <w:rsid w:val="222A1D0D"/>
    <w:rsid w:val="22373E13"/>
    <w:rsid w:val="223B54D6"/>
    <w:rsid w:val="22A01E6B"/>
    <w:rsid w:val="246F5BF1"/>
    <w:rsid w:val="247967EB"/>
    <w:rsid w:val="24AD56B0"/>
    <w:rsid w:val="25373242"/>
    <w:rsid w:val="257810B1"/>
    <w:rsid w:val="25F94C5D"/>
    <w:rsid w:val="26791C6D"/>
    <w:rsid w:val="271D0CF1"/>
    <w:rsid w:val="273638ED"/>
    <w:rsid w:val="27A940F1"/>
    <w:rsid w:val="27CF7F45"/>
    <w:rsid w:val="283C42D8"/>
    <w:rsid w:val="28AD2784"/>
    <w:rsid w:val="2AC11480"/>
    <w:rsid w:val="2B486E94"/>
    <w:rsid w:val="2D26614F"/>
    <w:rsid w:val="2E1C7F85"/>
    <w:rsid w:val="2E4A4CEA"/>
    <w:rsid w:val="2E5C14CA"/>
    <w:rsid w:val="2F0E0EE7"/>
    <w:rsid w:val="302E6BC5"/>
    <w:rsid w:val="317B6887"/>
    <w:rsid w:val="354B1E84"/>
    <w:rsid w:val="355A7087"/>
    <w:rsid w:val="37DD7321"/>
    <w:rsid w:val="391B1D56"/>
    <w:rsid w:val="3A836A6A"/>
    <w:rsid w:val="3B4112B5"/>
    <w:rsid w:val="3B5F7136"/>
    <w:rsid w:val="3EEA5DF4"/>
    <w:rsid w:val="3F5C632A"/>
    <w:rsid w:val="40BA43C3"/>
    <w:rsid w:val="42233B05"/>
    <w:rsid w:val="43D47AB5"/>
    <w:rsid w:val="44960F44"/>
    <w:rsid w:val="47D02FE9"/>
    <w:rsid w:val="495E281B"/>
    <w:rsid w:val="4A0A1C60"/>
    <w:rsid w:val="4D3C132C"/>
    <w:rsid w:val="4D63229E"/>
    <w:rsid w:val="4E8D698E"/>
    <w:rsid w:val="4F867EB4"/>
    <w:rsid w:val="51BE0B76"/>
    <w:rsid w:val="520F7163"/>
    <w:rsid w:val="527168E7"/>
    <w:rsid w:val="52835A48"/>
    <w:rsid w:val="558E13BA"/>
    <w:rsid w:val="55D517F2"/>
    <w:rsid w:val="57A01D51"/>
    <w:rsid w:val="57BC492B"/>
    <w:rsid w:val="5C471144"/>
    <w:rsid w:val="5C6D098C"/>
    <w:rsid w:val="5CD86F26"/>
    <w:rsid w:val="5D03107B"/>
    <w:rsid w:val="5D367B43"/>
    <w:rsid w:val="5F336CCD"/>
    <w:rsid w:val="5F877F6B"/>
    <w:rsid w:val="603A07E8"/>
    <w:rsid w:val="637B5BC8"/>
    <w:rsid w:val="63E82816"/>
    <w:rsid w:val="6605551C"/>
    <w:rsid w:val="661210AE"/>
    <w:rsid w:val="66FD6285"/>
    <w:rsid w:val="672663B8"/>
    <w:rsid w:val="6A587C3A"/>
    <w:rsid w:val="6AE07B33"/>
    <w:rsid w:val="6BC76255"/>
    <w:rsid w:val="6C6F16A9"/>
    <w:rsid w:val="6D5332BB"/>
    <w:rsid w:val="6E2D2662"/>
    <w:rsid w:val="6F9A38DF"/>
    <w:rsid w:val="70140CDC"/>
    <w:rsid w:val="718E0936"/>
    <w:rsid w:val="719B695E"/>
    <w:rsid w:val="719F77BC"/>
    <w:rsid w:val="71C80F07"/>
    <w:rsid w:val="724D43A0"/>
    <w:rsid w:val="72596606"/>
    <w:rsid w:val="72665F45"/>
    <w:rsid w:val="73902859"/>
    <w:rsid w:val="74D9366B"/>
    <w:rsid w:val="758A22EF"/>
    <w:rsid w:val="76127080"/>
    <w:rsid w:val="76B64525"/>
    <w:rsid w:val="796F1150"/>
    <w:rsid w:val="7A467106"/>
    <w:rsid w:val="7B106693"/>
    <w:rsid w:val="7B5A5B16"/>
    <w:rsid w:val="7E503DBC"/>
    <w:rsid w:val="7E9C5189"/>
    <w:rsid w:val="7EAE7E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link w:val="34"/>
    <w:qFormat/>
    <w:uiPriority w:val="99"/>
    <w:pPr>
      <w:ind w:right="41"/>
      <w:jc w:val="center"/>
      <w:outlineLvl w:val="0"/>
    </w:pPr>
    <w:rPr>
      <w:b/>
      <w:bCs/>
      <w:sz w:val="76"/>
      <w:szCs w:val="76"/>
    </w:rPr>
  </w:style>
  <w:style w:type="paragraph" w:styleId="4">
    <w:name w:val="heading 2"/>
    <w:basedOn w:val="1"/>
    <w:next w:val="1"/>
    <w:link w:val="35"/>
    <w:qFormat/>
    <w:uiPriority w:val="99"/>
    <w:pPr>
      <w:spacing w:before="50"/>
      <w:ind w:right="34"/>
      <w:jc w:val="center"/>
      <w:outlineLvl w:val="1"/>
    </w:pPr>
    <w:rPr>
      <w:b/>
      <w:bCs/>
      <w:sz w:val="36"/>
      <w:szCs w:val="36"/>
    </w:rPr>
  </w:style>
  <w:style w:type="paragraph" w:styleId="5">
    <w:name w:val="heading 3"/>
    <w:basedOn w:val="1"/>
    <w:next w:val="1"/>
    <w:link w:val="36"/>
    <w:qFormat/>
    <w:uiPriority w:val="99"/>
    <w:pPr>
      <w:spacing w:before="49"/>
      <w:ind w:right="406"/>
      <w:jc w:val="center"/>
      <w:outlineLvl w:val="2"/>
    </w:pPr>
    <w:rPr>
      <w:sz w:val="36"/>
      <w:szCs w:val="36"/>
    </w:rPr>
  </w:style>
  <w:style w:type="paragraph" w:styleId="6">
    <w:name w:val="heading 4"/>
    <w:basedOn w:val="1"/>
    <w:next w:val="1"/>
    <w:link w:val="37"/>
    <w:qFormat/>
    <w:uiPriority w:val="99"/>
    <w:pPr>
      <w:spacing w:before="54"/>
      <w:jc w:val="center"/>
      <w:outlineLvl w:val="3"/>
    </w:pPr>
    <w:rPr>
      <w:sz w:val="32"/>
      <w:szCs w:val="32"/>
    </w:rPr>
  </w:style>
  <w:style w:type="paragraph" w:styleId="7">
    <w:name w:val="heading 5"/>
    <w:basedOn w:val="1"/>
    <w:next w:val="1"/>
    <w:link w:val="38"/>
    <w:qFormat/>
    <w:uiPriority w:val="99"/>
    <w:pPr>
      <w:ind w:right="142"/>
      <w:jc w:val="center"/>
      <w:outlineLvl w:val="4"/>
    </w:pPr>
    <w:rPr>
      <w:b/>
      <w:bCs/>
      <w:sz w:val="30"/>
      <w:szCs w:val="30"/>
    </w:rPr>
  </w:style>
  <w:style w:type="paragraph" w:styleId="8">
    <w:name w:val="heading 6"/>
    <w:basedOn w:val="1"/>
    <w:next w:val="1"/>
    <w:link w:val="39"/>
    <w:qFormat/>
    <w:uiPriority w:val="99"/>
    <w:pPr>
      <w:spacing w:before="62"/>
      <w:ind w:right="75"/>
      <w:jc w:val="center"/>
      <w:outlineLvl w:val="5"/>
    </w:pPr>
    <w:rPr>
      <w:b/>
      <w:bCs/>
      <w:sz w:val="28"/>
      <w:szCs w:val="28"/>
    </w:rPr>
  </w:style>
  <w:style w:type="paragraph" w:styleId="9">
    <w:name w:val="heading 7"/>
    <w:basedOn w:val="1"/>
    <w:next w:val="1"/>
    <w:link w:val="40"/>
    <w:qFormat/>
    <w:uiPriority w:val="99"/>
    <w:pPr>
      <w:jc w:val="center"/>
      <w:outlineLvl w:val="6"/>
    </w:pPr>
    <w:rPr>
      <w:sz w:val="28"/>
      <w:szCs w:val="28"/>
    </w:rPr>
  </w:style>
  <w:style w:type="paragraph" w:styleId="10">
    <w:name w:val="heading 8"/>
    <w:basedOn w:val="1"/>
    <w:next w:val="1"/>
    <w:link w:val="41"/>
    <w:qFormat/>
    <w:uiPriority w:val="99"/>
    <w:pPr>
      <w:ind w:left="564"/>
      <w:outlineLvl w:val="7"/>
    </w:pPr>
    <w:rPr>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1">
    <w:name w:val="annotation text"/>
    <w:basedOn w:val="1"/>
    <w:link w:val="42"/>
    <w:semiHidden/>
    <w:qFormat/>
    <w:uiPriority w:val="99"/>
  </w:style>
  <w:style w:type="paragraph" w:styleId="12">
    <w:name w:val="Body Text"/>
    <w:basedOn w:val="1"/>
    <w:link w:val="43"/>
    <w:qFormat/>
    <w:uiPriority w:val="99"/>
    <w:rPr>
      <w:sz w:val="21"/>
      <w:szCs w:val="21"/>
    </w:rPr>
  </w:style>
  <w:style w:type="paragraph" w:styleId="13">
    <w:name w:val="Body Text Indent 2"/>
    <w:basedOn w:val="1"/>
    <w:link w:val="44"/>
    <w:qFormat/>
    <w:uiPriority w:val="99"/>
    <w:pPr>
      <w:ind w:firstLine="624"/>
    </w:pPr>
    <w:rPr>
      <w:rFonts w:ascii="仿宋_GB2312" w:eastAsia="仿宋_GB2312" w:cs="仿宋_GB2312"/>
      <w:sz w:val="28"/>
      <w:szCs w:val="28"/>
    </w:rPr>
  </w:style>
  <w:style w:type="paragraph" w:styleId="14">
    <w:name w:val="Balloon Text"/>
    <w:basedOn w:val="1"/>
    <w:link w:val="45"/>
    <w:semiHidden/>
    <w:qFormat/>
    <w:uiPriority w:val="99"/>
    <w:rPr>
      <w:sz w:val="18"/>
      <w:szCs w:val="18"/>
    </w:rPr>
  </w:style>
  <w:style w:type="paragraph" w:styleId="15">
    <w:name w:val="footer"/>
    <w:basedOn w:val="1"/>
    <w:link w:val="46"/>
    <w:qFormat/>
    <w:uiPriority w:val="99"/>
    <w:pPr>
      <w:tabs>
        <w:tab w:val="center" w:pos="4153"/>
        <w:tab w:val="right" w:pos="8306"/>
      </w:tabs>
      <w:snapToGrid w:val="0"/>
    </w:pPr>
    <w:rPr>
      <w:sz w:val="18"/>
      <w:szCs w:val="18"/>
    </w:rPr>
  </w:style>
  <w:style w:type="paragraph" w:styleId="16">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99"/>
    <w:pPr>
      <w:spacing w:before="343"/>
      <w:ind w:right="80"/>
      <w:jc w:val="center"/>
    </w:pPr>
    <w:rPr>
      <w:sz w:val="24"/>
      <w:szCs w:val="24"/>
    </w:rPr>
  </w:style>
  <w:style w:type="paragraph" w:styleId="18">
    <w:name w:val="toc 2"/>
    <w:basedOn w:val="1"/>
    <w:next w:val="1"/>
    <w:semiHidden/>
    <w:qFormat/>
    <w:uiPriority w:val="99"/>
    <w:pPr>
      <w:spacing w:before="343"/>
      <w:ind w:left="61" w:right="142"/>
      <w:jc w:val="center"/>
    </w:pPr>
    <w:rPr>
      <w:sz w:val="24"/>
      <w:szCs w:val="24"/>
    </w:rPr>
  </w:style>
  <w:style w:type="paragraph" w:styleId="19">
    <w:name w:val="Normal (Web)"/>
    <w:basedOn w:val="1"/>
    <w:qFormat/>
    <w:locked/>
    <w:uiPriority w:val="0"/>
    <w:rPr>
      <w:sz w:val="24"/>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locked/>
    <w:uiPriority w:val="99"/>
    <w:rPr>
      <w:color w:val="2D64B3"/>
      <w:u w:val="none"/>
    </w:rPr>
  </w:style>
  <w:style w:type="character" w:styleId="24">
    <w:name w:val="Emphasis"/>
    <w:basedOn w:val="22"/>
    <w:qFormat/>
    <w:uiPriority w:val="0"/>
  </w:style>
  <w:style w:type="character" w:styleId="25">
    <w:name w:val="HTML Definition"/>
    <w:basedOn w:val="22"/>
    <w:semiHidden/>
    <w:unhideWhenUsed/>
    <w:qFormat/>
    <w:locked/>
    <w:uiPriority w:val="99"/>
  </w:style>
  <w:style w:type="character" w:styleId="26">
    <w:name w:val="HTML Variable"/>
    <w:basedOn w:val="22"/>
    <w:semiHidden/>
    <w:unhideWhenUsed/>
    <w:qFormat/>
    <w:locked/>
    <w:uiPriority w:val="99"/>
  </w:style>
  <w:style w:type="character" w:styleId="27">
    <w:name w:val="Hyperlink"/>
    <w:basedOn w:val="22"/>
    <w:semiHidden/>
    <w:unhideWhenUsed/>
    <w:qFormat/>
    <w:locked/>
    <w:uiPriority w:val="99"/>
    <w:rPr>
      <w:color w:val="2D64B3"/>
      <w:u w:val="none"/>
    </w:rPr>
  </w:style>
  <w:style w:type="character" w:styleId="28">
    <w:name w:val="HTML Code"/>
    <w:basedOn w:val="22"/>
    <w:semiHidden/>
    <w:unhideWhenUsed/>
    <w:qFormat/>
    <w:locked/>
    <w:uiPriority w:val="99"/>
    <w:rPr>
      <w:rFonts w:hint="default" w:ascii="Arial" w:hAnsi="Arial" w:cs="Arial"/>
      <w:sz w:val="20"/>
    </w:rPr>
  </w:style>
  <w:style w:type="character" w:styleId="29">
    <w:name w:val="HTML Cite"/>
    <w:basedOn w:val="22"/>
    <w:semiHidden/>
    <w:unhideWhenUsed/>
    <w:qFormat/>
    <w:locked/>
    <w:uiPriority w:val="99"/>
  </w:style>
  <w:style w:type="character" w:styleId="30">
    <w:name w:val="HTML Keyboard"/>
    <w:basedOn w:val="22"/>
    <w:semiHidden/>
    <w:unhideWhenUsed/>
    <w:qFormat/>
    <w:locked/>
    <w:uiPriority w:val="99"/>
    <w:rPr>
      <w:rFonts w:hint="default" w:ascii="Arial" w:hAnsi="Arial" w:cs="Arial"/>
      <w:sz w:val="20"/>
    </w:rPr>
  </w:style>
  <w:style w:type="character" w:styleId="31">
    <w:name w:val="HTML Sample"/>
    <w:basedOn w:val="22"/>
    <w:semiHidden/>
    <w:unhideWhenUsed/>
    <w:qFormat/>
    <w:locked/>
    <w:uiPriority w:val="99"/>
    <w:rPr>
      <w:rFonts w:hint="eastAsia" w:ascii="Arial" w:hAnsi="Arial" w:cs="Arial"/>
    </w:rPr>
  </w:style>
  <w:style w:type="paragraph" w:customStyle="1" w:styleId="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33">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
    <w:name w:val="标题 1 Char"/>
    <w:basedOn w:val="22"/>
    <w:link w:val="3"/>
    <w:qFormat/>
    <w:locked/>
    <w:uiPriority w:val="99"/>
    <w:rPr>
      <w:rFonts w:ascii="宋体" w:eastAsia="宋体" w:cs="宋体"/>
      <w:b/>
      <w:bCs/>
      <w:kern w:val="44"/>
      <w:sz w:val="44"/>
      <w:szCs w:val="44"/>
      <w:lang w:val="zh-CN"/>
    </w:rPr>
  </w:style>
  <w:style w:type="character" w:customStyle="1" w:styleId="35">
    <w:name w:val="标题 2 Char"/>
    <w:basedOn w:val="22"/>
    <w:link w:val="4"/>
    <w:semiHidden/>
    <w:qFormat/>
    <w:locked/>
    <w:uiPriority w:val="99"/>
    <w:rPr>
      <w:rFonts w:ascii="Cambria" w:hAnsi="Cambria" w:eastAsia="宋体" w:cs="Cambria"/>
      <w:b/>
      <w:bCs/>
      <w:kern w:val="0"/>
      <w:sz w:val="32"/>
      <w:szCs w:val="32"/>
      <w:lang w:val="zh-CN"/>
    </w:rPr>
  </w:style>
  <w:style w:type="character" w:customStyle="1" w:styleId="36">
    <w:name w:val="标题 3 Char"/>
    <w:basedOn w:val="22"/>
    <w:link w:val="5"/>
    <w:semiHidden/>
    <w:qFormat/>
    <w:locked/>
    <w:uiPriority w:val="99"/>
    <w:rPr>
      <w:rFonts w:ascii="宋体" w:eastAsia="宋体" w:cs="宋体"/>
      <w:b/>
      <w:bCs/>
      <w:kern w:val="0"/>
      <w:sz w:val="32"/>
      <w:szCs w:val="32"/>
      <w:lang w:val="zh-CN"/>
    </w:rPr>
  </w:style>
  <w:style w:type="character" w:customStyle="1" w:styleId="37">
    <w:name w:val="标题 4 Char"/>
    <w:basedOn w:val="22"/>
    <w:link w:val="6"/>
    <w:semiHidden/>
    <w:qFormat/>
    <w:locked/>
    <w:uiPriority w:val="99"/>
    <w:rPr>
      <w:rFonts w:ascii="Cambria" w:hAnsi="Cambria" w:eastAsia="宋体" w:cs="Cambria"/>
      <w:b/>
      <w:bCs/>
      <w:kern w:val="0"/>
      <w:sz w:val="28"/>
      <w:szCs w:val="28"/>
      <w:lang w:val="zh-CN"/>
    </w:rPr>
  </w:style>
  <w:style w:type="character" w:customStyle="1" w:styleId="38">
    <w:name w:val="标题 5 Char"/>
    <w:basedOn w:val="22"/>
    <w:link w:val="7"/>
    <w:semiHidden/>
    <w:qFormat/>
    <w:locked/>
    <w:uiPriority w:val="99"/>
    <w:rPr>
      <w:rFonts w:ascii="宋体" w:eastAsia="宋体" w:cs="宋体"/>
      <w:b/>
      <w:bCs/>
      <w:kern w:val="0"/>
      <w:sz w:val="28"/>
      <w:szCs w:val="28"/>
      <w:lang w:val="zh-CN"/>
    </w:rPr>
  </w:style>
  <w:style w:type="character" w:customStyle="1" w:styleId="39">
    <w:name w:val="标题 6 Char"/>
    <w:basedOn w:val="22"/>
    <w:link w:val="8"/>
    <w:semiHidden/>
    <w:qFormat/>
    <w:locked/>
    <w:uiPriority w:val="99"/>
    <w:rPr>
      <w:rFonts w:ascii="Cambria" w:hAnsi="Cambria" w:eastAsia="宋体" w:cs="Cambria"/>
      <w:b/>
      <w:bCs/>
      <w:kern w:val="0"/>
      <w:sz w:val="24"/>
      <w:szCs w:val="24"/>
      <w:lang w:val="zh-CN"/>
    </w:rPr>
  </w:style>
  <w:style w:type="character" w:customStyle="1" w:styleId="40">
    <w:name w:val="标题 7 Char"/>
    <w:basedOn w:val="22"/>
    <w:link w:val="9"/>
    <w:semiHidden/>
    <w:qFormat/>
    <w:locked/>
    <w:uiPriority w:val="99"/>
    <w:rPr>
      <w:rFonts w:ascii="宋体" w:eastAsia="宋体" w:cs="宋体"/>
      <w:b/>
      <w:bCs/>
      <w:kern w:val="0"/>
      <w:sz w:val="24"/>
      <w:szCs w:val="24"/>
      <w:lang w:val="zh-CN"/>
    </w:rPr>
  </w:style>
  <w:style w:type="character" w:customStyle="1" w:styleId="41">
    <w:name w:val="标题 8 Char"/>
    <w:basedOn w:val="22"/>
    <w:link w:val="10"/>
    <w:semiHidden/>
    <w:qFormat/>
    <w:locked/>
    <w:uiPriority w:val="99"/>
    <w:rPr>
      <w:rFonts w:ascii="Cambria" w:hAnsi="Cambria" w:eastAsia="宋体" w:cs="Cambria"/>
      <w:kern w:val="0"/>
      <w:sz w:val="24"/>
      <w:szCs w:val="24"/>
      <w:lang w:val="zh-CN"/>
    </w:rPr>
  </w:style>
  <w:style w:type="character" w:customStyle="1" w:styleId="42">
    <w:name w:val="批注文字 Char"/>
    <w:basedOn w:val="22"/>
    <w:link w:val="11"/>
    <w:semiHidden/>
    <w:qFormat/>
    <w:locked/>
    <w:uiPriority w:val="99"/>
    <w:rPr>
      <w:rFonts w:ascii="宋体" w:eastAsia="宋体" w:cs="宋体"/>
      <w:kern w:val="0"/>
      <w:sz w:val="22"/>
      <w:szCs w:val="22"/>
      <w:lang w:val="zh-CN"/>
    </w:rPr>
  </w:style>
  <w:style w:type="character" w:customStyle="1" w:styleId="43">
    <w:name w:val="正文文本 Char"/>
    <w:basedOn w:val="22"/>
    <w:link w:val="12"/>
    <w:semiHidden/>
    <w:qFormat/>
    <w:locked/>
    <w:uiPriority w:val="99"/>
    <w:rPr>
      <w:rFonts w:ascii="宋体" w:eastAsia="宋体" w:cs="宋体"/>
      <w:kern w:val="0"/>
      <w:sz w:val="22"/>
      <w:szCs w:val="22"/>
      <w:lang w:val="zh-CN"/>
    </w:rPr>
  </w:style>
  <w:style w:type="character" w:customStyle="1" w:styleId="44">
    <w:name w:val="正文文本缩进 2 Char"/>
    <w:basedOn w:val="22"/>
    <w:link w:val="13"/>
    <w:semiHidden/>
    <w:qFormat/>
    <w:locked/>
    <w:uiPriority w:val="99"/>
    <w:rPr>
      <w:rFonts w:ascii="宋体" w:eastAsia="宋体" w:cs="宋体"/>
      <w:kern w:val="0"/>
      <w:sz w:val="22"/>
      <w:szCs w:val="22"/>
      <w:lang w:val="zh-CN"/>
    </w:rPr>
  </w:style>
  <w:style w:type="character" w:customStyle="1" w:styleId="45">
    <w:name w:val="批注框文本 Char"/>
    <w:basedOn w:val="22"/>
    <w:link w:val="14"/>
    <w:qFormat/>
    <w:locked/>
    <w:uiPriority w:val="99"/>
    <w:rPr>
      <w:rFonts w:ascii="宋体" w:eastAsia="宋体" w:cs="宋体"/>
      <w:sz w:val="18"/>
      <w:szCs w:val="18"/>
      <w:lang w:val="zh-CN"/>
    </w:rPr>
  </w:style>
  <w:style w:type="character" w:customStyle="1" w:styleId="46">
    <w:name w:val="页脚 Char"/>
    <w:basedOn w:val="22"/>
    <w:link w:val="15"/>
    <w:qFormat/>
    <w:locked/>
    <w:uiPriority w:val="99"/>
    <w:rPr>
      <w:rFonts w:ascii="宋体" w:eastAsia="宋体" w:cs="宋体"/>
      <w:kern w:val="0"/>
      <w:sz w:val="18"/>
      <w:szCs w:val="18"/>
      <w:lang w:val="zh-CN"/>
    </w:rPr>
  </w:style>
  <w:style w:type="character" w:customStyle="1" w:styleId="47">
    <w:name w:val="页眉 Char"/>
    <w:basedOn w:val="22"/>
    <w:link w:val="16"/>
    <w:semiHidden/>
    <w:qFormat/>
    <w:locked/>
    <w:uiPriority w:val="99"/>
    <w:rPr>
      <w:rFonts w:ascii="宋体" w:eastAsia="宋体" w:cs="宋体"/>
      <w:kern w:val="0"/>
      <w:sz w:val="18"/>
      <w:szCs w:val="18"/>
      <w:lang w:val="zh-CN"/>
    </w:rPr>
  </w:style>
  <w:style w:type="table" w:customStyle="1" w:styleId="48">
    <w:name w:val="Table Normal1"/>
    <w:qFormat/>
    <w:uiPriority w:val="99"/>
    <w:tblPr>
      <w:tblCellMar>
        <w:top w:w="0" w:type="dxa"/>
        <w:left w:w="0" w:type="dxa"/>
        <w:bottom w:w="0" w:type="dxa"/>
        <w:right w:w="0" w:type="dxa"/>
      </w:tblCellMar>
    </w:tblPr>
  </w:style>
  <w:style w:type="paragraph" w:customStyle="1" w:styleId="49">
    <w:name w:val="列出段落1"/>
    <w:basedOn w:val="1"/>
    <w:qFormat/>
    <w:uiPriority w:val="99"/>
    <w:pPr>
      <w:ind w:left="139" w:firstLine="420"/>
    </w:pPr>
  </w:style>
  <w:style w:type="paragraph" w:customStyle="1" w:styleId="50">
    <w:name w:val="Table Paragraph"/>
    <w:basedOn w:val="1"/>
    <w:qFormat/>
    <w:uiPriority w:val="99"/>
  </w:style>
  <w:style w:type="paragraph" w:customStyle="1" w:styleId="51">
    <w:name w:val="样式 标题 2 + Times New Roman 四号 非加粗 段前: 5 磅 段后: 0 磅 行距: 固定值 20..."/>
    <w:basedOn w:val="4"/>
    <w:qFormat/>
    <w:uiPriority w:val="99"/>
    <w:pPr>
      <w:spacing w:line="400" w:lineRule="exact"/>
    </w:pPr>
    <w:rPr>
      <w:rFonts w:ascii="Times New Roman" w:hAnsi="Times New Roman" w:cs="Times New Roman"/>
      <w:b w:val="0"/>
      <w:bCs w:val="0"/>
      <w:sz w:val="28"/>
      <w:szCs w:val="28"/>
    </w:rPr>
  </w:style>
  <w:style w:type="paragraph" w:customStyle="1" w:styleId="52">
    <w:name w:val="样式 标题 3 + (中文) 黑体 小四 非加粗 段前: 7.8 磅 段后: 0 磅 行距: 固定值 20 磅"/>
    <w:basedOn w:val="5"/>
    <w:qFormat/>
    <w:uiPriority w:val="99"/>
    <w:pPr>
      <w:spacing w:line="400" w:lineRule="exact"/>
    </w:pPr>
    <w:rPr>
      <w:rFonts w:eastAsia="黑体"/>
      <w:sz w:val="24"/>
      <w:szCs w:val="24"/>
    </w:rPr>
  </w:style>
  <w:style w:type="paragraph" w:customStyle="1" w:styleId="53">
    <w:name w:val="p0"/>
    <w:basedOn w:val="1"/>
    <w:qFormat/>
    <w:uiPriority w:val="99"/>
    <w:pPr>
      <w:widowControl/>
      <w:autoSpaceDE/>
      <w:autoSpaceDN/>
    </w:pPr>
    <w:rPr>
      <w:rFonts w:ascii="Calibri" w:hAnsi="Calibri" w:cs="Calibri"/>
      <w:sz w:val="21"/>
      <w:szCs w:val="21"/>
    </w:rPr>
  </w:style>
  <w:style w:type="paragraph" w:customStyle="1" w:styleId="54">
    <w:name w:val="List Paragraph"/>
    <w:basedOn w:val="1"/>
    <w:qFormat/>
    <w:uiPriority w:val="99"/>
    <w:pPr>
      <w:ind w:left="160" w:firstLine="439"/>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91"/>
    <customShpInfo spid="_x0000_s1031"/>
    <customShpInfo spid="_x0000_s1032"/>
    <customShpInfo spid="_x0000_s1033"/>
    <customShpInfo spid="_x0000_s1034"/>
    <customShpInfo spid="_x0000_s1035"/>
    <customShpInfo spid="_x0000_s1036"/>
    <customShpInfo spid="_x0000_s1037"/>
    <customShpInfo spid="_x0000_s1042"/>
    <customShpInfo spid="_x0000_s1043"/>
    <customShpInfo spid="_x0000_s1044"/>
    <customShpInfo spid="_x0000_s1045"/>
    <customShpInfo spid="_x0000_s1056"/>
    <customShpInfo spid="_x0000_s1074"/>
    <customShpInfo spid="_x0000_s1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158</Pages>
  <Words>90429</Words>
  <Characters>95684</Characters>
  <Lines>729</Lines>
  <Paragraphs>205</Paragraphs>
  <TotalTime>25</TotalTime>
  <ScaleCrop>false</ScaleCrop>
  <LinksUpToDate>false</LinksUpToDate>
  <CharactersWithSpaces>97365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2019-05-31T12:15:00Z</dcterms:created>
  <dc:creator>微软用户</dc:creator>
  <cp:lastModifiedBy>MaRin</cp:lastModifiedBy>
  <cp:lastPrinted>2019-12-25T03:33:00Z</cp:lastPrinted>
  <dcterms:modified xsi:type="dcterms:W3CDTF">2020-11-25T06:37:20Z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2052-11.1.0.10132</vt:lpwstr>
  </property>
</Properties>
</file>