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line="1220" w:lineRule="exact"/>
        <w:jc w:val="center"/>
        <w:rPr>
          <w:rFonts w:hint="eastAsia" w:hAnsi="宋体" w:cs="宋体"/>
          <w:spacing w:val="-20"/>
          <w:sz w:val="52"/>
          <w:szCs w:val="52"/>
        </w:rPr>
      </w:pPr>
      <w:bookmarkStart w:id="85" w:name="_GoBack"/>
      <w:bookmarkEnd w:id="85"/>
    </w:p>
    <w:p>
      <w:pPr>
        <w:pStyle w:val="28"/>
        <w:spacing w:line="1220" w:lineRule="exact"/>
        <w:jc w:val="center"/>
        <w:rPr>
          <w:rFonts w:hint="eastAsia" w:hAnsi="宋体" w:cs="宋体"/>
          <w:spacing w:val="-20"/>
          <w:sz w:val="52"/>
          <w:szCs w:val="52"/>
        </w:rPr>
      </w:pPr>
      <w:r>
        <w:rPr>
          <w:rFonts w:hint="eastAsia" w:hAnsi="宋体" w:cs="宋体"/>
          <w:spacing w:val="-20"/>
          <w:sz w:val="52"/>
          <w:szCs w:val="52"/>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142240</wp:posOffset>
            </wp:positionV>
            <wp:extent cx="685800" cy="693420"/>
            <wp:effectExtent l="0" t="0" r="0" b="1143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6"/>
                    <a:stretch>
                      <a:fillRect/>
                    </a:stretch>
                  </pic:blipFill>
                  <pic:spPr>
                    <a:xfrm>
                      <a:off x="0" y="0"/>
                      <a:ext cx="685800" cy="693420"/>
                    </a:xfrm>
                    <a:prstGeom prst="rect">
                      <a:avLst/>
                    </a:prstGeom>
                    <a:noFill/>
                    <a:ln>
                      <a:noFill/>
                    </a:ln>
                  </pic:spPr>
                </pic:pic>
              </a:graphicData>
            </a:graphic>
          </wp:anchor>
        </w:drawing>
      </w:r>
      <w:r>
        <w:rPr>
          <w:rFonts w:hint="eastAsia" w:hAnsi="宋体" w:cs="宋体"/>
          <w:spacing w:val="-20"/>
          <w:sz w:val="52"/>
          <w:szCs w:val="52"/>
        </w:rPr>
        <w:t>广西新宇建设项目管理有限公司</w:t>
      </w:r>
      <w:r>
        <w:rPr>
          <w:rFonts w:hint="eastAsia" w:hAnsi="宋体" w:cs="宋体"/>
          <w:spacing w:val="-20"/>
          <w:sz w:val="72"/>
        </w:rPr>
        <w:t xml:space="preserve"> </w:t>
      </w:r>
    </w:p>
    <w:p>
      <w:pPr>
        <w:pStyle w:val="28"/>
        <w:spacing w:line="400" w:lineRule="exact"/>
        <w:rPr>
          <w:rFonts w:hint="eastAsia" w:hAnsi="宋体" w:cs="宋体"/>
          <w:spacing w:val="-20"/>
          <w:sz w:val="72"/>
        </w:rPr>
      </w:pPr>
    </w:p>
    <w:p>
      <w:pPr>
        <w:pStyle w:val="28"/>
        <w:spacing w:line="400" w:lineRule="exact"/>
        <w:jc w:val="center"/>
        <w:rPr>
          <w:rFonts w:hint="eastAsia" w:hAnsi="宋体" w:cs="宋体"/>
          <w:spacing w:val="-20"/>
          <w:sz w:val="72"/>
        </w:rPr>
      </w:pPr>
    </w:p>
    <w:p>
      <w:pPr>
        <w:pStyle w:val="28"/>
        <w:spacing w:line="400" w:lineRule="exact"/>
        <w:jc w:val="center"/>
        <w:rPr>
          <w:rFonts w:hint="eastAsia" w:hAnsi="宋体" w:cs="宋体"/>
          <w:spacing w:val="-20"/>
          <w:sz w:val="72"/>
        </w:rPr>
      </w:pPr>
    </w:p>
    <w:p>
      <w:pPr>
        <w:pStyle w:val="28"/>
        <w:spacing w:line="1040" w:lineRule="exact"/>
        <w:jc w:val="center"/>
        <w:rPr>
          <w:rFonts w:hint="eastAsia" w:hAnsi="宋体" w:cs="宋体"/>
          <w:b/>
          <w:bCs/>
          <w:spacing w:val="-20"/>
          <w:sz w:val="32"/>
        </w:rPr>
      </w:pPr>
      <w:r>
        <w:rPr>
          <w:rFonts w:hint="eastAsia" w:hAnsi="宋体" w:cs="宋体"/>
          <w:b/>
          <w:bCs/>
          <w:spacing w:val="-20"/>
          <w:sz w:val="32"/>
        </w:rPr>
        <mc:AlternateContent>
          <mc:Choice Requires="wpg">
            <w:drawing>
              <wp:inline distT="0" distB="0" distL="114300" distR="114300">
                <wp:extent cx="7658100" cy="1386840"/>
                <wp:effectExtent l="0" t="0" r="0" b="0"/>
                <wp:docPr id="3" name="Group 8"/>
                <wp:cNvGraphicFramePr/>
                <a:graphic xmlns:a="http://schemas.openxmlformats.org/drawingml/2006/main">
                  <a:graphicData uri="http://schemas.microsoft.com/office/word/2010/wordprocessingGroup">
                    <wpg:wgp>
                      <wpg:cNvGrpSpPr>
                        <a:grpSpLocks noRot="1"/>
                      </wpg:cNvGrpSpPr>
                      <wpg:grpSpPr>
                        <a:xfrm>
                          <a:off x="0" y="0"/>
                          <a:ext cx="7658100" cy="1386840"/>
                          <a:chOff x="0" y="0"/>
                          <a:chExt cx="8615" cy="1594"/>
                        </a:xfrm>
                      </wpg:grpSpPr>
                      <wps:wsp>
                        <wps:cNvPr id="1" name="Picture 9"/>
                        <wps:cNvSpPr>
                          <a:spLocks noChangeAspect="1" noTextEdit="1"/>
                        </wps:cNvSpPr>
                        <wps:spPr>
                          <a:xfrm>
                            <a:off x="0" y="0"/>
                            <a:ext cx="8615" cy="1594"/>
                          </a:xfrm>
                          <a:prstGeom prst="rect">
                            <a:avLst/>
                          </a:prstGeom>
                          <a:noFill/>
                          <a:ln>
                            <a:noFill/>
                          </a:ln>
                        </wps:spPr>
                        <wps:bodyPr wrap="square" upright="1"/>
                      </wps:wsp>
                      <wps:wsp>
                        <wps:cNvPr id="2" name="Line 10"/>
                        <wps:cNvCnPr/>
                        <wps:spPr>
                          <a:xfrm>
                            <a:off x="0" y="1025"/>
                            <a:ext cx="6815" cy="1"/>
                          </a:xfrm>
                          <a:prstGeom prst="line">
                            <a:avLst/>
                          </a:prstGeom>
                          <a:ln w="57150" cap="flat" cmpd="thinThick">
                            <a:solidFill>
                              <a:srgbClr val="000000"/>
                            </a:solidFill>
                            <a:prstDash val="solid"/>
                            <a:headEnd type="none" w="med" len="med"/>
                            <a:tailEnd type="none" w="med" len="med"/>
                          </a:ln>
                        </wps:spPr>
                        <wps:bodyPr upright="1"/>
                      </wps:wsp>
                    </wpg:wgp>
                  </a:graphicData>
                </a:graphic>
              </wp:inline>
            </w:drawing>
          </mc:Choice>
          <mc:Fallback>
            <w:pict>
              <v:group id="Group 8" o:spid="_x0000_s1026" o:spt="203" style="height:109.2pt;width:603pt;" coordsize="8615,1594" o:gfxdata="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3+Il1gAAAAYBAAAPAAAAAAAAAAEAIAAAACIAAABkcnMvZG93&#10;bnJldi54bWxQSwECFAAUAAAACACHTuJAQpob1K0CAADRBgAADgAAAAAAAAABACAAAAAlAQAAZHJz&#10;L2Uyb0RvYy54bWxQSwUGAAAAAAYABgBZAQAARAYAAAAA&#10;">
                <o:lock v:ext="edit" rotation="t" aspectratio="f"/>
                <v:rect id="Picture 9" o:spid="_x0000_s1026" o:spt="1" style="position:absolute;left:0;top:0;height:1594;width:8615;"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line id="Line 10" o:spid="_x0000_s1026" o:spt="20" style="position:absolute;left:0;top:1025;height:1;width:6815;" filled="f" stroked="t" coordsize="21600,21600" o:gfxdata="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6+7C/&#10;AAAA2gAAAA8AAAAAAAAAAQAgAAAAIgAAAGRycy9kb3ducmV2LnhtbFBLAQIUABQAAAAIAIdO4kAz&#10;LwWeOwAAADkAAAAQAAAAAAAAAAEAIAAAAA4BAABkcnMvc2hhcGV4bWwueG1sUEsFBgAAAAAGAAYA&#10;WwEAALgDAAAAAA==&#10;">
                  <v:fill on="f" focussize="0,0"/>
                  <v:stroke weight="4.5pt" color="#000000" linestyle="thinThick" joinstyle="round"/>
                  <v:imagedata o:title=""/>
                  <o:lock v:ext="edit" aspectratio="f"/>
                </v:line>
                <w10:wrap type="none"/>
                <w10:anchorlock/>
              </v:group>
            </w:pict>
          </mc:Fallback>
        </mc:AlternateContent>
      </w:r>
    </w:p>
    <w:p>
      <w:pPr>
        <w:pStyle w:val="28"/>
        <w:spacing w:line="1040" w:lineRule="exact"/>
        <w:rPr>
          <w:rFonts w:hint="eastAsia" w:hAnsi="宋体" w:cs="宋体"/>
          <w:b/>
          <w:bCs/>
          <w:spacing w:val="-20"/>
        </w:rPr>
      </w:pPr>
    </w:p>
    <w:p>
      <w:pPr>
        <w:pStyle w:val="28"/>
        <w:spacing w:line="1040" w:lineRule="exact"/>
        <w:jc w:val="center"/>
        <w:rPr>
          <w:rFonts w:hint="eastAsia" w:hAnsi="宋体" w:cs="宋体"/>
          <w:spacing w:val="32"/>
          <w:sz w:val="96"/>
          <w:szCs w:val="96"/>
        </w:rPr>
      </w:pPr>
      <w:r>
        <w:rPr>
          <w:rFonts w:hint="eastAsia" w:hAnsi="宋体" w:cs="宋体"/>
          <w:spacing w:val="32"/>
          <w:sz w:val="84"/>
        </w:rPr>
        <w:t>竞争性谈判文件</w:t>
      </w:r>
    </w:p>
    <w:p>
      <w:pPr>
        <w:pStyle w:val="28"/>
        <w:spacing w:line="400" w:lineRule="exact"/>
        <w:jc w:val="center"/>
        <w:rPr>
          <w:rFonts w:hint="eastAsia" w:hAnsi="宋体" w:cs="宋体"/>
          <w:sz w:val="44"/>
        </w:rPr>
      </w:pPr>
      <w:r>
        <w:rPr>
          <w:rFonts w:hint="eastAsia" w:hAnsi="宋体" w:cs="宋体"/>
          <w:sz w:val="44"/>
        </w:rPr>
        <w:cr/>
      </w:r>
    </w:p>
    <w:p>
      <w:pPr>
        <w:pStyle w:val="28"/>
        <w:spacing w:line="400" w:lineRule="exact"/>
        <w:rPr>
          <w:rFonts w:hint="eastAsia" w:hAnsi="宋体" w:cs="宋体"/>
          <w:color w:val="auto"/>
        </w:rPr>
      </w:pPr>
    </w:p>
    <w:p>
      <w:pPr>
        <w:pStyle w:val="28"/>
        <w:spacing w:line="400" w:lineRule="exact"/>
        <w:rPr>
          <w:rFonts w:hint="eastAsia" w:hAnsi="宋体" w:cs="宋体"/>
          <w:color w:val="auto"/>
        </w:rPr>
      </w:pPr>
    </w:p>
    <w:p>
      <w:pPr>
        <w:rPr>
          <w:rFonts w:hint="eastAsia" w:ascii="宋体" w:hAnsi="宋体" w:cs="宋体"/>
          <w:color w:val="auto"/>
          <w:szCs w:val="21"/>
        </w:rPr>
      </w:pPr>
    </w:p>
    <w:p>
      <w:pPr>
        <w:spacing w:line="640" w:lineRule="exact"/>
        <w:ind w:firstLine="1600" w:firstLineChars="500"/>
        <w:rPr>
          <w:rFonts w:hint="eastAsia" w:ascii="宋体" w:hAnsi="宋体" w:eastAsia="宋体" w:cs="宋体"/>
          <w:color w:val="auto"/>
          <w:sz w:val="32"/>
          <w:szCs w:val="32"/>
          <w:lang w:eastAsia="zh-CN"/>
        </w:rPr>
      </w:pPr>
      <w:r>
        <w:rPr>
          <w:rFonts w:hint="eastAsia" w:ascii="宋体" w:hAnsi="宋体" w:cs="宋体"/>
          <w:color w:val="auto"/>
          <w:sz w:val="32"/>
          <w:szCs w:val="32"/>
        </w:rPr>
        <w:t>项目名称：</w:t>
      </w:r>
      <w:r>
        <w:rPr>
          <w:rFonts w:hint="eastAsia" w:ascii="宋体" w:hAnsi="宋体" w:cs="宋体"/>
          <w:color w:val="auto"/>
          <w:sz w:val="32"/>
          <w:szCs w:val="32"/>
          <w:lang w:eastAsia="zh-CN"/>
        </w:rPr>
        <w:t>设备采购及安装</w:t>
      </w:r>
    </w:p>
    <w:p>
      <w:pPr>
        <w:pStyle w:val="28"/>
        <w:spacing w:line="640" w:lineRule="exact"/>
        <w:ind w:firstLine="1600" w:firstLineChars="500"/>
        <w:rPr>
          <w:rFonts w:hint="eastAsia" w:hAnsi="宋体" w:eastAsia="宋体" w:cs="宋体"/>
          <w:color w:val="auto"/>
          <w:sz w:val="32"/>
          <w:szCs w:val="32"/>
          <w:lang w:eastAsia="zh-CN"/>
        </w:rPr>
      </w:pPr>
      <w:r>
        <w:rPr>
          <w:rFonts w:hint="eastAsia" w:hAnsi="宋体" w:cs="宋体"/>
          <w:color w:val="auto"/>
          <w:sz w:val="32"/>
          <w:szCs w:val="32"/>
        </w:rPr>
        <w:t>项目编号：</w:t>
      </w:r>
      <w:r>
        <w:rPr>
          <w:rFonts w:hint="eastAsia" w:hAnsi="宋体" w:cs="宋体"/>
          <w:b w:val="0"/>
          <w:bCs w:val="0"/>
          <w:color w:val="auto"/>
          <w:sz w:val="32"/>
          <w:szCs w:val="32"/>
          <w:lang w:eastAsia="zh-CN"/>
        </w:rPr>
        <w:t>BHZC2020-J1-000513-GXXY</w:t>
      </w:r>
    </w:p>
    <w:p>
      <w:pPr>
        <w:pStyle w:val="28"/>
        <w:spacing w:line="200" w:lineRule="exact"/>
        <w:ind w:firstLine="2240" w:firstLineChars="700"/>
        <w:rPr>
          <w:rFonts w:hint="eastAsia" w:hAnsi="宋体" w:cs="宋体"/>
          <w:color w:val="auto"/>
          <w:sz w:val="32"/>
          <w:szCs w:val="32"/>
        </w:rPr>
      </w:pPr>
    </w:p>
    <w:tbl>
      <w:tblPr>
        <w:tblStyle w:val="57"/>
        <w:tblpPr w:leftFromText="180" w:rightFromText="180" w:vertAnchor="text" w:horzAnchor="margin" w:tblpXSpec="center" w:tblpY="17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553" w:type="dxa"/>
            <w:noWrap w:val="0"/>
            <w:vAlign w:val="top"/>
          </w:tcPr>
          <w:p>
            <w:pPr>
              <w:pStyle w:val="28"/>
              <w:keepNext w:val="0"/>
              <w:keepLines w:val="0"/>
              <w:suppressLineNumbers w:val="0"/>
              <w:spacing w:before="0" w:beforeAutospacing="0" w:after="0" w:afterAutospacing="0" w:line="20" w:lineRule="exact"/>
              <w:ind w:left="0" w:right="0"/>
              <w:rPr>
                <w:rFonts w:hint="eastAsia" w:hAnsi="宋体" w:eastAsia="Times New Roman" w:cs="宋体"/>
                <w:color w:val="auto"/>
                <w:sz w:val="32"/>
                <w:szCs w:val="32"/>
              </w:rPr>
            </w:pPr>
          </w:p>
        </w:tc>
      </w:tr>
    </w:tbl>
    <w:p>
      <w:pPr>
        <w:pStyle w:val="28"/>
        <w:spacing w:line="700" w:lineRule="exact"/>
        <w:ind w:firstLine="1600" w:firstLineChars="500"/>
        <w:rPr>
          <w:rFonts w:hint="eastAsia" w:hAnsi="宋体" w:cs="宋体"/>
          <w:color w:val="auto"/>
          <w:spacing w:val="-8"/>
          <w:sz w:val="32"/>
          <w:szCs w:val="32"/>
        </w:rPr>
      </w:pPr>
      <w:r>
        <w:rPr>
          <w:rFonts w:hint="eastAsia" w:hAnsi="宋体" w:cs="宋体"/>
          <w:color w:val="auto"/>
          <w:sz w:val="32"/>
          <w:szCs w:val="32"/>
        </w:rPr>
        <w:t>采 购 人</w:t>
      </w:r>
      <w:r>
        <w:rPr>
          <w:rFonts w:hint="eastAsia" w:hAnsi="宋体" w:cs="宋体"/>
          <w:color w:val="auto"/>
          <w:spacing w:val="-8"/>
          <w:sz w:val="32"/>
          <w:szCs w:val="32"/>
        </w:rPr>
        <w:t>：北海职业学院</w:t>
      </w:r>
    </w:p>
    <w:p>
      <w:pPr>
        <w:pStyle w:val="28"/>
        <w:spacing w:line="700" w:lineRule="exact"/>
        <w:rPr>
          <w:rFonts w:hint="eastAsia" w:hAnsi="宋体" w:cs="宋体"/>
          <w:sz w:val="32"/>
          <w:szCs w:val="32"/>
        </w:rPr>
      </w:pPr>
      <w:r>
        <w:rPr>
          <w:rFonts w:hint="eastAsia" w:hAnsi="宋体" w:cs="宋体"/>
          <w:spacing w:val="-8"/>
          <w:sz w:val="32"/>
          <w:szCs w:val="32"/>
        </w:rPr>
        <w:t xml:space="preserve">           采购代理机构：广西新宇建设项目管理有限公司</w:t>
      </w:r>
    </w:p>
    <w:p>
      <w:pPr>
        <w:pStyle w:val="28"/>
        <w:spacing w:line="700" w:lineRule="exact"/>
        <w:ind w:firstLine="3040" w:firstLineChars="950"/>
        <w:rPr>
          <w:rFonts w:hint="eastAsia" w:hAnsi="宋体" w:cs="宋体"/>
          <w:sz w:val="32"/>
          <w:szCs w:val="32"/>
        </w:rPr>
      </w:pPr>
      <w:r>
        <w:rPr>
          <w:rFonts w:hint="eastAsia" w:hAnsi="宋体" w:cs="宋体"/>
          <w:sz w:val="32"/>
          <w:szCs w:val="32"/>
        </w:rPr>
        <w:t>二○二○年</w:t>
      </w:r>
      <w:r>
        <w:rPr>
          <w:rFonts w:hint="eastAsia" w:hAnsi="宋体" w:cs="宋体"/>
          <w:sz w:val="32"/>
          <w:szCs w:val="32"/>
          <w:lang w:eastAsia="zh-CN"/>
        </w:rPr>
        <w:t>十</w:t>
      </w:r>
      <w:r>
        <w:rPr>
          <w:rFonts w:hint="eastAsia" w:hAnsi="宋体" w:cs="宋体"/>
          <w:sz w:val="32"/>
          <w:szCs w:val="32"/>
        </w:rPr>
        <w:t>月</w:t>
      </w:r>
      <w:r>
        <w:rPr>
          <w:rFonts w:hint="eastAsia" w:hAnsi="宋体" w:cs="宋体"/>
          <w:sz w:val="32"/>
          <w:szCs w:val="32"/>
          <w:lang w:val="en-US" w:eastAsia="zh-CN"/>
        </w:rPr>
        <w:t>十三</w:t>
      </w:r>
      <w:r>
        <w:rPr>
          <w:rFonts w:hint="eastAsia" w:hAnsi="宋体" w:cs="宋体"/>
          <w:sz w:val="32"/>
          <w:szCs w:val="32"/>
        </w:rPr>
        <w:t>日</w:t>
      </w:r>
    </w:p>
    <w:p>
      <w:pPr>
        <w:jc w:val="center"/>
        <w:rPr>
          <w:rFonts w:hint="eastAsia" w:ascii="宋体" w:hAnsi="宋体" w:cs="宋体"/>
        </w:rPr>
      </w:pPr>
    </w:p>
    <w:p>
      <w:pPr>
        <w:spacing w:line="600" w:lineRule="exact"/>
        <w:rPr>
          <w:rFonts w:hint="eastAsia" w:ascii="宋体" w:hAnsi="宋体" w:cs="宋体"/>
          <w:sz w:val="36"/>
          <w:szCs w:val="36"/>
        </w:rPr>
      </w:pPr>
    </w:p>
    <w:p>
      <w:pPr>
        <w:keepNext/>
        <w:spacing w:line="600" w:lineRule="exact"/>
        <w:jc w:val="center"/>
        <w:rPr>
          <w:rFonts w:hint="eastAsia" w:ascii="宋体" w:hAnsi="宋体" w:cs="宋体"/>
          <w:sz w:val="36"/>
          <w:szCs w:val="36"/>
        </w:rPr>
      </w:pPr>
    </w:p>
    <w:p>
      <w:pPr>
        <w:keepNext/>
        <w:spacing w:line="600" w:lineRule="exact"/>
        <w:jc w:val="center"/>
        <w:rPr>
          <w:rFonts w:hint="eastAsia" w:ascii="宋体" w:hAnsi="宋体" w:cs="宋体"/>
          <w:sz w:val="36"/>
          <w:szCs w:val="36"/>
        </w:rPr>
      </w:pPr>
      <w:r>
        <w:rPr>
          <w:rFonts w:hint="eastAsia" w:ascii="宋体" w:hAnsi="宋体" w:cs="宋体"/>
          <w:sz w:val="36"/>
          <w:szCs w:val="36"/>
        </w:rPr>
        <w:t>目    录</w:t>
      </w:r>
    </w:p>
    <w:p>
      <w:pPr>
        <w:pStyle w:val="79"/>
        <w:rPr>
          <w:rFonts w:hint="eastAsia" w:ascii="宋体" w:hAnsi="宋体" w:cs="宋体"/>
          <w:sz w:val="21"/>
          <w:szCs w:val="21"/>
        </w:rPr>
      </w:pPr>
      <w:r>
        <w:rPr>
          <w:rFonts w:hint="eastAsia" w:ascii="宋体" w:hAnsi="宋体" w:cs="宋体"/>
          <w:sz w:val="21"/>
          <w:szCs w:val="21"/>
        </w:rPr>
        <w:fldChar w:fldCharType="begin"/>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instrText xml:space="preserve">HYPERLINK \l "_Toc405905872"</w:instrText>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fldChar w:fldCharType="separate"/>
      </w:r>
      <w:r>
        <w:rPr>
          <w:rStyle w:val="64"/>
          <w:rFonts w:hint="eastAsia" w:ascii="宋体" w:hAnsi="宋体" w:cs="宋体"/>
          <w:color w:val="auto"/>
          <w:sz w:val="21"/>
          <w:szCs w:val="21"/>
          <w:u w:val="none"/>
        </w:rPr>
        <w:t>第一章  竞争性谈判公告</w:t>
      </w:r>
      <w:r>
        <w:rPr>
          <w:rFonts w:hint="eastAsia" w:ascii="宋体" w:hAnsi="宋体" w:cs="宋体"/>
          <w:sz w:val="21"/>
          <w:szCs w:val="21"/>
        </w:rPr>
        <w:t>…………………………………………………………………………………… 2</w:t>
      </w:r>
      <w:r>
        <w:rPr>
          <w:rFonts w:hint="eastAsia" w:ascii="宋体" w:hAnsi="宋体" w:cs="宋体"/>
          <w:sz w:val="21"/>
          <w:szCs w:val="21"/>
        </w:rPr>
        <w:fldChar w:fldCharType="end"/>
      </w:r>
    </w:p>
    <w:p>
      <w:pPr>
        <w:pStyle w:val="79"/>
        <w:rPr>
          <w:rFonts w:hint="eastAsia" w:ascii="宋体" w:hAnsi="宋体" w:cs="宋体"/>
          <w:sz w:val="21"/>
          <w:szCs w:val="21"/>
        </w:rPr>
      </w:pPr>
      <w:r>
        <w:rPr>
          <w:rFonts w:hint="eastAsia" w:ascii="宋体" w:hAnsi="宋体" w:cs="宋体"/>
          <w:sz w:val="21"/>
          <w:szCs w:val="21"/>
        </w:rPr>
        <w:fldChar w:fldCharType="begin"/>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instrText xml:space="preserve">HYPERLINK \l "_Toc405905873"</w:instrText>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fldChar w:fldCharType="separate"/>
      </w:r>
      <w:r>
        <w:rPr>
          <w:rStyle w:val="64"/>
          <w:rFonts w:hint="eastAsia" w:ascii="宋体" w:hAnsi="宋体" w:cs="宋体"/>
          <w:color w:val="auto"/>
          <w:sz w:val="21"/>
          <w:szCs w:val="21"/>
          <w:u w:val="none"/>
        </w:rPr>
        <w:t xml:space="preserve">第二章  谈判供应商须知…………………………………………………………………………………… </w:t>
      </w:r>
      <w:r>
        <w:rPr>
          <w:rFonts w:hint="eastAsia" w:ascii="宋体" w:hAnsi="宋体" w:cs="宋体"/>
          <w:sz w:val="21"/>
          <w:szCs w:val="21"/>
        </w:rPr>
        <w:fldChar w:fldCharType="end"/>
      </w:r>
      <w:r>
        <w:rPr>
          <w:rFonts w:hint="eastAsia" w:ascii="宋体" w:hAnsi="宋体" w:cs="宋体"/>
          <w:sz w:val="21"/>
          <w:szCs w:val="21"/>
        </w:rPr>
        <w:t>4</w:t>
      </w:r>
    </w:p>
    <w:p>
      <w:pPr>
        <w:pStyle w:val="79"/>
        <w:rPr>
          <w:rFonts w:hint="eastAsia" w:ascii="宋体" w:hAnsi="宋体" w:cs="宋体"/>
          <w:sz w:val="21"/>
          <w:szCs w:val="21"/>
        </w:rPr>
      </w:pPr>
      <w:r>
        <w:rPr>
          <w:rFonts w:hint="eastAsia" w:ascii="宋体" w:hAnsi="宋体" w:cs="宋体"/>
          <w:sz w:val="21"/>
          <w:szCs w:val="21"/>
        </w:rPr>
        <w:fldChar w:fldCharType="begin"/>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instrText xml:space="preserve">HYPERLINK \l "_Toc405905874"</w:instrText>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fldChar w:fldCharType="separate"/>
      </w:r>
      <w:r>
        <w:rPr>
          <w:rStyle w:val="64"/>
          <w:rFonts w:hint="eastAsia" w:ascii="宋体" w:hAnsi="宋体" w:cs="宋体"/>
          <w:color w:val="auto"/>
          <w:sz w:val="21"/>
          <w:szCs w:val="21"/>
          <w:u w:val="none"/>
        </w:rPr>
        <w:t>第三章  采购需求</w:t>
      </w:r>
      <w:r>
        <w:rPr>
          <w:rFonts w:hint="eastAsia" w:ascii="宋体" w:hAnsi="宋体" w:cs="宋体"/>
          <w:sz w:val="21"/>
          <w:szCs w:val="21"/>
        </w:rPr>
        <w:t>…………………………………………………………………………………………… 1</w:t>
      </w:r>
      <w:r>
        <w:rPr>
          <w:rFonts w:hint="eastAsia" w:ascii="宋体" w:hAnsi="宋体" w:cs="宋体"/>
          <w:sz w:val="21"/>
          <w:szCs w:val="21"/>
        </w:rPr>
        <w:fldChar w:fldCharType="end"/>
      </w:r>
      <w:r>
        <w:rPr>
          <w:rFonts w:hint="default" w:ascii="宋体" w:hAnsi="宋体" w:cs="宋体"/>
          <w:sz w:val="21"/>
          <w:szCs w:val="21"/>
          <w:lang w:val="en-US"/>
        </w:rPr>
        <w:t>6</w:t>
      </w:r>
    </w:p>
    <w:p>
      <w:pPr>
        <w:pStyle w:val="79"/>
        <w:rPr>
          <w:rFonts w:hint="default" w:ascii="宋体" w:hAnsi="宋体" w:eastAsia="宋体" w:cs="宋体"/>
          <w:sz w:val="21"/>
          <w:szCs w:val="21"/>
          <w:lang w:val="en-US" w:eastAsia="zh-CN"/>
        </w:rPr>
      </w:pPr>
      <w:r>
        <w:rPr>
          <w:rFonts w:hint="eastAsia" w:ascii="宋体" w:hAnsi="宋体" w:cs="宋体"/>
          <w:sz w:val="21"/>
          <w:szCs w:val="21"/>
        </w:rPr>
        <w:fldChar w:fldCharType="begin"/>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instrText xml:space="preserve">HYPERLINK \l "_Toc405905875"</w:instrText>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fldChar w:fldCharType="separate"/>
      </w:r>
      <w:r>
        <w:rPr>
          <w:rStyle w:val="64"/>
          <w:rFonts w:hint="eastAsia" w:ascii="宋体" w:hAnsi="宋体" w:cs="宋体"/>
          <w:color w:val="auto"/>
          <w:sz w:val="21"/>
          <w:szCs w:val="21"/>
          <w:u w:val="none"/>
        </w:rPr>
        <w:t xml:space="preserve">第四章  竞争性谈判响应文件格式………………………………………………………………………… </w:t>
      </w:r>
      <w:r>
        <w:rPr>
          <w:rFonts w:hint="eastAsia" w:ascii="宋体" w:hAnsi="宋体" w:cs="宋体"/>
          <w:sz w:val="21"/>
          <w:szCs w:val="21"/>
        </w:rPr>
        <w:fldChar w:fldCharType="end"/>
      </w:r>
      <w:r>
        <w:rPr>
          <w:rFonts w:hint="eastAsia" w:ascii="宋体" w:hAnsi="宋体" w:cs="宋体"/>
          <w:sz w:val="21"/>
          <w:szCs w:val="21"/>
          <w:lang w:val="en-US" w:eastAsia="zh-CN"/>
        </w:rPr>
        <w:t>46</w:t>
      </w:r>
    </w:p>
    <w:p>
      <w:pPr>
        <w:pStyle w:val="79"/>
        <w:rPr>
          <w:rStyle w:val="64"/>
          <w:rFonts w:hint="eastAsia" w:ascii="宋体" w:hAnsi="宋体" w:eastAsia="宋体" w:cs="宋体"/>
          <w:color w:val="auto"/>
          <w:sz w:val="21"/>
          <w:szCs w:val="21"/>
          <w:u w:val="none"/>
          <w:lang w:eastAsia="zh-CN"/>
        </w:rPr>
      </w:pPr>
      <w:r>
        <w:rPr>
          <w:rStyle w:val="64"/>
          <w:rFonts w:hint="eastAsia" w:ascii="宋体" w:hAnsi="宋体" w:cs="宋体"/>
          <w:color w:val="auto"/>
          <w:sz w:val="21"/>
          <w:szCs w:val="21"/>
          <w:u w:val="none"/>
        </w:rPr>
        <w:t>第五章  合同主要条款</w:t>
      </w:r>
      <w:r>
        <w:rPr>
          <w:rFonts w:hint="eastAsia" w:ascii="宋体" w:hAnsi="宋体" w:cs="宋体"/>
          <w:sz w:val="21"/>
          <w:szCs w:val="21"/>
        </w:rPr>
        <w:fldChar w:fldCharType="begin"/>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instrText xml:space="preserve">HYPERLINK \l "_Toc405905875"</w:instrText>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fldChar w:fldCharType="separate"/>
      </w:r>
      <w:r>
        <w:rPr>
          <w:rStyle w:val="64"/>
          <w:rFonts w:hint="eastAsia" w:ascii="宋体" w:hAnsi="宋体" w:cs="宋体"/>
          <w:color w:val="auto"/>
          <w:sz w:val="21"/>
          <w:szCs w:val="21"/>
          <w:u w:val="none"/>
        </w:rPr>
        <w:t>………………………………………………………………………………………</w:t>
      </w:r>
      <w:r>
        <w:rPr>
          <w:rFonts w:hint="eastAsia" w:ascii="宋体" w:hAnsi="宋体" w:cs="宋体"/>
          <w:sz w:val="21"/>
          <w:szCs w:val="21"/>
        </w:rPr>
        <w:fldChar w:fldCharType="end"/>
      </w:r>
      <w:r>
        <w:rPr>
          <w:rFonts w:hint="eastAsia" w:ascii="宋体" w:hAnsi="宋体" w:cs="宋体"/>
          <w:sz w:val="21"/>
          <w:szCs w:val="21"/>
        </w:rPr>
        <w:t xml:space="preserve"> </w:t>
      </w:r>
      <w:r>
        <w:rPr>
          <w:rFonts w:hint="eastAsia" w:ascii="宋体" w:hAnsi="宋体" w:cs="宋体"/>
          <w:sz w:val="21"/>
          <w:szCs w:val="21"/>
          <w:lang w:val="en-US" w:eastAsia="zh-CN"/>
        </w:rPr>
        <w:t>53</w:t>
      </w:r>
    </w:p>
    <w:p>
      <w:pPr>
        <w:pStyle w:val="79"/>
        <w:rPr>
          <w:rFonts w:hint="eastAsia" w:eastAsia="宋体"/>
          <w:lang w:eastAsia="zh-CN"/>
        </w:rPr>
      </w:pPr>
      <w:r>
        <w:rPr>
          <w:rFonts w:hint="eastAsia" w:ascii="宋体" w:hAnsi="宋体" w:cs="宋体"/>
          <w:sz w:val="21"/>
          <w:szCs w:val="21"/>
        </w:rPr>
        <w:fldChar w:fldCharType="begin"/>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instrText xml:space="preserve">HYPERLINK \l "_Toc405905894"</w:instrText>
      </w:r>
      <w:r>
        <w:rPr>
          <w:rStyle w:val="64"/>
          <w:rFonts w:hint="eastAsia" w:ascii="宋体" w:hAnsi="宋体" w:cs="宋体"/>
          <w:color w:val="auto"/>
          <w:sz w:val="21"/>
          <w:szCs w:val="21"/>
          <w:u w:val="none"/>
        </w:rPr>
        <w:instrText xml:space="preserve"> </w:instrText>
      </w:r>
      <w:r>
        <w:rPr>
          <w:rFonts w:hint="eastAsia" w:ascii="宋体" w:hAnsi="宋体" w:cs="宋体"/>
          <w:sz w:val="21"/>
          <w:szCs w:val="21"/>
        </w:rPr>
        <w:fldChar w:fldCharType="separate"/>
      </w:r>
      <w:r>
        <w:rPr>
          <w:rStyle w:val="64"/>
          <w:rFonts w:hint="eastAsia" w:ascii="宋体" w:hAnsi="宋体" w:cs="宋体"/>
          <w:color w:val="auto"/>
          <w:kern w:val="0"/>
          <w:sz w:val="21"/>
          <w:szCs w:val="21"/>
          <w:u w:val="none"/>
        </w:rPr>
        <w:t>第六章  评定标准</w:t>
      </w:r>
      <w:r>
        <w:rPr>
          <w:rFonts w:hint="eastAsia" w:ascii="宋体" w:hAnsi="宋体" w:cs="宋体"/>
          <w:sz w:val="21"/>
          <w:szCs w:val="21"/>
        </w:rPr>
        <w:t>…………………………………………………………………………………………</w:t>
      </w:r>
      <w:r>
        <w:rPr>
          <w:rFonts w:hint="eastAsia" w:ascii="宋体" w:hAnsi="宋体" w:cs="宋体"/>
          <w:sz w:val="21"/>
        </w:rPr>
        <w:t xml:space="preserve">… </w:t>
      </w:r>
      <w:r>
        <w:rPr>
          <w:rFonts w:hint="eastAsia" w:ascii="宋体" w:hAnsi="宋体" w:cs="宋体"/>
          <w:sz w:val="21"/>
          <w:szCs w:val="21"/>
        </w:rPr>
        <w:fldChar w:fldCharType="end"/>
      </w:r>
      <w:r>
        <w:rPr>
          <w:rFonts w:hint="eastAsia" w:ascii="宋体" w:hAnsi="宋体" w:cs="宋体"/>
          <w:sz w:val="21"/>
          <w:szCs w:val="21"/>
          <w:lang w:val="en-US" w:eastAsia="zh-CN"/>
        </w:rPr>
        <w:t>60</w:t>
      </w:r>
    </w:p>
    <w:p>
      <w:pPr>
        <w:keepNext/>
        <w:spacing w:line="400" w:lineRule="exact"/>
        <w:jc w:val="center"/>
        <w:rPr>
          <w:rFonts w:hint="eastAsia" w:ascii="宋体" w:hAnsi="宋体" w:cs="宋体"/>
          <w:b/>
          <w:sz w:val="30"/>
          <w:szCs w:val="30"/>
        </w:rPr>
      </w:pPr>
    </w:p>
    <w:p>
      <w:pPr>
        <w:keepNext/>
        <w:spacing w:line="400" w:lineRule="exact"/>
        <w:jc w:val="center"/>
        <w:rPr>
          <w:rFonts w:hint="eastAsia" w:ascii="宋体" w:hAnsi="宋体" w:cs="宋体"/>
          <w:b/>
          <w:sz w:val="30"/>
          <w:szCs w:val="30"/>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00" w:lineRule="exact"/>
        <w:jc w:val="center"/>
        <w:rPr>
          <w:rFonts w:hint="eastAsia" w:ascii="宋体" w:hAnsi="宋体" w:cs="宋体"/>
          <w:b/>
          <w:sz w:val="32"/>
          <w:szCs w:val="32"/>
        </w:rPr>
      </w:pPr>
    </w:p>
    <w:p>
      <w:pPr>
        <w:keepNext/>
        <w:spacing w:line="480" w:lineRule="exact"/>
        <w:jc w:val="center"/>
        <w:outlineLvl w:val="0"/>
        <w:rPr>
          <w:rStyle w:val="60"/>
          <w:rFonts w:hint="eastAsia" w:ascii="宋体" w:hAnsi="宋体" w:cs="宋体"/>
          <w:sz w:val="36"/>
          <w:szCs w:val="36"/>
        </w:rPr>
      </w:pPr>
    </w:p>
    <w:p>
      <w:pPr>
        <w:pStyle w:val="5"/>
        <w:rPr>
          <w:rFonts w:hint="eastAsia"/>
        </w:rPr>
      </w:pPr>
    </w:p>
    <w:p>
      <w:pPr>
        <w:keepNext/>
        <w:spacing w:line="480" w:lineRule="exact"/>
        <w:jc w:val="center"/>
        <w:outlineLvl w:val="0"/>
        <w:rPr>
          <w:rStyle w:val="60"/>
          <w:rFonts w:hint="eastAsia" w:ascii="宋体" w:hAnsi="宋体" w:cs="宋体"/>
          <w:sz w:val="36"/>
          <w:szCs w:val="36"/>
        </w:rPr>
      </w:pPr>
    </w:p>
    <w:p>
      <w:pPr>
        <w:keepNext/>
        <w:spacing w:line="480" w:lineRule="exact"/>
        <w:jc w:val="center"/>
        <w:outlineLvl w:val="0"/>
        <w:rPr>
          <w:rFonts w:hint="eastAsia" w:ascii="宋体" w:hAnsi="宋体" w:cs="宋体"/>
          <w:b/>
          <w:bCs/>
          <w:sz w:val="36"/>
          <w:szCs w:val="36"/>
        </w:rPr>
      </w:pPr>
      <w:r>
        <w:rPr>
          <w:rStyle w:val="60"/>
          <w:rFonts w:hint="eastAsia" w:ascii="宋体" w:hAnsi="宋体" w:cs="宋体"/>
          <w:sz w:val="36"/>
          <w:szCs w:val="36"/>
        </w:rPr>
        <w:t>第一章 竞争性谈判公告</w:t>
      </w:r>
    </w:p>
    <w:p>
      <w:pPr>
        <w:keepNext/>
        <w:tabs>
          <w:tab w:val="left" w:pos="9180"/>
        </w:tabs>
        <w:spacing w:line="480" w:lineRule="exact"/>
        <w:jc w:val="center"/>
        <w:rPr>
          <w:rFonts w:hint="eastAsia" w:ascii="宋体" w:hAnsi="宋体" w:cs="宋体"/>
          <w:szCs w:val="21"/>
        </w:rPr>
      </w:pPr>
      <w:r>
        <w:rPr>
          <w:rFonts w:hint="eastAsia" w:ascii="宋体" w:hAnsi="宋体" w:cs="宋体"/>
          <w:b/>
          <w:bCs/>
          <w:sz w:val="30"/>
          <w:szCs w:val="30"/>
          <w:lang w:eastAsia="zh-CN"/>
        </w:rPr>
        <w:t>设备采购及安装</w:t>
      </w:r>
      <w:r>
        <w:rPr>
          <w:rFonts w:hint="eastAsia" w:ascii="宋体" w:hAnsi="宋体" w:cs="宋体"/>
          <w:b/>
          <w:bCs/>
          <w:kern w:val="0"/>
          <w:sz w:val="30"/>
          <w:szCs w:val="30"/>
        </w:rPr>
        <w:t>（</w:t>
      </w:r>
      <w:r>
        <w:rPr>
          <w:rFonts w:hint="eastAsia" w:ascii="宋体" w:hAnsi="宋体" w:cs="宋体"/>
          <w:b/>
          <w:bCs/>
          <w:kern w:val="0"/>
          <w:sz w:val="30"/>
          <w:szCs w:val="30"/>
          <w:lang w:eastAsia="zh-CN"/>
        </w:rPr>
        <w:t>BHZC2020-J1-000513-GXXY</w:t>
      </w:r>
      <w:r>
        <w:rPr>
          <w:rFonts w:hint="eastAsia" w:ascii="宋体" w:hAnsi="宋体" w:cs="宋体"/>
          <w:b/>
          <w:bCs/>
          <w:kern w:val="0"/>
          <w:sz w:val="30"/>
          <w:szCs w:val="30"/>
        </w:rPr>
        <w:t>）</w:t>
      </w:r>
      <w:r>
        <w:rPr>
          <w:rFonts w:hint="eastAsia" w:ascii="宋体" w:hAnsi="宋体" w:cs="宋体"/>
          <w:b/>
          <w:bCs/>
          <w:sz w:val="30"/>
          <w:szCs w:val="30"/>
        </w:rPr>
        <w:t>竞争性谈判公告</w:t>
      </w:r>
    </w:p>
    <w:p>
      <w:pPr>
        <w:keepNext/>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cs="宋体"/>
          <w:szCs w:val="21"/>
        </w:rPr>
      </w:pPr>
      <w:r>
        <w:rPr>
          <w:rFonts w:hint="eastAsia" w:ascii="宋体" w:hAnsi="宋体" w:cs="宋体"/>
          <w:szCs w:val="21"/>
        </w:rPr>
        <w:t>项目概况</w:t>
      </w:r>
    </w:p>
    <w:p>
      <w:pPr>
        <w:keepNext/>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cs="宋体"/>
          <w:szCs w:val="21"/>
        </w:rPr>
      </w:pPr>
      <w:r>
        <w:rPr>
          <w:rFonts w:hint="eastAsia" w:ascii="宋体" w:hAnsi="宋体" w:cs="宋体"/>
          <w:szCs w:val="21"/>
          <w:u w:val="single"/>
          <w:lang w:eastAsia="zh-CN"/>
        </w:rPr>
        <w:t>设备采购及安装</w:t>
      </w:r>
      <w:r>
        <w:rPr>
          <w:rFonts w:hint="eastAsia" w:ascii="宋体" w:hAnsi="宋体" w:cs="宋体"/>
          <w:szCs w:val="21"/>
        </w:rPr>
        <w:t>采购项目的潜在供应商应在</w:t>
      </w:r>
      <w:r>
        <w:rPr>
          <w:rFonts w:hint="eastAsia" w:ascii="宋体" w:hAnsi="宋体" w:cs="宋体"/>
          <w:szCs w:val="21"/>
          <w:u w:val="single"/>
        </w:rPr>
        <w:t>广西政府采购网政采云平台（http://zfcg.gxzf.gov.cn/）</w:t>
      </w:r>
      <w:r>
        <w:rPr>
          <w:rFonts w:hint="eastAsia" w:ascii="宋体" w:hAnsi="宋体" w:cs="宋体"/>
          <w:szCs w:val="21"/>
        </w:rPr>
        <w:t>获取采购文件，并于</w:t>
      </w:r>
      <w:r>
        <w:rPr>
          <w:rFonts w:hint="eastAsia" w:ascii="宋体" w:hAnsi="宋体" w:cs="宋体"/>
          <w:szCs w:val="21"/>
          <w:u w:val="single"/>
        </w:rPr>
        <w:t>2020</w:t>
      </w:r>
      <w:r>
        <w:rPr>
          <w:rFonts w:hint="eastAsia" w:ascii="宋体" w:hAnsi="宋体" w:cs="宋体"/>
          <w:bCs/>
          <w:szCs w:val="21"/>
          <w:u w:val="single"/>
        </w:rPr>
        <w:t>年</w:t>
      </w:r>
      <w:r>
        <w:rPr>
          <w:rFonts w:hint="eastAsia" w:ascii="宋体" w:hAnsi="宋体" w:cs="宋体"/>
          <w:bCs/>
          <w:szCs w:val="21"/>
          <w:u w:val="single"/>
          <w:lang w:val="en-US" w:eastAsia="zh-CN"/>
        </w:rPr>
        <w:t>11</w:t>
      </w:r>
      <w:r>
        <w:rPr>
          <w:rFonts w:hint="eastAsia" w:ascii="宋体" w:hAnsi="宋体" w:cs="宋体"/>
          <w:bCs/>
          <w:szCs w:val="21"/>
          <w:u w:val="single"/>
        </w:rPr>
        <w:t>月</w:t>
      </w:r>
      <w:r>
        <w:rPr>
          <w:rFonts w:hint="eastAsia" w:ascii="宋体" w:hAnsi="宋体" w:cs="宋体"/>
          <w:bCs/>
          <w:szCs w:val="21"/>
          <w:u w:val="single"/>
          <w:lang w:val="en-US" w:eastAsia="zh-CN"/>
        </w:rPr>
        <w:t>19</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点</w:t>
      </w:r>
      <w:r>
        <w:rPr>
          <w:rFonts w:hint="eastAsia" w:ascii="宋体" w:hAnsi="宋体" w:cs="宋体"/>
          <w:bCs/>
          <w:szCs w:val="21"/>
          <w:u w:val="single"/>
          <w:lang w:val="en-US" w:eastAsia="zh-CN"/>
        </w:rPr>
        <w:t>00</w:t>
      </w:r>
      <w:r>
        <w:rPr>
          <w:rFonts w:hint="eastAsia" w:ascii="宋体" w:hAnsi="宋体" w:cs="宋体"/>
          <w:bCs/>
          <w:szCs w:val="21"/>
          <w:u w:val="single"/>
        </w:rPr>
        <w:t>分</w:t>
      </w:r>
      <w:r>
        <w:rPr>
          <w:rFonts w:hint="eastAsia" w:ascii="宋体" w:hAnsi="宋体" w:cs="宋体"/>
          <w:bCs/>
          <w:szCs w:val="21"/>
        </w:rPr>
        <w:t>（北京时间）前提交响应文件</w:t>
      </w:r>
      <w:r>
        <w:rPr>
          <w:rFonts w:hint="eastAsia" w:ascii="宋体" w:hAnsi="宋体" w:cs="宋体"/>
          <w:szCs w:val="21"/>
        </w:rPr>
        <w:t>。</w:t>
      </w:r>
    </w:p>
    <w:p>
      <w:pPr>
        <w:pStyle w:val="2"/>
        <w:spacing w:before="0" w:after="0" w:line="360" w:lineRule="exact"/>
        <w:rPr>
          <w:rFonts w:hint="eastAsia" w:ascii="宋体" w:hAnsi="宋体" w:eastAsia="宋体" w:cs="宋体"/>
          <w:bCs w:val="0"/>
          <w:szCs w:val="21"/>
        </w:rPr>
      </w:pPr>
      <w:bookmarkStart w:id="0" w:name="_Toc35393798"/>
      <w:bookmarkStart w:id="1" w:name="_Toc35393629"/>
      <w:bookmarkStart w:id="2" w:name="_Toc28359012"/>
      <w:bookmarkStart w:id="3" w:name="_Toc28359089"/>
      <w:r>
        <w:rPr>
          <w:rFonts w:hint="eastAsia" w:ascii="宋体" w:hAnsi="宋体" w:eastAsia="宋体" w:cs="宋体"/>
          <w:bCs w:val="0"/>
          <w:szCs w:val="21"/>
        </w:rPr>
        <w:t>一、项目基本情况</w:t>
      </w:r>
      <w:bookmarkEnd w:id="0"/>
      <w:bookmarkEnd w:id="1"/>
      <w:bookmarkEnd w:id="2"/>
      <w:bookmarkEnd w:id="3"/>
    </w:p>
    <w:p>
      <w:pPr>
        <w:keepNext/>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BHZC2020-J1-000513-GXXY</w:t>
      </w:r>
    </w:p>
    <w:p>
      <w:pPr>
        <w:keepNext/>
        <w:spacing w:line="360" w:lineRule="exact"/>
        <w:ind w:firstLine="420" w:firstLineChars="200"/>
        <w:rPr>
          <w:rFonts w:hint="eastAsia" w:ascii="宋体" w:hAnsi="宋体" w:eastAsia="宋体" w:cs="宋体"/>
          <w:szCs w:val="21"/>
          <w:u w:val="single"/>
          <w:lang w:eastAsia="zh-CN"/>
        </w:rPr>
      </w:pPr>
      <w:r>
        <w:rPr>
          <w:rFonts w:hint="eastAsia" w:ascii="宋体" w:hAnsi="宋体" w:cs="宋体"/>
          <w:szCs w:val="21"/>
        </w:rPr>
        <w:t>项目名称：</w:t>
      </w:r>
      <w:r>
        <w:rPr>
          <w:rFonts w:hint="eastAsia" w:ascii="宋体" w:hAnsi="宋体" w:cs="宋体"/>
          <w:szCs w:val="21"/>
          <w:lang w:eastAsia="zh-CN"/>
        </w:rPr>
        <w:t>设备采购及安装</w:t>
      </w:r>
    </w:p>
    <w:p>
      <w:pPr>
        <w:keepNext/>
        <w:spacing w:line="360" w:lineRule="exact"/>
        <w:ind w:firstLine="420" w:firstLineChars="200"/>
        <w:rPr>
          <w:rFonts w:hint="eastAsia" w:ascii="宋体" w:hAnsi="宋体" w:cs="宋体"/>
          <w:szCs w:val="21"/>
        </w:rPr>
      </w:pPr>
      <w:r>
        <w:rPr>
          <w:rFonts w:hint="eastAsia" w:ascii="宋体" w:hAnsi="宋体" w:cs="宋体"/>
          <w:szCs w:val="21"/>
        </w:rPr>
        <w:t xml:space="preserve">采购方式：☑竞争性谈判 </w:t>
      </w:r>
      <w:r>
        <w:rPr>
          <w:rFonts w:hint="eastAsia" w:ascii="宋体" w:hAnsi="宋体" w:cs="宋体"/>
          <w:szCs w:val="21"/>
        </w:rPr>
        <w:sym w:font="Wingdings 2" w:char="00A3"/>
      </w:r>
      <w:r>
        <w:rPr>
          <w:rFonts w:hint="eastAsia" w:ascii="宋体" w:hAnsi="宋体" w:cs="宋体"/>
          <w:szCs w:val="21"/>
        </w:rPr>
        <w:t xml:space="preserve">竞争性磋商 </w:t>
      </w:r>
      <w:r>
        <w:rPr>
          <w:rFonts w:hint="eastAsia" w:ascii="宋体" w:hAnsi="宋体" w:cs="宋体"/>
          <w:szCs w:val="21"/>
        </w:rPr>
        <w:sym w:font="Wingdings 2" w:char="00A3"/>
      </w:r>
      <w:r>
        <w:rPr>
          <w:rFonts w:hint="eastAsia" w:ascii="宋体" w:hAnsi="宋体" w:cs="宋体"/>
          <w:szCs w:val="21"/>
        </w:rPr>
        <w:t>询价</w:t>
      </w:r>
    </w:p>
    <w:p>
      <w:pPr>
        <w:keepNext/>
        <w:spacing w:line="36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rPr>
        <w:t>预算金额：</w:t>
      </w:r>
      <w:r>
        <w:rPr>
          <w:rFonts w:hint="eastAsia" w:ascii="宋体" w:hAnsi="宋体" w:cs="宋体"/>
          <w:szCs w:val="21"/>
          <w:lang w:val="en-US" w:eastAsia="zh-CN"/>
        </w:rPr>
        <w:t>A分标为：</w:t>
      </w:r>
      <w:r>
        <w:rPr>
          <w:rFonts w:hint="eastAsia" w:ascii="宋体" w:hAnsi="宋体" w:cs="宋体"/>
          <w:szCs w:val="21"/>
        </w:rPr>
        <w:t>¥</w:t>
      </w:r>
      <w:r>
        <w:rPr>
          <w:rFonts w:hint="eastAsia" w:ascii="宋体" w:hAnsi="宋体" w:cs="宋体"/>
          <w:szCs w:val="21"/>
          <w:lang w:val="en-US" w:eastAsia="zh-CN"/>
        </w:rPr>
        <w:t>327750</w:t>
      </w:r>
      <w:r>
        <w:rPr>
          <w:rFonts w:hint="eastAsia" w:ascii="宋体" w:hAnsi="宋体" w:cs="宋体"/>
          <w:szCs w:val="21"/>
        </w:rPr>
        <w:t>.00</w:t>
      </w:r>
      <w:r>
        <w:rPr>
          <w:rFonts w:hint="eastAsia" w:ascii="宋体" w:hAnsi="宋体" w:cs="宋体"/>
          <w:szCs w:val="21"/>
          <w:lang w:eastAsia="zh-CN"/>
        </w:rPr>
        <w:t>；</w:t>
      </w:r>
      <w:r>
        <w:rPr>
          <w:rFonts w:hint="eastAsia" w:ascii="宋体" w:hAnsi="宋体" w:cs="宋体"/>
          <w:szCs w:val="21"/>
          <w:lang w:val="en-US" w:eastAsia="zh-CN"/>
        </w:rPr>
        <w:t>B分标为</w:t>
      </w:r>
      <w:r>
        <w:rPr>
          <w:rFonts w:hint="eastAsia" w:ascii="宋体" w:hAnsi="宋体" w:cs="宋体"/>
          <w:szCs w:val="21"/>
          <w:highlight w:val="none"/>
          <w:lang w:val="en-US" w:eastAsia="zh-CN"/>
        </w:rPr>
        <w:t>：</w:t>
      </w:r>
      <w:r>
        <w:rPr>
          <w:rFonts w:hint="eastAsia" w:ascii="宋体" w:hAnsi="宋体" w:cs="宋体"/>
          <w:szCs w:val="21"/>
          <w:highlight w:val="none"/>
        </w:rPr>
        <w:t>¥</w:t>
      </w:r>
      <w:r>
        <w:rPr>
          <w:rFonts w:hint="eastAsia" w:ascii="宋体" w:hAnsi="宋体" w:cs="宋体"/>
          <w:szCs w:val="21"/>
          <w:highlight w:val="none"/>
          <w:lang w:val="en-US" w:eastAsia="zh-CN"/>
        </w:rPr>
        <w:t>490000.00；C分标为：</w:t>
      </w:r>
      <w:r>
        <w:rPr>
          <w:rFonts w:hint="eastAsia" w:ascii="宋体" w:hAnsi="宋体" w:cs="宋体"/>
          <w:szCs w:val="21"/>
          <w:highlight w:val="none"/>
        </w:rPr>
        <w:t>¥</w:t>
      </w:r>
      <w:r>
        <w:rPr>
          <w:rFonts w:hint="eastAsia" w:ascii="宋体" w:hAnsi="宋体" w:cs="宋体"/>
          <w:szCs w:val="21"/>
          <w:highlight w:val="none"/>
          <w:lang w:val="en-US" w:eastAsia="zh-CN"/>
        </w:rPr>
        <w:t>580000.00；D分标为：</w:t>
      </w:r>
      <w:r>
        <w:rPr>
          <w:rFonts w:hint="eastAsia" w:ascii="宋体" w:hAnsi="宋体" w:cs="宋体"/>
          <w:szCs w:val="21"/>
          <w:highlight w:val="none"/>
        </w:rPr>
        <w:t>¥</w:t>
      </w:r>
      <w:r>
        <w:rPr>
          <w:rFonts w:hint="eastAsia" w:ascii="宋体" w:hAnsi="宋体" w:cs="宋体"/>
          <w:szCs w:val="21"/>
          <w:highlight w:val="none"/>
          <w:lang w:val="en-US" w:eastAsia="zh-CN"/>
        </w:rPr>
        <w:t>498500.00。</w:t>
      </w:r>
    </w:p>
    <w:p>
      <w:pPr>
        <w:keepNext/>
        <w:spacing w:line="360" w:lineRule="exact"/>
        <w:ind w:firstLine="420" w:firstLineChars="200"/>
        <w:rPr>
          <w:rFonts w:hint="eastAsia" w:ascii="宋体" w:hAnsi="宋体" w:cs="宋体"/>
          <w:szCs w:val="21"/>
        </w:rPr>
      </w:pPr>
      <w:r>
        <w:rPr>
          <w:rFonts w:hint="eastAsia" w:ascii="宋体" w:hAnsi="宋体" w:cs="宋体"/>
          <w:szCs w:val="21"/>
          <w:highlight w:val="none"/>
        </w:rPr>
        <w:t>采购需求：</w:t>
      </w:r>
      <w:r>
        <w:rPr>
          <w:rFonts w:hint="eastAsia" w:ascii="宋体" w:hAnsi="宋体" w:cs="宋体"/>
          <w:szCs w:val="21"/>
          <w:highlight w:val="none"/>
          <w:lang w:eastAsia="zh-CN"/>
        </w:rPr>
        <w:t>本项目分为</w:t>
      </w:r>
      <w:r>
        <w:rPr>
          <w:rFonts w:hint="eastAsia" w:ascii="宋体" w:hAnsi="宋体" w:cs="宋体"/>
          <w:szCs w:val="21"/>
          <w:highlight w:val="none"/>
          <w:lang w:val="en-US" w:eastAsia="zh-CN"/>
        </w:rPr>
        <w:t>A、B、C、D</w:t>
      </w:r>
      <w:r>
        <w:rPr>
          <w:rFonts w:hint="eastAsia" w:ascii="宋体" w:hAnsi="宋体" w:cs="宋体"/>
          <w:szCs w:val="21"/>
          <w:highlight w:val="none"/>
          <w:lang w:eastAsia="zh-CN"/>
        </w:rPr>
        <w:t>四个分标，各分标</w:t>
      </w:r>
      <w:r>
        <w:rPr>
          <w:rFonts w:hint="eastAsia" w:ascii="宋体" w:hAnsi="宋体" w:cs="宋体"/>
          <w:szCs w:val="21"/>
          <w:highlight w:val="none"/>
        </w:rPr>
        <w:t>包括设备采购及安装。</w:t>
      </w:r>
      <w:r>
        <w:rPr>
          <w:rFonts w:hint="eastAsia" w:ascii="宋体" w:hAnsi="宋体" w:cs="宋体"/>
          <w:szCs w:val="21"/>
          <w:highlight w:val="none"/>
          <w:lang w:val="en-US" w:eastAsia="zh-CN"/>
        </w:rPr>
        <w:t>A分标采购嵌入式开发板、智能机械臂、无人机电池</w:t>
      </w:r>
      <w:r>
        <w:rPr>
          <w:rFonts w:hint="eastAsia" w:ascii="宋体" w:hAnsi="宋体" w:cs="宋体"/>
          <w:szCs w:val="21"/>
          <w:highlight w:val="none"/>
        </w:rPr>
        <w:t>等电信系</w:t>
      </w:r>
      <w:r>
        <w:rPr>
          <w:rFonts w:hint="eastAsia" w:ascii="宋体" w:hAnsi="宋体" w:cs="宋体"/>
          <w:szCs w:val="21"/>
          <w:highlight w:val="none"/>
          <w:lang w:eastAsia="zh-CN"/>
        </w:rPr>
        <w:t>教学设备一批；</w:t>
      </w:r>
      <w:r>
        <w:rPr>
          <w:rFonts w:hint="eastAsia" w:ascii="宋体" w:hAnsi="宋体" w:cs="宋体"/>
          <w:szCs w:val="21"/>
          <w:highlight w:val="none"/>
          <w:lang w:val="en-US" w:eastAsia="zh-CN"/>
        </w:rPr>
        <w:t>B分标采购机电一体化综合实训考核设备1台；C分标采购绝缘电阻测试仪、纯电动汽车动力系统虚拟故障诊断车、训练用模拟除颤仪等机电系教学设备一批；D</w:t>
      </w:r>
      <w:r>
        <w:rPr>
          <w:rFonts w:hint="eastAsia" w:ascii="宋体" w:hAnsi="宋体" w:cs="宋体"/>
          <w:szCs w:val="21"/>
          <w:highlight w:val="none"/>
          <w:lang w:eastAsia="zh-CN"/>
        </w:rPr>
        <w:t>分标</w:t>
      </w:r>
      <w:r>
        <w:rPr>
          <w:rFonts w:hint="eastAsia" w:ascii="宋体" w:hAnsi="宋体" w:cs="宋体"/>
          <w:szCs w:val="21"/>
          <w:highlight w:val="none"/>
          <w:lang w:val="en-US" w:eastAsia="zh-CN"/>
        </w:rPr>
        <w:t>采购智能型全站仪、GPS测量系统、二等精密水准电子水准仪等旅商系教学设备一批。</w:t>
      </w:r>
      <w:r>
        <w:rPr>
          <w:rFonts w:hint="eastAsia" w:ascii="宋体" w:hAnsi="宋体" w:cs="宋体"/>
          <w:bCs/>
          <w:szCs w:val="21"/>
          <w:highlight w:val="none"/>
        </w:rPr>
        <w:t>如需</w:t>
      </w:r>
      <w:r>
        <w:rPr>
          <w:rFonts w:hint="eastAsia" w:ascii="宋体" w:hAnsi="宋体" w:cs="宋体"/>
          <w:bCs/>
          <w:szCs w:val="21"/>
        </w:rPr>
        <w:t>进一步了解详细内容，</w:t>
      </w:r>
      <w:r>
        <w:rPr>
          <w:rFonts w:hint="eastAsia" w:ascii="宋体" w:hAnsi="宋体" w:cs="仿宋_GB2312"/>
          <w:bCs/>
          <w:szCs w:val="21"/>
        </w:rPr>
        <w:t>详见本项目采购公告附件及竞争性谈判文件</w:t>
      </w:r>
      <w:r>
        <w:rPr>
          <w:rFonts w:hint="eastAsia" w:ascii="宋体" w:hAnsi="宋体" w:cs="宋体"/>
          <w:szCs w:val="21"/>
        </w:rPr>
        <w:t>。</w:t>
      </w:r>
    </w:p>
    <w:p>
      <w:pPr>
        <w:keepNext/>
        <w:spacing w:line="360" w:lineRule="exact"/>
        <w:ind w:firstLine="420" w:firstLineChars="200"/>
        <w:rPr>
          <w:rFonts w:hint="eastAsia" w:ascii="宋体" w:hAnsi="宋体" w:cs="宋体"/>
          <w:szCs w:val="21"/>
          <w:u w:val="single"/>
        </w:rPr>
      </w:pPr>
      <w:r>
        <w:rPr>
          <w:rFonts w:hint="eastAsia" w:ascii="宋体" w:hAnsi="宋体" w:cs="宋体"/>
          <w:szCs w:val="21"/>
        </w:rPr>
        <w:t>合同履行期限：见本项目合同协议书。</w:t>
      </w:r>
    </w:p>
    <w:p>
      <w:pPr>
        <w:keepNext/>
        <w:spacing w:line="360" w:lineRule="exact"/>
        <w:ind w:firstLine="420" w:firstLineChars="200"/>
        <w:rPr>
          <w:rFonts w:hint="eastAsia" w:ascii="宋体" w:hAnsi="宋体" w:cs="宋体"/>
          <w:szCs w:val="21"/>
        </w:rPr>
      </w:pPr>
      <w:r>
        <w:rPr>
          <w:rFonts w:hint="eastAsia" w:ascii="宋体" w:hAnsi="宋体" w:cs="宋体"/>
          <w:szCs w:val="21"/>
        </w:rPr>
        <w:t>本项目</w:t>
      </w:r>
      <w:r>
        <w:rPr>
          <w:rFonts w:hint="eastAsia" w:ascii="宋体" w:hAnsi="宋体" w:cs="宋体"/>
          <w:szCs w:val="21"/>
          <w:lang w:eastAsia="zh-CN"/>
        </w:rPr>
        <w:t>不</w:t>
      </w:r>
      <w:r>
        <w:rPr>
          <w:rFonts w:hint="eastAsia" w:ascii="宋体" w:hAnsi="宋体" w:cs="宋体"/>
          <w:szCs w:val="21"/>
        </w:rPr>
        <w:t>接受联合体。</w:t>
      </w:r>
    </w:p>
    <w:p>
      <w:pPr>
        <w:pStyle w:val="2"/>
        <w:spacing w:before="0" w:after="0" w:line="360" w:lineRule="exact"/>
        <w:rPr>
          <w:rFonts w:hint="eastAsia" w:ascii="宋体" w:hAnsi="宋体" w:eastAsia="宋体" w:cs="宋体"/>
          <w:bCs w:val="0"/>
          <w:szCs w:val="21"/>
        </w:rPr>
      </w:pPr>
      <w:bookmarkStart w:id="4" w:name="_Toc28359013"/>
      <w:bookmarkStart w:id="5" w:name="_Toc35393630"/>
      <w:bookmarkStart w:id="6" w:name="_Toc28359090"/>
      <w:bookmarkStart w:id="7" w:name="_Toc35393799"/>
      <w:r>
        <w:rPr>
          <w:rFonts w:hint="eastAsia" w:ascii="宋体" w:hAnsi="宋体" w:eastAsia="宋体" w:cs="宋体"/>
          <w:bCs w:val="0"/>
          <w:szCs w:val="21"/>
        </w:rPr>
        <w:t>二、申请人的资格要求：</w:t>
      </w:r>
      <w:bookmarkEnd w:id="4"/>
      <w:bookmarkEnd w:id="5"/>
      <w:bookmarkEnd w:id="6"/>
      <w:bookmarkEnd w:id="7"/>
    </w:p>
    <w:p>
      <w:pPr>
        <w:keepNext/>
        <w:spacing w:line="360" w:lineRule="exact"/>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pPr>
        <w:keepNext/>
        <w:spacing w:line="360" w:lineRule="exact"/>
        <w:ind w:firstLine="420" w:firstLineChars="200"/>
        <w:rPr>
          <w:rFonts w:hint="eastAsia" w:ascii="宋体" w:hAnsi="宋体" w:cs="宋体"/>
          <w:szCs w:val="21"/>
        </w:rPr>
      </w:pPr>
      <w:bookmarkStart w:id="8" w:name="_Toc28359014"/>
      <w:bookmarkStart w:id="9" w:name="_Toc28359091"/>
      <w:r>
        <w:rPr>
          <w:rFonts w:hint="eastAsia" w:ascii="宋体" w:hAnsi="宋体" w:cs="宋体"/>
          <w:szCs w:val="21"/>
        </w:rPr>
        <w:t>2.落实政府采购政策需满足的资格要求：《中华人民共和国政府采购法》、《中华人民共和国政府采购法实施条例》等与政府采购相关的法律法规，其中包括但不限于：</w:t>
      </w:r>
    </w:p>
    <w:p>
      <w:pPr>
        <w:keepNext/>
        <w:spacing w:line="360" w:lineRule="exact"/>
        <w:ind w:firstLine="420" w:firstLineChars="200"/>
        <w:rPr>
          <w:rFonts w:hint="eastAsia" w:ascii="宋体" w:hAnsi="宋体" w:cs="宋体"/>
          <w:szCs w:val="21"/>
        </w:rPr>
      </w:pPr>
      <w:r>
        <w:rPr>
          <w:rFonts w:hint="eastAsia" w:ascii="宋体" w:hAnsi="宋体" w:cs="宋体"/>
          <w:szCs w:val="21"/>
        </w:rPr>
        <w:t>（1）落实强制采购节能产品、鼓励节能政策：对国家公布的节能产品政府采购品目清单中属于强制采购的产品，予以强制采购。属于非强制采购的产品，在技术、服务等指标同等条件下，予以优先采购；</w:t>
      </w:r>
    </w:p>
    <w:p>
      <w:pPr>
        <w:keepNext/>
        <w:spacing w:line="360" w:lineRule="exact"/>
        <w:ind w:firstLine="420" w:firstLineChars="200"/>
        <w:rPr>
          <w:rFonts w:hint="eastAsia" w:ascii="宋体" w:hAnsi="宋体" w:cs="宋体"/>
          <w:szCs w:val="21"/>
        </w:rPr>
      </w:pPr>
      <w:r>
        <w:rPr>
          <w:rFonts w:hint="eastAsia" w:ascii="宋体" w:hAnsi="宋体" w:cs="宋体"/>
          <w:szCs w:val="21"/>
        </w:rPr>
        <w:t>（2）落实鼓励环保政策：在技术、服务等指标同等条件下，优先采购国家公布的属于环境标志产品政府采购品目清单中产品；</w:t>
      </w:r>
    </w:p>
    <w:p>
      <w:pPr>
        <w:keepNext/>
        <w:spacing w:line="360" w:lineRule="exact"/>
        <w:ind w:firstLine="420" w:firstLineChars="200"/>
        <w:rPr>
          <w:rFonts w:hint="eastAsia" w:ascii="宋体" w:hAnsi="宋体" w:cs="宋体"/>
          <w:szCs w:val="21"/>
        </w:rPr>
      </w:pPr>
      <w:r>
        <w:rPr>
          <w:rFonts w:hint="eastAsia" w:ascii="宋体" w:hAnsi="宋体" w:cs="宋体"/>
          <w:szCs w:val="21"/>
        </w:rPr>
        <w:t>（3）落实扶持中小企业政策：评审时小型和微型企业及小型和微型企业产品的价格给予10%的扣除。监狱企业、残疾人福利性单位视同小型和微型企业，其产品在评审时给予相同的价格扣除。</w:t>
      </w:r>
    </w:p>
    <w:p>
      <w:pPr>
        <w:keepNext/>
        <w:spacing w:line="360" w:lineRule="exact"/>
        <w:ind w:firstLine="420" w:firstLineChars="200"/>
        <w:rPr>
          <w:rFonts w:hint="eastAsia" w:ascii="宋体" w:hAnsi="宋体" w:cs="宋体"/>
          <w:szCs w:val="21"/>
          <w:u w:val="single"/>
        </w:rPr>
      </w:pPr>
      <w:r>
        <w:rPr>
          <w:rFonts w:hint="eastAsia" w:ascii="宋体" w:hAnsi="宋体" w:cs="宋体"/>
          <w:szCs w:val="21"/>
        </w:rPr>
        <w:t>3.本项目的特定资格要求：承诺履行谈判文件的各项规定，生产或经营本次采购内容。参加政府采购活动前三年内，在经营活动中没有重大违法记录和不良信用记录【被列入失信被执行人、政府采购不良行为记录、重大税收违法案件当事人</w:t>
      </w:r>
      <w:r>
        <w:rPr>
          <w:rFonts w:hint="eastAsia" w:ascii="宋体" w:hAnsi="宋体" w:cs="宋体"/>
          <w:spacing w:val="-4"/>
          <w:szCs w:val="21"/>
        </w:rPr>
        <w:t>、被各级政府行政部门列入黑名单的供应商，将被拒绝其参与本次政府采购活动。】</w:t>
      </w:r>
    </w:p>
    <w:p>
      <w:pPr>
        <w:pStyle w:val="2"/>
        <w:spacing w:before="0" w:after="0" w:line="360" w:lineRule="exact"/>
        <w:rPr>
          <w:rFonts w:hint="eastAsia" w:ascii="宋体" w:hAnsi="宋体" w:eastAsia="宋体" w:cs="宋体"/>
          <w:bCs w:val="0"/>
          <w:szCs w:val="21"/>
        </w:rPr>
      </w:pPr>
      <w:bookmarkStart w:id="10" w:name="_Toc35393631"/>
      <w:bookmarkStart w:id="11" w:name="_Toc35393800"/>
      <w:r>
        <w:rPr>
          <w:rFonts w:hint="eastAsia" w:ascii="宋体" w:hAnsi="宋体" w:eastAsia="宋体" w:cs="宋体"/>
          <w:bCs w:val="0"/>
          <w:szCs w:val="21"/>
        </w:rPr>
        <w:t>三、获取采购文件</w:t>
      </w:r>
      <w:bookmarkEnd w:id="8"/>
      <w:bookmarkEnd w:id="9"/>
      <w:bookmarkEnd w:id="10"/>
      <w:bookmarkEnd w:id="11"/>
    </w:p>
    <w:p>
      <w:pPr>
        <w:keepNext/>
        <w:spacing w:line="360" w:lineRule="exact"/>
        <w:ind w:firstLine="420" w:firstLineChars="200"/>
        <w:rPr>
          <w:rFonts w:hint="eastAsia" w:ascii="宋体" w:hAnsi="宋体" w:cs="宋体"/>
          <w:szCs w:val="21"/>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16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2020年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9:00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15:00</w:t>
      </w:r>
      <w:r>
        <w:rPr>
          <w:rFonts w:hint="eastAsia" w:ascii="宋体" w:hAnsi="宋体" w:cs="宋体"/>
          <w:szCs w:val="21"/>
        </w:rPr>
        <w:t>至</w:t>
      </w:r>
      <w:r>
        <w:rPr>
          <w:rFonts w:hint="eastAsia" w:ascii="宋体" w:hAnsi="宋体" w:cs="宋体"/>
          <w:szCs w:val="21"/>
          <w:u w:val="single"/>
        </w:rPr>
        <w:t>17:30</w:t>
      </w:r>
      <w:r>
        <w:rPr>
          <w:rFonts w:hint="eastAsia" w:ascii="宋体" w:hAnsi="宋体" w:cs="宋体"/>
          <w:szCs w:val="21"/>
        </w:rPr>
        <w:t>（北京时间，法定节假日除外）</w:t>
      </w:r>
    </w:p>
    <w:p>
      <w:pPr>
        <w:keepNext/>
        <w:spacing w:line="360" w:lineRule="exact"/>
        <w:ind w:firstLine="420" w:firstLineChars="200"/>
        <w:rPr>
          <w:rFonts w:hint="eastAsia" w:ascii="宋体" w:hAnsi="宋体" w:cs="宋体"/>
          <w:szCs w:val="21"/>
          <w:u w:val="single"/>
        </w:rPr>
      </w:pPr>
      <w:r>
        <w:rPr>
          <w:rFonts w:hint="eastAsia" w:ascii="宋体" w:hAnsi="宋体" w:cs="宋体"/>
          <w:szCs w:val="21"/>
        </w:rPr>
        <w:t>地点：广西政府采购网政采云平台（http://zfcg.gxzf.gov.cn/）</w:t>
      </w:r>
    </w:p>
    <w:p>
      <w:pPr>
        <w:keepNext/>
        <w:spacing w:line="360" w:lineRule="exact"/>
        <w:ind w:firstLine="420" w:firstLineChars="200"/>
        <w:rPr>
          <w:rFonts w:hint="eastAsia" w:ascii="宋体" w:hAnsi="宋体" w:cs="宋体"/>
          <w:szCs w:val="21"/>
          <w:u w:val="single"/>
        </w:rPr>
      </w:pPr>
      <w:r>
        <w:rPr>
          <w:rFonts w:hint="eastAsia" w:ascii="宋体" w:hAnsi="宋体" w:cs="宋体"/>
          <w:szCs w:val="21"/>
        </w:rPr>
        <w:t>方式：潜在供应商登陆广西政府采购网政采云平台（http://zfcg.gxzf.gov.cn/），从网上下载竞争性谈判文件电子版。</w:t>
      </w:r>
    </w:p>
    <w:p>
      <w:pPr>
        <w:keepNext/>
        <w:spacing w:line="360" w:lineRule="exact"/>
        <w:ind w:firstLine="420" w:firstLineChars="200"/>
        <w:rPr>
          <w:rFonts w:hint="eastAsia" w:ascii="宋体" w:hAnsi="宋体" w:cs="宋体"/>
          <w:szCs w:val="21"/>
        </w:rPr>
      </w:pPr>
      <w:r>
        <w:rPr>
          <w:rFonts w:hint="eastAsia" w:ascii="宋体" w:hAnsi="宋体" w:cs="宋体"/>
          <w:szCs w:val="21"/>
        </w:rPr>
        <w:t>售价：0.00元</w:t>
      </w:r>
    </w:p>
    <w:p>
      <w:pPr>
        <w:pStyle w:val="2"/>
        <w:spacing w:before="0" w:after="0" w:line="360" w:lineRule="exact"/>
        <w:rPr>
          <w:rFonts w:hint="eastAsia" w:ascii="宋体" w:hAnsi="宋体" w:eastAsia="宋体" w:cs="宋体"/>
          <w:bCs w:val="0"/>
          <w:szCs w:val="21"/>
        </w:rPr>
      </w:pPr>
      <w:bookmarkStart w:id="12" w:name="_Toc35393632"/>
      <w:bookmarkStart w:id="13" w:name="_Toc28359015"/>
      <w:bookmarkStart w:id="14" w:name="_Toc28359092"/>
      <w:bookmarkStart w:id="15" w:name="_Toc35393801"/>
      <w:r>
        <w:rPr>
          <w:rFonts w:hint="eastAsia" w:ascii="宋体" w:hAnsi="宋体" w:eastAsia="宋体" w:cs="宋体"/>
          <w:bCs w:val="0"/>
          <w:szCs w:val="21"/>
        </w:rPr>
        <w:t>四、响应文件提交</w:t>
      </w:r>
      <w:bookmarkEnd w:id="12"/>
      <w:bookmarkEnd w:id="13"/>
      <w:bookmarkEnd w:id="14"/>
      <w:bookmarkEnd w:id="15"/>
    </w:p>
    <w:p>
      <w:pPr>
        <w:keepNext/>
        <w:spacing w:line="360" w:lineRule="exact"/>
        <w:ind w:firstLine="420" w:firstLineChars="200"/>
        <w:rPr>
          <w:rFonts w:hint="eastAsia" w:ascii="宋体" w:hAnsi="宋体" w:cs="宋体"/>
          <w:szCs w:val="21"/>
        </w:rPr>
      </w:pPr>
      <w:r>
        <w:rPr>
          <w:rFonts w:hint="eastAsia" w:ascii="宋体" w:hAnsi="宋体" w:cs="宋体"/>
          <w:szCs w:val="21"/>
        </w:rPr>
        <w:t>截止时间：2020</w:t>
      </w:r>
      <w:r>
        <w:rPr>
          <w:rFonts w:hint="eastAsia" w:ascii="宋体" w:hAnsi="宋体" w:cs="宋体"/>
          <w:bCs/>
          <w:szCs w:val="21"/>
        </w:rPr>
        <w:t>年</w:t>
      </w:r>
      <w:r>
        <w:rPr>
          <w:rFonts w:hint="eastAsia" w:ascii="宋体" w:hAnsi="宋体" w:cs="宋体"/>
          <w:bCs/>
          <w:szCs w:val="21"/>
          <w:lang w:val="en-US" w:eastAsia="zh-CN"/>
        </w:rPr>
        <w:t>11</w:t>
      </w:r>
      <w:r>
        <w:rPr>
          <w:rFonts w:hint="eastAsia" w:ascii="宋体" w:hAnsi="宋体" w:cs="宋体"/>
          <w:bCs/>
          <w:szCs w:val="21"/>
        </w:rPr>
        <w:t>月</w:t>
      </w:r>
      <w:r>
        <w:rPr>
          <w:rFonts w:hint="eastAsia" w:ascii="宋体" w:hAnsi="宋体" w:cs="宋体"/>
          <w:bCs/>
          <w:szCs w:val="21"/>
          <w:lang w:val="en-US" w:eastAsia="zh-CN"/>
        </w:rPr>
        <w:t>19</w:t>
      </w:r>
      <w:r>
        <w:rPr>
          <w:rFonts w:hint="eastAsia" w:ascii="宋体" w:hAnsi="宋体" w:cs="宋体"/>
          <w:bCs/>
          <w:szCs w:val="21"/>
        </w:rPr>
        <w:t>日</w:t>
      </w:r>
      <w:r>
        <w:rPr>
          <w:rFonts w:hint="eastAsia" w:ascii="宋体" w:hAnsi="宋体" w:cs="宋体"/>
          <w:bCs/>
          <w:szCs w:val="21"/>
          <w:lang w:val="en-US" w:eastAsia="zh-CN"/>
        </w:rPr>
        <w:t>9</w:t>
      </w:r>
      <w:r>
        <w:rPr>
          <w:rFonts w:hint="eastAsia" w:ascii="宋体" w:hAnsi="宋体" w:cs="宋体"/>
          <w:bCs/>
          <w:szCs w:val="21"/>
        </w:rPr>
        <w:t>点</w:t>
      </w:r>
      <w:r>
        <w:rPr>
          <w:rFonts w:hint="eastAsia" w:ascii="宋体" w:hAnsi="宋体" w:cs="宋体"/>
          <w:bCs/>
          <w:szCs w:val="21"/>
          <w:lang w:val="en-US" w:eastAsia="zh-CN"/>
        </w:rPr>
        <w:t>00</w:t>
      </w:r>
      <w:r>
        <w:rPr>
          <w:rFonts w:hint="eastAsia" w:ascii="宋体" w:hAnsi="宋体" w:cs="宋体"/>
          <w:bCs/>
          <w:szCs w:val="21"/>
        </w:rPr>
        <w:t>分（北京时间）</w:t>
      </w:r>
      <w:r>
        <w:rPr>
          <w:rFonts w:hint="eastAsia" w:ascii="宋体" w:hAnsi="宋体" w:cs="宋体"/>
          <w:szCs w:val="21"/>
        </w:rPr>
        <w:t>；从谈判文件开始发出之日起至供应商提交首次响应文件截止之日止不得少于3个工作日</w:t>
      </w:r>
    </w:p>
    <w:p>
      <w:pPr>
        <w:keepNext/>
        <w:spacing w:line="360" w:lineRule="exact"/>
        <w:ind w:firstLine="420" w:firstLineChars="200"/>
        <w:rPr>
          <w:rFonts w:hint="eastAsia" w:ascii="宋体" w:hAnsi="宋体" w:cs="宋体"/>
          <w:szCs w:val="21"/>
        </w:rPr>
      </w:pPr>
      <w:r>
        <w:rPr>
          <w:rFonts w:hint="eastAsia" w:ascii="宋体" w:hAnsi="宋体" w:cs="宋体"/>
          <w:szCs w:val="21"/>
        </w:rPr>
        <w:t>地点：广西北海市北海大道158号北园公寓星辰座8楼A室</w:t>
      </w:r>
    </w:p>
    <w:p>
      <w:pPr>
        <w:pStyle w:val="2"/>
        <w:spacing w:before="0" w:after="0" w:line="360" w:lineRule="exact"/>
        <w:rPr>
          <w:rFonts w:hint="eastAsia" w:ascii="宋体" w:hAnsi="宋体" w:eastAsia="宋体" w:cs="宋体"/>
          <w:bCs w:val="0"/>
          <w:szCs w:val="21"/>
        </w:rPr>
      </w:pPr>
      <w:r>
        <w:rPr>
          <w:rFonts w:hint="eastAsia" w:ascii="宋体" w:hAnsi="宋体" w:eastAsia="宋体" w:cs="宋体"/>
          <w:bCs w:val="0"/>
          <w:szCs w:val="21"/>
        </w:rPr>
        <w:t>五、开启</w:t>
      </w:r>
    </w:p>
    <w:p>
      <w:pPr>
        <w:keepNext/>
        <w:spacing w:line="360" w:lineRule="exact"/>
        <w:ind w:firstLine="420" w:firstLineChars="200"/>
        <w:rPr>
          <w:rFonts w:hint="eastAsia" w:ascii="宋体" w:hAnsi="宋体" w:cs="宋体"/>
          <w:bCs/>
          <w:szCs w:val="21"/>
        </w:rPr>
      </w:pPr>
      <w:r>
        <w:rPr>
          <w:rFonts w:hint="eastAsia" w:ascii="宋体" w:hAnsi="宋体" w:cs="宋体"/>
          <w:szCs w:val="21"/>
        </w:rPr>
        <w:t>时间：2020</w:t>
      </w:r>
      <w:r>
        <w:rPr>
          <w:rFonts w:hint="eastAsia" w:ascii="宋体" w:hAnsi="宋体" w:cs="宋体"/>
          <w:bCs/>
          <w:szCs w:val="21"/>
        </w:rPr>
        <w:t>年11月19日9点00分（北京时间）</w:t>
      </w:r>
    </w:p>
    <w:p>
      <w:pPr>
        <w:keepNext/>
        <w:spacing w:line="360" w:lineRule="exact"/>
        <w:ind w:firstLine="420" w:firstLineChars="200"/>
        <w:rPr>
          <w:rFonts w:hint="eastAsia" w:ascii="宋体" w:hAnsi="宋体" w:cs="宋体"/>
        </w:rPr>
      </w:pPr>
      <w:r>
        <w:rPr>
          <w:rFonts w:hint="eastAsia" w:ascii="宋体" w:hAnsi="宋体" w:cs="宋体"/>
          <w:szCs w:val="21"/>
        </w:rPr>
        <w:t>地点：广西北海市北海大道158号北园公寓星辰座8楼A室</w:t>
      </w:r>
    </w:p>
    <w:p>
      <w:pPr>
        <w:pStyle w:val="2"/>
        <w:spacing w:before="0" w:after="0" w:line="360" w:lineRule="exact"/>
        <w:rPr>
          <w:rFonts w:hint="eastAsia" w:ascii="宋体" w:hAnsi="宋体" w:eastAsia="宋体" w:cs="宋体"/>
          <w:bCs w:val="0"/>
          <w:szCs w:val="21"/>
        </w:rPr>
      </w:pPr>
      <w:bookmarkStart w:id="16" w:name="_Toc28359016"/>
      <w:bookmarkStart w:id="17" w:name="_Toc35393633"/>
      <w:bookmarkStart w:id="18" w:name="_Toc28359093"/>
      <w:bookmarkStart w:id="19" w:name="_Toc35393802"/>
      <w:r>
        <w:rPr>
          <w:rFonts w:hint="eastAsia" w:ascii="宋体" w:hAnsi="宋体" w:eastAsia="宋体" w:cs="宋体"/>
          <w:bCs w:val="0"/>
          <w:szCs w:val="21"/>
        </w:rPr>
        <w:t>六、</w:t>
      </w:r>
      <w:bookmarkEnd w:id="16"/>
      <w:bookmarkEnd w:id="17"/>
      <w:bookmarkEnd w:id="18"/>
      <w:bookmarkEnd w:id="19"/>
      <w:bookmarkStart w:id="20" w:name="_Toc35393634"/>
      <w:bookmarkStart w:id="21" w:name="_Toc35393803"/>
      <w:bookmarkStart w:id="22" w:name="_Toc28359017"/>
      <w:bookmarkStart w:id="23" w:name="_Toc28359094"/>
      <w:r>
        <w:rPr>
          <w:rFonts w:hint="eastAsia" w:ascii="宋体" w:hAnsi="宋体" w:eastAsia="宋体" w:cs="宋体"/>
          <w:bCs w:val="0"/>
          <w:szCs w:val="21"/>
        </w:rPr>
        <w:t>公告期限</w:t>
      </w:r>
      <w:bookmarkEnd w:id="20"/>
      <w:bookmarkEnd w:id="21"/>
      <w:bookmarkEnd w:id="22"/>
      <w:bookmarkEnd w:id="23"/>
    </w:p>
    <w:p>
      <w:pPr>
        <w:keepNext/>
        <w:spacing w:line="360" w:lineRule="exact"/>
        <w:ind w:firstLine="420" w:firstLineChars="200"/>
        <w:rPr>
          <w:rFonts w:hint="eastAsia" w:ascii="宋体" w:hAnsi="宋体" w:cs="宋体"/>
          <w:kern w:val="0"/>
          <w:szCs w:val="21"/>
        </w:rPr>
      </w:pPr>
      <w:r>
        <w:rPr>
          <w:rFonts w:hint="eastAsia" w:ascii="宋体" w:hAnsi="宋体" w:cs="宋体"/>
          <w:kern w:val="0"/>
          <w:szCs w:val="21"/>
        </w:rPr>
        <w:t>自本公告发布之日起3个工作日。</w:t>
      </w:r>
    </w:p>
    <w:p>
      <w:pPr>
        <w:pStyle w:val="2"/>
        <w:spacing w:before="0" w:after="0" w:line="360" w:lineRule="exact"/>
        <w:rPr>
          <w:rFonts w:hint="eastAsia" w:ascii="宋体" w:hAnsi="宋体" w:eastAsia="宋体" w:cs="宋体"/>
          <w:bCs w:val="0"/>
          <w:szCs w:val="21"/>
        </w:rPr>
      </w:pPr>
      <w:bookmarkStart w:id="24" w:name="_Toc35393636"/>
      <w:bookmarkStart w:id="25" w:name="_Toc28359095"/>
      <w:bookmarkStart w:id="26" w:name="_Toc28359018"/>
      <w:bookmarkStart w:id="27" w:name="_Toc35393805"/>
      <w:r>
        <w:rPr>
          <w:rFonts w:hint="eastAsia" w:ascii="宋体" w:hAnsi="宋体" w:eastAsia="宋体" w:cs="宋体"/>
          <w:bCs w:val="0"/>
          <w:szCs w:val="21"/>
        </w:rPr>
        <w:t>七、凡对本次采购提出询问，请按以下方式联系</w:t>
      </w:r>
      <w:bookmarkEnd w:id="24"/>
      <w:bookmarkEnd w:id="25"/>
      <w:bookmarkEnd w:id="26"/>
      <w:bookmarkEnd w:id="27"/>
      <w:r>
        <w:rPr>
          <w:rFonts w:hint="eastAsia" w:ascii="宋体" w:hAnsi="宋体" w:eastAsia="宋体" w:cs="宋体"/>
          <w:bCs w:val="0"/>
          <w:szCs w:val="21"/>
        </w:rPr>
        <w:t>：</w:t>
      </w:r>
    </w:p>
    <w:p>
      <w:pPr>
        <w:pStyle w:val="2"/>
        <w:spacing w:before="0" w:after="0" w:line="360" w:lineRule="exact"/>
        <w:ind w:firstLine="420" w:firstLineChars="200"/>
        <w:rPr>
          <w:rFonts w:hint="eastAsia" w:ascii="宋体" w:hAnsi="宋体" w:eastAsia="宋体" w:cs="宋体"/>
          <w:b w:val="0"/>
          <w:szCs w:val="21"/>
        </w:rPr>
      </w:pPr>
      <w:bookmarkStart w:id="28" w:name="_Toc35393637"/>
      <w:bookmarkStart w:id="29" w:name="_Toc28359019"/>
      <w:bookmarkStart w:id="30" w:name="_Toc28359096"/>
      <w:bookmarkStart w:id="31" w:name="_Toc35393806"/>
      <w:r>
        <w:rPr>
          <w:rFonts w:hint="eastAsia" w:ascii="宋体" w:hAnsi="宋体" w:eastAsia="宋体" w:cs="宋体"/>
          <w:b w:val="0"/>
          <w:szCs w:val="21"/>
        </w:rPr>
        <w:t>1.采购人信息</w:t>
      </w:r>
      <w:bookmarkEnd w:id="28"/>
      <w:bookmarkEnd w:id="29"/>
      <w:bookmarkEnd w:id="30"/>
      <w:bookmarkEnd w:id="31"/>
    </w:p>
    <w:p>
      <w:pPr>
        <w:keepNext/>
        <w:spacing w:line="360" w:lineRule="exact"/>
        <w:ind w:firstLine="630" w:firstLineChars="300"/>
        <w:jc w:val="left"/>
        <w:rPr>
          <w:rFonts w:hint="eastAsia" w:ascii="宋体" w:hAnsi="宋体" w:cs="宋体"/>
          <w:szCs w:val="21"/>
          <w:u w:val="single"/>
        </w:rPr>
      </w:pPr>
      <w:r>
        <w:rPr>
          <w:rFonts w:hint="eastAsia" w:ascii="宋体" w:hAnsi="宋体" w:cs="宋体"/>
          <w:szCs w:val="21"/>
        </w:rPr>
        <w:t>名    称：</w:t>
      </w:r>
      <w:r>
        <w:rPr>
          <w:rFonts w:hint="eastAsia" w:ascii="宋体" w:hAnsi="宋体" w:cs="宋体"/>
          <w:szCs w:val="21"/>
          <w:u w:val="single"/>
        </w:rPr>
        <w:t>北海职业学院</w:t>
      </w:r>
    </w:p>
    <w:p>
      <w:pPr>
        <w:keepNext/>
        <w:spacing w:line="360" w:lineRule="exact"/>
        <w:ind w:firstLine="630" w:firstLineChars="300"/>
        <w:jc w:val="left"/>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广西北海市西藏南路48号</w:t>
      </w:r>
    </w:p>
    <w:p>
      <w:pPr>
        <w:keepNext/>
        <w:spacing w:line="360" w:lineRule="exact"/>
        <w:ind w:firstLine="630" w:firstLineChars="300"/>
        <w:jc w:val="left"/>
        <w:rPr>
          <w:rFonts w:ascii="宋体" w:hAnsi="宋体" w:cs="宋体"/>
          <w:szCs w:val="21"/>
        </w:rPr>
      </w:pPr>
      <w:r>
        <w:rPr>
          <w:rFonts w:hint="eastAsia" w:ascii="宋体" w:hAnsi="宋体" w:cs="宋体"/>
          <w:szCs w:val="21"/>
        </w:rPr>
        <w:t>联系方式：</w:t>
      </w:r>
      <w:r>
        <w:rPr>
          <w:rFonts w:hint="eastAsia" w:ascii="宋体" w:hAnsi="宋体" w:cs="宋体"/>
          <w:szCs w:val="21"/>
          <w:u w:val="single"/>
        </w:rPr>
        <w:t>李世超   电话：0779-3920670</w:t>
      </w:r>
    </w:p>
    <w:p>
      <w:pPr>
        <w:pStyle w:val="2"/>
        <w:spacing w:before="0" w:after="0" w:line="360" w:lineRule="exact"/>
        <w:ind w:firstLine="420" w:firstLineChars="200"/>
        <w:rPr>
          <w:rFonts w:hint="eastAsia" w:ascii="宋体" w:hAnsi="宋体" w:eastAsia="宋体" w:cs="宋体"/>
          <w:b w:val="0"/>
          <w:szCs w:val="21"/>
        </w:rPr>
      </w:pPr>
      <w:bookmarkStart w:id="32" w:name="_Toc28359097"/>
      <w:bookmarkStart w:id="33" w:name="_Toc35393807"/>
      <w:bookmarkStart w:id="34" w:name="_Toc28359020"/>
      <w:bookmarkStart w:id="35" w:name="_Toc35393638"/>
      <w:r>
        <w:rPr>
          <w:rFonts w:hint="eastAsia" w:ascii="宋体" w:hAnsi="宋体" w:eastAsia="宋体" w:cs="宋体"/>
          <w:b w:val="0"/>
          <w:szCs w:val="21"/>
        </w:rPr>
        <w:t>2.采购代理机构信息</w:t>
      </w:r>
      <w:bookmarkEnd w:id="32"/>
      <w:bookmarkEnd w:id="33"/>
      <w:bookmarkEnd w:id="34"/>
      <w:bookmarkEnd w:id="35"/>
    </w:p>
    <w:p>
      <w:pPr>
        <w:keepNext/>
        <w:spacing w:line="360" w:lineRule="exact"/>
        <w:ind w:firstLine="630" w:firstLineChars="30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广西新宇建设项目管理有限公司</w:t>
      </w:r>
    </w:p>
    <w:p>
      <w:pPr>
        <w:keepNext/>
        <w:spacing w:line="360" w:lineRule="exact"/>
        <w:ind w:firstLine="630" w:firstLineChars="300"/>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广西北海市北海大道158号北园公寓星辰座7楼A室</w:t>
      </w:r>
    </w:p>
    <w:p>
      <w:pPr>
        <w:keepNext/>
        <w:spacing w:line="360" w:lineRule="exact"/>
        <w:ind w:firstLine="630" w:firstLineChars="300"/>
        <w:rPr>
          <w:rFonts w:hint="eastAsia" w:ascii="宋体" w:hAnsi="宋体" w:cs="宋体"/>
          <w:szCs w:val="21"/>
          <w:u w:val="single"/>
        </w:rPr>
      </w:pPr>
      <w:r>
        <w:rPr>
          <w:rFonts w:hint="eastAsia" w:ascii="宋体" w:hAnsi="宋体" w:cs="宋体"/>
          <w:szCs w:val="21"/>
        </w:rPr>
        <w:t>联系方式：</w:t>
      </w:r>
      <w:r>
        <w:rPr>
          <w:rFonts w:hint="eastAsia" w:ascii="宋体" w:hAnsi="宋体" w:cs="宋体"/>
          <w:szCs w:val="21"/>
          <w:u w:val="single"/>
        </w:rPr>
        <w:t>文媚   电话：0779-3969698</w:t>
      </w:r>
    </w:p>
    <w:p>
      <w:pPr>
        <w:pStyle w:val="2"/>
        <w:spacing w:before="0" w:after="0" w:line="360" w:lineRule="exact"/>
        <w:ind w:firstLine="420" w:firstLineChars="200"/>
        <w:rPr>
          <w:rFonts w:hint="eastAsia" w:ascii="宋体" w:hAnsi="宋体" w:eastAsia="宋体" w:cs="宋体"/>
          <w:b w:val="0"/>
          <w:szCs w:val="21"/>
        </w:rPr>
      </w:pPr>
      <w:bookmarkStart w:id="36" w:name="_Toc28359098"/>
      <w:bookmarkStart w:id="37" w:name="_Toc35393639"/>
      <w:bookmarkStart w:id="38" w:name="_Toc28359021"/>
      <w:bookmarkStart w:id="39" w:name="_Toc35393808"/>
      <w:r>
        <w:rPr>
          <w:rFonts w:hint="eastAsia" w:ascii="宋体" w:hAnsi="宋体" w:eastAsia="宋体" w:cs="宋体"/>
          <w:b w:val="0"/>
          <w:szCs w:val="21"/>
        </w:rPr>
        <w:t>3.项目联系方式</w:t>
      </w:r>
      <w:bookmarkEnd w:id="36"/>
      <w:bookmarkEnd w:id="37"/>
      <w:bookmarkEnd w:id="38"/>
      <w:bookmarkEnd w:id="39"/>
    </w:p>
    <w:p>
      <w:pPr>
        <w:pStyle w:val="28"/>
        <w:keepNext/>
        <w:spacing w:line="360" w:lineRule="exact"/>
        <w:ind w:firstLine="630" w:firstLineChars="300"/>
        <w:rPr>
          <w:rFonts w:hint="eastAsia" w:hAnsi="宋体" w:cs="宋体"/>
        </w:rPr>
      </w:pPr>
      <w:r>
        <w:rPr>
          <w:rFonts w:hint="eastAsia" w:hAnsi="宋体" w:cs="宋体"/>
        </w:rPr>
        <w:t>项目联系人：</w:t>
      </w:r>
      <w:r>
        <w:rPr>
          <w:rFonts w:hint="eastAsia" w:hAnsi="宋体" w:cs="宋体"/>
          <w:u w:val="single"/>
        </w:rPr>
        <w:t>文媚</w:t>
      </w:r>
    </w:p>
    <w:p>
      <w:pPr>
        <w:keepNext/>
        <w:spacing w:line="360" w:lineRule="exact"/>
        <w:ind w:firstLine="630" w:firstLineChars="300"/>
        <w:rPr>
          <w:rFonts w:hint="eastAsia" w:ascii="宋体" w:hAnsi="宋体" w:cs="宋体"/>
          <w:szCs w:val="21"/>
          <w:u w:val="single"/>
        </w:rPr>
      </w:pPr>
      <w:r>
        <w:rPr>
          <w:rFonts w:hint="eastAsia" w:ascii="宋体" w:hAnsi="宋体" w:cs="宋体"/>
          <w:szCs w:val="21"/>
        </w:rPr>
        <w:t>电　　</w:t>
      </w:r>
      <w:r>
        <w:rPr>
          <w:rFonts w:hint="eastAsia" w:ascii="宋体" w:hAnsi="宋体" w:cs="宋体"/>
          <w:szCs w:val="21"/>
          <w:lang w:val="en-US" w:eastAsia="zh-CN"/>
        </w:rPr>
        <w:t xml:space="preserve"> </w:t>
      </w:r>
      <w:r>
        <w:rPr>
          <w:rFonts w:hint="eastAsia" w:ascii="宋体" w:hAnsi="宋体" w:cs="宋体"/>
          <w:szCs w:val="21"/>
        </w:rPr>
        <w:t xml:space="preserve"> 话：</w:t>
      </w:r>
      <w:r>
        <w:rPr>
          <w:rFonts w:hint="eastAsia" w:ascii="宋体" w:hAnsi="宋体" w:cs="宋体"/>
          <w:szCs w:val="21"/>
          <w:u w:val="single"/>
        </w:rPr>
        <w:t>0779-3969698</w:t>
      </w:r>
    </w:p>
    <w:p>
      <w:pPr>
        <w:keepNext/>
        <w:spacing w:line="360" w:lineRule="exact"/>
        <w:ind w:firstLine="6300" w:firstLineChars="3000"/>
        <w:rPr>
          <w:rFonts w:hint="eastAsia" w:ascii="宋体" w:hAnsi="宋体" w:cs="宋体"/>
          <w:szCs w:val="21"/>
        </w:rPr>
      </w:pPr>
      <w:r>
        <w:rPr>
          <w:rFonts w:hint="eastAsia" w:ascii="宋体" w:hAnsi="宋体" w:cs="宋体"/>
          <w:szCs w:val="21"/>
        </w:rPr>
        <w:t xml:space="preserve">广西新宇建设项目管理有限公司    </w:t>
      </w:r>
    </w:p>
    <w:p>
      <w:pPr>
        <w:keepNext/>
        <w:spacing w:line="360" w:lineRule="exact"/>
        <w:ind w:firstLine="420" w:firstLineChars="200"/>
        <w:rPr>
          <w:rFonts w:hint="eastAsia" w:ascii="宋体" w:hAnsi="宋体" w:cs="宋体"/>
          <w:szCs w:val="21"/>
        </w:rPr>
      </w:pPr>
      <w:r>
        <w:rPr>
          <w:rFonts w:hint="eastAsia" w:ascii="宋体" w:hAnsi="宋体" w:cs="宋体"/>
          <w:szCs w:val="21"/>
        </w:rPr>
        <w:t xml:space="preserve">                                                               2020年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p>
    <w:p>
      <w:pPr>
        <w:keepNext/>
        <w:spacing w:line="600" w:lineRule="exact"/>
        <w:jc w:val="center"/>
        <w:rPr>
          <w:rFonts w:hint="eastAsia" w:ascii="宋体" w:hAnsi="宋体" w:cs="宋体"/>
          <w:b/>
          <w:bCs/>
          <w:sz w:val="32"/>
          <w:szCs w:val="32"/>
        </w:rPr>
      </w:pPr>
      <w:r>
        <w:rPr>
          <w:rFonts w:hint="eastAsia" w:ascii="宋体" w:hAnsi="宋体" w:cs="宋体"/>
          <w:b/>
          <w:bCs/>
          <w:sz w:val="36"/>
          <w:szCs w:val="36"/>
        </w:rPr>
        <w:br w:type="page"/>
      </w:r>
      <w:r>
        <w:rPr>
          <w:rFonts w:hint="eastAsia" w:ascii="宋体" w:hAnsi="宋体" w:cs="宋体"/>
          <w:b/>
          <w:bCs/>
          <w:sz w:val="36"/>
          <w:szCs w:val="36"/>
        </w:rPr>
        <w:t>第二章  谈判供应商须知</w:t>
      </w:r>
    </w:p>
    <w:p>
      <w:pPr>
        <w:spacing w:before="156" w:beforeLines="50" w:after="156" w:afterLines="50" w:line="600" w:lineRule="exact"/>
        <w:jc w:val="center"/>
        <w:rPr>
          <w:rFonts w:hint="eastAsia" w:ascii="宋体" w:hAnsi="宋体" w:cs="宋体"/>
          <w:sz w:val="32"/>
          <w:szCs w:val="32"/>
        </w:rPr>
      </w:pPr>
      <w:r>
        <w:rPr>
          <w:rFonts w:hint="eastAsia" w:ascii="宋体" w:hAnsi="宋体" w:cs="宋体"/>
          <w:sz w:val="32"/>
          <w:szCs w:val="32"/>
        </w:rPr>
        <w:t>谈判供应商须知前附表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66"/>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序号</w:t>
            </w:r>
          </w:p>
        </w:tc>
        <w:tc>
          <w:tcPr>
            <w:tcW w:w="86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条款号</w:t>
            </w:r>
          </w:p>
        </w:tc>
        <w:tc>
          <w:tcPr>
            <w:tcW w:w="851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1</w:t>
            </w:r>
          </w:p>
        </w:tc>
        <w:tc>
          <w:tcPr>
            <w:tcW w:w="86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1.1</w:t>
            </w:r>
          </w:p>
        </w:tc>
        <w:tc>
          <w:tcPr>
            <w:tcW w:w="8516" w:type="dxa"/>
            <w:noWrap w:val="0"/>
            <w:vAlign w:val="center"/>
          </w:tcPr>
          <w:p>
            <w:pPr>
              <w:keepNext/>
              <w:keepLines w:val="0"/>
              <w:suppressLineNumbers w:val="0"/>
              <w:spacing w:before="0" w:beforeAutospacing="0" w:after="0" w:afterAutospacing="0" w:line="360" w:lineRule="exact"/>
              <w:ind w:left="0" w:right="0"/>
              <w:rPr>
                <w:rFonts w:hint="eastAsia" w:ascii="宋体" w:hAnsi="宋体" w:eastAsia="宋体" w:cs="宋体"/>
                <w:szCs w:val="21"/>
                <w:lang w:eastAsia="zh-CN"/>
              </w:rPr>
            </w:pPr>
            <w:r>
              <w:rPr>
                <w:rFonts w:hint="eastAsia" w:ascii="宋体" w:hAnsi="宋体" w:eastAsia="Times New Roman" w:cs="宋体"/>
                <w:szCs w:val="21"/>
              </w:rPr>
              <w:t>1.项目名称：</w:t>
            </w:r>
            <w:r>
              <w:rPr>
                <w:rFonts w:hint="eastAsia" w:ascii="宋体" w:hAnsi="宋体" w:eastAsia="Times New Roman" w:cs="宋体"/>
                <w:szCs w:val="21"/>
                <w:lang w:eastAsia="zh-CN"/>
              </w:rPr>
              <w:t>设备采购及安装</w:t>
            </w:r>
          </w:p>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szCs w:val="21"/>
                <w:lang w:eastAsia="zh-CN"/>
              </w:rPr>
            </w:pPr>
            <w:r>
              <w:rPr>
                <w:rFonts w:hint="eastAsia" w:ascii="宋体" w:hAnsi="宋体" w:eastAsia="Times New Roman" w:cs="宋体"/>
                <w:bCs/>
                <w:szCs w:val="21"/>
              </w:rPr>
              <w:t>2.项目编号：</w:t>
            </w:r>
            <w:r>
              <w:rPr>
                <w:rFonts w:hint="eastAsia" w:ascii="宋体" w:hAnsi="宋体" w:eastAsia="Times New Roman" w:cs="宋体"/>
                <w:lang w:eastAsia="zh-CN"/>
              </w:rPr>
              <w:t>BHZC2020-J1-000513-GXXY</w:t>
            </w:r>
          </w:p>
          <w:p>
            <w:pPr>
              <w:keepNext/>
              <w:keepLines w:val="0"/>
              <w:suppressLineNumbers w:val="0"/>
              <w:spacing w:before="0" w:beforeAutospacing="0" w:after="0" w:afterAutospacing="0" w:line="360" w:lineRule="exact"/>
              <w:ind w:left="412" w:right="0" w:hanging="411" w:hangingChars="196"/>
              <w:rPr>
                <w:rFonts w:hint="eastAsia" w:ascii="宋体" w:hAnsi="宋体" w:eastAsia="宋体" w:cs="宋体"/>
                <w:szCs w:val="21"/>
                <w:lang w:eastAsia="zh-CN"/>
              </w:rPr>
            </w:pPr>
            <w:r>
              <w:rPr>
                <w:rFonts w:hint="eastAsia" w:ascii="宋体" w:hAnsi="宋体" w:eastAsia="Times New Roman" w:cs="宋体"/>
              </w:rPr>
              <w:t>3.采购预算：A分标</w:t>
            </w:r>
            <w:r>
              <w:rPr>
                <w:rFonts w:hint="eastAsia" w:ascii="Times New Roman" w:hAnsi="宋体" w:eastAsia="Times New Roman" w:cs="宋体"/>
                <w:lang w:eastAsia="zh-CN"/>
              </w:rPr>
              <w:t>为</w:t>
            </w:r>
            <w:r>
              <w:rPr>
                <w:rFonts w:hint="eastAsia" w:ascii="宋体" w:hAnsi="宋体" w:eastAsia="Times New Roman" w:cs="宋体"/>
              </w:rPr>
              <w:t>：¥327750.00；B分标</w:t>
            </w:r>
            <w:r>
              <w:rPr>
                <w:rFonts w:hint="eastAsia" w:ascii="Times New Roman" w:hAnsi="宋体" w:eastAsia="Times New Roman" w:cs="宋体"/>
                <w:lang w:eastAsia="zh-CN"/>
              </w:rPr>
              <w:t>为</w:t>
            </w:r>
            <w:r>
              <w:rPr>
                <w:rFonts w:hint="eastAsia" w:ascii="宋体" w:hAnsi="宋体" w:eastAsia="Times New Roman" w:cs="宋体"/>
              </w:rPr>
              <w:t>：¥490000.00；C分标</w:t>
            </w:r>
            <w:r>
              <w:rPr>
                <w:rFonts w:hint="eastAsia" w:ascii="Times New Roman" w:hAnsi="宋体" w:eastAsia="Times New Roman" w:cs="宋体"/>
                <w:lang w:eastAsia="zh-CN"/>
              </w:rPr>
              <w:t>为</w:t>
            </w:r>
            <w:r>
              <w:rPr>
                <w:rFonts w:hint="eastAsia" w:ascii="宋体" w:hAnsi="宋体" w:eastAsia="Times New Roman" w:cs="宋体"/>
              </w:rPr>
              <w:t>：¥580000.00；D分标</w:t>
            </w:r>
            <w:r>
              <w:rPr>
                <w:rFonts w:hint="eastAsia" w:ascii="Times New Roman" w:hAnsi="宋体" w:eastAsia="Times New Roman" w:cs="宋体"/>
                <w:lang w:eastAsia="zh-CN"/>
              </w:rPr>
              <w:t>为</w:t>
            </w:r>
            <w:r>
              <w:rPr>
                <w:rFonts w:hint="eastAsia" w:ascii="宋体" w:hAnsi="宋体" w:eastAsia="Times New Roman" w:cs="宋体"/>
              </w:rPr>
              <w:t>：¥498500.00</w:t>
            </w:r>
            <w:r>
              <w:rPr>
                <w:rFonts w:hint="eastAsia" w:ascii="Times New Roman" w:hAnsi="宋体" w:eastAsia="Times New Roman" w:cs="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2</w:t>
            </w:r>
          </w:p>
        </w:tc>
        <w:tc>
          <w:tcPr>
            <w:tcW w:w="86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3.1</w:t>
            </w:r>
          </w:p>
        </w:tc>
        <w:tc>
          <w:tcPr>
            <w:tcW w:w="8516" w:type="dxa"/>
            <w:noWrap w:val="0"/>
            <w:vAlign w:val="center"/>
          </w:tcPr>
          <w:p>
            <w:pPr>
              <w:keepNext/>
              <w:keepLines w:val="0"/>
              <w:suppressLineNumbers w:val="0"/>
              <w:spacing w:before="0" w:beforeAutospacing="0" w:after="0" w:afterAutospacing="0" w:line="360" w:lineRule="exact"/>
              <w:ind w:left="10" w:leftChars="0" w:right="0" w:firstLine="199" w:firstLineChars="95"/>
              <w:rPr>
                <w:rFonts w:hint="eastAsia" w:ascii="宋体" w:hAnsi="宋体" w:eastAsia="Times New Roman" w:cs="宋体"/>
                <w:b/>
                <w:szCs w:val="21"/>
              </w:rPr>
            </w:pPr>
            <w:r>
              <w:rPr>
                <w:rFonts w:hint="eastAsia" w:ascii="宋体" w:hAnsi="宋体" w:eastAsia="Times New Roman" w:cs="宋体"/>
              </w:rPr>
              <w:t>谈判供应商资格：</w:t>
            </w:r>
            <w:r>
              <w:rPr>
                <w:rFonts w:hint="eastAsia" w:ascii="宋体" w:hAnsi="宋体" w:eastAsia="Times New Roman" w:cs="宋体"/>
                <w:szCs w:val="21"/>
              </w:rPr>
              <w:t>满足《中华人民共和国政府采购法》第二十二条规定；承诺履行谈判文件的各项规定，生产或经营本次采购内容。参加政府采购活动前三年内，在经营活动中没有重大违法记录和不良信用记录【被列入失信被执行人、政府采购不良行为记录、重大税收违法案件当事人</w:t>
            </w:r>
            <w:r>
              <w:rPr>
                <w:rFonts w:hint="eastAsia" w:ascii="宋体" w:hAnsi="宋体" w:eastAsia="Times New Roman" w:cs="宋体"/>
                <w:spacing w:val="-4"/>
                <w:szCs w:val="21"/>
              </w:rPr>
              <w:t>、被各级政府行政部门列入黑名单的供应商，将被拒绝其参与本次政府采购活动。】；本项目</w:t>
            </w:r>
            <w:r>
              <w:rPr>
                <w:rFonts w:hint="eastAsia" w:ascii="宋体" w:hAnsi="宋体" w:eastAsia="Times New Roman" w:cs="宋体"/>
                <w:spacing w:val="-4"/>
                <w:szCs w:val="21"/>
                <w:lang w:eastAsia="zh-CN"/>
              </w:rPr>
              <w:t>不</w:t>
            </w:r>
            <w:r>
              <w:rPr>
                <w:rFonts w:hint="eastAsia" w:ascii="宋体" w:hAnsi="宋体" w:eastAsia="Times New Roman" w:cs="宋体"/>
                <w:spacing w:val="-4"/>
                <w:szCs w:val="21"/>
              </w:rPr>
              <w:t>接受联合体参加谈判采购</w:t>
            </w:r>
            <w:r>
              <w:rPr>
                <w:rFonts w:hint="eastAsia" w:ascii="宋体" w:hAnsi="宋体" w:eastAsia="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3</w:t>
            </w:r>
          </w:p>
        </w:tc>
        <w:tc>
          <w:tcPr>
            <w:tcW w:w="86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7.4</w:t>
            </w:r>
          </w:p>
        </w:tc>
        <w:tc>
          <w:tcPr>
            <w:tcW w:w="8516"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Times New Roman" w:cs="宋体"/>
                <w:szCs w:val="21"/>
              </w:rPr>
            </w:pPr>
            <w:r>
              <w:rPr>
                <w:rFonts w:hint="eastAsia" w:ascii="宋体" w:hAnsi="宋体" w:eastAsia="Times New Roman" w:cs="宋体"/>
                <w:szCs w:val="21"/>
              </w:rPr>
              <w:t>报价：谈判供应商须就《采购需求》中</w:t>
            </w:r>
            <w:r>
              <w:rPr>
                <w:rFonts w:hint="eastAsia" w:ascii="宋体" w:hAnsi="宋体" w:eastAsia="Times New Roman" w:cs="宋体"/>
                <w:szCs w:val="21"/>
                <w:lang w:eastAsia="zh-CN"/>
              </w:rPr>
              <w:t>各分标</w:t>
            </w:r>
            <w:r>
              <w:rPr>
                <w:rFonts w:hint="eastAsia" w:ascii="宋体" w:hAnsi="宋体" w:eastAsia="Times New Roman" w:cs="宋体"/>
                <w:szCs w:val="21"/>
              </w:rPr>
              <w:t>的货物和服务内容分别作完整唯一报价。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4</w:t>
            </w:r>
          </w:p>
        </w:tc>
        <w:tc>
          <w:tcPr>
            <w:tcW w:w="86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8.2</w:t>
            </w:r>
          </w:p>
        </w:tc>
        <w:tc>
          <w:tcPr>
            <w:tcW w:w="8516" w:type="dxa"/>
            <w:noWrap w:val="0"/>
            <w:vAlign w:val="center"/>
          </w:tcPr>
          <w:p>
            <w:pPr>
              <w:pStyle w:val="28"/>
              <w:keepNext w:val="0"/>
              <w:keepLines w:val="0"/>
              <w:suppressLineNumbers w:val="0"/>
              <w:adjustRightInd w:val="0"/>
              <w:snapToGrid w:val="0"/>
              <w:spacing w:before="0" w:beforeAutospacing="0" w:after="0" w:afterAutospacing="0" w:line="360" w:lineRule="exact"/>
              <w:ind w:left="0" w:right="0"/>
              <w:rPr>
                <w:rFonts w:hint="eastAsia" w:hAnsi="宋体" w:eastAsia="Times New Roman" w:cs="宋体"/>
              </w:rPr>
            </w:pPr>
            <w:r>
              <w:rPr>
                <w:rFonts w:hint="eastAsia" w:hAnsi="宋体" w:eastAsia="Times New Roman" w:cs="宋体"/>
              </w:rPr>
              <w:t>响应文件：正本一份，副本 贰 份，电子文档一份（须提供Word文档格式）。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5</w:t>
            </w:r>
          </w:p>
        </w:tc>
        <w:tc>
          <w:tcPr>
            <w:tcW w:w="86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9.1</w:t>
            </w:r>
          </w:p>
        </w:tc>
        <w:tc>
          <w:tcPr>
            <w:tcW w:w="851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rPr>
                <w:rFonts w:hint="eastAsia" w:hAnsi="宋体" w:eastAsia="Times New Roman" w:cs="宋体"/>
                <w:bCs/>
                <w:szCs w:val="21"/>
              </w:rPr>
            </w:pPr>
            <w:r>
              <w:rPr>
                <w:rFonts w:hint="eastAsia" w:hAnsi="宋体" w:eastAsia="Times New Roman" w:cs="宋体"/>
                <w:szCs w:val="21"/>
              </w:rPr>
              <w:t>1.响应文件递交截止时间：</w:t>
            </w:r>
            <w:r>
              <w:rPr>
                <w:rFonts w:hint="eastAsia" w:hAnsi="宋体" w:eastAsia="Times New Roman" w:cs="宋体"/>
                <w:kern w:val="0"/>
                <w:szCs w:val="21"/>
              </w:rPr>
              <w:t>2020年11月19日9点00分</w:t>
            </w:r>
            <w:r>
              <w:rPr>
                <w:rFonts w:hint="eastAsia" w:hAnsi="宋体" w:eastAsia="Times New Roman" w:cs="宋体"/>
              </w:rPr>
              <w:t>（注：必须以密封形式递交）。</w:t>
            </w:r>
          </w:p>
          <w:p>
            <w:pPr>
              <w:pStyle w:val="28"/>
              <w:keepNext w:val="0"/>
              <w:keepLines w:val="0"/>
              <w:suppressLineNumbers w:val="0"/>
              <w:adjustRightInd w:val="0"/>
              <w:snapToGrid w:val="0"/>
              <w:spacing w:before="0" w:beforeAutospacing="0" w:after="0" w:afterAutospacing="0" w:line="360" w:lineRule="exact"/>
              <w:ind w:left="210" w:right="0" w:hanging="210" w:hangingChars="100"/>
              <w:rPr>
                <w:rFonts w:hint="eastAsia" w:hAnsi="宋体" w:eastAsia="Times New Roman" w:cs="宋体"/>
              </w:rPr>
            </w:pPr>
            <w:r>
              <w:rPr>
                <w:rFonts w:hint="eastAsia" w:hAnsi="宋体" w:eastAsia="Times New Roman" w:cs="宋体"/>
              </w:rPr>
              <w:t>2.地址：广西新宇建设项目管理有限公司北海分公司（广西北海市北海大道158号北园公寓星辰座8楼A室）。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6</w:t>
            </w:r>
          </w:p>
        </w:tc>
        <w:tc>
          <w:tcPr>
            <w:tcW w:w="866" w:type="dxa"/>
            <w:noWrap w:val="0"/>
            <w:vAlign w:val="center"/>
          </w:tcPr>
          <w:p>
            <w:pPr>
              <w:pStyle w:val="28"/>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rPr>
            </w:pPr>
            <w:r>
              <w:rPr>
                <w:rFonts w:hint="eastAsia" w:hAnsi="宋体" w:eastAsia="Times New Roman" w:cs="宋体"/>
              </w:rPr>
              <w:t>9.2</w:t>
            </w:r>
          </w:p>
        </w:tc>
        <w:tc>
          <w:tcPr>
            <w:tcW w:w="851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rPr>
                <w:rFonts w:hint="eastAsia" w:hAnsi="宋体" w:eastAsia="Times New Roman" w:cs="宋体"/>
                <w:szCs w:val="21"/>
              </w:rPr>
            </w:pPr>
            <w:r>
              <w:rPr>
                <w:rFonts w:hint="eastAsia" w:hAnsi="宋体" w:eastAsia="Times New Roman" w:cs="宋体"/>
                <w:szCs w:val="21"/>
              </w:rPr>
              <w:t>谈判有效期：响应文件递交截止日期后60天。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7</w:t>
            </w:r>
          </w:p>
        </w:tc>
        <w:tc>
          <w:tcPr>
            <w:tcW w:w="86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11.0</w:t>
            </w:r>
          </w:p>
        </w:tc>
        <w:tc>
          <w:tcPr>
            <w:tcW w:w="8516" w:type="dxa"/>
            <w:noWrap w:val="0"/>
            <w:vAlign w:val="center"/>
          </w:tcPr>
          <w:p>
            <w:pPr>
              <w:pStyle w:val="28"/>
              <w:keepNext w:val="0"/>
              <w:keepLines w:val="0"/>
              <w:suppressLineNumbers w:val="0"/>
              <w:spacing w:before="0" w:beforeAutospacing="0" w:after="0" w:afterAutospacing="0" w:line="360" w:lineRule="exact"/>
              <w:ind w:left="525" w:right="0" w:hanging="525" w:hangingChars="250"/>
              <w:rPr>
                <w:rFonts w:hint="eastAsia" w:hAnsi="宋体" w:eastAsia="Times New Roman" w:cs="宋体"/>
              </w:rPr>
            </w:pPr>
            <w:r>
              <w:rPr>
                <w:rFonts w:hint="eastAsia" w:hAnsi="宋体" w:eastAsia="Times New Roman" w:cs="宋体"/>
              </w:rPr>
              <w:t>谈判保证金</w:t>
            </w:r>
            <w:r>
              <w:rPr>
                <w:rFonts w:hint="eastAsia" w:hAnsi="宋体" w:eastAsia="Times New Roman" w:cs="宋体"/>
                <w:kern w:val="0"/>
              </w:rPr>
              <w:t>（须足额交纳）</w:t>
            </w:r>
            <w:r>
              <w:rPr>
                <w:rFonts w:hint="eastAsia" w:hAnsi="宋体" w:eastAsia="Times New Roman" w:cs="宋体"/>
              </w:rPr>
              <w:t>：</w:t>
            </w:r>
          </w:p>
          <w:p>
            <w:pPr>
              <w:pStyle w:val="28"/>
              <w:keepNext/>
              <w:keepLines/>
              <w:suppressLineNumbers w:val="0"/>
              <w:adjustRightInd w:val="0"/>
              <w:snapToGrid w:val="0"/>
              <w:spacing w:before="0" w:beforeAutospacing="0" w:after="0" w:afterAutospacing="0" w:line="360" w:lineRule="exact"/>
              <w:ind w:left="210" w:right="0" w:hanging="210" w:hangingChars="100"/>
              <w:jc w:val="left"/>
              <w:rPr>
                <w:rFonts w:hint="eastAsia" w:hAnsi="宋体" w:eastAsia="Times New Roman" w:cs="宋体"/>
              </w:rPr>
            </w:pPr>
            <w:r>
              <w:rPr>
                <w:rFonts w:hint="eastAsia" w:hAnsi="宋体" w:eastAsia="Times New Roman" w:cs="宋体"/>
              </w:rPr>
              <w:t>1.交纳金额：</w:t>
            </w:r>
            <w:r>
              <w:rPr>
                <w:rFonts w:hint="eastAsia" w:hAnsi="宋体" w:eastAsia="Times New Roman" w:cs="宋体"/>
                <w:lang w:val="en-US" w:eastAsia="zh-CN"/>
              </w:rPr>
              <w:t>A分标：</w:t>
            </w:r>
            <w:r>
              <w:rPr>
                <w:rFonts w:hint="eastAsia" w:hAnsi="宋体" w:eastAsia="Times New Roman" w:cs="宋体"/>
              </w:rPr>
              <w:t>¥</w:t>
            </w:r>
            <w:r>
              <w:rPr>
                <w:rFonts w:hint="eastAsia" w:hAnsi="宋体" w:eastAsia="Times New Roman" w:cs="宋体"/>
                <w:lang w:val="en-US" w:eastAsia="zh-CN"/>
              </w:rPr>
              <w:t>55</w:t>
            </w:r>
            <w:r>
              <w:rPr>
                <w:rFonts w:hint="eastAsia" w:hAnsi="宋体" w:eastAsia="Times New Roman" w:cs="宋体"/>
              </w:rPr>
              <w:t>00.00</w:t>
            </w:r>
            <w:r>
              <w:rPr>
                <w:rFonts w:hint="eastAsia" w:hAnsi="宋体" w:eastAsia="Times New Roman" w:cs="宋体"/>
                <w:lang w:eastAsia="zh-CN"/>
              </w:rPr>
              <w:t>；</w:t>
            </w:r>
            <w:r>
              <w:rPr>
                <w:rFonts w:hint="eastAsia" w:hAnsi="宋体" w:eastAsia="Times New Roman" w:cs="宋体"/>
                <w:lang w:val="en-US" w:eastAsia="zh-CN"/>
              </w:rPr>
              <w:t>B分标：</w:t>
            </w:r>
            <w:r>
              <w:rPr>
                <w:rFonts w:hint="eastAsia" w:hAnsi="宋体" w:eastAsia="Times New Roman" w:cs="宋体"/>
              </w:rPr>
              <w:t>¥</w:t>
            </w:r>
            <w:r>
              <w:rPr>
                <w:rFonts w:hint="eastAsia" w:hAnsi="宋体" w:eastAsia="Times New Roman" w:cs="宋体"/>
                <w:lang w:val="en-US" w:eastAsia="zh-CN"/>
              </w:rPr>
              <w:t>7500.00；C分标：</w:t>
            </w:r>
            <w:r>
              <w:rPr>
                <w:rFonts w:hint="eastAsia" w:hAnsi="宋体" w:eastAsia="Times New Roman" w:cs="宋体"/>
              </w:rPr>
              <w:t>¥</w:t>
            </w:r>
            <w:r>
              <w:rPr>
                <w:rFonts w:hint="eastAsia" w:hAnsi="宋体" w:eastAsia="Times New Roman" w:cs="宋体"/>
                <w:lang w:val="en-US" w:eastAsia="zh-CN"/>
              </w:rPr>
              <w:t>9000.00；D分标：</w:t>
            </w:r>
            <w:r>
              <w:rPr>
                <w:rFonts w:hint="eastAsia" w:hAnsi="宋体" w:eastAsia="Times New Roman" w:cs="宋体"/>
              </w:rPr>
              <w:t>¥</w:t>
            </w:r>
            <w:r>
              <w:rPr>
                <w:rFonts w:hint="eastAsia" w:hAnsi="宋体" w:eastAsia="Times New Roman" w:cs="宋体"/>
                <w:lang w:val="en-US" w:eastAsia="zh-CN"/>
              </w:rPr>
              <w:t>7600.00</w:t>
            </w:r>
            <w:r>
              <w:rPr>
                <w:rFonts w:hint="eastAsia" w:hAnsi="宋体" w:eastAsia="Times New Roman"/>
              </w:rPr>
              <w:t>（诚信记录良好的供应商无需提供保证金，须按本章“附件1”的格式要求提供《诚信记录良好承诺函》）。</w:t>
            </w:r>
          </w:p>
          <w:p>
            <w:pPr>
              <w:pStyle w:val="28"/>
              <w:keepNext w:val="0"/>
              <w:keepLines w:val="0"/>
              <w:suppressLineNumbers w:val="0"/>
              <w:spacing w:before="0" w:beforeAutospacing="0" w:after="0" w:afterAutospacing="0" w:line="360" w:lineRule="exact"/>
              <w:ind w:left="0" w:right="0"/>
              <w:rPr>
                <w:rFonts w:hint="eastAsia" w:hAnsi="宋体" w:eastAsia="Times New Roman" w:cs="宋体"/>
              </w:rPr>
            </w:pPr>
            <w:r>
              <w:rPr>
                <w:rFonts w:hint="eastAsia" w:hAnsi="宋体" w:eastAsia="Times New Roman" w:cs="宋体"/>
              </w:rPr>
              <w:t>2.谈判保证金在谈判有效期内保持有效。</w:t>
            </w:r>
          </w:p>
          <w:p>
            <w:pPr>
              <w:pStyle w:val="28"/>
              <w:keepNext w:val="0"/>
              <w:keepLines w:val="0"/>
              <w:suppressLineNumbers w:val="0"/>
              <w:adjustRightInd w:val="0"/>
              <w:snapToGrid w:val="0"/>
              <w:spacing w:before="0" w:beforeAutospacing="0" w:after="0" w:afterAutospacing="0" w:line="360" w:lineRule="exact"/>
              <w:ind w:left="0" w:right="0"/>
              <w:rPr>
                <w:rFonts w:hint="eastAsia" w:hAnsi="宋体" w:eastAsia="Times New Roman" w:cs="宋体"/>
              </w:rPr>
            </w:pPr>
            <w:r>
              <w:rPr>
                <w:rFonts w:hint="eastAsia" w:hAnsi="宋体" w:eastAsia="Times New Roman" w:cs="宋体"/>
              </w:rPr>
              <w:t>3.交纳谈判保证金的账户见《谈判供应商须知》11.2。</w:t>
            </w:r>
          </w:p>
          <w:p>
            <w:pPr>
              <w:pStyle w:val="28"/>
              <w:keepNext w:val="0"/>
              <w:keepLines w:val="0"/>
              <w:suppressLineNumbers w:val="0"/>
              <w:adjustRightInd w:val="0"/>
              <w:snapToGrid w:val="0"/>
              <w:spacing w:before="0" w:beforeAutospacing="0" w:after="0" w:afterAutospacing="0" w:line="360" w:lineRule="exact"/>
              <w:ind w:left="210" w:right="0" w:hanging="210" w:hangingChars="100"/>
              <w:rPr>
                <w:rFonts w:hint="eastAsia" w:hAnsi="宋体" w:eastAsia="Times New Roman" w:cs="宋体"/>
              </w:rPr>
            </w:pPr>
            <w:r>
              <w:rPr>
                <w:rFonts w:hint="eastAsia" w:hAnsi="宋体" w:eastAsia="Times New Roman" w:cs="宋体"/>
              </w:rPr>
              <w:t>4.谈判保证金</w:t>
            </w:r>
            <w:r>
              <w:rPr>
                <w:rFonts w:hint="eastAsia" w:hAnsi="宋体" w:eastAsia="Times New Roman"/>
              </w:rPr>
              <w:t>或《诚信记录良好承诺函》</w:t>
            </w:r>
            <w:r>
              <w:rPr>
                <w:rFonts w:hint="eastAsia" w:hAnsi="宋体" w:eastAsia="Times New Roman" w:cs="宋体"/>
              </w:rPr>
              <w:t>交纳方式见《谈判供应商须知》11.1及11.2。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8</w:t>
            </w:r>
          </w:p>
        </w:tc>
        <w:tc>
          <w:tcPr>
            <w:tcW w:w="86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12.1</w:t>
            </w:r>
          </w:p>
        </w:tc>
        <w:tc>
          <w:tcPr>
            <w:tcW w:w="8516" w:type="dxa"/>
            <w:noWrap w:val="0"/>
            <w:vAlign w:val="center"/>
          </w:tcPr>
          <w:p>
            <w:pPr>
              <w:pStyle w:val="90"/>
              <w:keepNext w:val="0"/>
              <w:keepLines w:val="0"/>
              <w:suppressLineNumbers w:val="0"/>
              <w:adjustRightInd w:val="0"/>
              <w:snapToGrid w:val="0"/>
              <w:spacing w:before="0" w:beforeAutospacing="0" w:after="0" w:afterAutospacing="0" w:line="360" w:lineRule="exact"/>
              <w:ind w:left="240" w:right="0" w:hanging="240" w:hangingChars="114"/>
              <w:rPr>
                <w:rFonts w:hint="eastAsia" w:hAnsi="宋体" w:eastAsia="Times New Roman" w:cs="宋体"/>
                <w:bCs/>
                <w:szCs w:val="21"/>
              </w:rPr>
            </w:pPr>
            <w:r>
              <w:rPr>
                <w:rFonts w:hint="eastAsia" w:hAnsi="宋体" w:eastAsia="Times New Roman" w:cs="宋体"/>
                <w:b/>
                <w:bCs/>
                <w:szCs w:val="21"/>
              </w:rPr>
              <w:t>1.谈判时间：</w:t>
            </w:r>
            <w:r>
              <w:rPr>
                <w:rFonts w:hint="eastAsia" w:hAnsi="宋体" w:eastAsia="Times New Roman" w:cs="宋体"/>
                <w:kern w:val="0"/>
                <w:szCs w:val="21"/>
              </w:rPr>
              <w:t>2020年</w:t>
            </w:r>
            <w:r>
              <w:rPr>
                <w:rFonts w:hint="eastAsia" w:hAnsi="宋体" w:eastAsia="Times New Roman" w:cs="宋体"/>
                <w:bCs/>
                <w:szCs w:val="21"/>
                <w:lang w:val="en-US" w:eastAsia="zh-CN"/>
              </w:rPr>
              <w:t>11</w:t>
            </w:r>
            <w:r>
              <w:rPr>
                <w:rFonts w:hint="eastAsia" w:ascii="宋体" w:hAnsi="宋体" w:eastAsia="Times New Roman" w:cs="宋体"/>
                <w:bCs/>
                <w:szCs w:val="21"/>
              </w:rPr>
              <w:t>月</w:t>
            </w:r>
            <w:r>
              <w:rPr>
                <w:rFonts w:hint="eastAsia" w:hAnsi="宋体" w:eastAsia="Times New Roman" w:cs="宋体"/>
                <w:bCs/>
                <w:szCs w:val="21"/>
                <w:lang w:val="en-US" w:eastAsia="zh-CN"/>
              </w:rPr>
              <w:t>19</w:t>
            </w:r>
            <w:r>
              <w:rPr>
                <w:rFonts w:hint="eastAsia" w:ascii="宋体" w:hAnsi="宋体" w:eastAsia="Times New Roman" w:cs="宋体"/>
                <w:bCs/>
                <w:szCs w:val="21"/>
              </w:rPr>
              <w:t>日</w:t>
            </w:r>
            <w:r>
              <w:rPr>
                <w:rFonts w:hint="eastAsia" w:hAnsi="宋体" w:eastAsia="Times New Roman" w:cs="宋体"/>
                <w:bCs/>
                <w:szCs w:val="21"/>
                <w:lang w:val="en-US" w:eastAsia="zh-CN"/>
              </w:rPr>
              <w:t>9</w:t>
            </w:r>
            <w:r>
              <w:rPr>
                <w:rFonts w:hint="eastAsia" w:ascii="宋体" w:hAnsi="宋体" w:eastAsia="Times New Roman" w:cs="宋体"/>
                <w:bCs/>
                <w:szCs w:val="21"/>
              </w:rPr>
              <w:t>点</w:t>
            </w:r>
            <w:r>
              <w:rPr>
                <w:rFonts w:hint="eastAsia" w:hAnsi="宋体" w:eastAsia="Times New Roman" w:cs="宋体"/>
                <w:bCs/>
                <w:szCs w:val="21"/>
                <w:lang w:val="en-US" w:eastAsia="zh-CN"/>
              </w:rPr>
              <w:t>00</w:t>
            </w:r>
            <w:r>
              <w:rPr>
                <w:rFonts w:hint="eastAsia" w:ascii="宋体" w:hAnsi="宋体" w:eastAsia="Times New Roman" w:cs="宋体"/>
                <w:bCs/>
                <w:szCs w:val="21"/>
              </w:rPr>
              <w:t>分</w:t>
            </w:r>
            <w:r>
              <w:rPr>
                <w:rFonts w:hint="eastAsia" w:hAnsi="宋体" w:eastAsia="Times New Roman" w:cs="宋体"/>
              </w:rPr>
              <w:t>响应文件开启会结束后</w:t>
            </w:r>
            <w:r>
              <w:rPr>
                <w:rFonts w:hint="eastAsia" w:hAnsi="宋体" w:eastAsia="Times New Roman" w:cs="宋体"/>
                <w:bCs/>
                <w:szCs w:val="21"/>
              </w:rPr>
              <w:t>（具体时间由</w:t>
            </w:r>
            <w:r>
              <w:rPr>
                <w:rFonts w:hint="eastAsia" w:hAnsi="宋体" w:eastAsia="Times New Roman" w:cs="宋体"/>
                <w:szCs w:val="21"/>
              </w:rPr>
              <w:t>采购代理机构</w:t>
            </w:r>
            <w:r>
              <w:rPr>
                <w:rFonts w:hint="eastAsia" w:hAnsi="宋体" w:eastAsia="Times New Roman" w:cs="宋体"/>
                <w:bCs/>
                <w:szCs w:val="21"/>
              </w:rPr>
              <w:t>另行通知）</w:t>
            </w:r>
          </w:p>
          <w:p>
            <w:pPr>
              <w:pStyle w:val="90"/>
              <w:keepNext w:val="0"/>
              <w:keepLines w:val="0"/>
              <w:suppressLineNumbers w:val="0"/>
              <w:adjustRightInd w:val="0"/>
              <w:snapToGrid w:val="0"/>
              <w:spacing w:before="0" w:beforeAutospacing="0" w:after="0" w:afterAutospacing="0" w:line="360" w:lineRule="exact"/>
              <w:ind w:left="207" w:right="0" w:hanging="206" w:hangingChars="98"/>
              <w:rPr>
                <w:rFonts w:hint="eastAsia" w:hAnsi="宋体" w:eastAsia="Times New Roman" w:cs="宋体"/>
                <w:szCs w:val="21"/>
              </w:rPr>
            </w:pPr>
            <w:r>
              <w:rPr>
                <w:rFonts w:hint="eastAsia" w:hAnsi="宋体" w:eastAsia="Times New Roman" w:cs="宋体"/>
                <w:b/>
                <w:bCs/>
                <w:szCs w:val="21"/>
              </w:rPr>
              <w:t>2.谈判地点：</w:t>
            </w:r>
            <w:r>
              <w:rPr>
                <w:rFonts w:hint="eastAsia" w:hAnsi="宋体" w:eastAsia="Times New Roman" w:cs="宋体"/>
              </w:rPr>
              <w:t>广西新宇建设项目管理有限公司北海分公司</w:t>
            </w:r>
            <w:r>
              <w:rPr>
                <w:rFonts w:hint="eastAsia" w:hAnsi="宋体" w:eastAsia="Times New Roman" w:cs="宋体"/>
                <w:szCs w:val="21"/>
              </w:rPr>
              <w:t>（广西北海市北海大道158号北园公寓星辰座8楼A室）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78"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9</w:t>
            </w:r>
          </w:p>
        </w:tc>
        <w:tc>
          <w:tcPr>
            <w:tcW w:w="86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jc w:val="center"/>
              <w:rPr>
                <w:rFonts w:hint="eastAsia" w:hAnsi="宋体" w:eastAsia="Times New Roman" w:cs="宋体"/>
                <w:szCs w:val="21"/>
              </w:rPr>
            </w:pPr>
            <w:r>
              <w:rPr>
                <w:rFonts w:hint="eastAsia" w:hAnsi="宋体" w:eastAsia="Times New Roman" w:cs="宋体"/>
                <w:szCs w:val="21"/>
              </w:rPr>
              <w:t>12.6</w:t>
            </w:r>
          </w:p>
        </w:tc>
        <w:tc>
          <w:tcPr>
            <w:tcW w:w="8516" w:type="dxa"/>
            <w:noWrap w:val="0"/>
            <w:vAlign w:val="center"/>
          </w:tcPr>
          <w:p>
            <w:pPr>
              <w:pStyle w:val="90"/>
              <w:keepNext w:val="0"/>
              <w:keepLines w:val="0"/>
              <w:suppressLineNumbers w:val="0"/>
              <w:adjustRightInd w:val="0"/>
              <w:snapToGrid w:val="0"/>
              <w:spacing w:before="0" w:beforeAutospacing="0" w:after="0" w:afterAutospacing="0" w:line="360" w:lineRule="exact"/>
              <w:ind w:left="0" w:right="0"/>
              <w:rPr>
                <w:rFonts w:hint="eastAsia" w:hAnsi="宋体" w:eastAsia="Times New Roman" w:cs="宋体"/>
                <w:szCs w:val="21"/>
              </w:rPr>
            </w:pPr>
            <w:r>
              <w:rPr>
                <w:rFonts w:hint="eastAsia" w:hAnsi="宋体" w:eastAsia="Times New Roman" w:cs="宋体"/>
                <w:szCs w:val="21"/>
              </w:rPr>
              <w:t>评定标准：最低评标价法（详细见第六章）</w:t>
            </w:r>
          </w:p>
        </w:tc>
      </w:tr>
    </w:tbl>
    <w:p>
      <w:pPr>
        <w:spacing w:line="400" w:lineRule="exact"/>
        <w:rPr>
          <w:rFonts w:hint="eastAsia" w:ascii="宋体" w:hAnsi="宋体" w:cs="宋体"/>
          <w:b/>
          <w:sz w:val="32"/>
          <w:szCs w:val="32"/>
        </w:rPr>
      </w:pPr>
    </w:p>
    <w:p>
      <w:pPr>
        <w:keepNext/>
        <w:pageBreakBefore w:val="0"/>
        <w:widowControl w:val="0"/>
        <w:kinsoku/>
        <w:wordWrap/>
        <w:overflowPunct/>
        <w:topLinePunct w:val="0"/>
        <w:autoSpaceDE/>
        <w:autoSpaceDN/>
        <w:bidi w:val="0"/>
        <w:spacing w:line="600" w:lineRule="exact"/>
        <w:jc w:val="center"/>
        <w:textAlignment w:val="auto"/>
        <w:rPr>
          <w:rFonts w:hint="eastAsia" w:ascii="宋体" w:hAnsi="宋体" w:cs="宋体"/>
          <w:b/>
          <w:szCs w:val="21"/>
        </w:rPr>
      </w:pPr>
      <w:r>
        <w:rPr>
          <w:rFonts w:hint="eastAsia" w:ascii="宋体" w:hAnsi="宋体" w:cs="宋体"/>
          <w:b/>
          <w:sz w:val="32"/>
          <w:szCs w:val="32"/>
        </w:rPr>
        <w:t>谈判供应商须知</w:t>
      </w:r>
    </w:p>
    <w:p>
      <w:pPr>
        <w:keepNext/>
        <w:pageBreakBefore w:val="0"/>
        <w:widowControl w:val="0"/>
        <w:kinsoku/>
        <w:wordWrap/>
        <w:overflowPunct/>
        <w:topLinePunct w:val="0"/>
        <w:autoSpaceDE/>
        <w:autoSpaceDN/>
        <w:bidi w:val="0"/>
        <w:adjustRightInd w:val="0"/>
        <w:snapToGrid w:val="0"/>
        <w:spacing w:line="356" w:lineRule="exact"/>
        <w:jc w:val="center"/>
        <w:textAlignment w:val="auto"/>
        <w:rPr>
          <w:rFonts w:hint="eastAsia" w:ascii="宋体" w:hAnsi="宋体" w:cs="宋体"/>
          <w:b/>
          <w:szCs w:val="21"/>
        </w:rPr>
      </w:pPr>
    </w:p>
    <w:p>
      <w:pPr>
        <w:keepNext/>
        <w:keepLines w:val="0"/>
        <w:pageBreakBefore w:val="0"/>
        <w:widowControl w:val="0"/>
        <w:kinsoku/>
        <w:wordWrap/>
        <w:overflowPunct/>
        <w:topLinePunct w:val="0"/>
        <w:autoSpaceDE/>
        <w:autoSpaceDN/>
        <w:bidi w:val="0"/>
        <w:adjustRightInd w:val="0"/>
        <w:snapToGrid w:val="0"/>
        <w:spacing w:line="370" w:lineRule="exact"/>
        <w:jc w:val="center"/>
        <w:textAlignment w:val="auto"/>
        <w:rPr>
          <w:rFonts w:hint="eastAsia" w:ascii="宋体" w:hAnsi="宋体" w:cs="宋体"/>
          <w:b/>
          <w:szCs w:val="21"/>
        </w:rPr>
      </w:pPr>
      <w:r>
        <w:rPr>
          <w:rFonts w:hint="eastAsia" w:ascii="宋体" w:hAnsi="宋体" w:cs="宋体"/>
          <w:b/>
          <w:szCs w:val="21"/>
        </w:rPr>
        <w:t>一.总　则</w:t>
      </w:r>
    </w:p>
    <w:p>
      <w:pPr>
        <w:keepNext/>
        <w:keepLines w:val="0"/>
        <w:pageBreakBefore w:val="0"/>
        <w:widowControl w:val="0"/>
        <w:kinsoku/>
        <w:wordWrap/>
        <w:overflowPunct/>
        <w:topLinePunct w:val="0"/>
        <w:autoSpaceDE/>
        <w:autoSpaceDN/>
        <w:bidi w:val="0"/>
        <w:adjustRightInd w:val="0"/>
        <w:snapToGrid w:val="0"/>
        <w:spacing w:line="380" w:lineRule="exact"/>
        <w:ind w:firstLine="413" w:firstLineChars="196"/>
        <w:textAlignment w:val="auto"/>
        <w:rPr>
          <w:rFonts w:hint="eastAsia" w:ascii="宋体" w:hAnsi="宋体" w:cs="宋体"/>
          <w:b/>
          <w:szCs w:val="21"/>
        </w:rPr>
      </w:pPr>
      <w:r>
        <w:rPr>
          <w:rFonts w:hint="eastAsia" w:ascii="宋体" w:hAnsi="宋体" w:cs="宋体"/>
          <w:b/>
          <w:szCs w:val="21"/>
        </w:rPr>
        <w:t>1. 适用范围</w:t>
      </w:r>
    </w:p>
    <w:p>
      <w:pPr>
        <w:keepNext/>
        <w:keepLines w:val="0"/>
        <w:pageBreakBefore w:val="0"/>
        <w:widowControl w:val="0"/>
        <w:kinsoku/>
        <w:wordWrap/>
        <w:overflowPunct/>
        <w:topLinePunct w:val="0"/>
        <w:autoSpaceDE/>
        <w:autoSpaceDN/>
        <w:bidi w:val="0"/>
        <w:spacing w:line="380" w:lineRule="exact"/>
        <w:ind w:firstLine="420" w:firstLineChars="200"/>
        <w:textAlignment w:val="auto"/>
        <w:rPr>
          <w:rFonts w:hint="eastAsia" w:ascii="宋体" w:hAnsi="宋体" w:eastAsia="宋体" w:cs="宋体"/>
          <w:szCs w:val="21"/>
          <w:lang w:eastAsia="zh-CN"/>
        </w:rPr>
      </w:pPr>
      <w:r>
        <w:rPr>
          <w:rFonts w:hint="eastAsia" w:ascii="宋体" w:hAnsi="宋体" w:cs="宋体"/>
        </w:rPr>
        <w:t>1.1</w:t>
      </w:r>
      <w:r>
        <w:rPr>
          <w:rFonts w:hint="eastAsia" w:ascii="宋体" w:hAnsi="宋体" w:cs="宋体"/>
          <w:b/>
          <w:szCs w:val="21"/>
        </w:rPr>
        <w:t xml:space="preserve"> 项目名称：</w:t>
      </w:r>
      <w:r>
        <w:rPr>
          <w:rFonts w:hint="eastAsia" w:ascii="宋体" w:hAnsi="宋体" w:cs="宋体"/>
          <w:szCs w:val="21"/>
          <w:lang w:eastAsia="zh-CN"/>
        </w:rPr>
        <w:t>设备采购及安装</w:t>
      </w:r>
    </w:p>
    <w:p>
      <w:pPr>
        <w:keepNext/>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szCs w:val="21"/>
          <w:lang w:eastAsia="zh-CN"/>
        </w:rPr>
      </w:pPr>
      <w:r>
        <w:rPr>
          <w:rFonts w:hint="eastAsia" w:ascii="宋体" w:hAnsi="宋体" w:cs="宋体"/>
          <w:b/>
          <w:bCs/>
          <w:szCs w:val="21"/>
        </w:rPr>
        <w:t xml:space="preserve">    项目编号：</w:t>
      </w:r>
      <w:r>
        <w:rPr>
          <w:rFonts w:hint="eastAsia" w:ascii="宋体" w:hAnsi="宋体" w:cs="宋体"/>
          <w:szCs w:val="21"/>
          <w:lang w:eastAsia="zh-CN"/>
        </w:rPr>
        <w:t>BHZC2020-J1-000513-GXXY</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1.2本文件仅适用于本文件中所叙述的货物类政府采购项目。</w:t>
      </w:r>
    </w:p>
    <w:p>
      <w:pPr>
        <w:keepNext/>
        <w:keepLines w:val="0"/>
        <w:pageBreakBefore w:val="0"/>
        <w:widowControl w:val="0"/>
        <w:kinsoku/>
        <w:wordWrap/>
        <w:overflowPunct/>
        <w:topLinePunct w:val="0"/>
        <w:autoSpaceDE/>
        <w:autoSpaceDN/>
        <w:bidi w:val="0"/>
        <w:adjustRightInd w:val="0"/>
        <w:snapToGrid w:val="0"/>
        <w:spacing w:line="380" w:lineRule="exact"/>
        <w:ind w:firstLine="413" w:firstLineChars="196"/>
        <w:textAlignment w:val="auto"/>
        <w:rPr>
          <w:rFonts w:hint="eastAsia" w:ascii="宋体" w:hAnsi="宋体" w:cs="宋体"/>
          <w:b/>
          <w:szCs w:val="21"/>
        </w:rPr>
      </w:pPr>
      <w:r>
        <w:rPr>
          <w:rFonts w:hint="eastAsia" w:ascii="宋体" w:hAnsi="宋体" w:cs="宋体"/>
          <w:b/>
          <w:szCs w:val="21"/>
        </w:rPr>
        <w:t>2. 定义</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2.1“采购人”是指：</w:t>
      </w:r>
      <w:r>
        <w:rPr>
          <w:rFonts w:hint="eastAsia" w:ascii="宋体" w:hAnsi="宋体" w:cs="宋体"/>
        </w:rPr>
        <w:t>北海职业学院</w:t>
      </w:r>
      <w:r>
        <w:rPr>
          <w:rFonts w:hint="eastAsia" w:ascii="宋体" w:hAnsi="宋体" w:cs="宋体"/>
          <w:szCs w:val="21"/>
        </w:rPr>
        <w:t>。</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2.2“采购代理机构”是指：</w:t>
      </w:r>
      <w:r>
        <w:rPr>
          <w:rFonts w:hint="eastAsia" w:ascii="宋体" w:hAnsi="宋体" w:cs="宋体"/>
          <w:spacing w:val="-4"/>
          <w:szCs w:val="21"/>
        </w:rPr>
        <w:t>广西新宇建设项目管理有限公司</w:t>
      </w:r>
      <w:r>
        <w:rPr>
          <w:rFonts w:hint="eastAsia" w:ascii="宋体" w:hAnsi="宋体" w:cs="宋体"/>
        </w:rPr>
        <w:t>。</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2.3“谈判供应商”是指响应本文件要求，参加谈判的法人或者其他组织和自然人。如果该谈判供应商在本次谈判中成交,即成为“成交供应商”。</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2.4“货物”是指各种形态和种类的物品，包括原材料、燃料、设备、产品、软件等。</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2.5“服务”是指除货物和工程以外的其他政府采购对象。</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2.6“竞争性谈判响应文件”是指：谈判供应商根据本文件要求，编制包含报价、技术和服务等所有内容的文件（以下简称：响应文件）。</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2.7“谈判保证金”根据《中华人民共和国政府采购法》第三条，《中华人民共和国政府采购法实施条例》第三十三条，财政部</w:t>
      </w:r>
      <w:r>
        <w:rPr>
          <w:rFonts w:hint="eastAsia" w:ascii="宋体" w:hAnsi="宋体" w:cs="宋体"/>
        </w:rPr>
        <w:t>《政府采购非招标采购方式管理办法》</w:t>
      </w:r>
      <w:r>
        <w:rPr>
          <w:rFonts w:hint="eastAsia" w:ascii="宋体" w:hAnsi="宋体" w:cs="宋体"/>
          <w:szCs w:val="21"/>
        </w:rPr>
        <w:t>第十四条、第二十条、第五十四条的规定，谈判保证金，是政府采购竞争性谈判采购项目的谈判供应商，依照竞争性谈判文件的规定，向采购人或采购代理机构交纳一笔款项，以这笔款项担保竞争性谈判供应商在谈判活动中不发生违法违规、违反程序或者不诚信的行为，如果发生了违法违规、违反程序或者不诚信的行为，则无权要求退还谈判保证金，如果没有发生违法违规、违反程序或者不诚信行为，采购人或采购代理机构应当退还谈判保证金。</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2.8“▲”系指实质性要求条款。</w:t>
      </w:r>
    </w:p>
    <w:p>
      <w:pPr>
        <w:keepNext/>
        <w:keepLines w:val="0"/>
        <w:pageBreakBefore w:val="0"/>
        <w:widowControl w:val="0"/>
        <w:kinsoku/>
        <w:wordWrap/>
        <w:overflowPunct/>
        <w:topLinePunct w:val="0"/>
        <w:autoSpaceDE/>
        <w:autoSpaceDN/>
        <w:bidi w:val="0"/>
        <w:adjustRightInd w:val="0"/>
        <w:snapToGrid w:val="0"/>
        <w:spacing w:line="380" w:lineRule="exact"/>
        <w:ind w:firstLine="413" w:firstLineChars="196"/>
        <w:textAlignment w:val="auto"/>
        <w:rPr>
          <w:rFonts w:hint="eastAsia" w:ascii="宋体" w:hAnsi="宋体" w:cs="宋体"/>
          <w:b/>
          <w:szCs w:val="21"/>
        </w:rPr>
      </w:pPr>
      <w:r>
        <w:rPr>
          <w:rFonts w:hint="eastAsia" w:ascii="宋体" w:hAnsi="宋体" w:cs="宋体"/>
          <w:b/>
          <w:szCs w:val="21"/>
        </w:rPr>
        <w:t>3. 谈判供应商的基本条件</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3.1谈判供应商资格：具备《中华人民共和国政府采购法》第二十二条</w:t>
      </w:r>
      <w:r>
        <w:rPr>
          <w:rFonts w:hint="eastAsia" w:ascii="宋体" w:hAnsi="宋体" w:cs="宋体"/>
          <w:kern w:val="0"/>
          <w:szCs w:val="21"/>
        </w:rPr>
        <w:t>【（一）具有独立承当民事责任的能力；（二）具有良好的商业信誉和健全的财务制度；（三）具有履行合同所必需的设备和专业技术能力；（四）有依法缴纳税收和社会保障资金的良好记录；（五）参加政府采购活动前三年内，在经营活动中没有重大的违法记录；（六）法律、行政法规规定的其他条件。】</w:t>
      </w:r>
      <w:r>
        <w:rPr>
          <w:rFonts w:hint="eastAsia" w:ascii="宋体" w:hAnsi="宋体" w:cs="宋体"/>
          <w:szCs w:val="21"/>
        </w:rPr>
        <w:t>所规定的条件，且承诺履行谈判文件的各项规定</w:t>
      </w:r>
      <w:r>
        <w:rPr>
          <w:rFonts w:hint="eastAsia" w:ascii="宋体" w:hAnsi="宋体" w:cs="宋体"/>
          <w:kern w:val="0"/>
          <w:szCs w:val="21"/>
        </w:rPr>
        <w:t>的供应商</w:t>
      </w:r>
      <w:r>
        <w:rPr>
          <w:rFonts w:hint="eastAsia" w:ascii="宋体" w:hAnsi="宋体" w:cs="宋体"/>
        </w:rPr>
        <w:t>。</w:t>
      </w:r>
    </w:p>
    <w:p>
      <w:pPr>
        <w:keepNext/>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rPr>
      </w:pPr>
      <w:r>
        <w:rPr>
          <w:rFonts w:hint="eastAsia" w:ascii="宋体" w:hAnsi="宋体" w:cs="宋体"/>
          <w:szCs w:val="21"/>
        </w:rPr>
        <w:t>3.2生产或经营本次采购内容。</w:t>
      </w:r>
    </w:p>
    <w:p>
      <w:pPr>
        <w:keepNext/>
        <w:keepLines w:val="0"/>
        <w:pageBreakBefore w:val="0"/>
        <w:widowControl w:val="0"/>
        <w:kinsoku/>
        <w:wordWrap/>
        <w:overflowPunct/>
        <w:topLinePunct w:val="0"/>
        <w:autoSpaceDE/>
        <w:autoSpaceDN/>
        <w:bidi w:val="0"/>
        <w:spacing w:line="380" w:lineRule="exact"/>
        <w:ind w:left="210" w:leftChars="100" w:firstLine="210" w:firstLineChars="100"/>
        <w:textAlignment w:val="auto"/>
        <w:rPr>
          <w:rFonts w:hint="eastAsia" w:ascii="宋体" w:hAnsi="宋体" w:cs="宋体"/>
          <w:szCs w:val="21"/>
          <w:highlight w:val="none"/>
        </w:rPr>
      </w:pPr>
      <w:r>
        <w:rPr>
          <w:rFonts w:hint="eastAsia" w:ascii="宋体" w:hAnsi="宋体" w:cs="宋体"/>
          <w:szCs w:val="21"/>
        </w:rPr>
        <w:t>3.3参加政府采购活动前三年内，在经营活动中</w:t>
      </w:r>
      <w:r>
        <w:rPr>
          <w:rFonts w:hint="eastAsia" w:ascii="宋体" w:hAnsi="宋体" w:cs="宋体"/>
          <w:szCs w:val="21"/>
          <w:highlight w:val="none"/>
        </w:rPr>
        <w:t>没有重大违法记录和不良信用记录【被列入失信被执行人、政府采购不良行为记录、重大税收违法案件当事人、被各级政府行政部门列入黑名单的供应商，将被拒绝其参与本次政府采购活动。】</w:t>
      </w:r>
    </w:p>
    <w:p>
      <w:pPr>
        <w:keepNext/>
        <w:keepLines w:val="0"/>
        <w:pageBreakBefore w:val="0"/>
        <w:kinsoku/>
        <w:wordWrap/>
        <w:overflowPunct/>
        <w:topLinePunct w:val="0"/>
        <w:autoSpaceDE/>
        <w:autoSpaceDN/>
        <w:bidi w:val="0"/>
        <w:spacing w:line="380" w:lineRule="exact"/>
        <w:ind w:firstLine="420" w:firstLineChars="200"/>
        <w:textAlignment w:val="auto"/>
        <w:rPr>
          <w:rFonts w:hint="eastAsia"/>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本项目不接受联合体参加谈判采购。</w:t>
      </w:r>
    </w:p>
    <w:p>
      <w:pPr>
        <w:keepNext/>
        <w:keepLines w:val="0"/>
        <w:pageBreakBefore w:val="0"/>
        <w:widowControl w:val="0"/>
        <w:kinsoku/>
        <w:wordWrap/>
        <w:overflowPunct/>
        <w:topLinePunct w:val="0"/>
        <w:autoSpaceDE/>
        <w:autoSpaceDN/>
        <w:bidi w:val="0"/>
        <w:spacing w:line="380" w:lineRule="exact"/>
        <w:ind w:left="210" w:leftChars="100" w:firstLine="211" w:firstLineChars="100"/>
        <w:textAlignment w:val="auto"/>
        <w:rPr>
          <w:rFonts w:hint="eastAsia" w:ascii="宋体" w:hAnsi="宋体" w:cs="宋体"/>
          <w:b/>
          <w:bCs/>
          <w:szCs w:val="21"/>
        </w:rPr>
      </w:pPr>
      <w:r>
        <w:rPr>
          <w:rFonts w:hint="eastAsia" w:ascii="宋体" w:hAnsi="宋体" w:cs="宋体"/>
          <w:b/>
          <w:bCs/>
          <w:szCs w:val="21"/>
        </w:rPr>
        <w:t>注：特别说明：</w:t>
      </w:r>
    </w:p>
    <w:p>
      <w:pPr>
        <w:keepNext/>
        <w:keepLines w:val="0"/>
        <w:pageBreakBefore w:val="0"/>
        <w:widowControl w:val="0"/>
        <w:kinsoku/>
        <w:wordWrap/>
        <w:overflowPunct/>
        <w:topLinePunct w:val="0"/>
        <w:autoSpaceDE/>
        <w:autoSpaceDN/>
        <w:bidi w:val="0"/>
        <w:spacing w:line="380" w:lineRule="exact"/>
        <w:ind w:left="210" w:leftChars="100" w:firstLine="210" w:firstLineChars="100"/>
        <w:textAlignment w:val="auto"/>
        <w:rPr>
          <w:rFonts w:hint="eastAsia" w:ascii="宋体" w:hAnsi="宋体" w:cs="宋体"/>
          <w:szCs w:val="21"/>
        </w:rPr>
      </w:pPr>
      <w:r>
        <w:rPr>
          <w:rFonts w:hint="eastAsia" w:ascii="宋体" w:hAnsi="宋体" w:cs="宋体"/>
          <w:szCs w:val="21"/>
        </w:rPr>
        <w:t>▲1. 多家谈判供应商参加谈判时：</w:t>
      </w:r>
    </w:p>
    <w:p>
      <w:pPr>
        <w:keepNext/>
        <w:keepLines w:val="0"/>
        <w:pageBreakBefore w:val="0"/>
        <w:widowControl w:val="0"/>
        <w:kinsoku/>
        <w:wordWrap/>
        <w:overflowPunct/>
        <w:topLinePunct w:val="0"/>
        <w:autoSpaceDE/>
        <w:autoSpaceDN/>
        <w:bidi w:val="0"/>
        <w:spacing w:line="380" w:lineRule="exact"/>
        <w:ind w:left="210" w:leftChars="100" w:firstLine="210" w:firstLineChars="100"/>
        <w:textAlignment w:val="auto"/>
        <w:rPr>
          <w:rFonts w:hint="eastAsia" w:hAnsi="宋体" w:cs="宋体"/>
        </w:rPr>
      </w:pPr>
      <w:r>
        <w:rPr>
          <w:rFonts w:hint="eastAsia" w:ascii="宋体" w:hAnsi="宋体" w:cs="宋体"/>
          <w:szCs w:val="21"/>
        </w:rPr>
        <w:t>（1）单一产品采购项目中，提供相同品牌产品的不同谈判供应商参加同一合同项下谈判采购的，以其中通过资格审查、符合性审查且报价最低的参加谈判，报价相</w:t>
      </w:r>
      <w:r>
        <w:rPr>
          <w:rFonts w:hint="eastAsia" w:hAnsi="宋体" w:cs="宋体"/>
        </w:rPr>
        <w:t>同的，由采购人或者采购人委托谈判小组按照谈判文件规定的方式确定一个参加评标的谈判供应商，谈判文件未规定的采取随机抽取方式确定，其他参加谈判采购无效。</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（2）非单一产品采购项目中，多家谈判供应商提供的核心产品品牌相同的，视为提供相同品牌产品。</w:t>
      </w:r>
    </w:p>
    <w:p>
      <w:pPr>
        <w:keepNext/>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（3）多家代理商或经销商参加谈判，如其中两家或两家以上谈判供应商存在分级代理或代销关系，且提供的是其所代理品牌产品的，谈判时，谈判小组按上述规定确定其中一家为有效谈判供应商。</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▲2.关联谈判供应商不得参加同一合同项下政府采购活动，否则其响应文件将被视为无效：</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（1）单位负责人为同一人或者存在直接控股、管理关系的不同供应商，不得参加同一合同项下的政府采购活动；</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（2）生产厂商授权给供应商后自己不得参加同一合同项下的政府采购活动；生产厂商对同一品牌同一型号的货物，仅能委托一个代理商参加谈判。</w:t>
      </w:r>
    </w:p>
    <w:p>
      <w:pPr>
        <w:pStyle w:val="28"/>
        <w:keepNext/>
        <w:keepLines w:val="0"/>
        <w:pageBreakBefore w:val="0"/>
        <w:kinsoku/>
        <w:wordWrap/>
        <w:overflowPunct/>
        <w:topLinePunct w:val="0"/>
        <w:autoSpaceDE/>
        <w:autoSpaceDN/>
        <w:bidi w:val="0"/>
        <w:adjustRightInd w:val="0"/>
        <w:snapToGrid w:val="0"/>
        <w:spacing w:line="380" w:lineRule="exact"/>
        <w:ind w:left="2" w:leftChars="1" w:firstLine="420" w:firstLineChars="200"/>
        <w:textAlignment w:val="auto"/>
        <w:rPr>
          <w:rFonts w:hint="eastAsia" w:hAnsi="宋体" w:cs="宋体"/>
          <w:color w:val="FF0000"/>
        </w:rPr>
      </w:pPr>
      <w:r>
        <w:rPr>
          <w:rFonts w:hint="eastAsia" w:hAnsi="宋体" w:cs="宋体"/>
        </w:rPr>
        <w:t>▲3.谈判供应商所使用的资格、信誉、荣誉、业绩与企业认证必须为本法人所拥有。</w:t>
      </w:r>
    </w:p>
    <w:p>
      <w:pPr>
        <w:pStyle w:val="28"/>
        <w:keepNext/>
        <w:keepLines w:val="0"/>
        <w:pageBreakBefore w:val="0"/>
        <w:kinsoku/>
        <w:wordWrap/>
        <w:overflowPunct/>
        <w:topLinePunct w:val="0"/>
        <w:autoSpaceDE/>
        <w:autoSpaceDN/>
        <w:bidi w:val="0"/>
        <w:adjustRightInd w:val="0"/>
        <w:snapToGrid w:val="0"/>
        <w:spacing w:line="380" w:lineRule="exact"/>
        <w:ind w:left="2" w:leftChars="1" w:firstLine="420" w:firstLineChars="200"/>
        <w:textAlignment w:val="auto"/>
        <w:rPr>
          <w:rFonts w:hint="eastAsia" w:hAnsi="宋体" w:cs="宋体"/>
        </w:rPr>
      </w:pPr>
      <w:r>
        <w:rPr>
          <w:rFonts w:hint="eastAsia" w:hAnsi="宋体" w:cs="宋体"/>
        </w:rPr>
        <w:t>▲4.谈判供应商应仔细阅读谈判文件的所有内容，按照谈判文件的要求提交谈判响应文件，并对所提供的全部资料的真实性承担法律责任。</w:t>
      </w:r>
    </w:p>
    <w:p>
      <w:pPr>
        <w:pStyle w:val="28"/>
        <w:keepNext/>
        <w:keepLines w:val="0"/>
        <w:pageBreakBefore w:val="0"/>
        <w:kinsoku/>
        <w:wordWrap/>
        <w:overflowPunct/>
        <w:topLinePunct w:val="0"/>
        <w:autoSpaceDE/>
        <w:autoSpaceDN/>
        <w:bidi w:val="0"/>
        <w:adjustRightInd w:val="0"/>
        <w:snapToGrid w:val="0"/>
        <w:spacing w:line="380" w:lineRule="exact"/>
        <w:ind w:left="2" w:leftChars="1" w:firstLine="420" w:firstLineChars="200"/>
        <w:textAlignment w:val="auto"/>
        <w:rPr>
          <w:rFonts w:hint="eastAsia" w:hAnsi="宋体" w:cs="宋体"/>
        </w:rPr>
      </w:pPr>
      <w:r>
        <w:rPr>
          <w:rFonts w:hint="eastAsia" w:hAnsi="宋体" w:cs="宋体"/>
        </w:rPr>
        <w:t>▲5.谈判供应商在竞争性谈判采购活动中提供任何虚假材料,其谈判或成交无效，并报监管部门查处。</w:t>
      </w:r>
    </w:p>
    <w:p>
      <w:pPr>
        <w:pStyle w:val="28"/>
        <w:keepNext/>
        <w:keepLines w:val="0"/>
        <w:pageBreakBefore w:val="0"/>
        <w:kinsoku/>
        <w:wordWrap/>
        <w:overflowPunct/>
        <w:topLinePunct w:val="0"/>
        <w:autoSpaceDE/>
        <w:autoSpaceDN/>
        <w:bidi w:val="0"/>
        <w:adjustRightInd w:val="0"/>
        <w:snapToGrid w:val="0"/>
        <w:spacing w:line="380" w:lineRule="exact"/>
        <w:ind w:left="2" w:leftChars="1" w:firstLine="420" w:firstLineChars="200"/>
        <w:textAlignment w:val="auto"/>
        <w:rPr>
          <w:rFonts w:hint="eastAsia" w:hAnsi="宋体" w:cs="宋体"/>
          <w:lang w:val="en-US" w:eastAsia="zh-CN"/>
        </w:rPr>
      </w:pPr>
      <w:r>
        <w:rPr>
          <w:rFonts w:hint="eastAsia" w:hAnsi="宋体" w:cs="宋体"/>
        </w:rPr>
        <w:t>▲</w:t>
      </w:r>
      <w:r>
        <w:rPr>
          <w:rFonts w:hint="eastAsia" w:hAnsi="宋体" w:cs="宋体"/>
          <w:lang w:val="en-US" w:eastAsia="zh-CN"/>
        </w:rPr>
        <w:t>6.本项目政府采购合同不允许转包、分包。</w:t>
      </w:r>
    </w:p>
    <w:p>
      <w:pPr>
        <w:pStyle w:val="28"/>
        <w:keepNext/>
        <w:keepLines w:val="0"/>
        <w:pageBreakBefore w:val="0"/>
        <w:kinsoku/>
        <w:wordWrap/>
        <w:overflowPunct/>
        <w:topLinePunct w:val="0"/>
        <w:autoSpaceDE/>
        <w:autoSpaceDN/>
        <w:bidi w:val="0"/>
        <w:adjustRightInd w:val="0"/>
        <w:snapToGrid w:val="0"/>
        <w:spacing w:line="380" w:lineRule="exact"/>
        <w:ind w:left="2" w:leftChars="1" w:firstLine="420" w:firstLineChars="200"/>
        <w:textAlignment w:val="auto"/>
        <w:rPr>
          <w:rFonts w:hint="eastAsia" w:hAnsi="宋体" w:cs="宋体"/>
          <w:color w:val="auto"/>
        </w:rPr>
      </w:pPr>
      <w:r>
        <w:rPr>
          <w:rFonts w:hint="eastAsia" w:hAnsi="宋体" w:cs="宋体"/>
          <w:bCs/>
          <w:color w:val="auto"/>
        </w:rPr>
        <w:t>▲</w:t>
      </w:r>
      <w:r>
        <w:rPr>
          <w:rFonts w:hint="eastAsia" w:hAnsi="宋体" w:cs="宋体"/>
          <w:bCs/>
          <w:color w:val="auto"/>
          <w:lang w:val="en-US" w:eastAsia="zh-CN"/>
        </w:rPr>
        <w:t>7.谈判供应商</w:t>
      </w:r>
      <w:r>
        <w:rPr>
          <w:rFonts w:hint="eastAsia" w:hAnsi="宋体" w:cs="宋体"/>
          <w:bCs/>
          <w:color w:val="auto"/>
        </w:rPr>
        <w:t>所投产品制造商若有受过相关财政部门处罚且期限未届满的，将取消谈判供应商的</w:t>
      </w:r>
      <w:r>
        <w:rPr>
          <w:rFonts w:hint="eastAsia" w:hAnsi="宋体" w:cs="宋体"/>
          <w:bCs/>
          <w:color w:val="auto"/>
          <w:lang w:eastAsia="zh-CN"/>
        </w:rPr>
        <w:t>谈判</w:t>
      </w:r>
      <w:r>
        <w:rPr>
          <w:rFonts w:hint="eastAsia" w:hAnsi="宋体" w:cs="宋体"/>
          <w:bCs/>
          <w:color w:val="auto"/>
        </w:rPr>
        <w:t>资格。</w:t>
      </w:r>
      <w:r>
        <w:rPr>
          <w:rFonts w:hint="default" w:hAnsi="宋体" w:cs="宋体"/>
          <w:color w:val="auto"/>
          <w:lang w:val="en-US" w:eastAsia="zh-CN"/>
        </w:rPr>
        <w:t xml:space="preserve"> </w:t>
      </w:r>
    </w:p>
    <w:p>
      <w:pPr>
        <w:keepNext/>
        <w:keepLines w:val="0"/>
        <w:pageBreakBefore w:val="0"/>
        <w:kinsoku/>
        <w:wordWrap/>
        <w:overflowPunct/>
        <w:topLinePunct w:val="0"/>
        <w:autoSpaceDE/>
        <w:autoSpaceDN/>
        <w:bidi w:val="0"/>
        <w:adjustRightInd w:val="0"/>
        <w:snapToGrid w:val="0"/>
        <w:spacing w:line="380" w:lineRule="exact"/>
        <w:ind w:firstLine="413" w:firstLineChars="196"/>
        <w:textAlignment w:val="auto"/>
        <w:rPr>
          <w:rFonts w:hint="eastAsia" w:ascii="宋体" w:hAnsi="宋体" w:cs="宋体"/>
          <w:b/>
          <w:szCs w:val="21"/>
        </w:rPr>
      </w:pPr>
      <w:r>
        <w:rPr>
          <w:rFonts w:hint="eastAsia" w:ascii="宋体" w:hAnsi="宋体" w:cs="宋体"/>
          <w:b/>
          <w:szCs w:val="21"/>
        </w:rPr>
        <w:t>4. 谈判费用、竞争性谈判公告、竞争性谈判文件的澄清和修改</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4.1谈判费用：谈判供应商应自行承担所有与编写和提交响应文件有关的费用，不论谈判结果如何，采购人和</w:t>
      </w:r>
      <w:r>
        <w:rPr>
          <w:rFonts w:hint="eastAsia" w:ascii="宋体" w:hAnsi="宋体" w:cs="宋体"/>
        </w:rPr>
        <w:t>采购代理机构</w:t>
      </w:r>
      <w:r>
        <w:rPr>
          <w:rFonts w:hint="eastAsia" w:ascii="宋体" w:hAnsi="宋体" w:cs="宋体"/>
          <w:szCs w:val="21"/>
        </w:rPr>
        <w:t>在任何情况下无义务和责任承担此类费用。</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4.2竞争性谈判公告：见</w:t>
      </w:r>
      <w:r>
        <w:rPr>
          <w:rFonts w:hint="eastAsia" w:hAnsi="宋体" w:cs="宋体"/>
          <w:kern w:val="0"/>
        </w:rPr>
        <w:t>2020年</w:t>
      </w:r>
      <w:r>
        <w:rPr>
          <w:rFonts w:hint="eastAsia" w:hAnsi="宋体" w:cs="宋体"/>
          <w:kern w:val="0"/>
          <w:lang w:val="en-US" w:eastAsia="zh-CN"/>
        </w:rPr>
        <w:t>11</w:t>
      </w:r>
      <w:r>
        <w:rPr>
          <w:rFonts w:hint="eastAsia" w:hAnsi="宋体" w:cs="宋体"/>
          <w:kern w:val="0"/>
        </w:rPr>
        <w:t>月</w:t>
      </w:r>
      <w:r>
        <w:rPr>
          <w:rFonts w:hint="eastAsia" w:hAnsi="宋体" w:cs="宋体"/>
          <w:kern w:val="0"/>
          <w:lang w:val="en-US" w:eastAsia="zh-CN"/>
        </w:rPr>
        <w:t>13</w:t>
      </w:r>
      <w:r>
        <w:rPr>
          <w:rFonts w:hint="eastAsia" w:hAnsi="宋体" w:cs="宋体"/>
          <w:kern w:val="0"/>
        </w:rPr>
        <w:t>日</w:t>
      </w:r>
      <w:r>
        <w:rPr>
          <w:rFonts w:hint="eastAsia" w:hAnsi="宋体" w:cs="宋体"/>
        </w:rPr>
        <w:t>中国政府采购网(www.ccgp.gov.cn)、广西政府采购网（http://zfcg.gxzf.gov.cn/）。</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rPr>
      </w:pPr>
      <w:r>
        <w:rPr>
          <w:rFonts w:hint="eastAsia" w:ascii="宋体" w:hAnsi="宋体" w:cs="宋体"/>
          <w:b/>
          <w:bCs/>
        </w:rPr>
        <w:t>4.3</w:t>
      </w:r>
      <w:r>
        <w:rPr>
          <w:rFonts w:hint="eastAsia" w:ascii="宋体" w:hAnsi="宋体" w:cs="宋体"/>
        </w:rPr>
        <w:t>竞争性谈判文件的澄清和修改：</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szCs w:val="24"/>
        </w:rPr>
      </w:pPr>
      <w:r>
        <w:rPr>
          <w:rFonts w:hint="eastAsia" w:hAnsi="宋体" w:cs="宋体"/>
          <w:szCs w:val="24"/>
        </w:rPr>
        <w:t>4.3.1谈判供应商应认真审核《采购需求》中的技术参数、配置及要求，如发现表中技术参数、配置有误或要求不合理的，谈判供应商必须在规定的时间前要求澄清，否则，由此产生的后果由谈判供应商负责。</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szCs w:val="24"/>
        </w:rPr>
      </w:pPr>
      <w:r>
        <w:rPr>
          <w:rFonts w:hint="eastAsia" w:hAnsi="宋体" w:cs="宋体"/>
          <w:szCs w:val="24"/>
        </w:rPr>
        <w:t>4.3.2任何要求澄清竞争性谈判文件的谈判供应商，均应在响应文件递交截止日期二日前的正常工作时间以传真等书面形式通知采购代理机构，同时认定其他澄清方式为无效。采购代理机构将以书面形式予以答复。</w:t>
      </w:r>
    </w:p>
    <w:p>
      <w:pPr>
        <w:keepNext/>
        <w:keepLines w:val="0"/>
        <w:pageBreakBefore w:val="0"/>
        <w:kinsoku/>
        <w:wordWrap/>
        <w:overflowPunct/>
        <w:topLinePunct w:val="0"/>
        <w:autoSpaceDE/>
        <w:autoSpaceDN/>
        <w:bidi w:val="0"/>
        <w:adjustRightInd w:val="0"/>
        <w:snapToGrid w:val="0"/>
        <w:spacing w:line="380" w:lineRule="exact"/>
        <w:ind w:firstLine="420"/>
        <w:jc w:val="left"/>
        <w:textAlignment w:val="auto"/>
        <w:rPr>
          <w:rFonts w:hint="eastAsia" w:ascii="宋体" w:hAnsi="宋体" w:cs="宋体"/>
        </w:rPr>
      </w:pPr>
      <w:r>
        <w:rPr>
          <w:rFonts w:hint="eastAsia" w:ascii="宋体" w:hAnsi="宋体" w:cs="宋体"/>
        </w:rPr>
        <w:t>4.3.3采购代理机构对已发出的谈判文件进行必要澄清或者修改的，在竞争性谈判文件要求提交响应文件截止时间三个工作日前（不足三个工作日顺延），在中国政府采购网(www.ccgp.gov.cn)、广西政府采购网（http://zfcg.gxzf.gov.cn/）上发布更正公告，并以书面形式通知所有竞争性谈判文件收受人。该澄清或者修改的内容为竞争性谈判文件的组成部分。</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rPr>
      </w:pPr>
      <w:r>
        <w:rPr>
          <w:rFonts w:hint="eastAsia" w:ascii="宋体" w:hAnsi="宋体" w:cs="宋体"/>
        </w:rPr>
        <w:t>4.3.4采购代理机构可视具体情况，延长响应文件递交截止时间和谈判时间。采购代理机构至少在竞争性谈判文件要求提交响应文件的截止时间一日前，将变更时间书面通知所有竞争性谈判文件收受人，并在中国政府采购网(www.ccgp.gov.cn)、广西政府采购网（http://zfcg.gxzf.gov.cn/）上发布变更公告。</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rPr>
      </w:pPr>
      <w:r>
        <w:rPr>
          <w:rFonts w:hint="eastAsia" w:ascii="宋体" w:hAnsi="宋体" w:cs="宋体"/>
          <w:b/>
        </w:rPr>
        <w:t>4.3.5</w:t>
      </w:r>
      <w:r>
        <w:rPr>
          <w:rFonts w:hint="eastAsia" w:ascii="宋体" w:hAnsi="宋体" w:cs="宋体"/>
          <w:szCs w:val="21"/>
        </w:rPr>
        <w:t>谈判供应商认为谈判文件、采购过程和成交结果使自己的合法权益受到损害的，可以在知道或者应知其权益受到损害之日（</w:t>
      </w:r>
      <w:r>
        <w:rPr>
          <w:rFonts w:hint="eastAsia" w:ascii="宋体" w:hAnsi="宋体" w:cs="宋体"/>
        </w:rPr>
        <w:t>对可以质疑的谈判文件提出质疑的，为收到谈判文件之日）</w:t>
      </w:r>
      <w:r>
        <w:rPr>
          <w:rFonts w:hint="eastAsia" w:ascii="宋体" w:hAnsi="宋体" w:cs="宋体"/>
          <w:szCs w:val="21"/>
        </w:rPr>
        <w:t>起7个工作日内以书面形式向采购人、采购代理机构一次性提出针对同一采购程序环节的质疑。</w:t>
      </w:r>
    </w:p>
    <w:p>
      <w:pPr>
        <w:keepNext/>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cs="宋体"/>
          <w:b/>
          <w:szCs w:val="21"/>
        </w:rPr>
      </w:pPr>
      <w:r>
        <w:rPr>
          <w:rFonts w:hint="eastAsia" w:ascii="宋体" w:hAnsi="宋体" w:cs="宋体"/>
          <w:b/>
          <w:szCs w:val="21"/>
        </w:rPr>
        <w:t>二.响应文件的编制</w:t>
      </w:r>
    </w:p>
    <w:p>
      <w:pPr>
        <w:keepNext/>
        <w:keepLines w:val="0"/>
        <w:pageBreakBefore w:val="0"/>
        <w:kinsoku/>
        <w:wordWrap/>
        <w:overflowPunct/>
        <w:topLinePunct w:val="0"/>
        <w:autoSpaceDE/>
        <w:autoSpaceDN/>
        <w:bidi w:val="0"/>
        <w:adjustRightInd w:val="0"/>
        <w:snapToGrid w:val="0"/>
        <w:spacing w:line="380" w:lineRule="exact"/>
        <w:ind w:firstLine="413" w:firstLineChars="196"/>
        <w:textAlignment w:val="auto"/>
        <w:rPr>
          <w:rFonts w:hint="eastAsia" w:ascii="宋体" w:hAnsi="宋体" w:cs="宋体"/>
          <w:b/>
          <w:szCs w:val="21"/>
        </w:rPr>
      </w:pPr>
      <w:r>
        <w:rPr>
          <w:rFonts w:hint="eastAsia" w:ascii="宋体" w:hAnsi="宋体" w:cs="宋体"/>
          <w:b/>
          <w:szCs w:val="21"/>
        </w:rPr>
        <w:t>5.响应文件编制基本要求</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5.1谈判供应商应当按照竞争性谈判文件的要求编制响应文件并装订和封装。</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5.2谈判供应商提交的响应文件以及谈判供应商与</w:t>
      </w:r>
      <w:r>
        <w:rPr>
          <w:rFonts w:hint="eastAsia" w:ascii="宋体" w:hAnsi="宋体" w:cs="宋体"/>
        </w:rPr>
        <w:t>采购代理机构</w:t>
      </w:r>
      <w:r>
        <w:rPr>
          <w:rFonts w:hint="eastAsia" w:ascii="宋体" w:hAnsi="宋体" w:cs="宋体"/>
          <w:szCs w:val="21"/>
        </w:rPr>
        <w:t>和采购人就有关谈判的所有来往函电均应使用中文。谈判供应商提交的支持文件和印刷的文献可以使用别的语言，但其相应内容必须附有中文翻译文本，在解释响应文件时以翻译文本为主。</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5.3谈判供应商应认真阅读、并充分理解本文件的全部内容（包括所有的</w:t>
      </w:r>
      <w:r>
        <w:rPr>
          <w:rFonts w:hint="eastAsia" w:ascii="宋体" w:hAnsi="宋体" w:cs="宋体"/>
        </w:rPr>
        <w:t>澄清、</w:t>
      </w:r>
      <w:r>
        <w:rPr>
          <w:rFonts w:hint="eastAsia" w:ascii="宋体" w:hAnsi="宋体" w:cs="宋体"/>
          <w:szCs w:val="21"/>
        </w:rPr>
        <w:t>更改、补充、答疑等内容），承诺并履行本文件中各项条款规定及要求。</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5.4响应文件必须按本文件的全部内容，包括所有的</w:t>
      </w:r>
      <w:r>
        <w:rPr>
          <w:rFonts w:hint="eastAsia" w:ascii="宋体" w:hAnsi="宋体" w:cs="宋体"/>
        </w:rPr>
        <w:t>澄清、</w:t>
      </w:r>
      <w:r>
        <w:rPr>
          <w:rFonts w:hint="eastAsia" w:ascii="宋体" w:hAnsi="宋体" w:cs="宋体"/>
          <w:szCs w:val="21"/>
        </w:rPr>
        <w:t>更改、补充、答疑等内容及附件进行编制。</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5.5如因谈判供应商只填写和提供了本文件要求的部分内容和附件，而给谈判小组评审造成困难，其可能导致的结果和责任由谈判供应商自行承担。</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5.6响应文件的组成：响应文件应分为价格文件和商务技术文件两个部分组成（要求装订成一本）。</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szCs w:val="21"/>
        </w:rPr>
      </w:pPr>
      <w:r>
        <w:rPr>
          <w:rFonts w:hint="eastAsia" w:ascii="宋体" w:hAnsi="宋体" w:cs="宋体"/>
          <w:b/>
          <w:szCs w:val="21"/>
        </w:rPr>
        <w:t>5.6.1价格文件</w:t>
      </w:r>
    </w:p>
    <w:p>
      <w:pPr>
        <w:keepNext/>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hint="eastAsia" w:ascii="宋体" w:hAnsi="宋体" w:cs="宋体"/>
          <w:szCs w:val="21"/>
        </w:rPr>
      </w:pPr>
      <w:r>
        <w:rPr>
          <w:rFonts w:hint="eastAsia" w:ascii="宋体" w:hAnsi="宋体" w:cs="宋体"/>
          <w:szCs w:val="21"/>
        </w:rPr>
        <w:t>▲（1）报价表（见第四章 附件2）</w:t>
      </w:r>
      <w:r>
        <w:rPr>
          <w:rFonts w:hint="eastAsia" w:ascii="宋体" w:hAnsi="宋体" w:cs="宋体"/>
          <w:b/>
          <w:szCs w:val="21"/>
        </w:rPr>
        <w:t>（必须提供）；</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szCs w:val="21"/>
        </w:rPr>
      </w:pPr>
      <w:r>
        <w:rPr>
          <w:rFonts w:hint="eastAsia" w:ascii="宋体" w:hAnsi="宋体" w:cs="宋体"/>
          <w:b/>
          <w:szCs w:val="21"/>
        </w:rPr>
        <w:t>5.6.2 商务技术文件</w:t>
      </w:r>
      <w:r>
        <w:rPr>
          <w:rFonts w:hint="eastAsia" w:ascii="宋体" w:hAnsi="宋体" w:cs="宋体"/>
          <w:szCs w:val="21"/>
        </w:rPr>
        <w:t xml:space="preserve">（应该有的必须提供,如未提供,谈判小组有权拒绝其响应文件） </w:t>
      </w:r>
    </w:p>
    <w:p>
      <w:pPr>
        <w:keepNext/>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hint="eastAsia" w:ascii="宋体" w:hAnsi="宋体" w:cs="宋体"/>
          <w:szCs w:val="21"/>
        </w:rPr>
      </w:pPr>
      <w:r>
        <w:rPr>
          <w:rFonts w:hint="eastAsia" w:ascii="宋体" w:hAnsi="宋体" w:cs="宋体"/>
          <w:szCs w:val="21"/>
        </w:rPr>
        <w:t>▲（1）谈判书（见第四章 附件1）</w:t>
      </w:r>
      <w:r>
        <w:rPr>
          <w:rFonts w:hint="eastAsia" w:ascii="宋体" w:hAnsi="宋体" w:cs="宋体"/>
          <w:b/>
          <w:szCs w:val="21"/>
        </w:rPr>
        <w:t>（必须提供）；</w:t>
      </w:r>
    </w:p>
    <w:p>
      <w:pPr>
        <w:keepNext/>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hint="eastAsia" w:ascii="宋体" w:hAnsi="宋体" w:cs="宋体"/>
          <w:szCs w:val="21"/>
        </w:rPr>
      </w:pPr>
      <w:r>
        <w:rPr>
          <w:rFonts w:hint="eastAsia" w:ascii="宋体" w:hAnsi="宋体" w:cs="宋体"/>
          <w:szCs w:val="21"/>
        </w:rPr>
        <w:t>▲（2）商务、技术响应、偏离情况说明表（见第四章 附件3）</w:t>
      </w:r>
      <w:r>
        <w:rPr>
          <w:rFonts w:hint="eastAsia" w:ascii="宋体" w:hAnsi="宋体" w:cs="宋体"/>
          <w:b/>
          <w:szCs w:val="21"/>
        </w:rPr>
        <w:t>（必须提供）；</w:t>
      </w:r>
    </w:p>
    <w:p>
      <w:pPr>
        <w:keepNext/>
        <w:keepLines w:val="0"/>
        <w:pageBreakBefore w:val="0"/>
        <w:kinsoku/>
        <w:wordWrap/>
        <w:overflowPunct/>
        <w:topLinePunct w:val="0"/>
        <w:autoSpaceDE/>
        <w:autoSpaceDN/>
        <w:bidi w:val="0"/>
        <w:adjustRightInd w:val="0"/>
        <w:snapToGrid w:val="0"/>
        <w:spacing w:line="380" w:lineRule="exact"/>
        <w:ind w:firstLine="210" w:firstLineChars="100"/>
        <w:jc w:val="left"/>
        <w:textAlignment w:val="auto"/>
        <w:rPr>
          <w:rFonts w:hint="eastAsia" w:ascii="宋体" w:hAnsi="宋体" w:cs="宋体"/>
          <w:color w:val="auto"/>
          <w:szCs w:val="21"/>
          <w:highlight w:val="none"/>
        </w:rPr>
      </w:pPr>
      <w:r>
        <w:rPr>
          <w:rFonts w:hint="eastAsia" w:ascii="宋体" w:hAnsi="宋体" w:cs="宋体"/>
          <w:szCs w:val="21"/>
        </w:rPr>
        <w:t>▲（3）法定代表人（负责人）授权委托书</w:t>
      </w:r>
      <w:r>
        <w:rPr>
          <w:rFonts w:hint="eastAsia" w:ascii="宋体" w:hAnsi="宋体" w:cs="宋体"/>
        </w:rPr>
        <w:t>和委托代理人身份证复印件；</w:t>
      </w:r>
      <w:r>
        <w:rPr>
          <w:rFonts w:hint="eastAsia" w:ascii="宋体" w:hAnsi="宋体" w:cs="宋体"/>
          <w:szCs w:val="21"/>
        </w:rPr>
        <w:t>（见第四章 附件4）</w:t>
      </w:r>
      <w:r>
        <w:rPr>
          <w:rFonts w:hint="eastAsia" w:ascii="宋体" w:hAnsi="宋体"/>
          <w:szCs w:val="21"/>
        </w:rPr>
        <w:t>（</w:t>
      </w:r>
      <w:r>
        <w:rPr>
          <w:rFonts w:hint="eastAsia" w:ascii="宋体" w:hAnsi="宋体"/>
          <w:b/>
          <w:szCs w:val="21"/>
        </w:rPr>
        <w:t>有委托时必须提供</w:t>
      </w:r>
      <w:r>
        <w:rPr>
          <w:rFonts w:hint="eastAsia" w:ascii="宋体" w:hAnsi="宋体"/>
          <w:b/>
          <w:szCs w:val="21"/>
          <w:highlight w:val="none"/>
        </w:rPr>
        <w:t>）</w:t>
      </w:r>
      <w:r>
        <w:rPr>
          <w:rFonts w:hint="eastAsia" w:ascii="宋体" w:hAnsi="宋体"/>
          <w:bCs/>
          <w:color w:val="auto"/>
          <w:szCs w:val="21"/>
          <w:highlight w:val="none"/>
        </w:rPr>
        <w:t>（</w:t>
      </w:r>
      <w:r>
        <w:rPr>
          <w:rFonts w:hint="eastAsia" w:ascii="宋体" w:hAnsi="宋体" w:cs="宋体"/>
          <w:bCs/>
          <w:color w:val="auto"/>
          <w:szCs w:val="21"/>
          <w:highlight w:val="none"/>
        </w:rPr>
        <w:t>见第四章 附件9</w:t>
      </w:r>
      <w:r>
        <w:rPr>
          <w:rFonts w:hint="eastAsia" w:ascii="宋体" w:hAnsi="宋体"/>
          <w:bCs/>
          <w:color w:val="auto"/>
          <w:szCs w:val="21"/>
          <w:highlight w:val="none"/>
        </w:rPr>
        <w:t>）</w:t>
      </w:r>
      <w:r>
        <w:rPr>
          <w:rFonts w:hint="eastAsia" w:ascii="宋体" w:hAnsi="宋体" w:cs="宋体"/>
          <w:color w:val="auto"/>
          <w:szCs w:val="21"/>
          <w:highlight w:val="none"/>
        </w:rPr>
        <w:t>；</w:t>
      </w:r>
    </w:p>
    <w:p>
      <w:pPr>
        <w:keepNext/>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▲（4）法定代表人（负责人）身份证复印件</w:t>
      </w:r>
      <w:r>
        <w:rPr>
          <w:rFonts w:hint="eastAsia" w:ascii="宋体" w:hAnsi="宋体" w:cs="宋体"/>
          <w:b/>
          <w:color w:val="auto"/>
          <w:szCs w:val="21"/>
        </w:rPr>
        <w:t>（</w:t>
      </w:r>
      <w:r>
        <w:rPr>
          <w:rFonts w:hint="eastAsia" w:ascii="宋体" w:hAnsi="宋体"/>
          <w:b/>
          <w:color w:val="auto"/>
          <w:szCs w:val="21"/>
        </w:rPr>
        <w:t>必须提供</w:t>
      </w:r>
      <w:r>
        <w:rPr>
          <w:rFonts w:hint="eastAsia" w:ascii="宋体" w:hAnsi="宋体" w:cs="宋体"/>
          <w:b/>
          <w:color w:val="auto"/>
          <w:szCs w:val="21"/>
        </w:rPr>
        <w:t>）</w:t>
      </w:r>
      <w:r>
        <w:rPr>
          <w:rFonts w:hint="eastAsia" w:ascii="宋体" w:hAnsi="宋体" w:cs="宋体"/>
          <w:bCs/>
          <w:color w:val="auto"/>
          <w:szCs w:val="21"/>
        </w:rPr>
        <w:t>；</w:t>
      </w:r>
    </w:p>
    <w:p>
      <w:pPr>
        <w:keepNext/>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rPr>
        <w:t>谈判供应商有效的“营业执照副本”等证明文件复印件；</w:t>
      </w:r>
      <w:r>
        <w:rPr>
          <w:rFonts w:hint="eastAsia" w:ascii="宋体" w:hAnsi="宋体" w:cs="宋体"/>
          <w:b/>
          <w:color w:val="auto"/>
        </w:rPr>
        <w:t>（</w:t>
      </w:r>
      <w:r>
        <w:rPr>
          <w:rFonts w:hint="eastAsia" w:ascii="宋体" w:hAnsi="宋体"/>
          <w:b/>
          <w:color w:val="auto"/>
          <w:szCs w:val="21"/>
        </w:rPr>
        <w:t>必须提供</w:t>
      </w:r>
      <w:r>
        <w:rPr>
          <w:rFonts w:hint="eastAsia" w:ascii="宋体" w:hAnsi="宋体" w:cs="宋体"/>
          <w:b/>
          <w:color w:val="auto"/>
        </w:rPr>
        <w:t>，原件备查）</w:t>
      </w:r>
    </w:p>
    <w:p>
      <w:pPr>
        <w:keepNext/>
        <w:keepLines w:val="0"/>
        <w:pageBreakBefore w:val="0"/>
        <w:kinsoku/>
        <w:wordWrap/>
        <w:overflowPunct/>
        <w:topLinePunct w:val="0"/>
        <w:autoSpaceDE/>
        <w:autoSpaceDN/>
        <w:bidi w:val="0"/>
        <w:snapToGrid w:val="0"/>
        <w:spacing w:line="380" w:lineRule="exact"/>
        <w:ind w:firstLine="210" w:firstLineChars="100"/>
        <w:jc w:val="left"/>
        <w:textAlignment w:val="auto"/>
        <w:rPr>
          <w:rFonts w:hint="eastAsia" w:ascii="宋体" w:hAnsi="宋体" w:cs="宋体"/>
          <w:color w:val="auto"/>
          <w:szCs w:val="21"/>
        </w:rPr>
      </w:pPr>
      <w:r>
        <w:rPr>
          <w:rFonts w:hint="eastAsia" w:ascii="宋体" w:hAnsi="宋体" w:cs="宋体"/>
          <w:color w:val="auto"/>
          <w:szCs w:val="21"/>
        </w:rPr>
        <w:t>▲（6）2019年财务状况报告或2019年年度财务报表或响应文件递交截止之日前半年内谈判供应商连续三个月的财务报表</w:t>
      </w:r>
      <w:r>
        <w:rPr>
          <w:rFonts w:hint="eastAsia" w:ascii="宋体" w:hAnsi="宋体" w:cs="宋体"/>
          <w:b/>
          <w:bCs/>
          <w:color w:val="auto"/>
          <w:szCs w:val="21"/>
        </w:rPr>
        <w:t>（</w:t>
      </w:r>
      <w:r>
        <w:rPr>
          <w:rFonts w:hint="eastAsia" w:ascii="宋体" w:hAnsi="宋体"/>
          <w:b/>
          <w:color w:val="auto"/>
          <w:szCs w:val="21"/>
        </w:rPr>
        <w:t>必须提供</w:t>
      </w:r>
      <w:r>
        <w:rPr>
          <w:rFonts w:hint="eastAsia" w:ascii="宋体" w:hAnsi="宋体" w:cs="宋体"/>
          <w:b/>
          <w:bCs/>
          <w:color w:val="auto"/>
          <w:szCs w:val="21"/>
        </w:rPr>
        <w:t>）</w:t>
      </w:r>
      <w:r>
        <w:rPr>
          <w:rFonts w:hint="eastAsia" w:ascii="宋体" w:hAnsi="宋体" w:cs="宋体"/>
          <w:color w:val="auto"/>
          <w:szCs w:val="21"/>
        </w:rPr>
        <w:t>；（新注册成立的企业按实提供）</w:t>
      </w:r>
    </w:p>
    <w:p>
      <w:pPr>
        <w:keepNext/>
        <w:keepLines w:val="0"/>
        <w:pageBreakBefore w:val="0"/>
        <w:kinsoku/>
        <w:wordWrap/>
        <w:overflowPunct/>
        <w:topLinePunct w:val="0"/>
        <w:autoSpaceDE/>
        <w:autoSpaceDN/>
        <w:bidi w:val="0"/>
        <w:snapToGrid w:val="0"/>
        <w:spacing w:line="380" w:lineRule="exact"/>
        <w:ind w:firstLine="210" w:firstLineChars="100"/>
        <w:jc w:val="left"/>
        <w:textAlignment w:val="auto"/>
        <w:rPr>
          <w:rFonts w:hint="eastAsia" w:ascii="宋体" w:hAnsi="宋体" w:cs="宋体"/>
          <w:bCs/>
          <w:color w:val="auto"/>
          <w:szCs w:val="21"/>
        </w:rPr>
      </w:pPr>
      <w:r>
        <w:rPr>
          <w:rFonts w:hint="eastAsia" w:ascii="宋体" w:hAnsi="宋体" w:cs="宋体"/>
          <w:color w:val="auto"/>
          <w:szCs w:val="21"/>
        </w:rPr>
        <w:t>▲（7）响应文件递交截止之日前半年内谈判供应商连续三个月依法缴纳税费或依法免缴税费的证明</w:t>
      </w:r>
      <w:r>
        <w:rPr>
          <w:rFonts w:hint="eastAsia" w:ascii="宋体" w:hAnsi="宋体" w:cs="宋体"/>
          <w:b/>
          <w:color w:val="auto"/>
          <w:szCs w:val="21"/>
        </w:rPr>
        <w:t>，</w:t>
      </w:r>
      <w:r>
        <w:rPr>
          <w:rFonts w:hint="eastAsia" w:ascii="宋体" w:hAnsi="宋体" w:cs="宋体"/>
          <w:color w:val="auto"/>
          <w:szCs w:val="21"/>
        </w:rPr>
        <w:t>无纳税记录的，应提供由谈判供应商所在地主管税务部门出具的《依法纳税或依法免税证明》</w:t>
      </w:r>
      <w:r>
        <w:rPr>
          <w:rFonts w:hint="eastAsia" w:ascii="宋体" w:hAnsi="宋体" w:cs="宋体"/>
          <w:b/>
          <w:color w:val="auto"/>
          <w:szCs w:val="21"/>
        </w:rPr>
        <w:t>（</w:t>
      </w:r>
      <w:r>
        <w:rPr>
          <w:rFonts w:hint="eastAsia" w:ascii="宋体" w:hAnsi="宋体"/>
          <w:b/>
          <w:color w:val="auto"/>
          <w:szCs w:val="21"/>
        </w:rPr>
        <w:t>必须提供</w:t>
      </w:r>
      <w:r>
        <w:rPr>
          <w:rFonts w:hint="eastAsia" w:ascii="宋体" w:hAnsi="宋体" w:cs="宋体"/>
          <w:b/>
          <w:color w:val="auto"/>
          <w:szCs w:val="21"/>
        </w:rPr>
        <w:t>）（复印件，原件备查）；</w:t>
      </w:r>
      <w:r>
        <w:rPr>
          <w:rFonts w:hint="eastAsia" w:ascii="宋体" w:hAnsi="宋体" w:cs="宋体"/>
          <w:bCs/>
          <w:color w:val="auto"/>
          <w:szCs w:val="21"/>
        </w:rPr>
        <w:t>（新注册成立的企业按实提供）</w:t>
      </w:r>
    </w:p>
    <w:p>
      <w:pPr>
        <w:keepNext/>
        <w:keepLines w:val="0"/>
        <w:pageBreakBefore w:val="0"/>
        <w:kinsoku/>
        <w:wordWrap/>
        <w:overflowPunct/>
        <w:topLinePunct w:val="0"/>
        <w:autoSpaceDE/>
        <w:autoSpaceDN/>
        <w:bidi w:val="0"/>
        <w:snapToGrid w:val="0"/>
        <w:spacing w:line="380" w:lineRule="exact"/>
        <w:ind w:firstLine="210" w:firstLineChars="100"/>
        <w:jc w:val="left"/>
        <w:textAlignment w:val="auto"/>
        <w:rPr>
          <w:rFonts w:hint="eastAsia" w:ascii="宋体" w:hAnsi="宋体" w:cs="宋体"/>
          <w:b/>
          <w:color w:val="auto"/>
          <w:szCs w:val="21"/>
        </w:rPr>
      </w:pPr>
      <w:r>
        <w:rPr>
          <w:rFonts w:hint="eastAsia" w:ascii="宋体" w:hAnsi="宋体" w:cs="宋体"/>
          <w:color w:val="auto"/>
        </w:rPr>
        <w:t>▲</w:t>
      </w:r>
      <w:r>
        <w:rPr>
          <w:rFonts w:hint="eastAsia" w:ascii="宋体" w:hAnsi="宋体" w:cs="宋体"/>
          <w:bCs/>
          <w:color w:val="auto"/>
          <w:szCs w:val="21"/>
        </w:rPr>
        <w:t>（8）</w:t>
      </w:r>
      <w:r>
        <w:rPr>
          <w:rFonts w:hint="eastAsia" w:ascii="宋体" w:hAnsi="宋体" w:cs="宋体"/>
          <w:color w:val="auto"/>
          <w:szCs w:val="21"/>
        </w:rPr>
        <w:t>响应文件递交截止之日前半年内谈判供应商连续三个月依法缴纳社保费的缴费凭证</w:t>
      </w:r>
      <w:r>
        <w:rPr>
          <w:rFonts w:hint="eastAsia" w:ascii="宋体" w:hAnsi="宋体" w:cs="宋体"/>
          <w:b/>
          <w:color w:val="auto"/>
          <w:szCs w:val="21"/>
        </w:rPr>
        <w:t>，</w:t>
      </w:r>
      <w:r>
        <w:rPr>
          <w:rFonts w:hint="eastAsia" w:ascii="宋体" w:hAnsi="宋体" w:cs="宋体"/>
          <w:color w:val="auto"/>
          <w:szCs w:val="21"/>
        </w:rPr>
        <w:t>无缴费记录的，应提供由谈判供应商所在地社保部门出具的《依法缴纳或依法免缴社保费证明》</w:t>
      </w:r>
      <w:r>
        <w:rPr>
          <w:rFonts w:hint="eastAsia" w:ascii="宋体" w:hAnsi="宋体" w:cs="宋体"/>
          <w:b/>
          <w:color w:val="auto"/>
          <w:szCs w:val="21"/>
        </w:rPr>
        <w:t>（</w:t>
      </w:r>
      <w:r>
        <w:rPr>
          <w:rFonts w:hint="eastAsia" w:ascii="宋体" w:hAnsi="宋体"/>
          <w:b/>
          <w:color w:val="auto"/>
          <w:szCs w:val="21"/>
        </w:rPr>
        <w:t>必须提供</w:t>
      </w:r>
      <w:r>
        <w:rPr>
          <w:rFonts w:hint="eastAsia" w:ascii="宋体" w:hAnsi="宋体" w:cs="宋体"/>
          <w:b/>
          <w:color w:val="auto"/>
          <w:szCs w:val="21"/>
        </w:rPr>
        <w:t>）（复印件，原件备查）；</w:t>
      </w:r>
      <w:r>
        <w:rPr>
          <w:rFonts w:hint="eastAsia" w:ascii="宋体" w:hAnsi="宋体" w:cs="宋体"/>
          <w:bCs/>
          <w:color w:val="auto"/>
          <w:szCs w:val="21"/>
        </w:rPr>
        <w:t>（新注册成立的企业按实提供）</w:t>
      </w:r>
    </w:p>
    <w:p>
      <w:pPr>
        <w:keepNext/>
        <w:keepLines w:val="0"/>
        <w:pageBreakBefore w:val="0"/>
        <w:kinsoku/>
        <w:wordWrap/>
        <w:overflowPunct/>
        <w:topLinePunct w:val="0"/>
        <w:autoSpaceDE/>
        <w:autoSpaceDN/>
        <w:bidi w:val="0"/>
        <w:snapToGrid w:val="0"/>
        <w:spacing w:line="380" w:lineRule="exact"/>
        <w:ind w:firstLine="210" w:firstLineChars="100"/>
        <w:jc w:val="left"/>
        <w:textAlignment w:val="auto"/>
        <w:rPr>
          <w:rFonts w:hint="eastAsia" w:ascii="宋体" w:hAnsi="宋体" w:cs="宋体"/>
          <w:b/>
          <w:color w:val="auto"/>
          <w:kern w:val="0"/>
          <w:szCs w:val="21"/>
        </w:rPr>
      </w:pPr>
      <w:r>
        <w:rPr>
          <w:rFonts w:hint="eastAsia" w:ascii="宋体" w:hAnsi="宋体" w:cs="宋体"/>
          <w:color w:val="auto"/>
          <w:szCs w:val="21"/>
        </w:rPr>
        <w:t>▲</w:t>
      </w:r>
      <w:r>
        <w:rPr>
          <w:rFonts w:hint="eastAsia" w:ascii="宋体" w:hAnsi="宋体" w:cs="宋体"/>
          <w:bCs/>
          <w:color w:val="auto"/>
          <w:kern w:val="0"/>
          <w:szCs w:val="21"/>
        </w:rPr>
        <w:t>（9）</w:t>
      </w:r>
      <w:r>
        <w:rPr>
          <w:rFonts w:hint="eastAsia" w:ascii="宋体" w:hAnsi="宋体" w:cs="宋体"/>
          <w:color w:val="auto"/>
          <w:szCs w:val="21"/>
        </w:rPr>
        <w:t>具备履行合同所必需的设备和专业技术能力的证明材料；</w:t>
      </w:r>
      <w:r>
        <w:rPr>
          <w:rFonts w:hint="eastAsia" w:ascii="宋体" w:hAnsi="宋体" w:cs="宋体"/>
          <w:b/>
          <w:color w:val="auto"/>
          <w:kern w:val="0"/>
          <w:szCs w:val="21"/>
        </w:rPr>
        <w:t>（</w:t>
      </w:r>
      <w:r>
        <w:rPr>
          <w:rFonts w:hint="eastAsia" w:ascii="宋体" w:hAnsi="宋体" w:cs="宋体"/>
          <w:b/>
          <w:color w:val="auto"/>
          <w:szCs w:val="21"/>
        </w:rPr>
        <w:t>格式自拟，</w:t>
      </w:r>
      <w:r>
        <w:rPr>
          <w:rFonts w:hint="eastAsia" w:ascii="宋体" w:hAnsi="宋体"/>
          <w:b/>
          <w:color w:val="auto"/>
          <w:szCs w:val="21"/>
        </w:rPr>
        <w:t>必须提供</w:t>
      </w:r>
      <w:r>
        <w:rPr>
          <w:rFonts w:hint="eastAsia" w:ascii="宋体" w:hAnsi="宋体" w:cs="宋体"/>
          <w:b/>
          <w:color w:val="auto"/>
          <w:szCs w:val="21"/>
        </w:rPr>
        <w:t>）</w:t>
      </w:r>
    </w:p>
    <w:p>
      <w:pPr>
        <w:keepNext/>
        <w:keepLines w:val="0"/>
        <w:pageBreakBefore w:val="0"/>
        <w:kinsoku/>
        <w:wordWrap/>
        <w:overflowPunct/>
        <w:topLinePunct w:val="0"/>
        <w:autoSpaceDE/>
        <w:autoSpaceDN/>
        <w:bidi w:val="0"/>
        <w:adjustRightInd w:val="0"/>
        <w:snapToGrid w:val="0"/>
        <w:spacing w:line="380" w:lineRule="exact"/>
        <w:ind w:firstLine="210" w:firstLineChars="100"/>
        <w:jc w:val="left"/>
        <w:textAlignment w:val="auto"/>
        <w:rPr>
          <w:rFonts w:hint="eastAsia" w:ascii="宋体" w:hAnsi="宋体" w:cs="宋体"/>
          <w:b/>
          <w:szCs w:val="21"/>
        </w:rPr>
      </w:pPr>
      <w:r>
        <w:rPr>
          <w:rFonts w:hint="eastAsia" w:ascii="宋体" w:hAnsi="宋体" w:cs="宋体"/>
          <w:color w:val="auto"/>
          <w:szCs w:val="21"/>
        </w:rPr>
        <w:t>▲（10）谈判供应商</w:t>
      </w:r>
      <w:r>
        <w:rPr>
          <w:rFonts w:hint="eastAsia" w:ascii="宋体" w:hAnsi="宋体" w:cs="宋体"/>
          <w:color w:val="auto"/>
          <w:kern w:val="0"/>
          <w:szCs w:val="21"/>
        </w:rPr>
        <w:t>参加政府采购活动前三年内在经营活动中没有重大</w:t>
      </w:r>
      <w:r>
        <w:rPr>
          <w:rFonts w:hint="eastAsia" w:ascii="宋体" w:hAnsi="宋体" w:cs="宋体"/>
          <w:kern w:val="0"/>
          <w:szCs w:val="21"/>
        </w:rPr>
        <w:t>违法记录的书面声明（</w:t>
      </w:r>
      <w:r>
        <w:rPr>
          <w:rFonts w:hint="eastAsia" w:ascii="宋体" w:hAnsi="宋体" w:cs="宋体"/>
          <w:szCs w:val="21"/>
        </w:rPr>
        <w:t xml:space="preserve">见第四章  </w:t>
      </w:r>
      <w:r>
        <w:rPr>
          <w:rFonts w:hint="eastAsia" w:ascii="宋体" w:hAnsi="宋体" w:cs="宋体"/>
          <w:kern w:val="0"/>
          <w:szCs w:val="21"/>
        </w:rPr>
        <w:t>附件5）</w:t>
      </w:r>
      <w:r>
        <w:rPr>
          <w:rFonts w:hint="eastAsia" w:ascii="宋体" w:hAnsi="宋体" w:cs="宋体"/>
          <w:bCs/>
          <w:szCs w:val="21"/>
        </w:rPr>
        <w:t>；</w:t>
      </w:r>
      <w:r>
        <w:rPr>
          <w:rFonts w:hint="eastAsia" w:ascii="宋体" w:hAnsi="宋体" w:cs="宋体"/>
          <w:b/>
          <w:szCs w:val="21"/>
        </w:rPr>
        <w:t>（</w:t>
      </w:r>
      <w:r>
        <w:rPr>
          <w:rFonts w:hint="eastAsia" w:ascii="宋体" w:hAnsi="宋体"/>
          <w:b/>
          <w:szCs w:val="21"/>
        </w:rPr>
        <w:t>必须提供</w:t>
      </w:r>
      <w:r>
        <w:rPr>
          <w:rFonts w:hint="eastAsia" w:ascii="宋体" w:hAnsi="宋体" w:cs="宋体"/>
          <w:b/>
          <w:szCs w:val="21"/>
        </w:rPr>
        <w:t>）</w:t>
      </w:r>
    </w:p>
    <w:p>
      <w:pPr>
        <w:keepNext/>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hint="eastAsia" w:ascii="宋体" w:hAnsi="宋体" w:cs="宋体"/>
          <w:szCs w:val="21"/>
        </w:rPr>
      </w:pPr>
      <w:r>
        <w:rPr>
          <w:rFonts w:hint="eastAsia" w:ascii="宋体" w:hAnsi="宋体" w:cs="宋体"/>
          <w:szCs w:val="21"/>
        </w:rPr>
        <w:t>▲（11）售后服务承诺书（内容可以是提供的切实可行的售后服务和优惠承诺等）</w:t>
      </w:r>
      <w:r>
        <w:rPr>
          <w:rFonts w:hint="eastAsia" w:ascii="宋体" w:hAnsi="宋体" w:cs="宋体"/>
          <w:b/>
          <w:szCs w:val="21"/>
        </w:rPr>
        <w:t>（格式自拟，</w:t>
      </w:r>
      <w:r>
        <w:rPr>
          <w:rFonts w:hint="eastAsia" w:ascii="宋体" w:hAnsi="宋体"/>
          <w:b/>
          <w:szCs w:val="21"/>
        </w:rPr>
        <w:t>必须提供</w:t>
      </w:r>
      <w:r>
        <w:rPr>
          <w:rFonts w:hint="eastAsia" w:ascii="宋体" w:hAnsi="宋体" w:cs="宋体"/>
          <w:b/>
          <w:szCs w:val="21"/>
        </w:rPr>
        <w:t>）</w:t>
      </w:r>
    </w:p>
    <w:p>
      <w:pPr>
        <w:keepNext/>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hint="eastAsia" w:ascii="宋体" w:hAnsi="宋体" w:cs="宋体"/>
          <w:szCs w:val="21"/>
        </w:rPr>
      </w:pPr>
      <w:r>
        <w:rPr>
          <w:rFonts w:hint="eastAsia" w:ascii="宋体" w:hAnsi="宋体" w:cs="宋体"/>
          <w:szCs w:val="21"/>
        </w:rPr>
        <w:t xml:space="preserve">▲（12）产品质量保证书（见第四章  </w:t>
      </w:r>
      <w:r>
        <w:rPr>
          <w:rFonts w:hint="eastAsia" w:ascii="宋体" w:hAnsi="宋体" w:cs="宋体"/>
          <w:kern w:val="0"/>
          <w:szCs w:val="21"/>
        </w:rPr>
        <w:t>附件6</w:t>
      </w:r>
      <w:r>
        <w:rPr>
          <w:rFonts w:hint="eastAsia" w:ascii="宋体" w:hAnsi="宋体" w:cs="宋体"/>
          <w:szCs w:val="21"/>
        </w:rPr>
        <w:t>）</w:t>
      </w:r>
      <w:r>
        <w:rPr>
          <w:rFonts w:hint="eastAsia" w:ascii="宋体" w:hAnsi="宋体" w:cs="宋体"/>
          <w:b/>
          <w:szCs w:val="21"/>
        </w:rPr>
        <w:t>（</w:t>
      </w:r>
      <w:r>
        <w:rPr>
          <w:rFonts w:hint="eastAsia" w:ascii="宋体" w:hAnsi="宋体"/>
          <w:b/>
          <w:szCs w:val="21"/>
        </w:rPr>
        <w:t>必须提供</w:t>
      </w:r>
      <w:r>
        <w:rPr>
          <w:rFonts w:hint="eastAsia" w:ascii="宋体" w:hAnsi="宋体" w:cs="宋体"/>
          <w:b/>
          <w:szCs w:val="21"/>
        </w:rPr>
        <w:t>）</w:t>
      </w:r>
      <w:r>
        <w:rPr>
          <w:rFonts w:hint="eastAsia" w:ascii="宋体" w:hAnsi="宋体" w:cs="宋体"/>
          <w:szCs w:val="21"/>
        </w:rPr>
        <w:t>；</w:t>
      </w:r>
    </w:p>
    <w:p>
      <w:pPr>
        <w:keepNext/>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hint="eastAsia" w:ascii="宋体" w:hAnsi="宋体" w:cs="宋体"/>
          <w:bCs/>
          <w:szCs w:val="21"/>
        </w:rPr>
      </w:pPr>
      <w:r>
        <w:rPr>
          <w:rFonts w:hint="eastAsia" w:ascii="宋体" w:hAnsi="宋体" w:cs="宋体"/>
          <w:szCs w:val="21"/>
        </w:rPr>
        <w:t>▲（13）谈判保证金递交证明</w:t>
      </w:r>
      <w:r>
        <w:rPr>
          <w:rFonts w:hint="eastAsia" w:ascii="宋体" w:hAnsi="宋体"/>
          <w:szCs w:val="21"/>
        </w:rPr>
        <w:t>或《诚信记录良好承诺函》</w:t>
      </w:r>
      <w:r>
        <w:rPr>
          <w:rFonts w:hint="eastAsia" w:ascii="宋体" w:hAnsi="宋体" w:cs="宋体"/>
          <w:b/>
          <w:szCs w:val="21"/>
        </w:rPr>
        <w:t>（</w:t>
      </w:r>
      <w:r>
        <w:rPr>
          <w:rFonts w:hint="eastAsia" w:ascii="宋体" w:hAnsi="宋体"/>
          <w:b/>
          <w:szCs w:val="21"/>
        </w:rPr>
        <w:t>必须提供</w:t>
      </w:r>
      <w:r>
        <w:rPr>
          <w:rFonts w:hint="eastAsia" w:ascii="宋体" w:hAnsi="宋体" w:cs="宋体"/>
          <w:b/>
          <w:szCs w:val="21"/>
        </w:rPr>
        <w:t>）</w:t>
      </w:r>
      <w:r>
        <w:rPr>
          <w:rFonts w:hint="eastAsia" w:ascii="宋体" w:hAnsi="宋体" w:cs="宋体"/>
          <w:bCs/>
          <w:szCs w:val="21"/>
        </w:rPr>
        <w:t>；</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bCs/>
          <w:szCs w:val="21"/>
          <w:highlight w:val="none"/>
        </w:rPr>
      </w:pPr>
      <w:r>
        <w:rPr>
          <w:rFonts w:hint="eastAsia" w:ascii="宋体" w:hAnsi="宋体" w:cs="宋体"/>
        </w:rPr>
        <w:t>（14）</w:t>
      </w:r>
      <w:r>
        <w:rPr>
          <w:rFonts w:hint="eastAsia" w:ascii="宋体" w:hAnsi="宋体" w:cs="宋体"/>
          <w:szCs w:val="21"/>
        </w:rPr>
        <w:t>谈判供应商在</w:t>
      </w:r>
      <w:r>
        <w:rPr>
          <w:rFonts w:hint="eastAsia" w:ascii="宋体" w:hAnsi="宋体" w:cs="宋体"/>
        </w:rPr>
        <w:t>“信用中国”网站(www.creditchina.gov.cn)、中国政府采购网(www.ccgp.gov.cn)</w:t>
      </w:r>
      <w:r>
        <w:rPr>
          <w:rFonts w:hint="eastAsia" w:ascii="宋体" w:hAnsi="宋体" w:cs="宋体"/>
          <w:szCs w:val="21"/>
          <w:shd w:val="clear" w:color="auto" w:fill="FFFFFF"/>
        </w:rPr>
        <w:t xml:space="preserve"> 查询相关供应商主体信用记录，</w:t>
      </w:r>
      <w:r>
        <w:rPr>
          <w:rFonts w:hint="eastAsia" w:ascii="宋体" w:hAnsi="宋体" w:cs="宋体"/>
          <w:szCs w:val="21"/>
        </w:rPr>
        <w:t>其中“信用中国”网站提供供应商在</w:t>
      </w:r>
      <w:r>
        <w:rPr>
          <w:rFonts w:hint="eastAsia" w:ascii="宋体" w:hAnsi="宋体" w:cs="宋体"/>
          <w:b/>
          <w:szCs w:val="21"/>
        </w:rPr>
        <w:t>“失信被执行人、政府采购不良行为记录、重大税收违法案件当事人”</w:t>
      </w:r>
      <w:r>
        <w:rPr>
          <w:rFonts w:hint="eastAsia" w:ascii="宋体" w:hAnsi="宋体" w:cs="宋体"/>
          <w:szCs w:val="21"/>
        </w:rPr>
        <w:t>3个页面下的截图，“中国政府采购网”提供供应商在</w:t>
      </w:r>
      <w:r>
        <w:rPr>
          <w:rFonts w:hint="eastAsia" w:ascii="宋体" w:hAnsi="宋体" w:cs="宋体"/>
          <w:b/>
          <w:szCs w:val="21"/>
        </w:rPr>
        <w:t>“政府采购严重违法失信行为记录名单”</w:t>
      </w:r>
      <w:r>
        <w:rPr>
          <w:rFonts w:hint="eastAsia" w:ascii="宋体" w:hAnsi="宋体" w:cs="宋体"/>
          <w:szCs w:val="21"/>
        </w:rPr>
        <w:t>页面下的截图</w:t>
      </w:r>
      <w:r>
        <w:rPr>
          <w:rFonts w:hint="eastAsia" w:ascii="宋体" w:hAnsi="宋体" w:cs="宋体"/>
          <w:bCs/>
          <w:szCs w:val="21"/>
        </w:rPr>
        <w:t>；</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（15）具备法律、行政法规规定的其他条件的证明材料</w:t>
      </w:r>
      <w:r>
        <w:rPr>
          <w:rFonts w:hint="eastAsia" w:ascii="宋体" w:hAnsi="宋体" w:cs="宋体"/>
          <w:b/>
          <w:szCs w:val="21"/>
          <w:highlight w:val="none"/>
        </w:rPr>
        <w:t>（如有规定,则必须提供）</w:t>
      </w:r>
      <w:r>
        <w:rPr>
          <w:rFonts w:hint="eastAsia" w:ascii="宋体" w:hAnsi="宋体" w:cs="宋体"/>
          <w:bCs/>
          <w:szCs w:val="21"/>
          <w:highlight w:val="none"/>
        </w:rPr>
        <w:t>；</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（16）生产、销售许可证</w:t>
      </w:r>
      <w:r>
        <w:rPr>
          <w:rFonts w:hint="eastAsia" w:ascii="宋体" w:hAnsi="宋体" w:cs="宋体"/>
          <w:b/>
          <w:szCs w:val="21"/>
          <w:highlight w:val="none"/>
        </w:rPr>
        <w:t>（如国家实行强制性要求的，则必须提供）</w:t>
      </w:r>
      <w:r>
        <w:rPr>
          <w:rFonts w:hint="eastAsia" w:ascii="宋体" w:hAnsi="宋体" w:cs="宋体"/>
          <w:szCs w:val="21"/>
          <w:highlight w:val="none"/>
        </w:rPr>
        <w:t>；</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szCs w:val="21"/>
          <w:highlight w:val="none"/>
        </w:rPr>
      </w:pPr>
      <w:r>
        <w:rPr>
          <w:rFonts w:hint="eastAsia" w:ascii="宋体" w:hAnsi="宋体" w:cs="宋体"/>
          <w:b/>
          <w:bCs/>
          <w:szCs w:val="21"/>
          <w:highlight w:val="none"/>
        </w:rPr>
        <w:t>（17）中小企业声明函、</w:t>
      </w:r>
      <w:r>
        <w:rPr>
          <w:rFonts w:hint="eastAsia" w:ascii="宋体" w:hAnsi="宋体" w:cs="宋体"/>
          <w:b/>
          <w:bCs/>
          <w:highlight w:val="none"/>
        </w:rPr>
        <w:t>残疾人福利性单位声明函（如有可提供。如因谈判供应商自身原因未提供或未能如实提供，后果自负）</w:t>
      </w:r>
      <w:r>
        <w:rPr>
          <w:rFonts w:hint="eastAsia" w:ascii="宋体" w:hAnsi="宋体" w:cs="宋体"/>
          <w:b/>
          <w:bCs/>
          <w:szCs w:val="21"/>
          <w:highlight w:val="none"/>
          <w:lang w:eastAsia="zh-CN"/>
        </w:rPr>
        <w:t>。</w:t>
      </w:r>
      <w:r>
        <w:rPr>
          <w:rFonts w:hint="eastAsia" w:ascii="宋体" w:hAnsi="宋体" w:cs="宋体"/>
          <w:b w:val="0"/>
          <w:bCs w:val="0"/>
          <w:szCs w:val="21"/>
          <w:highlight w:val="none"/>
          <w:lang w:eastAsia="zh-CN"/>
        </w:rPr>
        <w:t>格式</w:t>
      </w:r>
      <w:r>
        <w:rPr>
          <w:rFonts w:hint="eastAsia" w:ascii="宋体" w:hAnsi="宋体" w:cs="宋体"/>
          <w:szCs w:val="21"/>
          <w:highlight w:val="none"/>
        </w:rPr>
        <w:t>见第四章  附件7、8）；</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（18）货物制造、检验、测试、验收执行的标准；</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（19）货物认证、检测报告、鉴定证书等；</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 xml:space="preserve">（20）产品获奖证书； </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（21）货物名称、型号、规格、数量、性能、内部配置、使用原材料，引进新技术、新工艺、新材料的等情况；</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（22）质量保证措施；</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（23）产品样本、使用保养说明书、图纸等技术资料；</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（24）本谈判文件第三章采购项目需求中要求提供的材料、文件、证明或证书等</w:t>
      </w:r>
      <w:r>
        <w:rPr>
          <w:rFonts w:hint="eastAsia" w:ascii="宋体" w:hAnsi="宋体" w:cs="宋体"/>
          <w:b/>
          <w:szCs w:val="21"/>
        </w:rPr>
        <w:t>（有则必须提供）</w:t>
      </w:r>
      <w:r>
        <w:rPr>
          <w:rFonts w:hint="eastAsia" w:ascii="宋体" w:hAnsi="宋体" w:cs="宋体"/>
          <w:bCs/>
          <w:szCs w:val="21"/>
        </w:rPr>
        <w:t>；</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（25）谈判供应商认为需要提供的有关资料。</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（26）第三章采购需求中要求必须提供的材料（如有则必须提供）</w:t>
      </w:r>
    </w:p>
    <w:p>
      <w:pPr>
        <w:pStyle w:val="28"/>
        <w:keepNext/>
        <w:keepLines w:val="0"/>
        <w:pageBreakBefore w:val="0"/>
        <w:kinsoku/>
        <w:wordWrap/>
        <w:overflowPunct/>
        <w:topLinePunct w:val="0"/>
        <w:autoSpaceDE/>
        <w:autoSpaceDN/>
        <w:bidi w:val="0"/>
        <w:adjustRightInd w:val="0"/>
        <w:snapToGrid w:val="0"/>
        <w:spacing w:line="380" w:lineRule="exact"/>
        <w:ind w:left="103" w:leftChars="49" w:firstLine="314" w:firstLineChars="149"/>
        <w:jc w:val="left"/>
        <w:textAlignment w:val="auto"/>
        <w:rPr>
          <w:rFonts w:hint="eastAsia" w:hAnsi="宋体" w:cs="宋体"/>
          <w:b/>
        </w:rPr>
      </w:pPr>
      <w:r>
        <w:rPr>
          <w:rFonts w:hint="eastAsia" w:hAnsi="宋体" w:cs="宋体"/>
          <w:b/>
        </w:rPr>
        <w:t>特别说明：（1）谈判文件要求在响应文件中需提供的各种原件及复印件，均须加盖谈判供应商公章（含正、副本），否则其无效。正本与副本内容不一致的，以正本为准。</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rPr>
      </w:pPr>
      <w:r>
        <w:rPr>
          <w:rFonts w:hint="eastAsia" w:ascii="宋体" w:hAnsi="宋体" w:cs="宋体"/>
          <w:b/>
        </w:rPr>
        <w:t>（2）谈判文件要求“必须提供”的证明等材料，谈判供应商必须全部提供，缺一不可，否则谈判无效。</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szCs w:val="21"/>
        </w:rPr>
      </w:pPr>
      <w:r>
        <w:rPr>
          <w:rFonts w:hint="eastAsia" w:ascii="宋体" w:hAnsi="宋体" w:cs="宋体"/>
          <w:b/>
        </w:rPr>
        <w:t>（3）谈判文件要求法定代表人（负责人）或委托代理人签名的，必须由本人签名，不得用签名章或其他印章代替，否则签名无效。</w:t>
      </w:r>
    </w:p>
    <w:p>
      <w:pPr>
        <w:keepNext/>
        <w:keepLines w:val="0"/>
        <w:pageBreakBefore w:val="0"/>
        <w:kinsoku/>
        <w:wordWrap/>
        <w:overflowPunct/>
        <w:topLinePunct w:val="0"/>
        <w:autoSpaceDE/>
        <w:autoSpaceDN/>
        <w:bidi w:val="0"/>
        <w:adjustRightInd w:val="0"/>
        <w:snapToGrid w:val="0"/>
        <w:spacing w:line="380" w:lineRule="exact"/>
        <w:ind w:firstLine="413" w:firstLineChars="196"/>
        <w:textAlignment w:val="auto"/>
        <w:rPr>
          <w:rFonts w:hint="eastAsia" w:ascii="宋体" w:hAnsi="宋体" w:cs="宋体"/>
          <w:b/>
          <w:szCs w:val="21"/>
        </w:rPr>
      </w:pPr>
      <w:r>
        <w:rPr>
          <w:rFonts w:hint="eastAsia" w:ascii="宋体" w:hAnsi="宋体" w:cs="宋体"/>
          <w:b/>
          <w:szCs w:val="21"/>
        </w:rPr>
        <w:t>6. 计量单位</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6.1除技术要求中另有规定外，本文件所要求使用的计量单位均应采用国家法定计量单位。</w:t>
      </w:r>
    </w:p>
    <w:p>
      <w:pPr>
        <w:keepNext/>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cs="宋体"/>
          <w:b/>
          <w:szCs w:val="21"/>
        </w:rPr>
      </w:pPr>
      <w:r>
        <w:rPr>
          <w:rFonts w:hint="eastAsia" w:ascii="宋体" w:hAnsi="宋体" w:cs="宋体"/>
          <w:b/>
          <w:szCs w:val="21"/>
        </w:rPr>
        <w:t>三.报价要求</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7.1对于本文件中未列明，而谈判供应商认为必需的费用也需列入总报价。在合同实施时，采购人将不予支付成交供应商没有列入的项目费用，并认为此项目的费用已包括在总报价中。</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spacing w:val="-4"/>
        </w:rPr>
      </w:pPr>
      <w:r>
        <w:rPr>
          <w:rFonts w:hint="eastAsia" w:hAnsi="宋体" w:cs="宋体"/>
        </w:rPr>
        <w:t>7.2</w:t>
      </w:r>
      <w:r>
        <w:rPr>
          <w:rFonts w:hint="eastAsia" w:hAnsi="宋体" w:cs="宋体"/>
          <w:spacing w:val="-4"/>
        </w:rPr>
        <w:t>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谈判供应商原因引起的报价失误，并在谈判时被接受，其后果由谈判供应商自负。</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b/>
          <w:szCs w:val="21"/>
        </w:rPr>
      </w:pPr>
      <w:r>
        <w:rPr>
          <w:rFonts w:hint="eastAsia" w:ascii="宋体" w:hAnsi="宋体" w:cs="宋体"/>
        </w:rPr>
        <w:t>7.3报价：</w:t>
      </w:r>
      <w:r>
        <w:rPr>
          <w:rFonts w:hint="eastAsia" w:ascii="宋体" w:hAnsi="宋体" w:cs="宋体"/>
          <w:szCs w:val="21"/>
        </w:rPr>
        <w:t>谈判供应商须就《采购需求》中</w:t>
      </w:r>
      <w:r>
        <w:rPr>
          <w:rFonts w:hint="eastAsia" w:ascii="宋体" w:hAnsi="宋体" w:cs="宋体"/>
          <w:szCs w:val="21"/>
          <w:lang w:eastAsia="zh-CN"/>
        </w:rPr>
        <w:t>各分标</w:t>
      </w:r>
      <w:r>
        <w:rPr>
          <w:rFonts w:hint="eastAsia" w:ascii="宋体" w:hAnsi="宋体" w:cs="宋体"/>
          <w:szCs w:val="21"/>
        </w:rPr>
        <w:t>的货物和服务内容分别作完整唯一报价。</w:t>
      </w:r>
    </w:p>
    <w:p>
      <w:pPr>
        <w:keepNext/>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cs="宋体"/>
          <w:b/>
          <w:szCs w:val="21"/>
        </w:rPr>
      </w:pPr>
      <w:r>
        <w:rPr>
          <w:rFonts w:hint="eastAsia" w:ascii="宋体" w:hAnsi="宋体" w:cs="宋体"/>
          <w:b/>
          <w:szCs w:val="21"/>
        </w:rPr>
        <w:t>四.响应文件的份数、封装和递交</w:t>
      </w:r>
    </w:p>
    <w:p>
      <w:pPr>
        <w:keepNext/>
        <w:keepLines w:val="0"/>
        <w:pageBreakBefore w:val="0"/>
        <w:kinsoku/>
        <w:wordWrap/>
        <w:overflowPunct/>
        <w:topLinePunct w:val="0"/>
        <w:autoSpaceDE/>
        <w:autoSpaceDN/>
        <w:bidi w:val="0"/>
        <w:adjustRightInd w:val="0"/>
        <w:snapToGrid w:val="0"/>
        <w:spacing w:line="380" w:lineRule="exact"/>
        <w:ind w:firstLine="413" w:firstLineChars="196"/>
        <w:textAlignment w:val="auto"/>
        <w:rPr>
          <w:rFonts w:hint="eastAsia" w:ascii="宋体" w:hAnsi="宋体" w:cs="宋体"/>
          <w:b/>
          <w:szCs w:val="21"/>
        </w:rPr>
      </w:pPr>
      <w:r>
        <w:rPr>
          <w:rFonts w:hint="eastAsia" w:ascii="宋体" w:hAnsi="宋体" w:cs="宋体"/>
          <w:b/>
          <w:szCs w:val="21"/>
        </w:rPr>
        <w:t>8. 响应文件的份数和封装</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8.1谈判供应商应将响应文件中“价格文件”和“商务技术文件”装订成一本（两文件相隔之间用封面标识，封面写明“价格文件”、“商务技术文件”字样）。</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谈判供应商将响应文件按正、副本分别装订成册，在每个正、副本封面上标明“正本”或“副本”，以及项目名称、项目编号、谈判供应商名称等内容。活页装订的响应文件将按参加谈判采购无效处理。</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b/>
        </w:rPr>
      </w:pPr>
      <w:r>
        <w:rPr>
          <w:rFonts w:hint="eastAsia" w:ascii="宋体" w:hAnsi="宋体" w:cs="宋体"/>
          <w:szCs w:val="21"/>
        </w:rPr>
        <w:t>8.2</w:t>
      </w:r>
      <w:r>
        <w:rPr>
          <w:rFonts w:hint="eastAsia" w:ascii="宋体" w:hAnsi="宋体" w:cs="宋体"/>
        </w:rPr>
        <w:t>谈判供应商应将响应文件正、副本（正本一份，副本贰份，电子文档一份，未按要求提供的，按参加谈判采购无效处理）装入到一个</w:t>
      </w:r>
      <w:r>
        <w:rPr>
          <w:rFonts w:hint="eastAsia" w:ascii="宋体" w:hAnsi="宋体" w:cs="宋体"/>
          <w:szCs w:val="21"/>
        </w:rPr>
        <w:t>响应文件袋内，</w:t>
      </w:r>
      <w:r>
        <w:rPr>
          <w:rFonts w:hint="eastAsia" w:ascii="宋体" w:hAnsi="宋体" w:cs="宋体"/>
        </w:rPr>
        <w:t>封装并加以密封，</w:t>
      </w:r>
      <w:r>
        <w:rPr>
          <w:rFonts w:hint="eastAsia" w:ascii="宋体" w:hAnsi="宋体" w:cs="宋体"/>
          <w:spacing w:val="-2"/>
          <w:szCs w:val="21"/>
        </w:rPr>
        <w:t>在每一封贴处密封签章【单位公章或</w:t>
      </w:r>
      <w:r>
        <w:rPr>
          <w:rFonts w:hint="eastAsia" w:ascii="宋体" w:hAnsi="宋体" w:cs="宋体"/>
          <w:spacing w:val="2"/>
        </w:rPr>
        <w:t>法定代表人（负责人）</w:t>
      </w:r>
      <w:r>
        <w:rPr>
          <w:rFonts w:hint="eastAsia" w:ascii="宋体" w:hAnsi="宋体" w:cs="宋体"/>
          <w:spacing w:val="-2"/>
          <w:szCs w:val="21"/>
        </w:rPr>
        <w:t>签字均可】。</w:t>
      </w:r>
      <w:r>
        <w:rPr>
          <w:rFonts w:hint="eastAsia" w:ascii="宋体" w:hAnsi="宋体" w:cs="宋体"/>
          <w:szCs w:val="21"/>
        </w:rPr>
        <w:t>响应文件的密封以文件袋无明显缝隙露出袋内文件且封口处有密封签章为合格</w:t>
      </w:r>
      <w:r>
        <w:rPr>
          <w:rFonts w:hint="eastAsia" w:ascii="宋体" w:hAnsi="宋体" w:cs="宋体"/>
        </w:rPr>
        <w:t>。</w:t>
      </w:r>
      <w:r>
        <w:rPr>
          <w:rFonts w:hint="eastAsia" w:ascii="宋体" w:hAnsi="宋体" w:cs="宋体"/>
          <w:szCs w:val="21"/>
        </w:rPr>
        <w:t>未按规定密封或</w:t>
      </w:r>
      <w:r>
        <w:rPr>
          <w:rFonts w:hint="eastAsia" w:ascii="宋体" w:hAnsi="宋体" w:cs="宋体"/>
          <w:spacing w:val="-2"/>
          <w:szCs w:val="21"/>
        </w:rPr>
        <w:t>密封</w:t>
      </w:r>
      <w:r>
        <w:rPr>
          <w:rFonts w:hint="eastAsia" w:ascii="宋体" w:hAnsi="宋体" w:cs="宋体"/>
          <w:szCs w:val="21"/>
        </w:rPr>
        <w:t>签章的响应文件将被拒绝。</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文件袋外层封面上应写明：</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bCs/>
          <w:szCs w:val="21"/>
        </w:rPr>
      </w:pPr>
      <w:r>
        <w:rPr>
          <w:rFonts w:hint="eastAsia" w:ascii="宋体" w:hAnsi="宋体" w:cs="宋体"/>
          <w:szCs w:val="21"/>
        </w:rPr>
        <w:t>（1）项目名称</w:t>
      </w:r>
      <w:r>
        <w:rPr>
          <w:rFonts w:hint="eastAsia" w:ascii="宋体" w:hAnsi="宋体" w:cs="宋体"/>
          <w:bCs/>
          <w:szCs w:val="21"/>
        </w:rPr>
        <w:t>：</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bCs/>
          <w:szCs w:val="21"/>
        </w:rPr>
      </w:pPr>
      <w:r>
        <w:rPr>
          <w:rFonts w:hint="eastAsia" w:ascii="宋体" w:hAnsi="宋体" w:cs="宋体"/>
          <w:szCs w:val="21"/>
        </w:rPr>
        <w:t>（2）项目编号</w:t>
      </w:r>
      <w:r>
        <w:rPr>
          <w:rFonts w:hint="eastAsia" w:ascii="宋体" w:hAnsi="宋体" w:cs="宋体"/>
          <w:bCs/>
          <w:szCs w:val="21"/>
        </w:rPr>
        <w:t>：</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（3）分标号：</w:t>
      </w:r>
    </w:p>
    <w:p>
      <w:pPr>
        <w:pStyle w:val="7"/>
        <w:keepNext/>
        <w:keepLines w:val="0"/>
        <w:pageBreakBefore w:val="0"/>
        <w:kinsoku/>
        <w:wordWrap/>
        <w:overflowPunct/>
        <w:topLinePunct w:val="0"/>
        <w:autoSpaceDE/>
        <w:autoSpaceDN/>
        <w:bidi w:val="0"/>
        <w:adjustRightInd w:val="0"/>
        <w:snapToGrid w:val="0"/>
        <w:spacing w:line="380" w:lineRule="exact"/>
        <w:ind w:firstLineChars="200"/>
        <w:textAlignment w:val="auto"/>
        <w:rPr>
          <w:rFonts w:hint="eastAsia" w:ascii="宋体" w:hAnsi="宋体" w:cs="宋体"/>
          <w:bCs/>
          <w:szCs w:val="21"/>
        </w:rPr>
      </w:pPr>
      <w:r>
        <w:rPr>
          <w:rFonts w:hint="eastAsia" w:ascii="宋体" w:hAnsi="宋体" w:cs="宋体"/>
          <w:szCs w:val="21"/>
        </w:rPr>
        <w:t>（3）谈判供应商名称</w:t>
      </w:r>
      <w:r>
        <w:rPr>
          <w:rFonts w:hint="eastAsia" w:ascii="宋体" w:hAnsi="宋体" w:cs="宋体"/>
          <w:bCs/>
          <w:szCs w:val="21"/>
        </w:rPr>
        <w:t>：</w:t>
      </w:r>
    </w:p>
    <w:p>
      <w:pPr>
        <w:pStyle w:val="7"/>
        <w:keepNext/>
        <w:keepLines w:val="0"/>
        <w:pageBreakBefore w:val="0"/>
        <w:kinsoku/>
        <w:wordWrap/>
        <w:overflowPunct/>
        <w:topLinePunct w:val="0"/>
        <w:autoSpaceDE/>
        <w:autoSpaceDN/>
        <w:bidi w:val="0"/>
        <w:adjustRightInd w:val="0"/>
        <w:snapToGrid w:val="0"/>
        <w:spacing w:line="380" w:lineRule="exact"/>
        <w:ind w:firstLineChars="200"/>
        <w:textAlignment w:val="auto"/>
        <w:rPr>
          <w:rFonts w:hint="eastAsia" w:ascii="宋体" w:hAnsi="宋体" w:cs="宋体"/>
          <w:bCs/>
          <w:szCs w:val="21"/>
        </w:rPr>
      </w:pPr>
      <w:r>
        <w:rPr>
          <w:rFonts w:hint="eastAsia" w:ascii="宋体" w:hAnsi="宋体" w:cs="宋体"/>
          <w:bCs/>
          <w:szCs w:val="21"/>
        </w:rPr>
        <w:t>（4）（响应文件开启会开始时才能启封）</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szCs w:val="21"/>
        </w:rPr>
      </w:pPr>
      <w:r>
        <w:rPr>
          <w:rFonts w:hint="eastAsia" w:ascii="宋体" w:hAnsi="宋体" w:cs="宋体"/>
          <w:b/>
          <w:szCs w:val="21"/>
        </w:rPr>
        <w:t>9. 响应文件的递交</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9.1所有响应文件应于竞争性谈判文件中规定的时间前递交到</w:t>
      </w:r>
      <w:r>
        <w:rPr>
          <w:rFonts w:hint="eastAsia" w:ascii="宋体" w:hAnsi="宋体" w:cs="宋体"/>
        </w:rPr>
        <w:t>采购代理机构开标室</w:t>
      </w:r>
      <w:r>
        <w:rPr>
          <w:rFonts w:hint="eastAsia" w:ascii="宋体" w:hAnsi="宋体" w:cs="宋体"/>
          <w:szCs w:val="21"/>
        </w:rPr>
        <w:t>。</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9.2响应文件</w:t>
      </w:r>
      <w:r>
        <w:rPr>
          <w:rFonts w:hint="eastAsia" w:ascii="宋体" w:hAnsi="宋体" w:cs="宋体"/>
        </w:rPr>
        <w:t>从响应文件递交截止日期后 60 天内有效。</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szCs w:val="21"/>
        </w:rPr>
      </w:pPr>
      <w:r>
        <w:rPr>
          <w:rFonts w:hint="eastAsia" w:ascii="宋体" w:hAnsi="宋体" w:cs="宋体"/>
          <w:b/>
          <w:szCs w:val="21"/>
        </w:rPr>
        <w:t>10.迟交的响应文件</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rPr>
        <w:t>10.1在本文件要求响应文件提交截止时间后送达的响应文件为无效文件，采购代理机构将拒收。</w:t>
      </w:r>
    </w:p>
    <w:p>
      <w:pPr>
        <w:keepNext/>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bCs/>
        </w:rPr>
      </w:pPr>
      <w:r>
        <w:rPr>
          <w:rFonts w:hint="eastAsia" w:ascii="宋体" w:hAnsi="宋体" w:cs="宋体"/>
          <w:b/>
          <w:szCs w:val="21"/>
        </w:rPr>
        <w:t>11.</w:t>
      </w:r>
      <w:r>
        <w:rPr>
          <w:rFonts w:hint="eastAsia" w:ascii="宋体" w:hAnsi="宋体" w:cs="宋体"/>
          <w:b/>
        </w:rPr>
        <w:t>谈判保证金应用人民币：</w:t>
      </w:r>
      <w:r>
        <w:rPr>
          <w:rFonts w:hint="eastAsia" w:ascii="宋体" w:hAnsi="宋体" w:cs="宋体"/>
          <w:b/>
          <w:bCs/>
          <w:szCs w:val="21"/>
        </w:rPr>
        <w:t>具体金额详见谈判供应商须知前附表</w:t>
      </w:r>
      <w:r>
        <w:rPr>
          <w:rFonts w:hint="eastAsia" w:ascii="宋体" w:hAnsi="宋体" w:cs="宋体"/>
          <w:bCs/>
          <w:szCs w:val="21"/>
        </w:rPr>
        <w:t>。</w:t>
      </w:r>
    </w:p>
    <w:p>
      <w:pPr>
        <w:keepNext/>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kern w:val="0"/>
          <w:szCs w:val="21"/>
        </w:rPr>
      </w:pPr>
      <w:r>
        <w:rPr>
          <w:rFonts w:hint="eastAsia" w:ascii="宋体" w:hAnsi="宋体" w:cs="宋体"/>
          <w:szCs w:val="21"/>
        </w:rPr>
        <w:t>11.1谈判保证金交纳方式：</w:t>
      </w:r>
      <w:r>
        <w:rPr>
          <w:rFonts w:hint="eastAsia" w:ascii="宋体" w:hAnsi="宋体" w:cs="宋体"/>
        </w:rPr>
        <w:t>谈判保证金以转账、支票、汇票、本票或者金融机构、担保机构出具的保函等非现金形式交纳</w:t>
      </w:r>
      <w:r>
        <w:rPr>
          <w:rFonts w:hint="eastAsia" w:ascii="宋体" w:hAnsi="宋体" w:cs="宋体"/>
          <w:b/>
          <w:bCs/>
        </w:rPr>
        <w:t>（不接受以个人名义交纳的谈判保证金）</w:t>
      </w:r>
      <w:r>
        <w:rPr>
          <w:rFonts w:hint="eastAsia" w:ascii="宋体" w:hAnsi="宋体" w:cs="宋体"/>
        </w:rPr>
        <w:t>。</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11.2</w:t>
      </w:r>
      <w:r>
        <w:rPr>
          <w:rFonts w:hint="eastAsia" w:hAnsi="宋体"/>
        </w:rPr>
        <w:t>谈判供应商应按本须知中明确的单位全称、开户行、账号，于</w:t>
      </w:r>
      <w:r>
        <w:rPr>
          <w:rFonts w:hint="eastAsia" w:hAnsi="宋体"/>
          <w:b/>
          <w:bCs/>
        </w:rPr>
        <w:t>2020年</w:t>
      </w:r>
      <w:r>
        <w:rPr>
          <w:rFonts w:hint="eastAsia" w:hAnsi="宋体"/>
          <w:b/>
          <w:bCs/>
          <w:lang w:val="en-US" w:eastAsia="zh-CN"/>
        </w:rPr>
        <w:t>11</w:t>
      </w:r>
      <w:r>
        <w:rPr>
          <w:rFonts w:hint="eastAsia" w:hAnsi="宋体"/>
          <w:b/>
          <w:bCs/>
        </w:rPr>
        <w:t>月</w:t>
      </w:r>
      <w:r>
        <w:rPr>
          <w:rFonts w:hint="eastAsia" w:hAnsi="宋体"/>
          <w:b/>
          <w:bCs/>
          <w:lang w:val="en-US" w:eastAsia="zh-CN"/>
        </w:rPr>
        <w:t>19</w:t>
      </w:r>
      <w:r>
        <w:rPr>
          <w:rFonts w:hint="eastAsia" w:hAnsi="宋体"/>
          <w:b/>
          <w:bCs/>
        </w:rPr>
        <w:t>日00:00前</w:t>
      </w:r>
      <w:r>
        <w:rPr>
          <w:rFonts w:hint="eastAsia" w:hAnsi="宋体"/>
        </w:rPr>
        <w:t>交到采购代理机构指定账户上（如是诚信记录良好的供应商须在此规定时间前将《诚信记录良好承诺函》盖章扫描</w:t>
      </w:r>
      <w:r>
        <w:rPr>
          <w:rFonts w:hint="eastAsia" w:hAnsi="宋体"/>
          <w:b/>
          <w:bCs/>
        </w:rPr>
        <w:t>发至采购代理机构的邮箱945048556@qq.com</w:t>
      </w:r>
      <w:r>
        <w:rPr>
          <w:rFonts w:hint="eastAsia" w:hAnsi="宋体"/>
        </w:rPr>
        <w:t>），并将交款的银行回单（回执）或《诚信记录良好承诺函》或其它相关有效证明复印件装订于响应文件中（以支票、汇票、本票或者金融机构、担保机构出具的保函形式交纳的，将相关原件在递交响应文件时一同递交到采购代理机构），否则采购代理机构将拒绝接收。谈判保证金交纳指定账户</w:t>
      </w:r>
      <w:r>
        <w:rPr>
          <w:rFonts w:hint="eastAsia" w:hAnsi="宋体"/>
          <w:bCs/>
        </w:rPr>
        <w:t>：</w:t>
      </w:r>
    </w:p>
    <w:p>
      <w:pPr>
        <w:pStyle w:val="28"/>
        <w:keepNext/>
        <w:keepLines w:val="0"/>
        <w:pageBreakBefore w:val="0"/>
        <w:kinsoku/>
        <w:wordWrap/>
        <w:overflowPunct/>
        <w:topLinePunct w:val="0"/>
        <w:autoSpaceDE/>
        <w:autoSpaceDN/>
        <w:bidi w:val="0"/>
        <w:spacing w:line="380" w:lineRule="exact"/>
        <w:ind w:firstLine="420" w:firstLineChars="200"/>
        <w:textAlignment w:val="auto"/>
        <w:rPr>
          <w:rFonts w:hint="eastAsia" w:hAnsi="宋体" w:cs="宋体"/>
        </w:rPr>
      </w:pPr>
      <w:r>
        <w:rPr>
          <w:rFonts w:hint="eastAsia" w:hAnsi="宋体" w:cs="宋体"/>
        </w:rPr>
        <w:t>开户名称：广西新宇建设项目管理有限公司北海分公司</w:t>
      </w:r>
    </w:p>
    <w:p>
      <w:pPr>
        <w:keepNext/>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szCs w:val="21"/>
        </w:rPr>
      </w:pPr>
      <w:r>
        <w:rPr>
          <w:rFonts w:hint="eastAsia" w:ascii="宋体" w:hAnsi="宋体" w:cs="宋体"/>
          <w:szCs w:val="21"/>
        </w:rPr>
        <w:t>开户银行：中国银行北海市北京南路支行</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 xml:space="preserve">银行账号：622366865643 </w:t>
      </w:r>
    </w:p>
    <w:p>
      <w:pPr>
        <w:pStyle w:val="28"/>
        <w:keepNext/>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hint="eastAsia" w:hAnsi="宋体"/>
        </w:rPr>
      </w:pPr>
      <w:r>
        <w:rPr>
          <w:rFonts w:hint="eastAsia" w:hAnsi="宋体" w:cs="宋体"/>
        </w:rPr>
        <w:t xml:space="preserve">  </w:t>
      </w:r>
      <w:r>
        <w:rPr>
          <w:rFonts w:hint="eastAsia" w:hAnsi="宋体"/>
        </w:rPr>
        <w:t>11.3 在办理谈判谈判保证金手续时，请务必在银行相关单据的用途或空白栏上注明“</w:t>
      </w:r>
      <w:r>
        <w:rPr>
          <w:rFonts w:hint="eastAsia" w:hAnsi="宋体"/>
          <w:lang w:eastAsia="zh-CN"/>
        </w:rPr>
        <w:t>BHZC2020-J1-000513-GXXY</w:t>
      </w:r>
      <w:r>
        <w:rPr>
          <w:rFonts w:hint="eastAsia" w:hAnsi="宋体"/>
        </w:rPr>
        <w:t>项目</w:t>
      </w:r>
      <w:r>
        <w:rPr>
          <w:rFonts w:hint="eastAsia" w:hAnsi="宋体"/>
          <w:u w:val="single"/>
          <w:lang w:val="en-US" w:eastAsia="zh-CN"/>
        </w:rPr>
        <w:t xml:space="preserve">     </w:t>
      </w:r>
      <w:r>
        <w:rPr>
          <w:rFonts w:hint="eastAsia" w:hAnsi="宋体"/>
          <w:lang w:val="en-US" w:eastAsia="zh-CN"/>
        </w:rPr>
        <w:t>分标</w:t>
      </w:r>
      <w:r>
        <w:rPr>
          <w:rFonts w:hint="eastAsia" w:hAnsi="宋体"/>
        </w:rPr>
        <w:t>谈判保证金”字样，以免耽误参加谈判采购及谈判保证金的按时退还。</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rPr>
      </w:pPr>
      <w:r>
        <w:rPr>
          <w:rFonts w:hint="eastAsia" w:ascii="宋体" w:hAnsi="宋体"/>
          <w:szCs w:val="21"/>
        </w:rPr>
        <w:t xml:space="preserve">11.4 </w:t>
      </w:r>
      <w:r>
        <w:rPr>
          <w:rFonts w:hint="eastAsia" w:ascii="宋体" w:hAnsi="宋体"/>
        </w:rPr>
        <w:t>未成交谈判供应商的谈判保证金，将在成交通知书发出后五个工作日内予以退还，不计利息。成交供应商</w:t>
      </w:r>
      <w:r>
        <w:rPr>
          <w:rFonts w:hint="eastAsia" w:ascii="宋体" w:hAnsi="宋体"/>
          <w:szCs w:val="21"/>
        </w:rPr>
        <w:t>的谈判保证金在合同签订后并交到采购代理机构后的五个工作日内退还，不计利息。</w:t>
      </w:r>
    </w:p>
    <w:p>
      <w:pPr>
        <w:keepNext/>
        <w:keepLines w:val="0"/>
        <w:pageBreakBefore w:val="0"/>
        <w:tabs>
          <w:tab w:val="left" w:pos="975"/>
        </w:tabs>
        <w:kinsoku/>
        <w:wordWrap/>
        <w:overflowPunct/>
        <w:topLinePunct w:val="0"/>
        <w:autoSpaceDE/>
        <w:autoSpaceDN/>
        <w:bidi w:val="0"/>
        <w:adjustRightInd w:val="0"/>
        <w:snapToGrid w:val="0"/>
        <w:spacing w:line="380" w:lineRule="exact"/>
        <w:ind w:firstLine="413" w:firstLineChars="196"/>
        <w:jc w:val="left"/>
        <w:textAlignment w:val="auto"/>
        <w:rPr>
          <w:rFonts w:hint="eastAsia" w:ascii="宋体" w:hAnsi="宋体" w:cs="宋体"/>
          <w:bCs/>
          <w:szCs w:val="21"/>
        </w:rPr>
      </w:pPr>
      <w:r>
        <w:rPr>
          <w:rFonts w:hint="eastAsia" w:ascii="宋体" w:hAnsi="宋体" w:cs="宋体"/>
          <w:b/>
          <w:bCs/>
          <w:szCs w:val="21"/>
        </w:rPr>
        <w:t>注：</w:t>
      </w:r>
      <w:r>
        <w:rPr>
          <w:rFonts w:hint="eastAsia" w:ascii="宋体" w:hAnsi="宋体" w:cs="宋体"/>
          <w:kern w:val="0"/>
          <w:szCs w:val="21"/>
        </w:rPr>
        <w:t>在采购过程中符合竞争要求的谈判供应商或者报价未超过采购预算的谈判供应商不足3家的</w:t>
      </w:r>
      <w:r>
        <w:rPr>
          <w:rFonts w:hint="eastAsia" w:ascii="宋体" w:hAnsi="宋体" w:cs="宋体"/>
          <w:bCs/>
          <w:szCs w:val="21"/>
        </w:rPr>
        <w:t>，采购代理机构将按政府采购管理的有关规定处理。</w:t>
      </w:r>
    </w:p>
    <w:p>
      <w:pPr>
        <w:keepNext/>
        <w:keepLines w:val="0"/>
        <w:pageBreakBefore w:val="0"/>
        <w:kinsoku/>
        <w:wordWrap/>
        <w:overflowPunct/>
        <w:topLinePunct w:val="0"/>
        <w:autoSpaceDE/>
        <w:autoSpaceDN/>
        <w:bidi w:val="0"/>
        <w:adjustRightInd w:val="0"/>
        <w:snapToGrid w:val="0"/>
        <w:spacing w:line="380" w:lineRule="exact"/>
        <w:ind w:firstLine="413" w:firstLineChars="196"/>
        <w:jc w:val="left"/>
        <w:textAlignment w:val="auto"/>
        <w:rPr>
          <w:rFonts w:hint="eastAsia" w:ascii="宋体" w:hAnsi="宋体" w:cs="宋体"/>
          <w:b/>
          <w:bCs/>
          <w:szCs w:val="21"/>
        </w:rPr>
      </w:pPr>
      <w:r>
        <w:rPr>
          <w:rFonts w:hint="eastAsia" w:ascii="宋体" w:hAnsi="宋体" w:cs="宋体"/>
          <w:b/>
          <w:bCs/>
          <w:szCs w:val="21"/>
        </w:rPr>
        <w:t>11.5谈判供应商有下列情形之一的，谈判保证金将不予退还：</w:t>
      </w:r>
    </w:p>
    <w:p>
      <w:pPr>
        <w:keepNext/>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（1）谈判供应商在提交</w:t>
      </w:r>
      <w:r>
        <w:rPr>
          <w:rFonts w:hint="eastAsia" w:ascii="宋体" w:hAnsi="宋体" w:cs="宋体"/>
          <w:szCs w:val="21"/>
        </w:rPr>
        <w:t>响应文件</w:t>
      </w:r>
      <w:r>
        <w:rPr>
          <w:rFonts w:hint="eastAsia" w:ascii="宋体" w:hAnsi="宋体" w:cs="宋体"/>
          <w:kern w:val="0"/>
          <w:szCs w:val="21"/>
        </w:rPr>
        <w:t>截止时间后撤回</w:t>
      </w:r>
      <w:r>
        <w:rPr>
          <w:rFonts w:hint="eastAsia" w:ascii="宋体" w:hAnsi="宋体" w:cs="宋体"/>
          <w:szCs w:val="21"/>
        </w:rPr>
        <w:t>响应文件</w:t>
      </w:r>
      <w:r>
        <w:rPr>
          <w:rFonts w:hint="eastAsia" w:ascii="宋体" w:hAnsi="宋体" w:cs="宋体"/>
          <w:kern w:val="0"/>
          <w:szCs w:val="21"/>
        </w:rPr>
        <w:t>的；</w:t>
      </w:r>
    </w:p>
    <w:p>
      <w:pPr>
        <w:keepNext/>
        <w:keepLines w:val="0"/>
        <w:pageBreakBefore w:val="0"/>
        <w:widowControl/>
        <w:kinsoku/>
        <w:wordWrap/>
        <w:overflowPunct/>
        <w:topLinePunct w:val="0"/>
        <w:autoSpaceDE/>
        <w:autoSpaceDN/>
        <w:bidi w:val="0"/>
        <w:adjustRightInd w:val="0"/>
        <w:snapToGrid w:val="0"/>
        <w:spacing w:line="380" w:lineRule="exact"/>
        <w:jc w:val="left"/>
        <w:textAlignment w:val="auto"/>
        <w:rPr>
          <w:rFonts w:hint="eastAsia" w:ascii="宋体" w:hAnsi="宋体" w:cs="宋体"/>
          <w:kern w:val="0"/>
          <w:szCs w:val="21"/>
        </w:rPr>
      </w:pPr>
      <w:r>
        <w:rPr>
          <w:rFonts w:hint="eastAsia" w:ascii="宋体" w:hAnsi="宋体" w:cs="宋体"/>
          <w:kern w:val="0"/>
          <w:szCs w:val="21"/>
        </w:rPr>
        <w:t>　　（2）谈判供应商在</w:t>
      </w:r>
      <w:r>
        <w:rPr>
          <w:rFonts w:hint="eastAsia" w:ascii="宋体" w:hAnsi="宋体" w:cs="宋体"/>
          <w:szCs w:val="21"/>
        </w:rPr>
        <w:t>响应文件</w:t>
      </w:r>
      <w:r>
        <w:rPr>
          <w:rFonts w:hint="eastAsia" w:ascii="宋体" w:hAnsi="宋体" w:cs="宋体"/>
          <w:kern w:val="0"/>
          <w:szCs w:val="21"/>
        </w:rPr>
        <w:t>中提供虚假材料的；</w:t>
      </w:r>
    </w:p>
    <w:p>
      <w:pPr>
        <w:keepNext/>
        <w:keepLines w:val="0"/>
        <w:pageBreakBefore w:val="0"/>
        <w:widowControl/>
        <w:kinsoku/>
        <w:wordWrap/>
        <w:overflowPunct/>
        <w:topLinePunct w:val="0"/>
        <w:autoSpaceDE/>
        <w:autoSpaceDN/>
        <w:bidi w:val="0"/>
        <w:adjustRightInd w:val="0"/>
        <w:snapToGrid w:val="0"/>
        <w:spacing w:line="380" w:lineRule="exact"/>
        <w:jc w:val="left"/>
        <w:textAlignment w:val="auto"/>
        <w:rPr>
          <w:rFonts w:hint="eastAsia" w:ascii="宋体" w:hAnsi="宋体" w:cs="宋体"/>
          <w:kern w:val="0"/>
          <w:szCs w:val="21"/>
        </w:rPr>
      </w:pPr>
      <w:r>
        <w:rPr>
          <w:rFonts w:hint="eastAsia" w:ascii="宋体" w:hAnsi="宋体" w:cs="宋体"/>
          <w:kern w:val="0"/>
          <w:szCs w:val="21"/>
        </w:rPr>
        <w:t>　　（3）除因不可抗力或竞争性谈判文件认可的情形以外，成交供应商不与采购人签订合同的；</w:t>
      </w:r>
    </w:p>
    <w:p>
      <w:pPr>
        <w:keepNext/>
        <w:keepLines w:val="0"/>
        <w:pageBreakBefore w:val="0"/>
        <w:widowControl/>
        <w:kinsoku/>
        <w:wordWrap/>
        <w:overflowPunct/>
        <w:topLinePunct w:val="0"/>
        <w:autoSpaceDE/>
        <w:autoSpaceDN/>
        <w:bidi w:val="0"/>
        <w:adjustRightInd w:val="0"/>
        <w:snapToGrid w:val="0"/>
        <w:spacing w:line="380" w:lineRule="exact"/>
        <w:ind w:firstLine="420"/>
        <w:jc w:val="left"/>
        <w:textAlignment w:val="auto"/>
        <w:rPr>
          <w:rFonts w:hint="eastAsia" w:ascii="宋体" w:hAnsi="宋体" w:cs="宋体"/>
          <w:kern w:val="0"/>
          <w:szCs w:val="21"/>
        </w:rPr>
      </w:pPr>
      <w:r>
        <w:rPr>
          <w:rFonts w:hint="eastAsia" w:ascii="宋体" w:hAnsi="宋体" w:cs="宋体"/>
          <w:kern w:val="0"/>
          <w:szCs w:val="21"/>
        </w:rPr>
        <w:t>（4）谈判供应商与采购人、其他谈判供应商或者采购代理机构恶意串通的。</w:t>
      </w:r>
    </w:p>
    <w:p>
      <w:pPr>
        <w:keepNext/>
        <w:keepLines w:val="0"/>
        <w:pageBreakBefore w:val="0"/>
        <w:widowControl/>
        <w:kinsoku/>
        <w:wordWrap/>
        <w:overflowPunct/>
        <w:topLinePunct w:val="0"/>
        <w:autoSpaceDE/>
        <w:autoSpaceDN/>
        <w:bidi w:val="0"/>
        <w:adjustRightInd w:val="0"/>
        <w:snapToGrid w:val="0"/>
        <w:spacing w:line="380" w:lineRule="exact"/>
        <w:jc w:val="center"/>
        <w:textAlignment w:val="auto"/>
        <w:rPr>
          <w:rFonts w:hint="eastAsia" w:ascii="宋体" w:hAnsi="宋体" w:cs="宋体"/>
          <w:b/>
        </w:rPr>
      </w:pPr>
      <w:r>
        <w:rPr>
          <w:rFonts w:hint="eastAsia" w:ascii="宋体" w:hAnsi="宋体" w:cs="宋体"/>
          <w:b/>
          <w:szCs w:val="21"/>
        </w:rPr>
        <w:t>五</w:t>
      </w:r>
      <w:r>
        <w:rPr>
          <w:rFonts w:hint="eastAsia" w:ascii="宋体" w:hAnsi="宋体" w:cs="宋体"/>
          <w:b/>
        </w:rPr>
        <w:t>.谈判程序及评定标准</w:t>
      </w:r>
    </w:p>
    <w:p>
      <w:pPr>
        <w:pStyle w:val="28"/>
        <w:keepNext/>
        <w:keepLines w:val="0"/>
        <w:pageBreakBefore w:val="0"/>
        <w:kinsoku/>
        <w:wordWrap/>
        <w:overflowPunct/>
        <w:topLinePunct w:val="0"/>
        <w:autoSpaceDE/>
        <w:autoSpaceDN/>
        <w:bidi w:val="0"/>
        <w:spacing w:line="380" w:lineRule="exact"/>
        <w:ind w:firstLine="420" w:firstLineChars="200"/>
        <w:textAlignment w:val="auto"/>
        <w:rPr>
          <w:rFonts w:hint="eastAsia" w:hAnsi="宋体" w:cs="宋体"/>
          <w:b/>
          <w:bCs/>
          <w:highlight w:val="none"/>
        </w:rPr>
      </w:pPr>
      <w:r>
        <w:rPr>
          <w:rFonts w:hint="eastAsia" w:hAnsi="宋体" w:cs="宋体"/>
        </w:rPr>
        <w:t>响应文件开启时间及地点：见本须知前附表</w:t>
      </w:r>
      <w:r>
        <w:rPr>
          <w:rFonts w:hint="eastAsia" w:hAnsi="宋体" w:cs="宋体"/>
          <w:bCs/>
        </w:rPr>
        <w:t>。</w:t>
      </w:r>
      <w:r>
        <w:rPr>
          <w:rFonts w:hint="eastAsia" w:hAnsi="宋体" w:cs="宋体"/>
        </w:rPr>
        <w:t>每个谈判供应商派1人参加响应文</w:t>
      </w:r>
      <w:r>
        <w:rPr>
          <w:rFonts w:hint="eastAsia" w:hAnsi="宋体" w:cs="宋体"/>
          <w:highlight w:val="none"/>
        </w:rPr>
        <w:t>件开启会。</w:t>
      </w:r>
    </w:p>
    <w:p>
      <w:pPr>
        <w:pStyle w:val="28"/>
        <w:keepNext/>
        <w:keepLines w:val="0"/>
        <w:pageBreakBefore w:val="0"/>
        <w:kinsoku/>
        <w:wordWrap/>
        <w:overflowPunct/>
        <w:topLinePunct w:val="0"/>
        <w:autoSpaceDE/>
        <w:autoSpaceDN/>
        <w:bidi w:val="0"/>
        <w:spacing w:line="380" w:lineRule="exact"/>
        <w:ind w:firstLine="420"/>
        <w:textAlignment w:val="auto"/>
        <w:rPr>
          <w:rFonts w:hint="eastAsia" w:hAnsi="宋体" w:cs="宋体"/>
        </w:rPr>
      </w:pPr>
      <w:r>
        <w:rPr>
          <w:rFonts w:hint="eastAsia" w:hAnsi="宋体" w:cs="宋体"/>
          <w:highlight w:val="none"/>
        </w:rPr>
        <w:t>参加响应文件开启会的供应商代表应签名报到，以证明其出席响应文件开启会议，参加会议的谈判供应商代表必须持证件【</w:t>
      </w:r>
      <w:r>
        <w:rPr>
          <w:rFonts w:hint="eastAsia" w:hAnsi="宋体" w:cs="宋体"/>
          <w:b/>
          <w:bCs/>
          <w:highlight w:val="none"/>
        </w:rPr>
        <w:t>法定代表人凭本人身份证原件及营业执照复印件（或委托代理人凭由法定代表人签署的授权委托书原件和本人身份证原件）</w:t>
      </w:r>
      <w:r>
        <w:rPr>
          <w:rFonts w:hint="eastAsia" w:hAnsi="宋体" w:cs="宋体"/>
          <w:b/>
          <w:bCs/>
          <w:highlight w:val="none"/>
          <w:lang w:eastAsia="zh-CN"/>
        </w:rPr>
        <w:t>，</w:t>
      </w:r>
      <w:r>
        <w:rPr>
          <w:rFonts w:hint="eastAsia" w:hAnsi="宋体" w:cs="宋体"/>
          <w:b/>
          <w:bCs/>
          <w:highlight w:val="none"/>
        </w:rPr>
        <w:t>以上材料均需加盖谈判供应商公章。</w:t>
      </w:r>
      <w:r>
        <w:rPr>
          <w:rFonts w:hint="eastAsia" w:hAnsi="宋体" w:cs="宋体"/>
          <w:highlight w:val="none"/>
        </w:rPr>
        <w:t>】</w:t>
      </w:r>
      <w:r>
        <w:rPr>
          <w:rFonts w:hint="eastAsia" w:hAnsi="宋体" w:cs="宋体"/>
          <w:kern w:val="0"/>
          <w:highlight w:val="none"/>
        </w:rPr>
        <w:t>接受</w:t>
      </w:r>
      <w:r>
        <w:rPr>
          <w:rFonts w:hint="eastAsia" w:hAnsi="宋体" w:cs="宋体"/>
          <w:highlight w:val="none"/>
        </w:rPr>
        <w:t>验证，未带齐以上证件的不能代表本单位递交响应文件</w:t>
      </w:r>
      <w:r>
        <w:rPr>
          <w:rFonts w:hint="eastAsia" w:hAnsi="宋体" w:cs="宋体"/>
        </w:rPr>
        <w:t>及参加响应文件开启会。</w:t>
      </w:r>
    </w:p>
    <w:p>
      <w:pPr>
        <w:keepNext/>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cs="宋体"/>
          <w:szCs w:val="21"/>
        </w:rPr>
      </w:pPr>
      <w:r>
        <w:rPr>
          <w:rFonts w:hint="eastAsia" w:ascii="宋体" w:hAnsi="宋体" w:cs="宋体"/>
          <w:b/>
          <w:bCs/>
          <w:szCs w:val="21"/>
        </w:rPr>
        <w:t>疫情防控期间，请所有人员佩戴口罩入场，并配合工作人员进行体温测量及信息登记等工作（未佩戴口罩或体温超过37.2℃的人员递交的响应文件不予接受）。每个谈判供应商只能安排一名人员到现场。递交了响应文件的谈判供应商未参加响应文件开启会的，视同认可响应文件开启会结果。</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rPr>
      </w:pPr>
      <w:r>
        <w:rPr>
          <w:rFonts w:hint="eastAsia" w:ascii="宋体" w:hAnsi="宋体" w:cs="宋体"/>
        </w:rPr>
        <w:t>12.1第一轮谈判</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rPr>
      </w:pPr>
      <w:r>
        <w:rPr>
          <w:rFonts w:hint="eastAsia" w:ascii="宋体" w:hAnsi="宋体" w:cs="宋体"/>
        </w:rPr>
        <w:t>谈判时间及地点：详见本须知前附表第8项规定。</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rPr>
      </w:pPr>
      <w:r>
        <w:rPr>
          <w:rFonts w:hint="eastAsia" w:ascii="宋体" w:hAnsi="宋体" w:cs="宋体"/>
        </w:rPr>
        <w:t>在谈判正式开始前，首先对响应文件的份数进行检查，如响应文件的份数少于竞争性谈判文件的要求则按谈判无效处理；其次由谈判小组对竞争性谈判文件进行确认，在认可竞争性谈判文件的内容符合法律法规的规定、不存在歧视性或排他性内容的情况下开展下一步的评审工作。</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rPr>
      </w:pPr>
      <w:r>
        <w:rPr>
          <w:rFonts w:hint="eastAsia" w:ascii="宋体" w:hAnsi="宋体" w:cs="宋体"/>
        </w:rPr>
        <w:t>谈判小组对响应文件进行资格性审查，依据竞争性谈判文件对已通过资格性审核的各响应文件进行书面评审，审查响应文件是否实质上响应了竞争性谈判文件的要求，未实质性响应竞争性谈判文件的竞争性谈判响应文件按无效处理，谈判小组应当告知有关供应商。</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rPr>
      </w:pPr>
      <w:r>
        <w:rPr>
          <w:rFonts w:hint="eastAsia" w:ascii="宋体" w:hAnsi="宋体" w:cs="宋体"/>
        </w:rPr>
        <w:t>在评审后由谈判小组组长主持，归纳各专家审核意见，形成谈判要点。谈判小组依据谈判要点，与单一供应商分别进行谈判，给予所有参加谈判的供应商平等的谈判机会。</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04" w:firstLineChars="200"/>
        <w:jc w:val="left"/>
        <w:textAlignment w:val="auto"/>
        <w:rPr>
          <w:rFonts w:hint="eastAsia" w:ascii="宋体" w:hAnsi="宋体" w:cs="宋体"/>
          <w:spacing w:val="-4"/>
          <w:szCs w:val="21"/>
        </w:rPr>
      </w:pPr>
      <w:r>
        <w:rPr>
          <w:rFonts w:hint="eastAsia" w:ascii="宋体" w:hAnsi="宋体" w:cs="宋体"/>
          <w:spacing w:val="-4"/>
          <w:szCs w:val="21"/>
        </w:rPr>
        <w:t>谈判评审在严格保密的情况下进行，谈判的任何一方不得透露与谈判有关的其他供应商的技术资料、价格和其他信息。采购代理机构对谈判过程和重要谈判内容进行记录，谈判双方在记录上签字确认。</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谈判后，供应商根据谈判小组统一整理的书面谈判记录要求做出书面承诺，并由其</w:t>
      </w:r>
      <w:r>
        <w:rPr>
          <w:rFonts w:hint="eastAsia" w:ascii="宋体" w:hAnsi="宋体" w:cs="宋体"/>
          <w:spacing w:val="2"/>
        </w:rPr>
        <w:t>法定代表人（负责人）</w:t>
      </w:r>
      <w:r>
        <w:rPr>
          <w:rFonts w:hint="eastAsia" w:ascii="宋体" w:hAnsi="宋体" w:cs="宋体"/>
          <w:szCs w:val="21"/>
        </w:rPr>
        <w:t>或授权代表签字或者加盖公章</w:t>
      </w:r>
      <w:r>
        <w:rPr>
          <w:rFonts w:hint="eastAsia" w:ascii="宋体" w:hAnsi="宋体" w:cs="宋体"/>
          <w:kern w:val="0"/>
          <w:szCs w:val="21"/>
        </w:rPr>
        <w:t>后按时密封递交</w:t>
      </w:r>
      <w:r>
        <w:rPr>
          <w:rFonts w:hint="eastAsia" w:ascii="宋体" w:hAnsi="宋体" w:cs="宋体"/>
          <w:szCs w:val="21"/>
        </w:rPr>
        <w:t>。</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04" w:firstLineChars="200"/>
        <w:jc w:val="left"/>
        <w:textAlignment w:val="auto"/>
        <w:rPr>
          <w:rFonts w:hint="eastAsia" w:ascii="宋体" w:hAnsi="宋体" w:cs="宋体"/>
          <w:spacing w:val="-4"/>
          <w:szCs w:val="21"/>
        </w:rPr>
      </w:pPr>
      <w:r>
        <w:rPr>
          <w:rFonts w:hint="eastAsia" w:ascii="宋体" w:hAnsi="宋体" w:cs="宋体"/>
          <w:spacing w:val="-4"/>
          <w:szCs w:val="21"/>
        </w:rPr>
        <w:t>当谈判小组一致确定供应商的响应文件符合竞争性谈判文件要求，无需再谈判的，谈判小组按竞争性谈判文件设定的程序和</w:t>
      </w:r>
      <w:r>
        <w:rPr>
          <w:rFonts w:hint="eastAsia" w:ascii="宋体" w:hAnsi="宋体" w:cs="宋体"/>
          <w:spacing w:val="-4"/>
        </w:rPr>
        <w:t>评定标准</w:t>
      </w:r>
      <w:r>
        <w:rPr>
          <w:rFonts w:hint="eastAsia" w:ascii="宋体" w:hAnsi="宋体" w:cs="宋体"/>
          <w:spacing w:val="-4"/>
          <w:szCs w:val="21"/>
        </w:rPr>
        <w:t>确定成交候选人。第一轮谈判后竞争性谈判文件有实质性变动或仍需谈判的，谈判小组对竞争性谈判文件变动或提出谈判意见后进行第二轮谈判。</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12.2竞争性谈判文件变动</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1）第一轮谈判结束后，各响应供应商退场等候，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对竞争性谈判文件作出的实质性变动是竞争性谈判文件的有效组成部分，谈判小组应当及时以书面形式同时通知所有参加谈判的供应商，并要求供应商做出书面响应。</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315" w:firstLineChars="150"/>
        <w:jc w:val="left"/>
        <w:textAlignment w:val="auto"/>
        <w:rPr>
          <w:rFonts w:hint="eastAsia" w:ascii="宋体" w:hAnsi="宋体" w:cs="宋体"/>
          <w:szCs w:val="21"/>
        </w:rPr>
      </w:pPr>
      <w:r>
        <w:rPr>
          <w:rFonts w:hint="eastAsia" w:ascii="宋体" w:hAnsi="宋体" w:cs="宋体"/>
          <w:szCs w:val="21"/>
        </w:rPr>
        <w:t>（2）供应商应当按照竞争性谈判文件的变动情况和谈判小组的要求重新提交响应文件的相应变动部分，并由其</w:t>
      </w:r>
      <w:r>
        <w:rPr>
          <w:rFonts w:hint="eastAsia" w:ascii="宋体" w:hAnsi="宋体" w:cs="宋体"/>
          <w:spacing w:val="2"/>
        </w:rPr>
        <w:t>法定代表人（负责人）</w:t>
      </w:r>
      <w:r>
        <w:rPr>
          <w:rFonts w:hint="eastAsia" w:ascii="宋体" w:hAnsi="宋体" w:cs="宋体"/>
          <w:szCs w:val="21"/>
        </w:rPr>
        <w:t>或授权代表签字或者加盖公章后密封递交。由授权代表（委托代理人）签字的，应当附</w:t>
      </w:r>
      <w:r>
        <w:rPr>
          <w:rFonts w:hint="eastAsia" w:ascii="宋体" w:hAnsi="宋体" w:cs="宋体"/>
          <w:spacing w:val="2"/>
        </w:rPr>
        <w:t>法定代表人（负责人）</w:t>
      </w:r>
      <w:r>
        <w:rPr>
          <w:rFonts w:hint="eastAsia" w:ascii="宋体" w:hAnsi="宋体" w:cs="宋体"/>
          <w:szCs w:val="21"/>
        </w:rPr>
        <w:t>授权书。供应商为自然人的，应当由本人签字并附身份证明。逾时不交的，视同放弃谈判。重新提交的响应文件相应变动部分与响应文件同具法律效力。</w:t>
      </w:r>
    </w:p>
    <w:p>
      <w:pPr>
        <w:keepNext/>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12.3第二轮谈判</w:t>
      </w:r>
      <w:r>
        <w:rPr>
          <w:rFonts w:hint="eastAsia" w:ascii="宋体" w:hAnsi="宋体" w:cs="宋体"/>
          <w:szCs w:val="21"/>
        </w:rPr>
        <w:t>法定代表人</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kern w:val="0"/>
          <w:szCs w:val="21"/>
        </w:rPr>
        <w:t>谈判小组集中就</w:t>
      </w:r>
      <w:r>
        <w:rPr>
          <w:rFonts w:hint="eastAsia" w:ascii="宋体" w:hAnsi="宋体" w:cs="宋体"/>
          <w:szCs w:val="21"/>
        </w:rPr>
        <w:t>重新提交的响应文件或</w:t>
      </w:r>
      <w:r>
        <w:rPr>
          <w:rFonts w:hint="eastAsia" w:ascii="宋体" w:hAnsi="宋体" w:cs="宋体"/>
          <w:kern w:val="0"/>
          <w:szCs w:val="21"/>
        </w:rPr>
        <w:t>谈判小组</w:t>
      </w:r>
      <w:r>
        <w:rPr>
          <w:rFonts w:hint="eastAsia" w:ascii="宋体" w:hAnsi="宋体" w:cs="宋体"/>
          <w:szCs w:val="21"/>
        </w:rPr>
        <w:t>提出的谈判意见</w:t>
      </w:r>
      <w:r>
        <w:rPr>
          <w:rFonts w:hint="eastAsia" w:ascii="宋体" w:hAnsi="宋体" w:cs="宋体"/>
          <w:kern w:val="0"/>
          <w:szCs w:val="21"/>
        </w:rPr>
        <w:t>与单一响应供应商分别进行谈判。</w:t>
      </w:r>
      <w:r>
        <w:rPr>
          <w:rFonts w:hint="eastAsia" w:ascii="宋体" w:hAnsi="宋体" w:cs="宋体"/>
          <w:szCs w:val="21"/>
        </w:rPr>
        <w:t>采购代理机构对谈判过程和重要谈判内容进行记录，谈判双方在记录上签字确认。</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谈判后，供应商根据谈判小组统一整理的书面谈判记录要求做出书面承诺，并由其等或授权代表签字或者加盖公章</w:t>
      </w:r>
      <w:r>
        <w:rPr>
          <w:rFonts w:hint="eastAsia" w:ascii="宋体" w:hAnsi="宋体" w:cs="宋体"/>
          <w:kern w:val="0"/>
          <w:szCs w:val="21"/>
        </w:rPr>
        <w:t>后按时密封递交</w:t>
      </w:r>
      <w:r>
        <w:rPr>
          <w:rFonts w:hint="eastAsia" w:ascii="宋体" w:hAnsi="宋体" w:cs="宋体"/>
          <w:szCs w:val="21"/>
        </w:rPr>
        <w:t>。</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当谈判小组一致确定供应商的响应文件符合竞争性谈判文件要求，无需再谈判的，谈判小组按竞争性谈判文件设定的程序和</w:t>
      </w:r>
      <w:r>
        <w:rPr>
          <w:rFonts w:hint="eastAsia" w:ascii="宋体" w:hAnsi="宋体" w:cs="宋体"/>
        </w:rPr>
        <w:t>评定标准</w:t>
      </w:r>
      <w:r>
        <w:rPr>
          <w:rFonts w:hint="eastAsia" w:ascii="宋体" w:hAnsi="宋体" w:cs="宋体"/>
          <w:szCs w:val="21"/>
        </w:rPr>
        <w:t>确定成交候选人。第二轮谈判后竞争性谈判文件仍有实质性变动的或仍需谈判的，谈判小组对竞争性谈判文件变动或提出谈判意见后进行第三轮谈判。以此类推。</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每次报价均不得高于上一次报价，否则此次报价无效。</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最终谈判结束后，谈判小组不得再与谈判供应商进行任何形式的商谈。</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12.4最后报价</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谈判结束后，谈判小组要求所有继续参加谈判的供应商在规定时间内提交最后报价。继续参加谈判的供应商</w:t>
      </w:r>
      <w:r>
        <w:rPr>
          <w:rFonts w:hint="eastAsia" w:ascii="宋体" w:hAnsi="宋体" w:cs="宋体"/>
          <w:szCs w:val="21"/>
        </w:rPr>
        <w:t>作最后报价，由其</w:t>
      </w:r>
      <w:r>
        <w:rPr>
          <w:rFonts w:hint="eastAsia" w:ascii="宋体" w:hAnsi="宋体" w:cs="宋体"/>
          <w:spacing w:val="2"/>
        </w:rPr>
        <w:t>法定代表人（负责人）</w:t>
      </w:r>
      <w:r>
        <w:rPr>
          <w:rFonts w:hint="eastAsia" w:ascii="宋体" w:hAnsi="宋体" w:cs="宋体"/>
          <w:szCs w:val="21"/>
        </w:rPr>
        <w:t>或授权代表签字或者加盖公章</w:t>
      </w:r>
      <w:r>
        <w:rPr>
          <w:rFonts w:hint="eastAsia" w:ascii="宋体" w:hAnsi="宋体" w:cs="宋体"/>
          <w:kern w:val="0"/>
          <w:szCs w:val="21"/>
        </w:rPr>
        <w:t>后密封递交</w:t>
      </w:r>
      <w:r>
        <w:rPr>
          <w:rFonts w:hint="eastAsia" w:ascii="宋体" w:hAnsi="宋体" w:cs="宋体"/>
          <w:szCs w:val="21"/>
        </w:rPr>
        <w:t>谈判小组，谈判小组</w:t>
      </w:r>
      <w:r>
        <w:rPr>
          <w:rFonts w:hint="eastAsia" w:ascii="宋体" w:hAnsi="宋体" w:cs="宋体"/>
          <w:kern w:val="0"/>
          <w:szCs w:val="21"/>
        </w:rPr>
        <w:t>从质量和服务均能满</w:t>
      </w:r>
      <w:r>
        <w:rPr>
          <w:rFonts w:hint="eastAsia" w:ascii="宋体" w:hAnsi="宋体" w:cs="宋体"/>
          <w:bCs/>
        </w:rPr>
        <w:t>足竞争性谈判文件</w:t>
      </w:r>
      <w:r>
        <w:rPr>
          <w:rFonts w:hint="eastAsia" w:ascii="宋体" w:hAnsi="宋体" w:cs="宋体"/>
          <w:kern w:val="0"/>
          <w:szCs w:val="21"/>
        </w:rPr>
        <w:t>实质性响应要求的供应商中，按照最后报价（评标价）由低到高的顺序提出3名成交候选人，</w:t>
      </w:r>
      <w:r>
        <w:rPr>
          <w:rFonts w:hint="eastAsia" w:ascii="宋体" w:hAnsi="宋体" w:cs="宋体"/>
          <w:bCs/>
        </w:rPr>
        <w:t>最后报价</w:t>
      </w:r>
      <w:r>
        <w:rPr>
          <w:rFonts w:hint="eastAsia" w:ascii="宋体" w:hAnsi="宋体" w:cs="宋体"/>
          <w:kern w:val="0"/>
          <w:szCs w:val="21"/>
        </w:rPr>
        <w:t>（评标价）</w:t>
      </w:r>
      <w:r>
        <w:rPr>
          <w:rFonts w:hint="eastAsia" w:ascii="宋体" w:hAnsi="宋体" w:cs="宋体"/>
          <w:bCs/>
        </w:rPr>
        <w:t>相同时，由谈判小组根据</w:t>
      </w:r>
      <w:r>
        <w:rPr>
          <w:rFonts w:hint="eastAsia" w:ascii="宋体" w:hAnsi="宋体" w:cs="宋体"/>
          <w:szCs w:val="21"/>
        </w:rPr>
        <w:t>响应文件</w:t>
      </w:r>
      <w:r>
        <w:rPr>
          <w:rFonts w:hint="eastAsia" w:ascii="宋体" w:hAnsi="宋体" w:cs="宋体"/>
          <w:bCs/>
        </w:rPr>
        <w:t>中技术、服务、合同条款情况集体讨论确定排序，按确定排序由低到高的原则推荐成交候选人，</w:t>
      </w:r>
      <w:r>
        <w:rPr>
          <w:rFonts w:hint="eastAsia" w:ascii="宋体" w:hAnsi="宋体" w:cs="宋体"/>
          <w:kern w:val="0"/>
          <w:szCs w:val="21"/>
        </w:rPr>
        <w:t>并编写评审报告。最后报价是供应商</w:t>
      </w:r>
      <w:r>
        <w:rPr>
          <w:rFonts w:hint="eastAsia" w:ascii="宋体" w:hAnsi="宋体" w:cs="宋体"/>
          <w:szCs w:val="21"/>
        </w:rPr>
        <w:t>响应文件</w:t>
      </w:r>
      <w:r>
        <w:rPr>
          <w:rFonts w:hint="eastAsia" w:ascii="宋体" w:hAnsi="宋体" w:cs="宋体"/>
          <w:kern w:val="0"/>
          <w:szCs w:val="21"/>
        </w:rPr>
        <w:t>的有效组成部分。</w:t>
      </w:r>
    </w:p>
    <w:p>
      <w:pPr>
        <w:keepNext/>
        <w:keepLines w:val="0"/>
        <w:pageBreakBefore w:val="0"/>
        <w:kinsoku/>
        <w:wordWrap/>
        <w:overflowPunct/>
        <w:topLinePunct w:val="0"/>
        <w:autoSpaceDE/>
        <w:autoSpaceDN/>
        <w:bidi w:val="0"/>
        <w:adjustRightInd w:val="0"/>
        <w:snapToGrid w:val="0"/>
        <w:spacing w:line="38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keepLines w:val="0"/>
        <w:pageBreakBefore w:val="0"/>
        <w:tabs>
          <w:tab w:val="left" w:pos="540"/>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12.5谈判供应商的报价均超过了政府采购预算，采购人不能支付的，谈判活动废止。</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12.6本采购项目的评审依据为竞争性谈判文件和响应文件，采用的评定标准为：</w:t>
      </w:r>
      <w:r>
        <w:rPr>
          <w:rFonts w:hint="eastAsia" w:hAnsi="宋体" w:cs="宋体"/>
          <w:kern w:val="0"/>
        </w:rPr>
        <w:t>质量和服务均能满足</w:t>
      </w:r>
      <w:r>
        <w:rPr>
          <w:rFonts w:hint="eastAsia" w:hAnsi="宋体" w:cs="宋体"/>
        </w:rPr>
        <w:t>竞争性谈判文件</w:t>
      </w:r>
      <w:r>
        <w:rPr>
          <w:rFonts w:hint="eastAsia" w:hAnsi="宋体" w:cs="宋体"/>
          <w:kern w:val="0"/>
        </w:rPr>
        <w:t>实质性响应要求的供应商中按最后报价（评标价）最低的原则确定成交供应商</w:t>
      </w:r>
      <w:r>
        <w:rPr>
          <w:rFonts w:hint="eastAsia" w:hAnsi="宋体" w:cs="宋体"/>
        </w:rPr>
        <w:t>。</w:t>
      </w:r>
    </w:p>
    <w:p>
      <w:pPr>
        <w:pStyle w:val="28"/>
        <w:keepNext/>
        <w:keepLines w:val="0"/>
        <w:pageBreakBefore w:val="0"/>
        <w:kinsoku/>
        <w:wordWrap/>
        <w:overflowPunct/>
        <w:topLinePunct w:val="0"/>
        <w:autoSpaceDE/>
        <w:autoSpaceDN/>
        <w:bidi w:val="0"/>
        <w:adjustRightInd w:val="0"/>
        <w:snapToGrid w:val="0"/>
        <w:spacing w:line="380" w:lineRule="exact"/>
        <w:jc w:val="center"/>
        <w:textAlignment w:val="auto"/>
        <w:rPr>
          <w:rFonts w:hint="eastAsia" w:hAnsi="宋体" w:cs="宋体"/>
          <w:b/>
        </w:rPr>
      </w:pPr>
      <w:r>
        <w:rPr>
          <w:rFonts w:hint="eastAsia" w:hAnsi="宋体" w:cs="宋体"/>
          <w:b/>
        </w:rPr>
        <w:t>六.无效谈判条款</w:t>
      </w:r>
    </w:p>
    <w:p>
      <w:pPr>
        <w:keepNext/>
        <w:keepLines w:val="0"/>
        <w:pageBreakBefore w:val="0"/>
        <w:kinsoku/>
        <w:wordWrap/>
        <w:overflowPunct/>
        <w:topLinePunct w:val="0"/>
        <w:autoSpaceDE/>
        <w:autoSpaceDN/>
        <w:bidi w:val="0"/>
        <w:adjustRightInd w:val="0"/>
        <w:snapToGrid w:val="0"/>
        <w:spacing w:line="380" w:lineRule="exact"/>
        <w:ind w:firstLine="420"/>
        <w:jc w:val="left"/>
        <w:textAlignment w:val="auto"/>
        <w:rPr>
          <w:rFonts w:hint="eastAsia" w:ascii="宋体" w:hAnsi="宋体" w:cs="宋体"/>
        </w:rPr>
      </w:pPr>
      <w:r>
        <w:rPr>
          <w:rFonts w:hint="eastAsia" w:ascii="宋体" w:hAnsi="宋体" w:cs="宋体"/>
        </w:rPr>
        <w:t>13.1谈判响应文件如有下列情况之一，在评审中按照无效谈判处理：</w:t>
      </w:r>
    </w:p>
    <w:p>
      <w:pPr>
        <w:keepNext/>
        <w:keepLines w:val="0"/>
        <w:pageBreakBefore w:val="0"/>
        <w:kinsoku/>
        <w:wordWrap/>
        <w:overflowPunct/>
        <w:topLinePunct w:val="0"/>
        <w:autoSpaceDE/>
        <w:autoSpaceDN/>
        <w:bidi w:val="0"/>
        <w:spacing w:line="380" w:lineRule="exact"/>
        <w:ind w:firstLine="428" w:firstLineChars="200"/>
        <w:textAlignment w:val="auto"/>
        <w:rPr>
          <w:rFonts w:hint="eastAsia" w:ascii="宋体" w:hAnsi="宋体" w:cs="宋体"/>
          <w:spacing w:val="2"/>
        </w:rPr>
      </w:pPr>
      <w:r>
        <w:rPr>
          <w:rFonts w:hint="eastAsia" w:ascii="宋体" w:hAnsi="宋体" w:cs="宋体"/>
          <w:spacing w:val="2"/>
        </w:rPr>
        <w:t>（1）谈判响应文件未按规定密封；</w:t>
      </w:r>
    </w:p>
    <w:p>
      <w:pPr>
        <w:keepNext/>
        <w:keepLines w:val="0"/>
        <w:pageBreakBefore w:val="0"/>
        <w:kinsoku/>
        <w:wordWrap/>
        <w:overflowPunct/>
        <w:topLinePunct w:val="0"/>
        <w:autoSpaceDE/>
        <w:autoSpaceDN/>
        <w:bidi w:val="0"/>
        <w:spacing w:line="380" w:lineRule="exact"/>
        <w:ind w:firstLine="419" w:firstLineChars="196"/>
        <w:textAlignment w:val="auto"/>
        <w:rPr>
          <w:rFonts w:hint="eastAsia" w:ascii="宋体" w:hAnsi="宋体" w:cs="宋体"/>
          <w:spacing w:val="2"/>
        </w:rPr>
      </w:pPr>
      <w:r>
        <w:rPr>
          <w:rFonts w:hint="eastAsia" w:ascii="宋体" w:hAnsi="宋体" w:cs="宋体"/>
          <w:spacing w:val="2"/>
        </w:rPr>
        <w:t>（2）谈判供应商法定代表人（负责人）或其委托代理人未签字；</w:t>
      </w:r>
    </w:p>
    <w:p>
      <w:pPr>
        <w:keepNext/>
        <w:keepLines w:val="0"/>
        <w:pageBreakBefore w:val="0"/>
        <w:kinsoku/>
        <w:wordWrap/>
        <w:overflowPunct/>
        <w:topLinePunct w:val="0"/>
        <w:autoSpaceDE/>
        <w:autoSpaceDN/>
        <w:bidi w:val="0"/>
        <w:spacing w:line="380" w:lineRule="exact"/>
        <w:ind w:firstLine="419" w:firstLineChars="196"/>
        <w:textAlignment w:val="auto"/>
        <w:rPr>
          <w:rFonts w:hint="eastAsia" w:ascii="宋体" w:hAnsi="宋体" w:cs="宋体"/>
          <w:spacing w:val="2"/>
        </w:rPr>
      </w:pPr>
      <w:r>
        <w:rPr>
          <w:rFonts w:hint="eastAsia" w:ascii="宋体" w:hAnsi="宋体" w:cs="宋体"/>
          <w:spacing w:val="2"/>
        </w:rPr>
        <w:t>（3）谈判供应商未加盖单位公章；</w:t>
      </w:r>
    </w:p>
    <w:p>
      <w:pPr>
        <w:keepNext/>
        <w:keepLines w:val="0"/>
        <w:pageBreakBefore w:val="0"/>
        <w:kinsoku/>
        <w:wordWrap/>
        <w:overflowPunct/>
        <w:topLinePunct w:val="0"/>
        <w:autoSpaceDE/>
        <w:autoSpaceDN/>
        <w:bidi w:val="0"/>
        <w:spacing w:line="380" w:lineRule="exact"/>
        <w:ind w:firstLine="419" w:firstLineChars="196"/>
        <w:textAlignment w:val="auto"/>
        <w:rPr>
          <w:rFonts w:hint="eastAsia" w:ascii="宋体" w:hAnsi="宋体" w:cs="宋体"/>
          <w:spacing w:val="2"/>
        </w:rPr>
      </w:pPr>
      <w:r>
        <w:rPr>
          <w:rFonts w:hint="eastAsia" w:ascii="宋体" w:hAnsi="宋体" w:cs="宋体"/>
          <w:spacing w:val="2"/>
        </w:rPr>
        <w:t>（4）未按规定的格式填写或者字迹模糊、辨认不清；</w:t>
      </w:r>
    </w:p>
    <w:p>
      <w:pPr>
        <w:keepNext/>
        <w:keepLines w:val="0"/>
        <w:pageBreakBefore w:val="0"/>
        <w:kinsoku/>
        <w:wordWrap/>
        <w:overflowPunct/>
        <w:topLinePunct w:val="0"/>
        <w:autoSpaceDE/>
        <w:autoSpaceDN/>
        <w:bidi w:val="0"/>
        <w:spacing w:line="380" w:lineRule="exact"/>
        <w:ind w:firstLine="419" w:firstLineChars="196"/>
        <w:textAlignment w:val="auto"/>
        <w:rPr>
          <w:rFonts w:hint="eastAsia" w:ascii="宋体" w:hAnsi="宋体" w:cs="宋体"/>
          <w:spacing w:val="2"/>
        </w:rPr>
      </w:pPr>
      <w:r>
        <w:rPr>
          <w:rFonts w:hint="eastAsia" w:ascii="宋体" w:hAnsi="宋体" w:cs="宋体"/>
          <w:spacing w:val="2"/>
        </w:rPr>
        <w:t>（5）谈判供应商未按竞争性谈判文件的规定递交谈判保证金</w:t>
      </w:r>
      <w:r>
        <w:rPr>
          <w:rFonts w:hint="eastAsia" w:ascii="宋体" w:hAnsi="宋体"/>
          <w:szCs w:val="21"/>
        </w:rPr>
        <w:t>或《诚信记录良好承诺函》</w:t>
      </w:r>
      <w:r>
        <w:rPr>
          <w:rFonts w:hint="eastAsia" w:ascii="宋体" w:hAnsi="宋体" w:cs="宋体"/>
          <w:spacing w:val="2"/>
        </w:rPr>
        <w:t>的；</w:t>
      </w:r>
    </w:p>
    <w:p>
      <w:pPr>
        <w:keepNext/>
        <w:keepLines w:val="0"/>
        <w:pageBreakBefore w:val="0"/>
        <w:kinsoku/>
        <w:wordWrap/>
        <w:overflowPunct/>
        <w:topLinePunct w:val="0"/>
        <w:autoSpaceDE/>
        <w:autoSpaceDN/>
        <w:bidi w:val="0"/>
        <w:spacing w:line="380" w:lineRule="exact"/>
        <w:ind w:firstLine="419" w:firstLineChars="196"/>
        <w:textAlignment w:val="auto"/>
        <w:rPr>
          <w:rFonts w:hint="eastAsia" w:ascii="宋体" w:hAnsi="宋体" w:cs="宋体"/>
          <w:spacing w:val="2"/>
        </w:rPr>
      </w:pPr>
      <w:r>
        <w:rPr>
          <w:rFonts w:hint="eastAsia" w:ascii="宋体" w:hAnsi="宋体" w:cs="宋体"/>
          <w:spacing w:val="2"/>
        </w:rPr>
        <w:t>（6）谈判截止时间以后送达的谈判响应文件；</w:t>
      </w:r>
    </w:p>
    <w:p>
      <w:pPr>
        <w:keepNext/>
        <w:keepLines w:val="0"/>
        <w:pageBreakBefore w:val="0"/>
        <w:kinsoku/>
        <w:wordWrap/>
        <w:overflowPunct/>
        <w:topLinePunct w:val="0"/>
        <w:autoSpaceDE/>
        <w:autoSpaceDN/>
        <w:bidi w:val="0"/>
        <w:spacing w:line="380" w:lineRule="exact"/>
        <w:ind w:firstLine="419" w:firstLineChars="196"/>
        <w:textAlignment w:val="auto"/>
        <w:rPr>
          <w:rFonts w:hint="eastAsia" w:ascii="宋体" w:hAnsi="宋体" w:cs="宋体"/>
          <w:spacing w:val="2"/>
        </w:rPr>
      </w:pPr>
      <w:r>
        <w:rPr>
          <w:rFonts w:hint="eastAsia" w:ascii="宋体" w:hAnsi="宋体" w:cs="宋体"/>
          <w:spacing w:val="2"/>
        </w:rPr>
        <w:t>（7）谈判响应文件内容不真实；</w:t>
      </w:r>
    </w:p>
    <w:p>
      <w:pPr>
        <w:keepNext/>
        <w:keepLines w:val="0"/>
        <w:pageBreakBefore w:val="0"/>
        <w:kinsoku/>
        <w:wordWrap/>
        <w:overflowPunct/>
        <w:topLinePunct w:val="0"/>
        <w:autoSpaceDE/>
        <w:autoSpaceDN/>
        <w:bidi w:val="0"/>
        <w:spacing w:line="380" w:lineRule="exact"/>
        <w:ind w:firstLine="419" w:firstLineChars="196"/>
        <w:textAlignment w:val="auto"/>
        <w:rPr>
          <w:rFonts w:hint="eastAsia" w:ascii="宋体" w:hAnsi="宋体" w:cs="宋体"/>
          <w:spacing w:val="2"/>
        </w:rPr>
      </w:pPr>
      <w:r>
        <w:rPr>
          <w:rFonts w:hint="eastAsia" w:ascii="宋体" w:hAnsi="宋体" w:cs="宋体"/>
          <w:spacing w:val="2"/>
        </w:rPr>
        <w:t>（8）工程项目商务标中的工程量清单谈判总价（封面）没有相应专业造价人员签字或盖执业专用章；</w:t>
      </w:r>
    </w:p>
    <w:p>
      <w:pPr>
        <w:pStyle w:val="28"/>
        <w:keepNext/>
        <w:keepLines w:val="0"/>
        <w:pageBreakBefore w:val="0"/>
        <w:kinsoku/>
        <w:wordWrap/>
        <w:overflowPunct/>
        <w:topLinePunct w:val="0"/>
        <w:autoSpaceDE/>
        <w:autoSpaceDN/>
        <w:bidi w:val="0"/>
        <w:adjustRightInd w:val="0"/>
        <w:snapToGrid w:val="0"/>
        <w:spacing w:line="380" w:lineRule="exact"/>
        <w:ind w:firstLine="417" w:firstLineChars="199"/>
        <w:textAlignment w:val="auto"/>
        <w:rPr>
          <w:rFonts w:hint="eastAsia" w:hAnsi="宋体" w:cs="宋体"/>
        </w:rPr>
      </w:pPr>
      <w:r>
        <w:rPr>
          <w:rFonts w:hint="eastAsia" w:hAnsi="宋体" w:cs="宋体"/>
          <w:bCs/>
        </w:rPr>
        <w:t>（9）</w:t>
      </w:r>
      <w:r>
        <w:rPr>
          <w:rFonts w:hint="eastAsia" w:hAnsi="宋体" w:cs="宋体"/>
          <w:spacing w:val="2"/>
        </w:rPr>
        <w:t>工程项目的</w:t>
      </w:r>
      <w:r>
        <w:rPr>
          <w:rFonts w:hint="eastAsia" w:hAnsi="宋体" w:cs="宋体"/>
          <w:bCs/>
        </w:rPr>
        <w:t>谈判供应商不按要求提交</w:t>
      </w:r>
      <w:r>
        <w:rPr>
          <w:rFonts w:hint="eastAsia" w:hAnsi="宋体" w:cs="宋体"/>
        </w:rPr>
        <w:t>农民工工资保障承诺书的；</w:t>
      </w:r>
    </w:p>
    <w:p>
      <w:pPr>
        <w:keepNext/>
        <w:keepLines w:val="0"/>
        <w:pageBreakBefore w:val="0"/>
        <w:kinsoku/>
        <w:wordWrap/>
        <w:overflowPunct/>
        <w:topLinePunct w:val="0"/>
        <w:autoSpaceDE/>
        <w:autoSpaceDN/>
        <w:bidi w:val="0"/>
        <w:adjustRightInd w:val="0"/>
        <w:snapToGrid w:val="0"/>
        <w:spacing w:line="380" w:lineRule="exact"/>
        <w:ind w:firstLine="420"/>
        <w:jc w:val="left"/>
        <w:textAlignment w:val="auto"/>
        <w:rPr>
          <w:rFonts w:hint="eastAsia" w:ascii="宋体" w:hAnsi="宋体" w:cs="宋体"/>
          <w:bCs/>
        </w:rPr>
      </w:pPr>
      <w:r>
        <w:rPr>
          <w:rFonts w:hint="eastAsia" w:ascii="宋体" w:hAnsi="宋体" w:cs="宋体"/>
          <w:bCs/>
        </w:rPr>
        <w:t>（10）</w:t>
      </w:r>
      <w:r>
        <w:rPr>
          <w:rFonts w:hint="eastAsia" w:ascii="宋体" w:hAnsi="宋体" w:cs="宋体"/>
          <w:spacing w:val="2"/>
        </w:rPr>
        <w:t>工程项目的</w:t>
      </w:r>
      <w:r>
        <w:rPr>
          <w:rFonts w:hint="eastAsia" w:ascii="宋体" w:hAnsi="宋体" w:cs="宋体"/>
          <w:bCs/>
        </w:rPr>
        <w:t>谈判供应商无安全生产许可证的；</w:t>
      </w:r>
    </w:p>
    <w:p>
      <w:pPr>
        <w:keepNext/>
        <w:keepLines w:val="0"/>
        <w:pageBreakBefore w:val="0"/>
        <w:kinsoku/>
        <w:wordWrap/>
        <w:overflowPunct/>
        <w:topLinePunct w:val="0"/>
        <w:autoSpaceDE/>
        <w:autoSpaceDN/>
        <w:bidi w:val="0"/>
        <w:adjustRightInd w:val="0"/>
        <w:snapToGrid w:val="0"/>
        <w:spacing w:line="380" w:lineRule="exact"/>
        <w:jc w:val="left"/>
        <w:textAlignment w:val="auto"/>
        <w:rPr>
          <w:rFonts w:hint="eastAsia" w:ascii="宋体" w:hAnsi="宋体" w:cs="宋体"/>
        </w:rPr>
      </w:pPr>
      <w:r>
        <w:rPr>
          <w:rFonts w:hint="eastAsia" w:ascii="宋体" w:hAnsi="宋体" w:cs="宋体"/>
        </w:rPr>
        <w:t xml:space="preserve">    （11）不具备谈判文件中规定资格要求的；</w:t>
      </w:r>
    </w:p>
    <w:p>
      <w:pPr>
        <w:keepNext/>
        <w:keepLines w:val="0"/>
        <w:pageBreakBefore w:val="0"/>
        <w:kinsoku/>
        <w:wordWrap/>
        <w:overflowPunct/>
        <w:topLinePunct w:val="0"/>
        <w:autoSpaceDE/>
        <w:autoSpaceDN/>
        <w:bidi w:val="0"/>
        <w:adjustRightInd w:val="0"/>
        <w:snapToGrid w:val="0"/>
        <w:spacing w:line="380" w:lineRule="exact"/>
        <w:ind w:firstLine="420"/>
        <w:jc w:val="left"/>
        <w:textAlignment w:val="auto"/>
        <w:rPr>
          <w:rFonts w:hint="eastAsia" w:ascii="宋体" w:hAnsi="宋体" w:cs="宋体"/>
        </w:rPr>
      </w:pPr>
      <w:r>
        <w:rPr>
          <w:rFonts w:hint="eastAsia" w:ascii="宋体" w:hAnsi="宋体" w:cs="宋体"/>
        </w:rPr>
        <w:t>（12）不符合法律、法规的；</w:t>
      </w:r>
    </w:p>
    <w:p>
      <w:pPr>
        <w:keepNext/>
        <w:keepLines w:val="0"/>
        <w:pageBreakBefore w:val="0"/>
        <w:kinsoku/>
        <w:wordWrap/>
        <w:overflowPunct/>
        <w:topLinePunct w:val="0"/>
        <w:autoSpaceDE/>
        <w:autoSpaceDN/>
        <w:bidi w:val="0"/>
        <w:adjustRightInd w:val="0"/>
        <w:snapToGrid w:val="0"/>
        <w:spacing w:line="380" w:lineRule="exact"/>
        <w:ind w:firstLine="420"/>
        <w:jc w:val="left"/>
        <w:textAlignment w:val="auto"/>
        <w:rPr>
          <w:rFonts w:hint="eastAsia" w:ascii="宋体" w:hAnsi="宋体" w:cs="宋体"/>
          <w:sz w:val="24"/>
        </w:rPr>
      </w:pPr>
      <w:r>
        <w:rPr>
          <w:rFonts w:hint="eastAsia" w:ascii="宋体" w:hAnsi="宋体" w:cs="宋体"/>
        </w:rPr>
        <w:t>（13）不符合谈判文件中规定的实质性要求并且在谈判规定的时间内无法说明和补充的。</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13.2有下列情形之一的视为谈判供应商互相串通参加谈判采购，其响应文件将被视为无效：</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（1）不同谈判供应商的响应文件由同一单位或者个人编制；或不同谈判供应商报名的IP地址一致的；</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（2）不同谈判供应商委托同一单位或者个人办理投标事宜；</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（3）不同谈判供应商的响应文件载明的项目管理员为同一人；</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（4）不同谈判供应商的响应文件异常一致或谈判报价呈规律性差异；</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（5）不同谈判供应商的响应文件相互混装；</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（6）不同谈判供应商的谈判保证金从同一单位或者个人账户转出。</w:t>
      </w:r>
    </w:p>
    <w:p>
      <w:pPr>
        <w:pStyle w:val="28"/>
        <w:keepNext/>
        <w:keepLines w:val="0"/>
        <w:pageBreakBefore w:val="0"/>
        <w:kinsoku/>
        <w:wordWrap/>
        <w:overflowPunct/>
        <w:topLinePunct w:val="0"/>
        <w:autoSpaceDE/>
        <w:autoSpaceDN/>
        <w:bidi w:val="0"/>
        <w:adjustRightInd w:val="0"/>
        <w:snapToGrid w:val="0"/>
        <w:spacing w:line="380" w:lineRule="exact"/>
        <w:ind w:firstLine="411" w:firstLineChars="196"/>
        <w:textAlignment w:val="auto"/>
        <w:rPr>
          <w:rFonts w:hint="eastAsia" w:hAnsi="宋体" w:cs="宋体"/>
        </w:rPr>
      </w:pPr>
      <w:r>
        <w:rPr>
          <w:rFonts w:hint="eastAsia" w:hAnsi="宋体" w:cs="宋体"/>
        </w:rPr>
        <w:t>13.3废止条款</w:t>
      </w:r>
    </w:p>
    <w:p>
      <w:pPr>
        <w:pStyle w:val="28"/>
        <w:keepNext/>
        <w:keepLines w:val="0"/>
        <w:pageBreakBefore w:val="0"/>
        <w:kinsoku/>
        <w:wordWrap/>
        <w:overflowPunct/>
        <w:topLinePunct w:val="0"/>
        <w:autoSpaceDE/>
        <w:autoSpaceDN/>
        <w:bidi w:val="0"/>
        <w:adjustRightInd w:val="0"/>
        <w:snapToGrid w:val="0"/>
        <w:spacing w:line="380" w:lineRule="exact"/>
        <w:ind w:firstLine="411" w:firstLineChars="196"/>
        <w:textAlignment w:val="auto"/>
        <w:rPr>
          <w:rFonts w:hint="eastAsia" w:hAnsi="宋体" w:cs="宋体"/>
        </w:rPr>
      </w:pPr>
      <w:r>
        <w:rPr>
          <w:rFonts w:hint="eastAsia" w:hAnsi="宋体" w:cs="宋体"/>
        </w:rPr>
        <w:t>谈判采购项目出现下列情形之一的，谈判予以废止：</w:t>
      </w:r>
    </w:p>
    <w:p>
      <w:pPr>
        <w:keepNext/>
        <w:keepLines w:val="0"/>
        <w:pageBreakBefore w:val="0"/>
        <w:kinsoku/>
        <w:wordWrap/>
        <w:overflowPunct/>
        <w:topLinePunct w:val="0"/>
        <w:autoSpaceDE/>
        <w:autoSpaceDN/>
        <w:bidi w:val="0"/>
        <w:adjustRightInd w:val="0"/>
        <w:snapToGrid w:val="0"/>
        <w:spacing w:line="380" w:lineRule="exact"/>
        <w:ind w:left="420" w:leftChars="200" w:firstLine="4" w:firstLineChars="2"/>
        <w:jc w:val="left"/>
        <w:textAlignment w:val="auto"/>
        <w:rPr>
          <w:rFonts w:hint="eastAsia" w:ascii="宋体" w:hAnsi="宋体" w:cs="宋体"/>
          <w:bCs/>
        </w:rPr>
      </w:pPr>
      <w:r>
        <w:rPr>
          <w:rFonts w:hint="eastAsia" w:ascii="宋体" w:hAnsi="宋体" w:cs="宋体"/>
        </w:rPr>
        <w:t>（1）出现影响采购公正的违法、违规行为的；</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（2）谈判供应商的最终报价均超过了采购预算，采购人不能支付的；</w:t>
      </w:r>
    </w:p>
    <w:p>
      <w:pPr>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rPr>
      </w:pPr>
      <w:r>
        <w:rPr>
          <w:rFonts w:hint="eastAsia" w:ascii="宋体" w:hAnsi="宋体" w:cs="宋体"/>
        </w:rPr>
        <w:t>（3）因重大变故，采购任务取消的。</w:t>
      </w:r>
    </w:p>
    <w:p>
      <w:pPr>
        <w:keepNext/>
        <w:keepLines w:val="0"/>
        <w:pageBreakBefore w:val="0"/>
        <w:kinsoku/>
        <w:wordWrap/>
        <w:overflowPunct/>
        <w:topLinePunct w:val="0"/>
        <w:autoSpaceDE/>
        <w:autoSpaceDN/>
        <w:bidi w:val="0"/>
        <w:spacing w:line="380" w:lineRule="exact"/>
        <w:ind w:left="420" w:leftChars="200"/>
        <w:textAlignment w:val="auto"/>
        <w:rPr>
          <w:rFonts w:hint="eastAsia" w:ascii="宋体" w:hAnsi="宋体" w:cs="宋体"/>
          <w:kern w:val="0"/>
          <w:szCs w:val="21"/>
        </w:rPr>
      </w:pPr>
      <w:r>
        <w:rPr>
          <w:rFonts w:hint="eastAsia" w:ascii="宋体" w:hAnsi="宋体" w:cs="宋体"/>
          <w:szCs w:val="21"/>
        </w:rPr>
        <w:t xml:space="preserve">13.4 </w:t>
      </w:r>
      <w:r>
        <w:rPr>
          <w:rFonts w:hint="eastAsia" w:ascii="宋体" w:hAnsi="宋体" w:cs="宋体"/>
          <w:kern w:val="0"/>
          <w:szCs w:val="21"/>
        </w:rPr>
        <w:t>有下列情形之一的，属于恶意串通，对谈判供应商依照政府采购法第七十七条第一款的规定追究法</w:t>
      </w:r>
    </w:p>
    <w:p>
      <w:pPr>
        <w:keepNext/>
        <w:keepLines w:val="0"/>
        <w:pageBreakBefore w:val="0"/>
        <w:kinsoku/>
        <w:wordWrap/>
        <w:overflowPunct/>
        <w:topLinePunct w:val="0"/>
        <w:autoSpaceDE/>
        <w:autoSpaceDN/>
        <w:bidi w:val="0"/>
        <w:spacing w:line="380" w:lineRule="exact"/>
        <w:ind w:left="420" w:hanging="420" w:hangingChars="200"/>
        <w:textAlignment w:val="auto"/>
        <w:rPr>
          <w:rFonts w:hint="eastAsia" w:ascii="宋体" w:hAnsi="宋体" w:cs="宋体"/>
          <w:kern w:val="0"/>
          <w:szCs w:val="21"/>
        </w:rPr>
      </w:pPr>
      <w:r>
        <w:rPr>
          <w:rFonts w:hint="eastAsia" w:ascii="宋体" w:hAnsi="宋体" w:cs="宋体"/>
          <w:kern w:val="0"/>
          <w:szCs w:val="21"/>
        </w:rPr>
        <w:t>律责任，对采购人、采购代理机构及其工作人员依照政府采购法第七十二条的规定追究法律责任：</w:t>
      </w:r>
      <w:r>
        <w:rPr>
          <w:rFonts w:hint="eastAsia" w:ascii="宋体" w:hAnsi="宋体" w:cs="宋体"/>
          <w:kern w:val="0"/>
          <w:szCs w:val="21"/>
        </w:rPr>
        <w:br w:type="textWrapping"/>
      </w:r>
      <w:r>
        <w:rPr>
          <w:rFonts w:hint="eastAsia" w:ascii="宋体" w:hAnsi="宋体" w:cs="宋体"/>
          <w:kern w:val="0"/>
          <w:szCs w:val="21"/>
        </w:rPr>
        <w:t>（1）谈判供应商直接或者间接从采购人或者采购代理机构处获得其他的相关情况并修改其响应文件</w:t>
      </w:r>
    </w:p>
    <w:p>
      <w:pPr>
        <w:keepNext/>
        <w:keepLines w:val="0"/>
        <w:pageBreakBefore w:val="0"/>
        <w:kinsoku/>
        <w:wordWrap/>
        <w:overflowPunct/>
        <w:topLinePunct w:val="0"/>
        <w:autoSpaceDE/>
        <w:autoSpaceDN/>
        <w:bidi w:val="0"/>
        <w:spacing w:line="380" w:lineRule="exact"/>
        <w:ind w:left="420" w:hanging="420" w:hangingChars="200"/>
        <w:textAlignment w:val="auto"/>
        <w:rPr>
          <w:rFonts w:hint="eastAsia" w:ascii="宋体" w:hAnsi="宋体" w:cs="宋体"/>
          <w:kern w:val="0"/>
          <w:szCs w:val="21"/>
        </w:rPr>
      </w:pPr>
      <w:r>
        <w:rPr>
          <w:rFonts w:hint="eastAsia" w:ascii="宋体" w:hAnsi="宋体" w:cs="宋体"/>
          <w:kern w:val="0"/>
          <w:szCs w:val="21"/>
        </w:rPr>
        <w:t>或者响应文件；</w:t>
      </w:r>
      <w:r>
        <w:rPr>
          <w:rFonts w:hint="eastAsia" w:ascii="宋体" w:hAnsi="宋体" w:cs="宋体"/>
          <w:kern w:val="0"/>
          <w:szCs w:val="21"/>
        </w:rPr>
        <w:br w:type="textWrapping"/>
      </w:r>
      <w:r>
        <w:rPr>
          <w:rFonts w:hint="eastAsia" w:ascii="宋体" w:hAnsi="宋体" w:cs="宋体"/>
          <w:kern w:val="0"/>
          <w:szCs w:val="21"/>
        </w:rPr>
        <w:t>（2）谈判供应商按照采购人或者采购代理机构的授意撤换、修改响应文件或者响应文件；</w:t>
      </w:r>
      <w:r>
        <w:rPr>
          <w:rFonts w:hint="eastAsia" w:ascii="宋体" w:hAnsi="宋体" w:cs="宋体"/>
          <w:kern w:val="0"/>
          <w:szCs w:val="21"/>
        </w:rPr>
        <w:br w:type="textWrapping"/>
      </w:r>
      <w:r>
        <w:rPr>
          <w:rFonts w:hint="eastAsia" w:ascii="宋体" w:hAnsi="宋体" w:cs="宋体"/>
          <w:kern w:val="0"/>
          <w:szCs w:val="21"/>
        </w:rPr>
        <w:t>（3）谈判供应商之间协商报价、技术方案等响应文件或者响应文件的实质性内容；</w:t>
      </w:r>
      <w:r>
        <w:rPr>
          <w:rFonts w:hint="eastAsia" w:ascii="宋体" w:hAnsi="宋体" w:cs="宋体"/>
          <w:kern w:val="0"/>
          <w:szCs w:val="21"/>
        </w:rPr>
        <w:br w:type="textWrapping"/>
      </w:r>
      <w:r>
        <w:rPr>
          <w:rFonts w:hint="eastAsia" w:ascii="宋体" w:hAnsi="宋体" w:cs="宋体"/>
          <w:kern w:val="0"/>
          <w:szCs w:val="21"/>
        </w:rPr>
        <w:t>（4）属于同一集团、协会、商会等组织成员的谈判供应商按照该组织要求协同参加政府采购活动；</w:t>
      </w:r>
      <w:r>
        <w:rPr>
          <w:rFonts w:hint="eastAsia" w:ascii="宋体" w:hAnsi="宋体" w:cs="宋体"/>
          <w:kern w:val="0"/>
          <w:szCs w:val="21"/>
        </w:rPr>
        <w:br w:type="textWrapping"/>
      </w:r>
      <w:r>
        <w:rPr>
          <w:rFonts w:hint="eastAsia" w:ascii="宋体" w:hAnsi="宋体" w:cs="宋体"/>
          <w:kern w:val="0"/>
          <w:szCs w:val="21"/>
        </w:rPr>
        <w:t>（5）谈判供应商之间事先约定由某一特定谈判供应商中标、成交；</w:t>
      </w:r>
      <w:r>
        <w:rPr>
          <w:rFonts w:hint="eastAsia" w:ascii="宋体" w:hAnsi="宋体" w:cs="宋体"/>
          <w:kern w:val="0"/>
          <w:szCs w:val="21"/>
        </w:rPr>
        <w:br w:type="textWrapping"/>
      </w:r>
      <w:r>
        <w:rPr>
          <w:rFonts w:hint="eastAsia" w:ascii="宋体" w:hAnsi="宋体" w:cs="宋体"/>
          <w:kern w:val="0"/>
          <w:szCs w:val="21"/>
        </w:rPr>
        <w:t>（6）谈判供应商之间商定部分谈判供应商放弃参加政府采购活动或者放弃中标、成交；</w:t>
      </w:r>
      <w:r>
        <w:rPr>
          <w:rFonts w:hint="eastAsia" w:ascii="宋体" w:hAnsi="宋体" w:cs="宋体"/>
          <w:kern w:val="0"/>
          <w:szCs w:val="21"/>
        </w:rPr>
        <w:br w:type="textWrapping"/>
      </w:r>
      <w:r>
        <w:rPr>
          <w:rFonts w:hint="eastAsia" w:ascii="宋体" w:hAnsi="宋体" w:cs="宋体"/>
          <w:kern w:val="0"/>
          <w:szCs w:val="21"/>
        </w:rPr>
        <w:t>（7）谈判供应商与采购人或者采购代理机构之间、谈判供应商相互之间，为谋求特定谈判供应商中标、</w:t>
      </w:r>
    </w:p>
    <w:p>
      <w:pPr>
        <w:keepNext/>
        <w:keepLines w:val="0"/>
        <w:pageBreakBefore w:val="0"/>
        <w:kinsoku/>
        <w:wordWrap/>
        <w:overflowPunct/>
        <w:topLinePunct w:val="0"/>
        <w:autoSpaceDE/>
        <w:autoSpaceDN/>
        <w:bidi w:val="0"/>
        <w:spacing w:line="380" w:lineRule="exact"/>
        <w:ind w:left="420" w:hanging="420" w:hangingChars="200"/>
        <w:textAlignment w:val="auto"/>
        <w:rPr>
          <w:rFonts w:hint="eastAsia" w:ascii="宋体" w:hAnsi="宋体" w:cs="宋体"/>
          <w:kern w:val="0"/>
          <w:szCs w:val="21"/>
        </w:rPr>
      </w:pPr>
      <w:r>
        <w:rPr>
          <w:rFonts w:hint="eastAsia" w:ascii="宋体" w:hAnsi="宋体" w:cs="宋体"/>
          <w:kern w:val="0"/>
          <w:szCs w:val="21"/>
        </w:rPr>
        <w:t>成交或者排斥其他谈判供应商的其他串通行为。</w:t>
      </w:r>
    </w:p>
    <w:p>
      <w:pPr>
        <w:keepNext/>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cs="宋体"/>
          <w:b/>
          <w:szCs w:val="21"/>
        </w:rPr>
      </w:pPr>
      <w:r>
        <w:rPr>
          <w:rFonts w:hint="eastAsia" w:ascii="宋体" w:hAnsi="宋体" w:cs="宋体"/>
          <w:b/>
          <w:szCs w:val="21"/>
        </w:rPr>
        <w:t>七.确定成交供应商办法</w:t>
      </w:r>
    </w:p>
    <w:p>
      <w:pPr>
        <w:keepNext/>
        <w:keepLines w:val="0"/>
        <w:pageBreakBefore w:val="0"/>
        <w:kinsoku/>
        <w:wordWrap/>
        <w:overflowPunct/>
        <w:topLinePunct w:val="0"/>
        <w:autoSpaceDE/>
        <w:autoSpaceDN/>
        <w:bidi w:val="0"/>
        <w:adjustRightInd w:val="0"/>
        <w:snapToGrid w:val="0"/>
        <w:spacing w:line="380" w:lineRule="exact"/>
        <w:ind w:firstLine="525" w:firstLineChars="250"/>
        <w:jc w:val="left"/>
        <w:textAlignment w:val="auto"/>
        <w:rPr>
          <w:rFonts w:hint="eastAsia" w:ascii="宋体" w:hAnsi="宋体" w:cs="宋体"/>
          <w:kern w:val="0"/>
          <w:szCs w:val="21"/>
        </w:rPr>
      </w:pPr>
      <w:r>
        <w:rPr>
          <w:rFonts w:hint="eastAsia" w:ascii="宋体" w:hAnsi="宋体" w:cs="宋体"/>
          <w:kern w:val="0"/>
          <w:szCs w:val="21"/>
        </w:rPr>
        <w:t>14.1 根据以下原则确定成交供应商：</w:t>
      </w:r>
    </w:p>
    <w:p>
      <w:pPr>
        <w:keepNext/>
        <w:keepLines w:val="0"/>
        <w:pageBreakBefore w:val="0"/>
        <w:kinsoku/>
        <w:wordWrap/>
        <w:overflowPunct/>
        <w:topLinePunct w:val="0"/>
        <w:autoSpaceDE/>
        <w:autoSpaceDN/>
        <w:bidi w:val="0"/>
        <w:adjustRightInd w:val="0"/>
        <w:snapToGrid w:val="0"/>
        <w:spacing w:line="380" w:lineRule="exact"/>
        <w:ind w:firstLine="525" w:firstLineChars="250"/>
        <w:jc w:val="left"/>
        <w:textAlignment w:val="auto"/>
        <w:rPr>
          <w:rFonts w:hint="eastAsia" w:ascii="宋体" w:hAnsi="宋体" w:cs="宋体"/>
          <w:kern w:val="0"/>
          <w:szCs w:val="21"/>
        </w:rPr>
      </w:pPr>
      <w:r>
        <w:rPr>
          <w:rFonts w:hint="eastAsia" w:ascii="宋体" w:hAnsi="宋体" w:cs="宋体"/>
          <w:kern w:val="0"/>
        </w:rPr>
        <w:t>14.2质量和服务均能满足</w:t>
      </w:r>
      <w:r>
        <w:rPr>
          <w:rFonts w:hint="eastAsia" w:ascii="宋体" w:hAnsi="宋体" w:cs="宋体"/>
        </w:rPr>
        <w:t>竞争性谈判文件</w:t>
      </w:r>
      <w:r>
        <w:rPr>
          <w:rFonts w:hint="eastAsia" w:ascii="宋体" w:hAnsi="宋体" w:cs="宋体"/>
          <w:kern w:val="0"/>
        </w:rPr>
        <w:t>实质性响应要求的谈判供应商中按最后报价（评标价）最低的原则确定成交供应商。</w:t>
      </w:r>
    </w:p>
    <w:p>
      <w:pPr>
        <w:pStyle w:val="28"/>
        <w:keepNext/>
        <w:keepLines w:val="0"/>
        <w:pageBreakBefore w:val="0"/>
        <w:kinsoku/>
        <w:wordWrap/>
        <w:overflowPunct/>
        <w:topLinePunct w:val="0"/>
        <w:autoSpaceDE/>
        <w:autoSpaceDN/>
        <w:bidi w:val="0"/>
        <w:adjustRightInd w:val="0"/>
        <w:snapToGrid w:val="0"/>
        <w:spacing w:line="380" w:lineRule="exact"/>
        <w:jc w:val="center"/>
        <w:textAlignment w:val="auto"/>
        <w:rPr>
          <w:rFonts w:hint="eastAsia" w:hAnsi="宋体" w:cs="宋体"/>
          <w:b/>
        </w:rPr>
      </w:pPr>
      <w:r>
        <w:rPr>
          <w:rFonts w:hint="eastAsia" w:hAnsi="宋体" w:cs="宋体"/>
          <w:b/>
        </w:rPr>
        <w:t>八.成交公告</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rPr>
      </w:pPr>
      <w:r>
        <w:rPr>
          <w:rFonts w:hint="eastAsia" w:hAnsi="宋体" w:cs="宋体"/>
        </w:rPr>
        <w:t>15.1采购代理机构在评审结束后2个工作日内将谈判评审报告送采购人确认，</w:t>
      </w:r>
      <w:r>
        <w:rPr>
          <w:rFonts w:hint="eastAsia" w:hAnsi="宋体" w:cs="宋体"/>
          <w:kern w:val="0"/>
        </w:rPr>
        <w:t>采购人</w:t>
      </w:r>
      <w:r>
        <w:rPr>
          <w:rFonts w:hint="eastAsia" w:hAnsi="宋体" w:cs="宋体"/>
        </w:rPr>
        <w:t>确认后，成交公告将在中国政府采购网(www.ccgp.gov.cn)、广西政府采购网（http://zfcg.gxzf.gov.cn/）上发布，</w:t>
      </w:r>
      <w:r>
        <w:rPr>
          <w:rFonts w:hint="eastAsia" w:hAnsi="宋体" w:cs="宋体"/>
          <w:kern w:val="0"/>
        </w:rPr>
        <w:t>同时向成交供应商发出成交通知书</w:t>
      </w:r>
      <w:r>
        <w:rPr>
          <w:rFonts w:hint="eastAsia" w:hAnsi="宋体" w:cs="宋体"/>
        </w:rPr>
        <w:t>。</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rPr>
        <w:t>15.2谈判供应商如对成交公告有异议，可</w:t>
      </w:r>
      <w:r>
        <w:rPr>
          <w:rFonts w:hint="eastAsia" w:hAnsi="宋体" w:cs="宋体"/>
          <w:bCs/>
        </w:rPr>
        <w:t>以在成交公告期满之日起七个工作日内以书面形式向采购代理机构提出质疑。采购代理机构将在收到</w:t>
      </w:r>
      <w:r>
        <w:rPr>
          <w:rFonts w:hint="eastAsia" w:hAnsi="宋体" w:cs="宋体"/>
        </w:rPr>
        <w:t>谈判供应商</w:t>
      </w:r>
      <w:r>
        <w:rPr>
          <w:rFonts w:hint="eastAsia" w:hAnsi="宋体" w:cs="宋体"/>
          <w:bCs/>
        </w:rPr>
        <w:t>的书面质疑后七个工作日内做出答复，但答复的内容不得涉及商业秘密。</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spacing w:val="-4"/>
        </w:rPr>
      </w:pPr>
      <w:r>
        <w:rPr>
          <w:rFonts w:hint="eastAsia" w:hAnsi="宋体" w:cs="宋体"/>
        </w:rPr>
        <w:t>15.3</w:t>
      </w:r>
      <w:r>
        <w:rPr>
          <w:rFonts w:hint="eastAsia" w:hAnsi="宋体" w:cs="宋体"/>
          <w:bCs/>
          <w:spacing w:val="-4"/>
        </w:rPr>
        <w:t>质疑</w:t>
      </w:r>
      <w:r>
        <w:rPr>
          <w:rFonts w:hint="eastAsia" w:hAnsi="宋体" w:cs="宋体"/>
          <w:spacing w:val="-4"/>
        </w:rPr>
        <w:t>谈判供应商</w:t>
      </w:r>
      <w:r>
        <w:rPr>
          <w:rFonts w:hint="eastAsia" w:hAnsi="宋体" w:cs="宋体"/>
          <w:bCs/>
          <w:spacing w:val="-4"/>
        </w:rPr>
        <w:t>必须首先经过质疑程序，在对采购代理机构的答复不满意或者采购代理机构未在规定的时间内做出答复的，可以在答复期满后十五个工作日内书面向本级政府采购监督管理部门投诉。</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bCs/>
        </w:rPr>
        <w:t>质疑联系部门及电话为：广西新宇建设项目管理有限公司          0779-3969698。</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bCs/>
        </w:rPr>
        <w:t>投诉联系部门及电话为：</w:t>
      </w:r>
      <w:r>
        <w:rPr>
          <w:rFonts w:hint="eastAsia" w:hAnsi="宋体" w:cs="宋体"/>
          <w:kern w:val="0"/>
        </w:rPr>
        <w:t>北海市财政局（政府采购监督管理科）</w:t>
      </w:r>
      <w:r>
        <w:rPr>
          <w:rFonts w:hint="eastAsia" w:hAnsi="宋体" w:cs="宋体"/>
        </w:rPr>
        <w:t xml:space="preserve">    </w:t>
      </w:r>
      <w:r>
        <w:rPr>
          <w:rFonts w:hint="eastAsia" w:hAnsi="宋体" w:cs="宋体"/>
          <w:kern w:val="0"/>
        </w:rPr>
        <w:t>0779-3063975</w:t>
      </w:r>
      <w:r>
        <w:rPr>
          <w:rFonts w:hint="eastAsia" w:hAnsi="宋体" w:cs="宋体"/>
          <w:bCs/>
        </w:rPr>
        <w:t>。</w:t>
      </w:r>
    </w:p>
    <w:p>
      <w:pPr>
        <w:pStyle w:val="28"/>
        <w:keepNext/>
        <w:keepLines w:val="0"/>
        <w:pageBreakBefore w:val="0"/>
        <w:kinsoku/>
        <w:wordWrap/>
        <w:overflowPunct/>
        <w:topLinePunct w:val="0"/>
        <w:autoSpaceDE/>
        <w:autoSpaceDN/>
        <w:bidi w:val="0"/>
        <w:adjustRightInd w:val="0"/>
        <w:snapToGrid w:val="0"/>
        <w:spacing w:line="380" w:lineRule="exact"/>
        <w:jc w:val="center"/>
        <w:textAlignment w:val="auto"/>
        <w:rPr>
          <w:rFonts w:hint="eastAsia" w:hAnsi="宋体" w:cs="宋体"/>
          <w:b/>
          <w:bCs/>
          <w:color w:val="auto"/>
        </w:rPr>
      </w:pPr>
      <w:r>
        <w:rPr>
          <w:rFonts w:hint="eastAsia" w:hAnsi="宋体" w:cs="宋体"/>
          <w:b/>
          <w:bCs/>
          <w:color w:val="auto"/>
        </w:rPr>
        <w:t>九.质量保证金</w:t>
      </w:r>
    </w:p>
    <w:p>
      <w:pPr>
        <w:pStyle w:val="28"/>
        <w:keepNext/>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hAnsi="宋体" w:eastAsia="宋体" w:cs="宋体"/>
          <w:bCs/>
          <w:color w:val="auto"/>
          <w:lang w:eastAsia="zh-CN"/>
        </w:rPr>
      </w:pPr>
      <w:r>
        <w:rPr>
          <w:rFonts w:hint="eastAsia" w:hAnsi="宋体" w:cs="宋体"/>
          <w:color w:val="auto"/>
        </w:rPr>
        <w:t>16.1</w:t>
      </w:r>
      <w:r>
        <w:rPr>
          <w:rFonts w:hint="eastAsia" w:hAnsi="宋体" w:cs="宋体"/>
          <w:bCs/>
          <w:color w:val="auto"/>
          <w:lang w:eastAsia="zh-CN"/>
        </w:rPr>
        <w:t>无需提供</w:t>
      </w:r>
    </w:p>
    <w:p>
      <w:pPr>
        <w:pStyle w:val="28"/>
        <w:keepNext/>
        <w:keepLines w:val="0"/>
        <w:pageBreakBefore w:val="0"/>
        <w:kinsoku/>
        <w:wordWrap/>
        <w:overflowPunct/>
        <w:topLinePunct w:val="0"/>
        <w:autoSpaceDE/>
        <w:autoSpaceDN/>
        <w:bidi w:val="0"/>
        <w:adjustRightInd w:val="0"/>
        <w:snapToGrid w:val="0"/>
        <w:spacing w:line="380" w:lineRule="exact"/>
        <w:ind w:firstLine="422" w:firstLineChars="200"/>
        <w:jc w:val="center"/>
        <w:textAlignment w:val="auto"/>
        <w:rPr>
          <w:rFonts w:hint="eastAsia" w:hAnsi="宋体" w:cs="宋体"/>
          <w:b/>
          <w:bCs/>
          <w:color w:val="auto"/>
          <w:highlight w:val="none"/>
        </w:rPr>
      </w:pPr>
      <w:r>
        <w:rPr>
          <w:rFonts w:hint="eastAsia" w:hAnsi="宋体" w:cs="宋体"/>
          <w:b/>
          <w:bCs/>
          <w:color w:val="auto"/>
          <w:highlight w:val="none"/>
        </w:rPr>
        <w:t>十.签订合同</w:t>
      </w:r>
    </w:p>
    <w:p>
      <w:pPr>
        <w:keepNext/>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color w:val="auto"/>
          <w:highlight w:val="none"/>
        </w:rPr>
      </w:pPr>
      <w:bookmarkStart w:id="40" w:name="_Toc405905874"/>
      <w:r>
        <w:rPr>
          <w:rFonts w:hint="eastAsia" w:ascii="宋体" w:hAnsi="宋体" w:cs="宋体"/>
          <w:color w:val="auto"/>
          <w:highlight w:val="none"/>
        </w:rPr>
        <w:t>17.1成交供应商自成交公告发出之日起</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3</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个日历日内与采购人签订采购合同。</w:t>
      </w:r>
    </w:p>
    <w:p>
      <w:pPr>
        <w:keepNext/>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cs="宋体"/>
          <w:b/>
          <w:bCs/>
        </w:rPr>
      </w:pPr>
      <w:r>
        <w:rPr>
          <w:rFonts w:hint="eastAsia" w:ascii="宋体" w:hAnsi="宋体" w:cs="宋体"/>
          <w:b/>
          <w:bCs/>
          <w:color w:val="auto"/>
          <w:highlight w:val="none"/>
        </w:rPr>
        <w:t>17.2成交供应商须在合同签订生效之日起1个工作日内，将政府采购合同扫描件发送到采购代理机构邮箱，并将政府采购合同原件2份送（或寄）达到采</w:t>
      </w:r>
      <w:r>
        <w:rPr>
          <w:rFonts w:hint="eastAsia" w:ascii="宋体" w:hAnsi="宋体" w:cs="宋体"/>
          <w:b/>
          <w:bCs/>
          <w:highlight w:val="none"/>
        </w:rPr>
        <w:t>购代理机构</w:t>
      </w:r>
      <w:r>
        <w:rPr>
          <w:rFonts w:hint="eastAsia" w:ascii="宋体" w:hAnsi="宋体" w:cs="宋体"/>
          <w:b/>
          <w:bCs/>
        </w:rPr>
        <w:t>，采购代理机构在收到政府采购合同后办理谈判保证金退还手续。</w:t>
      </w:r>
    </w:p>
    <w:p>
      <w:pPr>
        <w:keepNext/>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rPr>
      </w:pPr>
      <w:r>
        <w:rPr>
          <w:rFonts w:hint="eastAsia" w:ascii="宋体" w:hAnsi="宋体" w:cs="宋体"/>
        </w:rPr>
        <w:t>17.3</w:t>
      </w:r>
      <w:r>
        <w:rPr>
          <w:rFonts w:hint="eastAsia" w:ascii="宋体" w:hAnsi="宋体" w:cs="宋体"/>
          <w:kern w:val="0"/>
          <w:szCs w:val="21"/>
        </w:rPr>
        <w:t>成交供应商拒绝签订采购合同的</w:t>
      </w:r>
      <w:r>
        <w:rPr>
          <w:rFonts w:hint="eastAsia" w:ascii="宋体" w:hAnsi="宋体" w:cs="宋体"/>
        </w:rPr>
        <w:t>，采购人可以根据谈判评审报告确定成交供应商之后排名第一的成交候选人</w:t>
      </w:r>
      <w:r>
        <w:rPr>
          <w:rFonts w:hint="eastAsia" w:ascii="宋体" w:hAnsi="宋体" w:cs="宋体"/>
          <w:kern w:val="0"/>
          <w:szCs w:val="21"/>
        </w:rPr>
        <w:t>作为</w:t>
      </w:r>
      <w:r>
        <w:rPr>
          <w:rFonts w:hint="eastAsia" w:ascii="宋体" w:hAnsi="宋体" w:cs="宋体"/>
        </w:rPr>
        <w:t>成交供应商</w:t>
      </w:r>
      <w:r>
        <w:rPr>
          <w:rFonts w:hint="eastAsia" w:ascii="宋体" w:hAnsi="宋体" w:cs="宋体"/>
          <w:kern w:val="0"/>
          <w:szCs w:val="21"/>
        </w:rPr>
        <w:t>并签订采购合同，也可以重新开展采购活动。无正当理由拒绝签订政府采购合同的成交供应商不得参加该项目重新开展的采购活动。</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rPr>
        <w:t>17.4成交</w:t>
      </w:r>
      <w:r>
        <w:rPr>
          <w:rFonts w:hint="eastAsia" w:hAnsi="宋体" w:cs="宋体"/>
          <w:kern w:val="0"/>
        </w:rPr>
        <w:t>供应商拒绝签订采购合同的</w:t>
      </w:r>
      <w:r>
        <w:rPr>
          <w:rFonts w:hint="eastAsia" w:hAnsi="宋体" w:cs="宋体"/>
          <w:bCs/>
        </w:rPr>
        <w:t>，</w:t>
      </w:r>
      <w:r>
        <w:rPr>
          <w:rFonts w:hint="eastAsia" w:hAnsi="宋体" w:cs="宋体"/>
        </w:rPr>
        <w:t>其保证金将不予退还，并上缴国库，给采购人造成其损失的，还应当赔偿损失，并作为不良行为记录在案</w:t>
      </w:r>
      <w:r>
        <w:rPr>
          <w:rFonts w:hint="eastAsia" w:hAnsi="宋体" w:cs="宋体"/>
          <w:bCs/>
        </w:rPr>
        <w:t>。</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bCs/>
        </w:rPr>
        <w:t xml:space="preserve">17.5 </w:t>
      </w:r>
      <w:r>
        <w:rPr>
          <w:rFonts w:hint="eastAsia" w:hAnsi="宋体" w:cs="宋体"/>
          <w:kern w:val="0"/>
        </w:rPr>
        <w:t>采购人或采购代理机构应当自政府采购合同签订之日起1个工作日内，将政府采购合同在省级以上人民政府财政部门指定的媒体上公告，但政府采购合同中涉及国家秘密、商业秘密的内容除外。</w:t>
      </w:r>
      <w:r>
        <w:rPr>
          <w:rFonts w:hint="eastAsia" w:hAnsi="宋体" w:cs="宋体"/>
          <w:b/>
          <w:bCs/>
        </w:rPr>
        <w:t>成交</w:t>
      </w:r>
      <w:r>
        <w:rPr>
          <w:rFonts w:hint="eastAsia" w:hAnsi="宋体" w:cs="宋体"/>
          <w:b/>
          <w:bCs/>
          <w:kern w:val="0"/>
        </w:rPr>
        <w:t>供应商在签订合同时，必须成为政采云网上交易平台的正式入驻供应商，</w:t>
      </w:r>
      <w:r>
        <w:rPr>
          <w:rFonts w:hint="eastAsia" w:hAnsi="宋体" w:cs="宋体"/>
          <w:kern w:val="0"/>
        </w:rPr>
        <w:t>否则由此使采购人或采购代理机构不能按要求及时在相关媒体上发布合同公告所造成的一切后果及损失均由该成交供应商承担和赔偿，采购人有权单方面解除合同，同时有权按国家相关法律法规追究该成交供应商虚假应标的相关责任。</w:t>
      </w:r>
    </w:p>
    <w:p>
      <w:pPr>
        <w:pStyle w:val="28"/>
        <w:keepNext/>
        <w:keepLines w:val="0"/>
        <w:pageBreakBefore w:val="0"/>
        <w:kinsoku/>
        <w:wordWrap/>
        <w:overflowPunct/>
        <w:topLinePunct w:val="0"/>
        <w:autoSpaceDE/>
        <w:autoSpaceDN/>
        <w:bidi w:val="0"/>
        <w:adjustRightInd w:val="0"/>
        <w:snapToGrid w:val="0"/>
        <w:spacing w:line="380" w:lineRule="exact"/>
        <w:jc w:val="center"/>
        <w:textAlignment w:val="auto"/>
        <w:rPr>
          <w:rFonts w:hint="eastAsia" w:hAnsi="宋体" w:cs="宋体"/>
          <w:b/>
          <w:bCs/>
        </w:rPr>
      </w:pPr>
      <w:r>
        <w:rPr>
          <w:rFonts w:hint="eastAsia" w:hAnsi="宋体" w:cs="宋体"/>
          <w:b/>
          <w:bCs/>
        </w:rPr>
        <w:t>十一、适用法律</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
          <w:bCs/>
        </w:rPr>
      </w:pPr>
      <w:r>
        <w:rPr>
          <w:rFonts w:hint="eastAsia" w:hAnsi="宋体" w:cs="宋体"/>
          <w:bCs/>
        </w:rPr>
        <w:t>18.见本项目竞争性谈判公告。</w:t>
      </w:r>
    </w:p>
    <w:p>
      <w:pPr>
        <w:pStyle w:val="28"/>
        <w:keepNext/>
        <w:keepLines w:val="0"/>
        <w:pageBreakBefore w:val="0"/>
        <w:kinsoku/>
        <w:wordWrap/>
        <w:overflowPunct/>
        <w:topLinePunct w:val="0"/>
        <w:autoSpaceDE/>
        <w:autoSpaceDN/>
        <w:bidi w:val="0"/>
        <w:adjustRightInd w:val="0"/>
        <w:snapToGrid w:val="0"/>
        <w:spacing w:line="380" w:lineRule="exact"/>
        <w:jc w:val="center"/>
        <w:textAlignment w:val="auto"/>
        <w:rPr>
          <w:rFonts w:hint="eastAsia" w:hAnsi="宋体" w:cs="宋体"/>
          <w:b/>
          <w:bCs/>
        </w:rPr>
      </w:pPr>
      <w:r>
        <w:rPr>
          <w:rFonts w:hint="eastAsia" w:hAnsi="宋体" w:cs="宋体"/>
          <w:b/>
          <w:bCs/>
        </w:rPr>
        <w:t>十二、其他事项</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kern w:val="0"/>
          <w:highlight w:val="yellow"/>
        </w:rPr>
      </w:pPr>
      <w:r>
        <w:rPr>
          <w:rFonts w:hint="eastAsia" w:hAnsi="宋体" w:cs="宋体"/>
          <w:bCs/>
        </w:rPr>
        <w:t>19.1</w:t>
      </w:r>
      <w:r>
        <w:rPr>
          <w:rFonts w:hint="eastAsia" w:hAnsi="宋体" w:cs="宋体"/>
          <w:b/>
        </w:rPr>
        <w:t>采购代理服务费的收取</w:t>
      </w:r>
      <w:r>
        <w:rPr>
          <w:rFonts w:hint="eastAsia" w:hAnsi="宋体" w:cs="宋体"/>
          <w:bCs/>
        </w:rPr>
        <w:t>。按国家发展改革委《关于进一步放开建设项目专业服务价格的通知》（发改价格[2015]299号）的规定，本项目代理服务费收费标准实行市场调节。签订合同前，成交供应商按规定向采购代理机构一次性付清招标代理服务费，</w:t>
      </w:r>
      <w:r>
        <w:rPr>
          <w:rFonts w:hint="eastAsia" w:hAnsi="宋体" w:cs="宋体"/>
          <w:kern w:val="0"/>
        </w:rPr>
        <w:t>本项目代理服务费为：</w:t>
      </w:r>
      <w:r>
        <w:rPr>
          <w:rFonts w:hint="eastAsia" w:hAnsi="宋体" w:cs="宋体"/>
          <w:kern w:val="0"/>
          <w:lang w:val="en-US" w:eastAsia="zh-CN"/>
        </w:rPr>
        <w:t>A分标：</w:t>
      </w:r>
      <w:r>
        <w:rPr>
          <w:rFonts w:hint="eastAsia" w:hAnsi="宋体" w:cs="宋体"/>
        </w:rPr>
        <w:t>¥</w:t>
      </w:r>
      <w:r>
        <w:rPr>
          <w:rFonts w:hint="eastAsia" w:hAnsi="宋体" w:cs="宋体"/>
          <w:lang w:val="en-US" w:eastAsia="zh-CN"/>
        </w:rPr>
        <w:t>5000</w:t>
      </w:r>
      <w:r>
        <w:rPr>
          <w:rFonts w:hint="eastAsia" w:hAnsi="宋体" w:cs="宋体"/>
        </w:rPr>
        <w:t>.00</w:t>
      </w:r>
      <w:r>
        <w:rPr>
          <w:rFonts w:hint="eastAsia" w:hAnsi="宋体" w:cs="宋体"/>
          <w:lang w:eastAsia="zh-CN"/>
        </w:rPr>
        <w:t>；</w:t>
      </w:r>
      <w:r>
        <w:rPr>
          <w:rFonts w:hint="eastAsia" w:hAnsi="宋体" w:cs="宋体"/>
          <w:lang w:val="en-US" w:eastAsia="zh-CN"/>
        </w:rPr>
        <w:t>B分标：</w:t>
      </w:r>
      <w:r>
        <w:rPr>
          <w:rFonts w:hint="eastAsia" w:hAnsi="宋体" w:cs="宋体"/>
        </w:rPr>
        <w:t>¥</w:t>
      </w:r>
      <w:r>
        <w:rPr>
          <w:rFonts w:hint="eastAsia" w:hAnsi="宋体" w:cs="宋体"/>
          <w:lang w:val="en-US" w:eastAsia="zh-CN"/>
        </w:rPr>
        <w:t>7350.00；C分标：</w:t>
      </w:r>
      <w:r>
        <w:rPr>
          <w:rFonts w:hint="eastAsia" w:hAnsi="宋体" w:cs="宋体"/>
        </w:rPr>
        <w:t>¥</w:t>
      </w:r>
      <w:r>
        <w:rPr>
          <w:rFonts w:hint="eastAsia" w:hAnsi="宋体" w:cs="宋体"/>
          <w:lang w:val="en-US" w:eastAsia="zh-CN"/>
        </w:rPr>
        <w:t>8700.00；D分标：</w:t>
      </w:r>
      <w:r>
        <w:rPr>
          <w:rFonts w:hint="eastAsia" w:hAnsi="宋体" w:cs="宋体"/>
        </w:rPr>
        <w:t>¥</w:t>
      </w:r>
      <w:r>
        <w:rPr>
          <w:rFonts w:hint="eastAsia" w:hAnsi="宋体" w:cs="宋体"/>
          <w:lang w:val="en-US" w:eastAsia="zh-CN"/>
        </w:rPr>
        <w:t>7500.00</w:t>
      </w:r>
      <w:r>
        <w:rPr>
          <w:rFonts w:hint="eastAsia" w:hAnsi="宋体" w:cs="宋体"/>
          <w:kern w:val="0"/>
        </w:rPr>
        <w:t>。</w:t>
      </w:r>
    </w:p>
    <w:p>
      <w:pPr>
        <w:keepNext/>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cs="宋体"/>
          <w:kern w:val="0"/>
        </w:rPr>
      </w:pPr>
      <w:r>
        <w:rPr>
          <w:rFonts w:hint="eastAsia" w:ascii="宋体" w:hAnsi="宋体" w:cs="宋体"/>
          <w:b/>
          <w:bCs/>
          <w:kern w:val="0"/>
        </w:rPr>
        <w:t>19.2验收：采购人按国家相关法律法规及本谈判文件的规定和要求组织履约验收，成交供应商须予以配合。验收通过的，签署政府采购项目合同验收书【格式见本章附件2】，成交供应商须在验收书签署后1个工作日内将验收书发送至采购代理机构邮箱或送（寄）到采购代理机构。</w:t>
      </w:r>
      <w:r>
        <w:rPr>
          <w:rFonts w:hint="eastAsia" w:ascii="宋体" w:hAnsi="宋体" w:cs="宋体"/>
          <w:kern w:val="0"/>
        </w:rPr>
        <w:tab/>
      </w:r>
      <w:r>
        <w:rPr>
          <w:rFonts w:hint="eastAsia" w:ascii="宋体" w:hAnsi="宋体" w:cs="宋体"/>
          <w:kern w:val="0"/>
        </w:rPr>
        <w:tab/>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bCs/>
        </w:rPr>
        <w:t>19.3.解释权</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bCs/>
        </w:rPr>
        <w:t>本竞争性谈判文件解释权属采购人及采购代理机构。</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bCs/>
        </w:rPr>
        <w:t>19.4.有关事宜</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bCs/>
        </w:rPr>
        <w:t>所有与本竞争性谈判文件有关的函件请按下列通讯地址联系：</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bCs/>
        </w:rPr>
        <w:t>采购代理机构：广西新宇建设项目管理有限公司    邮政编码：536000</w:t>
      </w:r>
    </w:p>
    <w:p>
      <w:pPr>
        <w:pStyle w:val="28"/>
        <w:keepNext/>
        <w:keepLines w:val="0"/>
        <w:pageBreakBefore w:val="0"/>
        <w:kinsoku/>
        <w:wordWrap/>
        <w:overflowPunct/>
        <w:topLinePunct w:val="0"/>
        <w:autoSpaceDE/>
        <w:autoSpaceDN/>
        <w:bidi w:val="0"/>
        <w:adjustRightInd w:val="0"/>
        <w:snapToGrid w:val="0"/>
        <w:spacing w:line="380" w:lineRule="exact"/>
        <w:ind w:firstLine="420"/>
        <w:textAlignment w:val="auto"/>
        <w:rPr>
          <w:rFonts w:hint="eastAsia" w:hAnsi="宋体" w:cs="宋体"/>
          <w:bCs/>
        </w:rPr>
      </w:pPr>
      <w:r>
        <w:rPr>
          <w:rFonts w:hint="eastAsia" w:hAnsi="宋体" w:cs="宋体"/>
          <w:bCs/>
        </w:rPr>
        <w:t>通讯地址：广西北海市北海大道158号北园公寓星辰座7楼A室     电话：0779-3969698</w:t>
      </w: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center"/>
        <w:rPr>
          <w:rFonts w:hint="eastAsia" w:hAnsi="宋体" w:cs="宋体"/>
          <w:bCs/>
          <w:sz w:val="36"/>
          <w:szCs w:val="36"/>
        </w:rPr>
      </w:pPr>
    </w:p>
    <w:p>
      <w:pPr>
        <w:pStyle w:val="28"/>
        <w:keepNext/>
        <w:adjustRightInd w:val="0"/>
        <w:snapToGrid w:val="0"/>
        <w:spacing w:line="500" w:lineRule="exact"/>
        <w:jc w:val="both"/>
        <w:rPr>
          <w:rFonts w:hint="eastAsia" w:hAnsi="宋体" w:cs="宋体"/>
          <w:bCs/>
          <w:sz w:val="36"/>
          <w:szCs w:val="36"/>
        </w:rPr>
      </w:pPr>
    </w:p>
    <w:p>
      <w:pPr>
        <w:keepNext/>
        <w:widowControl/>
        <w:shd w:val="clear" w:color="auto" w:fill="FFFFFF"/>
        <w:spacing w:line="480" w:lineRule="atLeast"/>
        <w:rPr>
          <w:rFonts w:hint="eastAsia" w:ascii="宋体" w:hAnsi="宋体" w:cs="黑体"/>
          <w:b/>
          <w:kern w:val="0"/>
          <w:sz w:val="28"/>
          <w:szCs w:val="28"/>
        </w:rPr>
      </w:pPr>
      <w:r>
        <w:rPr>
          <w:rFonts w:hint="eastAsia" w:ascii="宋体" w:hAnsi="宋体" w:cs="黑体"/>
          <w:b/>
          <w:kern w:val="0"/>
          <w:sz w:val="28"/>
          <w:szCs w:val="28"/>
        </w:rPr>
        <w:t>附件1：</w:t>
      </w:r>
    </w:p>
    <w:p>
      <w:pPr>
        <w:keepNext/>
        <w:widowControl/>
        <w:shd w:val="clear" w:color="auto" w:fill="FFFFFF"/>
        <w:spacing w:line="480" w:lineRule="atLeast"/>
        <w:jc w:val="center"/>
        <w:rPr>
          <w:rFonts w:hint="eastAsia" w:ascii="宋体" w:hAnsi="宋体" w:cs="黑体"/>
          <w:kern w:val="0"/>
          <w:sz w:val="32"/>
          <w:szCs w:val="32"/>
        </w:rPr>
      </w:pPr>
      <w:r>
        <w:rPr>
          <w:rFonts w:hint="eastAsia" w:ascii="宋体" w:hAnsi="宋体" w:cs="黑体"/>
          <w:kern w:val="0"/>
          <w:sz w:val="32"/>
          <w:szCs w:val="32"/>
        </w:rPr>
        <w:t>诚信记录良好承诺函</w:t>
      </w:r>
    </w:p>
    <w:p>
      <w:pPr>
        <w:keepNext/>
        <w:spacing w:line="480" w:lineRule="exact"/>
        <w:rPr>
          <w:rFonts w:hint="eastAsia" w:ascii="宋体" w:hAnsi="宋体"/>
          <w:kern w:val="0"/>
          <w:szCs w:val="21"/>
        </w:rPr>
      </w:pPr>
      <w:r>
        <w:rPr>
          <w:rFonts w:hint="eastAsia" w:ascii="宋体" w:hAnsi="宋体"/>
          <w:kern w:val="0"/>
          <w:szCs w:val="21"/>
        </w:rPr>
        <w:t>致</w:t>
      </w:r>
      <w:r>
        <w:rPr>
          <w:rFonts w:hint="eastAsia" w:ascii="宋体" w:hAnsi="宋体"/>
          <w:kern w:val="0"/>
          <w:szCs w:val="21"/>
          <w:u w:val="single"/>
        </w:rPr>
        <w:t xml:space="preserve">   （采购代理机构）       </w:t>
      </w:r>
      <w:r>
        <w:rPr>
          <w:rFonts w:hint="eastAsia" w:ascii="宋体" w:hAnsi="宋体"/>
          <w:kern w:val="0"/>
          <w:szCs w:val="21"/>
        </w:rPr>
        <w:t>：</w:t>
      </w:r>
    </w:p>
    <w:p>
      <w:pPr>
        <w:keepNext/>
        <w:spacing w:line="480" w:lineRule="exact"/>
        <w:ind w:firstLine="420" w:firstLineChars="200"/>
        <w:rPr>
          <w:rFonts w:hint="eastAsia" w:ascii="宋体" w:hAnsi="宋体"/>
          <w:kern w:val="0"/>
          <w:szCs w:val="21"/>
        </w:rPr>
      </w:pPr>
      <w:r>
        <w:rPr>
          <w:rFonts w:hint="eastAsia" w:ascii="宋体" w:hAnsi="宋体"/>
          <w:kern w:val="0"/>
          <w:szCs w:val="21"/>
        </w:rPr>
        <w:t>我公司现参加</w:t>
      </w:r>
      <w:r>
        <w:rPr>
          <w:rFonts w:hint="eastAsia" w:ascii="宋体" w:hAnsi="宋体"/>
          <w:kern w:val="0"/>
          <w:szCs w:val="21"/>
          <w:u w:val="single"/>
        </w:rPr>
        <w:t xml:space="preserve">   （项目名称及项目编号）</w:t>
      </w:r>
      <w:r>
        <w:rPr>
          <w:rFonts w:hint="eastAsia" w:ascii="宋体" w:hAnsi="宋体"/>
          <w:kern w:val="0"/>
          <w:szCs w:val="21"/>
          <w:u w:val="single"/>
          <w:lang w:eastAsia="zh-CN"/>
        </w:rPr>
        <w:t>（分标号）</w:t>
      </w:r>
      <w:r>
        <w:rPr>
          <w:rFonts w:hint="eastAsia" w:ascii="宋体" w:hAnsi="宋体"/>
          <w:kern w:val="0"/>
          <w:szCs w:val="21"/>
          <w:u w:val="single"/>
        </w:rPr>
        <w:t xml:space="preserve">   </w:t>
      </w:r>
      <w:r>
        <w:rPr>
          <w:rFonts w:hint="eastAsia" w:ascii="宋体" w:hAnsi="宋体"/>
          <w:kern w:val="0"/>
          <w:szCs w:val="21"/>
        </w:rPr>
        <w:t>项目采购，在此向贵方承诺：</w:t>
      </w:r>
    </w:p>
    <w:p>
      <w:pPr>
        <w:keepNext/>
        <w:spacing w:line="480" w:lineRule="exact"/>
        <w:ind w:firstLine="420" w:firstLineChars="200"/>
        <w:rPr>
          <w:rFonts w:hint="eastAsia" w:ascii="宋体" w:hAnsi="宋体"/>
          <w:kern w:val="0"/>
          <w:szCs w:val="21"/>
        </w:rPr>
      </w:pPr>
      <w:r>
        <w:rPr>
          <w:rFonts w:hint="eastAsia" w:ascii="宋体" w:hAnsi="宋体"/>
          <w:kern w:val="0"/>
          <w:szCs w:val="21"/>
        </w:rPr>
        <w:t>我公司的诚信记录良好，无任何关于诚信的失信行为（包括但不限于被列入失信被执行人、政府采购不良行为记录、重大税收违法案件当事人、被各级政府行政部门列入黑名单等）。我公司对此承诺函的真实性负责，如有虚假我方自愿依法承担相应的经济责任和法律责任。</w:t>
      </w:r>
    </w:p>
    <w:p>
      <w:pPr>
        <w:pStyle w:val="28"/>
        <w:keepNext/>
        <w:adjustRightInd w:val="0"/>
        <w:snapToGrid w:val="0"/>
        <w:spacing w:line="480" w:lineRule="exact"/>
        <w:ind w:firstLine="422" w:firstLineChars="201"/>
        <w:rPr>
          <w:rFonts w:hint="eastAsia" w:hAnsi="宋体"/>
        </w:rPr>
      </w:pPr>
    </w:p>
    <w:p>
      <w:pPr>
        <w:pStyle w:val="28"/>
        <w:keepNext/>
        <w:adjustRightInd w:val="0"/>
        <w:snapToGrid w:val="0"/>
        <w:spacing w:line="480" w:lineRule="exact"/>
        <w:ind w:firstLine="422" w:firstLineChars="201"/>
        <w:rPr>
          <w:rFonts w:hint="eastAsia" w:hAnsi="宋体" w:cs="宋体"/>
          <w:spacing w:val="2"/>
        </w:rPr>
      </w:pPr>
      <w:r>
        <w:rPr>
          <w:rFonts w:hint="eastAsia" w:hAnsi="宋体"/>
        </w:rPr>
        <w:t xml:space="preserve">谈判供应商（公章）：                                        </w:t>
      </w:r>
    </w:p>
    <w:p>
      <w:pPr>
        <w:pStyle w:val="28"/>
        <w:keepNext/>
        <w:tabs>
          <w:tab w:val="left" w:pos="353"/>
        </w:tabs>
        <w:adjustRightInd w:val="0"/>
        <w:snapToGrid w:val="0"/>
        <w:spacing w:line="480" w:lineRule="exact"/>
        <w:ind w:firstLine="430" w:firstLineChars="201"/>
        <w:rPr>
          <w:rFonts w:hint="eastAsia" w:hAnsi="宋体"/>
        </w:rPr>
      </w:pPr>
      <w:r>
        <w:rPr>
          <w:rFonts w:hint="eastAsia" w:hAnsi="宋体" w:cs="宋体"/>
          <w:spacing w:val="2"/>
        </w:rPr>
        <w:t>法定代表人（负责人）</w:t>
      </w:r>
      <w:r>
        <w:rPr>
          <w:rFonts w:hint="eastAsia" w:hAnsi="宋体"/>
        </w:rPr>
        <w:t xml:space="preserve">（签字）：                           </w:t>
      </w:r>
    </w:p>
    <w:p>
      <w:pPr>
        <w:keepNext/>
        <w:widowControl/>
        <w:shd w:val="clear" w:color="auto" w:fill="FFFFFF"/>
        <w:spacing w:line="480" w:lineRule="atLeast"/>
        <w:ind w:firstLine="420" w:firstLineChars="200"/>
        <w:rPr>
          <w:rFonts w:hint="eastAsia" w:hAnsi="宋体"/>
        </w:rPr>
      </w:pPr>
      <w:r>
        <w:rPr>
          <w:rFonts w:hint="eastAsia" w:hAnsi="宋体"/>
        </w:rPr>
        <w:t xml:space="preserve">日期：                                 </w:t>
      </w: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hAnsi="宋体"/>
        </w:rPr>
      </w:pPr>
    </w:p>
    <w:p>
      <w:pPr>
        <w:keepNext/>
        <w:widowControl/>
        <w:shd w:val="clear" w:color="auto" w:fill="FFFFFF"/>
        <w:spacing w:line="480" w:lineRule="atLeast"/>
        <w:rPr>
          <w:rFonts w:hint="eastAsia" w:ascii="宋体" w:hAnsi="宋体" w:cs="宋体"/>
          <w:b/>
          <w:kern w:val="0"/>
          <w:sz w:val="28"/>
          <w:szCs w:val="28"/>
        </w:rPr>
      </w:pPr>
      <w:r>
        <w:rPr>
          <w:rFonts w:hint="eastAsia" w:ascii="宋体" w:hAnsi="宋体" w:cs="宋体"/>
          <w:b/>
          <w:kern w:val="0"/>
          <w:sz w:val="28"/>
          <w:szCs w:val="28"/>
        </w:rPr>
        <w:t>附件2：</w:t>
      </w:r>
    </w:p>
    <w:p>
      <w:pPr>
        <w:keepNext/>
        <w:widowControl/>
        <w:shd w:val="clear" w:color="auto" w:fill="FFFFFF"/>
        <w:spacing w:line="480" w:lineRule="atLeast"/>
        <w:jc w:val="center"/>
        <w:rPr>
          <w:rFonts w:hint="eastAsia" w:ascii="宋体" w:hAnsi="宋体" w:cs="宋体"/>
          <w:kern w:val="0"/>
          <w:sz w:val="32"/>
          <w:szCs w:val="32"/>
        </w:rPr>
      </w:pPr>
      <w:r>
        <w:rPr>
          <w:rFonts w:hint="eastAsia" w:ascii="宋体" w:hAnsi="宋体" w:cs="宋体"/>
          <w:kern w:val="0"/>
          <w:sz w:val="32"/>
          <w:szCs w:val="32"/>
        </w:rPr>
        <w:t>广西壮族自治区政府采购项目合同验收书（格式）</w:t>
      </w:r>
    </w:p>
    <w:p>
      <w:pPr>
        <w:keepNext/>
        <w:widowControl/>
        <w:shd w:val="clear" w:color="auto" w:fill="FFFFFF"/>
        <w:spacing w:line="480" w:lineRule="atLeast"/>
        <w:jc w:val="center"/>
        <w:rPr>
          <w:rFonts w:hint="eastAsia" w:ascii="宋体" w:hAnsi="宋体" w:cs="宋体"/>
          <w:kern w:val="0"/>
          <w:sz w:val="32"/>
          <w:szCs w:val="32"/>
        </w:rPr>
      </w:pPr>
    </w:p>
    <w:p>
      <w:pPr>
        <w:keepNext/>
        <w:widowControl/>
        <w:shd w:val="clear" w:color="auto" w:fill="FFFFFF"/>
        <w:snapToGrid w:val="0"/>
        <w:spacing w:line="320" w:lineRule="atLeast"/>
        <w:ind w:firstLine="480"/>
        <w:jc w:val="left"/>
        <w:rPr>
          <w:rFonts w:hint="eastAsia"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57"/>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5"/>
              <w:jc w:val="center"/>
              <w:rPr>
                <w:rFonts w:hint="eastAsia" w:ascii="宋体" w:hAnsi="宋体" w:eastAsia="Times New Roman" w:cs="宋体"/>
                <w:kern w:val="0"/>
                <w:szCs w:val="21"/>
              </w:rPr>
            </w:pPr>
            <w:r>
              <w:rPr>
                <w:rFonts w:hint="eastAsia" w:ascii="宋体" w:hAnsi="宋体" w:eastAsia="Times New Roman" w:cs="宋体"/>
                <w:kern w:val="0"/>
                <w:szCs w:val="21"/>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480"/>
              <w:jc w:val="center"/>
              <w:rPr>
                <w:rFonts w:hint="eastAsia" w:ascii="宋体" w:hAnsi="宋体" w:eastAsia="Times New Roman" w:cs="宋体"/>
                <w:kern w:val="0"/>
                <w:szCs w:val="21"/>
              </w:rPr>
            </w:pPr>
            <w:r>
              <w:rPr>
                <w:rFonts w:hint="eastAsia" w:ascii="宋体" w:hAnsi="宋体" w:eastAsia="Times New Roman"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Times New Roman" w:cs="宋体"/>
                <w:kern w:val="0"/>
                <w:szCs w:val="21"/>
              </w:rPr>
            </w:pPr>
            <w:r>
              <w:rPr>
                <w:rFonts w:hint="eastAsia" w:ascii="宋体" w:hAnsi="宋体" w:eastAsia="Times New Roman" w:cs="宋体"/>
                <w:kern w:val="0"/>
                <w:szCs w:val="21"/>
              </w:rPr>
              <w:t>序号</w:t>
            </w:r>
          </w:p>
        </w:tc>
        <w:tc>
          <w:tcPr>
            <w:tcW w:w="1921" w:type="dxa"/>
            <w:tcBorders>
              <w:top w:val="nil"/>
              <w:left w:val="nil"/>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Times New Roman" w:cs="宋体"/>
                <w:kern w:val="0"/>
                <w:szCs w:val="21"/>
              </w:rPr>
            </w:pPr>
            <w:r>
              <w:rPr>
                <w:rFonts w:hint="eastAsia" w:ascii="宋体" w:hAnsi="宋体" w:eastAsia="Times New Roman" w:cs="宋体"/>
                <w:kern w:val="0"/>
                <w:szCs w:val="21"/>
              </w:rPr>
              <w:t>名 称</w:t>
            </w:r>
          </w:p>
        </w:tc>
        <w:tc>
          <w:tcPr>
            <w:tcW w:w="2902" w:type="dxa"/>
            <w:gridSpan w:val="3"/>
            <w:tcBorders>
              <w:top w:val="nil"/>
              <w:left w:val="nil"/>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Times New Roman" w:cs="宋体"/>
                <w:kern w:val="0"/>
                <w:szCs w:val="21"/>
              </w:rPr>
            </w:pPr>
            <w:r>
              <w:rPr>
                <w:rFonts w:hint="eastAsia" w:ascii="宋体" w:hAnsi="宋体" w:eastAsia="Times New Roman"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jc w:val="center"/>
              <w:rPr>
                <w:rFonts w:hint="eastAsia" w:ascii="宋体" w:hAnsi="宋体" w:eastAsia="Times New Roman" w:cs="宋体"/>
                <w:kern w:val="0"/>
                <w:szCs w:val="21"/>
              </w:rPr>
            </w:pPr>
            <w:r>
              <w:rPr>
                <w:rFonts w:hint="eastAsia" w:ascii="宋体" w:hAnsi="宋体" w:eastAsia="Times New Roman" w:cs="宋体"/>
                <w:kern w:val="0"/>
                <w:szCs w:val="21"/>
              </w:rPr>
              <w:t>数量</w:t>
            </w:r>
          </w:p>
        </w:tc>
        <w:tc>
          <w:tcPr>
            <w:tcW w:w="2354" w:type="dxa"/>
            <w:tcBorders>
              <w:top w:val="nil"/>
              <w:left w:val="nil"/>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Times New Roman" w:cs="宋体"/>
                <w:kern w:val="0"/>
                <w:szCs w:val="21"/>
              </w:rPr>
            </w:pPr>
            <w:r>
              <w:rPr>
                <w:rFonts w:hint="eastAsia" w:ascii="宋体" w:hAnsi="宋体" w:eastAsia="Times New Roman"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1921" w:type="dxa"/>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902" w:type="dxa"/>
            <w:gridSpan w:val="3"/>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863" w:type="dxa"/>
            <w:gridSpan w:val="2"/>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354" w:type="dxa"/>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1921" w:type="dxa"/>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902" w:type="dxa"/>
            <w:gridSpan w:val="3"/>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863" w:type="dxa"/>
            <w:gridSpan w:val="2"/>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354" w:type="dxa"/>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1921" w:type="dxa"/>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902" w:type="dxa"/>
            <w:gridSpan w:val="3"/>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863" w:type="dxa"/>
            <w:gridSpan w:val="2"/>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354" w:type="dxa"/>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5"/>
              <w:jc w:val="center"/>
              <w:rPr>
                <w:rFonts w:hint="eastAsia" w:ascii="宋体" w:hAnsi="宋体" w:eastAsia="Times New Roman" w:cs="宋体"/>
                <w:kern w:val="0"/>
                <w:szCs w:val="21"/>
              </w:rPr>
            </w:pPr>
            <w:r>
              <w:rPr>
                <w:rFonts w:hint="eastAsia" w:ascii="宋体" w:hAnsi="宋体" w:eastAsia="Times New Roman" w:cs="宋体"/>
                <w:kern w:val="0"/>
                <w:szCs w:val="21"/>
              </w:rPr>
              <w:t>合 计</w:t>
            </w:r>
          </w:p>
        </w:tc>
        <w:tc>
          <w:tcPr>
            <w:tcW w:w="863" w:type="dxa"/>
            <w:gridSpan w:val="2"/>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354" w:type="dxa"/>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2"/>
              <w:jc w:val="left"/>
              <w:rPr>
                <w:rFonts w:hint="eastAsia" w:ascii="宋体" w:hAnsi="宋体" w:eastAsia="Times New Roman" w:cs="宋体"/>
                <w:kern w:val="0"/>
                <w:szCs w:val="21"/>
              </w:rPr>
            </w:pPr>
            <w:r>
              <w:rPr>
                <w:rFonts w:hint="eastAsia" w:ascii="宋体" w:hAnsi="宋体" w:eastAsia="Times New Roman"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Times New Roman" w:cs="宋体"/>
                <w:kern w:val="0"/>
                <w:szCs w:val="21"/>
              </w:rPr>
            </w:pPr>
            <w:r>
              <w:rPr>
                <w:rFonts w:hint="eastAsia" w:ascii="宋体" w:hAnsi="宋体" w:eastAsia="Times New Roman" w:cs="宋体"/>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282" w:type="dxa"/>
            <w:gridSpan w:val="3"/>
            <w:tcBorders>
              <w:top w:val="nil"/>
              <w:left w:val="nil"/>
              <w:bottom w:val="single" w:color="auto" w:sz="8" w:space="0"/>
              <w:right w:val="single" w:color="auto" w:sz="8" w:space="0"/>
            </w:tcBorders>
            <w:noWrap w:val="0"/>
            <w:vAlign w:val="center"/>
          </w:tcPr>
          <w:p>
            <w:pPr>
              <w:keepNext/>
              <w:keepLines w:val="0"/>
              <w:widowControl/>
              <w:suppressLineNumbers w:val="0"/>
              <w:snapToGrid w:val="0"/>
              <w:spacing w:before="100" w:beforeAutospacing="1" w:after="100" w:afterAutospacing="1" w:line="320" w:lineRule="atLeast"/>
              <w:ind w:left="0" w:right="0" w:firstLine="46"/>
              <w:jc w:val="center"/>
              <w:rPr>
                <w:rFonts w:hint="eastAsia" w:ascii="宋体" w:hAnsi="宋体" w:eastAsia="Times New Roman" w:cs="宋体"/>
                <w:kern w:val="0"/>
                <w:szCs w:val="21"/>
              </w:rPr>
            </w:pPr>
            <w:r>
              <w:rPr>
                <w:rFonts w:hint="eastAsia" w:ascii="宋体" w:hAnsi="宋体" w:eastAsia="Times New Roman" w:cs="宋体"/>
                <w:kern w:val="0"/>
                <w:szCs w:val="21"/>
              </w:rPr>
              <w:t>合同交货验收日期</w:t>
            </w:r>
          </w:p>
        </w:tc>
        <w:tc>
          <w:tcPr>
            <w:tcW w:w="3039" w:type="dxa"/>
            <w:gridSpan w:val="2"/>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719" w:type="dxa"/>
            <w:gridSpan w:val="2"/>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2282" w:type="dxa"/>
            <w:gridSpan w:val="3"/>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c>
          <w:tcPr>
            <w:tcW w:w="3039" w:type="dxa"/>
            <w:gridSpan w:val="2"/>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240" w:lineRule="atLeast"/>
              <w:ind w:left="0" w:right="0"/>
              <w:jc w:val="center"/>
              <w:rPr>
                <w:rFonts w:hint="eastAsia" w:ascii="宋体" w:hAnsi="宋体" w:eastAsia="Times New Roman"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keepLines w:val="0"/>
              <w:widowControl/>
              <w:suppressLineNumbers w:val="0"/>
              <w:snapToGrid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keepLines w:val="0"/>
              <w:widowControl/>
              <w:suppressLineNumbers w:val="0"/>
              <w:snapToGrid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应按采购合同、招标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keepLines w:val="0"/>
              <w:widowControl/>
              <w:suppressLineNumbers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验收小组意见</w:t>
            </w:r>
          </w:p>
        </w:tc>
        <w:tc>
          <w:tcPr>
            <w:tcW w:w="8040" w:type="dxa"/>
            <w:gridSpan w:val="7"/>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keepNext/>
              <w:keepLines w:val="0"/>
              <w:widowControl/>
              <w:suppressLineNumbers w:val="0"/>
              <w:spacing w:before="0" w:beforeAutospacing="0" w:after="0" w:afterAutospacing="0"/>
              <w:ind w:left="0" w:right="0"/>
              <w:jc w:val="left"/>
              <w:rPr>
                <w:rFonts w:hint="eastAsia" w:ascii="宋体" w:hAnsi="宋体" w:eastAsia="Times New Roman" w:cs="宋体"/>
                <w:kern w:val="0"/>
                <w:szCs w:val="21"/>
              </w:rPr>
            </w:pPr>
          </w:p>
        </w:tc>
        <w:tc>
          <w:tcPr>
            <w:tcW w:w="8040" w:type="dxa"/>
            <w:gridSpan w:val="7"/>
            <w:tcBorders>
              <w:top w:val="nil"/>
              <w:left w:val="nil"/>
              <w:bottom w:val="single" w:color="auto" w:sz="8" w:space="0"/>
              <w:right w:val="single" w:color="auto" w:sz="8" w:space="0"/>
            </w:tcBorders>
            <w:noWrap w:val="0"/>
            <w:vAlign w:val="center"/>
          </w:tcPr>
          <w:p>
            <w:pPr>
              <w:keepNext/>
              <w:keepLines w:val="0"/>
              <w:widowControl/>
              <w:suppressLineNumbers w:val="0"/>
              <w:spacing w:before="100" w:beforeAutospacing="1" w:after="100" w:afterAutospacing="1" w:line="320" w:lineRule="atLeast"/>
              <w:ind w:left="0" w:right="0" w:firstLine="96"/>
              <w:jc w:val="left"/>
              <w:rPr>
                <w:rFonts w:hint="eastAsia" w:ascii="宋体" w:hAnsi="宋体" w:eastAsia="Times New Roman" w:cs="宋体"/>
                <w:kern w:val="0"/>
                <w:szCs w:val="21"/>
              </w:rPr>
            </w:pPr>
            <w:r>
              <w:rPr>
                <w:rFonts w:hint="eastAsia" w:ascii="宋体" w:hAnsi="宋体" w:eastAsia="Times New Roman" w:cs="宋体"/>
                <w:kern w:val="0"/>
                <w:szCs w:val="21"/>
              </w:rPr>
              <w:t>有异议的意见和说明理由：</w:t>
            </w:r>
          </w:p>
          <w:p>
            <w:pPr>
              <w:keepNext/>
              <w:keepLines w:val="0"/>
              <w:widowControl/>
              <w:suppressLineNumbers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keepLines w:val="0"/>
              <w:widowControl/>
              <w:suppressLineNumbers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keepLines w:val="0"/>
              <w:widowControl/>
              <w:suppressLineNumbers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监督人员或其他相关人员签字：</w:t>
            </w:r>
          </w:p>
          <w:p>
            <w:pPr>
              <w:keepNext/>
              <w:keepLines w:val="0"/>
              <w:widowControl/>
              <w:suppressLineNumbers w:val="0"/>
              <w:spacing w:before="100" w:beforeAutospacing="1" w:after="100" w:afterAutospacing="1" w:line="320" w:lineRule="atLeast"/>
              <w:ind w:left="0" w:right="0" w:firstLine="74"/>
              <w:jc w:val="left"/>
              <w:rPr>
                <w:rFonts w:hint="eastAsia" w:ascii="宋体" w:hAnsi="宋体" w:eastAsia="Times New Roman" w:cs="宋体"/>
                <w:kern w:val="0"/>
                <w:szCs w:val="21"/>
              </w:rPr>
            </w:pPr>
            <w:r>
              <w:rPr>
                <w:rFonts w:hint="eastAsia" w:ascii="宋体" w:hAnsi="宋体" w:eastAsia="Times New Roman"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keepLines w:val="0"/>
              <w:widowControl/>
              <w:suppressLineNumbers w:val="0"/>
              <w:spacing w:before="100" w:beforeAutospacing="1" w:after="100" w:afterAutospacing="1" w:line="320" w:lineRule="atLeast"/>
              <w:ind w:left="0" w:right="0" w:firstLine="74"/>
              <w:jc w:val="left"/>
              <w:rPr>
                <w:rFonts w:hint="eastAsia" w:ascii="宋体" w:hAnsi="宋体" w:eastAsia="Times New Roman" w:cs="宋体"/>
                <w:kern w:val="0"/>
                <w:szCs w:val="21"/>
              </w:rPr>
            </w:pPr>
            <w:r>
              <w:rPr>
                <w:rFonts w:hint="eastAsia" w:ascii="宋体" w:hAnsi="宋体" w:eastAsia="Times New Roman" w:cs="宋体"/>
                <w:kern w:val="0"/>
                <w:szCs w:val="21"/>
              </w:rPr>
              <w:t>中标或者成交供应商负责人签字或盖章：</w:t>
            </w:r>
          </w:p>
          <w:p>
            <w:pPr>
              <w:keepNext/>
              <w:keepLines w:val="0"/>
              <w:widowControl/>
              <w:suppressLineNumbers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联系电话： 年 月 日</w:t>
            </w:r>
          </w:p>
        </w:tc>
        <w:tc>
          <w:tcPr>
            <w:tcW w:w="5219" w:type="dxa"/>
            <w:gridSpan w:val="4"/>
            <w:tcBorders>
              <w:top w:val="single" w:color="auto" w:sz="4" w:space="0"/>
              <w:left w:val="single" w:color="auto" w:sz="4" w:space="0"/>
              <w:bottom w:val="single" w:color="auto" w:sz="4" w:space="0"/>
              <w:right w:val="single" w:color="auto" w:sz="4" w:space="0"/>
            </w:tcBorders>
            <w:noWrap w:val="0"/>
            <w:vAlign w:val="center"/>
          </w:tcPr>
          <w:p>
            <w:pPr>
              <w:keepNext/>
              <w:keepLines w:val="0"/>
              <w:widowControl/>
              <w:suppressLineNumbers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采购人或受托机构的意见（盖章）：</w:t>
            </w:r>
          </w:p>
          <w:p>
            <w:pPr>
              <w:keepNext/>
              <w:keepLines w:val="0"/>
              <w:widowControl/>
              <w:suppressLineNumbers w:val="0"/>
              <w:spacing w:before="100" w:beforeAutospacing="1" w:after="100" w:afterAutospacing="1" w:line="320" w:lineRule="atLeast"/>
              <w:ind w:left="0" w:right="0"/>
              <w:jc w:val="left"/>
              <w:rPr>
                <w:rFonts w:hint="eastAsia" w:ascii="宋体" w:hAnsi="宋体" w:eastAsia="Times New Roman" w:cs="宋体"/>
                <w:kern w:val="0"/>
                <w:szCs w:val="21"/>
              </w:rPr>
            </w:pPr>
            <w:r>
              <w:rPr>
                <w:rFonts w:hint="eastAsia" w:ascii="宋体" w:hAnsi="宋体" w:eastAsia="Times New Roman" w:cs="宋体"/>
                <w:kern w:val="0"/>
                <w:szCs w:val="21"/>
              </w:rPr>
              <w:t>联系电话： 年 月 日</w:t>
            </w:r>
          </w:p>
        </w:tc>
      </w:tr>
    </w:tbl>
    <w:p>
      <w:pPr>
        <w:pStyle w:val="28"/>
        <w:keepNext/>
        <w:adjustRightInd w:val="0"/>
        <w:snapToGrid w:val="0"/>
        <w:spacing w:line="500" w:lineRule="exact"/>
        <w:rPr>
          <w:rFonts w:hint="eastAsia" w:hAnsi="宋体" w:cs="宋体"/>
          <w:b/>
          <w:sz w:val="36"/>
          <w:szCs w:val="36"/>
        </w:rPr>
      </w:pPr>
    </w:p>
    <w:p>
      <w:pPr>
        <w:pStyle w:val="28"/>
        <w:keepNext/>
        <w:adjustRightInd w:val="0"/>
        <w:snapToGrid w:val="0"/>
        <w:spacing w:line="500" w:lineRule="exact"/>
        <w:jc w:val="center"/>
        <w:rPr>
          <w:rFonts w:hint="eastAsia" w:hAnsi="宋体" w:cs="宋体"/>
          <w:b/>
          <w:sz w:val="36"/>
          <w:szCs w:val="36"/>
        </w:rPr>
      </w:pPr>
    </w:p>
    <w:p>
      <w:pPr>
        <w:pStyle w:val="28"/>
        <w:keepNext/>
        <w:adjustRightInd w:val="0"/>
        <w:snapToGrid w:val="0"/>
        <w:spacing w:line="500" w:lineRule="exact"/>
        <w:jc w:val="center"/>
        <w:rPr>
          <w:rFonts w:hint="eastAsia" w:hAnsi="宋体" w:cs="宋体"/>
          <w:b/>
          <w:sz w:val="36"/>
          <w:szCs w:val="36"/>
        </w:rPr>
      </w:pPr>
    </w:p>
    <w:p>
      <w:pPr>
        <w:pStyle w:val="28"/>
        <w:keepNext/>
        <w:pageBreakBefore w:val="0"/>
        <w:kinsoku/>
        <w:wordWrap/>
        <w:overflowPunct/>
        <w:topLinePunct w:val="0"/>
        <w:autoSpaceDE/>
        <w:autoSpaceDN/>
        <w:bidi w:val="0"/>
        <w:adjustRightInd w:val="0"/>
        <w:snapToGrid w:val="0"/>
        <w:spacing w:line="500" w:lineRule="exact"/>
        <w:jc w:val="center"/>
        <w:rPr>
          <w:rFonts w:hint="eastAsia" w:hAnsi="宋体" w:cs="宋体"/>
          <w:bCs/>
          <w:sz w:val="36"/>
          <w:szCs w:val="36"/>
        </w:rPr>
      </w:pPr>
      <w:r>
        <w:rPr>
          <w:rFonts w:hint="eastAsia" w:hAnsi="宋体" w:cs="宋体"/>
          <w:b/>
          <w:sz w:val="36"/>
          <w:szCs w:val="36"/>
        </w:rPr>
        <w:t>第三章  采购项目需求</w:t>
      </w:r>
      <w:bookmarkEnd w:id="40"/>
    </w:p>
    <w:p>
      <w:pPr>
        <w:pStyle w:val="28"/>
        <w:keepNext/>
        <w:pageBreakBefore w:val="0"/>
        <w:kinsoku/>
        <w:wordWrap/>
        <w:overflowPunct/>
        <w:topLinePunct w:val="0"/>
        <w:autoSpaceDE/>
        <w:autoSpaceDN/>
        <w:bidi w:val="0"/>
        <w:adjustRightInd w:val="0"/>
        <w:snapToGrid w:val="0"/>
        <w:spacing w:line="330" w:lineRule="exact"/>
        <w:rPr>
          <w:rFonts w:hint="eastAsia" w:hAnsi="宋体" w:eastAsia="宋体" w:cs="宋体"/>
          <w:bCs/>
          <w:lang w:eastAsia="zh-CN"/>
        </w:rPr>
      </w:pPr>
      <w:r>
        <w:rPr>
          <w:rFonts w:hint="eastAsia" w:hAnsi="宋体" w:cs="宋体"/>
          <w:b/>
        </w:rPr>
        <w:t>一、项目编号：</w:t>
      </w:r>
      <w:r>
        <w:rPr>
          <w:rFonts w:hint="eastAsia" w:hAnsi="宋体" w:cs="宋体"/>
          <w:bCs/>
          <w:lang w:eastAsia="zh-CN"/>
        </w:rPr>
        <w:t>BHZC2020-J1-000513-GXXY</w:t>
      </w:r>
    </w:p>
    <w:p>
      <w:pPr>
        <w:pStyle w:val="28"/>
        <w:keepNext/>
        <w:pageBreakBefore w:val="0"/>
        <w:kinsoku/>
        <w:wordWrap/>
        <w:overflowPunct/>
        <w:topLinePunct w:val="0"/>
        <w:autoSpaceDE/>
        <w:autoSpaceDN/>
        <w:bidi w:val="0"/>
        <w:adjustRightInd w:val="0"/>
        <w:snapToGrid w:val="0"/>
        <w:spacing w:line="330" w:lineRule="exact"/>
        <w:rPr>
          <w:rFonts w:hint="eastAsia" w:hAnsi="宋体" w:cs="宋体"/>
          <w:bCs/>
        </w:rPr>
      </w:pPr>
      <w:r>
        <w:rPr>
          <w:rFonts w:hint="eastAsia" w:hAnsi="宋体" w:cs="宋体"/>
          <w:b/>
        </w:rPr>
        <w:t>二、项目类别：</w:t>
      </w:r>
      <w:r>
        <w:rPr>
          <w:rFonts w:hint="eastAsia" w:hAnsi="宋体" w:cs="宋体"/>
          <w:bCs/>
        </w:rPr>
        <w:t>货物类</w:t>
      </w:r>
    </w:p>
    <w:p>
      <w:pPr>
        <w:pStyle w:val="28"/>
        <w:keepNext/>
        <w:pageBreakBefore w:val="0"/>
        <w:kinsoku/>
        <w:wordWrap/>
        <w:overflowPunct/>
        <w:topLinePunct w:val="0"/>
        <w:autoSpaceDE/>
        <w:autoSpaceDN/>
        <w:bidi w:val="0"/>
        <w:adjustRightInd w:val="0"/>
        <w:snapToGrid w:val="0"/>
        <w:spacing w:line="330" w:lineRule="exact"/>
        <w:rPr>
          <w:rFonts w:hint="eastAsia" w:hAnsi="宋体" w:cs="宋体"/>
          <w:bCs/>
        </w:rPr>
      </w:pPr>
      <w:r>
        <w:rPr>
          <w:rFonts w:hint="eastAsia" w:hAnsi="宋体" w:cs="宋体"/>
          <w:b/>
        </w:rPr>
        <w:t>三、采购需求一览表：</w:t>
      </w:r>
      <w:r>
        <w:rPr>
          <w:rFonts w:hint="eastAsia" w:hAnsi="宋体" w:cs="宋体"/>
          <w:bCs/>
        </w:rPr>
        <w:t>见下表</w:t>
      </w:r>
    </w:p>
    <w:p>
      <w:pPr>
        <w:pStyle w:val="28"/>
        <w:keepNext/>
        <w:pageBreakBefore w:val="0"/>
        <w:kinsoku/>
        <w:wordWrap/>
        <w:overflowPunct/>
        <w:topLinePunct w:val="0"/>
        <w:autoSpaceDE/>
        <w:autoSpaceDN/>
        <w:bidi w:val="0"/>
        <w:adjustRightInd w:val="0"/>
        <w:snapToGrid w:val="0"/>
        <w:spacing w:line="330" w:lineRule="exact"/>
        <w:ind w:left="422" w:hanging="422" w:hangingChars="200"/>
        <w:rPr>
          <w:rFonts w:hint="eastAsia" w:hAnsi="宋体" w:cs="宋体"/>
          <w:b/>
          <w:highlight w:val="none"/>
        </w:rPr>
      </w:pPr>
      <w:r>
        <w:rPr>
          <w:rFonts w:hint="eastAsia" w:hAnsi="宋体" w:cs="宋体"/>
          <w:b/>
        </w:rPr>
        <w:t>四、采购预算：</w:t>
      </w:r>
      <w:r>
        <w:rPr>
          <w:rFonts w:hint="eastAsia" w:ascii="宋体" w:hAnsi="宋体" w:cs="宋体"/>
        </w:rPr>
        <w:t>A分标</w:t>
      </w:r>
      <w:r>
        <w:rPr>
          <w:rFonts w:hint="eastAsia" w:hAnsi="宋体" w:cs="宋体"/>
          <w:lang w:eastAsia="zh-CN"/>
        </w:rPr>
        <w:t>为</w:t>
      </w:r>
      <w:r>
        <w:rPr>
          <w:rFonts w:hint="eastAsia" w:ascii="宋体" w:hAnsi="宋体" w:cs="宋体"/>
        </w:rPr>
        <w:t>：¥327750.00；B分标</w:t>
      </w:r>
      <w:r>
        <w:rPr>
          <w:rFonts w:hint="eastAsia" w:hAnsi="宋体" w:cs="宋体"/>
          <w:lang w:eastAsia="zh-CN"/>
        </w:rPr>
        <w:t>为</w:t>
      </w:r>
      <w:r>
        <w:rPr>
          <w:rFonts w:hint="eastAsia" w:ascii="宋体" w:hAnsi="宋体" w:cs="宋体"/>
        </w:rPr>
        <w:t>：¥490000.00；C分标</w:t>
      </w:r>
      <w:r>
        <w:rPr>
          <w:rFonts w:hint="eastAsia" w:hAnsi="宋体" w:cs="宋体"/>
          <w:lang w:eastAsia="zh-CN"/>
        </w:rPr>
        <w:t>为</w:t>
      </w:r>
      <w:r>
        <w:rPr>
          <w:rFonts w:hint="eastAsia" w:ascii="宋体" w:hAnsi="宋体" w:cs="宋体"/>
        </w:rPr>
        <w:t>：¥580000.00；D分标</w:t>
      </w:r>
      <w:r>
        <w:rPr>
          <w:rFonts w:hint="eastAsia" w:hAnsi="宋体" w:cs="宋体"/>
          <w:lang w:eastAsia="zh-CN"/>
        </w:rPr>
        <w:t>为</w:t>
      </w:r>
      <w:r>
        <w:rPr>
          <w:rFonts w:hint="eastAsia" w:ascii="宋体" w:hAnsi="宋体" w:cs="宋体"/>
        </w:rPr>
        <w:t>：¥498500.00</w:t>
      </w:r>
      <w:r>
        <w:rPr>
          <w:rFonts w:hint="eastAsia" w:hAnsi="宋体" w:cs="宋体"/>
          <w:bCs/>
        </w:rPr>
        <w:t>，</w:t>
      </w:r>
      <w:r>
        <w:rPr>
          <w:rFonts w:hint="eastAsia" w:hAnsi="宋体" w:cs="宋体"/>
          <w:b/>
          <w:bCs w:val="0"/>
          <w:highlight w:val="none"/>
          <w:lang w:eastAsia="zh-CN"/>
        </w:rPr>
        <w:t>对</w:t>
      </w:r>
      <w:r>
        <w:rPr>
          <w:rFonts w:hint="eastAsia" w:hAnsi="宋体" w:cs="宋体"/>
          <w:b/>
          <w:highlight w:val="none"/>
        </w:rPr>
        <w:t>超过</w:t>
      </w:r>
      <w:r>
        <w:rPr>
          <w:rFonts w:hint="eastAsia" w:hAnsi="宋体" w:cs="宋体"/>
          <w:b/>
          <w:highlight w:val="none"/>
          <w:lang w:eastAsia="zh-CN"/>
        </w:rPr>
        <w:t>以上</w:t>
      </w:r>
      <w:r>
        <w:rPr>
          <w:rFonts w:hint="eastAsia" w:hAnsi="宋体" w:cs="宋体"/>
          <w:b/>
          <w:highlight w:val="none"/>
        </w:rPr>
        <w:t>采购预算金额的报价将按参加谈判采购无效处理。</w:t>
      </w:r>
    </w:p>
    <w:p>
      <w:pPr>
        <w:pStyle w:val="28"/>
        <w:keepNext/>
        <w:pageBreakBefore w:val="0"/>
        <w:kinsoku/>
        <w:wordWrap/>
        <w:overflowPunct/>
        <w:topLinePunct w:val="0"/>
        <w:autoSpaceDE/>
        <w:autoSpaceDN/>
        <w:bidi w:val="0"/>
        <w:adjustRightInd w:val="0"/>
        <w:snapToGrid w:val="0"/>
        <w:spacing w:line="330" w:lineRule="exact"/>
        <w:rPr>
          <w:rFonts w:hint="eastAsia" w:hAnsi="宋体" w:cs="宋体"/>
          <w:b/>
        </w:rPr>
      </w:pPr>
      <w:r>
        <w:rPr>
          <w:rFonts w:hint="eastAsia" w:hAnsi="宋体" w:cs="宋体"/>
          <w:b/>
        </w:rPr>
        <w:t>五、说明：</w:t>
      </w:r>
    </w:p>
    <w:p>
      <w:pPr>
        <w:pStyle w:val="28"/>
        <w:keepNext/>
        <w:pageBreakBefore w:val="0"/>
        <w:kinsoku/>
        <w:wordWrap/>
        <w:overflowPunct/>
        <w:topLinePunct w:val="0"/>
        <w:autoSpaceDE/>
        <w:autoSpaceDN/>
        <w:bidi w:val="0"/>
        <w:adjustRightInd w:val="0"/>
        <w:snapToGrid w:val="0"/>
        <w:spacing w:line="330" w:lineRule="exact"/>
        <w:ind w:firstLine="420" w:firstLineChars="200"/>
        <w:rPr>
          <w:rFonts w:hint="eastAsia" w:hAnsi="宋体" w:cs="宋体"/>
          <w:bCs/>
        </w:rPr>
      </w:pPr>
      <w:r>
        <w:rPr>
          <w:rFonts w:hint="eastAsia" w:hAnsi="宋体" w:cs="宋体"/>
          <w:bCs/>
        </w:rPr>
        <w:t>1.采购需求一览表中的品牌型号、技术参数仅起参考作用，谈判供应商可选用其他品牌型号替代，但这些替代的产品要实质上相当于或优于参考品牌型号及其技术参数性能（配置）要求。否则，其谈判无效。</w:t>
      </w:r>
    </w:p>
    <w:p>
      <w:pPr>
        <w:pStyle w:val="28"/>
        <w:keepNext/>
        <w:pageBreakBefore w:val="0"/>
        <w:kinsoku/>
        <w:wordWrap/>
        <w:overflowPunct/>
        <w:topLinePunct w:val="0"/>
        <w:autoSpaceDE/>
        <w:autoSpaceDN/>
        <w:bidi w:val="0"/>
        <w:adjustRightInd w:val="0"/>
        <w:snapToGrid w:val="0"/>
        <w:spacing w:line="330" w:lineRule="exact"/>
        <w:ind w:firstLine="420" w:firstLineChars="200"/>
        <w:rPr>
          <w:rFonts w:hint="eastAsia" w:hAnsi="宋体" w:cs="宋体"/>
          <w:bCs/>
          <w:color w:val="auto"/>
        </w:rPr>
      </w:pPr>
      <w:r>
        <w:rPr>
          <w:rFonts w:hint="eastAsia" w:hAnsi="宋体" w:cs="宋体"/>
          <w:bCs/>
        </w:rPr>
        <w:t>2.凡在“技术参数及性能（配置）要求”中表述为“标配”或“标准配</w:t>
      </w:r>
      <w:r>
        <w:rPr>
          <w:rFonts w:hint="eastAsia" w:hAnsi="宋体" w:cs="宋体"/>
          <w:bCs/>
          <w:color w:val="auto"/>
        </w:rPr>
        <w:t>置”的设备，谈判供应商应在谈判报价表中将其标配参数详细列明。</w:t>
      </w:r>
    </w:p>
    <w:p>
      <w:pPr>
        <w:pStyle w:val="28"/>
        <w:keepNext/>
        <w:pageBreakBefore w:val="0"/>
        <w:kinsoku/>
        <w:wordWrap/>
        <w:overflowPunct/>
        <w:topLinePunct w:val="0"/>
        <w:autoSpaceDE/>
        <w:autoSpaceDN/>
        <w:bidi w:val="0"/>
        <w:adjustRightInd w:val="0"/>
        <w:snapToGrid w:val="0"/>
        <w:spacing w:line="330" w:lineRule="exact"/>
        <w:ind w:firstLine="420" w:firstLineChars="200"/>
        <w:rPr>
          <w:rFonts w:hint="eastAsia" w:hAnsi="宋体" w:cs="宋体"/>
          <w:bCs/>
          <w:color w:val="auto"/>
        </w:rPr>
      </w:pPr>
      <w:r>
        <w:rPr>
          <w:rFonts w:hint="eastAsia" w:hAnsi="宋体" w:cs="宋体"/>
          <w:bCs/>
          <w:color w:val="auto"/>
        </w:rPr>
        <w:t>3.保修和服务要求：下述有要求的按下述要求；下述无要求的按国家规定实行三包。</w:t>
      </w:r>
    </w:p>
    <w:p>
      <w:pPr>
        <w:pStyle w:val="28"/>
        <w:keepNext/>
        <w:pageBreakBefore w:val="0"/>
        <w:kinsoku/>
        <w:wordWrap/>
        <w:overflowPunct/>
        <w:topLinePunct w:val="0"/>
        <w:autoSpaceDE/>
        <w:autoSpaceDN/>
        <w:bidi w:val="0"/>
        <w:adjustRightInd w:val="0"/>
        <w:snapToGrid w:val="0"/>
        <w:spacing w:line="330" w:lineRule="exact"/>
        <w:ind w:firstLine="420" w:firstLineChars="200"/>
        <w:rPr>
          <w:rFonts w:hint="eastAsia" w:hAnsi="宋体" w:cs="宋体"/>
          <w:bCs/>
          <w:color w:val="auto"/>
        </w:rPr>
      </w:pPr>
      <w:r>
        <w:rPr>
          <w:rFonts w:hint="eastAsia" w:hAnsi="宋体" w:cs="宋体"/>
          <w:bCs/>
          <w:color w:val="auto"/>
        </w:rPr>
        <w:t>4.谈判报价要求：见本章“服务要求书”的相关要求。</w:t>
      </w:r>
    </w:p>
    <w:p>
      <w:pPr>
        <w:keepNext/>
        <w:keepLines/>
        <w:pageBreakBefore w:val="0"/>
        <w:kinsoku/>
        <w:wordWrap/>
        <w:overflowPunct/>
        <w:topLinePunct w:val="0"/>
        <w:autoSpaceDE/>
        <w:autoSpaceDN/>
        <w:bidi w:val="0"/>
        <w:spacing w:line="320" w:lineRule="exact"/>
        <w:ind w:firstLine="422" w:firstLineChars="200"/>
        <w:rPr>
          <w:rFonts w:hint="eastAsia" w:ascii="宋体" w:hAnsi="宋体" w:eastAsia="宋体" w:cs="宋体"/>
          <w:b/>
          <w:bCs/>
          <w:color w:val="auto"/>
          <w:szCs w:val="21"/>
          <w:lang w:eastAsia="zh-CN"/>
        </w:rPr>
      </w:pPr>
      <w:r>
        <w:rPr>
          <w:rFonts w:hint="eastAsia" w:ascii="宋体" w:hAnsi="宋体"/>
          <w:b/>
          <w:bCs/>
          <w:color w:val="auto"/>
          <w:szCs w:val="21"/>
        </w:rPr>
        <w:t>5.项目需求中的技术、性能指标或者辅助功能项目为实质性响应条款，必须满足或优于，否则谈判无效。</w:t>
      </w:r>
    </w:p>
    <w:p>
      <w:pPr>
        <w:keepNext/>
        <w:pageBreakBefore w:val="0"/>
        <w:kinsoku/>
        <w:wordWrap/>
        <w:overflowPunct/>
        <w:topLinePunct w:val="0"/>
        <w:autoSpaceDE/>
        <w:autoSpaceDN/>
        <w:bidi w:val="0"/>
        <w:spacing w:line="330" w:lineRule="exact"/>
        <w:ind w:firstLine="420" w:firstLineChars="200"/>
        <w:rPr>
          <w:rFonts w:hint="eastAsia" w:ascii="宋体" w:hAnsi="宋体" w:cs="宋体"/>
          <w:color w:val="auto"/>
          <w:szCs w:val="21"/>
        </w:rPr>
      </w:pPr>
      <w:r>
        <w:rPr>
          <w:rFonts w:hint="eastAsia" w:ascii="宋体" w:hAnsi="宋体" w:cs="宋体"/>
          <w:color w:val="auto"/>
          <w:szCs w:val="21"/>
        </w:rPr>
        <w:t>6.最终报价有时间限制，请谈判供应商事前准备好各项报价，以免耽误报价。</w:t>
      </w:r>
      <w:bookmarkStart w:id="41" w:name="_Toc405905875"/>
    </w:p>
    <w:p>
      <w:pPr>
        <w:pStyle w:val="28"/>
        <w:keepNext/>
        <w:pageBreakBefore w:val="0"/>
        <w:kinsoku/>
        <w:wordWrap/>
        <w:overflowPunct/>
        <w:topLinePunct w:val="0"/>
        <w:autoSpaceDE/>
        <w:autoSpaceDN/>
        <w:bidi w:val="0"/>
        <w:adjustRightInd w:val="0"/>
        <w:snapToGrid w:val="0"/>
        <w:spacing w:line="330" w:lineRule="exact"/>
        <w:ind w:firstLine="420" w:firstLineChars="200"/>
        <w:rPr>
          <w:rFonts w:hint="eastAsia" w:hAnsi="宋体" w:cs="宋体"/>
          <w:bCs/>
          <w:color w:val="auto"/>
          <w:lang w:val="en-US" w:eastAsia="zh-CN"/>
        </w:rPr>
      </w:pPr>
      <w:r>
        <w:rPr>
          <w:rFonts w:hint="eastAsia" w:hAnsi="宋体" w:cs="宋体"/>
          <w:bCs/>
          <w:color w:val="auto"/>
          <w:lang w:val="en-US" w:eastAsia="zh-CN"/>
        </w:rPr>
        <w:t>7.核心产品：A分标：序号</w:t>
      </w:r>
      <w:r>
        <w:rPr>
          <w:rFonts w:hint="eastAsia" w:hAnsi="宋体" w:cs="宋体"/>
          <w:bCs/>
          <w:color w:val="auto"/>
          <w:u w:val="single"/>
          <w:lang w:val="en-US" w:eastAsia="zh-CN"/>
        </w:rPr>
        <w:t xml:space="preserve"> 7 </w:t>
      </w:r>
      <w:r>
        <w:rPr>
          <w:rFonts w:hint="eastAsia" w:hAnsi="宋体" w:cs="宋体"/>
          <w:bCs/>
          <w:color w:val="auto"/>
          <w:lang w:val="en-US" w:eastAsia="zh-CN"/>
        </w:rPr>
        <w:t>的产品为核心产品；</w:t>
      </w:r>
    </w:p>
    <w:p>
      <w:pPr>
        <w:pStyle w:val="28"/>
        <w:keepNext/>
        <w:pageBreakBefore w:val="0"/>
        <w:kinsoku/>
        <w:wordWrap/>
        <w:overflowPunct/>
        <w:topLinePunct w:val="0"/>
        <w:autoSpaceDE/>
        <w:autoSpaceDN/>
        <w:bidi w:val="0"/>
        <w:adjustRightInd w:val="0"/>
        <w:snapToGrid w:val="0"/>
        <w:spacing w:line="330" w:lineRule="exact"/>
        <w:ind w:firstLine="420" w:firstLineChars="200"/>
        <w:rPr>
          <w:rFonts w:hint="eastAsia" w:hAnsi="宋体" w:cs="宋体"/>
          <w:bCs/>
          <w:color w:val="auto"/>
          <w:lang w:val="en-US" w:eastAsia="zh-CN"/>
        </w:rPr>
      </w:pPr>
      <w:r>
        <w:rPr>
          <w:rFonts w:hint="eastAsia" w:hAnsi="宋体" w:cs="宋体"/>
          <w:bCs/>
          <w:color w:val="auto"/>
          <w:lang w:val="en-US" w:eastAsia="zh-CN"/>
        </w:rPr>
        <w:t xml:space="preserve">            C分标：序号</w:t>
      </w:r>
      <w:r>
        <w:rPr>
          <w:rFonts w:hint="eastAsia" w:hAnsi="宋体" w:cs="宋体"/>
          <w:bCs/>
          <w:color w:val="auto"/>
          <w:u w:val="single"/>
          <w:lang w:val="en-US" w:eastAsia="zh-CN"/>
        </w:rPr>
        <w:t>2、3、6、13</w:t>
      </w:r>
      <w:r>
        <w:rPr>
          <w:rFonts w:hint="eastAsia" w:hAnsi="宋体" w:cs="宋体"/>
          <w:bCs/>
          <w:color w:val="auto"/>
          <w:lang w:val="en-US" w:eastAsia="zh-CN"/>
        </w:rPr>
        <w:t>的产品为核心产品；</w:t>
      </w:r>
    </w:p>
    <w:p>
      <w:pPr>
        <w:pStyle w:val="28"/>
        <w:keepNext/>
        <w:pageBreakBefore w:val="0"/>
        <w:kinsoku/>
        <w:wordWrap/>
        <w:overflowPunct/>
        <w:topLinePunct w:val="0"/>
        <w:autoSpaceDE/>
        <w:autoSpaceDN/>
        <w:bidi w:val="0"/>
        <w:adjustRightInd w:val="0"/>
        <w:snapToGrid w:val="0"/>
        <w:spacing w:line="330" w:lineRule="exact"/>
        <w:ind w:firstLine="420" w:firstLineChars="200"/>
        <w:rPr>
          <w:rFonts w:hint="default" w:hAnsi="宋体" w:cs="宋体"/>
          <w:bCs/>
          <w:color w:val="auto"/>
          <w:lang w:val="en-US" w:eastAsia="zh-CN"/>
        </w:rPr>
      </w:pPr>
      <w:r>
        <w:rPr>
          <w:rFonts w:hint="eastAsia" w:hAnsi="宋体" w:cs="宋体"/>
          <w:bCs/>
          <w:color w:val="auto"/>
          <w:lang w:val="en-US" w:eastAsia="zh-CN"/>
        </w:rPr>
        <w:t xml:space="preserve">            D分标：序号</w:t>
      </w:r>
      <w:r>
        <w:rPr>
          <w:rFonts w:hint="eastAsia" w:hAnsi="宋体" w:cs="宋体"/>
          <w:bCs/>
          <w:color w:val="auto"/>
          <w:u w:val="single"/>
          <w:lang w:val="en-US" w:eastAsia="zh-CN"/>
        </w:rPr>
        <w:t>1、2、3、4</w:t>
      </w:r>
      <w:r>
        <w:rPr>
          <w:rFonts w:hint="eastAsia" w:hAnsi="宋体" w:cs="宋体"/>
          <w:bCs/>
          <w:color w:val="auto"/>
          <w:lang w:val="en-US" w:eastAsia="zh-CN"/>
        </w:rPr>
        <w:t>的产品为核心产品；</w:t>
      </w:r>
    </w:p>
    <w:p>
      <w:pPr>
        <w:keepNext/>
        <w:pageBreakBefore w:val="0"/>
        <w:kinsoku/>
        <w:wordWrap/>
        <w:overflowPunct/>
        <w:topLinePunct w:val="0"/>
        <w:autoSpaceDE/>
        <w:autoSpaceDN/>
        <w:bidi w:val="0"/>
        <w:spacing w:line="320" w:lineRule="exact"/>
        <w:rPr>
          <w:rFonts w:hint="eastAsia" w:ascii="宋体" w:hAnsi="宋体" w:cs="宋体"/>
          <w:b/>
          <w:bCs/>
          <w:color w:val="auto"/>
          <w:sz w:val="30"/>
          <w:szCs w:val="30"/>
        </w:rPr>
      </w:pPr>
    </w:p>
    <w:p>
      <w:pPr>
        <w:keepNext/>
        <w:pageBreakBefore w:val="0"/>
        <w:numPr>
          <w:ilvl w:val="0"/>
          <w:numId w:val="0"/>
        </w:numPr>
        <w:kinsoku/>
        <w:wordWrap/>
        <w:overflowPunct/>
        <w:topLinePunct w:val="0"/>
        <w:autoSpaceDE/>
        <w:autoSpaceDN/>
        <w:bidi w:val="0"/>
        <w:spacing w:line="320" w:lineRule="exact"/>
        <w:jc w:val="center"/>
        <w:rPr>
          <w:rFonts w:hint="eastAsia" w:ascii="宋体" w:hAnsi="宋体" w:eastAsia="宋体" w:cs="宋体"/>
          <w:b/>
          <w:bCs/>
          <w:sz w:val="28"/>
          <w:szCs w:val="28"/>
          <w:lang w:val="en-US" w:eastAsia="zh-CN"/>
        </w:rPr>
      </w:pPr>
      <w:r>
        <w:rPr>
          <w:rFonts w:hint="eastAsia" w:ascii="宋体" w:hAnsi="宋体" w:cs="宋体"/>
          <w:b/>
          <w:bCs/>
          <w:color w:val="auto"/>
          <w:sz w:val="28"/>
          <w:szCs w:val="28"/>
          <w:lang w:eastAsia="zh-CN"/>
        </w:rPr>
        <w:t>一、</w:t>
      </w:r>
      <w:r>
        <w:rPr>
          <w:rFonts w:hint="eastAsia" w:ascii="宋体" w:hAnsi="宋体" w:cs="宋体"/>
          <w:b/>
          <w:bCs/>
          <w:color w:val="auto"/>
          <w:sz w:val="28"/>
          <w:szCs w:val="28"/>
        </w:rPr>
        <w:t>项目需求</w:t>
      </w:r>
      <w:r>
        <w:rPr>
          <w:rFonts w:hint="eastAsia" w:ascii="宋体" w:hAnsi="宋体" w:cs="宋体"/>
          <w:b/>
          <w:bCs/>
          <w:color w:val="auto"/>
          <w:sz w:val="28"/>
          <w:szCs w:val="28"/>
          <w:lang w:eastAsia="zh-CN"/>
        </w:rPr>
        <w:t>（技</w:t>
      </w:r>
      <w:r>
        <w:rPr>
          <w:rFonts w:hint="eastAsia" w:ascii="宋体" w:hAnsi="宋体" w:cs="宋体"/>
          <w:b/>
          <w:bCs/>
          <w:sz w:val="28"/>
          <w:szCs w:val="28"/>
          <w:lang w:eastAsia="zh-CN"/>
        </w:rPr>
        <w:t>术要求）</w:t>
      </w:r>
    </w:p>
    <w:p>
      <w:pPr>
        <w:keepNext/>
        <w:pageBreakBefore w:val="0"/>
        <w:numPr>
          <w:ilvl w:val="0"/>
          <w:numId w:val="0"/>
        </w:numPr>
        <w:kinsoku/>
        <w:wordWrap/>
        <w:overflowPunct/>
        <w:topLinePunct w:val="0"/>
        <w:autoSpaceDE/>
        <w:autoSpaceDN/>
        <w:bidi w:val="0"/>
        <w:spacing w:line="320" w:lineRule="exact"/>
        <w:jc w:val="center"/>
        <w:rPr>
          <w:rFonts w:hint="eastAsia" w:ascii="宋体" w:hAnsi="宋体" w:cs="宋体"/>
          <w:b/>
          <w:bCs/>
          <w:sz w:val="28"/>
          <w:szCs w:val="28"/>
          <w:lang w:val="en-US" w:eastAsia="zh-CN"/>
        </w:rPr>
      </w:pPr>
    </w:p>
    <w:p>
      <w:pPr>
        <w:keepNext/>
        <w:pageBreakBefore w:val="0"/>
        <w:numPr>
          <w:ilvl w:val="0"/>
          <w:numId w:val="0"/>
        </w:numPr>
        <w:kinsoku/>
        <w:wordWrap/>
        <w:overflowPunct/>
        <w:topLinePunct w:val="0"/>
        <w:autoSpaceDE/>
        <w:autoSpaceDN/>
        <w:bidi w:val="0"/>
        <w:spacing w:line="32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A分标  设备采购及安装</w:t>
      </w:r>
    </w:p>
    <w:tbl>
      <w:tblPr>
        <w:tblStyle w:val="5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252"/>
        <w:gridCol w:w="668"/>
        <w:gridCol w:w="705"/>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序号</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货物名称</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单位</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数量</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嵌入式开发板</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44</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drawing>
                <wp:anchor distT="0" distB="0" distL="114300" distR="114300" simplePos="0" relativeHeight="251665408"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66432"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11" name="图片_2_SpCnt_1"/>
                  <wp:cNvGraphicFramePr/>
                  <a:graphic xmlns:a="http://schemas.openxmlformats.org/drawingml/2006/main">
                    <a:graphicData uri="http://schemas.openxmlformats.org/drawingml/2006/picture">
                      <pic:pic xmlns:pic="http://schemas.openxmlformats.org/drawingml/2006/picture">
                        <pic:nvPicPr>
                          <pic:cNvPr id="11" name="图片_2_SpCnt_1"/>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67456" behindDoc="0" locked="0" layoutInCell="1" allowOverlap="1">
                  <wp:simplePos x="0" y="0"/>
                  <wp:positionH relativeFrom="column">
                    <wp:posOffset>1496060</wp:posOffset>
                  </wp:positionH>
                  <wp:positionV relativeFrom="paragraph">
                    <wp:posOffset>0</wp:posOffset>
                  </wp:positionV>
                  <wp:extent cx="8255" cy="10160"/>
                  <wp:effectExtent l="0" t="0" r="0" b="0"/>
                  <wp:wrapNone/>
                  <wp:docPr id="12" name="图片_2_SpCnt_2"/>
                  <wp:cNvGraphicFramePr/>
                  <a:graphic xmlns:a="http://schemas.openxmlformats.org/drawingml/2006/main">
                    <a:graphicData uri="http://schemas.openxmlformats.org/drawingml/2006/picture">
                      <pic:pic xmlns:pic="http://schemas.openxmlformats.org/drawingml/2006/picture">
                        <pic:nvPicPr>
                          <pic:cNvPr id="12" name="图片_2_SpCnt_2"/>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68480" behindDoc="0" locked="0" layoutInCell="1" allowOverlap="1">
                  <wp:simplePos x="0" y="0"/>
                  <wp:positionH relativeFrom="column">
                    <wp:posOffset>1496060</wp:posOffset>
                  </wp:positionH>
                  <wp:positionV relativeFrom="paragraph">
                    <wp:posOffset>0</wp:posOffset>
                  </wp:positionV>
                  <wp:extent cx="8255" cy="10160"/>
                  <wp:effectExtent l="0" t="0" r="0" b="0"/>
                  <wp:wrapNone/>
                  <wp:docPr id="13" name="图片_2_SpCnt_3"/>
                  <wp:cNvGraphicFramePr/>
                  <a:graphic xmlns:a="http://schemas.openxmlformats.org/drawingml/2006/main">
                    <a:graphicData uri="http://schemas.openxmlformats.org/drawingml/2006/picture">
                      <pic:pic xmlns:pic="http://schemas.openxmlformats.org/drawingml/2006/picture">
                        <pic:nvPicPr>
                          <pic:cNvPr id="13" name="图片_2_SpCnt_3"/>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69504" behindDoc="0" locked="0" layoutInCell="1" allowOverlap="1">
                  <wp:simplePos x="0" y="0"/>
                  <wp:positionH relativeFrom="column">
                    <wp:posOffset>1496060</wp:posOffset>
                  </wp:positionH>
                  <wp:positionV relativeFrom="paragraph">
                    <wp:posOffset>0</wp:posOffset>
                  </wp:positionV>
                  <wp:extent cx="8255" cy="10160"/>
                  <wp:effectExtent l="0" t="0" r="0" b="0"/>
                  <wp:wrapNone/>
                  <wp:docPr id="14" name="图片_5"/>
                  <wp:cNvGraphicFramePr/>
                  <a:graphic xmlns:a="http://schemas.openxmlformats.org/drawingml/2006/main">
                    <a:graphicData uri="http://schemas.openxmlformats.org/drawingml/2006/picture">
                      <pic:pic xmlns:pic="http://schemas.openxmlformats.org/drawingml/2006/picture">
                        <pic:nvPicPr>
                          <pic:cNvPr id="14" name="图片_5"/>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70528" behindDoc="0" locked="0" layoutInCell="1" allowOverlap="1">
                  <wp:simplePos x="0" y="0"/>
                  <wp:positionH relativeFrom="column">
                    <wp:posOffset>1496060</wp:posOffset>
                  </wp:positionH>
                  <wp:positionV relativeFrom="paragraph">
                    <wp:posOffset>0</wp:posOffset>
                  </wp:positionV>
                  <wp:extent cx="8255" cy="10160"/>
                  <wp:effectExtent l="0" t="0" r="0" b="0"/>
                  <wp:wrapNone/>
                  <wp:docPr id="15" name="图片_2_SpCnt_4"/>
                  <wp:cNvGraphicFramePr/>
                  <a:graphic xmlns:a="http://schemas.openxmlformats.org/drawingml/2006/main">
                    <a:graphicData uri="http://schemas.openxmlformats.org/drawingml/2006/picture">
                      <pic:pic xmlns:pic="http://schemas.openxmlformats.org/drawingml/2006/picture">
                        <pic:nvPicPr>
                          <pic:cNvPr id="15" name="图片_2_SpCnt_4"/>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71552" behindDoc="0" locked="0" layoutInCell="1" allowOverlap="1">
                  <wp:simplePos x="0" y="0"/>
                  <wp:positionH relativeFrom="column">
                    <wp:posOffset>1496060</wp:posOffset>
                  </wp:positionH>
                  <wp:positionV relativeFrom="paragraph">
                    <wp:posOffset>0</wp:posOffset>
                  </wp:positionV>
                  <wp:extent cx="8255" cy="10160"/>
                  <wp:effectExtent l="0" t="0" r="0" b="0"/>
                  <wp:wrapNone/>
                  <wp:docPr id="16" name="图片_2_SpCnt_5"/>
                  <wp:cNvGraphicFramePr/>
                  <a:graphic xmlns:a="http://schemas.openxmlformats.org/drawingml/2006/main">
                    <a:graphicData uri="http://schemas.openxmlformats.org/drawingml/2006/picture">
                      <pic:pic xmlns:pic="http://schemas.openxmlformats.org/drawingml/2006/picture">
                        <pic:nvPicPr>
                          <pic:cNvPr id="16" name="图片_2_SpCnt_5"/>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t>颜色分类：STM32F103；</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开发板型号：PZ-6806；</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CPU核心：stm32f103zet6；</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显示屏：电阻触摸屏；</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电路保护：亚克力玻璃保护板。</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b w:val="0"/>
                <w:bCs w:val="0"/>
                <w:sz w:val="21"/>
                <w:szCs w:val="21"/>
                <w:vertAlign w:val="baseline"/>
                <w:lang w:eastAsia="zh-CN"/>
              </w:rPr>
              <w:t>使用部门：</w:t>
            </w:r>
            <w:r>
              <w:rPr>
                <w:rFonts w:hint="eastAsia" w:ascii="宋体" w:hAnsi="宋体" w:eastAsia="宋体" w:cs="宋体"/>
                <w:b w:val="0"/>
                <w:bCs w:val="0"/>
                <w:sz w:val="21"/>
                <w:szCs w:val="21"/>
                <w:vertAlign w:val="baseline"/>
                <w:lang w:val="en-US" w:eastAsia="zh-CN"/>
              </w:rPr>
              <w:t>8-604通信技术实训室。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智能机械臂</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1．可进行X轴和Y轴的移动，X行程为300mm,Y轴行程为150mm,轴向移动均采用减速电机驱动；</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2．X，Y轴都具有限位保护功能，并且可以通过控制X，Y轴的电机转向使其退出限位保护，保护输出的信号为普通的高低电平；</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3.Y轴上安装有夹具及传感器，夹具长度小于50mm，可以夹取直径为14mm的塑料球，同时可识别白、黑、黄三种颜色的球；</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4．控制X、Y轴、夹具的运动，实现球的抓取、识别、排序等相应的功能；</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5．整机尺寸大小：长×宽×高=50cm×30cm×50cm。</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6.本装置为通用的模块化的多功能装置，各功能端口完全开放，可以能过不同的接线来完成各种不同的功能，为学生的创新设计提供了广阔的发挥空间。</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7.MW-08智能机械臂有X轴、Y轴、两个取料口、一个放料口组成，XY轴都由42步进电机和丝杆构成。X轴有5个行程开关（两边开关是越程保护，中间分别为3个工位限位开关），Y轴有3个行程开关（最下面为下移防撞开关）；手爪上还装有一个光纤传感器（灵敏度可通过光纤放大器来调节）用来判断手爪上是否有物料；两个取料口下方各配一只光电传感器（均可通过传感器自身的旋钮来调节灵敏度），用来判断工位上是否有物料；该系统采用DC24V电源适配器供电，所有控制和检测均为5V逻辑电平信号，可以用单片机IO口直接驱动，可以完成物料自动搬运演示实验。</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8.可完整提供系统各个模块的实训指导书以及使用说明书，并配备相应的实训及竞赛例程。</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9.可以通过扫描二维码的方式使硬件、软件、数字教学资源实现无缝对接，开展立体式教学；</w:t>
            </w:r>
          </w:p>
          <w:p>
            <w:pPr>
              <w:pStyle w:val="17"/>
              <w:keepNext w:val="0"/>
              <w:keepLines w:val="0"/>
              <w:suppressLineNumbers w:val="0"/>
              <w:spacing w:before="0" w:beforeAutospacing="0" w:after="0" w:afterAutospacing="0"/>
              <w:ind w:left="0" w:right="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10.合同签订</w:t>
            </w:r>
            <w:r>
              <w:rPr>
                <w:rFonts w:hint="eastAsia" w:ascii="宋体" w:hAnsi="宋体" w:cs="宋体"/>
                <w:b w:val="0"/>
                <w:bCs w:val="0"/>
                <w:highlight w:val="none"/>
                <w:lang w:val="en-US" w:eastAsia="zh-CN"/>
              </w:rPr>
              <w:t>生效</w:t>
            </w:r>
            <w:r>
              <w:rPr>
                <w:rFonts w:hint="eastAsia" w:ascii="宋体" w:hAnsi="宋体" w:eastAsia="宋体" w:cs="宋体"/>
                <w:b w:val="0"/>
                <w:bCs w:val="0"/>
                <w:highlight w:val="none"/>
                <w:lang w:val="en-US" w:eastAsia="zh-CN"/>
              </w:rPr>
              <w:t>后</w:t>
            </w:r>
            <w:r>
              <w:rPr>
                <w:rFonts w:hint="eastAsia" w:ascii="宋体" w:hAnsi="宋体" w:cs="宋体"/>
                <w:b w:val="0"/>
                <w:bCs w:val="0"/>
                <w:highlight w:val="none"/>
                <w:lang w:val="en-US" w:eastAsia="zh-CN"/>
              </w:rPr>
              <w:t>需按采购人的要求</w:t>
            </w:r>
            <w:r>
              <w:rPr>
                <w:rFonts w:hint="eastAsia" w:ascii="宋体" w:hAnsi="宋体" w:eastAsia="宋体" w:cs="宋体"/>
                <w:b w:val="0"/>
                <w:bCs w:val="0"/>
                <w:highlight w:val="none"/>
                <w:lang w:val="en-US" w:eastAsia="zh-CN"/>
              </w:rPr>
              <w:t>提供生产厂家售后服务承诺书。</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highlight w:val="none"/>
                <w:lang w:val="en-US" w:eastAsia="zh-CN"/>
              </w:rPr>
            </w:pPr>
            <w:r>
              <w:rPr>
                <w:rFonts w:hint="eastAsia" w:ascii="宋体" w:hAnsi="宋体" w:eastAsia="宋体" w:cs="宋体"/>
                <w:b w:val="0"/>
                <w:bCs w:val="0"/>
                <w:sz w:val="21"/>
                <w:szCs w:val="21"/>
                <w:highlight w:val="none"/>
                <w:vertAlign w:val="baseline"/>
                <w:lang w:val="en-US" w:eastAsia="zh-CN"/>
              </w:rPr>
              <w:t>使用部门：8-604通信技术实训室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无人机电池</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drawing>
                <wp:anchor distT="0" distB="0" distL="114300" distR="114300" simplePos="0" relativeHeight="251672576"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17" name="图片_2"/>
                  <wp:cNvGraphicFramePr/>
                  <a:graphic xmlns:a="http://schemas.openxmlformats.org/drawingml/2006/main">
                    <a:graphicData uri="http://schemas.openxmlformats.org/drawingml/2006/picture">
                      <pic:pic xmlns:pic="http://schemas.openxmlformats.org/drawingml/2006/picture">
                        <pic:nvPicPr>
                          <pic:cNvPr id="17" name="图片_2"/>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73600"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18" name="图片_2_SpCnt_1"/>
                  <wp:cNvGraphicFramePr/>
                  <a:graphic xmlns:a="http://schemas.openxmlformats.org/drawingml/2006/main">
                    <a:graphicData uri="http://schemas.openxmlformats.org/drawingml/2006/picture">
                      <pic:pic xmlns:pic="http://schemas.openxmlformats.org/drawingml/2006/picture">
                        <pic:nvPicPr>
                          <pic:cNvPr id="18" name="图片_2_SpCnt_1"/>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74624"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19" name="图片_2_SpCnt_2"/>
                  <wp:cNvGraphicFramePr/>
                  <a:graphic xmlns:a="http://schemas.openxmlformats.org/drawingml/2006/main">
                    <a:graphicData uri="http://schemas.openxmlformats.org/drawingml/2006/picture">
                      <pic:pic xmlns:pic="http://schemas.openxmlformats.org/drawingml/2006/picture">
                        <pic:nvPicPr>
                          <pic:cNvPr id="19" name="图片_2_SpCnt_2"/>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75648"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20" name="图片_2_SpCnt_3"/>
                  <wp:cNvGraphicFramePr/>
                  <a:graphic xmlns:a="http://schemas.openxmlformats.org/drawingml/2006/main">
                    <a:graphicData uri="http://schemas.openxmlformats.org/drawingml/2006/picture">
                      <pic:pic xmlns:pic="http://schemas.openxmlformats.org/drawingml/2006/picture">
                        <pic:nvPicPr>
                          <pic:cNvPr id="20" name="图片_2_SpCnt_3"/>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76672"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21" name="图片_2_SpCnt_4"/>
                  <wp:cNvGraphicFramePr/>
                  <a:graphic xmlns:a="http://schemas.openxmlformats.org/drawingml/2006/main">
                    <a:graphicData uri="http://schemas.openxmlformats.org/drawingml/2006/picture">
                      <pic:pic xmlns:pic="http://schemas.openxmlformats.org/drawingml/2006/picture">
                        <pic:nvPicPr>
                          <pic:cNvPr id="21" name="图片_2_SpCnt_4"/>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t>颜色分类: 4系列通用高容量电池（白色）；容量：5870mAh，电压15.2V，</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电池类型：LiPo4S，能量：89.2Wh，</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电池整体重量：468g，充电功率：100W</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lang w:val="en-US" w:eastAsia="zh-CN"/>
              </w:rPr>
            </w:pPr>
            <w:r>
              <w:rPr>
                <w:rFonts w:hint="eastAsia" w:ascii="宋体" w:hAnsi="宋体" w:eastAsia="宋体" w:cs="宋体"/>
                <w:b w:val="0"/>
                <w:bCs w:val="0"/>
                <w:sz w:val="21"/>
                <w:szCs w:val="21"/>
                <w:vertAlign w:val="baseline"/>
                <w:lang w:val="en-US" w:eastAsia="zh-CN"/>
              </w:rPr>
              <w:t>使用部门：8-403电子创新工作室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创客开发板</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配亚克力固定板、面包板、圆柱磁铁、公对母和公对公杜邦线，包含模块：RGB LED传感器模块、倾斜开关传感器、震动传感器、IR接收模块、激光传感器模块、火焰传感器模块、触摸传感器、烟雾传感器模块、红外寻迹模块、超声波传感器、DS18B20温度传感器模块、颜色传感器模块、OLED液晶显示模块、BMP180起亚传感器模块、风扇套件组、物联网远程控制模块。</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lang w:val="en-US" w:eastAsia="zh-CN"/>
              </w:rPr>
            </w:pPr>
            <w:r>
              <w:rPr>
                <w:rFonts w:hint="eastAsia" w:ascii="宋体" w:hAnsi="宋体" w:eastAsia="宋体" w:cs="宋体"/>
                <w:b w:val="0"/>
                <w:bCs w:val="0"/>
                <w:sz w:val="21"/>
                <w:szCs w:val="21"/>
                <w:vertAlign w:val="baseline"/>
                <w:lang w:eastAsia="zh-CN"/>
              </w:rPr>
              <w:t>使用部门：</w:t>
            </w:r>
            <w:r>
              <w:rPr>
                <w:rFonts w:hint="eastAsia" w:ascii="宋体" w:hAnsi="宋体" w:eastAsia="宋体" w:cs="宋体"/>
                <w:b w:val="0"/>
                <w:bCs w:val="0"/>
                <w:sz w:val="21"/>
                <w:szCs w:val="21"/>
                <w:vertAlign w:val="baseline"/>
                <w:lang w:val="en-US" w:eastAsia="zh-CN"/>
              </w:rPr>
              <w:t>8-403电子创新工作室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无线路由器</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网络标准：802.11b 802.11g 802.11a 802.11n 802.3u 802.3 802.11ac；</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有线传输率：千兆端口；</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无线传输速率：2600Mbps；</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无线网络支持频率：2.4G&amp;5G；</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是否无线：无线。</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lang w:val="en-US" w:eastAsia="zh-CN"/>
              </w:rPr>
            </w:pPr>
            <w:r>
              <w:rPr>
                <w:rFonts w:hint="eastAsia" w:ascii="宋体" w:hAnsi="宋体" w:eastAsia="宋体" w:cs="宋体"/>
                <w:b w:val="0"/>
                <w:bCs w:val="0"/>
                <w:sz w:val="21"/>
                <w:szCs w:val="21"/>
                <w:vertAlign w:val="baseline"/>
                <w:lang w:val="en-US" w:eastAsia="zh-CN"/>
              </w:rPr>
              <w:t>使用部门：8-403电子创新工作室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6</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智能交通仿真教学平台</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447" w:type="pct"/>
            <w:noWrap w:val="0"/>
            <w:vAlign w:val="center"/>
          </w:tcPr>
          <w:p>
            <w:pPr>
              <w:pStyle w:val="5"/>
              <w:keepNext/>
              <w:keepLines/>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drawing>
                <wp:anchor distT="0" distB="0" distL="114300" distR="114300" simplePos="0" relativeHeight="251660288" behindDoc="0" locked="0" layoutInCell="1" allowOverlap="1">
                  <wp:simplePos x="0" y="0"/>
                  <wp:positionH relativeFrom="column">
                    <wp:posOffset>447040</wp:posOffset>
                  </wp:positionH>
                  <wp:positionV relativeFrom="paragraph">
                    <wp:posOffset>0</wp:posOffset>
                  </wp:positionV>
                  <wp:extent cx="8255" cy="11430"/>
                  <wp:effectExtent l="0" t="0" r="0" b="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7"/>
                          <a:stretch>
                            <a:fillRect/>
                          </a:stretch>
                        </pic:blipFill>
                        <pic:spPr>
                          <a:xfrm rot="-1980000">
                            <a:off x="0" y="0"/>
                            <a:ext cx="8255" cy="1143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61312" behindDoc="0" locked="0" layoutInCell="1" allowOverlap="1">
                  <wp:simplePos x="0" y="0"/>
                  <wp:positionH relativeFrom="column">
                    <wp:posOffset>447040</wp:posOffset>
                  </wp:positionH>
                  <wp:positionV relativeFrom="paragraph">
                    <wp:posOffset>0</wp:posOffset>
                  </wp:positionV>
                  <wp:extent cx="8255" cy="11430"/>
                  <wp:effectExtent l="0" t="0" r="0" b="0"/>
                  <wp:wrapNone/>
                  <wp:docPr id="6" name="图片_2_SpCnt_1"/>
                  <wp:cNvGraphicFramePr/>
                  <a:graphic xmlns:a="http://schemas.openxmlformats.org/drawingml/2006/main">
                    <a:graphicData uri="http://schemas.openxmlformats.org/drawingml/2006/picture">
                      <pic:pic xmlns:pic="http://schemas.openxmlformats.org/drawingml/2006/picture">
                        <pic:nvPicPr>
                          <pic:cNvPr id="6" name="图片_2_SpCnt_1"/>
                          <pic:cNvPicPr/>
                        </pic:nvPicPr>
                        <pic:blipFill>
                          <a:blip r:embed="rId7"/>
                          <a:stretch>
                            <a:fillRect/>
                          </a:stretch>
                        </pic:blipFill>
                        <pic:spPr>
                          <a:xfrm rot="-1980000">
                            <a:off x="0" y="0"/>
                            <a:ext cx="8255" cy="1143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62336" behindDoc="0" locked="0" layoutInCell="1" allowOverlap="1">
                  <wp:simplePos x="0" y="0"/>
                  <wp:positionH relativeFrom="column">
                    <wp:posOffset>1496060</wp:posOffset>
                  </wp:positionH>
                  <wp:positionV relativeFrom="paragraph">
                    <wp:posOffset>0</wp:posOffset>
                  </wp:positionV>
                  <wp:extent cx="8255" cy="11430"/>
                  <wp:effectExtent l="0" t="0" r="0" b="0"/>
                  <wp:wrapNone/>
                  <wp:docPr id="7" name="图片_2_SpCnt_2"/>
                  <wp:cNvGraphicFramePr/>
                  <a:graphic xmlns:a="http://schemas.openxmlformats.org/drawingml/2006/main">
                    <a:graphicData uri="http://schemas.openxmlformats.org/drawingml/2006/picture">
                      <pic:pic xmlns:pic="http://schemas.openxmlformats.org/drawingml/2006/picture">
                        <pic:nvPicPr>
                          <pic:cNvPr id="7" name="图片_2_SpCnt_2"/>
                          <pic:cNvPicPr/>
                        </pic:nvPicPr>
                        <pic:blipFill>
                          <a:blip r:embed="rId7"/>
                          <a:stretch>
                            <a:fillRect/>
                          </a:stretch>
                        </pic:blipFill>
                        <pic:spPr>
                          <a:xfrm rot="-1980000">
                            <a:off x="0" y="0"/>
                            <a:ext cx="8255" cy="1143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63360" behindDoc="0" locked="0" layoutInCell="1" allowOverlap="1">
                  <wp:simplePos x="0" y="0"/>
                  <wp:positionH relativeFrom="column">
                    <wp:posOffset>1496060</wp:posOffset>
                  </wp:positionH>
                  <wp:positionV relativeFrom="paragraph">
                    <wp:posOffset>0</wp:posOffset>
                  </wp:positionV>
                  <wp:extent cx="8255" cy="11430"/>
                  <wp:effectExtent l="0" t="0" r="0" b="0"/>
                  <wp:wrapNone/>
                  <wp:docPr id="8" name="图片_2_SpCnt_3"/>
                  <wp:cNvGraphicFramePr/>
                  <a:graphic xmlns:a="http://schemas.openxmlformats.org/drawingml/2006/main">
                    <a:graphicData uri="http://schemas.openxmlformats.org/drawingml/2006/picture">
                      <pic:pic xmlns:pic="http://schemas.openxmlformats.org/drawingml/2006/picture">
                        <pic:nvPicPr>
                          <pic:cNvPr id="8" name="图片_2_SpCnt_3"/>
                          <pic:cNvPicPr/>
                        </pic:nvPicPr>
                        <pic:blipFill>
                          <a:blip r:embed="rId7"/>
                          <a:stretch>
                            <a:fillRect/>
                          </a:stretch>
                        </pic:blipFill>
                        <pic:spPr>
                          <a:xfrm rot="-1980000">
                            <a:off x="0" y="0"/>
                            <a:ext cx="8255" cy="1143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64384" behindDoc="0" locked="0" layoutInCell="1" allowOverlap="1">
                  <wp:simplePos x="0" y="0"/>
                  <wp:positionH relativeFrom="column">
                    <wp:posOffset>1496060</wp:posOffset>
                  </wp:positionH>
                  <wp:positionV relativeFrom="paragraph">
                    <wp:posOffset>0</wp:posOffset>
                  </wp:positionV>
                  <wp:extent cx="8255" cy="11430"/>
                  <wp:effectExtent l="0" t="0" r="0" b="0"/>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7"/>
                          <a:stretch>
                            <a:fillRect/>
                          </a:stretch>
                        </pic:blipFill>
                        <pic:spPr>
                          <a:xfrm rot="-1980000">
                            <a:off x="0" y="0"/>
                            <a:ext cx="8255" cy="11430"/>
                          </a:xfrm>
                          <a:prstGeom prst="rect">
                            <a:avLst/>
                          </a:prstGeom>
                          <a:noFill/>
                          <a:ln>
                            <a:noFill/>
                          </a:ln>
                        </pic:spPr>
                      </pic:pic>
                    </a:graphicData>
                  </a:graphic>
                </wp:anchor>
              </w:drawing>
            </w:r>
            <w:r>
              <w:rPr>
                <w:rFonts w:hint="eastAsia" w:ascii="宋体" w:hAnsi="宋体" w:eastAsia="宋体" w:cs="宋体"/>
                <w:b w:val="0"/>
                <w:bCs w:val="0"/>
                <w:lang w:val="en-US" w:eastAsia="zh-CN"/>
              </w:rPr>
              <w:t>智能交通模拟沙盘系统</w:t>
            </w:r>
            <w:r>
              <w:rPr>
                <w:rFonts w:hint="eastAsia" w:ascii="宋体" w:hAnsi="宋体" w:eastAsia="宋体" w:cs="宋体"/>
                <w:b w:val="0"/>
                <w:bCs w:val="0"/>
                <w:lang w:val="en-US" w:eastAsia="zh-CN"/>
              </w:rPr>
              <w:br w:type="textWrapping"/>
            </w:r>
            <w:r>
              <w:rPr>
                <w:rFonts w:hint="eastAsia" w:ascii="宋体" w:hAnsi="宋体" w:eastAsia="宋体" w:cs="宋体"/>
                <w:b w:val="0"/>
                <w:bCs w:val="0"/>
                <w:lang w:val="en-US" w:eastAsia="zh-CN"/>
              </w:rPr>
              <w:t>2.智能交通管理系统</w:t>
            </w:r>
            <w:r>
              <w:rPr>
                <w:rFonts w:hint="eastAsia" w:ascii="宋体" w:hAnsi="宋体" w:eastAsia="宋体" w:cs="宋体"/>
                <w:b w:val="0"/>
                <w:bCs w:val="0"/>
                <w:lang w:val="en-US" w:eastAsia="zh-CN"/>
              </w:rPr>
              <w:br w:type="textWrapping"/>
            </w:r>
            <w:r>
              <w:rPr>
                <w:rFonts w:hint="eastAsia" w:ascii="宋体" w:hAnsi="宋体" w:eastAsia="宋体" w:cs="宋体"/>
                <w:b w:val="0"/>
                <w:bCs w:val="0"/>
                <w:lang w:val="en-US" w:eastAsia="zh-CN"/>
              </w:rPr>
              <w:t>3.智能交通实训APP</w:t>
            </w:r>
            <w:r>
              <w:rPr>
                <w:rFonts w:hint="eastAsia" w:ascii="宋体" w:hAnsi="宋体" w:eastAsia="宋体" w:cs="宋体"/>
                <w:b w:val="0"/>
                <w:bCs w:val="0"/>
                <w:lang w:val="en-US" w:eastAsia="zh-CN"/>
              </w:rPr>
              <w:br w:type="textWrapping"/>
            </w:r>
            <w:r>
              <w:rPr>
                <w:rFonts w:hint="eastAsia" w:ascii="宋体" w:hAnsi="宋体" w:eastAsia="宋体" w:cs="宋体"/>
                <w:b w:val="0"/>
                <w:bCs w:val="0"/>
                <w:lang w:val="en-US" w:eastAsia="zh-CN"/>
              </w:rPr>
              <w:t>4.机架式电脑服务器主机</w:t>
            </w:r>
          </w:p>
          <w:p>
            <w:pPr>
              <w:keepNext/>
              <w:keepLines w:val="0"/>
              <w:pageBreakBefore w:val="0"/>
              <w:numPr>
                <w:ilvl w:val="0"/>
                <w:numId w:val="0"/>
              </w:numPr>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lang w:val="en-US" w:eastAsia="zh-CN"/>
              </w:rPr>
            </w:pPr>
            <w:r>
              <w:rPr>
                <w:rFonts w:hint="eastAsia" w:ascii="宋体" w:hAnsi="宋体" w:eastAsia="宋体" w:cs="宋体"/>
                <w:b w:val="0"/>
                <w:bCs w:val="0"/>
                <w:sz w:val="21"/>
                <w:szCs w:val="21"/>
                <w:vertAlign w:val="baseline"/>
                <w:lang w:val="en-US" w:eastAsia="zh-CN"/>
              </w:rPr>
              <w:t>使用部门：8-505物联网创新实训室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7</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移动互联实训教学资源包</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eastAsia="zh-CN"/>
              </w:rPr>
              <w:t>详见附件</w:t>
            </w:r>
            <w:r>
              <w:rPr>
                <w:rFonts w:hint="eastAsia" w:ascii="宋体" w:hAnsi="宋体" w:eastAsia="宋体" w:cs="宋体"/>
                <w:b w:val="0"/>
                <w:bCs w:val="0"/>
                <w:lang w:val="en-US" w:eastAsia="zh-CN"/>
              </w:rPr>
              <w:t>1</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lang w:val="en-US" w:eastAsia="zh-CN"/>
              </w:rPr>
            </w:pPr>
            <w:r>
              <w:rPr>
                <w:rFonts w:hint="eastAsia" w:ascii="宋体" w:hAnsi="宋体" w:eastAsia="宋体" w:cs="宋体"/>
                <w:b w:val="0"/>
                <w:bCs w:val="0"/>
                <w:sz w:val="21"/>
                <w:szCs w:val="21"/>
                <w:vertAlign w:val="baseline"/>
                <w:lang w:val="en-US" w:eastAsia="zh-CN"/>
              </w:rPr>
              <w:t>使用部门：8-505物联网创新实训室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热风枪拆焊台</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drawing>
                <wp:anchor distT="0" distB="0" distL="114300" distR="114300" simplePos="0" relativeHeight="251677696" behindDoc="0" locked="0" layoutInCell="1" allowOverlap="1">
                  <wp:simplePos x="0" y="0"/>
                  <wp:positionH relativeFrom="column">
                    <wp:posOffset>447040</wp:posOffset>
                  </wp:positionH>
                  <wp:positionV relativeFrom="paragraph">
                    <wp:posOffset>0</wp:posOffset>
                  </wp:positionV>
                  <wp:extent cx="8255" cy="8255"/>
                  <wp:effectExtent l="0" t="0" r="0" b="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78720" behindDoc="0" locked="0" layoutInCell="1" allowOverlap="1">
                  <wp:simplePos x="0" y="0"/>
                  <wp:positionH relativeFrom="column">
                    <wp:posOffset>447040</wp:posOffset>
                  </wp:positionH>
                  <wp:positionV relativeFrom="paragraph">
                    <wp:posOffset>0</wp:posOffset>
                  </wp:positionV>
                  <wp:extent cx="8255" cy="8255"/>
                  <wp:effectExtent l="0" t="0" r="0" b="0"/>
                  <wp:wrapNone/>
                  <wp:docPr id="23" name="图片_2_SpCnt_1"/>
                  <wp:cNvGraphicFramePr/>
                  <a:graphic xmlns:a="http://schemas.openxmlformats.org/drawingml/2006/main">
                    <a:graphicData uri="http://schemas.openxmlformats.org/drawingml/2006/picture">
                      <pic:pic xmlns:pic="http://schemas.openxmlformats.org/drawingml/2006/picture">
                        <pic:nvPicPr>
                          <pic:cNvPr id="23" name="图片_2_SpCnt_1"/>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79744" behindDoc="0" locked="0" layoutInCell="1" allowOverlap="1">
                  <wp:simplePos x="0" y="0"/>
                  <wp:positionH relativeFrom="column">
                    <wp:posOffset>447040</wp:posOffset>
                  </wp:positionH>
                  <wp:positionV relativeFrom="paragraph">
                    <wp:posOffset>0</wp:posOffset>
                  </wp:positionV>
                  <wp:extent cx="8255" cy="8255"/>
                  <wp:effectExtent l="0" t="0" r="0" b="0"/>
                  <wp:wrapNone/>
                  <wp:docPr id="24" name="图片_2_SpCnt_2"/>
                  <wp:cNvGraphicFramePr/>
                  <a:graphic xmlns:a="http://schemas.openxmlformats.org/drawingml/2006/main">
                    <a:graphicData uri="http://schemas.openxmlformats.org/drawingml/2006/picture">
                      <pic:pic xmlns:pic="http://schemas.openxmlformats.org/drawingml/2006/picture">
                        <pic:nvPicPr>
                          <pic:cNvPr id="24" name="图片_2_SpCnt_2"/>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80768" behindDoc="0" locked="0" layoutInCell="1" allowOverlap="1">
                  <wp:simplePos x="0" y="0"/>
                  <wp:positionH relativeFrom="column">
                    <wp:posOffset>447040</wp:posOffset>
                  </wp:positionH>
                  <wp:positionV relativeFrom="paragraph">
                    <wp:posOffset>0</wp:posOffset>
                  </wp:positionV>
                  <wp:extent cx="8255" cy="8255"/>
                  <wp:effectExtent l="0" t="0" r="0" b="0"/>
                  <wp:wrapNone/>
                  <wp:docPr id="25" name="图片_2_SpCnt_3"/>
                  <wp:cNvGraphicFramePr/>
                  <a:graphic xmlns:a="http://schemas.openxmlformats.org/drawingml/2006/main">
                    <a:graphicData uri="http://schemas.openxmlformats.org/drawingml/2006/picture">
                      <pic:pic xmlns:pic="http://schemas.openxmlformats.org/drawingml/2006/picture">
                        <pic:nvPicPr>
                          <pic:cNvPr id="25" name="图片_2_SpCnt_3"/>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81792" behindDoc="0" locked="0" layoutInCell="1" allowOverlap="1">
                  <wp:simplePos x="0" y="0"/>
                  <wp:positionH relativeFrom="column">
                    <wp:posOffset>1496060</wp:posOffset>
                  </wp:positionH>
                  <wp:positionV relativeFrom="paragraph">
                    <wp:posOffset>0</wp:posOffset>
                  </wp:positionV>
                  <wp:extent cx="8255" cy="8255"/>
                  <wp:effectExtent l="0" t="0" r="0" b="0"/>
                  <wp:wrapNone/>
                  <wp:docPr id="26" name="图片_2_SpCnt_4"/>
                  <wp:cNvGraphicFramePr/>
                  <a:graphic xmlns:a="http://schemas.openxmlformats.org/drawingml/2006/main">
                    <a:graphicData uri="http://schemas.openxmlformats.org/drawingml/2006/picture">
                      <pic:pic xmlns:pic="http://schemas.openxmlformats.org/drawingml/2006/picture">
                        <pic:nvPicPr>
                          <pic:cNvPr id="26" name="图片_2_SpCnt_4"/>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82816" behindDoc="0" locked="0" layoutInCell="1" allowOverlap="1">
                  <wp:simplePos x="0" y="0"/>
                  <wp:positionH relativeFrom="column">
                    <wp:posOffset>1496060</wp:posOffset>
                  </wp:positionH>
                  <wp:positionV relativeFrom="paragraph">
                    <wp:posOffset>0</wp:posOffset>
                  </wp:positionV>
                  <wp:extent cx="8255" cy="8255"/>
                  <wp:effectExtent l="0" t="0" r="0" b="0"/>
                  <wp:wrapNone/>
                  <wp:docPr id="27" name="图片_2_SpCnt_5"/>
                  <wp:cNvGraphicFramePr/>
                  <a:graphic xmlns:a="http://schemas.openxmlformats.org/drawingml/2006/main">
                    <a:graphicData uri="http://schemas.openxmlformats.org/drawingml/2006/picture">
                      <pic:pic xmlns:pic="http://schemas.openxmlformats.org/drawingml/2006/picture">
                        <pic:nvPicPr>
                          <pic:cNvPr id="27" name="图片_2_SpCnt_5"/>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83840" behindDoc="0" locked="0" layoutInCell="1" allowOverlap="1">
                  <wp:simplePos x="0" y="0"/>
                  <wp:positionH relativeFrom="column">
                    <wp:posOffset>1496060</wp:posOffset>
                  </wp:positionH>
                  <wp:positionV relativeFrom="paragraph">
                    <wp:posOffset>0</wp:posOffset>
                  </wp:positionV>
                  <wp:extent cx="8255" cy="8255"/>
                  <wp:effectExtent l="0" t="0" r="0" b="0"/>
                  <wp:wrapNone/>
                  <wp:docPr id="28" name="图片_2_SpCnt_6"/>
                  <wp:cNvGraphicFramePr/>
                  <a:graphic xmlns:a="http://schemas.openxmlformats.org/drawingml/2006/main">
                    <a:graphicData uri="http://schemas.openxmlformats.org/drawingml/2006/picture">
                      <pic:pic xmlns:pic="http://schemas.openxmlformats.org/drawingml/2006/picture">
                        <pic:nvPicPr>
                          <pic:cNvPr id="28" name="图片_2_SpCnt_6"/>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84864" behindDoc="0" locked="0" layoutInCell="1" allowOverlap="1">
                  <wp:simplePos x="0" y="0"/>
                  <wp:positionH relativeFrom="column">
                    <wp:posOffset>1496060</wp:posOffset>
                  </wp:positionH>
                  <wp:positionV relativeFrom="paragraph">
                    <wp:posOffset>0</wp:posOffset>
                  </wp:positionV>
                  <wp:extent cx="8255" cy="8255"/>
                  <wp:effectExtent l="0" t="0" r="0" b="0"/>
                  <wp:wrapNone/>
                  <wp:docPr id="29" name="图片_5"/>
                  <wp:cNvGraphicFramePr/>
                  <a:graphic xmlns:a="http://schemas.openxmlformats.org/drawingml/2006/main">
                    <a:graphicData uri="http://schemas.openxmlformats.org/drawingml/2006/picture">
                      <pic:pic xmlns:pic="http://schemas.openxmlformats.org/drawingml/2006/picture">
                        <pic:nvPicPr>
                          <pic:cNvPr id="29" name="图片_5"/>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85888" behindDoc="0" locked="0" layoutInCell="1" allowOverlap="1">
                  <wp:simplePos x="0" y="0"/>
                  <wp:positionH relativeFrom="column">
                    <wp:posOffset>1496060</wp:posOffset>
                  </wp:positionH>
                  <wp:positionV relativeFrom="paragraph">
                    <wp:posOffset>0</wp:posOffset>
                  </wp:positionV>
                  <wp:extent cx="8255" cy="8255"/>
                  <wp:effectExtent l="0" t="0" r="0" b="0"/>
                  <wp:wrapNone/>
                  <wp:docPr id="30" name="图片_2_SpCnt_7"/>
                  <wp:cNvGraphicFramePr/>
                  <a:graphic xmlns:a="http://schemas.openxmlformats.org/drawingml/2006/main">
                    <a:graphicData uri="http://schemas.openxmlformats.org/drawingml/2006/picture">
                      <pic:pic xmlns:pic="http://schemas.openxmlformats.org/drawingml/2006/picture">
                        <pic:nvPicPr>
                          <pic:cNvPr id="30" name="图片_2_SpCnt_7"/>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t>带数显,LED微电脑数码显示（分辨率1°C）,功率消耗700W,无刷风机柔和风,气流量120升/分钟,温度调节范围100°C一500°C,显示形式LED数码，手柄组件长度120cm（包括手柄线），发热元件骨架式陶瓷发热芯，输入电压220V/50Hz，噪音小于45db。</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lang w:val="en-US" w:eastAsia="zh-CN"/>
              </w:rPr>
            </w:pPr>
            <w:r>
              <w:rPr>
                <w:rFonts w:hint="eastAsia" w:ascii="宋体" w:hAnsi="宋体" w:eastAsia="宋体" w:cs="宋体"/>
                <w:b w:val="0"/>
                <w:bCs w:val="0"/>
                <w:sz w:val="21"/>
                <w:szCs w:val="21"/>
                <w:vertAlign w:val="baseline"/>
                <w:lang w:val="en-US" w:eastAsia="zh-CN"/>
              </w:rPr>
              <w:t>使用部门：8-605移动通信实训室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FPGA实验开发平台</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详见附件2</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lang w:val="en-US" w:eastAsia="zh-CN"/>
              </w:rPr>
            </w:pPr>
            <w:r>
              <w:rPr>
                <w:rFonts w:hint="eastAsia" w:ascii="宋体" w:hAnsi="宋体" w:eastAsia="宋体" w:cs="宋体"/>
                <w:b w:val="0"/>
                <w:bCs w:val="0"/>
                <w:sz w:val="21"/>
                <w:szCs w:val="21"/>
                <w:vertAlign w:val="baseline"/>
                <w:lang w:val="en-US" w:eastAsia="zh-CN"/>
              </w:rPr>
              <w:t>使用部门：8-605移动通信实训室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手机拆机维修拆卸工具</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材质</w:t>
            </w:r>
            <w:r>
              <w:rPr>
                <w:rFonts w:hint="eastAsia" w:ascii="宋体" w:hAnsi="宋体" w:cs="宋体"/>
                <w:b w:val="0"/>
                <w:bCs w:val="0"/>
                <w:lang w:eastAsia="zh-CN"/>
              </w:rPr>
              <w:t>：</w:t>
            </w:r>
            <w:r>
              <w:rPr>
                <w:rFonts w:hint="eastAsia" w:ascii="宋体" w:hAnsi="宋体" w:eastAsia="宋体" w:cs="宋体"/>
                <w:b w:val="0"/>
                <w:bCs w:val="0"/>
              </w:rPr>
              <w:t>铬钼合金钢颜色分类: OPPO手机全系列工具 VIVO手机全系列工具 360 手机全系列工具 魅族 手机全系列工具 华为 手机全系列工具 联想 手机全系列工具 诺基亚 手机全系列工具 黑莓 手机全系列工具 HTC 手机全系列工具 乐视 手机全系列工具 小米 手机全系列工具 中兴 手机全系列工具 摩托罗拉 手机全系列工具 努比亚 手机全系列工具 iphone全系列 22件套拆机王 手机专用 25合1官方配置 手机专用 25合1中级配置 手机专用 25合1高级配置 手机专用 25合1中级配置+汽吹 手机专用 25合1高级配置+汽吹 64合1高级配置 （铬钒刀头）黄 64合1高级配置 （S2刀头）绿头型: 其他是否有磁性: 带磁性制式: 公制</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使用部门：8-605移动通信实训室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示波器探头</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带宽100Mhz-200Mhz，导线外径3.2mm，导线长度1.2m，导线材质高频铜轴电缆，耐电压200V或600V，插头材质纯铜镀金针测，工艺黑色注塑，接地线长度160mm。</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使用部门：8-605移动通信实训室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指针式万用表</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drawing>
                <wp:anchor distT="0" distB="0" distL="114300" distR="114300" simplePos="0" relativeHeight="251686912" behindDoc="0" locked="0" layoutInCell="1" allowOverlap="1">
                  <wp:simplePos x="0" y="0"/>
                  <wp:positionH relativeFrom="column">
                    <wp:posOffset>447040</wp:posOffset>
                  </wp:positionH>
                  <wp:positionV relativeFrom="paragraph">
                    <wp:posOffset>0</wp:posOffset>
                  </wp:positionV>
                  <wp:extent cx="8255" cy="8255"/>
                  <wp:effectExtent l="0" t="0" r="0" b="0"/>
                  <wp:wrapNone/>
                  <wp:docPr id="31" name="图片_2"/>
                  <wp:cNvGraphicFramePr/>
                  <a:graphic xmlns:a="http://schemas.openxmlformats.org/drawingml/2006/main">
                    <a:graphicData uri="http://schemas.openxmlformats.org/drawingml/2006/picture">
                      <pic:pic xmlns:pic="http://schemas.openxmlformats.org/drawingml/2006/picture">
                        <pic:nvPicPr>
                          <pic:cNvPr id="31" name="图片_2"/>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87936" behindDoc="0" locked="0" layoutInCell="1" allowOverlap="1">
                  <wp:simplePos x="0" y="0"/>
                  <wp:positionH relativeFrom="column">
                    <wp:posOffset>447040</wp:posOffset>
                  </wp:positionH>
                  <wp:positionV relativeFrom="paragraph">
                    <wp:posOffset>0</wp:posOffset>
                  </wp:positionV>
                  <wp:extent cx="8255" cy="8255"/>
                  <wp:effectExtent l="0" t="0" r="0" b="0"/>
                  <wp:wrapNone/>
                  <wp:docPr id="32" name="图片_2_SpCnt_1"/>
                  <wp:cNvGraphicFramePr/>
                  <a:graphic xmlns:a="http://schemas.openxmlformats.org/drawingml/2006/main">
                    <a:graphicData uri="http://schemas.openxmlformats.org/drawingml/2006/picture">
                      <pic:pic xmlns:pic="http://schemas.openxmlformats.org/drawingml/2006/picture">
                        <pic:nvPicPr>
                          <pic:cNvPr id="32" name="图片_2_SpCnt_1"/>
                          <pic:cNvPicPr/>
                        </pic:nvPicPr>
                        <pic:blipFill>
                          <a:blip r:embed="rId7"/>
                          <a:stretch>
                            <a:fillRect/>
                          </a:stretch>
                        </pic:blipFill>
                        <pic:spPr>
                          <a:xfrm>
                            <a:off x="0" y="0"/>
                            <a:ext cx="8255" cy="8255"/>
                          </a:xfrm>
                          <a:prstGeom prst="rect">
                            <a:avLst/>
                          </a:prstGeom>
                          <a:noFill/>
                          <a:ln>
                            <a:noFill/>
                          </a:ln>
                        </pic:spPr>
                      </pic:pic>
                    </a:graphicData>
                  </a:graphic>
                </wp:anchor>
              </w:drawing>
            </w:r>
            <w:r>
              <w:rPr>
                <w:rFonts w:hint="eastAsia" w:ascii="宋体" w:hAnsi="宋体" w:eastAsia="宋体" w:cs="宋体"/>
                <w:b w:val="0"/>
                <w:bCs w:val="0"/>
                <w:lang w:val="en-US" w:eastAsia="zh-CN"/>
              </w:rPr>
              <w:t>产品尺寸：165*113*46mm；</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标配：特尖1000V/20A表笔；电池+备用表；</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表笔精度: 三位半；工作方式: 指针式</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装修及施工内容: 安装工程；直流电流灵敏度0.25V；直流电压灵敏度20K欧；直流电阻中心值16.5；机身颜色：黑色。</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使用部门：8-605移动通信实训室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电烙铁</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drawing>
                <wp:anchor distT="0" distB="0" distL="114300" distR="114300" simplePos="0" relativeHeight="251688960"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33" name="图片_2_SpCnt_2"/>
                  <wp:cNvGraphicFramePr/>
                  <a:graphic xmlns:a="http://schemas.openxmlformats.org/drawingml/2006/main">
                    <a:graphicData uri="http://schemas.openxmlformats.org/drawingml/2006/picture">
                      <pic:pic xmlns:pic="http://schemas.openxmlformats.org/drawingml/2006/picture">
                        <pic:nvPicPr>
                          <pic:cNvPr id="33" name="图片_2_SpCnt_2"/>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89984"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34" name="图片_2_SpCnt_3"/>
                  <wp:cNvGraphicFramePr/>
                  <a:graphic xmlns:a="http://schemas.openxmlformats.org/drawingml/2006/main">
                    <a:graphicData uri="http://schemas.openxmlformats.org/drawingml/2006/picture">
                      <pic:pic xmlns:pic="http://schemas.openxmlformats.org/drawingml/2006/picture">
                        <pic:nvPicPr>
                          <pic:cNvPr id="34" name="图片_2_SpCnt_3"/>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91008" behindDoc="0" locked="0" layoutInCell="1" allowOverlap="1">
                  <wp:simplePos x="0" y="0"/>
                  <wp:positionH relativeFrom="column">
                    <wp:posOffset>447040</wp:posOffset>
                  </wp:positionH>
                  <wp:positionV relativeFrom="paragraph">
                    <wp:posOffset>0</wp:posOffset>
                  </wp:positionV>
                  <wp:extent cx="8255" cy="10160"/>
                  <wp:effectExtent l="0" t="0" r="0" b="0"/>
                  <wp:wrapNone/>
                  <wp:docPr id="35" name="图片_2_SpCnt_4"/>
                  <wp:cNvGraphicFramePr/>
                  <a:graphic xmlns:a="http://schemas.openxmlformats.org/drawingml/2006/main">
                    <a:graphicData uri="http://schemas.openxmlformats.org/drawingml/2006/picture">
                      <pic:pic xmlns:pic="http://schemas.openxmlformats.org/drawingml/2006/picture">
                        <pic:nvPicPr>
                          <pic:cNvPr id="35" name="图片_2_SpCnt_4"/>
                          <pic:cNvPicPr/>
                        </pic:nvPicPr>
                        <pic:blipFill>
                          <a:blip r:embed="rId7"/>
                          <a:stretch>
                            <a:fillRect/>
                          </a:stretch>
                        </pic:blipFill>
                        <pic:spPr>
                          <a:xfrm>
                            <a:off x="0" y="0"/>
                            <a:ext cx="8255" cy="10160"/>
                          </a:xfrm>
                          <a:prstGeom prst="rect">
                            <a:avLst/>
                          </a:prstGeom>
                          <a:noFill/>
                          <a:ln>
                            <a:noFill/>
                          </a:ln>
                        </pic:spPr>
                      </pic:pic>
                    </a:graphicData>
                  </a:graphic>
                </wp:anchor>
              </w:drawing>
            </w:r>
            <w:r>
              <w:rPr>
                <w:rFonts w:hint="eastAsia" w:ascii="宋体" w:hAnsi="宋体" w:eastAsia="宋体" w:cs="宋体"/>
                <w:b w:val="0"/>
                <w:bCs w:val="0"/>
                <w:lang w:val="en-US" w:eastAsia="zh-CN"/>
              </w:rPr>
              <w:t>功能：内热式恒温可调；规格：50W；</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长度：约205mm；线长：约1.4m；</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烙铁头：6.3*43.3mm；</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发热芯：直径3.8mm长度60mm；钢管：8*45mm。</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使用部门：8-605移动通信实训室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NVR硬盘录像机</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可接驳符合ONVIF、RTSP标准及众多主流厂商（ACTI、ARECONT、AXIS、Bosch、Brickcom、Canon、Panasonic、PELCO、SAMSUNG、SANYO、SONY、Vivotek、ZAVIO）的网络摄像机；</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最大支持800万像素高清网络视频的预览、存储与回放；</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支持萤石云存储；</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支持IP设备集中管理，包括IP设备参数配置、信息的导入/导出和升级等功能；</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支持H.265高效视频编码码流，支持Smart265、H.265、H.264 IP设备混合接入；</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支持HDMI与VGA同源输出，支持HDMI接口4K超高清显示输出，支持VGA接口高清1080p显示输出；</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支持一键添加IP设备以及一键开启录像功能；</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支持智能搜索、回放及备份功能，有效提高录像检索与回放效率；</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支持即时回放功能，在预览画面下对指定通道的当前录像进行回放，并且不影响其他通道预览；</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支持最大8/16路同步回放和多路同步倒放；</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rPr>
              <w:t>支持萤石云服务，可</w:t>
            </w:r>
            <w:r>
              <w:rPr>
                <w:rFonts w:hint="eastAsia" w:ascii="宋体" w:hAnsi="宋体" w:eastAsia="宋体" w:cs="宋体"/>
                <w:b w:val="0"/>
                <w:bCs w:val="0"/>
                <w:highlight w:val="none"/>
              </w:rPr>
              <w:t>一键配置上网；</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支持远程零通道预览，使用1路零通道编码视频，预览多通道分割的视频画面，充分获取监控图像信息的同时节省网络传输带宽；</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需与</w:t>
            </w:r>
            <w:r>
              <w:rPr>
                <w:rFonts w:hint="eastAsia" w:ascii="宋体" w:hAnsi="宋体" w:cs="宋体"/>
                <w:b w:val="0"/>
                <w:bCs w:val="0"/>
                <w:highlight w:val="none"/>
                <w:lang w:eastAsia="zh-CN"/>
              </w:rPr>
              <w:t>采购人</w:t>
            </w:r>
            <w:r>
              <w:rPr>
                <w:rFonts w:hint="eastAsia" w:ascii="宋体" w:hAnsi="宋体" w:eastAsia="宋体" w:cs="宋体"/>
                <w:b w:val="0"/>
                <w:bCs w:val="0"/>
                <w:highlight w:val="none"/>
              </w:rPr>
              <w:t>现有设备相匹配。</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highlight w:val="none"/>
                <w:vertAlign w:val="baseline"/>
                <w:lang w:val="en-US" w:eastAsia="zh-CN"/>
              </w:rPr>
              <w:t>使用部门：7-502电子</w:t>
            </w:r>
            <w:r>
              <w:rPr>
                <w:rFonts w:hint="eastAsia" w:ascii="宋体" w:hAnsi="宋体" w:eastAsia="宋体" w:cs="宋体"/>
                <w:b w:val="0"/>
                <w:bCs w:val="0"/>
                <w:sz w:val="21"/>
                <w:szCs w:val="21"/>
                <w:vertAlign w:val="baseline"/>
                <w:lang w:val="en-US" w:eastAsia="zh-CN"/>
              </w:rPr>
              <w:t>产品测试实训室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红外阵列半球网络摄像头</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1.</w:t>
            </w:r>
            <w:r>
              <w:rPr>
                <w:rFonts w:hint="eastAsia" w:ascii="宋体" w:hAnsi="宋体" w:eastAsia="宋体" w:cs="宋体"/>
                <w:b w:val="0"/>
                <w:bCs w:val="0"/>
                <w:highlight w:val="none"/>
              </w:rPr>
              <w:t>1/2.7" Progressive Scan CMOS</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2.</w:t>
            </w:r>
            <w:r>
              <w:rPr>
                <w:rFonts w:hint="eastAsia" w:ascii="宋体" w:hAnsi="宋体" w:eastAsia="宋体" w:cs="宋体"/>
                <w:b w:val="0"/>
                <w:bCs w:val="0"/>
                <w:highlight w:val="none"/>
              </w:rPr>
              <w:t>0.005 Lux @(F1.2, AGC ON), 0 Lux with IR</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3.</w:t>
            </w:r>
            <w:r>
              <w:rPr>
                <w:rFonts w:hint="eastAsia" w:ascii="宋体" w:hAnsi="宋体" w:eastAsia="宋体" w:cs="宋体"/>
                <w:b w:val="0"/>
                <w:bCs w:val="0"/>
                <w:highlight w:val="none"/>
              </w:rPr>
              <w:t>2560 × 1440 @ 25 fps</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4.</w:t>
            </w:r>
            <w:r>
              <w:rPr>
                <w:rFonts w:hint="eastAsia" w:ascii="宋体" w:hAnsi="宋体" w:eastAsia="宋体" w:cs="宋体"/>
                <w:b w:val="0"/>
                <w:bCs w:val="0"/>
                <w:highlight w:val="none"/>
              </w:rPr>
              <w:t>智能侦测: 区域入侵侦测, 越界侦测</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5.</w:t>
            </w:r>
            <w:r>
              <w:rPr>
                <w:rFonts w:hint="eastAsia" w:ascii="宋体" w:hAnsi="宋体" w:eastAsia="宋体" w:cs="宋体"/>
                <w:b w:val="0"/>
                <w:bCs w:val="0"/>
                <w:highlight w:val="none"/>
              </w:rPr>
              <w:t>H.265, Smart265, H.264, Smart264</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6.</w:t>
            </w:r>
            <w:r>
              <w:rPr>
                <w:rFonts w:hint="eastAsia" w:ascii="宋体" w:hAnsi="宋体" w:eastAsia="宋体" w:cs="宋体"/>
                <w:b w:val="0"/>
                <w:bCs w:val="0"/>
                <w:highlight w:val="none"/>
              </w:rPr>
              <w:t>120 dB 宽动态, 背光补偿, 透雾, 3D 数字降噪</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7.</w:t>
            </w:r>
            <w:r>
              <w:rPr>
                <w:rFonts w:hint="eastAsia" w:ascii="宋体" w:hAnsi="宋体" w:eastAsia="宋体" w:cs="宋体"/>
                <w:b w:val="0"/>
                <w:bCs w:val="0"/>
                <w:highlight w:val="none"/>
              </w:rPr>
              <w:t>ROI 编码技术 • 萤石云平台接入</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8.</w:t>
            </w:r>
            <w:r>
              <w:rPr>
                <w:rFonts w:hint="eastAsia" w:ascii="宋体" w:hAnsi="宋体" w:eastAsia="宋体" w:cs="宋体"/>
                <w:b w:val="0"/>
                <w:bCs w:val="0"/>
                <w:highlight w:val="none"/>
              </w:rPr>
              <w:t>内置 1 路麦克风, 高清拾音</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9.</w:t>
            </w:r>
            <w:r>
              <w:rPr>
                <w:rFonts w:hint="eastAsia" w:ascii="宋体" w:hAnsi="宋体" w:eastAsia="宋体" w:cs="宋体"/>
                <w:b w:val="0"/>
                <w:bCs w:val="0"/>
                <w:highlight w:val="none"/>
              </w:rPr>
              <w:t>DC12 V 电源输出, 拾音器供电, 仅"FWD-IS"型号支 持</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10.</w:t>
            </w:r>
            <w:r>
              <w:rPr>
                <w:rFonts w:hint="eastAsia" w:ascii="宋体" w:hAnsi="宋体" w:eastAsia="宋体" w:cs="宋体"/>
                <w:b w:val="0"/>
                <w:bCs w:val="0"/>
                <w:highlight w:val="none"/>
              </w:rPr>
              <w:t>内置 Micro SD/Micro SDHC/Micro SDXC 插槽, 最大 支持 256 GB</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11.</w:t>
            </w:r>
            <w:r>
              <w:rPr>
                <w:rFonts w:hint="eastAsia" w:ascii="宋体" w:hAnsi="宋体" w:eastAsia="宋体" w:cs="宋体"/>
                <w:b w:val="0"/>
                <w:bCs w:val="0"/>
                <w:highlight w:val="none"/>
              </w:rPr>
              <w:t>红外灯补光, 最远可达 30 m</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12.</w:t>
            </w:r>
            <w:r>
              <w:rPr>
                <w:rFonts w:hint="eastAsia" w:ascii="宋体" w:hAnsi="宋体" w:eastAsia="宋体" w:cs="宋体"/>
                <w:b w:val="0"/>
                <w:bCs w:val="0"/>
                <w:highlight w:val="none"/>
              </w:rPr>
              <w:t>IP66</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需与</w:t>
            </w:r>
            <w:r>
              <w:rPr>
                <w:rFonts w:hint="eastAsia" w:ascii="宋体" w:hAnsi="宋体" w:cs="宋体"/>
                <w:b w:val="0"/>
                <w:bCs w:val="0"/>
                <w:highlight w:val="none"/>
                <w:lang w:eastAsia="zh-CN"/>
              </w:rPr>
              <w:t>采购人</w:t>
            </w:r>
            <w:r>
              <w:rPr>
                <w:rFonts w:hint="eastAsia" w:ascii="宋体" w:hAnsi="宋体" w:eastAsia="宋体" w:cs="宋体"/>
                <w:b w:val="0"/>
                <w:bCs w:val="0"/>
                <w:highlight w:val="none"/>
              </w:rPr>
              <w:t>现有设备相匹配。</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highlight w:val="none"/>
              </w:rPr>
            </w:pPr>
            <w:r>
              <w:rPr>
                <w:rFonts w:hint="eastAsia" w:ascii="宋体" w:hAnsi="宋体" w:eastAsia="宋体" w:cs="宋体"/>
                <w:b w:val="0"/>
                <w:bCs w:val="0"/>
                <w:sz w:val="21"/>
                <w:szCs w:val="21"/>
                <w:highlight w:val="none"/>
                <w:vertAlign w:val="baseline"/>
                <w:lang w:val="en-US" w:eastAsia="zh-CN"/>
              </w:rPr>
              <w:t>使用部门：7-502电子产品测试实训室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红外点阵筒型摄像机</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1.</w:t>
            </w:r>
            <w:r>
              <w:rPr>
                <w:rFonts w:hint="eastAsia" w:ascii="宋体" w:hAnsi="宋体" w:eastAsia="宋体" w:cs="宋体"/>
                <w:b w:val="0"/>
                <w:bCs w:val="0"/>
                <w:highlight w:val="none"/>
              </w:rPr>
              <w:t>1/2.7" Progressive Scan CMOS</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2.</w:t>
            </w:r>
            <w:r>
              <w:rPr>
                <w:rFonts w:hint="eastAsia" w:ascii="宋体" w:hAnsi="宋体" w:eastAsia="宋体" w:cs="宋体"/>
                <w:b w:val="0"/>
                <w:bCs w:val="0"/>
                <w:highlight w:val="none"/>
              </w:rPr>
              <w:t>0.005 Lux @(F1.2, AGC ON), 0 Lux with Light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3.</w:t>
            </w:r>
            <w:r>
              <w:rPr>
                <w:rFonts w:hint="eastAsia" w:ascii="宋体" w:hAnsi="宋体" w:eastAsia="宋体" w:cs="宋体"/>
                <w:b w:val="0"/>
                <w:bCs w:val="0"/>
                <w:highlight w:val="none"/>
              </w:rPr>
              <w:t xml:space="preserve">1920 × 1080 @25 fps </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4.</w:t>
            </w:r>
            <w:r>
              <w:rPr>
                <w:rFonts w:hint="eastAsia" w:ascii="宋体" w:hAnsi="宋体" w:eastAsia="宋体" w:cs="宋体"/>
                <w:b w:val="0"/>
                <w:bCs w:val="0"/>
                <w:highlight w:val="none"/>
              </w:rPr>
              <w:t>智能侦测: 越界侦测, 区域入侵侦测</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5.</w:t>
            </w:r>
            <w:r>
              <w:rPr>
                <w:rFonts w:hint="eastAsia" w:ascii="宋体" w:hAnsi="宋体" w:eastAsia="宋体" w:cs="宋体"/>
                <w:b w:val="0"/>
                <w:bCs w:val="0"/>
                <w:highlight w:val="none"/>
              </w:rPr>
              <w:t>H.264, Smart264, H.265, Smart265</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6.</w:t>
            </w:r>
            <w:r>
              <w:rPr>
                <w:rFonts w:hint="eastAsia" w:ascii="宋体" w:hAnsi="宋体" w:eastAsia="宋体" w:cs="宋体"/>
                <w:b w:val="0"/>
                <w:bCs w:val="0"/>
                <w:highlight w:val="none"/>
              </w:rPr>
              <w:t>萤石云平台接入</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7.</w:t>
            </w:r>
            <w:r>
              <w:rPr>
                <w:rFonts w:hint="eastAsia" w:ascii="宋体" w:hAnsi="宋体" w:eastAsia="宋体" w:cs="宋体"/>
                <w:b w:val="0"/>
                <w:bCs w:val="0"/>
                <w:highlight w:val="none"/>
              </w:rPr>
              <w:t>120 dB 宽动态</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8.</w:t>
            </w:r>
            <w:r>
              <w:rPr>
                <w:rFonts w:hint="eastAsia" w:ascii="宋体" w:hAnsi="宋体" w:eastAsia="宋体" w:cs="宋体"/>
                <w:b w:val="0"/>
                <w:bCs w:val="0"/>
                <w:highlight w:val="none"/>
              </w:rPr>
              <w:t>背光补偿，强光抑制，3D数字降噪</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9.</w:t>
            </w:r>
            <w:r>
              <w:rPr>
                <w:rFonts w:hint="eastAsia" w:ascii="宋体" w:hAnsi="宋体" w:eastAsia="宋体" w:cs="宋体"/>
                <w:b w:val="0"/>
                <w:bCs w:val="0"/>
                <w:highlight w:val="none"/>
              </w:rPr>
              <w:t>内置麦克风, 高清拾音</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10.</w:t>
            </w:r>
            <w:r>
              <w:rPr>
                <w:rFonts w:hint="eastAsia" w:ascii="宋体" w:hAnsi="宋体" w:eastAsia="宋体" w:cs="宋体"/>
                <w:b w:val="0"/>
                <w:bCs w:val="0"/>
                <w:highlight w:val="none"/>
              </w:rPr>
              <w:t xml:space="preserve">红外/暖光双补光，红外最远可达50 m，暖光最远可达30 m </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11.</w:t>
            </w:r>
            <w:r>
              <w:rPr>
                <w:rFonts w:hint="eastAsia" w:ascii="宋体" w:hAnsi="宋体" w:eastAsia="宋体" w:cs="宋体"/>
                <w:b w:val="0"/>
                <w:bCs w:val="0"/>
                <w:highlight w:val="none"/>
              </w:rPr>
              <w:t>IP66</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需与</w:t>
            </w:r>
            <w:r>
              <w:rPr>
                <w:rFonts w:hint="eastAsia" w:ascii="宋体" w:hAnsi="宋体" w:cs="宋体"/>
                <w:b w:val="0"/>
                <w:bCs w:val="0"/>
                <w:highlight w:val="none"/>
                <w:lang w:eastAsia="zh-CN"/>
              </w:rPr>
              <w:t>采购人</w:t>
            </w:r>
            <w:r>
              <w:rPr>
                <w:rFonts w:hint="eastAsia" w:ascii="宋体" w:hAnsi="宋体" w:eastAsia="宋体" w:cs="宋体"/>
                <w:b w:val="0"/>
                <w:bCs w:val="0"/>
                <w:highlight w:val="none"/>
              </w:rPr>
              <w:t>现有设备相匹配。</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highlight w:val="none"/>
              </w:rPr>
            </w:pPr>
            <w:r>
              <w:rPr>
                <w:rFonts w:hint="eastAsia" w:ascii="宋体" w:hAnsi="宋体" w:eastAsia="宋体" w:cs="宋体"/>
                <w:b w:val="0"/>
                <w:bCs w:val="0"/>
                <w:sz w:val="21"/>
                <w:szCs w:val="21"/>
                <w:highlight w:val="none"/>
                <w:vertAlign w:val="baseline"/>
                <w:lang w:val="en-US" w:eastAsia="zh-CN"/>
              </w:rPr>
              <w:t>使用部门：7-502电子产品测试实训室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红外筒型网络摄像机</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rPr>
              <w:t>1/2.7" Progressive Scan CMOS</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rPr>
              <w:t>0.005 Lux @(F1.2, AGC ON), 0 Lux with Light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 xml:space="preserve">1920 × 1080 @25 fps </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4.</w:t>
            </w:r>
            <w:r>
              <w:rPr>
                <w:rFonts w:hint="eastAsia" w:ascii="宋体" w:hAnsi="宋体" w:eastAsia="宋体" w:cs="宋体"/>
                <w:b w:val="0"/>
                <w:bCs w:val="0"/>
              </w:rPr>
              <w:t>智能侦测: 越界侦测, 区域入侵侦测</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5.</w:t>
            </w:r>
            <w:r>
              <w:rPr>
                <w:rFonts w:hint="eastAsia" w:ascii="宋体" w:hAnsi="宋体" w:eastAsia="宋体" w:cs="宋体"/>
                <w:b w:val="0"/>
                <w:bCs w:val="0"/>
              </w:rPr>
              <w:t>H.264, Smart264, H.265, Smart265</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6.</w:t>
            </w:r>
            <w:r>
              <w:rPr>
                <w:rFonts w:hint="eastAsia" w:ascii="宋体" w:hAnsi="宋体" w:eastAsia="宋体" w:cs="宋体"/>
                <w:b w:val="0"/>
                <w:bCs w:val="0"/>
              </w:rPr>
              <w:t>萤石云平台接入</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7.</w:t>
            </w:r>
            <w:r>
              <w:rPr>
                <w:rFonts w:hint="eastAsia" w:ascii="宋体" w:hAnsi="宋体" w:eastAsia="宋体" w:cs="宋体"/>
                <w:b w:val="0"/>
                <w:bCs w:val="0"/>
              </w:rPr>
              <w:t>120 dB 宽动态</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8.</w:t>
            </w:r>
            <w:r>
              <w:rPr>
                <w:rFonts w:hint="eastAsia" w:ascii="宋体" w:hAnsi="宋体" w:eastAsia="宋体" w:cs="宋体"/>
                <w:b w:val="0"/>
                <w:bCs w:val="0"/>
              </w:rPr>
              <w:t>背光补偿，强光抑制，3D数字降噪</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9.</w:t>
            </w:r>
            <w:r>
              <w:rPr>
                <w:rFonts w:hint="eastAsia" w:ascii="宋体" w:hAnsi="宋体" w:eastAsia="宋体" w:cs="宋体"/>
                <w:b w:val="0"/>
                <w:bCs w:val="0"/>
              </w:rPr>
              <w:t>内置麦克风, 高清拾音</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10.</w:t>
            </w:r>
            <w:r>
              <w:rPr>
                <w:rFonts w:hint="eastAsia" w:ascii="宋体" w:hAnsi="宋体" w:eastAsia="宋体" w:cs="宋体"/>
                <w:b w:val="0"/>
                <w:bCs w:val="0"/>
              </w:rPr>
              <w:t xml:space="preserve">红外/暖光双补光，红外最远可达50 m，暖光最远可达30 m </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11.</w:t>
            </w:r>
            <w:r>
              <w:rPr>
                <w:rFonts w:hint="eastAsia" w:ascii="宋体" w:hAnsi="宋体" w:eastAsia="宋体" w:cs="宋体"/>
                <w:b w:val="0"/>
                <w:bCs w:val="0"/>
              </w:rPr>
              <w:t>IP66</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需与</w:t>
            </w:r>
            <w:r>
              <w:rPr>
                <w:rFonts w:hint="eastAsia" w:ascii="宋体" w:hAnsi="宋体" w:eastAsia="宋体" w:cs="宋体"/>
                <w:b w:val="0"/>
                <w:bCs w:val="0"/>
                <w:lang w:eastAsia="zh-CN"/>
              </w:rPr>
              <w:t>采购人</w:t>
            </w:r>
            <w:r>
              <w:rPr>
                <w:rFonts w:hint="eastAsia" w:ascii="宋体" w:hAnsi="宋体" w:eastAsia="宋体" w:cs="宋体"/>
                <w:b w:val="0"/>
                <w:bCs w:val="0"/>
              </w:rPr>
              <w:t>现有设备相匹配。</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使用部门：7-502电子产品测试实训室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智能球型摄像机 </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支持最大 1920×1080@30fps 高清画面输出</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 smart265 高效压缩算法，可较大节省存储空间</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支持超低照度，0.005Lux/F1.6(彩色),0.001Lux/F1.6(黑白) ,0 Lux with IR</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 23 倍光学变倍，16 倍数字变倍</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采用高效红外阵列，低功耗，照射距离最远可达 150m</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 960p@60fps、720p@60fps 高帧率输出</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支持三码流技术，每路码流可独立配置分辨率及帧率</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支持区域入侵侦测、越界侦测、移动侦测等智能侦测功能</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支持断网续传功能保证录像不丢失，配合 Smart NVR 实现事件录像 的二次智能检索、分析和浓缩播放</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支持宽动态范围达 120dB，适合逆光环境监控</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 3D 数字降噪、强光抑制、电子防抖、SmartIR</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 360°水平旋转，垂直方向-15° -90°</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 300 个预置位，8 条巡航扫描</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 3D 定位，可通过鼠标框选目标以实现目标的快速定位与捕捉</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支持定时抓图与事件抓图功能</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支持区域曝光与区域聚焦功能</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支持定时任务、一键守望、一键巡航功能</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支持最大 256G 的 Micro SD/SDHC/SDXC 卡存储</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支持海康 SDK、ONVIF、ISAPI、GB/T28181、E 家协议和萤石云接入</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防雷、防浪涌、防突波，IP66 防护等级</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需与</w:t>
            </w:r>
            <w:r>
              <w:rPr>
                <w:rFonts w:hint="eastAsia" w:ascii="宋体" w:hAnsi="宋体" w:eastAsia="宋体" w:cs="宋体"/>
                <w:b w:val="0"/>
                <w:bCs w:val="0"/>
                <w:lang w:eastAsia="zh-CN"/>
              </w:rPr>
              <w:t>采购人</w:t>
            </w:r>
            <w:r>
              <w:rPr>
                <w:rFonts w:hint="eastAsia" w:ascii="宋体" w:hAnsi="宋体" w:eastAsia="宋体" w:cs="宋体"/>
                <w:b w:val="0"/>
                <w:bCs w:val="0"/>
              </w:rPr>
              <w:t>现有设备相匹配。</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使用部门：7-502电子产品测试实训室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热风焊台二合一</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eastAsia="zh-CN"/>
              </w:rPr>
              <w:t>一、</w:t>
            </w:r>
            <w:r>
              <w:rPr>
                <w:rFonts w:hint="eastAsia" w:ascii="宋体" w:hAnsi="宋体" w:eastAsia="宋体" w:cs="宋体"/>
                <w:b w:val="0"/>
                <w:bCs w:val="0"/>
              </w:rPr>
              <w:t>风枪参数</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rPr>
              <w:t>工作电压：AC 220V±10% 50Hz</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rPr>
              <w:t>输出功率：700W±10%</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温度范围：100℃～500℃ 气流量120L/min(最大)</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4.</w:t>
            </w:r>
            <w:r>
              <w:rPr>
                <w:rFonts w:hint="eastAsia" w:ascii="宋体" w:hAnsi="宋体" w:eastAsia="宋体" w:cs="宋体"/>
                <w:b w:val="0"/>
                <w:bCs w:val="0"/>
              </w:rPr>
              <w:t>温度稳定度：±2℃ （静态）</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5.</w:t>
            </w:r>
            <w:r>
              <w:rPr>
                <w:rFonts w:hint="eastAsia" w:ascii="宋体" w:hAnsi="宋体" w:eastAsia="宋体" w:cs="宋体"/>
                <w:b w:val="0"/>
                <w:bCs w:val="0"/>
              </w:rPr>
              <w:t>设置方式：按键调节</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6.</w:t>
            </w:r>
            <w:r>
              <w:rPr>
                <w:rFonts w:hint="eastAsia" w:ascii="宋体" w:hAnsi="宋体" w:eastAsia="宋体" w:cs="宋体"/>
                <w:b w:val="0"/>
                <w:bCs w:val="0"/>
              </w:rPr>
              <w:t>显示方式：LED数显</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7.</w:t>
            </w:r>
            <w:r>
              <w:rPr>
                <w:rFonts w:hint="eastAsia" w:ascii="宋体" w:hAnsi="宋体" w:eastAsia="宋体" w:cs="宋体"/>
                <w:b w:val="0"/>
                <w:bCs w:val="0"/>
              </w:rPr>
              <w:t>校温方式：数字校准</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8.</w:t>
            </w:r>
            <w:r>
              <w:rPr>
                <w:rFonts w:hint="eastAsia" w:ascii="宋体" w:hAnsi="宋体" w:eastAsia="宋体" w:cs="宋体"/>
                <w:b w:val="0"/>
                <w:bCs w:val="0"/>
              </w:rPr>
              <w:t>温度锁定方式：数字式</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eastAsia="zh-CN"/>
              </w:rPr>
              <w:t>二、</w:t>
            </w:r>
            <w:r>
              <w:rPr>
                <w:rFonts w:hint="eastAsia" w:ascii="宋体" w:hAnsi="宋体" w:eastAsia="宋体" w:cs="宋体"/>
                <w:b w:val="0"/>
                <w:bCs w:val="0"/>
              </w:rPr>
              <w:t>焊台参数</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rPr>
              <w:t>工作电压：AC 26V±10% 50Hz</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rPr>
              <w:t>输出功率：50W±10%</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温度范围：200℃～480℃</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4.</w:t>
            </w:r>
            <w:r>
              <w:rPr>
                <w:rFonts w:hint="eastAsia" w:ascii="宋体" w:hAnsi="宋体" w:eastAsia="宋体" w:cs="宋体"/>
                <w:b w:val="0"/>
                <w:bCs w:val="0"/>
              </w:rPr>
              <w:t>温度稳定度：±2℃ （静态）</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5.</w:t>
            </w:r>
            <w:r>
              <w:rPr>
                <w:rFonts w:hint="eastAsia" w:ascii="宋体" w:hAnsi="宋体" w:eastAsia="宋体" w:cs="宋体"/>
                <w:b w:val="0"/>
                <w:bCs w:val="0"/>
              </w:rPr>
              <w:t>设置方式：按键调节</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6.</w:t>
            </w:r>
            <w:r>
              <w:rPr>
                <w:rFonts w:hint="eastAsia" w:ascii="宋体" w:hAnsi="宋体" w:eastAsia="宋体" w:cs="宋体"/>
                <w:b w:val="0"/>
                <w:bCs w:val="0"/>
              </w:rPr>
              <w:t>显示方式：LED数显</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7.</w:t>
            </w:r>
            <w:r>
              <w:rPr>
                <w:rFonts w:hint="eastAsia" w:ascii="宋体" w:hAnsi="宋体" w:eastAsia="宋体" w:cs="宋体"/>
                <w:b w:val="0"/>
                <w:bCs w:val="0"/>
              </w:rPr>
              <w:t>校温方式：数字校准</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8.</w:t>
            </w:r>
            <w:r>
              <w:rPr>
                <w:rFonts w:hint="eastAsia" w:ascii="宋体" w:hAnsi="宋体" w:eastAsia="宋体" w:cs="宋体"/>
                <w:b w:val="0"/>
                <w:bCs w:val="0"/>
              </w:rPr>
              <w:t>温度锁定方式：数字式</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9.</w:t>
            </w:r>
            <w:r>
              <w:rPr>
                <w:rFonts w:hint="eastAsia" w:ascii="宋体" w:hAnsi="宋体" w:eastAsia="宋体" w:cs="宋体"/>
                <w:b w:val="0"/>
                <w:bCs w:val="0"/>
              </w:rPr>
              <w:t>焊咀对地阻抗：&lt;2Ω</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10.</w:t>
            </w:r>
            <w:r>
              <w:rPr>
                <w:rFonts w:hint="eastAsia" w:ascii="宋体" w:hAnsi="宋体" w:eastAsia="宋体" w:cs="宋体"/>
                <w:b w:val="0"/>
                <w:bCs w:val="0"/>
              </w:rPr>
              <w:t>焊咀对地电压：&lt;2mV</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11.</w:t>
            </w:r>
            <w:r>
              <w:rPr>
                <w:rFonts w:hint="eastAsia" w:ascii="宋体" w:hAnsi="宋体" w:eastAsia="宋体" w:cs="宋体"/>
                <w:b w:val="0"/>
                <w:bCs w:val="0"/>
              </w:rPr>
              <w:t>烙铁头：AT-02-SI</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12.</w:t>
            </w:r>
            <w:r>
              <w:rPr>
                <w:rFonts w:hint="eastAsia" w:ascii="宋体" w:hAnsi="宋体" w:eastAsia="宋体" w:cs="宋体"/>
                <w:b w:val="0"/>
                <w:bCs w:val="0"/>
              </w:rPr>
              <w:t>发热芯：50W四芯陶瓷发热芯</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需与</w:t>
            </w:r>
            <w:r>
              <w:rPr>
                <w:rFonts w:hint="eastAsia" w:ascii="宋体" w:hAnsi="宋体" w:eastAsia="宋体" w:cs="宋体"/>
                <w:b w:val="0"/>
                <w:bCs w:val="0"/>
                <w:lang w:eastAsia="zh-CN"/>
              </w:rPr>
              <w:t>采购人</w:t>
            </w:r>
            <w:r>
              <w:rPr>
                <w:rFonts w:hint="eastAsia" w:ascii="宋体" w:hAnsi="宋体" w:eastAsia="宋体" w:cs="宋体"/>
                <w:b w:val="0"/>
                <w:bCs w:val="0"/>
              </w:rPr>
              <w:t>现有设备相匹配。</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使用部门：电子产品测试实训室7-502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无线静电手环</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手腕带阻抗系数&lt;50欧</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腕带：可调式</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无线状态使用，灵活不受限</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适用高湿度环境条件</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静电可快速通过腕带释放，效果奇佳</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电晕放电物理原理设计，不受接地线牵绊</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需与</w:t>
            </w:r>
            <w:r>
              <w:rPr>
                <w:rFonts w:hint="eastAsia" w:ascii="宋体" w:hAnsi="宋体" w:eastAsia="宋体" w:cs="宋体"/>
                <w:b w:val="0"/>
                <w:bCs w:val="0"/>
                <w:lang w:eastAsia="zh-CN"/>
              </w:rPr>
              <w:t>采购人</w:t>
            </w:r>
            <w:r>
              <w:rPr>
                <w:rFonts w:hint="eastAsia" w:ascii="宋体" w:hAnsi="宋体" w:eastAsia="宋体" w:cs="宋体"/>
                <w:b w:val="0"/>
                <w:bCs w:val="0"/>
              </w:rPr>
              <w:t>现有设备相匹配。</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使用部门：电子产品测试实训室7-502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可编程控制器</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CPU类型：SR60；</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电源类型：AC/DC/RLY，即CPU使用AC220V供电、输入端口使用DC24V供电、继电器输出AC220 V；</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输入/输出端口：输入端口36个、输出端口24个；</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通信端口：以太网通信（使用网线通信），RS232串口通信、支持RS232/RS485 自由转换；</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其他：集成PROFINET接口，有Micro SD卡插槽、支持程序下载和PLC固件更新，可以与触摸屏和变频器完美整合，满足人机交互、控制、驱动等功能的需求。</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需与</w:t>
            </w:r>
            <w:r>
              <w:rPr>
                <w:rFonts w:hint="eastAsia" w:ascii="宋体" w:hAnsi="宋体" w:eastAsia="宋体" w:cs="宋体"/>
                <w:b w:val="0"/>
                <w:bCs w:val="0"/>
                <w:lang w:eastAsia="zh-CN"/>
              </w:rPr>
              <w:t>采购人</w:t>
            </w:r>
            <w:r>
              <w:rPr>
                <w:rFonts w:hint="eastAsia" w:ascii="宋体" w:hAnsi="宋体" w:eastAsia="宋体" w:cs="宋体"/>
                <w:b w:val="0"/>
                <w:bCs w:val="0"/>
              </w:rPr>
              <w:t>现有设备相匹配。</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使用部门：现代电工电子实训室7-406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PLC编程线缆</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根</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接口</w:t>
            </w:r>
            <w:r>
              <w:rPr>
                <w:rFonts w:hint="eastAsia" w:ascii="宋体" w:hAnsi="宋体" w:cs="宋体"/>
                <w:b w:val="0"/>
                <w:bCs w:val="0"/>
                <w:lang w:eastAsia="zh-CN"/>
              </w:rPr>
              <w:t>：</w:t>
            </w:r>
            <w:r>
              <w:rPr>
                <w:rFonts w:hint="eastAsia" w:ascii="宋体" w:hAnsi="宋体" w:eastAsia="宋体" w:cs="宋体"/>
                <w:b w:val="0"/>
                <w:bCs w:val="0"/>
              </w:rPr>
              <w:t>USB-9针公</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支持：WIN7（32/64位）/XP/VISTA</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波特率：支持9.6/19.2，高速通讯187.5Kbps</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支持PPI多主站通信，支持西门子部分触摸屏</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无需要安装驱动程序，直接选择USB</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支持WIN7 32和64位系列，支持4.0以上软件。</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需与</w:t>
            </w:r>
            <w:r>
              <w:rPr>
                <w:rFonts w:hint="eastAsia" w:ascii="宋体" w:hAnsi="宋体" w:eastAsia="宋体" w:cs="宋体"/>
                <w:b w:val="0"/>
                <w:bCs w:val="0"/>
                <w:lang w:eastAsia="zh-CN"/>
              </w:rPr>
              <w:t>采购人</w:t>
            </w:r>
            <w:r>
              <w:rPr>
                <w:rFonts w:hint="eastAsia" w:ascii="宋体" w:hAnsi="宋体" w:eastAsia="宋体" w:cs="宋体"/>
                <w:b w:val="0"/>
                <w:bCs w:val="0"/>
              </w:rPr>
              <w:t>现有设备相匹配。</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rPr>
            </w:pPr>
            <w:r>
              <w:rPr>
                <w:rFonts w:hint="eastAsia" w:ascii="宋体" w:hAnsi="宋体" w:eastAsia="宋体" w:cs="宋体"/>
                <w:b w:val="0"/>
                <w:bCs w:val="0"/>
                <w:sz w:val="21"/>
                <w:szCs w:val="21"/>
                <w:vertAlign w:val="baseline"/>
                <w:lang w:val="en-US" w:eastAsia="zh-CN"/>
              </w:rPr>
              <w:t>使用部门：现代电工电子实训室7-406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w:t>
            </w:r>
          </w:p>
        </w:tc>
        <w:tc>
          <w:tcPr>
            <w:tcW w:w="62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光纤熔接机</w:t>
            </w:r>
          </w:p>
        </w:tc>
        <w:tc>
          <w:tcPr>
            <w:tcW w:w="331"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34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4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eastAsia="zh-CN"/>
              </w:rPr>
              <w:t>一、</w:t>
            </w:r>
            <w:r>
              <w:rPr>
                <w:rFonts w:hint="eastAsia" w:ascii="宋体" w:hAnsi="宋体" w:eastAsia="宋体" w:cs="宋体"/>
                <w:b w:val="0"/>
                <w:bCs w:val="0"/>
              </w:rPr>
              <w:t>主要特点：</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rPr>
              <w:t>1</w:t>
            </w:r>
            <w:r>
              <w:rPr>
                <w:rFonts w:hint="eastAsia" w:ascii="宋体" w:hAnsi="宋体" w:eastAsia="宋体" w:cs="宋体"/>
                <w:b w:val="0"/>
                <w:bCs w:val="0"/>
                <w:lang w:val="en-US" w:eastAsia="zh-CN"/>
              </w:rPr>
              <w:t>.</w:t>
            </w:r>
            <w:r>
              <w:rPr>
                <w:rFonts w:hint="eastAsia" w:ascii="宋体" w:hAnsi="宋体" w:eastAsia="宋体" w:cs="宋体"/>
                <w:b w:val="0"/>
                <w:bCs w:val="0"/>
              </w:rPr>
              <w:t>体积小、重量轻</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rPr>
              <w:t>2</w:t>
            </w:r>
            <w:r>
              <w:rPr>
                <w:rFonts w:hint="eastAsia" w:ascii="宋体" w:hAnsi="宋体" w:eastAsia="宋体" w:cs="宋体"/>
                <w:b w:val="0"/>
                <w:bCs w:val="0"/>
                <w:lang w:val="en-US" w:eastAsia="zh-CN"/>
              </w:rPr>
              <w:t>.</w:t>
            </w:r>
            <w:r>
              <w:rPr>
                <w:rFonts w:hint="eastAsia" w:ascii="宋体" w:hAnsi="宋体" w:eastAsia="宋体" w:cs="宋体"/>
                <w:b w:val="0"/>
                <w:bCs w:val="0"/>
              </w:rPr>
              <w:t>7s快速熔接、25s高效加热</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lang w:eastAsia="zh-CN"/>
              </w:rPr>
            </w:pPr>
            <w:r>
              <w:rPr>
                <w:rFonts w:hint="eastAsia" w:ascii="宋体" w:hAnsi="宋体" w:eastAsia="宋体" w:cs="宋体"/>
                <w:b w:val="0"/>
                <w:bCs w:val="0"/>
              </w:rPr>
              <w:t>3</w:t>
            </w:r>
            <w:r>
              <w:rPr>
                <w:rFonts w:hint="eastAsia" w:ascii="宋体" w:hAnsi="宋体" w:eastAsia="宋体" w:cs="宋体"/>
                <w:b w:val="0"/>
                <w:bCs w:val="0"/>
                <w:lang w:val="en-US" w:eastAsia="zh-CN"/>
              </w:rPr>
              <w:t>.</w:t>
            </w:r>
            <w:r>
              <w:rPr>
                <w:rFonts w:hint="eastAsia" w:ascii="宋体" w:hAnsi="宋体" w:eastAsia="宋体" w:cs="宋体"/>
                <w:b w:val="0"/>
                <w:bCs w:val="0"/>
              </w:rPr>
              <w:t>320倍图像放大、5mm超短切割长度光纤熔接</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lang w:eastAsia="zh-CN"/>
              </w:rPr>
            </w:pPr>
            <w:r>
              <w:rPr>
                <w:rFonts w:hint="eastAsia" w:ascii="宋体" w:hAnsi="宋体" w:eastAsia="宋体" w:cs="宋体"/>
                <w:b w:val="0"/>
                <w:bCs w:val="0"/>
              </w:rPr>
              <w:t>4</w:t>
            </w:r>
            <w:r>
              <w:rPr>
                <w:rFonts w:hint="eastAsia" w:ascii="宋体" w:hAnsi="宋体" w:eastAsia="宋体" w:cs="宋体"/>
                <w:b w:val="0"/>
                <w:bCs w:val="0"/>
                <w:lang w:val="en-US" w:eastAsia="zh-CN"/>
              </w:rPr>
              <w:t>.</w:t>
            </w:r>
            <w:r>
              <w:rPr>
                <w:rFonts w:hint="eastAsia" w:ascii="宋体" w:hAnsi="宋体" w:eastAsia="宋体" w:cs="宋体"/>
                <w:b w:val="0"/>
                <w:bCs w:val="0"/>
              </w:rPr>
              <w:t>300组熔接模式、100组加热模式、10000组熔接记录64幅图片</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rPr>
              <w:t>5</w:t>
            </w:r>
            <w:r>
              <w:rPr>
                <w:rFonts w:hint="eastAsia" w:ascii="宋体" w:hAnsi="宋体" w:eastAsia="宋体" w:cs="宋体"/>
                <w:b w:val="0"/>
                <w:bCs w:val="0"/>
                <w:lang w:val="en-US" w:eastAsia="zh-CN"/>
              </w:rPr>
              <w:t>.</w:t>
            </w:r>
            <w:r>
              <w:rPr>
                <w:rFonts w:hint="eastAsia" w:ascii="宋体" w:hAnsi="宋体" w:eastAsia="宋体" w:cs="宋体"/>
                <w:b w:val="0"/>
                <w:bCs w:val="0"/>
              </w:rPr>
              <w:t>陶瓷压脚、陶瓷V型槽、多合一夹具</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rPr>
              <w:t>6</w:t>
            </w:r>
            <w:r>
              <w:rPr>
                <w:rFonts w:hint="eastAsia" w:ascii="宋体" w:hAnsi="宋体" w:eastAsia="宋体" w:cs="宋体"/>
                <w:b w:val="0"/>
                <w:bCs w:val="0"/>
                <w:lang w:val="en-US" w:eastAsia="zh-CN"/>
              </w:rPr>
              <w:t>.</w:t>
            </w:r>
            <w:r>
              <w:rPr>
                <w:rFonts w:hint="eastAsia" w:ascii="宋体" w:hAnsi="宋体" w:eastAsia="宋体" w:cs="宋体"/>
                <w:b w:val="0"/>
                <w:bCs w:val="0"/>
              </w:rPr>
              <w:t>双向熔接，自动熔接，智能热缩</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rPr>
              <w:t>7</w:t>
            </w:r>
            <w:r>
              <w:rPr>
                <w:rFonts w:hint="eastAsia" w:ascii="宋体" w:hAnsi="宋体" w:eastAsia="宋体" w:cs="宋体"/>
                <w:b w:val="0"/>
                <w:bCs w:val="0"/>
                <w:lang w:val="en-US" w:eastAsia="zh-CN"/>
              </w:rPr>
              <w:t>.</w:t>
            </w:r>
            <w:r>
              <w:rPr>
                <w:rFonts w:hint="eastAsia" w:ascii="宋体" w:hAnsi="宋体" w:eastAsia="宋体" w:cs="宋体"/>
                <w:b w:val="0"/>
                <w:bCs w:val="0"/>
              </w:rPr>
              <w:t>USB和SD卡接口，U盘自动软件升级</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lang w:eastAsia="zh-CN"/>
              </w:rPr>
            </w:pPr>
            <w:r>
              <w:rPr>
                <w:rFonts w:hint="eastAsia" w:ascii="宋体" w:hAnsi="宋体" w:eastAsia="宋体" w:cs="宋体"/>
                <w:b w:val="0"/>
                <w:bCs w:val="0"/>
              </w:rPr>
              <w:t>8</w:t>
            </w:r>
            <w:r>
              <w:rPr>
                <w:rFonts w:hint="eastAsia" w:ascii="宋体" w:hAnsi="宋体" w:eastAsia="宋体" w:cs="宋体"/>
                <w:b w:val="0"/>
                <w:bCs w:val="0"/>
                <w:lang w:val="en-US" w:eastAsia="zh-CN"/>
              </w:rPr>
              <w:t>.</w:t>
            </w:r>
            <w:r>
              <w:rPr>
                <w:rFonts w:hint="eastAsia" w:ascii="宋体" w:hAnsi="宋体" w:eastAsia="宋体" w:cs="宋体"/>
                <w:b w:val="0"/>
                <w:bCs w:val="0"/>
              </w:rPr>
              <w:t>内置模块化锂电池，熔接和加热循环至少220次</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rPr>
              <w:t>9</w:t>
            </w:r>
            <w:r>
              <w:rPr>
                <w:rFonts w:hint="eastAsia" w:ascii="宋体" w:hAnsi="宋体" w:eastAsia="宋体" w:cs="宋体"/>
                <w:b w:val="0"/>
                <w:bCs w:val="0"/>
                <w:lang w:val="en-US" w:eastAsia="zh-CN"/>
              </w:rPr>
              <w:t>.</w:t>
            </w:r>
            <w:r>
              <w:rPr>
                <w:rFonts w:hint="eastAsia" w:ascii="宋体" w:hAnsi="宋体" w:eastAsia="宋体" w:cs="宋体"/>
                <w:b w:val="0"/>
                <w:bCs w:val="0"/>
              </w:rPr>
              <w:t>GUI 图形化界面及触摸屏设计，操作更简便</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val="0"/>
                <w:bCs w:val="0"/>
                <w:lang w:eastAsia="zh-CN"/>
              </w:rPr>
            </w:pPr>
            <w:r>
              <w:rPr>
                <w:rFonts w:hint="eastAsia" w:ascii="宋体" w:hAnsi="宋体" w:eastAsia="宋体" w:cs="宋体"/>
                <w:b w:val="0"/>
                <w:bCs w:val="0"/>
              </w:rPr>
              <w:t>10</w:t>
            </w:r>
            <w:r>
              <w:rPr>
                <w:rFonts w:hint="eastAsia" w:ascii="宋体" w:hAnsi="宋体" w:eastAsia="宋体" w:cs="宋体"/>
                <w:b w:val="0"/>
                <w:bCs w:val="0"/>
                <w:lang w:val="en-US" w:eastAsia="zh-CN"/>
              </w:rPr>
              <w:t xml:space="preserve">. </w:t>
            </w:r>
            <w:r>
              <w:rPr>
                <w:rFonts w:hint="eastAsia" w:ascii="宋体" w:hAnsi="宋体" w:eastAsia="宋体" w:cs="宋体"/>
                <w:b w:val="0"/>
                <w:bCs w:val="0"/>
              </w:rPr>
              <w:t>防尘、防水、防摔，环境适应性强</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rPr>
            </w:pPr>
            <w:r>
              <w:rPr>
                <w:rFonts w:hint="eastAsia" w:ascii="宋体" w:hAnsi="宋体" w:eastAsia="宋体" w:cs="宋体"/>
                <w:b w:val="0"/>
                <w:bCs w:val="0"/>
                <w:lang w:eastAsia="zh-CN"/>
              </w:rPr>
              <w:t>二、</w:t>
            </w:r>
            <w:r>
              <w:rPr>
                <w:rFonts w:hint="eastAsia" w:ascii="宋体" w:hAnsi="宋体" w:eastAsia="宋体" w:cs="宋体"/>
                <w:b w:val="0"/>
                <w:bCs w:val="0"/>
              </w:rPr>
              <w:t>技术规格：</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w:t>
            </w:r>
            <w:r>
              <w:rPr>
                <w:rFonts w:hint="eastAsia" w:ascii="宋体" w:hAnsi="宋体" w:eastAsia="宋体" w:cs="宋体"/>
                <w:b w:val="0"/>
                <w:bCs w:val="0"/>
              </w:rPr>
              <w:t>对准方式</w:t>
            </w:r>
            <w:r>
              <w:rPr>
                <w:rFonts w:hint="eastAsia" w:ascii="宋体" w:hAnsi="宋体" w:eastAsia="宋体" w:cs="宋体"/>
                <w:b w:val="0"/>
                <w:bCs w:val="0"/>
                <w:lang w:eastAsia="zh-CN"/>
              </w:rPr>
              <w:t>：</w:t>
            </w:r>
            <w:r>
              <w:rPr>
                <w:rFonts w:hint="eastAsia" w:ascii="宋体" w:hAnsi="宋体" w:eastAsia="宋体" w:cs="宋体"/>
                <w:b w:val="0"/>
                <w:bCs w:val="0"/>
              </w:rPr>
              <w:t>精确纤芯对准、精确包层对准</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2.</w:t>
            </w:r>
            <w:r>
              <w:rPr>
                <w:rFonts w:hint="eastAsia" w:ascii="宋体" w:hAnsi="宋体" w:eastAsia="宋体" w:cs="宋体"/>
                <w:b w:val="0"/>
                <w:bCs w:val="0"/>
              </w:rPr>
              <w:t>适用光纤</w:t>
            </w:r>
            <w:r>
              <w:rPr>
                <w:rFonts w:hint="eastAsia" w:ascii="宋体" w:hAnsi="宋体" w:eastAsia="宋体" w:cs="宋体"/>
                <w:b w:val="0"/>
                <w:bCs w:val="0"/>
                <w:lang w:eastAsia="zh-CN"/>
              </w:rPr>
              <w:t>：</w:t>
            </w:r>
            <w:r>
              <w:rPr>
                <w:rFonts w:hint="eastAsia" w:ascii="宋体" w:hAnsi="宋体" w:eastAsia="宋体" w:cs="宋体"/>
                <w:b w:val="0"/>
                <w:bCs w:val="0"/>
              </w:rPr>
              <w:t>符合ITU-TG.651~653、ITU-TG.655、ITU-TG.657规定的普通光纤、皮线和跳线</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3.</w:t>
            </w:r>
            <w:r>
              <w:rPr>
                <w:rFonts w:hint="eastAsia" w:ascii="宋体" w:hAnsi="宋体" w:eastAsia="宋体" w:cs="宋体"/>
                <w:b w:val="0"/>
                <w:bCs w:val="0"/>
              </w:rPr>
              <w:t>光纤直径</w:t>
            </w:r>
            <w:r>
              <w:rPr>
                <w:rFonts w:hint="eastAsia" w:ascii="宋体" w:hAnsi="宋体" w:eastAsia="宋体" w:cs="宋体"/>
                <w:b w:val="0"/>
                <w:bCs w:val="0"/>
                <w:lang w:eastAsia="zh-CN"/>
              </w:rPr>
              <w:t>：</w:t>
            </w:r>
            <w:r>
              <w:rPr>
                <w:rFonts w:hint="eastAsia" w:ascii="宋体" w:hAnsi="宋体" w:eastAsia="宋体" w:cs="宋体"/>
                <w:b w:val="0"/>
                <w:bCs w:val="0"/>
              </w:rPr>
              <w:t>包层：80～150μm，涂覆层：0.1～3mm</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4.</w:t>
            </w:r>
            <w:r>
              <w:rPr>
                <w:rFonts w:hint="eastAsia" w:ascii="宋体" w:hAnsi="宋体" w:eastAsia="宋体" w:cs="宋体"/>
                <w:b w:val="0"/>
                <w:bCs w:val="0"/>
              </w:rPr>
              <w:t>切割长度</w:t>
            </w:r>
            <w:r>
              <w:rPr>
                <w:rFonts w:hint="eastAsia" w:ascii="宋体" w:hAnsi="宋体" w:eastAsia="宋体" w:cs="宋体"/>
                <w:b w:val="0"/>
                <w:bCs w:val="0"/>
                <w:lang w:eastAsia="zh-CN"/>
              </w:rPr>
              <w:t>：</w:t>
            </w:r>
            <w:r>
              <w:rPr>
                <w:rFonts w:hint="eastAsia" w:ascii="宋体" w:hAnsi="宋体" w:eastAsia="宋体" w:cs="宋体"/>
                <w:b w:val="0"/>
                <w:bCs w:val="0"/>
              </w:rPr>
              <w:t>5～16mm（被覆光纤直径≤250μm）；10mm（被覆光纤直径：0.25~3mm）</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5.</w:t>
            </w:r>
            <w:r>
              <w:rPr>
                <w:rFonts w:hint="eastAsia" w:ascii="宋体" w:hAnsi="宋体" w:eastAsia="宋体" w:cs="宋体"/>
                <w:b w:val="0"/>
                <w:bCs w:val="0"/>
              </w:rPr>
              <w:t>熔接损耗（典型值）</w:t>
            </w:r>
            <w:r>
              <w:rPr>
                <w:rFonts w:hint="eastAsia" w:ascii="宋体" w:hAnsi="宋体" w:eastAsia="宋体" w:cs="宋体"/>
                <w:b w:val="0"/>
                <w:bCs w:val="0"/>
                <w:lang w:eastAsia="zh-CN"/>
              </w:rPr>
              <w:t>：</w:t>
            </w:r>
            <w:r>
              <w:rPr>
                <w:rFonts w:hint="eastAsia" w:ascii="宋体" w:hAnsi="宋体" w:eastAsia="宋体" w:cs="宋体"/>
                <w:b w:val="0"/>
                <w:bCs w:val="0"/>
              </w:rPr>
              <w:t>0.02dB（SMF）；0.01dB（MMF）；0.04dB（DSF）；0.04dB（NZDSF）</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6.</w:t>
            </w:r>
            <w:r>
              <w:rPr>
                <w:rFonts w:hint="eastAsia" w:ascii="宋体" w:hAnsi="宋体" w:eastAsia="宋体" w:cs="宋体"/>
                <w:b w:val="0"/>
                <w:bCs w:val="0"/>
              </w:rPr>
              <w:t>回波损耗</w:t>
            </w:r>
            <w:r>
              <w:rPr>
                <w:rFonts w:hint="eastAsia" w:ascii="宋体" w:hAnsi="宋体" w:eastAsia="宋体" w:cs="宋体"/>
                <w:b w:val="0"/>
                <w:bCs w:val="0"/>
                <w:lang w:eastAsia="zh-CN"/>
              </w:rPr>
              <w:t>：</w:t>
            </w:r>
            <w:r>
              <w:rPr>
                <w:rFonts w:hint="eastAsia" w:ascii="宋体" w:hAnsi="宋体" w:eastAsia="宋体" w:cs="宋体"/>
                <w:b w:val="0"/>
                <w:bCs w:val="0"/>
              </w:rPr>
              <w:t>优于60dB</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7.</w:t>
            </w:r>
            <w:r>
              <w:rPr>
                <w:rFonts w:hint="eastAsia" w:ascii="宋体" w:hAnsi="宋体" w:eastAsia="宋体" w:cs="宋体"/>
                <w:b w:val="0"/>
                <w:bCs w:val="0"/>
              </w:rPr>
              <w:t>熔接时间（典型值）</w:t>
            </w:r>
            <w:r>
              <w:rPr>
                <w:rFonts w:hint="eastAsia" w:ascii="宋体" w:hAnsi="宋体" w:eastAsia="宋体" w:cs="宋体"/>
                <w:b w:val="0"/>
                <w:bCs w:val="0"/>
                <w:lang w:eastAsia="zh-CN"/>
              </w:rPr>
              <w:t>：</w:t>
            </w:r>
            <w:r>
              <w:rPr>
                <w:rFonts w:hint="eastAsia" w:ascii="宋体" w:hAnsi="宋体" w:eastAsia="宋体" w:cs="宋体"/>
                <w:b w:val="0"/>
                <w:bCs w:val="0"/>
              </w:rPr>
              <w:t>7s</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8.</w:t>
            </w:r>
            <w:r>
              <w:rPr>
                <w:rFonts w:hint="eastAsia" w:ascii="宋体" w:hAnsi="宋体" w:eastAsia="宋体" w:cs="宋体"/>
                <w:b w:val="0"/>
                <w:bCs w:val="0"/>
              </w:rPr>
              <w:t>加热时间（典型值）</w:t>
            </w:r>
            <w:r>
              <w:rPr>
                <w:rFonts w:hint="eastAsia" w:ascii="宋体" w:hAnsi="宋体" w:eastAsia="宋体" w:cs="宋体"/>
                <w:b w:val="0"/>
                <w:bCs w:val="0"/>
                <w:lang w:eastAsia="zh-CN"/>
              </w:rPr>
              <w:t>：</w:t>
            </w:r>
            <w:r>
              <w:rPr>
                <w:rFonts w:hint="eastAsia" w:ascii="宋体" w:hAnsi="宋体" w:eastAsia="宋体" w:cs="宋体"/>
                <w:b w:val="0"/>
                <w:bCs w:val="0"/>
              </w:rPr>
              <w:t>18s</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9.</w:t>
            </w:r>
            <w:r>
              <w:rPr>
                <w:rFonts w:hint="eastAsia" w:ascii="宋体" w:hAnsi="宋体" w:eastAsia="宋体" w:cs="宋体"/>
                <w:b w:val="0"/>
                <w:bCs w:val="0"/>
              </w:rPr>
              <w:t>拉力测试</w:t>
            </w:r>
            <w:r>
              <w:rPr>
                <w:rFonts w:hint="eastAsia" w:ascii="宋体" w:hAnsi="宋体" w:eastAsia="宋体" w:cs="宋体"/>
                <w:b w:val="0"/>
                <w:bCs w:val="0"/>
                <w:lang w:eastAsia="zh-CN"/>
              </w:rPr>
              <w:t>：</w:t>
            </w:r>
            <w:r>
              <w:rPr>
                <w:rFonts w:hint="eastAsia" w:ascii="宋体" w:hAnsi="宋体" w:eastAsia="宋体" w:cs="宋体"/>
                <w:b w:val="0"/>
                <w:bCs w:val="0"/>
              </w:rPr>
              <w:t>1.96～2.25N</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10.</w:t>
            </w:r>
            <w:r>
              <w:rPr>
                <w:rFonts w:hint="eastAsia" w:ascii="宋体" w:hAnsi="宋体" w:eastAsia="宋体" w:cs="宋体"/>
                <w:b w:val="0"/>
                <w:bCs w:val="0"/>
              </w:rPr>
              <w:t>热缩套管</w:t>
            </w:r>
            <w:r>
              <w:rPr>
                <w:rFonts w:hint="eastAsia" w:ascii="宋体" w:hAnsi="宋体" w:eastAsia="宋体" w:cs="宋体"/>
                <w:b w:val="0"/>
                <w:bCs w:val="0"/>
                <w:lang w:eastAsia="zh-CN"/>
              </w:rPr>
              <w:t>：</w:t>
            </w:r>
            <w:r>
              <w:rPr>
                <w:rFonts w:hint="eastAsia" w:ascii="宋体" w:hAnsi="宋体" w:eastAsia="宋体" w:cs="宋体"/>
                <w:b w:val="0"/>
                <w:bCs w:val="0"/>
              </w:rPr>
              <w:t>60mm、40mm和一系列热缩套管</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11.</w:t>
            </w:r>
            <w:r>
              <w:rPr>
                <w:rFonts w:hint="eastAsia" w:ascii="宋体" w:hAnsi="宋体" w:eastAsia="宋体" w:cs="宋体"/>
                <w:b w:val="0"/>
                <w:bCs w:val="0"/>
              </w:rPr>
              <w:t>图像显示</w:t>
            </w:r>
            <w:r>
              <w:rPr>
                <w:rFonts w:hint="eastAsia" w:ascii="宋体" w:hAnsi="宋体" w:eastAsia="宋体" w:cs="宋体"/>
                <w:b w:val="0"/>
                <w:bCs w:val="0"/>
                <w:lang w:eastAsia="zh-CN"/>
              </w:rPr>
              <w:t>：</w:t>
            </w:r>
            <w:r>
              <w:rPr>
                <w:rFonts w:hint="eastAsia" w:ascii="宋体" w:hAnsi="宋体" w:eastAsia="宋体" w:cs="宋体"/>
                <w:b w:val="0"/>
                <w:bCs w:val="0"/>
              </w:rPr>
              <w:t>高性能4.3英寸液晶屏</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12.</w:t>
            </w:r>
            <w:r>
              <w:rPr>
                <w:rFonts w:hint="eastAsia" w:ascii="宋体" w:hAnsi="宋体" w:eastAsia="宋体" w:cs="宋体"/>
                <w:b w:val="0"/>
                <w:bCs w:val="0"/>
              </w:rPr>
              <w:t>放大倍数</w:t>
            </w:r>
            <w:r>
              <w:rPr>
                <w:rFonts w:hint="eastAsia" w:ascii="宋体" w:hAnsi="宋体" w:eastAsia="宋体" w:cs="宋体"/>
                <w:b w:val="0"/>
                <w:bCs w:val="0"/>
                <w:lang w:eastAsia="zh-CN"/>
              </w:rPr>
              <w:t>：</w:t>
            </w:r>
            <w:r>
              <w:rPr>
                <w:rFonts w:hint="eastAsia" w:ascii="宋体" w:hAnsi="宋体" w:eastAsia="宋体" w:cs="宋体"/>
                <w:b w:val="0"/>
                <w:bCs w:val="0"/>
              </w:rPr>
              <w:t>320倍/88倍</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13.</w:t>
            </w:r>
            <w:r>
              <w:rPr>
                <w:rFonts w:hint="eastAsia" w:ascii="宋体" w:hAnsi="宋体" w:eastAsia="宋体" w:cs="宋体"/>
                <w:b w:val="0"/>
                <w:bCs w:val="0"/>
              </w:rPr>
              <w:t>熔接记录</w:t>
            </w:r>
            <w:r>
              <w:rPr>
                <w:rFonts w:hint="eastAsia" w:ascii="宋体" w:hAnsi="宋体" w:eastAsia="宋体" w:cs="宋体"/>
                <w:b w:val="0"/>
                <w:bCs w:val="0"/>
                <w:lang w:eastAsia="zh-CN"/>
              </w:rPr>
              <w:t>：</w:t>
            </w:r>
            <w:r>
              <w:rPr>
                <w:rFonts w:hint="eastAsia" w:ascii="宋体" w:hAnsi="宋体" w:eastAsia="宋体" w:cs="宋体"/>
                <w:b w:val="0"/>
                <w:bCs w:val="0"/>
              </w:rPr>
              <w:t>10000组</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14.</w:t>
            </w:r>
            <w:r>
              <w:rPr>
                <w:rFonts w:hint="eastAsia" w:ascii="宋体" w:hAnsi="宋体" w:eastAsia="宋体" w:cs="宋体"/>
                <w:b w:val="0"/>
                <w:bCs w:val="0"/>
              </w:rPr>
              <w:t>电池容量</w:t>
            </w:r>
            <w:r>
              <w:rPr>
                <w:rFonts w:hint="eastAsia" w:ascii="宋体" w:hAnsi="宋体" w:eastAsia="宋体" w:cs="宋体"/>
                <w:b w:val="0"/>
                <w:bCs w:val="0"/>
                <w:lang w:eastAsia="zh-CN"/>
              </w:rPr>
              <w:t>：</w:t>
            </w:r>
            <w:r>
              <w:rPr>
                <w:rFonts w:hint="eastAsia" w:ascii="宋体" w:hAnsi="宋体" w:eastAsia="宋体" w:cs="宋体"/>
                <w:b w:val="0"/>
                <w:bCs w:val="0"/>
              </w:rPr>
              <w:t>11.1V，6400mAh，熔接和加热循环典型值220次</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15.</w:t>
            </w:r>
            <w:r>
              <w:rPr>
                <w:rFonts w:hint="eastAsia" w:ascii="宋体" w:hAnsi="宋体" w:eastAsia="宋体" w:cs="宋体"/>
                <w:b w:val="0"/>
                <w:bCs w:val="0"/>
              </w:rPr>
              <w:t>电池寿命</w:t>
            </w:r>
            <w:r>
              <w:rPr>
                <w:rFonts w:hint="eastAsia" w:ascii="宋体" w:hAnsi="宋体" w:eastAsia="宋体" w:cs="宋体"/>
                <w:b w:val="0"/>
                <w:bCs w:val="0"/>
                <w:lang w:eastAsia="zh-CN"/>
              </w:rPr>
              <w:t>：</w:t>
            </w:r>
            <w:r>
              <w:rPr>
                <w:rFonts w:hint="eastAsia" w:ascii="宋体" w:hAnsi="宋体" w:eastAsia="宋体" w:cs="宋体"/>
                <w:b w:val="0"/>
                <w:bCs w:val="0"/>
              </w:rPr>
              <w:t>循环充电次数达300～500次</w:t>
            </w:r>
            <w:r>
              <w:rPr>
                <w:rFonts w:hint="eastAsia" w:ascii="宋体" w:hAnsi="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16.</w:t>
            </w:r>
            <w:r>
              <w:rPr>
                <w:rFonts w:hint="eastAsia" w:ascii="宋体" w:hAnsi="宋体" w:eastAsia="宋体" w:cs="宋体"/>
                <w:b w:val="0"/>
                <w:bCs w:val="0"/>
              </w:rPr>
              <w:t>电极寿命</w:t>
            </w:r>
            <w:r>
              <w:rPr>
                <w:rFonts w:hint="eastAsia" w:ascii="宋体" w:hAnsi="宋体" w:eastAsia="宋体" w:cs="宋体"/>
                <w:b w:val="0"/>
                <w:bCs w:val="0"/>
                <w:lang w:eastAsia="zh-CN"/>
              </w:rPr>
              <w:t>：</w:t>
            </w:r>
            <w:r>
              <w:rPr>
                <w:rFonts w:hint="eastAsia" w:ascii="宋体" w:hAnsi="宋体" w:eastAsia="宋体" w:cs="宋体"/>
                <w:b w:val="0"/>
                <w:bCs w:val="0"/>
              </w:rPr>
              <w:t>典型值4000次</w:t>
            </w:r>
            <w:r>
              <w:rPr>
                <w:rFonts w:hint="eastAsia" w:ascii="宋体" w:hAnsi="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17.</w:t>
            </w:r>
            <w:r>
              <w:rPr>
                <w:rFonts w:hint="eastAsia" w:ascii="宋体" w:hAnsi="宋体" w:eastAsia="宋体" w:cs="宋体"/>
                <w:b w:val="0"/>
                <w:bCs w:val="0"/>
              </w:rPr>
              <w:t>施工照明</w:t>
            </w:r>
            <w:r>
              <w:rPr>
                <w:rFonts w:hint="eastAsia" w:ascii="宋体" w:hAnsi="宋体" w:eastAsia="宋体" w:cs="宋体"/>
                <w:b w:val="0"/>
                <w:bCs w:val="0"/>
                <w:lang w:eastAsia="zh-CN"/>
              </w:rPr>
              <w:t>：</w:t>
            </w:r>
            <w:r>
              <w:rPr>
                <w:rFonts w:hint="eastAsia" w:ascii="宋体" w:hAnsi="宋体" w:eastAsia="宋体" w:cs="宋体"/>
                <w:b w:val="0"/>
                <w:bCs w:val="0"/>
              </w:rPr>
              <w:t>内置高亮度、宽范围照明灯</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18.</w:t>
            </w:r>
            <w:r>
              <w:rPr>
                <w:rFonts w:hint="eastAsia" w:ascii="宋体" w:hAnsi="宋体" w:eastAsia="宋体" w:cs="宋体"/>
                <w:b w:val="0"/>
                <w:bCs w:val="0"/>
              </w:rPr>
              <w:t>工作环境</w:t>
            </w:r>
            <w:r>
              <w:rPr>
                <w:rFonts w:hint="eastAsia" w:ascii="宋体" w:hAnsi="宋体" w:eastAsia="宋体" w:cs="宋体"/>
                <w:b w:val="0"/>
                <w:bCs w:val="0"/>
                <w:lang w:eastAsia="zh-CN"/>
              </w:rPr>
              <w:t>：</w:t>
            </w:r>
            <w:r>
              <w:rPr>
                <w:rFonts w:hint="eastAsia" w:ascii="宋体" w:hAnsi="宋体" w:eastAsia="宋体" w:cs="宋体"/>
                <w:b w:val="0"/>
                <w:bCs w:val="0"/>
              </w:rPr>
              <w:t>温度：-10～50℃；湿度：0～95%RH，海拔：0～6000m</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19.</w:t>
            </w:r>
            <w:r>
              <w:rPr>
                <w:rFonts w:hint="eastAsia" w:ascii="宋体" w:hAnsi="宋体" w:eastAsia="宋体" w:cs="宋体"/>
                <w:b w:val="0"/>
                <w:bCs w:val="0"/>
              </w:rPr>
              <w:t>操作界面</w:t>
            </w:r>
            <w:r>
              <w:rPr>
                <w:rFonts w:hint="eastAsia" w:ascii="宋体" w:hAnsi="宋体" w:eastAsia="宋体" w:cs="宋体"/>
                <w:b w:val="0"/>
                <w:bCs w:val="0"/>
                <w:lang w:eastAsia="zh-CN"/>
              </w:rPr>
              <w:t>：</w:t>
            </w:r>
            <w:r>
              <w:rPr>
                <w:rFonts w:hint="eastAsia" w:ascii="宋体" w:hAnsi="宋体" w:eastAsia="宋体" w:cs="宋体"/>
                <w:b w:val="0"/>
                <w:bCs w:val="0"/>
              </w:rPr>
              <w:t>GUI图形化用户操作界面</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val="0"/>
                <w:bCs w:val="0"/>
              </w:rPr>
            </w:pPr>
            <w:r>
              <w:rPr>
                <w:rFonts w:hint="eastAsia" w:ascii="宋体" w:hAnsi="宋体" w:eastAsia="宋体" w:cs="宋体"/>
                <w:b w:val="0"/>
                <w:bCs w:val="0"/>
                <w:lang w:val="en-US" w:eastAsia="zh-CN"/>
              </w:rPr>
              <w:t>20.</w:t>
            </w:r>
            <w:r>
              <w:rPr>
                <w:rFonts w:hint="eastAsia" w:ascii="宋体" w:hAnsi="宋体" w:eastAsia="宋体" w:cs="宋体"/>
                <w:b w:val="0"/>
                <w:bCs w:val="0"/>
              </w:rPr>
              <w:t>外部电源</w:t>
            </w:r>
            <w:r>
              <w:rPr>
                <w:rFonts w:hint="eastAsia" w:ascii="宋体" w:hAnsi="宋体" w:eastAsia="宋体" w:cs="宋体"/>
                <w:b w:val="0"/>
                <w:bCs w:val="0"/>
                <w:lang w:eastAsia="zh-CN"/>
              </w:rPr>
              <w:t>：</w:t>
            </w:r>
            <w:r>
              <w:rPr>
                <w:rFonts w:hint="eastAsia" w:ascii="宋体" w:hAnsi="宋体" w:eastAsia="宋体" w:cs="宋体"/>
                <w:b w:val="0"/>
                <w:bCs w:val="0"/>
              </w:rPr>
              <w:t>交流电源AC100～240V，60Hz，0～1.5A；直流电源DC10～</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leftChars="100" w:right="0" w:hanging="210" w:hangingChars="100"/>
              <w:jc w:val="left"/>
              <w:textAlignment w:val="auto"/>
              <w:rPr>
                <w:rFonts w:hint="eastAsia" w:ascii="宋体" w:hAnsi="宋体" w:eastAsia="宋体" w:cs="宋体"/>
                <w:b w:val="0"/>
                <w:bCs w:val="0"/>
                <w:lang w:eastAsia="zh-CN"/>
              </w:rPr>
            </w:pPr>
            <w:r>
              <w:rPr>
                <w:rFonts w:hint="eastAsia" w:ascii="宋体" w:hAnsi="宋体" w:eastAsia="宋体" w:cs="宋体"/>
                <w:b w:val="0"/>
                <w:bCs w:val="0"/>
              </w:rPr>
              <w:t>15V</w:t>
            </w:r>
            <w:r>
              <w:rPr>
                <w:rFonts w:hint="eastAsia" w:ascii="宋体" w:hAnsi="宋体" w:eastAsia="宋体" w:cs="宋体"/>
                <w:b w:val="0"/>
                <w:bCs w:val="0"/>
                <w:lang w:eastAsia="zh-CN"/>
              </w:rPr>
              <w:t>；</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21.</w:t>
            </w:r>
            <w:r>
              <w:rPr>
                <w:rFonts w:hint="eastAsia" w:ascii="宋体" w:hAnsi="宋体" w:eastAsia="宋体" w:cs="宋体"/>
                <w:b w:val="0"/>
                <w:bCs w:val="0"/>
              </w:rPr>
              <w:t>外部接口</w:t>
            </w:r>
            <w:r>
              <w:rPr>
                <w:rFonts w:hint="eastAsia" w:ascii="宋体" w:hAnsi="宋体" w:eastAsia="宋体" w:cs="宋体"/>
                <w:b w:val="0"/>
                <w:bCs w:val="0"/>
                <w:lang w:eastAsia="zh-CN"/>
              </w:rPr>
              <w:t>：</w:t>
            </w:r>
            <w:r>
              <w:rPr>
                <w:rFonts w:hint="eastAsia" w:ascii="宋体" w:hAnsi="宋体" w:eastAsia="宋体" w:cs="宋体"/>
                <w:b w:val="0"/>
                <w:bCs w:val="0"/>
              </w:rPr>
              <w:t>USB / SD</w:t>
            </w:r>
            <w:r>
              <w:rPr>
                <w:rFonts w:hint="eastAsia" w:ascii="宋体" w:hAnsi="宋体" w:eastAsia="宋体" w:cs="宋体"/>
                <w:b w:val="0"/>
                <w:bCs w:val="0"/>
                <w:lang w:eastAsia="zh-CN"/>
              </w:rPr>
              <w:t>。</w:t>
            </w:r>
          </w:p>
          <w:p>
            <w:pPr>
              <w:keepNext/>
              <w:keepLines w:val="0"/>
              <w:pageBreakBefore w:val="0"/>
              <w:suppressLineNumbers w:val="0"/>
              <w:kinsoku/>
              <w:wordWrap/>
              <w:overflowPunct/>
              <w:topLinePunct w:val="0"/>
              <w:autoSpaceDE/>
              <w:autoSpaceDN/>
              <w:bidi w:val="0"/>
              <w:spacing w:before="0" w:beforeAutospacing="0" w:after="0" w:afterAutospacing="0"/>
              <w:ind w:left="0" w:right="0"/>
              <w:rPr>
                <w:rFonts w:hint="eastAsia" w:ascii="宋体" w:hAnsi="宋体" w:eastAsia="宋体" w:cs="宋体"/>
                <w:b w:val="0"/>
                <w:bCs w:val="0"/>
                <w:lang w:eastAsia="zh-CN"/>
              </w:rPr>
            </w:pPr>
            <w:r>
              <w:rPr>
                <w:rFonts w:hint="eastAsia" w:ascii="宋体" w:hAnsi="宋体" w:eastAsia="宋体" w:cs="宋体"/>
                <w:b w:val="0"/>
                <w:bCs w:val="0"/>
                <w:sz w:val="21"/>
                <w:szCs w:val="21"/>
                <w:vertAlign w:val="baseline"/>
                <w:lang w:val="en-US" w:eastAsia="zh-CN"/>
              </w:rPr>
              <w:t>使用部门：8-603网络光纤综合实训室</w:t>
            </w:r>
          </w:p>
        </w:tc>
      </w:tr>
    </w:tbl>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sz w:val="21"/>
          <w:szCs w:val="21"/>
          <w:lang w:eastAsia="zh-CN"/>
        </w:rPr>
      </w:pP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sz w:val="28"/>
          <w:szCs w:val="28"/>
          <w:lang w:val="en-US" w:eastAsia="zh-CN"/>
        </w:rPr>
      </w:pPr>
      <w:r>
        <w:rPr>
          <w:rFonts w:hint="eastAsia" w:ascii="宋体" w:hAnsi="宋体" w:cs="宋体"/>
          <w:b/>
          <w:bCs/>
          <w:sz w:val="28"/>
          <w:szCs w:val="28"/>
          <w:lang w:eastAsia="zh-CN"/>
        </w:rPr>
        <w:t>附件</w:t>
      </w:r>
      <w:r>
        <w:rPr>
          <w:rFonts w:hint="eastAsia" w:ascii="宋体" w:hAnsi="宋体" w:cs="宋体"/>
          <w:b/>
          <w:bCs/>
          <w:sz w:val="28"/>
          <w:szCs w:val="28"/>
          <w:lang w:val="en-US" w:eastAsia="zh-CN"/>
        </w:rPr>
        <w:t>1：</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移动互联实训教学资源包包括两大部分，主要包括教学资源和移动互联竞赛资源，具体内容如下：</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1.教学资源</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1.1内容形式</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★PPT、文档、实例代码等资源。</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1.2资源内容</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★Java基础：Java基础教学大纲、Java基础课程标准、Java基础实训指导书、Java基础PPT。</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★Java高级：Java高级教学大纲、Java高级课程标准、Java高级实训指导书、Java高级PPT。</w:t>
      </w:r>
    </w:p>
    <w:p>
      <w:pPr>
        <w:keepNext/>
        <w:keepLines w:val="0"/>
        <w:pageBreakBefore w:val="0"/>
        <w:widowControl w:val="0"/>
        <w:kinsoku/>
        <w:wordWrap/>
        <w:overflowPunct/>
        <w:topLinePunct w:val="0"/>
        <w:autoSpaceDE/>
        <w:autoSpaceDN/>
        <w:bidi w:val="0"/>
        <w:adjustRightInd/>
        <w:snapToGrid/>
        <w:spacing w:line="320" w:lineRule="exact"/>
        <w:ind w:left="210" w:hanging="210" w:hangingChars="1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★Android基础：Android基础教学大纲、Android基础课程标准、Android基础实训指导书、Android基础PPT。</w:t>
      </w:r>
    </w:p>
    <w:p>
      <w:pPr>
        <w:keepNext/>
        <w:keepLines w:val="0"/>
        <w:pageBreakBefore w:val="0"/>
        <w:widowControl w:val="0"/>
        <w:kinsoku/>
        <w:wordWrap/>
        <w:overflowPunct/>
        <w:topLinePunct w:val="0"/>
        <w:autoSpaceDE/>
        <w:autoSpaceDN/>
        <w:bidi w:val="0"/>
        <w:adjustRightInd/>
        <w:snapToGrid/>
        <w:spacing w:line="320" w:lineRule="exact"/>
        <w:ind w:left="210" w:hanging="210" w:hangingChars="1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★Android高级：Android高级教学大纲、Android高级课程标准、Android高级实训指导书、Android高级PPT。</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 Android工程案例源码</w:t>
      </w:r>
    </w:p>
    <w:p>
      <w:pPr>
        <w:keepNext/>
        <w:keepLines w:val="0"/>
        <w:pageBreakBefore w:val="0"/>
        <w:widowControl w:val="0"/>
        <w:kinsoku/>
        <w:wordWrap/>
        <w:overflowPunct/>
        <w:topLinePunct w:val="0"/>
        <w:autoSpaceDE/>
        <w:autoSpaceDN/>
        <w:bidi w:val="0"/>
        <w:adjustRightInd/>
        <w:snapToGrid/>
        <w:spacing w:line="320" w:lineRule="exact"/>
        <w:ind w:left="210" w:hanging="210" w:hangingChars="1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★Android基础组件：TextView文本框、EditText可编辑文本框、ImageView图片、Button按钮、CheckBox复选框。</w:t>
      </w:r>
    </w:p>
    <w:p>
      <w:pPr>
        <w:keepNext/>
        <w:keepLines w:val="0"/>
        <w:pageBreakBefore w:val="0"/>
        <w:widowControl w:val="0"/>
        <w:kinsoku/>
        <w:wordWrap/>
        <w:overflowPunct/>
        <w:topLinePunct w:val="0"/>
        <w:autoSpaceDE/>
        <w:autoSpaceDN/>
        <w:bidi w:val="0"/>
        <w:adjustRightInd/>
        <w:snapToGrid/>
        <w:spacing w:line="320" w:lineRule="exact"/>
        <w:ind w:left="210" w:hanging="210" w:hangingChars="1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★Android高级组件：ListView列表、RecyclerView滚动列表、Spinner下拉列表、ExpandableListView可扩展的下拉列表、ViewPager引导页。</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★Android三大适配器：BaseAdapter、SimpleAdapter、ArrayAdapter。</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★Android数据三大存储方式：SQLite存储、SharedPreferenced存储、FileStorage文件存储。</w:t>
      </w:r>
    </w:p>
    <w:p>
      <w:pPr>
        <w:keepNext/>
        <w:keepLines w:val="0"/>
        <w:pageBreakBefore w:val="0"/>
        <w:widowControl w:val="0"/>
        <w:kinsoku/>
        <w:wordWrap/>
        <w:overflowPunct/>
        <w:topLinePunct w:val="0"/>
        <w:autoSpaceDE/>
        <w:autoSpaceDN/>
        <w:bidi w:val="0"/>
        <w:adjustRightInd/>
        <w:snapToGrid/>
        <w:spacing w:line="320" w:lineRule="exact"/>
        <w:ind w:left="210" w:hanging="210" w:hangingChars="1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★Android三大对话框：ProgressDialog进度条对话框、AlertDialog悬浮对话框、CustomDialog自定义对话框。</w:t>
      </w:r>
    </w:p>
    <w:p>
      <w:pPr>
        <w:keepNext/>
        <w:keepLines w:val="0"/>
        <w:pageBreakBefore w:val="0"/>
        <w:widowControl w:val="0"/>
        <w:kinsoku/>
        <w:wordWrap/>
        <w:overflowPunct/>
        <w:topLinePunct w:val="0"/>
        <w:autoSpaceDE/>
        <w:autoSpaceDN/>
        <w:bidi w:val="0"/>
        <w:adjustRightInd/>
        <w:snapToGrid/>
        <w:spacing w:line="320" w:lineRule="exact"/>
        <w:ind w:left="210" w:hanging="210" w:hangingChars="1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★Android四大组件：Activity活动、Service服务、BroadcastReceiver广播、ContentProvider内容提供者。</w:t>
      </w:r>
    </w:p>
    <w:p>
      <w:pPr>
        <w:keepNext/>
        <w:keepLines w:val="0"/>
        <w:pageBreakBefore w:val="0"/>
        <w:widowControl w:val="0"/>
        <w:kinsoku/>
        <w:wordWrap/>
        <w:overflowPunct/>
        <w:topLinePunct w:val="0"/>
        <w:autoSpaceDE/>
        <w:autoSpaceDN/>
        <w:bidi w:val="0"/>
        <w:adjustRightInd/>
        <w:snapToGrid/>
        <w:spacing w:line="320" w:lineRule="exact"/>
        <w:ind w:left="210" w:hanging="210" w:hangingChars="1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★Android五大布局：LinearLayout线性布局、RelativeLayout相对布局、FrameLayout框架布局、TableLayout表格布局、GridLayout网格布局。</w:t>
      </w:r>
    </w:p>
    <w:p>
      <w:pPr>
        <w:keepNext/>
        <w:keepLines w:val="0"/>
        <w:pageBreakBefore w:val="0"/>
        <w:widowControl w:val="0"/>
        <w:kinsoku/>
        <w:wordWrap/>
        <w:overflowPunct/>
        <w:topLinePunct w:val="0"/>
        <w:autoSpaceDE/>
        <w:autoSpaceDN/>
        <w:bidi w:val="0"/>
        <w:adjustRightInd/>
        <w:snapToGrid/>
        <w:spacing w:line="320" w:lineRule="exact"/>
        <w:ind w:left="210" w:hanging="210" w:hangingChars="10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★Android多线程的五大实现方式：Handler、AsyncTask、runOnUiThread、View.post(Runnable)、View.postDelay(Runnable,long)。</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★Android网络访问组件：HttpURLConnection 、 Volley、 OkHttp、 Retrofit、 WebView。</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★Android的其它重要组件：Timer定时器、Collection排序、MediaPlayer音频播放器、VideoView视频播放器、SwipeRefreshLayout下拉刷新、Notification通知、Animation动画。</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2.竞赛资源</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2.1内容形式</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★实例代码、插件、文档等资源。</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2.2资源内容</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★2.2.1 大赛试题</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·试题库</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·参考样题</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·第三方插件</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·赛项规程介绍</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·赛题评分点参考</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★2.2.2 实训指导书</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·《智能交通APP指导书》：是根据移动互联技能大赛的国赛和省赛试题编写的实训模块实现指导书，每个模块都附有完整的源码，既可作为教学资源，也可作为参赛学生的参考资料。各个模块可以导入Android</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Studio中编译运行(注：因Android Studio使用版本不同，将实训模块直接导入Android Studio中可能无法编译运行或者编译缓慢，建议将实训模块对应的.java类和xml布局文件拷贝到自己的Android Studio工</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程目录中)，查看实时效果。</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★2.2.3 实训功能模块</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·01_用户登录模块：完善界面布局，实现记住密码和自动登录功能。</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·02_公交查询模块：实时显示公交到站距离并进行升序展示，每隔3秒更新一次数据。</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·03_路况查询模块：实时显示道路空气质量信息和每条道路的拥堵情况，每隔3秒更新一次数据。</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·04_账户管理模块：实现账户充值功能，保存每次充值的记录，并设置阈值监控账户余额。</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·05_充值记录模块：实现排序约束列表显示账户充值的信息。</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·06_生活助手模块：实时显示今天以及未来5天的天气数据。</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·07_实时显示模块：实现空气温度、空气湿度、PM2.5、CO2、光照各传感器折线界面的切换。</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·08_生活指数模块：实现五个生活指数实时显示，并实现阈值报警状态警示功能，每隔3秒更新一次数据。</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·09_账户阈值告警模块：设定余额告警阈值，进行数据保存，显示设置成功提示。</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·10_个人中心模块：实示显示个人信息，包括名下车辆和对应车辆的账户余额。</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·11_红绿灯管理模块：实现排序约束列表的显示红绿灯的状态信息。</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·12_数据分析模块：利用大数据的挖掘和分析，用图表的形式展示车辆违章的信息。</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·13_车辆违章模块： 实时详细的展现车辆违章的状态信息。</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·14_车辆限行模块：根据日期的单双号来限定车辆的通过，并动画展示红绿灯的状态。</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★2018国赛试题参考代码</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·15_意见反馈模块：实现提交意见功能，并记录保存提交的信息。</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·16_定制班车模块：利用ExpandableListView技术实现班车列表，显示线路、起终点，行车时间、总票价。</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·17_天气信息模块：实现显示当前以及未来几天的气温，并实时刷新生活指数的数据。</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·18_阈值设置模块：设置并存储空气温度、空气湿度、PM2.5、CO2、光照各传感器的阈值。</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·19_高速ETC模块：网格显示ETC充值、ETC余额和充值记录等信息。</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·20_地铁查询模块：利用列表技术实现地铁线路信息查询，列表项显示线路名称、起终点、运行时间等信息。</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·21_环境指标模块： 显示空气温度、空气湿度、PM2.5、CO2、光照、道路状态状态信息，并实时保存数据，定时刷新数据。</w:t>
      </w:r>
    </w:p>
    <w:p>
      <w:pPr>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·22_停车场查询模块：实时显示停车场基本信息，包括名称、是否对外开放、停车场地址、车位剩余及收费方式。</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bCs/>
          <w:sz w:val="21"/>
          <w:szCs w:val="21"/>
          <w:lang w:val="en-US" w:eastAsia="zh-CN"/>
        </w:rPr>
      </w:pP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附件2：</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要求开发平台系统采用模块化设计，主机板+处理器子板＋节点扩展子板的设计方法，通过选择不同的处理器子板和节点扩展子板构成不同功能的开发平台。能最大限度的满足用户的性能需求。</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一、主机板技术参数及要求：</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 支持广泛的可交换目标 FPGA 和处理器子板，支持所有主要芯片厂商的器件；</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 要有信号源，提供频率和幅度可调的正弦波、三角波和方波；</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 要有可交换外围板连接器，可以对网关板，节点板，子板进行连接；</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 高速 USB 2.0到PC的接口，进行快速的器件编程和 Practice 开发；</w:t>
      </w:r>
    </w:p>
    <w:p>
      <w:pPr>
        <w:pStyle w:val="5"/>
        <w:keepNext/>
        <w:keepLines/>
        <w:pageBreakBefore w:val="0"/>
        <w:widowControl w:val="0"/>
        <w:numPr>
          <w:ilvl w:val="0"/>
          <w:numId w:val="5"/>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具有Practice功能，可快速交互地实现和调试 FPGA 设计；</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 智能控制器，通过LCD 触摸屏操作</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 全面的视频输出，包括 S-video 和混合视频的输入/ 输出以及 VGA 输出；</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8. 要提供I2C RTC实时时钟芯片，具有时钟掉电保护、电池在线式充电功能；</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9. 600×800的16位TFT彩色液晶屏，而且要带有触摸屏的功能；</w:t>
      </w:r>
    </w:p>
    <w:p>
      <w:pPr>
        <w:pStyle w:val="5"/>
        <w:keepNext/>
        <w:keepLines/>
        <w:pageBreakBefore w:val="0"/>
        <w:widowControl w:val="0"/>
        <w:numPr>
          <w:ilvl w:val="0"/>
          <w:numId w:val="6"/>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高级的 I2S立体声系统，具有板上放大器和立体声扬声器、蜂鸣器。</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11. 标准的存储器接口：SD 内存卡；</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 各种标准通讯接口，包括： USB， Ethernet， RS-232串口 CAN和 PS/2 mini-DIN；</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 丰富的时钟源，可以人为设置；</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14. 要有开放的测试信号端子，方便程序调试；</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15. 各种常规功能开关和 LED；</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16. 软件集成平台，为各种主机板、处理器子板、扩展子板上的各种控制接口提供图形化用户界面GUI；</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17. 支持打电话、发短信、拍照、陀螺仪功能</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 支持USOSIII、LWIP、FSTFS、EMWIN等</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★19. 支持手写字母数字识别（LIBrary库）、支持T9拼音输入法</w:t>
      </w:r>
    </w:p>
    <w:p>
      <w:pPr>
        <w:pStyle w:val="5"/>
        <w:keepNext/>
        <w:keepLines/>
        <w:pageBreakBefore w:val="0"/>
        <w:widowControl w:val="0"/>
        <w:numPr>
          <w:ilvl w:val="0"/>
          <w:numId w:val="7"/>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可以完成创新性的实验开发项目，课程设计、毕业设计、兴趣小组等</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二、处理器子板技术参数及要求：</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 核心板要求采用阻抗控制的 12 层 高精度PCB 板，板上信号频率至少 200MHz；</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 FPGA采用Altera的CycloneIV系列中的EP4CE40F23C8N；</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3.配置芯片为EPCS16；</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 1MB（256K×32）SRAM；</w:t>
      </w:r>
    </w:p>
    <w:p>
      <w:pPr>
        <w:pStyle w:val="5"/>
        <w:keepNext/>
        <w:keepLines/>
        <w:pageBreakBefore w:val="0"/>
        <w:widowControl w:val="0"/>
        <w:numPr>
          <w:ilvl w:val="0"/>
          <w:numId w:val="8"/>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8MB NOR Flash ROM；</w:t>
      </w:r>
    </w:p>
    <w:p>
      <w:pPr>
        <w:pStyle w:val="5"/>
        <w:keepNext/>
        <w:keepLines/>
        <w:pageBreakBefore w:val="0"/>
        <w:widowControl w:val="0"/>
        <w:numPr>
          <w:ilvl w:val="0"/>
          <w:numId w:val="9"/>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64MB DDR2 SDRAM；</w:t>
      </w:r>
    </w:p>
    <w:p>
      <w:pPr>
        <w:pStyle w:val="5"/>
        <w:keepNext/>
        <w:keepLines/>
        <w:pageBreakBefore w:val="0"/>
        <w:widowControl w:val="0"/>
        <w:numPr>
          <w:ilvl w:val="0"/>
          <w:numId w:val="10"/>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64MB NAND Flash ROM；</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★8. 板载USB-Blaster Rev.C；</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★9. Mini USB2.0设备接口；RS232标准串口；</w:t>
      </w:r>
    </w:p>
    <w:p>
      <w:pPr>
        <w:pStyle w:val="5"/>
        <w:keepNext/>
        <w:keepLines/>
        <w:pageBreakBefore w:val="0"/>
        <w:widowControl w:val="0"/>
        <w:numPr>
          <w:ilvl w:val="0"/>
          <w:numId w:val="11"/>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高速SD卡接口；</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11. 板载50MHz系统时钟</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 4个用户自定义LED</w:t>
      </w:r>
    </w:p>
    <w:p>
      <w:pPr>
        <w:pStyle w:val="5"/>
        <w:keepNext/>
        <w:keepLines/>
        <w:pageBreakBefore w:val="0"/>
        <w:widowControl w:val="0"/>
        <w:numPr>
          <w:ilvl w:val="0"/>
          <w:numId w:val="12"/>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4个用户自定义按键</w:t>
      </w:r>
    </w:p>
    <w:p>
      <w:pPr>
        <w:pStyle w:val="5"/>
        <w:keepNext/>
        <w:keepLines/>
        <w:pageBreakBefore w:val="0"/>
        <w:widowControl w:val="0"/>
        <w:numPr>
          <w:ilvl w:val="0"/>
          <w:numId w:val="13"/>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7个静态七段码管</w:t>
      </w:r>
    </w:p>
    <w:p>
      <w:pPr>
        <w:pStyle w:val="5"/>
        <w:keepNext/>
        <w:keepLines/>
        <w:pageBreakBefore w:val="0"/>
        <w:widowControl w:val="0"/>
        <w:numPr>
          <w:ilvl w:val="0"/>
          <w:numId w:val="14"/>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1个复位按键</w:t>
      </w:r>
    </w:p>
    <w:p>
      <w:pPr>
        <w:pStyle w:val="5"/>
        <w:keepNext/>
        <w:keepLines/>
        <w:pageBreakBefore w:val="0"/>
        <w:widowControl w:val="0"/>
        <w:numPr>
          <w:ilvl w:val="0"/>
          <w:numId w:val="15"/>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两个扩展接口</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17. AS编程接口和JTAG调试接口</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三、扩展子板技术参数及要求:</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 10位双通道并行AD模块采样频率20MSPS;</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 10位双通道并行DA模块采样频率40MSPS;</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 12位高速串行DA模块采样频率30MSPS;</w:t>
      </w:r>
    </w:p>
    <w:p>
      <w:pPr>
        <w:pStyle w:val="5"/>
        <w:keepNext/>
        <w:keepLines/>
        <w:pageBreakBefore w:val="0"/>
        <w:widowControl w:val="0"/>
        <w:numPr>
          <w:ilvl w:val="0"/>
          <w:numId w:val="16"/>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12位高速串行DA模块;</w:t>
      </w:r>
    </w:p>
    <w:p>
      <w:pPr>
        <w:pStyle w:val="5"/>
        <w:keepNext/>
        <w:keepLines/>
        <w:pageBreakBefore w:val="0"/>
        <w:widowControl w:val="0"/>
        <w:numPr>
          <w:ilvl w:val="0"/>
          <w:numId w:val="17"/>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1个视频编、解码模块;</w:t>
      </w:r>
    </w:p>
    <w:p>
      <w:pPr>
        <w:pStyle w:val="5"/>
        <w:keepNext/>
        <w:keepLines/>
        <w:pageBreakBefore w:val="0"/>
        <w:widowControl w:val="0"/>
        <w:numPr>
          <w:ilvl w:val="0"/>
          <w:numId w:val="18"/>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1个真彩VGA模块;</w:t>
      </w:r>
    </w:p>
    <w:p>
      <w:pPr>
        <w:pStyle w:val="5"/>
        <w:keepNext/>
        <w:keepLines/>
        <w:pageBreakBefore w:val="0"/>
        <w:widowControl w:val="0"/>
        <w:numPr>
          <w:ilvl w:val="0"/>
          <w:numId w:val="19"/>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1个红外接收发送模块;</w:t>
      </w:r>
    </w:p>
    <w:p>
      <w:pPr>
        <w:pStyle w:val="5"/>
        <w:keepNext/>
        <w:keepLines/>
        <w:pageBreakBefore w:val="0"/>
        <w:widowControl w:val="0"/>
        <w:numPr>
          <w:ilvl w:val="0"/>
          <w:numId w:val="20"/>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1个实时时钟RTC模块;</w:t>
      </w:r>
    </w:p>
    <w:p>
      <w:pPr>
        <w:pStyle w:val="5"/>
        <w:keepNext/>
        <w:keepLines/>
        <w:pageBreakBefore w:val="0"/>
        <w:widowControl w:val="0"/>
        <w:numPr>
          <w:ilvl w:val="0"/>
          <w:numId w:val="21"/>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1个IICEEPROM模块;</w:t>
      </w:r>
    </w:p>
    <w:p>
      <w:pPr>
        <w:pStyle w:val="5"/>
        <w:keepNext/>
        <w:keepLines/>
        <w:pageBreakBefore w:val="0"/>
        <w:widowControl w:val="0"/>
        <w:numPr>
          <w:ilvl w:val="0"/>
          <w:numId w:val="22"/>
        </w:numPr>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1个数字温度传感器模块;</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11  1个高速扩展模块;</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 6个高速信号测量通道</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 板载六轴传感器（陀螺仪+加速度））</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14. 语音识别Ai模块</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15. 射频物联网组网模块</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16. CMOS视频同传模块</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17. GPRS模块</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 GPS模块</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四、平台综合设计实验项目要求：</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 简单的QUARTUSII实例设计；2. 基于VHDL格雷码编码器的设计；3. 含异步清零和同步使能的加法计数器；4. 八位七段数码管动态显示电路的设计；5. 数控分频器的设计； 6. 图形和VHDL混合输入的电路设计；</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 步长可变的加减计数器的设计；8. 四位并行乘法器的设计；9. 设计四位全加器； 10. 可控脉冲发生器的设计；11. 基本触发器的设计； 12. 矩阵键盘显示电路的设计；13. 16*16点阵显示实验；               14. 直流电机的测速实验；15. 步进电机驱动控制；16. PS2接口键盘显示实验；17. VGA彩条信号发生器的设计；18. 用VHDL设计七人表决器；19. 用VHDL设计四人抢答器；20. 正负脉宽调制信号发生器设计；</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21. 数字频率计的设计；22. 多功能数字钟的设计；23. 数字秒表的设计；24. 出租车计费器的设计；25.基于VHDL数码锁的设计；26. PS2鼠标编码设计；27. SPI串行AD/DA转换器的设计；28. DDS信号发生器的设计；29. 序列检测器的设计；30. 伪随机数发生器的设计；31. 八位数据锁存器的设计；32. 最高优先编码器的设计；33. 解复用器的设计；34. 带同步复位的状态机的设计；35. 嵌入式逻辑分析仪的使用；</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36. SPI串口内核的实现；37. USB文本阅读器的设计；38. 基于并行AD的数字示波器的设计；39. 基于并行AD的频谱分析仪的设计；40. PS/2键盘操作-拼音输入法的设计；41. SD卡读写操作-FAT32文件的输入与读取；42. 基于NIOSII的简单计算器的设计；43. 基于NIOSII的贪吃蛇游戏的设计；44. 串口通信-BMP图像文件LCD显示设计。</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★五、开机软件技术要求：</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lang w:val="en-US" w:eastAsia="zh-CN"/>
        </w:rPr>
        <w:t>采用GUI人机操作界面，开机可显示温度、时间和设备信息等。整合开发平台上的硬件资源</w:t>
      </w:r>
      <w:r>
        <w:rPr>
          <w:rFonts w:hint="eastAsia" w:ascii="宋体" w:hAnsi="宋体" w:cs="宋体"/>
          <w:b w:val="0"/>
          <w:bCs w:val="0"/>
          <w:sz w:val="21"/>
          <w:szCs w:val="21"/>
          <w:highlight w:val="none"/>
          <w:lang w:val="en-US" w:eastAsia="zh-CN"/>
        </w:rPr>
        <w:t>，点击子菜单中相关实验，液晶屏可与开发平台同步运行，提高学生动手兴趣和积极性，通过对设备各模块的检测和实验的演示，方便老师培训和设备检修。</w:t>
      </w:r>
    </w:p>
    <w:p>
      <w:pPr>
        <w:pStyle w:val="5"/>
        <w:keepNext/>
        <w:keepLines/>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bCs/>
          <w:sz w:val="28"/>
          <w:szCs w:val="28"/>
          <w:highlight w:val="none"/>
          <w:lang w:val="en-US" w:eastAsia="zh-CN"/>
        </w:rPr>
      </w:pPr>
      <w:r>
        <w:rPr>
          <w:rFonts w:hint="eastAsia" w:ascii="宋体" w:hAnsi="宋体" w:cs="宋体"/>
          <w:b w:val="0"/>
          <w:bCs w:val="0"/>
          <w:sz w:val="21"/>
          <w:szCs w:val="21"/>
          <w:highlight w:val="none"/>
          <w:lang w:val="en-US" w:eastAsia="zh-CN"/>
        </w:rPr>
        <w:t>★</w:t>
      </w:r>
      <w:r>
        <w:rPr>
          <w:rFonts w:hint="eastAsia"/>
          <w:highlight w:val="none"/>
          <w:lang w:eastAsia="zh-CN"/>
        </w:rPr>
        <w:t>自合同签订生效后</w:t>
      </w:r>
      <w:r>
        <w:rPr>
          <w:rFonts w:hint="eastAsia" w:ascii="宋体" w:hAnsi="宋体" w:eastAsia="宋体" w:cs="宋体"/>
          <w:highlight w:val="none"/>
          <w:lang w:val="en-US" w:eastAsia="zh-CN"/>
        </w:rPr>
        <w:t>3</w:t>
      </w:r>
      <w:r>
        <w:rPr>
          <w:rFonts w:hint="eastAsia"/>
          <w:highlight w:val="none"/>
          <w:lang w:val="en-US" w:eastAsia="zh-CN"/>
        </w:rPr>
        <w:t>个日历</w:t>
      </w:r>
      <w:r>
        <w:rPr>
          <w:rFonts w:hint="eastAsia"/>
          <w:highlight w:val="none"/>
          <w:lang w:eastAsia="zh-CN"/>
        </w:rPr>
        <w:t>日内成交供应商须自备样品</w:t>
      </w:r>
      <w:r>
        <w:rPr>
          <w:rFonts w:hint="eastAsia" w:ascii="宋体" w:hAnsi="宋体" w:cs="宋体"/>
          <w:b/>
          <w:bCs/>
          <w:color w:val="auto"/>
          <w:sz w:val="21"/>
          <w:szCs w:val="21"/>
          <w:highlight w:val="none"/>
          <w:lang w:val="en-US" w:eastAsia="zh-CN"/>
        </w:rPr>
        <w:t>，按采购人指定地点进行参数核查。</w:t>
      </w:r>
    </w:p>
    <w:p>
      <w:pPr>
        <w:keepNext/>
        <w:pageBreakBefore w:val="0"/>
        <w:kinsoku/>
        <w:wordWrap/>
        <w:overflowPunct/>
        <w:topLinePunct w:val="0"/>
        <w:autoSpaceDE/>
        <w:autoSpaceDN/>
        <w:bidi w:val="0"/>
        <w:spacing w:line="480" w:lineRule="exact"/>
        <w:jc w:val="center"/>
        <w:rPr>
          <w:rFonts w:hint="eastAsia" w:ascii="宋体" w:hAnsi="宋体" w:cs="宋体"/>
          <w:b/>
          <w:bCs/>
          <w:sz w:val="28"/>
          <w:szCs w:val="28"/>
          <w:lang w:val="en-US" w:eastAsia="zh-CN"/>
        </w:rPr>
      </w:pPr>
    </w:p>
    <w:p>
      <w:pPr>
        <w:keepNext/>
        <w:pageBreakBefore w:val="0"/>
        <w:kinsoku/>
        <w:wordWrap/>
        <w:overflowPunct/>
        <w:topLinePunct w:val="0"/>
        <w:autoSpaceDE/>
        <w:autoSpaceDN/>
        <w:bidi w:val="0"/>
        <w:spacing w:line="48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B分标  设备采购及安装</w:t>
      </w: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lang w:val="en-US" w:eastAsia="zh-CN"/>
        </w:rPr>
      </w:pPr>
    </w:p>
    <w:tbl>
      <w:tblPr>
        <w:tblStyle w:val="5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604"/>
        <w:gridCol w:w="978"/>
        <w:gridCol w:w="943"/>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1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序号</w:t>
            </w:r>
          </w:p>
        </w:tc>
        <w:tc>
          <w:tcPr>
            <w:tcW w:w="128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货物名称</w:t>
            </w:r>
          </w:p>
        </w:tc>
        <w:tc>
          <w:tcPr>
            <w:tcW w:w="484"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单位</w:t>
            </w:r>
          </w:p>
        </w:tc>
        <w:tc>
          <w:tcPr>
            <w:tcW w:w="46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数量</w:t>
            </w:r>
          </w:p>
        </w:tc>
        <w:tc>
          <w:tcPr>
            <w:tcW w:w="2247"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1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w:t>
            </w:r>
          </w:p>
        </w:tc>
        <w:tc>
          <w:tcPr>
            <w:tcW w:w="1289"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Times New Roman" w:cs="宋体"/>
                <w:b w:val="0"/>
                <w:bCs w:val="0"/>
                <w:sz w:val="21"/>
                <w:szCs w:val="21"/>
                <w:vertAlign w:val="baseline"/>
              </w:rPr>
            </w:pPr>
            <w:r>
              <w:rPr>
                <w:rFonts w:hint="eastAsia" w:ascii="宋体" w:hAnsi="宋体" w:eastAsia="宋体" w:cs="宋体"/>
                <w:b w:val="0"/>
                <w:bCs w:val="0"/>
                <w:sz w:val="21"/>
                <w:szCs w:val="21"/>
                <w:vertAlign w:val="baseline"/>
                <w:lang w:val="en-US" w:eastAsia="zh-CN"/>
              </w:rPr>
              <w:t>机电一体化综合实训考核设备</w:t>
            </w:r>
          </w:p>
        </w:tc>
        <w:tc>
          <w:tcPr>
            <w:tcW w:w="484"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Times New Roman" w:cs="宋体"/>
                <w:b w:val="0"/>
                <w:bCs w:val="0"/>
                <w:sz w:val="21"/>
                <w:szCs w:val="21"/>
                <w:vertAlign w:val="baseline"/>
                <w:lang w:eastAsia="zh-CN"/>
              </w:rPr>
              <w:t>台</w:t>
            </w:r>
          </w:p>
        </w:tc>
        <w:tc>
          <w:tcPr>
            <w:tcW w:w="467"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Times New Roman" w:cs="宋体"/>
                <w:b w:val="0"/>
                <w:bCs w:val="0"/>
                <w:sz w:val="21"/>
                <w:szCs w:val="21"/>
                <w:vertAlign w:val="baseline"/>
                <w:lang w:val="en-US" w:eastAsia="zh-CN"/>
              </w:rPr>
              <w:t>1</w:t>
            </w:r>
          </w:p>
        </w:tc>
        <w:tc>
          <w:tcPr>
            <w:tcW w:w="2247"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Times New Roman" w:cs="宋体"/>
                <w:b w:val="0"/>
                <w:bCs w:val="0"/>
                <w:sz w:val="21"/>
                <w:szCs w:val="21"/>
                <w:vertAlign w:val="baseline"/>
                <w:lang w:eastAsia="zh-CN"/>
              </w:rPr>
              <w:t>详见下表附件</w:t>
            </w:r>
            <w:r>
              <w:rPr>
                <w:rFonts w:hint="eastAsia" w:ascii="宋体" w:hAnsi="宋体" w:eastAsia="Times New Roman" w:cs="宋体"/>
                <w:b w:val="0"/>
                <w:bCs w:val="0"/>
                <w:sz w:val="21"/>
                <w:szCs w:val="21"/>
                <w:vertAlign w:val="baseline"/>
                <w:lang w:val="en-US" w:eastAsia="zh-CN"/>
              </w:rPr>
              <w:t>3：</w:t>
            </w:r>
            <w:r>
              <w:rPr>
                <w:rFonts w:hint="eastAsia" w:ascii="宋体" w:hAnsi="宋体" w:eastAsia="Times New Roman" w:cs="宋体"/>
                <w:b w:val="0"/>
                <w:bCs w:val="0"/>
                <w:sz w:val="21"/>
                <w:szCs w:val="21"/>
                <w:vertAlign w:val="baseline"/>
                <w:lang w:eastAsia="zh-CN"/>
              </w:rPr>
              <w:t>机电一体化综合实训考核设备技术参数</w:t>
            </w:r>
          </w:p>
        </w:tc>
      </w:tr>
    </w:tbl>
    <w:p>
      <w:pPr>
        <w:keepNext/>
        <w:keepLines w:val="0"/>
        <w:pageBreakBefore w:val="0"/>
        <w:widowControl w:val="0"/>
        <w:kinsoku/>
        <w:wordWrap/>
        <w:overflowPunct/>
        <w:topLinePunct w:val="0"/>
        <w:autoSpaceDE/>
        <w:autoSpaceDN/>
        <w:bidi w:val="0"/>
        <w:adjustRightInd/>
        <w:snapToGrid/>
        <w:spacing w:line="240" w:lineRule="exact"/>
        <w:jc w:val="both"/>
        <w:textAlignment w:val="auto"/>
        <w:rPr>
          <w:rFonts w:hint="eastAsia"/>
          <w:b/>
          <w:bCs/>
          <w:sz w:val="28"/>
          <w:szCs w:val="28"/>
          <w:lang w:val="en-US" w:eastAsia="zh-CN"/>
        </w:rPr>
      </w:pPr>
    </w:p>
    <w:p>
      <w:pPr>
        <w:keepNext/>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附件3：机电一体化综合实训考核设备技术参数</w:t>
      </w:r>
    </w:p>
    <w:p>
      <w:pPr>
        <w:keepNext/>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p>
    <w:p>
      <w:pPr>
        <w:keepNext/>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要求概述</w:t>
      </w:r>
      <w:r>
        <w:rPr>
          <w:rFonts w:hint="eastAsia" w:ascii="宋体" w:hAnsi="宋体" w:eastAsia="宋体" w:cs="宋体"/>
          <w:b/>
          <w:bCs/>
          <w:sz w:val="24"/>
          <w:szCs w:val="24"/>
          <w:lang w:eastAsia="zh-CN"/>
        </w:rPr>
        <w:t>：</w:t>
      </w:r>
    </w:p>
    <w:p>
      <w:pPr>
        <w:keepNext/>
        <w:keepLines w:val="0"/>
        <w:pageBreakBefore w:val="0"/>
        <w:widowControl w:val="0"/>
        <w:numPr>
          <w:ilvl w:val="0"/>
          <w:numId w:val="23"/>
        </w:numPr>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要求该套系统是可以模块方式自由组合，形成多种模式，操作者不但在实习、工作中培养、训练了机械装调、电气管路连接、程序设计、工业机器人应用、传感器应用、计算机应用、检修排故、触摸屏组态、伺服、步进驱动控制等机电专业技能，同时也体验到职业素养中的社会能力与方法能力。</w:t>
      </w:r>
    </w:p>
    <w:p>
      <w:pPr>
        <w:keepNext/>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2. </w:t>
      </w:r>
      <w:r>
        <w:rPr>
          <w:rFonts w:hint="eastAsia" w:ascii="宋体" w:hAnsi="宋体" w:eastAsia="宋体" w:cs="宋体"/>
          <w:bCs/>
          <w:sz w:val="21"/>
          <w:szCs w:val="21"/>
        </w:rPr>
        <w:t>要求每个独立的单元由实训桌、执行机构及挂板构成。</w:t>
      </w:r>
    </w:p>
    <w:p>
      <w:pPr>
        <w:keepNext/>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3. </w:t>
      </w:r>
      <w:r>
        <w:rPr>
          <w:rFonts w:hint="eastAsia" w:ascii="宋体" w:hAnsi="宋体" w:eastAsia="宋体" w:cs="宋体"/>
          <w:bCs/>
          <w:sz w:val="21"/>
          <w:szCs w:val="21"/>
        </w:rPr>
        <w:t>实训桌：采用冷轧钢板折弯焊接，表面静电喷塑，防火、防水、防腐蚀。实训桌下方装有四个万向轮和四个可调脚，万向轮移动时用，可调脚固定时用。实训桌台面是用铝型材拼接而成，方便学生将工件在其上任意位置、任意方式地安装，而不局限于在给定的孔位上按给定的方式安装。</w:t>
      </w:r>
    </w:p>
    <w:p>
      <w:pPr>
        <w:keepNext/>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4. </w:t>
      </w:r>
      <w:r>
        <w:rPr>
          <w:rFonts w:hint="eastAsia" w:ascii="宋体" w:hAnsi="宋体" w:eastAsia="宋体" w:cs="宋体"/>
          <w:bCs/>
          <w:sz w:val="21"/>
          <w:szCs w:val="21"/>
        </w:rPr>
        <w:t>执行机构：采用铝板精加工后组装而成，表面喷砂后阳极氧化，既防腐蚀又美观大方。</w:t>
      </w:r>
    </w:p>
    <w:p>
      <w:pPr>
        <w:keepNext/>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5. </w:t>
      </w:r>
      <w:r>
        <w:rPr>
          <w:rFonts w:hint="eastAsia" w:ascii="宋体" w:hAnsi="宋体" w:eastAsia="宋体" w:cs="宋体"/>
          <w:bCs/>
          <w:sz w:val="21"/>
          <w:szCs w:val="21"/>
        </w:rPr>
        <w:t>挂板：斜装于实训桌正下方，可很方便地取、卸。挂板上装有PLC、变频器等电器元件，统一由电缆线及快速插头与实训桌上的执行机构连接。</w:t>
      </w:r>
    </w:p>
    <w:p>
      <w:pPr>
        <w:keepNext/>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6. </w:t>
      </w:r>
      <w:r>
        <w:rPr>
          <w:rFonts w:hint="eastAsia" w:ascii="宋体" w:hAnsi="宋体" w:eastAsia="宋体" w:cs="宋体"/>
          <w:bCs/>
          <w:sz w:val="21"/>
          <w:szCs w:val="21"/>
        </w:rPr>
        <w:t>工具柜：要求用冷轧钢板折弯焊接，表面静电喷塑。工具柜有多个抽屉，可储藏工具，配装4个万向轮，电脑桌：由铝型材加中纤板台面组装而成。配装4个万向轮。</w:t>
      </w:r>
    </w:p>
    <w:p>
      <w:pPr>
        <w:keepNext/>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 xml:space="preserve">7. </w:t>
      </w:r>
      <w:r>
        <w:rPr>
          <w:rFonts w:hint="eastAsia" w:ascii="宋体" w:hAnsi="宋体" w:eastAsia="宋体" w:cs="宋体"/>
          <w:bCs/>
          <w:sz w:val="21"/>
          <w:szCs w:val="21"/>
        </w:rPr>
        <w:t>要求该设备综合运用了工业机器人应用技术、PLC及特殊功能模块技术、触摸屏应用技术、通信应用技术、交流伺服应用技术、交流变频应用技术、电力电子应用技术、传感器应用技术、气动控制技术、机械装调技术机电一体化高新技术的综合应用。</w:t>
      </w:r>
    </w:p>
    <w:p>
      <w:pPr>
        <w:keepNext/>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8. </w:t>
      </w:r>
      <w:r>
        <w:rPr>
          <w:rFonts w:hint="eastAsia" w:ascii="宋体" w:hAnsi="宋体" w:eastAsia="宋体" w:cs="宋体"/>
          <w:bCs/>
          <w:sz w:val="21"/>
          <w:szCs w:val="21"/>
        </w:rPr>
        <w:t>要求该设备是模块化的设计，并且每个单元可以单独安装、调试、运行、教学、实训，学员可以从模块化到整个单元、从单机到联机、从简单到复杂得学习各种机电一体化技术。</w:t>
      </w:r>
    </w:p>
    <w:p>
      <w:pPr>
        <w:keepNext/>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lang w:val="en-US" w:eastAsia="zh-CN"/>
        </w:rPr>
        <w:t>9.</w:t>
      </w:r>
      <w:r>
        <w:rPr>
          <w:rFonts w:hint="eastAsia" w:ascii="宋体" w:hAnsi="宋体" w:eastAsia="宋体" w:cs="宋体"/>
          <w:bCs/>
          <w:sz w:val="21"/>
          <w:szCs w:val="21"/>
        </w:rPr>
        <w:t>要求整个设备可以通过不同单元配置形式可以得到6种不同功能设备，从而实现的教学内容也会有所不同。</w:t>
      </w:r>
    </w:p>
    <w:p>
      <w:pPr>
        <w:keepNext/>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lang w:val="en-US" w:eastAsia="zh-CN"/>
        </w:rPr>
        <w:t xml:space="preserve">10. </w:t>
      </w:r>
      <w:r>
        <w:rPr>
          <w:rFonts w:hint="eastAsia" w:ascii="宋体" w:hAnsi="宋体" w:eastAsia="宋体" w:cs="宋体"/>
          <w:bCs/>
          <w:sz w:val="21"/>
          <w:szCs w:val="21"/>
        </w:rPr>
        <w:t>配置：额定电压：</w:t>
      </w:r>
      <w:r>
        <w:rPr>
          <w:rFonts w:hint="eastAsia" w:ascii="宋体" w:hAnsi="宋体" w:eastAsia="宋体" w:cs="宋体"/>
          <w:sz w:val="21"/>
          <w:szCs w:val="21"/>
        </w:rPr>
        <w:t xml:space="preserve">AC220V </w:t>
      </w:r>
      <w:r>
        <w:rPr>
          <w:rFonts w:hint="eastAsia" w:ascii="宋体" w:hAnsi="宋体" w:eastAsia="宋体" w:cs="宋体"/>
          <w:bCs/>
          <w:sz w:val="21"/>
          <w:szCs w:val="21"/>
        </w:rPr>
        <w:t>±10%；额定功率：小于等于3.3KW；环境湿度：≤90% 安全保护功能：急停、漏电、过欠压、过流、过热保护；设备尺寸：≈4800mm×720mm×1500mm</w:t>
      </w:r>
    </w:p>
    <w:p>
      <w:pPr>
        <w:keepNext/>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lang w:val="en-US" w:eastAsia="zh-CN"/>
        </w:rPr>
        <w:t xml:space="preserve">11. </w:t>
      </w:r>
      <w:r>
        <w:rPr>
          <w:rFonts w:hint="eastAsia" w:ascii="宋体" w:hAnsi="宋体" w:eastAsia="宋体" w:cs="宋体"/>
          <w:bCs/>
          <w:sz w:val="21"/>
          <w:szCs w:val="21"/>
        </w:rPr>
        <w:t>要求该设备同时能满足以下要求：1.电气线路的连接；2.电气元件的布局与组装；3.系统或小系统的设计；4.通过手持测试器对各连线的测试；5.通过PLC编程对各控制单元的操作；6.电气类部件及组件的安装；7.气动类元件的安装；8.机械零件的组装；9.用气量统计与分析；10.用电量统计与分析；11.系统或小系统故障分析与处理；12.系统或小系统优化与提效。</w:t>
      </w:r>
    </w:p>
    <w:p>
      <w:pPr>
        <w:keepNext/>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lang w:val="en-US" w:eastAsia="zh-CN"/>
        </w:rPr>
        <w:t xml:space="preserve">12. </w:t>
      </w:r>
      <w:r>
        <w:rPr>
          <w:rFonts w:hint="eastAsia" w:ascii="宋体" w:hAnsi="宋体" w:eastAsia="宋体" w:cs="宋体"/>
          <w:bCs/>
          <w:sz w:val="21"/>
          <w:szCs w:val="21"/>
        </w:rPr>
        <w:t>实训项目要求：该套设备实训项目不少于90项（必须依据投标设备拟定相关实训项目），主要为1</w:t>
      </w:r>
      <w:r>
        <w:rPr>
          <w:rFonts w:hint="eastAsia" w:ascii="宋体" w:hAnsi="宋体" w:eastAsia="宋体" w:cs="宋体"/>
          <w:bCs/>
          <w:sz w:val="21"/>
          <w:szCs w:val="21"/>
          <w:lang w:val="en-US" w:eastAsia="zh-CN"/>
        </w:rPr>
        <w:t>.</w:t>
      </w:r>
      <w:r>
        <w:rPr>
          <w:rFonts w:hint="eastAsia" w:ascii="宋体" w:hAnsi="宋体" w:eastAsia="宋体" w:cs="宋体"/>
          <w:bCs/>
          <w:sz w:val="21"/>
          <w:szCs w:val="21"/>
        </w:rPr>
        <w:t>PLC基础任务实训；2</w:t>
      </w:r>
      <w:r>
        <w:rPr>
          <w:rFonts w:hint="eastAsia" w:ascii="宋体" w:hAnsi="宋体" w:eastAsia="宋体" w:cs="宋体"/>
          <w:bCs/>
          <w:sz w:val="21"/>
          <w:szCs w:val="21"/>
          <w:lang w:val="en-US" w:eastAsia="zh-CN"/>
        </w:rPr>
        <w:t>.</w:t>
      </w:r>
      <w:r>
        <w:rPr>
          <w:rFonts w:hint="eastAsia" w:ascii="宋体" w:hAnsi="宋体" w:eastAsia="宋体" w:cs="宋体"/>
          <w:bCs/>
          <w:sz w:val="21"/>
          <w:szCs w:val="21"/>
        </w:rPr>
        <w:t>机械装调基础实训；3</w:t>
      </w:r>
      <w:r>
        <w:rPr>
          <w:rFonts w:hint="eastAsia" w:ascii="宋体" w:hAnsi="宋体" w:eastAsia="宋体" w:cs="宋体"/>
          <w:bCs/>
          <w:sz w:val="21"/>
          <w:szCs w:val="21"/>
          <w:lang w:val="en-US" w:eastAsia="zh-CN"/>
        </w:rPr>
        <w:t>.</w:t>
      </w:r>
      <w:r>
        <w:rPr>
          <w:rFonts w:hint="eastAsia" w:ascii="宋体" w:hAnsi="宋体" w:eastAsia="宋体" w:cs="宋体"/>
          <w:bCs/>
          <w:sz w:val="21"/>
          <w:szCs w:val="21"/>
        </w:rPr>
        <w:t>触摸屏、变频器、伺服机步进等实训；4</w:t>
      </w:r>
      <w:r>
        <w:rPr>
          <w:rFonts w:hint="eastAsia" w:ascii="宋体" w:hAnsi="宋体" w:eastAsia="宋体" w:cs="宋体"/>
          <w:bCs/>
          <w:sz w:val="21"/>
          <w:szCs w:val="21"/>
          <w:lang w:val="en-US" w:eastAsia="zh-CN"/>
        </w:rPr>
        <w:t>.</w:t>
      </w:r>
      <w:r>
        <w:rPr>
          <w:rFonts w:hint="eastAsia" w:ascii="宋体" w:hAnsi="宋体" w:eastAsia="宋体" w:cs="宋体"/>
          <w:bCs/>
          <w:sz w:val="21"/>
          <w:szCs w:val="21"/>
        </w:rPr>
        <w:t>加工单元；5</w:t>
      </w:r>
      <w:r>
        <w:rPr>
          <w:rFonts w:hint="eastAsia" w:ascii="宋体" w:hAnsi="宋体" w:eastAsia="宋体" w:cs="宋体"/>
          <w:bCs/>
          <w:sz w:val="21"/>
          <w:szCs w:val="21"/>
          <w:lang w:val="en-US" w:eastAsia="zh-CN"/>
        </w:rPr>
        <w:t>.</w:t>
      </w:r>
      <w:r>
        <w:rPr>
          <w:rFonts w:hint="eastAsia" w:ascii="宋体" w:hAnsi="宋体" w:eastAsia="宋体" w:cs="宋体"/>
          <w:bCs/>
          <w:sz w:val="21"/>
          <w:szCs w:val="21"/>
        </w:rPr>
        <w:t>上料检测单元；6</w:t>
      </w:r>
      <w:r>
        <w:rPr>
          <w:rFonts w:hint="eastAsia" w:ascii="宋体" w:hAnsi="宋体" w:eastAsia="宋体" w:cs="宋体"/>
          <w:bCs/>
          <w:sz w:val="21"/>
          <w:szCs w:val="21"/>
          <w:lang w:val="en-US" w:eastAsia="zh-CN"/>
        </w:rPr>
        <w:t>.</w:t>
      </w:r>
      <w:r>
        <w:rPr>
          <w:rFonts w:hint="eastAsia" w:ascii="宋体" w:hAnsi="宋体" w:eastAsia="宋体" w:cs="宋体"/>
          <w:bCs/>
          <w:sz w:val="21"/>
          <w:szCs w:val="21"/>
        </w:rPr>
        <w:t>加盖拧盖单元；7</w:t>
      </w:r>
      <w:r>
        <w:rPr>
          <w:rFonts w:hint="eastAsia" w:ascii="宋体" w:hAnsi="宋体" w:eastAsia="宋体" w:cs="宋体"/>
          <w:bCs/>
          <w:sz w:val="21"/>
          <w:szCs w:val="21"/>
          <w:lang w:val="en-US" w:eastAsia="zh-CN"/>
        </w:rPr>
        <w:t>.</w:t>
      </w:r>
      <w:r>
        <w:rPr>
          <w:rFonts w:hint="eastAsia" w:ascii="宋体" w:hAnsi="宋体" w:eastAsia="宋体" w:cs="宋体"/>
          <w:bCs/>
          <w:sz w:val="21"/>
          <w:szCs w:val="21"/>
        </w:rPr>
        <w:t>检测分拣单元；8</w:t>
      </w:r>
      <w:r>
        <w:rPr>
          <w:rFonts w:hint="eastAsia" w:ascii="宋体" w:hAnsi="宋体" w:eastAsia="宋体" w:cs="宋体"/>
          <w:bCs/>
          <w:sz w:val="21"/>
          <w:szCs w:val="21"/>
          <w:lang w:val="en-US" w:eastAsia="zh-CN"/>
        </w:rPr>
        <w:t>.</w:t>
      </w:r>
      <w:r>
        <w:rPr>
          <w:rFonts w:hint="eastAsia" w:ascii="宋体" w:hAnsi="宋体" w:eastAsia="宋体" w:cs="宋体"/>
          <w:bCs/>
          <w:sz w:val="21"/>
          <w:szCs w:val="21"/>
        </w:rPr>
        <w:t>6轴</w:t>
      </w:r>
      <w:r>
        <w:rPr>
          <w:rFonts w:hint="eastAsia" w:ascii="宋体" w:hAnsi="宋体" w:eastAsia="宋体" w:cs="宋体"/>
          <w:bCs/>
          <w:sz w:val="21"/>
          <w:szCs w:val="21"/>
          <w:highlight w:val="none"/>
        </w:rPr>
        <w:t>机器人搬运单元；9</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立体仓库单元；10</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配件分拣单元；11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系统联机综合实训；12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故障诊断与排除部分实训；13</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网络部分实训等。</w:t>
      </w:r>
    </w:p>
    <w:p>
      <w:pPr>
        <w:keepNext/>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Cs/>
          <w:sz w:val="21"/>
          <w:szCs w:val="21"/>
          <w:highlight w:val="none"/>
          <w:lang w:val="en-US" w:eastAsia="zh-CN"/>
        </w:rPr>
        <w:t>13.</w:t>
      </w:r>
      <w:r>
        <w:rPr>
          <w:rFonts w:hint="eastAsia" w:ascii="宋体" w:hAnsi="宋体" w:eastAsia="宋体" w:cs="宋体"/>
          <w:bCs/>
          <w:sz w:val="21"/>
          <w:szCs w:val="21"/>
          <w:highlight w:val="none"/>
        </w:rPr>
        <w:t xml:space="preserve"> </w:t>
      </w:r>
      <w:r>
        <w:rPr>
          <w:rFonts w:hint="eastAsia" w:ascii="宋体" w:hAnsi="宋体" w:eastAsia="宋体" w:cs="宋体"/>
          <w:color w:val="auto"/>
          <w:sz w:val="21"/>
          <w:szCs w:val="21"/>
          <w:highlight w:val="none"/>
        </w:rPr>
        <w:t>该套设备必须满足或者优于省级维修电工职业技能鉴定所(考场)设置国家职业资格一级（高级技师）标准，</w:t>
      </w:r>
      <w:r>
        <w:rPr>
          <w:rFonts w:hint="eastAsia" w:ascii="宋体" w:hAnsi="宋体" w:eastAsia="宋体" w:cs="宋体"/>
          <w:b/>
          <w:color w:val="auto"/>
          <w:spacing w:val="-10"/>
          <w:sz w:val="21"/>
          <w:szCs w:val="21"/>
          <w:highlight w:val="none"/>
        </w:rPr>
        <w:t>合同签订</w:t>
      </w:r>
      <w:r>
        <w:rPr>
          <w:rFonts w:hint="eastAsia"/>
          <w:b/>
          <w:bCs/>
          <w:highlight w:val="none"/>
          <w:lang w:eastAsia="zh-CN"/>
        </w:rPr>
        <w:t>生效</w:t>
      </w:r>
      <w:r>
        <w:rPr>
          <w:rFonts w:hint="eastAsia" w:ascii="宋体" w:hAnsi="宋体" w:eastAsia="宋体" w:cs="宋体"/>
          <w:b/>
          <w:color w:val="auto"/>
          <w:spacing w:val="-10"/>
          <w:sz w:val="21"/>
          <w:szCs w:val="21"/>
          <w:highlight w:val="none"/>
          <w:lang w:eastAsia="zh-CN"/>
        </w:rPr>
        <w:t>后</w:t>
      </w:r>
      <w:r>
        <w:rPr>
          <w:rFonts w:hint="eastAsia" w:ascii="宋体" w:hAnsi="宋体" w:cs="宋体"/>
          <w:b/>
          <w:color w:val="auto"/>
          <w:spacing w:val="-10"/>
          <w:sz w:val="21"/>
          <w:szCs w:val="21"/>
          <w:highlight w:val="none"/>
          <w:lang w:eastAsia="zh-CN"/>
        </w:rPr>
        <w:t>需按采购人的要求</w:t>
      </w:r>
      <w:r>
        <w:rPr>
          <w:rFonts w:hint="eastAsia" w:ascii="宋体" w:hAnsi="宋体" w:eastAsia="宋体" w:cs="宋体"/>
          <w:color w:val="auto"/>
          <w:sz w:val="21"/>
          <w:szCs w:val="21"/>
          <w:highlight w:val="none"/>
        </w:rPr>
        <w:t>提供相关佐证文件或专家组认同文件。</w:t>
      </w:r>
    </w:p>
    <w:p>
      <w:pPr>
        <w:keepNext/>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宋体" w:hAnsi="宋体" w:eastAsia="宋体" w:cs="宋体"/>
          <w:bCs/>
          <w:color w:val="FF0000"/>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sz w:val="21"/>
          <w:szCs w:val="21"/>
          <w:highlight w:val="none"/>
          <w:lang w:val="en-US" w:eastAsia="zh-CN"/>
        </w:rPr>
        <w:t xml:space="preserve">14. </w:t>
      </w:r>
      <w:r>
        <w:rPr>
          <w:rFonts w:hint="eastAsia" w:ascii="宋体" w:hAnsi="宋体" w:eastAsia="宋体" w:cs="宋体"/>
          <w:bCs/>
          <w:color w:val="auto"/>
          <w:sz w:val="21"/>
          <w:szCs w:val="21"/>
          <w:highlight w:val="none"/>
        </w:rPr>
        <w:t>机电一体化实训考核设备</w:t>
      </w:r>
      <w:r>
        <w:rPr>
          <w:rFonts w:hint="eastAsia" w:ascii="宋体" w:hAnsi="宋体" w:eastAsia="宋体" w:cs="宋体"/>
          <w:b/>
          <w:color w:val="auto"/>
          <w:spacing w:val="-10"/>
          <w:sz w:val="21"/>
          <w:szCs w:val="21"/>
          <w:highlight w:val="none"/>
        </w:rPr>
        <w:t>签订合同</w:t>
      </w:r>
      <w:r>
        <w:rPr>
          <w:rFonts w:hint="eastAsia" w:ascii="宋体" w:hAnsi="宋体" w:cs="宋体"/>
          <w:b/>
          <w:color w:val="auto"/>
          <w:spacing w:val="-10"/>
          <w:sz w:val="21"/>
          <w:szCs w:val="21"/>
          <w:highlight w:val="none"/>
          <w:lang w:eastAsia="zh-CN"/>
        </w:rPr>
        <w:t>生效</w:t>
      </w:r>
      <w:r>
        <w:rPr>
          <w:rFonts w:hint="eastAsia" w:ascii="宋体" w:hAnsi="宋体" w:eastAsia="宋体" w:cs="宋体"/>
          <w:b/>
          <w:color w:val="auto"/>
          <w:spacing w:val="-10"/>
          <w:sz w:val="21"/>
          <w:szCs w:val="21"/>
          <w:highlight w:val="none"/>
          <w:lang w:eastAsia="zh-CN"/>
        </w:rPr>
        <w:t>后</w:t>
      </w:r>
      <w:r>
        <w:rPr>
          <w:rFonts w:hint="eastAsia" w:ascii="宋体" w:hAnsi="宋体" w:cs="宋体"/>
          <w:b/>
          <w:color w:val="auto"/>
          <w:spacing w:val="-10"/>
          <w:sz w:val="21"/>
          <w:szCs w:val="21"/>
          <w:highlight w:val="none"/>
          <w:lang w:eastAsia="zh-CN"/>
        </w:rPr>
        <w:t>需按采购人的要求</w:t>
      </w:r>
      <w:r>
        <w:rPr>
          <w:rFonts w:hint="eastAsia" w:ascii="宋体" w:hAnsi="宋体" w:eastAsia="宋体" w:cs="宋体"/>
          <w:b/>
          <w:color w:val="auto"/>
          <w:spacing w:val="-10"/>
          <w:sz w:val="21"/>
          <w:szCs w:val="21"/>
          <w:highlight w:val="none"/>
          <w:lang w:eastAsia="zh-CN"/>
        </w:rPr>
        <w:t>提</w:t>
      </w:r>
      <w:r>
        <w:rPr>
          <w:rFonts w:hint="eastAsia" w:ascii="宋体" w:hAnsi="宋体" w:eastAsia="宋体" w:cs="宋体"/>
          <w:bCs/>
          <w:color w:val="auto"/>
          <w:sz w:val="21"/>
          <w:szCs w:val="21"/>
          <w:highlight w:val="none"/>
        </w:rPr>
        <w:t>供已完成样板教室（或基地）实物照片。</w:t>
      </w:r>
    </w:p>
    <w:p>
      <w:pPr>
        <w:keepNext/>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b/>
          <w:color w:val="auto"/>
          <w:sz w:val="21"/>
          <w:szCs w:val="21"/>
          <w:highlight w:val="none"/>
        </w:rPr>
      </w:pPr>
    </w:p>
    <w:p>
      <w:pPr>
        <w:keepNext/>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b/>
          <w:kern w:val="1"/>
          <w:sz w:val="24"/>
          <w:szCs w:val="24"/>
          <w:highlight w:val="none"/>
          <w:lang w:val="en-US" w:eastAsia="zh-CN"/>
        </w:rPr>
      </w:pPr>
      <w:r>
        <w:rPr>
          <w:rFonts w:hint="eastAsia" w:ascii="宋体" w:hAnsi="宋体" w:eastAsia="宋体" w:cs="宋体"/>
          <w:b/>
          <w:kern w:val="1"/>
          <w:sz w:val="24"/>
          <w:szCs w:val="24"/>
          <w:highlight w:val="none"/>
        </w:rPr>
        <w:t>配置清单</w:t>
      </w:r>
      <w:r>
        <w:rPr>
          <w:rFonts w:hint="eastAsia" w:ascii="宋体" w:hAnsi="宋体" w:eastAsia="宋体" w:cs="宋体"/>
          <w:b/>
          <w:kern w:val="1"/>
          <w:sz w:val="24"/>
          <w:szCs w:val="24"/>
          <w:highlight w:val="none"/>
          <w:lang w:val="en-US" w:eastAsia="zh-CN"/>
        </w:rPr>
        <w:t>:</w:t>
      </w: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lang w:val="en-US" w:eastAsia="zh-CN"/>
        </w:rPr>
      </w:pPr>
    </w:p>
    <w:tbl>
      <w:tblPr>
        <w:tblStyle w:val="57"/>
        <w:tblW w:w="4907"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446"/>
        <w:gridCol w:w="612"/>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 w:leftChars="-51" w:right="-107" w:rightChars="-51" w:hanging="108" w:hangingChars="51"/>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30"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2" w:leftChars="-70" w:right="-149" w:rightChars="-71" w:hanging="65" w:hangingChars="31"/>
              <w:jc w:val="center"/>
              <w:rPr>
                <w:rFonts w:hint="eastAsia" w:ascii="宋体" w:hAnsi="宋体" w:eastAsia="宋体" w:cs="宋体"/>
                <w:b/>
                <w:kern w:val="0"/>
                <w:sz w:val="21"/>
                <w:szCs w:val="21"/>
              </w:rPr>
            </w:pPr>
            <w:r>
              <w:rPr>
                <w:rFonts w:hint="eastAsia" w:ascii="宋体" w:hAnsi="宋体" w:eastAsia="宋体" w:cs="宋体"/>
                <w:b/>
                <w:sz w:val="21"/>
                <w:szCs w:val="21"/>
              </w:rPr>
              <w:t>货物名称</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 w:leftChars="-51" w:right="-107" w:rightChars="-51" w:hanging="108" w:hangingChars="51"/>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3745"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技术参数、性能（配置）及其它要求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pacing w:val="-10"/>
                <w:sz w:val="21"/>
                <w:szCs w:val="21"/>
              </w:rPr>
              <w:t>颗粒上料单元</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both"/>
              <w:rPr>
                <w:rFonts w:hint="eastAsia" w:ascii="宋体" w:hAnsi="宋体" w:eastAsia="宋体" w:cs="宋体"/>
                <w:sz w:val="21"/>
                <w:szCs w:val="21"/>
              </w:rPr>
            </w:pPr>
            <w:r>
              <w:rPr>
                <w:rFonts w:hint="eastAsia" w:ascii="宋体" w:hAnsi="宋体" w:eastAsia="宋体" w:cs="宋体"/>
                <w:sz w:val="21"/>
                <w:szCs w:val="21"/>
              </w:rPr>
              <w:t>颗粒上料单元由工作实训平台、物料筒、物料传输皮带、料瓶上料皮带、物料分拣皮带、灌装机构等部分组成，能实现物料瓶的自动上料、物料颗粒的自动分拣及灌装处理。工作实训平台采用钢铝结构，尺寸≥600mm×720mm×780mm，要求桌体采用§1.5mm厚的优质钢板做骨架，经过机械加工成型，外表面喷涂彩色环氧聚塑，整机既坚固耐用；桌面采用20×60mm优质专业铝型材拼接成型，可根据执行机构的联机情况随意调整安装位置；物料传输皮带由支撑座、横杆、传动装置、过渡装置、驱动电机及护栏组成，传输皮带采用两级过渡，相邻皮带间扩展拼接后衔接缝隙≤3mm，支撑座采用优质铝材加工，皮带采用材料加工，皮带宽度≥8mm；物料分拣皮带由支撑座、横杆、传动装置、过渡装置、逆向切换装置、驱动电机及护栏组成，可实现物料颗粒的自动循环上料；灌装机构由旋转气缸、双轴升降气缸、真空吸盘及其联动机构组成，将分拣完成的物料由分拣皮带搬运至物料瓶；控制系统根据控制要求布置于万能网孔控制板或桌面平台上，配置有PLC系统以及与控制要求配套的低压控制器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sz w:val="21"/>
                <w:szCs w:val="21"/>
                <w:highlight w:val="none"/>
              </w:rPr>
            </w:pPr>
            <w:r>
              <w:rPr>
                <w:rFonts w:hint="eastAsia" w:ascii="宋体" w:hAnsi="宋体" w:eastAsia="宋体" w:cs="宋体"/>
                <w:b/>
                <w:sz w:val="21"/>
                <w:szCs w:val="21"/>
              </w:rPr>
              <w:t>★控制面板采用优质PVC内置电路“触膜式”设计，便于扩展和升级，控制按钮采用触膜式内置电路控制设计，设置有“启动、停止、运行、单机、；联机、急停”等控制功能。</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pacing w:val="-10"/>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pacing w:val="-10"/>
                <w:sz w:val="21"/>
                <w:szCs w:val="21"/>
                <w:highlight w:val="none"/>
              </w:rPr>
              <w:t>考虑外观及整体性，</w:t>
            </w:r>
            <w:r>
              <w:rPr>
                <w:rFonts w:hint="eastAsia" w:ascii="宋体" w:hAnsi="宋体" w:cs="宋体"/>
                <w:b/>
                <w:color w:val="auto"/>
                <w:spacing w:val="-10"/>
                <w:sz w:val="21"/>
                <w:szCs w:val="21"/>
                <w:highlight w:val="none"/>
                <w:lang w:eastAsia="zh-CN"/>
              </w:rPr>
              <w:t>须</w:t>
            </w:r>
            <w:r>
              <w:rPr>
                <w:rFonts w:hint="eastAsia" w:ascii="宋体" w:hAnsi="宋体" w:eastAsia="宋体" w:cs="宋体"/>
                <w:b/>
                <w:color w:val="auto"/>
                <w:spacing w:val="-10"/>
                <w:sz w:val="21"/>
                <w:szCs w:val="21"/>
                <w:highlight w:val="none"/>
                <w:lang w:eastAsia="zh-CN"/>
              </w:rPr>
              <w:t>在响应文件中</w:t>
            </w:r>
            <w:r>
              <w:rPr>
                <w:rFonts w:hint="eastAsia" w:ascii="宋体" w:hAnsi="宋体" w:eastAsia="宋体" w:cs="宋体"/>
                <w:b/>
                <w:color w:val="auto"/>
                <w:spacing w:val="-10"/>
                <w:sz w:val="21"/>
                <w:szCs w:val="21"/>
                <w:highlight w:val="none"/>
              </w:rPr>
              <w:t>提供产品彩页及实物照片。</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sz w:val="21"/>
                <w:szCs w:val="21"/>
              </w:rPr>
            </w:pPr>
            <w:r>
              <w:rPr>
                <w:rFonts w:hint="eastAsia" w:ascii="宋体" w:hAnsi="宋体" w:eastAsia="宋体" w:cs="宋体"/>
                <w:sz w:val="21"/>
                <w:szCs w:val="21"/>
                <w:highlight w:val="none"/>
              </w:rPr>
              <w:t>单套配置：</w:t>
            </w:r>
            <w:r>
              <w:rPr>
                <w:rFonts w:hint="eastAsia" w:ascii="宋体" w:hAnsi="宋体" w:eastAsia="宋体" w:cs="宋体"/>
                <w:b/>
                <w:sz w:val="21"/>
                <w:szCs w:val="21"/>
                <w:highlight w:val="none"/>
              </w:rPr>
              <w:t>★</w:t>
            </w:r>
            <w:r>
              <w:rPr>
                <w:rFonts w:hint="eastAsia" w:eastAsia="Times New Roman" w:cs="Times New Roman"/>
                <w:highlight w:val="none"/>
                <w:lang w:eastAsia="zh-CN"/>
              </w:rPr>
              <w:t>须在</w:t>
            </w:r>
            <w:r>
              <w:rPr>
                <w:rFonts w:hint="eastAsia" w:ascii="宋体" w:hAnsi="宋体" w:eastAsia="宋体" w:cs="宋体"/>
                <w:color w:val="auto"/>
                <w:sz w:val="21"/>
                <w:szCs w:val="21"/>
                <w:highlight w:val="none"/>
                <w:lang w:eastAsia="zh-CN"/>
              </w:rPr>
              <w:t>响应文件中</w:t>
            </w:r>
            <w:r>
              <w:rPr>
                <w:rFonts w:hint="eastAsia" w:ascii="宋体" w:hAnsi="宋体" w:eastAsia="宋体" w:cs="宋体"/>
                <w:sz w:val="21"/>
                <w:szCs w:val="21"/>
                <w:highlight w:val="none"/>
              </w:rPr>
              <w:t>提供该</w:t>
            </w:r>
            <w:r>
              <w:rPr>
                <w:rFonts w:hint="eastAsia" w:ascii="宋体" w:hAnsi="宋体" w:eastAsia="宋体" w:cs="宋体"/>
                <w:sz w:val="21"/>
                <w:szCs w:val="21"/>
              </w:rPr>
              <w:t>单元单套配置的详细配置清单（包括物料名称、规格型号、单位及数量等）。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pacing w:val="-10"/>
                <w:sz w:val="21"/>
                <w:szCs w:val="21"/>
              </w:rPr>
              <w:t>加盖拧盖单元</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both"/>
              <w:rPr>
                <w:rFonts w:hint="eastAsia" w:ascii="宋体" w:hAnsi="宋体" w:eastAsia="宋体" w:cs="宋体"/>
                <w:sz w:val="21"/>
                <w:szCs w:val="21"/>
                <w:highlight w:val="none"/>
              </w:rPr>
            </w:pPr>
            <w:r>
              <w:rPr>
                <w:rFonts w:hint="eastAsia" w:ascii="宋体" w:hAnsi="宋体" w:eastAsia="宋体" w:cs="宋体"/>
                <w:sz w:val="21"/>
                <w:szCs w:val="21"/>
              </w:rPr>
              <w:t>加盖拧盖单元由工作实训平台、加盖执行机构、拧盖执行机构、物料传输皮带等部分组成，能实现将灌装好的料瓶进行加盖及拧紧处理。工作实训平台采用钢铝结构，尺寸≥600mm×720mm×780mm，要求桌体采用§1.5mm厚的优质钢板做骨架，经过机械加工成型，外表面喷涂彩色环氧聚塑，整机既坚固耐用；桌面采用20×60mm优质专业铝型材拼接成型，可根据执行机构的联机情况随意调整安装位置；加盖机构由物料筒、落料机构、送料机构、顶料机构等部分组成，物料筒采用透明有机玻璃制作，能存放≥10个物料，落料机构采用铝制材料加工成型，送料机构、顶料机构采用气缸驱动控制；拧盖机构由拧盖主轴电机、电机护罩、拧盖升降机构、顶盖机构等部分组成，拧盖升降机构、顶盖机构由气缸驱动控制；控制系统根据控制要求布置于万能网孔控制板或桌面平台上，配置有PLC系统，以及与控制要求配套的低压控制器件，控制面板采用优质PVC内</w:t>
            </w:r>
            <w:r>
              <w:rPr>
                <w:rFonts w:hint="eastAsia" w:ascii="宋体" w:hAnsi="宋体" w:eastAsia="宋体" w:cs="宋体"/>
                <w:sz w:val="21"/>
                <w:szCs w:val="21"/>
                <w:highlight w:val="none"/>
              </w:rPr>
              <w:t>置电路“触膜式”设计，便于扩展和升级，控制按钮采用触膜式内置电路控制设计，设置有“启动、停止、运行、单机、联机、急停”等控制功能。</w:t>
            </w:r>
          </w:p>
          <w:p>
            <w:pPr>
              <w:keepNext/>
              <w:keepLines w:val="0"/>
              <w:suppressLineNumbers w:val="0"/>
              <w:spacing w:before="0" w:beforeAutospacing="0" w:after="0" w:afterAutospacing="0" w:line="320" w:lineRule="exact"/>
              <w:ind w:left="0" w:right="0"/>
              <w:rPr>
                <w:rFonts w:hint="default" w:ascii="宋体" w:hAnsi="宋体" w:eastAsia="Times New Roman" w:cs="宋体"/>
                <w:b/>
                <w:spacing w:val="-10"/>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pacing w:val="-10"/>
                <w:sz w:val="21"/>
                <w:szCs w:val="21"/>
                <w:highlight w:val="none"/>
              </w:rPr>
              <w:t>考虑外观及整体性，</w:t>
            </w:r>
            <w:r>
              <w:rPr>
                <w:rFonts w:hint="eastAsia" w:ascii="宋体" w:hAnsi="宋体" w:cs="宋体"/>
                <w:b/>
                <w:color w:val="auto"/>
                <w:spacing w:val="-10"/>
                <w:sz w:val="21"/>
                <w:szCs w:val="21"/>
                <w:highlight w:val="none"/>
                <w:lang w:eastAsia="zh-CN"/>
              </w:rPr>
              <w:t>须</w:t>
            </w:r>
            <w:r>
              <w:rPr>
                <w:rFonts w:hint="eastAsia" w:ascii="宋体" w:hAnsi="宋体" w:eastAsia="Times New Roman" w:cs="宋体"/>
                <w:b/>
                <w:spacing w:val="-10"/>
                <w:szCs w:val="21"/>
                <w:highlight w:val="none"/>
              </w:rPr>
              <w:t>在响应文件中提供产品彩页及实物照片。</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sz w:val="21"/>
                <w:szCs w:val="21"/>
              </w:rPr>
            </w:pPr>
            <w:r>
              <w:rPr>
                <w:rFonts w:hint="eastAsia" w:ascii="宋体" w:hAnsi="宋体" w:eastAsia="Times New Roman" w:cs="宋体"/>
                <w:szCs w:val="21"/>
                <w:highlight w:val="none"/>
              </w:rPr>
              <w:t>单套配置：</w:t>
            </w:r>
            <w:r>
              <w:rPr>
                <w:rFonts w:hint="eastAsia" w:ascii="宋体" w:hAnsi="宋体" w:eastAsia="Times New Roman" w:cs="宋体"/>
                <w:b/>
                <w:szCs w:val="21"/>
                <w:highlight w:val="none"/>
              </w:rPr>
              <w:t>★</w:t>
            </w:r>
            <w:r>
              <w:rPr>
                <w:rFonts w:hint="eastAsia" w:ascii="宋体" w:hAnsi="宋体" w:eastAsia="Times New Roman" w:cs="宋体"/>
                <w:szCs w:val="21"/>
                <w:highlight w:val="none"/>
              </w:rPr>
              <w:t>须在响应文件中提供该单元单套配置的详细配置清单（包括物料名称、规格型号、单位及数量等）</w:t>
            </w:r>
            <w:r>
              <w:rPr>
                <w:rFonts w:hint="eastAsia" w:ascii="宋体" w:hAnsi="宋体" w:eastAsia="Times New Roman"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pacing w:val="-10"/>
                <w:sz w:val="21"/>
                <w:szCs w:val="21"/>
              </w:rPr>
            </w:pPr>
            <w:r>
              <w:rPr>
                <w:rFonts w:hint="eastAsia" w:ascii="宋体" w:hAnsi="宋体" w:eastAsia="宋体" w:cs="宋体"/>
                <w:spacing w:val="-10"/>
                <w:sz w:val="21"/>
                <w:szCs w:val="21"/>
              </w:rPr>
              <w:t>检测分拣单元</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highlight w:val="none"/>
              </w:rPr>
            </w:pPr>
            <w:r>
              <w:rPr>
                <w:rFonts w:hint="eastAsia" w:ascii="宋体" w:hAnsi="宋体" w:eastAsia="宋体" w:cs="宋体"/>
                <w:sz w:val="21"/>
                <w:szCs w:val="21"/>
              </w:rPr>
              <w:t>检测分拣单元由工作实训平台、龙门检测机构、物料传输皮带、不合格品处置机构等部分组成，能实现对装配后的产品进行检测，并将不合格的物料进行分拣处理。工作实训平台采用钢铝结构，尺寸≥600mm×720mm×780mm，要求桌体采用§1.5mm厚的优质钢板做骨架，经过机械加工成型，外表面喷涂彩色环氧聚塑，整机既坚固耐用；桌面采用20×60mm优质专业铝型材拼接成型，可根据执行机构的联机情况随意调整安装位置；龙门检测机构采用拱门式结构，装置有反射式传感器和光纤式传感器，能进行物料有无、瓶盖拧紧与否等工况的检测，机构还装置有反应检测合格与否信号的七彩灯带，能根据物料的合格情况进行显示；物料传输皮带与前工作单元的传输皮带采用统一设计，可互换，便于扩展和管理；不合格品处置机构由推送机构、不合格品传输皮带及物料检测传感器组成，推送机构采用双轴气缸驱动，不合格品传输皮带采用直流电机驱动；控制系统根据控制要求布置于万能网孔控制板或桌面平台上，配置有PLC系统，以及与控制要求配套的低压控制器件，控制面板采用优质PVC内置电路“触膜式”设计，便于扩展和升级，控制按钮采用触膜式内置电路控制设计，设置有“启动、停止、运行、单机、联机、急停”等控制功能。</w:t>
            </w:r>
          </w:p>
          <w:p>
            <w:pPr>
              <w:keepNext/>
              <w:keepLines w:val="0"/>
              <w:suppressLineNumbers w:val="0"/>
              <w:spacing w:before="0" w:beforeAutospacing="0" w:after="0" w:afterAutospacing="0" w:line="320" w:lineRule="exact"/>
              <w:ind w:left="105" w:leftChars="50" w:right="105" w:rightChars="50"/>
              <w:rPr>
                <w:rFonts w:hint="default" w:ascii="宋体" w:hAnsi="宋体" w:eastAsia="Times New Roman" w:cs="宋体"/>
                <w:b/>
                <w:spacing w:val="-10"/>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pacing w:val="-10"/>
                <w:sz w:val="21"/>
                <w:szCs w:val="21"/>
                <w:highlight w:val="none"/>
              </w:rPr>
              <w:t>考虑外观及整体性，</w:t>
            </w:r>
            <w:r>
              <w:rPr>
                <w:rFonts w:hint="eastAsia" w:ascii="宋体" w:hAnsi="宋体" w:cs="宋体"/>
                <w:b/>
                <w:color w:val="auto"/>
                <w:spacing w:val="-10"/>
                <w:sz w:val="21"/>
                <w:szCs w:val="21"/>
                <w:highlight w:val="none"/>
                <w:lang w:eastAsia="zh-CN"/>
              </w:rPr>
              <w:t>须</w:t>
            </w:r>
            <w:r>
              <w:rPr>
                <w:rFonts w:hint="eastAsia" w:ascii="宋体" w:hAnsi="宋体" w:eastAsia="Times New Roman" w:cs="宋体"/>
                <w:b/>
                <w:spacing w:val="-10"/>
                <w:szCs w:val="21"/>
                <w:highlight w:val="none"/>
              </w:rPr>
              <w:t>在响应文件中提供产品彩页及实物照片。</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105" w:rightChars="50"/>
              <w:rPr>
                <w:rFonts w:hint="eastAsia" w:ascii="宋体" w:hAnsi="宋体" w:eastAsia="宋体" w:cs="宋体"/>
                <w:sz w:val="21"/>
                <w:szCs w:val="21"/>
              </w:rPr>
            </w:pPr>
            <w:r>
              <w:rPr>
                <w:rFonts w:hint="eastAsia" w:ascii="宋体" w:hAnsi="宋体" w:eastAsia="Times New Roman" w:cs="宋体"/>
                <w:szCs w:val="21"/>
                <w:highlight w:val="none"/>
              </w:rPr>
              <w:t>单套配置：</w:t>
            </w:r>
            <w:r>
              <w:rPr>
                <w:rFonts w:hint="eastAsia" w:ascii="宋体" w:hAnsi="宋体" w:eastAsia="Times New Roman" w:cs="宋体"/>
                <w:b/>
                <w:szCs w:val="21"/>
                <w:highlight w:val="none"/>
              </w:rPr>
              <w:t>★</w:t>
            </w:r>
            <w:r>
              <w:rPr>
                <w:rFonts w:hint="eastAsia" w:ascii="宋体" w:hAnsi="宋体" w:eastAsia="Times New Roman" w:cs="宋体"/>
                <w:szCs w:val="21"/>
                <w:highlight w:val="none"/>
              </w:rPr>
              <w:t>须在响应文件中提供该单元单套配置的详细配置清单（包括物料名称、规格型号、单位及数量等）。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sz w:val="21"/>
                <w:szCs w:val="21"/>
              </w:rPr>
              <w:t>4</w:t>
            </w:r>
          </w:p>
        </w:tc>
        <w:tc>
          <w:tcPr>
            <w:tcW w:w="730"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6轴机器人单元</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color w:val="auto"/>
                <w:sz w:val="21"/>
                <w:szCs w:val="21"/>
                <w:highlight w:val="none"/>
              </w:rPr>
            </w:pPr>
            <w:r>
              <w:rPr>
                <w:rFonts w:hint="eastAsia" w:ascii="宋体" w:hAnsi="宋体" w:eastAsia="宋体" w:cs="宋体"/>
                <w:sz w:val="21"/>
                <w:szCs w:val="21"/>
              </w:rPr>
              <w:t>6轴机器人单元由工作实训平台、6轴工业机器人、物料提升机构及其控制系统组成。工作实训平台采用钢铝结构，尺寸≥600mm×720mm×780mm，要求桌体采用§1.5mm厚的优质钢板做骨架，经过机械加工成型，外表面喷涂彩色环氧聚塑，整机既坚固耐用；桌面采用20×60mm优质专业铝型材拼接成型，可根据执行机构的联机情况随意调整安装位置；6轴工业机器人采用，载重量≥3Kg，重复定位精度0.01mm；本体重量25KG；能耗0.25KW工作范围580mm；重复定位精度0.01mm；本体重量25KG；能耗0.25KW；轴1工作范围：330°；轴2工作范围：220°；轴3工作范围：160°；轴4工作范围：320°；轴5工作范围：240°；轴6工作范围：800°。工业机器人配置有气动手抓和真空吸盘两种夹具，可实现搬运、装配、贴标等功能；物料提升机构采用步进电机控制，可同时储放三个物料，能根据使用情况实现自动提升；控制系统根据控制要求布置于万能网孔控制板或桌面平台上，配置有PLC系统，以及与控制要求配套的低压控制器件，控制面板采用优质PVC内置电路“触膜式”设计，便于扩展和升级，控制按钮采用触膜式内置电路控制设计，设置有“启动、停止、运行、单机、联机、急</w:t>
            </w:r>
            <w:r>
              <w:rPr>
                <w:rFonts w:hint="eastAsia" w:ascii="宋体" w:hAnsi="宋体" w:eastAsia="宋体" w:cs="宋体"/>
                <w:color w:val="auto"/>
                <w:sz w:val="21"/>
                <w:szCs w:val="21"/>
                <w:highlight w:val="none"/>
              </w:rPr>
              <w:t>停”等控制功能。</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105" w:rightChars="50"/>
              <w:rPr>
                <w:rFonts w:hint="eastAsia" w:ascii="宋体" w:hAnsi="宋体" w:eastAsia="宋体" w:cs="宋体"/>
                <w:sz w:val="21"/>
                <w:szCs w:val="21"/>
              </w:rPr>
            </w:pPr>
            <w:r>
              <w:rPr>
                <w:rFonts w:hint="eastAsia" w:ascii="宋体" w:hAnsi="宋体" w:eastAsia="宋体" w:cs="宋体"/>
                <w:color w:val="auto"/>
                <w:sz w:val="21"/>
                <w:szCs w:val="21"/>
                <w:highlight w:val="none"/>
              </w:rPr>
              <w:t>单套配置：</w:t>
            </w:r>
            <w:r>
              <w:rPr>
                <w:rFonts w:hint="eastAsia" w:ascii="宋体" w:hAnsi="宋体" w:eastAsia="Times New Roman" w:cs="宋体"/>
                <w:color w:val="auto"/>
                <w:szCs w:val="21"/>
                <w:highlight w:val="none"/>
              </w:rPr>
              <w:t>★须在响应文件中提供该单元单套配置的详细配置清单（包括物料名称、规格型号、单位及数量等）。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pacing w:val="-10"/>
                <w:sz w:val="21"/>
                <w:szCs w:val="21"/>
              </w:rPr>
            </w:pPr>
            <w:r>
              <w:rPr>
                <w:rFonts w:hint="eastAsia" w:ascii="宋体" w:hAnsi="宋体" w:eastAsia="宋体" w:cs="宋体"/>
                <w:spacing w:val="-10"/>
                <w:sz w:val="21"/>
                <w:szCs w:val="21"/>
              </w:rPr>
              <w:t>成品入库单元</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highlight w:val="none"/>
              </w:rPr>
            </w:pPr>
            <w:r>
              <w:rPr>
                <w:rFonts w:hint="eastAsia" w:ascii="宋体" w:hAnsi="宋体" w:eastAsia="宋体" w:cs="宋体"/>
                <w:sz w:val="21"/>
                <w:szCs w:val="21"/>
              </w:rPr>
              <w:t>成品入库单元由工作实训平台、环形仓库、环形码垛机、气压控制单元及其控制系统组成。工作实训平台采用钢铝结构，尺寸≥600mm×720mm×780mm，要求桌体采用§1.5mm厚的优质钢板做骨架，经过机械加工成型，外表面喷涂彩色环氧聚塑，整机既坚固耐用；桌面采用20×60mm优质专业铝型材拼接成型，可根据执行机构的联机情况随意调整安装位置；环形仓库采用≥8mm厚的优质铝板加工成型，按三层9仓位布置，仓位上有与物料盒规格大小一致的凹槽，偏于物料盒的存储和精准定位，每仓位均安装有检测传感器，可实时反应仓位的存储状态；环形码垛机与环形仓库配套，运动部分交流伺服系统控制，物料的取送采用真空吸盘实现，运动机构采用高精密的滚珠丝杆，可将物料盒精准的放置于每个仓位；气压控制单元由气压三联件、用气量计数器等组成，能调节用气压力，能检测和记录系统的用气数量；控制系统根据控制要求布置于万能网孔控制板或桌面平台上，配置有PLC系统、交流伺服系统以及与控制要求配套的低压控制器件，控制面板采用优质PVC内置电路“触膜式”设计，便于扩展和升级，控制按钮采用触膜式内置电路控制设计，设置有“启动、停止、运行、单</w:t>
            </w:r>
            <w:r>
              <w:rPr>
                <w:rFonts w:hint="eastAsia" w:ascii="宋体" w:hAnsi="宋体" w:eastAsia="宋体" w:cs="宋体"/>
                <w:sz w:val="21"/>
                <w:szCs w:val="21"/>
                <w:highlight w:val="none"/>
              </w:rPr>
              <w:t>机、；联机、急停”等控制功能。</w:t>
            </w:r>
          </w:p>
          <w:p>
            <w:pPr>
              <w:keepNext/>
              <w:keepLines w:val="0"/>
              <w:suppressLineNumbers w:val="0"/>
              <w:spacing w:before="0" w:beforeAutospacing="0" w:after="0" w:afterAutospacing="0" w:line="320" w:lineRule="exact"/>
              <w:ind w:left="105" w:leftChars="50" w:right="105" w:rightChars="50"/>
              <w:rPr>
                <w:rFonts w:hint="default" w:ascii="宋体" w:hAnsi="宋体" w:eastAsia="Times New Roman" w:cs="宋体"/>
                <w:b/>
                <w:spacing w:val="-10"/>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pacing w:val="-10"/>
                <w:sz w:val="21"/>
                <w:szCs w:val="21"/>
                <w:highlight w:val="none"/>
              </w:rPr>
              <w:t>考虑外观及整体性，</w:t>
            </w:r>
            <w:r>
              <w:rPr>
                <w:rFonts w:hint="eastAsia" w:ascii="宋体" w:hAnsi="宋体" w:cs="宋体"/>
                <w:b/>
                <w:color w:val="auto"/>
                <w:spacing w:val="-10"/>
                <w:sz w:val="21"/>
                <w:szCs w:val="21"/>
                <w:highlight w:val="none"/>
                <w:lang w:eastAsia="zh-CN"/>
              </w:rPr>
              <w:t>须</w:t>
            </w:r>
            <w:r>
              <w:rPr>
                <w:rFonts w:hint="eastAsia" w:ascii="宋体" w:hAnsi="宋体" w:eastAsia="Times New Roman" w:cs="宋体"/>
                <w:b/>
                <w:spacing w:val="-10"/>
                <w:szCs w:val="21"/>
                <w:highlight w:val="none"/>
              </w:rPr>
              <w:t>在响应文件中提供产品彩页及实物照片。</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105" w:rightChars="50"/>
              <w:rPr>
                <w:rFonts w:hint="eastAsia" w:ascii="宋体" w:hAnsi="宋体" w:eastAsia="宋体" w:cs="宋体"/>
                <w:sz w:val="21"/>
                <w:szCs w:val="21"/>
              </w:rPr>
            </w:pPr>
            <w:r>
              <w:rPr>
                <w:rFonts w:hint="eastAsia" w:ascii="宋体" w:hAnsi="宋体" w:eastAsia="Times New Roman" w:cs="宋体"/>
                <w:szCs w:val="21"/>
                <w:highlight w:val="none"/>
              </w:rPr>
              <w:t>单套配置：</w:t>
            </w:r>
            <w:r>
              <w:rPr>
                <w:rFonts w:hint="eastAsia" w:ascii="宋体" w:hAnsi="宋体" w:eastAsia="Times New Roman" w:cs="宋体"/>
                <w:b/>
                <w:szCs w:val="21"/>
                <w:highlight w:val="none"/>
              </w:rPr>
              <w:t>★</w:t>
            </w:r>
            <w:r>
              <w:rPr>
                <w:rFonts w:hint="eastAsia" w:ascii="宋体" w:hAnsi="宋体" w:eastAsia="Times New Roman" w:cs="宋体"/>
                <w:szCs w:val="21"/>
                <w:highlight w:val="none"/>
              </w:rPr>
              <w:t>须在响应文件中提供该单元单套配置的详细配置清单（包括物料名称、规格型号、单位及数量等）。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sz w:val="21"/>
                <w:szCs w:val="21"/>
              </w:rPr>
            </w:pPr>
            <w:r>
              <w:rPr>
                <w:rFonts w:hint="eastAsia" w:ascii="宋体" w:hAnsi="宋体" w:eastAsia="宋体" w:cs="宋体"/>
                <w:sz w:val="21"/>
                <w:szCs w:val="21"/>
              </w:rPr>
              <w:t>6</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pacing w:val="-10"/>
                <w:sz w:val="21"/>
                <w:szCs w:val="21"/>
              </w:rPr>
            </w:pPr>
            <w:r>
              <w:rPr>
                <w:rFonts w:hint="eastAsia" w:ascii="宋体" w:hAnsi="宋体" w:eastAsia="宋体" w:cs="宋体"/>
                <w:spacing w:val="-10"/>
                <w:sz w:val="21"/>
                <w:szCs w:val="21"/>
              </w:rPr>
              <w:t>触摸屏单元</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left"/>
              <w:rPr>
                <w:rFonts w:hint="eastAsia" w:ascii="宋体" w:hAnsi="宋体" w:eastAsia="宋体" w:cs="宋体"/>
                <w:sz w:val="21"/>
                <w:szCs w:val="21"/>
              </w:rPr>
            </w:pPr>
            <w:r>
              <w:rPr>
                <w:rFonts w:hint="eastAsia" w:ascii="宋体" w:hAnsi="宋体" w:eastAsia="宋体" w:cs="宋体"/>
                <w:sz w:val="21"/>
                <w:szCs w:val="21"/>
              </w:rPr>
              <w:t>7寸宽屏触摸被安装在成品入仓单元，与成品入仓单元控制器PLC连接通讯，其他单元的监控信号由此单元的PLC通过485网络通讯获得。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pacing w:val="-10"/>
                <w:sz w:val="21"/>
                <w:szCs w:val="21"/>
              </w:rPr>
            </w:pPr>
            <w:r>
              <w:rPr>
                <w:rFonts w:hint="eastAsia" w:ascii="宋体" w:hAnsi="宋体" w:eastAsia="宋体" w:cs="宋体"/>
                <w:sz w:val="21"/>
                <w:szCs w:val="21"/>
              </w:rPr>
              <w:t>电源盒组件</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745"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为8个单元提供交流电源；</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具有漏电保护、过流保护、等用电安全保护功能。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pacing w:val="-10"/>
                <w:sz w:val="21"/>
                <w:szCs w:val="21"/>
              </w:rPr>
            </w:pPr>
            <w:r>
              <w:rPr>
                <w:rFonts w:hint="eastAsia" w:ascii="宋体" w:hAnsi="宋体" w:eastAsia="宋体" w:cs="宋体"/>
                <w:sz w:val="21"/>
                <w:szCs w:val="21"/>
              </w:rPr>
              <w:t>计算机编程工作台</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sz w:val="21"/>
                <w:szCs w:val="21"/>
              </w:rPr>
              <w:t>2套</w:t>
            </w: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长x宽x高：≈600mm×700mm×720mm。</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钢制框架，高密度面板。</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105" w:firstLineChars="5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可移动定位。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z w:val="21"/>
                <w:szCs w:val="21"/>
              </w:rPr>
              <w:t>9</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pacing w:val="-10"/>
                <w:sz w:val="21"/>
                <w:szCs w:val="21"/>
              </w:rPr>
            </w:pPr>
            <w:r>
              <w:rPr>
                <w:rFonts w:hint="eastAsia" w:ascii="宋体" w:hAnsi="宋体" w:eastAsia="宋体" w:cs="宋体"/>
                <w:sz w:val="21"/>
                <w:szCs w:val="21"/>
              </w:rPr>
              <w:t>装配与维修工作台</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r>
              <w:rPr>
                <w:rFonts w:hint="eastAsia" w:ascii="宋体" w:hAnsi="宋体" w:eastAsia="宋体" w:cs="宋体"/>
                <w:sz w:val="21"/>
                <w:szCs w:val="21"/>
              </w:rPr>
              <w:t>2套</w:t>
            </w: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315" w:leftChars="50" w:right="105" w:rightChars="50" w:hanging="210" w:hangingChars="1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要求由台身和台面、和工具柜三大部分组成。台身用方管焊接喷塑后组装连接，台面用高密度中纤板，表面贴压防火板，耐腐蚀、防静电。</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要求每台装配桌带一个220V电源插座，插座不占用台面空间；</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要求带一体化存储式工具柜，2层抽屉式，带管理功能。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pacing w:val="-10"/>
                <w:sz w:val="21"/>
                <w:szCs w:val="21"/>
              </w:rPr>
            </w:pPr>
            <w:r>
              <w:rPr>
                <w:rFonts w:hint="eastAsia" w:ascii="宋体" w:hAnsi="宋体" w:eastAsia="宋体" w:cs="宋体"/>
                <w:sz w:val="21"/>
                <w:szCs w:val="21"/>
              </w:rPr>
              <w:t>使用说明书</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rPr>
            </w:pP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
                <w:spacing w:val="-10"/>
                <w:sz w:val="21"/>
                <w:szCs w:val="21"/>
                <w:highlight w:val="none"/>
              </w:rPr>
              <w:t>合同签订</w:t>
            </w:r>
            <w:r>
              <w:rPr>
                <w:rFonts w:hint="eastAsia" w:ascii="宋体" w:hAnsi="宋体" w:cs="宋体"/>
                <w:b/>
                <w:spacing w:val="-10"/>
                <w:sz w:val="21"/>
                <w:szCs w:val="21"/>
                <w:highlight w:val="none"/>
                <w:lang w:eastAsia="zh-CN"/>
              </w:rPr>
              <w:t>生效</w:t>
            </w:r>
            <w:r>
              <w:rPr>
                <w:rFonts w:hint="eastAsia" w:ascii="宋体" w:hAnsi="宋体" w:eastAsia="宋体" w:cs="宋体"/>
                <w:b/>
                <w:spacing w:val="-10"/>
                <w:sz w:val="21"/>
                <w:szCs w:val="21"/>
                <w:highlight w:val="none"/>
                <w:lang w:eastAsia="zh-CN"/>
              </w:rPr>
              <w:t>后</w:t>
            </w:r>
            <w:r>
              <w:rPr>
                <w:rFonts w:hint="eastAsia" w:ascii="宋体" w:hAnsi="宋体" w:cs="宋体"/>
                <w:b/>
                <w:spacing w:val="-10"/>
                <w:sz w:val="21"/>
                <w:szCs w:val="21"/>
                <w:highlight w:val="none"/>
                <w:lang w:eastAsia="zh-CN"/>
              </w:rPr>
              <w:t>需按采购人的要求提</w:t>
            </w:r>
            <w:r>
              <w:rPr>
                <w:rFonts w:hint="eastAsia" w:ascii="宋体" w:hAnsi="宋体" w:eastAsia="宋体" w:cs="宋体"/>
                <w:sz w:val="21"/>
                <w:szCs w:val="21"/>
                <w:highlight w:val="none"/>
              </w:rPr>
              <w:t>供与投标设备及所投课程任务一致的使用说明书</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机电一体化综合实训考核设备</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工业机器人基础工作站</w:t>
            </w:r>
            <w:r>
              <w:rPr>
                <w:rFonts w:hint="eastAsia" w:ascii="宋体" w:hAnsi="宋体" w:eastAsia="宋体" w:cs="宋体"/>
                <w:sz w:val="21"/>
                <w:szCs w:val="21"/>
                <w:highlight w:val="none"/>
                <w:lang w:val="zh-CN"/>
              </w:rPr>
              <w:t>》各一本。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z w:val="21"/>
                <w:szCs w:val="21"/>
              </w:rPr>
              <w:t>11</w:t>
            </w:r>
          </w:p>
        </w:tc>
        <w:tc>
          <w:tcPr>
            <w:tcW w:w="730"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pacing w:val="-10"/>
                <w:sz w:val="21"/>
                <w:szCs w:val="21"/>
              </w:rPr>
            </w:pPr>
            <w:r>
              <w:rPr>
                <w:rFonts w:hint="eastAsia" w:ascii="宋体" w:hAnsi="宋体" w:eastAsia="宋体" w:cs="宋体"/>
                <w:sz w:val="21"/>
                <w:szCs w:val="21"/>
              </w:rPr>
              <w:t>教材学材</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校企共同编写与开发配套教材、工作页或作业指导书，</w:t>
            </w:r>
            <w:r>
              <w:rPr>
                <w:rFonts w:hint="eastAsia" w:ascii="宋体" w:hAnsi="宋体" w:eastAsia="宋体" w:cs="宋体"/>
                <w:b/>
                <w:spacing w:val="-10"/>
                <w:sz w:val="21"/>
                <w:szCs w:val="21"/>
                <w:highlight w:val="none"/>
              </w:rPr>
              <w:t>合同签订</w:t>
            </w:r>
            <w:r>
              <w:rPr>
                <w:rFonts w:hint="eastAsia" w:ascii="宋体" w:hAnsi="宋体" w:cs="宋体"/>
                <w:b/>
                <w:spacing w:val="-10"/>
                <w:sz w:val="21"/>
                <w:szCs w:val="21"/>
                <w:highlight w:val="none"/>
                <w:lang w:eastAsia="zh-CN"/>
              </w:rPr>
              <w:t>生效</w:t>
            </w:r>
            <w:r>
              <w:rPr>
                <w:rFonts w:hint="eastAsia" w:ascii="宋体" w:hAnsi="宋体" w:eastAsia="宋体" w:cs="宋体"/>
                <w:b/>
                <w:spacing w:val="-10"/>
                <w:sz w:val="21"/>
                <w:szCs w:val="21"/>
                <w:highlight w:val="none"/>
                <w:lang w:eastAsia="zh-CN"/>
              </w:rPr>
              <w:t>后</w:t>
            </w:r>
            <w:r>
              <w:rPr>
                <w:rFonts w:hint="eastAsia" w:ascii="宋体" w:hAnsi="宋体" w:cs="宋体"/>
                <w:b/>
                <w:spacing w:val="-10"/>
                <w:sz w:val="21"/>
                <w:szCs w:val="21"/>
                <w:highlight w:val="none"/>
                <w:lang w:eastAsia="zh-CN"/>
              </w:rPr>
              <w:t>需按采购人的要求</w:t>
            </w:r>
            <w:r>
              <w:rPr>
                <w:rFonts w:hint="eastAsia" w:ascii="宋体" w:hAnsi="宋体" w:eastAsia="宋体" w:cs="宋体"/>
                <w:sz w:val="21"/>
                <w:szCs w:val="21"/>
                <w:highlight w:val="none"/>
              </w:rPr>
              <w:t>提供相配套的正规出版社出版的机电一体化教材5本：</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《PLC与触摸屏技能工作岛学习工作页》</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《传感器技能工作岛学习工作页》</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《机械装调技能工作岛学习工作页》（铣）</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《电子技能工作岛学习工作页》</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《驱动技能工作岛学习工作页》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14"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730"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spacing w:val="-10"/>
                <w:sz w:val="21"/>
                <w:szCs w:val="21"/>
              </w:rPr>
            </w:pPr>
            <w:r>
              <w:rPr>
                <w:rFonts w:hint="eastAsia" w:ascii="宋体" w:hAnsi="宋体" w:eastAsia="宋体" w:cs="宋体"/>
                <w:kern w:val="1"/>
                <w:sz w:val="21"/>
                <w:szCs w:val="21"/>
              </w:rPr>
              <w:t>设备技术性能</w:t>
            </w:r>
          </w:p>
        </w:tc>
        <w:tc>
          <w:tcPr>
            <w:tcW w:w="309" w:type="pct"/>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kern w:val="0"/>
                <w:sz w:val="21"/>
                <w:szCs w:val="21"/>
                <w:highlight w:val="none"/>
              </w:rPr>
            </w:pPr>
          </w:p>
        </w:tc>
        <w:tc>
          <w:tcPr>
            <w:tcW w:w="3745"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设备技术性能：</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额定电压：AC</w:t>
            </w:r>
            <w:r>
              <w:rPr>
                <w:rFonts w:hint="eastAsia" w:ascii="宋体" w:hAnsi="宋体" w:eastAsia="宋体" w:cs="宋体"/>
                <w:bCs/>
                <w:sz w:val="21"/>
                <w:szCs w:val="21"/>
                <w:highlight w:val="none"/>
              </w:rPr>
              <w:t>220V</w:t>
            </w:r>
            <w:r>
              <w:rPr>
                <w:rFonts w:hint="eastAsia" w:ascii="宋体" w:hAnsi="宋体" w:eastAsia="宋体" w:cs="宋体"/>
                <w:sz w:val="21"/>
                <w:szCs w:val="21"/>
                <w:highlight w:val="none"/>
              </w:rPr>
              <w:t xml:space="preserve"> ±10%</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额定功率：≤3.3KW</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环境湿度：≤90% </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安全保护功能：急停按钮，漏电保护，过欠压保护，过流保护，过热保护。</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525" w:right="0" w:hanging="525"/>
              <w:rPr>
                <w:rFonts w:hint="eastAsia" w:ascii="宋体" w:hAnsi="宋体" w:eastAsia="宋体" w:cs="宋体"/>
                <w:sz w:val="21"/>
                <w:szCs w:val="21"/>
                <w:highlight w:val="none"/>
              </w:rPr>
            </w:pPr>
            <w:r>
              <w:rPr>
                <w:rFonts w:hint="eastAsia" w:ascii="宋体" w:hAnsi="宋体" w:eastAsia="宋体" w:cs="宋体"/>
                <w:sz w:val="21"/>
                <w:szCs w:val="21"/>
                <w:highlight w:val="none"/>
              </w:rPr>
              <w:t>PLC: 输入输出总点数40点的1只（晶体管输出性）；32点的2只；60点的1只；64点的1只，继电器输出。</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伺服：能够匹配PLC进行执行机构的精确运动控制。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变频器:能够匹配PLC和电机进行运动机构的调速控制。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触摸屏：≥10英寸</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步进电机：XY系列</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bCs/>
                <w:sz w:val="21"/>
                <w:szCs w:val="21"/>
                <w:highlight w:val="none"/>
              </w:rPr>
            </w:pPr>
            <w:r>
              <w:rPr>
                <w:rFonts w:hint="eastAsia" w:ascii="宋体" w:hAnsi="宋体" w:eastAsia="宋体" w:cs="宋体"/>
                <w:sz w:val="21"/>
                <w:szCs w:val="21"/>
                <w:highlight w:val="none"/>
              </w:rPr>
              <w:t>机器人：</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机器人控制器： 1.投标设备必须是全新的正品（包括零部件、附件、备件）。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b/>
                <w:bCs/>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
                <w:spacing w:val="-10"/>
                <w:sz w:val="21"/>
                <w:szCs w:val="21"/>
                <w:highlight w:val="none"/>
              </w:rPr>
              <w:t>合同签订</w:t>
            </w:r>
            <w:r>
              <w:rPr>
                <w:rFonts w:hint="eastAsia" w:ascii="宋体" w:hAnsi="宋体" w:cs="宋体"/>
                <w:b/>
                <w:spacing w:val="-10"/>
                <w:sz w:val="21"/>
                <w:szCs w:val="21"/>
                <w:highlight w:val="none"/>
                <w:lang w:eastAsia="zh-CN"/>
              </w:rPr>
              <w:t>生效</w:t>
            </w:r>
            <w:r>
              <w:rPr>
                <w:rFonts w:hint="eastAsia" w:ascii="宋体" w:hAnsi="宋体" w:eastAsia="宋体" w:cs="宋体"/>
                <w:b/>
                <w:spacing w:val="-10"/>
                <w:sz w:val="21"/>
                <w:szCs w:val="21"/>
                <w:highlight w:val="none"/>
                <w:lang w:eastAsia="zh-CN"/>
              </w:rPr>
              <w:t>后</w:t>
            </w:r>
            <w:r>
              <w:rPr>
                <w:rFonts w:hint="eastAsia" w:ascii="宋体" w:hAnsi="宋体" w:cs="宋体"/>
                <w:b/>
                <w:spacing w:val="-10"/>
                <w:sz w:val="21"/>
                <w:szCs w:val="21"/>
                <w:highlight w:val="none"/>
                <w:lang w:eastAsia="zh-CN"/>
              </w:rPr>
              <w:t>需按采购人的要求</w:t>
            </w:r>
            <w:r>
              <w:rPr>
                <w:rFonts w:hint="eastAsia" w:ascii="宋体" w:hAnsi="宋体" w:eastAsia="宋体" w:cs="宋体"/>
                <w:b/>
                <w:bCs/>
                <w:sz w:val="21"/>
                <w:szCs w:val="21"/>
                <w:highlight w:val="none"/>
              </w:rPr>
              <w:t>提供符合设备功能要求的产品宣传资料。</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实训设备必须能够完成的实训考核项目</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PLC基础任务实训</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（1）PLC定时器元件应用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（2）PLC计数器元件应用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（3）PLC PLSR指令及相关特殊功能元件应用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（4）PLC PLSY指令及相关特殊功能元件应用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（5）PLC高速脉冲输入及相关特殊功能元件应用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（6）From/To模块读写特殊功能指令应用 </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（7）PLC PID特殊功能指令应用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（8）PLC RS协议通讯指令及相关特殊功能元件应用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（9）PLC N：N网络通讯令及相关特殊功能元件应用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（10）PLC 并行连接模式网络通讯及相关特殊功能元件应用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机械装调基础实训</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（1）机械图样识读</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（2）装配前、后零件及设备的检测</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（3）装配的划线、找正</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（4）轴瓦等配合面的锉削、刮削。</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（5）典型零、部件的装配与调试。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（6）气动元件的装配、调试与管路连接。</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rPr>
                <w:rFonts w:hint="eastAsia" w:ascii="宋体" w:hAnsi="宋体" w:eastAsia="宋体" w:cs="宋体"/>
                <w:sz w:val="21"/>
                <w:szCs w:val="21"/>
                <w:highlight w:val="none"/>
              </w:rPr>
            </w:pPr>
            <w:r>
              <w:rPr>
                <w:rFonts w:hint="eastAsia" w:ascii="宋体" w:hAnsi="宋体" w:eastAsia="宋体" w:cs="宋体"/>
                <w:sz w:val="21"/>
                <w:szCs w:val="21"/>
                <w:highlight w:val="none"/>
              </w:rPr>
              <w:t>（7）电机、轴承、挡圈、连轴器、同步轮、同步带、平带、传感器的装配与调试。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（8）轴承、蜗轮、蜗杆、滚珠丝杠的润滑。</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触摸屏</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（1）触摸屏的工程创建、编辑与下载操作</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（2）触摸屏的离线模拟应用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（3）触摸屏的在线模拟应用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（4）触摸屏的输入输出位元件应用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（5）触摸屏的输入输出字元件应用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（6）触摸屏的XY曲线图形元件应用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（7）触摸屏的动画元件应用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（8）触摸屏的数值、文本输入显示元件应用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（9）触摸屏的报警信息、事件登录等元件的应用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（10）触摸屏的定时器等元件的应用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（11）触摸屏的系统综合应用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上料灌装单元</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（1）光电传感器的接线与调试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（2）直流电机的接线与调试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（3）双联气缸的安装和气量调节与磁性开关的接线和位置调整</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（4）基于皮带输送机构的机械安装与调试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（5）基于灌装机构的机械安装与调试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（6）基于上料灌装单元控制挂板的电气安装与调试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（7）基于上料灌装单元模型综合安装、接线与调试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（8）基于PLC的皮带上料机构运行控制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（9）基于PLC的灌装机构运行控制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（10）基于PLC的上料灌装单元综合运行控制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加盖拧盖单元</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（1）光电传感器的接线与调试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（2）直流电机的接线与调试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（3）笔型气缸的安装和气量调节与磁性开关的接线和位置调整</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（4）双联气缸的安装和气量调节与磁性开关的接线和位置调整</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（5）基于皮带输送机构的机械安装与调试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（6）基于加盖机构的机械安装与调试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（7）基于拧盖机构的机械安装与调试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（8）基于加盖拧盖单元控制挂板的电气安装与调试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（9）基于加盖拧盖单元模型综合安装、接线与调试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（10）基于PLC的加盖机构运行控制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（11）基于PLC的拧盖机构运行控制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（12）基于PLC的加盖拧盖单元综合运行控制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检测分拣单元</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（1）光电传感器的接线与调试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（2）光纤传感器的接线与调试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（3）测水传感器的接线与调试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（4）直流电机的接线与调试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（5）双联气缸的安装和气量调节与磁性开关的接线和位置调整</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（6）基于皮带输送机构的机械安装与调试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（7）基于检测分拣单元控制挂板的电气安装与调试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（8）基于检测分拣单元模型综合安装、接线与调试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（9）基于PLC的检测分拣单元综合运行控制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6轴机器人搬运单元</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（1）光电传感器的接线与调试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（2）行程开关的接线与调试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（3）步进电机的接线与调试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（4）双联气缸的安装和气量调节与磁性开关的接线和位置调整</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（5）基于步进升降机构的机械安装与调试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（6）基于机器人夹具的机械安装与调试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（7）6轴机器人的组成应用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（8）6轴机器人的初始化应用操作</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（9）6轴机器人的编程/仿真软件应用操作</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（10）6轴机器人的示教单元应用操作</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（11）6轴机器人控制器应用操作</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（12）6轴机器人的应用编程</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（13）6轴机器人的IO通讯应用设计</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（14）6轴机器人的RS232通讯应用设计</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（15）6轴机器人的安全操作应用设计</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（16）6轴机器人的综合应用设计</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（17）基于PLC的步进升降机构运行控制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（18）基于PLC的6轴机器人物料瓶子吸取放置应用控制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（19）基于PLC的6轴机器人搬运单元综合运行控制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立体仓库单元</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（1）光电传感器的接线与调试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（2）行程开关的接线与调试</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（3）气动吸盘安装与应用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（4）双联气缸的安装和气量调节与磁性开关的接线和位置调整</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（5）伺服驱动器的限位保护参数设置</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（6）伺服驱动器的电子齿轮比参数设备</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（7）伺服驱动器的位置模式运行控制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（8）伺服电机的力矩模式运行控制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（9）伺服电机的速度模式运行控制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（10）基于PLC PLSR指令的运行控制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（11）基于PLC PLSY指令的运行控制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（12）基于PLC的水平轴定位运行控制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（13）基于PLC的垂直轴定位运行控制</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105" w:rightChars="50"/>
              <w:rPr>
                <w:rFonts w:hint="eastAsia" w:ascii="宋体" w:hAnsi="宋体" w:eastAsia="宋体" w:cs="宋体"/>
                <w:sz w:val="21"/>
                <w:szCs w:val="21"/>
                <w:highlight w:val="none"/>
              </w:rPr>
            </w:pPr>
            <w:r>
              <w:rPr>
                <w:rFonts w:hint="eastAsia" w:ascii="宋体" w:hAnsi="宋体" w:eastAsia="宋体" w:cs="宋体"/>
                <w:sz w:val="21"/>
                <w:szCs w:val="21"/>
                <w:highlight w:val="none"/>
              </w:rPr>
              <w:t>（14）基于PLC立体仓库综合运行控制</w:t>
            </w:r>
          </w:p>
        </w:tc>
      </w:tr>
    </w:tbl>
    <w:p>
      <w:pPr>
        <w:keepNext/>
        <w:pageBreakBefore w:val="0"/>
        <w:kinsoku/>
        <w:wordWrap/>
        <w:overflowPunct/>
        <w:topLinePunct w:val="0"/>
        <w:autoSpaceDE/>
        <w:autoSpaceDN/>
        <w:bidi w:val="0"/>
        <w:spacing w:line="480" w:lineRule="exact"/>
        <w:jc w:val="both"/>
        <w:rPr>
          <w:rFonts w:hint="eastAsia" w:ascii="宋体" w:hAnsi="宋体" w:cs="宋体"/>
          <w:b w:val="0"/>
          <w:bCs w:val="0"/>
          <w:sz w:val="21"/>
          <w:szCs w:val="21"/>
        </w:rPr>
      </w:pPr>
    </w:p>
    <w:p>
      <w:pPr>
        <w:pStyle w:val="5"/>
        <w:keepNext/>
        <w:pageBreakBefore w:val="0"/>
        <w:kinsoku/>
        <w:wordWrap/>
        <w:overflowPunct/>
        <w:topLinePunct w:val="0"/>
        <w:autoSpaceDE/>
        <w:autoSpaceDN/>
        <w:bidi w:val="0"/>
        <w:jc w:val="center"/>
        <w:rPr>
          <w:rFonts w:hint="default" w:ascii="宋体" w:hAnsi="宋体" w:cs="宋体"/>
          <w:b/>
          <w:bCs/>
          <w:kern w:val="2"/>
          <w:sz w:val="28"/>
          <w:szCs w:val="28"/>
          <w:lang w:val="en-US" w:eastAsia="zh-CN" w:bidi="ar-SA"/>
        </w:rPr>
      </w:pPr>
      <w:r>
        <w:rPr>
          <w:rFonts w:hint="eastAsia" w:ascii="宋体" w:hAnsi="宋体" w:cs="宋体"/>
          <w:b/>
          <w:bCs/>
          <w:kern w:val="2"/>
          <w:sz w:val="28"/>
          <w:szCs w:val="28"/>
          <w:lang w:val="en-US" w:eastAsia="zh-CN" w:bidi="ar-SA"/>
        </w:rPr>
        <w:t>C分标  机电系设备采购及安装</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708"/>
        <w:gridCol w:w="715"/>
        <w:gridCol w:w="662"/>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846"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货物名称</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单位</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详细技术参数及配备要求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绝缘电阻测试仪</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四档测试电压/USB软件数据线/极化指数PI/可记录18笔数据/带电源适配器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纯电动汽车动力系统虚拟故障诊断车</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组成部件、及各部件详细技术参数要求详见附件4：设备组成部件及参数中1（适用</w:t>
            </w:r>
            <w:r>
              <w:rPr>
                <w:rFonts w:hint="eastAsia" w:ascii="宋体" w:hAnsi="宋体" w:cs="宋体"/>
                <w:b w:val="0"/>
                <w:bCs w:val="0"/>
                <w:color w:val="auto"/>
                <w:sz w:val="21"/>
                <w:szCs w:val="21"/>
                <w:vertAlign w:val="baseline"/>
                <w:lang w:val="en-US" w:eastAsia="zh-CN"/>
              </w:rPr>
              <w:t>采购人现有的教学车辆——</w:t>
            </w:r>
            <w:r>
              <w:rPr>
                <w:rFonts w:hint="eastAsia" w:ascii="宋体" w:hAnsi="宋体" w:eastAsia="宋体" w:cs="宋体"/>
                <w:b w:val="0"/>
                <w:bCs w:val="0"/>
                <w:color w:val="auto"/>
                <w:sz w:val="21"/>
                <w:szCs w:val="21"/>
                <w:vertAlign w:val="baseline"/>
                <w:lang w:val="en-US" w:eastAsia="zh-CN"/>
              </w:rPr>
              <w:t>比亚迪E5）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纯电动汽车虚拟故障诊断车</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组成部件、及各部件详细技术参数要求详见附件4：设备组成部件及参数中2（适用</w:t>
            </w:r>
            <w:r>
              <w:rPr>
                <w:rFonts w:hint="eastAsia" w:ascii="宋体" w:hAnsi="宋体" w:cs="宋体"/>
                <w:b w:val="0"/>
                <w:bCs w:val="0"/>
                <w:color w:val="auto"/>
                <w:sz w:val="21"/>
                <w:szCs w:val="21"/>
                <w:vertAlign w:val="baseline"/>
                <w:lang w:val="en-US" w:eastAsia="zh-CN"/>
              </w:rPr>
              <w:t>采购人现有的教学车辆——</w:t>
            </w:r>
            <w:r>
              <w:rPr>
                <w:rFonts w:hint="eastAsia" w:ascii="宋体" w:hAnsi="宋体" w:eastAsia="宋体" w:cs="宋体"/>
                <w:b w:val="0"/>
                <w:bCs w:val="0"/>
                <w:color w:val="auto"/>
                <w:sz w:val="21"/>
                <w:szCs w:val="21"/>
                <w:vertAlign w:val="baseline"/>
                <w:lang w:val="en-US" w:eastAsia="zh-CN"/>
              </w:rPr>
              <w:t>吉利帝豪EV450）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训练用模拟除颤仪</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产品介绍:自动体外除颤仪（训练专用）使用于高等医学院校、护理学院、职业卫生学院、医院医师进行BLS（基础生命支持）教学、训练使用。通过训练操作，使学生熟悉BLS的急救过程和步骤，掌握自动体外除颤仪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心肺复苏模拟人（全身）</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1.材料：采用进口热塑弹性混合材料，手感真实，肤色统一、形态逼真、消毒清洗不变形。</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2.功能：采用8寸显示屏：可现实可现实心脏搏动和心电图，CPR操作动作显示； 模拟人特征：初始状态瞳孔放大，颈动脉无搏动；按压过程中，颈动脉被动搏动，搏动频率与按压频率一致；抢救成功后，液晶瞳孔恢复正常，颈动脉自主搏动；颈动脉和瞳孔缩放可根据教学需要开关开启和关闭。可进行人工呼吸和心外按压；可进行CPR考核、国际心肺复苏标准考核及自主设定实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教师训练管理工作站设备</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教师训练管理工作站可通过服务器设备在后台设定训练项目的选取及参数、考试训练管理、实时控制学员的培训。</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教师训练管理工作系统数据与虚拟实训数据实时传输，教师训练管理工作系统控制虚拟实训，虚拟实训数据实时反馈至教师训练管理工作系统。</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设备还需要满足以下功能：</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1.所有任务选择及设置无需鼠标键盘操作；</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2.设备需要包括仿真工具架，且与管理工作设备为一体化设计；</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3.仿真工具架具备给仿真工具充电功能；</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4.设备具备辅助可穿戴式体感设备使用的功能，符合人体工程学设计；</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5.设备具备定位设备安装功能，材质必须为钣金烤漆。</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210" w:leftChars="100" w:right="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配置参数:Core i7中央处理器；具备HDMI、3*DVI、VGA及音频等接口；</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内存储器：不低于2GB；</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存储空间：不低于60GB；</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显示参数：</w:t>
            </w:r>
            <w:r>
              <w:rPr>
                <w:rFonts w:hint="eastAsia" w:ascii="宋体" w:hAnsi="宋体" w:eastAsia="宋体" w:cs="宋体"/>
                <w:b w:val="0"/>
                <w:bCs w:val="0"/>
                <w:sz w:val="21"/>
                <w:szCs w:val="21"/>
                <w:vertAlign w:val="baseline"/>
                <w:lang w:val="en-US" w:eastAsia="zh-CN"/>
              </w:rPr>
              <w:t>屏幕比例：16:9;</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最佳分辨率：1920 x 1080;</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vertAlign w:val="baseline"/>
                <w:lang w:val="en-US" w:eastAsia="zh-CN"/>
              </w:rPr>
              <w:t>响应时间</w:t>
            </w:r>
            <w:r>
              <w:rPr>
                <w:rFonts w:hint="eastAsia" w:ascii="宋体" w:hAnsi="宋体" w:eastAsia="宋体" w:cs="宋体"/>
                <w:b w:val="0"/>
                <w:bCs w:val="0"/>
                <w:color w:val="auto"/>
                <w:sz w:val="21"/>
                <w:szCs w:val="21"/>
                <w:vertAlign w:val="baseline"/>
                <w:lang w:val="en-US" w:eastAsia="zh-CN"/>
              </w:rPr>
              <w:t>：2ms;亮度：250cd/m2;</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接口：4个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实物仿真汽车柱式举升机</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实物仿真汽车柱式举升机可与系统进行数据交互传输，定位及实时显示虚拟车辆的举升高度；</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主要功能：</w:t>
            </w:r>
          </w:p>
          <w:p>
            <w:pPr>
              <w:keepNext/>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1.为虚拟车辆提供维修操作工位；2.举升功能；</w:t>
            </w:r>
          </w:p>
          <w:p>
            <w:pPr>
              <w:keepNext/>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3.锁止功能；4.实物控制器；</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包含以下硬件模块</w:t>
            </w:r>
            <w:r>
              <w:rPr>
                <w:rFonts w:hint="eastAsia" w:ascii="宋体" w:hAnsi="宋体" w:cs="宋体"/>
                <w:b w:val="0"/>
                <w:bCs w:val="0"/>
                <w:sz w:val="21"/>
                <w:szCs w:val="21"/>
                <w:vertAlign w:val="baseline"/>
                <w:lang w:val="en-US" w:eastAsia="zh-CN"/>
              </w:rPr>
              <w:t>：</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1.LED展示模块：模拟汽车在虚拟环境中举升的高度，实时同步展示；</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210" w:right="0" w:hanging="210" w:hangingChars="1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2.实物控制器：具有锁止、举升、下降等实物摇杆及按钮。满足与虚拟汽车数据的交互，实现锁止、举升、下降等功能。该实物控制模块可以实现未锁止设备就进行虚拟操作时会引发虚拟汽车垮塌的安全事故。</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装置空间尺寸：长*宽*高：不小于4.1m* 4.3m* 2.9m；材质为金属结构件。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多功能工具套件</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可兼容新能源汽车维修多种常用工具，且工具套件能与服务器进行实时数据传输，具备高精度定位功能和可追踪性，满足多种维修工作任务。工具须包含虚拟绝缘开口扳手、绝缘螺丝刀、绝缘套筒扳手、绝缘扭力扳手、大撬、放电仪、数字万用表。功能：可按操作任务需求，实时切换不同工具设备；具有交互操作功能，可追踪捕捉操作动作并且可以直接通过手部动作进行交互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可穿戴式体感设备</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焦距调节：可双眼同步调节；</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分辨率：不低于2160×1200；</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视场角度：不低于110°；</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刷新率：不大于90Hz；</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vertAlign w:val="baseline"/>
                <w:lang w:val="en-US" w:eastAsia="zh-CN"/>
              </w:rPr>
              <w:t>数据反馈延迟：不大于</w:t>
            </w:r>
            <w:r>
              <w:rPr>
                <w:rFonts w:hint="eastAsia" w:ascii="宋体" w:hAnsi="宋体" w:eastAsia="宋体" w:cs="宋体"/>
                <w:b w:val="0"/>
                <w:bCs w:val="0"/>
                <w:color w:val="auto"/>
                <w:sz w:val="21"/>
                <w:szCs w:val="21"/>
                <w:vertAlign w:val="baseline"/>
                <w:lang w:val="en-US" w:eastAsia="zh-CN"/>
              </w:rPr>
              <w:t>20</w:t>
            </w:r>
            <w:r>
              <w:rPr>
                <w:rFonts w:hint="eastAsia" w:ascii="宋体" w:hAnsi="宋体" w:eastAsia="宋体" w:cs="宋体"/>
                <w:b w:val="0"/>
                <w:bCs w:val="0"/>
                <w:color w:val="auto"/>
                <w:sz w:val="21"/>
                <w:szCs w:val="21"/>
                <w:highlight w:val="none"/>
                <w:vertAlign w:val="baseline"/>
                <w:lang w:val="en-US" w:eastAsia="zh-CN"/>
              </w:rPr>
              <w:t>ms</w:t>
            </w:r>
            <w:r>
              <w:rPr>
                <w:rFonts w:hint="eastAsia" w:ascii="宋体" w:hAnsi="宋体" w:eastAsia="宋体" w:cs="宋体"/>
                <w:b w:val="0"/>
                <w:bCs w:val="0"/>
                <w:color w:val="auto"/>
                <w:sz w:val="21"/>
                <w:szCs w:val="21"/>
                <w:vertAlign w:val="baseline"/>
                <w:lang w:val="en-US" w:eastAsia="zh-CN"/>
              </w:rPr>
              <w:t>；</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数据处理速度：可进行数据处理实时传输；</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激光传感器360°头部捕捉；</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穿戴式体感设备可追踪定位，且能够实时与场景进行交互工作，在使用过程中与服务器可进行数据实时传输。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大空间定位装置</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光学大空间定位器；高精度定位；提供360度移动追踪；定位器可以实时无线同步。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立体声音响</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频响范围：10Hz-16000Hz；接口类型：直型；线型：单边导线；音频接口：3.5mm立体声插头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教学大屏展示设备</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尺寸：不低于55英寸</w:t>
            </w:r>
            <w:r>
              <w:rPr>
                <w:rFonts w:hint="eastAsia" w:ascii="宋体" w:hAnsi="宋体" w:cs="宋体"/>
                <w:b w:val="0"/>
                <w:bCs w:val="0"/>
                <w:sz w:val="21"/>
                <w:szCs w:val="21"/>
                <w:vertAlign w:val="baseline"/>
                <w:lang w:val="en-US" w:eastAsia="zh-CN"/>
              </w:rPr>
              <w:t>；</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分辨率：不低于2K</w:t>
            </w:r>
            <w:r>
              <w:rPr>
                <w:rFonts w:hint="eastAsia" w:ascii="宋体" w:hAnsi="宋体" w:cs="宋体"/>
                <w:b w:val="0"/>
                <w:bCs w:val="0"/>
                <w:sz w:val="21"/>
                <w:szCs w:val="21"/>
                <w:vertAlign w:val="baseline"/>
                <w:lang w:val="en-US" w:eastAsia="zh-CN"/>
              </w:rPr>
              <w:t>；</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刷新率：不低于50Hz</w:t>
            </w:r>
            <w:r>
              <w:rPr>
                <w:rFonts w:hint="eastAsia" w:ascii="宋体" w:hAnsi="宋体" w:cs="宋体"/>
                <w:b w:val="0"/>
                <w:bCs w:val="0"/>
                <w:sz w:val="21"/>
                <w:szCs w:val="21"/>
                <w:vertAlign w:val="baseline"/>
                <w:lang w:val="en-US" w:eastAsia="zh-CN"/>
              </w:rPr>
              <w:t>；</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HDMI接口：不少于3个（HDMI2.0）</w:t>
            </w:r>
            <w:r>
              <w:rPr>
                <w:rFonts w:hint="eastAsia" w:ascii="宋体" w:hAnsi="宋体" w:cs="宋体"/>
                <w:b w:val="0"/>
                <w:bCs w:val="0"/>
                <w:sz w:val="21"/>
                <w:szCs w:val="21"/>
                <w:vertAlign w:val="baseline"/>
                <w:lang w:val="en-US" w:eastAsia="zh-CN"/>
              </w:rPr>
              <w:t>；</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支架：可移动支架，长x宽x高1040x520x185mm，上下调节度：960-1600mm</w:t>
            </w:r>
            <w:r>
              <w:rPr>
                <w:rFonts w:hint="eastAsia" w:ascii="宋体" w:hAnsi="宋体" w:cs="宋体"/>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846" w:type="pct"/>
            <w:noWrap w:val="0"/>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新能源汽车智能教学实操训练系统软件</w:t>
            </w:r>
          </w:p>
        </w:tc>
        <w:tc>
          <w:tcPr>
            <w:tcW w:w="354"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328"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169" w:type="pct"/>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包括实物维修工具和虚拟仿真智能教学系统，学员可佩戴仿真设备进入虚拟维修场地，真实维修工具在虚拟场景中展现不同状态，与真实操作流程相一致。系统操作中可实现视角切换，辅助操作设备可自由切换。</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1.系统要求</w:t>
            </w:r>
            <w:r>
              <w:rPr>
                <w:rFonts w:hint="eastAsia" w:ascii="宋体" w:hAnsi="宋体" w:cs="宋体"/>
                <w:b w:val="0"/>
                <w:bCs w:val="0"/>
                <w:sz w:val="21"/>
                <w:szCs w:val="21"/>
                <w:vertAlign w:val="baseline"/>
                <w:lang w:val="en-US" w:eastAsia="zh-CN"/>
              </w:rPr>
              <w:t>：</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（1）软件需采用C/S架构和MVC技术框架，保证软件稳定性；</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（2）软件需采用unity3D专业引擎，保证仿真效果；</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（3）软件需包含丰富的可交互式的新能源汽车3D资源模型，辅助老师进行立体化智慧课堂转化，资源包括但不限于：新能源整车（模型可拆分）、新能源汽车维修工具、维修车间场景等。</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（4）系统应包含新手引导、工具认知、实操训练、考核管理等四大模块；提供不少于15个课程任务；</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（5）系统需具备在训练时可自由切换第一视角、第三人称视角，对空间及虚拟工具箱一键定位、切换手套手柄操作模式等；</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（6）系统可动态设定任务，步骤随意切换。</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2.主要功能</w:t>
            </w:r>
            <w:r>
              <w:rPr>
                <w:rFonts w:hint="eastAsia" w:ascii="宋体" w:hAnsi="宋体" w:cs="宋体"/>
                <w:b w:val="0"/>
                <w:bCs w:val="0"/>
                <w:sz w:val="21"/>
                <w:szCs w:val="21"/>
                <w:vertAlign w:val="baseline"/>
                <w:lang w:val="en-US" w:eastAsia="zh-CN"/>
              </w:rPr>
              <w:t>：</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（1）新手引导：包括设备认知和交互训练两种学习模块，让学员更快速掌握虚拟现实操作方法；</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（2）工具认知：工具认知包含多种新能源汽车维修工具，以动画形式展示，供学员学习；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（3）整车学习：通过仿真设备进入电动车整车学习虚拟场景中，进行整车的学习及实操，主要包括电动车的主要部件、启动、充电和表示灯的知识学习和操作示范学习。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（4）动力电池的拆卸：主要包括电池拆卸安全知识学习、操作流程和操作示范学习。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（5）动力电池的安装：主要包括电池安装安全知识学习、操作流程和操作示范学习。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（6）高压维修开关断开操作：高压维修开关断开的学习及实操，主要包括高压维修开关断开的安全知识学习、操作流程和操作示范学习。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（7）高压配电箱的拆卸：高压配电箱拆卸的学习及实操，主要包括高压配电箱拆卸安全知识学习、操作流程和操作示范学习。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525"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（8）高压配电箱的安装：高压配电箱安装流程的学习及实操，主要包括安装流程学习和操作示范学习。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525" w:hangingChars="25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（9）漏电传感器的拆卸：漏电传感器拆卸安全知识学习、拆卸前的准备、操作流程和操作示范学习。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（10）漏电传器的安装：漏电传感器安装流程的学习及实操，主要包括安装流程和操作示范学习。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（11）DC-DC检测：DC-DC检测的学习及实操，主要包括检测前准备、检测步骤和操作示范学习。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（12）主控ECU的拆卸：进行主控ECU拆卸的学习及实操，主要包括主控ECU拆卸的安全知识学习、操作流程和操作示范学习。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（13）主控ECU的安装：主控ECU安装的学习及实操，主要包括主控ECU安装的安全知识学习、操作流程和操作示范学习。</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（14）动力电池电压检测：动力电池电压检测的学习及实操，主要包括动力电池电压检测的安全知识学习、操作流程和操作示范学习。</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（15）电池组及单个电池电压测量：电池组及单个电池电压测量的学习及实操，主要包括电池组及单个电池电压测量操作流程和操作示范学习。</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（16）动力电池内部认知：动力电池内部认知的学习及实操，主要包括动力电池内部认知操作流程和操作示范学习。</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（17）漏电传感器的诊断：漏电传感器的诊断的学习及实操，主要包括漏电传感器的诊断操作流程和操作示范学习。</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（18）诊断仪使用与读取：诊断仪使用与读取的学习，主要包括诊断仪使用与读取操作流程和操作示范学习。</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630" w:right="0" w:hanging="630" w:hangingChars="3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（19）考核管理：对实操训练任务进行考核，考核过程中会同步记录错误操作，并与系统管理平台数据实时传输。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630" w:right="0" w:hanging="632" w:hangingChars="300"/>
              <w:jc w:val="left"/>
              <w:rPr>
                <w:rFonts w:hint="eastAsia"/>
                <w:b/>
                <w:bCs/>
                <w:lang w:val="en-US" w:eastAsia="zh-CN"/>
              </w:rPr>
            </w:pPr>
            <w:r>
              <w:rPr>
                <w:rFonts w:hint="eastAsia"/>
                <w:b/>
                <w:bCs/>
                <w:lang w:val="en-US" w:eastAsia="zh-CN"/>
              </w:rPr>
              <w:t>注：序号6-13的产品须按照采购人的要求及以下图片进行组装，并保证6-13的产品组装完成后能够全部正</w:t>
            </w:r>
          </w:p>
          <w:p>
            <w:pPr>
              <w:keepNext/>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22" w:firstLineChars="200"/>
              <w:jc w:val="left"/>
              <w:rPr>
                <w:rFonts w:hint="default" w:eastAsia="宋体"/>
                <w:b/>
                <w:bCs/>
                <w:lang w:val="en-US" w:eastAsia="zh-CN"/>
              </w:rPr>
            </w:pPr>
            <w:r>
              <w:rPr>
                <w:rFonts w:hint="eastAsia"/>
                <w:b/>
                <w:bCs/>
                <w:lang w:val="en-US" w:eastAsia="zh-CN"/>
              </w:rPr>
              <w:t>常运行使用：</w:t>
            </w:r>
          </w:p>
          <w:p>
            <w:pPr>
              <w:pStyle w:val="2"/>
              <w:suppressLineNumbers w:val="0"/>
              <w:spacing w:beforeAutospacing="0" w:afterAutospacing="0"/>
              <w:ind w:left="0" w:right="0"/>
              <w:rPr>
                <w:rFonts w:hint="eastAsia"/>
                <w:lang w:val="en-US" w:eastAsia="zh-CN"/>
              </w:rPr>
            </w:pPr>
            <w:r>
              <w:rPr>
                <w:rFonts w:hint="eastAsia" w:ascii="宋体" w:hAnsi="宋体" w:eastAsia="宋体" w:cs="宋体"/>
                <w:b/>
                <w:bCs/>
              </w:rPr>
              <w:drawing>
                <wp:anchor distT="0" distB="0" distL="114300" distR="114300" simplePos="0" relativeHeight="251777024" behindDoc="0" locked="0" layoutInCell="1" allowOverlap="1">
                  <wp:simplePos x="0" y="0"/>
                  <wp:positionH relativeFrom="column">
                    <wp:posOffset>3211830</wp:posOffset>
                  </wp:positionH>
                  <wp:positionV relativeFrom="page">
                    <wp:posOffset>469900</wp:posOffset>
                  </wp:positionV>
                  <wp:extent cx="3012440" cy="1676400"/>
                  <wp:effectExtent l="0" t="0" r="16510" b="0"/>
                  <wp:wrapNone/>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pic:cNvPicPr>
                        </pic:nvPicPr>
                        <pic:blipFill>
                          <a:blip r:embed="rId8"/>
                          <a:stretch>
                            <a:fillRect/>
                          </a:stretch>
                        </pic:blipFill>
                        <pic:spPr>
                          <a:xfrm>
                            <a:off x="0" y="0"/>
                            <a:ext cx="3012440" cy="1676400"/>
                          </a:xfrm>
                          <a:prstGeom prst="rect">
                            <a:avLst/>
                          </a:prstGeom>
                          <a:noFill/>
                          <a:ln>
                            <a:noFill/>
                          </a:ln>
                        </pic:spPr>
                      </pic:pic>
                    </a:graphicData>
                  </a:graphic>
                </wp:anchor>
              </w:drawing>
            </w:r>
            <w:r>
              <w:rPr>
                <w:rFonts w:hint="eastAsia" w:ascii="宋体" w:hAnsi="宋体" w:eastAsia="宋体" w:cs="宋体"/>
                <w:b/>
                <w:bCs/>
              </w:rPr>
              <w:drawing>
                <wp:anchor distT="0" distB="0" distL="114300" distR="114300" simplePos="0" relativeHeight="251736064" behindDoc="0" locked="0" layoutInCell="1" allowOverlap="1">
                  <wp:simplePos x="0" y="0"/>
                  <wp:positionH relativeFrom="column">
                    <wp:posOffset>44450</wp:posOffset>
                  </wp:positionH>
                  <wp:positionV relativeFrom="page">
                    <wp:posOffset>481330</wp:posOffset>
                  </wp:positionV>
                  <wp:extent cx="2976880" cy="1668780"/>
                  <wp:effectExtent l="0" t="0" r="13970" b="7620"/>
                  <wp:wrapNone/>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9"/>
                          <a:stretch>
                            <a:fillRect/>
                          </a:stretch>
                        </pic:blipFill>
                        <pic:spPr>
                          <a:xfrm>
                            <a:off x="0" y="0"/>
                            <a:ext cx="2976880" cy="1668780"/>
                          </a:xfrm>
                          <a:prstGeom prst="rect">
                            <a:avLst/>
                          </a:prstGeom>
                          <a:noFill/>
                          <a:ln>
                            <a:noFill/>
                          </a:ln>
                        </pic:spPr>
                      </pic:pic>
                    </a:graphicData>
                  </a:graphic>
                </wp:anchor>
              </w:drawing>
            </w:r>
          </w:p>
          <w:p>
            <w:pPr>
              <w:pStyle w:val="2"/>
              <w:suppressLineNumbers w:val="0"/>
              <w:spacing w:beforeAutospacing="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pStyle w:val="2"/>
              <w:suppressLineNumbers w:val="0"/>
              <w:spacing w:beforeAutospacing="0" w:afterAutospacing="0"/>
              <w:ind w:left="0" w:right="0"/>
              <w:rPr>
                <w:rFonts w:hint="eastAsia"/>
                <w:lang w:val="en-US" w:eastAsia="zh-CN"/>
              </w:rPr>
            </w:pPr>
          </w:p>
          <w:p>
            <w:pPr>
              <w:pStyle w:val="2"/>
              <w:suppressLineNumbers w:val="0"/>
              <w:spacing w:beforeAutospacing="0" w:afterAutospacing="0"/>
              <w:ind w:left="0" w:right="0"/>
              <w:rPr>
                <w:rFonts w:hint="eastAsia"/>
                <w:lang w:val="en-US" w:eastAsia="zh-CN"/>
              </w:rPr>
            </w:pPr>
          </w:p>
        </w:tc>
      </w:tr>
    </w:tbl>
    <w:p>
      <w:pPr>
        <w:keepNext/>
        <w:pageBreakBefore w:val="0"/>
        <w:kinsoku/>
        <w:wordWrap/>
        <w:overflowPunct/>
        <w:topLinePunct w:val="0"/>
        <w:autoSpaceDE/>
        <w:autoSpaceDN/>
        <w:bidi w:val="0"/>
        <w:rPr>
          <w:rFonts w:hint="eastAsia"/>
          <w:lang w:val="en-US" w:eastAsia="zh-CN"/>
        </w:rPr>
      </w:pPr>
    </w:p>
    <w:p>
      <w:pPr>
        <w:pStyle w:val="2"/>
        <w:keepNext/>
        <w:pageBreakBefore w:val="0"/>
        <w:kinsoku/>
        <w:wordWrap/>
        <w:overflowPunct/>
        <w:topLinePunct w:val="0"/>
        <w:autoSpaceDE/>
        <w:autoSpaceDN/>
        <w:bidi w:val="0"/>
        <w:ind w:left="0" w:leftChars="0" w:firstLine="0" w:firstLineChars="0"/>
        <w:jc w:val="both"/>
        <w:rPr>
          <w:rFonts w:hint="eastAsia" w:ascii="宋体" w:hAnsi="宋体" w:eastAsia="宋体" w:cs="宋体"/>
          <w:sz w:val="28"/>
          <w:szCs w:val="28"/>
          <w:lang w:val="en-US" w:eastAsia="zh-CN"/>
        </w:rPr>
      </w:pPr>
    </w:p>
    <w:p>
      <w:pPr>
        <w:pStyle w:val="2"/>
        <w:keepNext/>
        <w:pageBreakBefore w:val="0"/>
        <w:kinsoku/>
        <w:wordWrap/>
        <w:overflowPunct/>
        <w:topLinePunct w:val="0"/>
        <w:autoSpaceDE/>
        <w:autoSpaceDN/>
        <w:bidi w:val="0"/>
        <w:ind w:left="0" w:leftChars="0" w:firstLine="0" w:firstLineChars="0"/>
        <w:jc w:val="both"/>
        <w:rPr>
          <w:rFonts w:hint="eastAsia" w:eastAsia="仿宋"/>
          <w:sz w:val="28"/>
          <w:szCs w:val="28"/>
          <w:lang w:val="en-US" w:eastAsia="zh-CN"/>
        </w:rPr>
      </w:pPr>
      <w:r>
        <w:rPr>
          <w:rFonts w:hint="eastAsia" w:ascii="宋体" w:hAnsi="宋体" w:eastAsia="宋体" w:cs="宋体"/>
          <w:sz w:val="28"/>
          <w:szCs w:val="28"/>
          <w:lang w:val="en-US" w:eastAsia="zh-CN"/>
        </w:rPr>
        <w:t>附件4：设备组成部件及参数</w:t>
      </w:r>
    </w:p>
    <w:tbl>
      <w:tblPr>
        <w:tblStyle w:val="57"/>
        <w:tblW w:w="5000" w:type="pct"/>
        <w:tblInd w:w="0" w:type="dxa"/>
        <w:tblLayout w:type="autofit"/>
        <w:tblCellMar>
          <w:top w:w="0" w:type="dxa"/>
          <w:left w:w="108" w:type="dxa"/>
          <w:bottom w:w="0" w:type="dxa"/>
          <w:right w:w="108" w:type="dxa"/>
        </w:tblCellMar>
      </w:tblPr>
      <w:tblGrid>
        <w:gridCol w:w="575"/>
        <w:gridCol w:w="2"/>
        <w:gridCol w:w="1131"/>
        <w:gridCol w:w="8388"/>
      </w:tblGrid>
      <w:tr>
        <w:tblPrEx>
          <w:tblCellMar>
            <w:top w:w="0" w:type="dxa"/>
            <w:left w:w="108" w:type="dxa"/>
            <w:bottom w:w="0" w:type="dxa"/>
            <w:right w:w="108" w:type="dxa"/>
          </w:tblCellMar>
        </w:tblPrEx>
        <w:trPr>
          <w:trHeight w:val="565"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pPr>
              <w:pStyle w:val="1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561" w:type="pct"/>
            <w:gridSpan w:val="2"/>
            <w:tcBorders>
              <w:top w:val="single" w:color="auto" w:sz="4" w:space="0"/>
              <w:left w:val="single" w:color="auto" w:sz="4" w:space="0"/>
              <w:bottom w:val="single" w:color="auto" w:sz="4" w:space="0"/>
              <w:right w:val="single" w:color="auto" w:sz="4" w:space="0"/>
            </w:tcBorders>
            <w:noWrap w:val="0"/>
            <w:vAlign w:val="center"/>
          </w:tcPr>
          <w:p>
            <w:pPr>
              <w:pStyle w:val="1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项目</w:t>
            </w:r>
          </w:p>
          <w:p>
            <w:pPr>
              <w:pStyle w:val="1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pStyle w:val="1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纯电动汽车动力系统虚拟故障诊断车（</w:t>
            </w:r>
            <w:r>
              <w:rPr>
                <w:rFonts w:hint="eastAsia" w:ascii="宋体" w:hAnsi="宋体" w:eastAsia="宋体" w:cs="宋体"/>
                <w:b/>
                <w:bCs/>
                <w:color w:val="auto"/>
                <w:sz w:val="21"/>
                <w:szCs w:val="21"/>
                <w:vertAlign w:val="baseline"/>
                <w:lang w:val="en-US" w:eastAsia="zh-CN"/>
              </w:rPr>
              <w:t>适用</w:t>
            </w:r>
            <w:r>
              <w:rPr>
                <w:rFonts w:hint="eastAsia" w:ascii="宋体" w:hAnsi="宋体" w:cs="宋体"/>
                <w:b/>
                <w:bCs/>
                <w:color w:val="auto"/>
                <w:sz w:val="21"/>
                <w:szCs w:val="21"/>
                <w:vertAlign w:val="baseline"/>
                <w:lang w:val="en-US" w:eastAsia="zh-CN"/>
              </w:rPr>
              <w:t>采购人现有的教学车辆——</w:t>
            </w:r>
            <w:r>
              <w:rPr>
                <w:rFonts w:hint="eastAsia" w:ascii="宋体" w:hAnsi="宋体" w:eastAsia="宋体" w:cs="宋体"/>
                <w:color w:val="auto"/>
                <w:kern w:val="0"/>
                <w:sz w:val="21"/>
                <w:szCs w:val="21"/>
              </w:rPr>
              <w:t>比亚迪E5）</w:t>
            </w:r>
          </w:p>
        </w:tc>
      </w:tr>
      <w:tr>
        <w:tblPrEx>
          <w:tblCellMar>
            <w:top w:w="0" w:type="dxa"/>
            <w:left w:w="108" w:type="dxa"/>
            <w:bottom w:w="0" w:type="dxa"/>
            <w:right w:w="108" w:type="dxa"/>
          </w:tblCellMar>
        </w:tblPrEx>
        <w:trPr>
          <w:trHeight w:val="629"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pPr>
              <w:pStyle w:val="1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一、功能描述</w:t>
            </w:r>
          </w:p>
          <w:p>
            <w:pPr>
              <w:pStyle w:val="1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3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纯电动汽车动力系统虚拟故障诊断车（</w:t>
            </w:r>
            <w:r>
              <w:rPr>
                <w:rFonts w:hint="eastAsia" w:ascii="宋体" w:hAnsi="宋体" w:eastAsia="宋体" w:cs="宋体"/>
                <w:b w:val="0"/>
                <w:bCs w:val="0"/>
                <w:color w:val="auto"/>
                <w:sz w:val="21"/>
                <w:szCs w:val="21"/>
                <w:vertAlign w:val="baseline"/>
                <w:lang w:val="en-US" w:eastAsia="zh-CN"/>
              </w:rPr>
              <w:t>适用</w:t>
            </w:r>
            <w:r>
              <w:rPr>
                <w:rFonts w:hint="eastAsia" w:ascii="宋体" w:hAnsi="宋体" w:cs="宋体"/>
                <w:b w:val="0"/>
                <w:bCs w:val="0"/>
                <w:color w:val="auto"/>
                <w:sz w:val="21"/>
                <w:szCs w:val="21"/>
                <w:vertAlign w:val="baseline"/>
                <w:lang w:val="en-US" w:eastAsia="zh-CN"/>
              </w:rPr>
              <w:t>采购人现有的教学车辆——</w:t>
            </w:r>
            <w:r>
              <w:rPr>
                <w:rFonts w:hint="eastAsia" w:ascii="宋体" w:hAnsi="宋体" w:eastAsia="宋体" w:cs="宋体"/>
                <w:color w:val="auto"/>
                <w:sz w:val="21"/>
                <w:szCs w:val="21"/>
              </w:rPr>
              <w:t>比亚迪E5）根据教学设计要求分为三种应用模式，分别为演示模式、训练模式、考核模式，其中演示模式主要是教师进行课堂教学使用，训练模式是学生自主进行学习任务的训练和学习使用，考核模式是学生进行学习任务的检验使用。以下为三种模式下的功能特点说明。</w:t>
            </w:r>
          </w:p>
          <w:p>
            <w:pPr>
              <w:pStyle w:val="114"/>
              <w:keepNext/>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演示模式</w:t>
            </w:r>
          </w:p>
          <w:p>
            <w:pPr>
              <w:pStyle w:val="114"/>
              <w:keepNext/>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教学任务选择：在演示模式中，教师可选择教学任务进行教学，教学任可分成电源系统、电驱系统、电控系统以器件为可选单位。</w:t>
            </w:r>
          </w:p>
          <w:p>
            <w:pPr>
              <w:pStyle w:val="114"/>
              <w:keepNext/>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准备工作：模拟真实的实训作业流程，完成“摆放车轮挡块、摆放三件套和翼子板布、检查油液液位视角、检查静态蓄电池电压、7S管理知识”的实训流程，点击各个任务模块系统将自动演示任务内的流程，无需教师手动操作。</w:t>
            </w:r>
          </w:p>
          <w:p>
            <w:pPr>
              <w:pStyle w:val="114"/>
              <w:keepNext/>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器件位置：自动展示教学任务中器件在整车上的位置，便于了解位置信息。</w:t>
            </w:r>
          </w:p>
          <w:p>
            <w:pPr>
              <w:pStyle w:val="114"/>
              <w:keepNext/>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结构认知：以图片的形式展示教学任务中器件的结构，辅助结构内容的知识讲解。</w:t>
            </w:r>
          </w:p>
          <w:p>
            <w:pPr>
              <w:pStyle w:val="114"/>
              <w:keepNext/>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电路图分析：基于原厂电路图资料，单独整理出教学任务中器件的工作电路，并对每根线束进行“线束定义、基本电压、电阻”的等信息的标注。辅助了解工作电路的原理。</w:t>
            </w:r>
          </w:p>
          <w:p>
            <w:pPr>
              <w:pStyle w:val="114"/>
              <w:keepNext/>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诊断流程图：以教学任务所选的器件为单位，按照故障诊断的排除思路，采用流程图的方式逐步进行排除思路的分析。帮助教师完成故障诊断思路的教学和演示。</w:t>
            </w:r>
          </w:p>
          <w:p>
            <w:pPr>
              <w:pStyle w:val="114"/>
              <w:keepNext/>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收尾工作：模拟真实的实训作业流程，自动演示完成作业后的收尾流程和内容。</w:t>
            </w:r>
          </w:p>
          <w:p>
            <w:pPr>
              <w:pStyle w:val="114"/>
              <w:keepNext/>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训练模式</w:t>
            </w:r>
          </w:p>
          <w:p>
            <w:pPr>
              <w:pStyle w:val="114"/>
              <w:keepNext/>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选择训练内容：在故障选择界面可选择至少一个故障内容进行训练，可选择故障系统、故障器件、故障点。</w:t>
            </w:r>
          </w:p>
          <w:p>
            <w:pPr>
              <w:pStyle w:val="114"/>
              <w:keepNext/>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诊断工具：根据故障诊断排除流程中的工具需要，提供万用表、诊断仪、示波器工具。可一键自动读取故障码和数据流等数据。</w:t>
            </w:r>
          </w:p>
          <w:p>
            <w:pPr>
              <w:pStyle w:val="114"/>
              <w:keepNext/>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诊断资料：提供厂家维修手册和故障诊断流程指导手册。以流程指导的方式帮助学生完成故障诊断排除的学习及思路的培养。</w:t>
            </w:r>
          </w:p>
          <w:p>
            <w:pPr>
              <w:pStyle w:val="114"/>
              <w:keepNext/>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提示性维修记录工单：按照故障诊断流程的八步法，分解故障诊断排除的流程，进行数据记录和填写，同时介绍每步骤的作业原理，帮助学生更好的理解每一步的作业内容及原因。</w:t>
            </w:r>
          </w:p>
          <w:p>
            <w:pPr>
              <w:pStyle w:val="114"/>
              <w:keepNext/>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训练评价：根据学生的操作结果和数据填写情况，软件会自动完成训练结果的评价，以提示性维修记录工单为主线流程，进行每一步的结果评价。</w:t>
            </w:r>
          </w:p>
          <w:p>
            <w:pPr>
              <w:pStyle w:val="114"/>
              <w:keepNext/>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考核模式</w:t>
            </w:r>
          </w:p>
          <w:p>
            <w:pPr>
              <w:pStyle w:val="114"/>
              <w:keepNext/>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选择考核内容：在故障选择界面可选择至少一个故障内容进行考核，可选择故障系统、故障器件、故障现象，系统会根据选择的内容随机生成考核内容。</w:t>
            </w:r>
          </w:p>
          <w:p>
            <w:pPr>
              <w:pStyle w:val="114"/>
              <w:keepNext/>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诊断工具：根据故障诊断排除流程中的工具需要，提供万用表、诊断仪、示波器工具。可一键自动读取故障码和数据流等数据。</w:t>
            </w:r>
          </w:p>
          <w:p>
            <w:pPr>
              <w:pStyle w:val="114"/>
              <w:keepNext/>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诊断资料：提供厂家维修手册。</w:t>
            </w:r>
          </w:p>
          <w:p>
            <w:pPr>
              <w:pStyle w:val="114"/>
              <w:keepNext/>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提示性维修记录工单：按照故障诊断流程的八步法，分解故障诊断排除的流程，进行数据记录和填写。</w:t>
            </w:r>
          </w:p>
          <w:p>
            <w:pPr>
              <w:pStyle w:val="114"/>
              <w:keepNext/>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考核得分：根据学生的操作结果和数据填写情况，软件会自动完成考核结果的得分，以提示性维修记录工单为主线流程，进行每一步的结果评价。</w:t>
            </w:r>
          </w:p>
          <w:p>
            <w:pPr>
              <w:pStyle w:val="1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二、教学项目</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100" w:right="0" w:rightChars="0" w:hanging="525" w:hangingChars="25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1）</w:t>
            </w:r>
            <w:r>
              <w:rPr>
                <w:rFonts w:hint="eastAsia" w:ascii="宋体" w:hAnsi="宋体" w:eastAsia="宋体" w:cs="宋体"/>
                <w:color w:val="auto"/>
                <w:sz w:val="21"/>
                <w:szCs w:val="21"/>
              </w:rPr>
              <w:t>根据纯电动车的教学设计，可完成的教学任务包含：CAN线故障、BMC故障、BIC故障、交流充电故障、电机温度传感器故障、驱动电机旋转变压器故障、油门踏板位置传感器故障、制动踏板位置传感器故障、高压互锁故障、主接触器故障。</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100" w:right="0" w:rightChars="0" w:hanging="525" w:hangingChars="25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2）</w:t>
            </w:r>
            <w:r>
              <w:rPr>
                <w:rFonts w:hint="eastAsia" w:ascii="宋体" w:hAnsi="宋体" w:eastAsia="宋体" w:cs="宋体"/>
                <w:color w:val="auto"/>
                <w:sz w:val="21"/>
                <w:szCs w:val="21"/>
              </w:rPr>
              <w:t>可完成的故障点包含：电池子网CAN-H断路、BMC的动力网CAN-H线路断路、动力网CAN-H线路断路、电机控制器的动力网CAN-H线路断路、电机控制器的动力网CAN-L线路断路、BMC双电路电源线断路、BIC供电电源线路断路、交流充电确认信号CP线路断路、交流充电控制信号CC线路断路、电机温度电源线断路、电机温度传感器器件损坏、驱动电机旋转变压器励磁正线束断路、驱动电机旋转变压器器件损坏、驱动电机旋转变压器余弦正线束断路、驱动电机旋转变压器正弦正线束断路、油门深度2电源线断路、油门深度1信号线断路、油门深度2信号线断路、油门深度传感器2器件损坏、制动踏板2电源线断路、制动踏板1信号线断路、制动踏板2信号线断路、制动踏板传感器2器件损坏、BMC至PTC的高压互锁信号线路断路、电池包至高压电控总成的高压互锁线路断路、PTC至高压电控总成的高压互锁线路断路、主接触器拉低控制线路断路。</w:t>
            </w:r>
          </w:p>
          <w:p>
            <w:pPr>
              <w:pStyle w:val="13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三、技术特性</w:t>
            </w:r>
          </w:p>
          <w:p>
            <w:pPr>
              <w:pStyle w:val="13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100" w:right="0" w:rightChars="0" w:hanging="525" w:hangingChars="25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1）</w:t>
            </w:r>
            <w:r>
              <w:rPr>
                <w:rFonts w:hint="eastAsia" w:ascii="宋体" w:hAnsi="宋体" w:eastAsia="宋体" w:cs="宋体"/>
                <w:color w:val="auto"/>
                <w:sz w:val="21"/>
                <w:szCs w:val="21"/>
              </w:rPr>
              <w:t>采用Unity 纯三维引擎交互技术，360度全方位展示比亚迪E5整车，随时缩放大小以方便故障检测操作。</w:t>
            </w:r>
          </w:p>
          <w:p>
            <w:pPr>
              <w:pStyle w:val="13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采用多点触摸操作方式加强用户交互体验舒适度。</w:t>
            </w:r>
          </w:p>
          <w:p>
            <w:pPr>
              <w:pStyle w:val="13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运行在智能触摸交互平板，清晰的展示故障诊断过程。</w:t>
            </w:r>
          </w:p>
          <w:p>
            <w:pPr>
              <w:pStyle w:val="13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支持在线更新的方式，用户更方便快捷的更新内容。</w:t>
            </w:r>
          </w:p>
        </w:tc>
      </w:tr>
      <w:tr>
        <w:tblPrEx>
          <w:tblCellMar>
            <w:top w:w="0" w:type="dxa"/>
            <w:left w:w="108" w:type="dxa"/>
            <w:bottom w:w="0" w:type="dxa"/>
            <w:right w:w="108" w:type="dxa"/>
          </w:tblCellMar>
        </w:tblPrEx>
        <w:trPr>
          <w:trHeight w:val="579" w:hRule="atLeast"/>
        </w:trPr>
        <w:tc>
          <w:tcPr>
            <w:tcW w:w="286" w:type="pct"/>
            <w:gridSpan w:val="2"/>
            <w:tcBorders>
              <w:top w:val="single" w:color="auto" w:sz="4" w:space="0"/>
              <w:left w:val="single" w:color="auto" w:sz="4" w:space="0"/>
              <w:bottom w:val="single" w:color="auto" w:sz="4" w:space="0"/>
              <w:right w:val="single" w:color="auto" w:sz="4" w:space="0"/>
            </w:tcBorders>
            <w:noWrap w:val="0"/>
            <w:vAlign w:val="center"/>
          </w:tcPr>
          <w:p>
            <w:pPr>
              <w:pStyle w:val="1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560" w:type="pct"/>
            <w:tcBorders>
              <w:top w:val="single" w:color="auto" w:sz="4" w:space="0"/>
              <w:left w:val="single" w:color="auto" w:sz="4" w:space="0"/>
              <w:bottom w:val="single" w:color="auto" w:sz="4" w:space="0"/>
              <w:right w:val="single" w:color="auto" w:sz="4" w:space="0"/>
            </w:tcBorders>
            <w:noWrap w:val="0"/>
            <w:vAlign w:val="center"/>
          </w:tcPr>
          <w:p>
            <w:pPr>
              <w:pStyle w:val="1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项目</w:t>
            </w:r>
          </w:p>
          <w:p>
            <w:pPr>
              <w:pStyle w:val="1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pStyle w:val="1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纯电动汽车虚拟故障诊断车</w:t>
            </w:r>
            <w:r>
              <w:rPr>
                <w:rFonts w:hint="eastAsia" w:ascii="宋体" w:hAnsi="宋体" w:eastAsia="宋体" w:cs="宋体"/>
                <w:b/>
                <w:bCs/>
                <w:color w:val="auto"/>
                <w:kern w:val="0"/>
                <w:sz w:val="21"/>
                <w:szCs w:val="21"/>
              </w:rPr>
              <w:t>（</w:t>
            </w:r>
            <w:r>
              <w:rPr>
                <w:rFonts w:hint="eastAsia" w:ascii="宋体" w:hAnsi="宋体" w:eastAsia="宋体" w:cs="宋体"/>
                <w:b/>
                <w:bCs/>
                <w:color w:val="auto"/>
                <w:sz w:val="21"/>
                <w:szCs w:val="21"/>
                <w:vertAlign w:val="baseline"/>
                <w:lang w:val="en-US" w:eastAsia="zh-CN"/>
              </w:rPr>
              <w:t>适用</w:t>
            </w:r>
            <w:r>
              <w:rPr>
                <w:rFonts w:hint="eastAsia" w:ascii="宋体" w:hAnsi="宋体" w:cs="宋体"/>
                <w:b/>
                <w:bCs/>
                <w:color w:val="auto"/>
                <w:sz w:val="21"/>
                <w:szCs w:val="21"/>
                <w:vertAlign w:val="baseline"/>
                <w:lang w:val="en-US" w:eastAsia="zh-CN"/>
              </w:rPr>
              <w:t>采购人现有的教学车辆——</w:t>
            </w:r>
            <w:r>
              <w:rPr>
                <w:rFonts w:hint="eastAsia" w:ascii="宋体" w:hAnsi="宋体" w:eastAsia="宋体" w:cs="宋体"/>
                <w:color w:val="auto"/>
                <w:kern w:val="0"/>
                <w:sz w:val="21"/>
                <w:szCs w:val="21"/>
              </w:rPr>
              <w:t>吉利帝豪EV450）</w:t>
            </w:r>
          </w:p>
        </w:tc>
      </w:tr>
      <w:tr>
        <w:tblPrEx>
          <w:tblCellMar>
            <w:top w:w="0" w:type="dxa"/>
            <w:left w:w="108" w:type="dxa"/>
            <w:bottom w:w="0" w:type="dxa"/>
            <w:right w:w="108" w:type="dxa"/>
          </w:tblCellMar>
        </w:tblPrEx>
        <w:trPr>
          <w:trHeight w:val="629"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pPr>
              <w:pStyle w:val="114"/>
              <w:keepNext/>
              <w:keepLines w:val="0"/>
              <w:pageBreakBefore w:val="0"/>
              <w:widowControl w:val="0"/>
              <w:numPr>
                <w:ilvl w:val="0"/>
                <w:numId w:val="28"/>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一、功能描述</w:t>
            </w:r>
          </w:p>
          <w:p>
            <w:pPr>
              <w:pStyle w:val="1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36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eastAsia="宋体" w:cs="宋体"/>
                <w:color w:val="auto"/>
                <w:sz w:val="21"/>
                <w:szCs w:val="21"/>
              </w:rPr>
              <w:t>纯电动汽车虚拟故障诊断车（</w:t>
            </w:r>
            <w:r>
              <w:rPr>
                <w:rFonts w:hint="eastAsia" w:ascii="宋体" w:hAnsi="宋体" w:eastAsia="宋体" w:cs="宋体"/>
                <w:b w:val="0"/>
                <w:bCs w:val="0"/>
                <w:color w:val="auto"/>
                <w:sz w:val="21"/>
                <w:szCs w:val="21"/>
                <w:vertAlign w:val="baseline"/>
                <w:lang w:val="en-US" w:eastAsia="zh-CN"/>
              </w:rPr>
              <w:t>适用</w:t>
            </w:r>
            <w:r>
              <w:rPr>
                <w:rFonts w:hint="eastAsia" w:ascii="宋体" w:hAnsi="宋体" w:cs="宋体"/>
                <w:b w:val="0"/>
                <w:bCs w:val="0"/>
                <w:color w:val="auto"/>
                <w:sz w:val="21"/>
                <w:szCs w:val="21"/>
                <w:vertAlign w:val="baseline"/>
                <w:lang w:val="en-US" w:eastAsia="zh-CN"/>
              </w:rPr>
              <w:t>采购人现有的教学车辆——</w:t>
            </w:r>
            <w:r>
              <w:rPr>
                <w:rFonts w:hint="eastAsia" w:ascii="宋体" w:hAnsi="宋体" w:eastAsia="宋体" w:cs="宋体"/>
                <w:color w:val="auto"/>
                <w:sz w:val="21"/>
                <w:szCs w:val="21"/>
              </w:rPr>
              <w:t>吉利帝豪EV450）根据教学设计要求分为三种应用模式，分别为演示模式、训练模式、考核模式，其中演示模式主要是教师进行课堂教学使用，训练模式是学生自主进行学习任务的训练和学习使用，考核模式是学生进行学习任务的检验使用。以下为三种模式下的功能特点说明。</w:t>
            </w:r>
          </w:p>
          <w:p>
            <w:pPr>
              <w:pStyle w:val="114"/>
              <w:keepNext/>
              <w:keepLines w:val="0"/>
              <w:pageBreakBefore w:val="0"/>
              <w:widowControl w:val="0"/>
              <w:numPr>
                <w:ilvl w:val="0"/>
                <w:numId w:val="28"/>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演示模式</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200" w:right="0" w:rightChars="0" w:hanging="315" w:hangingChars="15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教学任务选择：在演示模式中，教师可选择教学任务进行教学，教学任可分成电源系统、电驱系统、电控系统以器件为可选单位。</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100" w:right="0" w:rightChars="0" w:hanging="525" w:hangingChars="25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2）</w:t>
            </w:r>
            <w:r>
              <w:rPr>
                <w:rFonts w:hint="eastAsia" w:ascii="宋体" w:hAnsi="宋体" w:eastAsia="宋体" w:cs="宋体"/>
                <w:color w:val="auto"/>
                <w:sz w:val="21"/>
                <w:szCs w:val="21"/>
              </w:rPr>
              <w:t>准备工作：模拟真实的实训作业流程，完成“摆放车轮挡块、摆放三件套和翼子板布、检查油液液位视角、检查静态蓄电池电压、7S管理知识”的实训流程，点击各个任务模块系统将自动演示任务内的流程，无需教师手动操作。</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器件位置：自动展示教学任务中器件在整车上的位置，便于了解位置信息。</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结构认知：以图片的形式展示教学任务中器件的结构，辅助结构内容的知识讲解。</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200" w:right="0" w:rightChars="0" w:hanging="315" w:hangingChars="15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电路图分析：基于原厂电路图资料，单独整理出教学任务中器件的工作电路，并对每根线束进行“线束定义、基本电压、电阻”的等信息的标注。辅助了解工作电路的原理。</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100" w:right="0" w:rightChars="0" w:hanging="525" w:hanging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诊断流程图：以教学任务所选的器件为单位，按照故障诊断的排除思路，采用流程图的方式逐步进行排除思路的分析。帮助教师完成故障诊断思路的教学和演示。</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收尾工作：模拟真实的实训作业流程，自动演示完成作业后的收尾流程和内容。</w:t>
            </w:r>
          </w:p>
          <w:p>
            <w:pPr>
              <w:pStyle w:val="114"/>
              <w:keepNext/>
              <w:keepLines w:val="0"/>
              <w:pageBreakBefore w:val="0"/>
              <w:widowControl w:val="0"/>
              <w:numPr>
                <w:ilvl w:val="0"/>
                <w:numId w:val="28"/>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训练模式</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200" w:right="0" w:rightChars="0" w:hanging="315" w:hangingChars="15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选择训练内容：在故障选择界面可选择至少一个故障内容进行训练，可选择故障系统、故障器件、故障点。</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200" w:right="0" w:rightChars="0" w:hanging="315" w:hangingChars="15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诊断工具：根据故障诊断排除流程中的工具需要，提供万用表、诊断仪、示波器工具。可一键自动读取故障码和数据流等数据。</w:t>
            </w:r>
          </w:p>
          <w:p>
            <w:pPr>
              <w:pStyle w:val="179"/>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100" w:right="0" w:rightChars="0" w:hanging="525" w:hanging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实车数据：通过实车采集车辆的动态数据并模拟数据逻辑，在软件中可再现车辆数据的动态显示，可测量电压、电阻，读取故障现象、故障码、数据流、波形等数据，再现仪表信息、车辆操作等。</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100" w:right="0" w:rightChars="0" w:hanging="525" w:hanging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诊断资料：提供厂家维修手册和故障诊断流程指导手册。以流程指导的方式帮助学生完成故障诊断排除的学习及思路的培养。</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200" w:right="0" w:rightChars="0" w:hanging="315" w:hangingChars="15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提示性维修记录工单：按照故障诊断流程的八步法，分解故障诊断排除的流程，进行数据记录和填写，同时介绍每步骤的作业原理，帮助学生更好的理解每一步的作业内容及原因。</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200" w:right="0" w:rightChars="0" w:hanging="315" w:hangingChars="15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训练评价：根据学生的操作结果和数据填写情况，软件会自动完成训练结果的评价，以提示性维修记录工单为主线流程，进行每一步的结果评价。</w:t>
            </w:r>
          </w:p>
          <w:p>
            <w:pPr>
              <w:pStyle w:val="114"/>
              <w:keepNext/>
              <w:keepLines w:val="0"/>
              <w:pageBreakBefore w:val="0"/>
              <w:widowControl w:val="0"/>
              <w:numPr>
                <w:ilvl w:val="0"/>
                <w:numId w:val="28"/>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考核模式</w:t>
            </w:r>
          </w:p>
          <w:p>
            <w:pPr>
              <w:pStyle w:val="114"/>
              <w:keepNext/>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选择考核内容：在故障选择界面可选择至少一个故障内容进行考核，可选择故障系统、故障器件、故障现象，系统会根据选择的内容随机生成考核内容。</w:t>
            </w:r>
          </w:p>
          <w:p>
            <w:pPr>
              <w:pStyle w:val="114"/>
              <w:keepNext/>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诊断工具：根据故障诊断排除流程中的工具需要，提供万用表、诊断仪、示波器工具。可一键自动读取故障码和数据流等数据。</w:t>
            </w:r>
          </w:p>
          <w:p>
            <w:pPr>
              <w:pStyle w:val="179"/>
              <w:keepNext/>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实车数据：通过实车采集车辆的动态数据并模拟数据逻辑，在软件中可再现车辆数据的动态显示，可测量电压、电阻，读取故障现象、故障码、数据流、波形等数据，再现仪表信息、车辆操作等。</w:t>
            </w:r>
          </w:p>
          <w:p>
            <w:pPr>
              <w:pStyle w:val="114"/>
              <w:keepNext/>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诊断资料：提供厂家维修手册。</w:t>
            </w:r>
          </w:p>
          <w:p>
            <w:pPr>
              <w:pStyle w:val="114"/>
              <w:keepNext/>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提示性维修记录工单：按照故障诊断流程的八步法，分解故障诊断排除的流程，进行数据记录和填写。</w:t>
            </w:r>
          </w:p>
          <w:p>
            <w:pPr>
              <w:pStyle w:val="114"/>
              <w:keepNext/>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20" w:lineRule="exact"/>
              <w:ind w:right="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考核得分：根据学生的操作结果和数据填写情况，软件会自动完成考核结果的得分，以提示性维修记录工单为主线流程，进行每一步的结果评价。</w:t>
            </w:r>
          </w:p>
          <w:p>
            <w:pPr>
              <w:pStyle w:val="1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二、教学项目</w:t>
            </w:r>
          </w:p>
          <w:p>
            <w:pPr>
              <w:pStyle w:val="11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100" w:right="0" w:rightChars="0" w:hanging="525" w:hanging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根据纯电动车的教学设计， 可完成的故障点包含：VCU电源线断路故障：VCU Chassis CAN_H线断路、VCU至电机控制器高压互锁线束断路、电机控制器至车裁充电机高压互锁线束断路、电子油门踏板1电源线断路、电子油门踏板2电源线断路、电子油门踏板2信号线断路、电子油门踏板损坏、制动开关1信号断路、制动开关2电源断路、制动灯开关损坏、电机旋转变压器励磁+线断路、电机旋转变压器正弦+线断路、电机旋转变压器余弦+线断路、Communication CAN_H线断路、电机温度传感器1电源线断路、电机控制器电源线断路、电机控制器保险丝EF32损坏、车载充电器电源线断路、CC信号检测线断路、CP信号检测线断路、车载充电机CAN_H线断路、电机旋转变压器正弦-线断路、电机旋转变压器余弦-线断路、充电口温度检测1信号线断路、电机温度传感器2电源线断路、电子油门踏板1信号线断路。</w:t>
            </w:r>
          </w:p>
          <w:p>
            <w:pPr>
              <w:pStyle w:val="13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三、技术特性</w:t>
            </w:r>
          </w:p>
          <w:p>
            <w:pPr>
              <w:pStyle w:val="13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735" w:leftChars="100" w:right="0" w:rightChars="0" w:hanging="525" w:hanging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采用Unity 纯三维引擎交互技术，360度全方位展示吉利帝豪EV450整车，随时缩放大小以方便故障检测操作。</w:t>
            </w:r>
          </w:p>
          <w:p>
            <w:pPr>
              <w:pStyle w:val="13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right="0" w:right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采用多点触摸操作方式加强用户交互体验舒适度。</w:t>
            </w:r>
          </w:p>
          <w:p>
            <w:pPr>
              <w:pStyle w:val="13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right="0" w:right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运行在智能触摸交互平板，清晰的展示故障诊断过程。</w:t>
            </w:r>
          </w:p>
          <w:p>
            <w:pPr>
              <w:pStyle w:val="134"/>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right="0" w:right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支持在线更新的方式，用户更方便快捷的更新内容。</w:t>
            </w:r>
          </w:p>
        </w:tc>
      </w:tr>
    </w:tbl>
    <w:p>
      <w:pPr>
        <w:pStyle w:val="5"/>
        <w:keepNext/>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p>
    <w:p>
      <w:pPr>
        <w:pStyle w:val="5"/>
        <w:keepNext/>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p>
    <w:p>
      <w:pPr>
        <w:pStyle w:val="5"/>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lang w:val="en-US" w:eastAsia="zh-CN"/>
        </w:rPr>
      </w:pPr>
      <w:r>
        <w:rPr>
          <w:rFonts w:hint="eastAsia" w:ascii="宋体" w:hAnsi="宋体" w:eastAsia="宋体" w:cs="宋体"/>
          <w:sz w:val="28"/>
          <w:szCs w:val="28"/>
          <w:lang w:val="en-US" w:eastAsia="zh-CN"/>
        </w:rPr>
        <w:t>D分标</w:t>
      </w:r>
      <w:r>
        <w:rPr>
          <w:rFonts w:hint="eastAsia" w:ascii="宋体" w:hAnsi="宋体" w:cs="宋体"/>
          <w:sz w:val="28"/>
          <w:szCs w:val="28"/>
          <w:lang w:val="en-US" w:eastAsia="zh-CN"/>
        </w:rPr>
        <w:t xml:space="preserve">  旅商系设备采购及安装</w:t>
      </w:r>
    </w:p>
    <w:tbl>
      <w:tblPr>
        <w:tblStyle w:val="58"/>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3426"/>
        <w:gridCol w:w="956"/>
        <w:gridCol w:w="986"/>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26"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169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货物名称</w:t>
            </w:r>
          </w:p>
        </w:tc>
        <w:tc>
          <w:tcPr>
            <w:tcW w:w="474"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单位</w:t>
            </w:r>
          </w:p>
        </w:tc>
        <w:tc>
          <w:tcPr>
            <w:tcW w:w="48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w:t>
            </w:r>
          </w:p>
        </w:tc>
        <w:tc>
          <w:tcPr>
            <w:tcW w:w="181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详细技术参数及配备要求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6"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69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智能型全站仪</w:t>
            </w:r>
          </w:p>
        </w:tc>
        <w:tc>
          <w:tcPr>
            <w:tcW w:w="474"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48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81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详见附件5中序号1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6"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69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GPS测量系统</w:t>
            </w:r>
          </w:p>
        </w:tc>
        <w:tc>
          <w:tcPr>
            <w:tcW w:w="474"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48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81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详见附件5中序号2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6"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69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二等精密水准电子水准仪</w:t>
            </w:r>
          </w:p>
        </w:tc>
        <w:tc>
          <w:tcPr>
            <w:tcW w:w="474"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48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81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详见附件5中序号3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6"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69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数字化成图软件</w:t>
            </w:r>
          </w:p>
        </w:tc>
        <w:tc>
          <w:tcPr>
            <w:tcW w:w="474"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48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81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详见附件5中序号4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6"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69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光学水准仪</w:t>
            </w:r>
          </w:p>
        </w:tc>
        <w:tc>
          <w:tcPr>
            <w:tcW w:w="474"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48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81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详见附件5中序号5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26"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69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棱镜基座</w:t>
            </w:r>
          </w:p>
        </w:tc>
        <w:tc>
          <w:tcPr>
            <w:tcW w:w="474"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489"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810" w:type="pct"/>
            <w:noWrap w:val="0"/>
            <w:vAlign w:val="center"/>
          </w:tcPr>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1.水准长气泡；</w:t>
            </w:r>
            <w:r>
              <w:rPr>
                <w:rFonts w:hint="eastAsia" w:ascii="宋体" w:hAnsi="宋体" w:eastAsia="宋体" w:cs="宋体"/>
                <w:b w:val="0"/>
                <w:bCs w:val="0"/>
                <w:lang w:val="en-US" w:eastAsia="zh-CN"/>
              </w:rPr>
              <w:br w:type="textWrapping"/>
            </w:r>
            <w:r>
              <w:rPr>
                <w:rFonts w:hint="eastAsia" w:ascii="宋体" w:hAnsi="宋体" w:eastAsia="宋体" w:cs="宋体"/>
                <w:b w:val="0"/>
                <w:bCs w:val="0"/>
                <w:lang w:val="en-US" w:eastAsia="zh-CN"/>
              </w:rPr>
              <w:t>2.基座粗平圆气泡；</w:t>
            </w:r>
            <w:r>
              <w:rPr>
                <w:rFonts w:hint="eastAsia" w:ascii="宋体" w:hAnsi="宋体" w:eastAsia="宋体" w:cs="宋体"/>
                <w:b w:val="0"/>
                <w:bCs w:val="0"/>
                <w:lang w:val="en-US" w:eastAsia="zh-CN"/>
              </w:rPr>
              <w:br w:type="textWrapping"/>
            </w:r>
            <w:r>
              <w:rPr>
                <w:rFonts w:hint="eastAsia" w:ascii="宋体" w:hAnsi="宋体" w:eastAsia="宋体" w:cs="宋体"/>
                <w:b w:val="0"/>
                <w:bCs w:val="0"/>
                <w:lang w:val="en-US" w:eastAsia="zh-CN"/>
              </w:rPr>
              <w:t>3.光学十字丝对中；</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Times New Roman" w:cs="Times New Roman"/>
                <w:lang w:val="en-US" w:eastAsia="zh-CN"/>
              </w:rPr>
            </w:pPr>
            <w:r>
              <w:rPr>
                <w:rFonts w:hint="eastAsia" w:ascii="宋体" w:hAnsi="宋体" w:eastAsia="宋体" w:cs="宋体"/>
                <w:b w:val="0"/>
                <w:bCs w:val="0"/>
                <w:sz w:val="21"/>
                <w:szCs w:val="21"/>
                <w:vertAlign w:val="baseline"/>
                <w:lang w:val="en-US" w:eastAsia="zh-CN"/>
              </w:rPr>
              <w:t>4.详见附件5中序号6。</w:t>
            </w:r>
          </w:p>
        </w:tc>
      </w:tr>
    </w:tbl>
    <w:p>
      <w:pPr>
        <w:pStyle w:val="2"/>
        <w:keepNext/>
        <w:pageBreakBefore w:val="0"/>
        <w:kinsoku/>
        <w:wordWrap/>
        <w:overflowPunct/>
        <w:topLinePunct w:val="0"/>
        <w:autoSpaceDE/>
        <w:autoSpaceDN/>
        <w:bidi w:val="0"/>
        <w:jc w:val="left"/>
        <w:rPr>
          <w:rFonts w:hint="eastAsia" w:ascii="宋体" w:hAnsi="宋体" w:cs="宋体"/>
          <w:color w:val="000000"/>
          <w:kern w:val="0"/>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5</w:t>
      </w:r>
      <w:r>
        <w:rPr>
          <w:rFonts w:hint="eastAsia" w:ascii="宋体" w:hAnsi="宋体" w:eastAsia="宋体" w:cs="宋体"/>
          <w:sz w:val="28"/>
          <w:szCs w:val="28"/>
        </w:rPr>
        <w:t>：项目仪器设备清单－详细技术参数及配备要求</w:t>
      </w:r>
    </w:p>
    <w:tbl>
      <w:tblPr>
        <w:tblStyle w:val="57"/>
        <w:tblW w:w="48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71"/>
        <w:gridCol w:w="6337"/>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 w:type="pct"/>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top"/>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序号</w:t>
            </w:r>
          </w:p>
        </w:tc>
        <w:tc>
          <w:tcPr>
            <w:tcW w:w="594" w:type="pct"/>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top"/>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eastAsia="zh-CN" w:bidi="ar"/>
              </w:rPr>
              <w:t>货物</w:t>
            </w:r>
            <w:r>
              <w:rPr>
                <w:rFonts w:hint="eastAsia" w:ascii="宋体" w:hAnsi="宋体" w:eastAsia="宋体" w:cs="宋体"/>
                <w:b/>
                <w:bCs/>
                <w:color w:val="000000"/>
                <w:kern w:val="0"/>
                <w:sz w:val="21"/>
                <w:szCs w:val="21"/>
                <w:lang w:bidi="ar"/>
              </w:rPr>
              <w:t>名称</w:t>
            </w:r>
          </w:p>
        </w:tc>
        <w:tc>
          <w:tcPr>
            <w:tcW w:w="3213" w:type="pct"/>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top"/>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详细技术参数及配备要求</w:t>
            </w:r>
          </w:p>
        </w:tc>
        <w:tc>
          <w:tcPr>
            <w:tcW w:w="976" w:type="pct"/>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top"/>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产品</w:t>
            </w:r>
            <w:r>
              <w:rPr>
                <w:rFonts w:hint="eastAsia" w:ascii="宋体" w:hAnsi="宋体" w:eastAsia="宋体" w:cs="宋体"/>
                <w:b/>
                <w:bCs/>
                <w:color w:val="000000"/>
                <w:kern w:val="0"/>
                <w:sz w:val="21"/>
                <w:szCs w:val="21"/>
                <w:highlight w:val="none"/>
                <w:lang w:eastAsia="zh-CN" w:bidi="ar"/>
              </w:rPr>
              <w:t>参考</w:t>
            </w:r>
            <w:r>
              <w:rPr>
                <w:rFonts w:hint="eastAsia" w:ascii="宋体" w:hAnsi="宋体" w:eastAsia="宋体" w:cs="宋体"/>
                <w:b/>
                <w:bCs/>
                <w:color w:val="000000"/>
                <w:kern w:val="0"/>
                <w:sz w:val="21"/>
                <w:szCs w:val="21"/>
                <w:highlight w:val="none"/>
                <w:lang w:bidi="ar"/>
              </w:rPr>
              <w:t>图</w:t>
            </w:r>
            <w:r>
              <w:rPr>
                <w:rFonts w:hint="eastAsia" w:ascii="宋体" w:hAnsi="宋体" w:eastAsia="宋体" w:cs="宋体"/>
                <w:b/>
                <w:bCs/>
                <w:color w:val="000000"/>
                <w:kern w:val="0"/>
                <w:sz w:val="21"/>
                <w:szCs w:val="21"/>
                <w:lang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94"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智能型全站仪</w:t>
            </w:r>
          </w:p>
        </w:tc>
        <w:tc>
          <w:tcPr>
            <w:tcW w:w="3213" w:type="pct"/>
            <w:shd w:val="clear" w:color="auto" w:fill="FFFFFF"/>
            <w:noWrap w:val="0"/>
            <w:vAlign w:val="center"/>
          </w:tcPr>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 xml:space="preserve">一、测距部分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★1.免棱镜测量距离不低于1000m；单棱镜测量距离不低于5km，反射片测量距离不低于1km； </w:t>
            </w:r>
          </w:p>
          <w:p>
            <w:pPr>
              <w:keepNext/>
              <w:keepLines w:val="0"/>
              <w:pageBreakBefore w:val="0"/>
              <w:numPr>
                <w:ilvl w:val="0"/>
                <w:numId w:val="0"/>
              </w:numPr>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数字显示值：最大 99999999.9999，最小 0.1mm；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3.测距精度：棱镜模式±2+2ppm，无棱镜模式±3+2ppm；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4.测距时间：精测 0.35 秒，跟踪 0.25 秒；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sz w:val="21"/>
                <w:szCs w:val="21"/>
              </w:rPr>
            </w:pPr>
            <w:r>
              <w:rPr>
                <w:rFonts w:hint="eastAsia" w:ascii="宋体" w:hAnsi="宋体" w:eastAsia="宋体" w:cs="宋体"/>
                <w:sz w:val="21"/>
                <w:szCs w:val="21"/>
              </w:rPr>
              <w:t xml:space="preserve">★5.气象改正方式：温度气压传感器自动改正；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sz w:val="21"/>
                <w:szCs w:val="21"/>
              </w:rPr>
            </w:pPr>
            <w:r>
              <w:rPr>
                <w:rFonts w:hint="eastAsia" w:ascii="宋体" w:hAnsi="宋体" w:eastAsia="宋体" w:cs="宋体"/>
                <w:sz w:val="21"/>
                <w:szCs w:val="21"/>
              </w:rPr>
              <w:t>★6.具备一键式测量快捷键功能：支持机身专用一键测量快捷键功能， 实现观察目标与记录测量数据同步</w:t>
            </w:r>
            <w:r>
              <w:rPr>
                <w:rFonts w:hint="eastAsia" w:ascii="宋体" w:hAnsi="宋体" w:cs="宋体"/>
                <w:sz w:val="21"/>
                <w:szCs w:val="21"/>
                <w:lang w:eastAsia="zh-CN"/>
              </w:rPr>
              <w:t>，</w:t>
            </w:r>
            <w:r>
              <w:rPr>
                <w:rFonts w:hint="eastAsia" w:ascii="宋体" w:hAnsi="宋体" w:eastAsia="宋体" w:cs="宋体"/>
                <w:sz w:val="21"/>
                <w:szCs w:val="21"/>
              </w:rPr>
              <w:t xml:space="preserve">一键触发键支持功能自定义，可自动 记忆上次按键功能，实现测量、测存等操作；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 xml:space="preserve">二、测角部分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1.测角方式：绝对编码盘技术；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leftChars="100" w:right="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2.度盘直径：79mm；最小读数：1 秒；探测方式：水平盘、垂直盘对经；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3.测角精度：2 秒；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 xml:space="preserve">三、望远镜部分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leftChars="100" w:right="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1.像方式：正像；镜筒长度：154mm；物镜有效孔径：望远 45mm，测距 50mm；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leftChars="100" w:right="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2.放大倍率：30X；视场角：1 度 30 分；分辨率：3 秒；最小视距：1m；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 xml:space="preserve">四、自动补偿器部分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1.补偿器系统：双轴液体光电式电子补偿器；</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2.工作范围：正负 4 分；精度 1 秒；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 xml:space="preserve">五、水准器部分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1.圆水准器精度：30 秒/2 毫米；管水准器精度：8 分/2 毫米；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 xml:space="preserve">六、对中器部分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1.对中器类型：激光对中；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leftChars="100" w:right="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2.对中器成像：正像；放大倍率：3X；调焦范围：最小 0.5 米；视场角：5 度；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 xml:space="preserve">七、显示系统部分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b/>
                <w:sz w:val="21"/>
                <w:szCs w:val="21"/>
              </w:rPr>
            </w:pPr>
            <w:r>
              <w:rPr>
                <w:rFonts w:hint="eastAsia" w:ascii="宋体" w:hAnsi="宋体" w:eastAsia="宋体" w:cs="宋体"/>
                <w:sz w:val="21"/>
                <w:szCs w:val="21"/>
              </w:rPr>
              <w:t>★1.屏幕：不小于3.5 英寸，不小于320*240 点阵高清高亮真彩触摸屏，半透半反设计，强光下清晰可见；</w:t>
            </w:r>
            <w:r>
              <w:rPr>
                <w:rFonts w:hint="eastAsia" w:ascii="宋体" w:hAnsi="宋体" w:eastAsia="宋体" w:cs="宋体"/>
                <w:b/>
                <w:sz w:val="21"/>
                <w:szCs w:val="21"/>
              </w:rPr>
              <w:t>（</w:t>
            </w:r>
            <w:r>
              <w:rPr>
                <w:rFonts w:hint="eastAsia" w:ascii="宋体" w:hAnsi="宋体" w:eastAsia="宋体" w:cs="宋体"/>
                <w:b/>
                <w:sz w:val="21"/>
                <w:szCs w:val="21"/>
                <w:lang w:eastAsia="zh-CN"/>
              </w:rPr>
              <w:t>响应</w:t>
            </w:r>
            <w:r>
              <w:rPr>
                <w:rFonts w:hint="eastAsia" w:ascii="宋体" w:hAnsi="宋体" w:eastAsia="宋体" w:cs="宋体"/>
                <w:b/>
                <w:sz w:val="21"/>
                <w:szCs w:val="21"/>
              </w:rPr>
              <w:t xml:space="preserve">文件中须提供实物图片）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right="0" w:hanging="420" w:hanging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★2.操作系统：具备UCOS-II 实时多任务操作系统，开机时间不超过 10 秒，可加载自主应用程序；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 xml:space="preserve">八、存储及数据传输部分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1.内存：1G，可扩展 32G；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2.数据接口：U 盘、USB、SD 卡、RS232；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leftChars="100" w:right="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3.蓝牙：蓝牙 4.0，可与手机、电脑直接进行无线数据传输，支持与手簿、陀螺仪等设备直接连接；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九、电池部分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1.电池类型：锂电池；电池容量：单块 3900 毫安；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十、物理性能</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1.工业等级：IP55； </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★2.具备人性化、图形化放样界面，根据罗盘指示器转动仪器，快</w:t>
            </w:r>
            <w:r>
              <w:rPr>
                <w:rFonts w:hint="eastAsia" w:ascii="宋体" w:hAnsi="宋体" w:eastAsia="宋体" w:cs="宋体"/>
                <w:sz w:val="21"/>
                <w:szCs w:val="21"/>
                <w:lang w:val="en-US" w:eastAsia="zh-CN"/>
              </w:rPr>
              <w:t xml:space="preserve">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20" w:leftChars="20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速找到放样方向，提高工作效率，机载软件可在全站仪屏幕上直接勾画并显示草图，图形可导出为 DXF 格式，全站仪点数据可直接导出为 CASS 软件能直接读取的 dat 数据格式。系统内置隧道测量高精度应用；机载计算器软件。</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sz w:val="21"/>
                <w:szCs w:val="21"/>
              </w:rPr>
            </w:pPr>
            <w:r>
              <w:rPr>
                <w:rFonts w:hint="eastAsia" w:ascii="宋体" w:hAnsi="宋体" w:eastAsia="宋体" w:cs="宋体"/>
                <w:sz w:val="21"/>
                <w:szCs w:val="21"/>
              </w:rPr>
              <w:t>3.尺寸：约 200mm*180mm*350mm ；</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4.重量：约6.0千克；</w:t>
            </w:r>
          </w:p>
        </w:tc>
        <w:tc>
          <w:tcPr>
            <w:tcW w:w="97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drawing>
                <wp:anchor distT="0" distB="0" distL="114300" distR="114300" simplePos="0" relativeHeight="251692032" behindDoc="0" locked="0" layoutInCell="1" allowOverlap="1">
                  <wp:simplePos x="0" y="0"/>
                  <wp:positionH relativeFrom="column">
                    <wp:posOffset>-36830</wp:posOffset>
                  </wp:positionH>
                  <wp:positionV relativeFrom="paragraph">
                    <wp:posOffset>383540</wp:posOffset>
                  </wp:positionV>
                  <wp:extent cx="1183005" cy="1626870"/>
                  <wp:effectExtent l="0" t="0" r="17145" b="11430"/>
                  <wp:wrapNone/>
                  <wp:docPr id="36"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3"/>
                          <pic:cNvPicPr>
                            <a:picLocks noChangeAspect="1"/>
                          </pic:cNvPicPr>
                        </pic:nvPicPr>
                        <pic:blipFill>
                          <a:blip r:embed="rId10"/>
                          <a:stretch>
                            <a:fillRect/>
                          </a:stretch>
                        </pic:blipFill>
                        <pic:spPr>
                          <a:xfrm>
                            <a:off x="0" y="0"/>
                            <a:ext cx="1183005" cy="162687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1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594"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GPS测量系统</w:t>
            </w:r>
          </w:p>
        </w:tc>
        <w:tc>
          <w:tcPr>
            <w:tcW w:w="3213" w:type="pct"/>
            <w:shd w:val="clear" w:color="auto" w:fill="FFFFFF"/>
            <w:noWrap w:val="0"/>
            <w:vAlign w:val="center"/>
          </w:tcPr>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rPr>
                <w:rFonts w:hint="eastAsia" w:ascii="宋体" w:hAnsi="宋体" w:eastAsia="宋体" w:cs="宋体"/>
                <w:sz w:val="21"/>
                <w:szCs w:val="21"/>
              </w:rPr>
            </w:pPr>
            <w:r>
              <w:rPr>
                <w:rFonts w:hint="eastAsia" w:ascii="宋体" w:hAnsi="宋体" w:eastAsia="宋体" w:cs="宋体"/>
                <w:sz w:val="21"/>
                <w:szCs w:val="21"/>
              </w:rPr>
              <w:t>一、GNSS性能及信号追踪：</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420" w:right="0" w:hanging="420" w:hangingChars="200"/>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336通道；</w:t>
            </w:r>
            <w:r>
              <w:rPr>
                <w:rFonts w:hint="eastAsia" w:ascii="宋体" w:hAnsi="宋体" w:eastAsia="宋体" w:cs="宋体"/>
                <w:color w:val="000000"/>
                <w:sz w:val="21"/>
                <w:szCs w:val="21"/>
              </w:rPr>
              <w:t>BDS B1、B2、B3，内置电台型轻便主机重量约1.44kg(含电池)； GPS L1C/A、L1C、L2C、L2E、L5，GLONASS L1C/A、L1P、L2C/A、L2P、L3，SBAS L1C/A、L5（对于支持L5的SBAS卫星），Galileo GIOVE-A和GIOVE-B、E1、E5A、E5B，QZSS、WAAS、MSAS、EGNOS、GAGAN（星站差分）；GNSS特性定位输出频率1Hz~50Hz，初初始化时间小于10秒，始化可靠性＞99.99%，全星座接收技术，能够支持来自所有现行的和规划中的GNSS星座信号，具有高可靠的载波跟踪技术，从而提高了载波精度，为用户提供高质量的原始观测数据，智能动态灵敏度定位技术，适应各种环境的变换，适应更加恶劣、更远距离的定位环境，高精度定位处理引擎。</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定位精度：</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码差分GNSS定位水平：0.25 m + 1 ppm RMS，垂直：0.50 m + 1 ppm RMS，SBAS差分定位精度：典型&lt;5m 3DRMS；静态GNSS测量±（2.5 mm + 0.5mm/km×d）（d为被测点间距离，km）；实时动态测量±（10 mm + 1mm/km×d）（d为被测点间距离，km）。</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二、操作系统/用户交互:</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操作系统 Linux；</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液晶屏高清0.96寸OLED屏幕，分辨率128*64；双按键可视化操作，四指示灯，智能语音技术，智能状态播报、语音操作提示，支持语音自定义：中文、英语、韩语、俄语、葡萄牙语、西班牙语、土耳其语。</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三、硬件参数:</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210" w:leftChars="100" w:righ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抗3米跌落；</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210" w:leftChars="100" w:righ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主机直径约152mm*高137mm，材质：镁合金；</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210" w:leftChars="100" w:righ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工作温度：–45°C到+60°C，存储温度：–55°C到+85°C；</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210" w:leftChars="100" w:righ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抗100%冷凝；</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防水：1m浸泡，IP67级，防尘：完全防止粉尘进入，IP67级；电源：9-25V宽压直流设计，带过压保护</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四、通讯：</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5PIN LEMO 外接电源接口+RS232，7PIN LEMO 外接USB（OTG），1个网络数据链天线接口，1个电台数据链天线接口，SIM卡卡槽；</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内置收发一体电台，高中低三挡可调（内置电台作用距离不少于7KM），兼容天宝、徕卡、拓普康等主流产品。</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通讯协议： TrimTalk450S，TrimMark3， PCC EOT， SOUTH，</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ins w:id="0" w:author="Administrator" w:date="2018-11-12T21:04:00Z"/>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基于linux平台的智能PPP拨号技术，</w:t>
            </w:r>
            <w:r>
              <w:rPr>
                <w:rFonts w:hint="eastAsia" w:ascii="宋体" w:hAnsi="宋体" w:eastAsia="宋体" w:cs="宋体"/>
                <w:color w:val="auto"/>
                <w:sz w:val="21"/>
                <w:szCs w:val="21"/>
              </w:rPr>
              <w:t>自动实时拨号、工作过程中持续在线内置WCDMA3.5G网络通讯模块，兼容GPRS/EDGE；可定制CDMA2000/EVDO 3G模块和TDD-LTE、FDD-LTE 4G通信模块，</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兼容各种CORS系统接入，</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蓝牙：BLEBluetooth 4.0蓝牙标准，支持android、ios系统手机连接Bluetooth 2.1 + EDR标准；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ins w:id="1" w:author="Administrator" w:date="2018-11-12T21:11:00Z"/>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采用NFC无线通信技术，手簿与主机触碰即可实现蓝牙自动配对</w:t>
            </w:r>
            <w:r>
              <w:rPr>
                <w:rFonts w:hint="eastAsia" w:ascii="宋体" w:hAnsi="宋体" w:eastAsia="宋体" w:cs="宋体"/>
                <w:color w:val="000000"/>
                <w:sz w:val="21"/>
                <w:szCs w:val="21"/>
              </w:rPr>
              <w:t>（需手簿同样配备NFC无线通信模块）；</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可选配外接GPRS/CDMA双模通讯模块，自由切换，适应各种工作环境；WIFI:标准 802.11b/g标准；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具有WIFI热点功能，任何智能终端均可接入接收机，对接收机功能进行丰富的个性化定制；工业手簿、智能终端等数据采集器可与接收机之间通过WIFI进行数据传输</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五、数据存储/传输</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8G内置固态存储器，自动循环存储(存储空间不够时自动删除最早数据)</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支持外接USB存储器进行数据存储，一键智能拷贝通过外接USB存储器直接导出主机静态数据。</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六、数据格式:</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静态数据格式：STH、Rinex2.01和Rinex3.02等多种格式</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差分数据格式：CMR+、CMRx、RTCM 2.1、RTCM 2.3、RTCM 3.0、RTCM 3.1、RTCM 3.2输入和输出</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GPS输出数据格式：NMEA 0183、PJK平面坐标、二进制码、Trimble GSOF</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网络模式支持：VRS、FKP、MAC，支持NTRIP协议</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七、倾斜测量</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内置倾斜补偿器，根据对中杆倾斜方向和角度自动校正坐标；</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电子气泡：内置感应器，手簿软件可显示电子气泡，实时检查对中杆整平情况。</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温度传感器：内置多个温度传感器，采用智能变频温控技术，实时监控与调节主机温度</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八、数据采集及在线检测软件系统：</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用户在线管理：软件系统侦听各信道，如果有用户接入系统，则负责接通并根据来电对用户的权限进行认证，管理用户的登陆，以保证数据的安全性。当用户断开连接后，系统将用户登陆情况存储到数据库中备案，用户可以通过系统软件查看测量数据，查看用户外业测量的图形结果。</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实时数据发送：当用户的权限获得系统的通过认可后，实时获取到系统发送的实时测量数据。</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实时监控：对获得权限认证通过的用户，系统能实时监控其所处位置以及工作情况（何时开始工作、工作多长时间、多少设备同时工作等）。</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参数加密：对本地区的测量参数，采取软加密的方式置于本系统中，增强了数据的保密性。</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★5.扩大作业半径：有效扩大作业半径，提高测量效率，节省测量时间，提高利用率。</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rPr>
                <w:rFonts w:hint="eastAsia" w:ascii="宋体" w:hAnsi="宋体" w:eastAsia="宋体" w:cs="宋体"/>
                <w:sz w:val="21"/>
                <w:szCs w:val="21"/>
              </w:rPr>
            </w:pPr>
            <w:r>
              <w:rPr>
                <w:rFonts w:hint="eastAsia" w:ascii="宋体" w:hAnsi="宋体" w:eastAsia="宋体" w:cs="宋体"/>
                <w:color w:val="000000"/>
                <w:sz w:val="21"/>
                <w:szCs w:val="21"/>
              </w:rPr>
              <w:t>九、</w:t>
            </w:r>
            <w:r>
              <w:rPr>
                <w:rFonts w:hint="eastAsia" w:ascii="宋体" w:hAnsi="宋体" w:eastAsia="宋体" w:cs="宋体"/>
                <w:sz w:val="21"/>
                <w:szCs w:val="21"/>
              </w:rPr>
              <w:t>手簿性能</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420" w:right="0" w:hanging="420" w:hanging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系统配置</w:t>
            </w:r>
            <w:r>
              <w:rPr>
                <w:rFonts w:hint="eastAsia" w:ascii="宋体" w:hAnsi="宋体" w:cs="宋体"/>
                <w:sz w:val="21"/>
                <w:szCs w:val="21"/>
                <w:lang w:eastAsia="zh-CN"/>
              </w:rPr>
              <w:t>：</w:t>
            </w:r>
            <w:r>
              <w:rPr>
                <w:rFonts w:hint="eastAsia" w:ascii="宋体" w:hAnsi="宋体" w:eastAsia="宋体" w:cs="宋体"/>
                <w:sz w:val="21"/>
                <w:szCs w:val="21"/>
              </w:rPr>
              <w:t xml:space="preserve"> Android6.0系统，1.3G四核处理器,2GB内存、16GB闪存（可扩展）。</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420" w:leftChars="100" w:right="0" w:hanging="210" w:hangingChars="1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通讯设置</w:t>
            </w:r>
            <w:r>
              <w:rPr>
                <w:rFonts w:hint="eastAsia" w:ascii="宋体" w:hAnsi="宋体" w:cs="宋体"/>
                <w:sz w:val="21"/>
                <w:szCs w:val="21"/>
                <w:lang w:eastAsia="zh-CN"/>
              </w:rPr>
              <w:t>：</w:t>
            </w:r>
            <w:r>
              <w:rPr>
                <w:rFonts w:hint="eastAsia" w:ascii="宋体" w:hAnsi="宋体" w:eastAsia="宋体" w:cs="宋体"/>
                <w:sz w:val="21"/>
                <w:szCs w:val="21"/>
              </w:rPr>
              <w:t>内置4G全网通通讯模块;IEEE 802.11 b/g/n, Wapi, AP(支持WiFi与蜂窝移动双联智选上网);内置蓝牙(2.1+4.0);</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420" w:leftChars="100" w:right="0" w:hanging="210" w:hangingChars="1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智能软件:智能软件应用,PPK功能，数据字典，自定义格式数据导入，电子气泡智能校准，多功能计算，在线地图功能，方便对位置的预判。</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软件安全性</w:t>
            </w:r>
            <w:r>
              <w:rPr>
                <w:rFonts w:hint="eastAsia" w:ascii="宋体" w:hAnsi="宋体" w:cs="宋体"/>
                <w:sz w:val="21"/>
                <w:szCs w:val="21"/>
                <w:lang w:eastAsia="zh-CN"/>
              </w:rPr>
              <w:t>：</w:t>
            </w:r>
            <w:r>
              <w:rPr>
                <w:rFonts w:hint="eastAsia" w:ascii="宋体" w:hAnsi="宋体" w:eastAsia="宋体" w:cs="宋体"/>
                <w:sz w:val="21"/>
                <w:szCs w:val="21"/>
              </w:rPr>
              <w:t>软件具有参数加密功能。</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电池性能</w:t>
            </w:r>
            <w:r>
              <w:rPr>
                <w:rFonts w:hint="eastAsia" w:ascii="宋体" w:hAnsi="宋体" w:cs="宋体"/>
                <w:sz w:val="21"/>
                <w:szCs w:val="21"/>
                <w:lang w:eastAsia="zh-CN"/>
              </w:rPr>
              <w:t>：</w:t>
            </w:r>
            <w:r>
              <w:rPr>
                <w:rFonts w:hint="eastAsia" w:ascii="宋体" w:hAnsi="宋体" w:eastAsia="宋体" w:cs="宋体"/>
                <w:sz w:val="21"/>
                <w:szCs w:val="21"/>
              </w:rPr>
              <w:t>可拆卸锂电池，单块电池工作12小时以上。</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智能应用</w:t>
            </w:r>
            <w:r>
              <w:rPr>
                <w:rFonts w:hint="eastAsia" w:ascii="宋体" w:hAnsi="宋体" w:cs="宋体"/>
                <w:sz w:val="21"/>
                <w:szCs w:val="21"/>
                <w:lang w:eastAsia="zh-CN"/>
              </w:rPr>
              <w:t>：</w:t>
            </w:r>
            <w:r>
              <w:rPr>
                <w:rFonts w:hint="eastAsia" w:ascii="宋体" w:hAnsi="宋体" w:eastAsia="宋体" w:cs="宋体"/>
                <w:sz w:val="21"/>
                <w:szCs w:val="21"/>
              </w:rPr>
              <w:t>可协同多台设备,分享、扫描实现参数共享功能。</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420" w:right="0" w:hanging="420" w:hanging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应用功能：内置不低于1300万像素自动对焦摄像头。支持现场拍摄的照片和测量的点一一对应导出，以方便后期判别。</w:t>
            </w:r>
          </w:p>
          <w:p>
            <w:pPr>
              <w:keepNext/>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数字全键盘（物理键面）。</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屏幕尺寸：4英寸≤屏幕尺寸≤5英寸。</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210" w:right="0"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十、每套清单：GPS主机2台，手簿1个，电台1个，天线1套，主机配电2块，轻质炭纤杆1根，各类配套联接线全套。</w:t>
            </w:r>
          </w:p>
        </w:tc>
        <w:tc>
          <w:tcPr>
            <w:tcW w:w="97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drawing>
                <wp:anchor distT="0" distB="0" distL="114300" distR="114300" simplePos="0" relativeHeight="251693056" behindDoc="0" locked="0" layoutInCell="1" allowOverlap="1">
                  <wp:simplePos x="0" y="0"/>
                  <wp:positionH relativeFrom="column">
                    <wp:posOffset>-21590</wp:posOffset>
                  </wp:positionH>
                  <wp:positionV relativeFrom="paragraph">
                    <wp:posOffset>70485</wp:posOffset>
                  </wp:positionV>
                  <wp:extent cx="1066800" cy="1010285"/>
                  <wp:effectExtent l="0" t="0" r="0" b="18415"/>
                  <wp:wrapNone/>
                  <wp:docPr id="37"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4"/>
                          <pic:cNvPicPr>
                            <a:picLocks noChangeAspect="1"/>
                          </pic:cNvPicPr>
                        </pic:nvPicPr>
                        <pic:blipFill>
                          <a:blip r:embed="rId11"/>
                          <a:stretch>
                            <a:fillRect/>
                          </a:stretch>
                        </pic:blipFill>
                        <pic:spPr>
                          <a:xfrm>
                            <a:off x="0" y="0"/>
                            <a:ext cx="1066800" cy="10102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594" w:type="pct"/>
            <w:shd w:val="clear" w:color="auto" w:fill="FFFFFF"/>
            <w:noWrap w:val="0"/>
            <w:vAlign w:val="center"/>
          </w:tcPr>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二等精密水准电子水准仪</w:t>
            </w:r>
          </w:p>
        </w:tc>
        <w:tc>
          <w:tcPr>
            <w:tcW w:w="3213" w:type="pct"/>
            <w:shd w:val="clear" w:color="auto" w:fill="FFFFFF"/>
            <w:noWrap w:val="0"/>
            <w:vAlign w:val="center"/>
          </w:tcPr>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一、精度指标部分：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高程测量精度（每公里往返测标准差）：电子读数为0.7毫米，光学读数为2毫米；</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距离测量精度：当D≤10m时为10mm，当D≥10m是为D×0.001；</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测程：2米-110米；</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最小显示：高差1mm/0.1mm，距离0.1/1cm；</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测量时间：小于3秒。</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二、望远镜部分：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放大倍率：30X；</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分辨率：3秒；</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视场角：1度10分；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视距乘常数：100；视距加常数：0。</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三、补偿器部分：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类型：磁阻尼摆式补偿器；</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补偿范围：大于±12分；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补偿精度：0.3秒/1分。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四、数据存储部分：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内存：9000个点，支持点号按递增、递减、自定义方式排列；</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数据接口：USB，可通过USB直接访问内存和TF卡；</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外部存储：TF卡，最大32G。</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五、系统部分：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圆水准器灵敏度：8分/2毫米；</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自动断电：5分钟无操作自动关机；</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显示器：带照明160×64点阵液晶屏，可以显示8行，每行12个汉字；</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工作温度：-20至+50摄氏度。</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六、硬件部分：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约230mm×150mm×210mm，重量约：2.5kg。</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七、软件部分：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机载丰富的测量软件，线路测量具备BFFB、BBFF、BIF、aBFFB四种模式。包含前后视距差、视距累计差、二次读数差、高差较差、转点差等多种限差判定</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420" w:right="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配置数据后处理水准测量平差软件，可以输出原始数据报表、点报表、测站报表数据；平差后数据可以导出Excel表格。</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八、铟钢尺部分：</w:t>
            </w:r>
          </w:p>
          <w:p>
            <w:pPr>
              <w:keepNext/>
              <w:keepLines w:val="0"/>
              <w:pageBreakBefore w:val="0"/>
              <w:suppressLineNumbers w:val="0"/>
              <w:kinsoku/>
              <w:wordWrap/>
              <w:overflowPunct/>
              <w:topLinePunct w:val="0"/>
              <w:autoSpaceDE/>
              <w:autoSpaceDN/>
              <w:bidi w:val="0"/>
              <w:spacing w:before="0" w:beforeAutospacing="0" w:after="0" w:afterAutospacing="0" w:line="320" w:lineRule="exact"/>
              <w:ind w:left="0" w:right="0"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条码尺材质：铟钢，长度：2米</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420" w:leftChars="100" w:right="0" w:hanging="210" w:hanging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配置：主机1台、脚架1个、2米铟钢尺1对；尺撑1副，5KG尺垫一对。</w:t>
            </w:r>
          </w:p>
        </w:tc>
        <w:tc>
          <w:tcPr>
            <w:tcW w:w="97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rPr>
                <w:rFonts w:hint="eastAsia" w:ascii="宋体" w:hAnsi="宋体" w:eastAsia="宋体" w:cs="宋体"/>
                <w:color w:val="000000"/>
                <w:kern w:val="0"/>
                <w:sz w:val="21"/>
                <w:szCs w:val="21"/>
                <w:lang w:bidi="ar"/>
              </w:rPr>
            </w:pPr>
            <w:r>
              <w:rPr>
                <w:rFonts w:hint="eastAsia" w:ascii="宋体" w:hAnsi="宋体" w:eastAsia="宋体" w:cs="宋体"/>
                <w:sz w:val="21"/>
                <w:szCs w:val="21"/>
              </w:rPr>
              <w:drawing>
                <wp:anchor distT="0" distB="0" distL="114300" distR="114300" simplePos="0" relativeHeight="251694080" behindDoc="0" locked="0" layoutInCell="1" allowOverlap="1">
                  <wp:simplePos x="0" y="0"/>
                  <wp:positionH relativeFrom="column">
                    <wp:posOffset>-59690</wp:posOffset>
                  </wp:positionH>
                  <wp:positionV relativeFrom="paragraph">
                    <wp:posOffset>694690</wp:posOffset>
                  </wp:positionV>
                  <wp:extent cx="1184275" cy="1175385"/>
                  <wp:effectExtent l="0" t="0" r="15875" b="5715"/>
                  <wp:wrapNone/>
                  <wp:docPr id="38"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5"/>
                          <pic:cNvPicPr>
                            <a:picLocks noChangeAspect="1"/>
                          </pic:cNvPicPr>
                        </pic:nvPicPr>
                        <pic:blipFill>
                          <a:blip r:embed="rId12"/>
                          <a:stretch>
                            <a:fillRect/>
                          </a:stretch>
                        </pic:blipFill>
                        <pic:spPr>
                          <a:xfrm>
                            <a:off x="0" y="0"/>
                            <a:ext cx="1184275" cy="11753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594"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数字化成图软件</w:t>
            </w:r>
          </w:p>
        </w:tc>
        <w:tc>
          <w:tcPr>
            <w:tcW w:w="3213" w:type="pct"/>
            <w:shd w:val="clear" w:color="auto" w:fill="FFFFFF"/>
            <w:noWrap w:val="0"/>
            <w:vAlign w:val="center"/>
          </w:tcPr>
          <w:p>
            <w:pPr>
              <w:keepNext/>
              <w:keepLines w:val="0"/>
              <w:widowControl/>
              <w:suppressLineNumbers w:val="0"/>
              <w:spacing w:before="0" w:beforeAutospacing="0" w:after="0" w:afterAutospacing="0" w:line="320" w:lineRule="exact"/>
              <w:ind w:left="0" w:right="0"/>
              <w:jc w:val="left"/>
              <w:textAlignment w:val="center"/>
              <w:rPr>
                <w:rFonts w:hint="default" w:ascii="宋体" w:hAnsi="宋体" w:eastAsia="Times New Roman" w:cs="宋体"/>
                <w:szCs w:val="21"/>
              </w:rPr>
            </w:pPr>
            <w:r>
              <w:rPr>
                <w:rFonts w:hint="eastAsia" w:ascii="宋体" w:hAnsi="宋体" w:eastAsia="Times New Roman" w:cs="宋体"/>
                <w:szCs w:val="21"/>
              </w:rPr>
              <w:t>响应文件中要求提供相应截图，不提供视为此项不满足。</w:t>
            </w:r>
          </w:p>
          <w:p>
            <w:pPr>
              <w:keepNext/>
              <w:keepLines w:val="0"/>
              <w:widowControl/>
              <w:suppressLineNumbers w:val="0"/>
              <w:spacing w:before="0" w:beforeAutospacing="0" w:after="0" w:afterAutospacing="0" w:line="320" w:lineRule="exact"/>
              <w:ind w:left="0" w:right="0"/>
              <w:jc w:val="left"/>
              <w:textAlignment w:val="center"/>
              <w:rPr>
                <w:rFonts w:hint="default" w:ascii="宋体" w:hAnsi="宋体" w:eastAsia="Times New Roman" w:cs="宋体"/>
                <w:szCs w:val="21"/>
              </w:rPr>
            </w:pPr>
            <w:r>
              <w:rPr>
                <w:rFonts w:hint="eastAsia" w:ascii="宋体" w:hAnsi="宋体" w:eastAsia="Times New Roman" w:cs="宋体"/>
                <w:szCs w:val="21"/>
              </w:rPr>
              <w:t>软件功能要求：</w:t>
            </w:r>
          </w:p>
          <w:p>
            <w:pPr>
              <w:keepNext/>
              <w:keepLines w:val="0"/>
              <w:widowControl/>
              <w:suppressLineNumbers w:val="0"/>
              <w:spacing w:before="0" w:beforeAutospacing="0" w:after="0" w:afterAutospacing="0" w:line="320" w:lineRule="exact"/>
              <w:ind w:left="0" w:right="0"/>
              <w:jc w:val="left"/>
              <w:textAlignment w:val="center"/>
              <w:rPr>
                <w:rFonts w:hint="default" w:ascii="宋体" w:hAnsi="宋体" w:eastAsia="Times New Roman" w:cs="宋体"/>
                <w:szCs w:val="21"/>
              </w:rPr>
            </w:pPr>
            <w:r>
              <w:rPr>
                <w:rFonts w:hint="eastAsia" w:ascii="宋体" w:hAnsi="宋体" w:eastAsia="Times New Roman" w:cs="宋体"/>
                <w:szCs w:val="21"/>
              </w:rPr>
              <w:t xml:space="preserve">★参考标准：地形图图式：GB/T 20257.1-2017 </w:t>
            </w:r>
          </w:p>
          <w:p>
            <w:pPr>
              <w:keepNext/>
              <w:keepLines w:val="0"/>
              <w:widowControl/>
              <w:suppressLineNumbers w:val="0"/>
              <w:spacing w:before="0" w:beforeAutospacing="0" w:after="0" w:afterAutospacing="0" w:line="320" w:lineRule="exact"/>
              <w:ind w:left="0" w:right="0" w:firstLine="210" w:firstLineChars="100"/>
              <w:jc w:val="left"/>
              <w:textAlignment w:val="center"/>
              <w:rPr>
                <w:rFonts w:hint="default" w:ascii="宋体" w:hAnsi="宋体" w:eastAsia="Times New Roman" w:cs="宋体"/>
                <w:szCs w:val="21"/>
              </w:rPr>
            </w:pPr>
            <w:r>
              <w:rPr>
                <w:rFonts w:hint="eastAsia" w:ascii="宋体" w:hAnsi="宋体" w:eastAsia="Times New Roman" w:cs="宋体"/>
                <w:szCs w:val="21"/>
              </w:rPr>
              <w:t>地籍调查规程：TD T1001-2012</w:t>
            </w:r>
          </w:p>
          <w:p>
            <w:pPr>
              <w:keepNext/>
              <w:keepLines w:val="0"/>
              <w:widowControl/>
              <w:suppressLineNumbers w:val="0"/>
              <w:spacing w:before="0" w:beforeAutospacing="0" w:after="0" w:afterAutospacing="0" w:line="320" w:lineRule="exact"/>
              <w:ind w:left="0" w:right="0" w:firstLine="210" w:firstLineChars="100"/>
              <w:jc w:val="left"/>
              <w:textAlignment w:val="center"/>
              <w:rPr>
                <w:rFonts w:hint="default" w:ascii="宋体" w:hAnsi="宋体" w:eastAsia="Times New Roman" w:cs="宋体"/>
                <w:szCs w:val="21"/>
              </w:rPr>
            </w:pPr>
            <w:r>
              <w:rPr>
                <w:rFonts w:hint="eastAsia" w:ascii="宋体" w:hAnsi="宋体" w:eastAsia="Times New Roman" w:cs="宋体"/>
                <w:szCs w:val="21"/>
              </w:rPr>
              <w:t>土地利用现状分类标准：GB/T 21010-2017；</w:t>
            </w:r>
          </w:p>
          <w:p>
            <w:pPr>
              <w:keepNext/>
              <w:keepLines w:val="0"/>
              <w:widowControl/>
              <w:suppressLineNumbers w:val="0"/>
              <w:spacing w:before="0" w:beforeAutospacing="0" w:after="0" w:afterAutospacing="0" w:line="320" w:lineRule="exact"/>
              <w:ind w:left="0" w:right="0" w:firstLine="210" w:firstLineChars="100"/>
              <w:jc w:val="left"/>
              <w:textAlignment w:val="center"/>
              <w:rPr>
                <w:rFonts w:hint="default" w:ascii="宋体" w:hAnsi="宋体" w:eastAsia="Times New Roman" w:cs="宋体"/>
                <w:szCs w:val="21"/>
              </w:rPr>
            </w:pPr>
            <w:r>
              <w:rPr>
                <w:rFonts w:hint="eastAsia" w:ascii="宋体" w:hAnsi="宋体" w:eastAsia="Times New Roman" w:cs="宋体"/>
                <w:szCs w:val="21"/>
              </w:rPr>
              <w:t>土地勘测定界规程：TD/T 1008-2007；</w:t>
            </w:r>
          </w:p>
          <w:p>
            <w:pPr>
              <w:keepNext/>
              <w:keepLines w:val="0"/>
              <w:widowControl/>
              <w:suppressLineNumbers w:val="0"/>
              <w:spacing w:before="0" w:beforeAutospacing="0" w:after="0" w:afterAutospacing="0" w:line="320" w:lineRule="exact"/>
              <w:ind w:left="0" w:right="0" w:firstLine="210" w:firstLineChars="100"/>
              <w:jc w:val="left"/>
              <w:textAlignment w:val="center"/>
              <w:rPr>
                <w:rFonts w:hint="eastAsia" w:ascii="宋体" w:hAnsi="宋体" w:eastAsia="Times New Roman" w:cs="宋体"/>
                <w:szCs w:val="21"/>
              </w:rPr>
            </w:pPr>
            <w:r>
              <w:rPr>
                <w:rFonts w:hint="eastAsia" w:ascii="宋体" w:hAnsi="宋体" w:eastAsia="Times New Roman" w:cs="宋体"/>
                <w:szCs w:val="21"/>
              </w:rPr>
              <w:t>基础地理信息要素数据字典：GB/T 20258.1-2007；</w:t>
            </w:r>
          </w:p>
          <w:p>
            <w:pPr>
              <w:keepNext/>
              <w:keepLines w:val="0"/>
              <w:widowControl/>
              <w:suppressLineNumbers w:val="0"/>
              <w:spacing w:before="0" w:beforeAutospacing="0" w:after="0" w:afterAutospacing="0" w:line="320" w:lineRule="exact"/>
              <w:ind w:left="0" w:right="0"/>
              <w:jc w:val="left"/>
              <w:textAlignment w:val="center"/>
              <w:rPr>
                <w:rFonts w:hint="default" w:ascii="宋体" w:hAnsi="宋体" w:eastAsia="Times New Roman" w:cs="宋体"/>
                <w:szCs w:val="21"/>
              </w:rPr>
            </w:pPr>
            <w:r>
              <w:rPr>
                <w:rFonts w:hint="eastAsia" w:ascii="宋体" w:hAnsi="宋体" w:eastAsia="Times New Roman" w:cs="宋体"/>
                <w:szCs w:val="21"/>
              </w:rPr>
              <w:t>★1.由国家版权局颁发的"计算机软件著作权登记证书"；</w:t>
            </w:r>
          </w:p>
          <w:p>
            <w:pPr>
              <w:keepNext/>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szCs w:val="21"/>
                <w:lang w:eastAsia="zh-CN"/>
              </w:rPr>
            </w:pPr>
            <w:r>
              <w:rPr>
                <w:rFonts w:hint="eastAsia" w:ascii="宋体" w:hAnsi="宋体" w:eastAsia="Times New Roman" w:cs="宋体"/>
                <w:szCs w:val="21"/>
              </w:rPr>
              <w:t>★</w:t>
            </w:r>
            <w:r>
              <w:rPr>
                <w:rFonts w:hint="default" w:ascii="宋体" w:hAnsi="宋体" w:eastAsia="Times New Roman" w:cs="宋体"/>
                <w:szCs w:val="21"/>
              </w:rPr>
              <w:t>2</w:t>
            </w:r>
            <w:r>
              <w:rPr>
                <w:rFonts w:hint="eastAsia" w:ascii="宋体" w:hAnsi="宋体" w:eastAsia="Times New Roman" w:cs="宋体"/>
                <w:szCs w:val="21"/>
              </w:rPr>
              <w:t>.能够连接市场</w:t>
            </w:r>
            <w:r>
              <w:rPr>
                <w:rFonts w:hint="eastAsia" w:ascii="宋体" w:hAnsi="宋体" w:eastAsia="Times New Roman" w:cs="宋体"/>
                <w:szCs w:val="21"/>
                <w:highlight w:val="none"/>
              </w:rPr>
              <w:t>主流品牌</w:t>
            </w:r>
            <w:r>
              <w:rPr>
                <w:rFonts w:hint="eastAsia" w:ascii="宋体" w:hAnsi="宋体" w:eastAsia="Times New Roman" w:cs="宋体"/>
                <w:szCs w:val="21"/>
              </w:rPr>
              <w:t>测量仪器（GPS、全站仪等）</w:t>
            </w:r>
            <w:r>
              <w:rPr>
                <w:rFonts w:hint="eastAsia" w:ascii="宋体" w:hAnsi="宋体" w:cs="宋体"/>
                <w:szCs w:val="21"/>
                <w:lang w:eastAsia="zh-CN"/>
              </w:rPr>
              <w:t>；</w:t>
            </w:r>
          </w:p>
          <w:p>
            <w:pPr>
              <w:keepNext/>
              <w:keepLines w:val="0"/>
              <w:widowControl/>
              <w:suppressLineNumbers w:val="0"/>
              <w:spacing w:before="0" w:beforeAutospacing="0" w:after="0" w:afterAutospacing="0" w:line="320" w:lineRule="exact"/>
              <w:ind w:left="420" w:right="0" w:hanging="420" w:hangingChars="200"/>
              <w:jc w:val="left"/>
              <w:textAlignment w:val="center"/>
              <w:rPr>
                <w:rFonts w:hint="default" w:ascii="宋体" w:hAnsi="宋体" w:eastAsia="Times New Roman" w:cs="宋体"/>
                <w:szCs w:val="21"/>
              </w:rPr>
            </w:pPr>
            <w:r>
              <w:rPr>
                <w:rFonts w:hint="eastAsia" w:ascii="宋体" w:hAnsi="宋体" w:eastAsia="Times New Roman" w:cs="宋体"/>
                <w:szCs w:val="21"/>
              </w:rPr>
              <w:t>★</w:t>
            </w:r>
            <w:r>
              <w:rPr>
                <w:rFonts w:hint="default" w:ascii="宋体" w:hAnsi="宋体" w:eastAsia="Times New Roman" w:cs="宋体"/>
                <w:szCs w:val="21"/>
              </w:rPr>
              <w:t>3</w:t>
            </w:r>
            <w:r>
              <w:rPr>
                <w:rFonts w:hint="eastAsia" w:ascii="宋体" w:hAnsi="宋体" w:eastAsia="Times New Roman" w:cs="宋体"/>
                <w:szCs w:val="21"/>
              </w:rPr>
              <w:t>.基于AutoCAD图形平台，支持AutoCAD2010——2016平台，采用ObjectARX开发技术；操作系统：windows xp/vista/windows7/ windows8/ windows10  32位、64位</w:t>
            </w:r>
            <w:r>
              <w:rPr>
                <w:rFonts w:hint="eastAsia" w:ascii="宋体" w:hAnsi="宋体" w:cs="宋体"/>
                <w:szCs w:val="21"/>
                <w:lang w:eastAsia="zh-CN"/>
              </w:rPr>
              <w:t>；</w:t>
            </w:r>
            <w:r>
              <w:rPr>
                <w:rFonts w:hint="eastAsia" w:ascii="宋体" w:hAnsi="宋体" w:eastAsia="Times New Roman" w:cs="宋体"/>
                <w:szCs w:val="21"/>
              </w:rPr>
              <w:t>（响应文件中必须提供支持软件平台截图）</w:t>
            </w:r>
          </w:p>
          <w:p>
            <w:pPr>
              <w:keepNext/>
              <w:keepLines w:val="0"/>
              <w:widowControl/>
              <w:suppressLineNumbers w:val="0"/>
              <w:spacing w:before="0" w:beforeAutospacing="0" w:after="0" w:afterAutospacing="0" w:line="320" w:lineRule="exact"/>
              <w:ind w:left="0" w:right="0"/>
              <w:jc w:val="left"/>
              <w:textAlignment w:val="center"/>
              <w:rPr>
                <w:rFonts w:hint="default" w:ascii="宋体" w:hAnsi="宋体" w:eastAsia="Times New Roman" w:cs="宋体"/>
                <w:szCs w:val="21"/>
              </w:rPr>
            </w:pPr>
            <w:r>
              <w:rPr>
                <w:rFonts w:hint="eastAsia" w:ascii="宋体" w:hAnsi="宋体" w:eastAsia="Times New Roman" w:cs="宋体"/>
                <w:szCs w:val="21"/>
              </w:rPr>
              <w:t>★</w:t>
            </w:r>
            <w:r>
              <w:rPr>
                <w:rFonts w:hint="default" w:ascii="宋体" w:hAnsi="宋体" w:eastAsia="Times New Roman" w:cs="宋体"/>
                <w:szCs w:val="21"/>
              </w:rPr>
              <w:t>4</w:t>
            </w:r>
            <w:r>
              <w:rPr>
                <w:rFonts w:hint="eastAsia" w:ascii="宋体" w:hAnsi="宋体" w:eastAsia="Times New Roman" w:cs="宋体"/>
                <w:szCs w:val="21"/>
              </w:rPr>
              <w:t>.</w:t>
            </w:r>
            <w:r>
              <w:rPr>
                <w:rFonts w:hint="eastAsia" w:ascii="宋体" w:hAnsi="宋体" w:eastAsia="Times New Roman" w:cs="宋体"/>
                <w:color w:val="000000"/>
                <w:szCs w:val="21"/>
              </w:rPr>
              <w:t>支持中望CAD2017--2020平台版本；</w:t>
            </w:r>
          </w:p>
          <w:p>
            <w:pPr>
              <w:keepNext/>
              <w:keepLines w:val="0"/>
              <w:widowControl/>
              <w:suppressLineNumbers w:val="0"/>
              <w:spacing w:before="0" w:beforeAutospacing="0" w:after="0" w:afterAutospacing="0" w:line="320" w:lineRule="exact"/>
              <w:ind w:left="420" w:right="0" w:hanging="420" w:hangingChars="200"/>
              <w:jc w:val="left"/>
              <w:textAlignment w:val="center"/>
              <w:rPr>
                <w:rFonts w:hint="default" w:ascii="宋体" w:hAnsi="宋体" w:eastAsia="Times New Roman" w:cs="宋体"/>
                <w:szCs w:val="21"/>
              </w:rPr>
            </w:pPr>
            <w:r>
              <w:rPr>
                <w:rFonts w:hint="eastAsia" w:ascii="宋体" w:hAnsi="宋体" w:eastAsia="Times New Roman" w:cs="宋体"/>
                <w:szCs w:val="21"/>
              </w:rPr>
              <w:t>★</w:t>
            </w:r>
            <w:r>
              <w:rPr>
                <w:rFonts w:hint="default" w:ascii="宋体" w:hAnsi="宋体" w:eastAsia="Times New Roman" w:cs="宋体"/>
                <w:szCs w:val="21"/>
              </w:rPr>
              <w:t>5</w:t>
            </w:r>
            <w:r>
              <w:rPr>
                <w:rFonts w:hint="eastAsia" w:ascii="宋体" w:hAnsi="宋体" w:eastAsia="Times New Roman" w:cs="宋体"/>
                <w:szCs w:val="21"/>
              </w:rPr>
              <w:t>.数据接口。数据录入接口：读取</w:t>
            </w:r>
            <w:r>
              <w:rPr>
                <w:rFonts w:hint="eastAsia" w:ascii="宋体" w:hAnsi="宋体" w:eastAsia="Times New Roman" w:cs="宋体"/>
                <w:szCs w:val="21"/>
                <w:highlight w:val="none"/>
              </w:rPr>
              <w:t>主流型号</w:t>
            </w:r>
            <w:r>
              <w:rPr>
                <w:rFonts w:hint="eastAsia" w:ascii="宋体" w:hAnsi="宋体" w:eastAsia="Times New Roman" w:cs="宋体"/>
                <w:szCs w:val="21"/>
              </w:rPr>
              <w:t>全站仪数据、手工录入数据、测图精灵格式数据；数据输出接口：输出arcgis的shp、mdb格式、输出mapinfo的mid/mif格式、输出国家空间矢量格式vct、输出明码交换文件*.cas；</w:t>
            </w:r>
          </w:p>
          <w:p>
            <w:pPr>
              <w:keepNext/>
              <w:keepLines w:val="0"/>
              <w:widowControl/>
              <w:suppressLineNumbers w:val="0"/>
              <w:spacing w:before="0" w:beforeAutospacing="0" w:after="0" w:afterAutospacing="0" w:line="320" w:lineRule="exact"/>
              <w:ind w:left="0" w:right="0"/>
              <w:jc w:val="left"/>
              <w:textAlignment w:val="center"/>
              <w:rPr>
                <w:rFonts w:hint="default" w:ascii="宋体" w:hAnsi="宋体" w:eastAsia="Times New Roman" w:cs="宋体"/>
                <w:szCs w:val="21"/>
              </w:rPr>
            </w:pPr>
            <w:r>
              <w:rPr>
                <w:rFonts w:hint="eastAsia" w:ascii="宋体" w:hAnsi="宋体" w:eastAsia="Times New Roman" w:cs="宋体"/>
                <w:szCs w:val="21"/>
              </w:rPr>
              <w:t>★</w:t>
            </w:r>
            <w:r>
              <w:rPr>
                <w:rFonts w:hint="default" w:ascii="宋体" w:hAnsi="宋体" w:eastAsia="Times New Roman" w:cs="宋体"/>
                <w:szCs w:val="21"/>
              </w:rPr>
              <w:t>6</w:t>
            </w:r>
            <w:r>
              <w:rPr>
                <w:rFonts w:hint="eastAsia" w:ascii="宋体" w:hAnsi="宋体" w:eastAsia="Times New Roman" w:cs="宋体"/>
                <w:szCs w:val="21"/>
              </w:rPr>
              <w:t>.支持GB级的大影像加载；</w:t>
            </w:r>
          </w:p>
          <w:p>
            <w:pPr>
              <w:keepNext/>
              <w:keepLines w:val="0"/>
              <w:widowControl/>
              <w:suppressLineNumbers w:val="0"/>
              <w:spacing w:before="0" w:beforeAutospacing="0" w:after="0" w:afterAutospacing="0" w:line="320" w:lineRule="exact"/>
              <w:ind w:left="420" w:right="0" w:hanging="420" w:hangingChars="200"/>
              <w:jc w:val="left"/>
              <w:textAlignment w:val="center"/>
              <w:rPr>
                <w:rFonts w:hint="default" w:ascii="宋体" w:hAnsi="宋体" w:eastAsia="Times New Roman" w:cs="宋体"/>
                <w:szCs w:val="21"/>
              </w:rPr>
            </w:pPr>
            <w:r>
              <w:rPr>
                <w:rFonts w:hint="eastAsia" w:ascii="宋体" w:hAnsi="宋体" w:eastAsia="Times New Roman" w:cs="宋体"/>
                <w:szCs w:val="21"/>
              </w:rPr>
              <w:t>★</w:t>
            </w:r>
            <w:r>
              <w:rPr>
                <w:rFonts w:hint="default" w:ascii="宋体" w:hAnsi="宋体" w:eastAsia="Times New Roman" w:cs="宋体"/>
                <w:szCs w:val="21"/>
              </w:rPr>
              <w:t>7</w:t>
            </w:r>
            <w:r>
              <w:rPr>
                <w:rFonts w:hint="eastAsia" w:ascii="宋体" w:hAnsi="宋体" w:eastAsia="Times New Roman" w:cs="宋体"/>
                <w:szCs w:val="21"/>
              </w:rPr>
              <w:t xml:space="preserve">.支持主流点云格式数据的加载（响应文件中必须提供相应截图，不提供视为此项不满足）； </w:t>
            </w:r>
          </w:p>
          <w:p>
            <w:pPr>
              <w:keepNext/>
              <w:keepLines w:val="0"/>
              <w:widowControl/>
              <w:suppressLineNumbers w:val="0"/>
              <w:spacing w:before="0" w:beforeAutospacing="0" w:after="0" w:afterAutospacing="0" w:line="320" w:lineRule="exact"/>
              <w:ind w:left="420" w:leftChars="100" w:right="0" w:hanging="210" w:hangingChars="100"/>
              <w:jc w:val="left"/>
              <w:textAlignment w:val="center"/>
              <w:rPr>
                <w:rFonts w:hint="default" w:ascii="宋体" w:hAnsi="宋体" w:eastAsia="Times New Roman" w:cs="宋体"/>
                <w:szCs w:val="21"/>
              </w:rPr>
            </w:pPr>
            <w:r>
              <w:rPr>
                <w:rFonts w:hint="default" w:ascii="宋体" w:hAnsi="宋体" w:eastAsia="Times New Roman" w:cs="宋体"/>
                <w:szCs w:val="21"/>
              </w:rPr>
              <w:t>8</w:t>
            </w:r>
            <w:r>
              <w:rPr>
                <w:rFonts w:hint="eastAsia" w:ascii="宋体" w:hAnsi="宋体" w:eastAsia="Times New Roman" w:cs="宋体"/>
                <w:szCs w:val="21"/>
              </w:rPr>
              <w:t>.满足国家GBT 20257.1-2017 国家基本比例尺地图图式，能够支持1:500、1:1000、1:2000地形图绘制；具有完善的地形图式符号库，完全符合国家的最新地形图式标准，提供自定义符号接口；</w:t>
            </w:r>
          </w:p>
          <w:p>
            <w:pPr>
              <w:keepNext/>
              <w:keepLines w:val="0"/>
              <w:widowControl/>
              <w:suppressLineNumbers w:val="0"/>
              <w:spacing w:before="0" w:beforeAutospacing="0" w:after="0" w:afterAutospacing="0" w:line="320" w:lineRule="exact"/>
              <w:ind w:left="420" w:leftChars="100" w:right="0" w:hanging="210" w:hangingChars="100"/>
              <w:jc w:val="left"/>
              <w:textAlignment w:val="center"/>
              <w:rPr>
                <w:rFonts w:hint="default" w:ascii="宋体" w:hAnsi="宋体" w:eastAsia="Times New Roman" w:cs="宋体"/>
                <w:szCs w:val="21"/>
              </w:rPr>
            </w:pPr>
            <w:r>
              <w:rPr>
                <w:rFonts w:hint="default" w:ascii="宋体" w:hAnsi="宋体" w:eastAsia="Times New Roman" w:cs="宋体"/>
                <w:szCs w:val="21"/>
              </w:rPr>
              <w:t>9</w:t>
            </w:r>
            <w:r>
              <w:rPr>
                <w:rFonts w:hint="eastAsia" w:ascii="宋体" w:hAnsi="宋体" w:eastAsia="Times New Roman" w:cs="宋体"/>
                <w:szCs w:val="21"/>
              </w:rPr>
              <w:t>.能够对野外测量数据进行展点处理成图，支持地图分幅处理及添加多种规格图幅；</w:t>
            </w:r>
          </w:p>
          <w:p>
            <w:pPr>
              <w:keepNext/>
              <w:keepLines w:val="0"/>
              <w:widowControl/>
              <w:suppressLineNumbers w:val="0"/>
              <w:spacing w:before="0" w:beforeAutospacing="0" w:after="0" w:afterAutospacing="0" w:line="320" w:lineRule="exact"/>
              <w:ind w:left="420" w:leftChars="100" w:right="0" w:hanging="210" w:hangingChars="100"/>
              <w:jc w:val="left"/>
              <w:textAlignment w:val="center"/>
              <w:rPr>
                <w:rFonts w:hint="eastAsia" w:ascii="宋体" w:hAnsi="宋体" w:eastAsia="宋体" w:cs="宋体"/>
                <w:szCs w:val="21"/>
                <w:lang w:eastAsia="zh-CN"/>
              </w:rPr>
            </w:pPr>
            <w:r>
              <w:rPr>
                <w:rFonts w:hint="default" w:ascii="宋体" w:hAnsi="宋体" w:eastAsia="Times New Roman" w:cs="宋体"/>
                <w:szCs w:val="21"/>
              </w:rPr>
              <w:t>10</w:t>
            </w:r>
            <w:r>
              <w:rPr>
                <w:rFonts w:hint="eastAsia" w:ascii="宋体" w:hAnsi="宋体" w:eastAsia="Times New Roman" w:cs="宋体"/>
                <w:szCs w:val="21"/>
              </w:rPr>
              <w:t>.实现批量自动接边检查功能，实现同一文件夹内多幅图的自动接边检查，接边容差范围内的面实体和线实体，不留接边点</w:t>
            </w:r>
            <w:r>
              <w:rPr>
                <w:rFonts w:hint="eastAsia" w:ascii="宋体" w:hAnsi="宋体" w:cs="宋体"/>
                <w:szCs w:val="21"/>
                <w:lang w:eastAsia="zh-CN"/>
              </w:rPr>
              <w:t>；</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center"/>
              <w:rPr>
                <w:rFonts w:hint="eastAsia" w:ascii="宋体" w:hAnsi="宋体" w:eastAsia="宋体" w:cs="宋体"/>
                <w:szCs w:val="21"/>
                <w:lang w:eastAsia="zh-CN"/>
              </w:rPr>
            </w:pPr>
            <w:r>
              <w:rPr>
                <w:rFonts w:hint="eastAsia" w:ascii="宋体" w:hAnsi="宋体" w:eastAsia="Times New Roman" w:cs="宋体"/>
                <w:szCs w:val="21"/>
              </w:rPr>
              <w:t>★1</w:t>
            </w:r>
            <w:r>
              <w:rPr>
                <w:rFonts w:hint="default" w:ascii="宋体" w:hAnsi="宋体" w:eastAsia="Times New Roman" w:cs="宋体"/>
                <w:szCs w:val="21"/>
              </w:rPr>
              <w:t>1</w:t>
            </w:r>
            <w:r>
              <w:rPr>
                <w:rFonts w:hint="eastAsia" w:ascii="宋体" w:hAnsi="宋体" w:eastAsia="Times New Roman" w:cs="宋体"/>
                <w:szCs w:val="21"/>
              </w:rPr>
              <w:t>.包含地籍处理功能：提供权属线、界址点的生成、调整、修饰、删除等功能；提供宗地处理（加界址点、合并、分割、重构等）功能；支持各地籍地物属性修改；能够输出各种地籍表格</w:t>
            </w:r>
            <w:r>
              <w:rPr>
                <w:rFonts w:hint="eastAsia" w:ascii="宋体" w:hAnsi="宋体" w:eastAsia="Times New Roman" w:cs="宋体"/>
                <w:b/>
                <w:szCs w:val="21"/>
              </w:rPr>
              <w:t>（响应文件</w:t>
            </w:r>
            <w:r>
              <w:rPr>
                <w:rFonts w:hint="eastAsia" w:ascii="宋体" w:hAnsi="宋体" w:cs="宋体"/>
                <w:b/>
                <w:szCs w:val="21"/>
                <w:lang w:eastAsia="zh-CN"/>
              </w:rPr>
              <w:t>中</w:t>
            </w:r>
            <w:r>
              <w:rPr>
                <w:rFonts w:hint="eastAsia" w:ascii="宋体" w:hAnsi="宋体" w:eastAsia="Times New Roman" w:cs="宋体"/>
                <w:b/>
                <w:szCs w:val="21"/>
              </w:rPr>
              <w:t>必须提供输出各种表格的截图证明：包括各类界址点成果表、坐标表，宗地面积汇总表，城镇土地分类面积统计表，地籍调查表，各类建筑密度、容积统计表，各类面积统计表及面积分类统计表）</w:t>
            </w:r>
            <w:r>
              <w:rPr>
                <w:rFonts w:hint="eastAsia" w:ascii="宋体" w:hAnsi="宋体" w:eastAsia="Times New Roman" w:cs="宋体"/>
                <w:szCs w:val="21"/>
              </w:rPr>
              <w:t>；支持各规格宗地图框的绘制及点之记注记图的生成，且全面面向GIS，彻底打通数字化成图系统与GIS接口；CASS在地籍应用方面采用外挂的MDB数据库存贮信息，提供了图查询库、由库找图的功能</w:t>
            </w:r>
            <w:r>
              <w:rPr>
                <w:rFonts w:hint="eastAsia" w:ascii="宋体" w:hAnsi="宋体" w:cs="宋体"/>
                <w:szCs w:val="21"/>
                <w:lang w:eastAsia="zh-CN"/>
              </w:rPr>
              <w:t>；</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center"/>
              <w:rPr>
                <w:rFonts w:hint="eastAsia" w:ascii="宋体" w:hAnsi="宋体" w:eastAsia="宋体" w:cs="宋体"/>
                <w:szCs w:val="21"/>
                <w:lang w:eastAsia="zh-CN"/>
              </w:rPr>
            </w:pPr>
            <w:r>
              <w:rPr>
                <w:rFonts w:hint="eastAsia" w:ascii="宋体" w:hAnsi="宋体" w:eastAsia="Times New Roman" w:cs="宋体"/>
                <w:szCs w:val="21"/>
              </w:rPr>
              <w:t>★1</w:t>
            </w:r>
            <w:r>
              <w:rPr>
                <w:rFonts w:hint="default" w:ascii="宋体" w:hAnsi="宋体" w:eastAsia="Times New Roman" w:cs="宋体"/>
                <w:szCs w:val="21"/>
              </w:rPr>
              <w:t>2</w:t>
            </w:r>
            <w:r>
              <w:rPr>
                <w:rFonts w:hint="eastAsia" w:ascii="宋体" w:hAnsi="宋体" w:eastAsia="Times New Roman" w:cs="宋体"/>
                <w:szCs w:val="21"/>
              </w:rPr>
              <w:t>.地籍成果（宗地图、界址点成果表、地籍调查表等）的高度可定制化，通过编写Lua脚本语言实现各种成果需求的定制</w:t>
            </w:r>
            <w:r>
              <w:rPr>
                <w:rFonts w:hint="eastAsia" w:ascii="宋体" w:hAnsi="宋体" w:cs="宋体"/>
                <w:szCs w:val="21"/>
                <w:lang w:eastAsia="zh-CN"/>
              </w:rPr>
              <w:t>；</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center"/>
              <w:rPr>
                <w:rFonts w:hint="eastAsia" w:ascii="宋体" w:hAnsi="宋体" w:eastAsia="宋体" w:cs="宋体"/>
                <w:b/>
                <w:szCs w:val="21"/>
                <w:lang w:eastAsia="zh-CN"/>
              </w:rPr>
            </w:pPr>
            <w:r>
              <w:rPr>
                <w:rFonts w:hint="eastAsia" w:ascii="宋体" w:hAnsi="宋体" w:eastAsia="Times New Roman" w:cs="宋体"/>
                <w:szCs w:val="21"/>
              </w:rPr>
              <w:t>★1</w:t>
            </w:r>
            <w:r>
              <w:rPr>
                <w:rFonts w:hint="default" w:ascii="宋体" w:hAnsi="宋体" w:eastAsia="Times New Roman" w:cs="宋体"/>
                <w:szCs w:val="21"/>
              </w:rPr>
              <w:t>3</w:t>
            </w:r>
            <w:r>
              <w:rPr>
                <w:rFonts w:hint="eastAsia" w:ascii="宋体" w:hAnsi="宋体" w:eastAsia="Times New Roman" w:cs="宋体"/>
                <w:szCs w:val="21"/>
              </w:rPr>
              <w:t>.具备丰富的图形编辑功能，图形复制、属性拷贝、微导线、各种交会、线跟踪等</w:t>
            </w:r>
            <w:r>
              <w:rPr>
                <w:rFonts w:hint="eastAsia" w:ascii="宋体" w:hAnsi="宋体" w:eastAsia="Times New Roman" w:cs="宋体"/>
                <w:b/>
                <w:szCs w:val="21"/>
              </w:rPr>
              <w:t>（响应文件中需提供微导线方式、跟踪绘制、隔点画直角、隔点闭合、边点（宽）式绘制双线等便捷的绘图操作过程证明）</w:t>
            </w:r>
            <w:r>
              <w:rPr>
                <w:rFonts w:hint="eastAsia" w:ascii="宋体" w:hAnsi="宋体" w:cs="宋体"/>
                <w:b/>
                <w:szCs w:val="21"/>
                <w:lang w:eastAsia="zh-CN"/>
              </w:rPr>
              <w:t>；</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center"/>
              <w:rPr>
                <w:rFonts w:hint="default" w:ascii="宋体" w:hAnsi="宋体" w:eastAsia="Times New Roman" w:cs="宋体"/>
                <w:szCs w:val="21"/>
              </w:rPr>
            </w:pPr>
            <w:r>
              <w:rPr>
                <w:rFonts w:hint="eastAsia" w:ascii="宋体" w:hAnsi="宋体" w:eastAsia="Times New Roman" w:cs="宋体"/>
                <w:szCs w:val="21"/>
              </w:rPr>
              <w:t>★1</w:t>
            </w:r>
            <w:r>
              <w:rPr>
                <w:rFonts w:hint="default" w:ascii="宋体" w:hAnsi="宋体" w:eastAsia="Times New Roman" w:cs="宋体"/>
                <w:szCs w:val="21"/>
              </w:rPr>
              <w:t>4</w:t>
            </w:r>
            <w:r>
              <w:rPr>
                <w:rFonts w:hint="eastAsia" w:ascii="宋体" w:hAnsi="宋体" w:eastAsia="Times New Roman" w:cs="宋体"/>
                <w:szCs w:val="21"/>
              </w:rPr>
              <w:t>.能够根据测量数据进行地形信息的呈现、处理：采用拓扑结构DTM，增删顶点能自动重新组网，能处理地性线，可自动生成等高线支持地形三维模型呈现及坡度分析；</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center"/>
              <w:rPr>
                <w:rFonts w:hint="default" w:ascii="宋体" w:hAnsi="宋体" w:eastAsia="Times New Roman" w:cs="宋体"/>
                <w:szCs w:val="21"/>
              </w:rPr>
            </w:pPr>
            <w:r>
              <w:rPr>
                <w:rFonts w:hint="eastAsia" w:ascii="宋体" w:hAnsi="宋体" w:eastAsia="Times New Roman" w:cs="宋体"/>
                <w:szCs w:val="21"/>
              </w:rPr>
              <w:t>★1</w:t>
            </w:r>
            <w:r>
              <w:rPr>
                <w:rFonts w:hint="default" w:ascii="宋体" w:hAnsi="宋体" w:eastAsia="Times New Roman" w:cs="宋体"/>
                <w:szCs w:val="21"/>
              </w:rPr>
              <w:t>5</w:t>
            </w:r>
            <w:r>
              <w:rPr>
                <w:rFonts w:hint="eastAsia" w:ascii="宋体" w:hAnsi="宋体" w:eastAsia="Times New Roman" w:cs="宋体"/>
                <w:szCs w:val="21"/>
              </w:rPr>
              <w:t>.提供完善的地物编辑功能，对图上地物图形要素有全面的编辑能力；</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center"/>
              <w:rPr>
                <w:rFonts w:hint="default" w:ascii="宋体" w:hAnsi="宋体" w:eastAsia="Times New Roman" w:cs="宋体"/>
                <w:szCs w:val="21"/>
              </w:rPr>
            </w:pPr>
            <w:r>
              <w:rPr>
                <w:rFonts w:hint="eastAsia" w:ascii="宋体" w:hAnsi="宋体" w:eastAsia="Times New Roman" w:cs="宋体"/>
                <w:szCs w:val="21"/>
              </w:rPr>
              <w:t>★1</w:t>
            </w:r>
            <w:r>
              <w:rPr>
                <w:rFonts w:hint="default" w:ascii="宋体" w:hAnsi="宋体" w:eastAsia="Times New Roman" w:cs="宋体"/>
                <w:szCs w:val="21"/>
              </w:rPr>
              <w:t>6</w:t>
            </w:r>
            <w:r>
              <w:rPr>
                <w:rFonts w:hint="eastAsia" w:ascii="宋体" w:hAnsi="宋体" w:eastAsia="Times New Roman" w:cs="宋体"/>
                <w:szCs w:val="21"/>
              </w:rPr>
              <w:t>.满足地图入库要求，对数据提供入库前的全面检查，支持输出ARCINFO SHP格式、MAPINFO MIF/MID格式、国家空间矢量格式、GOOGLE地球kml格式等主流数据格式；</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center"/>
              <w:rPr>
                <w:rFonts w:hint="default" w:ascii="宋体" w:hAnsi="宋体" w:eastAsia="Times New Roman" w:cs="宋体"/>
                <w:szCs w:val="21"/>
              </w:rPr>
            </w:pPr>
            <w:r>
              <w:rPr>
                <w:rFonts w:hint="eastAsia" w:ascii="宋体" w:hAnsi="宋体" w:eastAsia="Times New Roman" w:cs="宋体"/>
                <w:szCs w:val="21"/>
              </w:rPr>
              <w:t>★1</w:t>
            </w:r>
            <w:r>
              <w:rPr>
                <w:rFonts w:hint="default" w:ascii="宋体" w:hAnsi="宋体" w:eastAsia="Times New Roman" w:cs="宋体"/>
                <w:szCs w:val="21"/>
              </w:rPr>
              <w:t>7</w:t>
            </w:r>
            <w:r>
              <w:rPr>
                <w:rFonts w:hint="eastAsia" w:ascii="宋体" w:hAnsi="宋体" w:eastAsia="Times New Roman" w:cs="宋体"/>
                <w:szCs w:val="21"/>
              </w:rPr>
              <w:t>.提供断面图绘制、公路曲线设计等工程应用功能，多种完善的土方计算方法，具有方格网法，DTM法、断面法、等高线法等多种完善的土方计算方法（响应文件中需提供多种土方计算方法的截图，及方格网法不规则面的计算过程）；具有地物信息（长度、距离、方位、面积等）的查询、统计等功能；支持通过图面内容生成各类数据文件；</w:t>
            </w:r>
          </w:p>
          <w:p>
            <w:pPr>
              <w:keepNext/>
              <w:keepLines w:val="0"/>
              <w:widowControl/>
              <w:suppressLineNumbers w:val="0"/>
              <w:spacing w:before="0" w:beforeAutospacing="0" w:after="0" w:afterAutospacing="0" w:line="320" w:lineRule="exact"/>
              <w:ind w:left="0" w:right="0"/>
              <w:jc w:val="left"/>
              <w:textAlignment w:val="center"/>
              <w:rPr>
                <w:rFonts w:hint="default" w:ascii="宋体" w:hAnsi="宋体" w:eastAsia="Times New Roman" w:cs="宋体"/>
                <w:szCs w:val="21"/>
              </w:rPr>
            </w:pPr>
            <w:r>
              <w:rPr>
                <w:rFonts w:hint="eastAsia" w:ascii="宋体" w:hAnsi="宋体" w:eastAsia="Times New Roman" w:cs="宋体"/>
                <w:szCs w:val="21"/>
              </w:rPr>
              <w:t>★</w:t>
            </w:r>
            <w:r>
              <w:rPr>
                <w:rFonts w:hint="default" w:ascii="宋体" w:hAnsi="宋体" w:eastAsia="Times New Roman" w:cs="宋体"/>
                <w:szCs w:val="21"/>
              </w:rPr>
              <w:t>18</w:t>
            </w:r>
            <w:r>
              <w:rPr>
                <w:rFonts w:hint="eastAsia" w:ascii="宋体" w:hAnsi="宋体" w:eastAsia="Times New Roman" w:cs="宋体"/>
                <w:szCs w:val="21"/>
              </w:rPr>
              <w:t>.图形结构采用图形编辑效率高骨架线技术、编组技术；</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leftChars="100" w:right="0" w:hanging="315" w:hangingChars="150"/>
              <w:jc w:val="left"/>
              <w:textAlignment w:val="center"/>
              <w:rPr>
                <w:rFonts w:hint="default" w:ascii="宋体" w:hAnsi="宋体" w:eastAsia="Times New Roman" w:cs="宋体"/>
                <w:szCs w:val="21"/>
              </w:rPr>
            </w:pPr>
            <w:r>
              <w:rPr>
                <w:rFonts w:hint="default" w:ascii="宋体" w:hAnsi="宋体" w:eastAsia="Times New Roman" w:cs="宋体"/>
                <w:szCs w:val="21"/>
              </w:rPr>
              <w:t>19</w:t>
            </w:r>
            <w:r>
              <w:rPr>
                <w:rFonts w:hint="eastAsia" w:ascii="宋体" w:hAnsi="宋体" w:eastAsia="Times New Roman" w:cs="宋体"/>
                <w:szCs w:val="21"/>
              </w:rPr>
              <w:t>.完善的数据质量检查功能，针对于数据入库对数据的要求，可以检查地物放错图层、代码值错误、面状地物不封闭、属性不完整、有悬挂点、伪节点等错误；</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center"/>
              <w:rPr>
                <w:rFonts w:hint="default" w:ascii="宋体" w:hAnsi="宋体" w:eastAsia="Times New Roman" w:cs="宋体"/>
                <w:szCs w:val="21"/>
              </w:rPr>
            </w:pPr>
            <w:r>
              <w:rPr>
                <w:rFonts w:hint="eastAsia" w:ascii="宋体" w:hAnsi="宋体" w:eastAsia="Times New Roman" w:cs="宋体"/>
                <w:szCs w:val="21"/>
              </w:rPr>
              <w:t>★2</w:t>
            </w:r>
            <w:r>
              <w:rPr>
                <w:rFonts w:hint="default" w:ascii="宋体" w:hAnsi="宋体" w:eastAsia="Times New Roman" w:cs="宋体"/>
                <w:szCs w:val="21"/>
              </w:rPr>
              <w:t>0</w:t>
            </w:r>
            <w:r>
              <w:rPr>
                <w:rFonts w:hint="eastAsia" w:ascii="宋体" w:hAnsi="宋体" w:eastAsia="Times New Roman" w:cs="宋体"/>
                <w:szCs w:val="21"/>
              </w:rPr>
              <w:t>.能按照软件的编码进行实体对象的过滤，要同时有国际编码和自有的编码；</w:t>
            </w:r>
          </w:p>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525" w:right="0" w:hanging="525" w:hangingChars="250"/>
              <w:jc w:val="left"/>
              <w:textAlignment w:val="center"/>
              <w:rPr>
                <w:rFonts w:hint="eastAsia" w:ascii="宋体" w:hAnsi="宋体" w:eastAsia="宋体" w:cs="宋体"/>
                <w:color w:val="000000"/>
                <w:kern w:val="0"/>
                <w:sz w:val="21"/>
                <w:szCs w:val="21"/>
                <w:lang w:bidi="ar"/>
              </w:rPr>
            </w:pPr>
            <w:r>
              <w:rPr>
                <w:rFonts w:hint="eastAsia" w:ascii="宋体" w:hAnsi="宋体" w:eastAsia="Times New Roman" w:cs="宋体"/>
                <w:szCs w:val="21"/>
              </w:rPr>
              <w:t>★2</w:t>
            </w:r>
            <w:r>
              <w:rPr>
                <w:rFonts w:hint="default" w:ascii="宋体" w:hAnsi="宋体" w:eastAsia="Times New Roman" w:cs="宋体"/>
                <w:szCs w:val="21"/>
              </w:rPr>
              <w:t>1</w:t>
            </w:r>
            <w:r>
              <w:rPr>
                <w:rFonts w:hint="eastAsia" w:ascii="宋体" w:hAnsi="宋体" w:eastAsia="Times New Roman" w:cs="宋体"/>
                <w:szCs w:val="21"/>
              </w:rPr>
              <w:t>.CASS的简码定义文件JCODE.DEF定义了野外简编码对应的地物。</w:t>
            </w:r>
            <w:r>
              <w:rPr>
                <w:rFonts w:hint="eastAsia" w:ascii="宋体" w:hAnsi="宋体" w:eastAsia="Times New Roman" w:cs="宋体"/>
                <w:b/>
                <w:szCs w:val="21"/>
              </w:rPr>
              <w:t>（响应文件中需提供简码识别生成的过程截图）</w:t>
            </w:r>
          </w:p>
        </w:tc>
        <w:tc>
          <w:tcPr>
            <w:tcW w:w="97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594" w:type="pct"/>
            <w:shd w:val="clear" w:color="auto" w:fill="FFFFFF"/>
            <w:noWrap w:val="0"/>
            <w:vAlign w:val="center"/>
          </w:tcPr>
          <w:p>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光学水准仪</w:t>
            </w:r>
          </w:p>
        </w:tc>
        <w:tc>
          <w:tcPr>
            <w:tcW w:w="3213"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精度：每公里往返测量标准偏差：1mm</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望远镜</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物镜成像：正像；放大倍率：32ˣ</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有效孔径：40mm；最短视距：50cm</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drawing>
                <wp:anchor distT="0" distB="0" distL="114300" distR="114300" simplePos="0" relativeHeight="251695104" behindDoc="0" locked="0" layoutInCell="1" allowOverlap="1">
                  <wp:simplePos x="0" y="0"/>
                  <wp:positionH relativeFrom="column">
                    <wp:posOffset>3980180</wp:posOffset>
                  </wp:positionH>
                  <wp:positionV relativeFrom="paragraph">
                    <wp:posOffset>22860</wp:posOffset>
                  </wp:positionV>
                  <wp:extent cx="1183640" cy="1036955"/>
                  <wp:effectExtent l="0" t="0" r="16510" b="10795"/>
                  <wp:wrapNone/>
                  <wp:docPr id="39"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36"/>
                          <pic:cNvPicPr>
                            <a:picLocks noChangeAspect="1"/>
                          </pic:cNvPicPr>
                        </pic:nvPicPr>
                        <pic:blipFill>
                          <a:blip r:embed="rId13"/>
                          <a:stretch>
                            <a:fillRect/>
                          </a:stretch>
                        </pic:blipFill>
                        <pic:spPr>
                          <a:xfrm>
                            <a:off x="0" y="0"/>
                            <a:ext cx="1183640" cy="1036955"/>
                          </a:xfrm>
                          <a:prstGeom prst="rect">
                            <a:avLst/>
                          </a:prstGeom>
                          <a:noFill/>
                          <a:ln>
                            <a:noFill/>
                          </a:ln>
                        </pic:spPr>
                      </pic:pic>
                    </a:graphicData>
                  </a:graphic>
                </wp:anchor>
              </w:drawing>
            </w:r>
            <w:r>
              <w:rPr>
                <w:rFonts w:hint="eastAsia" w:ascii="宋体" w:hAnsi="宋体" w:eastAsia="宋体" w:cs="宋体"/>
                <w:color w:val="000000"/>
                <w:kern w:val="0"/>
                <w:sz w:val="21"/>
                <w:szCs w:val="21"/>
                <w:lang w:bidi="ar"/>
              </w:rPr>
              <w:t>乘常数：100；加常数：0；</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补偿器</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补偿范围：不小于±15′</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安平误差：不大于 0.3″</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水准器</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圆水准器：8′/2mm；度盘（内置式）</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度盘刻划：360°</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分度间隔：1°</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配置</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firstLine="210" w:firstLine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水准仪铝脚架1个、5米塔尺1把。</w:t>
            </w:r>
          </w:p>
        </w:tc>
        <w:tc>
          <w:tcPr>
            <w:tcW w:w="97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1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c>
          <w:tcPr>
            <w:tcW w:w="594"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棱镜基座</w:t>
            </w:r>
          </w:p>
        </w:tc>
        <w:tc>
          <w:tcPr>
            <w:tcW w:w="3213"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水准长气泡；</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基座粗平圆气泡；</w:t>
            </w:r>
          </w:p>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光学十字丝对中</w:t>
            </w:r>
            <w:r>
              <w:rPr>
                <w:rFonts w:hint="eastAsia" w:ascii="宋体" w:hAnsi="宋体" w:eastAsia="宋体" w:cs="宋体"/>
                <w:color w:val="000000"/>
                <w:kern w:val="0"/>
                <w:sz w:val="21"/>
                <w:szCs w:val="21"/>
                <w:lang w:eastAsia="zh-CN" w:bidi="ar"/>
              </w:rPr>
              <w:t>。</w:t>
            </w:r>
          </w:p>
        </w:tc>
        <w:tc>
          <w:tcPr>
            <w:tcW w:w="976" w:type="pct"/>
            <w:shd w:val="clear" w:color="auto" w:fill="FFFFFF"/>
            <w:noWrap w:val="0"/>
            <w:vAlign w:val="center"/>
          </w:tcPr>
          <w:p>
            <w:pPr>
              <w:keepNext/>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96128" behindDoc="0" locked="0" layoutInCell="1" allowOverlap="1">
                  <wp:simplePos x="0" y="0"/>
                  <wp:positionH relativeFrom="column">
                    <wp:posOffset>30480</wp:posOffset>
                  </wp:positionH>
                  <wp:positionV relativeFrom="paragraph">
                    <wp:posOffset>71120</wp:posOffset>
                  </wp:positionV>
                  <wp:extent cx="963930" cy="1134110"/>
                  <wp:effectExtent l="0" t="0" r="7620" b="8890"/>
                  <wp:wrapNone/>
                  <wp:docPr id="40"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7"/>
                          <pic:cNvPicPr>
                            <a:picLocks noChangeAspect="1"/>
                          </pic:cNvPicPr>
                        </pic:nvPicPr>
                        <pic:blipFill>
                          <a:blip r:embed="rId14"/>
                          <a:stretch>
                            <a:fillRect/>
                          </a:stretch>
                        </pic:blipFill>
                        <pic:spPr>
                          <a:xfrm>
                            <a:off x="0" y="0"/>
                            <a:ext cx="963930" cy="1134110"/>
                          </a:xfrm>
                          <a:prstGeom prst="rect">
                            <a:avLst/>
                          </a:prstGeom>
                          <a:noFill/>
                          <a:ln>
                            <a:noFill/>
                          </a:ln>
                        </pic:spPr>
                      </pic:pic>
                    </a:graphicData>
                  </a:graphic>
                </wp:anchor>
              </w:drawing>
            </w:r>
          </w:p>
        </w:tc>
      </w:tr>
    </w:tbl>
    <w:p>
      <w:pPr>
        <w:keepNext/>
        <w:pageBreakBefore w:val="0"/>
        <w:kinsoku/>
        <w:wordWrap/>
        <w:overflowPunct/>
        <w:topLinePunct w:val="0"/>
        <w:autoSpaceDE/>
        <w:autoSpaceDN/>
        <w:bidi w:val="0"/>
        <w:rPr>
          <w:rFonts w:hint="default"/>
          <w:lang w:val="en-US" w:eastAsia="zh-CN"/>
        </w:rPr>
      </w:pPr>
    </w:p>
    <w:p>
      <w:pPr>
        <w:keepNext/>
        <w:pageBreakBefore w:val="0"/>
        <w:kinsoku/>
        <w:wordWrap/>
        <w:overflowPunct/>
        <w:topLinePunct w:val="0"/>
        <w:autoSpaceDE/>
        <w:autoSpaceDN/>
        <w:bidi w:val="0"/>
        <w:spacing w:line="480" w:lineRule="exact"/>
        <w:jc w:val="center"/>
        <w:rPr>
          <w:rFonts w:hint="eastAsia" w:ascii="宋体" w:hAnsi="宋体" w:cs="宋体"/>
          <w:b/>
          <w:bCs/>
          <w:sz w:val="28"/>
          <w:szCs w:val="28"/>
        </w:rPr>
      </w:pPr>
    </w:p>
    <w:p>
      <w:pPr>
        <w:keepNext/>
        <w:pageBreakBefore w:val="0"/>
        <w:kinsoku/>
        <w:wordWrap/>
        <w:overflowPunct/>
        <w:topLinePunct w:val="0"/>
        <w:autoSpaceDE/>
        <w:autoSpaceDN/>
        <w:bidi w:val="0"/>
        <w:spacing w:line="48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rPr>
        <w:t>▲二、服务要求书</w:t>
      </w:r>
      <w:r>
        <w:rPr>
          <w:rFonts w:hint="eastAsia" w:ascii="宋体" w:hAnsi="宋体" w:cs="宋体"/>
          <w:b/>
          <w:bCs/>
          <w:sz w:val="28"/>
          <w:szCs w:val="28"/>
          <w:lang w:eastAsia="zh-CN"/>
        </w:rPr>
        <w:t>（商务要求）</w:t>
      </w:r>
    </w:p>
    <w:p>
      <w:pPr>
        <w:keepNext/>
        <w:keepLines/>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szCs w:val="21"/>
        </w:rPr>
      </w:pPr>
      <w:r>
        <w:rPr>
          <w:rFonts w:hint="eastAsia" w:ascii="宋体" w:hAnsi="宋体" w:cs="宋体"/>
          <w:b/>
          <w:szCs w:val="21"/>
        </w:rPr>
        <w:t xml:space="preserve">（一）基本要求： </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cs="宋体"/>
          <w:szCs w:val="21"/>
          <w:lang w:val="en-US" w:eastAsia="zh-CN"/>
        </w:rPr>
        <w:t>1.</w:t>
      </w:r>
      <w:r>
        <w:rPr>
          <w:rFonts w:hint="eastAsia" w:ascii="宋体" w:hAnsi="宋体" w:cs="宋体"/>
          <w:szCs w:val="21"/>
        </w:rPr>
        <w:t>针对本项目参加谈判采购的所有货物及服务必须完全符合谈判文件每项要求，若未能按照本项目的采购要求提供货物及服务，恶意投标出现货物质量问题、技术参数不符、供货延迟、服务不到位等问题，影响采购人工作正常运转的，采购人有权单方面解除政</w:t>
      </w:r>
      <w:r>
        <w:rPr>
          <w:rFonts w:hint="eastAsia" w:ascii="宋体" w:hAnsi="宋体" w:cs="宋体"/>
          <w:szCs w:val="21"/>
          <w:highlight w:val="none"/>
        </w:rPr>
        <w:t>府采购合同，并将按国家相关法律法规的规定追究成交供应商</w:t>
      </w:r>
      <w:r>
        <w:rPr>
          <w:rFonts w:hint="eastAsia" w:ascii="宋体" w:hAnsi="宋体" w:eastAsia="宋体" w:cs="宋体"/>
          <w:szCs w:val="21"/>
          <w:highlight w:val="none"/>
        </w:rPr>
        <w:t>虚假应标的相关责任，由此给采购人造成的一切损失均由该成交供应商负责赔偿。</w:t>
      </w:r>
    </w:p>
    <w:p>
      <w:pPr>
        <w:pStyle w:val="2"/>
        <w:keepNext/>
        <w:keepLines/>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本章项目需求中要求在合同签订生效后提供的文件、材料、说明书（教材）、照片、样品等，必须按采购人的要求提供，否则采购人有权单方面解除合同，并有权按国家相关法律法规追究该成交供应商的相关责任，由此给采购人造成的一切损失均由该成交供应商负责赔偿。</w:t>
      </w:r>
    </w:p>
    <w:p>
      <w:pPr>
        <w:pStyle w:val="2"/>
        <w:keepNext/>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ascii="宋体" w:hAnsi="宋体" w:eastAsia="宋体" w:cs="宋体"/>
          <w:b/>
          <w:szCs w:val="21"/>
          <w:highlight w:val="none"/>
        </w:rPr>
      </w:pPr>
      <w:r>
        <w:rPr>
          <w:rFonts w:hint="eastAsia" w:ascii="宋体" w:hAnsi="宋体" w:eastAsia="宋体" w:cs="宋体"/>
          <w:b/>
          <w:szCs w:val="21"/>
          <w:highlight w:val="none"/>
        </w:rPr>
        <w:t>（二）交货期及交货地点：</w:t>
      </w:r>
    </w:p>
    <w:p>
      <w:pPr>
        <w:keepNext/>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iCs/>
          <w:color w:val="auto"/>
          <w:szCs w:val="21"/>
        </w:rPr>
      </w:pPr>
      <w:r>
        <w:rPr>
          <w:rFonts w:hint="eastAsia" w:ascii="宋体" w:hAnsi="宋体" w:eastAsia="宋体" w:cs="宋体"/>
          <w:szCs w:val="21"/>
        </w:rPr>
        <w:t>1</w:t>
      </w:r>
      <w:r>
        <w:rPr>
          <w:rFonts w:hint="eastAsia" w:ascii="宋体" w:hAnsi="宋体" w:eastAsia="宋体" w:cs="宋体"/>
          <w:color w:val="auto"/>
          <w:szCs w:val="21"/>
        </w:rPr>
        <w:t>.</w:t>
      </w:r>
      <w:r>
        <w:rPr>
          <w:rFonts w:hint="eastAsia" w:ascii="宋体" w:hAnsi="宋体" w:eastAsia="宋体" w:cs="宋体"/>
          <w:iCs/>
          <w:color w:val="auto"/>
          <w:szCs w:val="21"/>
        </w:rPr>
        <w:t>交货期：自合同签定</w:t>
      </w:r>
      <w:r>
        <w:rPr>
          <w:rFonts w:hint="eastAsia" w:ascii="宋体" w:hAnsi="宋体" w:eastAsia="宋体" w:cs="宋体"/>
          <w:iCs/>
          <w:color w:val="auto"/>
          <w:szCs w:val="21"/>
          <w:lang w:eastAsia="zh-CN"/>
        </w:rPr>
        <w:t>生效</w:t>
      </w:r>
      <w:r>
        <w:rPr>
          <w:rFonts w:hint="eastAsia" w:ascii="宋体" w:hAnsi="宋体" w:eastAsia="宋体" w:cs="宋体"/>
          <w:iCs/>
          <w:color w:val="auto"/>
          <w:szCs w:val="21"/>
        </w:rPr>
        <w:t>之日起</w:t>
      </w:r>
      <w:r>
        <w:rPr>
          <w:rFonts w:hint="eastAsia" w:ascii="宋体" w:hAnsi="宋体" w:eastAsia="宋体" w:cs="宋体"/>
          <w:iCs/>
          <w:color w:val="auto"/>
          <w:szCs w:val="21"/>
          <w:u w:val="single"/>
        </w:rPr>
        <w:t xml:space="preserve"> </w:t>
      </w:r>
      <w:r>
        <w:rPr>
          <w:rFonts w:hint="eastAsia" w:ascii="宋体" w:hAnsi="宋体" w:eastAsia="宋体" w:cs="宋体"/>
          <w:iCs/>
          <w:color w:val="auto"/>
          <w:szCs w:val="21"/>
          <w:u w:val="single"/>
          <w:lang w:val="en-US" w:eastAsia="zh-CN"/>
        </w:rPr>
        <w:t xml:space="preserve"> 15  </w:t>
      </w:r>
      <w:r>
        <w:rPr>
          <w:rFonts w:hint="eastAsia" w:ascii="宋体" w:hAnsi="宋体" w:eastAsia="宋体" w:cs="宋体"/>
          <w:iCs/>
          <w:color w:val="auto"/>
          <w:szCs w:val="21"/>
        </w:rPr>
        <w:t>个日历日内交货并安装调试完毕交付使用；</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Cs w:val="21"/>
        </w:rPr>
      </w:pPr>
      <w:r>
        <w:rPr>
          <w:rFonts w:hint="eastAsia" w:ascii="宋体" w:hAnsi="宋体" w:eastAsia="宋体" w:cs="宋体"/>
          <w:szCs w:val="21"/>
        </w:rPr>
        <w:t>2.交货地点：</w:t>
      </w:r>
      <w:r>
        <w:rPr>
          <w:rFonts w:hint="eastAsia" w:ascii="宋体" w:hAnsi="宋体" w:cs="宋体"/>
          <w:szCs w:val="21"/>
        </w:rPr>
        <w:t>采购人指定地点。</w:t>
      </w:r>
    </w:p>
    <w:p>
      <w:pPr>
        <w:keepNext/>
        <w:keepLines/>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szCs w:val="21"/>
        </w:rPr>
      </w:pPr>
      <w:r>
        <w:rPr>
          <w:rFonts w:hint="eastAsia" w:ascii="宋体" w:hAnsi="宋体" w:cs="宋体"/>
          <w:b/>
          <w:szCs w:val="21"/>
        </w:rPr>
        <w:t>（三）报价要求：</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bCs/>
          <w:szCs w:val="21"/>
        </w:rPr>
        <w:t>1.谈判供应商参加谈判采购产品必须全部符合采购要求、经检验合格的正版全新产品；</w:t>
      </w:r>
    </w:p>
    <w:p>
      <w:pPr>
        <w:keepNext/>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szCs w:val="21"/>
        </w:rPr>
      </w:pPr>
      <w:r>
        <w:rPr>
          <w:rFonts w:hint="eastAsia" w:ascii="宋体" w:hAnsi="宋体" w:cs="宋体"/>
          <w:szCs w:val="21"/>
        </w:rPr>
        <w:t>2.本项目的谈判报价是履行合同的最终价格，</w:t>
      </w:r>
      <w:r>
        <w:rPr>
          <w:rFonts w:hint="eastAsia" w:ascii="宋体" w:hAnsi="宋体" w:cs="宋体"/>
          <w:bCs/>
          <w:szCs w:val="21"/>
        </w:rPr>
        <w:t>报价中必须包括货款、产品运输（至采购人指定位置）、随配附件、备品备件、工具、辅材、保险、销售、现场安装（含室内线路安装、安装前清理及安装过程中产生的费用）、调试（含调试后的室内整洁等）、验收、培训、人工费、各种税款、质保期内及质保期后的售后服务等相关完成本项目可预见及不可预见的一切成本和费用的总和。除本项目合同价款及采购人认可的特殊情况外,采购人不再为本项目另付任何其他费用给成交供应商；</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szCs w:val="21"/>
        </w:rPr>
      </w:pPr>
      <w:r>
        <w:rPr>
          <w:rFonts w:hint="eastAsia" w:ascii="宋体" w:hAnsi="宋体" w:cs="宋体"/>
          <w:bCs/>
          <w:szCs w:val="21"/>
        </w:rPr>
        <w:t>3.报价清单要有设备总价格（必须按设备清单列出各设备的数量、单价等）、安装调试费、税金等。</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szCs w:val="21"/>
        </w:rPr>
      </w:pPr>
      <w:r>
        <w:rPr>
          <w:rFonts w:hint="eastAsia" w:ascii="宋体" w:hAnsi="宋体" w:cs="宋体"/>
          <w:bCs/>
          <w:szCs w:val="21"/>
        </w:rPr>
        <w:t>4.报价币种为人民币。</w:t>
      </w:r>
    </w:p>
    <w:p>
      <w:pPr>
        <w:keepNext/>
        <w:keepLines/>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szCs w:val="21"/>
        </w:rPr>
      </w:pPr>
      <w:r>
        <w:rPr>
          <w:rFonts w:hint="eastAsia" w:ascii="宋体" w:hAnsi="宋体" w:cs="宋体"/>
          <w:b/>
          <w:szCs w:val="21"/>
        </w:rPr>
        <w:t>（四）运输及包装方式的要求：</w:t>
      </w:r>
      <w:r>
        <w:rPr>
          <w:rFonts w:hint="eastAsia" w:ascii="宋体" w:hAnsi="宋体" w:cs="宋体"/>
          <w:szCs w:val="21"/>
        </w:rPr>
        <w:t>厂商出厂完整原包装。</w:t>
      </w:r>
    </w:p>
    <w:p>
      <w:pPr>
        <w:keepNext/>
        <w:keepLines/>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szCs w:val="21"/>
        </w:rPr>
      </w:pPr>
      <w:r>
        <w:rPr>
          <w:rFonts w:hint="eastAsia" w:ascii="宋体" w:hAnsi="宋体" w:cs="宋体"/>
          <w:b/>
          <w:szCs w:val="21"/>
        </w:rPr>
        <w:t>（五）随货物必须配备的技术文件清单：</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1.设备的安装、使用说明书；</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2.设备出厂合格证明；</w:t>
      </w:r>
    </w:p>
    <w:p>
      <w:pPr>
        <w:keepNext/>
        <w:keepLines/>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szCs w:val="21"/>
        </w:rPr>
      </w:pPr>
      <w:r>
        <w:rPr>
          <w:rFonts w:hint="eastAsia" w:ascii="宋体" w:hAnsi="宋体" w:cs="宋体"/>
          <w:b/>
          <w:szCs w:val="21"/>
        </w:rPr>
        <w:t>（六）货物抵达目的地后的检验程序和期限：</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szCs w:val="21"/>
        </w:rPr>
      </w:pPr>
      <w:r>
        <w:rPr>
          <w:rFonts w:hint="eastAsia" w:ascii="宋体" w:hAnsi="宋体" w:cs="宋体"/>
          <w:bCs/>
          <w:szCs w:val="21"/>
        </w:rPr>
        <w:t>1.在货物到达交货指定地点后，成交供应商应在7天内派人员到达现场，在采购人技术人员在场的情况下开箱清点货物，组织安装、调试，并承担因此发生的一切费用；</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szCs w:val="21"/>
        </w:rPr>
      </w:pPr>
      <w:r>
        <w:rPr>
          <w:rFonts w:hint="eastAsia" w:ascii="宋体" w:hAnsi="宋体" w:cs="宋体"/>
          <w:bCs/>
          <w:szCs w:val="21"/>
        </w:rPr>
        <w:t>2.成交供应商货物经过双方检验认可后，签署验收报告；产品保修期自验收合格之日起算，由成交供应商提供产品保修文件；</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szCs w:val="21"/>
        </w:rPr>
      </w:pPr>
      <w:r>
        <w:rPr>
          <w:rFonts w:hint="eastAsia" w:ascii="宋体" w:hAnsi="宋体" w:cs="宋体"/>
          <w:bCs/>
          <w:szCs w:val="21"/>
        </w:rPr>
        <w:t>3.当满足以下条件时，采购人向成交供应商签发货物验收报告。</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szCs w:val="21"/>
        </w:rPr>
      </w:pPr>
      <w:r>
        <w:rPr>
          <w:rFonts w:hint="eastAsia" w:ascii="宋体" w:hAnsi="宋体" w:cs="宋体"/>
          <w:bCs/>
          <w:szCs w:val="21"/>
        </w:rPr>
        <w:t>（1）成交供应商已按照合同规定提供了全部产品及完整的技术资料；</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szCs w:val="21"/>
        </w:rPr>
      </w:pPr>
      <w:r>
        <w:rPr>
          <w:rFonts w:hint="eastAsia" w:ascii="宋体" w:hAnsi="宋体" w:cs="宋体"/>
          <w:bCs/>
          <w:szCs w:val="21"/>
        </w:rPr>
        <w:t>（2）货物满足谈判文件技术参数及配备要求；</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rPr>
      </w:pPr>
      <w:r>
        <w:rPr>
          <w:rFonts w:hint="eastAsia" w:ascii="宋体" w:hAnsi="宋体" w:cs="宋体"/>
          <w:bCs/>
          <w:szCs w:val="21"/>
        </w:rPr>
        <w:t>（3）货物具备产品合格证。</w:t>
      </w:r>
    </w:p>
    <w:p>
      <w:pPr>
        <w:keepNext/>
        <w:keepLines/>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（七）安装、调试和验收程序及期限：</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交货期的</w:t>
      </w:r>
      <w:r>
        <w:rPr>
          <w:rFonts w:hint="eastAsia" w:ascii="宋体" w:hAnsi="宋体" w:cs="宋体"/>
          <w:bCs/>
          <w:color w:val="auto"/>
          <w:szCs w:val="21"/>
          <w:u w:val="single"/>
          <w:lang w:val="en-US" w:eastAsia="zh-CN"/>
        </w:rPr>
        <w:t xml:space="preserve">  15  </w:t>
      </w:r>
      <w:r>
        <w:rPr>
          <w:rFonts w:hint="eastAsia" w:ascii="宋体" w:hAnsi="宋体" w:cs="宋体"/>
          <w:bCs/>
          <w:color w:val="auto"/>
          <w:szCs w:val="21"/>
        </w:rPr>
        <w:t>个日历日内包括所有设备安装调试完毕，并完成基本的操作培训；</w:t>
      </w:r>
    </w:p>
    <w:p>
      <w:pPr>
        <w:keepNext/>
        <w:keepLines/>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（八）售后服务及其他要求（除质保期满后有相关规定的情况外，所需费用均包括在报价当中）：</w:t>
      </w:r>
    </w:p>
    <w:p>
      <w:pPr>
        <w:keepNext/>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1.质保期（保修期）：本项目需求一览表中有规定的从其规定，否则执行厂家标准。没有厂家标准的，要求硬件设备至少质保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2  </w:t>
      </w:r>
      <w:r>
        <w:rPr>
          <w:rFonts w:hint="eastAsia" w:ascii="宋体" w:hAnsi="宋体" w:cs="宋体"/>
          <w:color w:val="auto"/>
          <w:szCs w:val="21"/>
        </w:rPr>
        <w:t>年、软件提供至少</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3  </w:t>
      </w:r>
      <w:r>
        <w:rPr>
          <w:rFonts w:hint="eastAsia" w:ascii="宋体" w:hAnsi="宋体" w:cs="宋体"/>
          <w:color w:val="auto"/>
          <w:szCs w:val="21"/>
        </w:rPr>
        <w:t>年升级维护，并提供终身技术咨询，自设备通过验收交付使用之日起开始计算质保期，费用均包含在谈判报价中；</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2.售后服务要求：送货上门、安装到位调试合格直至设备指标达到技术要求并正常运转、培训并指导使用，标配齐全，按国家有关产品“三包”规定执行“三包”；</w:t>
      </w:r>
    </w:p>
    <w:p>
      <w:pPr>
        <w:keepNext/>
        <w:keepLines/>
        <w:pageBreakBefore w:val="0"/>
        <w:widowControl w:val="0"/>
        <w:kinsoku/>
        <w:wordWrap/>
        <w:overflowPunct/>
        <w:topLinePunct w:val="0"/>
        <w:autoSpaceDE/>
        <w:autoSpaceDN/>
        <w:bidi w:val="0"/>
        <w:adjustRightInd/>
        <w:snapToGrid/>
        <w:spacing w:line="360" w:lineRule="exact"/>
        <w:ind w:firstLine="412" w:firstLineChars="200"/>
        <w:textAlignment w:val="auto"/>
        <w:rPr>
          <w:rFonts w:hint="eastAsia" w:ascii="宋体" w:hAnsi="宋体" w:cs="宋体"/>
          <w:color w:val="auto"/>
          <w:spacing w:val="-2"/>
          <w:szCs w:val="21"/>
        </w:rPr>
      </w:pPr>
      <w:r>
        <w:rPr>
          <w:rFonts w:hint="eastAsia" w:ascii="宋体" w:hAnsi="宋体" w:cs="宋体"/>
          <w:color w:val="auto"/>
          <w:spacing w:val="-2"/>
          <w:szCs w:val="21"/>
        </w:rPr>
        <w:t>3.因包装或运输不当引起的设备外观或内部的损坏，供货商应负责全部更换；若发现错发和漏发的，供货商应负责更换和补发；所有货物保证无破损，否则采购人有权拒收货物；</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4.必须提供完善的技术支持和售后服务，技术支持和售后服务必须与采购人原有技术支持和售后服务兼容和匹配。在项目实施过程及售后服务期内，需承诺指定专人负责与采购人保持长期的联系与服务；</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rPr>
        <w:t>5.必须保证货物安装调试后能通过采购人的项目验收，并保证整个系统能正常运行满足采购人的要求。成交供应商对本项目施工人员的人身安全及设备安</w:t>
      </w:r>
      <w:r>
        <w:rPr>
          <w:rFonts w:hint="eastAsia" w:ascii="宋体" w:hAnsi="宋体" w:cs="宋体"/>
          <w:color w:val="auto"/>
          <w:szCs w:val="21"/>
          <w:highlight w:val="none"/>
        </w:rPr>
        <w:t>全负责。</w:t>
      </w:r>
    </w:p>
    <w:p>
      <w:pPr>
        <w:keepNext/>
        <w:keepLines/>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6.提供7×24小时电话支持和响应，如果设备出现故障，必须提供解决方案，如果电话传真网络远程等方式解决不了的设备故障，必须派技术人员在6小时内到达现场，</w:t>
      </w:r>
      <w:r>
        <w:rPr>
          <w:rFonts w:hint="eastAsia" w:ascii="宋体" w:hAnsi="宋体" w:eastAsia="宋体" w:cs="宋体"/>
          <w:color w:val="auto"/>
          <w:szCs w:val="21"/>
          <w:highlight w:val="none"/>
        </w:rPr>
        <w:t>24小时内解决问题（去用户现场维修的一切费用由成交供应商承担）</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如24小时内无法解决的，须提供相同规格型号的不低于原设备性能要求的替代品使用或者冗余服务；质保期内如出现36小时内无法修复系统问题或设备故障的，须无条件地更换相同规格型号的设备。费用均包含在谈判报价中</w:t>
      </w:r>
      <w:r>
        <w:rPr>
          <w:rFonts w:hint="eastAsia" w:ascii="宋体" w:hAnsi="宋体" w:cs="宋体"/>
          <w:color w:val="auto"/>
          <w:szCs w:val="21"/>
          <w:highlight w:val="none"/>
          <w:lang w:eastAsia="zh-CN"/>
        </w:rPr>
        <w:t>。</w:t>
      </w:r>
    </w:p>
    <w:p>
      <w:pPr>
        <w:keepNext/>
        <w:keepLines/>
        <w:pageBreakBefore w:val="0"/>
        <w:widowControl w:val="0"/>
        <w:kinsoku/>
        <w:wordWrap/>
        <w:overflowPunct/>
        <w:topLinePunct w:val="0"/>
        <w:autoSpaceDE/>
        <w:autoSpaceDN/>
        <w:bidi w:val="0"/>
        <w:adjustRightInd/>
        <w:snapToGrid/>
        <w:spacing w:line="360" w:lineRule="exact"/>
        <w:ind w:firstLine="412" w:firstLineChars="200"/>
        <w:textAlignment w:val="auto"/>
        <w:rPr>
          <w:rFonts w:hint="eastAsia" w:ascii="宋体" w:hAnsi="宋体" w:cs="宋体"/>
          <w:color w:val="auto"/>
          <w:spacing w:val="-2"/>
          <w:szCs w:val="21"/>
          <w:highlight w:val="none"/>
        </w:rPr>
      </w:pPr>
      <w:r>
        <w:rPr>
          <w:rFonts w:hint="eastAsia" w:ascii="宋体" w:hAnsi="宋体" w:cs="宋体"/>
          <w:color w:val="auto"/>
          <w:spacing w:val="-2"/>
          <w:szCs w:val="21"/>
          <w:highlight w:val="none"/>
        </w:rPr>
        <w:t>7.质保期内提供（维修部件和服务）保修服务，质保期满后，提供故障维修，需更换配件的按现行市场价商议只计收配件费；</w:t>
      </w:r>
    </w:p>
    <w:p>
      <w:pPr>
        <w:keepNext/>
        <w:keepLines/>
        <w:pageBreakBefore w:val="0"/>
        <w:widowControl w:val="0"/>
        <w:kinsoku/>
        <w:wordWrap/>
        <w:overflowPunct/>
        <w:topLinePunct w:val="0"/>
        <w:autoSpaceDE/>
        <w:autoSpaceDN/>
        <w:bidi w:val="0"/>
        <w:adjustRightInd/>
        <w:snapToGrid/>
        <w:spacing w:line="360" w:lineRule="exact"/>
        <w:ind w:firstLine="412" w:firstLineChars="200"/>
        <w:textAlignment w:val="auto"/>
        <w:rPr>
          <w:rFonts w:hint="eastAsia" w:ascii="宋体" w:hAnsi="宋体" w:cs="宋体"/>
          <w:color w:val="auto"/>
          <w:spacing w:val="-2"/>
          <w:szCs w:val="21"/>
          <w:highlight w:val="none"/>
        </w:rPr>
      </w:pPr>
      <w:r>
        <w:rPr>
          <w:rFonts w:hint="eastAsia" w:ascii="宋体" w:hAnsi="宋体" w:cs="宋体"/>
          <w:color w:val="auto"/>
          <w:spacing w:val="-2"/>
          <w:szCs w:val="21"/>
          <w:highlight w:val="none"/>
        </w:rPr>
        <w:t>8.培训使用人员和维护人员，保证熟练掌握全部功能为止；</w:t>
      </w:r>
    </w:p>
    <w:p>
      <w:pPr>
        <w:keepNext/>
        <w:keepLines/>
        <w:pageBreakBefore w:val="0"/>
        <w:widowControl w:val="0"/>
        <w:kinsoku/>
        <w:wordWrap/>
        <w:overflowPunct/>
        <w:topLinePunct w:val="0"/>
        <w:autoSpaceDE/>
        <w:autoSpaceDN/>
        <w:bidi w:val="0"/>
        <w:adjustRightInd/>
        <w:snapToGrid/>
        <w:spacing w:line="360" w:lineRule="exact"/>
        <w:ind w:firstLine="412" w:firstLineChars="200"/>
        <w:textAlignment w:val="auto"/>
        <w:rPr>
          <w:rFonts w:hint="eastAsia" w:ascii="宋体" w:hAnsi="宋体" w:cs="宋体"/>
          <w:color w:val="auto"/>
          <w:spacing w:val="-2"/>
          <w:szCs w:val="21"/>
          <w:highlight w:val="none"/>
        </w:rPr>
      </w:pPr>
      <w:r>
        <w:rPr>
          <w:rFonts w:hint="eastAsia" w:ascii="宋体" w:hAnsi="宋体" w:cs="宋体"/>
          <w:color w:val="auto"/>
          <w:spacing w:val="-2"/>
          <w:szCs w:val="21"/>
          <w:highlight w:val="none"/>
        </w:rPr>
        <w:t>9.质保期满后，每半年至少有一次以上实地回访。</w:t>
      </w:r>
    </w:p>
    <w:p>
      <w:pPr>
        <w:keepNext/>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color w:val="auto"/>
          <w:spacing w:val="-2"/>
          <w:szCs w:val="21"/>
          <w:highlight w:val="none"/>
        </w:rPr>
      </w:pPr>
      <w:r>
        <w:rPr>
          <w:rFonts w:hint="eastAsia" w:ascii="宋体" w:hAnsi="宋体" w:cs="宋体"/>
          <w:b/>
          <w:color w:val="auto"/>
          <w:szCs w:val="21"/>
          <w:highlight w:val="none"/>
        </w:rPr>
        <w:t>（九）付款方式：</w:t>
      </w:r>
      <w:r>
        <w:rPr>
          <w:rFonts w:hint="eastAsia" w:ascii="宋体" w:hAnsi="宋体" w:cs="宋体"/>
          <w:color w:val="auto"/>
          <w:spacing w:val="0"/>
          <w:szCs w:val="21"/>
          <w:highlight w:val="none"/>
        </w:rPr>
        <w:t>在合同签订生效之日起（待财政资金到位后）</w:t>
      </w:r>
      <w:r>
        <w:rPr>
          <w:rFonts w:hint="eastAsia" w:ascii="宋体" w:hAnsi="宋体" w:cs="宋体"/>
          <w:color w:val="auto"/>
          <w:spacing w:val="0"/>
          <w:szCs w:val="21"/>
          <w:highlight w:val="none"/>
          <w:u w:val="single"/>
          <w:lang w:val="en-US" w:eastAsia="zh-CN"/>
        </w:rPr>
        <w:t xml:space="preserve">  3  </w:t>
      </w:r>
      <w:r>
        <w:rPr>
          <w:rFonts w:hint="eastAsia" w:ascii="宋体" w:hAnsi="宋体" w:cs="宋体"/>
          <w:color w:val="auto"/>
          <w:spacing w:val="0"/>
          <w:szCs w:val="21"/>
          <w:highlight w:val="none"/>
        </w:rPr>
        <w:t>个日历日内支付30%的合同款，待成交供应商把货物安装调试完毕并验收合格后，采购人按照政府采购程序办理付款手续，待财政资金到位后，成交供应商向采购人开具合法合规的发票，收到发票后，采购人在</w:t>
      </w:r>
      <w:r>
        <w:rPr>
          <w:rFonts w:hint="eastAsia" w:ascii="宋体" w:hAnsi="宋体" w:cs="宋体"/>
          <w:color w:val="auto"/>
          <w:spacing w:val="0"/>
          <w:szCs w:val="21"/>
          <w:highlight w:val="none"/>
          <w:u w:val="single"/>
          <w:lang w:val="en-US" w:eastAsia="zh-CN"/>
        </w:rPr>
        <w:t xml:space="preserve">  10  </w:t>
      </w:r>
      <w:r>
        <w:rPr>
          <w:rFonts w:hint="eastAsia" w:ascii="宋体" w:hAnsi="宋体" w:cs="宋体"/>
          <w:color w:val="auto"/>
          <w:spacing w:val="0"/>
          <w:szCs w:val="21"/>
          <w:highlight w:val="none"/>
        </w:rPr>
        <w:t>个日历日内结清余下的合同款</w:t>
      </w:r>
      <w:r>
        <w:rPr>
          <w:rFonts w:hint="eastAsia" w:ascii="宋体" w:hAnsi="宋体" w:cs="宋体"/>
          <w:color w:val="auto"/>
          <w:spacing w:val="0"/>
          <w:szCs w:val="21"/>
          <w:highlight w:val="none"/>
          <w:lang w:eastAsia="zh-CN"/>
        </w:rPr>
        <w:t>。</w:t>
      </w:r>
    </w:p>
    <w:p>
      <w:pPr>
        <w:pStyle w:val="3"/>
        <w:keepNext w:val="0"/>
        <w:keepLines w:val="0"/>
        <w:spacing w:before="0" w:after="0" w:line="600" w:lineRule="exact"/>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rPr>
      </w:pPr>
    </w:p>
    <w:p>
      <w:pPr>
        <w:rPr>
          <w:rFonts w:hint="eastAsia"/>
        </w:rPr>
      </w:pPr>
    </w:p>
    <w:p>
      <w:pPr>
        <w:pStyle w:val="3"/>
        <w:keepNext w:val="0"/>
        <w:keepLines w:val="0"/>
        <w:spacing w:before="0" w:after="0" w:line="600" w:lineRule="exact"/>
        <w:jc w:val="center"/>
        <w:rPr>
          <w:rFonts w:hint="eastAsia" w:ascii="宋体" w:hAnsi="宋体" w:eastAsia="宋体" w:cs="宋体"/>
          <w:b/>
          <w:sz w:val="36"/>
          <w:szCs w:val="36"/>
        </w:rPr>
      </w:pPr>
      <w:r>
        <w:rPr>
          <w:rFonts w:hint="eastAsia" w:ascii="宋体" w:hAnsi="宋体" w:eastAsia="宋体" w:cs="宋体"/>
          <w:b/>
          <w:sz w:val="36"/>
          <w:szCs w:val="36"/>
        </w:rPr>
        <w:t>第四章  响应文件格式</w:t>
      </w:r>
      <w:bookmarkEnd w:id="41"/>
    </w:p>
    <w:p>
      <w:pPr>
        <w:spacing w:line="500" w:lineRule="exact"/>
        <w:rPr>
          <w:rFonts w:hint="eastAsia" w:ascii="宋体" w:hAnsi="宋体" w:cs="宋体"/>
          <w:szCs w:val="21"/>
        </w:rPr>
      </w:pPr>
    </w:p>
    <w:p>
      <w:pPr>
        <w:snapToGrid w:val="0"/>
        <w:spacing w:before="156" w:beforeLines="50" w:after="50" w:line="360" w:lineRule="exact"/>
        <w:outlineLvl w:val="1"/>
        <w:rPr>
          <w:rFonts w:hint="eastAsia" w:ascii="宋体" w:hAnsi="宋体" w:cs="宋体"/>
          <w:bCs/>
          <w:sz w:val="28"/>
          <w:szCs w:val="28"/>
        </w:rPr>
      </w:pPr>
      <w:r>
        <w:rPr>
          <w:rFonts w:hint="eastAsia" w:ascii="宋体" w:hAnsi="宋体" w:cs="宋体"/>
          <w:bCs/>
          <w:sz w:val="28"/>
          <w:szCs w:val="28"/>
        </w:rPr>
        <w:t xml:space="preserve">一、 </w:t>
      </w:r>
      <w:r>
        <w:rPr>
          <w:rFonts w:hint="eastAsia" w:ascii="宋体" w:hAnsi="宋体" w:cs="宋体"/>
          <w:sz w:val="28"/>
          <w:szCs w:val="28"/>
        </w:rPr>
        <w:t>响应文件</w:t>
      </w:r>
      <w:r>
        <w:rPr>
          <w:rFonts w:hint="eastAsia" w:ascii="宋体" w:hAnsi="宋体" w:cs="宋体"/>
          <w:bCs/>
          <w:sz w:val="28"/>
          <w:szCs w:val="28"/>
        </w:rPr>
        <w:t>外包装封面及</w:t>
      </w:r>
      <w:r>
        <w:rPr>
          <w:rFonts w:hint="eastAsia" w:ascii="宋体" w:hAnsi="宋体" w:cs="宋体"/>
          <w:sz w:val="28"/>
          <w:szCs w:val="28"/>
        </w:rPr>
        <w:t>响应文件封面</w:t>
      </w:r>
      <w:r>
        <w:rPr>
          <w:rFonts w:hint="eastAsia" w:ascii="宋体" w:hAnsi="宋体" w:cs="宋体"/>
          <w:bCs/>
          <w:sz w:val="28"/>
          <w:szCs w:val="28"/>
        </w:rPr>
        <w:t>格式</w:t>
      </w:r>
    </w:p>
    <w:p>
      <w:pPr>
        <w:snapToGrid w:val="0"/>
        <w:spacing w:before="156" w:beforeLines="50" w:after="50" w:line="360" w:lineRule="exact"/>
        <w:rPr>
          <w:rFonts w:hint="eastAsia" w:ascii="宋体" w:hAnsi="宋体" w:cs="宋体"/>
          <w:b/>
          <w:szCs w:val="21"/>
        </w:rPr>
      </w:pPr>
    </w:p>
    <w:p>
      <w:pPr>
        <w:snapToGrid w:val="0"/>
        <w:spacing w:before="156" w:beforeLines="50" w:after="50" w:line="360" w:lineRule="exact"/>
        <w:jc w:val="center"/>
        <w:rPr>
          <w:rFonts w:hint="eastAsia" w:ascii="宋体" w:hAnsi="宋体" w:cs="宋体"/>
          <w:szCs w:val="21"/>
        </w:rPr>
      </w:pPr>
      <w:r>
        <w:rPr>
          <w:rFonts w:hint="eastAsia" w:ascii="宋体" w:hAnsi="宋体" w:cs="宋体"/>
          <w:b/>
          <w:sz w:val="24"/>
        </w:rPr>
        <w:t>（一）响应文件的外包装封面格式</w:t>
      </w:r>
      <w:r>
        <w:rPr>
          <w:rFonts w:hint="eastAsia" w:ascii="宋体" w:hAnsi="宋体" w:cs="宋体"/>
          <w:szCs w:val="21"/>
        </w:rPr>
        <w:t xml:space="preserve"> </w:t>
      </w:r>
    </w:p>
    <w:p>
      <w:pPr>
        <w:snapToGrid w:val="0"/>
        <w:spacing w:before="156" w:beforeLines="50" w:after="50" w:line="360" w:lineRule="exact"/>
        <w:jc w:val="center"/>
        <w:rPr>
          <w:rFonts w:hint="eastAsia" w:ascii="宋体" w:hAnsi="宋体" w:cs="宋体"/>
          <w:sz w:val="32"/>
          <w:szCs w:val="32"/>
        </w:rPr>
      </w:pPr>
    </w:p>
    <w:p>
      <w:pPr>
        <w:snapToGrid w:val="0"/>
        <w:spacing w:before="156" w:beforeLines="50" w:after="50" w:line="360" w:lineRule="exact"/>
        <w:jc w:val="center"/>
        <w:rPr>
          <w:rFonts w:hint="eastAsia" w:ascii="宋体" w:hAnsi="宋体" w:cs="宋体"/>
          <w:sz w:val="32"/>
          <w:szCs w:val="32"/>
        </w:rPr>
      </w:pPr>
      <w:r>
        <w:rPr>
          <w:rFonts w:hint="eastAsia" w:ascii="宋体" w:hAnsi="宋体" w:cs="宋体"/>
          <w:sz w:val="32"/>
          <w:szCs w:val="32"/>
        </w:rPr>
        <w:t>响应文件</w:t>
      </w:r>
    </w:p>
    <w:p>
      <w:pPr>
        <w:snapToGrid w:val="0"/>
        <w:spacing w:before="156" w:beforeLines="50" w:after="50" w:line="360" w:lineRule="exact"/>
        <w:ind w:firstLine="630" w:firstLineChars="300"/>
        <w:rPr>
          <w:rFonts w:hint="eastAsia" w:ascii="宋体" w:hAnsi="宋体" w:cs="宋体"/>
          <w:bCs/>
          <w:szCs w:val="21"/>
        </w:rPr>
      </w:pPr>
      <w:r>
        <w:rPr>
          <w:rFonts w:hint="eastAsia" w:ascii="宋体" w:hAnsi="宋体" w:cs="宋体"/>
          <w:szCs w:val="21"/>
        </w:rPr>
        <w:t>项目名称</w:t>
      </w:r>
      <w:r>
        <w:rPr>
          <w:rFonts w:hint="eastAsia" w:ascii="宋体" w:hAnsi="宋体" w:cs="宋体"/>
          <w:bCs/>
          <w:szCs w:val="21"/>
        </w:rPr>
        <w:t xml:space="preserve">：                       </w:t>
      </w:r>
    </w:p>
    <w:p>
      <w:pPr>
        <w:snapToGrid w:val="0"/>
        <w:spacing w:before="156" w:beforeLines="50" w:after="50" w:line="360" w:lineRule="exact"/>
        <w:ind w:firstLine="630" w:firstLineChars="300"/>
        <w:rPr>
          <w:rFonts w:hint="eastAsia" w:ascii="宋体" w:hAnsi="宋体" w:cs="宋体"/>
          <w:bCs/>
          <w:szCs w:val="21"/>
        </w:rPr>
      </w:pPr>
      <w:r>
        <w:rPr>
          <w:rFonts w:hint="eastAsia" w:ascii="宋体" w:hAnsi="宋体" w:cs="宋体"/>
          <w:szCs w:val="21"/>
        </w:rPr>
        <w:t>项目编号</w:t>
      </w:r>
      <w:r>
        <w:rPr>
          <w:rFonts w:hint="eastAsia" w:ascii="宋体" w:hAnsi="宋体" w:cs="宋体"/>
          <w:bCs/>
          <w:szCs w:val="21"/>
        </w:rPr>
        <w:t xml:space="preserve">：   </w:t>
      </w:r>
    </w:p>
    <w:p>
      <w:pPr>
        <w:snapToGrid w:val="0"/>
        <w:spacing w:before="156" w:beforeLines="50" w:after="50" w:line="360" w:lineRule="exact"/>
        <w:ind w:firstLine="630" w:firstLineChars="300"/>
        <w:rPr>
          <w:rFonts w:hint="eastAsia" w:ascii="宋体" w:hAnsi="宋体" w:cs="宋体"/>
          <w:bCs/>
          <w:szCs w:val="21"/>
        </w:rPr>
      </w:pPr>
      <w:r>
        <w:rPr>
          <w:rFonts w:hint="eastAsia" w:ascii="宋体" w:hAnsi="宋体" w:cs="宋体"/>
          <w:bCs/>
          <w:szCs w:val="21"/>
        </w:rPr>
        <w:t xml:space="preserve">分标号：                   </w:t>
      </w:r>
    </w:p>
    <w:p>
      <w:pPr>
        <w:pStyle w:val="7"/>
        <w:snapToGrid w:val="0"/>
        <w:spacing w:before="50" w:after="50" w:line="440" w:lineRule="exact"/>
        <w:ind w:firstLine="630" w:firstLineChars="300"/>
        <w:rPr>
          <w:rFonts w:hint="eastAsia" w:ascii="宋体" w:hAnsi="宋体" w:cs="宋体"/>
          <w:bCs/>
          <w:szCs w:val="21"/>
        </w:rPr>
      </w:pPr>
      <w:r>
        <w:rPr>
          <w:rFonts w:hint="eastAsia" w:ascii="宋体" w:hAnsi="宋体" w:cs="宋体"/>
          <w:szCs w:val="21"/>
        </w:rPr>
        <w:t>谈判供应商名称</w:t>
      </w:r>
      <w:r>
        <w:rPr>
          <w:rFonts w:hint="eastAsia" w:ascii="宋体" w:hAnsi="宋体" w:cs="宋体"/>
          <w:bCs/>
          <w:szCs w:val="21"/>
        </w:rPr>
        <w:t xml:space="preserve">：                 </w:t>
      </w:r>
    </w:p>
    <w:p>
      <w:pPr>
        <w:pStyle w:val="7"/>
        <w:snapToGrid w:val="0"/>
        <w:spacing w:before="50" w:after="50" w:line="360" w:lineRule="exact"/>
        <w:ind w:firstLine="630" w:firstLineChars="300"/>
        <w:rPr>
          <w:rFonts w:hint="eastAsia" w:ascii="宋体" w:hAnsi="宋体" w:cs="宋体"/>
          <w:bCs/>
          <w:szCs w:val="21"/>
        </w:rPr>
      </w:pPr>
      <w:r>
        <w:rPr>
          <w:rFonts w:hint="eastAsia" w:ascii="宋体" w:hAnsi="宋体" w:cs="宋体"/>
          <w:bCs/>
          <w:szCs w:val="21"/>
        </w:rPr>
        <w:t>（响应文件开启会开始时才能启封）</w:t>
      </w:r>
    </w:p>
    <w:p>
      <w:pPr>
        <w:pStyle w:val="7"/>
        <w:snapToGrid w:val="0"/>
        <w:spacing w:before="50" w:after="50" w:line="360" w:lineRule="exact"/>
        <w:ind w:firstLine="0"/>
        <w:rPr>
          <w:rFonts w:hint="eastAsia" w:ascii="宋体" w:hAnsi="宋体" w:cs="宋体"/>
          <w:bCs/>
          <w:szCs w:val="21"/>
        </w:rPr>
      </w:pPr>
      <w:r>
        <w:rPr>
          <w:rFonts w:hint="eastAsia" w:ascii="宋体" w:hAnsi="宋体" w:cs="宋体"/>
          <w:bCs/>
          <w:szCs w:val="21"/>
        </w:rPr>
        <w:t xml:space="preserve">                                          </w:t>
      </w:r>
    </w:p>
    <w:p>
      <w:pPr>
        <w:pStyle w:val="7"/>
        <w:snapToGrid w:val="0"/>
        <w:spacing w:before="50" w:after="50" w:line="360" w:lineRule="exact"/>
        <w:ind w:firstLine="0"/>
        <w:rPr>
          <w:rFonts w:hint="eastAsia" w:ascii="宋体" w:hAnsi="宋体" w:cs="宋体"/>
          <w:bCs/>
          <w:szCs w:val="21"/>
        </w:rPr>
      </w:pPr>
    </w:p>
    <w:p>
      <w:pPr>
        <w:pStyle w:val="7"/>
        <w:snapToGrid w:val="0"/>
        <w:spacing w:before="50" w:after="50" w:line="360" w:lineRule="exact"/>
        <w:ind w:firstLine="0"/>
        <w:rPr>
          <w:rFonts w:hint="eastAsia" w:ascii="宋体" w:hAnsi="宋体" w:cs="宋体"/>
          <w:bCs/>
          <w:szCs w:val="21"/>
        </w:rPr>
      </w:pPr>
      <w:r>
        <w:rPr>
          <w:rFonts w:hint="eastAsia" w:ascii="宋体" w:hAnsi="宋体" w:cs="宋体"/>
          <w:bCs/>
          <w:szCs w:val="21"/>
        </w:rPr>
        <w:t xml:space="preserve">                                                           </w:t>
      </w:r>
    </w:p>
    <w:p>
      <w:pPr>
        <w:snapToGrid w:val="0"/>
        <w:spacing w:before="156" w:beforeLines="50" w:after="50" w:line="360" w:lineRule="exact"/>
        <w:jc w:val="center"/>
        <w:rPr>
          <w:rFonts w:hint="eastAsia" w:ascii="宋体" w:hAnsi="宋体" w:cs="宋体"/>
          <w:b/>
          <w:sz w:val="24"/>
        </w:rPr>
      </w:pPr>
      <w:r>
        <w:rPr>
          <w:rFonts w:hint="eastAsia" w:ascii="宋体" w:hAnsi="宋体" w:cs="宋体"/>
          <w:b/>
          <w:sz w:val="24"/>
        </w:rPr>
        <w:t>（二）响应文件封面格式</w:t>
      </w:r>
    </w:p>
    <w:p>
      <w:pPr>
        <w:snapToGrid w:val="0"/>
        <w:spacing w:before="156" w:beforeLines="50" w:after="50" w:line="360" w:lineRule="exact"/>
        <w:ind w:left="7200" w:hanging="7200" w:hangingChars="3000"/>
        <w:rPr>
          <w:rFonts w:hint="eastAsia" w:ascii="宋体" w:hAnsi="宋体" w:cs="宋体"/>
          <w:bCs/>
          <w:sz w:val="24"/>
        </w:rPr>
      </w:pPr>
      <w:r>
        <w:rPr>
          <w:rFonts w:hint="eastAsia" w:ascii="宋体" w:hAnsi="宋体" w:cs="宋体"/>
          <w:sz w:val="24"/>
        </w:rPr>
        <w:t xml:space="preserve">                                                                                             </w:t>
      </w:r>
      <w:r>
        <w:rPr>
          <w:rFonts w:hint="eastAsia" w:ascii="宋体" w:hAnsi="宋体" w:cs="宋体"/>
          <w:b/>
          <w:bCs/>
          <w:szCs w:val="21"/>
        </w:rPr>
        <w:t>（正/副本）</w:t>
      </w:r>
    </w:p>
    <w:p>
      <w:pPr>
        <w:snapToGrid w:val="0"/>
        <w:spacing w:before="156" w:beforeLines="50" w:after="50" w:line="360" w:lineRule="exact"/>
        <w:jc w:val="center"/>
        <w:rPr>
          <w:rFonts w:hint="eastAsia" w:ascii="宋体" w:hAnsi="宋体" w:cs="宋体"/>
          <w:sz w:val="32"/>
          <w:szCs w:val="32"/>
        </w:rPr>
      </w:pPr>
      <w:r>
        <w:rPr>
          <w:rFonts w:hint="eastAsia" w:ascii="宋体" w:hAnsi="宋体" w:cs="宋体"/>
          <w:sz w:val="32"/>
          <w:szCs w:val="32"/>
        </w:rPr>
        <w:t>响应文件（封面）</w:t>
      </w:r>
    </w:p>
    <w:p>
      <w:pPr>
        <w:spacing w:line="500" w:lineRule="exact"/>
        <w:ind w:firstLine="420" w:firstLineChars="200"/>
        <w:rPr>
          <w:rFonts w:hint="eastAsia" w:ascii="宋体" w:hAnsi="宋体" w:cs="宋体"/>
          <w:szCs w:val="21"/>
        </w:rPr>
      </w:pPr>
      <w:r>
        <w:rPr>
          <w:rFonts w:hint="eastAsia" w:ascii="宋体" w:hAnsi="宋体" w:cs="宋体"/>
          <w:szCs w:val="21"/>
        </w:rPr>
        <w:t xml:space="preserve">项目名称：                       </w:t>
      </w:r>
    </w:p>
    <w:p>
      <w:pPr>
        <w:snapToGrid w:val="0"/>
        <w:spacing w:before="156" w:beforeLines="50" w:after="50" w:line="360" w:lineRule="exact"/>
        <w:ind w:firstLine="420" w:firstLineChars="200"/>
        <w:rPr>
          <w:rFonts w:hint="eastAsia" w:ascii="宋体" w:hAnsi="宋体" w:cs="宋体"/>
          <w:szCs w:val="21"/>
        </w:rPr>
      </w:pPr>
      <w:r>
        <w:rPr>
          <w:rFonts w:hint="eastAsia" w:ascii="宋体" w:hAnsi="宋体" w:cs="宋体"/>
          <w:szCs w:val="21"/>
        </w:rPr>
        <w:t>项目编号</w:t>
      </w:r>
      <w:r>
        <w:rPr>
          <w:rFonts w:hint="eastAsia" w:ascii="宋体" w:hAnsi="宋体" w:cs="宋体"/>
          <w:bCs/>
          <w:szCs w:val="21"/>
        </w:rPr>
        <w:t>：</w:t>
      </w:r>
      <w:r>
        <w:rPr>
          <w:rFonts w:hint="eastAsia" w:ascii="宋体" w:hAnsi="宋体" w:cs="宋体"/>
          <w:szCs w:val="21"/>
        </w:rPr>
        <w:t xml:space="preserve">  </w:t>
      </w:r>
    </w:p>
    <w:p>
      <w:pPr>
        <w:snapToGrid w:val="0"/>
        <w:spacing w:before="156" w:beforeLines="50" w:after="50" w:line="360" w:lineRule="exact"/>
        <w:ind w:firstLine="420" w:firstLineChars="200"/>
        <w:rPr>
          <w:rFonts w:hint="eastAsia" w:ascii="宋体" w:hAnsi="宋体" w:cs="宋体"/>
          <w:szCs w:val="21"/>
        </w:rPr>
      </w:pPr>
      <w:r>
        <w:rPr>
          <w:rFonts w:hint="eastAsia" w:ascii="宋体" w:hAnsi="宋体" w:cs="宋体"/>
          <w:bCs/>
          <w:szCs w:val="21"/>
        </w:rPr>
        <w:t>分标号：</w:t>
      </w:r>
      <w:r>
        <w:rPr>
          <w:rFonts w:hint="eastAsia" w:ascii="宋体" w:hAnsi="宋体" w:cs="宋体"/>
          <w:szCs w:val="21"/>
        </w:rPr>
        <w:t xml:space="preserve">              </w:t>
      </w:r>
    </w:p>
    <w:p>
      <w:pPr>
        <w:snapToGrid w:val="0"/>
        <w:spacing w:before="156" w:beforeLines="50" w:after="50" w:line="360" w:lineRule="exact"/>
        <w:ind w:firstLine="420" w:firstLineChars="200"/>
        <w:rPr>
          <w:rFonts w:hint="eastAsia" w:ascii="宋体" w:hAnsi="宋体" w:cs="宋体"/>
          <w:bCs/>
          <w:szCs w:val="21"/>
        </w:rPr>
      </w:pPr>
      <w:r>
        <w:rPr>
          <w:rFonts w:hint="eastAsia" w:ascii="宋体" w:hAnsi="宋体" w:cs="宋体"/>
          <w:szCs w:val="21"/>
        </w:rPr>
        <w:t>谈判供应商名称</w:t>
      </w:r>
      <w:r>
        <w:rPr>
          <w:rFonts w:hint="eastAsia" w:ascii="宋体" w:hAnsi="宋体" w:cs="宋体"/>
          <w:bCs/>
          <w:szCs w:val="21"/>
        </w:rPr>
        <w:t>：</w:t>
      </w:r>
      <w:r>
        <w:rPr>
          <w:rFonts w:hint="eastAsia" w:ascii="宋体" w:hAnsi="宋体" w:cs="宋体"/>
          <w:szCs w:val="21"/>
        </w:rPr>
        <w:t xml:space="preserve">                        </w:t>
      </w:r>
    </w:p>
    <w:p>
      <w:pPr>
        <w:spacing w:line="500" w:lineRule="exact"/>
        <w:jc w:val="center"/>
        <w:rPr>
          <w:rFonts w:hint="eastAsia" w:ascii="宋体" w:hAnsi="宋体" w:cs="宋体"/>
          <w:szCs w:val="21"/>
        </w:rPr>
      </w:pPr>
      <w:r>
        <w:rPr>
          <w:rFonts w:hint="eastAsia" w:ascii="宋体" w:hAnsi="宋体" w:cs="宋体"/>
          <w:sz w:val="24"/>
        </w:rPr>
        <w:t xml:space="preserve">                      </w:t>
      </w:r>
    </w:p>
    <w:p>
      <w:pPr>
        <w:snapToGrid w:val="0"/>
        <w:spacing w:before="156" w:beforeLines="50" w:after="50" w:line="360" w:lineRule="exact"/>
        <w:jc w:val="center"/>
        <w:outlineLvl w:val="1"/>
        <w:rPr>
          <w:rFonts w:hint="eastAsia" w:ascii="宋体" w:hAnsi="宋体" w:cs="宋体"/>
          <w:szCs w:val="21"/>
        </w:rPr>
      </w:pPr>
      <w:r>
        <w:rPr>
          <w:rFonts w:hint="eastAsia" w:ascii="宋体" w:hAnsi="宋体" w:cs="宋体"/>
          <w:szCs w:val="21"/>
        </w:rPr>
        <w:t xml:space="preserve">                                                     年      月      日</w:t>
      </w:r>
    </w:p>
    <w:p>
      <w:pPr>
        <w:spacing w:line="520" w:lineRule="exact"/>
        <w:rPr>
          <w:rFonts w:hint="eastAsia" w:ascii="宋体" w:hAnsi="宋体" w:cs="宋体"/>
          <w:b/>
          <w:szCs w:val="21"/>
        </w:rPr>
      </w:pPr>
      <w:r>
        <w:rPr>
          <w:rFonts w:hint="eastAsia" w:ascii="宋体" w:hAnsi="宋体" w:cs="宋体"/>
          <w:b/>
          <w:sz w:val="28"/>
          <w:szCs w:val="28"/>
        </w:rPr>
        <w:br w:type="page"/>
      </w:r>
      <w:r>
        <w:rPr>
          <w:rFonts w:hint="eastAsia" w:ascii="宋体" w:hAnsi="宋体" w:cs="宋体"/>
          <w:b/>
          <w:szCs w:val="21"/>
        </w:rPr>
        <w:t>二、附  件</w:t>
      </w:r>
    </w:p>
    <w:p>
      <w:pPr>
        <w:spacing w:line="520" w:lineRule="exact"/>
        <w:rPr>
          <w:rFonts w:hint="eastAsia" w:ascii="宋体" w:hAnsi="宋体" w:cs="宋体"/>
          <w:b/>
          <w:szCs w:val="21"/>
        </w:rPr>
      </w:pPr>
      <w:r>
        <w:rPr>
          <w:rFonts w:hint="eastAsia" w:ascii="宋体" w:hAnsi="宋体" w:cs="宋体"/>
          <w:b/>
          <w:szCs w:val="21"/>
        </w:rPr>
        <w:t xml:space="preserve">附件1 </w:t>
      </w:r>
    </w:p>
    <w:p>
      <w:pPr>
        <w:spacing w:line="520" w:lineRule="exact"/>
        <w:jc w:val="center"/>
        <w:rPr>
          <w:rFonts w:hint="eastAsia" w:ascii="宋体" w:hAnsi="宋体" w:cs="宋体"/>
          <w:sz w:val="30"/>
          <w:szCs w:val="30"/>
        </w:rPr>
      </w:pPr>
      <w:r>
        <w:rPr>
          <w:rFonts w:hint="eastAsia" w:ascii="宋体" w:hAnsi="宋体" w:cs="宋体"/>
          <w:sz w:val="30"/>
          <w:szCs w:val="30"/>
        </w:rPr>
        <w:t>谈 判 书</w:t>
      </w:r>
    </w:p>
    <w:p>
      <w:pPr>
        <w:spacing w:line="520" w:lineRule="exact"/>
        <w:jc w:val="center"/>
        <w:rPr>
          <w:rFonts w:hint="eastAsia" w:ascii="宋体" w:hAnsi="宋体" w:cs="宋体"/>
          <w:b/>
          <w:szCs w:val="21"/>
        </w:rPr>
      </w:pPr>
    </w:p>
    <w:p>
      <w:pPr>
        <w:pStyle w:val="28"/>
        <w:spacing w:line="520" w:lineRule="exact"/>
        <w:rPr>
          <w:rFonts w:hint="eastAsia" w:hAnsi="宋体" w:cs="宋体"/>
        </w:rPr>
      </w:pPr>
      <w:r>
        <w:rPr>
          <w:rFonts w:hint="eastAsia" w:hAnsi="宋体" w:cs="宋体"/>
        </w:rPr>
        <w:t>采购代理机构名称：</w:t>
      </w:r>
    </w:p>
    <w:p>
      <w:pPr>
        <w:pStyle w:val="28"/>
        <w:spacing w:line="520" w:lineRule="exact"/>
        <w:ind w:firstLine="480"/>
        <w:rPr>
          <w:rFonts w:hint="eastAsia" w:hAnsi="宋体" w:cs="宋体"/>
        </w:rPr>
      </w:pPr>
      <w:r>
        <w:rPr>
          <w:rFonts w:hint="eastAsia" w:hAnsi="宋体" w:cs="宋体"/>
        </w:rPr>
        <w:t>依据贵方（项目名称/项目编号）项目政府采购的谈判邀请，我方（姓名和职务）经正式授权并代表本单位（谈判供应商名称、地址）提交下述响应文件</w:t>
      </w:r>
      <w:r>
        <w:rPr>
          <w:rFonts w:hint="eastAsia" w:hAnsi="宋体" w:cs="宋体"/>
          <w:b/>
        </w:rPr>
        <w:t>（价格文件、商务技术文件），其中</w:t>
      </w:r>
      <w:r>
        <w:rPr>
          <w:rFonts w:hint="eastAsia" w:hAnsi="宋体" w:cs="宋体"/>
        </w:rPr>
        <w:t>正本一份、副本  份，电子文档一份。</w:t>
      </w:r>
    </w:p>
    <w:p>
      <w:pPr>
        <w:pStyle w:val="28"/>
        <w:spacing w:line="520" w:lineRule="exact"/>
        <w:ind w:firstLine="480"/>
        <w:rPr>
          <w:rFonts w:hint="eastAsia" w:hAnsi="宋体" w:cs="宋体"/>
        </w:rPr>
      </w:pPr>
      <w:r>
        <w:rPr>
          <w:rFonts w:hint="eastAsia" w:hAnsi="宋体" w:cs="宋体"/>
        </w:rPr>
        <w:t>1. 报价表；</w:t>
      </w:r>
    </w:p>
    <w:p>
      <w:pPr>
        <w:pStyle w:val="28"/>
        <w:spacing w:line="520" w:lineRule="exact"/>
        <w:ind w:firstLine="480"/>
        <w:rPr>
          <w:rFonts w:hint="eastAsia" w:hAnsi="宋体" w:cs="宋体"/>
        </w:rPr>
      </w:pPr>
      <w:r>
        <w:rPr>
          <w:rFonts w:hint="eastAsia" w:hAnsi="宋体" w:cs="宋体"/>
        </w:rPr>
        <w:t>2. 商务、技术响应、偏离情况说明表；</w:t>
      </w:r>
    </w:p>
    <w:p>
      <w:pPr>
        <w:pStyle w:val="28"/>
        <w:spacing w:line="520" w:lineRule="exact"/>
        <w:ind w:firstLine="480"/>
        <w:rPr>
          <w:rFonts w:hint="eastAsia" w:hAnsi="宋体" w:cs="宋体"/>
        </w:rPr>
      </w:pPr>
      <w:r>
        <w:rPr>
          <w:rFonts w:hint="eastAsia" w:hAnsi="宋体" w:cs="宋体"/>
        </w:rPr>
        <w:t>3. 资格证明文件；</w:t>
      </w:r>
    </w:p>
    <w:p>
      <w:pPr>
        <w:pStyle w:val="28"/>
        <w:spacing w:line="520" w:lineRule="exact"/>
        <w:ind w:firstLine="480"/>
        <w:rPr>
          <w:rFonts w:hint="eastAsia" w:hAnsi="宋体" w:cs="宋体"/>
        </w:rPr>
      </w:pPr>
      <w:r>
        <w:rPr>
          <w:rFonts w:hint="eastAsia" w:hAnsi="宋体" w:cs="宋体"/>
        </w:rPr>
        <w:t>4. 按竞争性谈判文件谈判供应商须知和采购需求提供的有关文件；</w:t>
      </w:r>
    </w:p>
    <w:p>
      <w:pPr>
        <w:pStyle w:val="28"/>
        <w:spacing w:line="520" w:lineRule="exact"/>
        <w:ind w:firstLine="315" w:firstLineChars="150"/>
        <w:rPr>
          <w:rFonts w:hint="eastAsia" w:hAnsi="宋体" w:cs="宋体"/>
        </w:rPr>
      </w:pPr>
      <w:r>
        <w:rPr>
          <w:rFonts w:hint="eastAsia" w:hAnsi="宋体" w:cs="宋体"/>
        </w:rPr>
        <w:t>在此，授权代表宣布同意如下：</w:t>
      </w:r>
    </w:p>
    <w:p>
      <w:pPr>
        <w:pStyle w:val="28"/>
        <w:spacing w:line="520" w:lineRule="exact"/>
        <w:ind w:firstLine="525" w:firstLineChars="250"/>
        <w:rPr>
          <w:rFonts w:hint="eastAsia" w:hAnsi="宋体" w:cs="宋体"/>
        </w:rPr>
      </w:pPr>
      <w:r>
        <w:rPr>
          <w:rFonts w:hint="eastAsia" w:hAnsi="宋体" w:cs="宋体"/>
        </w:rPr>
        <w:t>1. 将按竞争性谈判文件的约定履行合同责任和义务；</w:t>
      </w:r>
    </w:p>
    <w:p>
      <w:pPr>
        <w:pStyle w:val="28"/>
        <w:spacing w:line="520" w:lineRule="exact"/>
        <w:ind w:firstLine="539" w:firstLineChars="257"/>
        <w:rPr>
          <w:rFonts w:hint="eastAsia" w:hAnsi="宋体" w:cs="宋体"/>
        </w:rPr>
      </w:pPr>
      <w:r>
        <w:rPr>
          <w:rFonts w:hint="eastAsia" w:hAnsi="宋体" w:cs="宋体"/>
        </w:rPr>
        <w:t>2. 我方已详细研究了谈判文件的所有内容，包括补遗文件（如果有的话）和所有已提供的参考资料及有关附件并完全明白且完全响应，对谈判文件的合理性、合法性不再有异议；我方放弃在此方面提出含糊意见、质疑或误解的一切权力；</w:t>
      </w:r>
    </w:p>
    <w:p>
      <w:pPr>
        <w:pStyle w:val="28"/>
        <w:spacing w:line="520" w:lineRule="exact"/>
        <w:ind w:left="2" w:firstLine="537" w:firstLineChars="256"/>
        <w:rPr>
          <w:rFonts w:hint="eastAsia" w:hAnsi="宋体" w:cs="宋体"/>
        </w:rPr>
      </w:pPr>
      <w:r>
        <w:rPr>
          <w:rFonts w:hint="eastAsia" w:hAnsi="宋体" w:cs="宋体"/>
        </w:rPr>
        <w:t>3. 同意提供按照贵方可能要求的与其谈判有关的一切数据或资料；</w:t>
      </w:r>
    </w:p>
    <w:p>
      <w:pPr>
        <w:pStyle w:val="28"/>
        <w:spacing w:line="520" w:lineRule="exact"/>
        <w:ind w:firstLine="567" w:firstLineChars="270"/>
        <w:rPr>
          <w:rFonts w:hint="eastAsia" w:hAnsi="宋体" w:cs="宋体"/>
        </w:rPr>
      </w:pPr>
      <w:r>
        <w:rPr>
          <w:rFonts w:hint="eastAsia" w:hAnsi="宋体" w:cs="宋体"/>
        </w:rPr>
        <w:t xml:space="preserve">4. 与本谈判有关的一切正式往来信函请寄：                       </w:t>
      </w:r>
    </w:p>
    <w:p>
      <w:pPr>
        <w:pStyle w:val="28"/>
        <w:spacing w:line="520" w:lineRule="exact"/>
        <w:ind w:firstLine="840"/>
        <w:rPr>
          <w:rFonts w:hint="eastAsia" w:hAnsi="宋体" w:cs="宋体"/>
          <w:lang w:val="en-US" w:eastAsia="zh-CN"/>
        </w:rPr>
      </w:pPr>
      <w:r>
        <w:rPr>
          <w:rFonts w:hint="eastAsia" w:hAnsi="宋体" w:cs="宋体"/>
          <w:lang w:val="en-US" w:eastAsia="zh-CN"/>
        </w:rPr>
        <w:t>地址：                   联系人：</w:t>
      </w:r>
    </w:p>
    <w:p>
      <w:pPr>
        <w:pStyle w:val="28"/>
        <w:spacing w:line="520" w:lineRule="exact"/>
        <w:ind w:firstLine="840"/>
        <w:rPr>
          <w:rFonts w:hint="default" w:hAnsi="宋体" w:cs="宋体"/>
          <w:lang w:val="en-US" w:eastAsia="zh-CN"/>
        </w:rPr>
      </w:pPr>
      <w:r>
        <w:rPr>
          <w:rFonts w:hint="eastAsia" w:hAnsi="宋体" w:cs="宋体"/>
        </w:rPr>
        <w:t xml:space="preserve">电话/传真：              电子函件：         </w:t>
      </w:r>
    </w:p>
    <w:p>
      <w:pPr>
        <w:pStyle w:val="28"/>
        <w:spacing w:line="520" w:lineRule="exact"/>
        <w:ind w:firstLine="840"/>
        <w:rPr>
          <w:rFonts w:hint="eastAsia" w:hAnsi="宋体" w:cs="宋体"/>
        </w:rPr>
      </w:pPr>
      <w:r>
        <w:rPr>
          <w:rFonts w:hint="eastAsia" w:hAnsi="宋体" w:cs="宋体"/>
        </w:rPr>
        <w:t xml:space="preserve">开户银行：               帐号/行号：                 </w:t>
      </w:r>
    </w:p>
    <w:p>
      <w:pPr>
        <w:pStyle w:val="28"/>
        <w:spacing w:line="520" w:lineRule="exact"/>
        <w:ind w:firstLine="840"/>
        <w:rPr>
          <w:rFonts w:hint="eastAsia" w:hAnsi="宋体" w:cs="宋体"/>
        </w:rPr>
      </w:pPr>
      <w:r>
        <w:rPr>
          <w:rFonts w:hint="eastAsia" w:hAnsi="宋体" w:cs="宋体"/>
        </w:rPr>
        <w:t>日期：      年   月    日</w:t>
      </w:r>
    </w:p>
    <w:p>
      <w:pPr>
        <w:pStyle w:val="28"/>
        <w:spacing w:line="520" w:lineRule="exact"/>
        <w:ind w:firstLine="840"/>
        <w:rPr>
          <w:rFonts w:hint="eastAsia" w:hAnsi="宋体" w:cs="宋体"/>
        </w:rPr>
      </w:pPr>
      <w:r>
        <w:rPr>
          <w:rFonts w:hint="eastAsia" w:hAnsi="宋体" w:cs="宋体"/>
        </w:rPr>
        <w:t xml:space="preserve">法定代表人（负责人）或委托代理人（被授权人）签字：                       </w:t>
      </w:r>
    </w:p>
    <w:p>
      <w:pPr>
        <w:pStyle w:val="28"/>
        <w:spacing w:line="520" w:lineRule="exact"/>
        <w:ind w:firstLine="840"/>
        <w:rPr>
          <w:rFonts w:hint="eastAsia" w:hAnsi="宋体" w:cs="宋体"/>
        </w:rPr>
      </w:pPr>
      <w:r>
        <w:rPr>
          <w:rFonts w:hint="eastAsia" w:hAnsi="宋体" w:cs="宋体"/>
        </w:rPr>
        <w:t xml:space="preserve">谈判供应商名称（公章）：                                                               </w:t>
      </w:r>
    </w:p>
    <w:p>
      <w:pPr>
        <w:pStyle w:val="28"/>
        <w:spacing w:line="520" w:lineRule="exact"/>
        <w:ind w:firstLine="840"/>
        <w:rPr>
          <w:rFonts w:hint="eastAsia" w:hAnsi="宋体" w:cs="宋体"/>
        </w:rPr>
      </w:pPr>
      <w:r>
        <w:rPr>
          <w:rFonts w:hint="eastAsia" w:hAnsi="宋体" w:cs="宋体"/>
        </w:rPr>
        <w:t xml:space="preserve">                     </w:t>
      </w:r>
    </w:p>
    <w:p>
      <w:pPr>
        <w:spacing w:line="300" w:lineRule="auto"/>
        <w:rPr>
          <w:rFonts w:hint="eastAsia" w:ascii="宋体" w:hAnsi="宋体" w:cs="宋体"/>
          <w:szCs w:val="21"/>
        </w:rPr>
      </w:pPr>
    </w:p>
    <w:p>
      <w:pPr>
        <w:spacing w:line="500" w:lineRule="exact"/>
        <w:rPr>
          <w:rFonts w:hint="eastAsia" w:ascii="宋体" w:hAnsi="宋体" w:cs="宋体"/>
          <w:b/>
          <w:szCs w:val="21"/>
        </w:rPr>
      </w:pPr>
      <w:r>
        <w:rPr>
          <w:rFonts w:hint="eastAsia" w:ascii="宋体" w:hAnsi="宋体" w:cs="宋体"/>
          <w:szCs w:val="21"/>
        </w:rPr>
        <w:br w:type="page"/>
      </w:r>
      <w:r>
        <w:rPr>
          <w:rFonts w:hint="eastAsia" w:ascii="宋体" w:hAnsi="宋体" w:cs="宋体"/>
          <w:b/>
          <w:szCs w:val="21"/>
        </w:rPr>
        <w:t xml:space="preserve">附件2             </w:t>
      </w:r>
    </w:p>
    <w:p>
      <w:pPr>
        <w:spacing w:line="500" w:lineRule="exact"/>
        <w:rPr>
          <w:rFonts w:hint="eastAsia" w:ascii="宋体" w:hAnsi="宋体" w:cs="宋体"/>
          <w:b/>
          <w:sz w:val="32"/>
          <w:szCs w:val="32"/>
        </w:rPr>
      </w:pPr>
    </w:p>
    <w:p>
      <w:pPr>
        <w:spacing w:line="520" w:lineRule="exact"/>
        <w:jc w:val="center"/>
        <w:rPr>
          <w:rFonts w:hint="eastAsia" w:ascii="宋体" w:hAnsi="宋体" w:cs="宋体"/>
          <w:sz w:val="30"/>
          <w:szCs w:val="30"/>
        </w:rPr>
      </w:pPr>
      <w:r>
        <w:rPr>
          <w:rFonts w:hint="eastAsia" w:ascii="宋体" w:hAnsi="宋体" w:cs="宋体"/>
          <w:sz w:val="30"/>
          <w:szCs w:val="30"/>
        </w:rPr>
        <w:t>报价表</w:t>
      </w:r>
    </w:p>
    <w:p>
      <w:pPr>
        <w:spacing w:before="156" w:beforeLines="50" w:after="156" w:afterLines="50" w:line="360" w:lineRule="exact"/>
        <w:rPr>
          <w:rFonts w:hint="eastAsia" w:ascii="宋体" w:hAnsi="宋体" w:cs="宋体"/>
          <w:szCs w:val="21"/>
        </w:rPr>
      </w:pPr>
    </w:p>
    <w:p>
      <w:pPr>
        <w:spacing w:before="156" w:beforeLines="50" w:after="156" w:afterLines="50" w:line="360" w:lineRule="exact"/>
        <w:rPr>
          <w:rFonts w:hint="eastAsia" w:ascii="宋体" w:hAnsi="宋体" w:cs="宋体"/>
          <w:szCs w:val="21"/>
        </w:rPr>
      </w:pPr>
      <w:r>
        <w:rPr>
          <w:rFonts w:hint="eastAsia" w:ascii="宋体" w:hAnsi="宋体" w:cs="宋体"/>
          <w:szCs w:val="21"/>
        </w:rPr>
        <w:t xml:space="preserve">      项目名称：                 </w:t>
      </w:r>
    </w:p>
    <w:p>
      <w:pPr>
        <w:spacing w:before="156" w:beforeLines="50" w:after="156" w:afterLines="50" w:line="360" w:lineRule="exact"/>
        <w:rPr>
          <w:rFonts w:hint="eastAsia" w:ascii="宋体" w:hAnsi="宋体" w:cs="宋体"/>
          <w:szCs w:val="21"/>
        </w:rPr>
      </w:pPr>
      <w:r>
        <w:rPr>
          <w:rFonts w:hint="eastAsia" w:ascii="宋体" w:hAnsi="宋体" w:cs="宋体"/>
          <w:szCs w:val="21"/>
        </w:rPr>
        <w:t xml:space="preserve">      项目编号： </w:t>
      </w:r>
    </w:p>
    <w:p>
      <w:pPr>
        <w:spacing w:before="156" w:beforeLines="50" w:after="156" w:afterLines="50" w:line="360" w:lineRule="exact"/>
        <w:ind w:firstLine="630" w:firstLineChars="300"/>
        <w:rPr>
          <w:rFonts w:hint="eastAsia" w:ascii="宋体" w:hAnsi="宋体" w:cs="宋体"/>
          <w:szCs w:val="21"/>
        </w:rPr>
      </w:pPr>
      <w:r>
        <w:rPr>
          <w:rFonts w:hint="eastAsia" w:ascii="宋体" w:hAnsi="宋体" w:cs="宋体"/>
          <w:bCs/>
          <w:szCs w:val="21"/>
        </w:rPr>
        <w:t>分标号：</w:t>
      </w:r>
      <w:r>
        <w:rPr>
          <w:rFonts w:hint="eastAsia" w:ascii="宋体" w:hAnsi="宋体" w:cs="宋体"/>
          <w:szCs w:val="21"/>
        </w:rPr>
        <w:t xml:space="preserve">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17"/>
        <w:gridCol w:w="1141"/>
        <w:gridCol w:w="655"/>
        <w:gridCol w:w="819"/>
        <w:gridCol w:w="1818"/>
        <w:gridCol w:w="927"/>
        <w:gridCol w:w="1457"/>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19" w:type="dxa"/>
            <w:tcBorders>
              <w:bottom w:val="single" w:color="auto" w:sz="4" w:space="0"/>
            </w:tcBorders>
            <w:noWrap w:val="0"/>
            <w:vAlign w:val="center"/>
          </w:tcPr>
          <w:p>
            <w:pPr>
              <w:pStyle w:val="28"/>
              <w:keepNext w:val="0"/>
              <w:keepLines w:val="0"/>
              <w:suppressLineNumbers w:val="0"/>
              <w:spacing w:before="0" w:beforeAutospacing="0" w:after="0" w:afterAutospacing="0" w:line="360" w:lineRule="exact"/>
              <w:ind w:left="0" w:right="0"/>
              <w:jc w:val="center"/>
              <w:rPr>
                <w:rFonts w:hint="eastAsia" w:hAnsi="宋体" w:eastAsia="Times New Roman" w:cs="宋体"/>
                <w:spacing w:val="-20"/>
              </w:rPr>
            </w:pPr>
            <w:r>
              <w:rPr>
                <w:rFonts w:hint="eastAsia" w:hAnsi="宋体" w:eastAsia="Times New Roman" w:cs="宋体"/>
                <w:spacing w:val="-20"/>
              </w:rPr>
              <w:t>序号</w:t>
            </w:r>
          </w:p>
        </w:tc>
        <w:tc>
          <w:tcPr>
            <w:tcW w:w="917" w:type="dxa"/>
            <w:tcBorders>
              <w:bottom w:val="single" w:color="auto" w:sz="4" w:space="0"/>
            </w:tcBorders>
            <w:noWrap w:val="0"/>
            <w:vAlign w:val="center"/>
          </w:tcPr>
          <w:p>
            <w:pPr>
              <w:keepNext w:val="0"/>
              <w:keepLines w:val="0"/>
              <w:suppressLineNumbers w:val="0"/>
              <w:tabs>
                <w:tab w:val="left" w:pos="180"/>
                <w:tab w:val="left" w:pos="1620"/>
              </w:tabs>
              <w:spacing w:before="0" w:beforeAutospacing="0" w:after="0" w:afterAutospacing="0" w:line="360" w:lineRule="exact"/>
              <w:ind w:left="0" w:right="0"/>
              <w:jc w:val="center"/>
              <w:rPr>
                <w:rFonts w:hint="eastAsia" w:ascii="宋体" w:hAnsi="宋体" w:eastAsia="Times New Roman" w:cs="宋体"/>
                <w:szCs w:val="21"/>
              </w:rPr>
            </w:pPr>
            <w:r>
              <w:rPr>
                <w:rFonts w:hint="eastAsia" w:ascii="宋体" w:hAnsi="宋体" w:eastAsia="Times New Roman" w:cs="宋体"/>
                <w:szCs w:val="21"/>
              </w:rPr>
              <w:t>货物</w:t>
            </w:r>
          </w:p>
          <w:p>
            <w:pPr>
              <w:keepNext w:val="0"/>
              <w:keepLines w:val="0"/>
              <w:suppressLineNumbers w:val="0"/>
              <w:tabs>
                <w:tab w:val="left" w:pos="180"/>
                <w:tab w:val="left" w:pos="1620"/>
              </w:tabs>
              <w:spacing w:before="0" w:beforeAutospacing="0" w:after="0" w:afterAutospacing="0" w:line="360" w:lineRule="exact"/>
              <w:ind w:left="0" w:right="0"/>
              <w:jc w:val="center"/>
              <w:rPr>
                <w:rFonts w:hint="eastAsia" w:ascii="宋体" w:hAnsi="宋体" w:eastAsia="Times New Roman" w:cs="宋体"/>
                <w:szCs w:val="21"/>
              </w:rPr>
            </w:pPr>
            <w:r>
              <w:rPr>
                <w:rFonts w:hint="eastAsia" w:ascii="宋体" w:hAnsi="宋体" w:eastAsia="Times New Roman" w:cs="宋体"/>
                <w:szCs w:val="21"/>
              </w:rPr>
              <w:t>名称</w:t>
            </w:r>
          </w:p>
        </w:tc>
        <w:tc>
          <w:tcPr>
            <w:tcW w:w="1141" w:type="dxa"/>
            <w:tcBorders>
              <w:bottom w:val="single" w:color="auto" w:sz="4" w:space="0"/>
            </w:tcBorders>
            <w:noWrap w:val="0"/>
            <w:vAlign w:val="center"/>
          </w:tcPr>
          <w:p>
            <w:pPr>
              <w:keepNext w:val="0"/>
              <w:keepLines w:val="0"/>
              <w:suppressLineNumbers w:val="0"/>
              <w:tabs>
                <w:tab w:val="left" w:pos="180"/>
                <w:tab w:val="left" w:pos="1620"/>
              </w:tabs>
              <w:spacing w:before="0" w:beforeAutospacing="0" w:after="0" w:afterAutospacing="0" w:line="360" w:lineRule="exact"/>
              <w:ind w:left="0" w:right="0"/>
              <w:jc w:val="center"/>
              <w:rPr>
                <w:rFonts w:hint="eastAsia" w:ascii="宋体" w:hAnsi="宋体" w:eastAsia="Times New Roman" w:cs="宋体"/>
                <w:szCs w:val="21"/>
              </w:rPr>
            </w:pPr>
            <w:r>
              <w:rPr>
                <w:rFonts w:hint="eastAsia" w:ascii="宋体" w:hAnsi="宋体" w:eastAsia="Times New Roman" w:cs="宋体"/>
                <w:szCs w:val="21"/>
              </w:rPr>
              <w:t>品牌、型号规格、生产厂家</w:t>
            </w:r>
          </w:p>
        </w:tc>
        <w:tc>
          <w:tcPr>
            <w:tcW w:w="655" w:type="dxa"/>
            <w:tcBorders>
              <w:bottom w:val="single" w:color="auto" w:sz="4" w:space="0"/>
            </w:tcBorders>
            <w:noWrap w:val="0"/>
            <w:vAlign w:val="center"/>
          </w:tcPr>
          <w:p>
            <w:pPr>
              <w:keepNext w:val="0"/>
              <w:keepLines w:val="0"/>
              <w:suppressLineNumbers w:val="0"/>
              <w:tabs>
                <w:tab w:val="left" w:pos="180"/>
                <w:tab w:val="left" w:pos="1620"/>
              </w:tabs>
              <w:spacing w:before="0" w:beforeAutospacing="0" w:after="0" w:afterAutospacing="0" w:line="360" w:lineRule="exact"/>
              <w:ind w:left="0" w:right="0"/>
              <w:jc w:val="center"/>
              <w:rPr>
                <w:rFonts w:hint="eastAsia" w:ascii="宋体" w:hAnsi="宋体" w:eastAsia="Times New Roman" w:cs="宋体"/>
                <w:szCs w:val="21"/>
              </w:rPr>
            </w:pPr>
            <w:r>
              <w:rPr>
                <w:rFonts w:hint="eastAsia" w:ascii="宋体" w:hAnsi="宋体" w:eastAsia="Times New Roman" w:cs="宋体"/>
                <w:szCs w:val="21"/>
              </w:rPr>
              <w:t>数量</w:t>
            </w:r>
            <w:r>
              <w:rPr>
                <w:rFonts w:hint="eastAsia" w:ascii="宋体" w:hAnsi="宋体" w:eastAsia="Times New Roman" w:cs="宋体"/>
              </w:rPr>
              <w:t>①</w:t>
            </w:r>
          </w:p>
        </w:tc>
        <w:tc>
          <w:tcPr>
            <w:tcW w:w="819" w:type="dxa"/>
            <w:tcBorders>
              <w:bottom w:val="single" w:color="auto" w:sz="4" w:space="0"/>
            </w:tcBorders>
            <w:noWrap w:val="0"/>
            <w:vAlign w:val="center"/>
          </w:tcPr>
          <w:p>
            <w:pPr>
              <w:keepNext w:val="0"/>
              <w:keepLines w:val="0"/>
              <w:suppressLineNumbers w:val="0"/>
              <w:tabs>
                <w:tab w:val="left" w:pos="180"/>
                <w:tab w:val="left" w:pos="1620"/>
              </w:tabs>
              <w:spacing w:before="0" w:beforeAutospacing="0" w:after="0" w:afterAutospacing="0" w:line="360" w:lineRule="exact"/>
              <w:ind w:left="0" w:right="0"/>
              <w:jc w:val="center"/>
              <w:rPr>
                <w:rFonts w:hint="eastAsia" w:ascii="宋体" w:hAnsi="宋体" w:eastAsia="Times New Roman" w:cs="宋体"/>
                <w:szCs w:val="21"/>
              </w:rPr>
            </w:pPr>
            <w:r>
              <w:rPr>
                <w:rFonts w:hint="eastAsia" w:ascii="宋体" w:hAnsi="宋体" w:eastAsia="Times New Roman" w:cs="宋体"/>
                <w:szCs w:val="21"/>
              </w:rPr>
              <w:t>单位</w:t>
            </w:r>
          </w:p>
        </w:tc>
        <w:tc>
          <w:tcPr>
            <w:tcW w:w="1818" w:type="dxa"/>
            <w:tcBorders>
              <w:bottom w:val="single" w:color="auto" w:sz="4" w:space="0"/>
            </w:tcBorders>
            <w:noWrap w:val="0"/>
            <w:vAlign w:val="center"/>
          </w:tcPr>
          <w:p>
            <w:pPr>
              <w:keepNext w:val="0"/>
              <w:keepLines w:val="0"/>
              <w:suppressLineNumbers w:val="0"/>
              <w:tabs>
                <w:tab w:val="left" w:pos="180"/>
                <w:tab w:val="left" w:pos="1620"/>
              </w:tabs>
              <w:spacing w:before="0" w:beforeAutospacing="0" w:after="0" w:afterAutospacing="0" w:line="360" w:lineRule="exact"/>
              <w:ind w:left="0" w:right="0"/>
              <w:jc w:val="center"/>
              <w:rPr>
                <w:rFonts w:hint="eastAsia" w:ascii="宋体" w:hAnsi="宋体" w:eastAsia="Times New Roman" w:cs="宋体"/>
                <w:szCs w:val="21"/>
              </w:rPr>
            </w:pPr>
            <w:r>
              <w:rPr>
                <w:rFonts w:hint="eastAsia" w:ascii="宋体" w:hAnsi="宋体" w:eastAsia="Times New Roman" w:cs="宋体"/>
                <w:szCs w:val="21"/>
              </w:rPr>
              <w:t>技术参数及性能配置要求</w:t>
            </w:r>
          </w:p>
        </w:tc>
        <w:tc>
          <w:tcPr>
            <w:tcW w:w="927" w:type="dxa"/>
            <w:tcBorders>
              <w:bottom w:val="single" w:color="auto" w:sz="4" w:space="0"/>
            </w:tcBorders>
            <w:noWrap w:val="0"/>
            <w:vAlign w:val="center"/>
          </w:tcPr>
          <w:p>
            <w:pPr>
              <w:keepNext w:val="0"/>
              <w:keepLines w:val="0"/>
              <w:suppressLineNumbers w:val="0"/>
              <w:tabs>
                <w:tab w:val="left" w:pos="180"/>
                <w:tab w:val="left" w:pos="1620"/>
              </w:tabs>
              <w:spacing w:before="0" w:beforeAutospacing="0" w:after="0" w:afterAutospacing="0" w:line="360" w:lineRule="exact"/>
              <w:ind w:left="0" w:right="0"/>
              <w:jc w:val="center"/>
              <w:rPr>
                <w:rFonts w:hint="eastAsia" w:ascii="宋体" w:hAnsi="宋体" w:eastAsia="Times New Roman" w:cs="宋体"/>
                <w:szCs w:val="21"/>
              </w:rPr>
            </w:pPr>
            <w:r>
              <w:rPr>
                <w:rFonts w:hint="eastAsia" w:ascii="宋体" w:hAnsi="宋体" w:eastAsia="Times New Roman" w:cs="宋体"/>
                <w:szCs w:val="21"/>
              </w:rPr>
              <w:t>单价</w:t>
            </w:r>
          </w:p>
          <w:p>
            <w:pPr>
              <w:keepNext w:val="0"/>
              <w:keepLines w:val="0"/>
              <w:suppressLineNumbers w:val="0"/>
              <w:tabs>
                <w:tab w:val="left" w:pos="180"/>
                <w:tab w:val="left" w:pos="1620"/>
              </w:tabs>
              <w:spacing w:before="0" w:beforeAutospacing="0" w:after="0" w:afterAutospacing="0" w:line="360" w:lineRule="exact"/>
              <w:ind w:left="0" w:right="0"/>
              <w:jc w:val="center"/>
              <w:rPr>
                <w:rFonts w:hint="eastAsia" w:ascii="宋体" w:hAnsi="宋体" w:eastAsia="Times New Roman" w:cs="宋体"/>
                <w:szCs w:val="21"/>
              </w:rPr>
            </w:pPr>
            <w:r>
              <w:rPr>
                <w:rFonts w:hint="eastAsia" w:ascii="宋体" w:hAnsi="宋体" w:eastAsia="Times New Roman" w:cs="宋体"/>
              </w:rPr>
              <w:t>②</w:t>
            </w:r>
          </w:p>
        </w:tc>
        <w:tc>
          <w:tcPr>
            <w:tcW w:w="1457" w:type="dxa"/>
            <w:tcBorders>
              <w:bottom w:val="single" w:color="auto" w:sz="4" w:space="0"/>
            </w:tcBorders>
            <w:noWrap w:val="0"/>
            <w:vAlign w:val="center"/>
          </w:tcPr>
          <w:p>
            <w:pPr>
              <w:pStyle w:val="28"/>
              <w:keepNext w:val="0"/>
              <w:keepLines w:val="0"/>
              <w:suppressLineNumbers w:val="0"/>
              <w:spacing w:before="0" w:beforeAutospacing="0" w:after="0" w:afterAutospacing="0" w:line="360" w:lineRule="exact"/>
              <w:ind w:left="0" w:right="0"/>
              <w:jc w:val="center"/>
              <w:rPr>
                <w:rFonts w:hint="eastAsia" w:hAnsi="宋体" w:eastAsia="Times New Roman" w:cs="宋体"/>
              </w:rPr>
            </w:pPr>
            <w:r>
              <w:rPr>
                <w:rFonts w:hint="eastAsia" w:hAnsi="宋体" w:eastAsia="Times New Roman" w:cs="宋体"/>
              </w:rPr>
              <w:t>单项合价</w:t>
            </w:r>
          </w:p>
          <w:p>
            <w:pPr>
              <w:pStyle w:val="28"/>
              <w:keepNext w:val="0"/>
              <w:keepLines w:val="0"/>
              <w:suppressLineNumbers w:val="0"/>
              <w:spacing w:before="0" w:beforeAutospacing="0" w:after="0" w:afterAutospacing="0" w:line="360" w:lineRule="exact"/>
              <w:ind w:left="0" w:right="0"/>
              <w:jc w:val="center"/>
              <w:rPr>
                <w:rFonts w:hint="eastAsia" w:hAnsi="宋体" w:eastAsia="Times New Roman" w:cs="宋体"/>
              </w:rPr>
            </w:pPr>
            <w:r>
              <w:rPr>
                <w:rFonts w:hint="eastAsia" w:hAnsi="宋体" w:eastAsia="Times New Roman" w:cs="宋体"/>
              </w:rPr>
              <w:t>（元）</w:t>
            </w:r>
          </w:p>
          <w:p>
            <w:pPr>
              <w:pStyle w:val="28"/>
              <w:keepNext w:val="0"/>
              <w:keepLines w:val="0"/>
              <w:suppressLineNumbers w:val="0"/>
              <w:spacing w:before="0" w:beforeAutospacing="0" w:after="0" w:afterAutospacing="0" w:line="360" w:lineRule="exact"/>
              <w:ind w:left="0" w:right="0"/>
              <w:jc w:val="center"/>
              <w:rPr>
                <w:rFonts w:hint="eastAsia" w:hAnsi="宋体" w:eastAsia="Times New Roman" w:cs="宋体"/>
              </w:rPr>
            </w:pPr>
            <w:r>
              <w:rPr>
                <w:rFonts w:hint="eastAsia" w:hAnsi="宋体" w:eastAsia="Times New Roman" w:cs="宋体"/>
              </w:rPr>
              <w:t>③=①×②</w:t>
            </w:r>
          </w:p>
        </w:tc>
        <w:tc>
          <w:tcPr>
            <w:tcW w:w="1032" w:type="dxa"/>
            <w:tcBorders>
              <w:bottom w:val="single" w:color="auto" w:sz="4" w:space="0"/>
            </w:tcBorders>
            <w:noWrap w:val="0"/>
            <w:vAlign w:val="center"/>
          </w:tcPr>
          <w:p>
            <w:pPr>
              <w:pStyle w:val="28"/>
              <w:keepNext w:val="0"/>
              <w:keepLines w:val="0"/>
              <w:suppressLineNumbers w:val="0"/>
              <w:spacing w:before="0" w:beforeAutospacing="0" w:after="0" w:afterAutospacing="0" w:line="360" w:lineRule="exact"/>
              <w:ind w:left="0" w:right="0"/>
              <w:jc w:val="center"/>
              <w:rPr>
                <w:rFonts w:hint="eastAsia" w:hAnsi="宋体" w:eastAsia="Times New Roman" w:cs="宋体"/>
              </w:rPr>
            </w:pPr>
            <w:r>
              <w:rPr>
                <w:rFonts w:hint="eastAsia" w:hAnsi="宋体" w:eastAsia="Times New Roman"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sz w:val="24"/>
              </w:rPr>
            </w:pPr>
            <w:r>
              <w:rPr>
                <w:rFonts w:hint="eastAsia" w:ascii="宋体" w:hAnsi="宋体" w:eastAsia="Times New Roman" w:cs="宋体"/>
                <w:sz w:val="24"/>
              </w:rPr>
              <w:t>1</w:t>
            </w:r>
          </w:p>
        </w:tc>
        <w:tc>
          <w:tcPr>
            <w:tcW w:w="9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rPr>
            </w:pPr>
          </w:p>
        </w:tc>
        <w:tc>
          <w:tcPr>
            <w:tcW w:w="11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rPr>
            </w:pPr>
          </w:p>
        </w:tc>
        <w:tc>
          <w:tcPr>
            <w:tcW w:w="655"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819"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1818"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927"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1457"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1032"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sz w:val="24"/>
              </w:rPr>
            </w:pPr>
            <w:r>
              <w:rPr>
                <w:rFonts w:hint="eastAsia" w:ascii="宋体" w:hAnsi="宋体" w:eastAsia="Times New Roman" w:cs="宋体"/>
                <w:sz w:val="24"/>
              </w:rPr>
              <w:t>…</w:t>
            </w:r>
          </w:p>
        </w:tc>
        <w:tc>
          <w:tcPr>
            <w:tcW w:w="9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rPr>
            </w:pPr>
          </w:p>
        </w:tc>
        <w:tc>
          <w:tcPr>
            <w:tcW w:w="11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rPr>
            </w:pPr>
          </w:p>
        </w:tc>
        <w:tc>
          <w:tcPr>
            <w:tcW w:w="655"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819"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1818"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927"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1457"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1032"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sz w:val="24"/>
              </w:rPr>
            </w:pPr>
            <w:r>
              <w:rPr>
                <w:rFonts w:hint="eastAsia" w:ascii="宋体" w:hAnsi="宋体" w:eastAsia="Times New Roman" w:cs="宋体"/>
                <w:sz w:val="24"/>
              </w:rPr>
              <w:t>N</w:t>
            </w:r>
          </w:p>
        </w:tc>
        <w:tc>
          <w:tcPr>
            <w:tcW w:w="9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rPr>
            </w:pPr>
          </w:p>
        </w:tc>
        <w:tc>
          <w:tcPr>
            <w:tcW w:w="11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rPr>
            </w:pPr>
          </w:p>
        </w:tc>
        <w:tc>
          <w:tcPr>
            <w:tcW w:w="655"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819"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1818"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927"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1457"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rPr>
            </w:pPr>
          </w:p>
        </w:tc>
        <w:tc>
          <w:tcPr>
            <w:tcW w:w="1032" w:type="dxa"/>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spacing w:val="-6"/>
              </w:rPr>
            </w:pPr>
            <w:r>
              <w:rPr>
                <w:rFonts w:hint="eastAsia" w:hAnsi="宋体" w:eastAsia="Times New Roman" w:cs="宋体"/>
                <w:spacing w:val="-6"/>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spacing w:val="-6"/>
              </w:rPr>
            </w:pPr>
            <w:r>
              <w:rPr>
                <w:rFonts w:hint="eastAsia" w:hAnsi="宋体" w:eastAsia="Times New Roman" w:cs="宋体"/>
                <w:spacing w:val="-6"/>
              </w:rPr>
              <w:t>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pPr>
              <w:pStyle w:val="28"/>
              <w:keepNext w:val="0"/>
              <w:keepLines w:val="0"/>
              <w:suppressLineNumbers w:val="0"/>
              <w:spacing w:before="0" w:beforeAutospacing="0" w:after="0" w:afterAutospacing="0"/>
              <w:ind w:left="0" w:right="0"/>
              <w:rPr>
                <w:rFonts w:hint="eastAsia" w:hAnsi="宋体" w:eastAsia="Times New Roman" w:cs="宋体"/>
                <w:spacing w:val="-6"/>
              </w:rPr>
            </w:pPr>
            <w:r>
              <w:rPr>
                <w:rFonts w:hint="eastAsia" w:hAnsi="宋体" w:eastAsia="Times New Roman" w:cs="宋体"/>
                <w:spacing w:val="-6"/>
              </w:rPr>
              <w:t>交货地点：</w:t>
            </w:r>
          </w:p>
        </w:tc>
      </w:tr>
    </w:tbl>
    <w:p>
      <w:pPr>
        <w:spacing w:line="500" w:lineRule="exact"/>
        <w:rPr>
          <w:rFonts w:hint="eastAsia" w:ascii="宋体" w:hAnsi="宋体" w:cs="宋体"/>
          <w:szCs w:val="21"/>
        </w:rPr>
      </w:pPr>
      <w:r>
        <w:rPr>
          <w:rFonts w:hint="eastAsia" w:ascii="宋体" w:hAnsi="宋体" w:cs="宋体"/>
          <w:szCs w:val="21"/>
        </w:rPr>
        <w:t>注：1、所有价格均用人民币表示，单位为元，精确到个数位。</w:t>
      </w:r>
    </w:p>
    <w:p>
      <w:pPr>
        <w:numPr>
          <w:ilvl w:val="0"/>
          <w:numId w:val="30"/>
        </w:numPr>
        <w:spacing w:line="500" w:lineRule="exact"/>
        <w:ind w:firstLine="411" w:firstLineChars="196"/>
        <w:rPr>
          <w:rFonts w:hint="eastAsia" w:ascii="宋体" w:hAnsi="宋体" w:cs="宋体"/>
          <w:szCs w:val="21"/>
        </w:rPr>
      </w:pPr>
      <w:r>
        <w:rPr>
          <w:rFonts w:hint="eastAsia" w:ascii="宋体" w:hAnsi="宋体" w:cs="宋体"/>
          <w:bCs/>
        </w:rPr>
        <w:t>报价包括内容见第三章</w:t>
      </w:r>
      <w:r>
        <w:rPr>
          <w:rFonts w:hint="eastAsia" w:ascii="宋体" w:hAnsi="宋体" w:cs="宋体"/>
          <w:bCs/>
          <w:szCs w:val="21"/>
        </w:rPr>
        <w:t xml:space="preserve"> “服务要求书”的相关要求</w:t>
      </w:r>
      <w:r>
        <w:rPr>
          <w:rFonts w:hint="eastAsia" w:ascii="宋体" w:hAnsi="宋体" w:cs="宋体"/>
          <w:szCs w:val="21"/>
        </w:rPr>
        <w:t>。</w:t>
      </w:r>
    </w:p>
    <w:p>
      <w:pPr>
        <w:spacing w:line="500" w:lineRule="exact"/>
        <w:rPr>
          <w:rFonts w:hint="eastAsia" w:ascii="宋体" w:hAnsi="宋体" w:cs="宋体"/>
          <w:szCs w:val="21"/>
        </w:rPr>
      </w:pPr>
    </w:p>
    <w:p>
      <w:pPr>
        <w:pStyle w:val="28"/>
        <w:spacing w:line="500" w:lineRule="exact"/>
        <w:ind w:firstLine="420" w:firstLineChars="200"/>
        <w:rPr>
          <w:rFonts w:hint="eastAsia" w:hAnsi="宋体" w:cs="宋体"/>
        </w:rPr>
      </w:pPr>
      <w:r>
        <w:rPr>
          <w:rFonts w:hint="eastAsia" w:hAnsi="宋体" w:cs="宋体"/>
        </w:rPr>
        <w:t xml:space="preserve">法定代表人（负责人）或委托代理人（签字）:              </w:t>
      </w:r>
    </w:p>
    <w:p>
      <w:pPr>
        <w:pStyle w:val="28"/>
        <w:spacing w:line="500" w:lineRule="exact"/>
        <w:ind w:firstLine="420" w:firstLineChars="200"/>
        <w:rPr>
          <w:rFonts w:hint="eastAsia" w:hAnsi="宋体" w:cs="宋体"/>
        </w:rPr>
      </w:pPr>
      <w:r>
        <w:rPr>
          <w:rFonts w:hint="eastAsia" w:hAnsi="宋体" w:cs="宋体"/>
        </w:rPr>
        <w:t xml:space="preserve">谈判供应商名称（公章）：       </w:t>
      </w:r>
    </w:p>
    <w:p>
      <w:pPr>
        <w:spacing w:line="500" w:lineRule="exact"/>
        <w:ind w:firstLine="420" w:firstLineChars="200"/>
        <w:rPr>
          <w:rFonts w:hint="eastAsia" w:ascii="宋体" w:hAnsi="宋体" w:cs="宋体"/>
          <w:szCs w:val="21"/>
        </w:rPr>
      </w:pPr>
      <w:r>
        <w:rPr>
          <w:rFonts w:hint="eastAsia" w:ascii="宋体" w:hAnsi="宋体" w:cs="宋体"/>
        </w:rPr>
        <w:t>报价时间：     年     月    日</w:t>
      </w:r>
    </w:p>
    <w:p>
      <w:pPr>
        <w:spacing w:line="500" w:lineRule="exact"/>
        <w:ind w:firstLine="420"/>
        <w:rPr>
          <w:rFonts w:hint="eastAsia" w:ascii="宋体" w:hAnsi="宋体" w:cs="宋体"/>
          <w:szCs w:val="21"/>
        </w:rPr>
      </w:pPr>
    </w:p>
    <w:p>
      <w:pPr>
        <w:adjustRightInd w:val="0"/>
        <w:snapToGrid w:val="0"/>
        <w:spacing w:line="300" w:lineRule="auto"/>
        <w:ind w:left="-88" w:leftChars="-42"/>
        <w:rPr>
          <w:rFonts w:hint="eastAsia" w:ascii="宋体" w:hAnsi="宋体" w:cs="宋体"/>
          <w:b/>
          <w:szCs w:val="21"/>
        </w:rPr>
      </w:pPr>
      <w:r>
        <w:rPr>
          <w:rFonts w:hint="eastAsia" w:ascii="宋体" w:hAnsi="宋体" w:cs="宋体"/>
          <w:b/>
          <w:sz w:val="32"/>
          <w:szCs w:val="32"/>
        </w:rPr>
        <w:br w:type="page"/>
      </w:r>
      <w:r>
        <w:rPr>
          <w:rFonts w:hint="eastAsia" w:ascii="宋体" w:hAnsi="宋体" w:cs="宋体"/>
          <w:b/>
          <w:szCs w:val="21"/>
        </w:rPr>
        <w:t xml:space="preserve">附件3  </w:t>
      </w:r>
    </w:p>
    <w:p>
      <w:pPr>
        <w:spacing w:line="300" w:lineRule="auto"/>
        <w:jc w:val="center"/>
        <w:rPr>
          <w:rFonts w:hint="eastAsia" w:ascii="宋体" w:hAnsi="宋体" w:cs="宋体"/>
          <w:sz w:val="30"/>
          <w:szCs w:val="30"/>
        </w:rPr>
      </w:pPr>
      <w:r>
        <w:rPr>
          <w:rFonts w:hint="eastAsia" w:ascii="宋体" w:hAnsi="宋体" w:cs="宋体"/>
          <w:sz w:val="30"/>
          <w:szCs w:val="30"/>
        </w:rPr>
        <w:t>商务、技术响应、偏离情况说明表</w:t>
      </w:r>
    </w:p>
    <w:p>
      <w:pPr>
        <w:spacing w:line="320" w:lineRule="exact"/>
        <w:rPr>
          <w:rFonts w:hint="eastAsia" w:ascii="宋体" w:hAnsi="宋体" w:cs="宋体"/>
          <w:szCs w:val="21"/>
        </w:rPr>
      </w:pPr>
      <w:r>
        <w:rPr>
          <w:rFonts w:hint="eastAsia" w:ascii="宋体" w:hAnsi="宋体" w:cs="宋体"/>
          <w:szCs w:val="21"/>
        </w:rPr>
        <w:t xml:space="preserve">      项目名称:                 </w:t>
      </w:r>
    </w:p>
    <w:p>
      <w:pPr>
        <w:spacing w:line="320" w:lineRule="exact"/>
        <w:rPr>
          <w:rFonts w:hint="eastAsia" w:ascii="宋体" w:hAnsi="宋体" w:cs="宋体"/>
          <w:szCs w:val="21"/>
        </w:rPr>
      </w:pPr>
      <w:r>
        <w:rPr>
          <w:rFonts w:hint="eastAsia" w:ascii="宋体" w:hAnsi="宋体" w:cs="宋体"/>
          <w:szCs w:val="21"/>
        </w:rPr>
        <w:t xml:space="preserve">      项目编号: </w:t>
      </w:r>
    </w:p>
    <w:p>
      <w:pPr>
        <w:spacing w:line="320" w:lineRule="exact"/>
        <w:ind w:firstLine="630" w:firstLineChars="300"/>
        <w:rPr>
          <w:rFonts w:hint="eastAsia" w:ascii="宋体" w:hAnsi="宋体" w:cs="宋体"/>
          <w:szCs w:val="21"/>
        </w:rPr>
      </w:pPr>
      <w:r>
        <w:rPr>
          <w:rFonts w:hint="eastAsia" w:ascii="宋体" w:hAnsi="宋体" w:cs="宋体"/>
          <w:bCs/>
          <w:szCs w:val="21"/>
        </w:rPr>
        <w:t>分标号：</w:t>
      </w:r>
      <w:r>
        <w:rPr>
          <w:rFonts w:hint="eastAsia" w:ascii="宋体" w:hAnsi="宋体" w:cs="宋体"/>
          <w:szCs w:val="21"/>
        </w:rPr>
        <w:t xml:space="preserve">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11"/>
        <w:gridCol w:w="2832"/>
        <w:gridCol w:w="2969"/>
        <w:gridCol w:w="1476"/>
        <w:gridCol w:w="13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611" w:type="dxa"/>
            <w:noWrap w:val="0"/>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eastAsia="Times New Roman" w:cs="宋体"/>
                <w:szCs w:val="21"/>
              </w:rPr>
            </w:pPr>
            <w:bookmarkStart w:id="42" w:name="_Toc173066401"/>
            <w:bookmarkStart w:id="43" w:name="_Toc173211900"/>
            <w:bookmarkStart w:id="44" w:name="_Toc254970588"/>
            <w:bookmarkStart w:id="45" w:name="_Toc254970729"/>
            <w:bookmarkStart w:id="46" w:name="_Toc405905876"/>
            <w:r>
              <w:rPr>
                <w:rFonts w:hint="eastAsia" w:ascii="宋体" w:hAnsi="宋体" w:eastAsia="Times New Roman" w:cs="宋体"/>
                <w:szCs w:val="21"/>
              </w:rPr>
              <w:t>序号</w:t>
            </w:r>
            <w:bookmarkEnd w:id="42"/>
            <w:bookmarkEnd w:id="43"/>
            <w:bookmarkEnd w:id="44"/>
            <w:bookmarkEnd w:id="45"/>
            <w:bookmarkEnd w:id="46"/>
            <w:r>
              <w:rPr>
                <w:rFonts w:hint="eastAsia" w:ascii="宋体" w:hAnsi="宋体" w:eastAsia="Times New Roman" w:cs="宋体"/>
                <w:szCs w:val="21"/>
              </w:rPr>
              <w:t xml:space="preserve">              </w:t>
            </w:r>
          </w:p>
        </w:tc>
        <w:tc>
          <w:tcPr>
            <w:tcW w:w="2832" w:type="dxa"/>
            <w:noWrap w:val="0"/>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eastAsia="Times New Roman" w:cs="宋体"/>
                <w:szCs w:val="21"/>
              </w:rPr>
            </w:pPr>
            <w:bookmarkStart w:id="47" w:name="_Toc173066402"/>
            <w:bookmarkStart w:id="48" w:name="_Toc173211901"/>
            <w:bookmarkStart w:id="49" w:name="_Toc254970589"/>
            <w:bookmarkStart w:id="50" w:name="_Toc254970730"/>
            <w:bookmarkStart w:id="51" w:name="_Toc405905877"/>
            <w:r>
              <w:rPr>
                <w:rFonts w:hint="eastAsia" w:ascii="宋体" w:hAnsi="宋体" w:eastAsia="Times New Roman" w:cs="宋体"/>
                <w:szCs w:val="21"/>
              </w:rPr>
              <w:t>竞争性谈判文件要求</w:t>
            </w:r>
            <w:bookmarkEnd w:id="47"/>
            <w:bookmarkEnd w:id="48"/>
            <w:bookmarkEnd w:id="49"/>
            <w:bookmarkEnd w:id="50"/>
            <w:bookmarkEnd w:id="51"/>
          </w:p>
        </w:tc>
        <w:tc>
          <w:tcPr>
            <w:tcW w:w="2969" w:type="dxa"/>
            <w:noWrap w:val="0"/>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eastAsia="Times New Roman" w:cs="宋体"/>
                <w:szCs w:val="21"/>
              </w:rPr>
            </w:pPr>
            <w:bookmarkStart w:id="52" w:name="_Toc173066403"/>
            <w:bookmarkStart w:id="53" w:name="_Toc173211902"/>
            <w:bookmarkStart w:id="54" w:name="_Toc254970590"/>
            <w:bookmarkStart w:id="55" w:name="_Toc254970731"/>
            <w:bookmarkStart w:id="56" w:name="_Toc405905878"/>
            <w:r>
              <w:rPr>
                <w:rFonts w:hint="eastAsia" w:ascii="宋体" w:hAnsi="宋体" w:eastAsia="Times New Roman" w:cs="宋体"/>
                <w:szCs w:val="21"/>
              </w:rPr>
              <w:t>响应文件具体响应</w:t>
            </w:r>
            <w:bookmarkEnd w:id="52"/>
            <w:bookmarkEnd w:id="53"/>
            <w:bookmarkEnd w:id="54"/>
            <w:bookmarkEnd w:id="55"/>
            <w:bookmarkEnd w:id="56"/>
          </w:p>
        </w:tc>
        <w:tc>
          <w:tcPr>
            <w:tcW w:w="1476" w:type="dxa"/>
            <w:noWrap w:val="0"/>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eastAsia="Times New Roman" w:cs="宋体"/>
                <w:szCs w:val="21"/>
              </w:rPr>
            </w:pPr>
            <w:bookmarkStart w:id="57" w:name="_Toc173066404"/>
            <w:bookmarkStart w:id="58" w:name="_Toc173211903"/>
            <w:bookmarkStart w:id="59" w:name="_Toc254970591"/>
            <w:bookmarkStart w:id="60" w:name="_Toc254970732"/>
            <w:bookmarkStart w:id="61" w:name="_Toc405905879"/>
            <w:r>
              <w:rPr>
                <w:rFonts w:hint="eastAsia" w:ascii="宋体" w:hAnsi="宋体" w:eastAsia="Times New Roman" w:cs="宋体"/>
                <w:szCs w:val="21"/>
              </w:rPr>
              <w:t>响应/偏离</w:t>
            </w:r>
            <w:bookmarkEnd w:id="57"/>
            <w:bookmarkEnd w:id="58"/>
            <w:bookmarkEnd w:id="59"/>
            <w:bookmarkEnd w:id="60"/>
            <w:bookmarkEnd w:id="61"/>
          </w:p>
        </w:tc>
        <w:tc>
          <w:tcPr>
            <w:tcW w:w="1372" w:type="dxa"/>
            <w:noWrap w:val="0"/>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eastAsia" w:ascii="宋体" w:hAnsi="宋体" w:eastAsia="Times New Roman" w:cs="宋体"/>
                <w:szCs w:val="21"/>
              </w:rPr>
            </w:pPr>
            <w:bookmarkStart w:id="62" w:name="_Toc173066405"/>
            <w:bookmarkStart w:id="63" w:name="_Toc173211904"/>
            <w:bookmarkStart w:id="64" w:name="_Toc254970592"/>
            <w:bookmarkStart w:id="65" w:name="_Toc254970733"/>
            <w:bookmarkStart w:id="66" w:name="_Toc405905880"/>
            <w:r>
              <w:rPr>
                <w:rFonts w:hint="eastAsia" w:ascii="宋体" w:hAnsi="宋体" w:eastAsia="Times New Roman" w:cs="宋体"/>
                <w:szCs w:val="21"/>
              </w:rPr>
              <w:t>说明</w:t>
            </w:r>
            <w:bookmarkEnd w:id="62"/>
            <w:bookmarkEnd w:id="63"/>
            <w:bookmarkEnd w:id="64"/>
            <w:bookmarkEnd w:id="65"/>
            <w:bookmarkEnd w:id="6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9260" w:type="dxa"/>
            <w:gridSpan w:val="5"/>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bookmarkStart w:id="67" w:name="_Toc405905881"/>
            <w:r>
              <w:rPr>
                <w:rFonts w:hint="eastAsia" w:ascii="宋体" w:hAnsi="宋体" w:eastAsia="Times New Roman" w:cs="宋体"/>
                <w:szCs w:val="21"/>
              </w:rPr>
              <w:t>商务部分</w:t>
            </w:r>
            <w:bookmarkEnd w:id="6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61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bookmarkStart w:id="68" w:name="_Toc173066406"/>
            <w:bookmarkStart w:id="69" w:name="_Toc173211905"/>
            <w:bookmarkStart w:id="70" w:name="_Toc254970593"/>
            <w:bookmarkStart w:id="71" w:name="_Toc254970734"/>
            <w:bookmarkStart w:id="72" w:name="_Toc405905882"/>
            <w:r>
              <w:rPr>
                <w:rFonts w:hint="eastAsia" w:ascii="宋体" w:hAnsi="宋体" w:eastAsia="Times New Roman" w:cs="宋体"/>
                <w:szCs w:val="21"/>
              </w:rPr>
              <w:t>1</w:t>
            </w:r>
            <w:bookmarkEnd w:id="68"/>
            <w:bookmarkEnd w:id="69"/>
            <w:bookmarkEnd w:id="70"/>
            <w:bookmarkEnd w:id="71"/>
            <w:bookmarkEnd w:id="72"/>
          </w:p>
        </w:tc>
        <w:tc>
          <w:tcPr>
            <w:tcW w:w="283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296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476"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37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61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bookmarkStart w:id="73" w:name="_Toc173066407"/>
            <w:bookmarkStart w:id="74" w:name="_Toc173211906"/>
            <w:bookmarkStart w:id="75" w:name="_Toc254970594"/>
            <w:bookmarkStart w:id="76" w:name="_Toc254970735"/>
            <w:bookmarkStart w:id="77" w:name="_Toc405905883"/>
            <w:r>
              <w:rPr>
                <w:rFonts w:hint="eastAsia" w:ascii="宋体" w:hAnsi="宋体" w:eastAsia="Times New Roman" w:cs="宋体"/>
                <w:szCs w:val="21"/>
              </w:rPr>
              <w:t>2</w:t>
            </w:r>
            <w:bookmarkEnd w:id="73"/>
            <w:bookmarkEnd w:id="74"/>
            <w:bookmarkEnd w:id="75"/>
            <w:bookmarkEnd w:id="76"/>
            <w:bookmarkEnd w:id="77"/>
          </w:p>
        </w:tc>
        <w:tc>
          <w:tcPr>
            <w:tcW w:w="283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296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476"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37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61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bookmarkStart w:id="78" w:name="_Toc405905885"/>
            <w:r>
              <w:rPr>
                <w:rFonts w:hint="eastAsia" w:ascii="宋体" w:hAnsi="宋体" w:eastAsia="Times New Roman" w:cs="宋体"/>
                <w:szCs w:val="21"/>
              </w:rPr>
              <w:t>…</w:t>
            </w:r>
            <w:bookmarkEnd w:id="78"/>
          </w:p>
        </w:tc>
        <w:tc>
          <w:tcPr>
            <w:tcW w:w="283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296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476"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37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9260" w:type="dxa"/>
            <w:gridSpan w:val="5"/>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bookmarkStart w:id="79" w:name="_Toc405905886"/>
            <w:r>
              <w:rPr>
                <w:rFonts w:hint="eastAsia" w:ascii="宋体" w:hAnsi="宋体" w:eastAsia="Times New Roman" w:cs="宋体"/>
                <w:szCs w:val="21"/>
              </w:rPr>
              <w:t>技术部分</w:t>
            </w:r>
            <w:bookmarkEnd w:id="7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61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bookmarkStart w:id="80" w:name="_Toc405905887"/>
            <w:r>
              <w:rPr>
                <w:rFonts w:hint="eastAsia" w:ascii="宋体" w:hAnsi="宋体" w:eastAsia="Times New Roman" w:cs="宋体"/>
                <w:szCs w:val="21"/>
              </w:rPr>
              <w:t>1</w:t>
            </w:r>
            <w:bookmarkEnd w:id="80"/>
          </w:p>
        </w:tc>
        <w:tc>
          <w:tcPr>
            <w:tcW w:w="283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296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476"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37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61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bookmarkStart w:id="81" w:name="_Toc405905888"/>
            <w:r>
              <w:rPr>
                <w:rFonts w:hint="eastAsia" w:ascii="宋体" w:hAnsi="宋体" w:eastAsia="Times New Roman" w:cs="宋体"/>
                <w:szCs w:val="21"/>
              </w:rPr>
              <w:t>2</w:t>
            </w:r>
            <w:bookmarkEnd w:id="81"/>
          </w:p>
        </w:tc>
        <w:tc>
          <w:tcPr>
            <w:tcW w:w="283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296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476"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37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78" w:hRule="atLeast"/>
          <w:jc w:val="center"/>
        </w:trPr>
        <w:tc>
          <w:tcPr>
            <w:tcW w:w="61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bookmarkStart w:id="82" w:name="_Toc405905890"/>
            <w:r>
              <w:rPr>
                <w:rFonts w:hint="eastAsia" w:ascii="宋体" w:hAnsi="宋体" w:eastAsia="Times New Roman" w:cs="宋体"/>
                <w:szCs w:val="21"/>
              </w:rPr>
              <w:t>…</w:t>
            </w:r>
            <w:bookmarkEnd w:id="82"/>
          </w:p>
        </w:tc>
        <w:tc>
          <w:tcPr>
            <w:tcW w:w="283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296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476" w:type="dxa"/>
            <w:tcBorders>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c>
          <w:tcPr>
            <w:tcW w:w="1372"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outlineLvl w:val="0"/>
              <w:rPr>
                <w:rFonts w:hint="eastAsia" w:ascii="宋体" w:hAnsi="宋体" w:eastAsia="Times New Roman" w:cs="宋体"/>
                <w:szCs w:val="21"/>
              </w:rPr>
            </w:pPr>
          </w:p>
        </w:tc>
      </w:tr>
    </w:tbl>
    <w:p>
      <w:pPr>
        <w:adjustRightInd w:val="0"/>
        <w:snapToGrid w:val="0"/>
        <w:spacing w:line="320" w:lineRule="exact"/>
        <w:rPr>
          <w:rFonts w:hint="eastAsia" w:ascii="宋体" w:hAnsi="宋体" w:cs="宋体"/>
          <w:szCs w:val="21"/>
        </w:rPr>
      </w:pPr>
      <w:r>
        <w:rPr>
          <w:rFonts w:hint="eastAsia" w:ascii="宋体" w:hAnsi="宋体" w:cs="宋体"/>
          <w:szCs w:val="21"/>
        </w:rPr>
        <w:t>说明：</w:t>
      </w:r>
      <w:r>
        <w:rPr>
          <w:rFonts w:hint="eastAsia" w:ascii="宋体" w:hAnsi="宋体" w:cs="宋体"/>
        </w:rPr>
        <w:t>1.应写明响应文件</w:t>
      </w:r>
      <w:r>
        <w:rPr>
          <w:rFonts w:hint="eastAsia" w:ascii="宋体" w:hAnsi="宋体" w:cs="宋体"/>
          <w:szCs w:val="21"/>
        </w:rPr>
        <w:t>对</w:t>
      </w:r>
      <w:r>
        <w:rPr>
          <w:rFonts w:hint="eastAsia" w:ascii="宋体" w:hAnsi="宋体" w:cs="宋体"/>
        </w:rPr>
        <w:t>商务与技术要求的</w:t>
      </w:r>
      <w:r>
        <w:rPr>
          <w:rFonts w:hint="eastAsia" w:ascii="宋体" w:hAnsi="宋体" w:cs="宋体"/>
          <w:szCs w:val="21"/>
        </w:rPr>
        <w:t>响应和偏离情况</w:t>
      </w:r>
      <w:r>
        <w:rPr>
          <w:rFonts w:hint="eastAsia" w:ascii="宋体" w:hAnsi="宋体" w:cs="宋体"/>
          <w:bCs/>
          <w:szCs w:val="21"/>
        </w:rPr>
        <w:t>；</w:t>
      </w:r>
    </w:p>
    <w:p>
      <w:pPr>
        <w:pStyle w:val="21"/>
        <w:spacing w:line="320" w:lineRule="exact"/>
        <w:ind w:firstLine="630" w:firstLineChars="300"/>
        <w:rPr>
          <w:rFonts w:hint="eastAsia" w:ascii="宋体" w:hAnsi="宋体" w:eastAsia="宋体" w:cs="宋体"/>
        </w:rPr>
      </w:pPr>
      <w:r>
        <w:rPr>
          <w:rFonts w:hint="eastAsia" w:ascii="宋体" w:hAnsi="宋体" w:eastAsia="宋体" w:cs="宋体"/>
          <w:sz w:val="21"/>
          <w:szCs w:val="21"/>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pPr>
        <w:pStyle w:val="28"/>
        <w:spacing w:line="320" w:lineRule="exact"/>
        <w:ind w:firstLine="4515" w:firstLineChars="2150"/>
        <w:rPr>
          <w:rFonts w:hint="eastAsia" w:hAnsi="宋体" w:cs="宋体"/>
        </w:rPr>
      </w:pPr>
    </w:p>
    <w:p>
      <w:pPr>
        <w:pStyle w:val="28"/>
        <w:spacing w:line="320" w:lineRule="exact"/>
        <w:ind w:firstLine="4515" w:firstLineChars="2150"/>
        <w:rPr>
          <w:rFonts w:hint="eastAsia" w:hAnsi="宋体" w:cs="宋体"/>
        </w:rPr>
      </w:pPr>
      <w:r>
        <w:rPr>
          <w:rFonts w:hint="eastAsia" w:hAnsi="宋体" w:cs="宋体"/>
        </w:rPr>
        <w:t xml:space="preserve">谈判供应商名称（公章）： </w:t>
      </w:r>
    </w:p>
    <w:p>
      <w:pPr>
        <w:pStyle w:val="28"/>
        <w:spacing w:line="320" w:lineRule="exact"/>
        <w:ind w:firstLine="4515" w:firstLineChars="2150"/>
        <w:rPr>
          <w:rFonts w:hint="eastAsia" w:hAnsi="宋体" w:cs="宋体"/>
        </w:rPr>
      </w:pPr>
      <w:r>
        <w:rPr>
          <w:rFonts w:hint="eastAsia" w:hAnsi="宋体" w:cs="宋体"/>
        </w:rPr>
        <w:t xml:space="preserve">法定代表人（负责人）或委托代理人签字:                  </w:t>
      </w:r>
    </w:p>
    <w:p>
      <w:pPr>
        <w:pStyle w:val="28"/>
        <w:spacing w:line="320" w:lineRule="exact"/>
        <w:ind w:firstLine="5670" w:firstLineChars="2700"/>
        <w:rPr>
          <w:rFonts w:hint="eastAsia" w:hAnsi="宋体" w:cs="宋体"/>
        </w:rPr>
      </w:pPr>
      <w:r>
        <w:rPr>
          <w:rFonts w:hint="eastAsia" w:hAnsi="宋体" w:cs="宋体"/>
        </w:rPr>
        <w:t xml:space="preserve">  </w:t>
      </w:r>
    </w:p>
    <w:p>
      <w:pPr>
        <w:pStyle w:val="28"/>
        <w:spacing w:line="320" w:lineRule="exact"/>
        <w:ind w:firstLine="5670" w:firstLineChars="2700"/>
        <w:rPr>
          <w:rFonts w:hint="eastAsia" w:hAnsi="宋体" w:cs="宋体"/>
        </w:rPr>
      </w:pPr>
      <w:r>
        <w:rPr>
          <w:rFonts w:hint="eastAsia" w:hAnsi="宋体" w:cs="宋体"/>
        </w:rPr>
        <w:t xml:space="preserve">      年     月     日</w:t>
      </w:r>
    </w:p>
    <w:p>
      <w:pPr>
        <w:pStyle w:val="28"/>
        <w:spacing w:line="320" w:lineRule="exact"/>
        <w:jc w:val="left"/>
        <w:rPr>
          <w:rFonts w:hint="eastAsia" w:hAnsi="宋体" w:cs="宋体"/>
          <w:b/>
          <w:u w:val="single"/>
        </w:rPr>
      </w:pPr>
    </w:p>
    <w:p>
      <w:pPr>
        <w:pStyle w:val="28"/>
        <w:spacing w:line="320" w:lineRule="exact"/>
        <w:jc w:val="left"/>
        <w:rPr>
          <w:rFonts w:hint="eastAsia" w:hAnsi="宋体" w:cs="宋体"/>
          <w:b/>
          <w:u w:val="single"/>
        </w:rPr>
      </w:pPr>
    </w:p>
    <w:p>
      <w:pPr>
        <w:pStyle w:val="28"/>
        <w:spacing w:line="320" w:lineRule="exact"/>
        <w:jc w:val="left"/>
        <w:rPr>
          <w:rFonts w:hint="eastAsia" w:hAnsi="宋体" w:cs="宋体"/>
          <w:b/>
          <w:u w:val="single"/>
        </w:rPr>
      </w:pPr>
    </w:p>
    <w:p>
      <w:pPr>
        <w:pStyle w:val="28"/>
        <w:spacing w:line="320" w:lineRule="exact"/>
        <w:jc w:val="left"/>
        <w:rPr>
          <w:rFonts w:hint="eastAsia" w:hAnsi="宋体" w:cs="宋体"/>
          <w:b/>
          <w:u w:val="single"/>
        </w:rPr>
      </w:pPr>
    </w:p>
    <w:p>
      <w:pPr>
        <w:pStyle w:val="28"/>
        <w:spacing w:line="320" w:lineRule="exact"/>
        <w:jc w:val="left"/>
        <w:rPr>
          <w:rFonts w:hint="eastAsia" w:hAnsi="宋体" w:cs="宋体"/>
          <w:b/>
          <w:u w:val="single"/>
        </w:rPr>
      </w:pPr>
    </w:p>
    <w:p>
      <w:pPr>
        <w:pStyle w:val="28"/>
        <w:spacing w:line="320" w:lineRule="exact"/>
        <w:jc w:val="left"/>
        <w:rPr>
          <w:rFonts w:hint="eastAsia" w:hAnsi="宋体" w:cs="宋体"/>
          <w:b/>
          <w:u w:val="single"/>
        </w:rPr>
      </w:pPr>
    </w:p>
    <w:p>
      <w:pPr>
        <w:pStyle w:val="28"/>
        <w:spacing w:line="320" w:lineRule="exact"/>
        <w:jc w:val="left"/>
        <w:rPr>
          <w:rFonts w:hint="eastAsia" w:hAnsi="宋体" w:cs="宋体"/>
          <w:b/>
          <w:u w:val="single"/>
        </w:rPr>
      </w:pPr>
    </w:p>
    <w:p>
      <w:pPr>
        <w:pStyle w:val="28"/>
        <w:spacing w:line="320" w:lineRule="exact"/>
        <w:jc w:val="left"/>
        <w:rPr>
          <w:rFonts w:hint="eastAsia" w:hAnsi="宋体" w:cs="宋体"/>
          <w:b/>
          <w:u w:val="single"/>
        </w:rPr>
      </w:pPr>
    </w:p>
    <w:p>
      <w:pPr>
        <w:pStyle w:val="28"/>
        <w:spacing w:line="320" w:lineRule="exact"/>
        <w:jc w:val="left"/>
        <w:rPr>
          <w:rFonts w:hint="eastAsia" w:hAnsi="宋体" w:cs="宋体"/>
          <w:b/>
          <w:u w:val="single"/>
        </w:rPr>
      </w:pPr>
    </w:p>
    <w:p>
      <w:pPr>
        <w:pStyle w:val="28"/>
        <w:spacing w:line="360" w:lineRule="exact"/>
        <w:rPr>
          <w:rFonts w:hint="eastAsia" w:hAnsi="宋体" w:cs="宋体"/>
          <w:b/>
        </w:rPr>
      </w:pPr>
      <w:r>
        <w:rPr>
          <w:rFonts w:hint="eastAsia" w:hAnsi="宋体" w:cs="宋体"/>
          <w:b/>
        </w:rPr>
        <w:t>附件4</w:t>
      </w:r>
    </w:p>
    <w:p>
      <w:pPr>
        <w:adjustRightInd w:val="0"/>
        <w:snapToGrid w:val="0"/>
        <w:spacing w:line="600" w:lineRule="exact"/>
        <w:jc w:val="center"/>
        <w:rPr>
          <w:rFonts w:hint="eastAsia" w:ascii="宋体" w:hAnsi="宋体" w:cs="宋体"/>
          <w:sz w:val="30"/>
          <w:szCs w:val="30"/>
        </w:rPr>
      </w:pPr>
      <w:r>
        <w:rPr>
          <w:rFonts w:hint="eastAsia" w:ascii="宋体" w:hAnsi="宋体" w:cs="宋体"/>
          <w:sz w:val="30"/>
          <w:szCs w:val="30"/>
        </w:rPr>
        <w:t>法定代表人（负责人）授权委托书</w:t>
      </w:r>
    </w:p>
    <w:p>
      <w:pPr>
        <w:spacing w:line="400" w:lineRule="exact"/>
        <w:rPr>
          <w:rFonts w:hint="eastAsia" w:ascii="宋体" w:hAnsi="宋体" w:cs="宋体"/>
          <w:szCs w:val="21"/>
        </w:rPr>
      </w:pPr>
      <w:r>
        <w:rPr>
          <w:rFonts w:hint="eastAsia" w:ascii="宋体" w:hAnsi="宋体" w:cs="宋体"/>
          <w:szCs w:val="21"/>
        </w:rPr>
        <w:t>采购代理机构名称：</w:t>
      </w:r>
    </w:p>
    <w:p>
      <w:pPr>
        <w:pStyle w:val="28"/>
        <w:spacing w:line="400" w:lineRule="exact"/>
        <w:ind w:firstLine="420"/>
        <w:rPr>
          <w:rFonts w:hint="eastAsia" w:hAnsi="宋体" w:cs="宋体"/>
        </w:rPr>
      </w:pPr>
      <w:r>
        <w:rPr>
          <w:rFonts w:hint="eastAsia" w:hAnsi="宋体" w:cs="宋体"/>
        </w:rPr>
        <w:t>本授权委托书声明：我</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(谈判供应商名称)的法定代表人（或负责人），现授权委托</w:t>
      </w:r>
      <w:r>
        <w:rPr>
          <w:rFonts w:hint="eastAsia" w:hAnsi="宋体" w:cs="宋体"/>
          <w:u w:val="single"/>
        </w:rPr>
        <w:t xml:space="preserve">                </w:t>
      </w:r>
      <w:r>
        <w:rPr>
          <w:rFonts w:hint="eastAsia" w:hAnsi="宋体" w:cs="宋体"/>
        </w:rPr>
        <w:t>(姓名)为我单位参加贵公司组织的（项目名称、项目编号）</w:t>
      </w:r>
      <w:r>
        <w:rPr>
          <w:rFonts w:hint="eastAsia" w:hAnsi="宋体" w:cs="宋体"/>
          <w:u w:val="single"/>
        </w:rPr>
        <w:t xml:space="preserve">       </w:t>
      </w:r>
      <w:r>
        <w:rPr>
          <w:rFonts w:hint="eastAsia" w:hAnsi="宋体" w:cs="宋体"/>
        </w:rPr>
        <w:t>采购活动的委托代理人，代理权限为：</w:t>
      </w:r>
      <w:r>
        <w:rPr>
          <w:rFonts w:hint="eastAsia" w:hAnsi="宋体" w:cs="宋体"/>
          <w:u w:val="single"/>
        </w:rPr>
        <w:t xml:space="preserve"> 该项目招标（谈判）文件的购买、投标、签署文件和处理与之有关的一切事务</w:t>
      </w:r>
      <w:r>
        <w:rPr>
          <w:rFonts w:hint="eastAsia" w:hAnsi="宋体" w:cs="宋体"/>
        </w:rPr>
        <w:t>，委托代理人在采购活动过程中所签署的一切文件和处理与之有关的一切事务，我均予以承认。</w:t>
      </w:r>
    </w:p>
    <w:p>
      <w:pPr>
        <w:spacing w:line="400" w:lineRule="exact"/>
        <w:ind w:firstLine="420" w:firstLineChars="200"/>
        <w:rPr>
          <w:rFonts w:hint="eastAsia" w:ascii="宋体" w:hAnsi="宋体" w:cs="宋体"/>
          <w:szCs w:val="21"/>
        </w:rPr>
      </w:pPr>
      <w:r>
        <w:rPr>
          <w:rFonts w:hint="eastAsia" w:ascii="宋体" w:hAnsi="宋体" w:cs="宋体"/>
          <w:szCs w:val="21"/>
        </w:rPr>
        <w:t xml:space="preserve">代理期限从     年   月   日起至     年   月   日止。 </w:t>
      </w:r>
    </w:p>
    <w:p>
      <w:pPr>
        <w:pStyle w:val="28"/>
        <w:spacing w:line="400" w:lineRule="exact"/>
        <w:ind w:firstLine="420" w:firstLineChars="200"/>
        <w:rPr>
          <w:rFonts w:hint="eastAsia" w:hAnsi="宋体" w:cs="宋体"/>
        </w:rPr>
      </w:pPr>
      <w:r>
        <w:rPr>
          <w:rFonts w:hint="eastAsia" w:hAnsi="宋体" w:cs="宋体"/>
        </w:rPr>
        <w:t xml:space="preserve">代理人无转委权。特此委托。  </w:t>
      </w:r>
    </w:p>
    <w:p>
      <w:pPr>
        <w:pStyle w:val="28"/>
        <w:spacing w:line="400" w:lineRule="exact"/>
        <w:rPr>
          <w:rFonts w:hint="eastAsia" w:hAnsi="宋体" w:cs="宋体"/>
        </w:rPr>
      </w:pPr>
      <w:r>
        <w:rPr>
          <w:rFonts w:hint="eastAsia" w:hAnsi="宋体" w:cs="宋体"/>
        </w:rPr>
        <w:t xml:space="preserve">        </w:t>
      </w:r>
    </w:p>
    <w:p>
      <w:pPr>
        <w:spacing w:line="400" w:lineRule="exact"/>
        <w:rPr>
          <w:rFonts w:hint="eastAsia" w:ascii="宋体" w:hAnsi="宋体" w:cs="宋体"/>
          <w:szCs w:val="21"/>
        </w:rPr>
      </w:pPr>
      <w:r>
        <w:rPr>
          <w:rFonts w:hint="eastAsia" w:ascii="宋体" w:hAnsi="宋体" w:cs="宋体"/>
          <w:szCs w:val="21"/>
        </w:rPr>
        <w:t xml:space="preserve">法定代表人（负责人）（签字）： </w:t>
      </w:r>
    </w:p>
    <w:p>
      <w:pPr>
        <w:spacing w:line="400" w:lineRule="exact"/>
        <w:rPr>
          <w:rFonts w:hint="eastAsia" w:ascii="宋体" w:hAnsi="宋体" w:cs="宋体"/>
          <w:szCs w:val="21"/>
        </w:rPr>
      </w:pPr>
      <w:r>
        <w:rPr>
          <w:rFonts w:hint="eastAsia" w:ascii="宋体" w:hAnsi="宋体" w:cs="宋体"/>
          <w:szCs w:val="21"/>
        </w:rPr>
        <w:t xml:space="preserve">委托代理人（签字）： </w:t>
      </w:r>
    </w:p>
    <w:p>
      <w:pPr>
        <w:spacing w:line="400" w:lineRule="exact"/>
        <w:rPr>
          <w:rFonts w:hint="eastAsia" w:ascii="宋体" w:hAnsi="宋体" w:cs="宋体"/>
          <w:szCs w:val="21"/>
        </w:rPr>
      </w:pPr>
      <w:r>
        <w:rPr>
          <w:rFonts w:hint="eastAsia" w:ascii="宋体" w:hAnsi="宋体" w:cs="宋体"/>
          <w:szCs w:val="21"/>
        </w:rPr>
        <w:t xml:space="preserve">谈判供应商（公章）：    </w:t>
      </w:r>
    </w:p>
    <w:p>
      <w:pPr>
        <w:spacing w:line="400" w:lineRule="exact"/>
        <w:rPr>
          <w:rFonts w:hint="eastAsia" w:ascii="宋体" w:hAnsi="宋体" w:cs="宋体"/>
          <w:szCs w:val="21"/>
        </w:rPr>
      </w:pPr>
      <w:r>
        <w:rPr>
          <w:rFonts w:hint="eastAsia" w:ascii="宋体" w:hAnsi="宋体" w:cs="宋体"/>
          <w:szCs w:val="21"/>
        </w:rPr>
        <w:t>签发日期：      年    月   日</w:t>
      </w:r>
    </w:p>
    <w:p>
      <w:pPr>
        <w:spacing w:line="40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 xml:space="preserve">附：委托代理人工作单位               </w:t>
      </w:r>
    </w:p>
    <w:p>
      <w:pPr>
        <w:spacing w:line="400" w:lineRule="exact"/>
        <w:ind w:firstLine="420" w:firstLineChars="200"/>
        <w:rPr>
          <w:rFonts w:hint="eastAsia" w:ascii="宋体" w:hAnsi="宋体" w:cs="宋体"/>
          <w:szCs w:val="21"/>
        </w:rPr>
      </w:pPr>
      <w:r>
        <w:rPr>
          <w:rFonts w:hint="eastAsia" w:ascii="宋体" w:hAnsi="宋体" w:cs="宋体"/>
          <w:szCs w:val="21"/>
        </w:rPr>
        <w:t xml:space="preserve">职务：                          性别：    </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身份证号码：                              </w:t>
      </w:r>
    </w:p>
    <w:tbl>
      <w:tblPr>
        <w:tblStyle w:val="5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698" w:type="dxa"/>
            <w:noWrap w:val="0"/>
            <w:vAlign w:val="top"/>
          </w:tcPr>
          <w:p>
            <w:pPr>
              <w:keepNext w:val="0"/>
              <w:keepLines w:val="0"/>
              <w:suppressLineNumbers w:val="0"/>
              <w:spacing w:before="0" w:beforeAutospacing="0" w:after="0" w:afterAutospacing="0" w:line="300" w:lineRule="auto"/>
              <w:ind w:left="0" w:right="0"/>
              <w:rPr>
                <w:rFonts w:hint="eastAsia" w:ascii="宋体" w:hAnsi="宋体" w:eastAsia="Times New Roman" w:cs="宋体"/>
                <w:szCs w:val="21"/>
              </w:rPr>
            </w:pPr>
            <w:r>
              <w:rPr>
                <w:rFonts w:hint="eastAsia" w:ascii="宋体" w:hAnsi="宋体" w:eastAsia="Times New Roman" w:cs="宋体"/>
                <w:szCs w:val="21"/>
              </w:rPr>
              <w:t>粘贴委托代理人的正面及反面身份证复印件</w:t>
            </w:r>
          </w:p>
        </w:tc>
      </w:tr>
    </w:tbl>
    <w:p>
      <w:pPr>
        <w:pStyle w:val="7"/>
        <w:keepNext/>
        <w:overflowPunct w:val="0"/>
        <w:spacing w:line="560" w:lineRule="exact"/>
        <w:ind w:firstLine="0"/>
        <w:rPr>
          <w:rFonts w:hint="eastAsia" w:ascii="宋体" w:hAnsi="宋体" w:cs="宋体"/>
          <w:b/>
          <w:szCs w:val="21"/>
        </w:rPr>
      </w:pPr>
      <w:r>
        <w:rPr>
          <w:rFonts w:hint="eastAsia" w:ascii="宋体" w:hAnsi="宋体" w:cs="宋体"/>
          <w:b/>
          <w:szCs w:val="21"/>
        </w:rPr>
        <w:t>附件5</w:t>
      </w:r>
    </w:p>
    <w:p>
      <w:pPr>
        <w:pStyle w:val="7"/>
        <w:keepNext/>
        <w:overflowPunct w:val="0"/>
        <w:spacing w:line="560" w:lineRule="exact"/>
        <w:ind w:firstLine="0"/>
        <w:jc w:val="center"/>
        <w:rPr>
          <w:rFonts w:hint="eastAsia" w:ascii="宋体" w:hAnsi="宋体" w:cs="宋体"/>
          <w:sz w:val="30"/>
          <w:szCs w:val="30"/>
        </w:rPr>
      </w:pPr>
    </w:p>
    <w:p>
      <w:pPr>
        <w:pStyle w:val="7"/>
        <w:keepNext/>
        <w:overflowPunct w:val="0"/>
        <w:spacing w:line="560" w:lineRule="exact"/>
        <w:ind w:firstLine="0"/>
        <w:jc w:val="center"/>
        <w:rPr>
          <w:rFonts w:hint="eastAsia" w:ascii="宋体" w:hAnsi="宋体" w:cs="宋体"/>
          <w:b/>
          <w:sz w:val="30"/>
          <w:szCs w:val="30"/>
        </w:rPr>
      </w:pPr>
      <w:r>
        <w:rPr>
          <w:rFonts w:hint="eastAsia" w:ascii="宋体" w:hAnsi="宋体" w:cs="宋体"/>
          <w:sz w:val="30"/>
          <w:szCs w:val="30"/>
        </w:rPr>
        <w:t>近三年内，在经营活动中没有重大违法记录的声明函（格式）</w:t>
      </w:r>
    </w:p>
    <w:p>
      <w:pPr>
        <w:keepNext/>
        <w:adjustRightInd w:val="0"/>
        <w:snapToGrid w:val="0"/>
        <w:spacing w:line="360" w:lineRule="exact"/>
        <w:jc w:val="center"/>
        <w:rPr>
          <w:rFonts w:hint="eastAsia" w:ascii="宋体" w:hAnsi="宋体" w:cs="宋体"/>
          <w:b/>
          <w:szCs w:val="21"/>
        </w:rPr>
      </w:pPr>
    </w:p>
    <w:p>
      <w:pPr>
        <w:keepNext/>
        <w:adjustRightInd w:val="0"/>
        <w:snapToGrid w:val="0"/>
        <w:spacing w:line="360" w:lineRule="exact"/>
        <w:jc w:val="center"/>
        <w:rPr>
          <w:rFonts w:hint="eastAsia" w:ascii="宋体" w:hAnsi="宋体" w:cs="宋体"/>
          <w:b/>
          <w:szCs w:val="21"/>
        </w:rPr>
      </w:pPr>
    </w:p>
    <w:p>
      <w:pPr>
        <w:keepNext/>
        <w:adjustRightInd w:val="0"/>
        <w:snapToGrid w:val="0"/>
        <w:spacing w:line="360" w:lineRule="exact"/>
        <w:rPr>
          <w:rFonts w:hint="eastAsia" w:ascii="宋体" w:hAnsi="宋体" w:cs="宋体"/>
          <w:szCs w:val="21"/>
        </w:rPr>
      </w:pPr>
      <w:r>
        <w:rPr>
          <w:rFonts w:hint="eastAsia" w:ascii="宋体" w:hAnsi="宋体" w:cs="宋体"/>
          <w:szCs w:val="21"/>
        </w:rPr>
        <w:t xml:space="preserve">致： （采购代理机构名称） </w:t>
      </w:r>
    </w:p>
    <w:p>
      <w:pPr>
        <w:keepNext/>
        <w:adjustRightInd w:val="0"/>
        <w:snapToGrid w:val="0"/>
        <w:spacing w:line="360" w:lineRule="exact"/>
        <w:ind w:firstLine="315" w:firstLineChars="150"/>
        <w:jc w:val="left"/>
        <w:rPr>
          <w:rFonts w:hint="eastAsia" w:ascii="宋体" w:hAnsi="宋体" w:cs="宋体"/>
          <w:szCs w:val="21"/>
        </w:rPr>
      </w:pPr>
      <w:r>
        <w:rPr>
          <w:rFonts w:hint="eastAsia" w:ascii="宋体" w:hAnsi="宋体" w:cs="宋体"/>
          <w:szCs w:val="21"/>
        </w:rPr>
        <w:t>我单位近三年在经营活动中没有重大违法记录（包括：因违法经营受到刑事处罚或者责令停产停业，吊销许可证或者执照、较大数额罚款等行政处罚），特此声明。</w:t>
      </w:r>
    </w:p>
    <w:p>
      <w:pPr>
        <w:keepNext/>
        <w:adjustRightInd w:val="0"/>
        <w:snapToGrid w:val="0"/>
        <w:spacing w:line="360" w:lineRule="exact"/>
        <w:ind w:firstLine="315" w:firstLineChars="150"/>
        <w:jc w:val="left"/>
        <w:rPr>
          <w:rFonts w:hint="eastAsia" w:ascii="宋体" w:hAnsi="宋体" w:cs="宋体"/>
          <w:szCs w:val="21"/>
        </w:rPr>
      </w:pPr>
      <w:r>
        <w:rPr>
          <w:rFonts w:hint="eastAsia" w:ascii="宋体" w:hAnsi="宋体" w:cs="宋体"/>
          <w:szCs w:val="21"/>
        </w:rPr>
        <w:t>若采购人在本项目采购过程中发现我单位近三年内在经营活动中有重大违法记录，我单位将无条件地退出本项目的谈判，并承担因此引起的一切后果。</w:t>
      </w:r>
    </w:p>
    <w:p>
      <w:pPr>
        <w:keepNext/>
        <w:adjustRightInd w:val="0"/>
        <w:snapToGrid w:val="0"/>
        <w:spacing w:line="360" w:lineRule="exact"/>
        <w:ind w:firstLine="315" w:firstLineChars="150"/>
        <w:jc w:val="left"/>
        <w:rPr>
          <w:rFonts w:hint="eastAsia" w:ascii="宋体" w:hAnsi="宋体" w:cs="宋体"/>
          <w:szCs w:val="21"/>
        </w:rPr>
      </w:pPr>
      <w:r>
        <w:rPr>
          <w:rFonts w:hint="eastAsia" w:ascii="宋体" w:hAnsi="宋体" w:cs="宋体"/>
        </w:rPr>
        <w:t>谈判</w:t>
      </w:r>
      <w:r>
        <w:rPr>
          <w:rFonts w:hint="eastAsia" w:ascii="宋体" w:hAnsi="宋体" w:cs="宋体"/>
          <w:szCs w:val="21"/>
        </w:rPr>
        <w:t xml:space="preserve">供应商（公章）：                            </w:t>
      </w:r>
    </w:p>
    <w:p>
      <w:pPr>
        <w:keepNext/>
        <w:adjustRightInd w:val="0"/>
        <w:snapToGrid w:val="0"/>
        <w:spacing w:line="360" w:lineRule="exact"/>
        <w:ind w:firstLine="315" w:firstLineChars="150"/>
        <w:jc w:val="left"/>
        <w:rPr>
          <w:rFonts w:hint="eastAsia" w:ascii="宋体" w:hAnsi="宋体" w:cs="宋体"/>
          <w:szCs w:val="21"/>
        </w:rPr>
      </w:pPr>
      <w:r>
        <w:rPr>
          <w:rFonts w:hint="eastAsia" w:ascii="宋体" w:hAnsi="宋体" w:cs="宋体"/>
          <w:szCs w:val="21"/>
        </w:rPr>
        <w:t xml:space="preserve">法定代表人（负责人）（签字）：                   </w:t>
      </w:r>
    </w:p>
    <w:p>
      <w:pPr>
        <w:keepNext/>
        <w:adjustRightInd w:val="0"/>
        <w:snapToGrid w:val="0"/>
        <w:spacing w:line="360" w:lineRule="exact"/>
        <w:ind w:firstLine="315" w:firstLineChars="150"/>
        <w:jc w:val="left"/>
        <w:rPr>
          <w:rFonts w:hint="eastAsia" w:ascii="宋体" w:hAnsi="宋体" w:cs="宋体"/>
        </w:rPr>
      </w:pPr>
      <w:r>
        <w:rPr>
          <w:rFonts w:hint="eastAsia" w:ascii="宋体" w:hAnsi="宋体" w:cs="宋体"/>
        </w:rPr>
        <w:t xml:space="preserve">日期：                                                                                                                       </w:t>
      </w:r>
    </w:p>
    <w:p>
      <w:pPr>
        <w:keepNext/>
        <w:spacing w:line="300" w:lineRule="auto"/>
        <w:rPr>
          <w:rFonts w:hint="eastAsia" w:ascii="宋体" w:hAnsi="宋体" w:cs="宋体"/>
          <w:b/>
          <w:szCs w:val="21"/>
        </w:rPr>
      </w:pPr>
      <w:r>
        <w:rPr>
          <w:rFonts w:hint="eastAsia" w:ascii="宋体" w:hAnsi="宋体" w:cs="宋体"/>
          <w:b/>
          <w:u w:val="single"/>
        </w:rPr>
        <w:t xml:space="preserve">                                                                                           .   </w:t>
      </w:r>
    </w:p>
    <w:p>
      <w:pPr>
        <w:keepNext/>
        <w:spacing w:line="300" w:lineRule="auto"/>
        <w:rPr>
          <w:rFonts w:hint="eastAsia" w:ascii="宋体" w:hAnsi="宋体" w:cs="宋体"/>
          <w:b/>
          <w:szCs w:val="21"/>
        </w:rPr>
      </w:pPr>
    </w:p>
    <w:p>
      <w:pPr>
        <w:keepNext/>
        <w:spacing w:line="300" w:lineRule="auto"/>
        <w:rPr>
          <w:rFonts w:hint="eastAsia" w:ascii="宋体" w:hAnsi="宋体" w:cs="宋体"/>
          <w:b/>
          <w:szCs w:val="21"/>
        </w:rPr>
      </w:pPr>
      <w:r>
        <w:rPr>
          <w:rFonts w:hint="eastAsia" w:ascii="宋体" w:hAnsi="宋体" w:cs="宋体"/>
          <w:b/>
          <w:szCs w:val="21"/>
        </w:rPr>
        <w:t>附件6</w:t>
      </w:r>
    </w:p>
    <w:p>
      <w:pPr>
        <w:keepNext/>
        <w:spacing w:line="400" w:lineRule="exact"/>
        <w:ind w:left="420" w:hanging="420"/>
        <w:jc w:val="center"/>
        <w:rPr>
          <w:rFonts w:hint="eastAsia" w:ascii="宋体" w:hAnsi="宋体" w:cs="宋体"/>
          <w:kern w:val="0"/>
          <w:sz w:val="30"/>
          <w:szCs w:val="30"/>
        </w:rPr>
      </w:pPr>
      <w:bookmarkStart w:id="83" w:name="_Toc405905891"/>
    </w:p>
    <w:p>
      <w:pPr>
        <w:keepNext/>
        <w:spacing w:line="400" w:lineRule="exact"/>
        <w:ind w:left="420" w:hanging="420"/>
        <w:jc w:val="center"/>
        <w:rPr>
          <w:rFonts w:hint="eastAsia" w:ascii="宋体" w:hAnsi="宋体" w:cs="宋体"/>
          <w:kern w:val="0"/>
          <w:sz w:val="30"/>
          <w:szCs w:val="30"/>
        </w:rPr>
      </w:pPr>
      <w:r>
        <w:rPr>
          <w:rFonts w:hint="eastAsia" w:ascii="宋体" w:hAnsi="宋体" w:cs="宋体"/>
          <w:kern w:val="0"/>
          <w:sz w:val="30"/>
          <w:szCs w:val="30"/>
        </w:rPr>
        <w:t>产品质量保证书</w:t>
      </w:r>
    </w:p>
    <w:p>
      <w:pPr>
        <w:keepNext/>
        <w:spacing w:line="400" w:lineRule="exact"/>
        <w:ind w:left="420" w:hanging="420"/>
        <w:jc w:val="center"/>
        <w:rPr>
          <w:rFonts w:hint="eastAsia" w:ascii="宋体" w:hAnsi="宋体" w:cs="宋体"/>
          <w:kern w:val="0"/>
          <w:sz w:val="30"/>
          <w:szCs w:val="30"/>
        </w:rPr>
      </w:pPr>
    </w:p>
    <w:p>
      <w:pPr>
        <w:keepNext/>
        <w:spacing w:line="400" w:lineRule="exact"/>
        <w:ind w:left="420" w:hanging="420"/>
        <w:jc w:val="center"/>
        <w:rPr>
          <w:rFonts w:hint="eastAsia" w:ascii="宋体" w:hAnsi="宋体" w:cs="宋体"/>
          <w:kern w:val="0"/>
          <w:sz w:val="30"/>
          <w:szCs w:val="30"/>
        </w:rPr>
      </w:pPr>
    </w:p>
    <w:p>
      <w:pPr>
        <w:keepNext/>
        <w:spacing w:line="360" w:lineRule="exact"/>
        <w:ind w:left="420" w:hanging="420"/>
        <w:rPr>
          <w:rFonts w:hint="eastAsia" w:ascii="宋体" w:hAnsi="宋体" w:cs="宋体"/>
          <w:kern w:val="0"/>
          <w:szCs w:val="21"/>
        </w:rPr>
      </w:pPr>
      <w:r>
        <w:rPr>
          <w:rFonts w:hint="eastAsia" w:ascii="宋体" w:hAnsi="宋体" w:cs="宋体"/>
          <w:kern w:val="0"/>
          <w:szCs w:val="21"/>
        </w:rPr>
        <w:t>致（采购人）</w:t>
      </w:r>
      <w:r>
        <w:rPr>
          <w:rFonts w:hint="eastAsia" w:ascii="宋体" w:hAnsi="宋体" w:cs="宋体"/>
          <w:kern w:val="0"/>
          <w:szCs w:val="21"/>
          <w:u w:val="single"/>
        </w:rPr>
        <w:t xml:space="preserve">          </w:t>
      </w:r>
      <w:r>
        <w:rPr>
          <w:rFonts w:hint="eastAsia" w:ascii="宋体" w:hAnsi="宋体" w:cs="宋体"/>
          <w:kern w:val="0"/>
          <w:szCs w:val="21"/>
        </w:rPr>
        <w:t xml:space="preserve"> ：</w:t>
      </w:r>
    </w:p>
    <w:p>
      <w:pPr>
        <w:keepNext/>
        <w:spacing w:line="360" w:lineRule="exact"/>
        <w:ind w:firstLine="420" w:firstLineChars="200"/>
        <w:rPr>
          <w:rFonts w:hint="eastAsia" w:ascii="宋体" w:hAnsi="宋体" w:cs="宋体"/>
          <w:kern w:val="0"/>
          <w:szCs w:val="21"/>
        </w:rPr>
      </w:pPr>
      <w:r>
        <w:rPr>
          <w:rFonts w:hint="eastAsia" w:ascii="宋体" w:hAnsi="宋体" w:cs="宋体"/>
          <w:kern w:val="0"/>
          <w:szCs w:val="21"/>
        </w:rPr>
        <w:t>我公司在此向贵方承诺：</w:t>
      </w:r>
    </w:p>
    <w:p>
      <w:pPr>
        <w:keepNext/>
        <w:spacing w:line="360" w:lineRule="exact"/>
        <w:ind w:firstLine="420" w:firstLineChars="200"/>
        <w:rPr>
          <w:rFonts w:hint="eastAsia" w:ascii="宋体" w:hAnsi="宋体" w:cs="宋体"/>
          <w:kern w:val="0"/>
          <w:szCs w:val="21"/>
        </w:rPr>
      </w:pPr>
      <w:r>
        <w:rPr>
          <w:rFonts w:hint="eastAsia" w:ascii="宋体" w:hAnsi="宋体" w:cs="宋体"/>
          <w:kern w:val="0"/>
          <w:szCs w:val="21"/>
        </w:rPr>
        <w:t>我方参与谈判的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一旦成交，我方保证按照谈判文件和谈判响应文件的要求提供合格的产品，如出现弄虚作假，包括掺杂、掺假、以假充真、以次充好、以不合格产品冒充合格产品的，我方愿按《政府采购法》、《合同法》、《产品质量法》、《消费者权益保护法》等法律法规规定，承担相应的经济责任和法律责任。</w:t>
      </w:r>
    </w:p>
    <w:p>
      <w:pPr>
        <w:keepNext/>
        <w:spacing w:line="360" w:lineRule="exact"/>
        <w:ind w:firstLine="420" w:firstLineChars="200"/>
        <w:rPr>
          <w:rFonts w:hint="eastAsia" w:ascii="宋体" w:hAnsi="宋体" w:cs="宋体"/>
          <w:kern w:val="0"/>
          <w:szCs w:val="21"/>
        </w:rPr>
      </w:pPr>
    </w:p>
    <w:p>
      <w:pPr>
        <w:pStyle w:val="28"/>
        <w:keepNext/>
        <w:adjustRightInd w:val="0"/>
        <w:snapToGrid w:val="0"/>
        <w:spacing w:line="400" w:lineRule="exact"/>
        <w:ind w:firstLine="422" w:firstLineChars="201"/>
        <w:rPr>
          <w:rFonts w:hint="eastAsia" w:hAnsi="宋体" w:cs="宋体"/>
        </w:rPr>
      </w:pPr>
      <w:r>
        <w:rPr>
          <w:rFonts w:hint="eastAsia" w:hAnsi="宋体" w:cs="宋体"/>
        </w:rPr>
        <w:t xml:space="preserve">谈判供应商（公章）：                                        </w:t>
      </w:r>
    </w:p>
    <w:p>
      <w:pPr>
        <w:pStyle w:val="28"/>
        <w:keepNext/>
        <w:adjustRightInd w:val="0"/>
        <w:snapToGrid w:val="0"/>
        <w:spacing w:line="400" w:lineRule="exact"/>
        <w:ind w:firstLine="422" w:firstLineChars="201"/>
        <w:rPr>
          <w:rFonts w:hint="eastAsia" w:hAnsi="宋体" w:cs="宋体"/>
        </w:rPr>
      </w:pPr>
      <w:r>
        <w:rPr>
          <w:rFonts w:hint="eastAsia" w:hAnsi="宋体" w:cs="宋体"/>
        </w:rPr>
        <w:t xml:space="preserve">法定代表人（负责人）或委托代理人（签字）：                           </w:t>
      </w:r>
    </w:p>
    <w:p>
      <w:pPr>
        <w:pStyle w:val="28"/>
        <w:keepNext/>
        <w:adjustRightInd w:val="0"/>
        <w:snapToGrid w:val="0"/>
        <w:spacing w:line="400" w:lineRule="exact"/>
        <w:ind w:firstLine="422" w:firstLineChars="201"/>
        <w:rPr>
          <w:rFonts w:hint="eastAsia" w:hAnsi="宋体" w:cs="宋体"/>
        </w:rPr>
      </w:pPr>
      <w:r>
        <w:rPr>
          <w:rFonts w:hint="eastAsia" w:hAnsi="宋体" w:cs="宋体"/>
        </w:rPr>
        <w:t xml:space="preserve">日期:      </w:t>
      </w:r>
    </w:p>
    <w:p>
      <w:pPr>
        <w:pStyle w:val="28"/>
        <w:keepNext/>
        <w:adjustRightInd w:val="0"/>
        <w:snapToGrid w:val="0"/>
        <w:spacing w:line="400" w:lineRule="exact"/>
        <w:ind w:firstLine="422" w:firstLineChars="201"/>
        <w:rPr>
          <w:rFonts w:hint="eastAsia" w:hAnsi="宋体" w:cs="宋体"/>
        </w:rPr>
      </w:pPr>
    </w:p>
    <w:p>
      <w:pPr>
        <w:pStyle w:val="28"/>
        <w:keepNext/>
        <w:adjustRightInd w:val="0"/>
        <w:snapToGrid w:val="0"/>
        <w:spacing w:line="400" w:lineRule="exact"/>
        <w:ind w:firstLine="422" w:firstLineChars="201"/>
        <w:rPr>
          <w:rFonts w:hint="eastAsia" w:hAnsi="宋体" w:cs="宋体"/>
        </w:rPr>
      </w:pPr>
    </w:p>
    <w:p>
      <w:pPr>
        <w:pStyle w:val="28"/>
        <w:keepNext/>
        <w:adjustRightInd w:val="0"/>
        <w:snapToGrid w:val="0"/>
        <w:spacing w:line="400" w:lineRule="exact"/>
        <w:ind w:firstLine="422" w:firstLineChars="201"/>
        <w:rPr>
          <w:rFonts w:hint="eastAsia" w:hAnsi="宋体" w:cs="宋体"/>
        </w:rPr>
      </w:pPr>
    </w:p>
    <w:p>
      <w:pPr>
        <w:pStyle w:val="28"/>
        <w:keepNext/>
        <w:adjustRightInd w:val="0"/>
        <w:snapToGrid w:val="0"/>
        <w:spacing w:line="400" w:lineRule="exact"/>
        <w:ind w:firstLine="422" w:firstLineChars="201"/>
        <w:rPr>
          <w:rFonts w:hint="eastAsia" w:hAnsi="宋体" w:cs="宋体"/>
        </w:rPr>
      </w:pPr>
    </w:p>
    <w:p>
      <w:pPr>
        <w:pStyle w:val="28"/>
        <w:keepNext/>
        <w:adjustRightInd w:val="0"/>
        <w:snapToGrid w:val="0"/>
        <w:spacing w:line="400" w:lineRule="exact"/>
        <w:ind w:firstLine="422" w:firstLineChars="201"/>
        <w:rPr>
          <w:rFonts w:hint="eastAsia" w:hAnsi="宋体" w:cs="宋体"/>
        </w:rPr>
      </w:pPr>
    </w:p>
    <w:p>
      <w:pPr>
        <w:pStyle w:val="28"/>
        <w:keepNext/>
        <w:adjustRightInd w:val="0"/>
        <w:snapToGrid w:val="0"/>
        <w:spacing w:line="400" w:lineRule="exact"/>
        <w:ind w:firstLine="422" w:firstLineChars="201"/>
        <w:rPr>
          <w:rFonts w:hint="eastAsia" w:hAnsi="宋体" w:cs="宋体"/>
        </w:rPr>
      </w:pPr>
    </w:p>
    <w:p>
      <w:pPr>
        <w:pStyle w:val="28"/>
        <w:keepNext/>
        <w:adjustRightInd w:val="0"/>
        <w:snapToGrid w:val="0"/>
        <w:spacing w:line="400" w:lineRule="exact"/>
        <w:ind w:firstLine="422" w:firstLineChars="201"/>
        <w:rPr>
          <w:rFonts w:hint="eastAsia" w:hAnsi="宋体" w:cs="宋体"/>
        </w:rPr>
      </w:pPr>
    </w:p>
    <w:p>
      <w:pPr>
        <w:pStyle w:val="28"/>
        <w:keepNext/>
        <w:adjustRightInd w:val="0"/>
        <w:snapToGrid w:val="0"/>
        <w:spacing w:line="400" w:lineRule="exact"/>
        <w:ind w:firstLine="422" w:firstLineChars="201"/>
        <w:rPr>
          <w:rFonts w:hint="eastAsia" w:hAnsi="宋体" w:cs="宋体"/>
        </w:rPr>
      </w:pPr>
      <w:r>
        <w:rPr>
          <w:rFonts w:hint="eastAsia" w:hAnsi="宋体" w:cs="宋体"/>
        </w:rPr>
        <w:t xml:space="preserve">                                               </w:t>
      </w:r>
    </w:p>
    <w:p>
      <w:pPr>
        <w:pStyle w:val="28"/>
        <w:keepNext/>
        <w:adjustRightInd w:val="0"/>
        <w:snapToGrid w:val="0"/>
        <w:spacing w:line="100" w:lineRule="exact"/>
        <w:rPr>
          <w:rFonts w:hint="eastAsia" w:hAnsi="宋体" w:cs="宋体"/>
          <w:b/>
        </w:rPr>
      </w:pPr>
      <w:r>
        <w:rPr>
          <w:rFonts w:hint="eastAsia" w:hAnsi="宋体" w:cs="宋体"/>
        </w:rPr>
        <w:t xml:space="preserve">                                                                         </w:t>
      </w:r>
    </w:p>
    <w:p>
      <w:pPr>
        <w:keepNext/>
        <w:spacing w:line="240" w:lineRule="exact"/>
        <w:rPr>
          <w:rFonts w:hint="eastAsia" w:ascii="宋体" w:hAnsi="宋体" w:cs="宋体"/>
          <w:b/>
          <w:szCs w:val="21"/>
        </w:rPr>
      </w:pPr>
      <w:r>
        <w:rPr>
          <w:rFonts w:hint="eastAsia" w:ascii="宋体" w:hAnsi="宋体" w:cs="宋体"/>
          <w:b/>
          <w:szCs w:val="21"/>
        </w:rPr>
        <w:t>附件7</w:t>
      </w:r>
    </w:p>
    <w:p>
      <w:pPr>
        <w:keepNext/>
        <w:spacing w:line="400" w:lineRule="exact"/>
        <w:ind w:left="420" w:hanging="420"/>
        <w:jc w:val="center"/>
        <w:rPr>
          <w:rFonts w:hint="eastAsia" w:ascii="宋体" w:hAnsi="宋体" w:cs="宋体"/>
          <w:kern w:val="0"/>
          <w:sz w:val="30"/>
          <w:szCs w:val="30"/>
        </w:rPr>
      </w:pPr>
      <w:r>
        <w:rPr>
          <w:rFonts w:hint="eastAsia" w:ascii="宋体" w:hAnsi="宋体" w:cs="宋体"/>
          <w:kern w:val="0"/>
          <w:sz w:val="30"/>
          <w:szCs w:val="30"/>
        </w:rPr>
        <w:t>中小企业声明函</w:t>
      </w:r>
    </w:p>
    <w:p>
      <w:pPr>
        <w:pStyle w:val="51"/>
        <w:keepNext/>
        <w:widowControl w:val="0"/>
        <w:adjustRightInd w:val="0"/>
        <w:snapToGrid w:val="0"/>
        <w:spacing w:before="0" w:beforeAutospacing="0" w:after="0" w:afterAutospacing="0"/>
        <w:rPr>
          <w:rFonts w:hint="eastAsia" w:cs="宋体"/>
          <w:kern w:val="2"/>
          <w:sz w:val="21"/>
          <w:szCs w:val="21"/>
        </w:rPr>
      </w:pPr>
    </w:p>
    <w:p>
      <w:pPr>
        <w:pStyle w:val="51"/>
        <w:keepNext/>
        <w:widowControl w:val="0"/>
        <w:adjustRightInd w:val="0"/>
        <w:snapToGrid w:val="0"/>
        <w:spacing w:before="0" w:beforeAutospacing="0" w:after="0" w:afterAutospacing="0" w:line="300" w:lineRule="exact"/>
        <w:rPr>
          <w:rFonts w:hint="eastAsia"/>
          <w:kern w:val="2"/>
          <w:sz w:val="21"/>
          <w:szCs w:val="21"/>
        </w:rPr>
      </w:pPr>
      <w:r>
        <w:rPr>
          <w:rFonts w:hint="eastAsia" w:cs="宋体"/>
          <w:kern w:val="2"/>
          <w:sz w:val="21"/>
          <w:szCs w:val="21"/>
        </w:rPr>
        <w:t>　</w:t>
      </w:r>
      <w:r>
        <w:rPr>
          <w:rFonts w:hint="eastAsia"/>
          <w:kern w:val="2"/>
          <w:sz w:val="21"/>
          <w:szCs w:val="21"/>
        </w:rPr>
        <w:t>　本公司郑重声明，根据《政府采购促进中小企业发展暂行办法》（财库[2011]181号）的规定，本公司为______（请填写：中型、小型、微型）企业。即，本公司同时满足以下条件：</w:t>
      </w:r>
    </w:p>
    <w:p>
      <w:pPr>
        <w:pStyle w:val="51"/>
        <w:keepNext/>
        <w:widowControl w:val="0"/>
        <w:adjustRightInd w:val="0"/>
        <w:snapToGrid w:val="0"/>
        <w:spacing w:before="0" w:beforeAutospacing="0" w:after="0" w:afterAutospacing="0" w:line="300" w:lineRule="exact"/>
        <w:rPr>
          <w:rFonts w:hint="eastAsia"/>
          <w:kern w:val="2"/>
          <w:sz w:val="21"/>
          <w:szCs w:val="21"/>
        </w:rPr>
      </w:pPr>
      <w:r>
        <w:rPr>
          <w:rFonts w:hint="eastAsia"/>
          <w:kern w:val="2"/>
          <w:sz w:val="21"/>
          <w:szCs w:val="21"/>
        </w:rPr>
        <w:t>　　1.根据《工业和信息化部、国家统计局、国家发展和改革委员会、财政部关于印发中小企业划型标准规定的通知》（工信部联企业[2011]300号）规定的划分标准，本公司为______（请填写：中型、小型、微型）企业。</w:t>
      </w:r>
    </w:p>
    <w:p>
      <w:pPr>
        <w:pStyle w:val="51"/>
        <w:keepNext/>
        <w:widowControl w:val="0"/>
        <w:adjustRightInd w:val="0"/>
        <w:snapToGrid w:val="0"/>
        <w:spacing w:before="0" w:beforeAutospacing="0" w:after="0" w:afterAutospacing="0" w:line="300" w:lineRule="exact"/>
        <w:rPr>
          <w:rFonts w:hint="eastAsia"/>
          <w:kern w:val="2"/>
          <w:sz w:val="21"/>
          <w:szCs w:val="21"/>
        </w:rPr>
      </w:pPr>
      <w:r>
        <w:rPr>
          <w:rFonts w:hint="eastAsia"/>
          <w:kern w:val="2"/>
          <w:sz w:val="21"/>
          <w:szCs w:val="21"/>
        </w:rPr>
        <w:t>　　2.本公司参加______单位的______项目采购活动提供本企业制造的货物，由本企业承担工程、提供服务[或者提供</w:t>
      </w:r>
      <w:r>
        <w:rPr>
          <w:rFonts w:hint="eastAsia"/>
          <w:kern w:val="2"/>
          <w:sz w:val="21"/>
          <w:szCs w:val="21"/>
          <w:u w:val="single"/>
        </w:rPr>
        <w:t xml:space="preserve">                </w:t>
      </w:r>
      <w:r>
        <w:rPr>
          <w:rFonts w:hint="eastAsia"/>
          <w:kern w:val="2"/>
          <w:sz w:val="21"/>
          <w:szCs w:val="21"/>
        </w:rPr>
        <w:t>企业制造的货物,该生产企业为</w:t>
      </w:r>
      <w:r>
        <w:rPr>
          <w:rFonts w:hint="eastAsia"/>
          <w:kern w:val="2"/>
          <w:sz w:val="21"/>
          <w:szCs w:val="21"/>
          <w:u w:val="single"/>
        </w:rPr>
        <w:t xml:space="preserve">         </w:t>
      </w:r>
      <w:r>
        <w:rPr>
          <w:rFonts w:hint="eastAsia"/>
          <w:kern w:val="2"/>
          <w:sz w:val="21"/>
          <w:szCs w:val="21"/>
        </w:rPr>
        <w:t>企业（请填写：中型、小型、微型）]。本条所称货物不包括使用大型企业注册商标的货物。</w:t>
      </w:r>
    </w:p>
    <w:p>
      <w:pPr>
        <w:pStyle w:val="51"/>
        <w:keepNext/>
        <w:widowControl w:val="0"/>
        <w:adjustRightInd w:val="0"/>
        <w:snapToGrid w:val="0"/>
        <w:spacing w:before="0" w:beforeAutospacing="0" w:after="0" w:afterAutospacing="0" w:line="300" w:lineRule="exact"/>
        <w:rPr>
          <w:rFonts w:hint="eastAsia"/>
          <w:kern w:val="2"/>
          <w:sz w:val="21"/>
          <w:szCs w:val="21"/>
        </w:rPr>
      </w:pPr>
      <w:r>
        <w:rPr>
          <w:rFonts w:hint="eastAsia"/>
          <w:kern w:val="2"/>
          <w:sz w:val="21"/>
          <w:szCs w:val="21"/>
        </w:rPr>
        <w:t>　　本公司对上述声明的真实性负责。如有虚假，将依法承担相应责任。</w:t>
      </w:r>
    </w:p>
    <w:p>
      <w:pPr>
        <w:pStyle w:val="51"/>
        <w:keepNext/>
        <w:widowControl w:val="0"/>
        <w:adjustRightInd w:val="0"/>
        <w:snapToGrid w:val="0"/>
        <w:spacing w:before="0" w:beforeAutospacing="0" w:after="0" w:afterAutospacing="0" w:line="360" w:lineRule="exact"/>
        <w:rPr>
          <w:rFonts w:hint="eastAsia" w:cs="宋体"/>
          <w:kern w:val="2"/>
          <w:sz w:val="21"/>
          <w:szCs w:val="21"/>
        </w:rPr>
      </w:pPr>
    </w:p>
    <w:p>
      <w:pPr>
        <w:pStyle w:val="51"/>
        <w:keepNext/>
        <w:widowControl w:val="0"/>
        <w:adjustRightInd w:val="0"/>
        <w:snapToGrid w:val="0"/>
        <w:spacing w:before="0" w:beforeAutospacing="0" w:after="0" w:afterAutospacing="0" w:line="360" w:lineRule="exact"/>
        <w:ind w:right="420"/>
        <w:jc w:val="center"/>
        <w:rPr>
          <w:rFonts w:hint="eastAsia" w:cs="宋体"/>
          <w:kern w:val="2"/>
          <w:sz w:val="21"/>
          <w:szCs w:val="21"/>
        </w:rPr>
      </w:pPr>
    </w:p>
    <w:p>
      <w:pPr>
        <w:pStyle w:val="51"/>
        <w:keepNext/>
        <w:widowControl w:val="0"/>
        <w:adjustRightInd w:val="0"/>
        <w:snapToGrid w:val="0"/>
        <w:spacing w:before="0" w:beforeAutospacing="0" w:after="0" w:afterAutospacing="0" w:line="360" w:lineRule="exact"/>
        <w:ind w:right="420" w:firstLine="5376" w:firstLineChars="2560"/>
        <w:rPr>
          <w:rFonts w:hint="eastAsia" w:cs="宋体"/>
          <w:kern w:val="2"/>
          <w:sz w:val="21"/>
          <w:szCs w:val="21"/>
        </w:rPr>
      </w:pPr>
      <w:r>
        <w:rPr>
          <w:rFonts w:hint="eastAsia" w:cs="宋体"/>
          <w:kern w:val="2"/>
          <w:sz w:val="21"/>
          <w:szCs w:val="21"/>
        </w:rPr>
        <w:t>企业名称（公章）：　</w:t>
      </w:r>
    </w:p>
    <w:p>
      <w:pPr>
        <w:pStyle w:val="7"/>
        <w:keepNext/>
        <w:adjustRightInd w:val="0"/>
        <w:snapToGrid w:val="0"/>
        <w:spacing w:line="360" w:lineRule="exact"/>
        <w:ind w:left="1413" w:leftChars="673" w:firstLine="5901" w:firstLineChars="2810"/>
        <w:rPr>
          <w:rFonts w:hint="eastAsia" w:ascii="宋体" w:hAnsi="宋体" w:cs="宋体"/>
        </w:rPr>
      </w:pPr>
      <w:r>
        <w:rPr>
          <w:rFonts w:hint="eastAsia" w:ascii="宋体" w:hAnsi="宋体" w:cs="宋体"/>
          <w:bCs/>
          <w:szCs w:val="21"/>
        </w:rPr>
        <w:t>年    月    日</w:t>
      </w:r>
    </w:p>
    <w:p>
      <w:pPr>
        <w:pStyle w:val="7"/>
        <w:keepNext/>
        <w:adjustRightInd w:val="0"/>
        <w:snapToGrid w:val="0"/>
        <w:spacing w:line="360" w:lineRule="exact"/>
        <w:ind w:left="632" w:hanging="632" w:hangingChars="300"/>
        <w:rPr>
          <w:rFonts w:hint="eastAsia" w:ascii="宋体" w:hAnsi="宋体" w:cs="宋体"/>
        </w:rPr>
      </w:pPr>
      <w:r>
        <w:rPr>
          <w:rFonts w:hint="eastAsia" w:ascii="宋体" w:hAnsi="宋体" w:cs="宋体"/>
          <w:b/>
          <w:bCs/>
        </w:rPr>
        <w:t>说明：</w:t>
      </w:r>
      <w:r>
        <w:rPr>
          <w:rFonts w:hint="eastAsia" w:ascii="宋体" w:hAnsi="宋体" w:cs="宋体"/>
          <w:b/>
          <w:szCs w:val="21"/>
        </w:rPr>
        <w:t>参加政府采购活动的中小企业可提供《中小企业声明函》，并对其准确性和真实性负责，承担相应的法律责任。政府采购监督检查和投诉处理中对中小企业的认定，由企业所在地的县级以上中小企业主管部门负责。</w:t>
      </w:r>
    </w:p>
    <w:p>
      <w:pPr>
        <w:pStyle w:val="7"/>
        <w:keepNext/>
        <w:adjustRightInd w:val="0"/>
        <w:snapToGrid w:val="0"/>
        <w:spacing w:line="360" w:lineRule="exact"/>
        <w:ind w:firstLine="0"/>
        <w:rPr>
          <w:rFonts w:hint="eastAsia" w:ascii="宋体" w:hAnsi="宋体" w:cs="宋体"/>
        </w:rPr>
      </w:pPr>
    </w:p>
    <w:p>
      <w:pPr>
        <w:pStyle w:val="7"/>
        <w:keepNext/>
        <w:adjustRightInd w:val="0"/>
        <w:snapToGrid w:val="0"/>
        <w:spacing w:line="360" w:lineRule="exact"/>
        <w:ind w:firstLine="0"/>
        <w:rPr>
          <w:rFonts w:hint="eastAsia" w:ascii="宋体" w:hAnsi="宋体" w:cs="宋体"/>
          <w:u w:val="single"/>
        </w:rPr>
      </w:pPr>
      <w:r>
        <w:rPr>
          <w:rFonts w:hint="eastAsia" w:ascii="宋体" w:hAnsi="宋体" w:cs="宋体"/>
          <w:u w:val="single"/>
        </w:rPr>
        <w:t xml:space="preserve">                                                                                           .</w:t>
      </w:r>
    </w:p>
    <w:p>
      <w:pPr>
        <w:keepNext/>
        <w:spacing w:line="240" w:lineRule="exact"/>
        <w:rPr>
          <w:rFonts w:hint="eastAsia" w:ascii="宋体" w:hAnsi="宋体" w:cs="宋体"/>
          <w:b/>
          <w:szCs w:val="21"/>
        </w:rPr>
      </w:pPr>
    </w:p>
    <w:p>
      <w:pPr>
        <w:keepNext/>
        <w:spacing w:line="240" w:lineRule="exact"/>
        <w:rPr>
          <w:rFonts w:hint="eastAsia" w:ascii="宋体" w:hAnsi="宋体" w:cs="宋体"/>
          <w:b/>
          <w:szCs w:val="21"/>
        </w:rPr>
      </w:pPr>
      <w:r>
        <w:rPr>
          <w:rFonts w:hint="eastAsia" w:ascii="宋体" w:hAnsi="宋体" w:cs="宋体"/>
          <w:b/>
          <w:szCs w:val="21"/>
        </w:rPr>
        <w:t>附件8</w:t>
      </w:r>
    </w:p>
    <w:p>
      <w:pPr>
        <w:keepNext/>
        <w:spacing w:line="400" w:lineRule="exact"/>
        <w:ind w:left="420" w:hanging="420"/>
        <w:jc w:val="center"/>
        <w:rPr>
          <w:rFonts w:hint="eastAsia" w:ascii="宋体" w:hAnsi="宋体" w:cs="宋体"/>
          <w:kern w:val="0"/>
          <w:sz w:val="30"/>
          <w:szCs w:val="30"/>
        </w:rPr>
      </w:pPr>
      <w:r>
        <w:rPr>
          <w:rFonts w:hint="eastAsia" w:ascii="宋体" w:hAnsi="宋体" w:cs="宋体"/>
          <w:kern w:val="0"/>
          <w:sz w:val="30"/>
          <w:szCs w:val="30"/>
        </w:rPr>
        <w:t>残疾人福利性单位声明函</w:t>
      </w:r>
    </w:p>
    <w:p>
      <w:pPr>
        <w:keepNext/>
        <w:spacing w:line="360" w:lineRule="exact"/>
        <w:ind w:firstLine="444" w:firstLineChars="200"/>
        <w:rPr>
          <w:rFonts w:hint="eastAsia" w:ascii="宋体" w:hAnsi="宋体" w:cs="宋体"/>
          <w:spacing w:val="6"/>
          <w:szCs w:val="21"/>
        </w:rPr>
      </w:pPr>
    </w:p>
    <w:p>
      <w:pPr>
        <w:keepNext/>
        <w:spacing w:line="380" w:lineRule="exact"/>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spacing w:line="380" w:lineRule="exact"/>
        <w:ind w:firstLine="420" w:firstLineChars="200"/>
        <w:rPr>
          <w:rFonts w:hint="eastAsia" w:ascii="宋体" w:hAnsi="宋体" w:cs="宋体"/>
          <w:sz w:val="30"/>
          <w:szCs w:val="30"/>
        </w:rPr>
      </w:pPr>
      <w:r>
        <w:rPr>
          <w:rFonts w:hint="eastAsia" w:ascii="宋体" w:hAnsi="宋体" w:cs="宋体"/>
        </w:rPr>
        <w:t>本单位对上述声明的真实性负责。如有虚假，将依法承担相应责任。</w:t>
      </w:r>
    </w:p>
    <w:p>
      <w:pPr>
        <w:pStyle w:val="28"/>
        <w:keepNext/>
        <w:adjustRightInd w:val="0"/>
        <w:snapToGrid w:val="0"/>
        <w:spacing w:line="380" w:lineRule="exact"/>
        <w:ind w:firstLine="424" w:firstLineChars="202"/>
        <w:rPr>
          <w:rFonts w:hint="eastAsia" w:hAnsi="宋体" w:cs="宋体"/>
        </w:rPr>
      </w:pPr>
      <w:r>
        <w:rPr>
          <w:rFonts w:hint="eastAsia" w:hAnsi="宋体" w:cs="宋体"/>
        </w:rPr>
        <w:t>谈判供应商（公章）：</w:t>
      </w:r>
      <w:r>
        <w:rPr>
          <w:rFonts w:hint="eastAsia" w:hAnsi="宋体" w:cs="宋体"/>
          <w:u w:val="single"/>
        </w:rPr>
        <w:t xml:space="preserve">                      </w:t>
      </w:r>
    </w:p>
    <w:p>
      <w:pPr>
        <w:pStyle w:val="28"/>
        <w:keepNext/>
        <w:adjustRightInd w:val="0"/>
        <w:snapToGrid w:val="0"/>
        <w:spacing w:line="380" w:lineRule="exact"/>
        <w:ind w:firstLine="424" w:firstLineChars="202"/>
        <w:rPr>
          <w:rFonts w:hint="eastAsia" w:hAnsi="宋体" w:cs="宋体"/>
          <w:u w:val="single"/>
        </w:rPr>
      </w:pPr>
      <w:r>
        <w:rPr>
          <w:rFonts w:hint="eastAsia" w:hAnsi="宋体" w:cs="宋体"/>
        </w:rPr>
        <w:t>法定代表人（负责人）或授权代表（签字）：</w:t>
      </w:r>
      <w:r>
        <w:rPr>
          <w:rFonts w:hint="eastAsia" w:hAnsi="宋体" w:cs="宋体"/>
          <w:u w:val="single"/>
        </w:rPr>
        <w:t xml:space="preserve">                     </w:t>
      </w:r>
    </w:p>
    <w:p>
      <w:pPr>
        <w:pStyle w:val="28"/>
        <w:keepNext/>
        <w:adjustRightInd w:val="0"/>
        <w:snapToGrid w:val="0"/>
        <w:spacing w:line="380" w:lineRule="exact"/>
        <w:ind w:firstLine="424" w:firstLineChars="202"/>
        <w:rPr>
          <w:rFonts w:hint="eastAsia" w:hAnsi="宋体" w:cs="宋体"/>
          <w:u w:val="single"/>
        </w:rPr>
      </w:pPr>
      <w:r>
        <w:rPr>
          <w:rFonts w:hint="eastAsia" w:hAnsi="宋体" w:cs="宋体"/>
        </w:rPr>
        <w:t>日期：</w:t>
      </w:r>
      <w:r>
        <w:rPr>
          <w:rFonts w:hint="eastAsia" w:hAnsi="宋体" w:cs="宋体"/>
          <w:u w:val="single"/>
        </w:rPr>
        <w:t xml:space="preserve">                 </w:t>
      </w:r>
    </w:p>
    <w:p>
      <w:pPr>
        <w:pStyle w:val="7"/>
        <w:adjustRightInd w:val="0"/>
        <w:snapToGrid w:val="0"/>
        <w:spacing w:line="300" w:lineRule="exact"/>
        <w:ind w:firstLine="0"/>
        <w:rPr>
          <w:rFonts w:hint="eastAsia" w:ascii="宋体" w:hAnsi="宋体" w:cs="宋体"/>
        </w:rPr>
      </w:pPr>
      <w:r>
        <w:rPr>
          <w:rFonts w:hint="eastAsia" w:ascii="宋体" w:hAnsi="宋体" w:cs="宋体"/>
        </w:rPr>
        <w:t xml:space="preserve"> </w:t>
      </w:r>
    </w:p>
    <w:p>
      <w:pPr>
        <w:pStyle w:val="7"/>
        <w:adjustRightInd w:val="0"/>
        <w:snapToGrid w:val="0"/>
        <w:spacing w:line="300" w:lineRule="exact"/>
        <w:ind w:firstLine="0"/>
        <w:rPr>
          <w:rFonts w:hint="eastAsia" w:ascii="宋体" w:hAnsi="宋体" w:cs="宋体"/>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b/>
          <w:bCs/>
        </w:rPr>
      </w:pPr>
    </w:p>
    <w:p>
      <w:pPr>
        <w:pStyle w:val="7"/>
        <w:adjustRightInd w:val="0"/>
        <w:snapToGrid w:val="0"/>
        <w:spacing w:line="300" w:lineRule="exact"/>
        <w:ind w:firstLine="0"/>
        <w:rPr>
          <w:rFonts w:hint="eastAsia" w:ascii="宋体" w:hAnsi="宋体" w:cs="宋体"/>
        </w:rPr>
      </w:pPr>
    </w:p>
    <w:p>
      <w:pPr>
        <w:pStyle w:val="3"/>
        <w:keepNext w:val="0"/>
        <w:keepLines w:val="0"/>
        <w:tabs>
          <w:tab w:val="left" w:pos="1800"/>
          <w:tab w:val="center" w:pos="4875"/>
        </w:tabs>
        <w:spacing w:before="0" w:after="0" w:line="600" w:lineRule="exact"/>
        <w:jc w:val="center"/>
        <w:rPr>
          <w:rFonts w:hint="eastAsia" w:ascii="宋体" w:hAnsi="宋体" w:eastAsia="宋体" w:cs="宋体"/>
          <w:b/>
          <w:kern w:val="0"/>
          <w:sz w:val="36"/>
          <w:szCs w:val="36"/>
        </w:rPr>
      </w:pPr>
      <w:r>
        <w:rPr>
          <w:rFonts w:hint="eastAsia" w:ascii="宋体" w:hAnsi="宋体" w:eastAsia="宋体" w:cs="宋体"/>
          <w:b/>
          <w:kern w:val="0"/>
          <w:sz w:val="36"/>
          <w:szCs w:val="36"/>
        </w:rPr>
        <w:t>第五章  合同主要条款</w:t>
      </w:r>
      <w:bookmarkEnd w:id="83"/>
    </w:p>
    <w:p>
      <w:pPr>
        <w:pStyle w:val="28"/>
        <w:spacing w:line="600" w:lineRule="exact"/>
        <w:rPr>
          <w:rFonts w:hint="eastAsia" w:hAnsi="宋体" w:cs="宋体"/>
          <w:b/>
          <w:sz w:val="52"/>
          <w:szCs w:val="52"/>
        </w:rPr>
      </w:pPr>
    </w:p>
    <w:p>
      <w:pPr>
        <w:pStyle w:val="28"/>
        <w:spacing w:line="600" w:lineRule="exact"/>
        <w:rPr>
          <w:rFonts w:hint="eastAsia" w:hAnsi="宋体" w:cs="宋体"/>
          <w:b/>
          <w:sz w:val="52"/>
          <w:szCs w:val="52"/>
        </w:rPr>
      </w:pPr>
    </w:p>
    <w:p>
      <w:pPr>
        <w:pStyle w:val="3"/>
        <w:keepNext w:val="0"/>
        <w:keepLines w:val="0"/>
        <w:spacing w:before="0" w:after="0" w:line="600" w:lineRule="exact"/>
        <w:jc w:val="center"/>
        <w:rPr>
          <w:rFonts w:hint="eastAsia" w:ascii="宋体" w:hAnsi="宋体" w:eastAsia="宋体" w:cs="宋体"/>
          <w:b/>
          <w:kern w:val="0"/>
          <w:sz w:val="36"/>
          <w:szCs w:val="36"/>
        </w:rPr>
      </w:pPr>
      <w:r>
        <w:rPr>
          <w:rFonts w:hint="eastAsia" w:ascii="宋体" w:hAnsi="宋体" w:eastAsia="宋体" w:cs="宋体"/>
          <w:b/>
          <w:kern w:val="0"/>
          <w:sz w:val="36"/>
          <w:szCs w:val="36"/>
        </w:rPr>
        <w:t>北海市政府采购合同</w:t>
      </w:r>
    </w:p>
    <w:p>
      <w:pPr>
        <w:pStyle w:val="28"/>
        <w:spacing w:line="600" w:lineRule="exact"/>
        <w:rPr>
          <w:rFonts w:hint="eastAsia" w:hAnsi="宋体" w:cs="宋体"/>
        </w:rPr>
      </w:pPr>
    </w:p>
    <w:p>
      <w:pPr>
        <w:pStyle w:val="28"/>
        <w:spacing w:line="600" w:lineRule="exact"/>
        <w:rPr>
          <w:rFonts w:hint="eastAsia" w:hAnsi="宋体" w:cs="宋体"/>
        </w:rPr>
      </w:pPr>
    </w:p>
    <w:p>
      <w:pPr>
        <w:pStyle w:val="28"/>
        <w:spacing w:line="600" w:lineRule="exact"/>
        <w:rPr>
          <w:rFonts w:hint="eastAsia" w:hAnsi="宋体" w:cs="宋体"/>
        </w:rPr>
      </w:pPr>
    </w:p>
    <w:p>
      <w:pPr>
        <w:pStyle w:val="28"/>
        <w:spacing w:line="600" w:lineRule="exact"/>
        <w:rPr>
          <w:rFonts w:hint="eastAsia" w:hAnsi="宋体" w:cs="宋体"/>
        </w:rPr>
      </w:pPr>
    </w:p>
    <w:p>
      <w:pPr>
        <w:pStyle w:val="28"/>
        <w:spacing w:line="600" w:lineRule="exact"/>
        <w:rPr>
          <w:rFonts w:hint="eastAsia" w:hAnsi="宋体" w:cs="宋体"/>
        </w:rPr>
      </w:pPr>
    </w:p>
    <w:p>
      <w:pPr>
        <w:pStyle w:val="28"/>
        <w:spacing w:line="600" w:lineRule="exact"/>
        <w:rPr>
          <w:rFonts w:hint="eastAsia" w:hAnsi="宋体" w:cs="宋体"/>
        </w:rPr>
      </w:pPr>
    </w:p>
    <w:p>
      <w:pPr>
        <w:pStyle w:val="28"/>
        <w:spacing w:line="700" w:lineRule="exact"/>
        <w:ind w:firstLine="1799" w:firstLineChars="640"/>
        <w:rPr>
          <w:rFonts w:hint="eastAsia" w:hAnsi="宋体" w:cs="宋体"/>
          <w:b/>
          <w:sz w:val="28"/>
          <w:szCs w:val="28"/>
        </w:rPr>
      </w:pPr>
      <w:r>
        <w:rPr>
          <w:rFonts w:hint="eastAsia" w:hAnsi="宋体" w:cs="宋体"/>
          <w:b/>
          <w:sz w:val="28"/>
          <w:szCs w:val="28"/>
        </w:rPr>
        <w:t xml:space="preserve">合同名称：                          </w:t>
      </w:r>
    </w:p>
    <w:p>
      <w:pPr>
        <w:pStyle w:val="28"/>
        <w:spacing w:line="700" w:lineRule="exact"/>
        <w:ind w:firstLine="1799" w:firstLineChars="640"/>
        <w:rPr>
          <w:rFonts w:hint="eastAsia" w:hAnsi="宋体" w:cs="宋体"/>
          <w:b/>
          <w:sz w:val="28"/>
          <w:szCs w:val="28"/>
        </w:rPr>
      </w:pPr>
      <w:r>
        <w:rPr>
          <w:rFonts w:hint="eastAsia" w:hAnsi="宋体" w:cs="宋体"/>
          <w:b/>
          <w:sz w:val="28"/>
          <w:szCs w:val="28"/>
        </w:rPr>
        <w:t xml:space="preserve">合同编号：                          </w:t>
      </w:r>
    </w:p>
    <w:p>
      <w:pPr>
        <w:pStyle w:val="28"/>
        <w:spacing w:line="700" w:lineRule="exact"/>
        <w:ind w:firstLine="1799" w:firstLineChars="640"/>
        <w:rPr>
          <w:rFonts w:hint="eastAsia" w:hAnsi="宋体" w:cs="宋体"/>
          <w:b/>
          <w:sz w:val="28"/>
          <w:szCs w:val="28"/>
        </w:rPr>
      </w:pPr>
    </w:p>
    <w:p>
      <w:pPr>
        <w:pStyle w:val="28"/>
        <w:spacing w:line="700" w:lineRule="exact"/>
        <w:ind w:firstLine="1799" w:firstLineChars="640"/>
        <w:rPr>
          <w:rFonts w:hint="eastAsia" w:hAnsi="宋体" w:cs="宋体"/>
          <w:b/>
          <w:sz w:val="28"/>
          <w:szCs w:val="28"/>
        </w:rPr>
      </w:pPr>
      <w:r>
        <w:rPr>
          <w:rFonts w:hint="eastAsia" w:hAnsi="宋体" w:cs="宋体"/>
          <w:b/>
          <w:sz w:val="28"/>
          <w:szCs w:val="28"/>
        </w:rPr>
        <w:t xml:space="preserve">采购人（甲方）                      </w:t>
      </w:r>
    </w:p>
    <w:p>
      <w:pPr>
        <w:pStyle w:val="28"/>
        <w:spacing w:line="700" w:lineRule="exact"/>
        <w:ind w:firstLine="1799" w:firstLineChars="640"/>
        <w:rPr>
          <w:rFonts w:hint="eastAsia" w:hAnsi="宋体" w:cs="宋体"/>
          <w:b/>
          <w:sz w:val="28"/>
          <w:szCs w:val="28"/>
        </w:rPr>
      </w:pPr>
      <w:r>
        <w:rPr>
          <w:rFonts w:hint="eastAsia" w:hAnsi="宋体" w:cs="宋体"/>
          <w:b/>
          <w:sz w:val="28"/>
          <w:szCs w:val="28"/>
        </w:rPr>
        <w:t xml:space="preserve">供 应 商（乙方）                    </w:t>
      </w:r>
    </w:p>
    <w:p>
      <w:pPr>
        <w:pStyle w:val="28"/>
        <w:spacing w:line="700" w:lineRule="exact"/>
        <w:ind w:firstLine="1799" w:firstLineChars="640"/>
        <w:rPr>
          <w:rFonts w:hint="eastAsia" w:hAnsi="宋体" w:cs="宋体"/>
          <w:b/>
          <w:sz w:val="28"/>
          <w:szCs w:val="28"/>
        </w:rPr>
      </w:pPr>
    </w:p>
    <w:p>
      <w:pPr>
        <w:pStyle w:val="28"/>
        <w:spacing w:line="700" w:lineRule="exact"/>
        <w:ind w:firstLine="1799" w:firstLineChars="640"/>
        <w:rPr>
          <w:rFonts w:hint="eastAsia" w:hAnsi="宋体" w:cs="宋体"/>
          <w:b/>
          <w:sz w:val="28"/>
          <w:szCs w:val="28"/>
        </w:rPr>
      </w:pPr>
      <w:r>
        <w:rPr>
          <w:rFonts w:hint="eastAsia" w:hAnsi="宋体" w:cs="宋体"/>
          <w:b/>
          <w:sz w:val="28"/>
          <w:szCs w:val="28"/>
        </w:rPr>
        <w:t xml:space="preserve">签订合同地点：                      </w:t>
      </w:r>
    </w:p>
    <w:p>
      <w:pPr>
        <w:pStyle w:val="28"/>
        <w:spacing w:line="700" w:lineRule="exact"/>
        <w:ind w:firstLine="1799" w:firstLineChars="640"/>
        <w:rPr>
          <w:rFonts w:hint="eastAsia" w:hAnsi="宋体" w:cs="宋体"/>
          <w:b/>
          <w:sz w:val="28"/>
          <w:szCs w:val="28"/>
        </w:rPr>
      </w:pPr>
      <w:r>
        <w:rPr>
          <w:rFonts w:hint="eastAsia" w:hAnsi="宋体" w:cs="宋体"/>
          <w:b/>
          <w:sz w:val="28"/>
          <w:szCs w:val="28"/>
        </w:rPr>
        <w:t xml:space="preserve">签订合同时间：                      </w:t>
      </w:r>
    </w:p>
    <w:p>
      <w:pPr>
        <w:pStyle w:val="28"/>
        <w:jc w:val="center"/>
        <w:rPr>
          <w:rFonts w:hint="eastAsia" w:hAnsi="宋体" w:cs="宋体"/>
        </w:rPr>
      </w:pPr>
      <w:r>
        <w:rPr>
          <w:rFonts w:hint="eastAsia" w:hAnsi="宋体" w:cs="宋体"/>
        </w:rPr>
        <w:t xml:space="preserve"> </w:t>
      </w:r>
    </w:p>
    <w:p>
      <w:pPr>
        <w:pStyle w:val="28"/>
        <w:rPr>
          <w:rFonts w:hint="eastAsia" w:hAnsi="宋体" w:cs="宋体"/>
        </w:rPr>
      </w:pPr>
    </w:p>
    <w:p>
      <w:pPr>
        <w:pStyle w:val="28"/>
        <w:spacing w:line="360" w:lineRule="exact"/>
        <w:ind w:firstLine="420" w:firstLineChars="200"/>
        <w:rPr>
          <w:rFonts w:hint="eastAsia" w:hAnsi="宋体" w:cs="宋体"/>
        </w:rPr>
      </w:pPr>
    </w:p>
    <w:p>
      <w:pPr>
        <w:spacing w:line="300" w:lineRule="auto"/>
        <w:rPr>
          <w:rFonts w:hint="eastAsia" w:ascii="宋体" w:hAnsi="宋体" w:cs="宋体"/>
          <w:b/>
          <w:kern w:val="0"/>
          <w:sz w:val="32"/>
          <w:szCs w:val="32"/>
        </w:rPr>
      </w:pPr>
    </w:p>
    <w:p>
      <w:pPr>
        <w:snapToGrid w:val="0"/>
        <w:spacing w:line="600" w:lineRule="exact"/>
        <w:rPr>
          <w:rFonts w:hint="eastAsia" w:ascii="宋体" w:hAnsi="宋体" w:cs="宋体"/>
          <w:b/>
          <w:bCs/>
          <w:sz w:val="32"/>
          <w:szCs w:val="32"/>
        </w:rPr>
      </w:pPr>
    </w:p>
    <w:p>
      <w:pPr>
        <w:keepNext/>
        <w:snapToGrid w:val="0"/>
        <w:spacing w:line="600" w:lineRule="exact"/>
        <w:jc w:val="center"/>
        <w:rPr>
          <w:rFonts w:hint="eastAsia" w:ascii="宋体" w:hAnsi="宋体" w:cs="宋体"/>
          <w:b/>
          <w:bCs/>
          <w:sz w:val="32"/>
          <w:szCs w:val="32"/>
        </w:rPr>
      </w:pPr>
      <w:r>
        <w:rPr>
          <w:rFonts w:hint="eastAsia" w:ascii="宋体" w:hAnsi="宋体" w:cs="宋体"/>
          <w:b/>
          <w:bCs/>
          <w:sz w:val="32"/>
          <w:szCs w:val="32"/>
        </w:rPr>
        <w:t>北海市政府采购合同</w:t>
      </w:r>
    </w:p>
    <w:p>
      <w:pPr>
        <w:keepNext/>
        <w:snapToGrid w:val="0"/>
        <w:spacing w:line="400" w:lineRule="exact"/>
        <w:ind w:right="-62"/>
        <w:jc w:val="center"/>
        <w:rPr>
          <w:rFonts w:hint="eastAsia" w:ascii="宋体" w:hAnsi="宋体" w:cs="宋体"/>
          <w:bCs/>
          <w:szCs w:val="21"/>
        </w:rPr>
      </w:pPr>
      <w:r>
        <w:rPr>
          <w:rFonts w:hint="eastAsia" w:ascii="宋体" w:hAnsi="宋体" w:cs="宋体"/>
          <w:bCs/>
          <w:szCs w:val="21"/>
        </w:rPr>
        <w:t xml:space="preserve">                                                                   合同编号：</w:t>
      </w:r>
      <w:r>
        <w:rPr>
          <w:rFonts w:hint="eastAsia" w:ascii="宋体" w:hAnsi="宋体" w:cs="宋体"/>
          <w:szCs w:val="21"/>
          <w:u w:val="single"/>
        </w:rPr>
        <w:t xml:space="preserve"> </w:t>
      </w:r>
      <w:r>
        <w:rPr>
          <w:rFonts w:hint="eastAsia" w:ascii="宋体" w:hAnsi="宋体" w:cs="宋体"/>
          <w:bCs/>
          <w:szCs w:val="21"/>
        </w:rPr>
        <w:t xml:space="preserve">           </w:t>
      </w:r>
    </w:p>
    <w:p>
      <w:pPr>
        <w:keepNext/>
        <w:snapToGrid w:val="0"/>
        <w:spacing w:line="360" w:lineRule="exact"/>
        <w:rPr>
          <w:rFonts w:hint="eastAsia" w:ascii="宋体" w:hAnsi="宋体" w:cs="宋体"/>
          <w:szCs w:val="21"/>
        </w:rPr>
      </w:pPr>
      <w:r>
        <w:rPr>
          <w:rFonts w:hint="eastAsia" w:ascii="宋体" w:hAnsi="宋体" w:cs="宋体"/>
          <w:szCs w:val="21"/>
        </w:rPr>
        <w:t>采购人（甲方）：</w:t>
      </w:r>
      <w:r>
        <w:rPr>
          <w:rFonts w:hint="eastAsia" w:ascii="宋体" w:hAnsi="宋体" w:cs="宋体"/>
          <w:u w:val="single"/>
        </w:rPr>
        <w:t>北海职业学院</w:t>
      </w:r>
      <w:r>
        <w:rPr>
          <w:rFonts w:hint="eastAsia" w:ascii="宋体" w:hAnsi="宋体" w:cs="宋体"/>
          <w:szCs w:val="21"/>
          <w:u w:val="single"/>
        </w:rPr>
        <w:t xml:space="preserve">   </w:t>
      </w:r>
      <w:r>
        <w:rPr>
          <w:rFonts w:hint="eastAsia" w:ascii="宋体" w:hAnsi="宋体" w:cs="宋体"/>
          <w:szCs w:val="21"/>
        </w:rPr>
        <w:t xml:space="preserve">                          </w:t>
      </w:r>
    </w:p>
    <w:p>
      <w:pPr>
        <w:keepNext/>
        <w:snapToGrid w:val="0"/>
        <w:spacing w:line="360" w:lineRule="exact"/>
        <w:rPr>
          <w:rFonts w:hint="eastAsia" w:ascii="宋体" w:hAnsi="宋体" w:cs="宋体"/>
          <w:szCs w:val="21"/>
        </w:rPr>
      </w:pPr>
      <w:r>
        <w:rPr>
          <w:rFonts w:hint="eastAsia" w:ascii="宋体" w:hAnsi="宋体" w:cs="宋体"/>
          <w:szCs w:val="21"/>
        </w:rPr>
        <w:t>供应商（乙方）：</w:t>
      </w:r>
      <w:r>
        <w:rPr>
          <w:rFonts w:hint="eastAsia" w:ascii="宋体" w:hAnsi="宋体" w:cs="宋体"/>
          <w:szCs w:val="21"/>
          <w:u w:val="single"/>
        </w:rPr>
        <w:t xml:space="preserve">                          .</w:t>
      </w:r>
    </w:p>
    <w:p>
      <w:pPr>
        <w:keepNext/>
        <w:snapToGrid w:val="0"/>
        <w:spacing w:line="360" w:lineRule="exact"/>
        <w:rPr>
          <w:rFonts w:hint="eastAsia" w:ascii="宋体" w:hAnsi="宋体" w:cs="宋体"/>
          <w:szCs w:val="21"/>
        </w:rPr>
      </w:pPr>
      <w:r>
        <w:rPr>
          <w:rFonts w:hint="eastAsia" w:ascii="宋体" w:hAnsi="宋体" w:cs="宋体"/>
          <w:szCs w:val="21"/>
        </w:rPr>
        <w:t>采购计划编号：</w:t>
      </w:r>
      <w:r>
        <w:rPr>
          <w:rFonts w:hint="eastAsia" w:ascii="宋体" w:hAnsi="宋体" w:cs="宋体"/>
          <w:szCs w:val="21"/>
          <w:u w:val="single"/>
        </w:rPr>
        <w:t xml:space="preserve">                          .                </w:t>
      </w:r>
      <w:r>
        <w:rPr>
          <w:rFonts w:hint="eastAsia" w:ascii="宋体" w:hAnsi="宋体" w:cs="宋体"/>
          <w:szCs w:val="21"/>
        </w:rPr>
        <w:t xml:space="preserve">                                                       </w:t>
      </w:r>
    </w:p>
    <w:p>
      <w:pPr>
        <w:keepNext/>
        <w:snapToGrid w:val="0"/>
        <w:spacing w:line="360" w:lineRule="exact"/>
        <w:rPr>
          <w:rFonts w:hint="eastAsia" w:ascii="宋体" w:hAnsi="宋体" w:cs="宋体"/>
          <w:szCs w:val="21"/>
        </w:rPr>
      </w:pPr>
      <w:r>
        <w:rPr>
          <w:rFonts w:hint="eastAsia" w:ascii="宋体" w:hAnsi="宋体" w:cs="宋体"/>
          <w:szCs w:val="21"/>
        </w:rPr>
        <w:t>项目名称和项目编号：</w:t>
      </w:r>
      <w:r>
        <w:rPr>
          <w:rFonts w:hint="eastAsia" w:ascii="宋体" w:hAnsi="宋体" w:cs="宋体"/>
          <w:bCs/>
          <w:szCs w:val="21"/>
          <w:u w:val="single"/>
          <w:lang w:eastAsia="zh-CN"/>
        </w:rPr>
        <w:t>设备采购及安装</w:t>
      </w:r>
      <w:r>
        <w:rPr>
          <w:rFonts w:hint="eastAsia" w:ascii="宋体" w:hAnsi="宋体" w:cs="宋体"/>
          <w:szCs w:val="21"/>
          <w:u w:val="single"/>
        </w:rPr>
        <w:t>（项目编号： ）</w:t>
      </w:r>
      <w:r>
        <w:rPr>
          <w:rFonts w:hint="eastAsia" w:ascii="宋体" w:hAnsi="宋体" w:cs="宋体"/>
          <w:szCs w:val="21"/>
        </w:rPr>
        <w:t xml:space="preserve">              </w:t>
      </w:r>
    </w:p>
    <w:p>
      <w:pPr>
        <w:keepNext/>
        <w:snapToGrid w:val="0"/>
        <w:spacing w:line="360" w:lineRule="exact"/>
        <w:rPr>
          <w:rFonts w:hint="eastAsia" w:ascii="宋体" w:hAnsi="宋体" w:cs="宋体"/>
          <w:szCs w:val="21"/>
        </w:rPr>
      </w:pPr>
      <w:r>
        <w:rPr>
          <w:rFonts w:hint="eastAsia" w:ascii="宋体" w:hAnsi="宋体" w:cs="宋体"/>
          <w:szCs w:val="21"/>
        </w:rPr>
        <w:t>签  订  地  点：</w:t>
      </w:r>
      <w:r>
        <w:rPr>
          <w:rFonts w:hint="eastAsia" w:ascii="宋体" w:hAnsi="宋体" w:cs="宋体"/>
          <w:szCs w:val="21"/>
          <w:u w:val="single"/>
        </w:rPr>
        <w:t xml:space="preserve">                           </w:t>
      </w:r>
      <w:r>
        <w:rPr>
          <w:rFonts w:hint="eastAsia" w:ascii="宋体" w:hAnsi="宋体" w:cs="宋体"/>
          <w:szCs w:val="21"/>
        </w:rPr>
        <w:t xml:space="preserve">  签 订 时 间：</w:t>
      </w:r>
      <w:r>
        <w:rPr>
          <w:rFonts w:hint="eastAsia" w:ascii="宋体" w:hAnsi="宋体" w:cs="宋体"/>
          <w:szCs w:val="21"/>
          <w:u w:val="single"/>
        </w:rPr>
        <w:t xml:space="preserve">                       </w:t>
      </w:r>
      <w:r>
        <w:rPr>
          <w:rFonts w:hint="eastAsia" w:ascii="宋体" w:hAnsi="宋体" w:cs="宋体"/>
          <w:szCs w:val="21"/>
        </w:rPr>
        <w:t xml:space="preserve">.                 </w:t>
      </w:r>
    </w:p>
    <w:p>
      <w:pPr>
        <w:keepNext/>
        <w:snapToGrid w:val="0"/>
        <w:spacing w:line="360" w:lineRule="exact"/>
        <w:rPr>
          <w:rFonts w:hint="eastAsia" w:ascii="宋体" w:hAnsi="宋体" w:cs="宋体"/>
          <w:szCs w:val="21"/>
        </w:rPr>
      </w:pPr>
    </w:p>
    <w:p>
      <w:pPr>
        <w:keepNext/>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根据《中华人民共和国政府采购法》、《中华人民共和国合同法》等法律、法规规定，按照竞争性谈判文件（以下简称“谈判文件”）规定条款和成交供应商响应文件（以下简称“响应文件”）及其承诺，甲乙双方签订本合同。</w:t>
      </w:r>
    </w:p>
    <w:p>
      <w:pPr>
        <w:keepNext/>
        <w:adjustRightInd w:val="0"/>
        <w:snapToGrid w:val="0"/>
        <w:spacing w:line="340" w:lineRule="exact"/>
        <w:ind w:firstLine="422" w:firstLineChars="200"/>
        <w:rPr>
          <w:rFonts w:hint="eastAsia" w:ascii="宋体" w:hAnsi="宋体" w:cs="宋体"/>
          <w:b/>
          <w:szCs w:val="21"/>
        </w:rPr>
      </w:pPr>
      <w:r>
        <w:rPr>
          <w:rFonts w:hint="eastAsia" w:ascii="宋体" w:hAnsi="宋体" w:cs="宋体"/>
          <w:b/>
          <w:szCs w:val="21"/>
        </w:rPr>
        <w:t>第一条　合同标的</w:t>
      </w:r>
    </w:p>
    <w:p>
      <w:pPr>
        <w:keepNext/>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1.供货一览表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330"/>
        <w:gridCol w:w="1107"/>
        <w:gridCol w:w="1220"/>
        <w:gridCol w:w="1218"/>
        <w:gridCol w:w="698"/>
        <w:gridCol w:w="1106"/>
        <w:gridCol w:w="1132"/>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454" w:type="dxa"/>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序号</w:t>
            </w:r>
          </w:p>
        </w:tc>
        <w:tc>
          <w:tcPr>
            <w:tcW w:w="1330" w:type="dxa"/>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产品</w:t>
            </w:r>
          </w:p>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名称</w:t>
            </w:r>
          </w:p>
        </w:tc>
        <w:tc>
          <w:tcPr>
            <w:tcW w:w="1107" w:type="dxa"/>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商标</w:t>
            </w:r>
          </w:p>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品牌</w:t>
            </w:r>
          </w:p>
        </w:tc>
        <w:tc>
          <w:tcPr>
            <w:tcW w:w="1220" w:type="dxa"/>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规格</w:t>
            </w:r>
          </w:p>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型号</w:t>
            </w:r>
          </w:p>
        </w:tc>
        <w:tc>
          <w:tcPr>
            <w:tcW w:w="1218" w:type="dxa"/>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生产</w:t>
            </w:r>
          </w:p>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厂家</w:t>
            </w:r>
          </w:p>
        </w:tc>
        <w:tc>
          <w:tcPr>
            <w:tcW w:w="698" w:type="dxa"/>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数  量</w:t>
            </w:r>
          </w:p>
        </w:tc>
        <w:tc>
          <w:tcPr>
            <w:tcW w:w="1106" w:type="dxa"/>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单位</w:t>
            </w:r>
          </w:p>
        </w:tc>
        <w:tc>
          <w:tcPr>
            <w:tcW w:w="1132" w:type="dxa"/>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单  价</w:t>
            </w:r>
          </w:p>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（元）</w:t>
            </w:r>
          </w:p>
        </w:tc>
        <w:tc>
          <w:tcPr>
            <w:tcW w:w="1493" w:type="dxa"/>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金  额</w:t>
            </w:r>
          </w:p>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758" w:type="dxa"/>
            <w:gridSpan w:val="9"/>
            <w:noWrap w:val="0"/>
            <w:vAlign w:val="center"/>
          </w:tcPr>
          <w:p>
            <w:pPr>
              <w:keepNext/>
              <w:keepLines w:val="0"/>
              <w:suppressLineNumbers w:val="0"/>
              <w:adjustRightInd w:val="0"/>
              <w:snapToGrid w:val="0"/>
              <w:spacing w:before="0" w:beforeAutospacing="0" w:after="0" w:afterAutospacing="0" w:line="340" w:lineRule="exact"/>
              <w:ind w:left="0" w:right="0"/>
              <w:jc w:val="center"/>
              <w:rPr>
                <w:rFonts w:hint="eastAsia" w:ascii="宋体" w:hAnsi="宋体" w:eastAsia="Times New Roman" w:cs="宋体"/>
                <w:szCs w:val="21"/>
              </w:rPr>
            </w:pPr>
            <w:r>
              <w:rPr>
                <w:rFonts w:hint="eastAsia" w:ascii="宋体" w:hAnsi="宋体" w:eastAsia="Times New Roman" w:cs="宋体"/>
                <w:szCs w:val="21"/>
              </w:rPr>
              <w:t>详细内容见报价表附件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758" w:type="dxa"/>
            <w:gridSpan w:val="9"/>
            <w:noWrap w:val="0"/>
            <w:vAlign w:val="center"/>
          </w:tcPr>
          <w:p>
            <w:pPr>
              <w:keepNext/>
              <w:keepLines w:val="0"/>
              <w:suppressLineNumbers w:val="0"/>
              <w:adjustRightInd w:val="0"/>
              <w:snapToGrid w:val="0"/>
              <w:spacing w:before="0" w:beforeAutospacing="0" w:after="0" w:afterAutospacing="0" w:line="340" w:lineRule="exact"/>
              <w:ind w:left="0" w:right="0"/>
              <w:rPr>
                <w:rFonts w:hint="eastAsia" w:ascii="宋体" w:hAnsi="宋体" w:eastAsia="Times New Roman" w:cs="宋体"/>
                <w:szCs w:val="21"/>
              </w:rPr>
            </w:pPr>
            <w:r>
              <w:rPr>
                <w:rFonts w:hint="eastAsia" w:ascii="宋体" w:hAnsi="宋体" w:eastAsia="Times New Roman" w:cs="宋体"/>
                <w:szCs w:val="21"/>
              </w:rPr>
              <w:t xml:space="preserve">人民币合计金额（大写）                          （小写）                 </w:t>
            </w:r>
          </w:p>
        </w:tc>
      </w:tr>
    </w:tbl>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2.合同合计金额</w:t>
      </w:r>
      <w:r>
        <w:rPr>
          <w:rFonts w:hint="eastAsia" w:ascii="宋体" w:hAnsi="宋体" w:cs="宋体"/>
          <w:bCs/>
          <w:szCs w:val="21"/>
        </w:rPr>
        <w:t>包括货款、产品运输（至甲方指定位置）、</w:t>
      </w:r>
      <w:r>
        <w:rPr>
          <w:rFonts w:hint="eastAsia" w:ascii="宋体" w:hAnsi="宋体" w:cs="宋体"/>
          <w:szCs w:val="21"/>
        </w:rPr>
        <w:t>随配附件、</w:t>
      </w:r>
      <w:r>
        <w:rPr>
          <w:rFonts w:hint="eastAsia" w:ascii="宋体" w:hAnsi="宋体" w:cs="宋体"/>
          <w:bCs/>
          <w:szCs w:val="21"/>
        </w:rPr>
        <w:t>备品备件、</w:t>
      </w:r>
      <w:r>
        <w:rPr>
          <w:rFonts w:hint="eastAsia" w:ascii="宋体" w:hAnsi="宋体" w:cs="宋体"/>
          <w:szCs w:val="21"/>
        </w:rPr>
        <w:t>工具、</w:t>
      </w:r>
      <w:r>
        <w:rPr>
          <w:rFonts w:hint="eastAsia" w:ascii="宋体" w:hAnsi="宋体" w:cs="宋体"/>
          <w:bCs/>
          <w:szCs w:val="21"/>
        </w:rPr>
        <w:t>辅材、保险、销售、验收、检测</w:t>
      </w:r>
      <w:r>
        <w:rPr>
          <w:rFonts w:hint="eastAsia" w:ascii="宋体" w:hAnsi="宋体" w:cs="宋体"/>
          <w:szCs w:val="21"/>
        </w:rPr>
        <w:t>、人工费、</w:t>
      </w:r>
      <w:r>
        <w:rPr>
          <w:rFonts w:hint="eastAsia" w:ascii="宋体" w:hAnsi="宋体" w:cs="宋体"/>
          <w:bCs/>
          <w:szCs w:val="21"/>
        </w:rPr>
        <w:t>各种税款、质保期内及质保期后的售后服务等与完成本项目有关的可预见及不可预见的一切成本和费用的总和。除本项目合同价款及甲方认可的特殊情况外,甲方不再为本项目另付任何其他费用给乙方。</w:t>
      </w:r>
    </w:p>
    <w:p>
      <w:pPr>
        <w:keepNext/>
        <w:adjustRightInd w:val="0"/>
        <w:snapToGrid w:val="0"/>
        <w:spacing w:line="330" w:lineRule="exact"/>
        <w:ind w:firstLine="422" w:firstLineChars="200"/>
        <w:rPr>
          <w:rFonts w:hint="eastAsia" w:ascii="宋体" w:hAnsi="宋体" w:cs="宋体"/>
          <w:szCs w:val="21"/>
        </w:rPr>
      </w:pPr>
      <w:r>
        <w:rPr>
          <w:rFonts w:hint="eastAsia" w:ascii="宋体" w:hAnsi="宋体" w:cs="宋体"/>
          <w:b/>
          <w:szCs w:val="21"/>
        </w:rPr>
        <w:t>第二条　质量保证</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1.乙方所提供的货物型号、技术规格、技术参数等质量必须与谈判文件、响应文件和承诺相一致。乙方提供的节能和环保产品必须是列入政府采购品目清单的产品。</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2.乙方所提供的货物必须是全新、未经使用的原装产品，且在正常安装、使用和保养条件下，其使用寿命期内各项指标均达到质量要求。</w:t>
      </w:r>
    </w:p>
    <w:p>
      <w:pPr>
        <w:keepNext/>
        <w:adjustRightInd w:val="0"/>
        <w:snapToGrid w:val="0"/>
        <w:spacing w:line="330" w:lineRule="exact"/>
        <w:ind w:firstLine="422" w:firstLineChars="200"/>
        <w:rPr>
          <w:rFonts w:hint="eastAsia" w:ascii="宋体" w:hAnsi="宋体" w:cs="宋体"/>
          <w:szCs w:val="21"/>
        </w:rPr>
      </w:pPr>
      <w:r>
        <w:rPr>
          <w:rFonts w:hint="eastAsia" w:ascii="宋体" w:hAnsi="宋体" w:cs="宋体"/>
          <w:b/>
          <w:szCs w:val="21"/>
        </w:rPr>
        <w:t>第三条　权利保证</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乙方应保证所提供货物在使用时不会侵犯任何第三方的专利权、商标权、工业设计权或其他权利。</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乙方应按谈判文件规定的时间或响应文件承诺的时间向甲方提供使用货物的有关技术资料。</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乙方保证所交付的货物的所有权完全属于乙方且无任何抵押、质押、查封等产权瑕疵。</w:t>
      </w:r>
    </w:p>
    <w:p>
      <w:pPr>
        <w:keepNext/>
        <w:adjustRightInd w:val="0"/>
        <w:snapToGrid w:val="0"/>
        <w:spacing w:line="330" w:lineRule="exact"/>
        <w:ind w:firstLine="422" w:firstLineChars="200"/>
        <w:rPr>
          <w:rFonts w:hint="eastAsia" w:ascii="宋体" w:hAnsi="宋体" w:cs="宋体"/>
          <w:b/>
          <w:szCs w:val="21"/>
        </w:rPr>
      </w:pPr>
      <w:r>
        <w:rPr>
          <w:rFonts w:hint="eastAsia" w:ascii="宋体" w:hAnsi="宋体" w:cs="宋体"/>
          <w:b/>
          <w:szCs w:val="21"/>
        </w:rPr>
        <w:t>第四条　包装和运输</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1.乙方提供的货物均应按谈判文件、响应文件要求的包装材料、包装标准、包装方式进行包装，每一包装单元内应附详细的装箱单和质量合格证。</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2.货物的运输方式：</w:t>
      </w:r>
      <w:r>
        <w:rPr>
          <w:rFonts w:hint="eastAsia" w:ascii="宋体" w:hAnsi="宋体" w:cs="宋体"/>
          <w:szCs w:val="21"/>
          <w:u w:val="single"/>
        </w:rPr>
        <w:t xml:space="preserve">             </w:t>
      </w:r>
      <w:r>
        <w:rPr>
          <w:rFonts w:hint="eastAsia" w:ascii="宋体" w:hAnsi="宋体" w:cs="宋体"/>
          <w:szCs w:val="21"/>
        </w:rPr>
        <w:t>。</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3.乙方负责货物运输，货物运输合理损耗及计算方法：</w:t>
      </w:r>
      <w:r>
        <w:rPr>
          <w:rFonts w:hint="eastAsia" w:ascii="宋体" w:hAnsi="宋体" w:cs="宋体"/>
          <w:szCs w:val="21"/>
          <w:u w:val="single"/>
        </w:rPr>
        <w:t xml:space="preserve">                 </w:t>
      </w:r>
      <w:r>
        <w:rPr>
          <w:rFonts w:hint="eastAsia" w:ascii="宋体" w:hAnsi="宋体" w:cs="宋体"/>
          <w:szCs w:val="21"/>
        </w:rPr>
        <w:t>。</w:t>
      </w:r>
    </w:p>
    <w:p>
      <w:pPr>
        <w:keepNext/>
        <w:adjustRightInd w:val="0"/>
        <w:snapToGrid w:val="0"/>
        <w:spacing w:line="330" w:lineRule="exact"/>
        <w:ind w:firstLine="422" w:firstLineChars="200"/>
        <w:rPr>
          <w:rFonts w:hint="eastAsia" w:ascii="宋体" w:hAnsi="宋体" w:cs="宋体"/>
          <w:szCs w:val="21"/>
        </w:rPr>
      </w:pPr>
      <w:r>
        <w:rPr>
          <w:rFonts w:hint="eastAsia" w:ascii="宋体" w:hAnsi="宋体" w:cs="宋体"/>
          <w:b/>
          <w:szCs w:val="21"/>
        </w:rPr>
        <w:t>第五条　交付和验收</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1.交付使用时间：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2.乙方提供不符合谈判文件、响应文件和本合同规定的货物，甲方有权拒绝接受。</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3.乙方应将所提供货物的装箱清单、用户手册、原厂保修卡、随机资料、工具和备品、备件等交付给甲方，如有缺失应及时补齐，否则视为逾期交货。</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4.甲方应当在到货（安装、调试完）后七个工作日内进行验收，逾期不验收的，乙方可视同验收合格。验收合格后由甲乙双方签署货物验收单并加盖甲方公章，甲乙双方各执一份。</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6.甲方对验收有异议的，在验收后五个工作日内以书面形式向乙方提出，乙方应自收到甲方书面异议之后</w:t>
      </w:r>
      <w:r>
        <w:rPr>
          <w:rFonts w:hint="eastAsia" w:ascii="宋体" w:hAnsi="宋体" w:cs="宋体"/>
          <w:szCs w:val="21"/>
          <w:u w:val="single"/>
        </w:rPr>
        <w:t xml:space="preserve">     </w:t>
      </w:r>
      <w:r>
        <w:rPr>
          <w:rFonts w:hint="eastAsia" w:ascii="宋体" w:hAnsi="宋体" w:cs="宋体"/>
          <w:szCs w:val="21"/>
        </w:rPr>
        <w:t>日内及时予以解决。</w:t>
      </w:r>
    </w:p>
    <w:p>
      <w:pPr>
        <w:keepNext/>
        <w:adjustRightInd w:val="0"/>
        <w:snapToGrid w:val="0"/>
        <w:spacing w:line="330" w:lineRule="exact"/>
        <w:ind w:firstLine="422" w:firstLineChars="200"/>
        <w:rPr>
          <w:rFonts w:hint="eastAsia" w:ascii="宋体" w:hAnsi="宋体" w:cs="宋体"/>
          <w:b/>
          <w:szCs w:val="21"/>
        </w:rPr>
      </w:pPr>
      <w:r>
        <w:rPr>
          <w:rFonts w:hint="eastAsia" w:ascii="宋体" w:hAnsi="宋体" w:cs="宋体"/>
          <w:b/>
          <w:szCs w:val="21"/>
        </w:rPr>
        <w:t>第六条　安装和培训</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1.甲方应提供必要安装条件（如场地、电源、水源等）。</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2.乙方负责甲方有关人员的培训。培训时间、地点：</w:t>
      </w:r>
      <w:r>
        <w:rPr>
          <w:rFonts w:hint="eastAsia" w:ascii="宋体" w:hAnsi="宋体" w:cs="宋体"/>
          <w:szCs w:val="21"/>
          <w:u w:val="single"/>
        </w:rPr>
        <w:t xml:space="preserve">               </w:t>
      </w:r>
      <w:r>
        <w:rPr>
          <w:rFonts w:hint="eastAsia" w:ascii="宋体" w:hAnsi="宋体" w:cs="宋体"/>
          <w:szCs w:val="21"/>
        </w:rPr>
        <w:t>。</w:t>
      </w:r>
    </w:p>
    <w:p>
      <w:pPr>
        <w:keepNext/>
        <w:adjustRightInd w:val="0"/>
        <w:snapToGrid w:val="0"/>
        <w:spacing w:line="330" w:lineRule="exact"/>
        <w:ind w:firstLine="422" w:firstLineChars="200"/>
        <w:rPr>
          <w:rFonts w:hint="eastAsia" w:ascii="宋体" w:hAnsi="宋体" w:cs="宋体"/>
          <w:b/>
          <w:szCs w:val="21"/>
        </w:rPr>
      </w:pPr>
      <w:r>
        <w:rPr>
          <w:rFonts w:hint="eastAsia" w:ascii="宋体" w:hAnsi="宋体" w:cs="宋体"/>
          <w:b/>
          <w:szCs w:val="21"/>
        </w:rPr>
        <w:t>第七条  售后服务、保修期</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1.乙方应按照国家有关法律法规和“三包”规定以及谈判文件、响应文件和本合同所附的《服务承诺》，为甲方提供售后服务。</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2.货物保修期：</w:t>
      </w:r>
      <w:r>
        <w:rPr>
          <w:rFonts w:hint="eastAsia" w:ascii="宋体" w:hAnsi="宋体" w:cs="宋体"/>
          <w:szCs w:val="21"/>
          <w:u w:val="single"/>
        </w:rPr>
        <w:t xml:space="preserve">                      </w:t>
      </w:r>
      <w:r>
        <w:rPr>
          <w:rFonts w:hint="eastAsia" w:ascii="宋体" w:hAnsi="宋体" w:cs="宋体"/>
          <w:szCs w:val="21"/>
        </w:rPr>
        <w:t>；</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3.乙方提供的服务承诺和售后服务及保修期责任等其它具体约定事项。（见合同附件）</w:t>
      </w:r>
    </w:p>
    <w:p>
      <w:pPr>
        <w:keepNext/>
        <w:adjustRightInd w:val="0"/>
        <w:snapToGrid w:val="0"/>
        <w:spacing w:line="330" w:lineRule="exact"/>
        <w:ind w:firstLine="422" w:firstLineChars="200"/>
        <w:rPr>
          <w:rFonts w:hint="eastAsia" w:ascii="宋体" w:hAnsi="宋体" w:cs="宋体"/>
          <w:szCs w:val="21"/>
        </w:rPr>
      </w:pPr>
      <w:r>
        <w:rPr>
          <w:rFonts w:hint="eastAsia" w:ascii="宋体" w:hAnsi="宋体" w:cs="宋体"/>
          <w:b/>
          <w:szCs w:val="21"/>
        </w:rPr>
        <w:t>第八条　付款方式</w:t>
      </w:r>
    </w:p>
    <w:p>
      <w:pPr>
        <w:pStyle w:val="28"/>
        <w:keepNext/>
        <w:adjustRightInd w:val="0"/>
        <w:snapToGrid w:val="0"/>
        <w:spacing w:line="330" w:lineRule="exact"/>
        <w:ind w:firstLine="462" w:firstLineChars="220"/>
        <w:rPr>
          <w:rFonts w:hint="eastAsia" w:hAnsi="宋体" w:cs="宋体"/>
        </w:rPr>
      </w:pPr>
      <w:r>
        <w:rPr>
          <w:rFonts w:hint="eastAsia" w:hAnsi="宋体" w:cs="宋体"/>
          <w:bCs/>
        </w:rPr>
        <w:t>1.</w:t>
      </w:r>
      <w:r>
        <w:rPr>
          <w:rFonts w:hint="eastAsia" w:hAnsi="宋体" w:cs="宋体"/>
        </w:rPr>
        <w:t>当采购数量与实际使用数量不一致时，乙方应根据实际使用量供货，合同的最终结算金额按实际使用量乘以合同单价进行计算。</w:t>
      </w:r>
    </w:p>
    <w:p>
      <w:pPr>
        <w:keepNext/>
        <w:adjustRightInd w:val="0"/>
        <w:snapToGrid w:val="0"/>
        <w:spacing w:line="330" w:lineRule="exact"/>
        <w:ind w:firstLine="420" w:firstLineChars="200"/>
        <w:rPr>
          <w:rFonts w:hint="eastAsia" w:ascii="宋体" w:hAnsi="宋体" w:cs="宋体"/>
          <w:szCs w:val="21"/>
          <w:u w:val="single"/>
        </w:rPr>
      </w:pPr>
      <w:r>
        <w:rPr>
          <w:rFonts w:hint="eastAsia" w:ascii="宋体" w:hAnsi="宋体" w:cs="宋体"/>
          <w:szCs w:val="21"/>
        </w:rPr>
        <w:t>2.资金性质：</w:t>
      </w:r>
      <w:r>
        <w:rPr>
          <w:rFonts w:hint="eastAsia" w:ascii="宋体" w:hAnsi="宋体" w:cs="宋体"/>
          <w:szCs w:val="21"/>
          <w:u w:val="single"/>
        </w:rPr>
        <w:t>财政性资金</w:t>
      </w:r>
      <w:r>
        <w:rPr>
          <w:rFonts w:hint="eastAsia" w:ascii="宋体" w:hAnsi="宋体" w:cs="宋体"/>
          <w:szCs w:val="21"/>
        </w:rPr>
        <w:t>。</w:t>
      </w:r>
    </w:p>
    <w:p>
      <w:pPr>
        <w:keepNext/>
        <w:adjustRightInd w:val="0"/>
        <w:snapToGrid w:val="0"/>
        <w:spacing w:line="330" w:lineRule="exact"/>
        <w:ind w:right="33" w:firstLine="420" w:firstLineChars="200"/>
        <w:rPr>
          <w:rFonts w:hint="eastAsia" w:ascii="宋体" w:hAnsi="宋体" w:cs="宋体"/>
          <w:szCs w:val="21"/>
        </w:rPr>
      </w:pPr>
      <w:r>
        <w:rPr>
          <w:rFonts w:hint="eastAsia" w:ascii="宋体" w:hAnsi="宋体" w:cs="宋体"/>
          <w:szCs w:val="21"/>
        </w:rPr>
        <w:t>3.付款方式：</w:t>
      </w:r>
      <w:r>
        <w:rPr>
          <w:rFonts w:hint="eastAsia" w:ascii="宋体" w:hAnsi="宋体" w:cs="宋体"/>
          <w:szCs w:val="21"/>
          <w:u w:val="single"/>
        </w:rPr>
        <w:t xml:space="preserve">                      </w:t>
      </w:r>
      <w:r>
        <w:rPr>
          <w:rFonts w:hint="eastAsia" w:ascii="宋体" w:hAnsi="宋体" w:cs="宋体"/>
          <w:kern w:val="0"/>
          <w:szCs w:val="21"/>
        </w:rPr>
        <w:t>。</w:t>
      </w:r>
    </w:p>
    <w:p>
      <w:pPr>
        <w:keepNext/>
        <w:snapToGrid w:val="0"/>
        <w:spacing w:line="340" w:lineRule="exact"/>
        <w:ind w:left="-61" w:leftChars="-29" w:firstLine="422" w:firstLineChars="200"/>
        <w:rPr>
          <w:rFonts w:hint="eastAsia" w:ascii="宋体" w:hAnsi="宋体"/>
          <w:b/>
          <w:spacing w:val="4"/>
          <w:szCs w:val="21"/>
          <w:u w:val="single"/>
        </w:rPr>
      </w:pPr>
      <w:r>
        <w:rPr>
          <w:rFonts w:hint="eastAsia" w:ascii="宋体" w:hAnsi="宋体"/>
          <w:b/>
          <w:szCs w:val="21"/>
        </w:rPr>
        <w:t>第九条　</w:t>
      </w:r>
      <w:r>
        <w:rPr>
          <w:rFonts w:hint="eastAsia" w:ascii="宋体" w:hAnsi="宋体"/>
          <w:b/>
          <w:spacing w:val="4"/>
          <w:szCs w:val="21"/>
        </w:rPr>
        <w:t>质量保证金</w:t>
      </w:r>
    </w:p>
    <w:p>
      <w:pPr>
        <w:keepNext/>
        <w:adjustRightInd w:val="0"/>
        <w:snapToGrid w:val="0"/>
        <w:spacing w:line="330" w:lineRule="exact"/>
        <w:ind w:firstLine="420" w:firstLineChars="200"/>
        <w:rPr>
          <w:rFonts w:hint="eastAsia" w:ascii="宋体" w:hAnsi="宋体"/>
          <w:bCs/>
          <w:lang w:eastAsia="zh-CN"/>
        </w:rPr>
      </w:pPr>
      <w:r>
        <w:rPr>
          <w:rFonts w:hint="eastAsia" w:ascii="宋体" w:hAnsi="宋体"/>
          <w:bCs/>
          <w:lang w:eastAsia="zh-CN"/>
        </w:rPr>
        <w:t>无需提供</w:t>
      </w:r>
    </w:p>
    <w:p>
      <w:pPr>
        <w:keepNext/>
        <w:adjustRightInd w:val="0"/>
        <w:snapToGrid w:val="0"/>
        <w:spacing w:line="330" w:lineRule="exact"/>
        <w:ind w:firstLine="422" w:firstLineChars="200"/>
        <w:rPr>
          <w:rFonts w:hint="eastAsia" w:ascii="宋体" w:hAnsi="宋体" w:cs="宋体"/>
          <w:b/>
          <w:szCs w:val="21"/>
        </w:rPr>
      </w:pPr>
      <w:r>
        <w:rPr>
          <w:rFonts w:hint="eastAsia" w:ascii="宋体" w:hAnsi="宋体" w:cs="宋体"/>
          <w:b/>
          <w:szCs w:val="21"/>
        </w:rPr>
        <w:t xml:space="preserve">第十条　税费 </w:t>
      </w:r>
    </w:p>
    <w:p>
      <w:pPr>
        <w:keepNext/>
        <w:adjustRightInd w:val="0"/>
        <w:snapToGrid w:val="0"/>
        <w:spacing w:line="330" w:lineRule="exact"/>
        <w:ind w:firstLine="420" w:firstLineChars="200"/>
        <w:rPr>
          <w:rFonts w:hint="eastAsia" w:ascii="宋体" w:hAnsi="宋体" w:cs="宋体"/>
          <w:b/>
          <w:szCs w:val="21"/>
        </w:rPr>
      </w:pPr>
      <w:r>
        <w:rPr>
          <w:rFonts w:hint="eastAsia" w:ascii="宋体" w:hAnsi="宋体" w:cs="宋体"/>
          <w:szCs w:val="21"/>
        </w:rPr>
        <w:t>本合同执行中相关的一切税费均由乙方负担。</w:t>
      </w:r>
    </w:p>
    <w:p>
      <w:pPr>
        <w:keepNext/>
        <w:adjustRightInd w:val="0"/>
        <w:snapToGrid w:val="0"/>
        <w:spacing w:line="330" w:lineRule="exact"/>
        <w:ind w:firstLine="422" w:firstLineChars="200"/>
        <w:rPr>
          <w:rFonts w:hint="eastAsia" w:ascii="宋体" w:hAnsi="宋体" w:cs="宋体"/>
          <w:b/>
          <w:szCs w:val="21"/>
        </w:rPr>
      </w:pPr>
      <w:r>
        <w:rPr>
          <w:rFonts w:hint="eastAsia" w:ascii="宋体" w:hAnsi="宋体" w:cs="宋体"/>
          <w:b/>
          <w:szCs w:val="21"/>
        </w:rPr>
        <w:t>第十一条  质量保证及售后服务</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1.乙方应按谈判文件规定及响应文件承诺的货物性能、技术要求、质量标准向甲方提供未经使用的全新产品。</w:t>
      </w:r>
      <w:r>
        <w:rPr>
          <w:rFonts w:hint="eastAsia" w:ascii="宋体" w:hAnsi="宋体" w:cs="宋体"/>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r>
        <w:rPr>
          <w:rFonts w:hint="eastAsia" w:ascii="宋体" w:hAnsi="宋体" w:cs="宋体"/>
          <w:szCs w:val="21"/>
        </w:rPr>
        <w:t>：</w:t>
      </w:r>
    </w:p>
    <w:p>
      <w:pPr>
        <w:pStyle w:val="28"/>
        <w:keepNext/>
        <w:adjustRightInd w:val="0"/>
        <w:snapToGrid w:val="0"/>
        <w:spacing w:line="330" w:lineRule="exact"/>
        <w:ind w:firstLine="525" w:firstLineChars="250"/>
        <w:rPr>
          <w:rFonts w:hint="eastAsia" w:hAnsi="宋体" w:cs="宋体"/>
        </w:rPr>
      </w:pPr>
      <w:r>
        <w:rPr>
          <w:rFonts w:hint="eastAsia" w:hAnsi="宋体" w:cs="宋体"/>
        </w:rPr>
        <w:t>（1）更换：由乙方承担所发生的全部费用。</w:t>
      </w:r>
    </w:p>
    <w:p>
      <w:pPr>
        <w:pStyle w:val="28"/>
        <w:keepNext/>
        <w:adjustRightInd w:val="0"/>
        <w:snapToGrid w:val="0"/>
        <w:spacing w:line="330" w:lineRule="exact"/>
        <w:ind w:firstLine="525" w:firstLineChars="250"/>
        <w:rPr>
          <w:rFonts w:hint="eastAsia" w:hAnsi="宋体" w:cs="宋体"/>
        </w:rPr>
      </w:pPr>
      <w:r>
        <w:rPr>
          <w:rFonts w:hint="eastAsia" w:hAnsi="宋体" w:cs="宋体"/>
        </w:rPr>
        <w:t>（2）贬值处理：由甲乙双方合议定价。</w:t>
      </w:r>
    </w:p>
    <w:p>
      <w:pPr>
        <w:pStyle w:val="28"/>
        <w:keepNext/>
        <w:adjustRightInd w:val="0"/>
        <w:snapToGrid w:val="0"/>
        <w:spacing w:line="330" w:lineRule="exact"/>
        <w:ind w:left="420" w:leftChars="200" w:firstLine="105" w:firstLineChars="50"/>
        <w:rPr>
          <w:rFonts w:hint="eastAsia" w:hAnsi="宋体" w:cs="宋体"/>
        </w:rPr>
      </w:pPr>
      <w:r>
        <w:rPr>
          <w:rFonts w:hint="eastAsia" w:hAnsi="宋体" w:cs="宋体"/>
        </w:rPr>
        <w:t>（3）退货处理：乙方应退还甲方支付的合同款，同时应承担该货物的直接费用（运输、保险、检验、</w:t>
      </w:r>
    </w:p>
    <w:p>
      <w:pPr>
        <w:pStyle w:val="28"/>
        <w:keepNext/>
        <w:adjustRightInd w:val="0"/>
        <w:snapToGrid w:val="0"/>
        <w:spacing w:line="330" w:lineRule="exact"/>
        <w:rPr>
          <w:rFonts w:hint="eastAsia" w:hAnsi="宋体" w:cs="宋体"/>
        </w:rPr>
      </w:pPr>
      <w:r>
        <w:rPr>
          <w:rFonts w:hint="eastAsia" w:hAnsi="宋体" w:cs="宋体"/>
        </w:rPr>
        <w:t>货款利息及银行手续费等）。</w:t>
      </w:r>
    </w:p>
    <w:p>
      <w:pPr>
        <w:pStyle w:val="28"/>
        <w:keepNext/>
        <w:adjustRightInd w:val="0"/>
        <w:snapToGrid w:val="0"/>
        <w:spacing w:line="330" w:lineRule="exact"/>
        <w:ind w:firstLine="420" w:firstLineChars="200"/>
        <w:rPr>
          <w:rFonts w:hint="eastAsia" w:hAnsi="宋体" w:cs="宋体"/>
        </w:rPr>
      </w:pPr>
      <w:r>
        <w:rPr>
          <w:rFonts w:hint="eastAsia" w:hAnsi="宋体" w:cs="宋体"/>
        </w:rPr>
        <w:t>2.如在使用过程中发生质量问题，乙方在接到甲方通知后在</w:t>
      </w:r>
      <w:r>
        <w:rPr>
          <w:rFonts w:hint="eastAsia" w:hAnsi="宋体" w:cs="宋体"/>
          <w:u w:val="single"/>
        </w:rPr>
        <w:t xml:space="preserve">    </w:t>
      </w:r>
      <w:r>
        <w:rPr>
          <w:rFonts w:hint="eastAsia" w:hAnsi="宋体" w:cs="宋体"/>
        </w:rPr>
        <w:t>小时内到达甲方现场。</w:t>
      </w:r>
    </w:p>
    <w:p>
      <w:pPr>
        <w:pStyle w:val="28"/>
        <w:keepNext/>
        <w:adjustRightInd w:val="0"/>
        <w:snapToGrid w:val="0"/>
        <w:spacing w:line="330" w:lineRule="exact"/>
        <w:ind w:firstLine="420" w:firstLineChars="200"/>
        <w:rPr>
          <w:rFonts w:hint="eastAsia" w:hAnsi="宋体" w:cs="宋体"/>
        </w:rPr>
      </w:pPr>
      <w:r>
        <w:rPr>
          <w:rFonts w:hint="eastAsia" w:hAnsi="宋体" w:cs="宋体"/>
        </w:rPr>
        <w:t>3.在质保期内，乙方应对货物出现的质量及安全问题负责处理解决并承担一切费用。</w:t>
      </w:r>
    </w:p>
    <w:p>
      <w:pPr>
        <w:pStyle w:val="28"/>
        <w:keepNext/>
        <w:adjustRightInd w:val="0"/>
        <w:snapToGrid w:val="0"/>
        <w:spacing w:line="330" w:lineRule="exact"/>
        <w:ind w:firstLine="420" w:firstLineChars="200"/>
        <w:rPr>
          <w:rFonts w:hint="eastAsia" w:hAnsi="宋体" w:cs="宋体"/>
        </w:rPr>
      </w:pPr>
      <w:r>
        <w:rPr>
          <w:rFonts w:hint="eastAsia" w:hAnsi="宋体" w:cs="宋体"/>
        </w:rPr>
        <w:t>4.上述的货物免费保修期详见本合同第七条，因人为因素出现的故障不在免费保修范围内。超过保修期的机器设备，终生维修，维修时只收部件成本费。</w:t>
      </w:r>
    </w:p>
    <w:p>
      <w:pPr>
        <w:pStyle w:val="28"/>
        <w:keepNext/>
        <w:adjustRightInd w:val="0"/>
        <w:snapToGrid w:val="0"/>
        <w:spacing w:line="330" w:lineRule="exact"/>
        <w:ind w:firstLine="413" w:firstLineChars="196"/>
        <w:rPr>
          <w:rFonts w:hint="eastAsia" w:hAnsi="宋体" w:cs="宋体"/>
          <w:b/>
        </w:rPr>
      </w:pPr>
      <w:r>
        <w:rPr>
          <w:rFonts w:hint="eastAsia" w:hAnsi="宋体" w:cs="宋体"/>
          <w:b/>
        </w:rPr>
        <w:t>第十二条  调试和验收</w:t>
      </w:r>
    </w:p>
    <w:p>
      <w:pPr>
        <w:pStyle w:val="28"/>
        <w:keepNext/>
        <w:adjustRightInd w:val="0"/>
        <w:snapToGrid w:val="0"/>
        <w:spacing w:line="330" w:lineRule="exact"/>
        <w:ind w:firstLine="420" w:firstLineChars="200"/>
        <w:jc w:val="left"/>
        <w:rPr>
          <w:rFonts w:hint="eastAsia" w:hAnsi="宋体" w:cs="宋体"/>
        </w:rPr>
      </w:pPr>
      <w:r>
        <w:rPr>
          <w:rFonts w:hint="eastAsia" w:hAnsi="宋体" w:cs="宋体"/>
        </w:rPr>
        <w:t>1.甲方对乙方提交的货物依据谈判文件上的技术规格要求和国家有关质量标准进行现场初步验收，外观、说明书、货物的相关证明文件（须提供原件）等符合谈判文件技术要求的，给予签收，初步验收不合格的不予签收。如验收有合格影响甲方正常工作的，甲方</w:t>
      </w:r>
      <w:r>
        <w:rPr>
          <w:rFonts w:hint="eastAsia" w:hAnsi="宋体" w:cs="宋体"/>
          <w:lang w:val="zh-CN"/>
        </w:rPr>
        <w:t>有权单方面解除合同，由此给</w:t>
      </w:r>
      <w:r>
        <w:rPr>
          <w:rFonts w:hint="eastAsia" w:hAnsi="宋体" w:cs="宋体"/>
        </w:rPr>
        <w:t>甲方</w:t>
      </w:r>
      <w:r>
        <w:rPr>
          <w:rFonts w:hint="eastAsia" w:hAnsi="宋体" w:cs="宋体"/>
          <w:lang w:val="zh-CN"/>
        </w:rPr>
        <w:t>造成的一切损失均由乙方负责赔偿，同时</w:t>
      </w:r>
      <w:r>
        <w:rPr>
          <w:rFonts w:hint="eastAsia" w:hAnsi="宋体" w:cs="宋体"/>
        </w:rPr>
        <w:t>甲方</w:t>
      </w:r>
      <w:r>
        <w:rPr>
          <w:rFonts w:hint="eastAsia" w:hAnsi="宋体" w:cs="宋体"/>
          <w:lang w:val="zh-CN"/>
        </w:rPr>
        <w:t>有权按国家相关法律法规的规定追究乙方虚假应标的相应责任。</w:t>
      </w:r>
      <w:r>
        <w:rPr>
          <w:rFonts w:hint="eastAsia" w:hAnsi="宋体" w:cs="宋体"/>
        </w:rPr>
        <w:t>货到后，</w:t>
      </w:r>
      <w:r>
        <w:rPr>
          <w:rFonts w:hint="eastAsia" w:hAnsi="宋体" w:cs="宋体"/>
          <w:bCs/>
        </w:rPr>
        <w:t>甲方应当在到货（安装、调试完）后</w:t>
      </w:r>
      <w:r>
        <w:rPr>
          <w:rFonts w:hint="eastAsia" w:hAnsi="宋体" w:cs="宋体"/>
          <w:bCs/>
          <w:u w:val="single"/>
        </w:rPr>
        <w:t xml:space="preserve">  7  </w:t>
      </w:r>
      <w:r>
        <w:rPr>
          <w:rFonts w:hint="eastAsia" w:hAnsi="宋体" w:cs="宋体"/>
          <w:bCs/>
        </w:rPr>
        <w:t>个工作日内进行验收</w:t>
      </w:r>
      <w:r>
        <w:rPr>
          <w:rFonts w:hint="eastAsia" w:hAnsi="宋体" w:cs="宋体"/>
        </w:rPr>
        <w:t>。</w:t>
      </w:r>
    </w:p>
    <w:p>
      <w:pPr>
        <w:pStyle w:val="28"/>
        <w:keepNext/>
        <w:adjustRightInd w:val="0"/>
        <w:snapToGrid w:val="0"/>
        <w:spacing w:line="330" w:lineRule="exact"/>
        <w:ind w:firstLine="420" w:firstLineChars="200"/>
        <w:rPr>
          <w:rFonts w:hint="eastAsia" w:hAnsi="宋体" w:cs="宋体"/>
        </w:rPr>
      </w:pPr>
      <w:r>
        <w:rPr>
          <w:rFonts w:hint="eastAsia" w:hAnsi="宋体" w:cs="宋体"/>
        </w:rPr>
        <w:t>2.乙方交货前应对产品作出全面检查和对验收文件进行整理，并列出清单，作为甲方收货验收和使用的技术条件依据，检验的结果应随货物交甲方。</w:t>
      </w:r>
    </w:p>
    <w:p>
      <w:pPr>
        <w:pStyle w:val="28"/>
        <w:keepNext/>
        <w:adjustRightInd w:val="0"/>
        <w:snapToGrid w:val="0"/>
        <w:spacing w:line="330" w:lineRule="exact"/>
        <w:ind w:firstLine="420" w:firstLineChars="200"/>
        <w:rPr>
          <w:rFonts w:hint="eastAsia" w:hAnsi="宋体" w:cs="宋体"/>
        </w:rPr>
      </w:pPr>
      <w:r>
        <w:rPr>
          <w:rFonts w:hint="eastAsia" w:hAnsi="宋体" w:cs="宋体"/>
        </w:rPr>
        <w:t>3.甲方对乙方提供的货物在使用前进行调试时，乙方需负责安装并培训甲方的使用操作人员，并协助甲方一起调试，直到符合技术要求，甲方才做最终验收。</w:t>
      </w:r>
    </w:p>
    <w:p>
      <w:pPr>
        <w:pStyle w:val="28"/>
        <w:keepNext/>
        <w:adjustRightInd w:val="0"/>
        <w:snapToGrid w:val="0"/>
        <w:spacing w:line="330" w:lineRule="exact"/>
        <w:ind w:firstLine="420" w:firstLineChars="200"/>
        <w:rPr>
          <w:rFonts w:hint="eastAsia" w:hAnsi="宋体" w:cs="宋体"/>
        </w:rPr>
      </w:pPr>
      <w:r>
        <w:rPr>
          <w:rFonts w:hint="eastAsia" w:hAnsi="宋体" w:cs="宋体"/>
        </w:rPr>
        <w:t>4.对技术复杂的货物，甲方应请国家认可的专业检测机构参与初步验收及最终验收，并由其出具质量检测报告。</w:t>
      </w:r>
    </w:p>
    <w:p>
      <w:pPr>
        <w:pStyle w:val="28"/>
        <w:keepNext/>
        <w:adjustRightInd w:val="0"/>
        <w:snapToGrid w:val="0"/>
        <w:spacing w:line="330" w:lineRule="exact"/>
        <w:ind w:firstLine="420" w:firstLineChars="200"/>
        <w:rPr>
          <w:rFonts w:hint="eastAsia" w:hAnsi="宋体" w:cs="宋体"/>
        </w:rPr>
      </w:pPr>
      <w:r>
        <w:rPr>
          <w:rFonts w:hint="eastAsia" w:hAnsi="宋体" w:cs="宋体"/>
        </w:rPr>
        <w:t>5.验收时乙方必须在现场，验收完毕后作出验收结果报告；验收费用由乙方负责。</w:t>
      </w:r>
    </w:p>
    <w:p>
      <w:pPr>
        <w:pStyle w:val="28"/>
        <w:keepNext/>
        <w:adjustRightInd w:val="0"/>
        <w:snapToGrid w:val="0"/>
        <w:spacing w:line="330" w:lineRule="exact"/>
        <w:ind w:firstLine="413" w:firstLineChars="196"/>
        <w:rPr>
          <w:rFonts w:hint="eastAsia" w:hAnsi="宋体" w:cs="宋体"/>
          <w:b/>
        </w:rPr>
      </w:pPr>
      <w:r>
        <w:rPr>
          <w:rFonts w:hint="eastAsia" w:hAnsi="宋体" w:cs="宋体"/>
          <w:b/>
        </w:rPr>
        <w:t>第十三条  货物包装、发运及运输</w:t>
      </w:r>
    </w:p>
    <w:p>
      <w:pPr>
        <w:pStyle w:val="28"/>
        <w:keepNext/>
        <w:adjustRightInd w:val="0"/>
        <w:snapToGrid w:val="0"/>
        <w:spacing w:line="330" w:lineRule="exact"/>
        <w:ind w:firstLine="359" w:firstLineChars="171"/>
        <w:rPr>
          <w:rFonts w:hint="eastAsia" w:hAnsi="宋体" w:cs="宋体"/>
        </w:rPr>
      </w:pPr>
      <w:r>
        <w:rPr>
          <w:rFonts w:hint="eastAsia" w:hAnsi="宋体" w:cs="宋体"/>
        </w:rPr>
        <w:t>1.乙方应在货物发运前对其进行满足运输距离、防潮、防震、防锈和防破损装卸等要求包装，以保证货物安全运达甲方指定地点。</w:t>
      </w:r>
    </w:p>
    <w:p>
      <w:pPr>
        <w:pStyle w:val="28"/>
        <w:keepNext/>
        <w:adjustRightInd w:val="0"/>
        <w:snapToGrid w:val="0"/>
        <w:spacing w:line="330" w:lineRule="exact"/>
        <w:ind w:firstLine="359" w:firstLineChars="171"/>
        <w:rPr>
          <w:rFonts w:hint="eastAsia" w:hAnsi="宋体" w:cs="宋体"/>
        </w:rPr>
      </w:pPr>
      <w:r>
        <w:rPr>
          <w:rFonts w:hint="eastAsia" w:hAnsi="宋体" w:cs="宋体"/>
        </w:rPr>
        <w:t>2.使用说明书、质量检验证明书、随配附件和工具以及清单一并附于货物内。</w:t>
      </w:r>
    </w:p>
    <w:p>
      <w:pPr>
        <w:pStyle w:val="28"/>
        <w:keepNext/>
        <w:adjustRightInd w:val="0"/>
        <w:snapToGrid w:val="0"/>
        <w:spacing w:line="330" w:lineRule="exact"/>
        <w:ind w:firstLine="359" w:firstLineChars="171"/>
        <w:rPr>
          <w:rFonts w:hint="eastAsia" w:hAnsi="宋体" w:cs="宋体"/>
        </w:rPr>
      </w:pPr>
      <w:r>
        <w:rPr>
          <w:rFonts w:hint="eastAsia" w:hAnsi="宋体" w:cs="宋体"/>
        </w:rPr>
        <w:t>3.乙方在货物发运手续办理完毕后二十四小时内或货到甲方四十八小时前通知甲方，以准备接货。</w:t>
      </w:r>
    </w:p>
    <w:p>
      <w:pPr>
        <w:pStyle w:val="28"/>
        <w:keepNext/>
        <w:adjustRightInd w:val="0"/>
        <w:snapToGrid w:val="0"/>
        <w:spacing w:line="330" w:lineRule="exact"/>
        <w:ind w:firstLine="359" w:firstLineChars="171"/>
        <w:rPr>
          <w:rFonts w:hint="eastAsia" w:hAnsi="宋体" w:cs="宋体"/>
        </w:rPr>
      </w:pPr>
      <w:r>
        <w:rPr>
          <w:rFonts w:hint="eastAsia" w:hAnsi="宋体" w:cs="宋体"/>
        </w:rPr>
        <w:t>4.货物在交付甲方前发生的风险均由乙方负责。</w:t>
      </w:r>
    </w:p>
    <w:p>
      <w:pPr>
        <w:pStyle w:val="28"/>
        <w:keepNext/>
        <w:adjustRightInd w:val="0"/>
        <w:snapToGrid w:val="0"/>
        <w:spacing w:line="330" w:lineRule="exact"/>
        <w:ind w:right="26" w:firstLine="359" w:firstLineChars="171"/>
        <w:rPr>
          <w:rFonts w:hint="eastAsia" w:hAnsi="宋体" w:cs="宋体"/>
          <w:spacing w:val="-8"/>
        </w:rPr>
      </w:pPr>
      <w:r>
        <w:rPr>
          <w:rFonts w:hint="eastAsia" w:hAnsi="宋体" w:cs="宋体"/>
        </w:rPr>
        <w:t>5.货</w:t>
      </w:r>
      <w:r>
        <w:rPr>
          <w:rFonts w:hint="eastAsia" w:hAnsi="宋体" w:cs="宋体"/>
          <w:spacing w:val="-8"/>
        </w:rPr>
        <w:t>物在规定的交付期限内由乙方送达甲方指定的地点视为交付，乙方同时需通知甲方货物已送达。</w:t>
      </w:r>
    </w:p>
    <w:p>
      <w:pPr>
        <w:keepNext/>
        <w:adjustRightInd w:val="0"/>
        <w:snapToGrid w:val="0"/>
        <w:spacing w:line="330" w:lineRule="exact"/>
        <w:ind w:firstLine="422" w:firstLineChars="200"/>
        <w:rPr>
          <w:rFonts w:hint="eastAsia" w:ascii="宋体" w:hAnsi="宋体" w:cs="宋体"/>
          <w:b/>
          <w:szCs w:val="21"/>
        </w:rPr>
      </w:pPr>
      <w:r>
        <w:rPr>
          <w:rFonts w:hint="eastAsia" w:ascii="宋体" w:hAnsi="宋体" w:cs="宋体"/>
          <w:b/>
          <w:szCs w:val="21"/>
        </w:rPr>
        <w:t>第十四条  违约责任</w:t>
      </w:r>
    </w:p>
    <w:p>
      <w:pPr>
        <w:keepNext/>
        <w:adjustRightInd w:val="0"/>
        <w:snapToGrid w:val="0"/>
        <w:spacing w:line="330" w:lineRule="exact"/>
        <w:ind w:firstLine="462" w:firstLineChars="220"/>
        <w:rPr>
          <w:rFonts w:hint="eastAsia" w:ascii="宋体" w:hAnsi="宋体" w:cs="宋体"/>
          <w:szCs w:val="21"/>
        </w:rPr>
      </w:pPr>
      <w:r>
        <w:rPr>
          <w:rFonts w:hint="eastAsia" w:ascii="宋体" w:hAnsi="宋体" w:cs="宋体"/>
          <w:szCs w:val="21"/>
        </w:rPr>
        <w:t xml:space="preserve">1.乙方所提供的货物规格、技术标准、材料或乙方提供的工程、服务等质量不合格影响甲方正常工作的，甲方有权单方面解除合同，由此给甲方造成的一切损失均由乙方负责赔偿，同时甲方有权按国家相关法律法规的规定追究乙方虚假应标的相应责任。如果甲方同意乙方在规定时间内对有质量问题的货物、工程及服务进行更换的，乙方应在甲方规定时间内及时更换，更换不及时的按逾期交货处罚。因质量问题甲方不同意接收的或特殊情况甲方同意接收的，乙方应向甲方支付违约货款额 5%违约金并赔偿甲方经济损失。                                       </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2.乙方提供的货物如侵犯了第三方合法权益而引发的任何纠纷或诉讼，均由乙方负责交涉并承担全部责任。</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3.因包装、运输引起的货物损坏，按质量不合格处罚。</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4.甲方无故延期接收货物、乙方逾期交货的，每天向对方偿付违约货款额3‰违约金，但违约金累计不得超过违约货款额5%，超过 5 日历日对方有权解除合同，违约方承担因此给对方造成经济损失；甲方延期付货款的，每天向乙方偿付延期货款额3‰ 滞纳金，但滞纳金累计不得超过延期货款额5%。</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5.乙方未按本合同和响应文件中规定的服务承诺提供售后服务的，乙方应按本合同合计金额 5%向甲方支付违约金。</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6.乙方提供的货物在质量保证期内，因设计、工艺或材料的缺陷和其它质量原因造成的问题，由乙方负责。</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7.乙方提供的培训质量和培训内容不能满足甲方实用要求的，按本条第5点处理。</w:t>
      </w:r>
    </w:p>
    <w:p>
      <w:pPr>
        <w:keepNext/>
        <w:adjustRightInd w:val="0"/>
        <w:snapToGrid w:val="0"/>
        <w:spacing w:line="330" w:lineRule="exact"/>
        <w:ind w:firstLine="420" w:firstLineChars="200"/>
        <w:rPr>
          <w:rFonts w:hint="eastAsia" w:ascii="宋体" w:hAnsi="宋体" w:cs="宋体"/>
          <w:szCs w:val="21"/>
        </w:rPr>
      </w:pPr>
      <w:r>
        <w:rPr>
          <w:rFonts w:hint="eastAsia" w:ascii="宋体" w:hAnsi="宋体" w:cs="宋体"/>
          <w:szCs w:val="21"/>
        </w:rPr>
        <w:t>8.其它违约行为按违约货款额5%收取违约金并赔偿经济损失。</w:t>
      </w:r>
    </w:p>
    <w:p>
      <w:pPr>
        <w:pStyle w:val="28"/>
        <w:keepNext/>
        <w:adjustRightInd w:val="0"/>
        <w:snapToGrid w:val="0"/>
        <w:spacing w:line="330" w:lineRule="exact"/>
        <w:ind w:firstLine="413" w:firstLineChars="196"/>
        <w:rPr>
          <w:rFonts w:hint="eastAsia" w:hAnsi="宋体" w:cs="宋体"/>
          <w:b/>
        </w:rPr>
      </w:pPr>
      <w:r>
        <w:rPr>
          <w:rFonts w:hint="eastAsia" w:hAnsi="宋体" w:cs="宋体"/>
          <w:b/>
        </w:rPr>
        <w:t>第十五条  不可抗力事件处理</w:t>
      </w:r>
    </w:p>
    <w:p>
      <w:pPr>
        <w:pStyle w:val="28"/>
        <w:keepNext/>
        <w:adjustRightInd w:val="0"/>
        <w:snapToGrid w:val="0"/>
        <w:spacing w:line="330" w:lineRule="exact"/>
        <w:ind w:firstLine="420" w:firstLineChars="200"/>
        <w:rPr>
          <w:rFonts w:hint="eastAsia" w:hAnsi="宋体" w:cs="宋体"/>
        </w:rPr>
      </w:pPr>
      <w:r>
        <w:rPr>
          <w:rFonts w:hint="eastAsia" w:hAnsi="宋体" w:cs="宋体"/>
        </w:rPr>
        <w:t>1.在合同有效期内，任何一方因不可抗力事件导致不能履行合同，则合同履行期可延长，其延长期与不可抗力影响期相同。</w:t>
      </w:r>
    </w:p>
    <w:p>
      <w:pPr>
        <w:pStyle w:val="28"/>
        <w:keepNext/>
        <w:adjustRightInd w:val="0"/>
        <w:snapToGrid w:val="0"/>
        <w:spacing w:line="330" w:lineRule="exact"/>
        <w:ind w:firstLine="420" w:firstLineChars="200"/>
        <w:rPr>
          <w:rFonts w:hint="eastAsia" w:hAnsi="宋体" w:cs="宋体"/>
        </w:rPr>
      </w:pPr>
      <w:r>
        <w:rPr>
          <w:rFonts w:hint="eastAsia" w:hAnsi="宋体" w:cs="宋体"/>
        </w:rPr>
        <w:t>2.不可抗力事件发生后，应立即通知对方，并寄送有关权威机构出具的证明。</w:t>
      </w:r>
    </w:p>
    <w:p>
      <w:pPr>
        <w:pStyle w:val="28"/>
        <w:keepNext/>
        <w:adjustRightInd w:val="0"/>
        <w:snapToGrid w:val="0"/>
        <w:spacing w:line="330" w:lineRule="exact"/>
        <w:ind w:firstLine="420" w:firstLineChars="200"/>
        <w:rPr>
          <w:rFonts w:hint="eastAsia" w:hAnsi="宋体" w:cs="宋体"/>
        </w:rPr>
      </w:pPr>
      <w:r>
        <w:rPr>
          <w:rFonts w:hint="eastAsia" w:hAnsi="宋体" w:cs="宋体"/>
        </w:rPr>
        <w:t>3.不可抗力事件延续一百二十天以上，双方应通过友好协商，确定是否继续履行合同。</w:t>
      </w:r>
    </w:p>
    <w:p>
      <w:pPr>
        <w:keepNext/>
        <w:adjustRightInd w:val="0"/>
        <w:snapToGrid w:val="0"/>
        <w:spacing w:line="330" w:lineRule="exact"/>
        <w:ind w:firstLine="422" w:firstLineChars="200"/>
        <w:rPr>
          <w:rFonts w:hint="eastAsia" w:ascii="宋体" w:hAnsi="宋体"/>
          <w:szCs w:val="21"/>
        </w:rPr>
      </w:pPr>
      <w:r>
        <w:rPr>
          <w:rFonts w:hint="eastAsia" w:ascii="宋体" w:hAnsi="宋体"/>
          <w:b/>
          <w:szCs w:val="21"/>
        </w:rPr>
        <w:t>第十六条  合同争议解决</w:t>
      </w:r>
    </w:p>
    <w:p>
      <w:pPr>
        <w:keepNext/>
        <w:adjustRightInd w:val="0"/>
        <w:snapToGrid w:val="0"/>
        <w:spacing w:line="330" w:lineRule="exact"/>
        <w:ind w:firstLine="420" w:firstLineChars="200"/>
        <w:rPr>
          <w:rFonts w:hint="eastAsia" w:ascii="宋体" w:hAnsi="宋体"/>
          <w:szCs w:val="21"/>
        </w:rPr>
      </w:pP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pPr>
        <w:keepNext/>
        <w:adjustRightInd w:val="0"/>
        <w:snapToGrid w:val="0"/>
        <w:spacing w:line="330" w:lineRule="exact"/>
        <w:ind w:firstLine="420" w:firstLineChars="200"/>
        <w:rPr>
          <w:rFonts w:hint="eastAsia" w:ascii="宋体" w:hAnsi="宋体"/>
          <w:szCs w:val="21"/>
        </w:rPr>
      </w:pPr>
      <w:r>
        <w:rPr>
          <w:rFonts w:hint="eastAsia" w:ascii="宋体" w:hAnsi="宋体"/>
          <w:szCs w:val="21"/>
        </w:rPr>
        <w:t>2.因履行本合同引起的或与本合同有关的争议，甲乙双方应首先通过友好协商解决，如果协商不能解决，可向甲方所在地的</w:t>
      </w:r>
      <w:r>
        <w:rPr>
          <w:rFonts w:hint="eastAsia" w:ascii="宋体" w:hAnsi="宋体"/>
          <w:szCs w:val="21"/>
          <w:u w:val="single"/>
        </w:rPr>
        <w:t xml:space="preserve">  人民法院提起诉讼 </w:t>
      </w:r>
      <w:r>
        <w:rPr>
          <w:rFonts w:hint="eastAsia" w:ascii="宋体" w:hAnsi="宋体"/>
          <w:szCs w:val="21"/>
        </w:rPr>
        <w:t>。</w:t>
      </w:r>
    </w:p>
    <w:p>
      <w:pPr>
        <w:keepNext/>
        <w:adjustRightInd w:val="0"/>
        <w:snapToGrid w:val="0"/>
        <w:spacing w:line="330" w:lineRule="exact"/>
        <w:ind w:firstLine="420" w:firstLineChars="200"/>
        <w:rPr>
          <w:rFonts w:hint="eastAsia" w:ascii="宋体" w:hAnsi="宋体"/>
          <w:szCs w:val="21"/>
        </w:rPr>
      </w:pPr>
      <w:r>
        <w:rPr>
          <w:rFonts w:hint="eastAsia" w:ascii="宋体" w:hAnsi="宋体"/>
          <w:szCs w:val="21"/>
        </w:rPr>
        <w:t>3.诉讼期间，本合同继续履行。</w:t>
      </w:r>
    </w:p>
    <w:p>
      <w:pPr>
        <w:pStyle w:val="28"/>
        <w:keepNext/>
        <w:adjustRightInd w:val="0"/>
        <w:snapToGrid w:val="0"/>
        <w:spacing w:line="330" w:lineRule="exact"/>
        <w:ind w:firstLine="413" w:firstLineChars="196"/>
        <w:rPr>
          <w:rFonts w:hint="eastAsia" w:hAnsi="宋体"/>
          <w:b/>
        </w:rPr>
      </w:pPr>
      <w:r>
        <w:rPr>
          <w:rFonts w:hint="eastAsia" w:hAnsi="宋体"/>
          <w:b/>
        </w:rPr>
        <w:t>第十七条  诉讼</w:t>
      </w:r>
    </w:p>
    <w:p>
      <w:pPr>
        <w:pStyle w:val="28"/>
        <w:keepNext/>
        <w:adjustRightInd w:val="0"/>
        <w:snapToGrid w:val="0"/>
        <w:spacing w:line="330" w:lineRule="exact"/>
        <w:ind w:firstLine="359" w:firstLineChars="171"/>
        <w:rPr>
          <w:rFonts w:hint="eastAsia" w:hAnsi="宋体"/>
        </w:rPr>
      </w:pPr>
      <w:r>
        <w:rPr>
          <w:rFonts w:hint="eastAsia" w:hAnsi="宋体"/>
        </w:rPr>
        <w:t>双方在执行合同中所发生的一切争议，应通过协商解决。如果协商不能解决，可向仲裁委员会申请仲裁或向人民法院提起诉讼。</w:t>
      </w:r>
    </w:p>
    <w:p>
      <w:pPr>
        <w:pStyle w:val="28"/>
        <w:keepNext/>
        <w:adjustRightInd w:val="0"/>
        <w:snapToGrid w:val="0"/>
        <w:spacing w:line="330" w:lineRule="exact"/>
        <w:ind w:firstLine="413" w:firstLineChars="196"/>
        <w:rPr>
          <w:rFonts w:hint="eastAsia" w:hAnsi="宋体"/>
          <w:b/>
        </w:rPr>
      </w:pPr>
      <w:r>
        <w:rPr>
          <w:rFonts w:hint="eastAsia" w:hAnsi="宋体"/>
          <w:b/>
        </w:rPr>
        <w:t>第十八条  合同生效及其它</w:t>
      </w:r>
    </w:p>
    <w:p>
      <w:pPr>
        <w:pStyle w:val="28"/>
        <w:keepNext/>
        <w:adjustRightInd w:val="0"/>
        <w:snapToGrid w:val="0"/>
        <w:spacing w:line="330" w:lineRule="exact"/>
        <w:ind w:firstLine="409" w:firstLineChars="195"/>
        <w:rPr>
          <w:rFonts w:hint="eastAsia" w:hAnsi="宋体"/>
        </w:rPr>
      </w:pPr>
      <w:r>
        <w:rPr>
          <w:rFonts w:hint="eastAsia" w:hAnsi="宋体"/>
        </w:rPr>
        <w:t>1.合同经双方</w:t>
      </w:r>
      <w:r>
        <w:rPr>
          <w:rFonts w:hint="eastAsia" w:hAnsi="宋体" w:cs="宋体"/>
          <w:spacing w:val="2"/>
        </w:rPr>
        <w:t>法定代表人（负责人）</w:t>
      </w:r>
      <w:r>
        <w:rPr>
          <w:rFonts w:hint="eastAsia" w:hAnsi="宋体"/>
        </w:rPr>
        <w:t>或授权代表（委托代理人）签字并加盖单位公章后生效。</w:t>
      </w:r>
    </w:p>
    <w:p>
      <w:pPr>
        <w:pStyle w:val="28"/>
        <w:keepNext/>
        <w:adjustRightInd w:val="0"/>
        <w:snapToGrid w:val="0"/>
        <w:spacing w:line="330" w:lineRule="exact"/>
        <w:ind w:left="1" w:firstLine="409" w:firstLineChars="195"/>
        <w:rPr>
          <w:rFonts w:hint="eastAsia" w:hAnsi="宋体"/>
        </w:rPr>
      </w:pPr>
      <w:r>
        <w:rPr>
          <w:rFonts w:hint="eastAsia" w:hAnsi="宋体"/>
        </w:rPr>
        <w:t>2.合同执行中涉及采购资金和采购内容修改或补充的，须经政府采购监管部门审批，并签书面补充协议报政府采购监管部门备案，方可作为主合同不可分割的一部分。</w:t>
      </w:r>
    </w:p>
    <w:p>
      <w:pPr>
        <w:pStyle w:val="28"/>
        <w:keepNext/>
        <w:adjustRightInd w:val="0"/>
        <w:snapToGrid w:val="0"/>
        <w:spacing w:line="330" w:lineRule="exact"/>
        <w:ind w:firstLine="411" w:firstLineChars="196"/>
        <w:rPr>
          <w:rFonts w:hint="eastAsia" w:hAnsi="宋体"/>
        </w:rPr>
      </w:pPr>
      <w:r>
        <w:rPr>
          <w:rFonts w:hint="eastAsia" w:hAnsi="宋体"/>
        </w:rPr>
        <w:t>3.本合同未尽事宜，遵照《合同法》有关条文执行。</w:t>
      </w:r>
    </w:p>
    <w:p>
      <w:pPr>
        <w:keepNext/>
        <w:adjustRightInd w:val="0"/>
        <w:snapToGrid w:val="0"/>
        <w:spacing w:line="330" w:lineRule="exact"/>
        <w:ind w:firstLine="422" w:firstLineChars="200"/>
        <w:rPr>
          <w:rFonts w:hint="eastAsia" w:ascii="宋体" w:hAnsi="宋体"/>
          <w:b/>
          <w:szCs w:val="21"/>
        </w:rPr>
      </w:pPr>
      <w:r>
        <w:rPr>
          <w:rFonts w:hint="eastAsia" w:ascii="宋体" w:hAnsi="宋体"/>
          <w:b/>
          <w:szCs w:val="21"/>
        </w:rPr>
        <w:t>第十九条　合同的变更、终止与转让</w:t>
      </w:r>
    </w:p>
    <w:p>
      <w:pPr>
        <w:keepNext/>
        <w:adjustRightInd w:val="0"/>
        <w:snapToGrid w:val="0"/>
        <w:spacing w:line="330" w:lineRule="exact"/>
        <w:ind w:firstLine="420" w:firstLineChars="200"/>
        <w:rPr>
          <w:rFonts w:hint="eastAsia"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pStyle w:val="28"/>
        <w:keepNext/>
        <w:adjustRightInd w:val="0"/>
        <w:snapToGrid w:val="0"/>
        <w:spacing w:line="330" w:lineRule="exact"/>
        <w:ind w:firstLine="411" w:firstLineChars="196"/>
        <w:rPr>
          <w:rFonts w:hint="eastAsia" w:hAnsi="宋体"/>
          <w:b/>
        </w:rPr>
      </w:pPr>
      <w:r>
        <w:rPr>
          <w:rFonts w:hint="eastAsia" w:hAnsi="宋体"/>
        </w:rPr>
        <w:t>2.乙方不得擅自转让（无进口资格的供应商委托进口货物除外）其应履行的合同义务。</w:t>
      </w:r>
    </w:p>
    <w:p>
      <w:pPr>
        <w:keepNext/>
        <w:adjustRightInd w:val="0"/>
        <w:snapToGrid w:val="0"/>
        <w:spacing w:line="330" w:lineRule="exact"/>
        <w:ind w:firstLine="422" w:firstLineChars="200"/>
        <w:rPr>
          <w:rFonts w:hint="eastAsia" w:ascii="宋体" w:hAnsi="宋体"/>
          <w:b/>
          <w:szCs w:val="21"/>
        </w:rPr>
      </w:pPr>
      <w:r>
        <w:rPr>
          <w:rFonts w:hint="eastAsia" w:ascii="宋体" w:hAnsi="宋体"/>
          <w:b/>
          <w:szCs w:val="21"/>
        </w:rPr>
        <w:t>第二十条　签订本合同依据</w:t>
      </w:r>
    </w:p>
    <w:p>
      <w:pPr>
        <w:keepNext/>
        <w:adjustRightInd w:val="0"/>
        <w:snapToGrid w:val="0"/>
        <w:spacing w:line="330" w:lineRule="exact"/>
        <w:ind w:firstLine="420" w:firstLineChars="200"/>
        <w:rPr>
          <w:rFonts w:hint="eastAsia" w:ascii="宋体" w:hAnsi="宋体"/>
          <w:szCs w:val="21"/>
        </w:rPr>
      </w:pPr>
      <w:r>
        <w:rPr>
          <w:rFonts w:hint="eastAsia" w:ascii="宋体" w:hAnsi="宋体"/>
          <w:szCs w:val="21"/>
        </w:rPr>
        <w:t>1.谈判文件；</w:t>
      </w:r>
    </w:p>
    <w:p>
      <w:pPr>
        <w:keepNext/>
        <w:adjustRightInd w:val="0"/>
        <w:snapToGrid w:val="0"/>
        <w:spacing w:line="330" w:lineRule="exact"/>
        <w:ind w:firstLine="420" w:firstLineChars="200"/>
        <w:rPr>
          <w:rFonts w:hint="eastAsia" w:ascii="宋体" w:hAnsi="宋体"/>
          <w:szCs w:val="21"/>
        </w:rPr>
      </w:pPr>
      <w:r>
        <w:rPr>
          <w:rFonts w:hint="eastAsia" w:ascii="宋体" w:hAnsi="宋体"/>
          <w:szCs w:val="21"/>
        </w:rPr>
        <w:t>2.乙方提供的响应文件；</w:t>
      </w:r>
    </w:p>
    <w:p>
      <w:pPr>
        <w:keepNext/>
        <w:adjustRightInd w:val="0"/>
        <w:snapToGrid w:val="0"/>
        <w:spacing w:line="330" w:lineRule="exact"/>
        <w:ind w:firstLine="420" w:firstLineChars="200"/>
        <w:rPr>
          <w:rFonts w:hint="eastAsia" w:ascii="宋体" w:hAnsi="宋体"/>
          <w:szCs w:val="21"/>
        </w:rPr>
      </w:pPr>
      <w:r>
        <w:rPr>
          <w:rFonts w:hint="eastAsia" w:ascii="宋体" w:hAnsi="宋体"/>
          <w:szCs w:val="21"/>
        </w:rPr>
        <w:t xml:space="preserve">3.谈判书； </w:t>
      </w:r>
    </w:p>
    <w:p>
      <w:pPr>
        <w:keepNext/>
        <w:adjustRightInd w:val="0"/>
        <w:snapToGrid w:val="0"/>
        <w:spacing w:line="330" w:lineRule="exact"/>
        <w:ind w:firstLine="420" w:firstLineChars="200"/>
        <w:rPr>
          <w:rFonts w:hint="eastAsia" w:ascii="宋体" w:hAnsi="宋体"/>
          <w:szCs w:val="21"/>
        </w:rPr>
      </w:pPr>
      <w:r>
        <w:rPr>
          <w:rFonts w:hint="eastAsia" w:ascii="宋体" w:hAnsi="宋体"/>
          <w:szCs w:val="21"/>
        </w:rPr>
        <w:t>4.成交通知书。</w:t>
      </w:r>
    </w:p>
    <w:p>
      <w:pPr>
        <w:keepNext/>
        <w:adjustRightInd w:val="0"/>
        <w:snapToGrid w:val="0"/>
        <w:spacing w:line="330" w:lineRule="exact"/>
        <w:ind w:firstLine="422" w:firstLineChars="200"/>
        <w:rPr>
          <w:rFonts w:hint="eastAsia" w:ascii="宋体" w:hAnsi="宋体"/>
          <w:b/>
          <w:szCs w:val="21"/>
        </w:rPr>
      </w:pPr>
      <w:r>
        <w:rPr>
          <w:rFonts w:hint="eastAsia" w:ascii="宋体" w:hAnsi="宋体"/>
          <w:b/>
          <w:szCs w:val="21"/>
        </w:rPr>
        <w:t>第二十一条　</w:t>
      </w:r>
      <w:r>
        <w:rPr>
          <w:rFonts w:hint="eastAsia" w:ascii="宋体" w:hAnsi="宋体"/>
          <w:bCs/>
          <w:szCs w:val="21"/>
        </w:rPr>
        <w:t>本合同一式陆份，具有同等的法律效律，其中甲乙双方各执两份，采购代理机构两份（其中给政府采购监督管理一份）（可根据需要另增加）。</w:t>
      </w:r>
    </w:p>
    <w:p>
      <w:pPr>
        <w:keepNext/>
        <w:adjustRightInd w:val="0"/>
        <w:snapToGrid w:val="0"/>
        <w:spacing w:line="330" w:lineRule="exact"/>
        <w:ind w:firstLine="420" w:firstLineChars="200"/>
        <w:rPr>
          <w:rFonts w:hint="eastAsia" w:ascii="宋体" w:hAnsi="宋体"/>
          <w:szCs w:val="21"/>
        </w:rPr>
      </w:pPr>
      <w:r>
        <w:rPr>
          <w:rFonts w:hint="eastAsia" w:ascii="宋体" w:hAnsi="宋体"/>
          <w:szCs w:val="21"/>
        </w:rPr>
        <w:t>本合同甲乙双方签字盖章后生效，自签订之日起七个工作日内，采购人或采购代理机构应当将合同副本报政府采购监管部门备案。</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4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968" w:type="dxa"/>
            <w:noWrap w:val="0"/>
            <w:vAlign w:val="center"/>
          </w:tcPr>
          <w:p>
            <w:pPr>
              <w:keepNext/>
              <w:keepLines w:val="0"/>
              <w:suppressLineNumbers w:val="0"/>
              <w:snapToGrid w:val="0"/>
              <w:spacing w:before="0" w:beforeAutospacing="0" w:after="0" w:afterAutospacing="0" w:line="400" w:lineRule="exact"/>
              <w:ind w:left="0" w:right="0"/>
              <w:rPr>
                <w:rFonts w:hint="eastAsia" w:ascii="宋体" w:hAnsi="宋体" w:eastAsia="Times New Roman" w:cs="宋体"/>
                <w:szCs w:val="21"/>
              </w:rPr>
            </w:pPr>
            <w:r>
              <w:rPr>
                <w:rFonts w:hint="eastAsia" w:ascii="宋体" w:hAnsi="宋体" w:eastAsia="Times New Roman" w:cs="宋体"/>
                <w:szCs w:val="21"/>
              </w:rPr>
              <w:t xml:space="preserve">甲方（公章）           </w:t>
            </w:r>
          </w:p>
          <w:p>
            <w:pPr>
              <w:keepNext/>
              <w:keepLines w:val="0"/>
              <w:suppressLineNumbers w:val="0"/>
              <w:snapToGrid w:val="0"/>
              <w:spacing w:before="0" w:beforeAutospacing="0" w:after="0" w:afterAutospacing="0" w:line="400" w:lineRule="exact"/>
              <w:ind w:left="0" w:right="0" w:firstLine="945" w:firstLineChars="450"/>
              <w:jc w:val="right"/>
              <w:rPr>
                <w:rFonts w:hint="eastAsia" w:ascii="宋体" w:hAnsi="宋体" w:eastAsia="Times New Roman" w:cs="宋体"/>
                <w:szCs w:val="21"/>
              </w:rPr>
            </w:pPr>
            <w:r>
              <w:rPr>
                <w:rFonts w:hint="eastAsia" w:ascii="宋体" w:hAnsi="宋体" w:eastAsia="Times New Roman" w:cs="宋体"/>
                <w:szCs w:val="21"/>
              </w:rPr>
              <w:t>年   月   日</w:t>
            </w:r>
          </w:p>
        </w:tc>
        <w:tc>
          <w:tcPr>
            <w:tcW w:w="4971" w:type="dxa"/>
            <w:noWrap w:val="0"/>
            <w:vAlign w:val="center"/>
          </w:tcPr>
          <w:p>
            <w:pPr>
              <w:keepNext/>
              <w:keepLines w:val="0"/>
              <w:suppressLineNumbers w:val="0"/>
              <w:snapToGrid w:val="0"/>
              <w:spacing w:before="0" w:beforeAutospacing="0" w:after="0" w:afterAutospacing="0" w:line="400" w:lineRule="exact"/>
              <w:ind w:left="0" w:right="0"/>
              <w:rPr>
                <w:rFonts w:hint="eastAsia" w:ascii="宋体" w:hAnsi="宋体" w:eastAsia="Times New Roman" w:cs="宋体"/>
                <w:szCs w:val="21"/>
              </w:rPr>
            </w:pPr>
            <w:r>
              <w:rPr>
                <w:rFonts w:hint="eastAsia" w:ascii="宋体" w:hAnsi="宋体" w:eastAsia="Times New Roman" w:cs="宋体"/>
                <w:szCs w:val="21"/>
              </w:rPr>
              <w:t xml:space="preserve">乙方（公章）              </w:t>
            </w:r>
          </w:p>
          <w:p>
            <w:pPr>
              <w:keepNext/>
              <w:keepLines w:val="0"/>
              <w:suppressLineNumbers w:val="0"/>
              <w:snapToGrid w:val="0"/>
              <w:spacing w:before="0" w:beforeAutospacing="0" w:after="0" w:afterAutospacing="0" w:line="400" w:lineRule="exact"/>
              <w:ind w:left="0" w:right="0"/>
              <w:jc w:val="right"/>
              <w:rPr>
                <w:rFonts w:hint="eastAsia" w:ascii="宋体" w:hAnsi="宋体" w:eastAsia="Times New Roman" w:cs="宋体"/>
                <w:szCs w:val="21"/>
              </w:rPr>
            </w:pPr>
            <w:r>
              <w:rPr>
                <w:rFonts w:hint="eastAsia" w:ascii="宋体" w:hAnsi="宋体" w:eastAsia="Times New Roman"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968"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单位地址：</w:t>
            </w:r>
          </w:p>
        </w:tc>
        <w:tc>
          <w:tcPr>
            <w:tcW w:w="4971"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968"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Times New Roman"/>
                <w:szCs w:val="21"/>
              </w:rPr>
            </w:pPr>
            <w:r>
              <w:rPr>
                <w:rFonts w:hint="eastAsia" w:ascii="宋体" w:hAnsi="宋体" w:eastAsia="Times New Roman" w:cs="Times New Roman"/>
                <w:szCs w:val="21"/>
              </w:rPr>
              <w:t>统一社会信用代码：</w:t>
            </w:r>
          </w:p>
        </w:tc>
        <w:tc>
          <w:tcPr>
            <w:tcW w:w="4971"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Times New Roman"/>
                <w:szCs w:val="21"/>
              </w:rPr>
            </w:pPr>
            <w:r>
              <w:rPr>
                <w:rFonts w:hint="eastAsia" w:ascii="宋体" w:hAnsi="宋体" w:eastAsia="Times New Roman" w:cs="Times New Roman"/>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968"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法定代表人：</w:t>
            </w:r>
          </w:p>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或委托代理人：</w:t>
            </w:r>
          </w:p>
        </w:tc>
        <w:tc>
          <w:tcPr>
            <w:tcW w:w="4971"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法定代表人（负责人）：</w:t>
            </w:r>
          </w:p>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968"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电话：</w:t>
            </w:r>
          </w:p>
        </w:tc>
        <w:tc>
          <w:tcPr>
            <w:tcW w:w="4971"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968"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电子邮箱：</w:t>
            </w:r>
          </w:p>
        </w:tc>
        <w:tc>
          <w:tcPr>
            <w:tcW w:w="4971"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968"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开户银行：</w:t>
            </w:r>
          </w:p>
        </w:tc>
        <w:tc>
          <w:tcPr>
            <w:tcW w:w="4971"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968"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账号：</w:t>
            </w:r>
          </w:p>
        </w:tc>
        <w:tc>
          <w:tcPr>
            <w:tcW w:w="4971"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968"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邮政编码：</w:t>
            </w:r>
          </w:p>
        </w:tc>
        <w:tc>
          <w:tcPr>
            <w:tcW w:w="4971" w:type="dxa"/>
            <w:noWrap w:val="0"/>
            <w:vAlign w:val="center"/>
          </w:tcPr>
          <w:p>
            <w:pPr>
              <w:keepNext/>
              <w:keepLines w:val="0"/>
              <w:suppressLineNumbers w:val="0"/>
              <w:snapToGrid w:val="0"/>
              <w:spacing w:before="0" w:beforeAutospacing="0" w:after="0" w:afterAutospacing="0" w:line="320" w:lineRule="exact"/>
              <w:ind w:left="0" w:right="0"/>
              <w:rPr>
                <w:rFonts w:hint="eastAsia" w:ascii="宋体" w:hAnsi="宋体" w:eastAsia="Times New Roman" w:cs="宋体"/>
                <w:szCs w:val="21"/>
              </w:rPr>
            </w:pPr>
            <w:r>
              <w:rPr>
                <w:rFonts w:hint="eastAsia" w:ascii="宋体" w:hAnsi="宋体" w:eastAsia="Times New Roman"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4968" w:type="dxa"/>
            <w:noWrap w:val="0"/>
            <w:vAlign w:val="top"/>
          </w:tcPr>
          <w:p>
            <w:pPr>
              <w:keepNext/>
              <w:keepLines w:val="0"/>
              <w:suppressLineNumbers w:val="0"/>
              <w:snapToGrid w:val="0"/>
              <w:spacing w:before="0" w:beforeAutospacing="0" w:after="0" w:afterAutospacing="0" w:line="400" w:lineRule="exact"/>
              <w:ind w:left="0" w:right="0"/>
              <w:rPr>
                <w:rFonts w:hint="eastAsia" w:ascii="宋体" w:hAnsi="宋体" w:eastAsia="Times New Roman" w:cs="宋体"/>
                <w:szCs w:val="21"/>
              </w:rPr>
            </w:pPr>
            <w:r>
              <w:rPr>
                <w:rFonts w:hint="eastAsia" w:ascii="宋体" w:hAnsi="宋体" w:eastAsia="Times New Roman" w:cs="宋体"/>
                <w:szCs w:val="21"/>
              </w:rPr>
              <w:t>经办人：</w:t>
            </w:r>
          </w:p>
          <w:p>
            <w:pPr>
              <w:keepNext/>
              <w:keepLines w:val="0"/>
              <w:suppressLineNumbers w:val="0"/>
              <w:snapToGrid w:val="0"/>
              <w:spacing w:before="0" w:beforeAutospacing="0" w:after="0" w:afterAutospacing="0" w:line="400" w:lineRule="exact"/>
              <w:ind w:left="0" w:right="0"/>
              <w:jc w:val="right"/>
              <w:rPr>
                <w:rFonts w:hint="eastAsia" w:ascii="宋体" w:hAnsi="宋体" w:eastAsia="Times New Roman" w:cs="宋体"/>
                <w:szCs w:val="21"/>
              </w:rPr>
            </w:pPr>
            <w:r>
              <w:rPr>
                <w:rFonts w:hint="eastAsia" w:ascii="宋体" w:hAnsi="宋体" w:eastAsia="Times New Roman" w:cs="宋体"/>
                <w:szCs w:val="21"/>
              </w:rPr>
              <w:t>年    月    日</w:t>
            </w:r>
          </w:p>
        </w:tc>
        <w:tc>
          <w:tcPr>
            <w:tcW w:w="4971" w:type="dxa"/>
            <w:noWrap w:val="0"/>
            <w:vAlign w:val="top"/>
          </w:tcPr>
          <w:p>
            <w:pPr>
              <w:keepNext/>
              <w:keepLines w:val="0"/>
              <w:suppressLineNumbers w:val="0"/>
              <w:snapToGrid w:val="0"/>
              <w:spacing w:before="0" w:beforeAutospacing="0" w:after="0" w:afterAutospacing="0" w:line="400" w:lineRule="exact"/>
              <w:ind w:left="0" w:right="0"/>
              <w:rPr>
                <w:rFonts w:hint="eastAsia" w:ascii="宋体" w:hAnsi="宋体" w:eastAsia="Times New Roman" w:cs="宋体"/>
                <w:szCs w:val="21"/>
              </w:rPr>
            </w:pPr>
            <w:r>
              <w:rPr>
                <w:rFonts w:hint="eastAsia" w:ascii="宋体" w:hAnsi="宋体" w:eastAsia="Times New Roman" w:cs="宋体"/>
                <w:szCs w:val="21"/>
              </w:rPr>
              <w:t>经办人：</w:t>
            </w:r>
          </w:p>
          <w:p>
            <w:pPr>
              <w:keepNext/>
              <w:keepLines w:val="0"/>
              <w:suppressLineNumbers w:val="0"/>
              <w:snapToGrid w:val="0"/>
              <w:spacing w:before="0" w:beforeAutospacing="0" w:after="0" w:afterAutospacing="0" w:line="400" w:lineRule="exact"/>
              <w:ind w:left="0" w:right="0"/>
              <w:jc w:val="right"/>
              <w:rPr>
                <w:rFonts w:hint="eastAsia" w:ascii="宋体" w:hAnsi="宋体" w:eastAsia="Times New Roman" w:cs="宋体"/>
                <w:szCs w:val="21"/>
              </w:rPr>
            </w:pPr>
            <w:r>
              <w:rPr>
                <w:rFonts w:hint="eastAsia" w:ascii="宋体" w:hAnsi="宋体" w:eastAsia="Times New Roman" w:cs="宋体"/>
                <w:szCs w:val="21"/>
              </w:rPr>
              <w:t>年    月    日</w:t>
            </w:r>
          </w:p>
        </w:tc>
      </w:tr>
    </w:tbl>
    <w:p>
      <w:pPr>
        <w:keepNext/>
        <w:spacing w:line="300" w:lineRule="exact"/>
        <w:ind w:firstLine="422" w:firstLineChars="200"/>
        <w:rPr>
          <w:rFonts w:hint="eastAsia" w:ascii="宋体" w:hAnsi="宋体" w:cs="宋体"/>
          <w:b/>
          <w:szCs w:val="21"/>
        </w:rPr>
      </w:pPr>
      <w:r>
        <w:rPr>
          <w:rFonts w:hint="eastAsia" w:ascii="宋体" w:hAnsi="宋体" w:cs="宋体"/>
          <w:b/>
          <w:szCs w:val="21"/>
        </w:rPr>
        <w:t>注：1.非法定代表人（负责人）签署合同时需附法定代表人（负责人）授权委托书</w:t>
      </w:r>
    </w:p>
    <w:p>
      <w:pPr>
        <w:keepNext/>
        <w:spacing w:line="300" w:lineRule="exact"/>
        <w:rPr>
          <w:rFonts w:hint="eastAsia" w:ascii="宋体" w:hAnsi="宋体" w:cs="宋体"/>
          <w:b/>
          <w:szCs w:val="21"/>
        </w:rPr>
      </w:pPr>
      <w:r>
        <w:rPr>
          <w:rFonts w:hint="eastAsia" w:ascii="宋体" w:hAnsi="宋体" w:cs="宋体"/>
          <w:b/>
          <w:szCs w:val="21"/>
        </w:rPr>
        <w:t xml:space="preserve">        2.签署本合同时，合同封面须加盖甲乙双方单位公章，甲乙双方必须加盖骑缝章。</w:t>
      </w:r>
    </w:p>
    <w:p>
      <w:pPr>
        <w:keepNext/>
        <w:snapToGrid w:val="0"/>
        <w:spacing w:line="600" w:lineRule="exact"/>
        <w:jc w:val="center"/>
        <w:rPr>
          <w:rFonts w:hint="eastAsia" w:ascii="宋体" w:hAnsi="宋体" w:cs="宋体"/>
          <w:sz w:val="36"/>
          <w:szCs w:val="36"/>
        </w:rPr>
      </w:pPr>
    </w:p>
    <w:p>
      <w:pPr>
        <w:keepNext/>
        <w:snapToGrid w:val="0"/>
        <w:spacing w:line="600" w:lineRule="exact"/>
        <w:jc w:val="center"/>
        <w:rPr>
          <w:rFonts w:hint="eastAsia" w:ascii="宋体" w:hAnsi="宋体" w:cs="宋体"/>
          <w:sz w:val="36"/>
          <w:szCs w:val="36"/>
        </w:rPr>
      </w:pPr>
    </w:p>
    <w:p>
      <w:pPr>
        <w:keepNext/>
        <w:snapToGrid w:val="0"/>
        <w:spacing w:line="600" w:lineRule="exact"/>
        <w:jc w:val="center"/>
        <w:rPr>
          <w:rFonts w:hint="eastAsia" w:ascii="宋体" w:hAnsi="宋体" w:cs="宋体"/>
          <w:sz w:val="36"/>
          <w:szCs w:val="36"/>
        </w:rPr>
      </w:pPr>
    </w:p>
    <w:p>
      <w:pPr>
        <w:keepNext/>
        <w:snapToGrid w:val="0"/>
        <w:spacing w:line="600" w:lineRule="exact"/>
        <w:jc w:val="center"/>
        <w:rPr>
          <w:rFonts w:hint="eastAsia" w:ascii="宋体" w:hAnsi="宋体" w:cs="宋体"/>
          <w:sz w:val="36"/>
          <w:szCs w:val="36"/>
        </w:rPr>
      </w:pPr>
    </w:p>
    <w:p>
      <w:pPr>
        <w:keepNext/>
        <w:snapToGrid w:val="0"/>
        <w:spacing w:line="600" w:lineRule="exact"/>
        <w:jc w:val="center"/>
        <w:rPr>
          <w:rFonts w:hint="eastAsia" w:ascii="宋体" w:hAnsi="宋体" w:cs="宋体"/>
          <w:sz w:val="36"/>
          <w:szCs w:val="36"/>
        </w:rPr>
      </w:pPr>
    </w:p>
    <w:p>
      <w:pPr>
        <w:keepNext/>
        <w:snapToGrid w:val="0"/>
        <w:spacing w:line="600" w:lineRule="exact"/>
        <w:jc w:val="center"/>
        <w:rPr>
          <w:rFonts w:hint="eastAsia" w:ascii="宋体" w:hAnsi="宋体" w:cs="宋体"/>
          <w:sz w:val="36"/>
          <w:szCs w:val="36"/>
        </w:rPr>
      </w:pPr>
      <w:r>
        <w:rPr>
          <w:rFonts w:hint="eastAsia" w:ascii="宋体" w:hAnsi="宋体" w:cs="宋体"/>
          <w:sz w:val="36"/>
          <w:szCs w:val="36"/>
        </w:rPr>
        <w:t>合 同 附 件</w:t>
      </w:r>
    </w:p>
    <w:tbl>
      <w:tblPr>
        <w:tblStyle w:val="57"/>
        <w:tblW w:w="0" w:type="auto"/>
        <w:jc w:val="center"/>
        <w:tblLayout w:type="fixed"/>
        <w:tblCellMar>
          <w:top w:w="0" w:type="dxa"/>
          <w:left w:w="108" w:type="dxa"/>
          <w:bottom w:w="0" w:type="dxa"/>
          <w:right w:w="108" w:type="dxa"/>
        </w:tblCellMar>
      </w:tblPr>
      <w:tblGrid>
        <w:gridCol w:w="4370"/>
        <w:gridCol w:w="4815"/>
      </w:tblGrid>
      <w:tr>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noWrap w:val="0"/>
            <w:vAlign w:val="top"/>
          </w:tcPr>
          <w:p>
            <w:pPr>
              <w:keepNext/>
              <w:keepLines w:val="0"/>
              <w:suppressLineNumbers w:val="0"/>
              <w:snapToGrid w:val="0"/>
              <w:spacing w:before="156" w:beforeLines="50" w:beforeAutospacing="0" w:after="0" w:afterAutospacing="0"/>
              <w:ind w:left="0" w:right="0"/>
              <w:rPr>
                <w:rFonts w:hint="eastAsia" w:ascii="宋体" w:hAnsi="宋体" w:eastAsia="Times New Roman" w:cs="宋体"/>
                <w:szCs w:val="21"/>
              </w:rPr>
            </w:pPr>
            <w:r>
              <w:rPr>
                <w:rFonts w:hint="eastAsia" w:ascii="宋体" w:hAnsi="宋体" w:eastAsia="Times New Roman" w:cs="宋体"/>
                <w:szCs w:val="21"/>
              </w:rPr>
              <w:t>1.供应商承诺具体事项：</w:t>
            </w:r>
          </w:p>
        </w:tc>
      </w:tr>
      <w:tr>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noWrap w:val="0"/>
            <w:vAlign w:val="top"/>
          </w:tcPr>
          <w:p>
            <w:pPr>
              <w:keepNext/>
              <w:keepLines w:val="0"/>
              <w:suppressLineNumbers w:val="0"/>
              <w:snapToGrid w:val="0"/>
              <w:spacing w:before="156" w:beforeLines="50" w:beforeAutospacing="0" w:after="0" w:afterAutospacing="0"/>
              <w:ind w:left="0" w:right="0"/>
              <w:rPr>
                <w:rFonts w:hint="eastAsia" w:ascii="宋体" w:hAnsi="宋体" w:eastAsia="Times New Roman" w:cs="宋体"/>
                <w:szCs w:val="21"/>
              </w:rPr>
            </w:pPr>
            <w:r>
              <w:rPr>
                <w:rFonts w:hint="eastAsia" w:ascii="宋体" w:hAnsi="宋体" w:eastAsia="Times New Roman" w:cs="宋体"/>
                <w:szCs w:val="21"/>
              </w:rPr>
              <w:t>2.售后服务具体事项：</w:t>
            </w:r>
          </w:p>
        </w:tc>
      </w:tr>
      <w:tr>
        <w:tblPrEx>
          <w:tblCellMar>
            <w:top w:w="0" w:type="dxa"/>
            <w:left w:w="108" w:type="dxa"/>
            <w:bottom w:w="0" w:type="dxa"/>
            <w:right w:w="108" w:type="dxa"/>
          </w:tblCellMar>
        </w:tblPrEx>
        <w:trPr>
          <w:trHeight w:val="2710" w:hRule="atLeast"/>
          <w:jc w:val="center"/>
        </w:trPr>
        <w:tc>
          <w:tcPr>
            <w:tcW w:w="9185" w:type="dxa"/>
            <w:gridSpan w:val="2"/>
            <w:tcBorders>
              <w:top w:val="single" w:color="auto" w:sz="4" w:space="0"/>
              <w:left w:val="single" w:color="auto" w:sz="4" w:space="0"/>
              <w:right w:val="single" w:color="auto" w:sz="4" w:space="0"/>
            </w:tcBorders>
            <w:noWrap w:val="0"/>
            <w:vAlign w:val="top"/>
          </w:tcPr>
          <w:p>
            <w:pPr>
              <w:keepNext/>
              <w:keepLines w:val="0"/>
              <w:suppressLineNumbers w:val="0"/>
              <w:snapToGrid w:val="0"/>
              <w:spacing w:before="156" w:beforeLines="50" w:beforeAutospacing="0" w:after="0" w:afterAutospacing="0"/>
              <w:ind w:left="0" w:right="0"/>
              <w:rPr>
                <w:rFonts w:hint="eastAsia" w:ascii="宋体" w:hAnsi="宋体" w:eastAsia="Times New Roman" w:cs="宋体"/>
                <w:szCs w:val="21"/>
              </w:rPr>
            </w:pPr>
            <w:r>
              <w:rPr>
                <w:rFonts w:hint="eastAsia" w:ascii="宋体" w:hAnsi="宋体" w:eastAsia="Times New Roman" w:cs="宋体"/>
                <w:szCs w:val="21"/>
              </w:rPr>
              <w:t>3.保修期责任：</w:t>
            </w:r>
          </w:p>
        </w:tc>
      </w:tr>
      <w:tr>
        <w:tblPrEx>
          <w:tblCellMar>
            <w:top w:w="0" w:type="dxa"/>
            <w:left w:w="108" w:type="dxa"/>
            <w:bottom w:w="0" w:type="dxa"/>
            <w:right w:w="108" w:type="dxa"/>
          </w:tblCellMar>
        </w:tblPrEx>
        <w:trPr>
          <w:trHeight w:val="1810" w:hRule="atLeast"/>
          <w:jc w:val="center"/>
        </w:trPr>
        <w:tc>
          <w:tcPr>
            <w:tcW w:w="9185" w:type="dxa"/>
            <w:gridSpan w:val="2"/>
            <w:tcBorders>
              <w:top w:val="single" w:color="auto" w:sz="4" w:space="0"/>
              <w:left w:val="single" w:color="auto" w:sz="4" w:space="0"/>
              <w:right w:val="single" w:color="auto" w:sz="4" w:space="0"/>
            </w:tcBorders>
            <w:noWrap w:val="0"/>
            <w:vAlign w:val="top"/>
          </w:tcPr>
          <w:p>
            <w:pPr>
              <w:keepNext/>
              <w:keepLines w:val="0"/>
              <w:suppressLineNumbers w:val="0"/>
              <w:snapToGrid w:val="0"/>
              <w:spacing w:before="156" w:beforeLines="50" w:beforeAutospacing="0" w:after="0" w:afterAutospacing="0"/>
              <w:ind w:left="0" w:right="0"/>
              <w:rPr>
                <w:rFonts w:hint="eastAsia" w:ascii="宋体" w:hAnsi="宋体" w:eastAsia="Times New Roman" w:cs="宋体"/>
                <w:szCs w:val="21"/>
              </w:rPr>
            </w:pPr>
            <w:r>
              <w:rPr>
                <w:rFonts w:hint="eastAsia" w:ascii="宋体" w:hAnsi="宋体" w:eastAsia="Times New Roman" w:cs="宋体"/>
                <w:szCs w:val="21"/>
              </w:rPr>
              <w:t>4.其他具体事项：</w:t>
            </w:r>
          </w:p>
        </w:tc>
      </w:tr>
      <w:tr>
        <w:tblPrEx>
          <w:tblCellMar>
            <w:top w:w="0" w:type="dxa"/>
            <w:left w:w="108" w:type="dxa"/>
            <w:bottom w:w="0" w:type="dxa"/>
            <w:right w:w="108" w:type="dxa"/>
          </w:tblCellMar>
        </w:tblPrEx>
        <w:trPr>
          <w:trHeight w:val="2577" w:hRule="atLeast"/>
          <w:jc w:val="center"/>
        </w:trPr>
        <w:tc>
          <w:tcPr>
            <w:tcW w:w="4370" w:type="dxa"/>
            <w:tcBorders>
              <w:top w:val="single" w:color="auto" w:sz="4" w:space="0"/>
              <w:left w:val="single" w:color="auto" w:sz="4" w:space="0"/>
              <w:bottom w:val="single" w:color="auto" w:sz="4" w:space="0"/>
              <w:right w:val="single" w:color="auto" w:sz="4" w:space="0"/>
            </w:tcBorders>
            <w:noWrap w:val="0"/>
            <w:vAlign w:val="center"/>
          </w:tcPr>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r>
              <w:rPr>
                <w:rFonts w:hint="eastAsia" w:ascii="宋体" w:hAnsi="宋体" w:eastAsia="Times New Roman" w:cs="宋体"/>
                <w:szCs w:val="21"/>
              </w:rPr>
              <w:t>甲方（公章）</w:t>
            </w: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r>
              <w:rPr>
                <w:rFonts w:hint="eastAsia" w:ascii="宋体" w:hAnsi="宋体" w:eastAsia="Times New Roman" w:cs="宋体"/>
                <w:szCs w:val="21"/>
              </w:rPr>
              <w:t xml:space="preserve">                 年   月   日 </w:t>
            </w:r>
          </w:p>
        </w:tc>
        <w:tc>
          <w:tcPr>
            <w:tcW w:w="4815" w:type="dxa"/>
            <w:tcBorders>
              <w:top w:val="single" w:color="auto" w:sz="4" w:space="0"/>
              <w:left w:val="single" w:color="auto" w:sz="4" w:space="0"/>
              <w:bottom w:val="single" w:color="auto" w:sz="4" w:space="0"/>
              <w:right w:val="single" w:color="auto" w:sz="4" w:space="0"/>
            </w:tcBorders>
            <w:noWrap w:val="0"/>
            <w:vAlign w:val="center"/>
          </w:tcPr>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r>
              <w:rPr>
                <w:rFonts w:hint="eastAsia" w:ascii="宋体" w:hAnsi="宋体" w:eastAsia="Times New Roman" w:cs="宋体"/>
                <w:szCs w:val="21"/>
              </w:rPr>
              <w:t>乙方（公章）</w:t>
            </w: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p>
          <w:p>
            <w:pPr>
              <w:keepNext/>
              <w:keepLines w:val="0"/>
              <w:suppressLineNumbers w:val="0"/>
              <w:snapToGrid w:val="0"/>
              <w:spacing w:before="0" w:beforeAutospacing="0" w:after="0" w:afterAutospacing="0"/>
              <w:ind w:left="0" w:right="0" w:firstLine="422"/>
              <w:rPr>
                <w:rFonts w:hint="eastAsia" w:ascii="宋体" w:hAnsi="宋体" w:eastAsia="Times New Roman" w:cs="宋体"/>
                <w:szCs w:val="21"/>
              </w:rPr>
            </w:pPr>
            <w:r>
              <w:rPr>
                <w:rFonts w:hint="eastAsia" w:ascii="宋体" w:hAnsi="宋体" w:eastAsia="Times New Roman" w:cs="宋体"/>
                <w:szCs w:val="21"/>
              </w:rPr>
              <w:t xml:space="preserve">                年   月   日</w:t>
            </w:r>
          </w:p>
        </w:tc>
      </w:tr>
    </w:tbl>
    <w:p>
      <w:pPr>
        <w:keepNext/>
        <w:snapToGrid w:val="0"/>
        <w:spacing w:before="156" w:beforeLines="50"/>
        <w:rPr>
          <w:rFonts w:hint="eastAsia" w:ascii="宋体" w:hAnsi="宋体" w:cs="宋体"/>
          <w:szCs w:val="21"/>
        </w:rPr>
      </w:pPr>
      <w:r>
        <w:rPr>
          <w:rFonts w:hint="eastAsia" w:ascii="宋体" w:hAnsi="宋体" w:cs="宋体"/>
          <w:szCs w:val="21"/>
        </w:rPr>
        <w:t xml:space="preserve"> </w:t>
      </w:r>
    </w:p>
    <w:p>
      <w:pPr>
        <w:keepNext/>
        <w:snapToGrid w:val="0"/>
        <w:spacing w:line="600" w:lineRule="exact"/>
        <w:jc w:val="center"/>
        <w:rPr>
          <w:rFonts w:hint="eastAsia" w:ascii="宋体" w:hAnsi="宋体" w:cs="宋体"/>
          <w:sz w:val="36"/>
          <w:szCs w:val="36"/>
        </w:rPr>
      </w:pPr>
    </w:p>
    <w:p>
      <w:pPr>
        <w:keepNext/>
        <w:snapToGrid w:val="0"/>
        <w:spacing w:line="600" w:lineRule="exact"/>
        <w:jc w:val="center"/>
        <w:rPr>
          <w:rFonts w:hint="eastAsia" w:ascii="宋体" w:hAnsi="宋体" w:cs="宋体"/>
          <w:sz w:val="36"/>
          <w:szCs w:val="36"/>
        </w:rPr>
      </w:pPr>
    </w:p>
    <w:p>
      <w:pPr>
        <w:keepNext/>
        <w:snapToGrid w:val="0"/>
        <w:spacing w:after="156" w:afterLines="50"/>
        <w:rPr>
          <w:rFonts w:hint="eastAsia" w:ascii="宋体" w:hAnsi="宋体" w:cs="宋体"/>
          <w:b/>
          <w:szCs w:val="21"/>
        </w:rPr>
      </w:pPr>
    </w:p>
    <w:p>
      <w:pPr>
        <w:pStyle w:val="2"/>
        <w:rPr>
          <w:rFonts w:hint="eastAsia"/>
        </w:rPr>
      </w:pPr>
    </w:p>
    <w:p>
      <w:pPr>
        <w:snapToGrid w:val="0"/>
        <w:spacing w:line="600" w:lineRule="exact"/>
        <w:jc w:val="center"/>
        <w:rPr>
          <w:rFonts w:hint="eastAsia" w:ascii="宋体" w:hAnsi="宋体" w:cs="宋体"/>
          <w:sz w:val="36"/>
          <w:szCs w:val="36"/>
        </w:rPr>
      </w:pPr>
      <w:r>
        <w:rPr>
          <w:rFonts w:hint="eastAsia" w:ascii="宋体" w:hAnsi="宋体" w:cs="宋体"/>
          <w:sz w:val="36"/>
          <w:szCs w:val="36"/>
        </w:rPr>
        <w:t>北海市政府采购合同使用说明</w:t>
      </w:r>
    </w:p>
    <w:p>
      <w:pPr>
        <w:snapToGrid w:val="0"/>
        <w:spacing w:line="600" w:lineRule="exact"/>
        <w:jc w:val="center"/>
        <w:rPr>
          <w:rFonts w:hint="eastAsia" w:ascii="宋体" w:hAnsi="宋体" w:cs="宋体"/>
          <w:b/>
          <w:sz w:val="24"/>
        </w:rPr>
      </w:pPr>
      <w:r>
        <w:rPr>
          <w:rFonts w:hint="eastAsia" w:ascii="宋体" w:hAnsi="宋体" w:cs="宋体"/>
          <w:b/>
          <w:sz w:val="24"/>
        </w:rPr>
        <w:t>（一般货物类）</w:t>
      </w:r>
    </w:p>
    <w:p>
      <w:pPr>
        <w:snapToGrid w:val="0"/>
        <w:spacing w:line="380" w:lineRule="exact"/>
        <w:jc w:val="center"/>
        <w:rPr>
          <w:rFonts w:hint="eastAsia" w:ascii="宋体" w:hAnsi="宋体" w:cs="宋体"/>
          <w:szCs w:val="21"/>
        </w:rPr>
      </w:pPr>
    </w:p>
    <w:p>
      <w:pPr>
        <w:snapToGrid w:val="0"/>
        <w:spacing w:line="360" w:lineRule="exact"/>
        <w:ind w:firstLine="420" w:firstLineChars="200"/>
        <w:rPr>
          <w:rFonts w:hint="eastAsia" w:ascii="宋体" w:hAnsi="宋体" w:cs="宋体"/>
          <w:szCs w:val="21"/>
        </w:rPr>
      </w:pPr>
      <w:r>
        <w:rPr>
          <w:rFonts w:hint="eastAsia" w:ascii="宋体" w:hAnsi="宋体" w:cs="宋体"/>
          <w:szCs w:val="21"/>
        </w:rPr>
        <w:t>《政府采购合同》是对谈判文件、响应文件中货物和服务要约事项的细化和补充，所签订的合同不得对谈判文件和成交供应商响应文件作实质性修改；竞争性谈判采购过程中有关项目标的性状的重要澄清和承诺事项必须在合同相应条款中予以明确表达。采购人和成交供应商不得提出任何不合理的要求作为签订合同的条件；不得私下订立背离谈判文件实质性内容的协议。</w:t>
      </w:r>
    </w:p>
    <w:p>
      <w:pPr>
        <w:snapToGrid w:val="0"/>
        <w:spacing w:line="360" w:lineRule="exact"/>
        <w:ind w:firstLine="422" w:firstLineChars="200"/>
        <w:rPr>
          <w:rFonts w:hint="eastAsia" w:ascii="宋体" w:hAnsi="宋体" w:cs="宋体"/>
          <w:b/>
          <w:szCs w:val="21"/>
        </w:rPr>
      </w:pPr>
      <w:r>
        <w:rPr>
          <w:rFonts w:hint="eastAsia" w:ascii="宋体" w:hAnsi="宋体" w:cs="宋体"/>
          <w:b/>
          <w:szCs w:val="21"/>
        </w:rPr>
        <w:t>一、本合同适用范围</w:t>
      </w:r>
    </w:p>
    <w:p>
      <w:pPr>
        <w:snapToGrid w:val="0"/>
        <w:spacing w:line="360" w:lineRule="exact"/>
        <w:ind w:firstLine="420" w:firstLineChars="200"/>
        <w:rPr>
          <w:rFonts w:hint="eastAsia" w:ascii="宋体" w:hAnsi="宋体" w:cs="宋体"/>
          <w:szCs w:val="21"/>
        </w:rPr>
      </w:pPr>
      <w:r>
        <w:rPr>
          <w:rFonts w:hint="eastAsia" w:ascii="宋体" w:hAnsi="宋体" w:cs="宋体"/>
          <w:szCs w:val="21"/>
        </w:rPr>
        <w:t>家用电器、电子产品、教学仪器设备、医疗仪器设备、广播电视仪器设备、体育器材、音响乐器、药品、服装、印刷设备和印刷品等政府采购项目（协议供货除外）适用于本合同。</w:t>
      </w:r>
    </w:p>
    <w:p>
      <w:pPr>
        <w:snapToGrid w:val="0"/>
        <w:spacing w:line="360" w:lineRule="exact"/>
        <w:ind w:firstLine="422" w:firstLineChars="200"/>
        <w:rPr>
          <w:rFonts w:hint="eastAsia" w:ascii="宋体" w:hAnsi="宋体" w:cs="宋体"/>
          <w:b/>
          <w:szCs w:val="21"/>
        </w:rPr>
      </w:pPr>
      <w:r>
        <w:rPr>
          <w:rFonts w:hint="eastAsia" w:ascii="宋体" w:hAnsi="宋体" w:cs="宋体"/>
          <w:b/>
          <w:szCs w:val="21"/>
        </w:rPr>
        <w:t>二、填写说明</w:t>
      </w:r>
    </w:p>
    <w:p>
      <w:pPr>
        <w:snapToGrid w:val="0"/>
        <w:spacing w:line="360" w:lineRule="exact"/>
        <w:ind w:firstLine="420" w:firstLineChars="200"/>
        <w:rPr>
          <w:rFonts w:hint="eastAsia" w:ascii="宋体" w:hAnsi="宋体" w:cs="宋体"/>
          <w:szCs w:val="21"/>
        </w:rPr>
      </w:pPr>
      <w:r>
        <w:rPr>
          <w:rFonts w:hint="eastAsia" w:ascii="宋体" w:hAnsi="宋体" w:cs="宋体"/>
          <w:szCs w:val="21"/>
        </w:rPr>
        <w:t>（一）本合同划线部分所需填写内容，除以下条款特殊要求外，按谈判文件、响应文件要求填写，如谈判文件、响应文件没有明确，按甲乙双方商定意见填写。</w:t>
      </w:r>
    </w:p>
    <w:p>
      <w:pPr>
        <w:snapToGrid w:val="0"/>
        <w:spacing w:line="360" w:lineRule="exact"/>
        <w:ind w:firstLine="420" w:firstLineChars="200"/>
        <w:rPr>
          <w:rFonts w:hint="eastAsia" w:ascii="宋体" w:hAnsi="宋体" w:cs="宋体"/>
          <w:szCs w:val="21"/>
        </w:rPr>
      </w:pPr>
      <w:r>
        <w:rPr>
          <w:rFonts w:hint="eastAsia" w:ascii="宋体" w:hAnsi="宋体" w:cs="宋体"/>
          <w:szCs w:val="21"/>
        </w:rPr>
        <w:t>（二）第一条合同标的：按表中各项目要求填写，内容填写不下时可另加附页。</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（三）第四条包装和运输：货物运输方式包括；汽车、火车、轮船等。</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（四）货物交付和验收：时间按合同签订（或生效）后多少日（或工作日）或直接填X年X月X日前交货。</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（五）第八条付款方式和保证金：资金性质按一般预算拔款、政府性基金拔款、纳入财政专户管理的收入安排的资金、未纳入财政专户管理的收入安排的资金、上年结余填写。</w:t>
      </w:r>
    </w:p>
    <w:p>
      <w:pPr>
        <w:snapToGrid w:val="0"/>
        <w:spacing w:line="360" w:lineRule="exact"/>
        <w:ind w:firstLine="422" w:firstLineChars="200"/>
        <w:rPr>
          <w:rFonts w:hint="eastAsia" w:ascii="宋体" w:hAnsi="宋体" w:cs="宋体"/>
          <w:b/>
          <w:szCs w:val="21"/>
        </w:rPr>
      </w:pPr>
      <w:r>
        <w:rPr>
          <w:rFonts w:hint="eastAsia" w:ascii="宋体" w:hAnsi="宋体" w:cs="宋体"/>
          <w:b/>
          <w:szCs w:val="21"/>
        </w:rPr>
        <w:t>三、有关要求</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（一）各单位现使用的专业合同可作为本合同附件，但专业合同各条款必须符合谈判文件、响应文件和本合同各条款要求，如发生矛盾以本合同为准。</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（二）协议供货合同应使用原文本。</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（三）本合同条款中涉及选择性内容的，应当确定所选择的内容。除此之外，甲乙双方对本合同各条款均不能改动，只能在划线位置填写，如有改动视同无效。</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（四）本合同统一用</w:t>
      </w:r>
      <w:r>
        <w:rPr>
          <w:rFonts w:hint="eastAsia" w:ascii="宋体" w:hAnsi="宋体" w:cs="宋体"/>
          <w:caps/>
          <w:szCs w:val="21"/>
        </w:rPr>
        <w:t>A</w:t>
      </w:r>
      <w:r>
        <w:rPr>
          <w:rFonts w:hint="eastAsia" w:ascii="宋体" w:hAnsi="宋体" w:cs="宋体"/>
          <w:szCs w:val="21"/>
        </w:rPr>
        <w:t>4纸打印。</w:t>
      </w:r>
    </w:p>
    <w:p>
      <w:pPr>
        <w:adjustRightInd w:val="0"/>
        <w:snapToGrid w:val="0"/>
        <w:spacing w:line="380" w:lineRule="exact"/>
        <w:ind w:firstLine="388" w:firstLineChars="200"/>
        <w:rPr>
          <w:rFonts w:hint="eastAsia" w:ascii="宋体" w:hAnsi="宋体" w:cs="宋体"/>
          <w:spacing w:val="-8"/>
          <w:szCs w:val="21"/>
        </w:rPr>
      </w:pPr>
    </w:p>
    <w:p>
      <w:pPr>
        <w:adjustRightInd w:val="0"/>
        <w:snapToGrid w:val="0"/>
        <w:spacing w:line="380" w:lineRule="exact"/>
        <w:ind w:firstLine="388" w:firstLineChars="200"/>
        <w:rPr>
          <w:rFonts w:hint="eastAsia" w:ascii="宋体" w:hAnsi="宋体" w:cs="宋体"/>
          <w:spacing w:val="-8"/>
          <w:szCs w:val="21"/>
        </w:rPr>
      </w:pPr>
    </w:p>
    <w:p>
      <w:pPr>
        <w:adjustRightInd w:val="0"/>
        <w:snapToGrid w:val="0"/>
        <w:spacing w:line="380" w:lineRule="exact"/>
        <w:ind w:firstLine="388" w:firstLineChars="200"/>
        <w:rPr>
          <w:rFonts w:hint="eastAsia" w:ascii="宋体" w:hAnsi="宋体" w:cs="宋体"/>
          <w:spacing w:val="-8"/>
          <w:szCs w:val="21"/>
        </w:rPr>
      </w:pPr>
    </w:p>
    <w:p>
      <w:pPr>
        <w:adjustRightInd w:val="0"/>
        <w:snapToGrid w:val="0"/>
        <w:spacing w:line="380" w:lineRule="exact"/>
        <w:ind w:firstLine="388" w:firstLineChars="200"/>
        <w:rPr>
          <w:rFonts w:hint="eastAsia" w:ascii="宋体" w:hAnsi="宋体" w:cs="宋体"/>
          <w:spacing w:val="-8"/>
          <w:szCs w:val="21"/>
        </w:rPr>
      </w:pPr>
    </w:p>
    <w:p>
      <w:pPr>
        <w:adjustRightInd w:val="0"/>
        <w:snapToGrid w:val="0"/>
        <w:spacing w:line="380" w:lineRule="exact"/>
        <w:ind w:firstLine="388" w:firstLineChars="200"/>
        <w:rPr>
          <w:rFonts w:hint="eastAsia" w:ascii="宋体" w:hAnsi="宋体" w:cs="宋体"/>
          <w:spacing w:val="-8"/>
          <w:szCs w:val="21"/>
        </w:rPr>
      </w:pPr>
    </w:p>
    <w:p>
      <w:pPr>
        <w:adjustRightInd w:val="0"/>
        <w:snapToGrid w:val="0"/>
        <w:spacing w:line="380" w:lineRule="exact"/>
        <w:ind w:firstLine="388" w:firstLineChars="200"/>
        <w:rPr>
          <w:rFonts w:hint="eastAsia" w:ascii="宋体" w:hAnsi="宋体" w:cs="宋体"/>
          <w:spacing w:val="-8"/>
          <w:szCs w:val="21"/>
        </w:rPr>
      </w:pPr>
    </w:p>
    <w:p>
      <w:pPr>
        <w:adjustRightInd w:val="0"/>
        <w:snapToGrid w:val="0"/>
        <w:spacing w:line="380" w:lineRule="exact"/>
        <w:ind w:firstLine="388" w:firstLineChars="200"/>
        <w:rPr>
          <w:rFonts w:hint="eastAsia" w:ascii="宋体" w:hAnsi="宋体" w:cs="宋体"/>
          <w:spacing w:val="-8"/>
          <w:szCs w:val="21"/>
        </w:rPr>
      </w:pPr>
    </w:p>
    <w:p>
      <w:pPr>
        <w:spacing w:line="360" w:lineRule="exact"/>
        <w:rPr>
          <w:rFonts w:hint="eastAsia" w:ascii="宋体" w:hAnsi="宋体" w:cs="宋体"/>
          <w:sz w:val="28"/>
          <w:szCs w:val="28"/>
        </w:rPr>
      </w:pPr>
      <w:bookmarkStart w:id="84" w:name="_Toc405905894"/>
    </w:p>
    <w:p>
      <w:pPr>
        <w:spacing w:line="360" w:lineRule="exact"/>
        <w:rPr>
          <w:rFonts w:hint="eastAsia" w:ascii="宋体" w:hAnsi="宋体" w:cs="宋体"/>
          <w:sz w:val="28"/>
          <w:szCs w:val="28"/>
        </w:rPr>
      </w:pPr>
    </w:p>
    <w:p>
      <w:pPr>
        <w:rPr>
          <w:rFonts w:hint="eastAsia" w:ascii="宋体" w:hAnsi="宋体" w:cs="宋体"/>
          <w:b/>
          <w:kern w:val="0"/>
          <w:sz w:val="36"/>
          <w:szCs w:val="36"/>
        </w:rPr>
      </w:pPr>
    </w:p>
    <w:p>
      <w:pPr>
        <w:pStyle w:val="3"/>
        <w:keepNext w:val="0"/>
        <w:keepLines w:val="0"/>
        <w:spacing w:before="0" w:after="0" w:line="600" w:lineRule="exact"/>
        <w:jc w:val="center"/>
        <w:rPr>
          <w:rFonts w:hint="eastAsia" w:ascii="宋体" w:hAnsi="宋体" w:eastAsia="宋体" w:cs="宋体"/>
          <w:b/>
          <w:kern w:val="0"/>
          <w:sz w:val="36"/>
          <w:szCs w:val="36"/>
        </w:rPr>
      </w:pPr>
    </w:p>
    <w:p>
      <w:pPr>
        <w:pStyle w:val="3"/>
        <w:keepNext w:val="0"/>
        <w:keepLines w:val="0"/>
        <w:spacing w:before="0" w:after="0" w:line="600" w:lineRule="exact"/>
        <w:jc w:val="center"/>
        <w:rPr>
          <w:rFonts w:hint="eastAsia" w:ascii="宋体" w:hAnsi="宋体" w:eastAsia="宋体" w:cs="宋体"/>
          <w:b/>
          <w:kern w:val="0"/>
          <w:sz w:val="32"/>
          <w:szCs w:val="32"/>
        </w:rPr>
      </w:pPr>
      <w:r>
        <w:rPr>
          <w:rFonts w:hint="eastAsia" w:ascii="宋体" w:hAnsi="宋体" w:eastAsia="宋体" w:cs="宋体"/>
          <w:b/>
          <w:kern w:val="0"/>
          <w:sz w:val="36"/>
          <w:szCs w:val="36"/>
        </w:rPr>
        <w:t>第六章  评定标准</w:t>
      </w:r>
      <w:bookmarkEnd w:id="84"/>
    </w:p>
    <w:p>
      <w:pPr>
        <w:pStyle w:val="28"/>
        <w:spacing w:line="360" w:lineRule="exact"/>
        <w:rPr>
          <w:rFonts w:hint="eastAsia" w:hAnsi="宋体" w:cs="宋体"/>
        </w:rPr>
      </w:pPr>
      <w:r>
        <w:rPr>
          <w:rFonts w:hint="eastAsia" w:hAnsi="宋体" w:cs="宋体"/>
          <w:b/>
        </w:rPr>
        <w:t>一、评审原则</w:t>
      </w:r>
    </w:p>
    <w:p>
      <w:pPr>
        <w:pStyle w:val="28"/>
        <w:spacing w:line="360" w:lineRule="exact"/>
        <w:ind w:left="420" w:leftChars="100" w:hanging="210" w:hangingChars="100"/>
        <w:rPr>
          <w:rFonts w:hint="eastAsia" w:hAnsi="宋体" w:cs="宋体"/>
        </w:rPr>
      </w:pPr>
      <w:r>
        <w:rPr>
          <w:rFonts w:hint="eastAsia" w:hAnsi="宋体" w:cs="宋体"/>
          <w:bCs/>
        </w:rPr>
        <w:t>1.谈判小组</w:t>
      </w:r>
      <w:r>
        <w:rPr>
          <w:rFonts w:hint="eastAsia" w:hAnsi="宋体" w:cs="宋体"/>
        </w:rPr>
        <w:t>成员</w:t>
      </w:r>
      <w:r>
        <w:rPr>
          <w:rFonts w:hint="eastAsia" w:hAnsi="宋体" w:cs="宋体"/>
          <w:bCs/>
        </w:rPr>
        <w:t>组成：本竞争性谈判采购项目的</w:t>
      </w:r>
      <w:r>
        <w:rPr>
          <w:rFonts w:hint="eastAsia" w:hAnsi="宋体" w:cs="宋体"/>
        </w:rPr>
        <w:t>谈判小组由采购人代表和评审专家共三人（含）以上的单数组成，其中评审专家的人数不得少于谈判小组成员总数的三分之二。</w:t>
      </w:r>
    </w:p>
    <w:p>
      <w:pPr>
        <w:pStyle w:val="28"/>
        <w:spacing w:line="360" w:lineRule="exact"/>
        <w:ind w:firstLine="210" w:firstLineChars="100"/>
        <w:rPr>
          <w:rFonts w:hint="eastAsia" w:hAnsi="宋体" w:cs="宋体"/>
        </w:rPr>
      </w:pPr>
      <w:r>
        <w:rPr>
          <w:rFonts w:hint="eastAsia" w:hAnsi="宋体" w:cs="宋体"/>
        </w:rPr>
        <w:t>2.评审依据：以竞争性谈判文件和响应文件为依据。</w:t>
      </w:r>
    </w:p>
    <w:p>
      <w:pPr>
        <w:pStyle w:val="28"/>
        <w:spacing w:line="360" w:lineRule="exact"/>
        <w:rPr>
          <w:rFonts w:hint="eastAsia" w:hAnsi="宋体" w:cs="宋体"/>
          <w:b/>
        </w:rPr>
      </w:pPr>
      <w:r>
        <w:rPr>
          <w:rFonts w:hint="eastAsia" w:hAnsi="宋体" w:cs="宋体"/>
          <w:b/>
        </w:rPr>
        <w:t>二、评审办法</w:t>
      </w:r>
    </w:p>
    <w:p>
      <w:pPr>
        <w:pStyle w:val="28"/>
        <w:spacing w:line="360" w:lineRule="exact"/>
        <w:ind w:left="420" w:leftChars="100" w:hanging="210" w:hangingChars="100"/>
        <w:rPr>
          <w:rFonts w:hint="eastAsia" w:hAnsi="宋体" w:cs="宋体"/>
          <w:kern w:val="0"/>
        </w:rPr>
      </w:pPr>
      <w:r>
        <w:rPr>
          <w:rFonts w:hint="eastAsia" w:hAnsi="宋体" w:cs="宋体"/>
          <w:kern w:val="0"/>
        </w:rPr>
        <w:t>1.谈判小组将以竞争性谈判文件为依据，对资格性和符合性检查合格的响应文件进行评审，在质量和服务均能满足竞争性谈判文件实质性响应要求的谈判供应商中，按下列程序确定成交供应商：</w:t>
      </w:r>
    </w:p>
    <w:p>
      <w:pPr>
        <w:pStyle w:val="28"/>
        <w:spacing w:line="360" w:lineRule="exact"/>
        <w:ind w:left="420" w:leftChars="100" w:hanging="210" w:hangingChars="100"/>
        <w:rPr>
          <w:rFonts w:hint="eastAsia" w:hAnsi="宋体" w:cs="宋体"/>
        </w:rPr>
      </w:pPr>
      <w:r>
        <w:rPr>
          <w:rFonts w:hint="eastAsia" w:hAnsi="宋体" w:cs="宋体"/>
          <w:kern w:val="0"/>
        </w:rPr>
        <w:t>2.</w:t>
      </w:r>
      <w:r>
        <w:rPr>
          <w:rFonts w:hint="eastAsia" w:hAnsi="宋体" w:cs="宋体"/>
        </w:rPr>
        <w:t>竞争性谈判的主要产品及参加本次谈判采购的谈判供应商按</w:t>
      </w:r>
      <w:r>
        <w:rPr>
          <w:rFonts w:hint="eastAsia" w:hAnsi="宋体"/>
        </w:rPr>
        <w:t>北海市财政局、北海市政府采购中心关于进一步优化政府采购营商环境落实政策服务企业的通知（北财采〔2020〕29号），严格执行</w:t>
      </w:r>
      <w:r>
        <w:rPr>
          <w:rFonts w:hint="eastAsia" w:hAnsi="宋体" w:cs="宋体"/>
        </w:rPr>
        <w:t>《政府采购促进中小企业发展暂行办法》（财库〔2011〕181号）认定为小型和微型企业产品及小型或微型企业的（提供《中小企业声明函》），对最后报价给予10%的扣除，扣除后的价格为评标价，即评标价=最后报价×（1-10%）；除上述情况外，评标价=最后报价。成交后仍以原报价为成交价。</w:t>
      </w:r>
    </w:p>
    <w:p>
      <w:pPr>
        <w:pStyle w:val="28"/>
        <w:spacing w:line="360" w:lineRule="exact"/>
        <w:ind w:left="420" w:leftChars="100" w:hanging="210" w:hangingChars="100"/>
        <w:outlineLvl w:val="0"/>
        <w:rPr>
          <w:rFonts w:hint="eastAsia" w:hAnsi="宋体" w:cs="宋体"/>
        </w:rPr>
      </w:pPr>
      <w:r>
        <w:rPr>
          <w:rFonts w:hint="eastAsia" w:hAnsi="宋体" w:cs="宋体"/>
        </w:rPr>
        <w:t>3.竞争性谈判的主要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8"/>
        <w:spacing w:line="360" w:lineRule="exact"/>
        <w:ind w:left="420" w:leftChars="100" w:hanging="210" w:hangingChars="100"/>
        <w:outlineLvl w:val="0"/>
        <w:rPr>
          <w:rFonts w:hint="eastAsia" w:hAnsi="宋体" w:cs="宋体"/>
          <w:bCs/>
        </w:rPr>
      </w:pPr>
      <w:r>
        <w:rPr>
          <w:rFonts w:hint="eastAsia" w:hAnsi="宋体" w:cs="宋体"/>
        </w:rPr>
        <w:t>4.</w:t>
      </w:r>
      <w:r>
        <w:rPr>
          <w:rFonts w:hint="eastAsia" w:hAnsi="宋体" w:cs="宋体"/>
          <w:bCs/>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8"/>
        <w:spacing w:line="360" w:lineRule="exact"/>
        <w:ind w:left="420" w:leftChars="100" w:hanging="210" w:hangingChars="100"/>
        <w:outlineLvl w:val="0"/>
        <w:rPr>
          <w:rFonts w:hint="eastAsia" w:hAnsi="宋体" w:cs="宋体"/>
          <w:bCs/>
        </w:rPr>
      </w:pPr>
      <w:r>
        <w:rPr>
          <w:rFonts w:hint="eastAsia" w:hAnsi="宋体" w:cs="宋体"/>
          <w:bCs/>
        </w:rPr>
        <w:t>5.落实强制采购节能产品、鼓励节能政策：对国家公布的节能产品政府采购品目清单中属于强制采购的产品，予以强制采购。属于非强制采购的产品，在技术、服务等指标同等条件下，予以优先采购。落实鼓励环保政策：在技术、服务等指标同等条件下，优先采购国家公布的属于环境标志产品政府采购品目清单中产品。</w:t>
      </w:r>
    </w:p>
    <w:p>
      <w:pPr>
        <w:pStyle w:val="28"/>
        <w:spacing w:line="360" w:lineRule="exact"/>
        <w:ind w:left="420" w:leftChars="100" w:hanging="210" w:hangingChars="100"/>
        <w:rPr>
          <w:rFonts w:hint="eastAsia" w:hAnsi="宋体" w:cs="宋体"/>
          <w:kern w:val="0"/>
        </w:rPr>
      </w:pPr>
      <w:r>
        <w:rPr>
          <w:rFonts w:hint="eastAsia" w:hAnsi="宋体" w:cs="宋体"/>
          <w:kern w:val="0"/>
        </w:rPr>
        <w:t>6.谈判小组将以谈判文件、谈判响应文件为评审依据，在谈判响应文件满足谈判文件全部实质性要求且</w:t>
      </w:r>
      <w:r>
        <w:rPr>
          <w:rFonts w:hint="eastAsia" w:hAnsi="宋体" w:cs="宋体"/>
        </w:rPr>
        <w:t>最后报价(</w:t>
      </w:r>
      <w:r>
        <w:rPr>
          <w:rFonts w:hint="eastAsia" w:hAnsi="宋体" w:cs="宋体"/>
          <w:kern w:val="0"/>
        </w:rPr>
        <w:t>评标价)最低的谈判供应商为成交候选人。</w:t>
      </w:r>
    </w:p>
    <w:p>
      <w:pPr>
        <w:pStyle w:val="28"/>
        <w:spacing w:line="360" w:lineRule="exact"/>
        <w:rPr>
          <w:rFonts w:hint="eastAsia" w:hAnsi="宋体" w:cs="宋体"/>
          <w:b/>
        </w:rPr>
      </w:pPr>
      <w:r>
        <w:rPr>
          <w:rFonts w:hint="eastAsia" w:hAnsi="宋体" w:cs="宋体"/>
          <w:b/>
        </w:rPr>
        <w:t>三、成交候选人推荐和确定原则</w:t>
      </w:r>
    </w:p>
    <w:p>
      <w:pPr>
        <w:pStyle w:val="28"/>
        <w:spacing w:line="360" w:lineRule="exact"/>
        <w:ind w:left="420" w:leftChars="100" w:hanging="210" w:hangingChars="100"/>
        <w:rPr>
          <w:rFonts w:hint="eastAsia" w:hAnsi="宋体" w:cs="宋体"/>
        </w:rPr>
      </w:pPr>
      <w:r>
        <w:rPr>
          <w:rFonts w:hint="eastAsia" w:hAnsi="宋体" w:cs="宋体"/>
        </w:rPr>
        <w:t>1.响应文件在</w:t>
      </w:r>
      <w:r>
        <w:rPr>
          <w:rFonts w:hint="eastAsia" w:hAnsi="宋体" w:cs="宋体"/>
          <w:kern w:val="0"/>
        </w:rPr>
        <w:t>质量和服</w:t>
      </w:r>
      <w:r>
        <w:rPr>
          <w:rFonts w:hint="eastAsia" w:hAnsi="宋体" w:cs="宋体"/>
        </w:rPr>
        <w:t>务均能满足竞争性谈判文件实质性响应要求时，谈判小组将按最后报价(</w:t>
      </w:r>
      <w:r>
        <w:rPr>
          <w:rFonts w:hint="eastAsia" w:hAnsi="宋体" w:cs="宋体"/>
          <w:kern w:val="0"/>
        </w:rPr>
        <w:t>评标价)</w:t>
      </w:r>
      <w:r>
        <w:rPr>
          <w:rFonts w:hint="eastAsia" w:hAnsi="宋体" w:cs="宋体"/>
        </w:rPr>
        <w:t>由低到高顺序推荐3名成交候选人[最后报价(</w:t>
      </w:r>
      <w:r>
        <w:rPr>
          <w:rFonts w:hint="eastAsia" w:hAnsi="宋体" w:cs="宋体"/>
          <w:kern w:val="0"/>
        </w:rPr>
        <w:t>评标价)</w:t>
      </w:r>
      <w:r>
        <w:rPr>
          <w:rFonts w:hint="eastAsia" w:hAnsi="宋体" w:cs="宋体"/>
        </w:rPr>
        <w:t>相同时，由谈判小组根据响应文件中技术、服务、合同条款情况集体讨论确定排序（</w:t>
      </w:r>
      <w:r>
        <w:rPr>
          <w:rFonts w:hint="eastAsia" w:hAnsi="宋体" w:cs="宋体"/>
          <w:kern w:val="0"/>
        </w:rPr>
        <w:t>多家谈判供应商参加谈判时</w:t>
      </w:r>
      <w:r>
        <w:rPr>
          <w:rFonts w:hint="eastAsia" w:hAnsi="宋体" w:cs="宋体"/>
        </w:rPr>
        <w:t>提供相同品牌产品的参照执行），并按确定排序由低到高的原则推荐成交候选人]。</w:t>
      </w:r>
    </w:p>
    <w:p>
      <w:pPr>
        <w:pStyle w:val="28"/>
        <w:spacing w:line="360" w:lineRule="exact"/>
        <w:ind w:left="420" w:leftChars="100" w:hanging="210" w:hangingChars="100"/>
        <w:rPr>
          <w:rFonts w:hint="eastAsia" w:hAnsi="宋体" w:cs="宋体"/>
        </w:rPr>
      </w:pPr>
      <w:r>
        <w:rPr>
          <w:rFonts w:hint="eastAsia" w:hAnsi="宋体" w:cs="宋体"/>
        </w:rPr>
        <w:t>2.谈判小组认为，某谈判供应商的报价明显低于其他通过符合性审查的谈判供应商报价，有可能影响产品质量或者不能诚信履约的，应当要求其在评审现场合理的时间内提供书面说明，必要时提交相关证明材料；谈判供应商不能证明其报价合理性的，谈判小组应当将其作为参加谈判采购无效处理，谈判小组可以取消该谈判供应商的</w:t>
      </w:r>
      <w:r>
        <w:rPr>
          <w:rFonts w:hint="eastAsia" w:hAnsi="宋体" w:cs="宋体"/>
          <w:bCs/>
        </w:rPr>
        <w:t>成交候选人</w:t>
      </w:r>
      <w:r>
        <w:rPr>
          <w:rFonts w:hint="eastAsia" w:hAnsi="宋体" w:cs="宋体"/>
        </w:rPr>
        <w:t>资格，按顺序由排在后面的</w:t>
      </w:r>
      <w:r>
        <w:rPr>
          <w:rFonts w:hint="eastAsia" w:hAnsi="宋体" w:cs="宋体"/>
          <w:bCs/>
        </w:rPr>
        <w:t>成交候选人</w:t>
      </w:r>
      <w:r>
        <w:rPr>
          <w:rFonts w:hint="eastAsia" w:hAnsi="宋体" w:cs="宋体"/>
        </w:rPr>
        <w:t>递补，以此类推。</w:t>
      </w:r>
    </w:p>
    <w:p>
      <w:pPr>
        <w:pStyle w:val="28"/>
        <w:spacing w:line="360" w:lineRule="exact"/>
        <w:ind w:left="420" w:leftChars="100" w:hanging="210" w:hangingChars="100"/>
        <w:rPr>
          <w:rFonts w:hint="eastAsia" w:hAnsi="宋体" w:cs="宋体"/>
        </w:rPr>
      </w:pPr>
      <w:r>
        <w:rPr>
          <w:rFonts w:hint="eastAsia" w:hAnsi="宋体" w:cs="宋体"/>
        </w:rPr>
        <w:t>3.采购人应当确定谈判小组推荐排名第一的成交候选人为成交供应商。排名第一的成交候选人拒绝或因故不能签订政府采购合同或不能履行合同的，采购人可以确定排名第二的成交候选人为成交供应商，以此类推</w:t>
      </w:r>
      <w:r>
        <w:rPr>
          <w:rFonts w:hint="eastAsia" w:hAnsi="宋体" w:cs="宋体"/>
          <w:bCs/>
        </w:rPr>
        <w:t>。当</w:t>
      </w:r>
      <w:r>
        <w:rPr>
          <w:rFonts w:hint="eastAsia" w:hAnsi="宋体" w:cs="宋体"/>
        </w:rPr>
        <w:t>成交候选人拒绝或因故不能签订政府采购合同或不能履行合同时，采购人也可以重新开展政府采购活动。</w:t>
      </w:r>
    </w:p>
    <w:p>
      <w:pPr>
        <w:rPr>
          <w:rFonts w:hint="eastAsia" w:ascii="宋体" w:hAnsi="宋体" w:cs="宋体"/>
          <w:b/>
          <w:bCs/>
          <w:sz w:val="30"/>
          <w:szCs w:val="30"/>
        </w:rPr>
      </w:pPr>
      <w:r>
        <w:rPr>
          <w:rFonts w:hint="eastAsia" w:ascii="宋体" w:hAnsi="宋体" w:cs="宋体"/>
          <w:b/>
          <w:bCs/>
          <w:sz w:val="30"/>
          <w:szCs w:val="30"/>
        </w:rPr>
        <w:t>附件：</w:t>
      </w:r>
    </w:p>
    <w:p>
      <w:pPr>
        <w:jc w:val="center"/>
        <w:rPr>
          <w:rFonts w:hint="eastAsia" w:ascii="宋体" w:hAnsi="宋体" w:cs="宋体"/>
          <w:b/>
          <w:sz w:val="28"/>
          <w:szCs w:val="28"/>
        </w:rPr>
      </w:pPr>
      <w:r>
        <w:rPr>
          <w:rFonts w:hint="eastAsia" w:ascii="宋体" w:hAnsi="宋体" w:cs="宋体"/>
          <w:b/>
          <w:bCs/>
          <w:sz w:val="30"/>
          <w:szCs w:val="30"/>
        </w:rPr>
        <w:t>谈判保证金退还账号说明书格式</w:t>
      </w:r>
    </w:p>
    <w:p>
      <w:pPr>
        <w:pStyle w:val="28"/>
        <w:spacing w:line="320" w:lineRule="exact"/>
        <w:rPr>
          <w:rFonts w:hint="eastAsia" w:hAnsi="宋体" w:cs="宋体"/>
          <w:bCs/>
        </w:rPr>
      </w:pPr>
    </w:p>
    <w:p>
      <w:pPr>
        <w:pStyle w:val="28"/>
        <w:spacing w:line="500" w:lineRule="exact"/>
        <w:rPr>
          <w:rFonts w:hint="eastAsia" w:hAnsi="宋体" w:cs="宋体"/>
          <w:bCs/>
          <w:sz w:val="24"/>
          <w:szCs w:val="24"/>
        </w:rPr>
      </w:pPr>
      <w:r>
        <w:rPr>
          <w:rFonts w:hint="eastAsia" w:hAnsi="宋体" w:cs="宋体"/>
          <w:bCs/>
          <w:sz w:val="24"/>
          <w:szCs w:val="24"/>
        </w:rPr>
        <w:t>广西新宇建设项目管理有限公司：</w:t>
      </w:r>
    </w:p>
    <w:p>
      <w:pPr>
        <w:pStyle w:val="28"/>
        <w:spacing w:line="500" w:lineRule="exact"/>
        <w:ind w:firstLine="480" w:firstLineChars="200"/>
        <w:rPr>
          <w:rFonts w:hint="eastAsia" w:hAnsi="宋体" w:cs="宋体"/>
          <w:sz w:val="24"/>
          <w:szCs w:val="24"/>
        </w:rPr>
      </w:pPr>
      <w:r>
        <w:rPr>
          <w:rFonts w:hint="eastAsia" w:hAnsi="宋体" w:cs="宋体"/>
          <w:bCs/>
          <w:sz w:val="24"/>
          <w:szCs w:val="24"/>
        </w:rPr>
        <w:t>我单位参加</w:t>
      </w:r>
      <w:r>
        <w:rPr>
          <w:rFonts w:hint="eastAsia" w:hAnsi="宋体" w:cs="宋体"/>
          <w:spacing w:val="-4"/>
          <w:sz w:val="24"/>
          <w:szCs w:val="24"/>
        </w:rPr>
        <w:t xml:space="preserve"> </w:t>
      </w:r>
      <w:r>
        <w:rPr>
          <w:rFonts w:hint="eastAsia" w:hAnsi="宋体" w:cs="宋体"/>
          <w:spacing w:val="-4"/>
          <w:sz w:val="24"/>
          <w:szCs w:val="24"/>
          <w:u w:val="single"/>
        </w:rPr>
        <w:t xml:space="preserve">                     </w:t>
      </w:r>
      <w:r>
        <w:rPr>
          <w:rFonts w:hint="eastAsia" w:hAnsi="宋体" w:cs="宋体"/>
          <w:sz w:val="24"/>
          <w:szCs w:val="24"/>
        </w:rPr>
        <w:t>（项目编号：</w:t>
      </w:r>
      <w:r>
        <w:rPr>
          <w:rFonts w:hint="eastAsia" w:hAnsi="宋体" w:cs="宋体"/>
          <w:sz w:val="24"/>
          <w:szCs w:val="24"/>
          <w:u w:val="single"/>
        </w:rPr>
        <w:t xml:space="preserve">          </w:t>
      </w:r>
      <w:r>
        <w:rPr>
          <w:rFonts w:hint="eastAsia" w:hAnsi="宋体" w:cs="宋体"/>
          <w:sz w:val="24"/>
          <w:szCs w:val="24"/>
        </w:rPr>
        <w:t>）项目竞争性谈判采购，</w:t>
      </w:r>
      <w:r>
        <w:rPr>
          <w:rFonts w:hint="eastAsia" w:hAnsi="宋体" w:cs="宋体"/>
          <w:bCs/>
          <w:sz w:val="24"/>
          <w:szCs w:val="24"/>
        </w:rPr>
        <w:t>交纳的谈判保证金情况如下：</w:t>
      </w:r>
    </w:p>
    <w:p>
      <w:pPr>
        <w:pStyle w:val="28"/>
        <w:spacing w:line="320" w:lineRule="exact"/>
        <w:ind w:firstLine="420" w:firstLineChars="200"/>
        <w:rPr>
          <w:rFonts w:hint="eastAsia" w:hAnsi="宋体" w:cs="宋体"/>
          <w:bCs/>
        </w:rPr>
      </w:pP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6"/>
        <w:gridCol w:w="2058"/>
        <w:gridCol w:w="3060"/>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726" w:type="dxa"/>
            <w:tcBorders>
              <w:left w:val="single" w:color="auto" w:sz="4" w:space="0"/>
              <w:right w:val="single" w:color="auto" w:sz="4" w:space="0"/>
            </w:tcBorders>
            <w:noWrap w:val="0"/>
            <w:vAlign w:val="center"/>
          </w:tcPr>
          <w:p>
            <w:pPr>
              <w:pStyle w:val="28"/>
              <w:keepNext w:val="0"/>
              <w:keepLines w:val="0"/>
              <w:suppressLineNumbers w:val="0"/>
              <w:spacing w:before="0" w:beforeAutospacing="0" w:after="0" w:afterAutospacing="0" w:line="320" w:lineRule="exact"/>
              <w:ind w:left="0" w:right="0"/>
              <w:jc w:val="center"/>
              <w:rPr>
                <w:rFonts w:hint="eastAsia" w:hAnsi="宋体" w:eastAsia="Times New Roman" w:cs="宋体"/>
                <w:bCs/>
                <w:sz w:val="24"/>
                <w:szCs w:val="24"/>
              </w:rPr>
            </w:pPr>
            <w:r>
              <w:rPr>
                <w:rFonts w:hint="eastAsia" w:hAnsi="宋体" w:eastAsia="Times New Roman" w:cs="宋体"/>
                <w:bCs/>
                <w:sz w:val="24"/>
                <w:szCs w:val="24"/>
                <w:lang w:eastAsia="zh-CN"/>
              </w:rPr>
              <w:t>分标</w:t>
            </w:r>
            <w:r>
              <w:rPr>
                <w:rFonts w:hint="eastAsia" w:hAnsi="宋体" w:eastAsia="Times New Roman" w:cs="宋体"/>
                <w:bCs/>
                <w:sz w:val="24"/>
                <w:szCs w:val="24"/>
              </w:rPr>
              <w:t>号</w:t>
            </w:r>
          </w:p>
        </w:tc>
        <w:tc>
          <w:tcPr>
            <w:tcW w:w="2058" w:type="dxa"/>
            <w:tcBorders>
              <w:left w:val="single" w:color="auto" w:sz="4" w:space="0"/>
            </w:tcBorders>
            <w:noWrap w:val="0"/>
            <w:vAlign w:val="center"/>
          </w:tcPr>
          <w:p>
            <w:pPr>
              <w:pStyle w:val="28"/>
              <w:keepNext w:val="0"/>
              <w:keepLines w:val="0"/>
              <w:suppressLineNumbers w:val="0"/>
              <w:spacing w:before="0" w:beforeAutospacing="0" w:after="0" w:afterAutospacing="0" w:line="320" w:lineRule="exact"/>
              <w:ind w:left="0" w:right="0"/>
              <w:jc w:val="center"/>
              <w:rPr>
                <w:rFonts w:hint="eastAsia" w:hAnsi="宋体" w:eastAsia="Times New Roman" w:cs="宋体"/>
                <w:bCs/>
                <w:sz w:val="24"/>
                <w:szCs w:val="24"/>
              </w:rPr>
            </w:pPr>
            <w:r>
              <w:rPr>
                <w:rFonts w:hint="eastAsia" w:hAnsi="宋体" w:eastAsia="Times New Roman" w:cs="宋体"/>
                <w:bCs/>
                <w:sz w:val="24"/>
                <w:szCs w:val="24"/>
              </w:rPr>
              <w:t>缴纳金额（元）</w:t>
            </w:r>
          </w:p>
        </w:tc>
        <w:tc>
          <w:tcPr>
            <w:tcW w:w="3060" w:type="dxa"/>
            <w:noWrap w:val="0"/>
            <w:vAlign w:val="center"/>
          </w:tcPr>
          <w:p>
            <w:pPr>
              <w:pStyle w:val="28"/>
              <w:keepNext w:val="0"/>
              <w:keepLines w:val="0"/>
              <w:suppressLineNumbers w:val="0"/>
              <w:spacing w:before="0" w:beforeAutospacing="0" w:after="0" w:afterAutospacing="0" w:line="320" w:lineRule="exact"/>
              <w:ind w:left="480" w:right="0" w:hanging="480"/>
              <w:jc w:val="center"/>
              <w:rPr>
                <w:rFonts w:hint="eastAsia" w:hAnsi="宋体" w:eastAsia="Times New Roman" w:cs="宋体"/>
                <w:bCs/>
                <w:sz w:val="24"/>
                <w:szCs w:val="24"/>
              </w:rPr>
            </w:pPr>
            <w:r>
              <w:rPr>
                <w:rFonts w:hint="eastAsia" w:hAnsi="宋体" w:eastAsia="Times New Roman" w:cs="宋体"/>
                <w:bCs/>
                <w:sz w:val="24"/>
                <w:szCs w:val="24"/>
              </w:rPr>
              <w:t>缴纳时间</w:t>
            </w:r>
          </w:p>
        </w:tc>
        <w:tc>
          <w:tcPr>
            <w:tcW w:w="2880" w:type="dxa"/>
            <w:noWrap w:val="0"/>
            <w:vAlign w:val="center"/>
          </w:tcPr>
          <w:p>
            <w:pPr>
              <w:pStyle w:val="28"/>
              <w:keepNext w:val="0"/>
              <w:keepLines w:val="0"/>
              <w:suppressLineNumbers w:val="0"/>
              <w:spacing w:before="0" w:beforeAutospacing="0" w:after="0" w:afterAutospacing="0" w:line="320" w:lineRule="exact"/>
              <w:ind w:left="480" w:right="0" w:hanging="480"/>
              <w:jc w:val="center"/>
              <w:rPr>
                <w:rFonts w:hint="eastAsia" w:hAnsi="宋体" w:eastAsia="Times New Roman" w:cs="宋体"/>
                <w:bCs/>
                <w:sz w:val="24"/>
                <w:szCs w:val="24"/>
              </w:rPr>
            </w:pPr>
            <w:r>
              <w:rPr>
                <w:rFonts w:hint="eastAsia" w:hAnsi="宋体" w:eastAsia="Times New Roman" w:cs="宋体"/>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726" w:type="dxa"/>
            <w:tcBorders>
              <w:left w:val="single" w:color="auto" w:sz="4" w:space="0"/>
              <w:right w:val="single" w:color="auto" w:sz="4" w:space="0"/>
            </w:tcBorders>
            <w:noWrap w:val="0"/>
            <w:vAlign w:val="center"/>
          </w:tcPr>
          <w:p>
            <w:pPr>
              <w:pStyle w:val="28"/>
              <w:keepNext w:val="0"/>
              <w:keepLines w:val="0"/>
              <w:suppressLineNumbers w:val="0"/>
              <w:spacing w:before="0" w:beforeAutospacing="0" w:after="0" w:afterAutospacing="0" w:line="320" w:lineRule="exact"/>
              <w:ind w:left="480" w:right="0" w:hanging="480"/>
              <w:jc w:val="center"/>
              <w:rPr>
                <w:rFonts w:hint="eastAsia" w:hAnsi="宋体" w:eastAsia="Times New Roman" w:cs="宋体"/>
                <w:bCs/>
                <w:sz w:val="24"/>
                <w:szCs w:val="24"/>
              </w:rPr>
            </w:pPr>
          </w:p>
        </w:tc>
        <w:tc>
          <w:tcPr>
            <w:tcW w:w="2058" w:type="dxa"/>
            <w:tcBorders>
              <w:left w:val="single" w:color="auto" w:sz="4" w:space="0"/>
            </w:tcBorders>
            <w:noWrap w:val="0"/>
            <w:vAlign w:val="center"/>
          </w:tcPr>
          <w:p>
            <w:pPr>
              <w:pStyle w:val="28"/>
              <w:keepNext w:val="0"/>
              <w:keepLines w:val="0"/>
              <w:suppressLineNumbers w:val="0"/>
              <w:spacing w:before="0" w:beforeAutospacing="0" w:after="0" w:afterAutospacing="0" w:line="320" w:lineRule="exact"/>
              <w:ind w:left="480" w:right="0" w:hanging="480"/>
              <w:jc w:val="center"/>
              <w:rPr>
                <w:rFonts w:hint="eastAsia" w:hAnsi="宋体" w:eastAsia="Times New Roman" w:cs="宋体"/>
                <w:bCs/>
                <w:sz w:val="24"/>
                <w:szCs w:val="24"/>
              </w:rPr>
            </w:pPr>
          </w:p>
        </w:tc>
        <w:tc>
          <w:tcPr>
            <w:tcW w:w="3060" w:type="dxa"/>
            <w:noWrap w:val="0"/>
            <w:vAlign w:val="center"/>
          </w:tcPr>
          <w:p>
            <w:pPr>
              <w:pStyle w:val="28"/>
              <w:keepNext w:val="0"/>
              <w:keepLines w:val="0"/>
              <w:suppressLineNumbers w:val="0"/>
              <w:spacing w:before="0" w:beforeAutospacing="0" w:after="0" w:afterAutospacing="0" w:line="320" w:lineRule="exact"/>
              <w:ind w:left="480" w:right="0" w:hanging="480"/>
              <w:jc w:val="center"/>
              <w:rPr>
                <w:rFonts w:hint="eastAsia" w:hAnsi="宋体" w:eastAsia="Times New Roman" w:cs="宋体"/>
                <w:bCs/>
                <w:sz w:val="24"/>
                <w:szCs w:val="24"/>
              </w:rPr>
            </w:pPr>
          </w:p>
        </w:tc>
        <w:tc>
          <w:tcPr>
            <w:tcW w:w="2880" w:type="dxa"/>
            <w:noWrap w:val="0"/>
            <w:vAlign w:val="center"/>
          </w:tcPr>
          <w:p>
            <w:pPr>
              <w:pStyle w:val="28"/>
              <w:keepNext w:val="0"/>
              <w:keepLines w:val="0"/>
              <w:suppressLineNumbers w:val="0"/>
              <w:spacing w:before="0" w:beforeAutospacing="0" w:after="0" w:afterAutospacing="0" w:line="320" w:lineRule="exact"/>
              <w:ind w:left="480" w:right="0" w:hanging="480"/>
              <w:jc w:val="center"/>
              <w:rPr>
                <w:rFonts w:hint="eastAsia" w:hAnsi="宋体" w:eastAsia="Times New Roman" w:cs="宋体"/>
                <w:bCs/>
                <w:sz w:val="24"/>
                <w:szCs w:val="24"/>
              </w:rPr>
            </w:pPr>
          </w:p>
        </w:tc>
      </w:tr>
    </w:tbl>
    <w:p>
      <w:pPr>
        <w:pStyle w:val="28"/>
        <w:spacing w:line="40" w:lineRule="exact"/>
        <w:ind w:firstLine="480" w:firstLineChars="200"/>
        <w:rPr>
          <w:rFonts w:hint="eastAsia" w:hAnsi="宋体" w:cs="宋体"/>
          <w:bCs/>
          <w:sz w:val="24"/>
          <w:szCs w:val="24"/>
        </w:rPr>
      </w:pPr>
    </w:p>
    <w:p>
      <w:pPr>
        <w:pStyle w:val="28"/>
        <w:spacing w:line="500" w:lineRule="exact"/>
        <w:ind w:firstLine="480" w:firstLineChars="200"/>
        <w:rPr>
          <w:rFonts w:hint="eastAsia" w:hAnsi="宋体" w:cs="宋体"/>
          <w:bCs/>
          <w:sz w:val="24"/>
          <w:szCs w:val="24"/>
        </w:rPr>
      </w:pPr>
      <w:r>
        <w:rPr>
          <w:rFonts w:hint="eastAsia" w:hAnsi="宋体" w:cs="宋体"/>
          <w:bCs/>
          <w:sz w:val="24"/>
          <w:szCs w:val="24"/>
        </w:rPr>
        <w:t>请将谈判保证金退至以下账户：</w:t>
      </w:r>
    </w:p>
    <w:p>
      <w:pPr>
        <w:pStyle w:val="28"/>
        <w:spacing w:line="500" w:lineRule="exact"/>
        <w:ind w:firstLine="480" w:firstLineChars="200"/>
        <w:rPr>
          <w:rFonts w:hint="eastAsia" w:hAnsi="宋体" w:cs="宋体"/>
          <w:bCs/>
          <w:sz w:val="24"/>
          <w:szCs w:val="24"/>
        </w:rPr>
      </w:pPr>
      <w:r>
        <w:rPr>
          <w:rFonts w:hint="eastAsia" w:hAnsi="宋体" w:cs="宋体"/>
          <w:bCs/>
          <w:sz w:val="24"/>
          <w:szCs w:val="24"/>
        </w:rPr>
        <w:t xml:space="preserve">账户名：                                            </w:t>
      </w:r>
    </w:p>
    <w:p>
      <w:pPr>
        <w:pStyle w:val="28"/>
        <w:spacing w:line="500" w:lineRule="exact"/>
        <w:ind w:firstLine="480" w:firstLineChars="200"/>
        <w:rPr>
          <w:rFonts w:hint="eastAsia" w:hAnsi="宋体" w:cs="宋体"/>
          <w:bCs/>
          <w:sz w:val="24"/>
          <w:szCs w:val="24"/>
        </w:rPr>
      </w:pPr>
      <w:r>
        <w:rPr>
          <w:rFonts w:hint="eastAsia" w:hAnsi="宋体" w:cs="宋体"/>
          <w:bCs/>
          <w:sz w:val="24"/>
          <w:szCs w:val="24"/>
        </w:rPr>
        <w:t xml:space="preserve">开户行：                                            </w:t>
      </w:r>
    </w:p>
    <w:p>
      <w:pPr>
        <w:pStyle w:val="28"/>
        <w:spacing w:line="500" w:lineRule="exact"/>
        <w:ind w:firstLine="480" w:firstLineChars="200"/>
        <w:rPr>
          <w:rFonts w:hint="eastAsia" w:hAnsi="宋体" w:cs="宋体"/>
          <w:bCs/>
          <w:sz w:val="24"/>
          <w:szCs w:val="24"/>
        </w:rPr>
      </w:pPr>
      <w:r>
        <w:rPr>
          <w:rFonts w:hint="eastAsia" w:hAnsi="宋体" w:cs="宋体"/>
          <w:bCs/>
          <w:sz w:val="24"/>
          <w:szCs w:val="24"/>
        </w:rPr>
        <w:t xml:space="preserve">账  号：                                            </w:t>
      </w:r>
    </w:p>
    <w:p>
      <w:pPr>
        <w:pStyle w:val="28"/>
        <w:spacing w:line="500" w:lineRule="exact"/>
        <w:ind w:firstLine="480" w:firstLineChars="200"/>
        <w:rPr>
          <w:rFonts w:hint="eastAsia" w:hAnsi="宋体" w:cs="宋体"/>
          <w:bCs/>
          <w:sz w:val="24"/>
          <w:szCs w:val="24"/>
        </w:rPr>
      </w:pPr>
      <w:r>
        <w:rPr>
          <w:rFonts w:hint="eastAsia" w:hAnsi="宋体" w:cs="宋体"/>
          <w:bCs/>
          <w:sz w:val="24"/>
          <w:szCs w:val="24"/>
        </w:rPr>
        <w:t>办退期限内，账户如有变动，我单位将及时函告你们。</w:t>
      </w:r>
    </w:p>
    <w:p>
      <w:pPr>
        <w:pStyle w:val="28"/>
        <w:spacing w:line="500" w:lineRule="exact"/>
        <w:ind w:firstLine="480" w:firstLineChars="200"/>
        <w:rPr>
          <w:rFonts w:hint="eastAsia" w:hAnsi="宋体" w:cs="宋体"/>
          <w:bCs/>
          <w:sz w:val="24"/>
          <w:szCs w:val="24"/>
        </w:rPr>
      </w:pPr>
      <w:r>
        <w:rPr>
          <w:rFonts w:hint="eastAsia" w:hAnsi="宋体" w:cs="宋体"/>
          <w:bCs/>
          <w:sz w:val="24"/>
          <w:szCs w:val="24"/>
        </w:rPr>
        <w:t xml:space="preserve">联系人：                                联系电话：                     </w:t>
      </w:r>
    </w:p>
    <w:p>
      <w:pPr>
        <w:pStyle w:val="28"/>
        <w:spacing w:line="320" w:lineRule="exact"/>
        <w:rPr>
          <w:rFonts w:hint="eastAsia" w:hAnsi="宋体" w:cs="宋体"/>
          <w:b/>
          <w:bCs/>
          <w:sz w:val="24"/>
          <w:szCs w:val="24"/>
        </w:rPr>
      </w:pPr>
    </w:p>
    <w:p>
      <w:pPr>
        <w:pStyle w:val="28"/>
        <w:spacing w:line="500" w:lineRule="exact"/>
        <w:ind w:firstLine="480" w:firstLineChars="200"/>
        <w:rPr>
          <w:rFonts w:hint="eastAsia" w:hAnsi="宋体" w:cs="宋体"/>
          <w:sz w:val="24"/>
          <w:szCs w:val="24"/>
        </w:rPr>
      </w:pPr>
      <w:r>
        <w:rPr>
          <w:rFonts w:hint="eastAsia" w:hAnsi="宋体" w:cs="宋体"/>
          <w:sz w:val="24"/>
          <w:szCs w:val="24"/>
        </w:rPr>
        <w:t xml:space="preserve">供应商（公章）：                      </w:t>
      </w:r>
    </w:p>
    <w:p>
      <w:pPr>
        <w:pStyle w:val="28"/>
        <w:spacing w:line="500" w:lineRule="exact"/>
        <w:ind w:firstLine="480" w:firstLineChars="200"/>
        <w:rPr>
          <w:rFonts w:hint="eastAsia" w:hAnsi="宋体" w:cs="宋体"/>
          <w:sz w:val="24"/>
          <w:szCs w:val="24"/>
        </w:rPr>
      </w:pPr>
      <w:r>
        <w:rPr>
          <w:rFonts w:hint="eastAsia" w:hAnsi="宋体" w:cs="宋体"/>
          <w:sz w:val="24"/>
          <w:szCs w:val="24"/>
        </w:rPr>
        <w:t xml:space="preserve">法定代表人（负责人）或委托代理人签名：                           </w:t>
      </w:r>
    </w:p>
    <w:p>
      <w:pPr>
        <w:pStyle w:val="28"/>
        <w:spacing w:line="500" w:lineRule="exact"/>
        <w:ind w:firstLine="480" w:firstLineChars="200"/>
        <w:rPr>
          <w:rFonts w:hint="eastAsia" w:hAnsi="宋体" w:cs="宋体"/>
          <w:sz w:val="24"/>
          <w:szCs w:val="24"/>
        </w:rPr>
      </w:pPr>
      <w:r>
        <w:rPr>
          <w:rFonts w:hint="eastAsia" w:hAnsi="宋体" w:cs="宋体"/>
          <w:sz w:val="24"/>
          <w:szCs w:val="24"/>
        </w:rPr>
        <w:t xml:space="preserve">日期：                 </w:t>
      </w:r>
    </w:p>
    <w:p>
      <w:pPr>
        <w:pStyle w:val="28"/>
        <w:spacing w:line="360" w:lineRule="exact"/>
        <w:ind w:left="420" w:hanging="420" w:hangingChars="200"/>
        <w:rPr>
          <w:rFonts w:hint="eastAsia" w:hAnsi="宋体" w:cs="宋体"/>
        </w:rPr>
      </w:pPr>
    </w:p>
    <w:p>
      <w:pPr>
        <w:pStyle w:val="28"/>
        <w:spacing w:line="360" w:lineRule="exact"/>
        <w:ind w:left="630" w:hanging="630" w:hangingChars="300"/>
        <w:rPr>
          <w:rFonts w:hint="eastAsia" w:hAnsi="宋体" w:cs="宋体"/>
        </w:rPr>
      </w:pPr>
      <w:r>
        <w:rPr>
          <w:rFonts w:hint="eastAsia" w:hAnsi="宋体" w:cs="宋体"/>
        </w:rPr>
        <w:t>注：1.请打印两份</w:t>
      </w:r>
      <w:r>
        <w:rPr>
          <w:rFonts w:hint="eastAsia" w:hAnsi="宋体" w:cs="宋体"/>
          <w:bCs/>
        </w:rPr>
        <w:t>（加盖单位公章）</w:t>
      </w:r>
      <w:r>
        <w:rPr>
          <w:rFonts w:hint="eastAsia" w:hAnsi="宋体" w:cs="宋体"/>
        </w:rPr>
        <w:t>，一份放在响应文件的最后一页。另一份独立包装（不要放在响应文件              袋内），在封面注明“</w:t>
      </w:r>
      <w:r>
        <w:rPr>
          <w:rFonts w:hint="eastAsia" w:hAnsi="宋体" w:cs="宋体"/>
          <w:bCs/>
        </w:rPr>
        <w:t>保证金退还账号说明书”字样，</w:t>
      </w:r>
      <w:r>
        <w:rPr>
          <w:rFonts w:hint="eastAsia" w:hAnsi="宋体" w:cs="宋体"/>
        </w:rPr>
        <w:t>于响应文件开启会后提交。</w:t>
      </w:r>
    </w:p>
    <w:p>
      <w:pPr>
        <w:pStyle w:val="28"/>
        <w:spacing w:line="360" w:lineRule="exact"/>
        <w:ind w:firstLine="411" w:firstLineChars="196"/>
        <w:rPr>
          <w:rFonts w:hint="eastAsia" w:hAnsi="宋体" w:cs="宋体"/>
          <w:bCs/>
        </w:rPr>
      </w:pPr>
      <w:r>
        <w:rPr>
          <w:rFonts w:hint="eastAsia" w:hAnsi="宋体" w:cs="宋体"/>
          <w:bCs/>
        </w:rPr>
        <w:t>2.保证金退还联系电话：0779-3969698</w:t>
      </w:r>
    </w:p>
    <w:p>
      <w:pPr>
        <w:pStyle w:val="28"/>
        <w:spacing w:line="360" w:lineRule="exact"/>
        <w:ind w:firstLine="411" w:firstLineChars="196"/>
        <w:rPr>
          <w:rFonts w:hint="eastAsia" w:hAnsi="宋体" w:cs="宋体"/>
          <w:bCs/>
        </w:rPr>
      </w:pPr>
    </w:p>
    <w:p>
      <w:pPr>
        <w:pStyle w:val="28"/>
        <w:spacing w:line="360" w:lineRule="exact"/>
        <w:ind w:firstLine="411" w:firstLineChars="196"/>
        <w:rPr>
          <w:rFonts w:hint="eastAsia" w:hAnsi="宋体" w:cs="宋体"/>
          <w:bCs/>
        </w:rPr>
      </w:pPr>
    </w:p>
    <w:p>
      <w:pPr>
        <w:pStyle w:val="28"/>
        <w:spacing w:line="360" w:lineRule="exact"/>
        <w:ind w:firstLine="411" w:firstLineChars="196"/>
        <w:rPr>
          <w:rFonts w:hint="eastAsia" w:hAnsi="宋体" w:cs="宋体"/>
          <w:bCs/>
        </w:rPr>
      </w:pPr>
    </w:p>
    <w:p>
      <w:pPr>
        <w:pStyle w:val="28"/>
        <w:spacing w:line="360" w:lineRule="exact"/>
        <w:ind w:firstLine="411" w:firstLineChars="196"/>
        <w:rPr>
          <w:rFonts w:hint="eastAsia" w:hAnsi="宋体" w:cs="宋体"/>
          <w:bCs/>
        </w:rPr>
      </w:pPr>
    </w:p>
    <w:p>
      <w:pPr>
        <w:pStyle w:val="28"/>
        <w:spacing w:line="360" w:lineRule="exact"/>
        <w:ind w:firstLine="411" w:firstLineChars="196"/>
        <w:rPr>
          <w:rFonts w:hint="eastAsia" w:hAnsi="宋体" w:cs="宋体"/>
          <w:bCs/>
        </w:rPr>
      </w:pPr>
    </w:p>
    <w:p>
      <w:pPr>
        <w:pStyle w:val="28"/>
        <w:spacing w:line="360" w:lineRule="exact"/>
        <w:ind w:firstLine="411" w:firstLineChars="196"/>
        <w:rPr>
          <w:rFonts w:hint="eastAsia" w:hAnsi="宋体" w:cs="宋体"/>
          <w:bCs/>
        </w:rPr>
      </w:pPr>
    </w:p>
    <w:p>
      <w:pPr>
        <w:pStyle w:val="28"/>
        <w:spacing w:line="360" w:lineRule="exact"/>
        <w:ind w:firstLine="411" w:firstLineChars="196"/>
        <w:rPr>
          <w:rFonts w:hint="eastAsia" w:hAnsi="宋体" w:cs="宋体"/>
          <w:bCs/>
        </w:rPr>
      </w:pPr>
    </w:p>
    <w:p>
      <w:pPr>
        <w:pStyle w:val="28"/>
        <w:spacing w:line="360" w:lineRule="exact"/>
        <w:ind w:firstLine="411" w:firstLineChars="196"/>
        <w:rPr>
          <w:rFonts w:hint="eastAsia" w:hAnsi="宋体" w:cs="宋体"/>
          <w:bCs/>
        </w:rPr>
      </w:pPr>
    </w:p>
    <w:p>
      <w:pPr>
        <w:pStyle w:val="7"/>
        <w:overflowPunct w:val="0"/>
        <w:ind w:firstLine="6375" w:firstLineChars="3036"/>
        <w:rPr>
          <w:rFonts w:hint="eastAsia" w:ascii="宋体" w:hAnsi="宋体"/>
          <w:szCs w:val="21"/>
        </w:rPr>
      </w:pPr>
    </w:p>
    <w:p>
      <w:pPr>
        <w:pStyle w:val="7"/>
        <w:overflowPunct w:val="0"/>
        <w:ind w:firstLine="6375" w:firstLineChars="3036"/>
        <w:rPr>
          <w:rFonts w:hint="eastAsia" w:hAnsi="宋体"/>
          <w:bCs/>
        </w:rPr>
      </w:pPr>
    </w:p>
    <w:sectPr>
      <w:footerReference r:id="rId3" w:type="default"/>
      <w:footerReference r:id="rId4" w:type="even"/>
      <w:pgSz w:w="11907" w:h="16840"/>
      <w:pgMar w:top="794" w:right="966" w:bottom="1020" w:left="1061" w:header="851" w:footer="85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365" w:h="321" w:hRule="exact" w:wrap="around" w:vAnchor="text" w:hAnchor="page" w:x="5815" w:y="11"/>
      <w:rPr>
        <w:rStyle w:val="61"/>
        <w:sz w:val="21"/>
        <w:szCs w:val="21"/>
      </w:rPr>
    </w:pPr>
    <w:r>
      <w:rPr>
        <w:sz w:val="21"/>
        <w:szCs w:val="21"/>
      </w:rPr>
      <w:fldChar w:fldCharType="begin"/>
    </w:r>
    <w:r>
      <w:rPr>
        <w:rStyle w:val="61"/>
        <w:sz w:val="21"/>
        <w:szCs w:val="21"/>
      </w:rPr>
      <w:instrText xml:space="preserve">PAGE  </w:instrText>
    </w:r>
    <w:r>
      <w:rPr>
        <w:sz w:val="21"/>
        <w:szCs w:val="21"/>
      </w:rPr>
      <w:fldChar w:fldCharType="separate"/>
    </w:r>
    <w:r>
      <w:rPr>
        <w:rStyle w:val="61"/>
        <w:sz w:val="21"/>
        <w:szCs w:val="21"/>
      </w:rPr>
      <w:t>5</w:t>
    </w:r>
    <w:r>
      <w:rPr>
        <w:sz w:val="21"/>
        <w:szCs w:val="21"/>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1"/>
      </w:rPr>
    </w:pPr>
    <w:r>
      <w:fldChar w:fldCharType="begin"/>
    </w:r>
    <w:r>
      <w:rPr>
        <w:rStyle w:val="61"/>
      </w:rPr>
      <w:instrText xml:space="preserve">PAGE  </w:instrText>
    </w:r>
    <w:r>
      <w:fldChar w:fldCharType="separate"/>
    </w:r>
    <w:r>
      <w:rPr>
        <w:rStyle w:val="61"/>
      </w:rPr>
      <w:t>1</w:t>
    </w:r>
    <w:r>
      <w:fldChar w:fldCharType="end"/>
    </w:r>
  </w:p>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84AB0"/>
    <w:multiLevelType w:val="singleLevel"/>
    <w:tmpl w:val="80A84AB0"/>
    <w:lvl w:ilvl="0" w:tentative="0">
      <w:start w:val="20"/>
      <w:numFmt w:val="decimal"/>
      <w:suff w:val="space"/>
      <w:lvlText w:val="%1."/>
      <w:lvlJc w:val="left"/>
    </w:lvl>
  </w:abstractNum>
  <w:abstractNum w:abstractNumId="1">
    <w:nsid w:val="8340F9E9"/>
    <w:multiLevelType w:val="singleLevel"/>
    <w:tmpl w:val="8340F9E9"/>
    <w:lvl w:ilvl="0" w:tentative="0">
      <w:start w:val="5"/>
      <w:numFmt w:val="decimal"/>
      <w:suff w:val="space"/>
      <w:lvlText w:val="%1."/>
      <w:lvlJc w:val="left"/>
    </w:lvl>
  </w:abstractNum>
  <w:abstractNum w:abstractNumId="2">
    <w:nsid w:val="89DBA090"/>
    <w:multiLevelType w:val="singleLevel"/>
    <w:tmpl w:val="89DBA090"/>
    <w:lvl w:ilvl="0" w:tentative="0">
      <w:start w:val="5"/>
      <w:numFmt w:val="decimal"/>
      <w:suff w:val="space"/>
      <w:lvlText w:val="%1."/>
      <w:lvlJc w:val="left"/>
    </w:lvl>
  </w:abstractNum>
  <w:abstractNum w:abstractNumId="3">
    <w:nsid w:val="943366C7"/>
    <w:multiLevelType w:val="singleLevel"/>
    <w:tmpl w:val="943366C7"/>
    <w:lvl w:ilvl="0" w:tentative="0">
      <w:start w:val="10"/>
      <w:numFmt w:val="decimal"/>
      <w:suff w:val="space"/>
      <w:lvlText w:val="%1."/>
      <w:lvlJc w:val="left"/>
    </w:lvl>
  </w:abstractNum>
  <w:abstractNum w:abstractNumId="4">
    <w:nsid w:val="949ECAE9"/>
    <w:multiLevelType w:val="singleLevel"/>
    <w:tmpl w:val="949ECAE9"/>
    <w:lvl w:ilvl="0" w:tentative="0">
      <w:start w:val="7"/>
      <w:numFmt w:val="decimal"/>
      <w:suff w:val="space"/>
      <w:lvlText w:val="%1."/>
      <w:lvlJc w:val="left"/>
    </w:lvl>
  </w:abstractNum>
  <w:abstractNum w:abstractNumId="5">
    <w:nsid w:val="95B1D5F6"/>
    <w:multiLevelType w:val="singleLevel"/>
    <w:tmpl w:val="95B1D5F6"/>
    <w:lvl w:ilvl="0" w:tentative="0">
      <w:start w:val="10"/>
      <w:numFmt w:val="decimal"/>
      <w:suff w:val="space"/>
      <w:lvlText w:val="%1."/>
      <w:lvlJc w:val="left"/>
    </w:lvl>
  </w:abstractNum>
  <w:abstractNum w:abstractNumId="6">
    <w:nsid w:val="9A79F3FE"/>
    <w:multiLevelType w:val="singleLevel"/>
    <w:tmpl w:val="9A79F3FE"/>
    <w:lvl w:ilvl="0" w:tentative="0">
      <w:start w:val="10"/>
      <w:numFmt w:val="decimal"/>
      <w:suff w:val="space"/>
      <w:lvlText w:val="%1."/>
      <w:lvlJc w:val="left"/>
    </w:lvl>
  </w:abstractNum>
  <w:abstractNum w:abstractNumId="7">
    <w:nsid w:val="A7C1AF3F"/>
    <w:multiLevelType w:val="singleLevel"/>
    <w:tmpl w:val="A7C1AF3F"/>
    <w:lvl w:ilvl="0" w:tentative="0">
      <w:start w:val="13"/>
      <w:numFmt w:val="decimal"/>
      <w:suff w:val="space"/>
      <w:lvlText w:val="%1."/>
      <w:lvlJc w:val="left"/>
    </w:lvl>
  </w:abstractNum>
  <w:abstractNum w:abstractNumId="8">
    <w:nsid w:val="AC2913A5"/>
    <w:multiLevelType w:val="singleLevel"/>
    <w:tmpl w:val="AC2913A5"/>
    <w:lvl w:ilvl="0" w:tentative="0">
      <w:start w:val="8"/>
      <w:numFmt w:val="decimal"/>
      <w:suff w:val="space"/>
      <w:lvlText w:val="%1."/>
      <w:lvlJc w:val="left"/>
    </w:lvl>
  </w:abstractNum>
  <w:abstractNum w:abstractNumId="9">
    <w:nsid w:val="AEBA2636"/>
    <w:multiLevelType w:val="singleLevel"/>
    <w:tmpl w:val="AEBA2636"/>
    <w:lvl w:ilvl="0" w:tentative="0">
      <w:start w:val="7"/>
      <w:numFmt w:val="decimal"/>
      <w:suff w:val="space"/>
      <w:lvlText w:val="%1."/>
      <w:lvlJc w:val="left"/>
    </w:lvl>
  </w:abstractNum>
  <w:abstractNum w:abstractNumId="10">
    <w:nsid w:val="BBE47491"/>
    <w:multiLevelType w:val="singleLevel"/>
    <w:tmpl w:val="BBE47491"/>
    <w:lvl w:ilvl="0" w:tentative="0">
      <w:start w:val="16"/>
      <w:numFmt w:val="decimal"/>
      <w:suff w:val="space"/>
      <w:lvlText w:val="%1."/>
      <w:lvlJc w:val="left"/>
    </w:lvl>
  </w:abstractNum>
  <w:abstractNum w:abstractNumId="11">
    <w:nsid w:val="C18E8C23"/>
    <w:multiLevelType w:val="singleLevel"/>
    <w:tmpl w:val="C18E8C23"/>
    <w:lvl w:ilvl="0" w:tentative="0">
      <w:start w:val="14"/>
      <w:numFmt w:val="decimal"/>
      <w:suff w:val="space"/>
      <w:lvlText w:val="%1."/>
      <w:lvlJc w:val="left"/>
    </w:lvl>
  </w:abstractNum>
  <w:abstractNum w:abstractNumId="12">
    <w:nsid w:val="DA9AE0AF"/>
    <w:multiLevelType w:val="singleLevel"/>
    <w:tmpl w:val="DA9AE0AF"/>
    <w:lvl w:ilvl="0" w:tentative="0">
      <w:start w:val="15"/>
      <w:numFmt w:val="decimal"/>
      <w:suff w:val="space"/>
      <w:lvlText w:val="%1."/>
      <w:lvlJc w:val="left"/>
    </w:lvl>
  </w:abstractNum>
  <w:abstractNum w:abstractNumId="13">
    <w:nsid w:val="E0C2FB81"/>
    <w:multiLevelType w:val="singleLevel"/>
    <w:tmpl w:val="E0C2FB81"/>
    <w:lvl w:ilvl="0" w:tentative="0">
      <w:start w:val="1"/>
      <w:numFmt w:val="decimal"/>
      <w:lvlText w:val="%1."/>
      <w:lvlJc w:val="left"/>
      <w:pPr>
        <w:tabs>
          <w:tab w:val="left" w:pos="312"/>
        </w:tabs>
      </w:pPr>
    </w:lvl>
  </w:abstractNum>
  <w:abstractNum w:abstractNumId="14">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5">
    <w:nsid w:val="03B44653"/>
    <w:multiLevelType w:val="singleLevel"/>
    <w:tmpl w:val="03B44653"/>
    <w:lvl w:ilvl="0" w:tentative="0">
      <w:start w:val="6"/>
      <w:numFmt w:val="decimal"/>
      <w:suff w:val="space"/>
      <w:lvlText w:val="%1."/>
      <w:lvlJc w:val="left"/>
    </w:lvl>
  </w:abstractNum>
  <w:abstractNum w:abstractNumId="16">
    <w:nsid w:val="09E0F08E"/>
    <w:multiLevelType w:val="singleLevel"/>
    <w:tmpl w:val="09E0F08E"/>
    <w:lvl w:ilvl="0" w:tentative="0">
      <w:start w:val="4"/>
      <w:numFmt w:val="decimal"/>
      <w:suff w:val="space"/>
      <w:lvlText w:val="%1."/>
      <w:lvlJc w:val="left"/>
    </w:lvl>
  </w:abstractNum>
  <w:abstractNum w:abstractNumId="17">
    <w:nsid w:val="0F54BD42"/>
    <w:multiLevelType w:val="singleLevel"/>
    <w:tmpl w:val="0F54BD42"/>
    <w:lvl w:ilvl="0" w:tentative="0">
      <w:start w:val="9"/>
      <w:numFmt w:val="decimal"/>
      <w:suff w:val="space"/>
      <w:lvlText w:val="%1."/>
      <w:lvlJc w:val="left"/>
    </w:lvl>
  </w:abstractNum>
  <w:abstractNum w:abstractNumId="18">
    <w:nsid w:val="142170C9"/>
    <w:multiLevelType w:val="multilevel"/>
    <w:tmpl w:val="142170C9"/>
    <w:lvl w:ilvl="0" w:tentative="0">
      <w:start w:val="1"/>
      <w:numFmt w:val="lowerLetter"/>
      <w:pStyle w:val="195"/>
      <w:lvlText w:val="%1)"/>
      <w:lvlJc w:val="left"/>
      <w:pPr>
        <w:tabs>
          <w:tab w:val="left" w:pos="1440"/>
        </w:tabs>
        <w:ind w:left="1440" w:hanging="360"/>
      </w:pPr>
      <w:rPr>
        <w:rFonts w:hint="default" w:ascii="Arial" w:hAnsi="Arial" w:eastAsia="宋体"/>
        <w:b w:val="0"/>
        <w:i w:val="0"/>
        <w:color w:val="auto"/>
        <w:sz w:val="24"/>
        <w:szCs w:val="24"/>
      </w:rPr>
    </w:lvl>
    <w:lvl w:ilvl="1" w:tentative="0">
      <w:start w:val="1"/>
      <w:numFmt w:val="decimal"/>
      <w:lvlText w:val="%2)"/>
      <w:lvlJc w:val="left"/>
      <w:pPr>
        <w:tabs>
          <w:tab w:val="left" w:pos="1800"/>
        </w:tabs>
        <w:ind w:left="1800" w:hanging="360"/>
      </w:pPr>
      <w:rPr>
        <w:rFonts w:hint="default" w:ascii="Arial" w:hAnsi="Arial" w:eastAsia="宋体"/>
        <w:b w:val="0"/>
        <w:i w:val="0"/>
        <w:color w:val="auto"/>
        <w:sz w:val="24"/>
        <w:szCs w:val="24"/>
      </w:rPr>
    </w:lvl>
    <w:lvl w:ilvl="2" w:tentative="0">
      <w:start w:val="1"/>
      <w:numFmt w:val="lowerRoman"/>
      <w:lvlText w:val="%3)"/>
      <w:lvlJc w:val="left"/>
      <w:pPr>
        <w:tabs>
          <w:tab w:val="left" w:pos="2520"/>
        </w:tabs>
        <w:ind w:left="2520" w:hanging="720"/>
      </w:pPr>
      <w:rPr>
        <w:rFonts w:hint="default" w:ascii="Arial" w:hAnsi="Arial" w:eastAsia="宋体"/>
        <w:b w:val="0"/>
        <w:i w:val="0"/>
        <w:color w:val="auto"/>
        <w:sz w:val="24"/>
        <w:szCs w:val="24"/>
      </w:rPr>
    </w:lvl>
    <w:lvl w:ilvl="3" w:tentative="0">
      <w:start w:val="1"/>
      <w:numFmt w:val="upperRoman"/>
      <w:lvlText w:val="(%4)"/>
      <w:lvlJc w:val="left"/>
      <w:pPr>
        <w:tabs>
          <w:tab w:val="left" w:pos="3240"/>
        </w:tabs>
        <w:ind w:left="3240" w:hanging="720"/>
      </w:pPr>
      <w:rPr>
        <w:rFonts w:hint="default" w:ascii="Arial" w:hAnsi="Arial" w:eastAsia="宋体"/>
        <w:b w:val="0"/>
        <w:i w:val="0"/>
        <w:color w:val="auto"/>
        <w:sz w:val="22"/>
      </w:rPr>
    </w:lvl>
    <w:lvl w:ilvl="4" w:tentative="0">
      <w:start w:val="1"/>
      <w:numFmt w:val="bullet"/>
      <w:lvlText w:val=""/>
      <w:lvlJc w:val="left"/>
      <w:pPr>
        <w:tabs>
          <w:tab w:val="left" w:pos="3600"/>
        </w:tabs>
        <w:ind w:left="3600" w:hanging="360"/>
      </w:pPr>
      <w:rPr>
        <w:rFonts w:hint="default"/>
        <w:b w:val="0"/>
        <w:i w:val="0"/>
        <w:color w:val="auto"/>
        <w:sz w:val="22"/>
      </w:rPr>
    </w:lvl>
    <w:lvl w:ilvl="5" w:tentative="0">
      <w:start w:val="1"/>
      <w:numFmt w:val="bullet"/>
      <w:lvlText w:val=""/>
      <w:lvlJc w:val="left"/>
      <w:pPr>
        <w:tabs>
          <w:tab w:val="left" w:pos="3960"/>
        </w:tabs>
        <w:ind w:left="3960" w:hanging="360"/>
      </w:pPr>
      <w:rPr>
        <w:rFonts w:hint="default" w:ascii="Arial" w:hAnsi="Arial" w:eastAsia="宋体"/>
        <w:b w:val="0"/>
        <w:i w:val="0"/>
        <w:color w:val="auto"/>
        <w:sz w:val="22"/>
      </w:rPr>
    </w:lvl>
    <w:lvl w:ilvl="6" w:tentative="0">
      <w:start w:val="1"/>
      <w:numFmt w:val="decimal"/>
      <w:lvlText w:val="%7."/>
      <w:lvlJc w:val="left"/>
      <w:pPr>
        <w:tabs>
          <w:tab w:val="left" w:pos="4320"/>
        </w:tabs>
        <w:ind w:left="4320" w:hanging="360"/>
      </w:pPr>
      <w:rPr>
        <w:rFonts w:hint="eastAsia"/>
      </w:rPr>
    </w:lvl>
    <w:lvl w:ilvl="7" w:tentative="0">
      <w:start w:val="1"/>
      <w:numFmt w:val="lowerLetter"/>
      <w:lvlText w:val="%8."/>
      <w:lvlJc w:val="left"/>
      <w:pPr>
        <w:tabs>
          <w:tab w:val="left" w:pos="4680"/>
        </w:tabs>
        <w:ind w:left="4680" w:hanging="360"/>
      </w:pPr>
      <w:rPr>
        <w:rFonts w:hint="eastAsia"/>
      </w:rPr>
    </w:lvl>
    <w:lvl w:ilvl="8" w:tentative="0">
      <w:start w:val="1"/>
      <w:numFmt w:val="lowerRoman"/>
      <w:lvlText w:val="%9."/>
      <w:lvlJc w:val="left"/>
      <w:pPr>
        <w:tabs>
          <w:tab w:val="left" w:pos="5040"/>
        </w:tabs>
        <w:ind w:left="5040" w:hanging="360"/>
      </w:pPr>
      <w:rPr>
        <w:rFonts w:hint="eastAsia"/>
      </w:rPr>
    </w:lvl>
  </w:abstractNum>
  <w:abstractNum w:abstractNumId="19">
    <w:nsid w:val="224023D8"/>
    <w:multiLevelType w:val="singleLevel"/>
    <w:tmpl w:val="224023D8"/>
    <w:lvl w:ilvl="0" w:tentative="0">
      <w:start w:val="5"/>
      <w:numFmt w:val="decimal"/>
      <w:suff w:val="space"/>
      <w:lvlText w:val="%1."/>
      <w:lvlJc w:val="left"/>
    </w:lvl>
  </w:abstractNum>
  <w:abstractNum w:abstractNumId="2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1">
    <w:nsid w:val="45102B90"/>
    <w:multiLevelType w:val="multilevel"/>
    <w:tmpl w:val="45102B90"/>
    <w:lvl w:ilvl="0" w:tentative="0">
      <w:start w:val="1"/>
      <w:numFmt w:val="decimal"/>
      <w:lvlText w:val="%1)"/>
      <w:lvlJc w:val="left"/>
      <w:pPr>
        <w:ind w:left="783" w:hanging="420"/>
      </w:pPr>
    </w:lvl>
    <w:lvl w:ilvl="1" w:tentative="0">
      <w:start w:val="1"/>
      <w:numFmt w:val="lowerLetter"/>
      <w:lvlText w:val="%2)"/>
      <w:lvlJc w:val="left"/>
      <w:pPr>
        <w:ind w:left="1203" w:hanging="420"/>
      </w:pPr>
    </w:lvl>
    <w:lvl w:ilvl="2" w:tentative="0">
      <w:start w:val="1"/>
      <w:numFmt w:val="lowerRoman"/>
      <w:lvlText w:val="%3."/>
      <w:lvlJc w:val="right"/>
      <w:pPr>
        <w:ind w:left="1623" w:hanging="420"/>
      </w:pPr>
    </w:lvl>
    <w:lvl w:ilvl="3" w:tentative="0">
      <w:start w:val="1"/>
      <w:numFmt w:val="decimal"/>
      <w:lvlText w:val="%4."/>
      <w:lvlJc w:val="left"/>
      <w:pPr>
        <w:ind w:left="2043" w:hanging="420"/>
      </w:pPr>
    </w:lvl>
    <w:lvl w:ilvl="4" w:tentative="0">
      <w:start w:val="1"/>
      <w:numFmt w:val="lowerLetter"/>
      <w:lvlText w:val="%5)"/>
      <w:lvlJc w:val="left"/>
      <w:pPr>
        <w:ind w:left="2463" w:hanging="420"/>
      </w:pPr>
    </w:lvl>
    <w:lvl w:ilvl="5" w:tentative="0">
      <w:start w:val="1"/>
      <w:numFmt w:val="lowerRoman"/>
      <w:lvlText w:val="%6."/>
      <w:lvlJc w:val="right"/>
      <w:pPr>
        <w:ind w:left="2883" w:hanging="420"/>
      </w:pPr>
    </w:lvl>
    <w:lvl w:ilvl="6" w:tentative="0">
      <w:start w:val="1"/>
      <w:numFmt w:val="decimal"/>
      <w:lvlText w:val="%7."/>
      <w:lvlJc w:val="left"/>
      <w:pPr>
        <w:ind w:left="3303" w:hanging="420"/>
      </w:pPr>
    </w:lvl>
    <w:lvl w:ilvl="7" w:tentative="0">
      <w:start w:val="1"/>
      <w:numFmt w:val="lowerLetter"/>
      <w:lvlText w:val="%8)"/>
      <w:lvlJc w:val="left"/>
      <w:pPr>
        <w:ind w:left="3723" w:hanging="420"/>
      </w:pPr>
    </w:lvl>
    <w:lvl w:ilvl="8" w:tentative="0">
      <w:start w:val="1"/>
      <w:numFmt w:val="lowerRoman"/>
      <w:lvlText w:val="%9."/>
      <w:lvlJc w:val="right"/>
      <w:pPr>
        <w:ind w:left="4143" w:hanging="420"/>
      </w:pPr>
    </w:lvl>
  </w:abstractNum>
  <w:abstractNum w:abstractNumId="22">
    <w:nsid w:val="46002DC9"/>
    <w:multiLevelType w:val="multilevel"/>
    <w:tmpl w:val="46002DC9"/>
    <w:lvl w:ilvl="0" w:tentative="0">
      <w:start w:val="1"/>
      <w:numFmt w:val="decimal"/>
      <w:lvlText w:val="%1)"/>
      <w:lvlJc w:val="left"/>
      <w:pPr>
        <w:ind w:left="783" w:hanging="420"/>
      </w:pPr>
    </w:lvl>
    <w:lvl w:ilvl="1" w:tentative="0">
      <w:start w:val="1"/>
      <w:numFmt w:val="lowerLetter"/>
      <w:lvlText w:val="%2)"/>
      <w:lvlJc w:val="left"/>
      <w:pPr>
        <w:ind w:left="1203" w:hanging="420"/>
      </w:pPr>
    </w:lvl>
    <w:lvl w:ilvl="2" w:tentative="0">
      <w:start w:val="1"/>
      <w:numFmt w:val="lowerRoman"/>
      <w:lvlText w:val="%3."/>
      <w:lvlJc w:val="right"/>
      <w:pPr>
        <w:ind w:left="1623" w:hanging="420"/>
      </w:pPr>
    </w:lvl>
    <w:lvl w:ilvl="3" w:tentative="0">
      <w:start w:val="1"/>
      <w:numFmt w:val="decimal"/>
      <w:lvlText w:val="%4."/>
      <w:lvlJc w:val="left"/>
      <w:pPr>
        <w:ind w:left="2043" w:hanging="420"/>
      </w:pPr>
    </w:lvl>
    <w:lvl w:ilvl="4" w:tentative="0">
      <w:start w:val="1"/>
      <w:numFmt w:val="lowerLetter"/>
      <w:lvlText w:val="%5)"/>
      <w:lvlJc w:val="left"/>
      <w:pPr>
        <w:ind w:left="2463" w:hanging="420"/>
      </w:pPr>
    </w:lvl>
    <w:lvl w:ilvl="5" w:tentative="0">
      <w:start w:val="1"/>
      <w:numFmt w:val="lowerRoman"/>
      <w:lvlText w:val="%6."/>
      <w:lvlJc w:val="right"/>
      <w:pPr>
        <w:ind w:left="2883" w:hanging="420"/>
      </w:pPr>
    </w:lvl>
    <w:lvl w:ilvl="6" w:tentative="0">
      <w:start w:val="1"/>
      <w:numFmt w:val="decimal"/>
      <w:lvlText w:val="%7."/>
      <w:lvlJc w:val="left"/>
      <w:pPr>
        <w:ind w:left="3303" w:hanging="420"/>
      </w:pPr>
    </w:lvl>
    <w:lvl w:ilvl="7" w:tentative="0">
      <w:start w:val="1"/>
      <w:numFmt w:val="lowerLetter"/>
      <w:lvlText w:val="%8)"/>
      <w:lvlJc w:val="left"/>
      <w:pPr>
        <w:ind w:left="3723" w:hanging="420"/>
      </w:pPr>
    </w:lvl>
    <w:lvl w:ilvl="8" w:tentative="0">
      <w:start w:val="1"/>
      <w:numFmt w:val="lowerRoman"/>
      <w:lvlText w:val="%9."/>
      <w:lvlJc w:val="right"/>
      <w:pPr>
        <w:ind w:left="4143" w:hanging="420"/>
      </w:pPr>
    </w:lvl>
  </w:abstractNum>
  <w:abstractNum w:abstractNumId="23">
    <w:nsid w:val="4B3E2E90"/>
    <w:multiLevelType w:val="singleLevel"/>
    <w:tmpl w:val="4B3E2E90"/>
    <w:lvl w:ilvl="0" w:tentative="0">
      <w:start w:val="1"/>
      <w:numFmt w:val="decimal"/>
      <w:suff w:val="space"/>
      <w:lvlText w:val="%1."/>
      <w:lvlJc w:val="left"/>
    </w:lvl>
  </w:abstractNum>
  <w:abstractNum w:abstractNumId="24">
    <w:nsid w:val="4D8774ED"/>
    <w:multiLevelType w:val="multilevel"/>
    <w:tmpl w:val="4D8774ED"/>
    <w:lvl w:ilvl="0" w:tentative="0">
      <w:start w:val="1"/>
      <w:numFmt w:val="decimal"/>
      <w:lvlText w:val="%1)"/>
      <w:lvlJc w:val="left"/>
      <w:pPr>
        <w:ind w:left="783" w:hanging="420"/>
      </w:pPr>
    </w:lvl>
    <w:lvl w:ilvl="1" w:tentative="0">
      <w:start w:val="1"/>
      <w:numFmt w:val="lowerLetter"/>
      <w:lvlText w:val="%2)"/>
      <w:lvlJc w:val="left"/>
      <w:pPr>
        <w:ind w:left="1203" w:hanging="420"/>
      </w:pPr>
    </w:lvl>
    <w:lvl w:ilvl="2" w:tentative="0">
      <w:start w:val="1"/>
      <w:numFmt w:val="lowerRoman"/>
      <w:lvlText w:val="%3."/>
      <w:lvlJc w:val="right"/>
      <w:pPr>
        <w:ind w:left="1623" w:hanging="420"/>
      </w:pPr>
    </w:lvl>
    <w:lvl w:ilvl="3" w:tentative="0">
      <w:start w:val="1"/>
      <w:numFmt w:val="decimal"/>
      <w:lvlText w:val="%4."/>
      <w:lvlJc w:val="left"/>
      <w:pPr>
        <w:ind w:left="2043" w:hanging="420"/>
      </w:pPr>
    </w:lvl>
    <w:lvl w:ilvl="4" w:tentative="0">
      <w:start w:val="1"/>
      <w:numFmt w:val="lowerLetter"/>
      <w:lvlText w:val="%5)"/>
      <w:lvlJc w:val="left"/>
      <w:pPr>
        <w:ind w:left="2463" w:hanging="420"/>
      </w:pPr>
    </w:lvl>
    <w:lvl w:ilvl="5" w:tentative="0">
      <w:start w:val="1"/>
      <w:numFmt w:val="lowerRoman"/>
      <w:lvlText w:val="%6."/>
      <w:lvlJc w:val="right"/>
      <w:pPr>
        <w:ind w:left="2883" w:hanging="420"/>
      </w:pPr>
    </w:lvl>
    <w:lvl w:ilvl="6" w:tentative="0">
      <w:start w:val="1"/>
      <w:numFmt w:val="decimal"/>
      <w:lvlText w:val="%7."/>
      <w:lvlJc w:val="left"/>
      <w:pPr>
        <w:ind w:left="3303" w:hanging="420"/>
      </w:pPr>
    </w:lvl>
    <w:lvl w:ilvl="7" w:tentative="0">
      <w:start w:val="1"/>
      <w:numFmt w:val="lowerLetter"/>
      <w:lvlText w:val="%8)"/>
      <w:lvlJc w:val="left"/>
      <w:pPr>
        <w:ind w:left="3723" w:hanging="420"/>
      </w:pPr>
    </w:lvl>
    <w:lvl w:ilvl="8" w:tentative="0">
      <w:start w:val="1"/>
      <w:numFmt w:val="lowerRoman"/>
      <w:lvlText w:val="%9."/>
      <w:lvlJc w:val="right"/>
      <w:pPr>
        <w:ind w:left="4143" w:hanging="420"/>
      </w:pPr>
    </w:lvl>
  </w:abstractNum>
  <w:abstractNum w:abstractNumId="25">
    <w:nsid w:val="56A257A1"/>
    <w:multiLevelType w:val="multilevel"/>
    <w:tmpl w:val="56A257A1"/>
    <w:lvl w:ilvl="0" w:tentative="0">
      <w:start w:val="1"/>
      <w:numFmt w:val="decimal"/>
      <w:lvlText w:val="%1."/>
      <w:lvlJc w:val="left"/>
      <w:pPr>
        <w:ind w:left="420" w:hanging="420"/>
      </w:pPr>
    </w:lvl>
    <w:lvl w:ilvl="1" w:tentative="0">
      <w:start w:val="1"/>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6">
    <w:nsid w:val="57AADE55"/>
    <w:multiLevelType w:val="singleLevel"/>
    <w:tmpl w:val="57AADE55"/>
    <w:lvl w:ilvl="0" w:tentative="0">
      <w:start w:val="2"/>
      <w:numFmt w:val="decimal"/>
      <w:suff w:val="nothing"/>
      <w:lvlText w:val="%1、"/>
      <w:lvlJc w:val="left"/>
    </w:lvl>
  </w:abstractNum>
  <w:abstractNum w:abstractNumId="27">
    <w:nsid w:val="592B0DCB"/>
    <w:multiLevelType w:val="multilevel"/>
    <w:tmpl w:val="592B0DCB"/>
    <w:lvl w:ilvl="0" w:tentative="0">
      <w:start w:val="1"/>
      <w:numFmt w:val="decimal"/>
      <w:lvlText w:val="%1)"/>
      <w:lvlJc w:val="left"/>
      <w:pPr>
        <w:ind w:left="783" w:hanging="420"/>
      </w:pPr>
    </w:lvl>
    <w:lvl w:ilvl="1" w:tentative="0">
      <w:start w:val="1"/>
      <w:numFmt w:val="lowerLetter"/>
      <w:lvlText w:val="%2)"/>
      <w:lvlJc w:val="left"/>
      <w:pPr>
        <w:ind w:left="1203" w:hanging="420"/>
      </w:pPr>
    </w:lvl>
    <w:lvl w:ilvl="2" w:tentative="0">
      <w:start w:val="1"/>
      <w:numFmt w:val="lowerRoman"/>
      <w:lvlText w:val="%3."/>
      <w:lvlJc w:val="right"/>
      <w:pPr>
        <w:ind w:left="1623" w:hanging="420"/>
      </w:pPr>
    </w:lvl>
    <w:lvl w:ilvl="3" w:tentative="0">
      <w:start w:val="1"/>
      <w:numFmt w:val="decimal"/>
      <w:lvlText w:val="%4."/>
      <w:lvlJc w:val="left"/>
      <w:pPr>
        <w:ind w:left="2043" w:hanging="420"/>
      </w:pPr>
    </w:lvl>
    <w:lvl w:ilvl="4" w:tentative="0">
      <w:start w:val="1"/>
      <w:numFmt w:val="lowerLetter"/>
      <w:lvlText w:val="%5)"/>
      <w:lvlJc w:val="left"/>
      <w:pPr>
        <w:ind w:left="2463" w:hanging="420"/>
      </w:pPr>
    </w:lvl>
    <w:lvl w:ilvl="5" w:tentative="0">
      <w:start w:val="1"/>
      <w:numFmt w:val="lowerRoman"/>
      <w:lvlText w:val="%6."/>
      <w:lvlJc w:val="right"/>
      <w:pPr>
        <w:ind w:left="2883" w:hanging="420"/>
      </w:pPr>
    </w:lvl>
    <w:lvl w:ilvl="6" w:tentative="0">
      <w:start w:val="1"/>
      <w:numFmt w:val="decimal"/>
      <w:lvlText w:val="%7."/>
      <w:lvlJc w:val="left"/>
      <w:pPr>
        <w:ind w:left="3303" w:hanging="420"/>
      </w:pPr>
    </w:lvl>
    <w:lvl w:ilvl="7" w:tentative="0">
      <w:start w:val="1"/>
      <w:numFmt w:val="lowerLetter"/>
      <w:lvlText w:val="%8)"/>
      <w:lvlJc w:val="left"/>
      <w:pPr>
        <w:ind w:left="3723" w:hanging="420"/>
      </w:pPr>
    </w:lvl>
    <w:lvl w:ilvl="8" w:tentative="0">
      <w:start w:val="1"/>
      <w:numFmt w:val="lowerRoman"/>
      <w:lvlText w:val="%9."/>
      <w:lvlJc w:val="right"/>
      <w:pPr>
        <w:ind w:left="4143" w:hanging="420"/>
      </w:pPr>
    </w:lvl>
  </w:abstractNum>
  <w:abstractNum w:abstractNumId="28">
    <w:nsid w:val="5EE115B1"/>
    <w:multiLevelType w:val="multilevel"/>
    <w:tmpl w:val="5EE115B1"/>
    <w:lvl w:ilvl="0" w:tentative="0">
      <w:start w:val="1"/>
      <w:numFmt w:val="decimal"/>
      <w:lvlText w:val="%1."/>
      <w:lvlJc w:val="left"/>
      <w:pPr>
        <w:ind w:left="420" w:hanging="420"/>
      </w:pPr>
    </w:lvl>
    <w:lvl w:ilvl="1" w:tentative="0">
      <w:start w:val="1"/>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9">
    <w:nsid w:val="5F5D49FF"/>
    <w:multiLevelType w:val="singleLevel"/>
    <w:tmpl w:val="5F5D49FF"/>
    <w:lvl w:ilvl="0" w:tentative="0">
      <w:start w:val="6"/>
      <w:numFmt w:val="decimal"/>
      <w:suff w:val="space"/>
      <w:lvlText w:val="%1."/>
      <w:lvlJc w:val="left"/>
    </w:lvl>
  </w:abstractNum>
  <w:num w:numId="1">
    <w:abstractNumId w:val="20"/>
  </w:num>
  <w:num w:numId="2">
    <w:abstractNumId w:val="14"/>
  </w:num>
  <w:num w:numId="3">
    <w:abstractNumId w:val="18"/>
  </w:num>
  <w:num w:numId="4">
    <w:abstractNumId w:val="13"/>
  </w:num>
  <w:num w:numId="5">
    <w:abstractNumId w:val="1"/>
  </w:num>
  <w:num w:numId="6">
    <w:abstractNumId w:val="5"/>
  </w:num>
  <w:num w:numId="7">
    <w:abstractNumId w:val="0"/>
  </w:num>
  <w:num w:numId="8">
    <w:abstractNumId w:val="2"/>
  </w:num>
  <w:num w:numId="9">
    <w:abstractNumId w:val="29"/>
  </w:num>
  <w:num w:numId="10">
    <w:abstractNumId w:val="4"/>
  </w:num>
  <w:num w:numId="11">
    <w:abstractNumId w:val="3"/>
  </w:num>
  <w:num w:numId="12">
    <w:abstractNumId w:val="7"/>
  </w:num>
  <w:num w:numId="13">
    <w:abstractNumId w:val="11"/>
  </w:num>
  <w:num w:numId="14">
    <w:abstractNumId w:val="12"/>
  </w:num>
  <w:num w:numId="15">
    <w:abstractNumId w:val="10"/>
  </w:num>
  <w:num w:numId="16">
    <w:abstractNumId w:val="16"/>
  </w:num>
  <w:num w:numId="17">
    <w:abstractNumId w:val="19"/>
  </w:num>
  <w:num w:numId="18">
    <w:abstractNumId w:val="15"/>
  </w:num>
  <w:num w:numId="19">
    <w:abstractNumId w:val="9"/>
  </w:num>
  <w:num w:numId="20">
    <w:abstractNumId w:val="8"/>
  </w:num>
  <w:num w:numId="21">
    <w:abstractNumId w:val="17"/>
  </w:num>
  <w:num w:numId="22">
    <w:abstractNumId w:val="6"/>
  </w:num>
  <w:num w:numId="23">
    <w:abstractNumId w:val="23"/>
  </w:num>
  <w:num w:numId="24">
    <w:abstractNumId w:val="28"/>
  </w:num>
  <w:num w:numId="25">
    <w:abstractNumId w:val="27"/>
  </w:num>
  <w:num w:numId="26">
    <w:abstractNumId w:val="22"/>
  </w:num>
  <w:num w:numId="27">
    <w:abstractNumId w:val="21"/>
  </w:num>
  <w:num w:numId="28">
    <w:abstractNumId w:val="25"/>
  </w:num>
  <w:num w:numId="29">
    <w:abstractNumId w:val="24"/>
  </w:num>
  <w:num w:numId="3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k4tSGe63zL/kNavd8CNOYKm0aeA=" w:salt="Yg/kWEDwf6/5UIecRtfzKg=="/>
  <w:defaultTabStop w:val="420"/>
  <w:hyphenationZone w:val="36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24"/>
    <w:rsid w:val="0000040B"/>
    <w:rsid w:val="00000573"/>
    <w:rsid w:val="00000B50"/>
    <w:rsid w:val="000014B2"/>
    <w:rsid w:val="000022DB"/>
    <w:rsid w:val="0000231C"/>
    <w:rsid w:val="00002A85"/>
    <w:rsid w:val="00002CAD"/>
    <w:rsid w:val="0000397A"/>
    <w:rsid w:val="00005217"/>
    <w:rsid w:val="00005534"/>
    <w:rsid w:val="00005C28"/>
    <w:rsid w:val="00006245"/>
    <w:rsid w:val="00006B87"/>
    <w:rsid w:val="00006FFA"/>
    <w:rsid w:val="0000762A"/>
    <w:rsid w:val="00007683"/>
    <w:rsid w:val="0000794E"/>
    <w:rsid w:val="00007E6F"/>
    <w:rsid w:val="0001036B"/>
    <w:rsid w:val="0001056F"/>
    <w:rsid w:val="00010D9F"/>
    <w:rsid w:val="0001190E"/>
    <w:rsid w:val="00011B42"/>
    <w:rsid w:val="00011EBB"/>
    <w:rsid w:val="000125C8"/>
    <w:rsid w:val="00012946"/>
    <w:rsid w:val="00012D75"/>
    <w:rsid w:val="00013335"/>
    <w:rsid w:val="00013AE5"/>
    <w:rsid w:val="00013EC7"/>
    <w:rsid w:val="00014006"/>
    <w:rsid w:val="0001476B"/>
    <w:rsid w:val="00014F1F"/>
    <w:rsid w:val="0001515F"/>
    <w:rsid w:val="00015342"/>
    <w:rsid w:val="00015426"/>
    <w:rsid w:val="00015D1C"/>
    <w:rsid w:val="00016297"/>
    <w:rsid w:val="000162F9"/>
    <w:rsid w:val="00016841"/>
    <w:rsid w:val="00016913"/>
    <w:rsid w:val="00016E17"/>
    <w:rsid w:val="00016F97"/>
    <w:rsid w:val="00017814"/>
    <w:rsid w:val="00017EC0"/>
    <w:rsid w:val="00020155"/>
    <w:rsid w:val="000210B0"/>
    <w:rsid w:val="000220FA"/>
    <w:rsid w:val="00022213"/>
    <w:rsid w:val="0002275F"/>
    <w:rsid w:val="00022F8C"/>
    <w:rsid w:val="0002307D"/>
    <w:rsid w:val="000232EA"/>
    <w:rsid w:val="000233B3"/>
    <w:rsid w:val="000241A5"/>
    <w:rsid w:val="000241FE"/>
    <w:rsid w:val="0002453F"/>
    <w:rsid w:val="000245CF"/>
    <w:rsid w:val="00024CFA"/>
    <w:rsid w:val="00025335"/>
    <w:rsid w:val="000253A6"/>
    <w:rsid w:val="00025423"/>
    <w:rsid w:val="0002593B"/>
    <w:rsid w:val="00025B1F"/>
    <w:rsid w:val="00026426"/>
    <w:rsid w:val="00026850"/>
    <w:rsid w:val="00026B61"/>
    <w:rsid w:val="00026F49"/>
    <w:rsid w:val="00026FFA"/>
    <w:rsid w:val="0002790A"/>
    <w:rsid w:val="00027B19"/>
    <w:rsid w:val="000309A4"/>
    <w:rsid w:val="00030B84"/>
    <w:rsid w:val="00030D0F"/>
    <w:rsid w:val="00031163"/>
    <w:rsid w:val="0003223F"/>
    <w:rsid w:val="00032340"/>
    <w:rsid w:val="00032510"/>
    <w:rsid w:val="00032873"/>
    <w:rsid w:val="00032D90"/>
    <w:rsid w:val="0003310F"/>
    <w:rsid w:val="00033664"/>
    <w:rsid w:val="0003380A"/>
    <w:rsid w:val="00033B47"/>
    <w:rsid w:val="00033E05"/>
    <w:rsid w:val="00034073"/>
    <w:rsid w:val="000355C0"/>
    <w:rsid w:val="00035780"/>
    <w:rsid w:val="00035FE5"/>
    <w:rsid w:val="00036022"/>
    <w:rsid w:val="00036C92"/>
    <w:rsid w:val="00037F20"/>
    <w:rsid w:val="00041087"/>
    <w:rsid w:val="0004168B"/>
    <w:rsid w:val="0004194A"/>
    <w:rsid w:val="000425DA"/>
    <w:rsid w:val="00042689"/>
    <w:rsid w:val="00042699"/>
    <w:rsid w:val="00042A53"/>
    <w:rsid w:val="00042E1A"/>
    <w:rsid w:val="00043595"/>
    <w:rsid w:val="00043625"/>
    <w:rsid w:val="0004395D"/>
    <w:rsid w:val="00044106"/>
    <w:rsid w:val="00044F0B"/>
    <w:rsid w:val="00046C3E"/>
    <w:rsid w:val="0004765F"/>
    <w:rsid w:val="00047971"/>
    <w:rsid w:val="00047C09"/>
    <w:rsid w:val="00050068"/>
    <w:rsid w:val="0005007D"/>
    <w:rsid w:val="0005016D"/>
    <w:rsid w:val="000501F2"/>
    <w:rsid w:val="000501FE"/>
    <w:rsid w:val="0005071C"/>
    <w:rsid w:val="00050C32"/>
    <w:rsid w:val="000510E2"/>
    <w:rsid w:val="00051DF3"/>
    <w:rsid w:val="00051EEA"/>
    <w:rsid w:val="000528D7"/>
    <w:rsid w:val="00052DD0"/>
    <w:rsid w:val="00052DE5"/>
    <w:rsid w:val="00052DEF"/>
    <w:rsid w:val="00053712"/>
    <w:rsid w:val="00054517"/>
    <w:rsid w:val="00054F12"/>
    <w:rsid w:val="00054FA3"/>
    <w:rsid w:val="0005550D"/>
    <w:rsid w:val="00055584"/>
    <w:rsid w:val="00055728"/>
    <w:rsid w:val="00055A1D"/>
    <w:rsid w:val="00055FBA"/>
    <w:rsid w:val="0005674A"/>
    <w:rsid w:val="0006078A"/>
    <w:rsid w:val="00061320"/>
    <w:rsid w:val="00061580"/>
    <w:rsid w:val="0006189E"/>
    <w:rsid w:val="000620D2"/>
    <w:rsid w:val="00062842"/>
    <w:rsid w:val="00062DAE"/>
    <w:rsid w:val="000642F7"/>
    <w:rsid w:val="00064353"/>
    <w:rsid w:val="00064495"/>
    <w:rsid w:val="0006491B"/>
    <w:rsid w:val="00064954"/>
    <w:rsid w:val="00065310"/>
    <w:rsid w:val="0006539C"/>
    <w:rsid w:val="0006672A"/>
    <w:rsid w:val="00066B2F"/>
    <w:rsid w:val="000677DF"/>
    <w:rsid w:val="0007086F"/>
    <w:rsid w:val="00070E2A"/>
    <w:rsid w:val="0007107F"/>
    <w:rsid w:val="00071993"/>
    <w:rsid w:val="00071B40"/>
    <w:rsid w:val="0007212F"/>
    <w:rsid w:val="00072E2E"/>
    <w:rsid w:val="000731DE"/>
    <w:rsid w:val="000737E0"/>
    <w:rsid w:val="00073A08"/>
    <w:rsid w:val="00073C37"/>
    <w:rsid w:val="00073C9E"/>
    <w:rsid w:val="0007417E"/>
    <w:rsid w:val="0007428F"/>
    <w:rsid w:val="00074EC3"/>
    <w:rsid w:val="00074F31"/>
    <w:rsid w:val="000754B9"/>
    <w:rsid w:val="000758DB"/>
    <w:rsid w:val="000759C8"/>
    <w:rsid w:val="00076A92"/>
    <w:rsid w:val="0007744C"/>
    <w:rsid w:val="0007783B"/>
    <w:rsid w:val="00077B99"/>
    <w:rsid w:val="000817E2"/>
    <w:rsid w:val="00081A17"/>
    <w:rsid w:val="000827BB"/>
    <w:rsid w:val="00083AF6"/>
    <w:rsid w:val="00084883"/>
    <w:rsid w:val="0008526F"/>
    <w:rsid w:val="00085507"/>
    <w:rsid w:val="0008628D"/>
    <w:rsid w:val="000864D4"/>
    <w:rsid w:val="0008711E"/>
    <w:rsid w:val="00090DD1"/>
    <w:rsid w:val="00092658"/>
    <w:rsid w:val="00092B76"/>
    <w:rsid w:val="00092EAB"/>
    <w:rsid w:val="00092EC0"/>
    <w:rsid w:val="000935E3"/>
    <w:rsid w:val="0009362D"/>
    <w:rsid w:val="00093CC4"/>
    <w:rsid w:val="00093E23"/>
    <w:rsid w:val="00093F6C"/>
    <w:rsid w:val="0009436D"/>
    <w:rsid w:val="000945BA"/>
    <w:rsid w:val="0009497B"/>
    <w:rsid w:val="00094B52"/>
    <w:rsid w:val="00094E41"/>
    <w:rsid w:val="000950D5"/>
    <w:rsid w:val="00095813"/>
    <w:rsid w:val="0009628D"/>
    <w:rsid w:val="0009657C"/>
    <w:rsid w:val="00096665"/>
    <w:rsid w:val="000968AA"/>
    <w:rsid w:val="00097C15"/>
    <w:rsid w:val="00097E7D"/>
    <w:rsid w:val="000A0224"/>
    <w:rsid w:val="000A06D4"/>
    <w:rsid w:val="000A07C7"/>
    <w:rsid w:val="000A0AD8"/>
    <w:rsid w:val="000A0D0E"/>
    <w:rsid w:val="000A1150"/>
    <w:rsid w:val="000A13C2"/>
    <w:rsid w:val="000A212F"/>
    <w:rsid w:val="000A2172"/>
    <w:rsid w:val="000A24E9"/>
    <w:rsid w:val="000A2BFC"/>
    <w:rsid w:val="000A360A"/>
    <w:rsid w:val="000A379E"/>
    <w:rsid w:val="000A3D53"/>
    <w:rsid w:val="000A42CC"/>
    <w:rsid w:val="000A481A"/>
    <w:rsid w:val="000A4AE9"/>
    <w:rsid w:val="000A4F8C"/>
    <w:rsid w:val="000A4F99"/>
    <w:rsid w:val="000A5AC3"/>
    <w:rsid w:val="000A5C40"/>
    <w:rsid w:val="000A5C78"/>
    <w:rsid w:val="000A5FBF"/>
    <w:rsid w:val="000A61A6"/>
    <w:rsid w:val="000A78A5"/>
    <w:rsid w:val="000A79E7"/>
    <w:rsid w:val="000A7BAA"/>
    <w:rsid w:val="000A7FC4"/>
    <w:rsid w:val="000B0061"/>
    <w:rsid w:val="000B18F4"/>
    <w:rsid w:val="000B1B64"/>
    <w:rsid w:val="000B1DC8"/>
    <w:rsid w:val="000B1DDB"/>
    <w:rsid w:val="000B1F3C"/>
    <w:rsid w:val="000B2168"/>
    <w:rsid w:val="000B226F"/>
    <w:rsid w:val="000B240B"/>
    <w:rsid w:val="000B289B"/>
    <w:rsid w:val="000B2B30"/>
    <w:rsid w:val="000B34FE"/>
    <w:rsid w:val="000B40B2"/>
    <w:rsid w:val="000B4AD5"/>
    <w:rsid w:val="000B4DFE"/>
    <w:rsid w:val="000B5179"/>
    <w:rsid w:val="000B5EDA"/>
    <w:rsid w:val="000B5F74"/>
    <w:rsid w:val="000B6167"/>
    <w:rsid w:val="000B65FF"/>
    <w:rsid w:val="000B76E0"/>
    <w:rsid w:val="000B7DC3"/>
    <w:rsid w:val="000C02C6"/>
    <w:rsid w:val="000C0522"/>
    <w:rsid w:val="000C06A5"/>
    <w:rsid w:val="000C07EF"/>
    <w:rsid w:val="000C0B92"/>
    <w:rsid w:val="000C0BBA"/>
    <w:rsid w:val="000C1103"/>
    <w:rsid w:val="000C142D"/>
    <w:rsid w:val="000C183A"/>
    <w:rsid w:val="000C19B4"/>
    <w:rsid w:val="000C233C"/>
    <w:rsid w:val="000C241F"/>
    <w:rsid w:val="000C29B4"/>
    <w:rsid w:val="000C2CFA"/>
    <w:rsid w:val="000C3642"/>
    <w:rsid w:val="000C36DF"/>
    <w:rsid w:val="000C370A"/>
    <w:rsid w:val="000C3D08"/>
    <w:rsid w:val="000C4134"/>
    <w:rsid w:val="000C41CE"/>
    <w:rsid w:val="000C43E9"/>
    <w:rsid w:val="000C5790"/>
    <w:rsid w:val="000C5884"/>
    <w:rsid w:val="000C5BE2"/>
    <w:rsid w:val="000C5E73"/>
    <w:rsid w:val="000C60A6"/>
    <w:rsid w:val="000C640B"/>
    <w:rsid w:val="000C6459"/>
    <w:rsid w:val="000C647F"/>
    <w:rsid w:val="000C64DF"/>
    <w:rsid w:val="000C6F3D"/>
    <w:rsid w:val="000C70F3"/>
    <w:rsid w:val="000C730A"/>
    <w:rsid w:val="000C76A5"/>
    <w:rsid w:val="000C7B50"/>
    <w:rsid w:val="000D0478"/>
    <w:rsid w:val="000D103C"/>
    <w:rsid w:val="000D1223"/>
    <w:rsid w:val="000D14B4"/>
    <w:rsid w:val="000D2513"/>
    <w:rsid w:val="000D4219"/>
    <w:rsid w:val="000D428E"/>
    <w:rsid w:val="000D4B5A"/>
    <w:rsid w:val="000D51FE"/>
    <w:rsid w:val="000D5251"/>
    <w:rsid w:val="000D533E"/>
    <w:rsid w:val="000D5E5A"/>
    <w:rsid w:val="000D5E79"/>
    <w:rsid w:val="000D62EC"/>
    <w:rsid w:val="000D6344"/>
    <w:rsid w:val="000D650C"/>
    <w:rsid w:val="000D66AB"/>
    <w:rsid w:val="000D6EC8"/>
    <w:rsid w:val="000D7D32"/>
    <w:rsid w:val="000D7E76"/>
    <w:rsid w:val="000E08BB"/>
    <w:rsid w:val="000E0A5E"/>
    <w:rsid w:val="000E0D38"/>
    <w:rsid w:val="000E1184"/>
    <w:rsid w:val="000E1600"/>
    <w:rsid w:val="000E16F7"/>
    <w:rsid w:val="000E182A"/>
    <w:rsid w:val="000E1D97"/>
    <w:rsid w:val="000E209D"/>
    <w:rsid w:val="000E2952"/>
    <w:rsid w:val="000E29A7"/>
    <w:rsid w:val="000E322D"/>
    <w:rsid w:val="000E354E"/>
    <w:rsid w:val="000E3A6C"/>
    <w:rsid w:val="000E41C1"/>
    <w:rsid w:val="000E41E0"/>
    <w:rsid w:val="000E43A1"/>
    <w:rsid w:val="000E4434"/>
    <w:rsid w:val="000E44F8"/>
    <w:rsid w:val="000E4609"/>
    <w:rsid w:val="000E52C0"/>
    <w:rsid w:val="000E61C3"/>
    <w:rsid w:val="000E66F3"/>
    <w:rsid w:val="000E6E70"/>
    <w:rsid w:val="000E7165"/>
    <w:rsid w:val="000E75EC"/>
    <w:rsid w:val="000E7FAC"/>
    <w:rsid w:val="000F01CC"/>
    <w:rsid w:val="000F0BF0"/>
    <w:rsid w:val="000F1ECD"/>
    <w:rsid w:val="000F325C"/>
    <w:rsid w:val="000F37CC"/>
    <w:rsid w:val="000F39A9"/>
    <w:rsid w:val="000F3A4A"/>
    <w:rsid w:val="000F3AA1"/>
    <w:rsid w:val="000F3E97"/>
    <w:rsid w:val="000F4605"/>
    <w:rsid w:val="000F479E"/>
    <w:rsid w:val="000F5028"/>
    <w:rsid w:val="000F52C3"/>
    <w:rsid w:val="000F566B"/>
    <w:rsid w:val="000F5710"/>
    <w:rsid w:val="000F5E21"/>
    <w:rsid w:val="000F5F30"/>
    <w:rsid w:val="000F6037"/>
    <w:rsid w:val="000F6791"/>
    <w:rsid w:val="000F6B8C"/>
    <w:rsid w:val="000F701C"/>
    <w:rsid w:val="000F7F55"/>
    <w:rsid w:val="00100380"/>
    <w:rsid w:val="00100A5A"/>
    <w:rsid w:val="00100D86"/>
    <w:rsid w:val="001014B3"/>
    <w:rsid w:val="00101734"/>
    <w:rsid w:val="0010256A"/>
    <w:rsid w:val="0010256F"/>
    <w:rsid w:val="00103B41"/>
    <w:rsid w:val="00103CD9"/>
    <w:rsid w:val="00103DCB"/>
    <w:rsid w:val="00104D16"/>
    <w:rsid w:val="00105DAB"/>
    <w:rsid w:val="00107349"/>
    <w:rsid w:val="001076B7"/>
    <w:rsid w:val="0010773D"/>
    <w:rsid w:val="00110364"/>
    <w:rsid w:val="001107CB"/>
    <w:rsid w:val="00110AA4"/>
    <w:rsid w:val="00110C4D"/>
    <w:rsid w:val="00111001"/>
    <w:rsid w:val="00111940"/>
    <w:rsid w:val="00111B78"/>
    <w:rsid w:val="00111B8A"/>
    <w:rsid w:val="00111F68"/>
    <w:rsid w:val="001123EC"/>
    <w:rsid w:val="001125C7"/>
    <w:rsid w:val="001129D4"/>
    <w:rsid w:val="00112B21"/>
    <w:rsid w:val="00113794"/>
    <w:rsid w:val="0011397C"/>
    <w:rsid w:val="00113D8D"/>
    <w:rsid w:val="001142C0"/>
    <w:rsid w:val="001143C9"/>
    <w:rsid w:val="0011440F"/>
    <w:rsid w:val="00114A22"/>
    <w:rsid w:val="00114CB8"/>
    <w:rsid w:val="00114D39"/>
    <w:rsid w:val="00114D59"/>
    <w:rsid w:val="0011510C"/>
    <w:rsid w:val="00115EFD"/>
    <w:rsid w:val="00116A36"/>
    <w:rsid w:val="00120474"/>
    <w:rsid w:val="001204D0"/>
    <w:rsid w:val="0012050E"/>
    <w:rsid w:val="001205D2"/>
    <w:rsid w:val="00120774"/>
    <w:rsid w:val="00120FB1"/>
    <w:rsid w:val="00121031"/>
    <w:rsid w:val="00121DCF"/>
    <w:rsid w:val="00122815"/>
    <w:rsid w:val="00122D25"/>
    <w:rsid w:val="0012377B"/>
    <w:rsid w:val="00123F2F"/>
    <w:rsid w:val="00124089"/>
    <w:rsid w:val="001248A6"/>
    <w:rsid w:val="00126783"/>
    <w:rsid w:val="00127518"/>
    <w:rsid w:val="00127737"/>
    <w:rsid w:val="001279C2"/>
    <w:rsid w:val="001306DD"/>
    <w:rsid w:val="00130725"/>
    <w:rsid w:val="00131128"/>
    <w:rsid w:val="00131168"/>
    <w:rsid w:val="0013118D"/>
    <w:rsid w:val="0013145A"/>
    <w:rsid w:val="0013157C"/>
    <w:rsid w:val="0013310C"/>
    <w:rsid w:val="001337F5"/>
    <w:rsid w:val="0013384F"/>
    <w:rsid w:val="0013395A"/>
    <w:rsid w:val="00134271"/>
    <w:rsid w:val="00134708"/>
    <w:rsid w:val="001349F3"/>
    <w:rsid w:val="00134C63"/>
    <w:rsid w:val="00134C98"/>
    <w:rsid w:val="001351D5"/>
    <w:rsid w:val="00135D4F"/>
    <w:rsid w:val="00136726"/>
    <w:rsid w:val="001375EF"/>
    <w:rsid w:val="0013785C"/>
    <w:rsid w:val="0013787B"/>
    <w:rsid w:val="001406EF"/>
    <w:rsid w:val="0014073A"/>
    <w:rsid w:val="00141225"/>
    <w:rsid w:val="00141321"/>
    <w:rsid w:val="00141792"/>
    <w:rsid w:val="0014215D"/>
    <w:rsid w:val="001423B0"/>
    <w:rsid w:val="0014280F"/>
    <w:rsid w:val="00143149"/>
    <w:rsid w:val="00144015"/>
    <w:rsid w:val="001442E9"/>
    <w:rsid w:val="001443F7"/>
    <w:rsid w:val="00144866"/>
    <w:rsid w:val="0014492A"/>
    <w:rsid w:val="001452FB"/>
    <w:rsid w:val="001454F3"/>
    <w:rsid w:val="001456CD"/>
    <w:rsid w:val="0014575E"/>
    <w:rsid w:val="00145874"/>
    <w:rsid w:val="00145A80"/>
    <w:rsid w:val="00145B71"/>
    <w:rsid w:val="001462CC"/>
    <w:rsid w:val="00146F75"/>
    <w:rsid w:val="001470B6"/>
    <w:rsid w:val="00147662"/>
    <w:rsid w:val="001500BF"/>
    <w:rsid w:val="001506BE"/>
    <w:rsid w:val="001509B0"/>
    <w:rsid w:val="001510B5"/>
    <w:rsid w:val="001516F4"/>
    <w:rsid w:val="00151985"/>
    <w:rsid w:val="00151D33"/>
    <w:rsid w:val="001529F0"/>
    <w:rsid w:val="00153BE8"/>
    <w:rsid w:val="00154270"/>
    <w:rsid w:val="00154652"/>
    <w:rsid w:val="001550B3"/>
    <w:rsid w:val="0015536E"/>
    <w:rsid w:val="001554E2"/>
    <w:rsid w:val="00155553"/>
    <w:rsid w:val="0015653E"/>
    <w:rsid w:val="00156926"/>
    <w:rsid w:val="00156978"/>
    <w:rsid w:val="001570E6"/>
    <w:rsid w:val="00157458"/>
    <w:rsid w:val="00157AD9"/>
    <w:rsid w:val="00157E5B"/>
    <w:rsid w:val="0016083C"/>
    <w:rsid w:val="0016094B"/>
    <w:rsid w:val="00160960"/>
    <w:rsid w:val="0016100B"/>
    <w:rsid w:val="0016156E"/>
    <w:rsid w:val="00161DFB"/>
    <w:rsid w:val="00162768"/>
    <w:rsid w:val="00162DA9"/>
    <w:rsid w:val="00163252"/>
    <w:rsid w:val="001632E9"/>
    <w:rsid w:val="001632FB"/>
    <w:rsid w:val="0016334F"/>
    <w:rsid w:val="00163793"/>
    <w:rsid w:val="00164A56"/>
    <w:rsid w:val="001660B2"/>
    <w:rsid w:val="001663DA"/>
    <w:rsid w:val="00166DA2"/>
    <w:rsid w:val="00167E86"/>
    <w:rsid w:val="00167E88"/>
    <w:rsid w:val="00167F20"/>
    <w:rsid w:val="00170214"/>
    <w:rsid w:val="001712FE"/>
    <w:rsid w:val="001713B5"/>
    <w:rsid w:val="001713FA"/>
    <w:rsid w:val="0017168C"/>
    <w:rsid w:val="001716C8"/>
    <w:rsid w:val="00171A7E"/>
    <w:rsid w:val="00171BED"/>
    <w:rsid w:val="001726B2"/>
    <w:rsid w:val="00172726"/>
    <w:rsid w:val="00172C4B"/>
    <w:rsid w:val="001738EF"/>
    <w:rsid w:val="00173C7B"/>
    <w:rsid w:val="00174507"/>
    <w:rsid w:val="00174DCC"/>
    <w:rsid w:val="001751B3"/>
    <w:rsid w:val="00175D42"/>
    <w:rsid w:val="00176251"/>
    <w:rsid w:val="001764EF"/>
    <w:rsid w:val="0017696E"/>
    <w:rsid w:val="00176BC7"/>
    <w:rsid w:val="00177184"/>
    <w:rsid w:val="00180171"/>
    <w:rsid w:val="00180419"/>
    <w:rsid w:val="00180497"/>
    <w:rsid w:val="001819C5"/>
    <w:rsid w:val="00183136"/>
    <w:rsid w:val="00183D52"/>
    <w:rsid w:val="00183E66"/>
    <w:rsid w:val="00184C51"/>
    <w:rsid w:val="00184C81"/>
    <w:rsid w:val="00184FFB"/>
    <w:rsid w:val="00185180"/>
    <w:rsid w:val="00185C5D"/>
    <w:rsid w:val="00185F2E"/>
    <w:rsid w:val="00186870"/>
    <w:rsid w:val="00187CE0"/>
    <w:rsid w:val="00190950"/>
    <w:rsid w:val="00190F26"/>
    <w:rsid w:val="00190F6E"/>
    <w:rsid w:val="0019152B"/>
    <w:rsid w:val="00191715"/>
    <w:rsid w:val="001917C2"/>
    <w:rsid w:val="00191D03"/>
    <w:rsid w:val="00191E17"/>
    <w:rsid w:val="00192196"/>
    <w:rsid w:val="001922CF"/>
    <w:rsid w:val="00193691"/>
    <w:rsid w:val="001937C0"/>
    <w:rsid w:val="00194319"/>
    <w:rsid w:val="00194B3F"/>
    <w:rsid w:val="001953C9"/>
    <w:rsid w:val="001957E7"/>
    <w:rsid w:val="00195847"/>
    <w:rsid w:val="00196052"/>
    <w:rsid w:val="001961CE"/>
    <w:rsid w:val="001A0953"/>
    <w:rsid w:val="001A177A"/>
    <w:rsid w:val="001A19C7"/>
    <w:rsid w:val="001A2038"/>
    <w:rsid w:val="001A264C"/>
    <w:rsid w:val="001A2982"/>
    <w:rsid w:val="001A3266"/>
    <w:rsid w:val="001A36A9"/>
    <w:rsid w:val="001A3825"/>
    <w:rsid w:val="001A39F6"/>
    <w:rsid w:val="001A4235"/>
    <w:rsid w:val="001A4B64"/>
    <w:rsid w:val="001A4CE3"/>
    <w:rsid w:val="001A53C3"/>
    <w:rsid w:val="001A5489"/>
    <w:rsid w:val="001A5B9F"/>
    <w:rsid w:val="001A6384"/>
    <w:rsid w:val="001A6506"/>
    <w:rsid w:val="001A685C"/>
    <w:rsid w:val="001A68D4"/>
    <w:rsid w:val="001A72DD"/>
    <w:rsid w:val="001A75AC"/>
    <w:rsid w:val="001B0102"/>
    <w:rsid w:val="001B1DB7"/>
    <w:rsid w:val="001B2621"/>
    <w:rsid w:val="001B2C98"/>
    <w:rsid w:val="001B3899"/>
    <w:rsid w:val="001B3ADE"/>
    <w:rsid w:val="001B3C2E"/>
    <w:rsid w:val="001B3C6A"/>
    <w:rsid w:val="001B4C02"/>
    <w:rsid w:val="001B4E43"/>
    <w:rsid w:val="001B5207"/>
    <w:rsid w:val="001B5BB6"/>
    <w:rsid w:val="001B6C03"/>
    <w:rsid w:val="001C00D2"/>
    <w:rsid w:val="001C0425"/>
    <w:rsid w:val="001C0998"/>
    <w:rsid w:val="001C0D64"/>
    <w:rsid w:val="001C14C4"/>
    <w:rsid w:val="001C1F12"/>
    <w:rsid w:val="001C23C7"/>
    <w:rsid w:val="001C299E"/>
    <w:rsid w:val="001C2B99"/>
    <w:rsid w:val="001C3CCF"/>
    <w:rsid w:val="001C47B6"/>
    <w:rsid w:val="001C4910"/>
    <w:rsid w:val="001C4A1D"/>
    <w:rsid w:val="001C5BDD"/>
    <w:rsid w:val="001C611B"/>
    <w:rsid w:val="001C62DD"/>
    <w:rsid w:val="001C6C25"/>
    <w:rsid w:val="001C7191"/>
    <w:rsid w:val="001C7245"/>
    <w:rsid w:val="001C74E6"/>
    <w:rsid w:val="001C7A25"/>
    <w:rsid w:val="001C7A87"/>
    <w:rsid w:val="001C7AD0"/>
    <w:rsid w:val="001D0429"/>
    <w:rsid w:val="001D046E"/>
    <w:rsid w:val="001D07B2"/>
    <w:rsid w:val="001D0FA3"/>
    <w:rsid w:val="001D1115"/>
    <w:rsid w:val="001D1140"/>
    <w:rsid w:val="001D1A89"/>
    <w:rsid w:val="001D2268"/>
    <w:rsid w:val="001D2A4D"/>
    <w:rsid w:val="001D304C"/>
    <w:rsid w:val="001D3502"/>
    <w:rsid w:val="001D368D"/>
    <w:rsid w:val="001D3996"/>
    <w:rsid w:val="001D4932"/>
    <w:rsid w:val="001D4F47"/>
    <w:rsid w:val="001D5512"/>
    <w:rsid w:val="001D5FEF"/>
    <w:rsid w:val="001D6124"/>
    <w:rsid w:val="001D62CB"/>
    <w:rsid w:val="001D6A11"/>
    <w:rsid w:val="001D72BF"/>
    <w:rsid w:val="001D74F5"/>
    <w:rsid w:val="001D7D7D"/>
    <w:rsid w:val="001E00D1"/>
    <w:rsid w:val="001E0148"/>
    <w:rsid w:val="001E04B7"/>
    <w:rsid w:val="001E0BE6"/>
    <w:rsid w:val="001E0C9C"/>
    <w:rsid w:val="001E0E71"/>
    <w:rsid w:val="001E11A2"/>
    <w:rsid w:val="001E14C9"/>
    <w:rsid w:val="001E19EE"/>
    <w:rsid w:val="001E1A61"/>
    <w:rsid w:val="001E2F7F"/>
    <w:rsid w:val="001E31E3"/>
    <w:rsid w:val="001E3268"/>
    <w:rsid w:val="001E3A8C"/>
    <w:rsid w:val="001E3AD6"/>
    <w:rsid w:val="001E3B42"/>
    <w:rsid w:val="001E4173"/>
    <w:rsid w:val="001E4EFB"/>
    <w:rsid w:val="001E69FC"/>
    <w:rsid w:val="001E6D9A"/>
    <w:rsid w:val="001E71F9"/>
    <w:rsid w:val="001E739B"/>
    <w:rsid w:val="001E7ABF"/>
    <w:rsid w:val="001F0626"/>
    <w:rsid w:val="001F1110"/>
    <w:rsid w:val="001F18F8"/>
    <w:rsid w:val="001F1A92"/>
    <w:rsid w:val="001F26B5"/>
    <w:rsid w:val="001F34B5"/>
    <w:rsid w:val="001F379A"/>
    <w:rsid w:val="001F42DC"/>
    <w:rsid w:val="001F47D9"/>
    <w:rsid w:val="001F4D39"/>
    <w:rsid w:val="001F4F3B"/>
    <w:rsid w:val="001F4FC5"/>
    <w:rsid w:val="001F6D52"/>
    <w:rsid w:val="001F723B"/>
    <w:rsid w:val="001F74F3"/>
    <w:rsid w:val="001F7A1B"/>
    <w:rsid w:val="001F7A28"/>
    <w:rsid w:val="001F7A2E"/>
    <w:rsid w:val="001F7A72"/>
    <w:rsid w:val="001F7BBF"/>
    <w:rsid w:val="001F7E67"/>
    <w:rsid w:val="00200AAB"/>
    <w:rsid w:val="00200BA1"/>
    <w:rsid w:val="00200CB1"/>
    <w:rsid w:val="002017E8"/>
    <w:rsid w:val="002023F3"/>
    <w:rsid w:val="00202B06"/>
    <w:rsid w:val="00202BC8"/>
    <w:rsid w:val="00202E98"/>
    <w:rsid w:val="00202EC4"/>
    <w:rsid w:val="002036D1"/>
    <w:rsid w:val="00203FF0"/>
    <w:rsid w:val="002042E6"/>
    <w:rsid w:val="00204857"/>
    <w:rsid w:val="00204988"/>
    <w:rsid w:val="00204B43"/>
    <w:rsid w:val="00204F39"/>
    <w:rsid w:val="00204FDB"/>
    <w:rsid w:val="002055A0"/>
    <w:rsid w:val="002057BD"/>
    <w:rsid w:val="002059A9"/>
    <w:rsid w:val="00205AD1"/>
    <w:rsid w:val="00206090"/>
    <w:rsid w:val="00206781"/>
    <w:rsid w:val="0020782C"/>
    <w:rsid w:val="00207DDE"/>
    <w:rsid w:val="00207E17"/>
    <w:rsid w:val="00210086"/>
    <w:rsid w:val="002104F6"/>
    <w:rsid w:val="002106A4"/>
    <w:rsid w:val="002107B3"/>
    <w:rsid w:val="002112B0"/>
    <w:rsid w:val="002113C8"/>
    <w:rsid w:val="002119F7"/>
    <w:rsid w:val="00211D7C"/>
    <w:rsid w:val="00212611"/>
    <w:rsid w:val="00212927"/>
    <w:rsid w:val="00213214"/>
    <w:rsid w:val="002146B3"/>
    <w:rsid w:val="00214B13"/>
    <w:rsid w:val="0021504E"/>
    <w:rsid w:val="00215240"/>
    <w:rsid w:val="0021525B"/>
    <w:rsid w:val="00215DBE"/>
    <w:rsid w:val="00215F4D"/>
    <w:rsid w:val="002161CC"/>
    <w:rsid w:val="00216367"/>
    <w:rsid w:val="00216EA8"/>
    <w:rsid w:val="002172DE"/>
    <w:rsid w:val="0022058D"/>
    <w:rsid w:val="00220977"/>
    <w:rsid w:val="0022098E"/>
    <w:rsid w:val="00220A7C"/>
    <w:rsid w:val="002214C4"/>
    <w:rsid w:val="002219C5"/>
    <w:rsid w:val="00222446"/>
    <w:rsid w:val="00222C5E"/>
    <w:rsid w:val="00223205"/>
    <w:rsid w:val="002232A6"/>
    <w:rsid w:val="00223AA1"/>
    <w:rsid w:val="00223EF8"/>
    <w:rsid w:val="0022484A"/>
    <w:rsid w:val="0022491F"/>
    <w:rsid w:val="00224935"/>
    <w:rsid w:val="00224A3E"/>
    <w:rsid w:val="00224CA4"/>
    <w:rsid w:val="00225057"/>
    <w:rsid w:val="00225D74"/>
    <w:rsid w:val="002260C2"/>
    <w:rsid w:val="002261E9"/>
    <w:rsid w:val="002265E1"/>
    <w:rsid w:val="002265EA"/>
    <w:rsid w:val="002266A8"/>
    <w:rsid w:val="002271A1"/>
    <w:rsid w:val="002272A7"/>
    <w:rsid w:val="00227B73"/>
    <w:rsid w:val="00230F3D"/>
    <w:rsid w:val="00230F4C"/>
    <w:rsid w:val="002315AE"/>
    <w:rsid w:val="002315E8"/>
    <w:rsid w:val="0023240B"/>
    <w:rsid w:val="002324B3"/>
    <w:rsid w:val="00232BF3"/>
    <w:rsid w:val="00232C9E"/>
    <w:rsid w:val="00232F5F"/>
    <w:rsid w:val="00233B31"/>
    <w:rsid w:val="00234A2F"/>
    <w:rsid w:val="00234E7C"/>
    <w:rsid w:val="0023510A"/>
    <w:rsid w:val="002352ED"/>
    <w:rsid w:val="0023537A"/>
    <w:rsid w:val="00236267"/>
    <w:rsid w:val="00236C3B"/>
    <w:rsid w:val="0023786A"/>
    <w:rsid w:val="00237F46"/>
    <w:rsid w:val="002406E6"/>
    <w:rsid w:val="00240A47"/>
    <w:rsid w:val="00240C52"/>
    <w:rsid w:val="00241333"/>
    <w:rsid w:val="00241CED"/>
    <w:rsid w:val="00241DD3"/>
    <w:rsid w:val="00241EFA"/>
    <w:rsid w:val="002421D7"/>
    <w:rsid w:val="0024230B"/>
    <w:rsid w:val="0024253C"/>
    <w:rsid w:val="0024258C"/>
    <w:rsid w:val="002429C1"/>
    <w:rsid w:val="00242C79"/>
    <w:rsid w:val="00242E6D"/>
    <w:rsid w:val="002430E3"/>
    <w:rsid w:val="002432E2"/>
    <w:rsid w:val="002432FA"/>
    <w:rsid w:val="00243307"/>
    <w:rsid w:val="00243E49"/>
    <w:rsid w:val="00244285"/>
    <w:rsid w:val="00244932"/>
    <w:rsid w:val="00244B81"/>
    <w:rsid w:val="00245236"/>
    <w:rsid w:val="00245412"/>
    <w:rsid w:val="002456CF"/>
    <w:rsid w:val="002456D0"/>
    <w:rsid w:val="00245FA9"/>
    <w:rsid w:val="002460A7"/>
    <w:rsid w:val="002463EB"/>
    <w:rsid w:val="00246F10"/>
    <w:rsid w:val="00247249"/>
    <w:rsid w:val="00247CEB"/>
    <w:rsid w:val="00247FD6"/>
    <w:rsid w:val="00250702"/>
    <w:rsid w:val="00250B5B"/>
    <w:rsid w:val="00250FF3"/>
    <w:rsid w:val="00251399"/>
    <w:rsid w:val="00251711"/>
    <w:rsid w:val="00251751"/>
    <w:rsid w:val="002523C5"/>
    <w:rsid w:val="0025255A"/>
    <w:rsid w:val="00252588"/>
    <w:rsid w:val="00252A84"/>
    <w:rsid w:val="00252BDE"/>
    <w:rsid w:val="00252C89"/>
    <w:rsid w:val="00252CA3"/>
    <w:rsid w:val="002533A5"/>
    <w:rsid w:val="002541EC"/>
    <w:rsid w:val="002545E5"/>
    <w:rsid w:val="002548C2"/>
    <w:rsid w:val="002553A3"/>
    <w:rsid w:val="00255BAF"/>
    <w:rsid w:val="00255C6A"/>
    <w:rsid w:val="00256597"/>
    <w:rsid w:val="0025681A"/>
    <w:rsid w:val="002568B5"/>
    <w:rsid w:val="00257405"/>
    <w:rsid w:val="00257487"/>
    <w:rsid w:val="00257F8B"/>
    <w:rsid w:val="0026106D"/>
    <w:rsid w:val="002616E5"/>
    <w:rsid w:val="00261867"/>
    <w:rsid w:val="00261C63"/>
    <w:rsid w:val="00262276"/>
    <w:rsid w:val="00262B4A"/>
    <w:rsid w:val="00263BD3"/>
    <w:rsid w:val="00263BF2"/>
    <w:rsid w:val="002647F3"/>
    <w:rsid w:val="00264986"/>
    <w:rsid w:val="0026504A"/>
    <w:rsid w:val="002650DC"/>
    <w:rsid w:val="002654A0"/>
    <w:rsid w:val="002660F5"/>
    <w:rsid w:val="0026634F"/>
    <w:rsid w:val="00267231"/>
    <w:rsid w:val="002676E9"/>
    <w:rsid w:val="00267B79"/>
    <w:rsid w:val="002719E4"/>
    <w:rsid w:val="00271C0B"/>
    <w:rsid w:val="00271D10"/>
    <w:rsid w:val="002737A5"/>
    <w:rsid w:val="002742D8"/>
    <w:rsid w:val="00274389"/>
    <w:rsid w:val="0027448E"/>
    <w:rsid w:val="00274872"/>
    <w:rsid w:val="00274D8F"/>
    <w:rsid w:val="00274E63"/>
    <w:rsid w:val="002766F3"/>
    <w:rsid w:val="00276B93"/>
    <w:rsid w:val="00276E5E"/>
    <w:rsid w:val="00277473"/>
    <w:rsid w:val="0028073A"/>
    <w:rsid w:val="002815A3"/>
    <w:rsid w:val="00281898"/>
    <w:rsid w:val="00281AEE"/>
    <w:rsid w:val="00281BB1"/>
    <w:rsid w:val="00281D88"/>
    <w:rsid w:val="00282531"/>
    <w:rsid w:val="00283401"/>
    <w:rsid w:val="0028439B"/>
    <w:rsid w:val="00284403"/>
    <w:rsid w:val="00285445"/>
    <w:rsid w:val="0028563C"/>
    <w:rsid w:val="0028565C"/>
    <w:rsid w:val="00285B06"/>
    <w:rsid w:val="002860B8"/>
    <w:rsid w:val="002866B6"/>
    <w:rsid w:val="002866D6"/>
    <w:rsid w:val="00286CC1"/>
    <w:rsid w:val="00287BB9"/>
    <w:rsid w:val="00290DF8"/>
    <w:rsid w:val="002913AD"/>
    <w:rsid w:val="00291626"/>
    <w:rsid w:val="00291EBB"/>
    <w:rsid w:val="0029261B"/>
    <w:rsid w:val="0029264C"/>
    <w:rsid w:val="00293DE9"/>
    <w:rsid w:val="002942BA"/>
    <w:rsid w:val="0029487F"/>
    <w:rsid w:val="00294E5F"/>
    <w:rsid w:val="002950E4"/>
    <w:rsid w:val="002954E2"/>
    <w:rsid w:val="00295A4F"/>
    <w:rsid w:val="00296B63"/>
    <w:rsid w:val="002973E2"/>
    <w:rsid w:val="002974F0"/>
    <w:rsid w:val="00297904"/>
    <w:rsid w:val="00297EB6"/>
    <w:rsid w:val="002A03FE"/>
    <w:rsid w:val="002A074B"/>
    <w:rsid w:val="002A10D9"/>
    <w:rsid w:val="002A1B02"/>
    <w:rsid w:val="002A1E94"/>
    <w:rsid w:val="002A1FC0"/>
    <w:rsid w:val="002A2593"/>
    <w:rsid w:val="002A30D5"/>
    <w:rsid w:val="002A322C"/>
    <w:rsid w:val="002A32E3"/>
    <w:rsid w:val="002A388E"/>
    <w:rsid w:val="002A484C"/>
    <w:rsid w:val="002A4B58"/>
    <w:rsid w:val="002A5052"/>
    <w:rsid w:val="002A540C"/>
    <w:rsid w:val="002A545D"/>
    <w:rsid w:val="002A5BDA"/>
    <w:rsid w:val="002A5F42"/>
    <w:rsid w:val="002A6340"/>
    <w:rsid w:val="002A71B7"/>
    <w:rsid w:val="002A7B7B"/>
    <w:rsid w:val="002A7E2D"/>
    <w:rsid w:val="002B0136"/>
    <w:rsid w:val="002B0841"/>
    <w:rsid w:val="002B173F"/>
    <w:rsid w:val="002B1745"/>
    <w:rsid w:val="002B300B"/>
    <w:rsid w:val="002B35DF"/>
    <w:rsid w:val="002B3967"/>
    <w:rsid w:val="002B3C3A"/>
    <w:rsid w:val="002B47BB"/>
    <w:rsid w:val="002B4E1B"/>
    <w:rsid w:val="002B55A4"/>
    <w:rsid w:val="002B5B77"/>
    <w:rsid w:val="002B687F"/>
    <w:rsid w:val="002C0A1C"/>
    <w:rsid w:val="002C0EE6"/>
    <w:rsid w:val="002C2C47"/>
    <w:rsid w:val="002C2F7B"/>
    <w:rsid w:val="002C30E3"/>
    <w:rsid w:val="002C3B36"/>
    <w:rsid w:val="002C3EA6"/>
    <w:rsid w:val="002C4784"/>
    <w:rsid w:val="002C4BF5"/>
    <w:rsid w:val="002C5B01"/>
    <w:rsid w:val="002C5C6E"/>
    <w:rsid w:val="002C5DAC"/>
    <w:rsid w:val="002C6279"/>
    <w:rsid w:val="002C6670"/>
    <w:rsid w:val="002C68B6"/>
    <w:rsid w:val="002C7657"/>
    <w:rsid w:val="002C79DD"/>
    <w:rsid w:val="002C7B9D"/>
    <w:rsid w:val="002C7C50"/>
    <w:rsid w:val="002C7D82"/>
    <w:rsid w:val="002D01F4"/>
    <w:rsid w:val="002D24DB"/>
    <w:rsid w:val="002D2A5E"/>
    <w:rsid w:val="002D2B4B"/>
    <w:rsid w:val="002D347F"/>
    <w:rsid w:val="002D38C9"/>
    <w:rsid w:val="002D4248"/>
    <w:rsid w:val="002D47BE"/>
    <w:rsid w:val="002D62CD"/>
    <w:rsid w:val="002D694B"/>
    <w:rsid w:val="002D7806"/>
    <w:rsid w:val="002E00FA"/>
    <w:rsid w:val="002E0ABC"/>
    <w:rsid w:val="002E269B"/>
    <w:rsid w:val="002E2C5A"/>
    <w:rsid w:val="002E3016"/>
    <w:rsid w:val="002E3076"/>
    <w:rsid w:val="002E354B"/>
    <w:rsid w:val="002E4B99"/>
    <w:rsid w:val="002E52F4"/>
    <w:rsid w:val="002E5B0D"/>
    <w:rsid w:val="002E5D68"/>
    <w:rsid w:val="002E5EAE"/>
    <w:rsid w:val="002E60A1"/>
    <w:rsid w:val="002E6809"/>
    <w:rsid w:val="002E6D79"/>
    <w:rsid w:val="002E721C"/>
    <w:rsid w:val="002F000A"/>
    <w:rsid w:val="002F1473"/>
    <w:rsid w:val="002F194C"/>
    <w:rsid w:val="002F19F7"/>
    <w:rsid w:val="002F1D4F"/>
    <w:rsid w:val="002F210F"/>
    <w:rsid w:val="002F29F3"/>
    <w:rsid w:val="002F2CDC"/>
    <w:rsid w:val="002F379D"/>
    <w:rsid w:val="002F3B27"/>
    <w:rsid w:val="002F3B3C"/>
    <w:rsid w:val="002F44C9"/>
    <w:rsid w:val="002F4BC1"/>
    <w:rsid w:val="002F500A"/>
    <w:rsid w:val="002F53DD"/>
    <w:rsid w:val="002F576F"/>
    <w:rsid w:val="002F5A4B"/>
    <w:rsid w:val="002F5C6C"/>
    <w:rsid w:val="002F6FDD"/>
    <w:rsid w:val="002F74A9"/>
    <w:rsid w:val="002F75A0"/>
    <w:rsid w:val="00300484"/>
    <w:rsid w:val="003012F0"/>
    <w:rsid w:val="0030176D"/>
    <w:rsid w:val="00301FF1"/>
    <w:rsid w:val="00303749"/>
    <w:rsid w:val="00305009"/>
    <w:rsid w:val="0030522C"/>
    <w:rsid w:val="003055B2"/>
    <w:rsid w:val="003056B2"/>
    <w:rsid w:val="00305A90"/>
    <w:rsid w:val="00305CA9"/>
    <w:rsid w:val="003061E8"/>
    <w:rsid w:val="003062A2"/>
    <w:rsid w:val="0030635F"/>
    <w:rsid w:val="00306543"/>
    <w:rsid w:val="00306E75"/>
    <w:rsid w:val="00306EAB"/>
    <w:rsid w:val="003075C8"/>
    <w:rsid w:val="003078AC"/>
    <w:rsid w:val="00307BEC"/>
    <w:rsid w:val="00311059"/>
    <w:rsid w:val="003113A8"/>
    <w:rsid w:val="00311412"/>
    <w:rsid w:val="00311FED"/>
    <w:rsid w:val="003124B8"/>
    <w:rsid w:val="003129AD"/>
    <w:rsid w:val="00312C61"/>
    <w:rsid w:val="00312E93"/>
    <w:rsid w:val="003135A6"/>
    <w:rsid w:val="00314215"/>
    <w:rsid w:val="003142A6"/>
    <w:rsid w:val="0031439B"/>
    <w:rsid w:val="00314700"/>
    <w:rsid w:val="00314BC7"/>
    <w:rsid w:val="00314FB1"/>
    <w:rsid w:val="0031522C"/>
    <w:rsid w:val="00315607"/>
    <w:rsid w:val="00315796"/>
    <w:rsid w:val="003162C1"/>
    <w:rsid w:val="00316E97"/>
    <w:rsid w:val="003173C7"/>
    <w:rsid w:val="00317450"/>
    <w:rsid w:val="0031763A"/>
    <w:rsid w:val="0031769A"/>
    <w:rsid w:val="00317BB1"/>
    <w:rsid w:val="003209B2"/>
    <w:rsid w:val="00321909"/>
    <w:rsid w:val="00322857"/>
    <w:rsid w:val="00322A63"/>
    <w:rsid w:val="00322FE4"/>
    <w:rsid w:val="00323212"/>
    <w:rsid w:val="00324939"/>
    <w:rsid w:val="003258FD"/>
    <w:rsid w:val="00325A97"/>
    <w:rsid w:val="00325ACB"/>
    <w:rsid w:val="0032670F"/>
    <w:rsid w:val="00326958"/>
    <w:rsid w:val="0032750F"/>
    <w:rsid w:val="003278BD"/>
    <w:rsid w:val="00327C2E"/>
    <w:rsid w:val="00327E9E"/>
    <w:rsid w:val="00330144"/>
    <w:rsid w:val="0033050B"/>
    <w:rsid w:val="00330996"/>
    <w:rsid w:val="003313F0"/>
    <w:rsid w:val="00331A86"/>
    <w:rsid w:val="0033210B"/>
    <w:rsid w:val="0033213B"/>
    <w:rsid w:val="00332DBD"/>
    <w:rsid w:val="003345B1"/>
    <w:rsid w:val="003348F1"/>
    <w:rsid w:val="00334A25"/>
    <w:rsid w:val="00334A65"/>
    <w:rsid w:val="00335083"/>
    <w:rsid w:val="003352DD"/>
    <w:rsid w:val="003352EF"/>
    <w:rsid w:val="0033564F"/>
    <w:rsid w:val="003357CB"/>
    <w:rsid w:val="00336084"/>
    <w:rsid w:val="003374F9"/>
    <w:rsid w:val="00337701"/>
    <w:rsid w:val="00337D2A"/>
    <w:rsid w:val="003402F6"/>
    <w:rsid w:val="00340390"/>
    <w:rsid w:val="003406D3"/>
    <w:rsid w:val="0034104A"/>
    <w:rsid w:val="00341AC9"/>
    <w:rsid w:val="00341DF4"/>
    <w:rsid w:val="00341EB2"/>
    <w:rsid w:val="003424B4"/>
    <w:rsid w:val="003425DA"/>
    <w:rsid w:val="0034284B"/>
    <w:rsid w:val="00343159"/>
    <w:rsid w:val="0034413F"/>
    <w:rsid w:val="0034475A"/>
    <w:rsid w:val="003448BA"/>
    <w:rsid w:val="003449D5"/>
    <w:rsid w:val="00344C4C"/>
    <w:rsid w:val="00344F00"/>
    <w:rsid w:val="003459C4"/>
    <w:rsid w:val="00346710"/>
    <w:rsid w:val="00346BCD"/>
    <w:rsid w:val="00346D63"/>
    <w:rsid w:val="00346D9C"/>
    <w:rsid w:val="00346EA8"/>
    <w:rsid w:val="00347A0B"/>
    <w:rsid w:val="003501D1"/>
    <w:rsid w:val="00350AB2"/>
    <w:rsid w:val="0035170C"/>
    <w:rsid w:val="00352872"/>
    <w:rsid w:val="00352AE9"/>
    <w:rsid w:val="0035431F"/>
    <w:rsid w:val="00354A0F"/>
    <w:rsid w:val="00354CE9"/>
    <w:rsid w:val="00354D90"/>
    <w:rsid w:val="00354FAB"/>
    <w:rsid w:val="003554BD"/>
    <w:rsid w:val="00355554"/>
    <w:rsid w:val="0035601C"/>
    <w:rsid w:val="003561D9"/>
    <w:rsid w:val="00356927"/>
    <w:rsid w:val="00356C4E"/>
    <w:rsid w:val="00356D74"/>
    <w:rsid w:val="00357786"/>
    <w:rsid w:val="0036022C"/>
    <w:rsid w:val="00360734"/>
    <w:rsid w:val="003607C6"/>
    <w:rsid w:val="00360C6E"/>
    <w:rsid w:val="0036117E"/>
    <w:rsid w:val="0036123C"/>
    <w:rsid w:val="003618E8"/>
    <w:rsid w:val="00361C37"/>
    <w:rsid w:val="003626BE"/>
    <w:rsid w:val="00362D76"/>
    <w:rsid w:val="0036355D"/>
    <w:rsid w:val="00364351"/>
    <w:rsid w:val="003644B9"/>
    <w:rsid w:val="00364712"/>
    <w:rsid w:val="00364AB3"/>
    <w:rsid w:val="00364B49"/>
    <w:rsid w:val="00364C1A"/>
    <w:rsid w:val="00364D6C"/>
    <w:rsid w:val="00365088"/>
    <w:rsid w:val="003655C1"/>
    <w:rsid w:val="00365A9A"/>
    <w:rsid w:val="00365F39"/>
    <w:rsid w:val="00365F67"/>
    <w:rsid w:val="00365FCC"/>
    <w:rsid w:val="00366BBB"/>
    <w:rsid w:val="00366E1A"/>
    <w:rsid w:val="00366F74"/>
    <w:rsid w:val="0036757E"/>
    <w:rsid w:val="00367D71"/>
    <w:rsid w:val="00367FB2"/>
    <w:rsid w:val="0037108F"/>
    <w:rsid w:val="0037142E"/>
    <w:rsid w:val="003714D3"/>
    <w:rsid w:val="003714E0"/>
    <w:rsid w:val="003715C7"/>
    <w:rsid w:val="00371850"/>
    <w:rsid w:val="003721AE"/>
    <w:rsid w:val="0037274C"/>
    <w:rsid w:val="0037321D"/>
    <w:rsid w:val="00373742"/>
    <w:rsid w:val="0037447F"/>
    <w:rsid w:val="003766B8"/>
    <w:rsid w:val="00376D6F"/>
    <w:rsid w:val="0037715D"/>
    <w:rsid w:val="003778BB"/>
    <w:rsid w:val="00380155"/>
    <w:rsid w:val="00380AF8"/>
    <w:rsid w:val="00381FEA"/>
    <w:rsid w:val="0038239C"/>
    <w:rsid w:val="00382408"/>
    <w:rsid w:val="00382BE0"/>
    <w:rsid w:val="00382E79"/>
    <w:rsid w:val="00382EC8"/>
    <w:rsid w:val="00383F54"/>
    <w:rsid w:val="00383F60"/>
    <w:rsid w:val="003845E7"/>
    <w:rsid w:val="00384E48"/>
    <w:rsid w:val="003852B1"/>
    <w:rsid w:val="0038539B"/>
    <w:rsid w:val="003858D6"/>
    <w:rsid w:val="00385907"/>
    <w:rsid w:val="003859CC"/>
    <w:rsid w:val="003861B2"/>
    <w:rsid w:val="00386444"/>
    <w:rsid w:val="00386B15"/>
    <w:rsid w:val="00386C3F"/>
    <w:rsid w:val="00386F67"/>
    <w:rsid w:val="0038744A"/>
    <w:rsid w:val="00387E7D"/>
    <w:rsid w:val="003900BF"/>
    <w:rsid w:val="00390E32"/>
    <w:rsid w:val="00391614"/>
    <w:rsid w:val="003917C6"/>
    <w:rsid w:val="00392186"/>
    <w:rsid w:val="00392E76"/>
    <w:rsid w:val="00392FC6"/>
    <w:rsid w:val="0039347D"/>
    <w:rsid w:val="0039392D"/>
    <w:rsid w:val="00393A9A"/>
    <w:rsid w:val="00393B0C"/>
    <w:rsid w:val="00394115"/>
    <w:rsid w:val="0039446F"/>
    <w:rsid w:val="00394F8A"/>
    <w:rsid w:val="0039668F"/>
    <w:rsid w:val="003968BB"/>
    <w:rsid w:val="00396EC5"/>
    <w:rsid w:val="00397B3D"/>
    <w:rsid w:val="00397D10"/>
    <w:rsid w:val="00397F0D"/>
    <w:rsid w:val="003A06C4"/>
    <w:rsid w:val="003A0944"/>
    <w:rsid w:val="003A0C50"/>
    <w:rsid w:val="003A16FF"/>
    <w:rsid w:val="003A174A"/>
    <w:rsid w:val="003A22A1"/>
    <w:rsid w:val="003A237A"/>
    <w:rsid w:val="003A2C0F"/>
    <w:rsid w:val="003A2FD6"/>
    <w:rsid w:val="003A3951"/>
    <w:rsid w:val="003A43B1"/>
    <w:rsid w:val="003A4A74"/>
    <w:rsid w:val="003A7368"/>
    <w:rsid w:val="003A7B72"/>
    <w:rsid w:val="003B08C4"/>
    <w:rsid w:val="003B0D8B"/>
    <w:rsid w:val="003B1432"/>
    <w:rsid w:val="003B14F2"/>
    <w:rsid w:val="003B156A"/>
    <w:rsid w:val="003B167A"/>
    <w:rsid w:val="003B1A86"/>
    <w:rsid w:val="003B1CD7"/>
    <w:rsid w:val="003B2B19"/>
    <w:rsid w:val="003B2BEA"/>
    <w:rsid w:val="003B302C"/>
    <w:rsid w:val="003B47DA"/>
    <w:rsid w:val="003B5E9F"/>
    <w:rsid w:val="003B65DC"/>
    <w:rsid w:val="003B6E88"/>
    <w:rsid w:val="003B77CE"/>
    <w:rsid w:val="003B7917"/>
    <w:rsid w:val="003B796F"/>
    <w:rsid w:val="003B79F1"/>
    <w:rsid w:val="003B7EDD"/>
    <w:rsid w:val="003C064B"/>
    <w:rsid w:val="003C122F"/>
    <w:rsid w:val="003C1D0F"/>
    <w:rsid w:val="003C1D8D"/>
    <w:rsid w:val="003C1DA2"/>
    <w:rsid w:val="003C21A3"/>
    <w:rsid w:val="003C2785"/>
    <w:rsid w:val="003C2A02"/>
    <w:rsid w:val="003C2BA7"/>
    <w:rsid w:val="003C2E2F"/>
    <w:rsid w:val="003C3619"/>
    <w:rsid w:val="003C46B3"/>
    <w:rsid w:val="003C4C6C"/>
    <w:rsid w:val="003C4DB6"/>
    <w:rsid w:val="003C4EE1"/>
    <w:rsid w:val="003C5553"/>
    <w:rsid w:val="003C55B6"/>
    <w:rsid w:val="003C6049"/>
    <w:rsid w:val="003C62F1"/>
    <w:rsid w:val="003C7462"/>
    <w:rsid w:val="003C79CE"/>
    <w:rsid w:val="003D02FD"/>
    <w:rsid w:val="003D0BA2"/>
    <w:rsid w:val="003D0BE4"/>
    <w:rsid w:val="003D1AFC"/>
    <w:rsid w:val="003D1B53"/>
    <w:rsid w:val="003D1E8F"/>
    <w:rsid w:val="003D2233"/>
    <w:rsid w:val="003D22D0"/>
    <w:rsid w:val="003D2C94"/>
    <w:rsid w:val="003D3D0B"/>
    <w:rsid w:val="003D43C8"/>
    <w:rsid w:val="003D4A11"/>
    <w:rsid w:val="003D4A98"/>
    <w:rsid w:val="003D4D8A"/>
    <w:rsid w:val="003D4FFA"/>
    <w:rsid w:val="003D5D53"/>
    <w:rsid w:val="003D6040"/>
    <w:rsid w:val="003D6432"/>
    <w:rsid w:val="003D7598"/>
    <w:rsid w:val="003D7C7C"/>
    <w:rsid w:val="003D7E61"/>
    <w:rsid w:val="003E0316"/>
    <w:rsid w:val="003E0D86"/>
    <w:rsid w:val="003E1160"/>
    <w:rsid w:val="003E1F41"/>
    <w:rsid w:val="003E2224"/>
    <w:rsid w:val="003E26D0"/>
    <w:rsid w:val="003E2E20"/>
    <w:rsid w:val="003E33FE"/>
    <w:rsid w:val="003E3732"/>
    <w:rsid w:val="003E3997"/>
    <w:rsid w:val="003E39FB"/>
    <w:rsid w:val="003E4297"/>
    <w:rsid w:val="003E42AA"/>
    <w:rsid w:val="003E45A0"/>
    <w:rsid w:val="003E488B"/>
    <w:rsid w:val="003E531F"/>
    <w:rsid w:val="003E53D0"/>
    <w:rsid w:val="003E54A2"/>
    <w:rsid w:val="003E5B0A"/>
    <w:rsid w:val="003E64B8"/>
    <w:rsid w:val="003E65FE"/>
    <w:rsid w:val="003E6934"/>
    <w:rsid w:val="003E6F79"/>
    <w:rsid w:val="003E7123"/>
    <w:rsid w:val="003E7151"/>
    <w:rsid w:val="003E7175"/>
    <w:rsid w:val="003E7B69"/>
    <w:rsid w:val="003E7E15"/>
    <w:rsid w:val="003F0334"/>
    <w:rsid w:val="003F0D23"/>
    <w:rsid w:val="003F0DBA"/>
    <w:rsid w:val="003F1061"/>
    <w:rsid w:val="003F133C"/>
    <w:rsid w:val="003F16BF"/>
    <w:rsid w:val="003F2067"/>
    <w:rsid w:val="003F2824"/>
    <w:rsid w:val="003F2EFF"/>
    <w:rsid w:val="003F33A1"/>
    <w:rsid w:val="003F405A"/>
    <w:rsid w:val="003F42D4"/>
    <w:rsid w:val="003F492E"/>
    <w:rsid w:val="003F4D10"/>
    <w:rsid w:val="003F4D1A"/>
    <w:rsid w:val="003F4F5A"/>
    <w:rsid w:val="003F504B"/>
    <w:rsid w:val="003F59B8"/>
    <w:rsid w:val="003F6669"/>
    <w:rsid w:val="003F66FE"/>
    <w:rsid w:val="003F688A"/>
    <w:rsid w:val="003F6F54"/>
    <w:rsid w:val="003F7E00"/>
    <w:rsid w:val="004006E6"/>
    <w:rsid w:val="00400A55"/>
    <w:rsid w:val="00400E4B"/>
    <w:rsid w:val="004011E3"/>
    <w:rsid w:val="00401697"/>
    <w:rsid w:val="00401A9D"/>
    <w:rsid w:val="00401B60"/>
    <w:rsid w:val="004020C8"/>
    <w:rsid w:val="00402168"/>
    <w:rsid w:val="00402566"/>
    <w:rsid w:val="00402A19"/>
    <w:rsid w:val="004033FC"/>
    <w:rsid w:val="00403C41"/>
    <w:rsid w:val="00403F4A"/>
    <w:rsid w:val="004042EF"/>
    <w:rsid w:val="00404597"/>
    <w:rsid w:val="00404A62"/>
    <w:rsid w:val="004058CD"/>
    <w:rsid w:val="00406F68"/>
    <w:rsid w:val="00407B74"/>
    <w:rsid w:val="0041034A"/>
    <w:rsid w:val="00411362"/>
    <w:rsid w:val="0041149A"/>
    <w:rsid w:val="004115B2"/>
    <w:rsid w:val="004117B4"/>
    <w:rsid w:val="00411E4A"/>
    <w:rsid w:val="004127F7"/>
    <w:rsid w:val="00412804"/>
    <w:rsid w:val="00412C0C"/>
    <w:rsid w:val="00413A05"/>
    <w:rsid w:val="0041410B"/>
    <w:rsid w:val="0041581B"/>
    <w:rsid w:val="00416932"/>
    <w:rsid w:val="00417BC0"/>
    <w:rsid w:val="00420FCF"/>
    <w:rsid w:val="00421308"/>
    <w:rsid w:val="0042164D"/>
    <w:rsid w:val="0042190C"/>
    <w:rsid w:val="00422792"/>
    <w:rsid w:val="00422F57"/>
    <w:rsid w:val="0042327B"/>
    <w:rsid w:val="004237A3"/>
    <w:rsid w:val="00423BB0"/>
    <w:rsid w:val="0042413E"/>
    <w:rsid w:val="00424FC5"/>
    <w:rsid w:val="00425B3C"/>
    <w:rsid w:val="00425DC3"/>
    <w:rsid w:val="00425E37"/>
    <w:rsid w:val="004269EE"/>
    <w:rsid w:val="00426A2B"/>
    <w:rsid w:val="00427109"/>
    <w:rsid w:val="0042758E"/>
    <w:rsid w:val="0043097C"/>
    <w:rsid w:val="004315EC"/>
    <w:rsid w:val="004317F3"/>
    <w:rsid w:val="00431EA6"/>
    <w:rsid w:val="004326E9"/>
    <w:rsid w:val="00432D77"/>
    <w:rsid w:val="00432D84"/>
    <w:rsid w:val="0043376D"/>
    <w:rsid w:val="004341AB"/>
    <w:rsid w:val="0043435B"/>
    <w:rsid w:val="004346F8"/>
    <w:rsid w:val="00434EE9"/>
    <w:rsid w:val="004358C6"/>
    <w:rsid w:val="00435CF2"/>
    <w:rsid w:val="00437C73"/>
    <w:rsid w:val="004406AE"/>
    <w:rsid w:val="00440C59"/>
    <w:rsid w:val="00441453"/>
    <w:rsid w:val="00442B92"/>
    <w:rsid w:val="00443302"/>
    <w:rsid w:val="00443626"/>
    <w:rsid w:val="00443690"/>
    <w:rsid w:val="00443916"/>
    <w:rsid w:val="00443CCA"/>
    <w:rsid w:val="00443D5B"/>
    <w:rsid w:val="00443F5F"/>
    <w:rsid w:val="00444A77"/>
    <w:rsid w:val="00444C7A"/>
    <w:rsid w:val="00444ECE"/>
    <w:rsid w:val="0044511D"/>
    <w:rsid w:val="00445495"/>
    <w:rsid w:val="00445707"/>
    <w:rsid w:val="00446864"/>
    <w:rsid w:val="00446902"/>
    <w:rsid w:val="00447876"/>
    <w:rsid w:val="00447B3F"/>
    <w:rsid w:val="00450298"/>
    <w:rsid w:val="00450526"/>
    <w:rsid w:val="004509DA"/>
    <w:rsid w:val="00450D6D"/>
    <w:rsid w:val="004510BE"/>
    <w:rsid w:val="0045113B"/>
    <w:rsid w:val="004516B6"/>
    <w:rsid w:val="00451845"/>
    <w:rsid w:val="00451BCC"/>
    <w:rsid w:val="00451E8E"/>
    <w:rsid w:val="00452A62"/>
    <w:rsid w:val="00453229"/>
    <w:rsid w:val="00453AD6"/>
    <w:rsid w:val="0045490F"/>
    <w:rsid w:val="00454D0A"/>
    <w:rsid w:val="0045532D"/>
    <w:rsid w:val="00455773"/>
    <w:rsid w:val="00455797"/>
    <w:rsid w:val="00455A1F"/>
    <w:rsid w:val="00455AE7"/>
    <w:rsid w:val="00456679"/>
    <w:rsid w:val="00456756"/>
    <w:rsid w:val="00456757"/>
    <w:rsid w:val="00456CAD"/>
    <w:rsid w:val="00456EBE"/>
    <w:rsid w:val="00457402"/>
    <w:rsid w:val="0045754F"/>
    <w:rsid w:val="004576C3"/>
    <w:rsid w:val="0046010F"/>
    <w:rsid w:val="004606FB"/>
    <w:rsid w:val="00460FAE"/>
    <w:rsid w:val="00461144"/>
    <w:rsid w:val="00461DCE"/>
    <w:rsid w:val="00462792"/>
    <w:rsid w:val="004627B8"/>
    <w:rsid w:val="00462C51"/>
    <w:rsid w:val="00462C58"/>
    <w:rsid w:val="0046303B"/>
    <w:rsid w:val="00463702"/>
    <w:rsid w:val="0046383C"/>
    <w:rsid w:val="0046410A"/>
    <w:rsid w:val="0046454E"/>
    <w:rsid w:val="00464F16"/>
    <w:rsid w:val="00465B26"/>
    <w:rsid w:val="00467185"/>
    <w:rsid w:val="00467641"/>
    <w:rsid w:val="00467BA8"/>
    <w:rsid w:val="00470517"/>
    <w:rsid w:val="00471EEB"/>
    <w:rsid w:val="0047244D"/>
    <w:rsid w:val="00472510"/>
    <w:rsid w:val="00472F04"/>
    <w:rsid w:val="00473C3B"/>
    <w:rsid w:val="00473DD2"/>
    <w:rsid w:val="00474701"/>
    <w:rsid w:val="00474A9F"/>
    <w:rsid w:val="00475007"/>
    <w:rsid w:val="0047556F"/>
    <w:rsid w:val="00475B7E"/>
    <w:rsid w:val="00476808"/>
    <w:rsid w:val="00476A97"/>
    <w:rsid w:val="0047700F"/>
    <w:rsid w:val="0047758E"/>
    <w:rsid w:val="00477E5A"/>
    <w:rsid w:val="00480189"/>
    <w:rsid w:val="004801CE"/>
    <w:rsid w:val="00481068"/>
    <w:rsid w:val="00481B63"/>
    <w:rsid w:val="00481FFE"/>
    <w:rsid w:val="0048219F"/>
    <w:rsid w:val="004828C7"/>
    <w:rsid w:val="0048294D"/>
    <w:rsid w:val="00482AE2"/>
    <w:rsid w:val="00482C71"/>
    <w:rsid w:val="00482F06"/>
    <w:rsid w:val="00484158"/>
    <w:rsid w:val="00484481"/>
    <w:rsid w:val="00484596"/>
    <w:rsid w:val="00484CC9"/>
    <w:rsid w:val="004852EB"/>
    <w:rsid w:val="00485B50"/>
    <w:rsid w:val="00490814"/>
    <w:rsid w:val="00490936"/>
    <w:rsid w:val="004909A1"/>
    <w:rsid w:val="00490AC3"/>
    <w:rsid w:val="004916E1"/>
    <w:rsid w:val="00491901"/>
    <w:rsid w:val="0049194A"/>
    <w:rsid w:val="004925A4"/>
    <w:rsid w:val="00492B05"/>
    <w:rsid w:val="00493174"/>
    <w:rsid w:val="00493357"/>
    <w:rsid w:val="004935B6"/>
    <w:rsid w:val="004940EA"/>
    <w:rsid w:val="0049456F"/>
    <w:rsid w:val="00495112"/>
    <w:rsid w:val="00495728"/>
    <w:rsid w:val="0049582A"/>
    <w:rsid w:val="00495C2A"/>
    <w:rsid w:val="00495ED4"/>
    <w:rsid w:val="00496916"/>
    <w:rsid w:val="00497085"/>
    <w:rsid w:val="00497169"/>
    <w:rsid w:val="00497C2E"/>
    <w:rsid w:val="004A078A"/>
    <w:rsid w:val="004A080D"/>
    <w:rsid w:val="004A14E8"/>
    <w:rsid w:val="004A193E"/>
    <w:rsid w:val="004A233D"/>
    <w:rsid w:val="004A3B4A"/>
    <w:rsid w:val="004A44BE"/>
    <w:rsid w:val="004A530F"/>
    <w:rsid w:val="004A5456"/>
    <w:rsid w:val="004A5973"/>
    <w:rsid w:val="004A5D9A"/>
    <w:rsid w:val="004A6606"/>
    <w:rsid w:val="004A67BD"/>
    <w:rsid w:val="004A6A79"/>
    <w:rsid w:val="004A6E43"/>
    <w:rsid w:val="004A6E97"/>
    <w:rsid w:val="004A6FC2"/>
    <w:rsid w:val="004A7F54"/>
    <w:rsid w:val="004B1424"/>
    <w:rsid w:val="004B1C5C"/>
    <w:rsid w:val="004B2132"/>
    <w:rsid w:val="004B2D15"/>
    <w:rsid w:val="004B2DA4"/>
    <w:rsid w:val="004B3DBE"/>
    <w:rsid w:val="004B4297"/>
    <w:rsid w:val="004B44F2"/>
    <w:rsid w:val="004B4A7D"/>
    <w:rsid w:val="004B4C25"/>
    <w:rsid w:val="004B4CA0"/>
    <w:rsid w:val="004B50A4"/>
    <w:rsid w:val="004B5466"/>
    <w:rsid w:val="004B5835"/>
    <w:rsid w:val="004B6056"/>
    <w:rsid w:val="004B67CE"/>
    <w:rsid w:val="004B7B29"/>
    <w:rsid w:val="004C1137"/>
    <w:rsid w:val="004C19B6"/>
    <w:rsid w:val="004C1AFD"/>
    <w:rsid w:val="004C2430"/>
    <w:rsid w:val="004C2C10"/>
    <w:rsid w:val="004C3E5B"/>
    <w:rsid w:val="004C4B1D"/>
    <w:rsid w:val="004C4BE6"/>
    <w:rsid w:val="004C5155"/>
    <w:rsid w:val="004C5722"/>
    <w:rsid w:val="004C5C67"/>
    <w:rsid w:val="004C6C15"/>
    <w:rsid w:val="004C702C"/>
    <w:rsid w:val="004C799D"/>
    <w:rsid w:val="004C7EF6"/>
    <w:rsid w:val="004D0C11"/>
    <w:rsid w:val="004D18F4"/>
    <w:rsid w:val="004D1913"/>
    <w:rsid w:val="004D1BA6"/>
    <w:rsid w:val="004D2553"/>
    <w:rsid w:val="004D2BEF"/>
    <w:rsid w:val="004D2E1A"/>
    <w:rsid w:val="004D2F6B"/>
    <w:rsid w:val="004D33CE"/>
    <w:rsid w:val="004D3482"/>
    <w:rsid w:val="004D366D"/>
    <w:rsid w:val="004D4145"/>
    <w:rsid w:val="004D6288"/>
    <w:rsid w:val="004D6E78"/>
    <w:rsid w:val="004D6FDD"/>
    <w:rsid w:val="004E0B76"/>
    <w:rsid w:val="004E23FC"/>
    <w:rsid w:val="004E2EBA"/>
    <w:rsid w:val="004E32FB"/>
    <w:rsid w:val="004E3C35"/>
    <w:rsid w:val="004E3EE7"/>
    <w:rsid w:val="004E431E"/>
    <w:rsid w:val="004E452A"/>
    <w:rsid w:val="004E4602"/>
    <w:rsid w:val="004E4B81"/>
    <w:rsid w:val="004E4F34"/>
    <w:rsid w:val="004E5D68"/>
    <w:rsid w:val="004E6612"/>
    <w:rsid w:val="004E75FA"/>
    <w:rsid w:val="004E7721"/>
    <w:rsid w:val="004E7D00"/>
    <w:rsid w:val="004E7D28"/>
    <w:rsid w:val="004F0664"/>
    <w:rsid w:val="004F099F"/>
    <w:rsid w:val="004F11B5"/>
    <w:rsid w:val="004F17FD"/>
    <w:rsid w:val="004F191F"/>
    <w:rsid w:val="004F1D6A"/>
    <w:rsid w:val="004F2CFF"/>
    <w:rsid w:val="004F373E"/>
    <w:rsid w:val="004F42C3"/>
    <w:rsid w:val="004F4952"/>
    <w:rsid w:val="004F50FB"/>
    <w:rsid w:val="004F5125"/>
    <w:rsid w:val="004F5B57"/>
    <w:rsid w:val="004F6506"/>
    <w:rsid w:val="004F66F1"/>
    <w:rsid w:val="004F6D3F"/>
    <w:rsid w:val="004F6DEC"/>
    <w:rsid w:val="004F6E46"/>
    <w:rsid w:val="004F795D"/>
    <w:rsid w:val="0050095B"/>
    <w:rsid w:val="00501180"/>
    <w:rsid w:val="0050126C"/>
    <w:rsid w:val="00502354"/>
    <w:rsid w:val="005023B2"/>
    <w:rsid w:val="005023C9"/>
    <w:rsid w:val="00502F43"/>
    <w:rsid w:val="005035EC"/>
    <w:rsid w:val="00503998"/>
    <w:rsid w:val="00503AF7"/>
    <w:rsid w:val="00503B6D"/>
    <w:rsid w:val="00503E51"/>
    <w:rsid w:val="005041AE"/>
    <w:rsid w:val="005045EB"/>
    <w:rsid w:val="005045F8"/>
    <w:rsid w:val="00504797"/>
    <w:rsid w:val="00504BB0"/>
    <w:rsid w:val="005050F4"/>
    <w:rsid w:val="00505124"/>
    <w:rsid w:val="00506075"/>
    <w:rsid w:val="00506177"/>
    <w:rsid w:val="005062F0"/>
    <w:rsid w:val="00506569"/>
    <w:rsid w:val="00507157"/>
    <w:rsid w:val="0050731F"/>
    <w:rsid w:val="005074D7"/>
    <w:rsid w:val="00507DA6"/>
    <w:rsid w:val="00510171"/>
    <w:rsid w:val="0051117E"/>
    <w:rsid w:val="00511877"/>
    <w:rsid w:val="00511903"/>
    <w:rsid w:val="00511C89"/>
    <w:rsid w:val="00512256"/>
    <w:rsid w:val="0051240E"/>
    <w:rsid w:val="00512D59"/>
    <w:rsid w:val="005137C7"/>
    <w:rsid w:val="0051385D"/>
    <w:rsid w:val="00513CF2"/>
    <w:rsid w:val="005149EC"/>
    <w:rsid w:val="00514A3E"/>
    <w:rsid w:val="00514A75"/>
    <w:rsid w:val="0051535F"/>
    <w:rsid w:val="0051556C"/>
    <w:rsid w:val="00515AE6"/>
    <w:rsid w:val="00515E2E"/>
    <w:rsid w:val="00515F2A"/>
    <w:rsid w:val="00516457"/>
    <w:rsid w:val="005168F8"/>
    <w:rsid w:val="00516E9A"/>
    <w:rsid w:val="005178AB"/>
    <w:rsid w:val="00517D6A"/>
    <w:rsid w:val="00521D2E"/>
    <w:rsid w:val="0052282C"/>
    <w:rsid w:val="005229E8"/>
    <w:rsid w:val="00522BFC"/>
    <w:rsid w:val="00522C70"/>
    <w:rsid w:val="005230F9"/>
    <w:rsid w:val="005232DD"/>
    <w:rsid w:val="005238DF"/>
    <w:rsid w:val="00523E55"/>
    <w:rsid w:val="00523E7B"/>
    <w:rsid w:val="005245B2"/>
    <w:rsid w:val="00524B71"/>
    <w:rsid w:val="00525864"/>
    <w:rsid w:val="005258CB"/>
    <w:rsid w:val="00525D27"/>
    <w:rsid w:val="00525FC5"/>
    <w:rsid w:val="00526005"/>
    <w:rsid w:val="00526B44"/>
    <w:rsid w:val="00526C21"/>
    <w:rsid w:val="005270A7"/>
    <w:rsid w:val="005270AC"/>
    <w:rsid w:val="005270B6"/>
    <w:rsid w:val="005273B9"/>
    <w:rsid w:val="0052748A"/>
    <w:rsid w:val="005278E1"/>
    <w:rsid w:val="005279F3"/>
    <w:rsid w:val="00527B4A"/>
    <w:rsid w:val="00527C0D"/>
    <w:rsid w:val="0053142D"/>
    <w:rsid w:val="00531AAB"/>
    <w:rsid w:val="00531B79"/>
    <w:rsid w:val="00532212"/>
    <w:rsid w:val="005322FC"/>
    <w:rsid w:val="005325E5"/>
    <w:rsid w:val="00532756"/>
    <w:rsid w:val="00532996"/>
    <w:rsid w:val="00532DCC"/>
    <w:rsid w:val="00532F5A"/>
    <w:rsid w:val="005337C0"/>
    <w:rsid w:val="00533BB6"/>
    <w:rsid w:val="00534390"/>
    <w:rsid w:val="00534781"/>
    <w:rsid w:val="00534D34"/>
    <w:rsid w:val="00534EED"/>
    <w:rsid w:val="00534FD6"/>
    <w:rsid w:val="0053516B"/>
    <w:rsid w:val="00535E06"/>
    <w:rsid w:val="00535E25"/>
    <w:rsid w:val="00536080"/>
    <w:rsid w:val="005361F0"/>
    <w:rsid w:val="005362BA"/>
    <w:rsid w:val="00536B41"/>
    <w:rsid w:val="00536C39"/>
    <w:rsid w:val="005376E7"/>
    <w:rsid w:val="0053796E"/>
    <w:rsid w:val="00540394"/>
    <w:rsid w:val="0054041C"/>
    <w:rsid w:val="00540549"/>
    <w:rsid w:val="00542031"/>
    <w:rsid w:val="005427B2"/>
    <w:rsid w:val="00543B8A"/>
    <w:rsid w:val="00543F38"/>
    <w:rsid w:val="0054432A"/>
    <w:rsid w:val="00544B03"/>
    <w:rsid w:val="00544F3D"/>
    <w:rsid w:val="00544FC1"/>
    <w:rsid w:val="00545CCE"/>
    <w:rsid w:val="00546C03"/>
    <w:rsid w:val="00546EBA"/>
    <w:rsid w:val="00547756"/>
    <w:rsid w:val="005517BD"/>
    <w:rsid w:val="00551C25"/>
    <w:rsid w:val="00552363"/>
    <w:rsid w:val="00552413"/>
    <w:rsid w:val="00552AE6"/>
    <w:rsid w:val="005530B1"/>
    <w:rsid w:val="00553B6C"/>
    <w:rsid w:val="00554203"/>
    <w:rsid w:val="0055422A"/>
    <w:rsid w:val="00554279"/>
    <w:rsid w:val="00554713"/>
    <w:rsid w:val="00554B39"/>
    <w:rsid w:val="00554C02"/>
    <w:rsid w:val="005563B4"/>
    <w:rsid w:val="00556626"/>
    <w:rsid w:val="00556AEC"/>
    <w:rsid w:val="00556D85"/>
    <w:rsid w:val="00557041"/>
    <w:rsid w:val="00557FD3"/>
    <w:rsid w:val="00560122"/>
    <w:rsid w:val="005601AF"/>
    <w:rsid w:val="005603C0"/>
    <w:rsid w:val="005604C1"/>
    <w:rsid w:val="00560EF0"/>
    <w:rsid w:val="00561CE3"/>
    <w:rsid w:val="00561E5D"/>
    <w:rsid w:val="005622B6"/>
    <w:rsid w:val="00562FD7"/>
    <w:rsid w:val="0056440F"/>
    <w:rsid w:val="00564493"/>
    <w:rsid w:val="005644D2"/>
    <w:rsid w:val="0056467C"/>
    <w:rsid w:val="00564A98"/>
    <w:rsid w:val="00565389"/>
    <w:rsid w:val="00565784"/>
    <w:rsid w:val="005660C3"/>
    <w:rsid w:val="00566E7F"/>
    <w:rsid w:val="0056749B"/>
    <w:rsid w:val="00567676"/>
    <w:rsid w:val="00567A78"/>
    <w:rsid w:val="00567ABE"/>
    <w:rsid w:val="0057005D"/>
    <w:rsid w:val="005704ED"/>
    <w:rsid w:val="005707AD"/>
    <w:rsid w:val="00570A8F"/>
    <w:rsid w:val="00570BB6"/>
    <w:rsid w:val="0057250D"/>
    <w:rsid w:val="005725BC"/>
    <w:rsid w:val="0057376D"/>
    <w:rsid w:val="0057395A"/>
    <w:rsid w:val="00573F08"/>
    <w:rsid w:val="00574392"/>
    <w:rsid w:val="00574627"/>
    <w:rsid w:val="00574D17"/>
    <w:rsid w:val="00574F59"/>
    <w:rsid w:val="005751C0"/>
    <w:rsid w:val="0057595B"/>
    <w:rsid w:val="00575A29"/>
    <w:rsid w:val="0057657E"/>
    <w:rsid w:val="005802AD"/>
    <w:rsid w:val="00581258"/>
    <w:rsid w:val="00581632"/>
    <w:rsid w:val="0058164C"/>
    <w:rsid w:val="00581A4A"/>
    <w:rsid w:val="00581FEA"/>
    <w:rsid w:val="005827C7"/>
    <w:rsid w:val="0058285F"/>
    <w:rsid w:val="0058290A"/>
    <w:rsid w:val="00582BFA"/>
    <w:rsid w:val="00583443"/>
    <w:rsid w:val="0058417F"/>
    <w:rsid w:val="0058553C"/>
    <w:rsid w:val="0058590B"/>
    <w:rsid w:val="0058599D"/>
    <w:rsid w:val="00585C29"/>
    <w:rsid w:val="00586029"/>
    <w:rsid w:val="00586351"/>
    <w:rsid w:val="0058645D"/>
    <w:rsid w:val="005868F0"/>
    <w:rsid w:val="00586914"/>
    <w:rsid w:val="005879BF"/>
    <w:rsid w:val="00587C6A"/>
    <w:rsid w:val="005919D7"/>
    <w:rsid w:val="0059269F"/>
    <w:rsid w:val="00592923"/>
    <w:rsid w:val="00593545"/>
    <w:rsid w:val="00593820"/>
    <w:rsid w:val="00594AB9"/>
    <w:rsid w:val="00594D7A"/>
    <w:rsid w:val="00594DDB"/>
    <w:rsid w:val="00595C40"/>
    <w:rsid w:val="00595E2D"/>
    <w:rsid w:val="00596448"/>
    <w:rsid w:val="00596499"/>
    <w:rsid w:val="0059668F"/>
    <w:rsid w:val="005967BA"/>
    <w:rsid w:val="00596878"/>
    <w:rsid w:val="00596BC2"/>
    <w:rsid w:val="005A0929"/>
    <w:rsid w:val="005A0E36"/>
    <w:rsid w:val="005A0F7C"/>
    <w:rsid w:val="005A121D"/>
    <w:rsid w:val="005A1784"/>
    <w:rsid w:val="005A214C"/>
    <w:rsid w:val="005A2320"/>
    <w:rsid w:val="005A2518"/>
    <w:rsid w:val="005A2577"/>
    <w:rsid w:val="005A3580"/>
    <w:rsid w:val="005A358F"/>
    <w:rsid w:val="005A3785"/>
    <w:rsid w:val="005A3AFB"/>
    <w:rsid w:val="005A3F71"/>
    <w:rsid w:val="005A4165"/>
    <w:rsid w:val="005A4964"/>
    <w:rsid w:val="005A5011"/>
    <w:rsid w:val="005A53DD"/>
    <w:rsid w:val="005A6089"/>
    <w:rsid w:val="005A62AD"/>
    <w:rsid w:val="005A659F"/>
    <w:rsid w:val="005A7D7F"/>
    <w:rsid w:val="005A7FCD"/>
    <w:rsid w:val="005B0018"/>
    <w:rsid w:val="005B020D"/>
    <w:rsid w:val="005B0709"/>
    <w:rsid w:val="005B0EFE"/>
    <w:rsid w:val="005B0F80"/>
    <w:rsid w:val="005B1066"/>
    <w:rsid w:val="005B1176"/>
    <w:rsid w:val="005B1371"/>
    <w:rsid w:val="005B28E5"/>
    <w:rsid w:val="005B2DBD"/>
    <w:rsid w:val="005B2DF0"/>
    <w:rsid w:val="005B35FB"/>
    <w:rsid w:val="005B396C"/>
    <w:rsid w:val="005B3C9E"/>
    <w:rsid w:val="005B423D"/>
    <w:rsid w:val="005B4414"/>
    <w:rsid w:val="005B4D8E"/>
    <w:rsid w:val="005B4DAD"/>
    <w:rsid w:val="005B5399"/>
    <w:rsid w:val="005B5561"/>
    <w:rsid w:val="005B5A15"/>
    <w:rsid w:val="005B5FE5"/>
    <w:rsid w:val="005B672F"/>
    <w:rsid w:val="005C0078"/>
    <w:rsid w:val="005C0810"/>
    <w:rsid w:val="005C0C57"/>
    <w:rsid w:val="005C16BD"/>
    <w:rsid w:val="005C16F5"/>
    <w:rsid w:val="005C1829"/>
    <w:rsid w:val="005C1C1E"/>
    <w:rsid w:val="005C239E"/>
    <w:rsid w:val="005C2E41"/>
    <w:rsid w:val="005C33D3"/>
    <w:rsid w:val="005C4045"/>
    <w:rsid w:val="005C40B3"/>
    <w:rsid w:val="005C4C18"/>
    <w:rsid w:val="005C50FC"/>
    <w:rsid w:val="005C615D"/>
    <w:rsid w:val="005C66A0"/>
    <w:rsid w:val="005C6E5B"/>
    <w:rsid w:val="005C7559"/>
    <w:rsid w:val="005C7D9E"/>
    <w:rsid w:val="005D0617"/>
    <w:rsid w:val="005D13F9"/>
    <w:rsid w:val="005D202D"/>
    <w:rsid w:val="005D339C"/>
    <w:rsid w:val="005D35A4"/>
    <w:rsid w:val="005D369F"/>
    <w:rsid w:val="005D4868"/>
    <w:rsid w:val="005D50D6"/>
    <w:rsid w:val="005D5473"/>
    <w:rsid w:val="005D5CCC"/>
    <w:rsid w:val="005D6266"/>
    <w:rsid w:val="005D67E8"/>
    <w:rsid w:val="005D739A"/>
    <w:rsid w:val="005D7602"/>
    <w:rsid w:val="005D783B"/>
    <w:rsid w:val="005D7C08"/>
    <w:rsid w:val="005E0030"/>
    <w:rsid w:val="005E0A1C"/>
    <w:rsid w:val="005E0EB5"/>
    <w:rsid w:val="005E12C5"/>
    <w:rsid w:val="005E3403"/>
    <w:rsid w:val="005E3854"/>
    <w:rsid w:val="005E39E4"/>
    <w:rsid w:val="005E3A08"/>
    <w:rsid w:val="005E41C0"/>
    <w:rsid w:val="005E4259"/>
    <w:rsid w:val="005E4365"/>
    <w:rsid w:val="005E4E66"/>
    <w:rsid w:val="005E5199"/>
    <w:rsid w:val="005E530A"/>
    <w:rsid w:val="005E5CC9"/>
    <w:rsid w:val="005E6818"/>
    <w:rsid w:val="005E6A03"/>
    <w:rsid w:val="005E6D20"/>
    <w:rsid w:val="005F076F"/>
    <w:rsid w:val="005F1EE9"/>
    <w:rsid w:val="005F2413"/>
    <w:rsid w:val="005F2C44"/>
    <w:rsid w:val="005F2EDC"/>
    <w:rsid w:val="005F3148"/>
    <w:rsid w:val="005F3D1F"/>
    <w:rsid w:val="005F42AB"/>
    <w:rsid w:val="005F4655"/>
    <w:rsid w:val="005F5679"/>
    <w:rsid w:val="005F5858"/>
    <w:rsid w:val="005F5A4C"/>
    <w:rsid w:val="005F5B58"/>
    <w:rsid w:val="005F5BF8"/>
    <w:rsid w:val="005F5DB7"/>
    <w:rsid w:val="005F5F27"/>
    <w:rsid w:val="005F6616"/>
    <w:rsid w:val="005F6827"/>
    <w:rsid w:val="005F6E55"/>
    <w:rsid w:val="005F6E87"/>
    <w:rsid w:val="006007EF"/>
    <w:rsid w:val="00600DE3"/>
    <w:rsid w:val="00600ED1"/>
    <w:rsid w:val="006013C9"/>
    <w:rsid w:val="0060206D"/>
    <w:rsid w:val="006020D5"/>
    <w:rsid w:val="0060239C"/>
    <w:rsid w:val="00602F79"/>
    <w:rsid w:val="00603F05"/>
    <w:rsid w:val="006045D6"/>
    <w:rsid w:val="006048A6"/>
    <w:rsid w:val="00604DB5"/>
    <w:rsid w:val="0060532C"/>
    <w:rsid w:val="006053BB"/>
    <w:rsid w:val="00605571"/>
    <w:rsid w:val="0060643E"/>
    <w:rsid w:val="00606964"/>
    <w:rsid w:val="006112F2"/>
    <w:rsid w:val="00611700"/>
    <w:rsid w:val="00611B87"/>
    <w:rsid w:val="0061219C"/>
    <w:rsid w:val="0061251B"/>
    <w:rsid w:val="006126CD"/>
    <w:rsid w:val="00613BFF"/>
    <w:rsid w:val="00613FBA"/>
    <w:rsid w:val="00614646"/>
    <w:rsid w:val="00614866"/>
    <w:rsid w:val="006153D3"/>
    <w:rsid w:val="00615FFA"/>
    <w:rsid w:val="00616D66"/>
    <w:rsid w:val="00616E04"/>
    <w:rsid w:val="00617347"/>
    <w:rsid w:val="00617465"/>
    <w:rsid w:val="00617B13"/>
    <w:rsid w:val="00620884"/>
    <w:rsid w:val="00620F14"/>
    <w:rsid w:val="00621902"/>
    <w:rsid w:val="00622275"/>
    <w:rsid w:val="006223D6"/>
    <w:rsid w:val="006230A7"/>
    <w:rsid w:val="006239D1"/>
    <w:rsid w:val="00624349"/>
    <w:rsid w:val="00624353"/>
    <w:rsid w:val="00625EF4"/>
    <w:rsid w:val="00626239"/>
    <w:rsid w:val="006268D5"/>
    <w:rsid w:val="00626DC5"/>
    <w:rsid w:val="006278AF"/>
    <w:rsid w:val="00627DE2"/>
    <w:rsid w:val="00630181"/>
    <w:rsid w:val="00630D66"/>
    <w:rsid w:val="00630E92"/>
    <w:rsid w:val="0063169F"/>
    <w:rsid w:val="00631822"/>
    <w:rsid w:val="0063217D"/>
    <w:rsid w:val="006321B4"/>
    <w:rsid w:val="00633335"/>
    <w:rsid w:val="00633836"/>
    <w:rsid w:val="00633D26"/>
    <w:rsid w:val="0063406D"/>
    <w:rsid w:val="0063419C"/>
    <w:rsid w:val="00634473"/>
    <w:rsid w:val="006345CD"/>
    <w:rsid w:val="00634D89"/>
    <w:rsid w:val="006361DD"/>
    <w:rsid w:val="006362C3"/>
    <w:rsid w:val="006366CF"/>
    <w:rsid w:val="0063695C"/>
    <w:rsid w:val="00636D01"/>
    <w:rsid w:val="00637F8A"/>
    <w:rsid w:val="006401A0"/>
    <w:rsid w:val="00641BAA"/>
    <w:rsid w:val="00641E5B"/>
    <w:rsid w:val="006420E5"/>
    <w:rsid w:val="006425EF"/>
    <w:rsid w:val="006428DA"/>
    <w:rsid w:val="006429F3"/>
    <w:rsid w:val="006431E9"/>
    <w:rsid w:val="00643DE0"/>
    <w:rsid w:val="006444B3"/>
    <w:rsid w:val="0064461E"/>
    <w:rsid w:val="006449DE"/>
    <w:rsid w:val="00644CFD"/>
    <w:rsid w:val="0064523A"/>
    <w:rsid w:val="00645530"/>
    <w:rsid w:val="00645F60"/>
    <w:rsid w:val="00646733"/>
    <w:rsid w:val="006469B6"/>
    <w:rsid w:val="00647247"/>
    <w:rsid w:val="00647312"/>
    <w:rsid w:val="00647458"/>
    <w:rsid w:val="006475AA"/>
    <w:rsid w:val="00647A0C"/>
    <w:rsid w:val="00647F81"/>
    <w:rsid w:val="006503BF"/>
    <w:rsid w:val="00650720"/>
    <w:rsid w:val="0065099B"/>
    <w:rsid w:val="006512E0"/>
    <w:rsid w:val="00651322"/>
    <w:rsid w:val="00652068"/>
    <w:rsid w:val="00652926"/>
    <w:rsid w:val="00652997"/>
    <w:rsid w:val="00652B6A"/>
    <w:rsid w:val="00653190"/>
    <w:rsid w:val="006535AB"/>
    <w:rsid w:val="00653E41"/>
    <w:rsid w:val="006541CA"/>
    <w:rsid w:val="00654AE7"/>
    <w:rsid w:val="00654C9F"/>
    <w:rsid w:val="00655CBF"/>
    <w:rsid w:val="00656EF1"/>
    <w:rsid w:val="0065754E"/>
    <w:rsid w:val="00657D58"/>
    <w:rsid w:val="00660435"/>
    <w:rsid w:val="00660738"/>
    <w:rsid w:val="0066085F"/>
    <w:rsid w:val="00661554"/>
    <w:rsid w:val="00661685"/>
    <w:rsid w:val="0066212C"/>
    <w:rsid w:val="00662A41"/>
    <w:rsid w:val="00663579"/>
    <w:rsid w:val="0066381B"/>
    <w:rsid w:val="0066391E"/>
    <w:rsid w:val="00663B19"/>
    <w:rsid w:val="00663F2B"/>
    <w:rsid w:val="00663FCC"/>
    <w:rsid w:val="006649FE"/>
    <w:rsid w:val="00664F6C"/>
    <w:rsid w:val="00665727"/>
    <w:rsid w:val="00665BF0"/>
    <w:rsid w:val="00665CA4"/>
    <w:rsid w:val="00665F81"/>
    <w:rsid w:val="00666A1E"/>
    <w:rsid w:val="00666A61"/>
    <w:rsid w:val="00666D5F"/>
    <w:rsid w:val="00667D56"/>
    <w:rsid w:val="00670F58"/>
    <w:rsid w:val="006711D0"/>
    <w:rsid w:val="006712ED"/>
    <w:rsid w:val="00671BEC"/>
    <w:rsid w:val="00672CE4"/>
    <w:rsid w:val="0067371A"/>
    <w:rsid w:val="006738D6"/>
    <w:rsid w:val="00673DE6"/>
    <w:rsid w:val="00673F34"/>
    <w:rsid w:val="006743FE"/>
    <w:rsid w:val="006751E0"/>
    <w:rsid w:val="00675511"/>
    <w:rsid w:val="00675886"/>
    <w:rsid w:val="00675C45"/>
    <w:rsid w:val="006766E4"/>
    <w:rsid w:val="0067695A"/>
    <w:rsid w:val="006769E3"/>
    <w:rsid w:val="00676A78"/>
    <w:rsid w:val="00677CAC"/>
    <w:rsid w:val="00680705"/>
    <w:rsid w:val="006817C1"/>
    <w:rsid w:val="00681F3B"/>
    <w:rsid w:val="00682003"/>
    <w:rsid w:val="0068259B"/>
    <w:rsid w:val="00682A85"/>
    <w:rsid w:val="006830C0"/>
    <w:rsid w:val="00683A48"/>
    <w:rsid w:val="00684643"/>
    <w:rsid w:val="00684930"/>
    <w:rsid w:val="00684A26"/>
    <w:rsid w:val="00684EE3"/>
    <w:rsid w:val="00684FE3"/>
    <w:rsid w:val="006858D6"/>
    <w:rsid w:val="00685CC8"/>
    <w:rsid w:val="00686092"/>
    <w:rsid w:val="0068637D"/>
    <w:rsid w:val="00686984"/>
    <w:rsid w:val="00686E6D"/>
    <w:rsid w:val="006873B9"/>
    <w:rsid w:val="00687452"/>
    <w:rsid w:val="006900C8"/>
    <w:rsid w:val="006903A2"/>
    <w:rsid w:val="006907D7"/>
    <w:rsid w:val="00691E0B"/>
    <w:rsid w:val="006924A7"/>
    <w:rsid w:val="006926A1"/>
    <w:rsid w:val="00693792"/>
    <w:rsid w:val="0069404A"/>
    <w:rsid w:val="00694AFF"/>
    <w:rsid w:val="00694F24"/>
    <w:rsid w:val="00695E16"/>
    <w:rsid w:val="00695E28"/>
    <w:rsid w:val="00696172"/>
    <w:rsid w:val="00696D42"/>
    <w:rsid w:val="006971ED"/>
    <w:rsid w:val="00697BF8"/>
    <w:rsid w:val="006A130B"/>
    <w:rsid w:val="006A151E"/>
    <w:rsid w:val="006A17ED"/>
    <w:rsid w:val="006A18BB"/>
    <w:rsid w:val="006A18EB"/>
    <w:rsid w:val="006A274F"/>
    <w:rsid w:val="006A2781"/>
    <w:rsid w:val="006A285D"/>
    <w:rsid w:val="006A2EEF"/>
    <w:rsid w:val="006A31C7"/>
    <w:rsid w:val="006A36CF"/>
    <w:rsid w:val="006A39A0"/>
    <w:rsid w:val="006A4930"/>
    <w:rsid w:val="006A4B70"/>
    <w:rsid w:val="006A5046"/>
    <w:rsid w:val="006A5234"/>
    <w:rsid w:val="006A55A0"/>
    <w:rsid w:val="006A55D3"/>
    <w:rsid w:val="006A564C"/>
    <w:rsid w:val="006A5737"/>
    <w:rsid w:val="006A594C"/>
    <w:rsid w:val="006A59D6"/>
    <w:rsid w:val="006A7E78"/>
    <w:rsid w:val="006B014A"/>
    <w:rsid w:val="006B073D"/>
    <w:rsid w:val="006B0745"/>
    <w:rsid w:val="006B09D8"/>
    <w:rsid w:val="006B0D25"/>
    <w:rsid w:val="006B10CA"/>
    <w:rsid w:val="006B189C"/>
    <w:rsid w:val="006B18D4"/>
    <w:rsid w:val="006B1C04"/>
    <w:rsid w:val="006B21D5"/>
    <w:rsid w:val="006B2313"/>
    <w:rsid w:val="006B2D10"/>
    <w:rsid w:val="006B31D3"/>
    <w:rsid w:val="006B3234"/>
    <w:rsid w:val="006B36DB"/>
    <w:rsid w:val="006B3703"/>
    <w:rsid w:val="006B39C7"/>
    <w:rsid w:val="006B4168"/>
    <w:rsid w:val="006B4278"/>
    <w:rsid w:val="006B537A"/>
    <w:rsid w:val="006B597F"/>
    <w:rsid w:val="006B5B9A"/>
    <w:rsid w:val="006B6E10"/>
    <w:rsid w:val="006B6E48"/>
    <w:rsid w:val="006B756B"/>
    <w:rsid w:val="006B780C"/>
    <w:rsid w:val="006B7FB8"/>
    <w:rsid w:val="006C075F"/>
    <w:rsid w:val="006C0C10"/>
    <w:rsid w:val="006C19E7"/>
    <w:rsid w:val="006C1B33"/>
    <w:rsid w:val="006C1E67"/>
    <w:rsid w:val="006C2161"/>
    <w:rsid w:val="006C2163"/>
    <w:rsid w:val="006C2768"/>
    <w:rsid w:val="006C29D4"/>
    <w:rsid w:val="006C3B66"/>
    <w:rsid w:val="006C436C"/>
    <w:rsid w:val="006C4BC9"/>
    <w:rsid w:val="006C5672"/>
    <w:rsid w:val="006C5AA8"/>
    <w:rsid w:val="006C6014"/>
    <w:rsid w:val="006C6266"/>
    <w:rsid w:val="006C689F"/>
    <w:rsid w:val="006C6F0E"/>
    <w:rsid w:val="006C74EE"/>
    <w:rsid w:val="006C76FD"/>
    <w:rsid w:val="006D103F"/>
    <w:rsid w:val="006D168D"/>
    <w:rsid w:val="006D17ED"/>
    <w:rsid w:val="006D1972"/>
    <w:rsid w:val="006D1D85"/>
    <w:rsid w:val="006D1DC2"/>
    <w:rsid w:val="006D2D1C"/>
    <w:rsid w:val="006D355A"/>
    <w:rsid w:val="006D3B2F"/>
    <w:rsid w:val="006D3D3B"/>
    <w:rsid w:val="006D3E81"/>
    <w:rsid w:val="006D41A5"/>
    <w:rsid w:val="006D5839"/>
    <w:rsid w:val="006D5BBB"/>
    <w:rsid w:val="006D6413"/>
    <w:rsid w:val="006D675D"/>
    <w:rsid w:val="006D6AAA"/>
    <w:rsid w:val="006D6CDC"/>
    <w:rsid w:val="006D7D2C"/>
    <w:rsid w:val="006D7E58"/>
    <w:rsid w:val="006E01B2"/>
    <w:rsid w:val="006E0200"/>
    <w:rsid w:val="006E19AF"/>
    <w:rsid w:val="006E1A61"/>
    <w:rsid w:val="006E2D0E"/>
    <w:rsid w:val="006E2E7A"/>
    <w:rsid w:val="006E2EF1"/>
    <w:rsid w:val="006E2F3A"/>
    <w:rsid w:val="006E3019"/>
    <w:rsid w:val="006E45B0"/>
    <w:rsid w:val="006E4A0A"/>
    <w:rsid w:val="006E6C09"/>
    <w:rsid w:val="006E74B9"/>
    <w:rsid w:val="006E763D"/>
    <w:rsid w:val="006E77B0"/>
    <w:rsid w:val="006E7ADE"/>
    <w:rsid w:val="006E7CEB"/>
    <w:rsid w:val="006F0142"/>
    <w:rsid w:val="006F06E0"/>
    <w:rsid w:val="006F0762"/>
    <w:rsid w:val="006F0E23"/>
    <w:rsid w:val="006F0F0A"/>
    <w:rsid w:val="006F1634"/>
    <w:rsid w:val="006F16FD"/>
    <w:rsid w:val="006F1B5F"/>
    <w:rsid w:val="006F1BA9"/>
    <w:rsid w:val="006F249F"/>
    <w:rsid w:val="006F24B6"/>
    <w:rsid w:val="006F26E3"/>
    <w:rsid w:val="006F2B45"/>
    <w:rsid w:val="006F3581"/>
    <w:rsid w:val="006F3CC4"/>
    <w:rsid w:val="006F48ED"/>
    <w:rsid w:val="006F4CD8"/>
    <w:rsid w:val="006F4D2A"/>
    <w:rsid w:val="006F4DC0"/>
    <w:rsid w:val="006F5256"/>
    <w:rsid w:val="006F52F5"/>
    <w:rsid w:val="006F54F5"/>
    <w:rsid w:val="006F5517"/>
    <w:rsid w:val="006F578F"/>
    <w:rsid w:val="006F6180"/>
    <w:rsid w:val="006F6CB4"/>
    <w:rsid w:val="006F6DCA"/>
    <w:rsid w:val="006F71AF"/>
    <w:rsid w:val="006F7516"/>
    <w:rsid w:val="006F7DD5"/>
    <w:rsid w:val="00700060"/>
    <w:rsid w:val="007008B0"/>
    <w:rsid w:val="00700CA4"/>
    <w:rsid w:val="00701251"/>
    <w:rsid w:val="007014C0"/>
    <w:rsid w:val="0070191C"/>
    <w:rsid w:val="00701AF4"/>
    <w:rsid w:val="0070219C"/>
    <w:rsid w:val="00702D20"/>
    <w:rsid w:val="0070376D"/>
    <w:rsid w:val="007037FB"/>
    <w:rsid w:val="0070569A"/>
    <w:rsid w:val="00705D7A"/>
    <w:rsid w:val="007064B7"/>
    <w:rsid w:val="007068AD"/>
    <w:rsid w:val="00707220"/>
    <w:rsid w:val="00707249"/>
    <w:rsid w:val="007076BE"/>
    <w:rsid w:val="00707996"/>
    <w:rsid w:val="007101E2"/>
    <w:rsid w:val="0071056C"/>
    <w:rsid w:val="007121C4"/>
    <w:rsid w:val="0071228D"/>
    <w:rsid w:val="00712887"/>
    <w:rsid w:val="007128C8"/>
    <w:rsid w:val="007132C7"/>
    <w:rsid w:val="00713A96"/>
    <w:rsid w:val="0071478E"/>
    <w:rsid w:val="00714842"/>
    <w:rsid w:val="007149FC"/>
    <w:rsid w:val="00714C80"/>
    <w:rsid w:val="00715D12"/>
    <w:rsid w:val="0071689A"/>
    <w:rsid w:val="007169F1"/>
    <w:rsid w:val="00716E6A"/>
    <w:rsid w:val="00716FB6"/>
    <w:rsid w:val="00717412"/>
    <w:rsid w:val="00717A3B"/>
    <w:rsid w:val="007203ED"/>
    <w:rsid w:val="00720B20"/>
    <w:rsid w:val="00721C6C"/>
    <w:rsid w:val="00721E36"/>
    <w:rsid w:val="0072226E"/>
    <w:rsid w:val="00722476"/>
    <w:rsid w:val="00722639"/>
    <w:rsid w:val="00722740"/>
    <w:rsid w:val="00723356"/>
    <w:rsid w:val="00723F30"/>
    <w:rsid w:val="007242F9"/>
    <w:rsid w:val="00724D4E"/>
    <w:rsid w:val="007250A1"/>
    <w:rsid w:val="00725583"/>
    <w:rsid w:val="0072594D"/>
    <w:rsid w:val="00726233"/>
    <w:rsid w:val="0072626D"/>
    <w:rsid w:val="00726342"/>
    <w:rsid w:val="00726624"/>
    <w:rsid w:val="00726886"/>
    <w:rsid w:val="00726D72"/>
    <w:rsid w:val="00726D8A"/>
    <w:rsid w:val="007271E2"/>
    <w:rsid w:val="0072754B"/>
    <w:rsid w:val="00727956"/>
    <w:rsid w:val="007300B4"/>
    <w:rsid w:val="007309D0"/>
    <w:rsid w:val="007316A4"/>
    <w:rsid w:val="007320FF"/>
    <w:rsid w:val="00732495"/>
    <w:rsid w:val="007325BA"/>
    <w:rsid w:val="0073302D"/>
    <w:rsid w:val="007331FD"/>
    <w:rsid w:val="00733D37"/>
    <w:rsid w:val="007359F5"/>
    <w:rsid w:val="00735C66"/>
    <w:rsid w:val="00736672"/>
    <w:rsid w:val="00736DEA"/>
    <w:rsid w:val="0073762C"/>
    <w:rsid w:val="00737B8E"/>
    <w:rsid w:val="007401F0"/>
    <w:rsid w:val="007404B4"/>
    <w:rsid w:val="0074056C"/>
    <w:rsid w:val="0074060D"/>
    <w:rsid w:val="0074124F"/>
    <w:rsid w:val="00741BA0"/>
    <w:rsid w:val="00741BC4"/>
    <w:rsid w:val="007421D7"/>
    <w:rsid w:val="0074282C"/>
    <w:rsid w:val="00742881"/>
    <w:rsid w:val="00743204"/>
    <w:rsid w:val="007439D1"/>
    <w:rsid w:val="00744676"/>
    <w:rsid w:val="00744D0D"/>
    <w:rsid w:val="007454B6"/>
    <w:rsid w:val="00745544"/>
    <w:rsid w:val="007455B8"/>
    <w:rsid w:val="00745854"/>
    <w:rsid w:val="0074597F"/>
    <w:rsid w:val="00745E78"/>
    <w:rsid w:val="007460DA"/>
    <w:rsid w:val="00746CC6"/>
    <w:rsid w:val="00747160"/>
    <w:rsid w:val="00747A3F"/>
    <w:rsid w:val="007505FD"/>
    <w:rsid w:val="00750CA3"/>
    <w:rsid w:val="00751FF2"/>
    <w:rsid w:val="007520BB"/>
    <w:rsid w:val="007522F3"/>
    <w:rsid w:val="007529FF"/>
    <w:rsid w:val="00752BBE"/>
    <w:rsid w:val="00752C2D"/>
    <w:rsid w:val="007530C6"/>
    <w:rsid w:val="0075330A"/>
    <w:rsid w:val="00753F89"/>
    <w:rsid w:val="007545F4"/>
    <w:rsid w:val="00754636"/>
    <w:rsid w:val="00754967"/>
    <w:rsid w:val="007557A9"/>
    <w:rsid w:val="0075630B"/>
    <w:rsid w:val="0075695B"/>
    <w:rsid w:val="00757983"/>
    <w:rsid w:val="00757D0B"/>
    <w:rsid w:val="007600DB"/>
    <w:rsid w:val="00760456"/>
    <w:rsid w:val="007604E0"/>
    <w:rsid w:val="007611D6"/>
    <w:rsid w:val="007617E5"/>
    <w:rsid w:val="00761B36"/>
    <w:rsid w:val="00761C9A"/>
    <w:rsid w:val="00762C3E"/>
    <w:rsid w:val="00763570"/>
    <w:rsid w:val="007635B8"/>
    <w:rsid w:val="0076368E"/>
    <w:rsid w:val="00763A93"/>
    <w:rsid w:val="0076499A"/>
    <w:rsid w:val="00764B8D"/>
    <w:rsid w:val="0076538C"/>
    <w:rsid w:val="00765970"/>
    <w:rsid w:val="00765F69"/>
    <w:rsid w:val="00766046"/>
    <w:rsid w:val="007662D2"/>
    <w:rsid w:val="00766D5E"/>
    <w:rsid w:val="00766ED8"/>
    <w:rsid w:val="007670EF"/>
    <w:rsid w:val="00767427"/>
    <w:rsid w:val="0076766D"/>
    <w:rsid w:val="00767EAA"/>
    <w:rsid w:val="0077064F"/>
    <w:rsid w:val="00770831"/>
    <w:rsid w:val="00770928"/>
    <w:rsid w:val="00770CE8"/>
    <w:rsid w:val="007716C4"/>
    <w:rsid w:val="00771964"/>
    <w:rsid w:val="00772DF1"/>
    <w:rsid w:val="00773186"/>
    <w:rsid w:val="00773189"/>
    <w:rsid w:val="0077346C"/>
    <w:rsid w:val="007734A7"/>
    <w:rsid w:val="007734AD"/>
    <w:rsid w:val="00773645"/>
    <w:rsid w:val="0077405E"/>
    <w:rsid w:val="0077408B"/>
    <w:rsid w:val="00774565"/>
    <w:rsid w:val="007748B7"/>
    <w:rsid w:val="007753C7"/>
    <w:rsid w:val="007753FF"/>
    <w:rsid w:val="007757A7"/>
    <w:rsid w:val="00775D72"/>
    <w:rsid w:val="00776B3F"/>
    <w:rsid w:val="00776C18"/>
    <w:rsid w:val="007771D0"/>
    <w:rsid w:val="00777259"/>
    <w:rsid w:val="00777C63"/>
    <w:rsid w:val="00777CDF"/>
    <w:rsid w:val="0078043A"/>
    <w:rsid w:val="00780BBF"/>
    <w:rsid w:val="00780D90"/>
    <w:rsid w:val="00780DF1"/>
    <w:rsid w:val="00780EBE"/>
    <w:rsid w:val="007810C5"/>
    <w:rsid w:val="00781294"/>
    <w:rsid w:val="00781475"/>
    <w:rsid w:val="00781953"/>
    <w:rsid w:val="007826B0"/>
    <w:rsid w:val="00782757"/>
    <w:rsid w:val="0078332C"/>
    <w:rsid w:val="0078375F"/>
    <w:rsid w:val="00784111"/>
    <w:rsid w:val="007846CD"/>
    <w:rsid w:val="00784D2D"/>
    <w:rsid w:val="007853C9"/>
    <w:rsid w:val="00785F45"/>
    <w:rsid w:val="00785F5F"/>
    <w:rsid w:val="0078602B"/>
    <w:rsid w:val="007863E0"/>
    <w:rsid w:val="00786486"/>
    <w:rsid w:val="007867E6"/>
    <w:rsid w:val="00786F53"/>
    <w:rsid w:val="00787083"/>
    <w:rsid w:val="007876B1"/>
    <w:rsid w:val="0079011D"/>
    <w:rsid w:val="00790468"/>
    <w:rsid w:val="00790CAC"/>
    <w:rsid w:val="00790D85"/>
    <w:rsid w:val="0079132D"/>
    <w:rsid w:val="00792510"/>
    <w:rsid w:val="0079280F"/>
    <w:rsid w:val="00792A39"/>
    <w:rsid w:val="00792B2B"/>
    <w:rsid w:val="00792CB6"/>
    <w:rsid w:val="00792DBA"/>
    <w:rsid w:val="00792FCD"/>
    <w:rsid w:val="007930AA"/>
    <w:rsid w:val="007930F3"/>
    <w:rsid w:val="00793217"/>
    <w:rsid w:val="007933B0"/>
    <w:rsid w:val="007937B7"/>
    <w:rsid w:val="00793F4D"/>
    <w:rsid w:val="00794BD2"/>
    <w:rsid w:val="00795EAD"/>
    <w:rsid w:val="00795F46"/>
    <w:rsid w:val="00796595"/>
    <w:rsid w:val="00796B89"/>
    <w:rsid w:val="00796ECC"/>
    <w:rsid w:val="00797BBE"/>
    <w:rsid w:val="00797D25"/>
    <w:rsid w:val="007A060E"/>
    <w:rsid w:val="007A06AC"/>
    <w:rsid w:val="007A0BA7"/>
    <w:rsid w:val="007A1999"/>
    <w:rsid w:val="007A1E20"/>
    <w:rsid w:val="007A22E7"/>
    <w:rsid w:val="007A23EC"/>
    <w:rsid w:val="007A3750"/>
    <w:rsid w:val="007A4B8A"/>
    <w:rsid w:val="007A4BC5"/>
    <w:rsid w:val="007A4DA5"/>
    <w:rsid w:val="007A5165"/>
    <w:rsid w:val="007A5427"/>
    <w:rsid w:val="007A5E0B"/>
    <w:rsid w:val="007A6BF2"/>
    <w:rsid w:val="007A6CEC"/>
    <w:rsid w:val="007A6E30"/>
    <w:rsid w:val="007A71FD"/>
    <w:rsid w:val="007A7BDE"/>
    <w:rsid w:val="007B034E"/>
    <w:rsid w:val="007B03A2"/>
    <w:rsid w:val="007B03FB"/>
    <w:rsid w:val="007B098D"/>
    <w:rsid w:val="007B0ECE"/>
    <w:rsid w:val="007B1141"/>
    <w:rsid w:val="007B1DCA"/>
    <w:rsid w:val="007B2370"/>
    <w:rsid w:val="007B2891"/>
    <w:rsid w:val="007B2906"/>
    <w:rsid w:val="007B31EF"/>
    <w:rsid w:val="007B401A"/>
    <w:rsid w:val="007B4920"/>
    <w:rsid w:val="007B4C77"/>
    <w:rsid w:val="007B4DA9"/>
    <w:rsid w:val="007B4E2E"/>
    <w:rsid w:val="007B52B1"/>
    <w:rsid w:val="007B554E"/>
    <w:rsid w:val="007B58DD"/>
    <w:rsid w:val="007B6051"/>
    <w:rsid w:val="007B66F6"/>
    <w:rsid w:val="007B78D2"/>
    <w:rsid w:val="007C0058"/>
    <w:rsid w:val="007C0435"/>
    <w:rsid w:val="007C05A5"/>
    <w:rsid w:val="007C0790"/>
    <w:rsid w:val="007C0970"/>
    <w:rsid w:val="007C10F5"/>
    <w:rsid w:val="007C1849"/>
    <w:rsid w:val="007C1BDE"/>
    <w:rsid w:val="007C1C76"/>
    <w:rsid w:val="007C20A2"/>
    <w:rsid w:val="007C2587"/>
    <w:rsid w:val="007C2616"/>
    <w:rsid w:val="007C290C"/>
    <w:rsid w:val="007C45E8"/>
    <w:rsid w:val="007C4E0A"/>
    <w:rsid w:val="007C4E79"/>
    <w:rsid w:val="007C52A8"/>
    <w:rsid w:val="007C650E"/>
    <w:rsid w:val="007C6544"/>
    <w:rsid w:val="007C667D"/>
    <w:rsid w:val="007C6A0A"/>
    <w:rsid w:val="007C6E9D"/>
    <w:rsid w:val="007C6FD0"/>
    <w:rsid w:val="007D01A5"/>
    <w:rsid w:val="007D0D2B"/>
    <w:rsid w:val="007D0F87"/>
    <w:rsid w:val="007D1324"/>
    <w:rsid w:val="007D2203"/>
    <w:rsid w:val="007D2460"/>
    <w:rsid w:val="007D3D08"/>
    <w:rsid w:val="007D3D5C"/>
    <w:rsid w:val="007D428B"/>
    <w:rsid w:val="007D4ACF"/>
    <w:rsid w:val="007D4F29"/>
    <w:rsid w:val="007D5160"/>
    <w:rsid w:val="007D5EAB"/>
    <w:rsid w:val="007D6148"/>
    <w:rsid w:val="007D636F"/>
    <w:rsid w:val="007D68D9"/>
    <w:rsid w:val="007D6E45"/>
    <w:rsid w:val="007D6F9F"/>
    <w:rsid w:val="007E0BFF"/>
    <w:rsid w:val="007E0D19"/>
    <w:rsid w:val="007E0E51"/>
    <w:rsid w:val="007E1454"/>
    <w:rsid w:val="007E15A4"/>
    <w:rsid w:val="007E2602"/>
    <w:rsid w:val="007E27C5"/>
    <w:rsid w:val="007E34FA"/>
    <w:rsid w:val="007E36A4"/>
    <w:rsid w:val="007E4001"/>
    <w:rsid w:val="007E491F"/>
    <w:rsid w:val="007E4DA7"/>
    <w:rsid w:val="007E7163"/>
    <w:rsid w:val="007E716E"/>
    <w:rsid w:val="007E75B2"/>
    <w:rsid w:val="007E7B58"/>
    <w:rsid w:val="007E7D93"/>
    <w:rsid w:val="007F03A8"/>
    <w:rsid w:val="007F0AAE"/>
    <w:rsid w:val="007F11D8"/>
    <w:rsid w:val="007F12C7"/>
    <w:rsid w:val="007F14D9"/>
    <w:rsid w:val="007F1673"/>
    <w:rsid w:val="007F1F22"/>
    <w:rsid w:val="007F1FCE"/>
    <w:rsid w:val="007F3222"/>
    <w:rsid w:val="007F3438"/>
    <w:rsid w:val="007F4153"/>
    <w:rsid w:val="007F6394"/>
    <w:rsid w:val="007F64A7"/>
    <w:rsid w:val="007F7146"/>
    <w:rsid w:val="007F72F3"/>
    <w:rsid w:val="007F743E"/>
    <w:rsid w:val="007F7903"/>
    <w:rsid w:val="00800356"/>
    <w:rsid w:val="00800396"/>
    <w:rsid w:val="00800548"/>
    <w:rsid w:val="008005D2"/>
    <w:rsid w:val="00801642"/>
    <w:rsid w:val="00801D4C"/>
    <w:rsid w:val="00801F6A"/>
    <w:rsid w:val="0080225B"/>
    <w:rsid w:val="00803329"/>
    <w:rsid w:val="00803652"/>
    <w:rsid w:val="008036E3"/>
    <w:rsid w:val="0080390D"/>
    <w:rsid w:val="00803A03"/>
    <w:rsid w:val="00803C63"/>
    <w:rsid w:val="00803C67"/>
    <w:rsid w:val="00804393"/>
    <w:rsid w:val="00804824"/>
    <w:rsid w:val="00805053"/>
    <w:rsid w:val="0080513A"/>
    <w:rsid w:val="00805480"/>
    <w:rsid w:val="00805D06"/>
    <w:rsid w:val="008069A8"/>
    <w:rsid w:val="008072A3"/>
    <w:rsid w:val="00810921"/>
    <w:rsid w:val="00810B2C"/>
    <w:rsid w:val="00811543"/>
    <w:rsid w:val="008115F2"/>
    <w:rsid w:val="00811AEB"/>
    <w:rsid w:val="00811CF2"/>
    <w:rsid w:val="0081210B"/>
    <w:rsid w:val="00812137"/>
    <w:rsid w:val="0081289C"/>
    <w:rsid w:val="00812A46"/>
    <w:rsid w:val="00814769"/>
    <w:rsid w:val="0081478D"/>
    <w:rsid w:val="008147DA"/>
    <w:rsid w:val="00814D1E"/>
    <w:rsid w:val="0081513B"/>
    <w:rsid w:val="0081571A"/>
    <w:rsid w:val="00815B4F"/>
    <w:rsid w:val="0081619E"/>
    <w:rsid w:val="008161B8"/>
    <w:rsid w:val="00816545"/>
    <w:rsid w:val="00816EC6"/>
    <w:rsid w:val="00820678"/>
    <w:rsid w:val="008208A2"/>
    <w:rsid w:val="00820C85"/>
    <w:rsid w:val="00820F94"/>
    <w:rsid w:val="00821B6E"/>
    <w:rsid w:val="00821D80"/>
    <w:rsid w:val="00821EBA"/>
    <w:rsid w:val="00821FA0"/>
    <w:rsid w:val="00822351"/>
    <w:rsid w:val="008225DA"/>
    <w:rsid w:val="00822615"/>
    <w:rsid w:val="00822895"/>
    <w:rsid w:val="00822B28"/>
    <w:rsid w:val="00822FB6"/>
    <w:rsid w:val="008230AE"/>
    <w:rsid w:val="008233A7"/>
    <w:rsid w:val="0082340A"/>
    <w:rsid w:val="0082356A"/>
    <w:rsid w:val="0082477A"/>
    <w:rsid w:val="00824A7D"/>
    <w:rsid w:val="008250A5"/>
    <w:rsid w:val="0082529E"/>
    <w:rsid w:val="008258C4"/>
    <w:rsid w:val="008261D6"/>
    <w:rsid w:val="00826381"/>
    <w:rsid w:val="0082708B"/>
    <w:rsid w:val="0082718C"/>
    <w:rsid w:val="00827AC9"/>
    <w:rsid w:val="00827CF9"/>
    <w:rsid w:val="008302BF"/>
    <w:rsid w:val="00830D2E"/>
    <w:rsid w:val="00830EB1"/>
    <w:rsid w:val="008316D8"/>
    <w:rsid w:val="00831EB7"/>
    <w:rsid w:val="00832DCB"/>
    <w:rsid w:val="00832EC1"/>
    <w:rsid w:val="00833119"/>
    <w:rsid w:val="008331AF"/>
    <w:rsid w:val="00833977"/>
    <w:rsid w:val="00833A99"/>
    <w:rsid w:val="00835347"/>
    <w:rsid w:val="00835CEC"/>
    <w:rsid w:val="00840303"/>
    <w:rsid w:val="0084056D"/>
    <w:rsid w:val="00840755"/>
    <w:rsid w:val="0084078A"/>
    <w:rsid w:val="008418A6"/>
    <w:rsid w:val="00841B0A"/>
    <w:rsid w:val="00842183"/>
    <w:rsid w:val="008425BE"/>
    <w:rsid w:val="00842E1A"/>
    <w:rsid w:val="00843E73"/>
    <w:rsid w:val="00844A44"/>
    <w:rsid w:val="00845934"/>
    <w:rsid w:val="008460EE"/>
    <w:rsid w:val="00846A86"/>
    <w:rsid w:val="00846C70"/>
    <w:rsid w:val="00846C9F"/>
    <w:rsid w:val="008471E4"/>
    <w:rsid w:val="0085000C"/>
    <w:rsid w:val="00850097"/>
    <w:rsid w:val="0085027E"/>
    <w:rsid w:val="0085207E"/>
    <w:rsid w:val="0085227E"/>
    <w:rsid w:val="00852D76"/>
    <w:rsid w:val="00852DA0"/>
    <w:rsid w:val="00853AB5"/>
    <w:rsid w:val="00854018"/>
    <w:rsid w:val="0085440B"/>
    <w:rsid w:val="00854767"/>
    <w:rsid w:val="00855017"/>
    <w:rsid w:val="008555C3"/>
    <w:rsid w:val="008559BC"/>
    <w:rsid w:val="00856AD2"/>
    <w:rsid w:val="00856C1E"/>
    <w:rsid w:val="00856CF1"/>
    <w:rsid w:val="00856E71"/>
    <w:rsid w:val="00860533"/>
    <w:rsid w:val="00861BA4"/>
    <w:rsid w:val="00862308"/>
    <w:rsid w:val="00862659"/>
    <w:rsid w:val="00863523"/>
    <w:rsid w:val="0086453D"/>
    <w:rsid w:val="0086457F"/>
    <w:rsid w:val="00864833"/>
    <w:rsid w:val="00864C15"/>
    <w:rsid w:val="00864D5E"/>
    <w:rsid w:val="00865772"/>
    <w:rsid w:val="00866250"/>
    <w:rsid w:val="00866864"/>
    <w:rsid w:val="00866F52"/>
    <w:rsid w:val="008676DF"/>
    <w:rsid w:val="00867FEE"/>
    <w:rsid w:val="0087008C"/>
    <w:rsid w:val="0087035C"/>
    <w:rsid w:val="00871AD3"/>
    <w:rsid w:val="008722A7"/>
    <w:rsid w:val="00872B48"/>
    <w:rsid w:val="00873074"/>
    <w:rsid w:val="008734AB"/>
    <w:rsid w:val="0087377D"/>
    <w:rsid w:val="00873828"/>
    <w:rsid w:val="00873949"/>
    <w:rsid w:val="00873AB4"/>
    <w:rsid w:val="00873DFC"/>
    <w:rsid w:val="0087427A"/>
    <w:rsid w:val="008754FB"/>
    <w:rsid w:val="00875824"/>
    <w:rsid w:val="00875914"/>
    <w:rsid w:val="008760D5"/>
    <w:rsid w:val="00876646"/>
    <w:rsid w:val="00876B49"/>
    <w:rsid w:val="00876BAE"/>
    <w:rsid w:val="008772DC"/>
    <w:rsid w:val="00877E59"/>
    <w:rsid w:val="008806AC"/>
    <w:rsid w:val="00880771"/>
    <w:rsid w:val="00881352"/>
    <w:rsid w:val="00881B36"/>
    <w:rsid w:val="00881E25"/>
    <w:rsid w:val="008822A7"/>
    <w:rsid w:val="00882B7F"/>
    <w:rsid w:val="00882EA1"/>
    <w:rsid w:val="00883CFD"/>
    <w:rsid w:val="00884299"/>
    <w:rsid w:val="00884B8C"/>
    <w:rsid w:val="00885085"/>
    <w:rsid w:val="00885229"/>
    <w:rsid w:val="00885BA7"/>
    <w:rsid w:val="008866F5"/>
    <w:rsid w:val="00886851"/>
    <w:rsid w:val="00886A63"/>
    <w:rsid w:val="00886BE1"/>
    <w:rsid w:val="00886D9C"/>
    <w:rsid w:val="0088705B"/>
    <w:rsid w:val="0088796B"/>
    <w:rsid w:val="00887A0E"/>
    <w:rsid w:val="00887ECB"/>
    <w:rsid w:val="00893272"/>
    <w:rsid w:val="00893762"/>
    <w:rsid w:val="008939B3"/>
    <w:rsid w:val="00893A1E"/>
    <w:rsid w:val="00893A43"/>
    <w:rsid w:val="0089464E"/>
    <w:rsid w:val="0089485C"/>
    <w:rsid w:val="00894ECD"/>
    <w:rsid w:val="0089635B"/>
    <w:rsid w:val="00896BCD"/>
    <w:rsid w:val="00897B65"/>
    <w:rsid w:val="00897C41"/>
    <w:rsid w:val="00897CF5"/>
    <w:rsid w:val="008A00FC"/>
    <w:rsid w:val="008A0306"/>
    <w:rsid w:val="008A0AC0"/>
    <w:rsid w:val="008A0C9B"/>
    <w:rsid w:val="008A0E87"/>
    <w:rsid w:val="008A14BC"/>
    <w:rsid w:val="008A1831"/>
    <w:rsid w:val="008A2D1B"/>
    <w:rsid w:val="008A2F58"/>
    <w:rsid w:val="008A3B64"/>
    <w:rsid w:val="008A4149"/>
    <w:rsid w:val="008A4656"/>
    <w:rsid w:val="008A5298"/>
    <w:rsid w:val="008A5CE2"/>
    <w:rsid w:val="008A648E"/>
    <w:rsid w:val="008A666C"/>
    <w:rsid w:val="008A7758"/>
    <w:rsid w:val="008B0765"/>
    <w:rsid w:val="008B3205"/>
    <w:rsid w:val="008B39A8"/>
    <w:rsid w:val="008B3B6D"/>
    <w:rsid w:val="008B47E5"/>
    <w:rsid w:val="008B4E10"/>
    <w:rsid w:val="008B532B"/>
    <w:rsid w:val="008B59E0"/>
    <w:rsid w:val="008B60B2"/>
    <w:rsid w:val="008B6909"/>
    <w:rsid w:val="008B6EEB"/>
    <w:rsid w:val="008B6EEE"/>
    <w:rsid w:val="008B7B36"/>
    <w:rsid w:val="008B7B70"/>
    <w:rsid w:val="008B7C71"/>
    <w:rsid w:val="008C0055"/>
    <w:rsid w:val="008C0399"/>
    <w:rsid w:val="008C07D4"/>
    <w:rsid w:val="008C1A67"/>
    <w:rsid w:val="008C2262"/>
    <w:rsid w:val="008C2A0E"/>
    <w:rsid w:val="008C2EED"/>
    <w:rsid w:val="008C3351"/>
    <w:rsid w:val="008C3B42"/>
    <w:rsid w:val="008C4FB4"/>
    <w:rsid w:val="008C59C9"/>
    <w:rsid w:val="008C61EA"/>
    <w:rsid w:val="008C6749"/>
    <w:rsid w:val="008C6786"/>
    <w:rsid w:val="008C7045"/>
    <w:rsid w:val="008C7465"/>
    <w:rsid w:val="008D0A9F"/>
    <w:rsid w:val="008D0DCA"/>
    <w:rsid w:val="008D1792"/>
    <w:rsid w:val="008D2C48"/>
    <w:rsid w:val="008D3509"/>
    <w:rsid w:val="008D3B73"/>
    <w:rsid w:val="008D3ED2"/>
    <w:rsid w:val="008D46A3"/>
    <w:rsid w:val="008D4A27"/>
    <w:rsid w:val="008D515A"/>
    <w:rsid w:val="008D5DAD"/>
    <w:rsid w:val="008D6D52"/>
    <w:rsid w:val="008D6DDF"/>
    <w:rsid w:val="008D7D57"/>
    <w:rsid w:val="008E1035"/>
    <w:rsid w:val="008E1479"/>
    <w:rsid w:val="008E1562"/>
    <w:rsid w:val="008E251A"/>
    <w:rsid w:val="008E3C50"/>
    <w:rsid w:val="008E44D1"/>
    <w:rsid w:val="008E5116"/>
    <w:rsid w:val="008E6DBF"/>
    <w:rsid w:val="008E779B"/>
    <w:rsid w:val="008E7975"/>
    <w:rsid w:val="008E7ACC"/>
    <w:rsid w:val="008E7FE9"/>
    <w:rsid w:val="008F0A54"/>
    <w:rsid w:val="008F0C85"/>
    <w:rsid w:val="008F132C"/>
    <w:rsid w:val="008F14D1"/>
    <w:rsid w:val="008F1951"/>
    <w:rsid w:val="008F217E"/>
    <w:rsid w:val="008F2F19"/>
    <w:rsid w:val="008F391E"/>
    <w:rsid w:val="008F3978"/>
    <w:rsid w:val="008F403B"/>
    <w:rsid w:val="008F42EE"/>
    <w:rsid w:val="008F456A"/>
    <w:rsid w:val="008F4AF2"/>
    <w:rsid w:val="008F5B0B"/>
    <w:rsid w:val="008F5BF1"/>
    <w:rsid w:val="008F678F"/>
    <w:rsid w:val="008F69BE"/>
    <w:rsid w:val="008F6D81"/>
    <w:rsid w:val="008F6E64"/>
    <w:rsid w:val="008F76F6"/>
    <w:rsid w:val="008F7AAC"/>
    <w:rsid w:val="009001E8"/>
    <w:rsid w:val="00900BB3"/>
    <w:rsid w:val="00900D43"/>
    <w:rsid w:val="0090185F"/>
    <w:rsid w:val="0090257D"/>
    <w:rsid w:val="00902C9C"/>
    <w:rsid w:val="00902E5E"/>
    <w:rsid w:val="0090340A"/>
    <w:rsid w:val="00903694"/>
    <w:rsid w:val="00903F65"/>
    <w:rsid w:val="0090415D"/>
    <w:rsid w:val="00905885"/>
    <w:rsid w:val="00905BAE"/>
    <w:rsid w:val="00906EF3"/>
    <w:rsid w:val="009077F8"/>
    <w:rsid w:val="009078EA"/>
    <w:rsid w:val="0091024A"/>
    <w:rsid w:val="009112EB"/>
    <w:rsid w:val="009114B2"/>
    <w:rsid w:val="009114CE"/>
    <w:rsid w:val="00911B5F"/>
    <w:rsid w:val="00912B73"/>
    <w:rsid w:val="00914E17"/>
    <w:rsid w:val="00914F2B"/>
    <w:rsid w:val="009150E7"/>
    <w:rsid w:val="0091564A"/>
    <w:rsid w:val="00916201"/>
    <w:rsid w:val="00916737"/>
    <w:rsid w:val="0091713A"/>
    <w:rsid w:val="00917594"/>
    <w:rsid w:val="00917DB0"/>
    <w:rsid w:val="00920940"/>
    <w:rsid w:val="00921081"/>
    <w:rsid w:val="0092183A"/>
    <w:rsid w:val="00921CEB"/>
    <w:rsid w:val="00922019"/>
    <w:rsid w:val="0092247D"/>
    <w:rsid w:val="0092253F"/>
    <w:rsid w:val="009233D9"/>
    <w:rsid w:val="00923847"/>
    <w:rsid w:val="0092391D"/>
    <w:rsid w:val="00923BCB"/>
    <w:rsid w:val="00923E9D"/>
    <w:rsid w:val="00924401"/>
    <w:rsid w:val="009246E3"/>
    <w:rsid w:val="009252B9"/>
    <w:rsid w:val="00925862"/>
    <w:rsid w:val="009267A5"/>
    <w:rsid w:val="009267C9"/>
    <w:rsid w:val="00926C7E"/>
    <w:rsid w:val="00927436"/>
    <w:rsid w:val="0092762B"/>
    <w:rsid w:val="00927C67"/>
    <w:rsid w:val="009301C5"/>
    <w:rsid w:val="0093021C"/>
    <w:rsid w:val="00930364"/>
    <w:rsid w:val="00930D1C"/>
    <w:rsid w:val="00930DDC"/>
    <w:rsid w:val="0093102E"/>
    <w:rsid w:val="00931327"/>
    <w:rsid w:val="009324A3"/>
    <w:rsid w:val="009329C1"/>
    <w:rsid w:val="009334C6"/>
    <w:rsid w:val="00934593"/>
    <w:rsid w:val="00935A7A"/>
    <w:rsid w:val="00935AF7"/>
    <w:rsid w:val="00936024"/>
    <w:rsid w:val="009363C9"/>
    <w:rsid w:val="00936665"/>
    <w:rsid w:val="00936B94"/>
    <w:rsid w:val="00936BC4"/>
    <w:rsid w:val="009372B8"/>
    <w:rsid w:val="00937657"/>
    <w:rsid w:val="00937F67"/>
    <w:rsid w:val="00941937"/>
    <w:rsid w:val="00941AA1"/>
    <w:rsid w:val="00941F99"/>
    <w:rsid w:val="009429F4"/>
    <w:rsid w:val="00942D15"/>
    <w:rsid w:val="00942FD6"/>
    <w:rsid w:val="00943076"/>
    <w:rsid w:val="0094308D"/>
    <w:rsid w:val="0094378B"/>
    <w:rsid w:val="00943A8A"/>
    <w:rsid w:val="00943EAC"/>
    <w:rsid w:val="00944136"/>
    <w:rsid w:val="009445AA"/>
    <w:rsid w:val="00945987"/>
    <w:rsid w:val="00945FDB"/>
    <w:rsid w:val="00945FF4"/>
    <w:rsid w:val="009460FB"/>
    <w:rsid w:val="0094652E"/>
    <w:rsid w:val="00947583"/>
    <w:rsid w:val="009476F6"/>
    <w:rsid w:val="00947A36"/>
    <w:rsid w:val="00947B9C"/>
    <w:rsid w:val="00947FEE"/>
    <w:rsid w:val="00951899"/>
    <w:rsid w:val="00951BA5"/>
    <w:rsid w:val="00951E0B"/>
    <w:rsid w:val="00951E13"/>
    <w:rsid w:val="009522A5"/>
    <w:rsid w:val="00952790"/>
    <w:rsid w:val="00952B12"/>
    <w:rsid w:val="00952DEF"/>
    <w:rsid w:val="00953E9B"/>
    <w:rsid w:val="0095426B"/>
    <w:rsid w:val="00954929"/>
    <w:rsid w:val="00954E16"/>
    <w:rsid w:val="009550B7"/>
    <w:rsid w:val="009552DB"/>
    <w:rsid w:val="009554DD"/>
    <w:rsid w:val="00955534"/>
    <w:rsid w:val="00955CD0"/>
    <w:rsid w:val="00956A86"/>
    <w:rsid w:val="00956D0E"/>
    <w:rsid w:val="00960D6E"/>
    <w:rsid w:val="0096124B"/>
    <w:rsid w:val="00961385"/>
    <w:rsid w:val="00961849"/>
    <w:rsid w:val="00961FAC"/>
    <w:rsid w:val="00962AC2"/>
    <w:rsid w:val="00962DB9"/>
    <w:rsid w:val="0096349D"/>
    <w:rsid w:val="0096387E"/>
    <w:rsid w:val="00963C5B"/>
    <w:rsid w:val="0096415B"/>
    <w:rsid w:val="00964F85"/>
    <w:rsid w:val="009653ED"/>
    <w:rsid w:val="0096590C"/>
    <w:rsid w:val="00965AE2"/>
    <w:rsid w:val="009660A7"/>
    <w:rsid w:val="009673FE"/>
    <w:rsid w:val="00970253"/>
    <w:rsid w:val="0097029D"/>
    <w:rsid w:val="00970376"/>
    <w:rsid w:val="00971303"/>
    <w:rsid w:val="009714B5"/>
    <w:rsid w:val="009717AD"/>
    <w:rsid w:val="00971BA8"/>
    <w:rsid w:val="00971D3C"/>
    <w:rsid w:val="00972325"/>
    <w:rsid w:val="009723D0"/>
    <w:rsid w:val="00972571"/>
    <w:rsid w:val="00972941"/>
    <w:rsid w:val="00972C15"/>
    <w:rsid w:val="009730C3"/>
    <w:rsid w:val="009735F3"/>
    <w:rsid w:val="00973BFA"/>
    <w:rsid w:val="0097417A"/>
    <w:rsid w:val="00974231"/>
    <w:rsid w:val="0097473E"/>
    <w:rsid w:val="00974F96"/>
    <w:rsid w:val="0097536E"/>
    <w:rsid w:val="009753C0"/>
    <w:rsid w:val="00975426"/>
    <w:rsid w:val="0097590D"/>
    <w:rsid w:val="0097608F"/>
    <w:rsid w:val="009761A0"/>
    <w:rsid w:val="00976AF8"/>
    <w:rsid w:val="00977A6A"/>
    <w:rsid w:val="00977C69"/>
    <w:rsid w:val="00977D41"/>
    <w:rsid w:val="00980240"/>
    <w:rsid w:val="009809A5"/>
    <w:rsid w:val="009811A9"/>
    <w:rsid w:val="00981633"/>
    <w:rsid w:val="00981AEE"/>
    <w:rsid w:val="00982038"/>
    <w:rsid w:val="009823C3"/>
    <w:rsid w:val="009824A9"/>
    <w:rsid w:val="00982ACC"/>
    <w:rsid w:val="00982D52"/>
    <w:rsid w:val="0098335E"/>
    <w:rsid w:val="009834F6"/>
    <w:rsid w:val="009835D3"/>
    <w:rsid w:val="00983DC8"/>
    <w:rsid w:val="00984138"/>
    <w:rsid w:val="00984206"/>
    <w:rsid w:val="00984279"/>
    <w:rsid w:val="00984746"/>
    <w:rsid w:val="00984C2F"/>
    <w:rsid w:val="00985F34"/>
    <w:rsid w:val="00987206"/>
    <w:rsid w:val="0099017F"/>
    <w:rsid w:val="009903BE"/>
    <w:rsid w:val="0099048A"/>
    <w:rsid w:val="0099095E"/>
    <w:rsid w:val="00990C02"/>
    <w:rsid w:val="00990FC1"/>
    <w:rsid w:val="009912ED"/>
    <w:rsid w:val="0099148D"/>
    <w:rsid w:val="0099241F"/>
    <w:rsid w:val="00992B64"/>
    <w:rsid w:val="00992B86"/>
    <w:rsid w:val="00993471"/>
    <w:rsid w:val="00993688"/>
    <w:rsid w:val="00993EE6"/>
    <w:rsid w:val="009941AE"/>
    <w:rsid w:val="00994907"/>
    <w:rsid w:val="00994C3A"/>
    <w:rsid w:val="00994C8D"/>
    <w:rsid w:val="00994DC7"/>
    <w:rsid w:val="00994E1F"/>
    <w:rsid w:val="00995625"/>
    <w:rsid w:val="00995CBA"/>
    <w:rsid w:val="00996233"/>
    <w:rsid w:val="009966F6"/>
    <w:rsid w:val="009968BB"/>
    <w:rsid w:val="00996BCE"/>
    <w:rsid w:val="009970A6"/>
    <w:rsid w:val="00997754"/>
    <w:rsid w:val="00997EEF"/>
    <w:rsid w:val="009A0B69"/>
    <w:rsid w:val="009A1538"/>
    <w:rsid w:val="009A163D"/>
    <w:rsid w:val="009A19B9"/>
    <w:rsid w:val="009A1AD7"/>
    <w:rsid w:val="009A1D9B"/>
    <w:rsid w:val="009A1F65"/>
    <w:rsid w:val="009A2D7E"/>
    <w:rsid w:val="009A3A28"/>
    <w:rsid w:val="009A3C26"/>
    <w:rsid w:val="009A3CEF"/>
    <w:rsid w:val="009A3DAD"/>
    <w:rsid w:val="009A42C6"/>
    <w:rsid w:val="009A4A44"/>
    <w:rsid w:val="009A4BF7"/>
    <w:rsid w:val="009A4C68"/>
    <w:rsid w:val="009A52D8"/>
    <w:rsid w:val="009A591A"/>
    <w:rsid w:val="009A6D3A"/>
    <w:rsid w:val="009A7246"/>
    <w:rsid w:val="009A78AE"/>
    <w:rsid w:val="009A7DA1"/>
    <w:rsid w:val="009B0259"/>
    <w:rsid w:val="009B063C"/>
    <w:rsid w:val="009B0C3D"/>
    <w:rsid w:val="009B13DC"/>
    <w:rsid w:val="009B282E"/>
    <w:rsid w:val="009B2E60"/>
    <w:rsid w:val="009B388E"/>
    <w:rsid w:val="009B4202"/>
    <w:rsid w:val="009B512F"/>
    <w:rsid w:val="009B5532"/>
    <w:rsid w:val="009B5996"/>
    <w:rsid w:val="009B65C1"/>
    <w:rsid w:val="009B668B"/>
    <w:rsid w:val="009B66DF"/>
    <w:rsid w:val="009B6834"/>
    <w:rsid w:val="009B6C54"/>
    <w:rsid w:val="009C0A8D"/>
    <w:rsid w:val="009C0B97"/>
    <w:rsid w:val="009C0F20"/>
    <w:rsid w:val="009C0F97"/>
    <w:rsid w:val="009C1685"/>
    <w:rsid w:val="009C1D20"/>
    <w:rsid w:val="009C2132"/>
    <w:rsid w:val="009C24BA"/>
    <w:rsid w:val="009C2C05"/>
    <w:rsid w:val="009C2C52"/>
    <w:rsid w:val="009C343C"/>
    <w:rsid w:val="009C3A97"/>
    <w:rsid w:val="009C4686"/>
    <w:rsid w:val="009C55C3"/>
    <w:rsid w:val="009C5779"/>
    <w:rsid w:val="009C5944"/>
    <w:rsid w:val="009C610D"/>
    <w:rsid w:val="009C67AF"/>
    <w:rsid w:val="009C6B34"/>
    <w:rsid w:val="009C6C9B"/>
    <w:rsid w:val="009C6D2D"/>
    <w:rsid w:val="009C7047"/>
    <w:rsid w:val="009C7594"/>
    <w:rsid w:val="009C75CF"/>
    <w:rsid w:val="009C75F2"/>
    <w:rsid w:val="009C78D6"/>
    <w:rsid w:val="009D079C"/>
    <w:rsid w:val="009D1188"/>
    <w:rsid w:val="009D126E"/>
    <w:rsid w:val="009D1377"/>
    <w:rsid w:val="009D1790"/>
    <w:rsid w:val="009D22E3"/>
    <w:rsid w:val="009D2604"/>
    <w:rsid w:val="009D439A"/>
    <w:rsid w:val="009D4473"/>
    <w:rsid w:val="009D467C"/>
    <w:rsid w:val="009D47CB"/>
    <w:rsid w:val="009D49BE"/>
    <w:rsid w:val="009D4CF7"/>
    <w:rsid w:val="009D4E55"/>
    <w:rsid w:val="009D54AB"/>
    <w:rsid w:val="009D5705"/>
    <w:rsid w:val="009D5906"/>
    <w:rsid w:val="009D5AC8"/>
    <w:rsid w:val="009D5D58"/>
    <w:rsid w:val="009D5DB3"/>
    <w:rsid w:val="009D5E92"/>
    <w:rsid w:val="009D6059"/>
    <w:rsid w:val="009D7805"/>
    <w:rsid w:val="009D7BB5"/>
    <w:rsid w:val="009D7D6D"/>
    <w:rsid w:val="009E065E"/>
    <w:rsid w:val="009E0D1D"/>
    <w:rsid w:val="009E0DA5"/>
    <w:rsid w:val="009E1222"/>
    <w:rsid w:val="009E15DA"/>
    <w:rsid w:val="009E19F9"/>
    <w:rsid w:val="009E1BF4"/>
    <w:rsid w:val="009E1C6E"/>
    <w:rsid w:val="009E1D90"/>
    <w:rsid w:val="009E1EA3"/>
    <w:rsid w:val="009E2155"/>
    <w:rsid w:val="009E262B"/>
    <w:rsid w:val="009E2BCD"/>
    <w:rsid w:val="009E2C63"/>
    <w:rsid w:val="009E2C78"/>
    <w:rsid w:val="009E2E98"/>
    <w:rsid w:val="009E3B51"/>
    <w:rsid w:val="009E41A2"/>
    <w:rsid w:val="009E41FC"/>
    <w:rsid w:val="009E49CD"/>
    <w:rsid w:val="009E723D"/>
    <w:rsid w:val="009E732D"/>
    <w:rsid w:val="009E75B9"/>
    <w:rsid w:val="009E7815"/>
    <w:rsid w:val="009E7948"/>
    <w:rsid w:val="009F0075"/>
    <w:rsid w:val="009F03DB"/>
    <w:rsid w:val="009F0738"/>
    <w:rsid w:val="009F07EC"/>
    <w:rsid w:val="009F0BC5"/>
    <w:rsid w:val="009F0E74"/>
    <w:rsid w:val="009F1379"/>
    <w:rsid w:val="009F16DF"/>
    <w:rsid w:val="009F1C64"/>
    <w:rsid w:val="009F1DEF"/>
    <w:rsid w:val="009F1E84"/>
    <w:rsid w:val="009F3265"/>
    <w:rsid w:val="009F4010"/>
    <w:rsid w:val="009F421B"/>
    <w:rsid w:val="009F509E"/>
    <w:rsid w:val="009F5507"/>
    <w:rsid w:val="009F7A01"/>
    <w:rsid w:val="009F7A68"/>
    <w:rsid w:val="009F7E1B"/>
    <w:rsid w:val="009F7E32"/>
    <w:rsid w:val="009F7E63"/>
    <w:rsid w:val="00A004B5"/>
    <w:rsid w:val="00A01300"/>
    <w:rsid w:val="00A01302"/>
    <w:rsid w:val="00A01C6E"/>
    <w:rsid w:val="00A01DB8"/>
    <w:rsid w:val="00A0240F"/>
    <w:rsid w:val="00A03BC7"/>
    <w:rsid w:val="00A03FE7"/>
    <w:rsid w:val="00A04EEA"/>
    <w:rsid w:val="00A05712"/>
    <w:rsid w:val="00A059C9"/>
    <w:rsid w:val="00A05AA2"/>
    <w:rsid w:val="00A05BD2"/>
    <w:rsid w:val="00A06300"/>
    <w:rsid w:val="00A06351"/>
    <w:rsid w:val="00A064E3"/>
    <w:rsid w:val="00A06F02"/>
    <w:rsid w:val="00A070AB"/>
    <w:rsid w:val="00A0768E"/>
    <w:rsid w:val="00A076B2"/>
    <w:rsid w:val="00A10AAE"/>
    <w:rsid w:val="00A111D6"/>
    <w:rsid w:val="00A11261"/>
    <w:rsid w:val="00A1181A"/>
    <w:rsid w:val="00A12629"/>
    <w:rsid w:val="00A128D2"/>
    <w:rsid w:val="00A13005"/>
    <w:rsid w:val="00A1361F"/>
    <w:rsid w:val="00A13DCE"/>
    <w:rsid w:val="00A14C8C"/>
    <w:rsid w:val="00A153D7"/>
    <w:rsid w:val="00A158F0"/>
    <w:rsid w:val="00A159EE"/>
    <w:rsid w:val="00A160EC"/>
    <w:rsid w:val="00A16102"/>
    <w:rsid w:val="00A16323"/>
    <w:rsid w:val="00A1634E"/>
    <w:rsid w:val="00A16B3A"/>
    <w:rsid w:val="00A17488"/>
    <w:rsid w:val="00A17EEE"/>
    <w:rsid w:val="00A17F9B"/>
    <w:rsid w:val="00A204C6"/>
    <w:rsid w:val="00A205D8"/>
    <w:rsid w:val="00A20A59"/>
    <w:rsid w:val="00A20F85"/>
    <w:rsid w:val="00A211AF"/>
    <w:rsid w:val="00A212FF"/>
    <w:rsid w:val="00A21416"/>
    <w:rsid w:val="00A216A6"/>
    <w:rsid w:val="00A218B6"/>
    <w:rsid w:val="00A21A8C"/>
    <w:rsid w:val="00A21CC7"/>
    <w:rsid w:val="00A21FB4"/>
    <w:rsid w:val="00A22005"/>
    <w:rsid w:val="00A224A8"/>
    <w:rsid w:val="00A2264C"/>
    <w:rsid w:val="00A2272C"/>
    <w:rsid w:val="00A22F67"/>
    <w:rsid w:val="00A23166"/>
    <w:rsid w:val="00A24194"/>
    <w:rsid w:val="00A24EC7"/>
    <w:rsid w:val="00A25A6E"/>
    <w:rsid w:val="00A265CD"/>
    <w:rsid w:val="00A26C94"/>
    <w:rsid w:val="00A273CB"/>
    <w:rsid w:val="00A27D8A"/>
    <w:rsid w:val="00A30096"/>
    <w:rsid w:val="00A30CFA"/>
    <w:rsid w:val="00A314EB"/>
    <w:rsid w:val="00A3200A"/>
    <w:rsid w:val="00A324AE"/>
    <w:rsid w:val="00A32641"/>
    <w:rsid w:val="00A32DA2"/>
    <w:rsid w:val="00A32DC4"/>
    <w:rsid w:val="00A33141"/>
    <w:rsid w:val="00A338BA"/>
    <w:rsid w:val="00A33AEB"/>
    <w:rsid w:val="00A33B82"/>
    <w:rsid w:val="00A34197"/>
    <w:rsid w:val="00A3463C"/>
    <w:rsid w:val="00A34F74"/>
    <w:rsid w:val="00A34F82"/>
    <w:rsid w:val="00A35825"/>
    <w:rsid w:val="00A36704"/>
    <w:rsid w:val="00A377D5"/>
    <w:rsid w:val="00A37D28"/>
    <w:rsid w:val="00A4017F"/>
    <w:rsid w:val="00A41199"/>
    <w:rsid w:val="00A415BD"/>
    <w:rsid w:val="00A4228F"/>
    <w:rsid w:val="00A42616"/>
    <w:rsid w:val="00A42E77"/>
    <w:rsid w:val="00A434C5"/>
    <w:rsid w:val="00A437BB"/>
    <w:rsid w:val="00A43971"/>
    <w:rsid w:val="00A44862"/>
    <w:rsid w:val="00A450F6"/>
    <w:rsid w:val="00A45657"/>
    <w:rsid w:val="00A46B5F"/>
    <w:rsid w:val="00A46D37"/>
    <w:rsid w:val="00A46E68"/>
    <w:rsid w:val="00A4793D"/>
    <w:rsid w:val="00A51AC9"/>
    <w:rsid w:val="00A51E2A"/>
    <w:rsid w:val="00A52016"/>
    <w:rsid w:val="00A523CE"/>
    <w:rsid w:val="00A528BC"/>
    <w:rsid w:val="00A529B2"/>
    <w:rsid w:val="00A53121"/>
    <w:rsid w:val="00A53EA5"/>
    <w:rsid w:val="00A5519F"/>
    <w:rsid w:val="00A56684"/>
    <w:rsid w:val="00A56C8B"/>
    <w:rsid w:val="00A56D0F"/>
    <w:rsid w:val="00A56FB2"/>
    <w:rsid w:val="00A57B88"/>
    <w:rsid w:val="00A611E3"/>
    <w:rsid w:val="00A61BC5"/>
    <w:rsid w:val="00A61D9A"/>
    <w:rsid w:val="00A623FC"/>
    <w:rsid w:val="00A639E5"/>
    <w:rsid w:val="00A64763"/>
    <w:rsid w:val="00A648BF"/>
    <w:rsid w:val="00A64FD2"/>
    <w:rsid w:val="00A651A5"/>
    <w:rsid w:val="00A65409"/>
    <w:rsid w:val="00A65786"/>
    <w:rsid w:val="00A66316"/>
    <w:rsid w:val="00A667DB"/>
    <w:rsid w:val="00A66FD2"/>
    <w:rsid w:val="00A6757F"/>
    <w:rsid w:val="00A67766"/>
    <w:rsid w:val="00A677B8"/>
    <w:rsid w:val="00A6788B"/>
    <w:rsid w:val="00A6793C"/>
    <w:rsid w:val="00A70281"/>
    <w:rsid w:val="00A702BD"/>
    <w:rsid w:val="00A706B0"/>
    <w:rsid w:val="00A710AA"/>
    <w:rsid w:val="00A71C5F"/>
    <w:rsid w:val="00A72297"/>
    <w:rsid w:val="00A72A86"/>
    <w:rsid w:val="00A73116"/>
    <w:rsid w:val="00A749D9"/>
    <w:rsid w:val="00A75026"/>
    <w:rsid w:val="00A7562B"/>
    <w:rsid w:val="00A75F2A"/>
    <w:rsid w:val="00A76AE9"/>
    <w:rsid w:val="00A801F8"/>
    <w:rsid w:val="00A80786"/>
    <w:rsid w:val="00A80E8B"/>
    <w:rsid w:val="00A81081"/>
    <w:rsid w:val="00A811CC"/>
    <w:rsid w:val="00A811F9"/>
    <w:rsid w:val="00A814B9"/>
    <w:rsid w:val="00A817FF"/>
    <w:rsid w:val="00A818A6"/>
    <w:rsid w:val="00A83B54"/>
    <w:rsid w:val="00A84582"/>
    <w:rsid w:val="00A84838"/>
    <w:rsid w:val="00A84979"/>
    <w:rsid w:val="00A85782"/>
    <w:rsid w:val="00A858BE"/>
    <w:rsid w:val="00A85C89"/>
    <w:rsid w:val="00A85D36"/>
    <w:rsid w:val="00A86969"/>
    <w:rsid w:val="00A86F26"/>
    <w:rsid w:val="00A87FCC"/>
    <w:rsid w:val="00A9077C"/>
    <w:rsid w:val="00A90A54"/>
    <w:rsid w:val="00A91049"/>
    <w:rsid w:val="00A918F4"/>
    <w:rsid w:val="00A91C6B"/>
    <w:rsid w:val="00A92A84"/>
    <w:rsid w:val="00A92F02"/>
    <w:rsid w:val="00A944F7"/>
    <w:rsid w:val="00A946F6"/>
    <w:rsid w:val="00A9507D"/>
    <w:rsid w:val="00A95A9B"/>
    <w:rsid w:val="00A95D84"/>
    <w:rsid w:val="00A96F23"/>
    <w:rsid w:val="00A96F43"/>
    <w:rsid w:val="00A972C3"/>
    <w:rsid w:val="00A973DC"/>
    <w:rsid w:val="00A976DF"/>
    <w:rsid w:val="00AA0BC8"/>
    <w:rsid w:val="00AA13CB"/>
    <w:rsid w:val="00AA1739"/>
    <w:rsid w:val="00AA21F3"/>
    <w:rsid w:val="00AA26C8"/>
    <w:rsid w:val="00AA26D7"/>
    <w:rsid w:val="00AA2CCB"/>
    <w:rsid w:val="00AA2E37"/>
    <w:rsid w:val="00AA2EFE"/>
    <w:rsid w:val="00AA2F8D"/>
    <w:rsid w:val="00AA32F0"/>
    <w:rsid w:val="00AA3C1F"/>
    <w:rsid w:val="00AA40A6"/>
    <w:rsid w:val="00AA49EF"/>
    <w:rsid w:val="00AA4DCC"/>
    <w:rsid w:val="00AA4F08"/>
    <w:rsid w:val="00AA504F"/>
    <w:rsid w:val="00AA6BDD"/>
    <w:rsid w:val="00AA6EE4"/>
    <w:rsid w:val="00AA7704"/>
    <w:rsid w:val="00AA7E65"/>
    <w:rsid w:val="00AB101C"/>
    <w:rsid w:val="00AB173A"/>
    <w:rsid w:val="00AB1B17"/>
    <w:rsid w:val="00AB1FA4"/>
    <w:rsid w:val="00AB21BD"/>
    <w:rsid w:val="00AB28F6"/>
    <w:rsid w:val="00AB2C12"/>
    <w:rsid w:val="00AB3041"/>
    <w:rsid w:val="00AB3577"/>
    <w:rsid w:val="00AB3916"/>
    <w:rsid w:val="00AB3CAF"/>
    <w:rsid w:val="00AB4885"/>
    <w:rsid w:val="00AB51A6"/>
    <w:rsid w:val="00AB578A"/>
    <w:rsid w:val="00AB642D"/>
    <w:rsid w:val="00AB6FEF"/>
    <w:rsid w:val="00AB6FF9"/>
    <w:rsid w:val="00AB7306"/>
    <w:rsid w:val="00AB75CC"/>
    <w:rsid w:val="00AB7671"/>
    <w:rsid w:val="00AB7874"/>
    <w:rsid w:val="00AB7D96"/>
    <w:rsid w:val="00AC0846"/>
    <w:rsid w:val="00AC08A6"/>
    <w:rsid w:val="00AC094E"/>
    <w:rsid w:val="00AC0F6F"/>
    <w:rsid w:val="00AC1082"/>
    <w:rsid w:val="00AC1462"/>
    <w:rsid w:val="00AC1C09"/>
    <w:rsid w:val="00AC2079"/>
    <w:rsid w:val="00AC2D17"/>
    <w:rsid w:val="00AC2FAD"/>
    <w:rsid w:val="00AC30FE"/>
    <w:rsid w:val="00AC3B7A"/>
    <w:rsid w:val="00AC5093"/>
    <w:rsid w:val="00AC568F"/>
    <w:rsid w:val="00AC61C6"/>
    <w:rsid w:val="00AC6521"/>
    <w:rsid w:val="00AC68D2"/>
    <w:rsid w:val="00AC6A6F"/>
    <w:rsid w:val="00AC7049"/>
    <w:rsid w:val="00AC7AD6"/>
    <w:rsid w:val="00AC7B69"/>
    <w:rsid w:val="00AC7C0A"/>
    <w:rsid w:val="00AD0014"/>
    <w:rsid w:val="00AD0055"/>
    <w:rsid w:val="00AD07F0"/>
    <w:rsid w:val="00AD10AA"/>
    <w:rsid w:val="00AD16AC"/>
    <w:rsid w:val="00AD1CC8"/>
    <w:rsid w:val="00AD1E05"/>
    <w:rsid w:val="00AD2F3A"/>
    <w:rsid w:val="00AD35DC"/>
    <w:rsid w:val="00AD4231"/>
    <w:rsid w:val="00AD491C"/>
    <w:rsid w:val="00AD5C07"/>
    <w:rsid w:val="00AD5C90"/>
    <w:rsid w:val="00AD6E8E"/>
    <w:rsid w:val="00AD79EE"/>
    <w:rsid w:val="00AD7BAE"/>
    <w:rsid w:val="00AE051B"/>
    <w:rsid w:val="00AE1641"/>
    <w:rsid w:val="00AE1855"/>
    <w:rsid w:val="00AE221A"/>
    <w:rsid w:val="00AE2452"/>
    <w:rsid w:val="00AE2544"/>
    <w:rsid w:val="00AE2C15"/>
    <w:rsid w:val="00AE413B"/>
    <w:rsid w:val="00AE4A7C"/>
    <w:rsid w:val="00AE5507"/>
    <w:rsid w:val="00AE666C"/>
    <w:rsid w:val="00AE66C7"/>
    <w:rsid w:val="00AE66D7"/>
    <w:rsid w:val="00AE6A9B"/>
    <w:rsid w:val="00AE72D3"/>
    <w:rsid w:val="00AF06C2"/>
    <w:rsid w:val="00AF175D"/>
    <w:rsid w:val="00AF19D9"/>
    <w:rsid w:val="00AF23C9"/>
    <w:rsid w:val="00AF3219"/>
    <w:rsid w:val="00AF3533"/>
    <w:rsid w:val="00AF3A32"/>
    <w:rsid w:val="00AF3E24"/>
    <w:rsid w:val="00AF407F"/>
    <w:rsid w:val="00AF41BB"/>
    <w:rsid w:val="00AF5660"/>
    <w:rsid w:val="00AF6188"/>
    <w:rsid w:val="00AF61F1"/>
    <w:rsid w:val="00AF6497"/>
    <w:rsid w:val="00AF65CE"/>
    <w:rsid w:val="00AF70FF"/>
    <w:rsid w:val="00AF7602"/>
    <w:rsid w:val="00AF7CE3"/>
    <w:rsid w:val="00B00029"/>
    <w:rsid w:val="00B00274"/>
    <w:rsid w:val="00B00CA3"/>
    <w:rsid w:val="00B01605"/>
    <w:rsid w:val="00B01760"/>
    <w:rsid w:val="00B018A2"/>
    <w:rsid w:val="00B02241"/>
    <w:rsid w:val="00B02752"/>
    <w:rsid w:val="00B02967"/>
    <w:rsid w:val="00B02AE5"/>
    <w:rsid w:val="00B03433"/>
    <w:rsid w:val="00B03C93"/>
    <w:rsid w:val="00B0448E"/>
    <w:rsid w:val="00B04666"/>
    <w:rsid w:val="00B0497F"/>
    <w:rsid w:val="00B05AAF"/>
    <w:rsid w:val="00B05F5A"/>
    <w:rsid w:val="00B064CA"/>
    <w:rsid w:val="00B06A56"/>
    <w:rsid w:val="00B073C9"/>
    <w:rsid w:val="00B11BC4"/>
    <w:rsid w:val="00B11DEB"/>
    <w:rsid w:val="00B11F85"/>
    <w:rsid w:val="00B12520"/>
    <w:rsid w:val="00B12A44"/>
    <w:rsid w:val="00B12AE8"/>
    <w:rsid w:val="00B130EA"/>
    <w:rsid w:val="00B13F96"/>
    <w:rsid w:val="00B1402E"/>
    <w:rsid w:val="00B142E8"/>
    <w:rsid w:val="00B146B1"/>
    <w:rsid w:val="00B14858"/>
    <w:rsid w:val="00B14C16"/>
    <w:rsid w:val="00B14F99"/>
    <w:rsid w:val="00B156F8"/>
    <w:rsid w:val="00B15759"/>
    <w:rsid w:val="00B15E20"/>
    <w:rsid w:val="00B1636F"/>
    <w:rsid w:val="00B16A2B"/>
    <w:rsid w:val="00B16D90"/>
    <w:rsid w:val="00B1757E"/>
    <w:rsid w:val="00B179EA"/>
    <w:rsid w:val="00B17B19"/>
    <w:rsid w:val="00B17B27"/>
    <w:rsid w:val="00B17B29"/>
    <w:rsid w:val="00B17E1C"/>
    <w:rsid w:val="00B20011"/>
    <w:rsid w:val="00B2028F"/>
    <w:rsid w:val="00B20D79"/>
    <w:rsid w:val="00B21C49"/>
    <w:rsid w:val="00B22244"/>
    <w:rsid w:val="00B2258C"/>
    <w:rsid w:val="00B2265B"/>
    <w:rsid w:val="00B22B37"/>
    <w:rsid w:val="00B22DF1"/>
    <w:rsid w:val="00B237F7"/>
    <w:rsid w:val="00B23876"/>
    <w:rsid w:val="00B239D0"/>
    <w:rsid w:val="00B2433E"/>
    <w:rsid w:val="00B24796"/>
    <w:rsid w:val="00B250A5"/>
    <w:rsid w:val="00B25579"/>
    <w:rsid w:val="00B257DB"/>
    <w:rsid w:val="00B264E6"/>
    <w:rsid w:val="00B26D05"/>
    <w:rsid w:val="00B27789"/>
    <w:rsid w:val="00B3012D"/>
    <w:rsid w:val="00B30384"/>
    <w:rsid w:val="00B3084A"/>
    <w:rsid w:val="00B30D3D"/>
    <w:rsid w:val="00B31325"/>
    <w:rsid w:val="00B32083"/>
    <w:rsid w:val="00B32C5A"/>
    <w:rsid w:val="00B34324"/>
    <w:rsid w:val="00B3433B"/>
    <w:rsid w:val="00B34452"/>
    <w:rsid w:val="00B3460C"/>
    <w:rsid w:val="00B3523F"/>
    <w:rsid w:val="00B35795"/>
    <w:rsid w:val="00B35E52"/>
    <w:rsid w:val="00B3606C"/>
    <w:rsid w:val="00B36C57"/>
    <w:rsid w:val="00B4003B"/>
    <w:rsid w:val="00B404FC"/>
    <w:rsid w:val="00B40977"/>
    <w:rsid w:val="00B41819"/>
    <w:rsid w:val="00B42DEA"/>
    <w:rsid w:val="00B431CB"/>
    <w:rsid w:val="00B4339A"/>
    <w:rsid w:val="00B4413E"/>
    <w:rsid w:val="00B44753"/>
    <w:rsid w:val="00B44D2D"/>
    <w:rsid w:val="00B44F89"/>
    <w:rsid w:val="00B45FD5"/>
    <w:rsid w:val="00B46403"/>
    <w:rsid w:val="00B47989"/>
    <w:rsid w:val="00B47CA1"/>
    <w:rsid w:val="00B500E6"/>
    <w:rsid w:val="00B50C44"/>
    <w:rsid w:val="00B50C76"/>
    <w:rsid w:val="00B5117E"/>
    <w:rsid w:val="00B517A3"/>
    <w:rsid w:val="00B51C92"/>
    <w:rsid w:val="00B52766"/>
    <w:rsid w:val="00B529F9"/>
    <w:rsid w:val="00B530FF"/>
    <w:rsid w:val="00B5310B"/>
    <w:rsid w:val="00B53577"/>
    <w:rsid w:val="00B549CB"/>
    <w:rsid w:val="00B551CD"/>
    <w:rsid w:val="00B55796"/>
    <w:rsid w:val="00B55901"/>
    <w:rsid w:val="00B55C84"/>
    <w:rsid w:val="00B5611C"/>
    <w:rsid w:val="00B56155"/>
    <w:rsid w:val="00B568EC"/>
    <w:rsid w:val="00B56D75"/>
    <w:rsid w:val="00B57011"/>
    <w:rsid w:val="00B57282"/>
    <w:rsid w:val="00B573BA"/>
    <w:rsid w:val="00B57580"/>
    <w:rsid w:val="00B57BCE"/>
    <w:rsid w:val="00B57E24"/>
    <w:rsid w:val="00B57F19"/>
    <w:rsid w:val="00B57FA9"/>
    <w:rsid w:val="00B57FF7"/>
    <w:rsid w:val="00B6015A"/>
    <w:rsid w:val="00B601AA"/>
    <w:rsid w:val="00B6032C"/>
    <w:rsid w:val="00B61541"/>
    <w:rsid w:val="00B61D3A"/>
    <w:rsid w:val="00B6221B"/>
    <w:rsid w:val="00B6240E"/>
    <w:rsid w:val="00B62879"/>
    <w:rsid w:val="00B635FC"/>
    <w:rsid w:val="00B64788"/>
    <w:rsid w:val="00B64D78"/>
    <w:rsid w:val="00B64EE7"/>
    <w:rsid w:val="00B65608"/>
    <w:rsid w:val="00B65C34"/>
    <w:rsid w:val="00B66AF2"/>
    <w:rsid w:val="00B66C3C"/>
    <w:rsid w:val="00B6751F"/>
    <w:rsid w:val="00B676DD"/>
    <w:rsid w:val="00B678F0"/>
    <w:rsid w:val="00B705AF"/>
    <w:rsid w:val="00B707BC"/>
    <w:rsid w:val="00B70D9E"/>
    <w:rsid w:val="00B71058"/>
    <w:rsid w:val="00B718CC"/>
    <w:rsid w:val="00B71EF0"/>
    <w:rsid w:val="00B71F73"/>
    <w:rsid w:val="00B7290A"/>
    <w:rsid w:val="00B7294F"/>
    <w:rsid w:val="00B72CCD"/>
    <w:rsid w:val="00B7305B"/>
    <w:rsid w:val="00B74803"/>
    <w:rsid w:val="00B74AFB"/>
    <w:rsid w:val="00B74EE9"/>
    <w:rsid w:val="00B755C9"/>
    <w:rsid w:val="00B759B8"/>
    <w:rsid w:val="00B75C2F"/>
    <w:rsid w:val="00B76277"/>
    <w:rsid w:val="00B762CA"/>
    <w:rsid w:val="00B76394"/>
    <w:rsid w:val="00B76683"/>
    <w:rsid w:val="00B7670C"/>
    <w:rsid w:val="00B769BF"/>
    <w:rsid w:val="00B76A58"/>
    <w:rsid w:val="00B76B5A"/>
    <w:rsid w:val="00B76EC3"/>
    <w:rsid w:val="00B76F42"/>
    <w:rsid w:val="00B77367"/>
    <w:rsid w:val="00B808A6"/>
    <w:rsid w:val="00B8095F"/>
    <w:rsid w:val="00B80B2A"/>
    <w:rsid w:val="00B80BF4"/>
    <w:rsid w:val="00B80D50"/>
    <w:rsid w:val="00B815D3"/>
    <w:rsid w:val="00B81A82"/>
    <w:rsid w:val="00B820B1"/>
    <w:rsid w:val="00B822F8"/>
    <w:rsid w:val="00B825F0"/>
    <w:rsid w:val="00B8285E"/>
    <w:rsid w:val="00B82CE5"/>
    <w:rsid w:val="00B82F21"/>
    <w:rsid w:val="00B837B6"/>
    <w:rsid w:val="00B83A32"/>
    <w:rsid w:val="00B83AA4"/>
    <w:rsid w:val="00B83EC9"/>
    <w:rsid w:val="00B840CD"/>
    <w:rsid w:val="00B84CC2"/>
    <w:rsid w:val="00B84E9B"/>
    <w:rsid w:val="00B8564F"/>
    <w:rsid w:val="00B85DBF"/>
    <w:rsid w:val="00B86580"/>
    <w:rsid w:val="00B869E0"/>
    <w:rsid w:val="00B8712B"/>
    <w:rsid w:val="00B87DF8"/>
    <w:rsid w:val="00B9016D"/>
    <w:rsid w:val="00B901E3"/>
    <w:rsid w:val="00B9257C"/>
    <w:rsid w:val="00B92D8F"/>
    <w:rsid w:val="00B92DD8"/>
    <w:rsid w:val="00B93546"/>
    <w:rsid w:val="00B947E8"/>
    <w:rsid w:val="00B9491A"/>
    <w:rsid w:val="00B94BD2"/>
    <w:rsid w:val="00B94D85"/>
    <w:rsid w:val="00B9502F"/>
    <w:rsid w:val="00B9522B"/>
    <w:rsid w:val="00B957D5"/>
    <w:rsid w:val="00B96820"/>
    <w:rsid w:val="00B96E2B"/>
    <w:rsid w:val="00B9763A"/>
    <w:rsid w:val="00B979DB"/>
    <w:rsid w:val="00B97A58"/>
    <w:rsid w:val="00B97AA4"/>
    <w:rsid w:val="00BA0119"/>
    <w:rsid w:val="00BA045F"/>
    <w:rsid w:val="00BA1043"/>
    <w:rsid w:val="00BA19F0"/>
    <w:rsid w:val="00BA1C5D"/>
    <w:rsid w:val="00BA2255"/>
    <w:rsid w:val="00BA2F59"/>
    <w:rsid w:val="00BA3051"/>
    <w:rsid w:val="00BA308B"/>
    <w:rsid w:val="00BA3344"/>
    <w:rsid w:val="00BA3CAE"/>
    <w:rsid w:val="00BA40A6"/>
    <w:rsid w:val="00BA49A1"/>
    <w:rsid w:val="00BA4ACF"/>
    <w:rsid w:val="00BA5112"/>
    <w:rsid w:val="00BA5721"/>
    <w:rsid w:val="00BA64CB"/>
    <w:rsid w:val="00BA6B7A"/>
    <w:rsid w:val="00BA6C9C"/>
    <w:rsid w:val="00BA71F8"/>
    <w:rsid w:val="00BA7A29"/>
    <w:rsid w:val="00BA7CD8"/>
    <w:rsid w:val="00BB0182"/>
    <w:rsid w:val="00BB0BC5"/>
    <w:rsid w:val="00BB17D8"/>
    <w:rsid w:val="00BB19A2"/>
    <w:rsid w:val="00BB2161"/>
    <w:rsid w:val="00BB21B6"/>
    <w:rsid w:val="00BB243C"/>
    <w:rsid w:val="00BB2EEF"/>
    <w:rsid w:val="00BB2F88"/>
    <w:rsid w:val="00BB3074"/>
    <w:rsid w:val="00BB3249"/>
    <w:rsid w:val="00BB3ED3"/>
    <w:rsid w:val="00BB3FC6"/>
    <w:rsid w:val="00BB558A"/>
    <w:rsid w:val="00BB62D2"/>
    <w:rsid w:val="00BB6EF8"/>
    <w:rsid w:val="00BB6FB2"/>
    <w:rsid w:val="00BB71A1"/>
    <w:rsid w:val="00BB75F7"/>
    <w:rsid w:val="00BB7761"/>
    <w:rsid w:val="00BB7D44"/>
    <w:rsid w:val="00BB7F43"/>
    <w:rsid w:val="00BC08AB"/>
    <w:rsid w:val="00BC1213"/>
    <w:rsid w:val="00BC1512"/>
    <w:rsid w:val="00BC2593"/>
    <w:rsid w:val="00BC2D22"/>
    <w:rsid w:val="00BC2DBE"/>
    <w:rsid w:val="00BC34BF"/>
    <w:rsid w:val="00BC3921"/>
    <w:rsid w:val="00BC49C8"/>
    <w:rsid w:val="00BC4FF4"/>
    <w:rsid w:val="00BC58D9"/>
    <w:rsid w:val="00BC5F8B"/>
    <w:rsid w:val="00BC618A"/>
    <w:rsid w:val="00BC688B"/>
    <w:rsid w:val="00BC6B6C"/>
    <w:rsid w:val="00BC7297"/>
    <w:rsid w:val="00BC7EB1"/>
    <w:rsid w:val="00BD014A"/>
    <w:rsid w:val="00BD0871"/>
    <w:rsid w:val="00BD08BA"/>
    <w:rsid w:val="00BD0A47"/>
    <w:rsid w:val="00BD1156"/>
    <w:rsid w:val="00BD19E8"/>
    <w:rsid w:val="00BD1C68"/>
    <w:rsid w:val="00BD1F00"/>
    <w:rsid w:val="00BD21FC"/>
    <w:rsid w:val="00BD2F76"/>
    <w:rsid w:val="00BD2FD2"/>
    <w:rsid w:val="00BD3678"/>
    <w:rsid w:val="00BD49B9"/>
    <w:rsid w:val="00BD5202"/>
    <w:rsid w:val="00BD5419"/>
    <w:rsid w:val="00BD6A56"/>
    <w:rsid w:val="00BD6DC7"/>
    <w:rsid w:val="00BD7691"/>
    <w:rsid w:val="00BD7B0D"/>
    <w:rsid w:val="00BD7D30"/>
    <w:rsid w:val="00BD7E16"/>
    <w:rsid w:val="00BE0259"/>
    <w:rsid w:val="00BE03EB"/>
    <w:rsid w:val="00BE04FB"/>
    <w:rsid w:val="00BE051C"/>
    <w:rsid w:val="00BE0953"/>
    <w:rsid w:val="00BE0E70"/>
    <w:rsid w:val="00BE12F1"/>
    <w:rsid w:val="00BE141B"/>
    <w:rsid w:val="00BE154D"/>
    <w:rsid w:val="00BE23EE"/>
    <w:rsid w:val="00BE2A7A"/>
    <w:rsid w:val="00BE2C58"/>
    <w:rsid w:val="00BE2EB2"/>
    <w:rsid w:val="00BE38AB"/>
    <w:rsid w:val="00BE3A2E"/>
    <w:rsid w:val="00BE3CD5"/>
    <w:rsid w:val="00BE41B1"/>
    <w:rsid w:val="00BE44C9"/>
    <w:rsid w:val="00BE4B13"/>
    <w:rsid w:val="00BE4C06"/>
    <w:rsid w:val="00BE4E72"/>
    <w:rsid w:val="00BE6021"/>
    <w:rsid w:val="00BE62DC"/>
    <w:rsid w:val="00BE63FF"/>
    <w:rsid w:val="00BE6BD8"/>
    <w:rsid w:val="00BE6FD0"/>
    <w:rsid w:val="00BE72B5"/>
    <w:rsid w:val="00BE784F"/>
    <w:rsid w:val="00BE7A6E"/>
    <w:rsid w:val="00BE7DED"/>
    <w:rsid w:val="00BF061A"/>
    <w:rsid w:val="00BF1E05"/>
    <w:rsid w:val="00BF1E1D"/>
    <w:rsid w:val="00BF245D"/>
    <w:rsid w:val="00BF2CBD"/>
    <w:rsid w:val="00BF3FAC"/>
    <w:rsid w:val="00BF4429"/>
    <w:rsid w:val="00BF48D6"/>
    <w:rsid w:val="00BF5494"/>
    <w:rsid w:val="00BF57E1"/>
    <w:rsid w:val="00BF584A"/>
    <w:rsid w:val="00BF5AE0"/>
    <w:rsid w:val="00BF5D88"/>
    <w:rsid w:val="00BF65BD"/>
    <w:rsid w:val="00BF7EF5"/>
    <w:rsid w:val="00C00B2A"/>
    <w:rsid w:val="00C00EC1"/>
    <w:rsid w:val="00C011A6"/>
    <w:rsid w:val="00C01287"/>
    <w:rsid w:val="00C01866"/>
    <w:rsid w:val="00C01A4F"/>
    <w:rsid w:val="00C02563"/>
    <w:rsid w:val="00C02CA8"/>
    <w:rsid w:val="00C02D40"/>
    <w:rsid w:val="00C03011"/>
    <w:rsid w:val="00C031B5"/>
    <w:rsid w:val="00C03683"/>
    <w:rsid w:val="00C03988"/>
    <w:rsid w:val="00C04155"/>
    <w:rsid w:val="00C0470E"/>
    <w:rsid w:val="00C05A77"/>
    <w:rsid w:val="00C05F55"/>
    <w:rsid w:val="00C06271"/>
    <w:rsid w:val="00C06490"/>
    <w:rsid w:val="00C06EB5"/>
    <w:rsid w:val="00C078E1"/>
    <w:rsid w:val="00C079FE"/>
    <w:rsid w:val="00C07C6E"/>
    <w:rsid w:val="00C10781"/>
    <w:rsid w:val="00C10B5A"/>
    <w:rsid w:val="00C1107A"/>
    <w:rsid w:val="00C11205"/>
    <w:rsid w:val="00C115C9"/>
    <w:rsid w:val="00C1172D"/>
    <w:rsid w:val="00C11953"/>
    <w:rsid w:val="00C13077"/>
    <w:rsid w:val="00C13DDB"/>
    <w:rsid w:val="00C1454D"/>
    <w:rsid w:val="00C145CB"/>
    <w:rsid w:val="00C14957"/>
    <w:rsid w:val="00C14CD1"/>
    <w:rsid w:val="00C15515"/>
    <w:rsid w:val="00C1586B"/>
    <w:rsid w:val="00C15AA5"/>
    <w:rsid w:val="00C1692D"/>
    <w:rsid w:val="00C169E6"/>
    <w:rsid w:val="00C16A25"/>
    <w:rsid w:val="00C16E32"/>
    <w:rsid w:val="00C16EBA"/>
    <w:rsid w:val="00C16F2A"/>
    <w:rsid w:val="00C1719E"/>
    <w:rsid w:val="00C1760D"/>
    <w:rsid w:val="00C17C4D"/>
    <w:rsid w:val="00C20410"/>
    <w:rsid w:val="00C20473"/>
    <w:rsid w:val="00C2080F"/>
    <w:rsid w:val="00C211FF"/>
    <w:rsid w:val="00C217C0"/>
    <w:rsid w:val="00C21C1F"/>
    <w:rsid w:val="00C21DD2"/>
    <w:rsid w:val="00C2381C"/>
    <w:rsid w:val="00C23924"/>
    <w:rsid w:val="00C23F9E"/>
    <w:rsid w:val="00C24631"/>
    <w:rsid w:val="00C2463B"/>
    <w:rsid w:val="00C2547F"/>
    <w:rsid w:val="00C25782"/>
    <w:rsid w:val="00C25F82"/>
    <w:rsid w:val="00C26DB1"/>
    <w:rsid w:val="00C27B82"/>
    <w:rsid w:val="00C3103D"/>
    <w:rsid w:val="00C317FF"/>
    <w:rsid w:val="00C31954"/>
    <w:rsid w:val="00C319FD"/>
    <w:rsid w:val="00C31B65"/>
    <w:rsid w:val="00C323CC"/>
    <w:rsid w:val="00C32421"/>
    <w:rsid w:val="00C33210"/>
    <w:rsid w:val="00C33748"/>
    <w:rsid w:val="00C33A2D"/>
    <w:rsid w:val="00C33B1A"/>
    <w:rsid w:val="00C33D52"/>
    <w:rsid w:val="00C33D7F"/>
    <w:rsid w:val="00C34283"/>
    <w:rsid w:val="00C34856"/>
    <w:rsid w:val="00C34DD4"/>
    <w:rsid w:val="00C354EC"/>
    <w:rsid w:val="00C36E35"/>
    <w:rsid w:val="00C37997"/>
    <w:rsid w:val="00C405F1"/>
    <w:rsid w:val="00C40AA2"/>
    <w:rsid w:val="00C40C5A"/>
    <w:rsid w:val="00C4147D"/>
    <w:rsid w:val="00C41B9E"/>
    <w:rsid w:val="00C42F2F"/>
    <w:rsid w:val="00C435A7"/>
    <w:rsid w:val="00C437E3"/>
    <w:rsid w:val="00C43C3B"/>
    <w:rsid w:val="00C44193"/>
    <w:rsid w:val="00C449DF"/>
    <w:rsid w:val="00C44FFB"/>
    <w:rsid w:val="00C46087"/>
    <w:rsid w:val="00C461D6"/>
    <w:rsid w:val="00C4622A"/>
    <w:rsid w:val="00C46286"/>
    <w:rsid w:val="00C46554"/>
    <w:rsid w:val="00C46A98"/>
    <w:rsid w:val="00C47B59"/>
    <w:rsid w:val="00C47B64"/>
    <w:rsid w:val="00C501BE"/>
    <w:rsid w:val="00C50380"/>
    <w:rsid w:val="00C50473"/>
    <w:rsid w:val="00C50584"/>
    <w:rsid w:val="00C50DA2"/>
    <w:rsid w:val="00C523BF"/>
    <w:rsid w:val="00C52565"/>
    <w:rsid w:val="00C525D3"/>
    <w:rsid w:val="00C52895"/>
    <w:rsid w:val="00C5311A"/>
    <w:rsid w:val="00C536DF"/>
    <w:rsid w:val="00C5378F"/>
    <w:rsid w:val="00C53A79"/>
    <w:rsid w:val="00C53BE9"/>
    <w:rsid w:val="00C543FE"/>
    <w:rsid w:val="00C555BA"/>
    <w:rsid w:val="00C55E0B"/>
    <w:rsid w:val="00C561D6"/>
    <w:rsid w:val="00C56397"/>
    <w:rsid w:val="00C56F14"/>
    <w:rsid w:val="00C5733E"/>
    <w:rsid w:val="00C57E05"/>
    <w:rsid w:val="00C60355"/>
    <w:rsid w:val="00C60388"/>
    <w:rsid w:val="00C60737"/>
    <w:rsid w:val="00C60879"/>
    <w:rsid w:val="00C60A74"/>
    <w:rsid w:val="00C6169B"/>
    <w:rsid w:val="00C61AB7"/>
    <w:rsid w:val="00C6221D"/>
    <w:rsid w:val="00C62280"/>
    <w:rsid w:val="00C625B9"/>
    <w:rsid w:val="00C62DD5"/>
    <w:rsid w:val="00C63E67"/>
    <w:rsid w:val="00C646D0"/>
    <w:rsid w:val="00C657A2"/>
    <w:rsid w:val="00C65A60"/>
    <w:rsid w:val="00C65E4D"/>
    <w:rsid w:val="00C66A22"/>
    <w:rsid w:val="00C67743"/>
    <w:rsid w:val="00C67A68"/>
    <w:rsid w:val="00C67B79"/>
    <w:rsid w:val="00C700D7"/>
    <w:rsid w:val="00C707DA"/>
    <w:rsid w:val="00C707F3"/>
    <w:rsid w:val="00C70ADF"/>
    <w:rsid w:val="00C712D7"/>
    <w:rsid w:val="00C722B3"/>
    <w:rsid w:val="00C72408"/>
    <w:rsid w:val="00C732EC"/>
    <w:rsid w:val="00C73CE5"/>
    <w:rsid w:val="00C73DAC"/>
    <w:rsid w:val="00C746A2"/>
    <w:rsid w:val="00C7497F"/>
    <w:rsid w:val="00C74D4B"/>
    <w:rsid w:val="00C75507"/>
    <w:rsid w:val="00C761DE"/>
    <w:rsid w:val="00C76B39"/>
    <w:rsid w:val="00C76C50"/>
    <w:rsid w:val="00C77581"/>
    <w:rsid w:val="00C77856"/>
    <w:rsid w:val="00C77A95"/>
    <w:rsid w:val="00C81539"/>
    <w:rsid w:val="00C8156F"/>
    <w:rsid w:val="00C818AB"/>
    <w:rsid w:val="00C818E9"/>
    <w:rsid w:val="00C82292"/>
    <w:rsid w:val="00C8291E"/>
    <w:rsid w:val="00C83D28"/>
    <w:rsid w:val="00C849C1"/>
    <w:rsid w:val="00C85218"/>
    <w:rsid w:val="00C858F0"/>
    <w:rsid w:val="00C85C35"/>
    <w:rsid w:val="00C8603F"/>
    <w:rsid w:val="00C86469"/>
    <w:rsid w:val="00C86FFC"/>
    <w:rsid w:val="00C871EB"/>
    <w:rsid w:val="00C8781D"/>
    <w:rsid w:val="00C87FF4"/>
    <w:rsid w:val="00C90866"/>
    <w:rsid w:val="00C90BCD"/>
    <w:rsid w:val="00C9138B"/>
    <w:rsid w:val="00C923F5"/>
    <w:rsid w:val="00C9249A"/>
    <w:rsid w:val="00C9351E"/>
    <w:rsid w:val="00C95BD6"/>
    <w:rsid w:val="00C95F20"/>
    <w:rsid w:val="00C9609D"/>
    <w:rsid w:val="00C96582"/>
    <w:rsid w:val="00C9661F"/>
    <w:rsid w:val="00C966C4"/>
    <w:rsid w:val="00C967EE"/>
    <w:rsid w:val="00C9686F"/>
    <w:rsid w:val="00C96940"/>
    <w:rsid w:val="00C96EA9"/>
    <w:rsid w:val="00C97186"/>
    <w:rsid w:val="00C97256"/>
    <w:rsid w:val="00C9728E"/>
    <w:rsid w:val="00C97A61"/>
    <w:rsid w:val="00CA07C8"/>
    <w:rsid w:val="00CA0852"/>
    <w:rsid w:val="00CA0DF6"/>
    <w:rsid w:val="00CA0F74"/>
    <w:rsid w:val="00CA1813"/>
    <w:rsid w:val="00CA1A51"/>
    <w:rsid w:val="00CA234D"/>
    <w:rsid w:val="00CA2547"/>
    <w:rsid w:val="00CA29F0"/>
    <w:rsid w:val="00CA2C69"/>
    <w:rsid w:val="00CA2DE4"/>
    <w:rsid w:val="00CA31C4"/>
    <w:rsid w:val="00CA35BE"/>
    <w:rsid w:val="00CA3649"/>
    <w:rsid w:val="00CA430C"/>
    <w:rsid w:val="00CA4BC7"/>
    <w:rsid w:val="00CA57EB"/>
    <w:rsid w:val="00CA59C5"/>
    <w:rsid w:val="00CA5F5C"/>
    <w:rsid w:val="00CA6181"/>
    <w:rsid w:val="00CA62AD"/>
    <w:rsid w:val="00CA6AA2"/>
    <w:rsid w:val="00CA700B"/>
    <w:rsid w:val="00CA71D1"/>
    <w:rsid w:val="00CA7C37"/>
    <w:rsid w:val="00CA7D78"/>
    <w:rsid w:val="00CA7DC7"/>
    <w:rsid w:val="00CA7E0E"/>
    <w:rsid w:val="00CA7ED7"/>
    <w:rsid w:val="00CB03DC"/>
    <w:rsid w:val="00CB27EC"/>
    <w:rsid w:val="00CB302C"/>
    <w:rsid w:val="00CB3134"/>
    <w:rsid w:val="00CB321D"/>
    <w:rsid w:val="00CB32B5"/>
    <w:rsid w:val="00CB501A"/>
    <w:rsid w:val="00CB57B9"/>
    <w:rsid w:val="00CB5875"/>
    <w:rsid w:val="00CB66AD"/>
    <w:rsid w:val="00CB69E4"/>
    <w:rsid w:val="00CB71E7"/>
    <w:rsid w:val="00CB7697"/>
    <w:rsid w:val="00CB7755"/>
    <w:rsid w:val="00CB7F2D"/>
    <w:rsid w:val="00CC03A8"/>
    <w:rsid w:val="00CC06B0"/>
    <w:rsid w:val="00CC0C48"/>
    <w:rsid w:val="00CC0EDA"/>
    <w:rsid w:val="00CC10B9"/>
    <w:rsid w:val="00CC12CE"/>
    <w:rsid w:val="00CC1370"/>
    <w:rsid w:val="00CC19E9"/>
    <w:rsid w:val="00CC1A18"/>
    <w:rsid w:val="00CC1E92"/>
    <w:rsid w:val="00CC1F98"/>
    <w:rsid w:val="00CC268D"/>
    <w:rsid w:val="00CC278C"/>
    <w:rsid w:val="00CC3161"/>
    <w:rsid w:val="00CC356D"/>
    <w:rsid w:val="00CC37DB"/>
    <w:rsid w:val="00CC3AC8"/>
    <w:rsid w:val="00CC3DF8"/>
    <w:rsid w:val="00CC41F1"/>
    <w:rsid w:val="00CC4C23"/>
    <w:rsid w:val="00CC53E1"/>
    <w:rsid w:val="00CC5652"/>
    <w:rsid w:val="00CC602B"/>
    <w:rsid w:val="00CC6079"/>
    <w:rsid w:val="00CC66ED"/>
    <w:rsid w:val="00CC6951"/>
    <w:rsid w:val="00CC7C6F"/>
    <w:rsid w:val="00CD09C6"/>
    <w:rsid w:val="00CD0CF2"/>
    <w:rsid w:val="00CD0F6D"/>
    <w:rsid w:val="00CD16BF"/>
    <w:rsid w:val="00CD1748"/>
    <w:rsid w:val="00CD178D"/>
    <w:rsid w:val="00CD1CA6"/>
    <w:rsid w:val="00CD1CA8"/>
    <w:rsid w:val="00CD1FC3"/>
    <w:rsid w:val="00CD280D"/>
    <w:rsid w:val="00CD2AD9"/>
    <w:rsid w:val="00CD2F90"/>
    <w:rsid w:val="00CD341F"/>
    <w:rsid w:val="00CD3420"/>
    <w:rsid w:val="00CD360C"/>
    <w:rsid w:val="00CD3819"/>
    <w:rsid w:val="00CD38FE"/>
    <w:rsid w:val="00CD43B1"/>
    <w:rsid w:val="00CD4496"/>
    <w:rsid w:val="00CD4B58"/>
    <w:rsid w:val="00CD4C07"/>
    <w:rsid w:val="00CD5937"/>
    <w:rsid w:val="00CD5C08"/>
    <w:rsid w:val="00CD5FDE"/>
    <w:rsid w:val="00CD6309"/>
    <w:rsid w:val="00CD658A"/>
    <w:rsid w:val="00CD66EC"/>
    <w:rsid w:val="00CD7846"/>
    <w:rsid w:val="00CD7C1C"/>
    <w:rsid w:val="00CE0ABF"/>
    <w:rsid w:val="00CE0BD6"/>
    <w:rsid w:val="00CE103E"/>
    <w:rsid w:val="00CE1A0A"/>
    <w:rsid w:val="00CE1D60"/>
    <w:rsid w:val="00CE1F6A"/>
    <w:rsid w:val="00CE2476"/>
    <w:rsid w:val="00CE2893"/>
    <w:rsid w:val="00CE322A"/>
    <w:rsid w:val="00CE3840"/>
    <w:rsid w:val="00CE4CCF"/>
    <w:rsid w:val="00CE4D3B"/>
    <w:rsid w:val="00CE5AB1"/>
    <w:rsid w:val="00CE5B09"/>
    <w:rsid w:val="00CE621F"/>
    <w:rsid w:val="00CE6456"/>
    <w:rsid w:val="00CE6EFF"/>
    <w:rsid w:val="00CE738B"/>
    <w:rsid w:val="00CE7B82"/>
    <w:rsid w:val="00CE7FDA"/>
    <w:rsid w:val="00CF02D2"/>
    <w:rsid w:val="00CF0BA3"/>
    <w:rsid w:val="00CF10B3"/>
    <w:rsid w:val="00CF1147"/>
    <w:rsid w:val="00CF27B6"/>
    <w:rsid w:val="00CF2C16"/>
    <w:rsid w:val="00CF2D21"/>
    <w:rsid w:val="00CF2EAD"/>
    <w:rsid w:val="00CF31E9"/>
    <w:rsid w:val="00CF320D"/>
    <w:rsid w:val="00CF324A"/>
    <w:rsid w:val="00CF3CAC"/>
    <w:rsid w:val="00CF4390"/>
    <w:rsid w:val="00CF47CA"/>
    <w:rsid w:val="00CF4EBB"/>
    <w:rsid w:val="00CF4EDF"/>
    <w:rsid w:val="00CF544D"/>
    <w:rsid w:val="00CF5853"/>
    <w:rsid w:val="00CF5A1E"/>
    <w:rsid w:val="00CF6E58"/>
    <w:rsid w:val="00CF713A"/>
    <w:rsid w:val="00CF7668"/>
    <w:rsid w:val="00CF7C74"/>
    <w:rsid w:val="00D008BD"/>
    <w:rsid w:val="00D008EF"/>
    <w:rsid w:val="00D017A1"/>
    <w:rsid w:val="00D018C3"/>
    <w:rsid w:val="00D01E01"/>
    <w:rsid w:val="00D01FD1"/>
    <w:rsid w:val="00D030DB"/>
    <w:rsid w:val="00D0414C"/>
    <w:rsid w:val="00D04748"/>
    <w:rsid w:val="00D04A9D"/>
    <w:rsid w:val="00D04EC8"/>
    <w:rsid w:val="00D04F7B"/>
    <w:rsid w:val="00D04FD5"/>
    <w:rsid w:val="00D0565E"/>
    <w:rsid w:val="00D0569D"/>
    <w:rsid w:val="00D058D3"/>
    <w:rsid w:val="00D05F6A"/>
    <w:rsid w:val="00D06551"/>
    <w:rsid w:val="00D06B51"/>
    <w:rsid w:val="00D07555"/>
    <w:rsid w:val="00D07B56"/>
    <w:rsid w:val="00D07D05"/>
    <w:rsid w:val="00D07D43"/>
    <w:rsid w:val="00D1073D"/>
    <w:rsid w:val="00D1092C"/>
    <w:rsid w:val="00D10995"/>
    <w:rsid w:val="00D11900"/>
    <w:rsid w:val="00D11E70"/>
    <w:rsid w:val="00D124C7"/>
    <w:rsid w:val="00D12805"/>
    <w:rsid w:val="00D128A8"/>
    <w:rsid w:val="00D12DEB"/>
    <w:rsid w:val="00D13199"/>
    <w:rsid w:val="00D1379F"/>
    <w:rsid w:val="00D13B20"/>
    <w:rsid w:val="00D14339"/>
    <w:rsid w:val="00D14D7D"/>
    <w:rsid w:val="00D14EA0"/>
    <w:rsid w:val="00D14F23"/>
    <w:rsid w:val="00D15506"/>
    <w:rsid w:val="00D15980"/>
    <w:rsid w:val="00D15B2D"/>
    <w:rsid w:val="00D1617B"/>
    <w:rsid w:val="00D161AE"/>
    <w:rsid w:val="00D16B28"/>
    <w:rsid w:val="00D16C83"/>
    <w:rsid w:val="00D175B6"/>
    <w:rsid w:val="00D17AE4"/>
    <w:rsid w:val="00D17C49"/>
    <w:rsid w:val="00D17DA1"/>
    <w:rsid w:val="00D203B3"/>
    <w:rsid w:val="00D20FA0"/>
    <w:rsid w:val="00D213B4"/>
    <w:rsid w:val="00D2140D"/>
    <w:rsid w:val="00D21542"/>
    <w:rsid w:val="00D21630"/>
    <w:rsid w:val="00D21BBC"/>
    <w:rsid w:val="00D21CC6"/>
    <w:rsid w:val="00D229C4"/>
    <w:rsid w:val="00D23422"/>
    <w:rsid w:val="00D23A7F"/>
    <w:rsid w:val="00D23AFB"/>
    <w:rsid w:val="00D24330"/>
    <w:rsid w:val="00D24C2C"/>
    <w:rsid w:val="00D25FE0"/>
    <w:rsid w:val="00D2616A"/>
    <w:rsid w:val="00D26186"/>
    <w:rsid w:val="00D263A6"/>
    <w:rsid w:val="00D26C19"/>
    <w:rsid w:val="00D277B5"/>
    <w:rsid w:val="00D27865"/>
    <w:rsid w:val="00D27C99"/>
    <w:rsid w:val="00D30483"/>
    <w:rsid w:val="00D3052A"/>
    <w:rsid w:val="00D30BD8"/>
    <w:rsid w:val="00D30E02"/>
    <w:rsid w:val="00D31E0D"/>
    <w:rsid w:val="00D324AB"/>
    <w:rsid w:val="00D329B3"/>
    <w:rsid w:val="00D34772"/>
    <w:rsid w:val="00D34787"/>
    <w:rsid w:val="00D358B4"/>
    <w:rsid w:val="00D36F08"/>
    <w:rsid w:val="00D37213"/>
    <w:rsid w:val="00D40E49"/>
    <w:rsid w:val="00D4115A"/>
    <w:rsid w:val="00D41260"/>
    <w:rsid w:val="00D4150A"/>
    <w:rsid w:val="00D41934"/>
    <w:rsid w:val="00D41F37"/>
    <w:rsid w:val="00D4203D"/>
    <w:rsid w:val="00D4270D"/>
    <w:rsid w:val="00D42D1D"/>
    <w:rsid w:val="00D43ACF"/>
    <w:rsid w:val="00D44297"/>
    <w:rsid w:val="00D44547"/>
    <w:rsid w:val="00D44A90"/>
    <w:rsid w:val="00D44C3D"/>
    <w:rsid w:val="00D44DB9"/>
    <w:rsid w:val="00D4547B"/>
    <w:rsid w:val="00D4577E"/>
    <w:rsid w:val="00D457B2"/>
    <w:rsid w:val="00D4588C"/>
    <w:rsid w:val="00D45ABE"/>
    <w:rsid w:val="00D45C57"/>
    <w:rsid w:val="00D45E58"/>
    <w:rsid w:val="00D4682C"/>
    <w:rsid w:val="00D46BFF"/>
    <w:rsid w:val="00D4780B"/>
    <w:rsid w:val="00D47E24"/>
    <w:rsid w:val="00D5081C"/>
    <w:rsid w:val="00D515A3"/>
    <w:rsid w:val="00D518F4"/>
    <w:rsid w:val="00D51B52"/>
    <w:rsid w:val="00D51D5D"/>
    <w:rsid w:val="00D520EC"/>
    <w:rsid w:val="00D523CF"/>
    <w:rsid w:val="00D52535"/>
    <w:rsid w:val="00D52A22"/>
    <w:rsid w:val="00D52BDA"/>
    <w:rsid w:val="00D531A2"/>
    <w:rsid w:val="00D538B7"/>
    <w:rsid w:val="00D53EBE"/>
    <w:rsid w:val="00D575C7"/>
    <w:rsid w:val="00D57A25"/>
    <w:rsid w:val="00D57B32"/>
    <w:rsid w:val="00D57D89"/>
    <w:rsid w:val="00D60616"/>
    <w:rsid w:val="00D60CB9"/>
    <w:rsid w:val="00D614BE"/>
    <w:rsid w:val="00D61767"/>
    <w:rsid w:val="00D61781"/>
    <w:rsid w:val="00D61B15"/>
    <w:rsid w:val="00D61FCA"/>
    <w:rsid w:val="00D62103"/>
    <w:rsid w:val="00D625AE"/>
    <w:rsid w:val="00D63240"/>
    <w:rsid w:val="00D6348B"/>
    <w:rsid w:val="00D634C1"/>
    <w:rsid w:val="00D6377A"/>
    <w:rsid w:val="00D639D2"/>
    <w:rsid w:val="00D6404F"/>
    <w:rsid w:val="00D64AF3"/>
    <w:rsid w:val="00D66896"/>
    <w:rsid w:val="00D66E55"/>
    <w:rsid w:val="00D70303"/>
    <w:rsid w:val="00D70477"/>
    <w:rsid w:val="00D70502"/>
    <w:rsid w:val="00D7076C"/>
    <w:rsid w:val="00D70926"/>
    <w:rsid w:val="00D7118D"/>
    <w:rsid w:val="00D71655"/>
    <w:rsid w:val="00D71C81"/>
    <w:rsid w:val="00D728F1"/>
    <w:rsid w:val="00D72A45"/>
    <w:rsid w:val="00D72F26"/>
    <w:rsid w:val="00D72F4F"/>
    <w:rsid w:val="00D737AE"/>
    <w:rsid w:val="00D73929"/>
    <w:rsid w:val="00D74385"/>
    <w:rsid w:val="00D743D0"/>
    <w:rsid w:val="00D7467D"/>
    <w:rsid w:val="00D74B3E"/>
    <w:rsid w:val="00D74CBA"/>
    <w:rsid w:val="00D75584"/>
    <w:rsid w:val="00D76C10"/>
    <w:rsid w:val="00D774F4"/>
    <w:rsid w:val="00D77954"/>
    <w:rsid w:val="00D77A4F"/>
    <w:rsid w:val="00D804ED"/>
    <w:rsid w:val="00D804FA"/>
    <w:rsid w:val="00D80762"/>
    <w:rsid w:val="00D80FD3"/>
    <w:rsid w:val="00D81255"/>
    <w:rsid w:val="00D813F2"/>
    <w:rsid w:val="00D82365"/>
    <w:rsid w:val="00D825DC"/>
    <w:rsid w:val="00D828A6"/>
    <w:rsid w:val="00D833C5"/>
    <w:rsid w:val="00D83D06"/>
    <w:rsid w:val="00D8526C"/>
    <w:rsid w:val="00D85A50"/>
    <w:rsid w:val="00D86006"/>
    <w:rsid w:val="00D87486"/>
    <w:rsid w:val="00D876DD"/>
    <w:rsid w:val="00D87A80"/>
    <w:rsid w:val="00D9075F"/>
    <w:rsid w:val="00D90B06"/>
    <w:rsid w:val="00D90ED2"/>
    <w:rsid w:val="00D91345"/>
    <w:rsid w:val="00D92A0B"/>
    <w:rsid w:val="00D92B18"/>
    <w:rsid w:val="00D92D0F"/>
    <w:rsid w:val="00D9309D"/>
    <w:rsid w:val="00D931C8"/>
    <w:rsid w:val="00D9382B"/>
    <w:rsid w:val="00D93962"/>
    <w:rsid w:val="00D93D22"/>
    <w:rsid w:val="00D94273"/>
    <w:rsid w:val="00D9451E"/>
    <w:rsid w:val="00D95CE3"/>
    <w:rsid w:val="00D95D1B"/>
    <w:rsid w:val="00D96F86"/>
    <w:rsid w:val="00D9701D"/>
    <w:rsid w:val="00D97BE2"/>
    <w:rsid w:val="00D97E5C"/>
    <w:rsid w:val="00DA1B75"/>
    <w:rsid w:val="00DA1F6A"/>
    <w:rsid w:val="00DA23F8"/>
    <w:rsid w:val="00DA2A6D"/>
    <w:rsid w:val="00DA2F11"/>
    <w:rsid w:val="00DA3374"/>
    <w:rsid w:val="00DA3469"/>
    <w:rsid w:val="00DA4654"/>
    <w:rsid w:val="00DA4766"/>
    <w:rsid w:val="00DA5CFC"/>
    <w:rsid w:val="00DA67BC"/>
    <w:rsid w:val="00DA6830"/>
    <w:rsid w:val="00DA7502"/>
    <w:rsid w:val="00DA7CB4"/>
    <w:rsid w:val="00DB04F9"/>
    <w:rsid w:val="00DB0B99"/>
    <w:rsid w:val="00DB13C9"/>
    <w:rsid w:val="00DB26CC"/>
    <w:rsid w:val="00DB2FB4"/>
    <w:rsid w:val="00DB322C"/>
    <w:rsid w:val="00DB3793"/>
    <w:rsid w:val="00DB3A0D"/>
    <w:rsid w:val="00DB42BF"/>
    <w:rsid w:val="00DB4618"/>
    <w:rsid w:val="00DB5200"/>
    <w:rsid w:val="00DB5464"/>
    <w:rsid w:val="00DB5922"/>
    <w:rsid w:val="00DB5985"/>
    <w:rsid w:val="00DB6D4C"/>
    <w:rsid w:val="00DB6F82"/>
    <w:rsid w:val="00DB7489"/>
    <w:rsid w:val="00DC12A2"/>
    <w:rsid w:val="00DC20D9"/>
    <w:rsid w:val="00DC2165"/>
    <w:rsid w:val="00DC24C1"/>
    <w:rsid w:val="00DC373B"/>
    <w:rsid w:val="00DC3EEC"/>
    <w:rsid w:val="00DC4091"/>
    <w:rsid w:val="00DC4B44"/>
    <w:rsid w:val="00DC509E"/>
    <w:rsid w:val="00DC5680"/>
    <w:rsid w:val="00DC5BF1"/>
    <w:rsid w:val="00DC607E"/>
    <w:rsid w:val="00DC659D"/>
    <w:rsid w:val="00DC6D9F"/>
    <w:rsid w:val="00DC70AA"/>
    <w:rsid w:val="00DC72C4"/>
    <w:rsid w:val="00DC758C"/>
    <w:rsid w:val="00DD044C"/>
    <w:rsid w:val="00DD0774"/>
    <w:rsid w:val="00DD093F"/>
    <w:rsid w:val="00DD162D"/>
    <w:rsid w:val="00DD21D6"/>
    <w:rsid w:val="00DD23BC"/>
    <w:rsid w:val="00DD262C"/>
    <w:rsid w:val="00DD3201"/>
    <w:rsid w:val="00DD4118"/>
    <w:rsid w:val="00DD41F1"/>
    <w:rsid w:val="00DD4C46"/>
    <w:rsid w:val="00DD5029"/>
    <w:rsid w:val="00DD5294"/>
    <w:rsid w:val="00DD5C0D"/>
    <w:rsid w:val="00DD5C6D"/>
    <w:rsid w:val="00DD5D94"/>
    <w:rsid w:val="00DD5FD0"/>
    <w:rsid w:val="00DD60FB"/>
    <w:rsid w:val="00DD65CC"/>
    <w:rsid w:val="00DD6E12"/>
    <w:rsid w:val="00DD771A"/>
    <w:rsid w:val="00DE0129"/>
    <w:rsid w:val="00DE0674"/>
    <w:rsid w:val="00DE0860"/>
    <w:rsid w:val="00DE096D"/>
    <w:rsid w:val="00DE0CD9"/>
    <w:rsid w:val="00DE0D85"/>
    <w:rsid w:val="00DE16F1"/>
    <w:rsid w:val="00DE18AD"/>
    <w:rsid w:val="00DE1C09"/>
    <w:rsid w:val="00DE1E72"/>
    <w:rsid w:val="00DE2426"/>
    <w:rsid w:val="00DE2DE3"/>
    <w:rsid w:val="00DE4A0A"/>
    <w:rsid w:val="00DE4A12"/>
    <w:rsid w:val="00DE510F"/>
    <w:rsid w:val="00DE5143"/>
    <w:rsid w:val="00DE55B0"/>
    <w:rsid w:val="00DE5C18"/>
    <w:rsid w:val="00DE5F9C"/>
    <w:rsid w:val="00DE6F8B"/>
    <w:rsid w:val="00DE780B"/>
    <w:rsid w:val="00DF0514"/>
    <w:rsid w:val="00DF0E3F"/>
    <w:rsid w:val="00DF185D"/>
    <w:rsid w:val="00DF1B49"/>
    <w:rsid w:val="00DF2C11"/>
    <w:rsid w:val="00DF2F55"/>
    <w:rsid w:val="00DF356D"/>
    <w:rsid w:val="00DF3723"/>
    <w:rsid w:val="00DF3D5F"/>
    <w:rsid w:val="00DF4102"/>
    <w:rsid w:val="00DF450E"/>
    <w:rsid w:val="00DF46B6"/>
    <w:rsid w:val="00DF4E71"/>
    <w:rsid w:val="00DF55A5"/>
    <w:rsid w:val="00DF5D02"/>
    <w:rsid w:val="00DF6127"/>
    <w:rsid w:val="00DF649A"/>
    <w:rsid w:val="00DF6C8A"/>
    <w:rsid w:val="00DF721D"/>
    <w:rsid w:val="00DF7EC4"/>
    <w:rsid w:val="00E00890"/>
    <w:rsid w:val="00E00CF6"/>
    <w:rsid w:val="00E019D7"/>
    <w:rsid w:val="00E02235"/>
    <w:rsid w:val="00E028B3"/>
    <w:rsid w:val="00E02B99"/>
    <w:rsid w:val="00E02F04"/>
    <w:rsid w:val="00E03398"/>
    <w:rsid w:val="00E034F9"/>
    <w:rsid w:val="00E0436C"/>
    <w:rsid w:val="00E047E4"/>
    <w:rsid w:val="00E0481D"/>
    <w:rsid w:val="00E04F8F"/>
    <w:rsid w:val="00E05674"/>
    <w:rsid w:val="00E06398"/>
    <w:rsid w:val="00E07FFD"/>
    <w:rsid w:val="00E10323"/>
    <w:rsid w:val="00E10659"/>
    <w:rsid w:val="00E10DC5"/>
    <w:rsid w:val="00E11DAF"/>
    <w:rsid w:val="00E11F69"/>
    <w:rsid w:val="00E1256A"/>
    <w:rsid w:val="00E1340E"/>
    <w:rsid w:val="00E134BE"/>
    <w:rsid w:val="00E15B70"/>
    <w:rsid w:val="00E1600C"/>
    <w:rsid w:val="00E1606A"/>
    <w:rsid w:val="00E161EB"/>
    <w:rsid w:val="00E16243"/>
    <w:rsid w:val="00E169CF"/>
    <w:rsid w:val="00E16D9F"/>
    <w:rsid w:val="00E173C9"/>
    <w:rsid w:val="00E17433"/>
    <w:rsid w:val="00E1748F"/>
    <w:rsid w:val="00E17823"/>
    <w:rsid w:val="00E17E2E"/>
    <w:rsid w:val="00E20005"/>
    <w:rsid w:val="00E20523"/>
    <w:rsid w:val="00E209C7"/>
    <w:rsid w:val="00E21514"/>
    <w:rsid w:val="00E21B78"/>
    <w:rsid w:val="00E21F98"/>
    <w:rsid w:val="00E22574"/>
    <w:rsid w:val="00E22C18"/>
    <w:rsid w:val="00E22D94"/>
    <w:rsid w:val="00E231DE"/>
    <w:rsid w:val="00E2381F"/>
    <w:rsid w:val="00E23B86"/>
    <w:rsid w:val="00E2469E"/>
    <w:rsid w:val="00E24703"/>
    <w:rsid w:val="00E25C40"/>
    <w:rsid w:val="00E25C55"/>
    <w:rsid w:val="00E25F79"/>
    <w:rsid w:val="00E2709C"/>
    <w:rsid w:val="00E2744F"/>
    <w:rsid w:val="00E30168"/>
    <w:rsid w:val="00E30688"/>
    <w:rsid w:val="00E307C4"/>
    <w:rsid w:val="00E3129F"/>
    <w:rsid w:val="00E329D0"/>
    <w:rsid w:val="00E32A1D"/>
    <w:rsid w:val="00E32A6B"/>
    <w:rsid w:val="00E32C1B"/>
    <w:rsid w:val="00E32DD8"/>
    <w:rsid w:val="00E335B1"/>
    <w:rsid w:val="00E35A68"/>
    <w:rsid w:val="00E35D84"/>
    <w:rsid w:val="00E35FE1"/>
    <w:rsid w:val="00E37241"/>
    <w:rsid w:val="00E37A75"/>
    <w:rsid w:val="00E37F42"/>
    <w:rsid w:val="00E4000C"/>
    <w:rsid w:val="00E407F5"/>
    <w:rsid w:val="00E4089A"/>
    <w:rsid w:val="00E40BF4"/>
    <w:rsid w:val="00E41120"/>
    <w:rsid w:val="00E419D0"/>
    <w:rsid w:val="00E41F3A"/>
    <w:rsid w:val="00E426E6"/>
    <w:rsid w:val="00E42F13"/>
    <w:rsid w:val="00E43386"/>
    <w:rsid w:val="00E435D6"/>
    <w:rsid w:val="00E44656"/>
    <w:rsid w:val="00E44E2B"/>
    <w:rsid w:val="00E462DA"/>
    <w:rsid w:val="00E465F2"/>
    <w:rsid w:val="00E468FE"/>
    <w:rsid w:val="00E469E5"/>
    <w:rsid w:val="00E46D2E"/>
    <w:rsid w:val="00E4709B"/>
    <w:rsid w:val="00E47586"/>
    <w:rsid w:val="00E47B74"/>
    <w:rsid w:val="00E47B90"/>
    <w:rsid w:val="00E502A3"/>
    <w:rsid w:val="00E50764"/>
    <w:rsid w:val="00E51D0A"/>
    <w:rsid w:val="00E51D34"/>
    <w:rsid w:val="00E51DD0"/>
    <w:rsid w:val="00E52401"/>
    <w:rsid w:val="00E528EA"/>
    <w:rsid w:val="00E52C4F"/>
    <w:rsid w:val="00E53739"/>
    <w:rsid w:val="00E53A42"/>
    <w:rsid w:val="00E542BB"/>
    <w:rsid w:val="00E543DA"/>
    <w:rsid w:val="00E54C8D"/>
    <w:rsid w:val="00E54E21"/>
    <w:rsid w:val="00E54E4F"/>
    <w:rsid w:val="00E55A1F"/>
    <w:rsid w:val="00E55A47"/>
    <w:rsid w:val="00E55EC9"/>
    <w:rsid w:val="00E55F88"/>
    <w:rsid w:val="00E562DE"/>
    <w:rsid w:val="00E569FF"/>
    <w:rsid w:val="00E56A1A"/>
    <w:rsid w:val="00E56A53"/>
    <w:rsid w:val="00E56FA0"/>
    <w:rsid w:val="00E578B6"/>
    <w:rsid w:val="00E6029D"/>
    <w:rsid w:val="00E602C0"/>
    <w:rsid w:val="00E61303"/>
    <w:rsid w:val="00E61879"/>
    <w:rsid w:val="00E61BF6"/>
    <w:rsid w:val="00E61E8C"/>
    <w:rsid w:val="00E62443"/>
    <w:rsid w:val="00E6271C"/>
    <w:rsid w:val="00E62A84"/>
    <w:rsid w:val="00E6371A"/>
    <w:rsid w:val="00E63EBD"/>
    <w:rsid w:val="00E640E6"/>
    <w:rsid w:val="00E6475F"/>
    <w:rsid w:val="00E64A0B"/>
    <w:rsid w:val="00E65B69"/>
    <w:rsid w:val="00E65D94"/>
    <w:rsid w:val="00E6679C"/>
    <w:rsid w:val="00E66E94"/>
    <w:rsid w:val="00E67AFC"/>
    <w:rsid w:val="00E67B7D"/>
    <w:rsid w:val="00E67BFB"/>
    <w:rsid w:val="00E702B5"/>
    <w:rsid w:val="00E70B17"/>
    <w:rsid w:val="00E70C7B"/>
    <w:rsid w:val="00E711FA"/>
    <w:rsid w:val="00E713F6"/>
    <w:rsid w:val="00E71465"/>
    <w:rsid w:val="00E717F5"/>
    <w:rsid w:val="00E71AB8"/>
    <w:rsid w:val="00E72528"/>
    <w:rsid w:val="00E73778"/>
    <w:rsid w:val="00E739BA"/>
    <w:rsid w:val="00E73DCE"/>
    <w:rsid w:val="00E74151"/>
    <w:rsid w:val="00E74627"/>
    <w:rsid w:val="00E758E8"/>
    <w:rsid w:val="00E75B35"/>
    <w:rsid w:val="00E764D7"/>
    <w:rsid w:val="00E774EB"/>
    <w:rsid w:val="00E775AD"/>
    <w:rsid w:val="00E77D66"/>
    <w:rsid w:val="00E77FCE"/>
    <w:rsid w:val="00E80B67"/>
    <w:rsid w:val="00E80B98"/>
    <w:rsid w:val="00E80F07"/>
    <w:rsid w:val="00E80F8C"/>
    <w:rsid w:val="00E81250"/>
    <w:rsid w:val="00E81867"/>
    <w:rsid w:val="00E81B01"/>
    <w:rsid w:val="00E821E7"/>
    <w:rsid w:val="00E822F3"/>
    <w:rsid w:val="00E82DED"/>
    <w:rsid w:val="00E83428"/>
    <w:rsid w:val="00E83661"/>
    <w:rsid w:val="00E84562"/>
    <w:rsid w:val="00E8579F"/>
    <w:rsid w:val="00E869B5"/>
    <w:rsid w:val="00E86CB7"/>
    <w:rsid w:val="00E902E1"/>
    <w:rsid w:val="00E90CAD"/>
    <w:rsid w:val="00E90D6A"/>
    <w:rsid w:val="00E90EEB"/>
    <w:rsid w:val="00E90FF2"/>
    <w:rsid w:val="00E914EB"/>
    <w:rsid w:val="00E91788"/>
    <w:rsid w:val="00E92D23"/>
    <w:rsid w:val="00E93AE2"/>
    <w:rsid w:val="00E93BCF"/>
    <w:rsid w:val="00E93E05"/>
    <w:rsid w:val="00E9442D"/>
    <w:rsid w:val="00E94BC9"/>
    <w:rsid w:val="00E95168"/>
    <w:rsid w:val="00E95AA2"/>
    <w:rsid w:val="00E95AF8"/>
    <w:rsid w:val="00E9611D"/>
    <w:rsid w:val="00E96972"/>
    <w:rsid w:val="00E97E6F"/>
    <w:rsid w:val="00EA0DB9"/>
    <w:rsid w:val="00EA1BE7"/>
    <w:rsid w:val="00EA1C9B"/>
    <w:rsid w:val="00EA2B15"/>
    <w:rsid w:val="00EA2BDC"/>
    <w:rsid w:val="00EA2E3F"/>
    <w:rsid w:val="00EA36D1"/>
    <w:rsid w:val="00EA38C8"/>
    <w:rsid w:val="00EA46DE"/>
    <w:rsid w:val="00EA4779"/>
    <w:rsid w:val="00EA498F"/>
    <w:rsid w:val="00EA5002"/>
    <w:rsid w:val="00EA51DE"/>
    <w:rsid w:val="00EA554F"/>
    <w:rsid w:val="00EA7989"/>
    <w:rsid w:val="00EA7A1B"/>
    <w:rsid w:val="00EB0265"/>
    <w:rsid w:val="00EB1033"/>
    <w:rsid w:val="00EB1C6B"/>
    <w:rsid w:val="00EB22A0"/>
    <w:rsid w:val="00EB33FD"/>
    <w:rsid w:val="00EB34BE"/>
    <w:rsid w:val="00EB3C5A"/>
    <w:rsid w:val="00EB3C9C"/>
    <w:rsid w:val="00EB4371"/>
    <w:rsid w:val="00EB47CA"/>
    <w:rsid w:val="00EB4B1E"/>
    <w:rsid w:val="00EB4C87"/>
    <w:rsid w:val="00EB5365"/>
    <w:rsid w:val="00EB551C"/>
    <w:rsid w:val="00EB568B"/>
    <w:rsid w:val="00EB5B0F"/>
    <w:rsid w:val="00EB5B58"/>
    <w:rsid w:val="00EB6B05"/>
    <w:rsid w:val="00EB713A"/>
    <w:rsid w:val="00EB7740"/>
    <w:rsid w:val="00EC011A"/>
    <w:rsid w:val="00EC05E5"/>
    <w:rsid w:val="00EC1270"/>
    <w:rsid w:val="00EC23D7"/>
    <w:rsid w:val="00EC2A01"/>
    <w:rsid w:val="00EC2BE4"/>
    <w:rsid w:val="00EC2C61"/>
    <w:rsid w:val="00EC34D7"/>
    <w:rsid w:val="00EC3A67"/>
    <w:rsid w:val="00EC406C"/>
    <w:rsid w:val="00EC408E"/>
    <w:rsid w:val="00EC50FA"/>
    <w:rsid w:val="00EC5236"/>
    <w:rsid w:val="00EC5AA3"/>
    <w:rsid w:val="00EC5C78"/>
    <w:rsid w:val="00EC5CF7"/>
    <w:rsid w:val="00EC715A"/>
    <w:rsid w:val="00EC7859"/>
    <w:rsid w:val="00EC7DA8"/>
    <w:rsid w:val="00ED0878"/>
    <w:rsid w:val="00ED0BA6"/>
    <w:rsid w:val="00ED19A1"/>
    <w:rsid w:val="00ED1D7E"/>
    <w:rsid w:val="00ED2F7B"/>
    <w:rsid w:val="00ED375A"/>
    <w:rsid w:val="00ED39B1"/>
    <w:rsid w:val="00ED421A"/>
    <w:rsid w:val="00ED4513"/>
    <w:rsid w:val="00ED4EC0"/>
    <w:rsid w:val="00ED55E8"/>
    <w:rsid w:val="00ED6092"/>
    <w:rsid w:val="00ED6485"/>
    <w:rsid w:val="00ED6601"/>
    <w:rsid w:val="00ED6D33"/>
    <w:rsid w:val="00ED6E76"/>
    <w:rsid w:val="00ED7977"/>
    <w:rsid w:val="00EE1872"/>
    <w:rsid w:val="00EE1939"/>
    <w:rsid w:val="00EE1ACA"/>
    <w:rsid w:val="00EE35D8"/>
    <w:rsid w:val="00EE39B7"/>
    <w:rsid w:val="00EE3A3D"/>
    <w:rsid w:val="00EE4620"/>
    <w:rsid w:val="00EE4909"/>
    <w:rsid w:val="00EE4D6C"/>
    <w:rsid w:val="00EE4FD2"/>
    <w:rsid w:val="00EE60F4"/>
    <w:rsid w:val="00EE62CA"/>
    <w:rsid w:val="00EE73E2"/>
    <w:rsid w:val="00EE7A73"/>
    <w:rsid w:val="00EE7FE5"/>
    <w:rsid w:val="00EF01F1"/>
    <w:rsid w:val="00EF1527"/>
    <w:rsid w:val="00EF1636"/>
    <w:rsid w:val="00EF18F0"/>
    <w:rsid w:val="00EF1BC8"/>
    <w:rsid w:val="00EF2B0E"/>
    <w:rsid w:val="00EF2C5A"/>
    <w:rsid w:val="00EF406E"/>
    <w:rsid w:val="00EF6444"/>
    <w:rsid w:val="00EF6D8E"/>
    <w:rsid w:val="00EF6F9A"/>
    <w:rsid w:val="00EF72C6"/>
    <w:rsid w:val="00EF7627"/>
    <w:rsid w:val="00EF7644"/>
    <w:rsid w:val="00F0006E"/>
    <w:rsid w:val="00F00611"/>
    <w:rsid w:val="00F009EE"/>
    <w:rsid w:val="00F00B68"/>
    <w:rsid w:val="00F00E06"/>
    <w:rsid w:val="00F00E0C"/>
    <w:rsid w:val="00F0148A"/>
    <w:rsid w:val="00F019CD"/>
    <w:rsid w:val="00F024BE"/>
    <w:rsid w:val="00F02566"/>
    <w:rsid w:val="00F02ADB"/>
    <w:rsid w:val="00F02BEE"/>
    <w:rsid w:val="00F033E5"/>
    <w:rsid w:val="00F03DD4"/>
    <w:rsid w:val="00F03E15"/>
    <w:rsid w:val="00F0411F"/>
    <w:rsid w:val="00F04439"/>
    <w:rsid w:val="00F04AE8"/>
    <w:rsid w:val="00F04D94"/>
    <w:rsid w:val="00F05733"/>
    <w:rsid w:val="00F0588F"/>
    <w:rsid w:val="00F05A28"/>
    <w:rsid w:val="00F05AF8"/>
    <w:rsid w:val="00F05CD6"/>
    <w:rsid w:val="00F0671C"/>
    <w:rsid w:val="00F06781"/>
    <w:rsid w:val="00F07047"/>
    <w:rsid w:val="00F077F7"/>
    <w:rsid w:val="00F102B3"/>
    <w:rsid w:val="00F1047C"/>
    <w:rsid w:val="00F10AC5"/>
    <w:rsid w:val="00F10C23"/>
    <w:rsid w:val="00F10C5C"/>
    <w:rsid w:val="00F10F48"/>
    <w:rsid w:val="00F11328"/>
    <w:rsid w:val="00F11FD2"/>
    <w:rsid w:val="00F1209B"/>
    <w:rsid w:val="00F12700"/>
    <w:rsid w:val="00F139EF"/>
    <w:rsid w:val="00F13C1D"/>
    <w:rsid w:val="00F13E32"/>
    <w:rsid w:val="00F13EF8"/>
    <w:rsid w:val="00F1486B"/>
    <w:rsid w:val="00F14AC8"/>
    <w:rsid w:val="00F1513E"/>
    <w:rsid w:val="00F1543A"/>
    <w:rsid w:val="00F15B3D"/>
    <w:rsid w:val="00F15FE2"/>
    <w:rsid w:val="00F161CE"/>
    <w:rsid w:val="00F1671B"/>
    <w:rsid w:val="00F16D66"/>
    <w:rsid w:val="00F17219"/>
    <w:rsid w:val="00F1737C"/>
    <w:rsid w:val="00F17BCF"/>
    <w:rsid w:val="00F20D87"/>
    <w:rsid w:val="00F211E4"/>
    <w:rsid w:val="00F2203B"/>
    <w:rsid w:val="00F2359D"/>
    <w:rsid w:val="00F23669"/>
    <w:rsid w:val="00F236AF"/>
    <w:rsid w:val="00F23802"/>
    <w:rsid w:val="00F23941"/>
    <w:rsid w:val="00F23FC6"/>
    <w:rsid w:val="00F24794"/>
    <w:rsid w:val="00F24A38"/>
    <w:rsid w:val="00F24A6A"/>
    <w:rsid w:val="00F24BE9"/>
    <w:rsid w:val="00F27612"/>
    <w:rsid w:val="00F30163"/>
    <w:rsid w:val="00F30CA6"/>
    <w:rsid w:val="00F31883"/>
    <w:rsid w:val="00F32582"/>
    <w:rsid w:val="00F32E97"/>
    <w:rsid w:val="00F338D5"/>
    <w:rsid w:val="00F33B2E"/>
    <w:rsid w:val="00F33F6B"/>
    <w:rsid w:val="00F34071"/>
    <w:rsid w:val="00F341EE"/>
    <w:rsid w:val="00F34464"/>
    <w:rsid w:val="00F34495"/>
    <w:rsid w:val="00F3471A"/>
    <w:rsid w:val="00F348BC"/>
    <w:rsid w:val="00F34A8A"/>
    <w:rsid w:val="00F353F0"/>
    <w:rsid w:val="00F35754"/>
    <w:rsid w:val="00F35EE8"/>
    <w:rsid w:val="00F36422"/>
    <w:rsid w:val="00F37893"/>
    <w:rsid w:val="00F37BCC"/>
    <w:rsid w:val="00F37FB4"/>
    <w:rsid w:val="00F41382"/>
    <w:rsid w:val="00F41728"/>
    <w:rsid w:val="00F42215"/>
    <w:rsid w:val="00F42589"/>
    <w:rsid w:val="00F427E0"/>
    <w:rsid w:val="00F42915"/>
    <w:rsid w:val="00F42B2C"/>
    <w:rsid w:val="00F4305A"/>
    <w:rsid w:val="00F438BF"/>
    <w:rsid w:val="00F438CD"/>
    <w:rsid w:val="00F439C2"/>
    <w:rsid w:val="00F43CBE"/>
    <w:rsid w:val="00F43D67"/>
    <w:rsid w:val="00F43F61"/>
    <w:rsid w:val="00F44445"/>
    <w:rsid w:val="00F45F39"/>
    <w:rsid w:val="00F461B9"/>
    <w:rsid w:val="00F4634D"/>
    <w:rsid w:val="00F47014"/>
    <w:rsid w:val="00F50110"/>
    <w:rsid w:val="00F505E6"/>
    <w:rsid w:val="00F50B1F"/>
    <w:rsid w:val="00F51526"/>
    <w:rsid w:val="00F51743"/>
    <w:rsid w:val="00F52E85"/>
    <w:rsid w:val="00F531D5"/>
    <w:rsid w:val="00F5355A"/>
    <w:rsid w:val="00F53B7A"/>
    <w:rsid w:val="00F53DAF"/>
    <w:rsid w:val="00F53FC5"/>
    <w:rsid w:val="00F548E8"/>
    <w:rsid w:val="00F55B37"/>
    <w:rsid w:val="00F55FE2"/>
    <w:rsid w:val="00F5632C"/>
    <w:rsid w:val="00F56D53"/>
    <w:rsid w:val="00F56DFD"/>
    <w:rsid w:val="00F606DD"/>
    <w:rsid w:val="00F60AA7"/>
    <w:rsid w:val="00F61637"/>
    <w:rsid w:val="00F616D6"/>
    <w:rsid w:val="00F61B88"/>
    <w:rsid w:val="00F61FCD"/>
    <w:rsid w:val="00F62ADE"/>
    <w:rsid w:val="00F62B71"/>
    <w:rsid w:val="00F62D5B"/>
    <w:rsid w:val="00F63031"/>
    <w:rsid w:val="00F630E0"/>
    <w:rsid w:val="00F631FD"/>
    <w:rsid w:val="00F6502F"/>
    <w:rsid w:val="00F65AB4"/>
    <w:rsid w:val="00F65D7A"/>
    <w:rsid w:val="00F66349"/>
    <w:rsid w:val="00F663A4"/>
    <w:rsid w:val="00F6640D"/>
    <w:rsid w:val="00F66AC7"/>
    <w:rsid w:val="00F66E3C"/>
    <w:rsid w:val="00F67145"/>
    <w:rsid w:val="00F676EF"/>
    <w:rsid w:val="00F67A6F"/>
    <w:rsid w:val="00F67AFA"/>
    <w:rsid w:val="00F7034C"/>
    <w:rsid w:val="00F70805"/>
    <w:rsid w:val="00F710BF"/>
    <w:rsid w:val="00F71197"/>
    <w:rsid w:val="00F71409"/>
    <w:rsid w:val="00F722F7"/>
    <w:rsid w:val="00F72800"/>
    <w:rsid w:val="00F72BC3"/>
    <w:rsid w:val="00F734B7"/>
    <w:rsid w:val="00F73665"/>
    <w:rsid w:val="00F743F6"/>
    <w:rsid w:val="00F74DCF"/>
    <w:rsid w:val="00F750D5"/>
    <w:rsid w:val="00F75409"/>
    <w:rsid w:val="00F754CC"/>
    <w:rsid w:val="00F75BE8"/>
    <w:rsid w:val="00F75C17"/>
    <w:rsid w:val="00F76937"/>
    <w:rsid w:val="00F76A49"/>
    <w:rsid w:val="00F77072"/>
    <w:rsid w:val="00F77E4A"/>
    <w:rsid w:val="00F77F0C"/>
    <w:rsid w:val="00F8029C"/>
    <w:rsid w:val="00F8058E"/>
    <w:rsid w:val="00F80C43"/>
    <w:rsid w:val="00F80D0F"/>
    <w:rsid w:val="00F81A33"/>
    <w:rsid w:val="00F81E95"/>
    <w:rsid w:val="00F8249B"/>
    <w:rsid w:val="00F826BD"/>
    <w:rsid w:val="00F82A20"/>
    <w:rsid w:val="00F82B23"/>
    <w:rsid w:val="00F82F92"/>
    <w:rsid w:val="00F8307D"/>
    <w:rsid w:val="00F83F1B"/>
    <w:rsid w:val="00F84218"/>
    <w:rsid w:val="00F84443"/>
    <w:rsid w:val="00F85045"/>
    <w:rsid w:val="00F85551"/>
    <w:rsid w:val="00F85B3E"/>
    <w:rsid w:val="00F85F8D"/>
    <w:rsid w:val="00F86158"/>
    <w:rsid w:val="00F86481"/>
    <w:rsid w:val="00F870B8"/>
    <w:rsid w:val="00F87ADD"/>
    <w:rsid w:val="00F87FDF"/>
    <w:rsid w:val="00F902F9"/>
    <w:rsid w:val="00F90BD6"/>
    <w:rsid w:val="00F90E46"/>
    <w:rsid w:val="00F90FB0"/>
    <w:rsid w:val="00F91658"/>
    <w:rsid w:val="00F918F6"/>
    <w:rsid w:val="00F91D3C"/>
    <w:rsid w:val="00F928FB"/>
    <w:rsid w:val="00F92DE4"/>
    <w:rsid w:val="00F9300D"/>
    <w:rsid w:val="00F9399F"/>
    <w:rsid w:val="00F93A18"/>
    <w:rsid w:val="00F93A37"/>
    <w:rsid w:val="00F942F9"/>
    <w:rsid w:val="00F94307"/>
    <w:rsid w:val="00F944A7"/>
    <w:rsid w:val="00F94731"/>
    <w:rsid w:val="00F967C3"/>
    <w:rsid w:val="00F97010"/>
    <w:rsid w:val="00F971EC"/>
    <w:rsid w:val="00F97AD6"/>
    <w:rsid w:val="00F97CA4"/>
    <w:rsid w:val="00F97F45"/>
    <w:rsid w:val="00FA0CD9"/>
    <w:rsid w:val="00FA1C78"/>
    <w:rsid w:val="00FA2C79"/>
    <w:rsid w:val="00FA2D91"/>
    <w:rsid w:val="00FA31B3"/>
    <w:rsid w:val="00FA370B"/>
    <w:rsid w:val="00FA3779"/>
    <w:rsid w:val="00FA48F7"/>
    <w:rsid w:val="00FA4EDD"/>
    <w:rsid w:val="00FA5D55"/>
    <w:rsid w:val="00FA5FCA"/>
    <w:rsid w:val="00FA6402"/>
    <w:rsid w:val="00FA656F"/>
    <w:rsid w:val="00FA6B66"/>
    <w:rsid w:val="00FA6F56"/>
    <w:rsid w:val="00FA75D4"/>
    <w:rsid w:val="00FA7BBC"/>
    <w:rsid w:val="00FB098B"/>
    <w:rsid w:val="00FB1AAB"/>
    <w:rsid w:val="00FB2CE3"/>
    <w:rsid w:val="00FB3945"/>
    <w:rsid w:val="00FB4B17"/>
    <w:rsid w:val="00FB4F16"/>
    <w:rsid w:val="00FB557A"/>
    <w:rsid w:val="00FB55CD"/>
    <w:rsid w:val="00FB57E7"/>
    <w:rsid w:val="00FB5A88"/>
    <w:rsid w:val="00FB5B6C"/>
    <w:rsid w:val="00FB5C11"/>
    <w:rsid w:val="00FB633C"/>
    <w:rsid w:val="00FB644A"/>
    <w:rsid w:val="00FB663F"/>
    <w:rsid w:val="00FB6AA3"/>
    <w:rsid w:val="00FC020F"/>
    <w:rsid w:val="00FC07FA"/>
    <w:rsid w:val="00FC0BDF"/>
    <w:rsid w:val="00FC0CD9"/>
    <w:rsid w:val="00FC1079"/>
    <w:rsid w:val="00FC10C3"/>
    <w:rsid w:val="00FC1383"/>
    <w:rsid w:val="00FC195C"/>
    <w:rsid w:val="00FC324E"/>
    <w:rsid w:val="00FC352F"/>
    <w:rsid w:val="00FC377F"/>
    <w:rsid w:val="00FC3C6B"/>
    <w:rsid w:val="00FC4600"/>
    <w:rsid w:val="00FC538C"/>
    <w:rsid w:val="00FC550E"/>
    <w:rsid w:val="00FC5534"/>
    <w:rsid w:val="00FC585C"/>
    <w:rsid w:val="00FC58DE"/>
    <w:rsid w:val="00FC77E0"/>
    <w:rsid w:val="00FC7A10"/>
    <w:rsid w:val="00FD0227"/>
    <w:rsid w:val="00FD02B9"/>
    <w:rsid w:val="00FD0D64"/>
    <w:rsid w:val="00FD0DDB"/>
    <w:rsid w:val="00FD0FD8"/>
    <w:rsid w:val="00FD115C"/>
    <w:rsid w:val="00FD159C"/>
    <w:rsid w:val="00FD1655"/>
    <w:rsid w:val="00FD1D4C"/>
    <w:rsid w:val="00FD1EBA"/>
    <w:rsid w:val="00FD2209"/>
    <w:rsid w:val="00FD252A"/>
    <w:rsid w:val="00FD2982"/>
    <w:rsid w:val="00FD2D6C"/>
    <w:rsid w:val="00FD3370"/>
    <w:rsid w:val="00FD362B"/>
    <w:rsid w:val="00FD434B"/>
    <w:rsid w:val="00FD4722"/>
    <w:rsid w:val="00FD4D4B"/>
    <w:rsid w:val="00FD537E"/>
    <w:rsid w:val="00FD53A1"/>
    <w:rsid w:val="00FD559A"/>
    <w:rsid w:val="00FD66EB"/>
    <w:rsid w:val="00FD6B92"/>
    <w:rsid w:val="00FD706B"/>
    <w:rsid w:val="00FD7808"/>
    <w:rsid w:val="00FE09E0"/>
    <w:rsid w:val="00FE0D13"/>
    <w:rsid w:val="00FE10D9"/>
    <w:rsid w:val="00FE17D9"/>
    <w:rsid w:val="00FE23BF"/>
    <w:rsid w:val="00FE26C5"/>
    <w:rsid w:val="00FE2B20"/>
    <w:rsid w:val="00FE2C17"/>
    <w:rsid w:val="00FE2FDA"/>
    <w:rsid w:val="00FE3B0E"/>
    <w:rsid w:val="00FE3C6C"/>
    <w:rsid w:val="00FE3E0F"/>
    <w:rsid w:val="00FE4360"/>
    <w:rsid w:val="00FE49B3"/>
    <w:rsid w:val="00FE4DAC"/>
    <w:rsid w:val="00FE5391"/>
    <w:rsid w:val="00FE5C2D"/>
    <w:rsid w:val="00FE6341"/>
    <w:rsid w:val="00FE6BCC"/>
    <w:rsid w:val="00FE7AAA"/>
    <w:rsid w:val="00FF008C"/>
    <w:rsid w:val="00FF0A67"/>
    <w:rsid w:val="00FF0A9A"/>
    <w:rsid w:val="00FF0BA6"/>
    <w:rsid w:val="00FF0E0B"/>
    <w:rsid w:val="00FF15D4"/>
    <w:rsid w:val="00FF2A7A"/>
    <w:rsid w:val="00FF2C3E"/>
    <w:rsid w:val="00FF2FC6"/>
    <w:rsid w:val="00FF3B0D"/>
    <w:rsid w:val="00FF3E6C"/>
    <w:rsid w:val="00FF437A"/>
    <w:rsid w:val="00FF4689"/>
    <w:rsid w:val="00FF478A"/>
    <w:rsid w:val="00FF4BDB"/>
    <w:rsid w:val="00FF6176"/>
    <w:rsid w:val="00FF6FCB"/>
    <w:rsid w:val="00FF79AF"/>
    <w:rsid w:val="01085530"/>
    <w:rsid w:val="010C290E"/>
    <w:rsid w:val="0112217B"/>
    <w:rsid w:val="011F6A2C"/>
    <w:rsid w:val="01366DC3"/>
    <w:rsid w:val="01415460"/>
    <w:rsid w:val="014168F8"/>
    <w:rsid w:val="015E2C9E"/>
    <w:rsid w:val="01A71C82"/>
    <w:rsid w:val="01E71753"/>
    <w:rsid w:val="02287A69"/>
    <w:rsid w:val="024A32AD"/>
    <w:rsid w:val="026335C6"/>
    <w:rsid w:val="027E7B28"/>
    <w:rsid w:val="0284330B"/>
    <w:rsid w:val="029E2ED0"/>
    <w:rsid w:val="02AD797E"/>
    <w:rsid w:val="02B46289"/>
    <w:rsid w:val="02BB40E8"/>
    <w:rsid w:val="02C129EB"/>
    <w:rsid w:val="02C3391B"/>
    <w:rsid w:val="02C8629C"/>
    <w:rsid w:val="02CD3624"/>
    <w:rsid w:val="02CF73E0"/>
    <w:rsid w:val="02D34517"/>
    <w:rsid w:val="02E636A4"/>
    <w:rsid w:val="02F05655"/>
    <w:rsid w:val="031D55FF"/>
    <w:rsid w:val="032A0C94"/>
    <w:rsid w:val="034E426C"/>
    <w:rsid w:val="03572EDF"/>
    <w:rsid w:val="038048EB"/>
    <w:rsid w:val="03EF34A4"/>
    <w:rsid w:val="03F671C6"/>
    <w:rsid w:val="0412348D"/>
    <w:rsid w:val="04254579"/>
    <w:rsid w:val="042C0767"/>
    <w:rsid w:val="042D2D09"/>
    <w:rsid w:val="042F106F"/>
    <w:rsid w:val="044B1EBE"/>
    <w:rsid w:val="045D4335"/>
    <w:rsid w:val="046C328F"/>
    <w:rsid w:val="04895EB6"/>
    <w:rsid w:val="049E6583"/>
    <w:rsid w:val="04BE4894"/>
    <w:rsid w:val="04D00EF9"/>
    <w:rsid w:val="04F51305"/>
    <w:rsid w:val="05066A3A"/>
    <w:rsid w:val="0508392F"/>
    <w:rsid w:val="050A4DA5"/>
    <w:rsid w:val="05330D5C"/>
    <w:rsid w:val="05422779"/>
    <w:rsid w:val="05772748"/>
    <w:rsid w:val="05F06EED"/>
    <w:rsid w:val="066053C5"/>
    <w:rsid w:val="06A73C00"/>
    <w:rsid w:val="06F11539"/>
    <w:rsid w:val="06F66428"/>
    <w:rsid w:val="07233AA8"/>
    <w:rsid w:val="075D07D9"/>
    <w:rsid w:val="07630C70"/>
    <w:rsid w:val="077D19B2"/>
    <w:rsid w:val="079456E1"/>
    <w:rsid w:val="07BA23C9"/>
    <w:rsid w:val="07D81814"/>
    <w:rsid w:val="07E11401"/>
    <w:rsid w:val="07EB178F"/>
    <w:rsid w:val="08363C23"/>
    <w:rsid w:val="085A7964"/>
    <w:rsid w:val="085F3DB8"/>
    <w:rsid w:val="08690C1A"/>
    <w:rsid w:val="08840609"/>
    <w:rsid w:val="08876635"/>
    <w:rsid w:val="0887683B"/>
    <w:rsid w:val="08A377D0"/>
    <w:rsid w:val="08AF592F"/>
    <w:rsid w:val="08B077D8"/>
    <w:rsid w:val="08B65215"/>
    <w:rsid w:val="08C026DC"/>
    <w:rsid w:val="08D340BC"/>
    <w:rsid w:val="08DF09DC"/>
    <w:rsid w:val="08FE6B95"/>
    <w:rsid w:val="09002D5D"/>
    <w:rsid w:val="09167C53"/>
    <w:rsid w:val="092C1082"/>
    <w:rsid w:val="092E11E0"/>
    <w:rsid w:val="09586654"/>
    <w:rsid w:val="09725894"/>
    <w:rsid w:val="09E76635"/>
    <w:rsid w:val="0A0A6419"/>
    <w:rsid w:val="0A12397D"/>
    <w:rsid w:val="0A182745"/>
    <w:rsid w:val="0A183C07"/>
    <w:rsid w:val="0A2026BA"/>
    <w:rsid w:val="0A3C53B4"/>
    <w:rsid w:val="0A71467E"/>
    <w:rsid w:val="0A7E0F55"/>
    <w:rsid w:val="0A8E0281"/>
    <w:rsid w:val="0ABB604A"/>
    <w:rsid w:val="0ADD3451"/>
    <w:rsid w:val="0B027A48"/>
    <w:rsid w:val="0B086E69"/>
    <w:rsid w:val="0B367407"/>
    <w:rsid w:val="0B665E69"/>
    <w:rsid w:val="0B7347B0"/>
    <w:rsid w:val="0B7739BB"/>
    <w:rsid w:val="0B7E5EE9"/>
    <w:rsid w:val="0B936E97"/>
    <w:rsid w:val="0BCF5320"/>
    <w:rsid w:val="0BF41F06"/>
    <w:rsid w:val="0BFA3B7D"/>
    <w:rsid w:val="0C1B09E7"/>
    <w:rsid w:val="0C53502D"/>
    <w:rsid w:val="0C5643C7"/>
    <w:rsid w:val="0C60015B"/>
    <w:rsid w:val="0C775285"/>
    <w:rsid w:val="0C8E5A39"/>
    <w:rsid w:val="0C9B4E8C"/>
    <w:rsid w:val="0CAF6C99"/>
    <w:rsid w:val="0CB050BA"/>
    <w:rsid w:val="0CF266CE"/>
    <w:rsid w:val="0D022747"/>
    <w:rsid w:val="0D1A692B"/>
    <w:rsid w:val="0D3641D6"/>
    <w:rsid w:val="0D6F5507"/>
    <w:rsid w:val="0D882B86"/>
    <w:rsid w:val="0DA60B95"/>
    <w:rsid w:val="0DB95491"/>
    <w:rsid w:val="0DEC56B8"/>
    <w:rsid w:val="0E0C3191"/>
    <w:rsid w:val="0E151126"/>
    <w:rsid w:val="0E200687"/>
    <w:rsid w:val="0E307C3B"/>
    <w:rsid w:val="0E480DD9"/>
    <w:rsid w:val="0E7470EB"/>
    <w:rsid w:val="0E8B4E68"/>
    <w:rsid w:val="0EC22446"/>
    <w:rsid w:val="0EE94C36"/>
    <w:rsid w:val="0F2B51CF"/>
    <w:rsid w:val="0F3B7AC3"/>
    <w:rsid w:val="0F472E19"/>
    <w:rsid w:val="0F6D3EF8"/>
    <w:rsid w:val="0F754507"/>
    <w:rsid w:val="0FB275CA"/>
    <w:rsid w:val="0FEF568C"/>
    <w:rsid w:val="0FF56CEC"/>
    <w:rsid w:val="1046400E"/>
    <w:rsid w:val="105201E2"/>
    <w:rsid w:val="105F19D3"/>
    <w:rsid w:val="108A6283"/>
    <w:rsid w:val="10905CFC"/>
    <w:rsid w:val="109439A0"/>
    <w:rsid w:val="10AB1E5A"/>
    <w:rsid w:val="10BB1865"/>
    <w:rsid w:val="10DF7D58"/>
    <w:rsid w:val="10E22F30"/>
    <w:rsid w:val="10E62FA1"/>
    <w:rsid w:val="10F05FFC"/>
    <w:rsid w:val="11016210"/>
    <w:rsid w:val="112E541C"/>
    <w:rsid w:val="116E0D16"/>
    <w:rsid w:val="11896531"/>
    <w:rsid w:val="118E607E"/>
    <w:rsid w:val="11986F32"/>
    <w:rsid w:val="11AD5C99"/>
    <w:rsid w:val="11AF3CCA"/>
    <w:rsid w:val="11C723C9"/>
    <w:rsid w:val="11DF747D"/>
    <w:rsid w:val="11F3185C"/>
    <w:rsid w:val="11FD3672"/>
    <w:rsid w:val="123474AA"/>
    <w:rsid w:val="123C352C"/>
    <w:rsid w:val="124D3615"/>
    <w:rsid w:val="1254327A"/>
    <w:rsid w:val="125F7684"/>
    <w:rsid w:val="12612C7D"/>
    <w:rsid w:val="12A828C5"/>
    <w:rsid w:val="12BD2CD3"/>
    <w:rsid w:val="12CE29B4"/>
    <w:rsid w:val="12D34524"/>
    <w:rsid w:val="13151107"/>
    <w:rsid w:val="13182322"/>
    <w:rsid w:val="13273390"/>
    <w:rsid w:val="13382D17"/>
    <w:rsid w:val="13387B1C"/>
    <w:rsid w:val="133A02C1"/>
    <w:rsid w:val="13434AE3"/>
    <w:rsid w:val="134779B8"/>
    <w:rsid w:val="13724713"/>
    <w:rsid w:val="137B7016"/>
    <w:rsid w:val="13A03445"/>
    <w:rsid w:val="13A228A6"/>
    <w:rsid w:val="13B74A30"/>
    <w:rsid w:val="13F45B1B"/>
    <w:rsid w:val="13FD6D4D"/>
    <w:rsid w:val="14084B39"/>
    <w:rsid w:val="141E34E5"/>
    <w:rsid w:val="1455492E"/>
    <w:rsid w:val="147E4137"/>
    <w:rsid w:val="14851D85"/>
    <w:rsid w:val="14996B7C"/>
    <w:rsid w:val="14AF5C5C"/>
    <w:rsid w:val="14BA10D2"/>
    <w:rsid w:val="152A3155"/>
    <w:rsid w:val="153D06E9"/>
    <w:rsid w:val="1576199E"/>
    <w:rsid w:val="159000EE"/>
    <w:rsid w:val="15964A49"/>
    <w:rsid w:val="15B11A4F"/>
    <w:rsid w:val="15D235FF"/>
    <w:rsid w:val="15D774FD"/>
    <w:rsid w:val="15DE56DE"/>
    <w:rsid w:val="15E87FB3"/>
    <w:rsid w:val="16413794"/>
    <w:rsid w:val="164239BF"/>
    <w:rsid w:val="1643798C"/>
    <w:rsid w:val="165A24CD"/>
    <w:rsid w:val="16822FA6"/>
    <w:rsid w:val="16830F8F"/>
    <w:rsid w:val="16872297"/>
    <w:rsid w:val="16A66AC7"/>
    <w:rsid w:val="16B6444E"/>
    <w:rsid w:val="16C44EAB"/>
    <w:rsid w:val="16C87C35"/>
    <w:rsid w:val="16D159AD"/>
    <w:rsid w:val="16EB3C62"/>
    <w:rsid w:val="16F61686"/>
    <w:rsid w:val="1711019F"/>
    <w:rsid w:val="17116DCD"/>
    <w:rsid w:val="17200787"/>
    <w:rsid w:val="17453618"/>
    <w:rsid w:val="17523824"/>
    <w:rsid w:val="17557D86"/>
    <w:rsid w:val="17A65EEA"/>
    <w:rsid w:val="17B562B7"/>
    <w:rsid w:val="17CF5FB9"/>
    <w:rsid w:val="17D666EF"/>
    <w:rsid w:val="17E21D1E"/>
    <w:rsid w:val="18031375"/>
    <w:rsid w:val="181B1030"/>
    <w:rsid w:val="18317B4E"/>
    <w:rsid w:val="1869781C"/>
    <w:rsid w:val="18744D18"/>
    <w:rsid w:val="18865CE1"/>
    <w:rsid w:val="188C1FDB"/>
    <w:rsid w:val="188D60CC"/>
    <w:rsid w:val="18BC0932"/>
    <w:rsid w:val="19285B59"/>
    <w:rsid w:val="192C7DA2"/>
    <w:rsid w:val="19431505"/>
    <w:rsid w:val="19466A4A"/>
    <w:rsid w:val="19AD1CB9"/>
    <w:rsid w:val="19C34772"/>
    <w:rsid w:val="19F41703"/>
    <w:rsid w:val="1A02580E"/>
    <w:rsid w:val="1A1D0C8D"/>
    <w:rsid w:val="1A296036"/>
    <w:rsid w:val="1A35764F"/>
    <w:rsid w:val="1A7851B5"/>
    <w:rsid w:val="1AB13F78"/>
    <w:rsid w:val="1AD11C6B"/>
    <w:rsid w:val="1AF1109A"/>
    <w:rsid w:val="1B092603"/>
    <w:rsid w:val="1B594DE8"/>
    <w:rsid w:val="1B641AB6"/>
    <w:rsid w:val="1B777992"/>
    <w:rsid w:val="1B7D32DE"/>
    <w:rsid w:val="1B8D77C4"/>
    <w:rsid w:val="1B9452E1"/>
    <w:rsid w:val="1B9C5849"/>
    <w:rsid w:val="1BD476C4"/>
    <w:rsid w:val="1BEA65F9"/>
    <w:rsid w:val="1BF963C7"/>
    <w:rsid w:val="1C610B4E"/>
    <w:rsid w:val="1C6D0AD7"/>
    <w:rsid w:val="1C7E0828"/>
    <w:rsid w:val="1C843493"/>
    <w:rsid w:val="1C96134C"/>
    <w:rsid w:val="1C990DF4"/>
    <w:rsid w:val="1C9C235E"/>
    <w:rsid w:val="1CA20F3C"/>
    <w:rsid w:val="1CCC3E90"/>
    <w:rsid w:val="1CD778EA"/>
    <w:rsid w:val="1CF7121F"/>
    <w:rsid w:val="1D027B28"/>
    <w:rsid w:val="1D3C2896"/>
    <w:rsid w:val="1D642E96"/>
    <w:rsid w:val="1D754E78"/>
    <w:rsid w:val="1D7E680A"/>
    <w:rsid w:val="1D8F587D"/>
    <w:rsid w:val="1DAE33A2"/>
    <w:rsid w:val="1DC37AB3"/>
    <w:rsid w:val="1DE94EBB"/>
    <w:rsid w:val="1DF146EC"/>
    <w:rsid w:val="1E100DDA"/>
    <w:rsid w:val="1E233755"/>
    <w:rsid w:val="1E234850"/>
    <w:rsid w:val="1E50148D"/>
    <w:rsid w:val="1EC10813"/>
    <w:rsid w:val="1ED50C27"/>
    <w:rsid w:val="1EE775DF"/>
    <w:rsid w:val="1EF4254F"/>
    <w:rsid w:val="1F0374E4"/>
    <w:rsid w:val="1F4C58F1"/>
    <w:rsid w:val="1F775E94"/>
    <w:rsid w:val="1F7F491E"/>
    <w:rsid w:val="1F8E6036"/>
    <w:rsid w:val="1F9C2F54"/>
    <w:rsid w:val="1FA82E98"/>
    <w:rsid w:val="1FB04E03"/>
    <w:rsid w:val="1FB44898"/>
    <w:rsid w:val="1FBB6963"/>
    <w:rsid w:val="1FC53EB4"/>
    <w:rsid w:val="1FC951BC"/>
    <w:rsid w:val="1FCE6C72"/>
    <w:rsid w:val="1FD97DDB"/>
    <w:rsid w:val="1FEB3868"/>
    <w:rsid w:val="1FED28E1"/>
    <w:rsid w:val="1FF319E9"/>
    <w:rsid w:val="20003CA8"/>
    <w:rsid w:val="201F7730"/>
    <w:rsid w:val="2044336A"/>
    <w:rsid w:val="2059701C"/>
    <w:rsid w:val="205D06B2"/>
    <w:rsid w:val="2064262F"/>
    <w:rsid w:val="207960D7"/>
    <w:rsid w:val="207B1424"/>
    <w:rsid w:val="208C1D84"/>
    <w:rsid w:val="20912C11"/>
    <w:rsid w:val="20972BF9"/>
    <w:rsid w:val="209A7527"/>
    <w:rsid w:val="20B57026"/>
    <w:rsid w:val="20DD3F42"/>
    <w:rsid w:val="20F4154B"/>
    <w:rsid w:val="211244E1"/>
    <w:rsid w:val="213B1786"/>
    <w:rsid w:val="21A24A29"/>
    <w:rsid w:val="21CC53D2"/>
    <w:rsid w:val="21CC5811"/>
    <w:rsid w:val="21DB1EA5"/>
    <w:rsid w:val="21F67F15"/>
    <w:rsid w:val="222F369C"/>
    <w:rsid w:val="22396909"/>
    <w:rsid w:val="2241048C"/>
    <w:rsid w:val="225D0F09"/>
    <w:rsid w:val="229858D9"/>
    <w:rsid w:val="22AB2154"/>
    <w:rsid w:val="22CB1608"/>
    <w:rsid w:val="22CE0955"/>
    <w:rsid w:val="22E01DFB"/>
    <w:rsid w:val="233D39FD"/>
    <w:rsid w:val="234F39E6"/>
    <w:rsid w:val="236225E2"/>
    <w:rsid w:val="23811024"/>
    <w:rsid w:val="23840F57"/>
    <w:rsid w:val="239B4DFB"/>
    <w:rsid w:val="239B66C5"/>
    <w:rsid w:val="239E106A"/>
    <w:rsid w:val="23A252B8"/>
    <w:rsid w:val="23CB7B0D"/>
    <w:rsid w:val="23D2749F"/>
    <w:rsid w:val="24186BB9"/>
    <w:rsid w:val="242D7C1F"/>
    <w:rsid w:val="24A70923"/>
    <w:rsid w:val="24BC1909"/>
    <w:rsid w:val="24C600C8"/>
    <w:rsid w:val="24C96689"/>
    <w:rsid w:val="24D875D7"/>
    <w:rsid w:val="24F021B5"/>
    <w:rsid w:val="25164A91"/>
    <w:rsid w:val="25293A36"/>
    <w:rsid w:val="25513363"/>
    <w:rsid w:val="25524A7F"/>
    <w:rsid w:val="2554328F"/>
    <w:rsid w:val="25586987"/>
    <w:rsid w:val="256552AD"/>
    <w:rsid w:val="2567047A"/>
    <w:rsid w:val="257C6771"/>
    <w:rsid w:val="2583680D"/>
    <w:rsid w:val="25A82DCD"/>
    <w:rsid w:val="25AC5503"/>
    <w:rsid w:val="25C85D2D"/>
    <w:rsid w:val="25E90D1D"/>
    <w:rsid w:val="26626871"/>
    <w:rsid w:val="269F1E72"/>
    <w:rsid w:val="26C25E77"/>
    <w:rsid w:val="26CE5EE2"/>
    <w:rsid w:val="26D6020F"/>
    <w:rsid w:val="26F345F2"/>
    <w:rsid w:val="27126E50"/>
    <w:rsid w:val="2713316D"/>
    <w:rsid w:val="27156178"/>
    <w:rsid w:val="272E28E1"/>
    <w:rsid w:val="279304D7"/>
    <w:rsid w:val="27A40B4B"/>
    <w:rsid w:val="27AA6F81"/>
    <w:rsid w:val="27B36275"/>
    <w:rsid w:val="27CD66DB"/>
    <w:rsid w:val="27E86651"/>
    <w:rsid w:val="280B0384"/>
    <w:rsid w:val="280C14EB"/>
    <w:rsid w:val="28216CEB"/>
    <w:rsid w:val="28336B05"/>
    <w:rsid w:val="2849022D"/>
    <w:rsid w:val="28500129"/>
    <w:rsid w:val="28522CAE"/>
    <w:rsid w:val="285F53C8"/>
    <w:rsid w:val="2877095B"/>
    <w:rsid w:val="28BF412C"/>
    <w:rsid w:val="28F202CD"/>
    <w:rsid w:val="2951783C"/>
    <w:rsid w:val="29606F0B"/>
    <w:rsid w:val="29610F84"/>
    <w:rsid w:val="29613573"/>
    <w:rsid w:val="296456CF"/>
    <w:rsid w:val="29AD56E3"/>
    <w:rsid w:val="29AF1EB7"/>
    <w:rsid w:val="29C83121"/>
    <w:rsid w:val="29D22A2F"/>
    <w:rsid w:val="29DF3B08"/>
    <w:rsid w:val="2A0713CE"/>
    <w:rsid w:val="2A1475EE"/>
    <w:rsid w:val="2A317046"/>
    <w:rsid w:val="2A3B756A"/>
    <w:rsid w:val="2A4B5F82"/>
    <w:rsid w:val="2A704898"/>
    <w:rsid w:val="2A944AC8"/>
    <w:rsid w:val="2A9A2C0A"/>
    <w:rsid w:val="2AA51A21"/>
    <w:rsid w:val="2AA801FE"/>
    <w:rsid w:val="2ACC026D"/>
    <w:rsid w:val="2ACF313F"/>
    <w:rsid w:val="2AD33A09"/>
    <w:rsid w:val="2AF05C0A"/>
    <w:rsid w:val="2B213F30"/>
    <w:rsid w:val="2B24781F"/>
    <w:rsid w:val="2B304BD7"/>
    <w:rsid w:val="2B3855FC"/>
    <w:rsid w:val="2B4273D7"/>
    <w:rsid w:val="2B5D113A"/>
    <w:rsid w:val="2B764A80"/>
    <w:rsid w:val="2B7A2ED9"/>
    <w:rsid w:val="2B8415FA"/>
    <w:rsid w:val="2B84209E"/>
    <w:rsid w:val="2B8666E1"/>
    <w:rsid w:val="2BBC5242"/>
    <w:rsid w:val="2BBF7811"/>
    <w:rsid w:val="2BD36DF7"/>
    <w:rsid w:val="2BE53B95"/>
    <w:rsid w:val="2C107A99"/>
    <w:rsid w:val="2C1A575B"/>
    <w:rsid w:val="2C1D3A52"/>
    <w:rsid w:val="2C297C51"/>
    <w:rsid w:val="2C3E712F"/>
    <w:rsid w:val="2C407DC7"/>
    <w:rsid w:val="2C712F8D"/>
    <w:rsid w:val="2C81506B"/>
    <w:rsid w:val="2CA459B5"/>
    <w:rsid w:val="2CB519D2"/>
    <w:rsid w:val="2CE5286A"/>
    <w:rsid w:val="2CF42B6B"/>
    <w:rsid w:val="2D174507"/>
    <w:rsid w:val="2D2046A7"/>
    <w:rsid w:val="2D356020"/>
    <w:rsid w:val="2DA13DEF"/>
    <w:rsid w:val="2DC163A9"/>
    <w:rsid w:val="2DF71D7F"/>
    <w:rsid w:val="2E564F55"/>
    <w:rsid w:val="2E7F02D4"/>
    <w:rsid w:val="2E8678FE"/>
    <w:rsid w:val="2EC43EDD"/>
    <w:rsid w:val="2ED2316C"/>
    <w:rsid w:val="2ED51742"/>
    <w:rsid w:val="2EFB0756"/>
    <w:rsid w:val="2F59355E"/>
    <w:rsid w:val="2F66257C"/>
    <w:rsid w:val="2F6E20D7"/>
    <w:rsid w:val="2F700825"/>
    <w:rsid w:val="2F7857AA"/>
    <w:rsid w:val="2FAB129E"/>
    <w:rsid w:val="2FD10B41"/>
    <w:rsid w:val="2FFD2469"/>
    <w:rsid w:val="30472B7F"/>
    <w:rsid w:val="30480767"/>
    <w:rsid w:val="30573BF1"/>
    <w:rsid w:val="305C0BBC"/>
    <w:rsid w:val="308C7575"/>
    <w:rsid w:val="30AE7FB4"/>
    <w:rsid w:val="30B85E63"/>
    <w:rsid w:val="30F75DF5"/>
    <w:rsid w:val="30F96749"/>
    <w:rsid w:val="3102535C"/>
    <w:rsid w:val="3112481A"/>
    <w:rsid w:val="31217276"/>
    <w:rsid w:val="31383326"/>
    <w:rsid w:val="316C7EAF"/>
    <w:rsid w:val="31A5764C"/>
    <w:rsid w:val="31E83285"/>
    <w:rsid w:val="31E8647F"/>
    <w:rsid w:val="31F04746"/>
    <w:rsid w:val="320E4B34"/>
    <w:rsid w:val="323520B7"/>
    <w:rsid w:val="329B336C"/>
    <w:rsid w:val="32A85EC0"/>
    <w:rsid w:val="32B6263A"/>
    <w:rsid w:val="32D749D1"/>
    <w:rsid w:val="32EE1FD4"/>
    <w:rsid w:val="331079B2"/>
    <w:rsid w:val="331C74D4"/>
    <w:rsid w:val="331F4193"/>
    <w:rsid w:val="332B0726"/>
    <w:rsid w:val="334452F3"/>
    <w:rsid w:val="33445BFC"/>
    <w:rsid w:val="334F45B7"/>
    <w:rsid w:val="334F4B72"/>
    <w:rsid w:val="335160B7"/>
    <w:rsid w:val="33523D04"/>
    <w:rsid w:val="33574D70"/>
    <w:rsid w:val="33961309"/>
    <w:rsid w:val="33A76881"/>
    <w:rsid w:val="33AE0EB3"/>
    <w:rsid w:val="33B54388"/>
    <w:rsid w:val="33BC2DE9"/>
    <w:rsid w:val="33D108F6"/>
    <w:rsid w:val="33DB593C"/>
    <w:rsid w:val="341B3B97"/>
    <w:rsid w:val="342E381E"/>
    <w:rsid w:val="343E2F64"/>
    <w:rsid w:val="34652E7B"/>
    <w:rsid w:val="348B3CAC"/>
    <w:rsid w:val="349B25F5"/>
    <w:rsid w:val="349C541C"/>
    <w:rsid w:val="34A30945"/>
    <w:rsid w:val="34AA047D"/>
    <w:rsid w:val="34B209A7"/>
    <w:rsid w:val="34ED484E"/>
    <w:rsid w:val="35320CA7"/>
    <w:rsid w:val="35587CE8"/>
    <w:rsid w:val="356021E5"/>
    <w:rsid w:val="35761319"/>
    <w:rsid w:val="35784733"/>
    <w:rsid w:val="362A5D6F"/>
    <w:rsid w:val="362E21B8"/>
    <w:rsid w:val="363F4A9D"/>
    <w:rsid w:val="368A3DE9"/>
    <w:rsid w:val="368E5673"/>
    <w:rsid w:val="369574D9"/>
    <w:rsid w:val="36CC6CE0"/>
    <w:rsid w:val="36CD7BC3"/>
    <w:rsid w:val="36D312AD"/>
    <w:rsid w:val="36D34F0E"/>
    <w:rsid w:val="36FD7E7E"/>
    <w:rsid w:val="37230F1D"/>
    <w:rsid w:val="373A2AD6"/>
    <w:rsid w:val="374800F4"/>
    <w:rsid w:val="37480616"/>
    <w:rsid w:val="374975B9"/>
    <w:rsid w:val="374C185B"/>
    <w:rsid w:val="375B5175"/>
    <w:rsid w:val="376C411D"/>
    <w:rsid w:val="3770314D"/>
    <w:rsid w:val="377D2199"/>
    <w:rsid w:val="37A3268D"/>
    <w:rsid w:val="37A54AA6"/>
    <w:rsid w:val="37C957A6"/>
    <w:rsid w:val="37DF137D"/>
    <w:rsid w:val="37F56754"/>
    <w:rsid w:val="37FD2026"/>
    <w:rsid w:val="37FD5E48"/>
    <w:rsid w:val="388737DB"/>
    <w:rsid w:val="388B40CD"/>
    <w:rsid w:val="38D25220"/>
    <w:rsid w:val="38F96F0A"/>
    <w:rsid w:val="390E4BAE"/>
    <w:rsid w:val="39131FE4"/>
    <w:rsid w:val="3927389F"/>
    <w:rsid w:val="39456ECB"/>
    <w:rsid w:val="396A1BC8"/>
    <w:rsid w:val="39A85E5A"/>
    <w:rsid w:val="39E43FC9"/>
    <w:rsid w:val="39F01788"/>
    <w:rsid w:val="3A003EF6"/>
    <w:rsid w:val="3A186C9A"/>
    <w:rsid w:val="3A55770F"/>
    <w:rsid w:val="3A5B2DBC"/>
    <w:rsid w:val="3A5C1722"/>
    <w:rsid w:val="3A5C2280"/>
    <w:rsid w:val="3A646CFE"/>
    <w:rsid w:val="3A814042"/>
    <w:rsid w:val="3A956643"/>
    <w:rsid w:val="3B02254D"/>
    <w:rsid w:val="3B217762"/>
    <w:rsid w:val="3B300E81"/>
    <w:rsid w:val="3B471470"/>
    <w:rsid w:val="3B562092"/>
    <w:rsid w:val="3BA76A09"/>
    <w:rsid w:val="3BCC046A"/>
    <w:rsid w:val="3BE255FC"/>
    <w:rsid w:val="3BFC4E4B"/>
    <w:rsid w:val="3C052374"/>
    <w:rsid w:val="3C154436"/>
    <w:rsid w:val="3C1A6CAD"/>
    <w:rsid w:val="3C2934AB"/>
    <w:rsid w:val="3C3825B6"/>
    <w:rsid w:val="3C4F51D7"/>
    <w:rsid w:val="3C651ADA"/>
    <w:rsid w:val="3C65594F"/>
    <w:rsid w:val="3C672315"/>
    <w:rsid w:val="3C7F5BCA"/>
    <w:rsid w:val="3C9453C8"/>
    <w:rsid w:val="3C9D61E7"/>
    <w:rsid w:val="3CA21B65"/>
    <w:rsid w:val="3CAC3C14"/>
    <w:rsid w:val="3CAF611E"/>
    <w:rsid w:val="3CB0090D"/>
    <w:rsid w:val="3CD16807"/>
    <w:rsid w:val="3CEB3AFD"/>
    <w:rsid w:val="3CEF31DF"/>
    <w:rsid w:val="3CF673A2"/>
    <w:rsid w:val="3D1E7487"/>
    <w:rsid w:val="3D29648C"/>
    <w:rsid w:val="3D356094"/>
    <w:rsid w:val="3D4D3E02"/>
    <w:rsid w:val="3D7F2D95"/>
    <w:rsid w:val="3D8948C8"/>
    <w:rsid w:val="3D8B7C59"/>
    <w:rsid w:val="3DD470B6"/>
    <w:rsid w:val="3E2E50FB"/>
    <w:rsid w:val="3E3234F3"/>
    <w:rsid w:val="3E70236D"/>
    <w:rsid w:val="3E83611B"/>
    <w:rsid w:val="3EED2C15"/>
    <w:rsid w:val="3F1465F6"/>
    <w:rsid w:val="3F215A2B"/>
    <w:rsid w:val="3F3A4055"/>
    <w:rsid w:val="3F4919C0"/>
    <w:rsid w:val="3F4C60C5"/>
    <w:rsid w:val="3F6710F8"/>
    <w:rsid w:val="3F882024"/>
    <w:rsid w:val="3F942A4E"/>
    <w:rsid w:val="3FA549B8"/>
    <w:rsid w:val="3FA6675D"/>
    <w:rsid w:val="3FC61B14"/>
    <w:rsid w:val="3FC63CD4"/>
    <w:rsid w:val="3FCF1B27"/>
    <w:rsid w:val="3FD77CEC"/>
    <w:rsid w:val="3FF46FC1"/>
    <w:rsid w:val="40182805"/>
    <w:rsid w:val="403C6AD5"/>
    <w:rsid w:val="403F3DF5"/>
    <w:rsid w:val="405D6436"/>
    <w:rsid w:val="405F3942"/>
    <w:rsid w:val="40613D81"/>
    <w:rsid w:val="40735672"/>
    <w:rsid w:val="40760381"/>
    <w:rsid w:val="407A2097"/>
    <w:rsid w:val="40A3636C"/>
    <w:rsid w:val="40A94613"/>
    <w:rsid w:val="40EB0969"/>
    <w:rsid w:val="40F979D9"/>
    <w:rsid w:val="412A5BA6"/>
    <w:rsid w:val="4135047D"/>
    <w:rsid w:val="41373541"/>
    <w:rsid w:val="414255A1"/>
    <w:rsid w:val="415D0FBF"/>
    <w:rsid w:val="41BA4CDA"/>
    <w:rsid w:val="41BA5DD2"/>
    <w:rsid w:val="42016124"/>
    <w:rsid w:val="4204466D"/>
    <w:rsid w:val="42126C71"/>
    <w:rsid w:val="422D166E"/>
    <w:rsid w:val="4249792B"/>
    <w:rsid w:val="425A218F"/>
    <w:rsid w:val="4280161E"/>
    <w:rsid w:val="42826B5F"/>
    <w:rsid w:val="428360FD"/>
    <w:rsid w:val="42B45C8F"/>
    <w:rsid w:val="42B65F2A"/>
    <w:rsid w:val="42CA5235"/>
    <w:rsid w:val="42D50585"/>
    <w:rsid w:val="42D532C0"/>
    <w:rsid w:val="42E4772C"/>
    <w:rsid w:val="430D7FDF"/>
    <w:rsid w:val="430E15B3"/>
    <w:rsid w:val="431E68EB"/>
    <w:rsid w:val="432B1E4B"/>
    <w:rsid w:val="43436921"/>
    <w:rsid w:val="434F133F"/>
    <w:rsid w:val="43540D79"/>
    <w:rsid w:val="43591A80"/>
    <w:rsid w:val="436C2F5A"/>
    <w:rsid w:val="4384007B"/>
    <w:rsid w:val="438630EB"/>
    <w:rsid w:val="438B2A8E"/>
    <w:rsid w:val="43A47460"/>
    <w:rsid w:val="43B052AC"/>
    <w:rsid w:val="43C222C0"/>
    <w:rsid w:val="43CA284D"/>
    <w:rsid w:val="43D05423"/>
    <w:rsid w:val="43D22E7F"/>
    <w:rsid w:val="43F26380"/>
    <w:rsid w:val="440D6C72"/>
    <w:rsid w:val="44156B62"/>
    <w:rsid w:val="444E4F33"/>
    <w:rsid w:val="447463A8"/>
    <w:rsid w:val="447D5AB9"/>
    <w:rsid w:val="44841FDC"/>
    <w:rsid w:val="448A4DAA"/>
    <w:rsid w:val="44A422DC"/>
    <w:rsid w:val="44AB21FA"/>
    <w:rsid w:val="44B445C1"/>
    <w:rsid w:val="44B54BB4"/>
    <w:rsid w:val="44B90B55"/>
    <w:rsid w:val="44D2273E"/>
    <w:rsid w:val="44D43A0E"/>
    <w:rsid w:val="44FF3A96"/>
    <w:rsid w:val="450272B3"/>
    <w:rsid w:val="45095235"/>
    <w:rsid w:val="452E37E2"/>
    <w:rsid w:val="45662B8A"/>
    <w:rsid w:val="45683FAE"/>
    <w:rsid w:val="457B4119"/>
    <w:rsid w:val="457B6AE7"/>
    <w:rsid w:val="4581767F"/>
    <w:rsid w:val="458632F7"/>
    <w:rsid w:val="45AC382E"/>
    <w:rsid w:val="45AF1CDE"/>
    <w:rsid w:val="45BF34C4"/>
    <w:rsid w:val="45CC08D2"/>
    <w:rsid w:val="45CD6F9B"/>
    <w:rsid w:val="45F30C82"/>
    <w:rsid w:val="46071842"/>
    <w:rsid w:val="4609762D"/>
    <w:rsid w:val="462058E2"/>
    <w:rsid w:val="46474364"/>
    <w:rsid w:val="46492395"/>
    <w:rsid w:val="46495555"/>
    <w:rsid w:val="464D5B82"/>
    <w:rsid w:val="46630F1D"/>
    <w:rsid w:val="46663FA3"/>
    <w:rsid w:val="46742956"/>
    <w:rsid w:val="46754AD5"/>
    <w:rsid w:val="467A4DC9"/>
    <w:rsid w:val="46B07A53"/>
    <w:rsid w:val="46B73EB2"/>
    <w:rsid w:val="46E72962"/>
    <w:rsid w:val="46EC23B8"/>
    <w:rsid w:val="472748EA"/>
    <w:rsid w:val="472C49BD"/>
    <w:rsid w:val="47407A9E"/>
    <w:rsid w:val="474A41A5"/>
    <w:rsid w:val="476C7ADA"/>
    <w:rsid w:val="4782732E"/>
    <w:rsid w:val="47851A14"/>
    <w:rsid w:val="47A42E9F"/>
    <w:rsid w:val="47BC25F0"/>
    <w:rsid w:val="47BC527F"/>
    <w:rsid w:val="47E946D2"/>
    <w:rsid w:val="47F859C6"/>
    <w:rsid w:val="48080C03"/>
    <w:rsid w:val="48310C7F"/>
    <w:rsid w:val="484479A8"/>
    <w:rsid w:val="48622891"/>
    <w:rsid w:val="48690548"/>
    <w:rsid w:val="48717A92"/>
    <w:rsid w:val="4884198F"/>
    <w:rsid w:val="48893BDF"/>
    <w:rsid w:val="48A85553"/>
    <w:rsid w:val="49145A33"/>
    <w:rsid w:val="49172C26"/>
    <w:rsid w:val="491C54BE"/>
    <w:rsid w:val="492346B5"/>
    <w:rsid w:val="492B7B75"/>
    <w:rsid w:val="493C384E"/>
    <w:rsid w:val="49503240"/>
    <w:rsid w:val="4950557D"/>
    <w:rsid w:val="496C2222"/>
    <w:rsid w:val="49B25ACD"/>
    <w:rsid w:val="49B5367A"/>
    <w:rsid w:val="49E9512C"/>
    <w:rsid w:val="4A434291"/>
    <w:rsid w:val="4A4839B6"/>
    <w:rsid w:val="4A565F3C"/>
    <w:rsid w:val="4A7B6DF8"/>
    <w:rsid w:val="4A9C45F6"/>
    <w:rsid w:val="4AB3230B"/>
    <w:rsid w:val="4AED2000"/>
    <w:rsid w:val="4AEF0F03"/>
    <w:rsid w:val="4AF23DFD"/>
    <w:rsid w:val="4B0148E3"/>
    <w:rsid w:val="4B133571"/>
    <w:rsid w:val="4B5A1513"/>
    <w:rsid w:val="4B6E205A"/>
    <w:rsid w:val="4B7B6541"/>
    <w:rsid w:val="4B850275"/>
    <w:rsid w:val="4BA420EE"/>
    <w:rsid w:val="4BAB0D98"/>
    <w:rsid w:val="4BB803F0"/>
    <w:rsid w:val="4BBD7E38"/>
    <w:rsid w:val="4BC26BFA"/>
    <w:rsid w:val="4BD02361"/>
    <w:rsid w:val="4C037C92"/>
    <w:rsid w:val="4C30496C"/>
    <w:rsid w:val="4C4137A4"/>
    <w:rsid w:val="4C8760CA"/>
    <w:rsid w:val="4C960B24"/>
    <w:rsid w:val="4CA05E59"/>
    <w:rsid w:val="4CFB4D06"/>
    <w:rsid w:val="4D075190"/>
    <w:rsid w:val="4D092C71"/>
    <w:rsid w:val="4D3246DA"/>
    <w:rsid w:val="4D396B26"/>
    <w:rsid w:val="4DB1469A"/>
    <w:rsid w:val="4DC07A45"/>
    <w:rsid w:val="4DD51B5E"/>
    <w:rsid w:val="4DD95310"/>
    <w:rsid w:val="4DEE7D1F"/>
    <w:rsid w:val="4E0A4298"/>
    <w:rsid w:val="4E1D4A81"/>
    <w:rsid w:val="4E614E2A"/>
    <w:rsid w:val="4E6D74CA"/>
    <w:rsid w:val="4EA907B0"/>
    <w:rsid w:val="4ED8464E"/>
    <w:rsid w:val="4EEF3A00"/>
    <w:rsid w:val="4F1B2D34"/>
    <w:rsid w:val="4F37661E"/>
    <w:rsid w:val="4F4323A9"/>
    <w:rsid w:val="4F4E0BFA"/>
    <w:rsid w:val="4F5A332B"/>
    <w:rsid w:val="4F7050C3"/>
    <w:rsid w:val="4F775DBA"/>
    <w:rsid w:val="4F8124FC"/>
    <w:rsid w:val="4F9C72C6"/>
    <w:rsid w:val="4FAE3B96"/>
    <w:rsid w:val="4FB53B58"/>
    <w:rsid w:val="4FB64019"/>
    <w:rsid w:val="4FBD494E"/>
    <w:rsid w:val="4FE22106"/>
    <w:rsid w:val="50226138"/>
    <w:rsid w:val="50241E22"/>
    <w:rsid w:val="5048712C"/>
    <w:rsid w:val="507A1FAE"/>
    <w:rsid w:val="5099582C"/>
    <w:rsid w:val="50FE07C0"/>
    <w:rsid w:val="510A3E11"/>
    <w:rsid w:val="5122413A"/>
    <w:rsid w:val="512B61FE"/>
    <w:rsid w:val="512B6450"/>
    <w:rsid w:val="512C1E1F"/>
    <w:rsid w:val="51534BB2"/>
    <w:rsid w:val="51742638"/>
    <w:rsid w:val="517D327A"/>
    <w:rsid w:val="518F2083"/>
    <w:rsid w:val="51AF5BED"/>
    <w:rsid w:val="51BE6B9E"/>
    <w:rsid w:val="51F1048B"/>
    <w:rsid w:val="51F63CAC"/>
    <w:rsid w:val="521727CE"/>
    <w:rsid w:val="522F04FB"/>
    <w:rsid w:val="52402A48"/>
    <w:rsid w:val="5245549F"/>
    <w:rsid w:val="52596F10"/>
    <w:rsid w:val="529166CB"/>
    <w:rsid w:val="52B2107C"/>
    <w:rsid w:val="52C54B09"/>
    <w:rsid w:val="52E70A6A"/>
    <w:rsid w:val="533B4243"/>
    <w:rsid w:val="534435DC"/>
    <w:rsid w:val="53831A7A"/>
    <w:rsid w:val="538E3E11"/>
    <w:rsid w:val="53A94976"/>
    <w:rsid w:val="53DB45CA"/>
    <w:rsid w:val="53E16FB9"/>
    <w:rsid w:val="5427088B"/>
    <w:rsid w:val="543C0288"/>
    <w:rsid w:val="547F3991"/>
    <w:rsid w:val="548A0D12"/>
    <w:rsid w:val="548C4769"/>
    <w:rsid w:val="5493124E"/>
    <w:rsid w:val="54A572A5"/>
    <w:rsid w:val="54DC58E6"/>
    <w:rsid w:val="54E3597C"/>
    <w:rsid w:val="551940F3"/>
    <w:rsid w:val="552407D9"/>
    <w:rsid w:val="55252E0D"/>
    <w:rsid w:val="55291565"/>
    <w:rsid w:val="55497440"/>
    <w:rsid w:val="559D35A4"/>
    <w:rsid w:val="55B46660"/>
    <w:rsid w:val="55F119D6"/>
    <w:rsid w:val="55F34994"/>
    <w:rsid w:val="564C09F9"/>
    <w:rsid w:val="56656704"/>
    <w:rsid w:val="56807CBD"/>
    <w:rsid w:val="56812B40"/>
    <w:rsid w:val="56AE77E1"/>
    <w:rsid w:val="56AF4703"/>
    <w:rsid w:val="56AF637A"/>
    <w:rsid w:val="56BE43C0"/>
    <w:rsid w:val="57012C49"/>
    <w:rsid w:val="571738A0"/>
    <w:rsid w:val="57195D78"/>
    <w:rsid w:val="57542872"/>
    <w:rsid w:val="57781A52"/>
    <w:rsid w:val="577B17C6"/>
    <w:rsid w:val="5798527E"/>
    <w:rsid w:val="579B5F91"/>
    <w:rsid w:val="57B32D14"/>
    <w:rsid w:val="57F00593"/>
    <w:rsid w:val="57F84FA5"/>
    <w:rsid w:val="58120ED1"/>
    <w:rsid w:val="583352CD"/>
    <w:rsid w:val="58450920"/>
    <w:rsid w:val="58897619"/>
    <w:rsid w:val="58B1052F"/>
    <w:rsid w:val="5902088F"/>
    <w:rsid w:val="59066EB6"/>
    <w:rsid w:val="594401CD"/>
    <w:rsid w:val="59497FDF"/>
    <w:rsid w:val="595D1885"/>
    <w:rsid w:val="5963592A"/>
    <w:rsid w:val="59705DD5"/>
    <w:rsid w:val="598D6DAE"/>
    <w:rsid w:val="59977583"/>
    <w:rsid w:val="59AA71F9"/>
    <w:rsid w:val="59CF5AED"/>
    <w:rsid w:val="59DB0F00"/>
    <w:rsid w:val="59E26347"/>
    <w:rsid w:val="59FA1845"/>
    <w:rsid w:val="5A4151A7"/>
    <w:rsid w:val="5A552741"/>
    <w:rsid w:val="5A6A4EDC"/>
    <w:rsid w:val="5A7D24F1"/>
    <w:rsid w:val="5A96642E"/>
    <w:rsid w:val="5A985989"/>
    <w:rsid w:val="5AB014D1"/>
    <w:rsid w:val="5AB6396A"/>
    <w:rsid w:val="5AC44758"/>
    <w:rsid w:val="5AD66CBF"/>
    <w:rsid w:val="5AEA705C"/>
    <w:rsid w:val="5AF5141F"/>
    <w:rsid w:val="5B3508AD"/>
    <w:rsid w:val="5B416399"/>
    <w:rsid w:val="5B440CDE"/>
    <w:rsid w:val="5B6A1328"/>
    <w:rsid w:val="5B8B5B3C"/>
    <w:rsid w:val="5B9A01BF"/>
    <w:rsid w:val="5B9C2B73"/>
    <w:rsid w:val="5BA65F05"/>
    <w:rsid w:val="5BB14936"/>
    <w:rsid w:val="5BC22FFE"/>
    <w:rsid w:val="5BC266CC"/>
    <w:rsid w:val="5BCD7E37"/>
    <w:rsid w:val="5BD11454"/>
    <w:rsid w:val="5BFB4D1F"/>
    <w:rsid w:val="5C2F5012"/>
    <w:rsid w:val="5C50400A"/>
    <w:rsid w:val="5C646442"/>
    <w:rsid w:val="5C8F0B34"/>
    <w:rsid w:val="5C941F54"/>
    <w:rsid w:val="5C944261"/>
    <w:rsid w:val="5C9D0B30"/>
    <w:rsid w:val="5CA15F00"/>
    <w:rsid w:val="5CAF231D"/>
    <w:rsid w:val="5CBD7397"/>
    <w:rsid w:val="5CF60918"/>
    <w:rsid w:val="5D3E6D7D"/>
    <w:rsid w:val="5D403800"/>
    <w:rsid w:val="5D4261A7"/>
    <w:rsid w:val="5D433711"/>
    <w:rsid w:val="5D4C5378"/>
    <w:rsid w:val="5D6B3499"/>
    <w:rsid w:val="5D6F71CB"/>
    <w:rsid w:val="5D8638D8"/>
    <w:rsid w:val="5DA640D5"/>
    <w:rsid w:val="5DC87813"/>
    <w:rsid w:val="5DD963D9"/>
    <w:rsid w:val="5DFA4066"/>
    <w:rsid w:val="5E1642ED"/>
    <w:rsid w:val="5E2D5A2B"/>
    <w:rsid w:val="5E362A2D"/>
    <w:rsid w:val="5E424949"/>
    <w:rsid w:val="5E6F1108"/>
    <w:rsid w:val="5E772331"/>
    <w:rsid w:val="5E8866B9"/>
    <w:rsid w:val="5EBE5F91"/>
    <w:rsid w:val="5EED5FB3"/>
    <w:rsid w:val="5F097D76"/>
    <w:rsid w:val="5F2B5D30"/>
    <w:rsid w:val="5F3C6960"/>
    <w:rsid w:val="5F422B72"/>
    <w:rsid w:val="5F612C8A"/>
    <w:rsid w:val="5F657A9C"/>
    <w:rsid w:val="5FAC35C3"/>
    <w:rsid w:val="5FAC7B9E"/>
    <w:rsid w:val="5FD876A0"/>
    <w:rsid w:val="5FDF14AA"/>
    <w:rsid w:val="5FE67784"/>
    <w:rsid w:val="5FEC3A92"/>
    <w:rsid w:val="5FEC6280"/>
    <w:rsid w:val="5FF01C32"/>
    <w:rsid w:val="5FF97AB1"/>
    <w:rsid w:val="6004135B"/>
    <w:rsid w:val="60192741"/>
    <w:rsid w:val="601F1C42"/>
    <w:rsid w:val="602333A3"/>
    <w:rsid w:val="602C19E3"/>
    <w:rsid w:val="60521789"/>
    <w:rsid w:val="606C696C"/>
    <w:rsid w:val="60716D00"/>
    <w:rsid w:val="608A37AF"/>
    <w:rsid w:val="60A1703F"/>
    <w:rsid w:val="60A87641"/>
    <w:rsid w:val="60CA14BE"/>
    <w:rsid w:val="60D42CD6"/>
    <w:rsid w:val="60D73409"/>
    <w:rsid w:val="60DE1664"/>
    <w:rsid w:val="60E54D32"/>
    <w:rsid w:val="60EE41E9"/>
    <w:rsid w:val="60F747B1"/>
    <w:rsid w:val="60FD1C51"/>
    <w:rsid w:val="610530E4"/>
    <w:rsid w:val="612136F2"/>
    <w:rsid w:val="612C7D0E"/>
    <w:rsid w:val="61307C3A"/>
    <w:rsid w:val="6137310F"/>
    <w:rsid w:val="613F5249"/>
    <w:rsid w:val="61596F75"/>
    <w:rsid w:val="61747CB8"/>
    <w:rsid w:val="617A6C87"/>
    <w:rsid w:val="61A7275D"/>
    <w:rsid w:val="61A83739"/>
    <w:rsid w:val="61AF4AFE"/>
    <w:rsid w:val="61B42136"/>
    <w:rsid w:val="61F762E9"/>
    <w:rsid w:val="61FE05C4"/>
    <w:rsid w:val="622B7797"/>
    <w:rsid w:val="62330BC2"/>
    <w:rsid w:val="62875A35"/>
    <w:rsid w:val="62C91223"/>
    <w:rsid w:val="62E319A8"/>
    <w:rsid w:val="63092AE4"/>
    <w:rsid w:val="63106792"/>
    <w:rsid w:val="63110774"/>
    <w:rsid w:val="632958C5"/>
    <w:rsid w:val="63463496"/>
    <w:rsid w:val="634B19FB"/>
    <w:rsid w:val="63553001"/>
    <w:rsid w:val="636E57F2"/>
    <w:rsid w:val="637F58E0"/>
    <w:rsid w:val="63A76BC5"/>
    <w:rsid w:val="63AD7444"/>
    <w:rsid w:val="63FD2B78"/>
    <w:rsid w:val="6402510F"/>
    <w:rsid w:val="64095EAC"/>
    <w:rsid w:val="64237748"/>
    <w:rsid w:val="64545C52"/>
    <w:rsid w:val="64632313"/>
    <w:rsid w:val="649319B1"/>
    <w:rsid w:val="64956488"/>
    <w:rsid w:val="64A66ECC"/>
    <w:rsid w:val="64AD2AE0"/>
    <w:rsid w:val="64D6307C"/>
    <w:rsid w:val="65087902"/>
    <w:rsid w:val="652E3ACD"/>
    <w:rsid w:val="65501DC4"/>
    <w:rsid w:val="656C5948"/>
    <w:rsid w:val="65B20488"/>
    <w:rsid w:val="65D265B8"/>
    <w:rsid w:val="65DF3E93"/>
    <w:rsid w:val="66127704"/>
    <w:rsid w:val="66643077"/>
    <w:rsid w:val="667A08D2"/>
    <w:rsid w:val="6687286D"/>
    <w:rsid w:val="669A34BA"/>
    <w:rsid w:val="66B92214"/>
    <w:rsid w:val="66E05AF2"/>
    <w:rsid w:val="67424883"/>
    <w:rsid w:val="674B7A09"/>
    <w:rsid w:val="67682857"/>
    <w:rsid w:val="677D6BFE"/>
    <w:rsid w:val="67C20A83"/>
    <w:rsid w:val="67EF1F85"/>
    <w:rsid w:val="67F44984"/>
    <w:rsid w:val="680D5BEF"/>
    <w:rsid w:val="681E4E0C"/>
    <w:rsid w:val="68293FF0"/>
    <w:rsid w:val="686604F4"/>
    <w:rsid w:val="68721204"/>
    <w:rsid w:val="687A57AB"/>
    <w:rsid w:val="68815E78"/>
    <w:rsid w:val="688C6D4A"/>
    <w:rsid w:val="68B709EF"/>
    <w:rsid w:val="68BD1357"/>
    <w:rsid w:val="68C76424"/>
    <w:rsid w:val="691B7248"/>
    <w:rsid w:val="694357C1"/>
    <w:rsid w:val="696800D4"/>
    <w:rsid w:val="698D4D9E"/>
    <w:rsid w:val="69AA1860"/>
    <w:rsid w:val="69AB069C"/>
    <w:rsid w:val="69E13910"/>
    <w:rsid w:val="69F72DE7"/>
    <w:rsid w:val="69F751AC"/>
    <w:rsid w:val="69FA557A"/>
    <w:rsid w:val="6A08789B"/>
    <w:rsid w:val="6A0A36E4"/>
    <w:rsid w:val="6A1274FD"/>
    <w:rsid w:val="6A285ABA"/>
    <w:rsid w:val="6A811916"/>
    <w:rsid w:val="6A9A4721"/>
    <w:rsid w:val="6AA55CEE"/>
    <w:rsid w:val="6AA71820"/>
    <w:rsid w:val="6ABC6768"/>
    <w:rsid w:val="6AC75B27"/>
    <w:rsid w:val="6B214DFA"/>
    <w:rsid w:val="6B221579"/>
    <w:rsid w:val="6B3564D0"/>
    <w:rsid w:val="6B5B5716"/>
    <w:rsid w:val="6B744D86"/>
    <w:rsid w:val="6B750092"/>
    <w:rsid w:val="6B752625"/>
    <w:rsid w:val="6B9049EC"/>
    <w:rsid w:val="6B9F2E2C"/>
    <w:rsid w:val="6BCD3718"/>
    <w:rsid w:val="6C085593"/>
    <w:rsid w:val="6C0C27C6"/>
    <w:rsid w:val="6C1867EE"/>
    <w:rsid w:val="6C213DDF"/>
    <w:rsid w:val="6C232EC7"/>
    <w:rsid w:val="6C281138"/>
    <w:rsid w:val="6C306398"/>
    <w:rsid w:val="6C307396"/>
    <w:rsid w:val="6C380A60"/>
    <w:rsid w:val="6C3E411A"/>
    <w:rsid w:val="6C4A6063"/>
    <w:rsid w:val="6C4F7F8B"/>
    <w:rsid w:val="6C806E6E"/>
    <w:rsid w:val="6C835D7A"/>
    <w:rsid w:val="6C882BDF"/>
    <w:rsid w:val="6C8C66BA"/>
    <w:rsid w:val="6C9C3992"/>
    <w:rsid w:val="6CCC4491"/>
    <w:rsid w:val="6CD00949"/>
    <w:rsid w:val="6CD0212C"/>
    <w:rsid w:val="6CD60E37"/>
    <w:rsid w:val="6CEA54B9"/>
    <w:rsid w:val="6CEE5CA5"/>
    <w:rsid w:val="6D2F7A9A"/>
    <w:rsid w:val="6D434C4C"/>
    <w:rsid w:val="6D497699"/>
    <w:rsid w:val="6D4B3F54"/>
    <w:rsid w:val="6D745109"/>
    <w:rsid w:val="6D841953"/>
    <w:rsid w:val="6D9147DE"/>
    <w:rsid w:val="6DB905E5"/>
    <w:rsid w:val="6DC95757"/>
    <w:rsid w:val="6E3867EC"/>
    <w:rsid w:val="6E3C48A4"/>
    <w:rsid w:val="6E431489"/>
    <w:rsid w:val="6E4456AE"/>
    <w:rsid w:val="6E55765D"/>
    <w:rsid w:val="6EA92522"/>
    <w:rsid w:val="6EC127F4"/>
    <w:rsid w:val="6ECC3B5A"/>
    <w:rsid w:val="6ECD711A"/>
    <w:rsid w:val="6EEC6F1A"/>
    <w:rsid w:val="6F0360C0"/>
    <w:rsid w:val="6F1957D0"/>
    <w:rsid w:val="6F1C75BB"/>
    <w:rsid w:val="6F6C7E15"/>
    <w:rsid w:val="6F8D27C8"/>
    <w:rsid w:val="6FC154A7"/>
    <w:rsid w:val="6FD01681"/>
    <w:rsid w:val="6FF47A5E"/>
    <w:rsid w:val="7021629E"/>
    <w:rsid w:val="70442FD5"/>
    <w:rsid w:val="7077395E"/>
    <w:rsid w:val="707C56D8"/>
    <w:rsid w:val="70870320"/>
    <w:rsid w:val="70977C82"/>
    <w:rsid w:val="70A000B1"/>
    <w:rsid w:val="70C107AC"/>
    <w:rsid w:val="70CE0A7F"/>
    <w:rsid w:val="70D603B8"/>
    <w:rsid w:val="70FD7757"/>
    <w:rsid w:val="71246A25"/>
    <w:rsid w:val="7133458E"/>
    <w:rsid w:val="71336371"/>
    <w:rsid w:val="71483530"/>
    <w:rsid w:val="71660E79"/>
    <w:rsid w:val="71B659A9"/>
    <w:rsid w:val="71C712B6"/>
    <w:rsid w:val="71FF3E4B"/>
    <w:rsid w:val="720F05FA"/>
    <w:rsid w:val="72143B8E"/>
    <w:rsid w:val="721F6D96"/>
    <w:rsid w:val="7236343D"/>
    <w:rsid w:val="723D39B5"/>
    <w:rsid w:val="72553940"/>
    <w:rsid w:val="72757C8E"/>
    <w:rsid w:val="727A63A5"/>
    <w:rsid w:val="729543E8"/>
    <w:rsid w:val="72C16E3F"/>
    <w:rsid w:val="72DC5097"/>
    <w:rsid w:val="731214C3"/>
    <w:rsid w:val="73650CB3"/>
    <w:rsid w:val="738A764A"/>
    <w:rsid w:val="739137FF"/>
    <w:rsid w:val="73941C6C"/>
    <w:rsid w:val="73A16D51"/>
    <w:rsid w:val="73CC2BB0"/>
    <w:rsid w:val="73CD5980"/>
    <w:rsid w:val="73DC3318"/>
    <w:rsid w:val="74125D96"/>
    <w:rsid w:val="74623325"/>
    <w:rsid w:val="747F1CBA"/>
    <w:rsid w:val="749E3D7F"/>
    <w:rsid w:val="74B45023"/>
    <w:rsid w:val="74D7758D"/>
    <w:rsid w:val="74DF6411"/>
    <w:rsid w:val="750F2341"/>
    <w:rsid w:val="75107525"/>
    <w:rsid w:val="75111D77"/>
    <w:rsid w:val="752227F2"/>
    <w:rsid w:val="753404F5"/>
    <w:rsid w:val="753D3663"/>
    <w:rsid w:val="75581E75"/>
    <w:rsid w:val="75AC5E27"/>
    <w:rsid w:val="75B551B1"/>
    <w:rsid w:val="75BA1545"/>
    <w:rsid w:val="75C135A8"/>
    <w:rsid w:val="75D31F1F"/>
    <w:rsid w:val="75F378FE"/>
    <w:rsid w:val="7601274A"/>
    <w:rsid w:val="760F429F"/>
    <w:rsid w:val="761136A4"/>
    <w:rsid w:val="7621244E"/>
    <w:rsid w:val="7632784E"/>
    <w:rsid w:val="763E4455"/>
    <w:rsid w:val="76586E18"/>
    <w:rsid w:val="766E4882"/>
    <w:rsid w:val="76740082"/>
    <w:rsid w:val="7682735A"/>
    <w:rsid w:val="76833F80"/>
    <w:rsid w:val="76CA3C73"/>
    <w:rsid w:val="76F66F65"/>
    <w:rsid w:val="770E70DC"/>
    <w:rsid w:val="77204E92"/>
    <w:rsid w:val="772355C6"/>
    <w:rsid w:val="7734281C"/>
    <w:rsid w:val="775A4D52"/>
    <w:rsid w:val="775E28B8"/>
    <w:rsid w:val="77967E56"/>
    <w:rsid w:val="77A5548F"/>
    <w:rsid w:val="77A63B76"/>
    <w:rsid w:val="77A7581E"/>
    <w:rsid w:val="77BE1A78"/>
    <w:rsid w:val="77CA41B2"/>
    <w:rsid w:val="77F96A19"/>
    <w:rsid w:val="780D4F9D"/>
    <w:rsid w:val="78216F5E"/>
    <w:rsid w:val="78227A5B"/>
    <w:rsid w:val="78340913"/>
    <w:rsid w:val="783A3050"/>
    <w:rsid w:val="78784340"/>
    <w:rsid w:val="78842736"/>
    <w:rsid w:val="78875002"/>
    <w:rsid w:val="78AD794C"/>
    <w:rsid w:val="78B533B6"/>
    <w:rsid w:val="78D75246"/>
    <w:rsid w:val="78F2149F"/>
    <w:rsid w:val="790F4F00"/>
    <w:rsid w:val="794B4423"/>
    <w:rsid w:val="796C3687"/>
    <w:rsid w:val="798A6A3B"/>
    <w:rsid w:val="799A26B0"/>
    <w:rsid w:val="799D60F4"/>
    <w:rsid w:val="79BD39A1"/>
    <w:rsid w:val="79BF7D54"/>
    <w:rsid w:val="79C82305"/>
    <w:rsid w:val="79DB1F49"/>
    <w:rsid w:val="79DB21A9"/>
    <w:rsid w:val="79E659A4"/>
    <w:rsid w:val="7A317A82"/>
    <w:rsid w:val="7A563953"/>
    <w:rsid w:val="7A6B4A74"/>
    <w:rsid w:val="7A781BE8"/>
    <w:rsid w:val="7AAC7F93"/>
    <w:rsid w:val="7AEE26E9"/>
    <w:rsid w:val="7B09618D"/>
    <w:rsid w:val="7B357598"/>
    <w:rsid w:val="7B5243E6"/>
    <w:rsid w:val="7B9B3B3C"/>
    <w:rsid w:val="7BE278B5"/>
    <w:rsid w:val="7BEF3FC3"/>
    <w:rsid w:val="7BEF68CE"/>
    <w:rsid w:val="7C0102AD"/>
    <w:rsid w:val="7C2E19F8"/>
    <w:rsid w:val="7C671B4E"/>
    <w:rsid w:val="7C7D503A"/>
    <w:rsid w:val="7CC17D98"/>
    <w:rsid w:val="7CE8761A"/>
    <w:rsid w:val="7CF47946"/>
    <w:rsid w:val="7CFC6EB2"/>
    <w:rsid w:val="7D383D2B"/>
    <w:rsid w:val="7D4C6513"/>
    <w:rsid w:val="7D4E7BB6"/>
    <w:rsid w:val="7D553C27"/>
    <w:rsid w:val="7D654B78"/>
    <w:rsid w:val="7D670278"/>
    <w:rsid w:val="7D801126"/>
    <w:rsid w:val="7DC34EDA"/>
    <w:rsid w:val="7DE45EF7"/>
    <w:rsid w:val="7DFA4649"/>
    <w:rsid w:val="7DFD2A8F"/>
    <w:rsid w:val="7DFE1E88"/>
    <w:rsid w:val="7E0861C1"/>
    <w:rsid w:val="7E0A0012"/>
    <w:rsid w:val="7E142AA1"/>
    <w:rsid w:val="7E400F58"/>
    <w:rsid w:val="7E745809"/>
    <w:rsid w:val="7EB86D20"/>
    <w:rsid w:val="7EC0127E"/>
    <w:rsid w:val="7ED41DAA"/>
    <w:rsid w:val="7EDD5026"/>
    <w:rsid w:val="7F0053FF"/>
    <w:rsid w:val="7F171678"/>
    <w:rsid w:val="7F3C27F2"/>
    <w:rsid w:val="7F481D5F"/>
    <w:rsid w:val="7F4C00FB"/>
    <w:rsid w:val="7F4E71C3"/>
    <w:rsid w:val="7F552051"/>
    <w:rsid w:val="7F573B49"/>
    <w:rsid w:val="7F6D3E39"/>
    <w:rsid w:val="7F7C3D56"/>
    <w:rsid w:val="7F8A3468"/>
    <w:rsid w:val="7FBB5D88"/>
    <w:rsid w:val="7FEF4E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349"/>
    <w:qFormat/>
    <w:uiPriority w:val="0"/>
    <w:pPr>
      <w:keepNext/>
      <w:keepLines/>
      <w:spacing w:before="340" w:after="330" w:line="578" w:lineRule="auto"/>
      <w:outlineLvl w:val="0"/>
    </w:pPr>
    <w:rPr>
      <w:b w:val="0"/>
      <w:bCs w:val="0"/>
      <w:kern w:val="44"/>
      <w:sz w:val="44"/>
      <w:szCs w:val="44"/>
    </w:rPr>
  </w:style>
  <w:style w:type="paragraph" w:styleId="2">
    <w:name w:val="heading 2"/>
    <w:basedOn w:val="1"/>
    <w:next w:val="1"/>
    <w:link w:val="357"/>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link w:val="291"/>
    <w:qFormat/>
    <w:uiPriority w:val="0"/>
    <w:pPr>
      <w:keepNext/>
      <w:keepLines/>
      <w:spacing w:line="360" w:lineRule="auto"/>
      <w:outlineLvl w:val="2"/>
    </w:pPr>
    <w:rPr>
      <w:rFonts w:eastAsia="黑体"/>
      <w:b/>
      <w:bCs/>
      <w:szCs w:val="32"/>
    </w:rPr>
  </w:style>
  <w:style w:type="paragraph" w:styleId="5">
    <w:name w:val="heading 4"/>
    <w:basedOn w:val="1"/>
    <w:next w:val="1"/>
    <w:link w:val="202"/>
    <w:qFormat/>
    <w:uiPriority w:val="0"/>
    <w:pPr>
      <w:keepNext/>
      <w:keepLines/>
      <w:spacing w:line="360" w:lineRule="auto"/>
      <w:outlineLvl w:val="3"/>
    </w:pPr>
    <w:rPr>
      <w:rFonts w:ascii="Arial" w:hAnsi="Arial"/>
      <w:b/>
      <w:bCs/>
      <w:szCs w:val="28"/>
    </w:rPr>
  </w:style>
  <w:style w:type="paragraph" w:styleId="6">
    <w:name w:val="heading 5"/>
    <w:basedOn w:val="1"/>
    <w:next w:val="7"/>
    <w:link w:val="239"/>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29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34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32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303"/>
    <w:qFormat/>
    <w:uiPriority w:val="0"/>
    <w:pPr>
      <w:keepNext/>
      <w:keepLines/>
      <w:numPr>
        <w:ilvl w:val="8"/>
        <w:numId w:val="1"/>
      </w:numPr>
      <w:spacing w:before="240" w:after="64" w:line="320" w:lineRule="auto"/>
      <w:outlineLvl w:val="8"/>
    </w:pPr>
    <w:rPr>
      <w:rFonts w:ascii="Arial" w:hAnsi="Arial" w:eastAsia="黑体"/>
    </w:rPr>
  </w:style>
  <w:style w:type="character" w:default="1" w:styleId="59">
    <w:name w:val="Default Paragraph Font"/>
    <w:semiHidden/>
    <w:qFormat/>
    <w:uiPriority w:val="0"/>
  </w:style>
  <w:style w:type="table" w:default="1" w:styleId="5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7">
    <w:name w:val="Normal Indent"/>
    <w:basedOn w:val="1"/>
    <w:link w:val="356"/>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279"/>
    <w:semiHidden/>
    <w:qFormat/>
    <w:uiPriority w:val="0"/>
    <w:pPr>
      <w:shd w:val="clear" w:color="auto" w:fill="000080"/>
    </w:pPr>
  </w:style>
  <w:style w:type="paragraph" w:styleId="17">
    <w:name w:val="annotation text"/>
    <w:basedOn w:val="1"/>
    <w:link w:val="208"/>
    <w:semiHidden/>
    <w:qFormat/>
    <w:uiPriority w:val="0"/>
    <w:pPr>
      <w:jc w:val="left"/>
    </w:pPr>
  </w:style>
  <w:style w:type="paragraph" w:styleId="18">
    <w:name w:val="Salutation"/>
    <w:basedOn w:val="1"/>
    <w:next w:val="1"/>
    <w:qFormat/>
    <w:uiPriority w:val="0"/>
    <w:rPr>
      <w:sz w:val="28"/>
    </w:rPr>
  </w:style>
  <w:style w:type="paragraph" w:styleId="19">
    <w:name w:val="Body Text 3"/>
    <w:basedOn w:val="1"/>
    <w:link w:val="342"/>
    <w:qFormat/>
    <w:uiPriority w:val="0"/>
    <w:pPr>
      <w:spacing w:line="500" w:lineRule="exact"/>
    </w:pPr>
    <w:rPr>
      <w:b/>
      <w:bCs/>
      <w:sz w:val="24"/>
    </w:rPr>
  </w:style>
  <w:style w:type="paragraph" w:styleId="20">
    <w:name w:val="Body Text"/>
    <w:basedOn w:val="1"/>
    <w:link w:val="252"/>
    <w:qFormat/>
    <w:uiPriority w:val="0"/>
    <w:pPr>
      <w:spacing w:line="380" w:lineRule="exact"/>
    </w:pPr>
    <w:rPr>
      <w:sz w:val="24"/>
    </w:rPr>
  </w:style>
  <w:style w:type="paragraph" w:styleId="21">
    <w:name w:val="Body Text Indent"/>
    <w:basedOn w:val="1"/>
    <w:link w:val="269"/>
    <w:qFormat/>
    <w:uiPriority w:val="0"/>
    <w:pPr>
      <w:ind w:firstLine="830" w:firstLineChars="352"/>
    </w:pPr>
    <w:rPr>
      <w:rFonts w:ascii="仿宋_GB2312" w:eastAsia="仿宋_GB2312"/>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index 4"/>
    <w:basedOn w:val="1"/>
    <w:next w:val="1"/>
    <w:qFormat/>
    <w:uiPriority w:val="0"/>
    <w:pPr>
      <w:ind w:left="600" w:leftChars="600"/>
    </w:pPr>
  </w:style>
  <w:style w:type="paragraph" w:styleId="26">
    <w:name w:val="toc 5"/>
    <w:basedOn w:val="1"/>
    <w:next w:val="1"/>
    <w:qFormat/>
    <w:uiPriority w:val="39"/>
    <w:pPr>
      <w:ind w:left="1680" w:leftChars="800"/>
    </w:pPr>
    <w:rPr>
      <w:rFonts w:ascii="Calibri" w:hAnsi="Calibri"/>
      <w:szCs w:val="22"/>
    </w:rPr>
  </w:style>
  <w:style w:type="paragraph" w:styleId="27">
    <w:name w:val="toc 3"/>
    <w:basedOn w:val="1"/>
    <w:next w:val="1"/>
    <w:qFormat/>
    <w:uiPriority w:val="39"/>
    <w:pPr>
      <w:ind w:left="840" w:leftChars="400"/>
    </w:pPr>
  </w:style>
  <w:style w:type="paragraph" w:styleId="28">
    <w:name w:val="Plain Text"/>
    <w:basedOn w:val="1"/>
    <w:link w:val="314"/>
    <w:qFormat/>
    <w:uiPriority w:val="0"/>
    <w:rPr>
      <w:rFonts w:ascii="宋体" w:hAnsi="Courier New" w:cs="Courier New"/>
      <w:szCs w:val="21"/>
    </w:rPr>
  </w:style>
  <w:style w:type="paragraph" w:styleId="29">
    <w:name w:val="toc 8"/>
    <w:basedOn w:val="1"/>
    <w:next w:val="1"/>
    <w:qFormat/>
    <w:uiPriority w:val="39"/>
    <w:pPr>
      <w:ind w:left="2940" w:leftChars="1400"/>
    </w:pPr>
    <w:rPr>
      <w:rFonts w:ascii="Calibri" w:hAnsi="Calibri"/>
      <w:szCs w:val="22"/>
    </w:rPr>
  </w:style>
  <w:style w:type="paragraph" w:styleId="30">
    <w:name w:val="Date"/>
    <w:basedOn w:val="1"/>
    <w:next w:val="1"/>
    <w:link w:val="243"/>
    <w:qFormat/>
    <w:uiPriority w:val="0"/>
    <w:pPr>
      <w:ind w:left="100" w:leftChars="2500"/>
    </w:pPr>
    <w:rPr>
      <w:rFonts w:ascii="宋体" w:hAnsi="Courier New" w:cs="Courier New"/>
      <w:szCs w:val="21"/>
    </w:rPr>
  </w:style>
  <w:style w:type="paragraph" w:styleId="31">
    <w:name w:val="Body Text Indent 2"/>
    <w:basedOn w:val="1"/>
    <w:link w:val="321"/>
    <w:qFormat/>
    <w:uiPriority w:val="0"/>
    <w:pPr>
      <w:ind w:firstLine="630"/>
    </w:pPr>
    <w:rPr>
      <w:sz w:val="32"/>
      <w:szCs w:val="20"/>
    </w:rPr>
  </w:style>
  <w:style w:type="paragraph" w:styleId="32">
    <w:name w:val="endnote text"/>
    <w:basedOn w:val="1"/>
    <w:unhideWhenUsed/>
    <w:qFormat/>
    <w:uiPriority w:val="0"/>
    <w:pPr>
      <w:snapToGrid w:val="0"/>
      <w:jc w:val="left"/>
    </w:pPr>
    <w:rPr>
      <w:rFonts w:ascii="Calibri" w:hAnsi="Calibri"/>
      <w:szCs w:val="22"/>
    </w:rPr>
  </w:style>
  <w:style w:type="paragraph" w:styleId="33">
    <w:name w:val="Balloon Text"/>
    <w:basedOn w:val="1"/>
    <w:link w:val="288"/>
    <w:semiHidden/>
    <w:qFormat/>
    <w:uiPriority w:val="0"/>
    <w:rPr>
      <w:sz w:val="18"/>
      <w:szCs w:val="18"/>
    </w:rPr>
  </w:style>
  <w:style w:type="paragraph" w:styleId="34">
    <w:name w:val="footer"/>
    <w:basedOn w:val="1"/>
    <w:link w:val="217"/>
    <w:qFormat/>
    <w:uiPriority w:val="0"/>
    <w:pPr>
      <w:tabs>
        <w:tab w:val="center" w:pos="4153"/>
        <w:tab w:val="right" w:pos="8306"/>
      </w:tabs>
      <w:snapToGrid w:val="0"/>
      <w:jc w:val="left"/>
    </w:pPr>
    <w:rPr>
      <w:sz w:val="18"/>
      <w:szCs w:val="18"/>
    </w:rPr>
  </w:style>
  <w:style w:type="paragraph" w:styleId="35">
    <w:name w:val="header"/>
    <w:basedOn w:val="1"/>
    <w:link w:val="282"/>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360"/>
      </w:tabs>
      <w:spacing w:line="600" w:lineRule="exact"/>
    </w:pPr>
    <w:rPr>
      <w:rFonts w:ascii="宋体" w:hAnsi="宋体"/>
      <w:b/>
      <w:szCs w:val="21"/>
    </w:rPr>
  </w:style>
  <w:style w:type="paragraph" w:styleId="37">
    <w:name w:val="toc 4"/>
    <w:basedOn w:val="1"/>
    <w:next w:val="1"/>
    <w:qFormat/>
    <w:uiPriority w:val="39"/>
    <w:pPr>
      <w:ind w:left="1260" w:leftChars="600"/>
    </w:pPr>
    <w:rPr>
      <w:rFonts w:ascii="Calibri" w:hAnsi="Calibri"/>
      <w:szCs w:val="22"/>
    </w:rPr>
  </w:style>
  <w:style w:type="paragraph" w:styleId="3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334"/>
    <w:qFormat/>
    <w:uiPriority w:val="0"/>
    <w:pPr>
      <w:adjustRightInd w:val="0"/>
      <w:spacing w:line="312" w:lineRule="atLeast"/>
      <w:jc w:val="left"/>
      <w:textAlignment w:val="baseline"/>
    </w:pPr>
    <w:rPr>
      <w:kern w:val="0"/>
      <w:sz w:val="18"/>
      <w:szCs w:val="20"/>
    </w:rPr>
  </w:style>
  <w:style w:type="paragraph" w:styleId="41">
    <w:name w:val="toc 6"/>
    <w:basedOn w:val="1"/>
    <w:next w:val="1"/>
    <w:qFormat/>
    <w:uiPriority w:val="39"/>
    <w:pPr>
      <w:ind w:left="2100" w:leftChars="1000"/>
    </w:pPr>
    <w:rPr>
      <w:rFonts w:ascii="Calibri" w:hAnsi="Calibri"/>
      <w:szCs w:val="22"/>
    </w:rPr>
  </w:style>
  <w:style w:type="paragraph" w:styleId="42">
    <w:name w:val="List 5"/>
    <w:basedOn w:val="1"/>
    <w:qFormat/>
    <w:uiPriority w:val="0"/>
    <w:pPr>
      <w:ind w:left="2100" w:hanging="420"/>
    </w:pPr>
    <w:rPr>
      <w:szCs w:val="20"/>
    </w:rPr>
  </w:style>
  <w:style w:type="paragraph" w:styleId="43">
    <w:name w:val="Body Text Indent 3"/>
    <w:basedOn w:val="1"/>
    <w:link w:val="246"/>
    <w:qFormat/>
    <w:uiPriority w:val="0"/>
    <w:pPr>
      <w:spacing w:after="120"/>
      <w:ind w:left="420" w:leftChars="200"/>
    </w:pPr>
    <w:rPr>
      <w:sz w:val="16"/>
      <w:szCs w:val="16"/>
    </w:rPr>
  </w:style>
  <w:style w:type="paragraph" w:styleId="44">
    <w:name w:val="table of figures"/>
    <w:basedOn w:val="1"/>
    <w:next w:val="1"/>
    <w:semiHidden/>
    <w:qFormat/>
    <w:uiPriority w:val="0"/>
    <w:pPr>
      <w:ind w:left="420" w:hanging="420"/>
      <w:jc w:val="left"/>
    </w:pPr>
    <w:rPr>
      <w:smallCaps/>
      <w:sz w:val="20"/>
      <w:szCs w:val="20"/>
    </w:rPr>
  </w:style>
  <w:style w:type="paragraph" w:styleId="45">
    <w:name w:val="toc 2"/>
    <w:basedOn w:val="1"/>
    <w:next w:val="1"/>
    <w:qFormat/>
    <w:uiPriority w:val="39"/>
    <w:pPr>
      <w:tabs>
        <w:tab w:val="right" w:leader="dot" w:pos="9360"/>
      </w:tabs>
      <w:ind w:left="420" w:leftChars="200"/>
    </w:pPr>
  </w:style>
  <w:style w:type="paragraph" w:styleId="46">
    <w:name w:val="toc 9"/>
    <w:basedOn w:val="1"/>
    <w:next w:val="1"/>
    <w:qFormat/>
    <w:uiPriority w:val="39"/>
    <w:pPr>
      <w:ind w:left="3360" w:leftChars="1600"/>
    </w:pPr>
    <w:rPr>
      <w:rFonts w:ascii="Calibri" w:hAnsi="Calibri"/>
      <w:szCs w:val="22"/>
    </w:rPr>
  </w:style>
  <w:style w:type="paragraph" w:styleId="47">
    <w:name w:val="Body Text 2"/>
    <w:basedOn w:val="1"/>
    <w:link w:val="311"/>
    <w:qFormat/>
    <w:uiPriority w:val="0"/>
    <w:pPr>
      <w:spacing w:after="120" w:line="480" w:lineRule="auto"/>
    </w:pPr>
  </w:style>
  <w:style w:type="paragraph" w:styleId="48">
    <w:name w:val="List 4"/>
    <w:basedOn w:val="1"/>
    <w:qFormat/>
    <w:uiPriority w:val="0"/>
    <w:pPr>
      <w:ind w:left="100" w:leftChars="600" w:hanging="200" w:hangingChars="200"/>
    </w:pPr>
  </w:style>
  <w:style w:type="paragraph" w:styleId="49">
    <w:name w:val="List Continue 2"/>
    <w:basedOn w:val="1"/>
    <w:qFormat/>
    <w:uiPriority w:val="0"/>
    <w:pPr>
      <w:spacing w:after="120"/>
      <w:ind w:left="840" w:leftChars="400"/>
    </w:pPr>
  </w:style>
  <w:style w:type="paragraph" w:styleId="50">
    <w:name w:val="HTML Preformatted"/>
    <w:basedOn w:val="1"/>
    <w:link w:val="2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index 1"/>
    <w:basedOn w:val="1"/>
    <w:next w:val="1"/>
    <w:semiHidden/>
    <w:qFormat/>
    <w:uiPriority w:val="0"/>
    <w:pPr>
      <w:spacing w:line="400" w:lineRule="exact"/>
      <w:ind w:firstLine="420" w:firstLineChars="200"/>
    </w:pPr>
    <w:rPr>
      <w:rFonts w:ascii="宋体" w:hAnsi="Courier New"/>
      <w:b/>
      <w:szCs w:val="20"/>
    </w:rPr>
  </w:style>
  <w:style w:type="paragraph" w:styleId="53">
    <w:name w:val="Title"/>
    <w:basedOn w:val="1"/>
    <w:next w:val="1"/>
    <w:link w:val="280"/>
    <w:qFormat/>
    <w:uiPriority w:val="0"/>
    <w:pPr>
      <w:spacing w:before="240" w:after="60"/>
      <w:jc w:val="center"/>
      <w:outlineLvl w:val="0"/>
    </w:pPr>
    <w:rPr>
      <w:rFonts w:ascii="Cambria" w:hAnsi="Cambria"/>
      <w:b/>
      <w:bCs/>
      <w:sz w:val="32"/>
      <w:szCs w:val="32"/>
    </w:rPr>
  </w:style>
  <w:style w:type="paragraph" w:styleId="54">
    <w:name w:val="annotation subject"/>
    <w:basedOn w:val="17"/>
    <w:next w:val="17"/>
    <w:link w:val="313"/>
    <w:qFormat/>
    <w:uiPriority w:val="0"/>
    <w:rPr>
      <w:b/>
      <w:bCs/>
    </w:rPr>
  </w:style>
  <w:style w:type="paragraph" w:styleId="55">
    <w:name w:val="Body Text First Indent"/>
    <w:basedOn w:val="20"/>
    <w:qFormat/>
    <w:uiPriority w:val="0"/>
    <w:pPr>
      <w:spacing w:after="120" w:line="240" w:lineRule="auto"/>
      <w:ind w:firstLine="420" w:firstLineChars="100"/>
    </w:pPr>
    <w:rPr>
      <w:sz w:val="21"/>
    </w:rPr>
  </w:style>
  <w:style w:type="paragraph" w:styleId="56">
    <w:name w:val="Body Text First Indent 2"/>
    <w:basedOn w:val="21"/>
    <w:qFormat/>
    <w:uiPriority w:val="0"/>
    <w:pPr>
      <w:spacing w:after="120"/>
      <w:ind w:left="420" w:leftChars="200" w:firstLine="420" w:firstLineChars="200"/>
    </w:pPr>
    <w:rPr>
      <w:rFonts w:ascii="Times New Roman" w:eastAsia="宋体"/>
      <w:sz w:val="21"/>
      <w:szCs w:val="24"/>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iCs/>
    </w:rPr>
  </w:style>
  <w:style w:type="character" w:styleId="64">
    <w:name w:val="Hyperlink"/>
    <w:qFormat/>
    <w:uiPriority w:val="99"/>
    <w:rPr>
      <w:color w:val="0000FF"/>
      <w:u w:val="single"/>
    </w:rPr>
  </w:style>
  <w:style w:type="character" w:styleId="65">
    <w:name w:val="HTML Code"/>
    <w:qFormat/>
    <w:uiPriority w:val="0"/>
    <w:rPr>
      <w:rFonts w:ascii="宋体" w:hAnsi="宋体" w:eastAsia="宋体" w:cs="宋体"/>
      <w:sz w:val="24"/>
      <w:szCs w:val="24"/>
    </w:rPr>
  </w:style>
  <w:style w:type="character" w:styleId="66">
    <w:name w:val="annotation reference"/>
    <w:qFormat/>
    <w:uiPriority w:val="0"/>
    <w:rPr>
      <w:sz w:val="21"/>
      <w:szCs w:val="21"/>
    </w:rPr>
  </w:style>
  <w:style w:type="paragraph" w:customStyle="1" w:styleId="67">
    <w:name w:val=" Char"/>
    <w:basedOn w:val="16"/>
    <w:qFormat/>
    <w:uiPriority w:val="0"/>
    <w:pPr>
      <w:widowControl/>
      <w:ind w:firstLine="454"/>
      <w:jc w:val="left"/>
    </w:pPr>
    <w:rPr>
      <w:rFonts w:ascii="Tahoma" w:hAnsi="Tahoma" w:cs="宋体"/>
      <w:kern w:val="0"/>
      <w:sz w:val="24"/>
      <w:szCs w:val="20"/>
    </w:rPr>
  </w:style>
  <w:style w:type="paragraph" w:customStyle="1" w:styleId="6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9">
    <w:name w:val="修订"/>
    <w:qFormat/>
    <w:uiPriority w:val="0"/>
    <w:rPr>
      <w:rFonts w:ascii="Times New Roman" w:hAnsi="Times New Roman" w:eastAsia="宋体" w:cs="Times New Roman"/>
      <w:kern w:val="2"/>
      <w:sz w:val="21"/>
      <w:szCs w:val="24"/>
      <w:lang w:val="en-US" w:eastAsia="zh-CN" w:bidi="ar-SA"/>
    </w:rPr>
  </w:style>
  <w:style w:type="paragraph" w:customStyle="1" w:styleId="70">
    <w:name w:val="TOC 标题"/>
    <w:basedOn w:val="3"/>
    <w:next w:val="1"/>
    <w:qFormat/>
    <w:uiPriority w:val="0"/>
    <w:pPr>
      <w:spacing w:line="576" w:lineRule="auto"/>
      <w:outlineLvl w:val="9"/>
    </w:pPr>
    <w:rPr>
      <w:rFonts w:ascii="Calibri" w:hAnsi="Calibri" w:eastAsia="黑体"/>
    </w:rPr>
  </w:style>
  <w:style w:type="paragraph" w:customStyle="1" w:styleId="71">
    <w:name w:val="列出段落"/>
    <w:basedOn w:val="1"/>
    <w:link w:val="259"/>
    <w:qFormat/>
    <w:uiPriority w:val="99"/>
    <w:pPr>
      <w:ind w:firstLine="420" w:firstLineChars="200"/>
    </w:pPr>
    <w:rPr>
      <w:rFonts w:ascii="Calibri" w:hAnsi="Calibri"/>
      <w:szCs w:val="22"/>
    </w:rPr>
  </w:style>
  <w:style w:type="paragraph" w:customStyle="1" w:styleId="72">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74">
    <w:name w:val=" Char Char Char"/>
    <w:basedOn w:val="16"/>
    <w:qFormat/>
    <w:uiPriority w:val="0"/>
    <w:rPr>
      <w:rFonts w:ascii="Tahoma" w:hAnsi="Tahoma"/>
      <w:sz w:val="24"/>
    </w:rPr>
  </w:style>
  <w:style w:type="paragraph" w:customStyle="1" w:styleId="7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6">
    <w:name w:val="样式1"/>
    <w:basedOn w:val="1"/>
    <w:next w:val="5"/>
    <w:qFormat/>
    <w:uiPriority w:val="0"/>
    <w:pPr>
      <w:spacing w:line="360" w:lineRule="auto"/>
      <w:ind w:firstLine="420" w:firstLineChars="200"/>
    </w:pPr>
    <w:rPr>
      <w:rFonts w:ascii="宋体" w:hAnsi="宋体"/>
      <w:szCs w:val="21"/>
    </w:rPr>
  </w:style>
  <w:style w:type="paragraph" w:customStyle="1" w:styleId="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8">
    <w:name w:val="正文首行缩进两字符"/>
    <w:basedOn w:val="1"/>
    <w:qFormat/>
    <w:uiPriority w:val="0"/>
    <w:pPr>
      <w:spacing w:line="360" w:lineRule="auto"/>
      <w:ind w:firstLine="200" w:firstLineChars="200"/>
    </w:pPr>
  </w:style>
  <w:style w:type="paragraph" w:customStyle="1" w:styleId="7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80">
    <w:name w:val="Char1"/>
    <w:basedOn w:val="1"/>
    <w:qFormat/>
    <w:uiPriority w:val="0"/>
    <w:rPr>
      <w:szCs w:val="21"/>
    </w:rPr>
  </w:style>
  <w:style w:type="paragraph" w:customStyle="1" w:styleId="81">
    <w:name w:val="_Style 37"/>
    <w:basedOn w:val="1"/>
    <w:next w:val="1"/>
    <w:qFormat/>
    <w:uiPriority w:val="0"/>
  </w:style>
  <w:style w:type="paragraph" w:customStyle="1" w:styleId="82">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_Style 35"/>
    <w:basedOn w:val="16"/>
    <w:qFormat/>
    <w:uiPriority w:val="0"/>
    <w:pPr>
      <w:widowControl/>
      <w:ind w:firstLine="454"/>
      <w:jc w:val="left"/>
    </w:pPr>
  </w:style>
  <w:style w:type="paragraph" w:customStyle="1" w:styleId="85">
    <w:name w:val="目录文字"/>
    <w:basedOn w:val="1"/>
    <w:link w:val="219"/>
    <w:qFormat/>
    <w:uiPriority w:val="0"/>
    <w:pPr>
      <w:widowControl/>
      <w:spacing w:line="480" w:lineRule="auto"/>
      <w:jc w:val="left"/>
    </w:pPr>
    <w:rPr>
      <w:rFonts w:ascii="宋体" w:hAnsi="宋体"/>
      <w:kern w:val="0"/>
      <w:sz w:val="24"/>
      <w:szCs w:val="20"/>
    </w:rPr>
  </w:style>
  <w:style w:type="paragraph" w:customStyle="1" w:styleId="86">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7">
    <w:name w:val="Char Char Char Char Char Char Char"/>
    <w:basedOn w:val="1"/>
    <w:qFormat/>
    <w:uiPriority w:val="0"/>
    <w:pPr>
      <w:widowControl/>
      <w:spacing w:after="160" w:line="240" w:lineRule="exact"/>
      <w:jc w:val="left"/>
    </w:pPr>
  </w:style>
  <w:style w:type="paragraph" w:customStyle="1" w:styleId="88">
    <w:name w:val="Char Char1 Char Char Char Char"/>
    <w:basedOn w:val="16"/>
    <w:qFormat/>
    <w:uiPriority w:val="0"/>
    <w:rPr>
      <w:rFonts w:ascii="Tahoma" w:hAnsi="Tahoma"/>
      <w:sz w:val="24"/>
    </w:rPr>
  </w:style>
  <w:style w:type="paragraph" w:customStyle="1" w:styleId="89">
    <w:name w:val="默认段落字体 Para Char Char Char Char Char Char Char Char Char1 Char Char Char Char"/>
    <w:basedOn w:val="1"/>
    <w:qFormat/>
    <w:uiPriority w:val="0"/>
    <w:rPr>
      <w:rFonts w:ascii="Tahoma" w:hAnsi="Tahoma"/>
      <w:sz w:val="24"/>
      <w:szCs w:val="20"/>
    </w:rPr>
  </w:style>
  <w:style w:type="paragraph" w:customStyle="1" w:styleId="90">
    <w:name w:val="1"/>
    <w:basedOn w:val="1"/>
    <w:next w:val="28"/>
    <w:qFormat/>
    <w:uiPriority w:val="0"/>
    <w:rPr>
      <w:rFonts w:ascii="宋体" w:hAnsi="Courier New"/>
      <w:szCs w:val="20"/>
    </w:rPr>
  </w:style>
  <w:style w:type="paragraph" w:customStyle="1" w:styleId="91">
    <w:name w:val="Char Char Char Char Char Char Char Char Char Char Char Char Char Char Char Char"/>
    <w:basedOn w:val="1"/>
    <w:qFormat/>
    <w:uiPriority w:val="0"/>
    <w:pPr>
      <w:tabs>
        <w:tab w:val="left" w:pos="360"/>
      </w:tabs>
      <w:spacing w:line="360" w:lineRule="auto"/>
      <w:ind w:left="482" w:firstLine="200" w:firstLineChars="200"/>
    </w:pPr>
  </w:style>
  <w:style w:type="paragraph" w:customStyle="1" w:styleId="9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93">
    <w:name w:val="默认段落字体 Para Char Char Char Char Char Char Char Char Char Char"/>
    <w:basedOn w:val="1"/>
    <w:qFormat/>
    <w:uiPriority w:val="0"/>
    <w:rPr>
      <w:kern w:val="0"/>
      <w:szCs w:val="20"/>
    </w:rPr>
  </w:style>
  <w:style w:type="paragraph" w:customStyle="1" w:styleId="9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01">
    <w:name w:val="五号正文（标准）"/>
    <w:basedOn w:val="1"/>
    <w:qFormat/>
    <w:uiPriority w:val="0"/>
    <w:pPr>
      <w:spacing w:line="360" w:lineRule="auto"/>
      <w:ind w:right="55" w:firstLine="560" w:firstLineChars="200"/>
    </w:pPr>
    <w:rPr>
      <w:rFonts w:eastAsia="仿宋_GB2312"/>
      <w:sz w:val="28"/>
      <w:szCs w:val="20"/>
    </w:rPr>
  </w:style>
  <w:style w:type="paragraph" w:customStyle="1" w:styleId="102">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 Char1 Char Char Char"/>
    <w:basedOn w:val="1"/>
    <w:qFormat/>
    <w:uiPriority w:val="0"/>
    <w:rPr>
      <w:rFonts w:ascii="Tahoma" w:hAnsi="Tahoma"/>
      <w:sz w:val="24"/>
      <w:szCs w:val="20"/>
    </w:rPr>
  </w:style>
  <w:style w:type="paragraph" w:customStyle="1" w:styleId="104">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105">
    <w:name w:val="菲页2"/>
    <w:basedOn w:val="4"/>
    <w:qFormat/>
    <w:uiPriority w:val="0"/>
    <w:pPr>
      <w:widowControl/>
      <w:tabs>
        <w:tab w:val="left" w:pos="1800"/>
      </w:tabs>
      <w:spacing w:before="120" w:after="120"/>
      <w:ind w:left="1800" w:hanging="420"/>
      <w:jc w:val="center"/>
    </w:pPr>
    <w:rPr>
      <w:rFonts w:ascii="黑体" w:hAnsi="宋体"/>
      <w:b w:val="0"/>
      <w:bCs w:val="0"/>
      <w:kern w:val="0"/>
      <w:sz w:val="44"/>
      <w:szCs w:val="20"/>
      <w:lang w:val="en-US" w:eastAsia="zh-CN"/>
    </w:rPr>
  </w:style>
  <w:style w:type="paragraph" w:customStyle="1" w:styleId="106">
    <w:name w:val="正文文本缩进 Char Char Char Char"/>
    <w:basedOn w:val="1"/>
    <w:qFormat/>
    <w:uiPriority w:val="0"/>
    <w:pPr>
      <w:ind w:firstLine="540"/>
    </w:pPr>
    <w:rPr>
      <w:rFonts w:hint="eastAsia" w:ascii="宋体" w:hAnsi="Courier New"/>
      <w:szCs w:val="20"/>
    </w:rPr>
  </w:style>
  <w:style w:type="paragraph" w:customStyle="1" w:styleId="107">
    <w:name w:val=" Char Char Char Char Char Char Char Char Char Char Char Char Char"/>
    <w:basedOn w:val="16"/>
    <w:qFormat/>
    <w:uiPriority w:val="0"/>
    <w:rPr>
      <w:rFonts w:ascii="Tahoma" w:hAnsi="Tahoma"/>
      <w:sz w:val="24"/>
    </w:rPr>
  </w:style>
  <w:style w:type="paragraph" w:customStyle="1" w:styleId="108">
    <w:name w:val="表内文字"/>
    <w:basedOn w:val="1"/>
    <w:qFormat/>
    <w:uiPriority w:val="0"/>
    <w:pPr>
      <w:snapToGrid w:val="0"/>
      <w:spacing w:line="320" w:lineRule="exact"/>
    </w:pPr>
    <w:rPr>
      <w:rFonts w:ascii="宋体" w:hAnsi="宋体"/>
      <w:szCs w:val="21"/>
    </w:rPr>
  </w:style>
  <w:style w:type="paragraph" w:customStyle="1" w:styleId="109">
    <w:name w:val="样式 标题 3 + (中文) 黑体 小四 非加粗 段前: 7.8 磅 段后: 0 磅 行距: 固定值 20 磅"/>
    <w:basedOn w:val="4"/>
    <w:qFormat/>
    <w:uiPriority w:val="0"/>
    <w:pPr>
      <w:spacing w:line="400" w:lineRule="exact"/>
    </w:pPr>
    <w:rPr>
      <w:rFonts w:cs="宋体"/>
      <w:b w:val="0"/>
      <w:bCs w:val="0"/>
      <w:szCs w:val="20"/>
    </w:rPr>
  </w:style>
  <w:style w:type="paragraph" w:customStyle="1" w:styleId="110">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11">
    <w:name w:val=" Char Char Char Char Char Char Char"/>
    <w:basedOn w:val="1"/>
    <w:qFormat/>
    <w:uiPriority w:val="0"/>
  </w:style>
  <w:style w:type="paragraph" w:customStyle="1" w:styleId="112">
    <w:name w:val="图表中 居中加粗"/>
    <w:basedOn w:val="1"/>
    <w:qFormat/>
    <w:uiPriority w:val="99"/>
    <w:pPr>
      <w:spacing w:line="360" w:lineRule="auto"/>
      <w:jc w:val="center"/>
    </w:pPr>
    <w:rPr>
      <w:rFonts w:cs="宋体"/>
      <w:b/>
      <w:bCs/>
      <w:sz w:val="18"/>
      <w:szCs w:val="18"/>
    </w:rPr>
  </w:style>
  <w:style w:type="paragraph" w:customStyle="1" w:styleId="113">
    <w:name w:val="明显引用"/>
    <w:basedOn w:val="1"/>
    <w:next w:val="1"/>
    <w:link w:val="227"/>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114">
    <w:name w:val="列出段落3"/>
    <w:basedOn w:val="1"/>
    <w:qFormat/>
    <w:uiPriority w:val="99"/>
    <w:pPr>
      <w:ind w:firstLine="420" w:firstLineChars="200"/>
    </w:p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16">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17">
    <w:name w:val="目录4"/>
    <w:basedOn w:val="1"/>
    <w:next w:val="1"/>
    <w:qFormat/>
    <w:uiPriority w:val="0"/>
    <w:pPr>
      <w:widowControl/>
      <w:tabs>
        <w:tab w:val="left" w:leader="dot" w:pos="8503"/>
      </w:tabs>
      <w:spacing w:line="317" w:lineRule="atLeast"/>
      <w:ind w:firstLine="629"/>
      <w:textAlignment w:val="baseline"/>
    </w:pPr>
    <w:rPr>
      <w:color w:val="000000"/>
      <w:kern w:val="0"/>
      <w:szCs w:val="20"/>
      <w:u w:val="none" w:color="000000"/>
    </w:rPr>
  </w:style>
  <w:style w:type="paragraph" w:customStyle="1" w:styleId="118">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val="none" w:color="000000"/>
    </w:rPr>
  </w:style>
  <w:style w:type="paragraph" w:customStyle="1" w:styleId="119">
    <w:name w:val="p16"/>
    <w:basedOn w:val="1"/>
    <w:qFormat/>
    <w:uiPriority w:val="0"/>
    <w:pPr>
      <w:widowControl/>
    </w:pPr>
    <w:rPr>
      <w:rFonts w:ascii="宋体" w:hAnsi="宋体" w:cs="宋体"/>
      <w:kern w:val="0"/>
      <w:szCs w:val="21"/>
    </w:rPr>
  </w:style>
  <w:style w:type="paragraph" w:customStyle="1" w:styleId="120">
    <w:name w:val="ncgp标题2"/>
    <w:basedOn w:val="1"/>
    <w:qFormat/>
    <w:uiPriority w:val="0"/>
    <w:pPr>
      <w:tabs>
        <w:tab w:val="left" w:pos="780"/>
        <w:tab w:val="left" w:pos="1620"/>
      </w:tabs>
      <w:spacing w:beforeLines="50" w:line="360" w:lineRule="auto"/>
      <w:ind w:left="1620" w:hanging="360"/>
      <w:jc w:val="left"/>
      <w:outlineLvl w:val="1"/>
    </w:pPr>
    <w:rPr>
      <w:rFonts w:ascii="Calibri" w:hAnsi="Calibri"/>
      <w:b/>
      <w:sz w:val="24"/>
      <w:szCs w:val="20"/>
    </w:rPr>
  </w:style>
  <w:style w:type="paragraph" w:customStyle="1" w:styleId="121">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444"/>
    <w:basedOn w:val="1"/>
    <w:qFormat/>
    <w:uiPriority w:val="0"/>
    <w:pPr>
      <w:adjustRightInd w:val="0"/>
      <w:spacing w:line="312" w:lineRule="atLeast"/>
      <w:jc w:val="center"/>
      <w:textAlignment w:val="baseline"/>
    </w:pPr>
    <w:rPr>
      <w:b/>
      <w:kern w:val="0"/>
      <w:sz w:val="36"/>
      <w:szCs w:val="36"/>
    </w:rPr>
  </w:style>
  <w:style w:type="paragraph" w:customStyle="1" w:styleId="124">
    <w:name w:val=" 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25">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126">
    <w:name w:val="Plain Text"/>
    <w:basedOn w:val="1"/>
    <w:link w:val="270"/>
    <w:qFormat/>
    <w:uiPriority w:val="0"/>
    <w:rPr>
      <w:rFonts w:ascii="宋体" w:hAnsi="Courier New"/>
      <w:kern w:val="0"/>
      <w:sz w:val="24"/>
      <w:szCs w:val="20"/>
    </w:rPr>
  </w:style>
  <w:style w:type="paragraph" w:customStyle="1" w:styleId="12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28">
    <w:name w:val="菲页(卷)"/>
    <w:basedOn w:val="3"/>
    <w:next w:val="129"/>
    <w:qFormat/>
    <w:uiPriority w:val="0"/>
    <w:pPr>
      <w:keepLines w:val="0"/>
      <w:widowControl/>
      <w:tabs>
        <w:tab w:val="left" w:pos="900"/>
      </w:tabs>
      <w:spacing w:before="0" w:after="0" w:line="240" w:lineRule="auto"/>
      <w:ind w:left="900" w:hanging="360"/>
      <w:jc w:val="center"/>
      <w:outlineLvl w:val="1"/>
    </w:pPr>
    <w:rPr>
      <w:rFonts w:ascii="黑体" w:eastAsia="黑体"/>
      <w:b/>
      <w:bCs/>
      <w:kern w:val="0"/>
      <w:sz w:val="52"/>
      <w:szCs w:val="20"/>
    </w:rPr>
  </w:style>
  <w:style w:type="paragraph" w:customStyle="1" w:styleId="12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0">
    <w:name w:val="菲页1"/>
    <w:basedOn w:val="2"/>
    <w:qFormat/>
    <w:uiPriority w:val="0"/>
    <w:pPr>
      <w:widowControl/>
      <w:spacing w:before="260" w:after="260" w:line="416" w:lineRule="auto"/>
      <w:jc w:val="center"/>
    </w:pPr>
    <w:rPr>
      <w:rFonts w:ascii="黑体" w:hAnsi="宋体" w:eastAsia="宋体"/>
      <w:b w:val="0"/>
      <w:bCs w:val="0"/>
      <w:kern w:val="0"/>
      <w:sz w:val="52"/>
      <w:szCs w:val="20"/>
      <w:lang w:val="en-US" w:eastAsia="zh-CN"/>
    </w:rPr>
  </w:style>
  <w:style w:type="paragraph" w:customStyle="1" w:styleId="131">
    <w:name w:val="F2"/>
    <w:basedOn w:val="1"/>
    <w:qFormat/>
    <w:uiPriority w:val="0"/>
    <w:pPr>
      <w:autoSpaceDE w:val="0"/>
      <w:autoSpaceDN w:val="0"/>
      <w:adjustRightInd w:val="0"/>
      <w:ind w:firstLine="601"/>
      <w:textAlignment w:val="baseline"/>
    </w:pPr>
    <w:rPr>
      <w:kern w:val="0"/>
      <w:sz w:val="24"/>
      <w:szCs w:val="20"/>
    </w:rPr>
  </w:style>
  <w:style w:type="paragraph" w:customStyle="1" w:styleId="132">
    <w:name w:val=" Char Char4 Char Char Char Char"/>
    <w:basedOn w:val="1"/>
    <w:qFormat/>
    <w:uiPriority w:val="0"/>
    <w:pPr>
      <w:widowControl/>
      <w:spacing w:after="160" w:line="240" w:lineRule="exact"/>
      <w:jc w:val="left"/>
    </w:pPr>
  </w:style>
  <w:style w:type="paragraph" w:customStyle="1" w:styleId="133">
    <w:name w:val="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4">
    <w:name w:val="列出段落1"/>
    <w:basedOn w:val="1"/>
    <w:qFormat/>
    <w:uiPriority w:val="0"/>
    <w:pPr>
      <w:ind w:firstLine="420" w:firstLineChars="200"/>
    </w:pPr>
    <w:rPr>
      <w:rFonts w:ascii="Calibri" w:hAnsi="Calibri"/>
      <w:szCs w:val="22"/>
    </w:rPr>
  </w:style>
  <w:style w:type="paragraph" w:customStyle="1" w:styleId="135">
    <w:name w:val=" Char1 Char Char Char Char Char Char"/>
    <w:basedOn w:val="1"/>
    <w:qFormat/>
    <w:uiPriority w:val="0"/>
    <w:rPr>
      <w:rFonts w:ascii="Tahoma" w:hAnsi="Tahoma"/>
      <w:sz w:val="24"/>
      <w:szCs w:val="20"/>
    </w:rPr>
  </w:style>
  <w:style w:type="paragraph" w:customStyle="1" w:styleId="136">
    <w:name w:val="目录2"/>
    <w:basedOn w:val="1"/>
    <w:next w:val="1"/>
    <w:qFormat/>
    <w:uiPriority w:val="0"/>
    <w:pPr>
      <w:widowControl/>
      <w:tabs>
        <w:tab w:val="left" w:leader="dot" w:pos="8503"/>
      </w:tabs>
      <w:spacing w:line="317" w:lineRule="atLeast"/>
      <w:ind w:firstLine="209"/>
      <w:textAlignment w:val="baseline"/>
    </w:pPr>
    <w:rPr>
      <w:color w:val="000000"/>
      <w:kern w:val="0"/>
      <w:szCs w:val="20"/>
      <w:u w:val="none" w:color="000000"/>
    </w:rPr>
  </w:style>
  <w:style w:type="paragraph" w:customStyle="1" w:styleId="137">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val="none" w:color="000000"/>
    </w:rPr>
  </w:style>
  <w:style w:type="paragraph" w:customStyle="1" w:styleId="138">
    <w:name w:val="Char Char Char Char Char Char Char Char Char"/>
    <w:basedOn w:val="1"/>
    <w:qFormat/>
    <w:uiPriority w:val="0"/>
    <w:pPr>
      <w:widowControl/>
      <w:spacing w:after="160" w:line="240" w:lineRule="exact"/>
      <w:jc w:val="left"/>
    </w:pPr>
    <w:rPr>
      <w:szCs w:val="20"/>
    </w:rPr>
  </w:style>
  <w:style w:type="paragraph" w:customStyle="1" w:styleId="139">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0">
    <w:name w:val="次小点说明 Char"/>
    <w:basedOn w:val="7"/>
    <w:qFormat/>
    <w:uiPriority w:val="0"/>
    <w:pPr>
      <w:ind w:firstLine="0"/>
    </w:pPr>
    <w:rPr>
      <w:sz w:val="24"/>
      <w:szCs w:val="24"/>
    </w:rPr>
  </w:style>
  <w:style w:type="paragraph" w:customStyle="1" w:styleId="14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3">
    <w:name w:val="表格"/>
    <w:basedOn w:val="1"/>
    <w:qFormat/>
    <w:uiPriority w:val="0"/>
    <w:pPr>
      <w:spacing w:line="400" w:lineRule="exact"/>
    </w:pPr>
    <w:rPr>
      <w:sz w:val="24"/>
    </w:rPr>
  </w:style>
  <w:style w:type="paragraph" w:customStyle="1" w:styleId="14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5">
    <w:name w:val="Char Char Char"/>
    <w:basedOn w:val="1"/>
    <w:qFormat/>
    <w:uiPriority w:val="0"/>
    <w:rPr>
      <w:rFonts w:ascii="Tahoma" w:hAnsi="Tahoma"/>
      <w:sz w:val="24"/>
      <w:szCs w:val="20"/>
    </w:rPr>
  </w:style>
  <w:style w:type="paragraph" w:customStyle="1" w:styleId="146">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47">
    <w:name w:val="Body"/>
    <w:basedOn w:val="1"/>
    <w:qFormat/>
    <w:uiPriority w:val="0"/>
    <w:pPr>
      <w:widowControl/>
      <w:tabs>
        <w:tab w:val="left" w:pos="1980"/>
      </w:tabs>
      <w:spacing w:before="80" w:after="80" w:line="360" w:lineRule="auto"/>
      <w:jc w:val="center"/>
    </w:pPr>
    <w:rPr>
      <w:szCs w:val="21"/>
    </w:rPr>
  </w:style>
  <w:style w:type="paragraph" w:customStyle="1" w:styleId="148">
    <w:name w:val="引用"/>
    <w:basedOn w:val="1"/>
    <w:next w:val="1"/>
    <w:link w:val="230"/>
    <w:qFormat/>
    <w:uiPriority w:val="0"/>
    <w:rPr>
      <w:i/>
      <w:iCs/>
      <w:color w:val="000000"/>
      <w:kern w:val="0"/>
      <w:sz w:val="20"/>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0">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51">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标题3"/>
    <w:basedOn w:val="4"/>
    <w:qFormat/>
    <w:uiPriority w:val="0"/>
    <w:pPr>
      <w:keepLines w:val="0"/>
      <w:widowControl/>
      <w:tabs>
        <w:tab w:val="left" w:pos="1247"/>
      </w:tabs>
      <w:spacing w:before="240" w:after="120"/>
      <w:ind w:left="1247" w:hanging="1247"/>
      <w:jc w:val="left"/>
    </w:pPr>
    <w:rPr>
      <w:rFonts w:ascii="Arial" w:hAnsi="Arial" w:eastAsia="宋体"/>
      <w:kern w:val="0"/>
      <w:sz w:val="52"/>
      <w:szCs w:val="52"/>
      <w:lang w:val="en-US" w:eastAsia="zh-CN"/>
    </w:rPr>
  </w:style>
  <w:style w:type="paragraph" w:customStyle="1" w:styleId="153">
    <w:name w:val="目录3"/>
    <w:basedOn w:val="1"/>
    <w:next w:val="1"/>
    <w:qFormat/>
    <w:uiPriority w:val="0"/>
    <w:pPr>
      <w:widowControl/>
      <w:tabs>
        <w:tab w:val="left" w:leader="dot" w:pos="8503"/>
      </w:tabs>
      <w:spacing w:line="317" w:lineRule="atLeast"/>
      <w:ind w:firstLine="419"/>
      <w:textAlignment w:val="baseline"/>
    </w:pPr>
    <w:rPr>
      <w:color w:val="000000"/>
      <w:kern w:val="0"/>
      <w:szCs w:val="20"/>
      <w:u w:val="none" w:color="000000"/>
    </w:rPr>
  </w:style>
  <w:style w:type="paragraph" w:customStyle="1" w:styleId="154">
    <w:name w:val=" Char2"/>
    <w:basedOn w:val="1"/>
    <w:qFormat/>
    <w:uiPriority w:val="0"/>
    <w:pPr>
      <w:widowControl/>
      <w:spacing w:after="160" w:line="240" w:lineRule="exact"/>
      <w:jc w:val="left"/>
    </w:pPr>
    <w:rPr>
      <w:rFonts w:ascii="Verdana" w:hAnsi="Verdana"/>
      <w:kern w:val="0"/>
      <w:szCs w:val="20"/>
      <w:lang w:eastAsia="en-US"/>
    </w:rPr>
  </w:style>
  <w:style w:type="paragraph" w:customStyle="1" w:styleId="155">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156">
    <w:name w:val=" Char Char1 Char Char Char Char"/>
    <w:basedOn w:val="16"/>
    <w:qFormat/>
    <w:uiPriority w:val="0"/>
    <w:rPr>
      <w:rFonts w:ascii="Tahoma" w:hAnsi="Tahoma"/>
      <w:sz w:val="24"/>
    </w:rPr>
  </w:style>
  <w:style w:type="paragraph" w:customStyle="1" w:styleId="157">
    <w:name w:val="正文段"/>
    <w:basedOn w:val="1"/>
    <w:qFormat/>
    <w:uiPriority w:val="0"/>
    <w:pPr>
      <w:widowControl/>
      <w:snapToGrid w:val="0"/>
      <w:spacing w:after="50" w:afterLines="50"/>
      <w:ind w:firstLine="200" w:firstLineChars="200"/>
    </w:pPr>
    <w:rPr>
      <w:kern w:val="0"/>
      <w:sz w:val="24"/>
      <w:szCs w:val="20"/>
    </w:rPr>
  </w:style>
  <w:style w:type="paragraph" w:customStyle="1" w:styleId="158">
    <w:name w:val="tgt1"/>
    <w:basedOn w:val="1"/>
    <w:qFormat/>
    <w:uiPriority w:val="0"/>
    <w:pPr>
      <w:widowControl/>
      <w:spacing w:after="150"/>
      <w:jc w:val="left"/>
    </w:pPr>
    <w:rPr>
      <w:rFonts w:ascii="宋体" w:hAnsi="宋体" w:cs="宋体"/>
      <w:kern w:val="0"/>
      <w:sz w:val="24"/>
    </w:rPr>
  </w:style>
  <w:style w:type="paragraph" w:customStyle="1" w:styleId="159">
    <w:name w:val="节标题"/>
    <w:basedOn w:val="1"/>
    <w:next w:val="160"/>
    <w:qFormat/>
    <w:uiPriority w:val="0"/>
    <w:pPr>
      <w:widowControl/>
      <w:spacing w:line="289" w:lineRule="atLeast"/>
      <w:jc w:val="center"/>
      <w:textAlignment w:val="baseline"/>
    </w:pPr>
    <w:rPr>
      <w:color w:val="000000"/>
      <w:kern w:val="0"/>
      <w:sz w:val="28"/>
      <w:szCs w:val="20"/>
      <w:u w:val="none" w:color="000000"/>
    </w:rPr>
  </w:style>
  <w:style w:type="paragraph" w:customStyle="1" w:styleId="160">
    <w:name w:val="小节标题"/>
    <w:basedOn w:val="1"/>
    <w:next w:val="1"/>
    <w:qFormat/>
    <w:uiPriority w:val="0"/>
    <w:pPr>
      <w:widowControl/>
      <w:spacing w:before="175" w:after="102" w:line="351" w:lineRule="atLeast"/>
      <w:textAlignment w:val="baseline"/>
    </w:pPr>
    <w:rPr>
      <w:rFonts w:eastAsia="黑体"/>
      <w:color w:val="000000"/>
      <w:kern w:val="0"/>
      <w:szCs w:val="20"/>
      <w:u w:val="none" w:color="000000"/>
    </w:rPr>
  </w:style>
  <w:style w:type="paragraph" w:customStyle="1" w:styleId="161">
    <w:name w:val="Report Text"/>
    <w:basedOn w:val="1"/>
    <w:link w:val="207"/>
    <w:qFormat/>
    <w:uiPriority w:val="0"/>
    <w:pPr>
      <w:widowControl/>
      <w:spacing w:before="240" w:after="120"/>
      <w:ind w:left="1080"/>
    </w:pPr>
    <w:rPr>
      <w:rFonts w:ascii="Arial" w:hAnsi="Arial" w:cs="Tahoma"/>
      <w:kern w:val="28"/>
      <w:sz w:val="22"/>
      <w:szCs w:val="20"/>
    </w:rPr>
  </w:style>
  <w:style w:type="paragraph" w:customStyle="1" w:styleId="162">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3">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64">
    <w:name w:val="1ji"/>
    <w:basedOn w:val="3"/>
    <w:link w:val="206"/>
    <w:qFormat/>
    <w:uiPriority w:val="0"/>
    <w:pPr>
      <w:keepLines w:val="0"/>
      <w:widowControl/>
      <w:spacing w:before="0" w:after="0" w:line="240" w:lineRule="auto"/>
      <w:jc w:val="center"/>
    </w:pPr>
    <w:rPr>
      <w:rFonts w:ascii="宋体" w:hAnsi="宋体"/>
      <w:sz w:val="36"/>
    </w:rPr>
  </w:style>
  <w:style w:type="paragraph" w:customStyle="1" w:styleId="165">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p15"/>
    <w:basedOn w:val="1"/>
    <w:qFormat/>
    <w:uiPriority w:val="0"/>
    <w:pPr>
      <w:widowControl/>
    </w:pPr>
    <w:rPr>
      <w:rFonts w:ascii="宋体" w:hAnsi="宋体" w:cs="宋体"/>
      <w:kern w:val="0"/>
      <w:szCs w:val="21"/>
    </w:rPr>
  </w:style>
  <w:style w:type="paragraph" w:customStyle="1" w:styleId="167">
    <w:name w:val="Char"/>
    <w:basedOn w:val="16"/>
    <w:qFormat/>
    <w:uiPriority w:val="0"/>
    <w:pPr>
      <w:widowControl/>
      <w:ind w:firstLine="454"/>
      <w:jc w:val="left"/>
    </w:pPr>
    <w:rPr>
      <w:rFonts w:ascii="Tahoma" w:hAnsi="Tahoma" w:cs="宋体"/>
      <w:kern w:val="0"/>
      <w:sz w:val="24"/>
      <w:szCs w:val="20"/>
    </w:rPr>
  </w:style>
  <w:style w:type="paragraph" w:customStyle="1" w:styleId="168">
    <w:name w:val="2-2ji"/>
    <w:basedOn w:val="2"/>
    <w:qFormat/>
    <w:uiPriority w:val="0"/>
    <w:pPr>
      <w:spacing w:before="0" w:after="0" w:line="360" w:lineRule="auto"/>
      <w:jc w:val="center"/>
    </w:pPr>
    <w:rPr>
      <w:rFonts w:ascii="宋体" w:hAnsi="宋体" w:eastAsia="宋体"/>
      <w:sz w:val="36"/>
      <w:szCs w:val="24"/>
    </w:rPr>
  </w:style>
  <w:style w:type="paragraph" w:customStyle="1" w:styleId="169">
    <w:name w:val="文章附标题"/>
    <w:basedOn w:val="1"/>
    <w:next w:val="3"/>
    <w:qFormat/>
    <w:uiPriority w:val="0"/>
    <w:pPr>
      <w:widowControl/>
      <w:spacing w:before="187" w:after="175" w:line="374" w:lineRule="atLeast"/>
      <w:jc w:val="center"/>
      <w:textAlignment w:val="baseline"/>
    </w:pPr>
    <w:rPr>
      <w:color w:val="000000"/>
      <w:kern w:val="0"/>
      <w:sz w:val="36"/>
      <w:szCs w:val="20"/>
      <w:u w:val="none" w:color="000000"/>
    </w:rPr>
  </w:style>
  <w:style w:type="paragraph" w:customStyle="1" w:styleId="170">
    <w:name w:val="样式3"/>
    <w:basedOn w:val="20"/>
    <w:qFormat/>
    <w:uiPriority w:val="0"/>
    <w:pPr>
      <w:spacing w:after="120" w:line="360" w:lineRule="auto"/>
    </w:pPr>
    <w:rPr>
      <w:rFonts w:ascii="宋体"/>
      <w:sz w:val="21"/>
    </w:rPr>
  </w:style>
  <w:style w:type="paragraph" w:customStyle="1" w:styleId="17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 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4">
    <w:name w:val="Char Char Char Char Char Char1 Char"/>
    <w:basedOn w:val="16"/>
    <w:qFormat/>
    <w:uiPriority w:val="0"/>
    <w:rPr>
      <w:rFonts w:ascii="Tahoma" w:hAnsi="Tahoma"/>
      <w:sz w:val="24"/>
    </w:rPr>
  </w:style>
  <w:style w:type="paragraph" w:customStyle="1" w:styleId="175">
    <w:name w:val="_Style 5"/>
    <w:basedOn w:val="1"/>
    <w:qFormat/>
    <w:uiPriority w:val="0"/>
    <w:pPr>
      <w:spacing w:after="78" w:afterLines="25"/>
    </w:pPr>
    <w:rPr>
      <w:rFonts w:ascii="Arial" w:hAnsi="Arial"/>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77">
    <w:name w:val="样式 标题 2 + (西文) 宋体 非加粗 居中"/>
    <w:basedOn w:val="2"/>
    <w:qFormat/>
    <w:uiPriority w:val="0"/>
    <w:pPr>
      <w:spacing w:before="260" w:after="260" w:line="416" w:lineRule="auto"/>
      <w:jc w:val="center"/>
    </w:pPr>
    <w:rPr>
      <w:rFonts w:ascii="宋体" w:hAnsi="宋体" w:cs="宋体"/>
      <w:b w:val="0"/>
      <w:bCs w:val="0"/>
      <w:spacing w:val="2"/>
      <w:kern w:val="0"/>
      <w:sz w:val="28"/>
      <w:szCs w:val="20"/>
    </w:rPr>
  </w:style>
  <w:style w:type="paragraph" w:customStyle="1" w:styleId="178">
    <w:name w:val="p0"/>
    <w:basedOn w:val="1"/>
    <w:qFormat/>
    <w:uiPriority w:val="0"/>
    <w:pPr>
      <w:widowControl/>
    </w:pPr>
    <w:rPr>
      <w:rFonts w:ascii="Calibri" w:hAnsi="Calibri" w:cs="宋体"/>
      <w:kern w:val="0"/>
      <w:szCs w:val="21"/>
    </w:rPr>
  </w:style>
  <w:style w:type="paragraph" w:customStyle="1" w:styleId="179">
    <w:name w:val="List Paragraph"/>
    <w:basedOn w:val="1"/>
    <w:qFormat/>
    <w:uiPriority w:val="0"/>
    <w:pPr>
      <w:ind w:firstLine="420" w:firstLineChars="200"/>
    </w:pPr>
    <w:rPr>
      <w:rFonts w:ascii="Calibri" w:hAnsi="Calibri"/>
      <w:szCs w:val="2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默认段落字体 Para Char"/>
    <w:basedOn w:val="1"/>
    <w:qFormat/>
    <w:uiPriority w:val="0"/>
    <w:pPr>
      <w:adjustRightInd w:val="0"/>
      <w:spacing w:line="360" w:lineRule="auto"/>
    </w:pPr>
    <w:rPr>
      <w:kern w:val="0"/>
      <w:sz w:val="24"/>
      <w:szCs w:val="20"/>
    </w:rPr>
  </w:style>
  <w:style w:type="paragraph" w:customStyle="1" w:styleId="182">
    <w:name w:val="样式 首行缩进:  2 字符"/>
    <w:basedOn w:val="1"/>
    <w:qFormat/>
    <w:uiPriority w:val="0"/>
    <w:pPr>
      <w:spacing w:line="400" w:lineRule="exact"/>
      <w:ind w:firstLine="200" w:firstLineChars="200"/>
    </w:pPr>
    <w:rPr>
      <w:rFonts w:cs="宋体"/>
      <w:sz w:val="24"/>
    </w:rPr>
  </w:style>
  <w:style w:type="paragraph" w:customStyle="1" w:styleId="183">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kern w:val="0"/>
      <w:sz w:val="28"/>
      <w:szCs w:val="20"/>
    </w:rPr>
  </w:style>
  <w:style w:type="paragraph" w:customStyle="1" w:styleId="184">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文章总标题"/>
    <w:basedOn w:val="1"/>
    <w:next w:val="169"/>
    <w:qFormat/>
    <w:uiPriority w:val="0"/>
    <w:pPr>
      <w:widowControl/>
      <w:spacing w:before="566" w:after="544" w:line="566" w:lineRule="atLeast"/>
      <w:jc w:val="center"/>
      <w:textAlignment w:val="baseline"/>
    </w:pPr>
    <w:rPr>
      <w:rFonts w:ascii="Arial" w:eastAsia="黑体"/>
      <w:color w:val="000000"/>
      <w:kern w:val="0"/>
      <w:sz w:val="54"/>
      <w:szCs w:val="20"/>
      <w:u w:val="none" w:color="000000"/>
    </w:rPr>
  </w:style>
  <w:style w:type="paragraph" w:customStyle="1" w:styleId="186">
    <w:name w:val="2ji"/>
    <w:basedOn w:val="2"/>
    <w:qFormat/>
    <w:uiPriority w:val="0"/>
    <w:pPr>
      <w:adjustRightInd w:val="0"/>
      <w:spacing w:before="0" w:after="0" w:line="360" w:lineRule="auto"/>
      <w:textAlignment w:val="baseline"/>
    </w:pPr>
    <w:rPr>
      <w:rFonts w:ascii="宋体" w:hAnsi="宋体" w:eastAsia="宋体"/>
      <w:kern w:val="0"/>
      <w:szCs w:val="21"/>
      <w:lang w:val="en-US" w:eastAsia="zh-CN"/>
    </w:rPr>
  </w:style>
  <w:style w:type="paragraph" w:customStyle="1" w:styleId="187">
    <w:name w:val="自定义标题一"/>
    <w:basedOn w:val="3"/>
    <w:link w:val="205"/>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paragraph" w:customStyle="1" w:styleId="188">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18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0">
    <w:name w:val="标题5"/>
    <w:basedOn w:val="4"/>
    <w:link w:val="347"/>
    <w:qFormat/>
    <w:uiPriority w:val="0"/>
    <w:pPr>
      <w:spacing w:before="260" w:after="260" w:line="413" w:lineRule="auto"/>
    </w:pPr>
    <w:rPr>
      <w:rFonts w:ascii="Arial" w:hAnsi="Arial" w:eastAsia="宋体"/>
      <w:kern w:val="0"/>
      <w:sz w:val="24"/>
    </w:rPr>
  </w:style>
  <w:style w:type="paragraph" w:customStyle="1" w:styleId="19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2">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目录"/>
    <w:basedOn w:val="1"/>
    <w:qFormat/>
    <w:uiPriority w:val="0"/>
    <w:pPr>
      <w:widowControl/>
      <w:jc w:val="center"/>
    </w:pPr>
    <w:rPr>
      <w:rFonts w:ascii="宋体"/>
      <w:b/>
      <w:kern w:val="0"/>
      <w:sz w:val="36"/>
      <w:szCs w:val="20"/>
    </w:rPr>
  </w:style>
  <w:style w:type="paragraph" w:customStyle="1" w:styleId="194">
    <w:name w:val="无间隔"/>
    <w:link w:val="2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Report List"/>
    <w:basedOn w:val="1"/>
    <w:qFormat/>
    <w:uiPriority w:val="0"/>
    <w:pPr>
      <w:widowControl/>
      <w:numPr>
        <w:ilvl w:val="0"/>
        <w:numId w:val="3"/>
      </w:numPr>
      <w:spacing w:before="120" w:after="120"/>
    </w:pPr>
    <w:rPr>
      <w:rFonts w:ascii="Arial" w:hAnsi="Arial" w:cs="Tahoma"/>
      <w:kern w:val="28"/>
      <w:sz w:val="22"/>
      <w:szCs w:val="20"/>
    </w:rPr>
  </w:style>
  <w:style w:type="paragraph" w:customStyle="1" w:styleId="196">
    <w:name w:val="Char Char Char1 Char"/>
    <w:basedOn w:val="1"/>
    <w:qFormat/>
    <w:uiPriority w:val="0"/>
    <w:pPr>
      <w:tabs>
        <w:tab w:val="left" w:pos="360"/>
      </w:tabs>
      <w:spacing w:line="360" w:lineRule="auto"/>
      <w:ind w:left="482" w:firstLine="200" w:firstLineChars="200"/>
    </w:pPr>
    <w:rPr>
      <w:rFonts w:ascii="宋体"/>
      <w:sz w:val="24"/>
      <w:szCs w:val="20"/>
    </w:rPr>
  </w:style>
  <w:style w:type="character" w:customStyle="1" w:styleId="197">
    <w:name w:val="Para head"/>
    <w:qFormat/>
    <w:uiPriority w:val="0"/>
    <w:rPr>
      <w:rFonts w:ascii="Arial" w:hAnsi="Arial" w:eastAsia="Times New Roman"/>
      <w:sz w:val="20"/>
    </w:rPr>
  </w:style>
  <w:style w:type="character" w:customStyle="1" w:styleId="198">
    <w:name w:val="Char Char6"/>
    <w:qFormat/>
    <w:uiPriority w:val="0"/>
    <w:rPr>
      <w:rFonts w:eastAsia="宋体"/>
      <w:b/>
      <w:bCs/>
      <w:kern w:val="44"/>
      <w:sz w:val="32"/>
      <w:szCs w:val="44"/>
      <w:lang w:val="en-US" w:eastAsia="zh-CN" w:bidi="ar-SA"/>
    </w:rPr>
  </w:style>
  <w:style w:type="character" w:customStyle="1" w:styleId="199">
    <w:name w:val="header odd Char Char"/>
    <w:qFormat/>
    <w:uiPriority w:val="0"/>
    <w:rPr>
      <w:rFonts w:ascii="宋体" w:hAnsi="Courier New" w:eastAsia="宋体"/>
      <w:kern w:val="2"/>
      <w:sz w:val="18"/>
      <w:lang w:val="en-US" w:eastAsia="zh-CN" w:bidi="ar-SA"/>
    </w:rPr>
  </w:style>
  <w:style w:type="character" w:customStyle="1" w:styleId="200">
    <w:name w:val="Body Text Char"/>
    <w:qFormat/>
    <w:locked/>
    <w:uiPriority w:val="0"/>
    <w:rPr>
      <w:rFonts w:eastAsia="宋体"/>
      <w:kern w:val="2"/>
      <w:sz w:val="24"/>
      <w:szCs w:val="24"/>
      <w:lang w:val="en-US" w:eastAsia="zh-CN" w:bidi="ar-SA"/>
    </w:rPr>
  </w:style>
  <w:style w:type="character" w:customStyle="1" w:styleId="201">
    <w:name w:val="unnamed3"/>
    <w:basedOn w:val="59"/>
    <w:qFormat/>
    <w:uiPriority w:val="0"/>
  </w:style>
  <w:style w:type="character" w:customStyle="1" w:styleId="202">
    <w:name w:val="标题 4 Char"/>
    <w:link w:val="5"/>
    <w:qFormat/>
    <w:uiPriority w:val="0"/>
    <w:rPr>
      <w:rFonts w:ascii="Arial" w:hAnsi="Arial" w:eastAsia="宋体"/>
      <w:b/>
      <w:bCs/>
      <w:kern w:val="2"/>
      <w:sz w:val="21"/>
      <w:szCs w:val="28"/>
      <w:lang w:val="en-US" w:eastAsia="zh-CN" w:bidi="ar-SA"/>
    </w:rPr>
  </w:style>
  <w:style w:type="character" w:customStyle="1" w:styleId="203">
    <w:name w:val="明显参考"/>
    <w:qFormat/>
    <w:uiPriority w:val="0"/>
    <w:rPr>
      <w:b/>
      <w:bCs/>
      <w:smallCaps/>
      <w:color w:val="C0504D"/>
      <w:spacing w:val="5"/>
      <w:u w:val="single"/>
    </w:rPr>
  </w:style>
  <w:style w:type="character" w:customStyle="1" w:styleId="204">
    <w:name w:val=" Char Char9"/>
    <w:qFormat/>
    <w:uiPriority w:val="0"/>
    <w:rPr>
      <w:rFonts w:eastAsia="宋体"/>
      <w:sz w:val="24"/>
      <w:lang w:bidi="ar-SA"/>
    </w:rPr>
  </w:style>
  <w:style w:type="character" w:customStyle="1" w:styleId="205">
    <w:name w:val="自定义标题一 Char"/>
    <w:link w:val="187"/>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06">
    <w:name w:val="1ji Char"/>
    <w:link w:val="164"/>
    <w:qFormat/>
    <w:uiPriority w:val="0"/>
    <w:rPr>
      <w:rFonts w:ascii="宋体" w:hAnsi="宋体" w:eastAsia="宋体"/>
      <w:b/>
      <w:bCs/>
      <w:kern w:val="44"/>
      <w:sz w:val="36"/>
      <w:szCs w:val="44"/>
      <w:lang w:val="en-US" w:eastAsia="zh-CN" w:bidi="ar-SA"/>
    </w:rPr>
  </w:style>
  <w:style w:type="character" w:customStyle="1" w:styleId="207">
    <w:name w:val="Report Text Char"/>
    <w:link w:val="161"/>
    <w:qFormat/>
    <w:uiPriority w:val="0"/>
    <w:rPr>
      <w:rFonts w:ascii="Arial" w:hAnsi="Arial" w:eastAsia="宋体" w:cs="Tahoma"/>
      <w:kern w:val="28"/>
      <w:sz w:val="22"/>
      <w:lang w:val="en-US" w:eastAsia="zh-CN" w:bidi="ar-SA"/>
    </w:rPr>
  </w:style>
  <w:style w:type="character" w:customStyle="1" w:styleId="208">
    <w:name w:val="批注文字 Char3"/>
    <w:link w:val="17"/>
    <w:qFormat/>
    <w:uiPriority w:val="0"/>
    <w:rPr>
      <w:rFonts w:eastAsia="宋体"/>
      <w:kern w:val="2"/>
      <w:sz w:val="21"/>
      <w:szCs w:val="24"/>
      <w:lang w:val="en-US" w:eastAsia="zh-CN" w:bidi="ar-SA"/>
    </w:rPr>
  </w:style>
  <w:style w:type="character" w:customStyle="1" w:styleId="209">
    <w:name w:val="apple-converted-space"/>
    <w:basedOn w:val="59"/>
    <w:qFormat/>
    <w:uiPriority w:val="0"/>
  </w:style>
  <w:style w:type="character" w:customStyle="1" w:styleId="210">
    <w:name w:val=" Char Char20"/>
    <w:qFormat/>
    <w:uiPriority w:val="0"/>
    <w:rPr>
      <w:rFonts w:eastAsia="宋体"/>
      <w:b/>
      <w:kern w:val="2"/>
      <w:sz w:val="24"/>
      <w:szCs w:val="24"/>
      <w:lang w:val="en-US" w:eastAsia="zh-CN" w:bidi="ar-SA"/>
    </w:rPr>
  </w:style>
  <w:style w:type="character" w:customStyle="1" w:styleId="211">
    <w:name w:val="Comment Text Char"/>
    <w:qFormat/>
    <w:uiPriority w:val="0"/>
    <w:rPr>
      <w:rFonts w:cs="Times New Roman"/>
      <w:sz w:val="24"/>
      <w:szCs w:val="24"/>
    </w:rPr>
  </w:style>
  <w:style w:type="character" w:customStyle="1" w:styleId="212">
    <w:name w:val=" Char Char21"/>
    <w:qFormat/>
    <w:uiPriority w:val="0"/>
    <w:rPr>
      <w:rFonts w:ascii="Arial" w:hAnsi="Arial" w:eastAsia="黑体"/>
      <w:b/>
      <w:kern w:val="2"/>
      <w:sz w:val="24"/>
      <w:szCs w:val="24"/>
      <w:lang w:val="en-US" w:eastAsia="zh-CN" w:bidi="ar-SA"/>
    </w:rPr>
  </w:style>
  <w:style w:type="character" w:customStyle="1" w:styleId="213">
    <w:name w:val="Heading 4 Char"/>
    <w:qFormat/>
    <w:uiPriority w:val="0"/>
    <w:rPr>
      <w:rFonts w:ascii="Arial" w:hAnsi="Arial" w:eastAsia="宋体"/>
      <w:b/>
      <w:bCs/>
      <w:kern w:val="2"/>
      <w:sz w:val="21"/>
      <w:szCs w:val="28"/>
      <w:lang w:val="en-US" w:eastAsia="zh-CN" w:bidi="ar-SA"/>
    </w:rPr>
  </w:style>
  <w:style w:type="character" w:customStyle="1" w:styleId="214">
    <w:name w:val="H1 Char"/>
    <w:qFormat/>
    <w:uiPriority w:val="0"/>
    <w:rPr>
      <w:rFonts w:eastAsia="宋体"/>
      <w:b/>
      <w:bCs/>
      <w:kern w:val="44"/>
      <w:sz w:val="44"/>
      <w:szCs w:val="44"/>
      <w:lang w:val="en-US" w:eastAsia="zh-CN" w:bidi="ar-SA"/>
    </w:rPr>
  </w:style>
  <w:style w:type="character" w:customStyle="1" w:styleId="215">
    <w:name w:val="Heading 5 Char"/>
    <w:qFormat/>
    <w:uiPriority w:val="0"/>
    <w:rPr>
      <w:rFonts w:eastAsia="宋体"/>
      <w:b/>
      <w:bCs/>
      <w:kern w:val="2"/>
      <w:sz w:val="28"/>
      <w:szCs w:val="28"/>
      <w:lang w:val="en-US" w:eastAsia="zh-CN" w:bidi="ar-SA"/>
    </w:rPr>
  </w:style>
  <w:style w:type="character" w:customStyle="1" w:styleId="216">
    <w:name w:val="apple-style-span"/>
    <w:basedOn w:val="59"/>
    <w:qFormat/>
    <w:uiPriority w:val="0"/>
  </w:style>
  <w:style w:type="character" w:customStyle="1" w:styleId="217">
    <w:name w:val="页脚 Char"/>
    <w:link w:val="34"/>
    <w:qFormat/>
    <w:uiPriority w:val="0"/>
    <w:rPr>
      <w:rFonts w:eastAsia="宋体"/>
      <w:kern w:val="2"/>
      <w:sz w:val="18"/>
      <w:szCs w:val="18"/>
      <w:lang w:val="en-US" w:eastAsia="zh-CN" w:bidi="ar-SA"/>
    </w:rPr>
  </w:style>
  <w:style w:type="character" w:customStyle="1" w:styleId="218">
    <w:name w:val="small"/>
    <w:basedOn w:val="59"/>
    <w:qFormat/>
    <w:uiPriority w:val="0"/>
  </w:style>
  <w:style w:type="character" w:customStyle="1" w:styleId="219">
    <w:name w:val="目录文字 Char"/>
    <w:link w:val="85"/>
    <w:qFormat/>
    <w:locked/>
    <w:uiPriority w:val="0"/>
    <w:rPr>
      <w:rFonts w:ascii="宋体" w:hAnsi="宋体" w:eastAsia="宋体"/>
      <w:sz w:val="24"/>
      <w:lang w:val="en-US" w:eastAsia="zh-CN" w:bidi="ar-SA"/>
    </w:rPr>
  </w:style>
  <w:style w:type="character" w:customStyle="1" w:styleId="220">
    <w:name w:val=" Char Char27"/>
    <w:qFormat/>
    <w:uiPriority w:val="0"/>
    <w:rPr>
      <w:rFonts w:eastAsia="宋体"/>
      <w:b/>
      <w:bCs/>
      <w:kern w:val="44"/>
      <w:sz w:val="44"/>
      <w:szCs w:val="44"/>
      <w:lang w:val="en-US" w:eastAsia="zh-CN" w:bidi="ar-SA"/>
    </w:rPr>
  </w:style>
  <w:style w:type="character" w:customStyle="1" w:styleId="221">
    <w:name w:val="Footnote Text Char"/>
    <w:qFormat/>
    <w:uiPriority w:val="0"/>
    <w:rPr>
      <w:rFonts w:eastAsia="宋体"/>
      <w:sz w:val="18"/>
      <w:lang w:val="en-US" w:eastAsia="zh-CN" w:bidi="ar-SA"/>
    </w:rPr>
  </w:style>
  <w:style w:type="character" w:customStyle="1" w:styleId="222">
    <w:name w:val="Char Char22"/>
    <w:qFormat/>
    <w:uiPriority w:val="0"/>
    <w:rPr>
      <w:rFonts w:ascii="Times New Roman" w:hAnsi="Times New Roman" w:eastAsia="宋体" w:cs="Times New Roman"/>
      <w:b/>
      <w:bCs/>
      <w:kern w:val="44"/>
      <w:sz w:val="32"/>
      <w:szCs w:val="44"/>
    </w:rPr>
  </w:style>
  <w:style w:type="character" w:customStyle="1" w:styleId="223">
    <w:name w:val="textcontents"/>
    <w:qFormat/>
    <w:uiPriority w:val="0"/>
    <w:rPr>
      <w:rFonts w:cs="Times New Roman"/>
    </w:rPr>
  </w:style>
  <w:style w:type="character" w:customStyle="1" w:styleId="224">
    <w:name w:val="明显强调"/>
    <w:qFormat/>
    <w:uiPriority w:val="0"/>
    <w:rPr>
      <w:b/>
      <w:bCs/>
      <w:i/>
      <w:iCs/>
      <w:color w:val="4F81BD"/>
    </w:rPr>
  </w:style>
  <w:style w:type="character" w:customStyle="1" w:styleId="225">
    <w:name w:val="HTML 预设格式 Char"/>
    <w:link w:val="50"/>
    <w:semiHidden/>
    <w:qFormat/>
    <w:uiPriority w:val="0"/>
    <w:rPr>
      <w:rFonts w:ascii="黑体" w:hAnsi="Courier New" w:eastAsia="黑体" w:cs="Courier New"/>
      <w:lang w:val="en-US" w:eastAsia="zh-CN" w:bidi="ar-SA"/>
    </w:rPr>
  </w:style>
  <w:style w:type="character" w:customStyle="1" w:styleId="226">
    <w:name w:val="日期 Char1"/>
    <w:qFormat/>
    <w:uiPriority w:val="0"/>
    <w:rPr>
      <w:rFonts w:ascii="Times New Roman" w:hAnsi="Times New Roman" w:eastAsia="宋体" w:cs="Times New Roman"/>
      <w:szCs w:val="24"/>
    </w:rPr>
  </w:style>
  <w:style w:type="character" w:customStyle="1" w:styleId="227">
    <w:name w:val="明显引用 Char"/>
    <w:link w:val="113"/>
    <w:qFormat/>
    <w:uiPriority w:val="0"/>
    <w:rPr>
      <w:b/>
      <w:bCs/>
      <w:i/>
      <w:iCs/>
      <w:color w:val="4F81BD"/>
      <w:lang w:bidi="ar-SA"/>
    </w:rPr>
  </w:style>
  <w:style w:type="character" w:customStyle="1" w:styleId="228">
    <w:name w:val=" Char Char Char Char Char"/>
    <w:qFormat/>
    <w:uiPriority w:val="0"/>
    <w:rPr>
      <w:rFonts w:eastAsia="宋体"/>
      <w:b/>
      <w:bCs/>
      <w:kern w:val="44"/>
      <w:sz w:val="44"/>
      <w:szCs w:val="44"/>
      <w:lang w:val="en-US" w:eastAsia="zh-CN" w:bidi="ar-SA"/>
    </w:rPr>
  </w:style>
  <w:style w:type="character" w:customStyle="1" w:styleId="229">
    <w:name w:val="Char Char19"/>
    <w:qFormat/>
    <w:uiPriority w:val="0"/>
    <w:rPr>
      <w:rFonts w:ascii="Arial" w:hAnsi="Arial" w:eastAsia="宋体" w:cs="Times New Roman"/>
      <w:b/>
      <w:bCs/>
      <w:szCs w:val="28"/>
    </w:rPr>
  </w:style>
  <w:style w:type="character" w:customStyle="1" w:styleId="230">
    <w:name w:val="引用 Char"/>
    <w:link w:val="148"/>
    <w:qFormat/>
    <w:uiPriority w:val="0"/>
    <w:rPr>
      <w:i/>
      <w:iCs/>
      <w:color w:val="000000"/>
      <w:lang w:bidi="ar-SA"/>
    </w:rPr>
  </w:style>
  <w:style w:type="character" w:customStyle="1" w:styleId="231">
    <w:name w:val="文档结构图 Char1"/>
    <w:qFormat/>
    <w:uiPriority w:val="0"/>
    <w:rPr>
      <w:rFonts w:ascii="宋体" w:hAnsi="Times New Roman" w:eastAsia="宋体" w:cs="Times New Roman"/>
      <w:sz w:val="18"/>
      <w:szCs w:val="18"/>
    </w:rPr>
  </w:style>
  <w:style w:type="character" w:customStyle="1" w:styleId="232">
    <w:name w:val="cubane_hilight1"/>
    <w:qFormat/>
    <w:uiPriority w:val="0"/>
    <w:rPr>
      <w:color w:val="CC0000"/>
    </w:rPr>
  </w:style>
  <w:style w:type="character" w:customStyle="1" w:styleId="233">
    <w:name w:val="Heading 3 Char"/>
    <w:qFormat/>
    <w:uiPriority w:val="0"/>
    <w:rPr>
      <w:rFonts w:cs="Times New Roman"/>
      <w:b/>
      <w:bCs/>
      <w:kern w:val="2"/>
      <w:sz w:val="32"/>
      <w:szCs w:val="32"/>
    </w:rPr>
  </w:style>
  <w:style w:type="character" w:customStyle="1" w:styleId="234">
    <w:name w:val="H1 Char1"/>
    <w:qFormat/>
    <w:uiPriority w:val="0"/>
    <w:rPr>
      <w:rFonts w:eastAsia="宋体"/>
      <w:b/>
      <w:bCs/>
      <w:kern w:val="2"/>
      <w:sz w:val="21"/>
      <w:szCs w:val="24"/>
      <w:lang w:val="en-US" w:eastAsia="zh-CN" w:bidi="ar-SA"/>
    </w:rPr>
  </w:style>
  <w:style w:type="character" w:customStyle="1" w:styleId="235">
    <w:name w:val="style11"/>
    <w:qFormat/>
    <w:uiPriority w:val="0"/>
    <w:rPr>
      <w:rFonts w:hint="default" w:ascii="Arial" w:hAnsi="Arial" w:cs="Arial"/>
    </w:rPr>
  </w:style>
  <w:style w:type="character" w:customStyle="1" w:styleId="236">
    <w:name w:val="1ji Char Char"/>
    <w:qFormat/>
    <w:locked/>
    <w:uiPriority w:val="0"/>
    <w:rPr>
      <w:rFonts w:ascii="宋体" w:hAnsi="宋体" w:eastAsia="宋体"/>
      <w:b/>
      <w:bCs/>
      <w:kern w:val="44"/>
      <w:sz w:val="36"/>
      <w:szCs w:val="44"/>
    </w:rPr>
  </w:style>
  <w:style w:type="character" w:customStyle="1" w:styleId="237">
    <w:name w:val="Heading 3 Char1"/>
    <w:qFormat/>
    <w:uiPriority w:val="0"/>
    <w:rPr>
      <w:rFonts w:eastAsia="宋体"/>
      <w:b/>
      <w:bCs/>
      <w:kern w:val="2"/>
      <w:sz w:val="24"/>
      <w:szCs w:val="32"/>
      <w:lang w:val="en-US" w:eastAsia="zh-CN" w:bidi="ar-SA"/>
    </w:rPr>
  </w:style>
  <w:style w:type="character" w:customStyle="1" w:styleId="238">
    <w:name w:val="style51"/>
    <w:basedOn w:val="59"/>
    <w:qFormat/>
    <w:uiPriority w:val="0"/>
  </w:style>
  <w:style w:type="character" w:customStyle="1" w:styleId="239">
    <w:name w:val="标题 5 Char"/>
    <w:link w:val="6"/>
    <w:qFormat/>
    <w:uiPriority w:val="0"/>
    <w:rPr>
      <w:rFonts w:eastAsia="宋体"/>
      <w:b/>
      <w:kern w:val="2"/>
      <w:sz w:val="28"/>
      <w:szCs w:val="24"/>
      <w:lang w:val="en-US" w:eastAsia="zh-CN" w:bidi="ar-SA"/>
    </w:rPr>
  </w:style>
  <w:style w:type="character" w:customStyle="1" w:styleId="240">
    <w:name w:val="white"/>
    <w:basedOn w:val="59"/>
    <w:qFormat/>
    <w:uiPriority w:val="0"/>
  </w:style>
  <w:style w:type="character" w:customStyle="1" w:styleId="241">
    <w:name w:val="普通文字 Char Char4"/>
    <w:qFormat/>
    <w:uiPriority w:val="0"/>
    <w:rPr>
      <w:rFonts w:ascii="宋体" w:hAnsi="Courier New" w:eastAsia="宋体" w:cs="Courier New"/>
      <w:kern w:val="2"/>
      <w:sz w:val="21"/>
      <w:szCs w:val="21"/>
      <w:lang w:val="en-US" w:eastAsia="zh-CN" w:bidi="ar-SA"/>
    </w:rPr>
  </w:style>
  <w:style w:type="character" w:customStyle="1" w:styleId="242">
    <w:name w:val="content2"/>
    <w:basedOn w:val="59"/>
    <w:qFormat/>
    <w:uiPriority w:val="0"/>
  </w:style>
  <w:style w:type="character" w:customStyle="1" w:styleId="243">
    <w:name w:val="日期 Char"/>
    <w:link w:val="30"/>
    <w:qFormat/>
    <w:uiPriority w:val="0"/>
    <w:rPr>
      <w:rFonts w:ascii="宋体" w:hAnsi="Courier New" w:eastAsia="宋体" w:cs="Courier New"/>
      <w:kern w:val="2"/>
      <w:sz w:val="21"/>
      <w:szCs w:val="21"/>
      <w:lang w:val="en-US" w:eastAsia="zh-CN" w:bidi="ar-SA"/>
    </w:rPr>
  </w:style>
  <w:style w:type="character" w:customStyle="1" w:styleId="244">
    <w:name w:val="font61"/>
    <w:basedOn w:val="59"/>
    <w:qFormat/>
    <w:uiPriority w:val="0"/>
    <w:rPr>
      <w:rFonts w:hint="eastAsia" w:ascii="宋体" w:hAnsi="宋体" w:eastAsia="宋体" w:cs="宋体"/>
      <w:color w:val="000000"/>
      <w:sz w:val="21"/>
      <w:szCs w:val="21"/>
      <w:u w:val="none"/>
    </w:rPr>
  </w:style>
  <w:style w:type="character" w:customStyle="1" w:styleId="245">
    <w:name w:val="H5 Char"/>
    <w:qFormat/>
    <w:uiPriority w:val="0"/>
    <w:rPr>
      <w:rFonts w:eastAsia="宋体"/>
      <w:b/>
      <w:kern w:val="2"/>
      <w:sz w:val="28"/>
      <w:lang w:val="en-US" w:eastAsia="zh-CN" w:bidi="ar-SA"/>
    </w:rPr>
  </w:style>
  <w:style w:type="character" w:customStyle="1" w:styleId="246">
    <w:name w:val="正文文本缩进 3 Char"/>
    <w:link w:val="43"/>
    <w:qFormat/>
    <w:uiPriority w:val="0"/>
    <w:rPr>
      <w:rFonts w:eastAsia="宋体"/>
      <w:kern w:val="2"/>
      <w:sz w:val="16"/>
      <w:szCs w:val="16"/>
      <w:lang w:val="en-US" w:eastAsia="zh-CN" w:bidi="ar-SA"/>
    </w:rPr>
  </w:style>
  <w:style w:type="character" w:customStyle="1" w:styleId="247">
    <w:name w:val=" Char Char16"/>
    <w:qFormat/>
    <w:uiPriority w:val="0"/>
    <w:rPr>
      <w:rFonts w:ascii="Arial" w:hAnsi="Arial" w:eastAsia="宋体"/>
      <w:b/>
      <w:bCs/>
      <w:kern w:val="2"/>
      <w:sz w:val="32"/>
      <w:szCs w:val="32"/>
      <w:lang w:bidi="ar-SA"/>
    </w:rPr>
  </w:style>
  <w:style w:type="character" w:customStyle="1" w:styleId="248">
    <w:name w:val="style161"/>
    <w:qFormat/>
    <w:uiPriority w:val="0"/>
    <w:rPr>
      <w:color w:val="666666"/>
    </w:rPr>
  </w:style>
  <w:style w:type="character" w:customStyle="1" w:styleId="249">
    <w:name w:val="Document Map Char"/>
    <w:qFormat/>
    <w:uiPriority w:val="0"/>
    <w:rPr>
      <w:rFonts w:eastAsia="宋体"/>
      <w:kern w:val="2"/>
      <w:sz w:val="21"/>
      <w:szCs w:val="24"/>
      <w:lang w:val="en-US" w:eastAsia="zh-CN" w:bidi="ar-SA"/>
    </w:rPr>
  </w:style>
  <w:style w:type="character" w:customStyle="1" w:styleId="250">
    <w:name w:val="标题4 Char Char"/>
    <w:qFormat/>
    <w:uiPriority w:val="0"/>
    <w:rPr>
      <w:rFonts w:ascii="Arial" w:hAnsi="Arial"/>
      <w:b/>
      <w:bCs/>
      <w:sz w:val="24"/>
      <w:szCs w:val="32"/>
      <w:lang w:bidi="ar-SA"/>
    </w:rPr>
  </w:style>
  <w:style w:type="character" w:customStyle="1" w:styleId="251">
    <w:name w:val="不明显参考"/>
    <w:qFormat/>
    <w:uiPriority w:val="0"/>
    <w:rPr>
      <w:smallCaps/>
      <w:color w:val="C0504D"/>
      <w:u w:val="single"/>
    </w:rPr>
  </w:style>
  <w:style w:type="character" w:customStyle="1" w:styleId="252">
    <w:name w:val="正文文本 Char"/>
    <w:link w:val="20"/>
    <w:qFormat/>
    <w:uiPriority w:val="0"/>
    <w:rPr>
      <w:rFonts w:eastAsia="宋体"/>
      <w:kern w:val="2"/>
      <w:sz w:val="24"/>
      <w:szCs w:val="24"/>
      <w:lang w:val="en-US" w:eastAsia="zh-CN" w:bidi="ar-SA"/>
    </w:rPr>
  </w:style>
  <w:style w:type="character" w:customStyle="1" w:styleId="253">
    <w:name w:val="批注文字 Char1"/>
    <w:qFormat/>
    <w:uiPriority w:val="0"/>
    <w:rPr>
      <w:rFonts w:ascii="Times New Roman" w:hAnsi="Times New Roman" w:eastAsia="宋体" w:cs="Times New Roman"/>
      <w:szCs w:val="24"/>
    </w:rPr>
  </w:style>
  <w:style w:type="character" w:customStyle="1" w:styleId="254">
    <w:name w:val="llyf92"/>
    <w:qFormat/>
    <w:uiPriority w:val="0"/>
    <w:rPr>
      <w:sz w:val="18"/>
      <w:szCs w:val="18"/>
    </w:rPr>
  </w:style>
  <w:style w:type="character" w:customStyle="1" w:styleId="255">
    <w:name w:val="标题 Char3"/>
    <w:qFormat/>
    <w:uiPriority w:val="0"/>
    <w:rPr>
      <w:rFonts w:ascii="Cambria" w:hAnsi="Cambria" w:eastAsia="宋体" w:cs="Times New Roman"/>
      <w:b/>
      <w:bCs/>
      <w:sz w:val="32"/>
      <w:szCs w:val="32"/>
    </w:rPr>
  </w:style>
  <w:style w:type="character" w:customStyle="1" w:styleId="256">
    <w:name w:val="Balloon Text Char"/>
    <w:qFormat/>
    <w:uiPriority w:val="0"/>
    <w:rPr>
      <w:sz w:val="18"/>
      <w:lang w:bidi="ar-SA"/>
    </w:rPr>
  </w:style>
  <w:style w:type="character" w:customStyle="1" w:styleId="257">
    <w:name w:val="正文文字首行缩进 Char"/>
    <w:qFormat/>
    <w:uiPriority w:val="0"/>
    <w:rPr>
      <w:rFonts w:ascii="仿宋_GB2312" w:eastAsia="仿宋_GB2312"/>
      <w:kern w:val="2"/>
      <w:sz w:val="32"/>
      <w:lang w:val="en-US" w:eastAsia="zh-CN" w:bidi="ar-SA"/>
    </w:rPr>
  </w:style>
  <w:style w:type="character" w:customStyle="1" w:styleId="258">
    <w:name w:val="Char Char17"/>
    <w:qFormat/>
    <w:uiPriority w:val="0"/>
    <w:rPr>
      <w:rFonts w:hint="default" w:ascii="Times New Roman" w:hAnsi="Times New Roman" w:cs="Times New Roman"/>
      <w:b/>
      <w:bCs/>
      <w:kern w:val="2"/>
      <w:sz w:val="21"/>
      <w:szCs w:val="24"/>
    </w:rPr>
  </w:style>
  <w:style w:type="character" w:customStyle="1" w:styleId="259">
    <w:name w:val="列出段落 Char"/>
    <w:link w:val="71"/>
    <w:qFormat/>
    <w:uiPriority w:val="99"/>
    <w:rPr>
      <w:rFonts w:ascii="Calibri" w:hAnsi="Calibri" w:eastAsia="宋体"/>
      <w:kern w:val="2"/>
      <w:sz w:val="21"/>
      <w:szCs w:val="22"/>
      <w:lang w:val="en-US" w:eastAsia="zh-CN" w:bidi="ar-SA"/>
    </w:rPr>
  </w:style>
  <w:style w:type="character" w:customStyle="1" w:styleId="260">
    <w:name w:val="H2 Char"/>
    <w:qFormat/>
    <w:uiPriority w:val="0"/>
    <w:rPr>
      <w:rFonts w:ascii="Arial" w:hAnsi="Arial" w:eastAsia="黑体" w:cs="Times New Roman"/>
      <w:b/>
      <w:bCs/>
      <w:sz w:val="32"/>
      <w:szCs w:val="32"/>
    </w:rPr>
  </w:style>
  <w:style w:type="character" w:customStyle="1" w:styleId="261">
    <w:name w:val="明显引用 Char1"/>
    <w:qFormat/>
    <w:uiPriority w:val="0"/>
    <w:rPr>
      <w:rFonts w:ascii="Times New Roman" w:hAnsi="Times New Roman" w:eastAsia="宋体" w:cs="Times New Roman"/>
      <w:b/>
      <w:bCs/>
      <w:i/>
      <w:iCs/>
      <w:color w:val="4F81BD"/>
      <w:szCs w:val="24"/>
    </w:rPr>
  </w:style>
  <w:style w:type="character" w:customStyle="1" w:styleId="262">
    <w:name w:val="不明显强调"/>
    <w:qFormat/>
    <w:uiPriority w:val="0"/>
    <w:rPr>
      <w:i/>
      <w:iCs/>
      <w:color w:val="808080"/>
    </w:rPr>
  </w:style>
  <w:style w:type="character" w:customStyle="1" w:styleId="263">
    <w:name w:val="font51"/>
    <w:qFormat/>
    <w:uiPriority w:val="0"/>
    <w:rPr>
      <w:rFonts w:hint="default" w:ascii="Times New Roman" w:hAnsi="Times New Roman" w:cs="Times New Roman"/>
      <w:color w:val="000000"/>
      <w:sz w:val="22"/>
      <w:szCs w:val="22"/>
      <w:u w:val="none"/>
    </w:rPr>
  </w:style>
  <w:style w:type="character" w:customStyle="1" w:styleId="264">
    <w:name w:val="style21"/>
    <w:qFormat/>
    <w:uiPriority w:val="0"/>
    <w:rPr>
      <w:sz w:val="17"/>
      <w:szCs w:val="17"/>
    </w:rPr>
  </w:style>
  <w:style w:type="character" w:customStyle="1" w:styleId="265">
    <w:name w:val=" Char Char"/>
    <w:basedOn w:val="59"/>
    <w:qFormat/>
    <w:uiPriority w:val="0"/>
    <w:rPr>
      <w:sz w:val="18"/>
      <w:szCs w:val="18"/>
    </w:rPr>
  </w:style>
  <w:style w:type="character" w:customStyle="1" w:styleId="266">
    <w:name w:val="mark"/>
    <w:basedOn w:val="59"/>
    <w:qFormat/>
    <w:uiPriority w:val="0"/>
  </w:style>
  <w:style w:type="character" w:customStyle="1" w:styleId="267">
    <w:name w:val="p1"/>
    <w:basedOn w:val="59"/>
    <w:qFormat/>
    <w:uiPriority w:val="0"/>
  </w:style>
  <w:style w:type="character" w:customStyle="1" w:styleId="268">
    <w:name w:val="无间隔 Char"/>
    <w:link w:val="194"/>
    <w:qFormat/>
    <w:uiPriority w:val="0"/>
    <w:rPr>
      <w:kern w:val="2"/>
      <w:sz w:val="21"/>
      <w:szCs w:val="24"/>
      <w:lang w:val="en-US" w:eastAsia="zh-CN" w:bidi="ar-SA"/>
    </w:rPr>
  </w:style>
  <w:style w:type="character" w:customStyle="1" w:styleId="269">
    <w:name w:val="正文文本缩进 Char"/>
    <w:link w:val="21"/>
    <w:qFormat/>
    <w:uiPriority w:val="0"/>
    <w:rPr>
      <w:rFonts w:ascii="仿宋_GB2312" w:eastAsia="仿宋_GB2312"/>
      <w:kern w:val="2"/>
      <w:sz w:val="32"/>
      <w:lang w:val="en-US" w:eastAsia="zh-CN" w:bidi="ar-SA"/>
    </w:rPr>
  </w:style>
  <w:style w:type="character" w:customStyle="1" w:styleId="270">
    <w:name w:val="Plain Text Char"/>
    <w:link w:val="126"/>
    <w:qFormat/>
    <w:uiPriority w:val="0"/>
    <w:rPr>
      <w:rFonts w:ascii="宋体" w:hAnsi="Courier New" w:eastAsia="宋体"/>
      <w:sz w:val="24"/>
      <w:lang w:bidi="ar-SA"/>
    </w:rPr>
  </w:style>
  <w:style w:type="character" w:customStyle="1" w:styleId="271">
    <w:name w:val="graytext1"/>
    <w:qFormat/>
    <w:uiPriority w:val="0"/>
    <w:rPr>
      <w:color w:val="666666"/>
    </w:rPr>
  </w:style>
  <w:style w:type="character" w:customStyle="1" w:styleId="272">
    <w:name w:val="无间隔 Char Char"/>
    <w:qFormat/>
    <w:uiPriority w:val="0"/>
    <w:rPr>
      <w:rFonts w:ascii="Calibri" w:hAnsi="Calibri" w:eastAsia="宋体"/>
      <w:sz w:val="22"/>
      <w:szCs w:val="22"/>
      <w:lang w:val="en-US" w:eastAsia="zh-CN" w:bidi="ar-SA"/>
    </w:rPr>
  </w:style>
  <w:style w:type="character" w:customStyle="1" w:styleId="273">
    <w:name w:val="Body Text Indent 2 Char"/>
    <w:qFormat/>
    <w:uiPriority w:val="0"/>
    <w:rPr>
      <w:rFonts w:eastAsia="宋体"/>
      <w:kern w:val="2"/>
      <w:sz w:val="21"/>
      <w:szCs w:val="24"/>
      <w:lang w:val="en-US" w:eastAsia="zh-CN" w:bidi="ar-SA"/>
    </w:rPr>
  </w:style>
  <w:style w:type="character" w:customStyle="1" w:styleId="274">
    <w:name w:val="font31"/>
    <w:basedOn w:val="59"/>
    <w:qFormat/>
    <w:uiPriority w:val="0"/>
    <w:rPr>
      <w:rFonts w:hint="eastAsia" w:ascii="仿宋_GB2312" w:eastAsia="仿宋_GB2312" w:cs="仿宋_GB2312"/>
      <w:b/>
      <w:color w:val="808080"/>
      <w:sz w:val="20"/>
      <w:szCs w:val="20"/>
      <w:u w:val="none"/>
    </w:rPr>
  </w:style>
  <w:style w:type="character" w:customStyle="1" w:styleId="275">
    <w:name w:val="Title3 Char1"/>
    <w:qFormat/>
    <w:uiPriority w:val="0"/>
    <w:rPr>
      <w:rFonts w:eastAsia="宋体"/>
      <w:b/>
      <w:bCs/>
      <w:kern w:val="2"/>
      <w:sz w:val="32"/>
      <w:szCs w:val="32"/>
      <w:lang w:val="en-US" w:eastAsia="zh-CN" w:bidi="ar-SA"/>
    </w:rPr>
  </w:style>
  <w:style w:type="character" w:customStyle="1" w:styleId="276">
    <w:name w:val=" Char Char24"/>
    <w:qFormat/>
    <w:uiPriority w:val="0"/>
    <w:rPr>
      <w:rFonts w:ascii="Arial" w:hAnsi="Arial" w:eastAsia="黑体"/>
      <w:sz w:val="28"/>
      <w:lang w:bidi="ar-SA"/>
    </w:rPr>
  </w:style>
  <w:style w:type="character" w:customStyle="1" w:styleId="277">
    <w:name w:val="Comment Text Char1"/>
    <w:qFormat/>
    <w:uiPriority w:val="0"/>
    <w:rPr>
      <w:sz w:val="24"/>
      <w:lang w:bidi="ar-SA"/>
    </w:rPr>
  </w:style>
  <w:style w:type="character" w:customStyle="1" w:styleId="278">
    <w:name w:val="标题 Char1"/>
    <w:qFormat/>
    <w:uiPriority w:val="0"/>
    <w:rPr>
      <w:rFonts w:ascii="Cambria" w:hAnsi="Cambria" w:eastAsia="宋体" w:cs="Times New Roman"/>
      <w:b/>
      <w:bCs/>
      <w:sz w:val="32"/>
      <w:szCs w:val="32"/>
    </w:rPr>
  </w:style>
  <w:style w:type="character" w:customStyle="1" w:styleId="279">
    <w:name w:val="文档结构图 Char"/>
    <w:link w:val="16"/>
    <w:qFormat/>
    <w:uiPriority w:val="0"/>
    <w:rPr>
      <w:rFonts w:eastAsia="宋体"/>
      <w:kern w:val="2"/>
      <w:sz w:val="21"/>
      <w:szCs w:val="24"/>
      <w:lang w:val="en-US" w:eastAsia="zh-CN" w:bidi="ar-SA"/>
    </w:rPr>
  </w:style>
  <w:style w:type="character" w:customStyle="1" w:styleId="280">
    <w:name w:val="标题 Char"/>
    <w:link w:val="53"/>
    <w:qFormat/>
    <w:uiPriority w:val="0"/>
    <w:rPr>
      <w:rFonts w:ascii="Cambria" w:hAnsi="Cambria"/>
      <w:b/>
      <w:bCs/>
      <w:kern w:val="2"/>
      <w:sz w:val="32"/>
      <w:szCs w:val="32"/>
      <w:lang w:bidi="ar-SA"/>
    </w:rPr>
  </w:style>
  <w:style w:type="character" w:customStyle="1" w:styleId="281">
    <w:name w:val=" Char Char12"/>
    <w:qFormat/>
    <w:uiPriority w:val="0"/>
    <w:rPr>
      <w:sz w:val="18"/>
    </w:rPr>
  </w:style>
  <w:style w:type="character" w:customStyle="1" w:styleId="282">
    <w:name w:val="页眉 Char"/>
    <w:link w:val="35"/>
    <w:qFormat/>
    <w:uiPriority w:val="0"/>
    <w:rPr>
      <w:rFonts w:eastAsia="宋体"/>
      <w:kern w:val="2"/>
      <w:sz w:val="18"/>
      <w:szCs w:val="18"/>
      <w:lang w:val="en-US" w:eastAsia="zh-CN" w:bidi="ar-SA"/>
    </w:rPr>
  </w:style>
  <w:style w:type="character" w:customStyle="1" w:styleId="283">
    <w:name w:val="Char Char24"/>
    <w:qFormat/>
    <w:uiPriority w:val="0"/>
    <w:rPr>
      <w:rFonts w:eastAsia="宋体"/>
      <w:b/>
      <w:bCs/>
      <w:kern w:val="44"/>
      <w:sz w:val="32"/>
      <w:szCs w:val="44"/>
      <w:lang w:val="en-US" w:eastAsia="zh-CN" w:bidi="ar-SA"/>
    </w:rPr>
  </w:style>
  <w:style w:type="character" w:customStyle="1" w:styleId="284">
    <w:name w:val="Char Char18"/>
    <w:qFormat/>
    <w:uiPriority w:val="0"/>
    <w:rPr>
      <w:rFonts w:ascii="Times New Roman" w:hAnsi="Times New Roman" w:eastAsia="宋体" w:cs="Times New Roman"/>
      <w:b/>
      <w:bCs/>
      <w:sz w:val="28"/>
      <w:szCs w:val="28"/>
    </w:rPr>
  </w:style>
  <w:style w:type="character" w:customStyle="1" w:styleId="285">
    <w:name w:val="Comment Subject Char"/>
    <w:qFormat/>
    <w:uiPriority w:val="0"/>
    <w:rPr>
      <w:b/>
      <w:sz w:val="24"/>
      <w:lang w:bidi="ar-SA"/>
    </w:rPr>
  </w:style>
  <w:style w:type="character" w:customStyle="1" w:styleId="286">
    <w:name w:val="Footer Char"/>
    <w:qFormat/>
    <w:uiPriority w:val="0"/>
    <w:rPr>
      <w:rFonts w:eastAsia="宋体"/>
      <w:kern w:val="2"/>
      <w:sz w:val="18"/>
      <w:szCs w:val="18"/>
      <w:lang w:val="en-US" w:eastAsia="zh-CN" w:bidi="ar-SA"/>
    </w:rPr>
  </w:style>
  <w:style w:type="character" w:customStyle="1" w:styleId="287">
    <w:name w:val="批注文字 Char"/>
    <w:qFormat/>
    <w:uiPriority w:val="0"/>
    <w:rPr>
      <w:kern w:val="2"/>
      <w:sz w:val="21"/>
      <w:szCs w:val="24"/>
    </w:rPr>
  </w:style>
  <w:style w:type="character" w:customStyle="1" w:styleId="288">
    <w:name w:val="批注框文本 Char"/>
    <w:link w:val="33"/>
    <w:qFormat/>
    <w:uiPriority w:val="0"/>
    <w:rPr>
      <w:rFonts w:eastAsia="宋体"/>
      <w:kern w:val="2"/>
      <w:sz w:val="18"/>
      <w:szCs w:val="18"/>
      <w:lang w:val="en-US" w:eastAsia="zh-CN" w:bidi="ar-SA"/>
    </w:rPr>
  </w:style>
  <w:style w:type="character" w:customStyle="1" w:styleId="289">
    <w:name w:val="gray12"/>
    <w:basedOn w:val="59"/>
    <w:qFormat/>
    <w:uiPriority w:val="0"/>
  </w:style>
  <w:style w:type="character" w:customStyle="1" w:styleId="290">
    <w:name w:val="text11"/>
    <w:qFormat/>
    <w:uiPriority w:val="0"/>
    <w:rPr>
      <w:rFonts w:hint="default" w:ascii="Verdana" w:hAnsi="Verdana"/>
      <w:color w:val="4E4E4E"/>
      <w:sz w:val="18"/>
      <w:szCs w:val="18"/>
    </w:rPr>
  </w:style>
  <w:style w:type="character" w:customStyle="1" w:styleId="291">
    <w:name w:val="标题 3 Char"/>
    <w:link w:val="4"/>
    <w:qFormat/>
    <w:uiPriority w:val="0"/>
    <w:rPr>
      <w:rFonts w:eastAsia="黑体"/>
      <w:b/>
      <w:bCs/>
      <w:kern w:val="2"/>
      <w:sz w:val="21"/>
      <w:szCs w:val="32"/>
      <w:lang w:bidi="ar-SA"/>
    </w:rPr>
  </w:style>
  <w:style w:type="character" w:customStyle="1" w:styleId="292">
    <w:name w:val="ca-0"/>
    <w:qFormat/>
    <w:uiPriority w:val="0"/>
  </w:style>
  <w:style w:type="character" w:customStyle="1" w:styleId="293">
    <w:name w:val="正文文本 Char1"/>
    <w:qFormat/>
    <w:uiPriority w:val="0"/>
    <w:rPr>
      <w:kern w:val="2"/>
      <w:sz w:val="21"/>
      <w:szCs w:val="22"/>
    </w:rPr>
  </w:style>
  <w:style w:type="character" w:customStyle="1" w:styleId="294">
    <w:name w:val="批注主题 Char1"/>
    <w:qFormat/>
    <w:uiPriority w:val="0"/>
    <w:rPr>
      <w:rFonts w:ascii="Times New Roman" w:hAnsi="Times New Roman" w:eastAsia="宋体" w:cs="Times New Roman"/>
      <w:b/>
      <w:bCs/>
      <w:szCs w:val="24"/>
    </w:rPr>
  </w:style>
  <w:style w:type="character" w:customStyle="1" w:styleId="295">
    <w:name w:val=" Char Char22"/>
    <w:qFormat/>
    <w:uiPriority w:val="0"/>
    <w:rPr>
      <w:rFonts w:eastAsia="宋体"/>
      <w:b/>
      <w:kern w:val="2"/>
      <w:sz w:val="28"/>
      <w:szCs w:val="24"/>
      <w:lang w:val="en-US" w:eastAsia="zh-CN" w:bidi="ar-SA"/>
    </w:rPr>
  </w:style>
  <w:style w:type="character" w:customStyle="1" w:styleId="296">
    <w:name w:val=" Char Char33"/>
    <w:qFormat/>
    <w:uiPriority w:val="0"/>
    <w:rPr>
      <w:rFonts w:ascii="宋体" w:hAnsi="Courier New" w:eastAsia="宋体" w:cs="Courier New"/>
      <w:szCs w:val="21"/>
    </w:rPr>
  </w:style>
  <w:style w:type="character" w:customStyle="1" w:styleId="297">
    <w:name w:val="Body Text Indent Char"/>
    <w:qFormat/>
    <w:uiPriority w:val="0"/>
    <w:rPr>
      <w:rFonts w:ascii="宋体" w:hAnsi="宋体" w:eastAsia="宋体"/>
      <w:kern w:val="2"/>
      <w:sz w:val="21"/>
      <w:lang w:val="en-US" w:eastAsia="zh-CN" w:bidi="ar-SA"/>
    </w:rPr>
  </w:style>
  <w:style w:type="character" w:customStyle="1" w:styleId="298">
    <w:name w:val="font81"/>
    <w:basedOn w:val="59"/>
    <w:qFormat/>
    <w:uiPriority w:val="0"/>
    <w:rPr>
      <w:rFonts w:hint="eastAsia" w:ascii="宋体" w:hAnsi="宋体" w:eastAsia="宋体" w:cs="宋体"/>
      <w:color w:val="000000"/>
      <w:sz w:val="20"/>
      <w:szCs w:val="20"/>
      <w:u w:val="none"/>
    </w:rPr>
  </w:style>
  <w:style w:type="character" w:customStyle="1" w:styleId="299">
    <w:name w:val="标题 6 Char"/>
    <w:link w:val="8"/>
    <w:qFormat/>
    <w:uiPriority w:val="0"/>
    <w:rPr>
      <w:rFonts w:ascii="Arial" w:hAnsi="Arial" w:eastAsia="黑体"/>
      <w:b/>
      <w:kern w:val="2"/>
      <w:sz w:val="24"/>
      <w:szCs w:val="24"/>
      <w:lang w:val="en-US" w:eastAsia="zh-CN" w:bidi="ar-SA"/>
    </w:rPr>
  </w:style>
  <w:style w:type="character" w:customStyle="1" w:styleId="300">
    <w:name w:val=" Char Char19"/>
    <w:qFormat/>
    <w:uiPriority w:val="0"/>
    <w:rPr>
      <w:rFonts w:ascii="Arial" w:hAnsi="Arial" w:eastAsia="黑体"/>
      <w:kern w:val="2"/>
      <w:sz w:val="24"/>
      <w:szCs w:val="24"/>
      <w:lang w:val="en-US" w:eastAsia="zh-CN" w:bidi="ar-SA"/>
    </w:rPr>
  </w:style>
  <w:style w:type="character" w:customStyle="1" w:styleId="301">
    <w:name w:val="Header Char"/>
    <w:qFormat/>
    <w:uiPriority w:val="0"/>
    <w:rPr>
      <w:rFonts w:eastAsia="宋体"/>
      <w:kern w:val="2"/>
      <w:sz w:val="18"/>
      <w:szCs w:val="18"/>
      <w:lang w:val="en-US" w:eastAsia="zh-CN" w:bidi="ar-SA"/>
    </w:rPr>
  </w:style>
  <w:style w:type="character" w:customStyle="1" w:styleId="302">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303">
    <w:name w:val="标题 9 Char"/>
    <w:link w:val="11"/>
    <w:qFormat/>
    <w:uiPriority w:val="0"/>
    <w:rPr>
      <w:rFonts w:ascii="Arial" w:hAnsi="Arial" w:eastAsia="黑体"/>
      <w:kern w:val="2"/>
      <w:sz w:val="21"/>
      <w:szCs w:val="24"/>
      <w:lang w:val="en-US" w:eastAsia="zh-CN" w:bidi="ar-SA"/>
    </w:rPr>
  </w:style>
  <w:style w:type="character" w:customStyle="1" w:styleId="304">
    <w:name w:val=" Char Char23"/>
    <w:qFormat/>
    <w:uiPriority w:val="0"/>
    <w:rPr>
      <w:rFonts w:ascii="Times New Roman" w:hAnsi="Times New Roman" w:eastAsia="宋体" w:cs="Times New Roman"/>
      <w:b/>
      <w:bCs/>
      <w:kern w:val="44"/>
      <w:sz w:val="44"/>
      <w:szCs w:val="44"/>
    </w:rPr>
  </w:style>
  <w:style w:type="character" w:customStyle="1" w:styleId="305">
    <w:name w:val="Heading 2 Char"/>
    <w:qFormat/>
    <w:uiPriority w:val="0"/>
    <w:rPr>
      <w:rFonts w:ascii="Arial" w:hAnsi="Arial" w:eastAsia="黑体"/>
      <w:b/>
      <w:bCs/>
      <w:kern w:val="2"/>
      <w:sz w:val="32"/>
      <w:szCs w:val="32"/>
      <w:lang w:val="en-US" w:eastAsia="zh-CN" w:bidi="ar-SA"/>
    </w:rPr>
  </w:style>
  <w:style w:type="character" w:customStyle="1" w:styleId="306">
    <w:name w:val="普通文字 Char Char1"/>
    <w:qFormat/>
    <w:uiPriority w:val="0"/>
    <w:rPr>
      <w:rFonts w:ascii="宋体" w:hAnsi="Courier New" w:eastAsia="宋体" w:cs="Courier New"/>
      <w:kern w:val="2"/>
      <w:sz w:val="21"/>
      <w:szCs w:val="21"/>
      <w:lang w:val="en-US" w:eastAsia="zh-CN" w:bidi="ar-SA"/>
    </w:rPr>
  </w:style>
  <w:style w:type="character" w:customStyle="1" w:styleId="307">
    <w:name w:val="font11"/>
    <w:qFormat/>
    <w:uiPriority w:val="0"/>
    <w:rPr>
      <w:rFonts w:hint="eastAsia" w:ascii="宋体" w:hAnsi="宋体" w:eastAsia="宋体" w:cs="宋体"/>
      <w:color w:val="000000"/>
      <w:sz w:val="22"/>
      <w:szCs w:val="22"/>
      <w:u w:val="none"/>
    </w:rPr>
  </w:style>
  <w:style w:type="character" w:customStyle="1" w:styleId="308">
    <w:name w:val="st"/>
    <w:basedOn w:val="59"/>
    <w:qFormat/>
    <w:uiPriority w:val="0"/>
  </w:style>
  <w:style w:type="character" w:customStyle="1" w:styleId="309">
    <w:name w:val="批注框文本 Char1"/>
    <w:qFormat/>
    <w:uiPriority w:val="0"/>
    <w:rPr>
      <w:rFonts w:ascii="Times New Roman" w:hAnsi="Times New Roman" w:eastAsia="宋体" w:cs="Times New Roman"/>
      <w:sz w:val="18"/>
      <w:szCs w:val="18"/>
    </w:rPr>
  </w:style>
  <w:style w:type="character" w:customStyle="1" w:styleId="310">
    <w:name w:val="Char Char9"/>
    <w:qFormat/>
    <w:uiPriority w:val="0"/>
    <w:rPr>
      <w:rFonts w:eastAsia="宋体"/>
      <w:b/>
      <w:bCs/>
      <w:kern w:val="44"/>
      <w:sz w:val="32"/>
      <w:szCs w:val="44"/>
      <w:lang w:val="en-US" w:eastAsia="zh-CN" w:bidi="ar-SA"/>
    </w:rPr>
  </w:style>
  <w:style w:type="character" w:customStyle="1" w:styleId="311">
    <w:name w:val="正文文本 2 Char"/>
    <w:link w:val="47"/>
    <w:qFormat/>
    <w:uiPriority w:val="0"/>
    <w:rPr>
      <w:rFonts w:eastAsia="宋体"/>
      <w:kern w:val="2"/>
      <w:sz w:val="21"/>
      <w:szCs w:val="24"/>
      <w:lang w:val="en-US" w:eastAsia="zh-CN" w:bidi="ar-SA"/>
    </w:rPr>
  </w:style>
  <w:style w:type="character" w:customStyle="1" w:styleId="312">
    <w:name w:val="h Char"/>
    <w:qFormat/>
    <w:uiPriority w:val="0"/>
    <w:rPr>
      <w:rFonts w:eastAsia="宋体"/>
      <w:kern w:val="2"/>
      <w:sz w:val="18"/>
      <w:szCs w:val="18"/>
      <w:lang w:val="en-US" w:eastAsia="zh-CN" w:bidi="ar-SA"/>
    </w:rPr>
  </w:style>
  <w:style w:type="character" w:customStyle="1" w:styleId="313">
    <w:name w:val="批注主题 Char"/>
    <w:link w:val="54"/>
    <w:qFormat/>
    <w:uiPriority w:val="0"/>
    <w:rPr>
      <w:b/>
      <w:bCs/>
      <w:kern w:val="2"/>
      <w:sz w:val="21"/>
      <w:szCs w:val="24"/>
      <w:lang w:bidi="ar-SA"/>
    </w:rPr>
  </w:style>
  <w:style w:type="character" w:customStyle="1" w:styleId="314">
    <w:name w:val="纯文本 Char"/>
    <w:link w:val="28"/>
    <w:qFormat/>
    <w:uiPriority w:val="0"/>
    <w:rPr>
      <w:rFonts w:ascii="宋体" w:hAnsi="Courier New" w:eastAsia="宋体" w:cs="Courier New"/>
      <w:kern w:val="2"/>
      <w:sz w:val="21"/>
      <w:szCs w:val="21"/>
      <w:lang w:val="en-US" w:eastAsia="zh-CN" w:bidi="ar-SA"/>
    </w:rPr>
  </w:style>
  <w:style w:type="character" w:customStyle="1" w:styleId="315">
    <w:name w:val="Char Char20"/>
    <w:qFormat/>
    <w:uiPriority w:val="0"/>
    <w:rPr>
      <w:rFonts w:ascii="Times New Roman" w:hAnsi="Times New Roman" w:eastAsia="宋体" w:cs="Times New Roman"/>
      <w:b/>
      <w:bCs/>
      <w:sz w:val="24"/>
      <w:szCs w:val="32"/>
    </w:rPr>
  </w:style>
  <w:style w:type="character" w:customStyle="1" w:styleId="316">
    <w:name w:val=" Char Char25"/>
    <w:qFormat/>
    <w:uiPriority w:val="0"/>
    <w:rPr>
      <w:rFonts w:eastAsia="宋体"/>
      <w:b/>
      <w:bCs/>
      <w:sz w:val="32"/>
      <w:szCs w:val="32"/>
      <w:lang w:bidi="ar-SA"/>
    </w:rPr>
  </w:style>
  <w:style w:type="character" w:customStyle="1" w:styleId="317">
    <w:name w:val="case31"/>
    <w:qFormat/>
    <w:uiPriority w:val="0"/>
    <w:rPr>
      <w:rFonts w:hint="default" w:ascii="_x000B__x000C_" w:hAnsi="_x000B__x000C_"/>
      <w:sz w:val="21"/>
      <w:szCs w:val="21"/>
    </w:rPr>
  </w:style>
  <w:style w:type="character" w:customStyle="1" w:styleId="318">
    <w:name w:val="普通文字 Char Char2"/>
    <w:qFormat/>
    <w:uiPriority w:val="0"/>
    <w:rPr>
      <w:rFonts w:ascii="宋体" w:hAnsi="Courier New" w:eastAsia="宋体"/>
      <w:kern w:val="2"/>
      <w:sz w:val="21"/>
      <w:lang w:val="en-US" w:eastAsia="zh-CN" w:bidi="ar-SA"/>
    </w:rPr>
  </w:style>
  <w:style w:type="character" w:customStyle="1" w:styleId="319">
    <w:name w:val="Char Char21"/>
    <w:qFormat/>
    <w:uiPriority w:val="0"/>
    <w:rPr>
      <w:rFonts w:ascii="Arial" w:hAnsi="Arial" w:eastAsia="黑体" w:cs="Times New Roman"/>
      <w:b/>
      <w:bCs/>
      <w:sz w:val="32"/>
      <w:szCs w:val="32"/>
    </w:rPr>
  </w:style>
  <w:style w:type="character" w:customStyle="1" w:styleId="320">
    <w:name w:val="fo Char"/>
    <w:qFormat/>
    <w:uiPriority w:val="0"/>
    <w:rPr>
      <w:rFonts w:eastAsia="宋体"/>
      <w:kern w:val="2"/>
      <w:sz w:val="18"/>
      <w:szCs w:val="18"/>
      <w:lang w:val="en-US" w:eastAsia="zh-CN" w:bidi="ar-SA"/>
    </w:rPr>
  </w:style>
  <w:style w:type="character" w:customStyle="1" w:styleId="321">
    <w:name w:val="正文文本缩进 2 Char"/>
    <w:link w:val="31"/>
    <w:qFormat/>
    <w:uiPriority w:val="0"/>
    <w:rPr>
      <w:rFonts w:eastAsia="宋体"/>
      <w:kern w:val="2"/>
      <w:sz w:val="32"/>
      <w:lang w:val="en-US" w:eastAsia="zh-CN" w:bidi="ar-SA"/>
    </w:rPr>
  </w:style>
  <w:style w:type="character" w:customStyle="1" w:styleId="322">
    <w:name w:val="引用 Char1"/>
    <w:qFormat/>
    <w:uiPriority w:val="0"/>
    <w:rPr>
      <w:rFonts w:ascii="Times New Roman" w:hAnsi="Times New Roman" w:eastAsia="宋体" w:cs="Times New Roman"/>
      <w:i/>
      <w:iCs/>
      <w:color w:val="000000"/>
      <w:szCs w:val="24"/>
    </w:rPr>
  </w:style>
  <w:style w:type="character" w:customStyle="1" w:styleId="323">
    <w:name w:val=" Char Char17"/>
    <w:qFormat/>
    <w:uiPriority w:val="0"/>
    <w:rPr>
      <w:rFonts w:eastAsia="黑体"/>
      <w:b/>
      <w:bCs/>
      <w:kern w:val="44"/>
      <w:sz w:val="32"/>
      <w:szCs w:val="44"/>
    </w:rPr>
  </w:style>
  <w:style w:type="character" w:customStyle="1" w:styleId="324">
    <w:name w:val="标题 3 Char Char Char"/>
    <w:qFormat/>
    <w:locked/>
    <w:uiPriority w:val="0"/>
    <w:rPr>
      <w:rFonts w:ascii="宋体" w:hAnsi="宋体" w:eastAsia="宋体"/>
      <w:b/>
      <w:bCs/>
      <w:sz w:val="24"/>
      <w:szCs w:val="32"/>
      <w:lang w:val="en-US" w:eastAsia="zh-CN" w:bidi="ar-SA"/>
    </w:rPr>
  </w:style>
  <w:style w:type="character" w:customStyle="1" w:styleId="325">
    <w:name w:val=" Char Char2"/>
    <w:qFormat/>
    <w:uiPriority w:val="0"/>
    <w:rPr>
      <w:rFonts w:ascii="宋体" w:hAnsi="Courier New" w:eastAsia="宋体"/>
      <w:kern w:val="2"/>
      <w:sz w:val="21"/>
      <w:szCs w:val="24"/>
      <w:lang w:val="en-US" w:eastAsia="zh-CN" w:bidi="ar-SA"/>
    </w:rPr>
  </w:style>
  <w:style w:type="character" w:customStyle="1" w:styleId="326">
    <w:name w:val=" Char Char14"/>
    <w:qFormat/>
    <w:uiPriority w:val="0"/>
    <w:rPr>
      <w:sz w:val="18"/>
      <w:szCs w:val="18"/>
    </w:rPr>
  </w:style>
  <w:style w:type="character" w:customStyle="1" w:styleId="327">
    <w:name w:val="标题 8 Char"/>
    <w:link w:val="10"/>
    <w:qFormat/>
    <w:uiPriority w:val="0"/>
    <w:rPr>
      <w:rFonts w:ascii="Arial" w:hAnsi="Arial" w:eastAsia="黑体"/>
      <w:kern w:val="2"/>
      <w:sz w:val="24"/>
      <w:szCs w:val="24"/>
      <w:lang w:val="en-US" w:eastAsia="zh-CN" w:bidi="ar-SA"/>
    </w:rPr>
  </w:style>
  <w:style w:type="character" w:customStyle="1" w:styleId="328">
    <w:name w:val="Heading 1 Char"/>
    <w:qFormat/>
    <w:uiPriority w:val="0"/>
    <w:rPr>
      <w:rFonts w:eastAsia="宋体"/>
      <w:b/>
      <w:bCs/>
      <w:kern w:val="44"/>
      <w:sz w:val="32"/>
      <w:szCs w:val="44"/>
      <w:lang w:val="en-US" w:eastAsia="zh-CN" w:bidi="ar-SA"/>
    </w:rPr>
  </w:style>
  <w:style w:type="character" w:customStyle="1" w:styleId="329">
    <w:name w:val="手改 Char Char"/>
    <w:qFormat/>
    <w:uiPriority w:val="0"/>
    <w:rPr>
      <w:rFonts w:ascii="宋体" w:eastAsia="宋体"/>
      <w:sz w:val="34"/>
      <w:lang w:val="en-US" w:eastAsia="zh-CN" w:bidi="ar-SA"/>
    </w:rPr>
  </w:style>
  <w:style w:type="character" w:customStyle="1" w:styleId="330">
    <w:name w:val="f141"/>
    <w:qFormat/>
    <w:uiPriority w:val="0"/>
    <w:rPr>
      <w:sz w:val="21"/>
      <w:szCs w:val="21"/>
    </w:rPr>
  </w:style>
  <w:style w:type="character" w:customStyle="1" w:styleId="331">
    <w:name w:val=" Char Char30"/>
    <w:qFormat/>
    <w:uiPriority w:val="0"/>
    <w:rPr>
      <w:rFonts w:ascii="Times New Roman" w:hAnsi="Times New Roman" w:eastAsia="宋体" w:cs="Times New Roman"/>
      <w:szCs w:val="24"/>
    </w:rPr>
  </w:style>
  <w:style w:type="character" w:customStyle="1" w:styleId="332">
    <w:name w:val="f151"/>
    <w:qFormat/>
    <w:uiPriority w:val="0"/>
    <w:rPr>
      <w:sz w:val="23"/>
      <w:szCs w:val="23"/>
    </w:rPr>
  </w:style>
  <w:style w:type="character" w:customStyle="1" w:styleId="333">
    <w:name w:val="标题 Char2"/>
    <w:qFormat/>
    <w:uiPriority w:val="0"/>
    <w:rPr>
      <w:rFonts w:ascii="Cambria" w:hAnsi="Cambria" w:eastAsia="宋体" w:cs="Times New Roman"/>
      <w:b/>
      <w:bCs/>
      <w:sz w:val="32"/>
      <w:szCs w:val="32"/>
    </w:rPr>
  </w:style>
  <w:style w:type="character" w:customStyle="1" w:styleId="334">
    <w:name w:val="脚注文本 Char"/>
    <w:link w:val="40"/>
    <w:qFormat/>
    <w:uiPriority w:val="0"/>
    <w:rPr>
      <w:sz w:val="18"/>
      <w:lang w:bidi="ar-SA"/>
    </w:rPr>
  </w:style>
  <w:style w:type="character" w:customStyle="1" w:styleId="335">
    <w:name w:val="style54"/>
    <w:basedOn w:val="59"/>
    <w:qFormat/>
    <w:uiPriority w:val="0"/>
  </w:style>
  <w:style w:type="character" w:customStyle="1" w:styleId="336">
    <w:name w:val=" Char Char18"/>
    <w:qFormat/>
    <w:uiPriority w:val="0"/>
    <w:rPr>
      <w:rFonts w:ascii="Arial" w:hAnsi="Arial" w:eastAsia="黑体"/>
      <w:kern w:val="2"/>
      <w:sz w:val="21"/>
      <w:szCs w:val="24"/>
      <w:lang w:val="en-US" w:eastAsia="zh-CN" w:bidi="ar-SA"/>
    </w:rPr>
  </w:style>
  <w:style w:type="character" w:customStyle="1" w:styleId="337">
    <w:name w:val="Title Char"/>
    <w:qFormat/>
    <w:uiPriority w:val="0"/>
    <w:rPr>
      <w:rFonts w:ascii="Cambria" w:hAnsi="Cambria"/>
      <w:b/>
      <w:sz w:val="32"/>
      <w:lang w:bidi="ar-SA"/>
    </w:rPr>
  </w:style>
  <w:style w:type="character" w:customStyle="1" w:styleId="338">
    <w:name w:val="小标题 Char"/>
    <w:qFormat/>
    <w:uiPriority w:val="0"/>
    <w:rPr>
      <w:rFonts w:eastAsia="宋体"/>
      <w:b/>
      <w:bCs/>
      <w:kern w:val="2"/>
      <w:sz w:val="32"/>
      <w:szCs w:val="32"/>
      <w:lang w:val="en-US" w:eastAsia="zh-CN" w:bidi="ar-SA"/>
    </w:rPr>
  </w:style>
  <w:style w:type="character" w:customStyle="1" w:styleId="339">
    <w:name w:val="style31"/>
    <w:qFormat/>
    <w:uiPriority w:val="0"/>
    <w:rPr>
      <w:sz w:val="18"/>
      <w:szCs w:val="18"/>
    </w:rPr>
  </w:style>
  <w:style w:type="character" w:customStyle="1" w:styleId="340">
    <w:name w:val=" Char Char26"/>
    <w:qFormat/>
    <w:uiPriority w:val="0"/>
    <w:rPr>
      <w:rFonts w:ascii="Arial" w:hAnsi="Arial" w:eastAsia="黑体"/>
      <w:b/>
      <w:bCs/>
      <w:sz w:val="32"/>
      <w:szCs w:val="32"/>
      <w:lang w:bidi="ar-SA"/>
    </w:rPr>
  </w:style>
  <w:style w:type="character" w:customStyle="1" w:styleId="341">
    <w:name w:val="书籍标题"/>
    <w:qFormat/>
    <w:uiPriority w:val="0"/>
    <w:rPr>
      <w:b/>
      <w:bCs/>
      <w:smallCaps/>
      <w:spacing w:val="5"/>
    </w:rPr>
  </w:style>
  <w:style w:type="character" w:customStyle="1" w:styleId="342">
    <w:name w:val="正文文本 3 Char"/>
    <w:link w:val="19"/>
    <w:qFormat/>
    <w:uiPriority w:val="0"/>
    <w:rPr>
      <w:rFonts w:eastAsia="宋体"/>
      <w:b/>
      <w:bCs/>
      <w:kern w:val="2"/>
      <w:sz w:val="24"/>
      <w:szCs w:val="24"/>
      <w:lang w:val="en-US" w:eastAsia="zh-CN" w:bidi="ar-SA"/>
    </w:rPr>
  </w:style>
  <w:style w:type="character" w:customStyle="1" w:styleId="343">
    <w:name w:val="标题 7 Char"/>
    <w:link w:val="9"/>
    <w:qFormat/>
    <w:uiPriority w:val="0"/>
    <w:rPr>
      <w:rFonts w:eastAsia="宋体"/>
      <w:b/>
      <w:kern w:val="2"/>
      <w:sz w:val="24"/>
      <w:szCs w:val="24"/>
      <w:lang w:val="en-US" w:eastAsia="zh-CN" w:bidi="ar-SA"/>
    </w:rPr>
  </w:style>
  <w:style w:type="character" w:customStyle="1" w:styleId="344">
    <w:name w:val="1051"/>
    <w:qFormat/>
    <w:uiPriority w:val="0"/>
    <w:rPr>
      <w:sz w:val="21"/>
      <w:szCs w:val="21"/>
    </w:rPr>
  </w:style>
  <w:style w:type="character" w:customStyle="1" w:styleId="345">
    <w:name w:val="font01"/>
    <w:basedOn w:val="59"/>
    <w:qFormat/>
    <w:uiPriority w:val="0"/>
    <w:rPr>
      <w:rFonts w:hint="default" w:ascii="Times New Roman" w:hAnsi="Times New Roman" w:cs="Times New Roman"/>
      <w:color w:val="000000"/>
      <w:sz w:val="18"/>
      <w:szCs w:val="18"/>
      <w:u w:val="none"/>
    </w:rPr>
  </w:style>
  <w:style w:type="character" w:customStyle="1" w:styleId="346">
    <w:name w:val="unnamed21"/>
    <w:basedOn w:val="59"/>
    <w:qFormat/>
    <w:uiPriority w:val="0"/>
  </w:style>
  <w:style w:type="character" w:customStyle="1" w:styleId="347">
    <w:name w:val="标题5 Char Char"/>
    <w:link w:val="190"/>
    <w:qFormat/>
    <w:uiPriority w:val="0"/>
    <w:rPr>
      <w:rFonts w:ascii="Arial" w:hAnsi="Arial"/>
      <w:b/>
      <w:bCs/>
      <w:sz w:val="24"/>
      <w:szCs w:val="32"/>
      <w:lang w:bidi="ar-SA"/>
    </w:rPr>
  </w:style>
  <w:style w:type="character" w:customStyle="1" w:styleId="348">
    <w:name w:val="Char Char23"/>
    <w:qFormat/>
    <w:uiPriority w:val="0"/>
    <w:rPr>
      <w:rFonts w:eastAsia="宋体"/>
      <w:b/>
      <w:bCs/>
      <w:kern w:val="44"/>
      <w:sz w:val="32"/>
      <w:szCs w:val="44"/>
      <w:lang w:val="en-US" w:eastAsia="zh-CN" w:bidi="ar-SA"/>
    </w:rPr>
  </w:style>
  <w:style w:type="character" w:customStyle="1" w:styleId="349">
    <w:name w:val="标题 1 Char"/>
    <w:link w:val="3"/>
    <w:qFormat/>
    <w:uiPriority w:val="0"/>
    <w:rPr>
      <w:rFonts w:eastAsia="宋体"/>
      <w:b/>
      <w:bCs/>
      <w:kern w:val="44"/>
      <w:sz w:val="44"/>
      <w:szCs w:val="44"/>
      <w:lang w:val="en-US" w:eastAsia="zh-CN" w:bidi="ar-SA"/>
    </w:rPr>
  </w:style>
  <w:style w:type="character" w:customStyle="1" w:styleId="350">
    <w:name w:val="Date Char"/>
    <w:qFormat/>
    <w:uiPriority w:val="0"/>
    <w:rPr>
      <w:rFonts w:eastAsia="宋体"/>
      <w:kern w:val="2"/>
      <w:sz w:val="21"/>
      <w:szCs w:val="24"/>
      <w:lang w:val="en-US" w:eastAsia="zh-CN" w:bidi="ar-SA"/>
    </w:rPr>
  </w:style>
  <w:style w:type="character" w:customStyle="1" w:styleId="351">
    <w:name w:val="062"/>
    <w:qFormat/>
    <w:uiPriority w:val="0"/>
    <w:rPr>
      <w:rFonts w:ascii="宋体" w:hAnsi="宋体"/>
      <w:b/>
      <w:bCs/>
      <w:sz w:val="32"/>
    </w:rPr>
  </w:style>
  <w:style w:type="character" w:customStyle="1" w:styleId="352">
    <w:name w:val="mark8"/>
    <w:qFormat/>
    <w:uiPriority w:val="0"/>
    <w:rPr>
      <w:b/>
      <w:bCs/>
      <w:sz w:val="21"/>
      <w:szCs w:val="21"/>
    </w:rPr>
  </w:style>
  <w:style w:type="character" w:customStyle="1" w:styleId="353">
    <w:name w:val=" Char Char11"/>
    <w:qFormat/>
    <w:uiPriority w:val="0"/>
    <w:rPr>
      <w:rFonts w:ascii="Times New Roman" w:hAnsi="Times New Roman" w:eastAsia="宋体" w:cs="Times New Roman"/>
      <w:sz w:val="30"/>
      <w:szCs w:val="24"/>
    </w:rPr>
  </w:style>
  <w:style w:type="character" w:customStyle="1" w:styleId="354">
    <w:name w:val="批注文字 Char2"/>
    <w:qFormat/>
    <w:uiPriority w:val="0"/>
    <w:rPr>
      <w:rFonts w:eastAsia="宋体"/>
      <w:kern w:val="2"/>
      <w:sz w:val="21"/>
      <w:szCs w:val="24"/>
      <w:lang w:val="en-US" w:eastAsia="zh-CN" w:bidi="ar-SA"/>
    </w:rPr>
  </w:style>
  <w:style w:type="character" w:customStyle="1" w:styleId="355">
    <w:name w:val=" Char Char15"/>
    <w:qFormat/>
    <w:uiPriority w:val="0"/>
    <w:rPr>
      <w:sz w:val="18"/>
      <w:szCs w:val="18"/>
    </w:rPr>
  </w:style>
  <w:style w:type="character" w:customStyle="1" w:styleId="356">
    <w:name w:val="正文缩进 Char"/>
    <w:link w:val="7"/>
    <w:qFormat/>
    <w:locked/>
    <w:uiPriority w:val="0"/>
    <w:rPr>
      <w:rFonts w:eastAsia="宋体"/>
      <w:kern w:val="2"/>
      <w:sz w:val="21"/>
      <w:lang w:val="en-US" w:eastAsia="zh-CN" w:bidi="ar-SA"/>
    </w:rPr>
  </w:style>
  <w:style w:type="character" w:customStyle="1" w:styleId="357">
    <w:name w:val="标题 2 Char"/>
    <w:link w:val="2"/>
    <w:qFormat/>
    <w:uiPriority w:val="0"/>
    <w:rPr>
      <w:rFonts w:ascii="Arial" w:hAnsi="Arial" w:eastAsia="黑体"/>
      <w:b/>
      <w:bCs/>
      <w:kern w:val="2"/>
      <w:sz w:val="21"/>
      <w:szCs w:val="32"/>
      <w:lang w:bidi="ar-SA"/>
    </w:rPr>
  </w:style>
  <w:style w:type="character" w:customStyle="1" w:styleId="358">
    <w:name w:val="批注文字 Char Char"/>
    <w:qFormat/>
    <w:uiPriority w:val="0"/>
    <w:rPr>
      <w:rFonts w:ascii="宋体" w:hAnsi="Times New Roman" w:eastAsia="宋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5872</Words>
  <Characters>33473</Characters>
  <Lines>278</Lines>
  <Paragraphs>78</Paragraphs>
  <TotalTime>21</TotalTime>
  <ScaleCrop>false</ScaleCrop>
  <LinksUpToDate>false</LinksUpToDate>
  <CharactersWithSpaces>39267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2018-12-12T00:30:00Z</dcterms:created>
  <dc:creator>user</dc:creator>
  <cp:lastModifiedBy>W.M.</cp:lastModifiedBy>
  <cp:lastPrinted>2018-05-14T00:53:00Z</cp:lastPrinted>
  <dcterms:modified xsi:type="dcterms:W3CDTF">2020-11-13T10:35:42Z</dcterms:modified>
  <dc:title>范本</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