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b/>
          <w:color w:val="auto"/>
          <w:sz w:val="44"/>
          <w:szCs w:val="44"/>
          <w:highlight w:val="none"/>
        </w:rPr>
      </w:pPr>
    </w:p>
    <w:p>
      <w:pPr>
        <w:pStyle w:val="17"/>
        <w:rPr>
          <w:color w:val="auto"/>
          <w:highlight w:val="none"/>
        </w:rPr>
      </w:pPr>
    </w:p>
    <w:p>
      <w:pPr>
        <w:pStyle w:val="17"/>
        <w:rPr>
          <w:color w:val="auto"/>
          <w:highlight w:val="none"/>
        </w:rPr>
      </w:pPr>
    </w:p>
    <w:p>
      <w:pPr>
        <w:jc w:val="center"/>
        <w:rPr>
          <w:rFonts w:ascii="方正美黑简体" w:eastAsia="方正美黑简体"/>
          <w:color w:val="auto"/>
          <w:sz w:val="44"/>
          <w:szCs w:val="44"/>
          <w:highlight w:val="none"/>
        </w:rPr>
      </w:pPr>
      <w:r>
        <w:rPr>
          <w:rFonts w:hint="eastAsia" w:ascii="方正美黑简体" w:eastAsia="方正美黑简体"/>
          <w:color w:val="auto"/>
          <w:sz w:val="44"/>
          <w:szCs w:val="44"/>
          <w:highlight w:val="none"/>
        </w:rPr>
        <w:t>广西新宇建设项目管理有限公司</w:t>
      </w:r>
    </w:p>
    <w:p>
      <w:pPr>
        <w:spacing w:before="156" w:beforeLines="50"/>
        <w:jc w:val="center"/>
        <w:rPr>
          <w:rFonts w:ascii="Courier New"/>
          <w:color w:val="auto"/>
          <w:sz w:val="28"/>
          <w:szCs w:val="28"/>
          <w:highlight w:val="none"/>
        </w:rPr>
      </w:pPr>
      <w:r>
        <w:rPr>
          <w:rFonts w:hint="eastAsia" w:ascii="幼圆" w:eastAsia="幼圆"/>
          <w:b/>
          <w:color w:val="auto"/>
          <w:spacing w:val="-16"/>
          <w:sz w:val="13"/>
          <w:szCs w:val="13"/>
          <w:highlight w:val="none"/>
          <w:u w:val="singl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297180</wp:posOffset>
                </wp:positionV>
                <wp:extent cx="5829300" cy="0"/>
                <wp:effectExtent l="34290" t="35560" r="32385" b="311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9pt;margin-top:23.4pt;height:0pt;width:459pt;z-index:251660288;mso-width-relative:page;mso-height-relative:page;" filled="f" stroked="t" coordsize="21600,21600" o:gfxdata="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sF68dMAAAAIAQAADwAAAAAAAAABACAA&#10;AAAiAAAAZHJzL2Rvd25yZXYueG1sUEsBAhQAFAAAAAgAh07iQPXNfB3ZAQAAeAMAAA4AAAAAAAAA&#10;AQAgAAAAIgEAAGRycy9lMm9Eb2MueG1sUEsFBgAAAAAGAAYAWQEAAG0FAAAAAA==&#10;">
                <v:fill on="f" focussize="0,0"/>
                <v:stroke weight="4.5pt" color="#000000" linestyle="thinThick" joinstyle="round"/>
                <v:imagedata o:title=""/>
                <o:lock v:ext="edit" aspectratio="f"/>
              </v:line>
            </w:pict>
          </mc:Fallback>
        </mc:AlternateContent>
      </w:r>
    </w:p>
    <w:p>
      <w:pPr>
        <w:jc w:val="center"/>
        <w:rPr>
          <w:rFonts w:ascii="汉仪魏碑简" w:eastAsia="汉仪魏碑简"/>
          <w:color w:val="auto"/>
          <w:sz w:val="28"/>
          <w:szCs w:val="28"/>
          <w:highlight w:val="none"/>
        </w:rPr>
      </w:pPr>
    </w:p>
    <w:p>
      <w:pPr>
        <w:jc w:val="center"/>
        <w:rPr>
          <w:rFonts w:ascii="汉仪魏碑简" w:eastAsia="汉仪魏碑简"/>
          <w:color w:val="auto"/>
          <w:sz w:val="28"/>
          <w:szCs w:val="28"/>
          <w:highlight w:val="none"/>
        </w:rPr>
      </w:pPr>
    </w:p>
    <w:p>
      <w:pPr>
        <w:jc w:val="center"/>
        <w:rPr>
          <w:rFonts w:ascii="汉仪魏碑简" w:eastAsia="汉仪魏碑简"/>
          <w:color w:val="auto"/>
          <w:sz w:val="28"/>
          <w:szCs w:val="28"/>
          <w:highlight w:val="none"/>
        </w:rPr>
      </w:pPr>
    </w:p>
    <w:p>
      <w:pPr>
        <w:jc w:val="center"/>
        <w:rPr>
          <w:rFonts w:ascii="汉仪魏碑简" w:eastAsia="汉仪魏碑简"/>
          <w:b/>
          <w:color w:val="auto"/>
          <w:sz w:val="70"/>
          <w:szCs w:val="70"/>
          <w:highlight w:val="none"/>
        </w:rPr>
      </w:pPr>
      <w:r>
        <w:rPr>
          <w:rFonts w:hint="eastAsia" w:ascii="汉仪魏碑简" w:eastAsia="汉仪魏碑简"/>
          <w:b/>
          <w:color w:val="auto"/>
          <w:sz w:val="70"/>
          <w:szCs w:val="70"/>
          <w:highlight w:val="none"/>
        </w:rPr>
        <w:t>竞争性磋商采购文件</w:t>
      </w:r>
    </w:p>
    <w:p>
      <w:pPr>
        <w:rPr>
          <w:color w:val="auto"/>
          <w:sz w:val="28"/>
          <w:highlight w:val="none"/>
        </w:rPr>
      </w:pPr>
    </w:p>
    <w:p>
      <w:pPr>
        <w:rPr>
          <w:color w:val="auto"/>
          <w:sz w:val="28"/>
          <w:highlight w:val="none"/>
        </w:rPr>
      </w:pPr>
    </w:p>
    <w:p>
      <w:pPr>
        <w:rPr>
          <w:color w:val="auto"/>
          <w:sz w:val="24"/>
          <w:highlight w:val="none"/>
        </w:rPr>
      </w:pPr>
    </w:p>
    <w:p>
      <w:pPr>
        <w:ind w:left="1203" w:leftChars="573" w:right="537"/>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多媒体同步课堂</w:t>
      </w:r>
      <w:r>
        <w:rPr>
          <w:rFonts w:hint="eastAsia" w:ascii="宋体" w:hAnsi="宋体"/>
          <w:b/>
          <w:color w:val="auto"/>
          <w:sz w:val="30"/>
          <w:szCs w:val="30"/>
          <w:highlight w:val="none"/>
        </w:rPr>
        <w:t xml:space="preserve"> </w:t>
      </w:r>
    </w:p>
    <w:p>
      <w:pPr>
        <w:ind w:left="1203" w:leftChars="573" w:right="537"/>
        <w:rPr>
          <w:rFonts w:ascii="宋体" w:hAnsi="宋体"/>
          <w:b/>
          <w:color w:val="auto"/>
          <w:sz w:val="30"/>
          <w:szCs w:val="30"/>
          <w:highlight w:val="none"/>
        </w:rPr>
      </w:pPr>
    </w:p>
    <w:p>
      <w:pPr>
        <w:ind w:left="1203" w:leftChars="573" w:right="537"/>
        <w:rPr>
          <w:rFonts w:hint="eastAsia" w:eastAsia="宋体"/>
          <w:color w:val="auto"/>
          <w:sz w:val="28"/>
          <w:highlight w:val="none"/>
          <w:lang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GGZC2020-C1-20695-GXXY</w:t>
      </w:r>
    </w:p>
    <w:p>
      <w:pPr>
        <w:jc w:val="center"/>
        <w:rPr>
          <w:color w:val="auto"/>
          <w:sz w:val="24"/>
          <w:highlight w:val="none"/>
        </w:rPr>
      </w:pPr>
    </w:p>
    <w:p>
      <w:pPr>
        <w:spacing w:before="156" w:beforeLines="50"/>
        <w:rPr>
          <w:rFonts w:ascii="Courier New"/>
          <w:color w:val="auto"/>
          <w:sz w:val="28"/>
          <w:szCs w:val="28"/>
          <w:highlight w:val="none"/>
        </w:rPr>
      </w:pPr>
    </w:p>
    <w:p>
      <w:pPr>
        <w:spacing w:before="156" w:beforeLines="50"/>
        <w:jc w:val="center"/>
        <w:rPr>
          <w:rFonts w:ascii="Courier New"/>
          <w:color w:val="auto"/>
          <w:sz w:val="28"/>
          <w:szCs w:val="28"/>
          <w:highlight w:val="none"/>
        </w:rPr>
      </w:pPr>
      <w:r>
        <w:rPr>
          <w:rFonts w:hint="eastAsia" w:ascii="幼圆" w:eastAsia="幼圆"/>
          <w:b/>
          <w:color w:val="auto"/>
          <w:spacing w:val="-16"/>
          <w:sz w:val="13"/>
          <w:szCs w:val="13"/>
          <w:highlight w:val="none"/>
          <w:u w:val="single"/>
        </w:rPr>
        <mc:AlternateContent>
          <mc:Choice Requires="wps">
            <w:drawing>
              <wp:anchor distT="0" distB="0" distL="114300" distR="114300" simplePos="0" relativeHeight="251661312" behindDoc="0" locked="0" layoutInCell="1" allowOverlap="1">
                <wp:simplePos x="0" y="0"/>
                <wp:positionH relativeFrom="page">
                  <wp:posOffset>981710</wp:posOffset>
                </wp:positionH>
                <wp:positionV relativeFrom="page">
                  <wp:posOffset>7334250</wp:posOffset>
                </wp:positionV>
                <wp:extent cx="5829300" cy="0"/>
                <wp:effectExtent l="29210" t="28575" r="3746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flip:y;margin-left:77.3pt;margin-top:577.5pt;height:0pt;width:459pt;mso-position-horizontal-relative:page;mso-position-vertical-relative:page;z-index:251661312;mso-width-relative:page;mso-height-relative:page;" filled="f" stroked="t" coordsize="21600,21600" o:gfxdata="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Yp2V1AAAAA4BAAAPAAAAAAAAAAEA&#10;IAAAACIAAABkcnMvZG93bnJldi54bWxQSwECFAAUAAAACACHTuJALEURm9oBAAB4AwAADgAAAAAA&#10;AAABACAAAAAjAQAAZHJzL2Uyb0RvYy54bWxQSwUGAAAAAAYABgBZAQAAbwUAAAAA&#10;">
                <v:fill on="f" focussize="0,0"/>
                <v:stroke weight="4.5pt" color="#000000" linestyle="thinThick" joinstyle="round"/>
                <v:imagedata o:title=""/>
                <o:lock v:ext="edit" aspectratio="f"/>
              </v:line>
            </w:pict>
          </mc:Fallback>
        </mc:AlternateContent>
      </w:r>
    </w:p>
    <w:p>
      <w:pPr>
        <w:spacing w:line="360" w:lineRule="auto"/>
        <w:ind w:left="1126" w:leftChars="536" w:right="913"/>
        <w:rPr>
          <w:rFonts w:ascii="黑体"/>
          <w:b/>
          <w:color w:val="auto"/>
          <w:sz w:val="30"/>
          <w:szCs w:val="30"/>
          <w:highlight w:val="none"/>
        </w:rPr>
      </w:pPr>
      <w:r>
        <w:rPr>
          <w:rFonts w:ascii="黑体"/>
          <w:b/>
          <w:color w:val="auto"/>
          <w:sz w:val="30"/>
          <w:szCs w:val="3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905"/>
                <wp:effectExtent l="5715" t="12700" r="1333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0" cy="190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0pt;margin-top:0pt;height:0.15pt;width:0pt;z-index:251659264;mso-width-relative:page;mso-height-relative:page;" filled="f" stroked="t" coordsize="21600,21600" o:gfxdata="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pzBVPPAAAA/wAAAA8AAAAAAAAAAQAgAAAAIgAAAGRycy9k&#10;b3ducmV2LnhtbFBLAQIUABQAAAAIAIdO4kCzAHSf0gEAAG4DAAAOAAAAAAAAAAEAIAAAAB4BAABk&#10;cnMvZTJvRG9jLnhtbFBLBQYAAAAABgAGAFkBAABiBQAAAAA=&#10;">
                <v:fill on="f" focussize="0,0"/>
                <v:stroke color="#000000" joinstyle="round"/>
                <v:imagedata o:title=""/>
                <o:lock v:ext="edit" aspectratio="f"/>
              </v:line>
            </w:pict>
          </mc:Fallback>
        </mc:AlternateContent>
      </w:r>
      <w:r>
        <w:rPr>
          <w:rFonts w:hint="eastAsia" w:ascii="黑体"/>
          <w:b/>
          <w:color w:val="auto"/>
          <w:sz w:val="30"/>
          <w:szCs w:val="30"/>
          <w:highlight w:val="none"/>
        </w:rPr>
        <w:t>采 购 人</w:t>
      </w:r>
      <w:r>
        <w:rPr>
          <w:rFonts w:ascii="黑体"/>
          <w:b/>
          <w:color w:val="auto"/>
          <w:sz w:val="30"/>
          <w:szCs w:val="30"/>
          <w:highlight w:val="none"/>
        </w:rPr>
        <w:t>：</w:t>
      </w:r>
      <w:r>
        <w:rPr>
          <w:rFonts w:hint="eastAsia" w:ascii="黑体"/>
          <w:b/>
          <w:color w:val="auto"/>
          <w:sz w:val="30"/>
          <w:szCs w:val="30"/>
          <w:highlight w:val="none"/>
        </w:rPr>
        <w:t>贵港市港北区教育局</w:t>
      </w:r>
    </w:p>
    <w:p>
      <w:pPr>
        <w:spacing w:line="360" w:lineRule="auto"/>
        <w:ind w:left="1126" w:leftChars="536" w:right="913"/>
        <w:rPr>
          <w:rFonts w:ascii="黑体"/>
          <w:b/>
          <w:color w:val="auto"/>
          <w:sz w:val="30"/>
          <w:szCs w:val="30"/>
          <w:highlight w:val="none"/>
        </w:rPr>
      </w:pPr>
      <w:r>
        <w:rPr>
          <w:rFonts w:ascii="黑体"/>
          <w:b/>
          <w:color w:val="auto"/>
          <w:sz w:val="30"/>
          <w:szCs w:val="30"/>
          <w:highlight w:val="none"/>
        </w:rPr>
        <w:t>采购代理机构：广西新宇建设项目管理有限公司</w:t>
      </w:r>
    </w:p>
    <w:p>
      <w:pPr>
        <w:pStyle w:val="17"/>
        <w:rPr>
          <w:color w:val="auto"/>
          <w:highlight w:val="none"/>
        </w:rPr>
      </w:pPr>
      <w:r>
        <w:rPr>
          <w:rFonts w:hint="eastAsia" w:ascii="黑体"/>
          <w:b/>
          <w:color w:val="auto"/>
          <w:sz w:val="30"/>
          <w:szCs w:val="30"/>
          <w:highlight w:val="none"/>
        </w:rPr>
        <w:t xml:space="preserve">        监督部门:</w:t>
      </w:r>
      <w:r>
        <w:rPr>
          <w:rFonts w:hint="eastAsia" w:ascii="宋体" w:hAnsi="宋体"/>
          <w:b/>
          <w:color w:val="auto"/>
          <w:sz w:val="30"/>
          <w:szCs w:val="30"/>
          <w:highlight w:val="none"/>
        </w:rPr>
        <w:t>贵港市港北区财政局政府采购监督管理股</w:t>
      </w:r>
    </w:p>
    <w:p>
      <w:pPr>
        <w:spacing w:line="560" w:lineRule="exact"/>
        <w:jc w:val="center"/>
        <w:rPr>
          <w:rFonts w:ascii="黑体"/>
          <w:b/>
          <w:color w:val="auto"/>
          <w:sz w:val="30"/>
          <w:szCs w:val="30"/>
          <w:highlight w:val="none"/>
        </w:rPr>
      </w:pPr>
    </w:p>
    <w:p>
      <w:pPr>
        <w:spacing w:line="560" w:lineRule="exact"/>
        <w:jc w:val="center"/>
        <w:rPr>
          <w:rFonts w:ascii="黑体"/>
          <w:b/>
          <w:color w:val="auto"/>
          <w:sz w:val="32"/>
          <w:szCs w:val="32"/>
          <w:highlight w:val="none"/>
        </w:rPr>
        <w:sectPr>
          <w:headerReference r:id="rId3" w:type="default"/>
          <w:footerReference r:id="rId4" w:type="even"/>
          <w:pgSz w:w="11906" w:h="16838"/>
          <w:pgMar w:top="1134" w:right="1021" w:bottom="1021" w:left="1134" w:header="851" w:footer="992" w:gutter="0"/>
          <w:cols w:space="720" w:num="1"/>
          <w:docGrid w:type="lines" w:linePitch="312" w:charSpace="0"/>
        </w:sectPr>
      </w:pPr>
      <w:r>
        <w:rPr>
          <w:rFonts w:hint="eastAsia" w:ascii="黑体"/>
          <w:b/>
          <w:color w:val="auto"/>
          <w:sz w:val="30"/>
          <w:szCs w:val="30"/>
          <w:highlight w:val="none"/>
        </w:rPr>
        <w:t xml:space="preserve"> 2020</w:t>
      </w:r>
      <w:r>
        <w:rPr>
          <w:rFonts w:ascii="黑体"/>
          <w:b/>
          <w:color w:val="auto"/>
          <w:sz w:val="30"/>
          <w:szCs w:val="30"/>
          <w:highlight w:val="none"/>
        </w:rPr>
        <w:t>年</w:t>
      </w:r>
      <w:r>
        <w:rPr>
          <w:rFonts w:hint="eastAsia" w:ascii="黑体"/>
          <w:b/>
          <w:color w:val="auto"/>
          <w:sz w:val="30"/>
          <w:szCs w:val="30"/>
          <w:highlight w:val="none"/>
          <w:lang w:val="en-US" w:eastAsia="zh-CN"/>
        </w:rPr>
        <w:t>6</w:t>
      </w:r>
      <w:r>
        <w:rPr>
          <w:rFonts w:ascii="黑体"/>
          <w:b/>
          <w:color w:val="auto"/>
          <w:sz w:val="30"/>
          <w:szCs w:val="30"/>
          <w:highlight w:val="none"/>
        </w:rPr>
        <w:t>月</w:t>
      </w: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rPr>
          <w:rFonts w:ascii="宋体"/>
          <w:b/>
          <w:color w:val="auto"/>
          <w:sz w:val="44"/>
          <w:szCs w:val="44"/>
          <w:highlight w:val="none"/>
        </w:rPr>
      </w:pPr>
    </w:p>
    <w:p>
      <w:pPr>
        <w:spacing w:line="500" w:lineRule="exact"/>
        <w:rPr>
          <w:rFonts w:ascii="宋体"/>
          <w:b/>
          <w:color w:val="auto"/>
          <w:sz w:val="44"/>
          <w:szCs w:val="44"/>
          <w:highlight w:val="none"/>
        </w:rPr>
      </w:pPr>
      <w:r>
        <w:rPr>
          <w:rFonts w:ascii="宋体"/>
          <w:b/>
          <w:color w:val="auto"/>
          <w:sz w:val="44"/>
          <w:szCs w:val="44"/>
          <w:highlight w:val="none"/>
        </w:rPr>
        <w:br w:type="page"/>
      </w:r>
    </w:p>
    <w:p>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pPr>
        <w:spacing w:before="240" w:beforeLines="100" w:after="120" w:afterLines="50" w:line="360" w:lineRule="auto"/>
        <w:jc w:val="center"/>
        <w:rPr>
          <w:rFonts w:ascii="宋体"/>
          <w:b/>
          <w:color w:val="auto"/>
          <w:sz w:val="44"/>
          <w:szCs w:val="44"/>
          <w:highlight w:val="none"/>
        </w:rPr>
      </w:pP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rFonts w:hint="eastAsia" w:ascii="黑体" w:hAnsi="黑体"/>
          <w:color w:val="auto"/>
          <w:sz w:val="32"/>
          <w:highlight w:val="none"/>
        </w:rPr>
        <w:fldChar w:fldCharType="begin"/>
      </w:r>
      <w:r>
        <w:rPr>
          <w:rStyle w:val="33"/>
          <w:rFonts w:hint="eastAsia" w:ascii="黑体" w:hAnsi="黑体"/>
          <w:color w:val="auto"/>
          <w:sz w:val="32"/>
          <w:highlight w:val="none"/>
          <w:lang w:eastAsia="zh-CN"/>
        </w:rPr>
        <w:instrText xml:space="preserve"> TOC \o "1-3" \h \z \u </w:instrText>
      </w:r>
      <w:r>
        <w:rPr>
          <w:rFonts w:hint="eastAsia" w:ascii="黑体" w:hAnsi="黑体"/>
          <w:color w:val="auto"/>
          <w:sz w:val="32"/>
          <w:highlight w:val="none"/>
        </w:rPr>
        <w:fldChar w:fldCharType="separate"/>
      </w:r>
      <w:r>
        <w:rPr>
          <w:color w:val="auto"/>
          <w:highlight w:val="none"/>
        </w:rPr>
        <w:fldChar w:fldCharType="begin"/>
      </w:r>
      <w:r>
        <w:rPr>
          <w:color w:val="auto"/>
          <w:highlight w:val="none"/>
        </w:rPr>
        <w:instrText xml:space="preserve"> HYPERLINK \l "_Toc30409522" </w:instrText>
      </w:r>
      <w:r>
        <w:rPr>
          <w:color w:val="auto"/>
          <w:highlight w:val="none"/>
        </w:rPr>
        <w:fldChar w:fldCharType="separate"/>
      </w:r>
      <w:r>
        <w:rPr>
          <w:rFonts w:ascii="宋体" w:hAnsi="宋体"/>
          <w:color w:val="auto"/>
          <w:sz w:val="28"/>
          <w:szCs w:val="28"/>
          <w:highlight w:val="none"/>
        </w:rPr>
        <w:t>第一章  竞争性磋商公告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_Toc30409522 \h </w:instrText>
      </w:r>
      <w:r>
        <w:rPr>
          <w:rFonts w:ascii="宋体" w:hAnsi="宋体"/>
          <w:color w:val="auto"/>
          <w:sz w:val="28"/>
          <w:szCs w:val="28"/>
          <w:highlight w:val="none"/>
        </w:rPr>
        <w:fldChar w:fldCharType="separate"/>
      </w:r>
      <w:r>
        <w:rPr>
          <w:rFonts w:ascii="宋体" w:hAnsi="宋体"/>
          <w:color w:val="auto"/>
          <w:sz w:val="28"/>
          <w:szCs w:val="28"/>
          <w:highlight w:val="none"/>
        </w:rPr>
        <w:t>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"_Toc30409523" </w:instrText>
      </w:r>
      <w:r>
        <w:rPr>
          <w:color w:val="auto"/>
          <w:highlight w:val="none"/>
        </w:rPr>
        <w:fldChar w:fldCharType="separate"/>
      </w:r>
      <w:r>
        <w:rPr>
          <w:rFonts w:ascii="宋体" w:hAnsi="宋体"/>
          <w:color w:val="auto"/>
          <w:sz w:val="28"/>
          <w:szCs w:val="28"/>
          <w:highlight w:val="none"/>
        </w:rPr>
        <w:t>第二章 磋商须知前附表及磋商须知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_Toc30409523 \h </w:instrText>
      </w:r>
      <w:r>
        <w:rPr>
          <w:rFonts w:ascii="宋体" w:hAnsi="宋体"/>
          <w:color w:val="auto"/>
          <w:sz w:val="28"/>
          <w:szCs w:val="28"/>
          <w:highlight w:val="none"/>
        </w:rPr>
        <w:fldChar w:fldCharType="separate"/>
      </w:r>
      <w:r>
        <w:rPr>
          <w:rFonts w:ascii="宋体" w:hAnsi="宋体"/>
          <w:color w:val="auto"/>
          <w:sz w:val="28"/>
          <w:szCs w:val="28"/>
          <w:highlight w:val="none"/>
        </w:rPr>
        <w:t>7</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"_Toc30409524" </w:instrText>
      </w:r>
      <w:r>
        <w:rPr>
          <w:color w:val="auto"/>
          <w:highlight w:val="none"/>
        </w:rPr>
        <w:fldChar w:fldCharType="separate"/>
      </w:r>
      <w:r>
        <w:rPr>
          <w:rFonts w:ascii="宋体" w:hAnsi="宋体"/>
          <w:color w:val="auto"/>
          <w:sz w:val="28"/>
          <w:szCs w:val="28"/>
          <w:highlight w:val="none"/>
        </w:rPr>
        <w:t>第三章 项目</w:t>
      </w:r>
      <w:r>
        <w:rPr>
          <w:rFonts w:hint="eastAsia" w:ascii="宋体" w:hAnsi="宋体"/>
          <w:color w:val="auto"/>
          <w:sz w:val="28"/>
          <w:szCs w:val="28"/>
          <w:highlight w:val="none"/>
        </w:rPr>
        <w:t>采购</w:t>
      </w:r>
      <w:r>
        <w:rPr>
          <w:rFonts w:ascii="宋体" w:hAnsi="宋体"/>
          <w:color w:val="auto"/>
          <w:sz w:val="28"/>
          <w:szCs w:val="28"/>
          <w:highlight w:val="none"/>
        </w:rPr>
        <w:t>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_Toc30409524 \h </w:instrText>
      </w:r>
      <w:r>
        <w:rPr>
          <w:rFonts w:ascii="宋体" w:hAnsi="宋体"/>
          <w:color w:val="auto"/>
          <w:sz w:val="28"/>
          <w:szCs w:val="28"/>
          <w:highlight w:val="none"/>
        </w:rPr>
        <w:fldChar w:fldCharType="separate"/>
      </w:r>
      <w:r>
        <w:rPr>
          <w:rFonts w:ascii="宋体" w:hAnsi="宋体"/>
          <w:color w:val="auto"/>
          <w:sz w:val="28"/>
          <w:szCs w:val="28"/>
          <w:highlight w:val="none"/>
        </w:rPr>
        <w:t>22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"_Toc30409525" </w:instrText>
      </w:r>
      <w:r>
        <w:rPr>
          <w:color w:val="auto"/>
          <w:highlight w:val="none"/>
        </w:rPr>
        <w:fldChar w:fldCharType="separate"/>
      </w:r>
      <w:r>
        <w:rPr>
          <w:rFonts w:ascii="宋体" w:hAnsi="宋体"/>
          <w:color w:val="auto"/>
          <w:sz w:val="28"/>
          <w:szCs w:val="28"/>
          <w:highlight w:val="none"/>
        </w:rPr>
        <w:t>第四章 评定标准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_Toc30409525 \h </w:instrText>
      </w:r>
      <w:r>
        <w:rPr>
          <w:rFonts w:ascii="宋体" w:hAnsi="宋体"/>
          <w:color w:val="auto"/>
          <w:sz w:val="28"/>
          <w:szCs w:val="28"/>
          <w:highlight w:val="none"/>
        </w:rPr>
        <w:fldChar w:fldCharType="separate"/>
      </w:r>
      <w:r>
        <w:rPr>
          <w:rFonts w:ascii="宋体" w:hAnsi="宋体"/>
          <w:color w:val="auto"/>
          <w:sz w:val="28"/>
          <w:szCs w:val="28"/>
          <w:highlight w:val="none"/>
        </w:rPr>
        <w:t>40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"_Toc30409526" </w:instrText>
      </w:r>
      <w:r>
        <w:rPr>
          <w:color w:val="auto"/>
          <w:highlight w:val="none"/>
        </w:rPr>
        <w:fldChar w:fldCharType="separate"/>
      </w:r>
      <w:r>
        <w:rPr>
          <w:rFonts w:ascii="宋体" w:hAnsi="宋体"/>
          <w:color w:val="auto"/>
          <w:sz w:val="28"/>
          <w:szCs w:val="28"/>
          <w:highlight w:val="none"/>
        </w:rPr>
        <w:t>第五章   采购合同格式（参考格式）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_Toc30409526 \h </w:instrText>
      </w:r>
      <w:r>
        <w:rPr>
          <w:rFonts w:ascii="宋体" w:hAnsi="宋体"/>
          <w:color w:val="auto"/>
          <w:sz w:val="28"/>
          <w:szCs w:val="28"/>
          <w:highlight w:val="none"/>
        </w:rPr>
        <w:fldChar w:fldCharType="separate"/>
      </w:r>
      <w:r>
        <w:rPr>
          <w:rFonts w:ascii="宋体" w:hAnsi="宋体"/>
          <w:color w:val="auto"/>
          <w:sz w:val="28"/>
          <w:szCs w:val="28"/>
          <w:highlight w:val="none"/>
        </w:rPr>
        <w:t>44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47"/>
        </w:tabs>
        <w:spacing w:before="240" w:beforeLines="100" w:after="120" w:afterLines="50" w:line="360" w:lineRule="auto"/>
        <w:ind w:left="420"/>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"_Toc30409528" </w:instrText>
      </w:r>
      <w:r>
        <w:rPr>
          <w:color w:val="auto"/>
          <w:highlight w:val="none"/>
        </w:rPr>
        <w:fldChar w:fldCharType="separate"/>
      </w:r>
      <w:r>
        <w:rPr>
          <w:rFonts w:ascii="宋体" w:hAnsi="宋体"/>
          <w:color w:val="auto"/>
          <w:sz w:val="28"/>
          <w:szCs w:val="28"/>
          <w:highlight w:val="none"/>
        </w:rPr>
        <w:t>第六章   响应文件格式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_Toc30409528 \h </w:instrText>
      </w:r>
      <w:r>
        <w:rPr>
          <w:rFonts w:ascii="宋体" w:hAnsi="宋体"/>
          <w:color w:val="auto"/>
          <w:sz w:val="28"/>
          <w:szCs w:val="28"/>
          <w:highlight w:val="none"/>
        </w:rPr>
        <w:fldChar w:fldCharType="separate"/>
      </w:r>
      <w:r>
        <w:rPr>
          <w:rFonts w:ascii="宋体" w:hAnsi="宋体"/>
          <w:color w:val="auto"/>
          <w:sz w:val="28"/>
          <w:szCs w:val="28"/>
          <w:highlight w:val="none"/>
        </w:rPr>
        <w:t>51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0"/>
        <w:tabs>
          <w:tab w:val="right" w:leader="dot" w:pos="8931"/>
        </w:tabs>
        <w:spacing w:before="240" w:beforeLines="100" w:after="120" w:afterLines="50" w:line="360" w:lineRule="auto"/>
        <w:ind w:left="420"/>
        <w:rPr>
          <w:rFonts w:ascii="宋体"/>
          <w:b/>
          <w:color w:val="auto"/>
          <w:sz w:val="30"/>
          <w:szCs w:val="30"/>
          <w:highlight w:val="none"/>
        </w:rPr>
      </w:pPr>
      <w:r>
        <w:rPr>
          <w:rFonts w:hint="eastAsia" w:ascii="黑体" w:hAnsi="黑体"/>
          <w:color w:val="auto"/>
          <w:sz w:val="32"/>
          <w:highlight w:val="none"/>
        </w:rPr>
        <w:fldChar w:fldCharType="end"/>
      </w:r>
    </w:p>
    <w:p>
      <w:pPr>
        <w:spacing w:line="500" w:lineRule="exact"/>
        <w:jc w:val="left"/>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rPr>
          <w:rFonts w:ascii="宋体"/>
          <w:b/>
          <w:color w:val="auto"/>
          <w:sz w:val="32"/>
          <w:szCs w:val="32"/>
          <w:highlight w:val="none"/>
        </w:rPr>
      </w:pPr>
    </w:p>
    <w:p>
      <w:pPr>
        <w:rPr>
          <w:color w:val="auto"/>
          <w:highlight w:val="none"/>
        </w:rPr>
      </w:pPr>
      <w:r>
        <w:rPr>
          <w:color w:val="auto"/>
          <w:highlight w:val="none"/>
        </w:rPr>
        <w:br w:type="page"/>
      </w:r>
    </w:p>
    <w:p>
      <w:pPr>
        <w:pStyle w:val="4"/>
        <w:spacing w:line="500" w:lineRule="exact"/>
        <w:jc w:val="center"/>
        <w:rPr>
          <w:color w:val="auto"/>
          <w:sz w:val="44"/>
          <w:szCs w:val="44"/>
          <w:highlight w:val="none"/>
        </w:rPr>
      </w:pPr>
      <w:bookmarkStart w:id="0" w:name="_Toc451430914"/>
      <w:bookmarkStart w:id="1" w:name="_Toc30409522"/>
      <w:r>
        <w:rPr>
          <w:rFonts w:hint="eastAsia"/>
          <w:color w:val="auto"/>
          <w:sz w:val="44"/>
          <w:szCs w:val="44"/>
          <w:highlight w:val="none"/>
        </w:rPr>
        <w:t>第一章  竞争性磋商公告</w:t>
      </w:r>
      <w:bookmarkEnd w:id="0"/>
      <w:bookmarkEnd w:id="1"/>
    </w:p>
    <w:p>
      <w:pPr>
        <w:spacing w:line="500" w:lineRule="exact"/>
        <w:jc w:val="center"/>
        <w:rPr>
          <w:rFonts w:ascii="宋体"/>
          <w:b/>
          <w:color w:val="auto"/>
          <w:sz w:val="24"/>
          <w:highlight w:val="none"/>
        </w:rPr>
      </w:pPr>
      <w:bookmarkStart w:id="2" w:name="OLE_LINK1"/>
      <w:r>
        <w:rPr>
          <w:rFonts w:hint="eastAsia" w:ascii="宋体"/>
          <w:b/>
          <w:bCs/>
          <w:color w:val="auto"/>
          <w:sz w:val="24"/>
          <w:highlight w:val="none"/>
        </w:rPr>
        <w:t>广西新宇建设项目管理有限公司关于</w:t>
      </w:r>
      <w:r>
        <w:rPr>
          <w:rFonts w:hint="eastAsia" w:ascii="宋体"/>
          <w:b/>
          <w:bCs/>
          <w:color w:val="auto"/>
          <w:sz w:val="24"/>
          <w:highlight w:val="none"/>
          <w:lang w:eastAsia="zh-CN"/>
        </w:rPr>
        <w:t>多媒体同步课堂</w:t>
      </w:r>
      <w:r>
        <w:rPr>
          <w:rFonts w:hint="eastAsia" w:ascii="宋体"/>
          <w:b/>
          <w:bCs/>
          <w:color w:val="auto"/>
          <w:sz w:val="24"/>
          <w:highlight w:val="none"/>
        </w:rPr>
        <w:t xml:space="preserve"> </w:t>
      </w:r>
      <w:r>
        <w:rPr>
          <w:rFonts w:hint="eastAsia" w:ascii="宋体"/>
          <w:b/>
          <w:color w:val="auto"/>
          <w:sz w:val="24"/>
          <w:highlight w:val="none"/>
        </w:rPr>
        <w:t>（项目</w:t>
      </w:r>
      <w:r>
        <w:rPr>
          <w:rFonts w:ascii="宋体"/>
          <w:b/>
          <w:color w:val="auto"/>
          <w:sz w:val="24"/>
          <w:highlight w:val="none"/>
        </w:rPr>
        <w:t>编号：</w:t>
      </w:r>
      <w:r>
        <w:rPr>
          <w:rFonts w:hint="eastAsia" w:ascii="宋体"/>
          <w:b/>
          <w:bCs/>
          <w:color w:val="auto"/>
          <w:sz w:val="24"/>
          <w:highlight w:val="none"/>
          <w:lang w:eastAsia="zh-CN"/>
        </w:rPr>
        <w:t>GGZC2020-C1-20695-GXXY</w:t>
      </w:r>
      <w:r>
        <w:rPr>
          <w:rFonts w:hint="eastAsia" w:ascii="宋体"/>
          <w:b/>
          <w:color w:val="auto"/>
          <w:sz w:val="24"/>
          <w:highlight w:val="none"/>
        </w:rPr>
        <w:t>）竞争性磋商公告</w:t>
      </w:r>
    </w:p>
    <w:p>
      <w:pPr>
        <w:spacing w:line="440" w:lineRule="exact"/>
        <w:ind w:firstLine="420" w:firstLineChars="200"/>
        <w:rPr>
          <w:rFonts w:ascii="宋体"/>
          <w:color w:val="auto"/>
          <w:szCs w:val="21"/>
          <w:highlight w:val="none"/>
        </w:rPr>
      </w:pPr>
      <w:r>
        <w:rPr>
          <w:rFonts w:hint="eastAsia" w:ascii="宋体"/>
          <w:bCs/>
          <w:color w:val="auto"/>
          <w:szCs w:val="21"/>
          <w:highlight w:val="none"/>
        </w:rPr>
        <w:t>广西新宇建设项目管理有限公司</w:t>
      </w:r>
      <w:r>
        <w:rPr>
          <w:rFonts w:hint="eastAsia" w:ascii="宋体"/>
          <w:color w:val="auto"/>
          <w:szCs w:val="21"/>
          <w:highlight w:val="none"/>
        </w:rPr>
        <w:t>受</w:t>
      </w:r>
      <w:r>
        <w:rPr>
          <w:rFonts w:hint="eastAsia" w:ascii="宋体"/>
          <w:bCs/>
          <w:color w:val="auto"/>
          <w:szCs w:val="21"/>
          <w:highlight w:val="none"/>
        </w:rPr>
        <w:t>贵港市港北区教育局</w:t>
      </w:r>
      <w:r>
        <w:rPr>
          <w:rFonts w:hint="eastAsia" w:ascii="宋体"/>
          <w:color w:val="auto"/>
          <w:szCs w:val="21"/>
          <w:highlight w:val="none"/>
        </w:rPr>
        <w:t>委托，根据《中华人民共和国政府采购法》及</w:t>
      </w:r>
      <w:r>
        <w:rPr>
          <w:rFonts w:hint="eastAsia" w:ascii="宋体" w:hAnsi="宋体" w:cs="宋体"/>
          <w:color w:val="auto"/>
          <w:szCs w:val="21"/>
          <w:highlight w:val="none"/>
        </w:rPr>
        <w:t>贵港市港北区政府采购计划备案表（计划编号：</w:t>
      </w:r>
      <w:r>
        <w:rPr>
          <w:rFonts w:ascii="宋体" w:hAnsi="宋体" w:cs="宋体"/>
          <w:color w:val="auto"/>
          <w:szCs w:val="21"/>
          <w:highlight w:val="none"/>
        </w:rPr>
        <w:t>H20</w:t>
      </w:r>
      <w:r>
        <w:rPr>
          <w:rFonts w:hint="eastAsia" w:ascii="宋体" w:hAnsi="宋体" w:cs="宋体"/>
          <w:color w:val="auto"/>
          <w:szCs w:val="21"/>
          <w:highlight w:val="none"/>
          <w:lang w:val="en-US" w:eastAsia="zh-CN"/>
        </w:rPr>
        <w:t>2005250695</w:t>
      </w:r>
      <w:r>
        <w:rPr>
          <w:rFonts w:hint="eastAsia" w:ascii="宋体" w:hAnsi="宋体" w:cs="宋体"/>
          <w:color w:val="auto"/>
          <w:szCs w:val="21"/>
          <w:highlight w:val="none"/>
        </w:rPr>
        <w:t>）</w:t>
      </w:r>
      <w:r>
        <w:rPr>
          <w:rFonts w:hint="eastAsia" w:ascii="宋体"/>
          <w:color w:val="auto"/>
          <w:szCs w:val="21"/>
          <w:highlight w:val="none"/>
        </w:rPr>
        <w:t>等有关规定，现对</w:t>
      </w:r>
      <w:r>
        <w:rPr>
          <w:rFonts w:hint="eastAsia" w:ascii="宋体"/>
          <w:bCs/>
          <w:color w:val="auto"/>
          <w:szCs w:val="21"/>
          <w:highlight w:val="none"/>
          <w:lang w:eastAsia="zh-CN"/>
        </w:rPr>
        <w:t>多媒体同步课堂</w:t>
      </w:r>
      <w:r>
        <w:rPr>
          <w:rFonts w:hint="eastAsia" w:ascii="宋体"/>
          <w:color w:val="auto"/>
          <w:szCs w:val="21"/>
          <w:highlight w:val="none"/>
        </w:rPr>
        <w:t>项目进行竞争性磋商，欢迎符合条件的供应商前来参加磋商活动。</w:t>
      </w:r>
    </w:p>
    <w:p>
      <w:pPr>
        <w:spacing w:line="440" w:lineRule="exact"/>
        <w:ind w:firstLine="422" w:firstLineChars="200"/>
        <w:rPr>
          <w:rFonts w:ascii="宋体"/>
          <w:color w:val="auto"/>
          <w:szCs w:val="21"/>
          <w:highlight w:val="none"/>
        </w:rPr>
      </w:pPr>
      <w:r>
        <w:rPr>
          <w:rFonts w:hint="eastAsia" w:ascii="宋体"/>
          <w:b/>
          <w:color w:val="auto"/>
          <w:szCs w:val="21"/>
          <w:highlight w:val="none"/>
        </w:rPr>
        <w:t>一、采购项目名称：</w:t>
      </w:r>
      <w:r>
        <w:rPr>
          <w:rFonts w:hint="eastAsia" w:ascii="宋体"/>
          <w:bCs/>
          <w:color w:val="auto"/>
          <w:szCs w:val="21"/>
          <w:highlight w:val="none"/>
          <w:lang w:eastAsia="zh-CN"/>
        </w:rPr>
        <w:t>多媒体同步课堂</w:t>
      </w:r>
      <w:r>
        <w:rPr>
          <w:rFonts w:hint="eastAsia" w:ascii="宋体"/>
          <w:bCs/>
          <w:color w:val="auto"/>
          <w:szCs w:val="21"/>
          <w:highlight w:val="none"/>
        </w:rPr>
        <w:t xml:space="preserve"> </w:t>
      </w:r>
    </w:p>
    <w:p>
      <w:pPr>
        <w:spacing w:line="440" w:lineRule="exact"/>
        <w:ind w:firstLine="422" w:firstLineChars="200"/>
        <w:rPr>
          <w:rFonts w:hint="eastAsia" w:ascii="宋体" w:eastAsia="宋体"/>
          <w:color w:val="auto"/>
          <w:szCs w:val="21"/>
          <w:highlight w:val="none"/>
          <w:lang w:eastAsia="zh-CN"/>
        </w:rPr>
      </w:pPr>
      <w:r>
        <w:rPr>
          <w:rFonts w:hint="eastAsia" w:ascii="宋体"/>
          <w:b/>
          <w:color w:val="auto"/>
          <w:szCs w:val="21"/>
          <w:highlight w:val="none"/>
        </w:rPr>
        <w:t>二、采购项目编号：</w:t>
      </w:r>
      <w:r>
        <w:rPr>
          <w:rFonts w:hint="eastAsia" w:ascii="宋体"/>
          <w:bCs/>
          <w:color w:val="auto"/>
          <w:szCs w:val="21"/>
          <w:highlight w:val="none"/>
          <w:lang w:eastAsia="zh-CN"/>
        </w:rPr>
        <w:t>GGZC2020-C1-20695-GXXY</w:t>
      </w:r>
    </w:p>
    <w:p>
      <w:pPr>
        <w:spacing w:line="440" w:lineRule="exact"/>
        <w:ind w:firstLine="422" w:firstLineChars="200"/>
        <w:rPr>
          <w:rFonts w:ascii="宋体"/>
          <w:color w:val="auto"/>
          <w:szCs w:val="21"/>
          <w:highlight w:val="none"/>
        </w:rPr>
      </w:pPr>
      <w:r>
        <w:rPr>
          <w:rFonts w:hint="eastAsia" w:ascii="宋体"/>
          <w:b/>
          <w:color w:val="auto"/>
          <w:szCs w:val="21"/>
          <w:highlight w:val="none"/>
        </w:rPr>
        <w:t>三、采购项目的内容：</w:t>
      </w:r>
      <w:r>
        <w:rPr>
          <w:rFonts w:hint="eastAsia" w:ascii="宋体"/>
          <w:bCs/>
          <w:color w:val="auto"/>
          <w:szCs w:val="21"/>
          <w:highlight w:val="none"/>
        </w:rPr>
        <w:t>本项目采购</w:t>
      </w:r>
      <w:r>
        <w:rPr>
          <w:rFonts w:hint="eastAsia" w:ascii="宋体"/>
          <w:bCs/>
          <w:color w:val="auto"/>
          <w:szCs w:val="21"/>
          <w:highlight w:val="none"/>
          <w:lang w:eastAsia="zh-CN"/>
        </w:rPr>
        <w:t>多媒体同步课堂</w:t>
      </w:r>
      <w:r>
        <w:rPr>
          <w:rFonts w:hint="eastAsia" w:ascii="宋体"/>
          <w:bCs/>
          <w:color w:val="auto"/>
          <w:szCs w:val="21"/>
          <w:highlight w:val="none"/>
        </w:rPr>
        <w:t>等一批，</w:t>
      </w:r>
      <w:r>
        <w:rPr>
          <w:rFonts w:hint="eastAsia" w:ascii="宋体"/>
          <w:color w:val="auto"/>
          <w:szCs w:val="21"/>
          <w:highlight w:val="none"/>
        </w:rPr>
        <w:t>如需进一步了解详细内容，详见竞争性磋商采购文件。</w:t>
      </w:r>
    </w:p>
    <w:p>
      <w:pPr>
        <w:spacing w:line="440" w:lineRule="exact"/>
        <w:ind w:firstLine="420" w:firstLineChars="200"/>
        <w:rPr>
          <w:rFonts w:ascii="宋体"/>
          <w:color w:val="auto"/>
          <w:szCs w:val="21"/>
          <w:highlight w:val="none"/>
        </w:rPr>
      </w:pPr>
      <w:r>
        <w:rPr>
          <w:rFonts w:hint="eastAsia" w:ascii="宋体"/>
          <w:bCs/>
          <w:color w:val="auto"/>
          <w:szCs w:val="21"/>
          <w:highlight w:val="none"/>
        </w:rPr>
        <w:t>交付使用期：自签订合同之日起20日内交货并安装验收完毕。</w:t>
      </w:r>
    </w:p>
    <w:p>
      <w:pPr>
        <w:spacing w:line="440" w:lineRule="exact"/>
        <w:ind w:firstLine="422" w:firstLineChars="200"/>
        <w:rPr>
          <w:rFonts w:ascii="宋体"/>
          <w:b/>
          <w:color w:val="auto"/>
          <w:szCs w:val="21"/>
          <w:highlight w:val="none"/>
        </w:rPr>
      </w:pPr>
      <w:r>
        <w:rPr>
          <w:rFonts w:hint="eastAsia" w:ascii="宋体"/>
          <w:b/>
          <w:color w:val="auto"/>
          <w:szCs w:val="21"/>
          <w:highlight w:val="none"/>
        </w:rPr>
        <w:t>四、采购预算控制价：</w:t>
      </w:r>
      <w:r>
        <w:rPr>
          <w:rFonts w:hint="eastAsia" w:ascii="宋体"/>
          <w:b/>
          <w:bCs/>
          <w:color w:val="auto"/>
          <w:szCs w:val="21"/>
          <w:highlight w:val="none"/>
        </w:rPr>
        <w:t>人民币壹佰伍拾万元整（￥1500000.00）。</w:t>
      </w:r>
      <w:r>
        <w:rPr>
          <w:rFonts w:ascii="宋体"/>
          <w:b/>
          <w:color w:val="auto"/>
          <w:szCs w:val="21"/>
          <w:highlight w:val="none"/>
        </w:rPr>
        <w:t xml:space="preserve"> </w:t>
      </w:r>
    </w:p>
    <w:p>
      <w:pPr>
        <w:spacing w:line="440" w:lineRule="exact"/>
        <w:ind w:firstLine="422" w:firstLineChars="200"/>
        <w:rPr>
          <w:rFonts w:ascii="宋体"/>
          <w:color w:val="auto"/>
          <w:szCs w:val="21"/>
          <w:highlight w:val="none"/>
        </w:rPr>
      </w:pPr>
      <w:r>
        <w:rPr>
          <w:rFonts w:hint="eastAsia" w:ascii="宋体"/>
          <w:b/>
          <w:color w:val="auto"/>
          <w:szCs w:val="21"/>
          <w:highlight w:val="none"/>
        </w:rPr>
        <w:t>五、本项目需要落实的采购政策</w:t>
      </w:r>
      <w:r>
        <w:rPr>
          <w:rFonts w:hint="eastAsia" w:ascii="宋体"/>
          <w:color w:val="auto"/>
          <w:szCs w:val="21"/>
          <w:highlight w:val="none"/>
        </w:rPr>
        <w:t>：《政府采购促进中小企业发展暂行办法》（财库[2011]181号）；《财政部、司法部关于政府采购支持监狱企业发展有关问题的通知》（财库〔2014〕68号）；《财政部民政部中国残疾人联合会关于促进残疾人就业政府采购政策的通知》（财库〔2017〕141号）；财政部《关于印发节能产品政府采购品目清单的通知》（财库〔2019〕19号）等政府采购相关政策。</w:t>
      </w:r>
    </w:p>
    <w:p>
      <w:pPr>
        <w:spacing w:line="440" w:lineRule="exact"/>
        <w:ind w:firstLine="422" w:firstLineChars="200"/>
        <w:rPr>
          <w:rFonts w:ascii="宋体"/>
          <w:color w:val="auto"/>
          <w:szCs w:val="21"/>
          <w:highlight w:val="none"/>
        </w:rPr>
      </w:pPr>
      <w:r>
        <w:rPr>
          <w:rFonts w:hint="eastAsia" w:ascii="宋体"/>
          <w:b/>
          <w:color w:val="auto"/>
          <w:szCs w:val="21"/>
          <w:highlight w:val="none"/>
        </w:rPr>
        <w:t>六、磋商供应商资格要求</w:t>
      </w:r>
      <w:r>
        <w:rPr>
          <w:rFonts w:hint="eastAsia" w:ascii="宋体"/>
          <w:color w:val="auto"/>
          <w:szCs w:val="21"/>
          <w:highlight w:val="none"/>
        </w:rPr>
        <w:t>：</w:t>
      </w:r>
    </w:p>
    <w:p>
      <w:pPr>
        <w:spacing w:line="440" w:lineRule="exact"/>
        <w:ind w:firstLine="315" w:firstLineChars="150"/>
        <w:rPr>
          <w:rFonts w:ascii="宋体"/>
          <w:color w:val="auto"/>
          <w:szCs w:val="21"/>
          <w:highlight w:val="none"/>
        </w:rPr>
      </w:pPr>
      <w:r>
        <w:rPr>
          <w:rFonts w:hint="eastAsia" w:ascii="宋体"/>
          <w:color w:val="auto"/>
          <w:szCs w:val="21"/>
          <w:highlight w:val="none"/>
        </w:rPr>
        <w:t>1、符合《中华人民共和国政府采购法》第二十二条规定的，同时具备法人资格的供应商；</w:t>
      </w:r>
    </w:p>
    <w:p>
      <w:pPr>
        <w:spacing w:line="440" w:lineRule="exact"/>
        <w:ind w:firstLine="315" w:firstLineChars="150"/>
        <w:rPr>
          <w:rFonts w:ascii="宋体"/>
          <w:color w:val="auto"/>
          <w:szCs w:val="21"/>
          <w:highlight w:val="none"/>
        </w:rPr>
      </w:pPr>
      <w:r>
        <w:rPr>
          <w:rFonts w:hint="eastAsia" w:ascii="宋体"/>
          <w:color w:val="auto"/>
          <w:szCs w:val="21"/>
          <w:highlight w:val="none"/>
        </w:rPr>
        <w:t>2、国内注册（指按国家有关规定要求注册的），生产或经营本次采购货物(营业执照应包含电子产品生产或经营内容   )，并在人员、设备、资金等方面具有相应的能力；</w:t>
      </w:r>
    </w:p>
    <w:p>
      <w:pPr>
        <w:spacing w:line="440" w:lineRule="exact"/>
        <w:ind w:firstLine="315" w:firstLineChars="150"/>
        <w:rPr>
          <w:rFonts w:ascii="宋体"/>
          <w:color w:val="auto"/>
          <w:szCs w:val="21"/>
          <w:highlight w:val="none"/>
        </w:rPr>
      </w:pPr>
      <w:r>
        <w:rPr>
          <w:rFonts w:hint="eastAsia" w:ascii="宋体"/>
          <w:color w:val="auto"/>
          <w:szCs w:val="21"/>
          <w:highlight w:val="none"/>
        </w:rPr>
        <w:t>3、本项目不接受联合体投标。</w:t>
      </w:r>
    </w:p>
    <w:p>
      <w:pPr>
        <w:spacing w:line="440" w:lineRule="exact"/>
        <w:ind w:firstLine="315" w:firstLineChars="150"/>
        <w:rPr>
          <w:rFonts w:ascii="宋体"/>
          <w:color w:val="auto"/>
          <w:szCs w:val="21"/>
          <w:highlight w:val="none"/>
        </w:rPr>
      </w:pPr>
      <w:r>
        <w:rPr>
          <w:rFonts w:hint="eastAsia" w:ascii="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315" w:firstLineChars="150"/>
        <w:rPr>
          <w:rFonts w:ascii="宋体"/>
          <w:color w:val="auto"/>
          <w:szCs w:val="21"/>
          <w:highlight w:val="none"/>
        </w:rPr>
      </w:pPr>
      <w:r>
        <w:rPr>
          <w:rFonts w:hint="eastAsia" w:ascii="宋体"/>
          <w:color w:val="auto"/>
          <w:szCs w:val="21"/>
          <w:highlight w:val="none"/>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项目的采购活动。</w:t>
      </w:r>
    </w:p>
    <w:p>
      <w:pPr>
        <w:spacing w:line="440" w:lineRule="exact"/>
        <w:ind w:firstLine="422" w:firstLineChars="200"/>
        <w:rPr>
          <w:rFonts w:ascii="宋体"/>
          <w:b/>
          <w:color w:val="auto"/>
          <w:szCs w:val="21"/>
          <w:highlight w:val="none"/>
        </w:rPr>
      </w:pPr>
    </w:p>
    <w:p>
      <w:pPr>
        <w:spacing w:line="440" w:lineRule="exact"/>
        <w:ind w:firstLine="422" w:firstLineChars="200"/>
        <w:rPr>
          <w:rFonts w:ascii="宋体"/>
          <w:b/>
          <w:color w:val="auto"/>
          <w:szCs w:val="21"/>
          <w:highlight w:val="none"/>
        </w:rPr>
      </w:pPr>
      <w:r>
        <w:rPr>
          <w:rFonts w:hint="eastAsia" w:ascii="宋体"/>
          <w:b/>
          <w:color w:val="auto"/>
          <w:szCs w:val="21"/>
          <w:highlight w:val="none"/>
        </w:rPr>
        <w:t>七、竞争性磋商文件的获取：</w:t>
      </w:r>
    </w:p>
    <w:p>
      <w:pPr>
        <w:spacing w:line="440" w:lineRule="exact"/>
        <w:ind w:firstLine="205" w:firstLineChars="98"/>
        <w:rPr>
          <w:rFonts w:ascii="宋体"/>
          <w:color w:val="auto"/>
          <w:szCs w:val="21"/>
          <w:highlight w:val="none"/>
        </w:rPr>
      </w:pPr>
      <w:r>
        <w:rPr>
          <w:rFonts w:hint="eastAsia" w:ascii="宋体"/>
          <w:color w:val="auto"/>
          <w:szCs w:val="21"/>
          <w:highlight w:val="none"/>
        </w:rPr>
        <w:t xml:space="preserve"> 1.报名方式：网上报名[注：供应商如第一次报名，报名前需在贵港市公共资源交易平台（http://ggggjy.gxgg.gov.cn:9005/）完成单位信息注册，已经广西住建厅诚信库系统备案的投标单位则无需注册，可直接使用企业加密锁或已备案的身份证号码登陆。]</w:t>
      </w:r>
    </w:p>
    <w:p>
      <w:pPr>
        <w:spacing w:line="440" w:lineRule="exact"/>
        <w:ind w:firstLine="205" w:firstLineChars="98"/>
        <w:rPr>
          <w:rFonts w:ascii="宋体"/>
          <w:color w:val="auto"/>
          <w:szCs w:val="21"/>
          <w:highlight w:val="none"/>
        </w:rPr>
      </w:pPr>
      <w:r>
        <w:rPr>
          <w:rFonts w:hint="eastAsia" w:ascii="宋体"/>
          <w:color w:val="auto"/>
          <w:szCs w:val="21"/>
          <w:highlight w:val="none"/>
        </w:rPr>
        <w:t>2.报名时间：</w:t>
      </w:r>
      <w:r>
        <w:rPr>
          <w:rFonts w:hint="eastAsia" w:ascii="宋体"/>
          <w:b/>
          <w:color w:val="auto"/>
          <w:szCs w:val="21"/>
          <w:highlight w:val="none"/>
        </w:rPr>
        <w:t>2020年</w:t>
      </w:r>
      <w:r>
        <w:rPr>
          <w:rFonts w:hint="eastAsia" w:ascii="宋体"/>
          <w:b/>
          <w:color w:val="auto"/>
          <w:szCs w:val="21"/>
          <w:highlight w:val="none"/>
          <w:lang w:val="en-US" w:eastAsia="zh-CN"/>
        </w:rPr>
        <w:t>6</w:t>
      </w:r>
      <w:r>
        <w:rPr>
          <w:rFonts w:hint="eastAsia" w:ascii="宋体"/>
          <w:b/>
          <w:color w:val="auto"/>
          <w:szCs w:val="21"/>
          <w:highlight w:val="none"/>
        </w:rPr>
        <w:t>月</w:t>
      </w:r>
      <w:r>
        <w:rPr>
          <w:rFonts w:hint="eastAsia" w:ascii="宋体"/>
          <w:b/>
          <w:color w:val="auto"/>
          <w:szCs w:val="21"/>
          <w:highlight w:val="none"/>
          <w:lang w:val="en-US" w:eastAsia="zh-CN"/>
        </w:rPr>
        <w:t>3</w:t>
      </w:r>
      <w:r>
        <w:rPr>
          <w:rFonts w:hint="eastAsia" w:ascii="宋体"/>
          <w:b/>
          <w:color w:val="auto"/>
          <w:szCs w:val="21"/>
          <w:highlight w:val="none"/>
        </w:rPr>
        <w:t>日起至2020年</w:t>
      </w:r>
      <w:r>
        <w:rPr>
          <w:rFonts w:hint="eastAsia" w:ascii="宋体"/>
          <w:b/>
          <w:color w:val="auto"/>
          <w:szCs w:val="21"/>
          <w:highlight w:val="none"/>
          <w:lang w:val="en-US" w:eastAsia="zh-CN"/>
        </w:rPr>
        <w:t>6</w:t>
      </w:r>
      <w:r>
        <w:rPr>
          <w:rFonts w:hint="eastAsia" w:ascii="宋体"/>
          <w:b/>
          <w:color w:val="auto"/>
          <w:szCs w:val="21"/>
          <w:highlight w:val="none"/>
        </w:rPr>
        <w:t>月</w:t>
      </w:r>
      <w:r>
        <w:rPr>
          <w:rFonts w:hint="eastAsia" w:ascii="宋体"/>
          <w:b/>
          <w:color w:val="auto"/>
          <w:szCs w:val="21"/>
          <w:highlight w:val="none"/>
          <w:lang w:val="en-US" w:eastAsia="zh-CN"/>
        </w:rPr>
        <w:t>9</w:t>
      </w:r>
      <w:r>
        <w:rPr>
          <w:rFonts w:hint="eastAsia" w:ascii="宋体"/>
          <w:b/>
          <w:color w:val="auto"/>
          <w:szCs w:val="21"/>
          <w:highlight w:val="none"/>
        </w:rPr>
        <w:t>日止（工作日）</w:t>
      </w:r>
      <w:r>
        <w:rPr>
          <w:rFonts w:hint="eastAsia" w:ascii="宋体"/>
          <w:color w:val="auto"/>
          <w:szCs w:val="21"/>
          <w:highlight w:val="none"/>
        </w:rPr>
        <w:t>。</w:t>
      </w:r>
    </w:p>
    <w:p>
      <w:pPr>
        <w:spacing w:line="440" w:lineRule="exact"/>
        <w:ind w:firstLine="205" w:firstLineChars="98"/>
        <w:rPr>
          <w:rFonts w:ascii="宋体"/>
          <w:color w:val="auto"/>
          <w:szCs w:val="21"/>
          <w:highlight w:val="none"/>
        </w:rPr>
      </w:pPr>
      <w:r>
        <w:rPr>
          <w:rFonts w:hint="eastAsia" w:ascii="宋体"/>
          <w:color w:val="auto"/>
          <w:szCs w:val="21"/>
          <w:highlight w:val="none"/>
        </w:rPr>
        <w:t>3.获取竞争性磋商文件的方式：潜在供应商报名成功后打印报名回执，在贵港市公共资源交易平台（http://ggggjy.gxgg.gov.cn:9005/）免费下载采购文件。</w:t>
      </w:r>
    </w:p>
    <w:p>
      <w:pPr>
        <w:spacing w:line="440" w:lineRule="exact"/>
        <w:ind w:firstLine="422" w:firstLineChars="200"/>
        <w:rPr>
          <w:b/>
          <w:color w:val="auto"/>
          <w:highlight w:val="none"/>
        </w:rPr>
      </w:pPr>
      <w:r>
        <w:rPr>
          <w:rFonts w:hint="eastAsia"/>
          <w:b/>
          <w:color w:val="auto"/>
          <w:highlight w:val="none"/>
          <w:lang w:eastAsia="zh-CN"/>
        </w:rPr>
        <w:t>八</w:t>
      </w:r>
      <w:r>
        <w:rPr>
          <w:rFonts w:hint="eastAsia"/>
          <w:b/>
          <w:color w:val="auto"/>
          <w:highlight w:val="none"/>
        </w:rPr>
        <w:t>、</w:t>
      </w:r>
      <w:r>
        <w:rPr>
          <w:rFonts w:hint="eastAsia" w:ascii="宋体"/>
          <w:b/>
          <w:color w:val="auto"/>
          <w:szCs w:val="21"/>
          <w:highlight w:val="none"/>
        </w:rPr>
        <w:t>响应文件递交截止时间和地点</w:t>
      </w:r>
      <w:r>
        <w:rPr>
          <w:rFonts w:hint="eastAsia"/>
          <w:b/>
          <w:color w:val="auto"/>
          <w:highlight w:val="none"/>
        </w:rPr>
        <w:t>:</w:t>
      </w:r>
    </w:p>
    <w:p>
      <w:pPr>
        <w:widowControl/>
        <w:shd w:val="clear" w:color="auto" w:fill="FFFFFF"/>
        <w:spacing w:line="440" w:lineRule="exact"/>
        <w:ind w:firstLine="420"/>
        <w:jc w:val="left"/>
        <w:rPr>
          <w:rFonts w:ascii="宋体" w:hAnsi="宋体" w:cs="宋体"/>
          <w:color w:val="auto"/>
          <w:kern w:val="0"/>
          <w:szCs w:val="21"/>
          <w:highlight w:val="none"/>
        </w:rPr>
      </w:pPr>
      <w:r>
        <w:rPr>
          <w:rFonts w:hint="eastAsia" w:ascii="宋体"/>
          <w:color w:val="auto"/>
          <w:szCs w:val="21"/>
          <w:highlight w:val="none"/>
        </w:rPr>
        <w:t xml:space="preserve"> 磋商供应商应于2020年</w:t>
      </w:r>
      <w:r>
        <w:rPr>
          <w:rFonts w:hint="eastAsia" w:ascii="宋体"/>
          <w:color w:val="auto"/>
          <w:szCs w:val="21"/>
          <w:highlight w:val="none"/>
          <w:lang w:val="en-US" w:eastAsia="zh-CN"/>
        </w:rPr>
        <w:t>6</w:t>
      </w:r>
      <w:r>
        <w:rPr>
          <w:rFonts w:hint="eastAsia" w:ascii="宋体"/>
          <w:color w:val="auto"/>
          <w:szCs w:val="21"/>
          <w:highlight w:val="none"/>
        </w:rPr>
        <w:t>月</w:t>
      </w:r>
      <w:r>
        <w:rPr>
          <w:rFonts w:hint="eastAsia" w:ascii="宋体"/>
          <w:color w:val="auto"/>
          <w:szCs w:val="21"/>
          <w:highlight w:val="none"/>
          <w:lang w:val="en-US" w:eastAsia="zh-CN"/>
        </w:rPr>
        <w:t>15</w:t>
      </w:r>
      <w:r>
        <w:rPr>
          <w:rFonts w:hint="eastAsia" w:ascii="宋体"/>
          <w:color w:val="auto"/>
          <w:szCs w:val="21"/>
          <w:highlight w:val="none"/>
        </w:rPr>
        <w:t>日15时30分止，</w:t>
      </w:r>
      <w:r>
        <w:rPr>
          <w:rFonts w:hint="eastAsia" w:ascii="宋体" w:hAnsi="宋体" w:cs="宋体"/>
          <w:color w:val="auto"/>
          <w:kern w:val="0"/>
          <w:szCs w:val="21"/>
          <w:highlight w:val="none"/>
        </w:rPr>
        <w:t>将响应文件密封提交到</w:t>
      </w:r>
      <w:r>
        <w:rPr>
          <w:rFonts w:hint="eastAsia"/>
          <w:color w:val="auto"/>
          <w:highlight w:val="none"/>
          <w:u w:val="single"/>
        </w:rPr>
        <w:t>贵港市公共资源交易中心（贵港市港北区金城商业步行街与金田路交叉口东南150米水利大厦）</w:t>
      </w:r>
      <w:r>
        <w:rPr>
          <w:rFonts w:hint="eastAsia" w:ascii="宋体" w:hAnsi="宋体"/>
          <w:color w:val="auto"/>
          <w:highlight w:val="none"/>
        </w:rPr>
        <w:t>开标室</w:t>
      </w:r>
      <w:r>
        <w:rPr>
          <w:rFonts w:hint="eastAsia" w:ascii="宋体" w:hAnsi="宋体" w:cs="宋体"/>
          <w:color w:val="auto"/>
          <w:kern w:val="0"/>
          <w:szCs w:val="21"/>
          <w:highlight w:val="none"/>
        </w:rPr>
        <w:t>。</w:t>
      </w:r>
    </w:p>
    <w:p>
      <w:pPr>
        <w:spacing w:line="440" w:lineRule="exact"/>
        <w:ind w:firstLine="422" w:firstLineChars="200"/>
        <w:rPr>
          <w:rFonts w:ascii="宋体"/>
          <w:color w:val="auto"/>
          <w:szCs w:val="21"/>
          <w:highlight w:val="none"/>
        </w:rPr>
      </w:pPr>
      <w:r>
        <w:rPr>
          <w:rFonts w:hint="eastAsia" w:ascii="宋体"/>
          <w:b/>
          <w:color w:val="auto"/>
          <w:szCs w:val="21"/>
          <w:highlight w:val="none"/>
          <w:lang w:eastAsia="zh-CN"/>
        </w:rPr>
        <w:t>九</w:t>
      </w:r>
      <w:r>
        <w:rPr>
          <w:rFonts w:hint="eastAsia" w:ascii="宋体"/>
          <w:b/>
          <w:color w:val="auto"/>
          <w:szCs w:val="21"/>
          <w:highlight w:val="none"/>
        </w:rPr>
        <w:t>、磋商时间及地点：</w:t>
      </w:r>
      <w:r>
        <w:rPr>
          <w:rFonts w:hint="eastAsia" w:ascii="宋体"/>
          <w:color w:val="auto"/>
          <w:szCs w:val="21"/>
          <w:highlight w:val="none"/>
        </w:rPr>
        <w:t>2020年</w:t>
      </w:r>
      <w:r>
        <w:rPr>
          <w:rFonts w:hint="eastAsia" w:ascii="宋体"/>
          <w:color w:val="auto"/>
          <w:szCs w:val="21"/>
          <w:highlight w:val="none"/>
          <w:lang w:val="en-US" w:eastAsia="zh-CN"/>
        </w:rPr>
        <w:t>6</w:t>
      </w:r>
      <w:r>
        <w:rPr>
          <w:rFonts w:hint="eastAsia" w:ascii="宋体"/>
          <w:color w:val="auto"/>
          <w:szCs w:val="21"/>
          <w:highlight w:val="none"/>
        </w:rPr>
        <w:t>月</w:t>
      </w:r>
      <w:r>
        <w:rPr>
          <w:rFonts w:hint="eastAsia" w:ascii="宋体"/>
          <w:color w:val="auto"/>
          <w:szCs w:val="21"/>
          <w:highlight w:val="none"/>
          <w:lang w:val="en-US" w:eastAsia="zh-CN"/>
        </w:rPr>
        <w:t>15</w:t>
      </w:r>
      <w:r>
        <w:rPr>
          <w:rFonts w:hint="eastAsia" w:ascii="宋体"/>
          <w:color w:val="auto"/>
          <w:szCs w:val="21"/>
          <w:highlight w:val="none"/>
        </w:rPr>
        <w:t>日15时30分止后为磋商小组与供应商磋商时间，具体时间由</w:t>
      </w:r>
      <w:r>
        <w:rPr>
          <w:rFonts w:hint="eastAsia" w:ascii="宋体" w:hAnsi="宋体" w:cs="宋体"/>
          <w:color w:val="auto"/>
          <w:kern w:val="0"/>
          <w:szCs w:val="21"/>
          <w:highlight w:val="none"/>
        </w:rPr>
        <w:t>代理机构广西新宇建设项目管理有限公司</w:t>
      </w:r>
      <w:r>
        <w:rPr>
          <w:rFonts w:hint="eastAsia" w:ascii="宋体"/>
          <w:color w:val="auto"/>
          <w:szCs w:val="21"/>
          <w:highlight w:val="none"/>
        </w:rPr>
        <w:t>另行通知。</w:t>
      </w:r>
      <w:r>
        <w:rPr>
          <w:rFonts w:hint="eastAsia" w:ascii="宋体" w:hAnsi="宋体" w:cs="宋体"/>
          <w:color w:val="auto"/>
          <w:kern w:val="0"/>
          <w:szCs w:val="21"/>
          <w:highlight w:val="none"/>
        </w:rPr>
        <w:t>地点：</w:t>
      </w:r>
      <w:r>
        <w:rPr>
          <w:rFonts w:hint="eastAsia"/>
          <w:color w:val="auto"/>
          <w:highlight w:val="none"/>
          <w:u w:val="single"/>
        </w:rPr>
        <w:t>贵港市公共资源交易中心（贵港市港北区金城商业步行街与金田路交叉口东南150米水利大厦）</w:t>
      </w:r>
      <w:r>
        <w:rPr>
          <w:rFonts w:hint="eastAsia" w:ascii="宋体" w:hAnsi="宋体"/>
          <w:color w:val="auto"/>
          <w:highlight w:val="none"/>
        </w:rPr>
        <w:t>开标室</w:t>
      </w:r>
      <w:r>
        <w:rPr>
          <w:rFonts w:hint="eastAsia" w:ascii="宋体"/>
          <w:color w:val="auto"/>
          <w:szCs w:val="21"/>
          <w:highlight w:val="none"/>
        </w:rPr>
        <w:t xml:space="preserve">，参加磋商的法定代表人或委托代理人必须持有效证件，法定代表人凭身份证或委托代理人凭法人授权委托书原件和身份证依时到达指定地点等候当面磋商。 </w:t>
      </w:r>
    </w:p>
    <w:p>
      <w:pPr>
        <w:spacing w:line="440" w:lineRule="exact"/>
        <w:ind w:firstLine="422" w:firstLineChars="200"/>
        <w:rPr>
          <w:rFonts w:ascii="宋体"/>
          <w:b/>
          <w:color w:val="auto"/>
          <w:szCs w:val="21"/>
          <w:highlight w:val="none"/>
        </w:rPr>
      </w:pPr>
      <w:r>
        <w:rPr>
          <w:rFonts w:hint="eastAsia" w:ascii="宋体"/>
          <w:b/>
          <w:color w:val="auto"/>
          <w:szCs w:val="21"/>
          <w:highlight w:val="none"/>
        </w:rPr>
        <w:t>十一、联系事项：</w:t>
      </w:r>
    </w:p>
    <w:p>
      <w:pPr>
        <w:pStyle w:val="14"/>
        <w:spacing w:line="440" w:lineRule="exact"/>
        <w:ind w:firstLine="420" w:firstLineChars="200"/>
        <w:rPr>
          <w:color w:val="auto"/>
          <w:highlight w:val="none"/>
        </w:rPr>
      </w:pPr>
      <w:r>
        <w:rPr>
          <w:rFonts w:hint="eastAsia"/>
          <w:color w:val="auto"/>
          <w:highlight w:val="none"/>
        </w:rPr>
        <w:t>1.采购人名称：</w:t>
      </w:r>
      <w:r>
        <w:rPr>
          <w:rFonts w:hint="eastAsia"/>
          <w:color w:val="auto"/>
          <w:highlight w:val="none"/>
          <w:shd w:val="clear" w:color="auto" w:fill="FFFFFF"/>
        </w:rPr>
        <w:t>贵港市港北区教育局</w:t>
      </w:r>
    </w:p>
    <w:p>
      <w:pPr>
        <w:spacing w:line="440" w:lineRule="exact"/>
        <w:rPr>
          <w:color w:val="auto"/>
          <w:szCs w:val="21"/>
          <w:highlight w:val="none"/>
          <w:shd w:val="clear" w:color="auto" w:fill="FFFFFF"/>
        </w:rPr>
      </w:pPr>
      <w:r>
        <w:rPr>
          <w:rFonts w:hint="eastAsia" w:ascii="宋体"/>
          <w:color w:val="auto"/>
          <w:szCs w:val="21"/>
          <w:highlight w:val="none"/>
        </w:rPr>
        <w:t xml:space="preserve">      联系人及电话:</w:t>
      </w:r>
      <w:r>
        <w:rPr>
          <w:rFonts w:hint="eastAsia"/>
          <w:color w:val="auto"/>
          <w:szCs w:val="21"/>
          <w:highlight w:val="none"/>
          <w:shd w:val="clear" w:color="auto" w:fill="FFFFFF"/>
        </w:rPr>
        <w:t xml:space="preserve"> </w:t>
      </w:r>
      <w:r>
        <w:rPr>
          <w:rFonts w:hint="eastAsia"/>
          <w:color w:val="auto"/>
          <w:szCs w:val="21"/>
          <w:highlight w:val="none"/>
          <w:shd w:val="clear" w:color="auto" w:fill="FFFFFF"/>
          <w:lang w:eastAsia="zh-CN"/>
        </w:rPr>
        <w:t>邓龙才</w:t>
      </w:r>
      <w:bookmarkStart w:id="40" w:name="_GoBack"/>
      <w:bookmarkEnd w:id="40"/>
      <w:r>
        <w:rPr>
          <w:rFonts w:hint="eastAsia"/>
          <w:color w:val="auto"/>
          <w:szCs w:val="21"/>
          <w:highlight w:val="none"/>
        </w:rPr>
        <w:t xml:space="preserve">  </w:t>
      </w:r>
      <w:r>
        <w:rPr>
          <w:rFonts w:hint="eastAsia"/>
          <w:color w:val="auto"/>
          <w:highlight w:val="none"/>
        </w:rPr>
        <w:t>联系电话：</w:t>
      </w:r>
      <w:r>
        <w:rPr>
          <w:rFonts w:hint="eastAsia" w:ascii="宋体" w:hAnsi="宋体"/>
          <w:color w:val="auto"/>
          <w:highlight w:val="none"/>
        </w:rPr>
        <w:t xml:space="preserve">  0775-4237993  </w:t>
      </w:r>
    </w:p>
    <w:p>
      <w:pPr>
        <w:spacing w:line="440" w:lineRule="exact"/>
        <w:ind w:firstLine="630" w:firstLineChars="300"/>
        <w:rPr>
          <w:rFonts w:ascii="宋体"/>
          <w:color w:val="auto"/>
          <w:szCs w:val="21"/>
          <w:highlight w:val="none"/>
        </w:rPr>
      </w:pPr>
      <w:r>
        <w:rPr>
          <w:rFonts w:hint="eastAsia"/>
          <w:color w:val="auto"/>
          <w:szCs w:val="21"/>
          <w:highlight w:val="none"/>
          <w:shd w:val="clear" w:color="auto" w:fill="FFFFFF"/>
        </w:rPr>
        <w:t>地址：</w:t>
      </w:r>
      <w:r>
        <w:rPr>
          <w:rFonts w:hint="eastAsia" w:ascii="宋体" w:hAnsi="宋体"/>
          <w:color w:val="auto"/>
          <w:highlight w:val="none"/>
        </w:rPr>
        <w:t>贵港市建设西路88号</w:t>
      </w:r>
    </w:p>
    <w:p>
      <w:pPr>
        <w:pStyle w:val="14"/>
        <w:spacing w:line="440" w:lineRule="exact"/>
        <w:ind w:firstLine="420" w:firstLineChars="200"/>
        <w:rPr>
          <w:rFonts w:cs="宋体"/>
          <w:color w:val="auto"/>
          <w:highlight w:val="none"/>
        </w:rPr>
      </w:pPr>
      <w:r>
        <w:rPr>
          <w:rFonts w:hint="eastAsia" w:ascii="Times New Roman"/>
          <w:color w:val="auto"/>
          <w:highlight w:val="none"/>
        </w:rPr>
        <w:t>2、</w:t>
      </w:r>
      <w:r>
        <w:rPr>
          <w:rFonts w:hint="eastAsia"/>
          <w:color w:val="auto"/>
          <w:highlight w:val="none"/>
        </w:rPr>
        <w:t>采购代理机构:</w:t>
      </w:r>
      <w:r>
        <w:rPr>
          <w:rFonts w:hint="eastAsia" w:cs="宋体"/>
          <w:color w:val="auto"/>
          <w:highlight w:val="none"/>
        </w:rPr>
        <w:t xml:space="preserve"> </w:t>
      </w:r>
      <w:r>
        <w:rPr>
          <w:rFonts w:hint="eastAsia"/>
          <w:color w:val="auto"/>
          <w:highlight w:val="none"/>
          <w:shd w:val="clear" w:color="auto" w:fill="FFFFFF"/>
        </w:rPr>
        <w:t>广西新宇建设项目管理有限公司</w:t>
      </w:r>
    </w:p>
    <w:p>
      <w:pPr>
        <w:spacing w:line="440" w:lineRule="exact"/>
        <w:ind w:firstLine="726" w:firstLineChars="346"/>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rFonts w:hint="eastAsia"/>
          <w:color w:val="auto"/>
          <w:highlight w:val="none"/>
        </w:rPr>
        <w:t>贵港市港北区新华路龙珠别墅3135号&lt;贵港市公务员局斜对面&gt;</w:t>
      </w:r>
    </w:p>
    <w:p>
      <w:pPr>
        <w:spacing w:line="440" w:lineRule="exact"/>
        <w:ind w:firstLine="630" w:firstLineChars="300"/>
        <w:jc w:val="left"/>
        <w:rPr>
          <w:color w:val="auto"/>
          <w:highlight w:val="none"/>
        </w:rPr>
      </w:pPr>
      <w:r>
        <w:rPr>
          <w:rFonts w:hint="eastAsia"/>
          <w:color w:val="auto"/>
          <w:highlight w:val="none"/>
        </w:rPr>
        <w:t xml:space="preserve">联 系 人：杨肖   联系电话：0775-4358261 </w:t>
      </w:r>
    </w:p>
    <w:p>
      <w:pPr>
        <w:pStyle w:val="14"/>
        <w:spacing w:line="440" w:lineRule="exact"/>
        <w:ind w:firstLine="420" w:firstLineChars="200"/>
        <w:rPr>
          <w:rFonts w:ascii="Times New Roman"/>
          <w:color w:val="auto"/>
          <w:highlight w:val="none"/>
        </w:rPr>
      </w:pPr>
      <w:r>
        <w:rPr>
          <w:rFonts w:hint="eastAsia" w:ascii="Times New Roman"/>
          <w:color w:val="auto"/>
          <w:highlight w:val="none"/>
        </w:rPr>
        <w:t>3、监督部门：贵港市港北区财政局政府采购监督管理股      联系电话： 0775-4258699</w:t>
      </w:r>
    </w:p>
    <w:p>
      <w:pPr>
        <w:spacing w:line="440" w:lineRule="exact"/>
        <w:ind w:firstLine="422" w:firstLineChars="200"/>
        <w:rPr>
          <w:rFonts w:ascii="宋体" w:hAnsi="Courier New" w:cs="宋体"/>
          <w:color w:val="auto"/>
          <w:highlight w:val="none"/>
        </w:rPr>
      </w:pPr>
      <w:r>
        <w:rPr>
          <w:rFonts w:hint="eastAsia" w:ascii="宋体" w:hAnsi="宋体" w:cs="仿宋_GB2312"/>
          <w:b/>
          <w:color w:val="auto"/>
          <w:kern w:val="0"/>
          <w:szCs w:val="21"/>
          <w:highlight w:val="none"/>
        </w:rPr>
        <w:t>十二、</w:t>
      </w:r>
      <w:r>
        <w:rPr>
          <w:rFonts w:hint="eastAsia" w:ascii="宋体"/>
          <w:b/>
          <w:color w:val="auto"/>
          <w:szCs w:val="21"/>
          <w:highlight w:val="none"/>
        </w:rPr>
        <w:t>网上公告媒体查询</w:t>
      </w:r>
      <w:r>
        <w:rPr>
          <w:rFonts w:hint="eastAsia" w:ascii="宋体" w:hAnsi="宋体" w:cs="仿宋_GB2312"/>
          <w:b/>
          <w:color w:val="auto"/>
          <w:kern w:val="0"/>
          <w:szCs w:val="21"/>
          <w:highlight w:val="none"/>
        </w:rPr>
        <w:t>：</w:t>
      </w:r>
      <w:r>
        <w:rPr>
          <w:rFonts w:hint="eastAsia" w:ascii="宋体" w:hAnsi="宋体" w:cs="仿宋_GB2312"/>
          <w:color w:val="auto"/>
          <w:kern w:val="0"/>
          <w:szCs w:val="21"/>
          <w:highlight w:val="none"/>
        </w:rPr>
        <w:t>中国采购与招标网(http://www.chinabidding.com.cn)、</w:t>
      </w:r>
      <w:r>
        <w:rPr>
          <w:rFonts w:ascii="宋体" w:hAnsi="宋体" w:cs="宋体"/>
          <w:color w:val="auto"/>
          <w:szCs w:val="21"/>
          <w:highlight w:val="none"/>
        </w:rPr>
        <w:t>http://zfcg.czj.gxgg.gov.cn</w:t>
      </w:r>
      <w:r>
        <w:rPr>
          <w:rFonts w:hint="eastAsia" w:ascii="宋体" w:hAnsi="宋体" w:cs="宋体"/>
          <w:color w:val="auto"/>
          <w:szCs w:val="21"/>
          <w:highlight w:val="none"/>
        </w:rPr>
        <w:t>（贵港市政府采购网）、</w:t>
      </w:r>
      <w:r>
        <w:rPr>
          <w:rFonts w:ascii="宋体" w:hAnsi="宋体" w:cs="宋体"/>
          <w:color w:val="auto"/>
          <w:szCs w:val="21"/>
          <w:highlight w:val="none"/>
        </w:rPr>
        <w:t>http://zfcg.gxzf.gov.cn</w:t>
      </w:r>
      <w:r>
        <w:rPr>
          <w:rFonts w:hint="eastAsia" w:ascii="宋体" w:hAnsi="宋体" w:cs="宋体"/>
          <w:color w:val="auto"/>
          <w:szCs w:val="21"/>
          <w:highlight w:val="none"/>
        </w:rPr>
        <w:t>（广西壮族自治区政府采购网）、</w:t>
      </w:r>
      <w:r>
        <w:rPr>
          <w:rFonts w:hint="eastAsia" w:ascii="宋体" w:hAnsi="宋体" w:cs="仿宋_GB2312"/>
          <w:color w:val="auto"/>
          <w:kern w:val="0"/>
          <w:szCs w:val="21"/>
          <w:highlight w:val="none"/>
        </w:rPr>
        <w:t>贵港市公共资源交易中心网站（http://ggggjy.gxgg.gov.cn:9005/）</w:t>
      </w:r>
    </w:p>
    <w:p>
      <w:pPr>
        <w:spacing w:line="440" w:lineRule="exact"/>
        <w:jc w:val="left"/>
        <w:rPr>
          <w:rFonts w:hAnsi="宋体"/>
          <w:color w:val="auto"/>
          <w:szCs w:val="21"/>
          <w:highlight w:val="none"/>
        </w:rPr>
      </w:pPr>
      <w:r>
        <w:rPr>
          <w:rFonts w:hint="eastAsia" w:ascii="宋体" w:hAnsi="宋体" w:cs="Arial"/>
          <w:color w:val="auto"/>
          <w:szCs w:val="21"/>
          <w:highlight w:val="none"/>
        </w:rPr>
        <w:t xml:space="preserve">                                                    </w:t>
      </w:r>
      <w:r>
        <w:rPr>
          <w:rFonts w:hint="eastAsia" w:ascii="宋体" w:hAnsi="宋体"/>
          <w:color w:val="auto"/>
          <w:highlight w:val="none"/>
        </w:rPr>
        <w:t>广西新宇建设项目管理有限公司</w:t>
      </w:r>
    </w:p>
    <w:p>
      <w:pPr>
        <w:snapToGrid w:val="0"/>
        <w:spacing w:line="440" w:lineRule="exact"/>
        <w:jc w:val="left"/>
        <w:rPr>
          <w:rFonts w:ascii="宋体" w:hAnsi="宋体"/>
          <w:b/>
          <w:color w:val="auto"/>
          <w:szCs w:val="21"/>
          <w:highlight w:val="none"/>
        </w:rPr>
      </w:pPr>
      <w:r>
        <w:rPr>
          <w:rFonts w:hint="eastAsia" w:ascii="宋体" w:hAnsi="宋体"/>
          <w:color w:val="auto"/>
          <w:szCs w:val="21"/>
          <w:highlight w:val="none"/>
        </w:rPr>
        <w:t xml:space="preserve">                                                        2020年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2</w:t>
      </w:r>
      <w:r>
        <w:rPr>
          <w:rFonts w:hint="eastAsia" w:ascii="宋体" w:hAnsi="宋体"/>
          <w:color w:val="auto"/>
          <w:szCs w:val="21"/>
          <w:highlight w:val="none"/>
        </w:rPr>
        <w:t>日</w:t>
      </w:r>
      <w:bookmarkEnd w:id="2"/>
    </w:p>
    <w:p>
      <w:pPr>
        <w:snapToGrid w:val="0"/>
        <w:spacing w:line="330" w:lineRule="exact"/>
        <w:rPr>
          <w:color w:val="auto"/>
          <w:highlight w:val="none"/>
        </w:rPr>
      </w:pPr>
      <w:r>
        <w:rPr>
          <w:b/>
          <w:color w:val="auto"/>
          <w:sz w:val="32"/>
          <w:highlight w:val="none"/>
        </w:rPr>
        <w:br w:type="page"/>
      </w:r>
    </w:p>
    <w:p>
      <w:pPr>
        <w:pStyle w:val="4"/>
        <w:spacing w:line="500" w:lineRule="exact"/>
        <w:jc w:val="center"/>
        <w:rPr>
          <w:color w:val="auto"/>
          <w:sz w:val="44"/>
          <w:szCs w:val="44"/>
          <w:highlight w:val="none"/>
        </w:rPr>
      </w:pPr>
      <w:bookmarkStart w:id="3" w:name="_Toc451430915"/>
      <w:bookmarkStart w:id="4" w:name="_Toc30409523"/>
      <w:r>
        <w:rPr>
          <w:rFonts w:hint="eastAsia"/>
          <w:color w:val="auto"/>
          <w:sz w:val="44"/>
          <w:szCs w:val="44"/>
          <w:highlight w:val="none"/>
        </w:rPr>
        <w:t>第二章 磋商须知</w:t>
      </w:r>
      <w:bookmarkEnd w:id="3"/>
      <w:r>
        <w:rPr>
          <w:rFonts w:hint="eastAsia"/>
          <w:color w:val="auto"/>
          <w:sz w:val="44"/>
          <w:szCs w:val="44"/>
          <w:highlight w:val="none"/>
        </w:rPr>
        <w:t>前附表及磋商须知</w:t>
      </w:r>
      <w:bookmarkEnd w:id="4"/>
    </w:p>
    <w:p>
      <w:pPr>
        <w:spacing w:line="500" w:lineRule="exact"/>
        <w:jc w:val="center"/>
        <w:rPr>
          <w:rFonts w:ascii="宋体"/>
          <w:b/>
          <w:color w:val="auto"/>
          <w:sz w:val="32"/>
          <w:szCs w:val="32"/>
          <w:highlight w:val="none"/>
        </w:rPr>
      </w:pPr>
      <w:r>
        <w:rPr>
          <w:rFonts w:hint="eastAsia" w:ascii="宋体"/>
          <w:b/>
          <w:color w:val="auto"/>
          <w:sz w:val="32"/>
          <w:szCs w:val="32"/>
          <w:highlight w:val="none"/>
        </w:rPr>
        <w:t>磋商须知前附表</w:t>
      </w:r>
    </w:p>
    <w:tbl>
      <w:tblPr>
        <w:tblStyle w:val="2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96" w:lineRule="exact"/>
              <w:jc w:val="center"/>
              <w:rPr>
                <w:rFonts w:ascii="宋体"/>
                <w:b/>
                <w:color w:val="auto"/>
                <w:szCs w:val="21"/>
                <w:highlight w:val="none"/>
              </w:rPr>
            </w:pPr>
            <w:r>
              <w:rPr>
                <w:rFonts w:hint="eastAsia" w:ascii="宋体"/>
                <w:b/>
                <w:color w:val="auto"/>
                <w:szCs w:val="21"/>
                <w:highlight w:val="none"/>
              </w:rPr>
              <w:t>序号</w:t>
            </w:r>
          </w:p>
        </w:tc>
        <w:tc>
          <w:tcPr>
            <w:tcW w:w="1559" w:type="dxa"/>
          </w:tcPr>
          <w:p>
            <w:pPr>
              <w:spacing w:line="296" w:lineRule="exact"/>
              <w:jc w:val="center"/>
              <w:rPr>
                <w:rFonts w:ascii="宋体"/>
                <w:b/>
                <w:color w:val="auto"/>
                <w:szCs w:val="21"/>
                <w:highlight w:val="none"/>
              </w:rPr>
            </w:pPr>
            <w:r>
              <w:rPr>
                <w:rFonts w:hint="eastAsia" w:ascii="宋体"/>
                <w:b/>
                <w:color w:val="auto"/>
                <w:szCs w:val="21"/>
                <w:highlight w:val="none"/>
              </w:rPr>
              <w:t>条款号</w:t>
            </w:r>
          </w:p>
        </w:tc>
        <w:tc>
          <w:tcPr>
            <w:tcW w:w="7092" w:type="dxa"/>
          </w:tcPr>
          <w:p>
            <w:pPr>
              <w:spacing w:line="296" w:lineRule="exact"/>
              <w:jc w:val="center"/>
              <w:rPr>
                <w:rFonts w:ascii="宋体"/>
                <w:b/>
                <w:color w:val="auto"/>
                <w:szCs w:val="21"/>
                <w:highlight w:val="none"/>
              </w:rPr>
            </w:pPr>
            <w:r>
              <w:rPr>
                <w:rFonts w:hint="eastAsia" w:ascii="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1</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1.1</w:t>
            </w:r>
          </w:p>
        </w:tc>
        <w:tc>
          <w:tcPr>
            <w:tcW w:w="7092" w:type="dxa"/>
            <w:vAlign w:val="center"/>
          </w:tcPr>
          <w:p>
            <w:pPr>
              <w:spacing w:line="400" w:lineRule="exact"/>
              <w:rPr>
                <w:rFonts w:ascii="宋体" w:hAnsi="宋体"/>
                <w:color w:val="auto"/>
                <w:szCs w:val="21"/>
                <w:highlight w:val="none"/>
              </w:rPr>
            </w:pPr>
            <w:r>
              <w:rPr>
                <w:rFonts w:hint="eastAsia" w:ascii="宋体"/>
                <w:color w:val="auto"/>
                <w:szCs w:val="21"/>
                <w:highlight w:val="none"/>
              </w:rPr>
              <w:t>项</w:t>
            </w:r>
            <w:r>
              <w:rPr>
                <w:rFonts w:hint="eastAsia" w:ascii="宋体" w:hAnsi="宋体"/>
                <w:color w:val="auto"/>
                <w:szCs w:val="21"/>
                <w:highlight w:val="none"/>
              </w:rPr>
              <w:t>目名称：</w:t>
            </w:r>
            <w:r>
              <w:rPr>
                <w:rFonts w:hint="eastAsia" w:ascii="宋体"/>
                <w:bCs/>
                <w:color w:val="auto"/>
                <w:szCs w:val="21"/>
                <w:highlight w:val="none"/>
                <w:lang w:eastAsia="zh-CN"/>
              </w:rPr>
              <w:t>多媒体同步课堂</w:t>
            </w:r>
            <w:r>
              <w:rPr>
                <w:rFonts w:hint="eastAsia" w:ascii="宋体"/>
                <w:bCs/>
                <w:color w:val="auto"/>
                <w:szCs w:val="21"/>
                <w:highlight w:val="none"/>
              </w:rPr>
              <w:t xml:space="preserve"> </w:t>
            </w:r>
          </w:p>
          <w:p>
            <w:pPr>
              <w:spacing w:line="400" w:lineRule="exact"/>
              <w:rPr>
                <w:rFonts w:hint="eastAsia" w:ascii="宋体" w:eastAsia="宋体"/>
                <w:bCs/>
                <w:color w:val="auto"/>
                <w:szCs w:val="21"/>
                <w:highlight w:val="none"/>
                <w:lang w:eastAsia="zh-CN"/>
              </w:rPr>
            </w:pPr>
            <w:r>
              <w:rPr>
                <w:rFonts w:hint="eastAsia" w:ascii="宋体" w:hAnsi="宋体"/>
                <w:color w:val="auto"/>
                <w:szCs w:val="21"/>
                <w:highlight w:val="none"/>
              </w:rPr>
              <w:t>项目编号：</w:t>
            </w:r>
            <w:r>
              <w:rPr>
                <w:rFonts w:hint="eastAsia" w:ascii="宋体"/>
                <w:bCs/>
                <w:color w:val="auto"/>
                <w:szCs w:val="21"/>
                <w:highlight w:val="none"/>
                <w:lang w:eastAsia="zh-CN"/>
              </w:rPr>
              <w:t>GGZC2020-C1-20695-GXXY</w:t>
            </w:r>
          </w:p>
          <w:p>
            <w:pPr>
              <w:spacing w:line="400" w:lineRule="exact"/>
              <w:rPr>
                <w:rFonts w:ascii="宋体"/>
                <w:color w:val="auto"/>
                <w:szCs w:val="21"/>
                <w:highlight w:val="none"/>
              </w:rPr>
            </w:pPr>
            <w:r>
              <w:rPr>
                <w:rFonts w:hint="eastAsia" w:ascii="宋体" w:hAnsi="宋体"/>
                <w:color w:val="auto"/>
                <w:szCs w:val="21"/>
                <w:highlight w:val="none"/>
              </w:rPr>
              <w:t>采购内容：</w:t>
            </w:r>
            <w:r>
              <w:rPr>
                <w:rFonts w:hint="eastAsia" w:ascii="宋体"/>
                <w:bCs/>
                <w:color w:val="auto"/>
                <w:szCs w:val="21"/>
                <w:highlight w:val="none"/>
              </w:rPr>
              <w:t>本项目采购</w:t>
            </w:r>
            <w:r>
              <w:rPr>
                <w:rFonts w:hint="eastAsia" w:ascii="宋体"/>
                <w:bCs/>
                <w:color w:val="auto"/>
                <w:szCs w:val="21"/>
                <w:highlight w:val="none"/>
                <w:lang w:eastAsia="zh-CN"/>
              </w:rPr>
              <w:t>多媒体同步课堂</w:t>
            </w:r>
            <w:r>
              <w:rPr>
                <w:rFonts w:hint="eastAsia" w:ascii="宋体"/>
                <w:bCs/>
                <w:color w:val="auto"/>
                <w:szCs w:val="21"/>
                <w:highlight w:val="none"/>
              </w:rPr>
              <w:t>等一批，</w:t>
            </w:r>
            <w:r>
              <w:rPr>
                <w:rFonts w:hint="eastAsia" w:ascii="宋体"/>
                <w:color w:val="auto"/>
                <w:szCs w:val="21"/>
                <w:highlight w:val="none"/>
              </w:rPr>
              <w:t>如需进一步了解详细内容，详见第三章 项目采购需求。</w:t>
            </w:r>
            <w:r>
              <w:rPr>
                <w:rFonts w:ascii="宋体" w:hAnsi="宋体"/>
                <w:color w:val="auto"/>
                <w:szCs w:val="21"/>
                <w:highlight w:val="none"/>
              </w:rPr>
              <w:t xml:space="preserve"> </w:t>
            </w:r>
            <w:r>
              <w:rPr>
                <w:rFonts w:hint="eastAsia" w:ascii="宋体"/>
                <w:color w:val="auto"/>
                <w:szCs w:val="21"/>
                <w:highlight w:val="none"/>
              </w:rPr>
              <w:t xml:space="preserve"> </w:t>
            </w:r>
          </w:p>
          <w:p>
            <w:pPr>
              <w:spacing w:line="400" w:lineRule="exact"/>
              <w:rPr>
                <w:rFonts w:ascii="宋体" w:hAnsi="宋体"/>
                <w:color w:val="auto"/>
                <w:szCs w:val="21"/>
                <w:highlight w:val="none"/>
              </w:rPr>
            </w:pPr>
            <w:r>
              <w:rPr>
                <w:rFonts w:hint="eastAsia" w:ascii="宋体" w:hAnsi="宋体"/>
                <w:color w:val="auto"/>
                <w:szCs w:val="21"/>
                <w:highlight w:val="none"/>
              </w:rPr>
              <w:t>交付使用期：自签订合同之日起20日内交货并安装验收完毕。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2</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3</w:t>
            </w:r>
          </w:p>
        </w:tc>
        <w:tc>
          <w:tcPr>
            <w:tcW w:w="7092" w:type="dxa"/>
            <w:vAlign w:val="center"/>
          </w:tcPr>
          <w:p>
            <w:pPr>
              <w:spacing w:line="480" w:lineRule="exact"/>
              <w:rPr>
                <w:rFonts w:ascii="宋体"/>
                <w:color w:val="auto"/>
                <w:szCs w:val="21"/>
                <w:highlight w:val="none"/>
              </w:rPr>
            </w:pPr>
            <w:r>
              <w:rPr>
                <w:rFonts w:hint="eastAsia" w:ascii="宋体"/>
                <w:color w:val="auto"/>
                <w:szCs w:val="21"/>
                <w:highlight w:val="none"/>
              </w:rPr>
              <w:t>磋商</w:t>
            </w:r>
            <w:r>
              <w:rPr>
                <w:rFonts w:ascii="宋体"/>
                <w:color w:val="auto"/>
                <w:szCs w:val="21"/>
                <w:highlight w:val="none"/>
              </w:rPr>
              <w:t>供应商</w:t>
            </w:r>
            <w:r>
              <w:rPr>
                <w:rFonts w:hint="eastAsia" w:ascii="宋体"/>
                <w:color w:val="auto"/>
                <w:szCs w:val="21"/>
                <w:highlight w:val="none"/>
              </w:rPr>
              <w:t>资格要求：</w:t>
            </w:r>
          </w:p>
          <w:p>
            <w:pPr>
              <w:spacing w:line="480" w:lineRule="exact"/>
              <w:ind w:firstLine="315" w:firstLineChars="150"/>
              <w:rPr>
                <w:rFonts w:ascii="宋体"/>
                <w:color w:val="auto"/>
                <w:szCs w:val="21"/>
                <w:highlight w:val="none"/>
              </w:rPr>
            </w:pPr>
            <w:r>
              <w:rPr>
                <w:rFonts w:hint="eastAsia" w:ascii="宋体"/>
                <w:color w:val="auto"/>
                <w:szCs w:val="21"/>
                <w:highlight w:val="none"/>
              </w:rPr>
              <w:t>1、符合《中华人民共和国政府采购法》第二十二条规定的，同时具备法人资格的供应商；</w:t>
            </w:r>
          </w:p>
          <w:p>
            <w:pPr>
              <w:spacing w:line="480" w:lineRule="exact"/>
              <w:ind w:firstLine="315" w:firstLineChars="150"/>
              <w:rPr>
                <w:rFonts w:ascii="宋体"/>
                <w:color w:val="auto"/>
                <w:szCs w:val="21"/>
                <w:highlight w:val="none"/>
              </w:rPr>
            </w:pPr>
            <w:r>
              <w:rPr>
                <w:rFonts w:hint="eastAsia" w:ascii="宋体"/>
                <w:color w:val="auto"/>
                <w:szCs w:val="21"/>
                <w:highlight w:val="none"/>
              </w:rPr>
              <w:t>2、国内注册（指按国家有关规定要求注册的），生产或经营本次采购货物( (营业执照应包含电子产品生产或经营内容  )，并在人员、设备、资金等方面具有相应的能力；</w:t>
            </w:r>
          </w:p>
          <w:p>
            <w:pPr>
              <w:spacing w:line="480" w:lineRule="exact"/>
              <w:ind w:firstLine="315" w:firstLineChars="150"/>
              <w:rPr>
                <w:rFonts w:ascii="宋体"/>
                <w:color w:val="auto"/>
                <w:szCs w:val="21"/>
                <w:highlight w:val="none"/>
              </w:rPr>
            </w:pPr>
            <w:r>
              <w:rPr>
                <w:rFonts w:hint="eastAsia" w:ascii="宋体"/>
                <w:color w:val="auto"/>
                <w:szCs w:val="21"/>
                <w:highlight w:val="none"/>
              </w:rPr>
              <w:t>3、本项目不接受联合体投标。</w:t>
            </w:r>
          </w:p>
          <w:p>
            <w:pPr>
              <w:spacing w:line="480" w:lineRule="exact"/>
              <w:ind w:firstLine="315" w:firstLineChars="150"/>
              <w:rPr>
                <w:rFonts w:ascii="宋体"/>
                <w:color w:val="auto"/>
                <w:szCs w:val="21"/>
                <w:highlight w:val="none"/>
              </w:rPr>
            </w:pPr>
            <w:r>
              <w:rPr>
                <w:rFonts w:hint="eastAsia" w:ascii="宋体"/>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80" w:lineRule="exact"/>
              <w:ind w:firstLine="315" w:firstLineChars="150"/>
              <w:rPr>
                <w:rFonts w:ascii="宋体"/>
                <w:color w:val="auto"/>
                <w:szCs w:val="21"/>
                <w:highlight w:val="none"/>
              </w:rPr>
            </w:pPr>
            <w:r>
              <w:rPr>
                <w:rFonts w:hint="eastAsia" w:ascii="宋体"/>
                <w:color w:val="auto"/>
                <w:szCs w:val="21"/>
                <w:highlight w:val="none"/>
              </w:rPr>
              <w:t>5、对在“信用中国”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3</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6.7</w:t>
            </w:r>
          </w:p>
        </w:tc>
        <w:tc>
          <w:tcPr>
            <w:tcW w:w="7092" w:type="dxa"/>
            <w:vAlign w:val="center"/>
          </w:tcPr>
          <w:p>
            <w:pPr>
              <w:spacing w:line="400" w:lineRule="exact"/>
              <w:rPr>
                <w:rFonts w:ascii="宋体" w:hAnsi="宋体"/>
                <w:color w:val="auto"/>
                <w:szCs w:val="21"/>
                <w:highlight w:val="none"/>
              </w:rPr>
            </w:pPr>
            <w:r>
              <w:rPr>
                <w:rFonts w:hint="eastAsia"/>
                <w:color w:val="auto"/>
                <w:highlight w:val="none"/>
              </w:rPr>
              <w:t>磋商有效期：60日历日。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4</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6.8</w:t>
            </w:r>
          </w:p>
        </w:tc>
        <w:tc>
          <w:tcPr>
            <w:tcW w:w="7092" w:type="dxa"/>
            <w:vAlign w:val="center"/>
          </w:tcPr>
          <w:p>
            <w:pPr>
              <w:pStyle w:val="7"/>
              <w:numPr>
                <w:ilvl w:val="0"/>
                <w:numId w:val="3"/>
              </w:numPr>
              <w:tabs>
                <w:tab w:val="left" w:pos="720"/>
                <w:tab w:val="left" w:pos="840"/>
              </w:tabs>
              <w:snapToGrid w:val="0"/>
              <w:spacing w:line="400" w:lineRule="exact"/>
              <w:ind w:left="283" w:hanging="283" w:hangingChars="135"/>
              <w:rPr>
                <w:rFonts w:ascii="宋体"/>
                <w:color w:val="auto"/>
                <w:szCs w:val="21"/>
                <w:highlight w:val="none"/>
              </w:rPr>
            </w:pPr>
            <w:r>
              <w:rPr>
                <w:rFonts w:hint="eastAsia" w:ascii="宋体" w:hAnsi="宋体"/>
                <w:color w:val="auto"/>
                <w:szCs w:val="21"/>
                <w:highlight w:val="none"/>
              </w:rPr>
              <w:t>磋商保证金：</w:t>
            </w:r>
            <w:r>
              <w:rPr>
                <w:rFonts w:hint="eastAsia" w:ascii="宋体"/>
                <w:b/>
                <w:color w:val="auto"/>
                <w:szCs w:val="21"/>
                <w:highlight w:val="none"/>
                <w:lang w:eastAsia="zh-CN"/>
              </w:rPr>
              <w:t>无</w:t>
            </w:r>
            <w:r>
              <w:rPr>
                <w:rFonts w:hint="eastAsia" w:ascii="宋体"/>
                <w:b/>
                <w:color w:val="auto"/>
                <w:szCs w:val="21"/>
                <w:highlight w:val="none"/>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5</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8.2</w:t>
            </w:r>
          </w:p>
        </w:tc>
        <w:tc>
          <w:tcPr>
            <w:tcW w:w="7092" w:type="dxa"/>
            <w:vAlign w:val="center"/>
          </w:tcPr>
          <w:p>
            <w:pPr>
              <w:pStyle w:val="7"/>
              <w:numPr>
                <w:ilvl w:val="0"/>
                <w:numId w:val="0"/>
              </w:numPr>
              <w:tabs>
                <w:tab w:val="left" w:pos="720"/>
                <w:tab w:val="left" w:pos="840"/>
              </w:tabs>
              <w:snapToGrid w:val="0"/>
              <w:spacing w:line="400" w:lineRule="exact"/>
              <w:ind w:left="360" w:hanging="360"/>
              <w:rPr>
                <w:rFonts w:ascii="宋体" w:hAnsi="宋体"/>
                <w:color w:val="auto"/>
                <w:szCs w:val="21"/>
                <w:highlight w:val="none"/>
              </w:rPr>
            </w:pPr>
            <w:r>
              <w:rPr>
                <w:rFonts w:hint="eastAsia" w:ascii="宋体" w:hAnsi="宋体"/>
                <w:color w:val="auto"/>
                <w:szCs w:val="21"/>
                <w:highlight w:val="none"/>
              </w:rPr>
              <w:t>磋商报价：供应商必须就所投项目的全部内容作完整唯一报价，漏项报价的</w:t>
            </w:r>
          </w:p>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或有选择的或有条件的报价，其磋商将视为无效。磋商报价有二次报价，磋商后进行最后报价，以最后报价为准。磋商后不进行最后报价的将作为自动退出磋商。</w:t>
            </w:r>
          </w:p>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磋商报价不能超过预算控制价，否则其磋商将视为无效。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6</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9</w:t>
            </w:r>
          </w:p>
        </w:tc>
        <w:tc>
          <w:tcPr>
            <w:tcW w:w="7092" w:type="dxa"/>
            <w:vAlign w:val="center"/>
          </w:tcPr>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7</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10.1</w:t>
            </w:r>
          </w:p>
        </w:tc>
        <w:tc>
          <w:tcPr>
            <w:tcW w:w="7092" w:type="dxa"/>
            <w:vAlign w:val="center"/>
          </w:tcPr>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响应文件递交截止时间：</w:t>
            </w:r>
            <w:r>
              <w:rPr>
                <w:rFonts w:hint="eastAsia" w:ascii="宋体"/>
                <w:color w:val="auto"/>
                <w:szCs w:val="21"/>
                <w:highlight w:val="none"/>
              </w:rPr>
              <w:t>2020年</w:t>
            </w:r>
            <w:r>
              <w:rPr>
                <w:rFonts w:hint="eastAsia" w:ascii="宋体"/>
                <w:color w:val="auto"/>
                <w:szCs w:val="21"/>
                <w:highlight w:val="none"/>
                <w:lang w:val="en-US" w:eastAsia="zh-CN"/>
              </w:rPr>
              <w:t>6</w:t>
            </w:r>
            <w:r>
              <w:rPr>
                <w:rFonts w:hint="eastAsia" w:ascii="宋体"/>
                <w:color w:val="auto"/>
                <w:szCs w:val="21"/>
                <w:highlight w:val="none"/>
              </w:rPr>
              <w:t>月</w:t>
            </w:r>
            <w:r>
              <w:rPr>
                <w:rFonts w:hint="eastAsia" w:ascii="宋体"/>
                <w:color w:val="auto"/>
                <w:szCs w:val="21"/>
                <w:highlight w:val="none"/>
                <w:lang w:val="en-US" w:eastAsia="zh-CN"/>
              </w:rPr>
              <w:t>15</w:t>
            </w:r>
            <w:r>
              <w:rPr>
                <w:rFonts w:hint="eastAsia" w:ascii="宋体"/>
                <w:color w:val="auto"/>
                <w:szCs w:val="21"/>
                <w:highlight w:val="none"/>
              </w:rPr>
              <w:t>日15时30分</w:t>
            </w:r>
            <w:r>
              <w:rPr>
                <w:rFonts w:hint="eastAsia" w:ascii="宋体" w:hAnsi="宋体"/>
                <w:color w:val="auto"/>
                <w:szCs w:val="21"/>
                <w:highlight w:val="none"/>
              </w:rPr>
              <w:t>；</w:t>
            </w:r>
          </w:p>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供应商应按竞争性磋商文件中规定的响应截止时间前递交响应文件。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8</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10.2</w:t>
            </w:r>
          </w:p>
        </w:tc>
        <w:tc>
          <w:tcPr>
            <w:tcW w:w="7092" w:type="dxa"/>
            <w:vAlign w:val="center"/>
          </w:tcPr>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供应商递交响应文件的地点：</w:t>
            </w:r>
            <w:r>
              <w:rPr>
                <w:rFonts w:hint="eastAsia"/>
                <w:color w:val="auto"/>
                <w:highlight w:val="none"/>
                <w:u w:val="single"/>
              </w:rPr>
              <w:t>贵港市公共资源交易中心（贵港市港北区金城商业步行街与金田路交叉口东南150米水利大厦）</w:t>
            </w:r>
            <w:r>
              <w:rPr>
                <w:rFonts w:hint="eastAsia"/>
                <w:color w:val="auto"/>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9</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11.2</w:t>
            </w:r>
          </w:p>
        </w:tc>
        <w:tc>
          <w:tcPr>
            <w:tcW w:w="7092" w:type="dxa"/>
            <w:vAlign w:val="center"/>
          </w:tcPr>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磋商时间：</w:t>
            </w:r>
            <w:r>
              <w:rPr>
                <w:rFonts w:hint="eastAsia" w:ascii="宋体"/>
                <w:color w:val="auto"/>
                <w:szCs w:val="21"/>
                <w:highlight w:val="none"/>
              </w:rPr>
              <w:t>2020年</w:t>
            </w:r>
            <w:r>
              <w:rPr>
                <w:rFonts w:hint="eastAsia" w:ascii="宋体"/>
                <w:color w:val="auto"/>
                <w:szCs w:val="21"/>
                <w:highlight w:val="none"/>
                <w:lang w:val="en-US" w:eastAsia="zh-CN"/>
              </w:rPr>
              <w:t>6</w:t>
            </w:r>
            <w:r>
              <w:rPr>
                <w:rFonts w:hint="eastAsia" w:ascii="宋体"/>
                <w:color w:val="auto"/>
                <w:szCs w:val="21"/>
                <w:highlight w:val="none"/>
              </w:rPr>
              <w:t>月</w:t>
            </w:r>
            <w:r>
              <w:rPr>
                <w:rFonts w:hint="eastAsia" w:ascii="宋体"/>
                <w:color w:val="auto"/>
                <w:szCs w:val="21"/>
                <w:highlight w:val="none"/>
                <w:lang w:val="en-US" w:eastAsia="zh-CN"/>
              </w:rPr>
              <w:t>15</w:t>
            </w:r>
            <w:r>
              <w:rPr>
                <w:rFonts w:hint="eastAsia" w:ascii="宋体"/>
                <w:color w:val="auto"/>
                <w:szCs w:val="21"/>
                <w:highlight w:val="none"/>
              </w:rPr>
              <w:t>日15时30分</w:t>
            </w:r>
            <w:r>
              <w:rPr>
                <w:rFonts w:hint="eastAsia" w:ascii="宋体" w:hAnsi="宋体"/>
                <w:color w:val="auto"/>
                <w:szCs w:val="21"/>
                <w:highlight w:val="none"/>
              </w:rPr>
              <w:t>截标后（具体时间由招标代理机构工作人员另行通知）</w:t>
            </w:r>
          </w:p>
          <w:p>
            <w:pPr>
              <w:pStyle w:val="7"/>
              <w:numPr>
                <w:ilvl w:val="0"/>
                <w:numId w:val="0"/>
              </w:numPr>
              <w:tabs>
                <w:tab w:val="left" w:pos="720"/>
                <w:tab w:val="left" w:pos="840"/>
              </w:tabs>
              <w:snapToGrid w:val="0"/>
              <w:spacing w:line="400" w:lineRule="exact"/>
              <w:rPr>
                <w:rFonts w:ascii="宋体" w:hAnsi="宋体"/>
                <w:color w:val="auto"/>
                <w:szCs w:val="21"/>
                <w:highlight w:val="none"/>
              </w:rPr>
            </w:pPr>
            <w:r>
              <w:rPr>
                <w:rFonts w:hint="eastAsia" w:ascii="宋体" w:hAnsi="宋体"/>
                <w:color w:val="auto"/>
                <w:szCs w:val="21"/>
                <w:highlight w:val="none"/>
              </w:rPr>
              <w:t>磋商地点：</w:t>
            </w:r>
            <w:r>
              <w:rPr>
                <w:rFonts w:hint="eastAsia"/>
                <w:color w:val="auto"/>
                <w:highlight w:val="none"/>
                <w:u w:val="single"/>
              </w:rPr>
              <w:t>贵港市公共资源交易中心（贵港市港北区金城商业步行街与金田路交叉口东南150米水利大厦）</w:t>
            </w:r>
            <w:r>
              <w:rPr>
                <w:rFonts w:hint="eastAsia"/>
                <w:color w:val="auto"/>
                <w:highlight w:val="none"/>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7" w:type="dxa"/>
            <w:vAlign w:val="center"/>
          </w:tcPr>
          <w:p>
            <w:pPr>
              <w:spacing w:line="296" w:lineRule="exact"/>
              <w:jc w:val="center"/>
              <w:rPr>
                <w:rFonts w:ascii="宋体"/>
                <w:color w:val="auto"/>
                <w:szCs w:val="21"/>
                <w:highlight w:val="none"/>
              </w:rPr>
            </w:pPr>
            <w:r>
              <w:rPr>
                <w:rFonts w:hint="eastAsia" w:ascii="宋体"/>
                <w:color w:val="auto"/>
                <w:szCs w:val="21"/>
                <w:highlight w:val="none"/>
              </w:rPr>
              <w:t>10</w:t>
            </w:r>
          </w:p>
        </w:tc>
        <w:tc>
          <w:tcPr>
            <w:tcW w:w="1559" w:type="dxa"/>
            <w:vAlign w:val="center"/>
          </w:tcPr>
          <w:p>
            <w:pPr>
              <w:spacing w:line="296" w:lineRule="exact"/>
              <w:jc w:val="center"/>
              <w:rPr>
                <w:rFonts w:ascii="宋体"/>
                <w:color w:val="auto"/>
                <w:szCs w:val="21"/>
                <w:highlight w:val="none"/>
              </w:rPr>
            </w:pPr>
            <w:r>
              <w:rPr>
                <w:rFonts w:hint="eastAsia" w:ascii="宋体"/>
                <w:color w:val="auto"/>
                <w:szCs w:val="21"/>
                <w:highlight w:val="none"/>
              </w:rPr>
              <w:t>15.1</w:t>
            </w:r>
          </w:p>
        </w:tc>
        <w:tc>
          <w:tcPr>
            <w:tcW w:w="7092" w:type="dxa"/>
            <w:vAlign w:val="center"/>
          </w:tcPr>
          <w:p>
            <w:pPr>
              <w:spacing w:line="360" w:lineRule="exact"/>
              <w:ind w:left="283" w:hanging="283"/>
              <w:rPr>
                <w:rFonts w:ascii="宋体" w:hAnsi="宋体"/>
                <w:color w:val="auto"/>
                <w:szCs w:val="21"/>
                <w:highlight w:val="none"/>
              </w:rPr>
            </w:pPr>
            <w:r>
              <w:rPr>
                <w:rFonts w:hint="eastAsia" w:ascii="宋体" w:hAnsi="宋体"/>
                <w:color w:val="auto"/>
                <w:szCs w:val="21"/>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tcBorders>
              <w:bottom w:val="single" w:color="auto"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11</w:t>
            </w:r>
          </w:p>
        </w:tc>
        <w:tc>
          <w:tcPr>
            <w:tcW w:w="1559" w:type="dxa"/>
            <w:tcBorders>
              <w:bottom w:val="single" w:color="auto"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19.1</w:t>
            </w:r>
          </w:p>
        </w:tc>
        <w:tc>
          <w:tcPr>
            <w:tcW w:w="7092" w:type="dxa"/>
            <w:tcBorders>
              <w:bottom w:val="single" w:color="auto" w:sz="4" w:space="0"/>
            </w:tcBorders>
            <w:vAlign w:val="center"/>
          </w:tcPr>
          <w:p>
            <w:pPr>
              <w:pStyle w:val="7"/>
              <w:numPr>
                <w:ilvl w:val="0"/>
                <w:numId w:val="0"/>
              </w:numPr>
              <w:tabs>
                <w:tab w:val="left" w:pos="720"/>
                <w:tab w:val="left" w:pos="840"/>
              </w:tabs>
              <w:snapToGrid w:val="0"/>
              <w:spacing w:line="400" w:lineRule="exact"/>
              <w:rPr>
                <w:rFonts w:hAnsi="宋体"/>
                <w:color w:val="auto"/>
                <w:szCs w:val="21"/>
                <w:highlight w:val="none"/>
              </w:rPr>
            </w:pPr>
            <w:r>
              <w:rPr>
                <w:rFonts w:hint="eastAsia" w:ascii="宋体" w:hAnsi="宋体"/>
                <w:b/>
                <w:color w:val="auto"/>
                <w:szCs w:val="21"/>
                <w:highlight w:val="none"/>
              </w:rPr>
              <w:t>招标代理服务费：</w:t>
            </w:r>
            <w:r>
              <w:rPr>
                <w:rFonts w:hint="eastAsia" w:ascii="宋体" w:hAnsi="宋体"/>
                <w:color w:val="auto"/>
                <w:szCs w:val="21"/>
                <w:highlight w:val="none"/>
              </w:rPr>
              <w:t>本项目的招标代理服务费</w:t>
            </w:r>
            <w:r>
              <w:rPr>
                <w:rFonts w:hint="eastAsia" w:ascii="宋体"/>
                <w:color w:val="auto"/>
                <w:szCs w:val="21"/>
                <w:highlight w:val="none"/>
              </w:rPr>
              <w:t>按发改价格〔2015〕299号文执行，</w:t>
            </w:r>
            <w:r>
              <w:rPr>
                <w:rFonts w:hint="eastAsia" w:hAnsi="宋体"/>
                <w:color w:val="auto"/>
                <w:szCs w:val="21"/>
                <w:highlight w:val="none"/>
              </w:rPr>
              <w:t>具体金额为：</w:t>
            </w:r>
            <w:r>
              <w:rPr>
                <w:rFonts w:hint="eastAsia" w:hAnsi="宋体"/>
                <w:color w:val="auto"/>
                <w:szCs w:val="21"/>
                <w:highlight w:val="none"/>
                <w:lang w:eastAsia="zh-CN"/>
              </w:rPr>
              <w:t>人民币贰万零伍佰元整（￥20500.00 元）</w:t>
            </w:r>
            <w:r>
              <w:rPr>
                <w:rFonts w:hint="eastAsia" w:hAnsi="宋体"/>
                <w:color w:val="auto"/>
                <w:szCs w:val="21"/>
                <w:highlight w:val="none"/>
              </w:rPr>
              <w:t>；领取成交通知书前，成交供应商应向代理机构一次性付清代理服务费。否则，将视之为违约，取消该成交决定并对成交供应商已提交的全部保证金不予退还。</w:t>
            </w:r>
          </w:p>
          <w:p>
            <w:pPr>
              <w:pStyle w:val="7"/>
              <w:numPr>
                <w:ilvl w:val="0"/>
                <w:numId w:val="0"/>
              </w:numPr>
              <w:tabs>
                <w:tab w:val="left" w:pos="720"/>
                <w:tab w:val="left" w:pos="840"/>
              </w:tabs>
              <w:snapToGrid w:val="0"/>
              <w:spacing w:line="400" w:lineRule="exact"/>
              <w:rPr>
                <w:rFonts w:hAnsi="宋体"/>
                <w:color w:val="auto"/>
                <w:szCs w:val="21"/>
                <w:highlight w:val="none"/>
              </w:rPr>
            </w:pPr>
            <w:r>
              <w:rPr>
                <w:rFonts w:hint="eastAsia" w:hAnsi="宋体"/>
                <w:color w:val="auto"/>
                <w:szCs w:val="21"/>
                <w:highlight w:val="none"/>
              </w:rPr>
              <w:t>代理服务费专用帐户：</w:t>
            </w:r>
          </w:p>
          <w:p>
            <w:pPr>
              <w:spacing w:line="360" w:lineRule="exact"/>
              <w:ind w:left="283" w:hanging="283"/>
              <w:rPr>
                <w:rFonts w:hAnsi="宋体"/>
                <w:color w:val="auto"/>
                <w:szCs w:val="21"/>
                <w:highlight w:val="none"/>
              </w:rPr>
            </w:pPr>
            <w:r>
              <w:rPr>
                <w:rFonts w:hint="eastAsia" w:hAnsi="宋体"/>
                <w:color w:val="auto"/>
                <w:szCs w:val="21"/>
                <w:highlight w:val="none"/>
              </w:rPr>
              <w:t>开户名称：广西新宇建设项目管理有限公司贵港分公司</w:t>
            </w:r>
          </w:p>
          <w:p>
            <w:pPr>
              <w:spacing w:line="360" w:lineRule="exact"/>
              <w:ind w:left="283" w:hanging="283"/>
              <w:rPr>
                <w:rFonts w:hAnsi="宋体"/>
                <w:color w:val="auto"/>
                <w:szCs w:val="21"/>
                <w:highlight w:val="none"/>
              </w:rPr>
            </w:pPr>
            <w:r>
              <w:rPr>
                <w:rFonts w:hint="eastAsia" w:hAnsi="宋体"/>
                <w:color w:val="auto"/>
                <w:szCs w:val="21"/>
                <w:highlight w:val="none"/>
              </w:rPr>
              <w:t>开户银行：中国银行股份有限公司贵港市中山支行</w:t>
            </w:r>
          </w:p>
          <w:p>
            <w:pPr>
              <w:spacing w:line="360" w:lineRule="exact"/>
              <w:ind w:left="283" w:hanging="283"/>
              <w:rPr>
                <w:rFonts w:hAnsi="宋体"/>
                <w:color w:val="auto"/>
                <w:szCs w:val="21"/>
                <w:highlight w:val="none"/>
              </w:rPr>
            </w:pPr>
            <w:r>
              <w:rPr>
                <w:rFonts w:hint="eastAsia" w:hAnsi="宋体"/>
                <w:color w:val="auto"/>
                <w:szCs w:val="21"/>
                <w:highlight w:val="none"/>
              </w:rPr>
              <w:t>开户帐号：62235946403</w:t>
            </w:r>
            <w:r>
              <w:rPr>
                <w:rFonts w:hAnsi="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tcBorders>
              <w:top w:val="single" w:color="auto" w:sz="4" w:space="0"/>
              <w:bottom w:val="single" w:color="auto"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12</w:t>
            </w:r>
          </w:p>
        </w:tc>
        <w:tc>
          <w:tcPr>
            <w:tcW w:w="1559" w:type="dxa"/>
            <w:tcBorders>
              <w:top w:val="single" w:color="auto" w:sz="4" w:space="0"/>
              <w:bottom w:val="single" w:color="auto" w:sz="4" w:space="0"/>
            </w:tcBorders>
            <w:vAlign w:val="center"/>
          </w:tcPr>
          <w:p>
            <w:pPr>
              <w:spacing w:line="296" w:lineRule="exact"/>
              <w:jc w:val="center"/>
              <w:rPr>
                <w:rFonts w:ascii="宋体"/>
                <w:color w:val="auto"/>
                <w:szCs w:val="21"/>
                <w:highlight w:val="none"/>
              </w:rPr>
            </w:pPr>
          </w:p>
        </w:tc>
        <w:tc>
          <w:tcPr>
            <w:tcW w:w="7092" w:type="dxa"/>
            <w:tcBorders>
              <w:top w:val="single" w:color="auto" w:sz="4" w:space="0"/>
              <w:bottom w:val="single" w:color="auto" w:sz="4" w:space="0"/>
            </w:tcBorders>
            <w:vAlign w:val="center"/>
          </w:tcPr>
          <w:p>
            <w:pPr>
              <w:spacing w:line="360" w:lineRule="exact"/>
              <w:rPr>
                <w:rFonts w:ascii="宋体" w:hAnsi="宋体"/>
                <w:b/>
                <w:color w:val="auto"/>
                <w:szCs w:val="21"/>
                <w:highlight w:val="none"/>
              </w:rPr>
            </w:pPr>
            <w:r>
              <w:rPr>
                <w:rFonts w:hint="eastAsia" w:ascii="宋体"/>
                <w:b/>
                <w:color w:val="auto"/>
                <w:szCs w:val="21"/>
                <w:highlight w:val="none"/>
              </w:rPr>
              <w:t>本项目采购预算控制价：</w:t>
            </w:r>
            <w:r>
              <w:rPr>
                <w:rFonts w:hint="eastAsia" w:ascii="宋体"/>
                <w:b/>
                <w:bCs/>
                <w:color w:val="auto"/>
                <w:szCs w:val="21"/>
                <w:highlight w:val="none"/>
              </w:rPr>
              <w:t>人民币壹佰伍拾万元整（￥1500000.00）。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tcBorders>
              <w:top w:val="single" w:color="auto" w:sz="4" w:space="0"/>
              <w:bottom w:val="single" w:color="auto"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13</w:t>
            </w:r>
          </w:p>
        </w:tc>
        <w:tc>
          <w:tcPr>
            <w:tcW w:w="1559" w:type="dxa"/>
            <w:tcBorders>
              <w:top w:val="single" w:color="auto" w:sz="4" w:space="0"/>
              <w:bottom w:val="single" w:color="auto" w:sz="4" w:space="0"/>
            </w:tcBorders>
            <w:vAlign w:val="center"/>
          </w:tcPr>
          <w:p>
            <w:pPr>
              <w:spacing w:line="296" w:lineRule="exact"/>
              <w:jc w:val="center"/>
              <w:rPr>
                <w:rFonts w:ascii="宋体"/>
                <w:color w:val="auto"/>
                <w:szCs w:val="21"/>
                <w:highlight w:val="none"/>
              </w:rPr>
            </w:pPr>
          </w:p>
        </w:tc>
        <w:tc>
          <w:tcPr>
            <w:tcW w:w="7092" w:type="dxa"/>
            <w:tcBorders>
              <w:top w:val="single" w:color="auto" w:sz="4" w:space="0"/>
              <w:bottom w:val="single" w:color="auto" w:sz="4" w:space="0"/>
            </w:tcBorders>
            <w:vAlign w:val="center"/>
          </w:tcPr>
          <w:p>
            <w:pPr>
              <w:spacing w:line="360" w:lineRule="exact"/>
              <w:rPr>
                <w:rFonts w:hAnsi="宋体" w:cs="Courier New"/>
                <w:color w:val="auto"/>
                <w:szCs w:val="21"/>
                <w:highlight w:val="none"/>
              </w:rPr>
            </w:pPr>
            <w:r>
              <w:rPr>
                <w:rFonts w:hint="eastAsia"/>
                <w:color w:val="auto"/>
                <w:highlight w:val="none"/>
              </w:rPr>
              <w:t>资金来源：</w:t>
            </w:r>
            <w:r>
              <w:rPr>
                <w:rFonts w:hint="eastAsia" w:hAnsi="宋体" w:cs="Courier New"/>
                <w:color w:val="auto"/>
                <w:szCs w:val="21"/>
                <w:highlight w:val="none"/>
              </w:rPr>
              <w:t xml:space="preserve"> 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tcBorders>
              <w:top w:val="single" w:color="auto"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14</w:t>
            </w:r>
          </w:p>
        </w:tc>
        <w:tc>
          <w:tcPr>
            <w:tcW w:w="1559" w:type="dxa"/>
            <w:tcBorders>
              <w:top w:val="single" w:color="auto" w:sz="4" w:space="0"/>
            </w:tcBorders>
            <w:vAlign w:val="center"/>
          </w:tcPr>
          <w:p>
            <w:pPr>
              <w:spacing w:line="296" w:lineRule="exact"/>
              <w:jc w:val="center"/>
              <w:rPr>
                <w:rFonts w:ascii="宋体"/>
                <w:color w:val="auto"/>
                <w:szCs w:val="21"/>
                <w:highlight w:val="none"/>
              </w:rPr>
            </w:pPr>
          </w:p>
        </w:tc>
        <w:tc>
          <w:tcPr>
            <w:tcW w:w="7092" w:type="dxa"/>
            <w:tcBorders>
              <w:top w:val="single" w:color="auto" w:sz="4" w:space="0"/>
            </w:tcBorders>
            <w:vAlign w:val="center"/>
          </w:tcPr>
          <w:p>
            <w:pPr>
              <w:snapToGrid w:val="0"/>
              <w:spacing w:line="360" w:lineRule="exact"/>
              <w:rPr>
                <w:rFonts w:ascii="宋体" w:hAnsi="宋体"/>
                <w:b/>
                <w:bCs/>
                <w:color w:val="auto"/>
                <w:szCs w:val="21"/>
                <w:highlight w:val="none"/>
              </w:rPr>
            </w:pPr>
            <w:r>
              <w:rPr>
                <w:rFonts w:hint="eastAsia" w:ascii="宋体" w:hAnsi="宋体"/>
                <w:b/>
                <w:bCs/>
                <w:color w:val="auto"/>
                <w:szCs w:val="21"/>
                <w:highlight w:val="none"/>
              </w:rPr>
              <w:t>其他说明：</w:t>
            </w:r>
          </w:p>
          <w:p>
            <w:pPr>
              <w:snapToGrid w:val="0"/>
              <w:spacing w:line="360" w:lineRule="exact"/>
              <w:rPr>
                <w:rFonts w:ascii="宋体" w:hAnsi="宋体"/>
                <w:color w:val="auto"/>
                <w:szCs w:val="21"/>
                <w:highlight w:val="none"/>
              </w:rPr>
            </w:pPr>
            <w:r>
              <w:rPr>
                <w:rFonts w:hint="eastAsia" w:ascii="宋体" w:hAnsi="宋体"/>
                <w:color w:val="auto"/>
                <w:szCs w:val="21"/>
                <w:highlight w:val="none"/>
              </w:rPr>
              <w:t>1、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pPr>
              <w:snapToGrid w:val="0"/>
              <w:spacing w:line="360" w:lineRule="exact"/>
              <w:rPr>
                <w:rFonts w:ascii="宋体" w:hAnsi="宋体"/>
                <w:color w:val="auto"/>
                <w:szCs w:val="21"/>
                <w:highlight w:val="none"/>
              </w:rPr>
            </w:pPr>
            <w:r>
              <w:rPr>
                <w:rFonts w:hint="eastAsia" w:ascii="宋体" w:hAnsi="宋体"/>
                <w:color w:val="auto"/>
                <w:szCs w:val="21"/>
                <w:highlight w:val="none"/>
              </w:rPr>
              <w:t>2、本文件中描述磋商供应商的“签字”是指磋商供应商的法定代表人或被授权人亲自在文件规定签署处亲笔写上个人的名字的行为，私章、签字章、印鉴、影印等其它形式均不能代替亲笔签字。</w:t>
            </w:r>
          </w:p>
          <w:p>
            <w:pPr>
              <w:snapToGrid w:val="0"/>
              <w:spacing w:line="360" w:lineRule="exact"/>
              <w:rPr>
                <w:rFonts w:ascii="宋体" w:hAnsi="宋体"/>
                <w:color w:val="auto"/>
                <w:szCs w:val="21"/>
                <w:highlight w:val="none"/>
              </w:rPr>
            </w:pPr>
            <w:r>
              <w:rPr>
                <w:rFonts w:hint="eastAsia" w:ascii="宋体" w:hAnsi="宋体"/>
                <w:color w:val="auto"/>
                <w:szCs w:val="21"/>
                <w:highlight w:val="none"/>
              </w:rPr>
              <w:t>3、对磋商供应商资格审查时进行信用查询：</w:t>
            </w:r>
          </w:p>
          <w:p>
            <w:pPr>
              <w:snapToGrid w:val="0"/>
              <w:spacing w:line="360" w:lineRule="exact"/>
              <w:rPr>
                <w:rFonts w:ascii="宋体" w:hAnsi="宋体"/>
                <w:color w:val="auto"/>
                <w:szCs w:val="21"/>
                <w:highlight w:val="none"/>
              </w:rPr>
            </w:pPr>
            <w:r>
              <w:rPr>
                <w:rFonts w:hint="eastAsia" w:ascii="宋体" w:hAnsi="宋体"/>
                <w:color w:val="auto"/>
                <w:szCs w:val="21"/>
                <w:highlight w:val="none"/>
              </w:rPr>
              <w:t>查询渠道：“信用中国” 网站(www.creditchina.gov.cn)、中国政府采购网(www.ccgp.gov.cn)</w:t>
            </w:r>
          </w:p>
          <w:p>
            <w:pPr>
              <w:snapToGrid w:val="0"/>
              <w:spacing w:line="360" w:lineRule="exact"/>
              <w:rPr>
                <w:rFonts w:ascii="宋体" w:hAnsi="宋体"/>
                <w:color w:val="auto"/>
                <w:szCs w:val="21"/>
                <w:highlight w:val="none"/>
              </w:rPr>
            </w:pPr>
            <w:r>
              <w:rPr>
                <w:rFonts w:hint="eastAsia" w:ascii="宋体" w:hAnsi="宋体"/>
                <w:color w:val="auto"/>
                <w:szCs w:val="21"/>
                <w:highlight w:val="none"/>
              </w:rPr>
              <w:t>等。</w:t>
            </w:r>
          </w:p>
          <w:p>
            <w:pPr>
              <w:snapToGrid w:val="0"/>
              <w:spacing w:line="360" w:lineRule="exact"/>
              <w:rPr>
                <w:rFonts w:ascii="宋体" w:hAnsi="宋体"/>
                <w:color w:val="auto"/>
                <w:szCs w:val="21"/>
                <w:highlight w:val="none"/>
              </w:rPr>
            </w:pPr>
            <w:r>
              <w:rPr>
                <w:rFonts w:hint="eastAsia" w:ascii="宋体" w:hAnsi="宋体"/>
                <w:color w:val="auto"/>
                <w:szCs w:val="21"/>
                <w:highlight w:val="none"/>
              </w:rPr>
              <w:t>查询起止时间：采购公告发布后至截止之日前。</w:t>
            </w:r>
          </w:p>
          <w:p>
            <w:pPr>
              <w:snapToGrid w:val="0"/>
              <w:spacing w:line="360" w:lineRule="exact"/>
              <w:rPr>
                <w:rFonts w:ascii="宋体" w:hAnsi="宋体"/>
                <w:color w:val="auto"/>
                <w:szCs w:val="21"/>
                <w:highlight w:val="none"/>
              </w:rPr>
            </w:pPr>
            <w:r>
              <w:rPr>
                <w:rFonts w:hint="eastAsia" w:ascii="宋体" w:hAnsi="宋体"/>
                <w:color w:val="auto"/>
                <w:szCs w:val="21"/>
                <w:highlight w:val="none"/>
              </w:rPr>
              <w:t>查询记录和证据留存方式：在查询网站中直接打印查询记录，打印材料作为评审资料保存。</w:t>
            </w:r>
          </w:p>
          <w:p>
            <w:pPr>
              <w:spacing w:line="360" w:lineRule="exact"/>
              <w:rPr>
                <w:color w:val="auto"/>
                <w:highlight w:val="none"/>
              </w:rPr>
            </w:pPr>
            <w:r>
              <w:rPr>
                <w:rFonts w:hint="eastAsia"/>
                <w:color w:val="auto"/>
                <w:highlight w:val="none"/>
              </w:rPr>
              <w:t>信用信息使用规则：对在“信用中国”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将被拒绝参与本项目政府采购活动。</w:t>
            </w:r>
          </w:p>
        </w:tc>
      </w:tr>
    </w:tbl>
    <w:p>
      <w:pPr>
        <w:spacing w:line="500" w:lineRule="exact"/>
        <w:rPr>
          <w:rFonts w:ascii="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47" w:right="1418" w:bottom="1247" w:left="1531" w:header="851" w:footer="992" w:gutter="0"/>
          <w:cols w:space="720" w:num="1"/>
          <w:docGrid w:linePitch="312" w:charSpace="0"/>
        </w:sectPr>
      </w:pPr>
    </w:p>
    <w:p>
      <w:pPr>
        <w:spacing w:line="500" w:lineRule="exact"/>
        <w:jc w:val="center"/>
        <w:rPr>
          <w:rFonts w:ascii="宋体"/>
          <w:b/>
          <w:color w:val="auto"/>
          <w:sz w:val="32"/>
          <w:szCs w:val="32"/>
          <w:highlight w:val="none"/>
        </w:rPr>
      </w:pPr>
      <w:r>
        <w:rPr>
          <w:rFonts w:hint="eastAsia" w:ascii="宋体"/>
          <w:b/>
          <w:color w:val="auto"/>
          <w:sz w:val="32"/>
          <w:szCs w:val="32"/>
          <w:highlight w:val="none"/>
        </w:rPr>
        <w:t>磋商须知</w:t>
      </w:r>
    </w:p>
    <w:p>
      <w:pPr>
        <w:spacing w:line="500" w:lineRule="exact"/>
        <w:rPr>
          <w:rFonts w:ascii="宋体"/>
          <w:b/>
          <w:color w:val="auto"/>
          <w:szCs w:val="21"/>
          <w:highlight w:val="none"/>
        </w:rPr>
      </w:pPr>
      <w:r>
        <w:rPr>
          <w:rFonts w:hint="eastAsia" w:ascii="宋体"/>
          <w:b/>
          <w:color w:val="auto"/>
          <w:szCs w:val="21"/>
          <w:highlight w:val="none"/>
        </w:rPr>
        <w:t>一、总　则</w:t>
      </w:r>
    </w:p>
    <w:p>
      <w:pPr>
        <w:spacing w:line="500" w:lineRule="exact"/>
        <w:rPr>
          <w:rFonts w:ascii="宋体"/>
          <w:color w:val="auto"/>
          <w:szCs w:val="21"/>
          <w:highlight w:val="none"/>
        </w:rPr>
      </w:pPr>
      <w:r>
        <w:rPr>
          <w:rFonts w:hint="eastAsia" w:ascii="宋体"/>
          <w:color w:val="auto"/>
          <w:szCs w:val="21"/>
          <w:highlight w:val="none"/>
        </w:rPr>
        <w:t>1. 适用范围</w:t>
      </w:r>
    </w:p>
    <w:p>
      <w:pPr>
        <w:pStyle w:val="14"/>
        <w:spacing w:line="440" w:lineRule="exact"/>
        <w:ind w:firstLine="420" w:firstLineChars="200"/>
        <w:rPr>
          <w:color w:val="auto"/>
          <w:highlight w:val="none"/>
        </w:rPr>
      </w:pPr>
      <w:r>
        <w:rPr>
          <w:rFonts w:hint="eastAsia"/>
          <w:color w:val="auto"/>
          <w:highlight w:val="none"/>
        </w:rPr>
        <w:t>1.1项目名称：</w:t>
      </w:r>
      <w:r>
        <w:rPr>
          <w:rFonts w:hint="eastAsia"/>
          <w:color w:val="auto"/>
          <w:highlight w:val="none"/>
          <w:lang w:eastAsia="zh-CN"/>
        </w:rPr>
        <w:t>多媒体同步课堂</w:t>
      </w:r>
      <w:r>
        <w:rPr>
          <w:rFonts w:hint="eastAsia"/>
          <w:color w:val="auto"/>
          <w:highlight w:val="none"/>
        </w:rPr>
        <w:t xml:space="preserve"> </w:t>
      </w:r>
    </w:p>
    <w:p>
      <w:pPr>
        <w:pStyle w:val="14"/>
        <w:spacing w:line="440" w:lineRule="exact"/>
        <w:ind w:firstLine="420" w:firstLineChars="20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GGZC2020-C1-20695-GXXY</w:t>
      </w:r>
    </w:p>
    <w:p>
      <w:pPr>
        <w:pStyle w:val="14"/>
        <w:spacing w:line="440" w:lineRule="exact"/>
        <w:ind w:firstLine="420" w:firstLineChars="200"/>
        <w:rPr>
          <w:color w:val="auto"/>
          <w:highlight w:val="none"/>
        </w:rPr>
      </w:pPr>
      <w:r>
        <w:rPr>
          <w:rFonts w:hint="eastAsia"/>
          <w:color w:val="auto"/>
          <w:highlight w:val="none"/>
        </w:rPr>
        <w:t>本文件仅适用于本文件中所叙述的货物、服务类采购项目。</w:t>
      </w:r>
    </w:p>
    <w:p>
      <w:pPr>
        <w:spacing w:line="500" w:lineRule="exact"/>
        <w:rPr>
          <w:rFonts w:ascii="宋体"/>
          <w:color w:val="auto"/>
          <w:szCs w:val="21"/>
          <w:highlight w:val="none"/>
        </w:rPr>
      </w:pPr>
      <w:r>
        <w:rPr>
          <w:rFonts w:hint="eastAsia" w:ascii="宋体"/>
          <w:color w:val="auto"/>
          <w:szCs w:val="21"/>
          <w:highlight w:val="none"/>
        </w:rPr>
        <w:t>2. 定义</w:t>
      </w:r>
    </w:p>
    <w:p>
      <w:pPr>
        <w:pStyle w:val="14"/>
        <w:spacing w:line="440" w:lineRule="exact"/>
        <w:ind w:firstLine="420" w:firstLineChars="200"/>
        <w:rPr>
          <w:color w:val="auto"/>
          <w:highlight w:val="none"/>
        </w:rPr>
      </w:pPr>
      <w:r>
        <w:rPr>
          <w:rFonts w:hint="eastAsia"/>
          <w:color w:val="auto"/>
          <w:highlight w:val="none"/>
        </w:rPr>
        <w:t xml:space="preserve">2.1“采购人”是指：依法进行采购的国家机关、事业单位、团体组织。 </w:t>
      </w:r>
    </w:p>
    <w:p>
      <w:pPr>
        <w:pStyle w:val="14"/>
        <w:spacing w:line="440" w:lineRule="exact"/>
        <w:ind w:firstLine="420" w:firstLineChars="200"/>
        <w:rPr>
          <w:color w:val="auto"/>
          <w:highlight w:val="none"/>
        </w:rPr>
      </w:pPr>
      <w:r>
        <w:rPr>
          <w:rFonts w:hint="eastAsia"/>
          <w:color w:val="auto"/>
          <w:highlight w:val="none"/>
        </w:rPr>
        <w:t>2.2“采购代理机构”是指：广西新宇建设项目管理有限公司</w:t>
      </w:r>
    </w:p>
    <w:p>
      <w:pPr>
        <w:pStyle w:val="14"/>
        <w:spacing w:line="440" w:lineRule="exact"/>
        <w:ind w:firstLine="422" w:firstLineChars="200"/>
        <w:rPr>
          <w:b/>
          <w:color w:val="auto"/>
          <w:highlight w:val="none"/>
        </w:rPr>
      </w:pPr>
      <w:r>
        <w:rPr>
          <w:rFonts w:hint="eastAsia"/>
          <w:b/>
          <w:color w:val="auto"/>
          <w:highlight w:val="none"/>
        </w:rPr>
        <w:t>2.3“供应商”是指响应本文件要求，参加磋商的法人或者其他组织。如果该供应商在本次磋商中成交，即成为“成交人”。</w:t>
      </w:r>
    </w:p>
    <w:p>
      <w:pPr>
        <w:pStyle w:val="14"/>
        <w:spacing w:line="440" w:lineRule="exact"/>
        <w:ind w:firstLine="420" w:firstLineChars="200"/>
        <w:rPr>
          <w:color w:val="auto"/>
          <w:highlight w:val="none"/>
        </w:rPr>
      </w:pPr>
      <w:r>
        <w:rPr>
          <w:rFonts w:hint="eastAsia"/>
          <w:color w:val="auto"/>
          <w:highlight w:val="none"/>
        </w:rPr>
        <w:t>2.4“货物”是指各种形态和种类的物品，包括原材料、燃料、设备、产品等。</w:t>
      </w:r>
    </w:p>
    <w:p>
      <w:pPr>
        <w:pStyle w:val="14"/>
        <w:spacing w:line="440" w:lineRule="exact"/>
        <w:ind w:firstLine="420" w:firstLineChars="200"/>
        <w:rPr>
          <w:color w:val="auto"/>
          <w:highlight w:val="none"/>
        </w:rPr>
      </w:pPr>
      <w:r>
        <w:rPr>
          <w:rFonts w:hint="eastAsia"/>
          <w:color w:val="auto"/>
          <w:highlight w:val="none"/>
        </w:rPr>
        <w:t>2.5“服务”是指除货物和工程以外的其他采购对象。</w:t>
      </w:r>
    </w:p>
    <w:p>
      <w:pPr>
        <w:pStyle w:val="14"/>
        <w:spacing w:line="440" w:lineRule="exact"/>
        <w:ind w:firstLine="420" w:firstLineChars="200"/>
        <w:rPr>
          <w:color w:val="auto"/>
          <w:highlight w:val="none"/>
        </w:rPr>
      </w:pPr>
      <w:r>
        <w:rPr>
          <w:rFonts w:hint="eastAsia"/>
          <w:color w:val="auto"/>
          <w:highlight w:val="none"/>
        </w:rPr>
        <w:t>2.6</w:t>
      </w:r>
      <w:r>
        <w:rPr>
          <w:rFonts w:hint="eastAsia"/>
          <w:color w:val="auto"/>
          <w:spacing w:val="-10"/>
          <w:highlight w:val="none"/>
        </w:rPr>
        <w:t>“响应文件”是指：供应商根据本文件要求，编制包含报价、技术和服务等所有内容的响应文件。</w:t>
      </w:r>
    </w:p>
    <w:p>
      <w:pPr>
        <w:spacing w:line="500" w:lineRule="exact"/>
        <w:rPr>
          <w:rFonts w:ascii="宋体"/>
          <w:color w:val="auto"/>
          <w:szCs w:val="21"/>
          <w:highlight w:val="none"/>
        </w:rPr>
      </w:pPr>
      <w:r>
        <w:rPr>
          <w:rFonts w:hint="eastAsia" w:ascii="宋体"/>
          <w:color w:val="auto"/>
          <w:szCs w:val="21"/>
          <w:highlight w:val="none"/>
        </w:rPr>
        <w:t>3. 供应商的基本条件：见磋商须知前附表。</w:t>
      </w:r>
    </w:p>
    <w:p>
      <w:pPr>
        <w:spacing w:line="500" w:lineRule="exact"/>
        <w:rPr>
          <w:rFonts w:ascii="宋体"/>
          <w:color w:val="auto"/>
          <w:szCs w:val="21"/>
          <w:highlight w:val="none"/>
        </w:rPr>
      </w:pPr>
      <w:r>
        <w:rPr>
          <w:rFonts w:hint="eastAsia" w:ascii="宋体"/>
          <w:color w:val="auto"/>
          <w:szCs w:val="21"/>
          <w:highlight w:val="none"/>
        </w:rPr>
        <w:t>4. 磋商费用</w:t>
      </w:r>
    </w:p>
    <w:p>
      <w:pPr>
        <w:pStyle w:val="14"/>
        <w:spacing w:line="440" w:lineRule="exact"/>
        <w:ind w:firstLine="420" w:firstLineChars="200"/>
        <w:rPr>
          <w:color w:val="auto"/>
          <w:highlight w:val="none"/>
        </w:rPr>
      </w:pPr>
      <w:r>
        <w:rPr>
          <w:rFonts w:hint="eastAsia"/>
          <w:color w:val="auto"/>
          <w:highlight w:val="none"/>
        </w:rPr>
        <w:t>4.1 供应商应自行承担所有与编写和提交响应文件有关的费用，不论磋商结果如何，采购人和采购代理机构在任何情况下无义务和责任承担此类费用。</w:t>
      </w:r>
    </w:p>
    <w:p>
      <w:pPr>
        <w:pStyle w:val="14"/>
        <w:spacing w:line="440" w:lineRule="exact"/>
        <w:ind w:firstLine="420" w:firstLineChars="200"/>
        <w:rPr>
          <w:color w:val="auto"/>
          <w:highlight w:val="none"/>
        </w:rPr>
      </w:pPr>
      <w:r>
        <w:rPr>
          <w:rFonts w:hint="eastAsia"/>
          <w:color w:val="auto"/>
          <w:highlight w:val="none"/>
        </w:rPr>
        <w:t>4.2本项目代理服务费：见磋商须知前附表。</w:t>
      </w:r>
    </w:p>
    <w:p>
      <w:pPr>
        <w:spacing w:line="500" w:lineRule="exact"/>
        <w:rPr>
          <w:rFonts w:ascii="宋体"/>
          <w:color w:val="auto"/>
          <w:szCs w:val="21"/>
          <w:highlight w:val="none"/>
        </w:rPr>
      </w:pPr>
      <w:r>
        <w:rPr>
          <w:rFonts w:hint="eastAsia" w:ascii="宋体"/>
          <w:color w:val="auto"/>
          <w:szCs w:val="21"/>
          <w:highlight w:val="none"/>
        </w:rPr>
        <w:t>5.</w:t>
      </w:r>
      <w:r>
        <w:rPr>
          <w:rFonts w:hint="eastAsia"/>
          <w:color w:val="auto"/>
          <w:highlight w:val="none"/>
        </w:rPr>
        <w:t xml:space="preserve"> </w:t>
      </w:r>
      <w:r>
        <w:rPr>
          <w:rFonts w:hint="eastAsia" w:ascii="宋体"/>
          <w:color w:val="auto"/>
          <w:szCs w:val="21"/>
          <w:highlight w:val="none"/>
        </w:rPr>
        <w:t>竞争性磋商文件（以下简称磋商文件）的澄清与修改 、公告</w:t>
      </w:r>
    </w:p>
    <w:p>
      <w:pPr>
        <w:pStyle w:val="14"/>
        <w:spacing w:line="440" w:lineRule="exact"/>
        <w:ind w:firstLine="420" w:firstLineChars="200"/>
        <w:rPr>
          <w:color w:val="auto"/>
          <w:highlight w:val="none"/>
        </w:rPr>
      </w:pPr>
      <w:r>
        <w:rPr>
          <w:rFonts w:hint="eastAsia"/>
          <w:color w:val="auto"/>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通知须报贵港市港北区财政局政府采购监督管理股备案。</w:t>
      </w:r>
    </w:p>
    <w:p>
      <w:pPr>
        <w:pStyle w:val="14"/>
        <w:spacing w:line="440" w:lineRule="exact"/>
        <w:ind w:firstLine="420" w:firstLineChars="200"/>
        <w:rPr>
          <w:rFonts w:hAnsi="宋体" w:cs="仿宋_GB2312"/>
          <w:color w:val="auto"/>
          <w:kern w:val="0"/>
          <w:highlight w:val="none"/>
        </w:rPr>
      </w:pPr>
      <w:r>
        <w:rPr>
          <w:rFonts w:hint="eastAsia"/>
          <w:color w:val="auto"/>
          <w:highlight w:val="none"/>
        </w:rPr>
        <w:t>5.2</w:t>
      </w:r>
      <w:r>
        <w:rPr>
          <w:rFonts w:hint="eastAsia" w:hAnsi="宋体"/>
          <w:color w:val="auto"/>
          <w:highlight w:val="none"/>
        </w:rPr>
        <w:t>公告见</w:t>
      </w:r>
      <w:r>
        <w:rPr>
          <w:rFonts w:hint="eastAsia" w:hAnsi="宋体" w:cs="仿宋_GB2312"/>
          <w:color w:val="auto"/>
          <w:kern w:val="0"/>
          <w:highlight w:val="none"/>
        </w:rPr>
        <w:t>中国采购与招标网(http://www.chinabidding.com.cn)、</w:t>
      </w:r>
      <w:r>
        <w:rPr>
          <w:rFonts w:hAnsi="宋体" w:cs="宋体"/>
          <w:color w:val="auto"/>
          <w:highlight w:val="none"/>
        </w:rPr>
        <w:t>http://zfcg.czj.gxgg.gov.cn</w:t>
      </w:r>
      <w:r>
        <w:rPr>
          <w:rFonts w:hint="eastAsia" w:hAnsi="宋体" w:cs="宋体"/>
          <w:color w:val="auto"/>
          <w:highlight w:val="none"/>
        </w:rPr>
        <w:t>（贵港市政府采购网）、</w:t>
      </w:r>
      <w:r>
        <w:rPr>
          <w:rFonts w:hAnsi="宋体" w:cs="宋体"/>
          <w:color w:val="auto"/>
          <w:highlight w:val="none"/>
        </w:rPr>
        <w:t>http://zfcg.gxzf.gov.cn</w:t>
      </w:r>
      <w:r>
        <w:rPr>
          <w:rFonts w:hint="eastAsia" w:hAnsi="宋体" w:cs="宋体"/>
          <w:color w:val="auto"/>
          <w:highlight w:val="none"/>
        </w:rPr>
        <w:t>（广西壮族自治区政府采购网）、</w:t>
      </w:r>
      <w:r>
        <w:rPr>
          <w:rFonts w:hint="eastAsia" w:hAnsi="宋体" w:cs="仿宋_GB2312"/>
          <w:color w:val="auto"/>
          <w:kern w:val="0"/>
          <w:highlight w:val="none"/>
        </w:rPr>
        <w:t>贵港市公共资源交易中心网站（http://ggggjy.gxgg.gov.cn:9005/）</w:t>
      </w:r>
    </w:p>
    <w:p>
      <w:pPr>
        <w:spacing w:line="500" w:lineRule="exact"/>
        <w:rPr>
          <w:rFonts w:ascii="宋体"/>
          <w:b/>
          <w:color w:val="auto"/>
          <w:szCs w:val="21"/>
          <w:highlight w:val="none"/>
        </w:rPr>
      </w:pPr>
      <w:r>
        <w:rPr>
          <w:rFonts w:hint="eastAsia" w:ascii="宋体"/>
          <w:b/>
          <w:color w:val="auto"/>
          <w:szCs w:val="21"/>
          <w:highlight w:val="none"/>
        </w:rPr>
        <w:t>二、响应文件的编制</w:t>
      </w:r>
    </w:p>
    <w:p>
      <w:pPr>
        <w:spacing w:line="500" w:lineRule="exact"/>
        <w:rPr>
          <w:rFonts w:ascii="宋体"/>
          <w:color w:val="auto"/>
          <w:szCs w:val="21"/>
          <w:highlight w:val="none"/>
        </w:rPr>
      </w:pPr>
      <w:r>
        <w:rPr>
          <w:rFonts w:hint="eastAsia" w:ascii="宋体"/>
          <w:color w:val="auto"/>
          <w:szCs w:val="21"/>
          <w:highlight w:val="none"/>
        </w:rPr>
        <w:t>6. 响应文件编制基本要求</w:t>
      </w:r>
    </w:p>
    <w:p>
      <w:pPr>
        <w:pStyle w:val="14"/>
        <w:spacing w:line="440" w:lineRule="exact"/>
        <w:ind w:firstLine="420" w:firstLineChars="200"/>
        <w:rPr>
          <w:color w:val="auto"/>
          <w:highlight w:val="none"/>
        </w:rPr>
      </w:pPr>
      <w:r>
        <w:rPr>
          <w:rFonts w:hint="eastAsia"/>
          <w:color w:val="auto"/>
          <w:highlight w:val="none"/>
        </w:rPr>
        <w:t>6.1供应商对响应文件的编制应按要求装订和封装。</w:t>
      </w:r>
    </w:p>
    <w:p>
      <w:pPr>
        <w:pStyle w:val="14"/>
        <w:spacing w:line="440" w:lineRule="exact"/>
        <w:ind w:firstLine="420" w:firstLineChars="200"/>
        <w:rPr>
          <w:color w:val="auto"/>
          <w:highlight w:val="none"/>
        </w:rPr>
      </w:pPr>
      <w:r>
        <w:rPr>
          <w:rFonts w:hint="eastAsia"/>
          <w:color w:val="auto"/>
          <w:highlight w:val="none"/>
        </w:rPr>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pStyle w:val="14"/>
        <w:spacing w:line="440" w:lineRule="exact"/>
        <w:ind w:firstLine="420" w:firstLineChars="200"/>
        <w:rPr>
          <w:color w:val="auto"/>
          <w:highlight w:val="none"/>
        </w:rPr>
      </w:pPr>
      <w:r>
        <w:rPr>
          <w:rFonts w:hint="eastAsia"/>
          <w:color w:val="auto"/>
          <w:highlight w:val="none"/>
        </w:rPr>
        <w:t>6.3供应商应认真阅读、并充分理解本文件的全部内容（包括所有的补充、修改内容），承诺并履行本文件中各项条款规定及要求。</w:t>
      </w:r>
    </w:p>
    <w:p>
      <w:pPr>
        <w:pStyle w:val="14"/>
        <w:spacing w:line="440" w:lineRule="exact"/>
        <w:ind w:firstLine="420" w:firstLineChars="200"/>
        <w:rPr>
          <w:color w:val="auto"/>
          <w:highlight w:val="none"/>
        </w:rPr>
      </w:pPr>
      <w:r>
        <w:rPr>
          <w:rFonts w:hint="eastAsia"/>
          <w:color w:val="auto"/>
          <w:highlight w:val="none"/>
        </w:rPr>
        <w:t>6.4响应文件必须按本文件的全部内容，包括所有的补充通知及附件进行编制。</w:t>
      </w:r>
    </w:p>
    <w:p>
      <w:pPr>
        <w:pStyle w:val="14"/>
        <w:spacing w:line="440" w:lineRule="exact"/>
        <w:ind w:firstLine="420" w:firstLineChars="200"/>
        <w:rPr>
          <w:color w:val="auto"/>
          <w:highlight w:val="none"/>
        </w:rPr>
      </w:pPr>
      <w:r>
        <w:rPr>
          <w:rFonts w:hint="eastAsia"/>
          <w:color w:val="auto"/>
          <w:highlight w:val="none"/>
        </w:rPr>
        <w:t>6.5如因供应商只填写和提供了本文件要求的部分内容和附件，而给评审造成困难，其可能导致的结果和责任由供应商自行承担。</w:t>
      </w:r>
    </w:p>
    <w:p>
      <w:pPr>
        <w:pStyle w:val="14"/>
        <w:spacing w:line="440" w:lineRule="exact"/>
        <w:ind w:firstLine="422" w:firstLineChars="200"/>
        <w:rPr>
          <w:b/>
          <w:color w:val="auto"/>
          <w:highlight w:val="none"/>
        </w:rPr>
      </w:pPr>
      <w:r>
        <w:rPr>
          <w:rFonts w:hint="eastAsia"/>
          <w:b/>
          <w:color w:val="auto"/>
          <w:highlight w:val="none"/>
        </w:rPr>
        <w:t>6.6响应文件的组成：响应文件应分为资格证明文件、报价文件、商务技术文件三个部分组成。</w:t>
      </w:r>
    </w:p>
    <w:p>
      <w:pPr>
        <w:pStyle w:val="14"/>
        <w:spacing w:line="440" w:lineRule="exact"/>
        <w:ind w:firstLine="422" w:firstLineChars="200"/>
        <w:rPr>
          <w:rFonts w:hAnsi="宋体"/>
          <w:color w:val="auto"/>
          <w:highlight w:val="none"/>
        </w:rPr>
      </w:pPr>
      <w:r>
        <w:rPr>
          <w:rFonts w:hint="eastAsia" w:hAnsi="宋体"/>
          <w:b/>
          <w:color w:val="auto"/>
          <w:highlight w:val="none"/>
        </w:rPr>
        <w:t>6.6.1</w:t>
      </w:r>
      <w:r>
        <w:rPr>
          <w:rFonts w:hint="eastAsia"/>
          <w:b/>
          <w:color w:val="auto"/>
          <w:highlight w:val="none"/>
        </w:rPr>
        <w:t>资格证明文件</w:t>
      </w:r>
      <w:r>
        <w:rPr>
          <w:rFonts w:hint="eastAsia" w:hAnsi="宋体"/>
          <w:b/>
          <w:color w:val="auto"/>
          <w:highlight w:val="none"/>
        </w:rPr>
        <w:t xml:space="preserve"> </w:t>
      </w:r>
    </w:p>
    <w:p>
      <w:pPr>
        <w:pStyle w:val="14"/>
        <w:spacing w:line="440" w:lineRule="exact"/>
        <w:ind w:firstLine="420" w:firstLineChars="200"/>
        <w:rPr>
          <w:rFonts w:hAnsi="宋体"/>
          <w:color w:val="auto"/>
          <w:highlight w:val="none"/>
        </w:rPr>
      </w:pPr>
      <w:r>
        <w:rPr>
          <w:rFonts w:hint="eastAsia" w:hAnsi="宋体"/>
          <w:color w:val="auto"/>
          <w:highlight w:val="none"/>
        </w:rPr>
        <w:t>①有效的营业执照或事业单位法人证书复印件</w:t>
      </w:r>
      <w:r>
        <w:rPr>
          <w:rFonts w:hint="eastAsia" w:hAnsi="宋体"/>
          <w:b/>
          <w:color w:val="auto"/>
          <w:highlight w:val="none"/>
        </w:rPr>
        <w:t>（必须提供，复印件加盖单位公章）</w:t>
      </w:r>
      <w:r>
        <w:rPr>
          <w:rFonts w:hint="eastAsia" w:hAnsi="宋体"/>
          <w:color w:val="auto"/>
          <w:highlight w:val="none"/>
        </w:rPr>
        <w:t>；</w:t>
      </w:r>
    </w:p>
    <w:p>
      <w:pPr>
        <w:pStyle w:val="14"/>
        <w:spacing w:line="440" w:lineRule="exact"/>
        <w:ind w:firstLine="420" w:firstLineChars="200"/>
        <w:rPr>
          <w:rFonts w:hAnsi="宋体"/>
          <w:color w:val="auto"/>
          <w:highlight w:val="none"/>
        </w:rPr>
      </w:pPr>
      <w:r>
        <w:rPr>
          <w:rFonts w:hint="eastAsia" w:hAnsi="宋体"/>
          <w:color w:val="auto"/>
          <w:highlight w:val="none"/>
        </w:rPr>
        <w:t>②法定代表人身份证复印件</w:t>
      </w:r>
      <w:r>
        <w:rPr>
          <w:rFonts w:hint="eastAsia" w:hAnsi="宋体"/>
          <w:b/>
          <w:color w:val="auto"/>
          <w:highlight w:val="none"/>
        </w:rPr>
        <w:t>（必须提供，复印件加盖单位公章）</w:t>
      </w:r>
      <w:r>
        <w:rPr>
          <w:rFonts w:hint="eastAsia" w:hAnsi="宋体"/>
          <w:color w:val="auto"/>
          <w:highlight w:val="none"/>
        </w:rPr>
        <w:t>；</w:t>
      </w:r>
    </w:p>
    <w:p>
      <w:pPr>
        <w:pStyle w:val="14"/>
        <w:spacing w:line="440" w:lineRule="exact"/>
        <w:ind w:firstLine="420" w:firstLineChars="200"/>
        <w:rPr>
          <w:rFonts w:hAnsi="宋体"/>
          <w:color w:val="auto"/>
          <w:highlight w:val="none"/>
        </w:rPr>
      </w:pPr>
      <w:r>
        <w:rPr>
          <w:rFonts w:hint="eastAsia" w:hAnsi="宋体"/>
          <w:color w:val="auto"/>
          <w:highlight w:val="none"/>
        </w:rPr>
        <w:t>③法定代表人授权委托书和委托代理人身份证复印件（</w:t>
      </w:r>
      <w:r>
        <w:rPr>
          <w:rFonts w:hint="eastAsia" w:hAnsi="宋体"/>
          <w:b/>
          <w:color w:val="auto"/>
          <w:highlight w:val="none"/>
        </w:rPr>
        <w:t>委托代理时提供，格式见后）</w:t>
      </w:r>
      <w:r>
        <w:rPr>
          <w:rFonts w:hint="eastAsia" w:hAnsi="宋体"/>
          <w:color w:val="auto"/>
          <w:highlight w:val="none"/>
        </w:rPr>
        <w:t>；</w:t>
      </w:r>
    </w:p>
    <w:p>
      <w:pPr>
        <w:pStyle w:val="14"/>
        <w:spacing w:line="440" w:lineRule="exact"/>
        <w:ind w:firstLine="420" w:firstLineChars="200"/>
        <w:rPr>
          <w:rFonts w:hAnsi="宋体"/>
          <w:color w:val="auto"/>
          <w:highlight w:val="none"/>
        </w:rPr>
      </w:pPr>
      <w:r>
        <w:rPr>
          <w:rFonts w:hint="eastAsia" w:hAnsi="宋体" w:cs="宋体"/>
          <w:color w:val="auto"/>
          <w:highlight w:val="none"/>
        </w:rPr>
        <w:t>④</w:t>
      </w:r>
      <w:r>
        <w:rPr>
          <w:rFonts w:hint="eastAsia" w:hAnsi="宋体"/>
          <w:color w:val="auto"/>
          <w:highlight w:val="none"/>
        </w:rPr>
        <w:t>磋商供应商2020年1月至2020年3月依法缴纳的 “中华人民共和国税收专用完税证明”复印件或电子缴税付款凭证复印件或税务征收机关出具的依法缴纳税收证明复印件</w:t>
      </w:r>
      <w:r>
        <w:rPr>
          <w:rFonts w:hint="eastAsia" w:hAnsi="宋体"/>
          <w:b/>
          <w:color w:val="auto"/>
          <w:highlight w:val="none"/>
        </w:rPr>
        <w:t>（必须提供，复印件加盖单位公章）</w:t>
      </w:r>
      <w:r>
        <w:rPr>
          <w:rFonts w:hint="eastAsia" w:hAnsi="宋体"/>
          <w:color w:val="auto"/>
          <w:highlight w:val="none"/>
        </w:rPr>
        <w:t>；</w:t>
      </w:r>
    </w:p>
    <w:p>
      <w:pPr>
        <w:pStyle w:val="14"/>
        <w:spacing w:line="440" w:lineRule="exact"/>
        <w:ind w:firstLine="420" w:firstLineChars="200"/>
        <w:rPr>
          <w:rFonts w:hAnsi="宋体"/>
          <w:color w:val="auto"/>
          <w:highlight w:val="none"/>
        </w:rPr>
      </w:pPr>
      <w:r>
        <w:rPr>
          <w:rFonts w:hint="eastAsia" w:hAnsi="宋体" w:cs="宋体"/>
          <w:color w:val="auto"/>
          <w:highlight w:val="none"/>
        </w:rPr>
        <w:t>⑤</w:t>
      </w:r>
      <w:r>
        <w:rPr>
          <w:rFonts w:hint="eastAsia" w:hAnsi="宋体"/>
          <w:color w:val="auto"/>
          <w:highlight w:val="none"/>
        </w:rPr>
        <w:t>磋商供应商2020年1月至2020年3月份在职在册员工依法缴纳的“社会保险基金专用收款收据”复印件或人力资源与社会保障局（社保中心或劳动监察部门）出具的依法缴纳社保证明复印件</w:t>
      </w:r>
      <w:r>
        <w:rPr>
          <w:rFonts w:hint="eastAsia" w:hAnsi="宋体"/>
          <w:b/>
          <w:color w:val="auto"/>
          <w:highlight w:val="none"/>
        </w:rPr>
        <w:t>（必须提供，复印件加盖单位公章）</w:t>
      </w:r>
      <w:r>
        <w:rPr>
          <w:rFonts w:hint="eastAsia" w:hAnsi="宋体"/>
          <w:color w:val="auto"/>
          <w:highlight w:val="none"/>
        </w:rPr>
        <w:t>；</w:t>
      </w:r>
    </w:p>
    <w:p>
      <w:pPr>
        <w:pStyle w:val="14"/>
        <w:spacing w:line="440" w:lineRule="exact"/>
        <w:ind w:firstLine="420" w:firstLineChars="200"/>
        <w:rPr>
          <w:rFonts w:hAnsi="宋体"/>
          <w:color w:val="auto"/>
          <w:highlight w:val="none"/>
        </w:rPr>
      </w:pPr>
      <w:r>
        <w:rPr>
          <w:rFonts w:hint="eastAsia" w:hAnsi="宋体" w:cs="宋体"/>
          <w:color w:val="auto"/>
          <w:highlight w:val="none"/>
        </w:rPr>
        <w:t>⑥</w:t>
      </w:r>
      <w:r>
        <w:rPr>
          <w:rFonts w:hint="eastAsia"/>
          <w:color w:val="auto"/>
          <w:highlight w:val="none"/>
        </w:rPr>
        <w:t>磋商供应商2018年度经审计的财务报告复印件（对于从取得营业执照时间起到投标截止时间为止不足要求年数的企业，只需提交企业取得营业执照年份至所要求最近年份经审计的财务报告）</w:t>
      </w:r>
      <w:r>
        <w:rPr>
          <w:rFonts w:hint="eastAsia" w:hAnsi="宋体"/>
          <w:b/>
          <w:color w:val="auto"/>
          <w:highlight w:val="none"/>
        </w:rPr>
        <w:t>（必须提供，复印件加盖单位公章）</w:t>
      </w:r>
      <w:r>
        <w:rPr>
          <w:rFonts w:hint="eastAsia" w:hAnsi="宋体"/>
          <w:color w:val="auto"/>
          <w:highlight w:val="none"/>
        </w:rPr>
        <w:t xml:space="preserve">； </w:t>
      </w:r>
    </w:p>
    <w:p>
      <w:pPr>
        <w:pStyle w:val="14"/>
        <w:spacing w:line="440" w:lineRule="exact"/>
        <w:ind w:firstLine="420" w:firstLineChars="200"/>
        <w:rPr>
          <w:rFonts w:hAnsi="宋体"/>
          <w:color w:val="auto"/>
          <w:highlight w:val="none"/>
        </w:rPr>
      </w:pPr>
      <w:r>
        <w:rPr>
          <w:rFonts w:hint="eastAsia" w:hAnsi="宋体"/>
          <w:color w:val="auto"/>
          <w:highlight w:val="none"/>
        </w:rPr>
        <w:t>⑦磋商供应商在“信用中国”网站(www.creditchina.gov.cn)、中国政府采购网(www.ccgp.gov.cn)等查询结果截图复印件；</w:t>
      </w:r>
      <w:r>
        <w:rPr>
          <w:rFonts w:hint="eastAsia" w:hAnsi="宋体"/>
          <w:b/>
          <w:color w:val="auto"/>
          <w:highlight w:val="none"/>
        </w:rPr>
        <w:t>（必须提供，加盖单位公章）。</w:t>
      </w:r>
    </w:p>
    <w:p>
      <w:pPr>
        <w:pStyle w:val="14"/>
        <w:spacing w:line="440" w:lineRule="exact"/>
        <w:ind w:firstLine="422" w:firstLineChars="200"/>
        <w:rPr>
          <w:rFonts w:hAnsi="宋体"/>
          <w:b/>
          <w:color w:val="auto"/>
          <w:highlight w:val="none"/>
        </w:rPr>
      </w:pPr>
      <w:r>
        <w:rPr>
          <w:rFonts w:hint="eastAsia" w:hAnsi="宋体"/>
          <w:b/>
          <w:color w:val="auto"/>
          <w:highlight w:val="none"/>
        </w:rPr>
        <w:t>6.6.</w:t>
      </w:r>
      <w:r>
        <w:rPr>
          <w:rFonts w:hAnsi="宋体"/>
          <w:b/>
          <w:color w:val="auto"/>
          <w:highlight w:val="none"/>
        </w:rPr>
        <w:t>2</w:t>
      </w:r>
      <w:r>
        <w:rPr>
          <w:rFonts w:hint="eastAsia" w:hAnsi="宋体"/>
          <w:b/>
          <w:color w:val="auto"/>
          <w:highlight w:val="none"/>
        </w:rPr>
        <w:t xml:space="preserve"> </w:t>
      </w:r>
      <w:r>
        <w:rPr>
          <w:rFonts w:hint="eastAsia"/>
          <w:b/>
          <w:color w:val="auto"/>
          <w:highlight w:val="none"/>
        </w:rPr>
        <w:t>报价文件</w:t>
      </w:r>
    </w:p>
    <w:p>
      <w:pPr>
        <w:pStyle w:val="14"/>
        <w:spacing w:line="440" w:lineRule="exact"/>
        <w:ind w:firstLine="420" w:firstLineChars="200"/>
        <w:rPr>
          <w:rFonts w:hAnsi="宋体"/>
          <w:bCs/>
          <w:color w:val="auto"/>
          <w:highlight w:val="none"/>
        </w:rPr>
      </w:pPr>
      <w:r>
        <w:rPr>
          <w:rFonts w:hint="eastAsia" w:hAnsi="宋体"/>
          <w:bCs/>
          <w:color w:val="auto"/>
          <w:highlight w:val="none"/>
        </w:rPr>
        <w:t>（1）磋商函</w:t>
      </w:r>
      <w:r>
        <w:rPr>
          <w:rFonts w:hint="eastAsia" w:hAnsi="宋体"/>
          <w:b/>
          <w:bCs/>
          <w:color w:val="auto"/>
          <w:highlight w:val="none"/>
        </w:rPr>
        <w:t>（必须提供）</w:t>
      </w:r>
      <w:r>
        <w:rPr>
          <w:rFonts w:hint="eastAsia" w:hAnsi="宋体"/>
          <w:bCs/>
          <w:color w:val="auto"/>
          <w:highlight w:val="none"/>
        </w:rPr>
        <w:t xml:space="preserve">； </w:t>
      </w:r>
    </w:p>
    <w:p>
      <w:pPr>
        <w:pStyle w:val="14"/>
        <w:spacing w:line="440" w:lineRule="exact"/>
        <w:ind w:firstLine="420" w:firstLineChars="200"/>
        <w:rPr>
          <w:rFonts w:hAnsi="宋体"/>
          <w:bCs/>
          <w:color w:val="auto"/>
          <w:highlight w:val="none"/>
        </w:rPr>
      </w:pPr>
      <w:r>
        <w:rPr>
          <w:rFonts w:hint="eastAsia" w:hAnsi="宋体"/>
          <w:bCs/>
          <w:color w:val="auto"/>
          <w:highlight w:val="none"/>
        </w:rPr>
        <w:t>（2）磋商函附录</w:t>
      </w:r>
      <w:r>
        <w:rPr>
          <w:rFonts w:hint="eastAsia" w:hAnsi="宋体"/>
          <w:b/>
          <w:bCs/>
          <w:color w:val="auto"/>
          <w:highlight w:val="none"/>
        </w:rPr>
        <w:t>（必须提供）</w:t>
      </w:r>
      <w:r>
        <w:rPr>
          <w:rFonts w:hint="eastAsia" w:hAnsi="宋体"/>
          <w:bCs/>
          <w:color w:val="auto"/>
          <w:highlight w:val="none"/>
        </w:rPr>
        <w:t>；</w:t>
      </w:r>
    </w:p>
    <w:p>
      <w:pPr>
        <w:pStyle w:val="14"/>
        <w:spacing w:line="440" w:lineRule="exact"/>
        <w:ind w:firstLine="420" w:firstLineChars="200"/>
        <w:rPr>
          <w:rFonts w:hAnsi="宋体"/>
          <w:color w:val="auto"/>
          <w:highlight w:val="none"/>
        </w:rPr>
      </w:pPr>
      <w:r>
        <w:rPr>
          <w:rFonts w:hint="eastAsia" w:hAnsi="宋体"/>
          <w:bCs/>
          <w:color w:val="auto"/>
          <w:highlight w:val="none"/>
        </w:rPr>
        <w:t>（3）磋商报价明细表</w:t>
      </w:r>
      <w:r>
        <w:rPr>
          <w:rFonts w:hint="eastAsia" w:hAnsi="宋体"/>
          <w:b/>
          <w:bCs/>
          <w:color w:val="auto"/>
          <w:highlight w:val="none"/>
        </w:rPr>
        <w:t>（必须提供）</w:t>
      </w:r>
      <w:r>
        <w:rPr>
          <w:rFonts w:hint="eastAsia" w:hAnsi="宋体"/>
          <w:bCs/>
          <w:color w:val="auto"/>
          <w:highlight w:val="none"/>
        </w:rPr>
        <w:t>；</w:t>
      </w:r>
      <w:r>
        <w:rPr>
          <w:rFonts w:hint="eastAsia" w:hAnsi="宋体"/>
          <w:color w:val="auto"/>
          <w:highlight w:val="none"/>
        </w:rPr>
        <w:t xml:space="preserve"> </w:t>
      </w:r>
    </w:p>
    <w:p>
      <w:pPr>
        <w:pStyle w:val="14"/>
        <w:spacing w:line="440" w:lineRule="exact"/>
        <w:ind w:firstLine="42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）磋商供应商针对报价需要说明的其他文件和说明（比如中小企业声明函</w:t>
      </w:r>
      <w:r>
        <w:rPr>
          <w:rFonts w:hAnsi="宋体"/>
          <w:color w:val="auto"/>
          <w:highlight w:val="none"/>
        </w:rPr>
        <w:t>等</w:t>
      </w:r>
      <w:r>
        <w:rPr>
          <w:rFonts w:hint="eastAsia" w:hAnsi="宋体"/>
          <w:color w:val="auto"/>
          <w:highlight w:val="none"/>
        </w:rPr>
        <w:t>，</w:t>
      </w:r>
      <w:r>
        <w:rPr>
          <w:rFonts w:hAnsi="宋体"/>
          <w:color w:val="auto"/>
          <w:highlight w:val="none"/>
        </w:rPr>
        <w:t>如有</w:t>
      </w:r>
      <w:r>
        <w:rPr>
          <w:rFonts w:hint="eastAsia" w:hAnsi="宋体"/>
          <w:color w:val="auto"/>
          <w:highlight w:val="none"/>
        </w:rPr>
        <w:t>请</w:t>
      </w:r>
      <w:r>
        <w:rPr>
          <w:rFonts w:hAnsi="宋体"/>
          <w:color w:val="auto"/>
          <w:highlight w:val="none"/>
        </w:rPr>
        <w:t>提供</w:t>
      </w:r>
      <w:r>
        <w:rPr>
          <w:rFonts w:hint="eastAsia" w:hAnsi="宋体"/>
          <w:color w:val="auto"/>
          <w:highlight w:val="none"/>
        </w:rPr>
        <w:t>）。</w:t>
      </w:r>
    </w:p>
    <w:p>
      <w:pPr>
        <w:pStyle w:val="14"/>
        <w:spacing w:line="440" w:lineRule="exact"/>
        <w:ind w:firstLine="422" w:firstLineChars="200"/>
        <w:rPr>
          <w:rFonts w:hint="eastAsia" w:hAnsi="宋体"/>
          <w:b/>
          <w:color w:val="auto"/>
          <w:highlight w:val="none"/>
        </w:rPr>
      </w:pPr>
    </w:p>
    <w:p>
      <w:pPr>
        <w:pStyle w:val="14"/>
        <w:spacing w:line="440" w:lineRule="exact"/>
        <w:ind w:firstLine="422" w:firstLineChars="200"/>
        <w:rPr>
          <w:rFonts w:hAnsi="宋体"/>
          <w:color w:val="auto"/>
          <w:highlight w:val="none"/>
        </w:rPr>
      </w:pPr>
      <w:r>
        <w:rPr>
          <w:rFonts w:hint="eastAsia" w:hAnsi="宋体"/>
          <w:b/>
          <w:color w:val="auto"/>
          <w:highlight w:val="none"/>
        </w:rPr>
        <w:t xml:space="preserve">6.6.3商务技术文件 </w:t>
      </w:r>
    </w:p>
    <w:p>
      <w:pPr>
        <w:pStyle w:val="14"/>
        <w:numPr>
          <w:ilvl w:val="0"/>
          <w:numId w:val="4"/>
        </w:numPr>
        <w:spacing w:line="440" w:lineRule="exact"/>
        <w:ind w:firstLine="420"/>
        <w:rPr>
          <w:rFonts w:hAnsi="宋体"/>
          <w:color w:val="auto"/>
          <w:highlight w:val="none"/>
        </w:rPr>
      </w:pPr>
      <w:r>
        <w:rPr>
          <w:rFonts w:hint="eastAsia" w:hAnsi="宋体"/>
          <w:color w:val="auto"/>
          <w:highlight w:val="none"/>
        </w:rPr>
        <w:t>企业情况；</w:t>
      </w:r>
    </w:p>
    <w:p>
      <w:pPr>
        <w:pStyle w:val="14"/>
        <w:numPr>
          <w:ilvl w:val="0"/>
          <w:numId w:val="4"/>
        </w:numPr>
        <w:spacing w:line="440" w:lineRule="exact"/>
        <w:ind w:firstLine="420"/>
        <w:rPr>
          <w:rFonts w:hAnsi="宋体"/>
          <w:color w:val="auto"/>
          <w:highlight w:val="none"/>
        </w:rPr>
      </w:pPr>
      <w:r>
        <w:rPr>
          <w:rFonts w:hint="eastAsia" w:hAnsi="宋体"/>
          <w:color w:val="auto"/>
          <w:highlight w:val="none"/>
        </w:rPr>
        <w:t>技术响应表</w:t>
      </w:r>
      <w:r>
        <w:rPr>
          <w:rFonts w:hint="eastAsia" w:hAnsi="宋体"/>
          <w:b/>
          <w:bCs/>
          <w:color w:val="auto"/>
          <w:highlight w:val="none"/>
        </w:rPr>
        <w:t>（必须提供）；</w:t>
      </w:r>
    </w:p>
    <w:p>
      <w:pPr>
        <w:pStyle w:val="14"/>
        <w:spacing w:line="440" w:lineRule="exact"/>
        <w:ind w:firstLine="420"/>
        <w:rPr>
          <w:rFonts w:hAnsi="宋体"/>
          <w:color w:val="auto"/>
          <w:highlight w:val="none"/>
        </w:rPr>
      </w:pPr>
      <w:r>
        <w:rPr>
          <w:rFonts w:hint="eastAsia" w:hAnsi="宋体"/>
          <w:color w:val="auto"/>
          <w:highlight w:val="none"/>
        </w:rPr>
        <w:t>（3）项目实施方案（为磋商供应商完成货物供应、安装、调试等各项工作所采取管理措施、组织措施和保障措施等等，由磋商供应商自行编写）；（格式自拟，</w:t>
      </w:r>
      <w:r>
        <w:rPr>
          <w:rFonts w:hAnsi="宋体"/>
          <w:color w:val="auto"/>
          <w:highlight w:val="none"/>
        </w:rPr>
        <w:t>必须提供</w:t>
      </w:r>
      <w:r>
        <w:rPr>
          <w:rFonts w:hint="eastAsia" w:hAnsi="宋体"/>
          <w:color w:val="auto"/>
          <w:highlight w:val="none"/>
        </w:rPr>
        <w:t>）</w:t>
      </w:r>
    </w:p>
    <w:p>
      <w:pPr>
        <w:pStyle w:val="14"/>
        <w:spacing w:line="440" w:lineRule="exact"/>
        <w:ind w:firstLine="420"/>
        <w:rPr>
          <w:rFonts w:hAnsi="宋体"/>
          <w:color w:val="auto"/>
          <w:highlight w:val="none"/>
        </w:rPr>
      </w:pPr>
      <w:r>
        <w:rPr>
          <w:rFonts w:hint="eastAsia" w:hAnsi="宋体"/>
          <w:color w:val="auto"/>
          <w:highlight w:val="none"/>
        </w:rPr>
        <w:t>（4）售后服务方案；（格式自拟，</w:t>
      </w:r>
      <w:r>
        <w:rPr>
          <w:rFonts w:hAnsi="宋体"/>
          <w:color w:val="auto"/>
          <w:highlight w:val="none"/>
        </w:rPr>
        <w:t>必须提供</w:t>
      </w:r>
      <w:r>
        <w:rPr>
          <w:rFonts w:hint="eastAsia" w:hAnsi="宋体"/>
          <w:color w:val="auto"/>
          <w:highlight w:val="none"/>
        </w:rPr>
        <w:t>）</w:t>
      </w:r>
    </w:p>
    <w:p>
      <w:pPr>
        <w:pStyle w:val="14"/>
        <w:spacing w:line="440" w:lineRule="exact"/>
        <w:ind w:firstLine="420"/>
        <w:rPr>
          <w:rFonts w:hAnsi="宋体"/>
          <w:color w:val="auto"/>
          <w:highlight w:val="none"/>
        </w:rPr>
      </w:pPr>
      <w:r>
        <w:rPr>
          <w:rFonts w:hint="eastAsia" w:hAnsi="宋体"/>
          <w:color w:val="auto"/>
          <w:highlight w:val="none"/>
        </w:rPr>
        <w:t>（5）其它文件及资料（信誉、业绩等证明文件）。</w:t>
      </w:r>
    </w:p>
    <w:p>
      <w:pPr>
        <w:pStyle w:val="14"/>
        <w:spacing w:line="440" w:lineRule="exact"/>
        <w:ind w:firstLine="422" w:firstLineChars="200"/>
        <w:rPr>
          <w:rFonts w:hAnsi="宋体"/>
          <w:b/>
          <w:color w:val="auto"/>
          <w:highlight w:val="none"/>
        </w:rPr>
      </w:pPr>
      <w:r>
        <w:rPr>
          <w:rFonts w:hint="eastAsia" w:hAnsi="宋体"/>
          <w:b/>
          <w:color w:val="auto"/>
          <w:highlight w:val="none"/>
        </w:rPr>
        <w:t>6.6.4 供应商认为必要提供的证明其满足本项目竞标资格的声明或其他文件资料。</w:t>
      </w:r>
    </w:p>
    <w:p>
      <w:pPr>
        <w:pStyle w:val="14"/>
        <w:spacing w:line="440" w:lineRule="exact"/>
        <w:ind w:firstLine="482" w:firstLineChars="200"/>
        <w:rPr>
          <w:rFonts w:hAnsi="宋体"/>
          <w:b/>
          <w:color w:val="auto"/>
          <w:highlight w:val="none"/>
        </w:rPr>
      </w:pPr>
      <w:r>
        <w:rPr>
          <w:rFonts w:hint="eastAsia"/>
          <w:b/>
          <w:color w:val="auto"/>
          <w:sz w:val="24"/>
          <w:highlight w:val="none"/>
        </w:rPr>
        <w:t>说明：以上标注有“必须提供”的事项，磋商供应商必须提供，否则资格评审或响应性评审将被否决。</w:t>
      </w:r>
    </w:p>
    <w:p>
      <w:pPr>
        <w:pStyle w:val="14"/>
        <w:spacing w:line="440" w:lineRule="exact"/>
        <w:ind w:firstLine="420" w:firstLineChars="200"/>
        <w:rPr>
          <w:color w:val="auto"/>
          <w:highlight w:val="none"/>
        </w:rPr>
      </w:pPr>
      <w:r>
        <w:rPr>
          <w:rFonts w:hint="eastAsia"/>
          <w:color w:val="auto"/>
          <w:highlight w:val="none"/>
        </w:rPr>
        <w:t>6.7响应文件有效期：60日历日。在原定磋商有效期满之前，如果出现特殊情况，经贵港市港北区财政局政府采购监督管理股核准，采购人可以书面形式向谈判供应商提出延长竞争性磋商有效期的要求。磋商供应商须以书面形式予以答复，磋商供应商可以拒绝这种要求而不被没收磋商保证金。同意延长磋商有效期的磋商供应商不允许修改其竞争性磋商响应文件，但需要相应地延长磋商保证金的有效期，在延长期内本须知有关规定仍然适用。</w:t>
      </w:r>
    </w:p>
    <w:p>
      <w:pPr>
        <w:spacing w:line="500" w:lineRule="exact"/>
        <w:rPr>
          <w:rFonts w:ascii="宋体"/>
          <w:color w:val="auto"/>
          <w:szCs w:val="21"/>
          <w:highlight w:val="none"/>
        </w:rPr>
      </w:pPr>
      <w:r>
        <w:rPr>
          <w:rFonts w:hint="eastAsia" w:ascii="宋体"/>
          <w:color w:val="auto"/>
          <w:szCs w:val="21"/>
          <w:highlight w:val="none"/>
        </w:rPr>
        <w:t>7. 计量单位</w:t>
      </w:r>
    </w:p>
    <w:p>
      <w:pPr>
        <w:pStyle w:val="14"/>
        <w:spacing w:line="440" w:lineRule="exact"/>
        <w:ind w:firstLine="420" w:firstLineChars="200"/>
        <w:rPr>
          <w:color w:val="auto"/>
          <w:highlight w:val="none"/>
        </w:rPr>
      </w:pPr>
      <w:r>
        <w:rPr>
          <w:rFonts w:hint="eastAsia"/>
          <w:color w:val="auto"/>
          <w:highlight w:val="none"/>
        </w:rPr>
        <w:t>7.1除技术要求中另有规定外，本文件所要求使用的计量单位均应采用国家法定计量单位。</w:t>
      </w:r>
    </w:p>
    <w:p>
      <w:pPr>
        <w:spacing w:line="500" w:lineRule="exact"/>
        <w:rPr>
          <w:rFonts w:ascii="宋体" w:hAnsi="宋体" w:cs="宋体"/>
          <w:color w:val="auto"/>
          <w:szCs w:val="21"/>
          <w:highlight w:val="none"/>
        </w:rPr>
      </w:pPr>
      <w:bookmarkStart w:id="5" w:name="_Toc254970532"/>
      <w:bookmarkStart w:id="6" w:name="_Toc254970673"/>
      <w:r>
        <w:rPr>
          <w:rFonts w:hint="eastAsia" w:ascii="宋体"/>
          <w:color w:val="auto"/>
          <w:szCs w:val="21"/>
          <w:highlight w:val="none"/>
        </w:rPr>
        <w:t>特别说明</w:t>
      </w:r>
      <w:r>
        <w:rPr>
          <w:rFonts w:hint="eastAsia" w:ascii="宋体" w:hAnsi="宋体" w:cs="宋体"/>
          <w:color w:val="auto"/>
          <w:szCs w:val="21"/>
          <w:highlight w:val="none"/>
        </w:rPr>
        <w:t>：</w:t>
      </w:r>
      <w:bookmarkEnd w:id="5"/>
      <w:bookmarkEnd w:id="6"/>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1、磋商单位投标所使用的资格、信誉、荣誉、业绩与企业认证必须为本法人所拥有。</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、磋商单位应仔细阅读招标文件的所有内容，按照招标文件的要求提交响应文件，并对所提供的全部资料的真实性承担法律责任。</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磋商单位在采购活动中提供任何虚假材料,其投标无效，并报监管部门查处；成交后发现的,成交供应商须依照《中华人民共和国消费者权益保护法》规定赔偿采购人，且民事赔偿并不免除违法磋商单位的行政与刑事责任。</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、在政府采购活动中，采购人员及相关人员与投标人有下列利害关系之一的，应当回避：</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（1）参加采购活动前3年内与投标人存在劳动关系；</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（2）参加采购活动前3年内担任投标人的董事、监事；</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（3）参加采购活动前3年内是投标人的控股股东或者实际控制人；</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（4）与投标人的法定代表人或者负责人有夫妻、直系血亲、三代以内旁系血亲或者近姻亲关系；</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（5）与投标人有其他可能影响政府采购活动公平、公正进行的关系。</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磋商单位认为采购人员及相关人员与其他磋商单位有利害关系的，可以向采购人或者采购代理机构书面提出回避申请，并说明理由。采购人或者采购代理机构应当及时询问被申请回避人员，有利害关系的被申请回避人员应当回避。 </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、有下列情形之一的视为投标人相互串通投标，磋商响应文件将被视为无效：</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（1）不同投标人的投标文件由同一单位或者个人编制；或不同投标人报名的IP地址一致的；</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（4）不同投标人的投标文件异常一致或投标报价呈规律性差异；</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、供应商有下列情形之一的，属于恶意串通行为，磋商响应文件视为无效：</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（1）供应商直接或者间接从采购人或者采购代理机构处获得其他供应商的相关信息并修改其投标文件或者响应文件：</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（2）供应商按照采购人或者采购代理机构的授意撤换、修改投标文件或者响应文件；</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（3）供应商之间协商报价、技术方案等投标文件或者响应文件的实质性内容；</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pPr>
        <w:snapToGrid w:val="0"/>
        <w:spacing w:line="380" w:lineRule="exact"/>
        <w:ind w:firstLine="420"/>
        <w:jc w:val="left"/>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、关联供应商不得参加同一合同项下政府采购活动，否则投标文件将被视为无效：</w:t>
      </w:r>
    </w:p>
    <w:p>
      <w:pPr>
        <w:pStyle w:val="14"/>
        <w:spacing w:line="440" w:lineRule="exact"/>
        <w:rPr>
          <w:color w:val="auto"/>
          <w:highlight w:val="none"/>
        </w:rPr>
      </w:pPr>
      <w:r>
        <w:rPr>
          <w:rFonts w:hint="eastAsia" w:hAnsi="宋体" w:cs="宋体"/>
          <w:color w:val="auto"/>
          <w:highlight w:val="none"/>
        </w:rPr>
        <w:t>（1）单位负责人为同一人或者存在直接控股、管理关系的不同的供应商，不得参加同一合同项下的政府采购活动。</w:t>
      </w:r>
    </w:p>
    <w:p>
      <w:pPr>
        <w:spacing w:line="500" w:lineRule="exact"/>
        <w:rPr>
          <w:rFonts w:ascii="宋体"/>
          <w:b/>
          <w:color w:val="auto"/>
          <w:szCs w:val="21"/>
          <w:highlight w:val="none"/>
        </w:rPr>
      </w:pPr>
      <w:r>
        <w:rPr>
          <w:rFonts w:hint="eastAsia" w:ascii="宋体"/>
          <w:b/>
          <w:color w:val="auto"/>
          <w:szCs w:val="21"/>
          <w:highlight w:val="none"/>
        </w:rPr>
        <w:t>三、磋商报价及采购预算</w:t>
      </w:r>
    </w:p>
    <w:p>
      <w:pPr>
        <w:pStyle w:val="14"/>
        <w:spacing w:line="440" w:lineRule="exact"/>
        <w:ind w:firstLine="420" w:firstLineChars="200"/>
        <w:rPr>
          <w:color w:val="auto"/>
          <w:highlight w:val="none"/>
        </w:rPr>
      </w:pPr>
      <w:r>
        <w:rPr>
          <w:rFonts w:hint="eastAsia"/>
          <w:color w:val="auto"/>
          <w:highlight w:val="none"/>
        </w:rPr>
        <w:t>8.1对于本文件中未列明，而供应商认为必需的费用也需列入总报价。在合同实施时，采购人将不予支付成交供应商没有列入的项目费用，并认为此项目的费用已包括在总报价中。</w:t>
      </w:r>
    </w:p>
    <w:p>
      <w:pPr>
        <w:pStyle w:val="14"/>
        <w:spacing w:line="440" w:lineRule="exact"/>
        <w:ind w:firstLine="420" w:firstLineChars="200"/>
        <w:rPr>
          <w:color w:val="auto"/>
          <w:highlight w:val="none"/>
        </w:rPr>
      </w:pPr>
      <w:r>
        <w:rPr>
          <w:rFonts w:hint="eastAsia"/>
          <w:color w:val="auto"/>
          <w:highlight w:val="none"/>
        </w:rPr>
        <w:t>8.2供应商必须就所磋商的采购项目的全部内容作完整唯一报价，漏项报价的或有选择的或有条件的报价，其竞标将视为无效。</w:t>
      </w:r>
    </w:p>
    <w:p>
      <w:pPr>
        <w:pStyle w:val="14"/>
        <w:spacing w:line="440" w:lineRule="exact"/>
        <w:ind w:firstLine="420" w:firstLineChars="200"/>
        <w:rPr>
          <w:color w:val="auto"/>
          <w:highlight w:val="none"/>
        </w:rPr>
      </w:pPr>
      <w:r>
        <w:rPr>
          <w:rFonts w:hint="eastAsia"/>
          <w:color w:val="auto"/>
          <w:highlight w:val="none"/>
        </w:rPr>
        <w:t>8.3本项目竞标报价是履行合同的最终价格，包括：（1）货物的价格；（2）货物的标准附件、备品备件、专用工具的价格；（3）运输、装卸、调试、技术支持、售后服务等费用；（4）必要的保险费用和各项税费；（5）安装、开展培训（含教材费、场地租用费）、临时放置仓库保管费、货物看守人员工资、押送人员工资、送货上门的费用；（6）到使用单位进行现场验收的费用等一切可能发生的税金和费用。</w:t>
      </w:r>
    </w:p>
    <w:p>
      <w:pPr>
        <w:pStyle w:val="14"/>
        <w:spacing w:line="440" w:lineRule="exact"/>
        <w:rPr>
          <w:color w:val="auto"/>
          <w:highlight w:val="none"/>
        </w:rPr>
      </w:pPr>
    </w:p>
    <w:p>
      <w:pPr>
        <w:spacing w:line="500" w:lineRule="exact"/>
        <w:rPr>
          <w:rFonts w:ascii="宋体"/>
          <w:b/>
          <w:color w:val="auto"/>
          <w:szCs w:val="21"/>
          <w:highlight w:val="none"/>
        </w:rPr>
      </w:pPr>
      <w:r>
        <w:rPr>
          <w:rFonts w:hint="eastAsia" w:ascii="宋体"/>
          <w:b/>
          <w:color w:val="auto"/>
          <w:szCs w:val="21"/>
          <w:highlight w:val="none"/>
        </w:rPr>
        <w:t>四、响应文件的份数、封装和递交</w:t>
      </w:r>
    </w:p>
    <w:p>
      <w:pPr>
        <w:spacing w:line="500" w:lineRule="exact"/>
        <w:ind w:left="420" w:hanging="420"/>
        <w:rPr>
          <w:rFonts w:ascii="宋体"/>
          <w:color w:val="auto"/>
          <w:szCs w:val="21"/>
          <w:highlight w:val="none"/>
        </w:rPr>
      </w:pPr>
      <w:r>
        <w:rPr>
          <w:rFonts w:hint="eastAsia" w:ascii="宋体"/>
          <w:color w:val="auto"/>
          <w:szCs w:val="21"/>
          <w:highlight w:val="none"/>
        </w:rPr>
        <w:t>9. 磋商响应文件的份数和封装</w:t>
      </w:r>
    </w:p>
    <w:p>
      <w:pPr>
        <w:pStyle w:val="14"/>
        <w:spacing w:line="440" w:lineRule="exact"/>
        <w:ind w:firstLine="420" w:firstLineChars="200"/>
        <w:rPr>
          <w:color w:val="auto"/>
          <w:highlight w:val="none"/>
        </w:rPr>
      </w:pPr>
      <w:r>
        <w:rPr>
          <w:rFonts w:hint="eastAsia"/>
          <w:color w:val="auto"/>
          <w:highlight w:val="none"/>
        </w:rPr>
        <w:t>9.1供应商应将竞争性磋商响应文件分册装订，共分3 册，分别为：“资格证明文件”、“报价文件”和“商务技术文件”。磋商响应文件每册装订应牢固、不易拆散和换页，不得采用活页装订。</w:t>
      </w:r>
    </w:p>
    <w:p>
      <w:pPr>
        <w:pStyle w:val="14"/>
        <w:spacing w:line="440" w:lineRule="exact"/>
        <w:ind w:firstLine="420" w:firstLineChars="200"/>
        <w:rPr>
          <w:color w:val="auto"/>
          <w:highlight w:val="none"/>
        </w:rPr>
      </w:pPr>
      <w:r>
        <w:rPr>
          <w:rFonts w:hint="eastAsia"/>
          <w:color w:val="auto"/>
          <w:highlight w:val="none"/>
        </w:rPr>
        <w:t xml:space="preserve">供应商将竞争性磋商响应文件按正、副本分别装订成册，副本可以采用正本的复印件。在每个正、副本封面上标明“正本”或“副本”，以及项目名称、项目编号、供应商名称等内容。 </w:t>
      </w:r>
    </w:p>
    <w:p>
      <w:pPr>
        <w:pStyle w:val="14"/>
        <w:spacing w:line="440" w:lineRule="exact"/>
        <w:ind w:firstLine="420" w:firstLineChars="200"/>
        <w:rPr>
          <w:color w:val="auto"/>
          <w:highlight w:val="none"/>
        </w:rPr>
      </w:pPr>
      <w:r>
        <w:rPr>
          <w:rFonts w:hint="eastAsia"/>
          <w:color w:val="auto"/>
          <w:highlight w:val="none"/>
        </w:rPr>
        <w:t>9.2供应商应将所有竞争性磋商响应文件正、副本（正本一套，副本三套）装入到一个竞争性磋商响应文件袋内，</w:t>
      </w:r>
      <w:r>
        <w:rPr>
          <w:rFonts w:hint="eastAsia" w:hAnsi="宋体"/>
          <w:color w:val="auto"/>
          <w:highlight w:val="none"/>
        </w:rPr>
        <w:t>所有封贴处必须密封后签字【</w:t>
      </w:r>
      <w:r>
        <w:rPr>
          <w:rFonts w:hint="eastAsia"/>
          <w:color w:val="auto"/>
          <w:highlight w:val="none"/>
        </w:rPr>
        <w:t>法定代表人或其委托代理人签字均可</w:t>
      </w:r>
      <w:r>
        <w:rPr>
          <w:rFonts w:hint="eastAsia" w:hAnsi="宋体"/>
          <w:color w:val="auto"/>
          <w:highlight w:val="none"/>
        </w:rPr>
        <w:t>，当为代理人签字时由代理人随身携带授权书原件以备核验，</w:t>
      </w:r>
      <w:r>
        <w:rPr>
          <w:rFonts w:hint="eastAsia"/>
          <w:color w:val="auto"/>
          <w:highlight w:val="none"/>
        </w:rPr>
        <w:t>要求文件袋无明显缝隙露出袋内文件</w:t>
      </w:r>
      <w:r>
        <w:rPr>
          <w:rFonts w:hint="eastAsia" w:hAnsi="宋体"/>
          <w:color w:val="auto"/>
          <w:highlight w:val="none"/>
        </w:rPr>
        <w:t>】并加盖单位公章或密封章</w:t>
      </w:r>
      <w:r>
        <w:rPr>
          <w:rFonts w:hint="eastAsia" w:hAnsi="宋体"/>
          <w:bCs/>
          <w:color w:val="auto"/>
          <w:highlight w:val="none"/>
        </w:rPr>
        <w:t>。</w:t>
      </w:r>
    </w:p>
    <w:p>
      <w:pPr>
        <w:pStyle w:val="14"/>
        <w:spacing w:line="440" w:lineRule="exact"/>
        <w:ind w:firstLine="420" w:firstLineChars="200"/>
        <w:rPr>
          <w:color w:val="auto"/>
          <w:highlight w:val="none"/>
        </w:rPr>
      </w:pPr>
      <w:r>
        <w:rPr>
          <w:rFonts w:hint="eastAsia"/>
          <w:color w:val="auto"/>
          <w:highlight w:val="none"/>
        </w:rPr>
        <w:t>文件袋外层封面上应写明：</w:t>
      </w:r>
    </w:p>
    <w:p>
      <w:pPr>
        <w:spacing w:line="460" w:lineRule="exact"/>
        <w:ind w:firstLine="420" w:firstLineChars="200"/>
        <w:rPr>
          <w:rFonts w:ascii="宋体"/>
          <w:color w:val="auto"/>
          <w:szCs w:val="21"/>
          <w:highlight w:val="none"/>
        </w:rPr>
      </w:pPr>
      <w:r>
        <w:rPr>
          <w:rFonts w:hint="eastAsia" w:ascii="宋体"/>
          <w:color w:val="auto"/>
          <w:szCs w:val="21"/>
          <w:highlight w:val="none"/>
        </w:rPr>
        <w:t>1）项目编号；</w:t>
      </w:r>
    </w:p>
    <w:p>
      <w:pPr>
        <w:spacing w:line="460" w:lineRule="exact"/>
        <w:ind w:firstLine="420" w:firstLineChars="200"/>
        <w:rPr>
          <w:rFonts w:ascii="宋体"/>
          <w:color w:val="auto"/>
          <w:szCs w:val="21"/>
          <w:highlight w:val="none"/>
        </w:rPr>
      </w:pPr>
      <w:r>
        <w:rPr>
          <w:rFonts w:hint="eastAsia" w:ascii="宋体"/>
          <w:color w:val="auto"/>
          <w:szCs w:val="21"/>
          <w:highlight w:val="none"/>
        </w:rPr>
        <w:t>2）项目名称；</w:t>
      </w:r>
    </w:p>
    <w:p>
      <w:pPr>
        <w:spacing w:line="460" w:lineRule="exact"/>
        <w:ind w:firstLine="420" w:firstLineChars="200"/>
        <w:rPr>
          <w:rFonts w:ascii="宋体"/>
          <w:color w:val="auto"/>
          <w:szCs w:val="21"/>
          <w:highlight w:val="none"/>
        </w:rPr>
      </w:pPr>
      <w:r>
        <w:rPr>
          <w:rFonts w:hint="eastAsia" w:ascii="宋体"/>
          <w:color w:val="auto"/>
          <w:szCs w:val="21"/>
          <w:highlight w:val="none"/>
        </w:rPr>
        <w:t>3）供应商名称；</w:t>
      </w:r>
    </w:p>
    <w:p>
      <w:pPr>
        <w:spacing w:line="460" w:lineRule="exact"/>
        <w:ind w:left="420"/>
        <w:rPr>
          <w:rFonts w:ascii="宋体"/>
          <w:color w:val="auto"/>
          <w:szCs w:val="21"/>
          <w:highlight w:val="none"/>
        </w:rPr>
      </w:pPr>
      <w:r>
        <w:rPr>
          <w:rFonts w:hint="eastAsia" w:ascii="宋体"/>
          <w:bCs/>
          <w:color w:val="auto"/>
          <w:szCs w:val="21"/>
          <w:highlight w:val="none"/>
        </w:rPr>
        <w:t>4）本项目截标前不能启封。</w:t>
      </w:r>
    </w:p>
    <w:p>
      <w:pPr>
        <w:spacing w:line="500" w:lineRule="exact"/>
        <w:rPr>
          <w:rFonts w:ascii="宋体"/>
          <w:color w:val="auto"/>
          <w:szCs w:val="21"/>
          <w:highlight w:val="none"/>
        </w:rPr>
      </w:pPr>
      <w:r>
        <w:rPr>
          <w:rFonts w:hint="eastAsia" w:ascii="宋体"/>
          <w:color w:val="auto"/>
          <w:szCs w:val="21"/>
          <w:highlight w:val="none"/>
        </w:rPr>
        <w:t>10. 响应文件的递交</w:t>
      </w:r>
    </w:p>
    <w:p>
      <w:pPr>
        <w:pStyle w:val="14"/>
        <w:spacing w:line="440" w:lineRule="exact"/>
        <w:ind w:firstLine="420" w:firstLineChars="200"/>
        <w:rPr>
          <w:color w:val="auto"/>
          <w:highlight w:val="none"/>
        </w:rPr>
      </w:pPr>
      <w:r>
        <w:rPr>
          <w:rFonts w:hint="eastAsia"/>
          <w:color w:val="auto"/>
          <w:highlight w:val="none"/>
        </w:rPr>
        <w:t>10.1响应文件递交截止时间：见磋商须知前附表。</w:t>
      </w:r>
    </w:p>
    <w:p>
      <w:pPr>
        <w:pStyle w:val="14"/>
        <w:spacing w:line="440" w:lineRule="exact"/>
        <w:ind w:firstLine="420" w:firstLineChars="200"/>
        <w:rPr>
          <w:color w:val="auto"/>
          <w:highlight w:val="none"/>
        </w:rPr>
      </w:pPr>
      <w:r>
        <w:rPr>
          <w:rFonts w:hint="eastAsia"/>
          <w:color w:val="auto"/>
          <w:highlight w:val="none"/>
        </w:rPr>
        <w:t>磋商时间：见磋商须知前附表。</w:t>
      </w:r>
    </w:p>
    <w:p>
      <w:pPr>
        <w:pStyle w:val="14"/>
        <w:spacing w:line="440" w:lineRule="exact"/>
        <w:ind w:firstLine="420" w:firstLineChars="200"/>
        <w:rPr>
          <w:color w:val="auto"/>
          <w:highlight w:val="none"/>
        </w:rPr>
      </w:pPr>
      <w:r>
        <w:rPr>
          <w:rFonts w:hint="eastAsia"/>
          <w:color w:val="auto"/>
          <w:highlight w:val="none"/>
        </w:rPr>
        <w:t>供应商应按竞争性磋商文件中规定的磋商截止时间前递交响应文件。</w:t>
      </w:r>
    </w:p>
    <w:p>
      <w:pPr>
        <w:pStyle w:val="14"/>
        <w:spacing w:line="440" w:lineRule="exact"/>
        <w:ind w:firstLine="420" w:firstLineChars="200"/>
        <w:rPr>
          <w:color w:val="auto"/>
          <w:highlight w:val="none"/>
        </w:rPr>
      </w:pPr>
      <w:r>
        <w:rPr>
          <w:rFonts w:hint="eastAsia"/>
          <w:color w:val="auto"/>
          <w:highlight w:val="none"/>
        </w:rPr>
        <w:t>10.2供应商递交响应文件的地点：见磋商须知前附表。</w:t>
      </w:r>
    </w:p>
    <w:p>
      <w:pPr>
        <w:pStyle w:val="14"/>
        <w:spacing w:line="440" w:lineRule="exact"/>
        <w:ind w:firstLine="420" w:firstLineChars="200"/>
        <w:rPr>
          <w:color w:val="auto"/>
          <w:highlight w:val="none"/>
        </w:rPr>
      </w:pPr>
      <w:r>
        <w:rPr>
          <w:rFonts w:hint="eastAsia"/>
          <w:color w:val="auto"/>
          <w:highlight w:val="none"/>
        </w:rPr>
        <w:t>10.3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4"/>
        <w:spacing w:line="440" w:lineRule="exact"/>
        <w:ind w:firstLine="420" w:firstLineChars="200"/>
        <w:rPr>
          <w:color w:val="auto"/>
          <w:highlight w:val="none"/>
        </w:rPr>
      </w:pPr>
      <w:r>
        <w:rPr>
          <w:rFonts w:hint="eastAsia"/>
          <w:color w:val="auto"/>
          <w:highlight w:val="none"/>
        </w:rPr>
        <w:t>10.4迟交的响应文件</w:t>
      </w:r>
    </w:p>
    <w:p>
      <w:pPr>
        <w:spacing w:line="500" w:lineRule="exact"/>
        <w:ind w:firstLine="420" w:firstLineChars="200"/>
        <w:rPr>
          <w:rFonts w:ascii="宋体"/>
          <w:color w:val="auto"/>
          <w:szCs w:val="21"/>
          <w:highlight w:val="none"/>
        </w:rPr>
      </w:pPr>
      <w:r>
        <w:rPr>
          <w:rFonts w:hint="eastAsia" w:ascii="宋体"/>
          <w:color w:val="auto"/>
          <w:szCs w:val="21"/>
          <w:highlight w:val="none"/>
        </w:rPr>
        <w:t>采购人或代理机构将拒绝或原封退回在其规定的递交响应文件截止时间之后收到的任何响应文件。</w:t>
      </w:r>
    </w:p>
    <w:p>
      <w:pPr>
        <w:pStyle w:val="14"/>
        <w:spacing w:line="500" w:lineRule="exact"/>
        <w:rPr>
          <w:b/>
          <w:color w:val="auto"/>
          <w:highlight w:val="none"/>
        </w:rPr>
      </w:pPr>
      <w:r>
        <w:rPr>
          <w:rFonts w:hint="eastAsia"/>
          <w:b/>
          <w:color w:val="auto"/>
          <w:highlight w:val="none"/>
        </w:rPr>
        <w:t>五、竞争性磋商（简称磋商）与评审</w:t>
      </w:r>
    </w:p>
    <w:p>
      <w:pPr>
        <w:pStyle w:val="14"/>
        <w:spacing w:line="500" w:lineRule="exact"/>
        <w:rPr>
          <w:b/>
          <w:color w:val="auto"/>
          <w:highlight w:val="none"/>
        </w:rPr>
      </w:pPr>
      <w:r>
        <w:rPr>
          <w:rFonts w:hint="eastAsia"/>
          <w:b/>
          <w:color w:val="auto"/>
          <w:highlight w:val="none"/>
        </w:rPr>
        <w:t>11.磋商小组组成及磋商时间、地点、人员</w:t>
      </w:r>
    </w:p>
    <w:p>
      <w:pPr>
        <w:spacing w:line="500" w:lineRule="exact"/>
        <w:ind w:firstLine="420" w:firstLineChars="200"/>
        <w:rPr>
          <w:rFonts w:ascii="宋体"/>
          <w:color w:val="auto"/>
          <w:szCs w:val="21"/>
          <w:highlight w:val="none"/>
        </w:rPr>
      </w:pPr>
      <w:r>
        <w:rPr>
          <w:rFonts w:hint="eastAsia" w:ascii="宋体"/>
          <w:color w:val="auto"/>
          <w:szCs w:val="21"/>
          <w:highlight w:val="none"/>
        </w:rPr>
        <w:t>11.1磋商小组构成：本项目的磋商小组由采购人代表和评委专家库中随机抽取评审专家3人以上单数组成，</w:t>
      </w:r>
      <w:r>
        <w:rPr>
          <w:rFonts w:hint="eastAsia" w:ascii="宋体"/>
          <w:color w:val="auto"/>
          <w:spacing w:val="-10"/>
          <w:szCs w:val="21"/>
          <w:highlight w:val="none"/>
        </w:rPr>
        <w:t>其中专家人数不得少于</w:t>
      </w:r>
      <w:r>
        <w:rPr>
          <w:rFonts w:hint="eastAsia" w:ascii="宋体"/>
          <w:color w:val="auto"/>
          <w:szCs w:val="21"/>
          <w:highlight w:val="none"/>
        </w:rPr>
        <w:t>2/3。</w:t>
      </w:r>
    </w:p>
    <w:p>
      <w:pPr>
        <w:spacing w:line="500" w:lineRule="exact"/>
        <w:ind w:firstLine="420" w:firstLineChars="200"/>
        <w:rPr>
          <w:b/>
          <w:color w:val="auto"/>
          <w:highlight w:val="none"/>
        </w:rPr>
      </w:pPr>
      <w:r>
        <w:rPr>
          <w:rFonts w:hint="eastAsia" w:ascii="宋体"/>
          <w:color w:val="auto"/>
          <w:szCs w:val="21"/>
          <w:highlight w:val="none"/>
        </w:rPr>
        <w:t>11.2 具体的磋商时间、地点、人员见磋商须知前附表，参加磋商的法定代表人或委托代理人必须持证件（法定代表人凭身份证或委托代理人凭法人授权委托书和身份证）依时到达指定地点等候当面磋商。</w:t>
      </w:r>
    </w:p>
    <w:p>
      <w:pPr>
        <w:spacing w:line="500" w:lineRule="exact"/>
        <w:ind w:firstLine="422" w:firstLineChars="200"/>
        <w:rPr>
          <w:rFonts w:ascii="宋体"/>
          <w:b/>
          <w:bCs/>
          <w:color w:val="auto"/>
          <w:szCs w:val="21"/>
          <w:highlight w:val="none"/>
        </w:rPr>
      </w:pPr>
      <w:r>
        <w:rPr>
          <w:rFonts w:hint="eastAsia" w:ascii="宋体"/>
          <w:b/>
          <w:bCs/>
          <w:color w:val="auto"/>
          <w:szCs w:val="21"/>
          <w:highlight w:val="none"/>
        </w:rPr>
        <w:t>12  ．评审原则、评审程序、评审方法和评审标准</w:t>
      </w:r>
    </w:p>
    <w:p>
      <w:pPr>
        <w:spacing w:line="500" w:lineRule="exact"/>
        <w:ind w:firstLine="420" w:firstLineChars="200"/>
        <w:rPr>
          <w:rFonts w:ascii="宋体"/>
          <w:color w:val="auto"/>
          <w:szCs w:val="21"/>
          <w:highlight w:val="none"/>
        </w:rPr>
      </w:pPr>
      <w:r>
        <w:rPr>
          <w:rFonts w:hint="eastAsia" w:ascii="宋体"/>
          <w:color w:val="auto"/>
          <w:szCs w:val="21"/>
          <w:highlight w:val="none"/>
        </w:rPr>
        <w:t>12.1  评审原则：客观、公正、审慎。</w:t>
      </w:r>
    </w:p>
    <w:p>
      <w:pPr>
        <w:spacing w:line="500" w:lineRule="exact"/>
        <w:ind w:firstLine="420" w:firstLineChars="200"/>
        <w:rPr>
          <w:rFonts w:ascii="宋体"/>
          <w:color w:val="auto"/>
          <w:szCs w:val="21"/>
          <w:highlight w:val="none"/>
        </w:rPr>
      </w:pPr>
      <w:r>
        <w:rPr>
          <w:rFonts w:hint="eastAsia" w:ascii="宋体"/>
          <w:color w:val="auto"/>
          <w:szCs w:val="21"/>
          <w:highlight w:val="none"/>
        </w:rPr>
        <w:t>12.2 评审程序：分为资格评审、响应性评审和综合评分。</w:t>
      </w:r>
    </w:p>
    <w:p>
      <w:pPr>
        <w:spacing w:line="500" w:lineRule="exact"/>
        <w:ind w:firstLine="420" w:firstLineChars="200"/>
        <w:rPr>
          <w:rFonts w:ascii="宋体"/>
          <w:color w:val="auto"/>
          <w:szCs w:val="21"/>
          <w:highlight w:val="none"/>
        </w:rPr>
      </w:pPr>
      <w:r>
        <w:rPr>
          <w:rFonts w:hint="eastAsia" w:ascii="宋体"/>
          <w:color w:val="auto"/>
          <w:szCs w:val="21"/>
          <w:highlight w:val="none"/>
        </w:rPr>
        <w:t>12.3 评审方法：</w:t>
      </w:r>
    </w:p>
    <w:p>
      <w:pPr>
        <w:spacing w:line="500" w:lineRule="exact"/>
        <w:ind w:firstLine="420" w:firstLineChars="200"/>
        <w:rPr>
          <w:rFonts w:ascii="宋体"/>
          <w:color w:val="auto"/>
          <w:szCs w:val="21"/>
          <w:highlight w:val="none"/>
        </w:rPr>
      </w:pPr>
      <w:r>
        <w:rPr>
          <w:rFonts w:hint="eastAsia" w:ascii="宋体"/>
          <w:color w:val="auto"/>
          <w:szCs w:val="21"/>
          <w:highlight w:val="none"/>
        </w:rPr>
        <w:t>12.3.1 资格评审：由磋商小组对各个供应商的资格证明文件进行审查，有以下情况的供应商，资格将被否决：</w:t>
      </w:r>
    </w:p>
    <w:p>
      <w:pPr>
        <w:spacing w:line="500" w:lineRule="exact"/>
        <w:ind w:firstLine="420" w:firstLineChars="200"/>
        <w:rPr>
          <w:rFonts w:ascii="宋体"/>
          <w:color w:val="auto"/>
          <w:szCs w:val="21"/>
          <w:highlight w:val="none"/>
        </w:rPr>
      </w:pPr>
      <w:r>
        <w:rPr>
          <w:rFonts w:hint="eastAsia" w:ascii="宋体"/>
          <w:color w:val="auto"/>
          <w:szCs w:val="21"/>
          <w:highlight w:val="none"/>
        </w:rPr>
        <w:t>（1）超越了按照法律法规规定必须获得行政许可或者行政审批的经营范围的；</w:t>
      </w:r>
    </w:p>
    <w:p>
      <w:pPr>
        <w:spacing w:line="500" w:lineRule="exact"/>
        <w:ind w:firstLine="420" w:firstLineChars="200"/>
        <w:rPr>
          <w:rFonts w:ascii="宋体"/>
          <w:color w:val="auto"/>
          <w:szCs w:val="21"/>
          <w:highlight w:val="none"/>
        </w:rPr>
      </w:pPr>
      <w:r>
        <w:rPr>
          <w:rFonts w:hint="eastAsia" w:ascii="宋体"/>
          <w:color w:val="auto"/>
          <w:szCs w:val="21"/>
          <w:highlight w:val="none"/>
        </w:rPr>
        <w:t>（2）资格不符合本项目的资格要求的；</w:t>
      </w:r>
    </w:p>
    <w:p>
      <w:pPr>
        <w:spacing w:line="500" w:lineRule="exact"/>
        <w:ind w:firstLine="420" w:firstLineChars="200"/>
        <w:rPr>
          <w:rFonts w:ascii="宋体"/>
          <w:color w:val="auto"/>
          <w:szCs w:val="21"/>
          <w:highlight w:val="none"/>
        </w:rPr>
      </w:pPr>
      <w:r>
        <w:rPr>
          <w:rFonts w:hint="eastAsia" w:ascii="宋体"/>
          <w:color w:val="auto"/>
          <w:szCs w:val="21"/>
          <w:highlight w:val="none"/>
        </w:rPr>
        <w:t>（3）资格证明文件不全的；</w:t>
      </w:r>
    </w:p>
    <w:p>
      <w:pPr>
        <w:spacing w:line="500" w:lineRule="exact"/>
        <w:ind w:firstLine="420" w:firstLineChars="200"/>
        <w:rPr>
          <w:rFonts w:ascii="宋体"/>
          <w:color w:val="auto"/>
          <w:szCs w:val="21"/>
          <w:highlight w:val="none"/>
        </w:rPr>
      </w:pPr>
      <w:r>
        <w:rPr>
          <w:rFonts w:hint="eastAsia" w:ascii="宋体"/>
          <w:color w:val="auto"/>
          <w:szCs w:val="21"/>
          <w:highlight w:val="none"/>
        </w:rPr>
        <w:t>（4）资格证明材料不真实或弄虚作假的。</w:t>
      </w:r>
    </w:p>
    <w:p>
      <w:pPr>
        <w:spacing w:line="500" w:lineRule="exact"/>
        <w:ind w:firstLine="420" w:firstLineChars="200"/>
        <w:rPr>
          <w:rFonts w:ascii="宋体"/>
          <w:color w:val="auto"/>
          <w:szCs w:val="21"/>
          <w:highlight w:val="none"/>
        </w:rPr>
      </w:pPr>
      <w:r>
        <w:rPr>
          <w:rFonts w:hint="eastAsia" w:ascii="宋体"/>
          <w:color w:val="auto"/>
          <w:szCs w:val="21"/>
          <w:highlight w:val="none"/>
        </w:rPr>
        <w:t>（5）有不良记录的。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12.3.2  响应性评审：磋商小组将对供应商是否响应本项目的采购需求和采购文件规定性要求进行评审，如发现下列情形的，磋商文件将被视为无效：</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（1）未按时提交投标保证金的；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（2）响应文件无法定代表人签字或其授权委托代理人签字，未按招标文件规定要求签署盖章，或未提供法定代表人授权委托书、投标声明书或者填写实质性要求项目不齐全的。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 xml:space="preserve">（3）投标代表人未能出具身份证明或与法定代表人授权委托人身份不符的； </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（4）响应货物项目不齐全或者内容虚假的；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（5）响应文件的实质性内容未使用中文表述、意思表述不明确、前后矛盾或者使用计量单位不符合招标文件要求的（经</w:t>
      </w:r>
      <w:r>
        <w:rPr>
          <w:rFonts w:hint="eastAsia" w:ascii="宋体" w:hAnsi="宋体" w:cs="宋体"/>
          <w:color w:val="auto"/>
          <w:highlight w:val="none"/>
          <w:lang w:eastAsia="zh-CN"/>
        </w:rPr>
        <w:t>磋商小组</w:t>
      </w:r>
      <w:r>
        <w:rPr>
          <w:rFonts w:hint="eastAsia" w:ascii="宋体" w:hAnsi="宋体" w:cs="宋体"/>
          <w:color w:val="auto"/>
          <w:highlight w:val="none"/>
        </w:rPr>
        <w:t>认定并允许其当场更正的笔误除外）；</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（6）磋商有效期、施工工期、质保期等商务条款不能满足采购文件要求的；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（7）未实质性响应采购文件要求或者响应文件有采购单位不能接受的附加条件的。</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（8）未采用人民币报价或者未按照招标文件标明的币种报价的；</w:t>
      </w:r>
    </w:p>
    <w:p>
      <w:pPr>
        <w:pStyle w:val="2"/>
        <w:spacing w:line="500" w:lineRule="exact"/>
        <w:ind w:firstLine="420" w:firstLineChars="200"/>
        <w:rPr>
          <w:color w:val="auto"/>
          <w:highlight w:val="none"/>
        </w:rPr>
      </w:pPr>
      <w:r>
        <w:rPr>
          <w:rFonts w:hint="eastAsia" w:ascii="宋体" w:hAnsi="宋体" w:eastAsia="宋体" w:cs="宋体"/>
          <w:b w:val="0"/>
          <w:bCs w:val="0"/>
          <w:color w:val="auto"/>
          <w:highlight w:val="none"/>
        </w:rPr>
        <w:t>（9）报价超出最高限价，或者超出采购预算金额，采购人不能支付的；</w:t>
      </w:r>
    </w:p>
    <w:p>
      <w:pPr>
        <w:pStyle w:val="2"/>
        <w:spacing w:line="500" w:lineRule="exact"/>
        <w:ind w:firstLine="420" w:firstLineChars="200"/>
        <w:rPr>
          <w:rFonts w:ascii="宋体" w:hAnsi="宋体" w:eastAsia="宋体"/>
          <w:color w:val="auto"/>
          <w:sz w:val="24"/>
          <w:highlight w:val="none"/>
        </w:rPr>
      </w:pPr>
      <w:r>
        <w:rPr>
          <w:rFonts w:hint="eastAsia" w:ascii="宋体" w:hAnsi="宋体" w:eastAsia="宋体" w:cs="宋体"/>
          <w:b w:val="0"/>
          <w:bCs w:val="0"/>
          <w:color w:val="auto"/>
          <w:highlight w:val="none"/>
        </w:rPr>
        <w:t>（10）投标报价具有选择性，或者磋商价格与响应文件承诺的优惠（折扣）价格不一致的。</w:t>
      </w:r>
    </w:p>
    <w:p>
      <w:pPr>
        <w:pStyle w:val="12"/>
        <w:snapToGrid w:val="0"/>
        <w:spacing w:line="500" w:lineRule="exact"/>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12.4 评审标准：对通过资格评审、响应性评审、磋商并做出最后报价的供应商，磋商小组将按照本文件第四章的评分办法进行评分。评分采用综合评分法。</w:t>
      </w:r>
    </w:p>
    <w:p>
      <w:pPr>
        <w:spacing w:line="500" w:lineRule="exact"/>
        <w:rPr>
          <w:b/>
          <w:bCs/>
          <w:color w:val="auto"/>
          <w:highlight w:val="none"/>
        </w:rPr>
      </w:pPr>
      <w:r>
        <w:rPr>
          <w:rFonts w:hint="eastAsia"/>
          <w:b/>
          <w:bCs/>
          <w:color w:val="auto"/>
          <w:highlight w:val="none"/>
        </w:rPr>
        <w:t>13.  磋商的步骤</w:t>
      </w:r>
    </w:p>
    <w:p>
      <w:pPr>
        <w:spacing w:line="500" w:lineRule="exact"/>
        <w:rPr>
          <w:color w:val="auto"/>
          <w:highlight w:val="none"/>
        </w:rPr>
      </w:pPr>
      <w:r>
        <w:rPr>
          <w:rFonts w:hint="eastAsia"/>
          <w:color w:val="auto"/>
          <w:highlight w:val="none"/>
        </w:rPr>
        <w:t>13.1</w:t>
      </w:r>
      <w:r>
        <w:rPr>
          <w:rFonts w:hint="eastAsia"/>
          <w:color w:val="auto"/>
          <w:highlight w:val="none"/>
        </w:rPr>
        <w:tab/>
      </w:r>
      <w:r>
        <w:rPr>
          <w:rFonts w:hint="eastAsia"/>
          <w:color w:val="auto"/>
          <w:highlight w:val="none"/>
        </w:rPr>
        <w:t>磋商小组将与通过磋商资格条件及响应文件评审的供应商进行磋商。资格条件不符合的供应商或未实质性响应磋商文件的响应文件 按无效响应处理，不参与磋商，磋商小组应当告知有关供应商。</w:t>
      </w:r>
    </w:p>
    <w:p>
      <w:pPr>
        <w:spacing w:line="500" w:lineRule="exact"/>
        <w:ind w:firstLine="420" w:firstLineChars="200"/>
        <w:rPr>
          <w:color w:val="auto"/>
          <w:highlight w:val="none"/>
        </w:rPr>
      </w:pPr>
      <w:r>
        <w:rPr>
          <w:rFonts w:hint="eastAsia"/>
          <w:color w:val="auto"/>
          <w:highlight w:val="none"/>
        </w:rPr>
        <w:t>当符合竞争性磋商文件规定的相应资格条件的供应商少于 3 家的，磋商终止，作废标处理。</w:t>
      </w:r>
    </w:p>
    <w:p>
      <w:pPr>
        <w:spacing w:line="500" w:lineRule="exact"/>
        <w:ind w:firstLine="422" w:firstLineChars="200"/>
        <w:rPr>
          <w:rFonts w:ascii="宋体"/>
          <w:b/>
          <w:color w:val="auto"/>
          <w:szCs w:val="21"/>
          <w:highlight w:val="none"/>
        </w:rPr>
      </w:pPr>
      <w:r>
        <w:rPr>
          <w:rFonts w:hint="eastAsia" w:ascii="宋体"/>
          <w:b/>
          <w:color w:val="auto"/>
          <w:szCs w:val="21"/>
          <w:highlight w:val="none"/>
        </w:rPr>
        <w:t>13.2第一轮磋商</w:t>
      </w:r>
    </w:p>
    <w:p>
      <w:pPr>
        <w:spacing w:line="500" w:lineRule="exact"/>
        <w:ind w:firstLine="420" w:firstLineChars="200"/>
        <w:rPr>
          <w:rFonts w:ascii="宋体"/>
          <w:color w:val="auto"/>
          <w:szCs w:val="21"/>
          <w:highlight w:val="none"/>
        </w:rPr>
      </w:pPr>
      <w:r>
        <w:rPr>
          <w:rFonts w:hint="eastAsia" w:ascii="宋体"/>
          <w:color w:val="auto"/>
          <w:szCs w:val="21"/>
          <w:highlight w:val="none"/>
        </w:rPr>
        <w:t>磋商小组按已确定的磋商顺序，磋商小组所有成员应当集中与单一供应商分别进行磋商，并给予所有符合资格并参加磋商的供应商平等的磋商机会。</w:t>
      </w:r>
    </w:p>
    <w:p>
      <w:pPr>
        <w:spacing w:line="500" w:lineRule="exact"/>
        <w:ind w:firstLine="420" w:firstLineChars="200"/>
        <w:rPr>
          <w:rFonts w:ascii="宋体"/>
          <w:color w:val="auto"/>
          <w:szCs w:val="21"/>
          <w:highlight w:val="none"/>
        </w:rPr>
      </w:pPr>
      <w:r>
        <w:rPr>
          <w:rFonts w:hint="eastAsia" w:asci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500" w:lineRule="exact"/>
        <w:ind w:firstLine="420" w:firstLineChars="200"/>
        <w:rPr>
          <w:rFonts w:ascii="宋体"/>
          <w:color w:val="auto"/>
          <w:szCs w:val="21"/>
          <w:highlight w:val="none"/>
        </w:rPr>
      </w:pPr>
      <w:r>
        <w:rPr>
          <w:rFonts w:hint="eastAsia" w:ascii="宋体"/>
          <w:color w:val="auto"/>
          <w:szCs w:val="21"/>
          <w:highlight w:val="none"/>
        </w:rPr>
        <w:t>对磋商文件作出的实质性变动是磋商文件的有效组成部分，磋商小组应当及时以书面形式同时通知所有参加磋商的供应商。</w:t>
      </w:r>
    </w:p>
    <w:p>
      <w:pPr>
        <w:spacing w:line="500" w:lineRule="exact"/>
        <w:ind w:firstLine="420" w:firstLineChars="200"/>
        <w:rPr>
          <w:rFonts w:ascii="宋体"/>
          <w:color w:val="auto"/>
          <w:szCs w:val="21"/>
          <w:highlight w:val="none"/>
        </w:rPr>
      </w:pPr>
      <w:r>
        <w:rPr>
          <w:rFonts w:hint="eastAsia" w:ascii="宋体"/>
          <w:color w:val="auto"/>
          <w:szCs w:val="21"/>
          <w:highlight w:val="none"/>
        </w:rPr>
        <w:t>供应商应当按照磋商文件的变动情况和磋商小组的要求重新提交响应文件，并由其法定代表人或授权代表签字或者加盖公章。由授权代表签字的，应当附法定代表人授权书。</w:t>
      </w:r>
    </w:p>
    <w:p>
      <w:pPr>
        <w:spacing w:line="500" w:lineRule="exact"/>
        <w:ind w:firstLine="420" w:firstLineChars="200"/>
        <w:rPr>
          <w:rFonts w:ascii="宋体"/>
          <w:color w:val="auto"/>
          <w:szCs w:val="21"/>
          <w:highlight w:val="none"/>
        </w:rPr>
      </w:pPr>
      <w:r>
        <w:rPr>
          <w:rFonts w:hint="eastAsia" w:ascii="宋体"/>
          <w:color w:val="auto"/>
          <w:szCs w:val="21"/>
          <w:highlight w:val="none"/>
        </w:rPr>
        <w:t>磋商中，磋商的任何一方不得透露与磋商有关的其他供应商的技术资料、价格和其他信息。</w:t>
      </w:r>
    </w:p>
    <w:p>
      <w:pPr>
        <w:spacing w:line="500" w:lineRule="exact"/>
        <w:ind w:firstLine="420" w:firstLineChars="200"/>
        <w:rPr>
          <w:rFonts w:ascii="宋体"/>
          <w:color w:val="auto"/>
          <w:szCs w:val="21"/>
          <w:highlight w:val="none"/>
        </w:rPr>
      </w:pPr>
      <w:r>
        <w:rPr>
          <w:rFonts w:hint="eastAsia" w:ascii="宋体"/>
          <w:color w:val="auto"/>
          <w:szCs w:val="21"/>
          <w:highlight w:val="none"/>
        </w:rPr>
        <w:t>采购代理机构对磋商过程和重要磋商内容进行记录，磋商双方在记录上签字确认。</w:t>
      </w:r>
    </w:p>
    <w:p>
      <w:pPr>
        <w:spacing w:line="500" w:lineRule="exact"/>
        <w:ind w:firstLine="420" w:firstLineChars="200"/>
        <w:rPr>
          <w:rFonts w:ascii="宋体"/>
          <w:color w:val="auto"/>
          <w:szCs w:val="21"/>
          <w:highlight w:val="none"/>
        </w:rPr>
      </w:pPr>
      <w:r>
        <w:rPr>
          <w:rFonts w:hint="eastAsia" w:ascii="宋体"/>
          <w:color w:val="auto"/>
          <w:szCs w:val="21"/>
          <w:highlight w:val="none"/>
        </w:rPr>
        <w:t>磋商小组一致确定响应供应商符合磋商文件要求的，按磋商文件设定的方法和标准确定成交候选人。第一轮磋商磋商小组未能确定成交候选人的，对磋商文件修正后进行第二轮磋商。</w:t>
      </w:r>
    </w:p>
    <w:p>
      <w:pPr>
        <w:spacing w:line="500" w:lineRule="exact"/>
        <w:ind w:firstLine="420" w:firstLineChars="200"/>
        <w:rPr>
          <w:rFonts w:ascii="宋体"/>
          <w:color w:val="auto"/>
          <w:szCs w:val="21"/>
          <w:highlight w:val="none"/>
        </w:rPr>
      </w:pPr>
      <w:r>
        <w:rPr>
          <w:rFonts w:hint="eastAsia" w:ascii="宋体"/>
          <w:color w:val="auto"/>
          <w:szCs w:val="21"/>
          <w:highlight w:val="none"/>
        </w:rPr>
        <w:t>13.3磋商文件修正</w:t>
      </w:r>
    </w:p>
    <w:p>
      <w:pPr>
        <w:spacing w:line="500" w:lineRule="exact"/>
        <w:ind w:firstLine="420" w:firstLineChars="200"/>
        <w:rPr>
          <w:rFonts w:ascii="宋体"/>
          <w:color w:val="auto"/>
          <w:szCs w:val="21"/>
          <w:highlight w:val="none"/>
        </w:rPr>
      </w:pPr>
      <w:r>
        <w:rPr>
          <w:rFonts w:hint="eastAsia" w:ascii="宋体"/>
          <w:color w:val="auto"/>
          <w:szCs w:val="21"/>
          <w:highlight w:val="none"/>
        </w:rPr>
        <w:t>⑴第一轮磋商结束后，各响应供应商退场等候，磋商小组进行合议。根据第一轮磋商掌握的情况，磋商小组可以对磋商文件进行修改，确定采购内容的详细规格或具体要求，优化采购方案。</w:t>
      </w:r>
    </w:p>
    <w:p>
      <w:pPr>
        <w:spacing w:line="500" w:lineRule="exact"/>
        <w:ind w:firstLine="420" w:firstLineChars="200"/>
        <w:rPr>
          <w:rFonts w:ascii="宋体"/>
          <w:color w:val="auto"/>
          <w:szCs w:val="21"/>
          <w:highlight w:val="none"/>
        </w:rPr>
      </w:pPr>
      <w:r>
        <w:rPr>
          <w:rFonts w:hint="eastAsia" w:ascii="宋体"/>
          <w:color w:val="auto"/>
          <w:szCs w:val="21"/>
          <w:highlight w:val="none"/>
        </w:rPr>
        <w:t>⑵采购代理机构通知响应供应商集中，磋商小组强调调整后的采购要求，将磋商文件的修改结果以书面形式通知响应供应商，向响应供应商提供较充分的修正时间。</w:t>
      </w:r>
    </w:p>
    <w:p>
      <w:pPr>
        <w:spacing w:line="500" w:lineRule="exact"/>
        <w:ind w:firstLine="420" w:firstLineChars="200"/>
        <w:rPr>
          <w:rFonts w:ascii="宋体"/>
          <w:color w:val="auto"/>
          <w:szCs w:val="21"/>
          <w:highlight w:val="none"/>
        </w:rPr>
      </w:pPr>
      <w:r>
        <w:rPr>
          <w:rFonts w:hint="eastAsia" w:ascii="宋体"/>
          <w:color w:val="auto"/>
          <w:szCs w:val="21"/>
          <w:highlight w:val="none"/>
        </w:rPr>
        <w:t>⑶响应供应商根据第一轮磋商情况和磋商文件修改书面通知，对原响应文件进行修正，并将修正文件签字后密封送交磋商小组。逾时不交的，视同放弃磋商。修正文件与响应文件同具法律效力。</w:t>
      </w:r>
    </w:p>
    <w:p>
      <w:pPr>
        <w:spacing w:line="500" w:lineRule="exact"/>
        <w:ind w:firstLine="422" w:firstLineChars="200"/>
        <w:rPr>
          <w:rFonts w:ascii="宋体"/>
          <w:b/>
          <w:color w:val="auto"/>
          <w:szCs w:val="21"/>
          <w:highlight w:val="none"/>
        </w:rPr>
      </w:pPr>
      <w:r>
        <w:rPr>
          <w:rFonts w:hint="eastAsia" w:ascii="宋体"/>
          <w:b/>
          <w:color w:val="auto"/>
          <w:szCs w:val="21"/>
          <w:highlight w:val="none"/>
        </w:rPr>
        <w:t>13.4第二轮磋商</w:t>
      </w:r>
    </w:p>
    <w:p>
      <w:pPr>
        <w:spacing w:line="500" w:lineRule="exact"/>
        <w:ind w:firstLine="420" w:firstLineChars="200"/>
        <w:rPr>
          <w:rFonts w:ascii="宋体"/>
          <w:color w:val="auto"/>
          <w:szCs w:val="21"/>
          <w:highlight w:val="none"/>
        </w:rPr>
      </w:pPr>
      <w:r>
        <w:rPr>
          <w:rFonts w:hint="eastAsia" w:ascii="宋体"/>
          <w:color w:val="auto"/>
          <w:szCs w:val="21"/>
          <w:highlight w:val="none"/>
        </w:rPr>
        <w:t>磋商小组就修正后的磋商文件与响应供应商分别进行磋商。采购代理机构对磋商过程和重要磋商内容进行记录，</w:t>
      </w:r>
      <w:r>
        <w:rPr>
          <w:rFonts w:hint="eastAsia" w:ascii="宋体"/>
          <w:color w:val="auto"/>
          <w:spacing w:val="-10"/>
          <w:szCs w:val="21"/>
          <w:highlight w:val="none"/>
        </w:rPr>
        <w:t>磋商双方在记录上签字确认</w:t>
      </w:r>
      <w:r>
        <w:rPr>
          <w:rFonts w:hint="eastAsia" w:ascii="宋体"/>
          <w:color w:val="auto"/>
          <w:szCs w:val="21"/>
          <w:highlight w:val="none"/>
        </w:rPr>
        <w:t>。磋商小组按磋商文件设定的方法和标准确定成交候选人。</w:t>
      </w:r>
    </w:p>
    <w:p>
      <w:pPr>
        <w:spacing w:line="500" w:lineRule="exact"/>
        <w:ind w:firstLine="420" w:firstLineChars="200"/>
        <w:rPr>
          <w:rFonts w:ascii="宋体"/>
          <w:color w:val="auto"/>
          <w:szCs w:val="21"/>
          <w:highlight w:val="none"/>
        </w:rPr>
      </w:pPr>
      <w:r>
        <w:rPr>
          <w:rFonts w:hint="eastAsia" w:ascii="宋体"/>
          <w:color w:val="auto"/>
          <w:szCs w:val="21"/>
          <w:highlight w:val="none"/>
        </w:rPr>
        <w:t>第二轮磋商磋商小组未能确定成交候选人的，对磋商文件修正后进行第三轮磋商。以此类推。</w:t>
      </w:r>
    </w:p>
    <w:p>
      <w:pPr>
        <w:spacing w:line="500" w:lineRule="exact"/>
        <w:ind w:firstLine="422" w:firstLineChars="200"/>
        <w:rPr>
          <w:rFonts w:ascii="宋体"/>
          <w:b/>
          <w:color w:val="auto"/>
          <w:szCs w:val="21"/>
          <w:highlight w:val="none"/>
        </w:rPr>
      </w:pPr>
      <w:r>
        <w:rPr>
          <w:rFonts w:hint="eastAsia" w:ascii="宋体"/>
          <w:b/>
          <w:color w:val="auto"/>
          <w:szCs w:val="21"/>
          <w:highlight w:val="none"/>
        </w:rPr>
        <w:t>13.5最后报价与评审</w:t>
      </w:r>
    </w:p>
    <w:p>
      <w:pPr>
        <w:spacing w:line="500" w:lineRule="exact"/>
        <w:ind w:firstLine="420" w:firstLineChars="200"/>
        <w:rPr>
          <w:rFonts w:ascii="宋体"/>
          <w:color w:val="auto"/>
          <w:szCs w:val="21"/>
          <w:highlight w:val="none"/>
        </w:rPr>
      </w:pPr>
      <w:r>
        <w:rPr>
          <w:rFonts w:hint="eastAsia" w:ascii="宋体"/>
          <w:color w:val="auto"/>
          <w:szCs w:val="21"/>
          <w:highlight w:val="none"/>
        </w:rPr>
        <w:t>13.5.1磋商文件能够详细列明采购标的的技术、服务要求的，磋商结束后，磋商小组应当要求所有继续参加磋商的供应商在规定时间内密封提交最后报价，提交最后报价的供应商不得少于3家。</w:t>
      </w:r>
    </w:p>
    <w:p>
      <w:pPr>
        <w:spacing w:line="500" w:lineRule="exact"/>
        <w:ind w:firstLine="420" w:firstLineChars="200"/>
        <w:rPr>
          <w:rFonts w:ascii="宋体"/>
          <w:color w:val="auto"/>
          <w:szCs w:val="21"/>
          <w:highlight w:val="none"/>
        </w:rPr>
      </w:pPr>
      <w:r>
        <w:rPr>
          <w:rFonts w:hint="eastAsia" w:ascii="宋体"/>
          <w:color w:val="auto"/>
          <w:szCs w:val="21"/>
          <w:highlight w:val="none"/>
        </w:rPr>
        <w:t>13.5.2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500" w:lineRule="exact"/>
        <w:ind w:firstLine="420" w:firstLineChars="200"/>
        <w:rPr>
          <w:rFonts w:ascii="宋体"/>
          <w:color w:val="auto"/>
          <w:szCs w:val="21"/>
          <w:highlight w:val="none"/>
        </w:rPr>
      </w:pPr>
      <w:r>
        <w:rPr>
          <w:rFonts w:hint="eastAsia" w:ascii="宋体"/>
          <w:color w:val="auto"/>
          <w:szCs w:val="21"/>
          <w:highlight w:val="none"/>
        </w:rPr>
        <w:t>13.5.3最后报价是供应商响应文件的有效组成部分。未作最后报价的供应商将被视为自动退出竞争性磋商。</w:t>
      </w:r>
    </w:p>
    <w:p>
      <w:pPr>
        <w:spacing w:line="500" w:lineRule="exact"/>
        <w:ind w:firstLine="420" w:firstLineChars="200"/>
        <w:rPr>
          <w:rFonts w:ascii="宋体"/>
          <w:color w:val="auto"/>
          <w:szCs w:val="21"/>
          <w:highlight w:val="none"/>
        </w:rPr>
      </w:pPr>
      <w:r>
        <w:rPr>
          <w:rFonts w:hint="eastAsia" w:ascii="宋体"/>
          <w:color w:val="auto"/>
          <w:szCs w:val="21"/>
          <w:highlight w:val="none"/>
        </w:rPr>
        <w:t>13.5.4 已经提交响应文件的供应商，在提交最后报价之前，如有变动磋商文件中的其他内容可以根据磋商情况退出磋商，采购人、采购代理机构将退还退出磋商的供应商的保证金。</w:t>
      </w:r>
    </w:p>
    <w:p>
      <w:pPr>
        <w:spacing w:line="500" w:lineRule="exact"/>
        <w:ind w:firstLine="420" w:firstLineChars="200"/>
        <w:rPr>
          <w:rFonts w:ascii="宋体"/>
          <w:color w:val="auto"/>
          <w:szCs w:val="21"/>
          <w:highlight w:val="none"/>
        </w:rPr>
      </w:pPr>
      <w:r>
        <w:rPr>
          <w:rFonts w:hint="eastAsia" w:ascii="宋体"/>
          <w:color w:val="auto"/>
          <w:szCs w:val="21"/>
          <w:highlight w:val="none"/>
        </w:rPr>
        <w:t>13.5.5综合评分：经磋商确定最终采购需求和提交最后报价的供应商后，由磋商小组采用综合评分法对提交最后报价的供应商的响应文件和最后报价进行综合评分。</w:t>
      </w:r>
    </w:p>
    <w:p>
      <w:pPr>
        <w:spacing w:line="500" w:lineRule="exact"/>
        <w:ind w:firstLine="420" w:firstLineChars="200"/>
        <w:rPr>
          <w:rFonts w:ascii="宋体"/>
          <w:color w:val="auto"/>
          <w:szCs w:val="21"/>
          <w:highlight w:val="none"/>
        </w:rPr>
      </w:pPr>
      <w:r>
        <w:rPr>
          <w:rFonts w:hint="eastAsia" w:ascii="宋体"/>
          <w:color w:val="auto"/>
          <w:szCs w:val="21"/>
          <w:highlight w:val="none"/>
        </w:rPr>
        <w:t>磋商小组应当根据综合评分情况，按照评审得分由高到低顺序推荐3名成交候选供应商，并编写评审报告。符合《政府采购竞争性磋商采购方式管理暂行办法》（财库﹝2014﹞214号）第二十一条第三款情形和财库〔2015〕124号的，可以推荐3家成交候选供应商。</w:t>
      </w:r>
    </w:p>
    <w:p>
      <w:pPr>
        <w:spacing w:line="500" w:lineRule="exact"/>
        <w:ind w:firstLine="420" w:firstLineChars="200"/>
        <w:rPr>
          <w:rFonts w:ascii="宋体"/>
          <w:color w:val="auto"/>
          <w:szCs w:val="21"/>
          <w:highlight w:val="none"/>
        </w:rPr>
      </w:pPr>
      <w:r>
        <w:rPr>
          <w:rFonts w:hint="eastAsia" w:ascii="宋体"/>
          <w:color w:val="auto"/>
          <w:szCs w:val="21"/>
          <w:highlight w:val="none"/>
        </w:rPr>
        <w:t>13.6响应供应商的报价均超过了采购预算，采购人不能支付的，磋商活动终止。终止后，采购人需要采取调整采购预算或项目配置标准等，或采取其他采购方式的，应当在采购活动开始前获得财政部门批准。</w:t>
      </w:r>
    </w:p>
    <w:p>
      <w:pPr>
        <w:spacing w:line="500" w:lineRule="exact"/>
        <w:ind w:firstLine="420" w:firstLineChars="200"/>
        <w:rPr>
          <w:rFonts w:ascii="宋体"/>
          <w:color w:val="auto"/>
          <w:szCs w:val="21"/>
          <w:highlight w:val="none"/>
        </w:rPr>
      </w:pPr>
      <w:r>
        <w:rPr>
          <w:rFonts w:hint="eastAsia" w:ascii="宋体"/>
          <w:color w:val="auto"/>
          <w:szCs w:val="21"/>
          <w:highlight w:val="none"/>
        </w:rPr>
        <w:t>13.7在评标过程中出现法律法规和磋商文件均没有明确规定的情形时，由磋商小组现场协商解决，协商不一致的，由全体磋商小组投票表决，以得票率半数以上专家的意见为准。</w:t>
      </w:r>
    </w:p>
    <w:p>
      <w:pPr>
        <w:spacing w:line="500" w:lineRule="exact"/>
        <w:ind w:firstLine="420" w:firstLineChars="200"/>
        <w:rPr>
          <w:rFonts w:ascii="宋体"/>
          <w:color w:val="auto"/>
          <w:szCs w:val="21"/>
          <w:highlight w:val="none"/>
        </w:rPr>
      </w:pPr>
      <w:r>
        <w:rPr>
          <w:rFonts w:hint="eastAsia" w:ascii="宋体"/>
          <w:color w:val="auto"/>
          <w:szCs w:val="21"/>
          <w:highlight w:val="none"/>
        </w:rPr>
        <w:t>13.8特别说明：</w:t>
      </w:r>
    </w:p>
    <w:p>
      <w:pPr>
        <w:spacing w:line="500" w:lineRule="exact"/>
        <w:ind w:firstLine="420" w:firstLineChars="200"/>
        <w:rPr>
          <w:rFonts w:ascii="宋体"/>
          <w:color w:val="auto"/>
          <w:szCs w:val="21"/>
          <w:highlight w:val="none"/>
        </w:rPr>
      </w:pPr>
      <w:r>
        <w:rPr>
          <w:rFonts w:hint="eastAsia" w:ascii="宋体"/>
          <w:color w:val="auto"/>
          <w:szCs w:val="21"/>
          <w:highlight w:val="none"/>
        </w:rPr>
        <w:t>1.供应商竞标所使用的资格、信誉、荣誉、业绩与企业认证必须为本法人所拥有（特殊要求除外）。供应商竞标所使用的采购项目实施人员必须为本法人员工（或必须为本法人或控股公司正式员工）。</w:t>
      </w:r>
    </w:p>
    <w:p>
      <w:pPr>
        <w:spacing w:line="500" w:lineRule="exact"/>
        <w:ind w:firstLine="420" w:firstLineChars="200"/>
        <w:rPr>
          <w:rFonts w:ascii="宋体"/>
          <w:color w:val="auto"/>
          <w:szCs w:val="21"/>
          <w:highlight w:val="none"/>
        </w:rPr>
      </w:pPr>
      <w:r>
        <w:rPr>
          <w:rFonts w:hint="eastAsia" w:ascii="宋体"/>
          <w:color w:val="auto"/>
          <w:szCs w:val="21"/>
          <w:highlight w:val="none"/>
        </w:rPr>
        <w:t>2.供应商应仔细阅读竞争性磋商文件的所有内容，按照竞争性磋商文件的要求提交响应文件，并对所提供的全部资料的真实性承担法律责任。</w:t>
      </w:r>
    </w:p>
    <w:p>
      <w:pPr>
        <w:spacing w:line="500" w:lineRule="exact"/>
        <w:ind w:firstLine="420" w:firstLineChars="200"/>
        <w:rPr>
          <w:rFonts w:ascii="宋体"/>
          <w:color w:val="auto"/>
          <w:szCs w:val="21"/>
          <w:highlight w:val="none"/>
        </w:rPr>
      </w:pPr>
      <w:r>
        <w:rPr>
          <w:rFonts w:hint="eastAsia" w:ascii="宋体"/>
          <w:color w:val="auto"/>
          <w:szCs w:val="21"/>
          <w:highlight w:val="none"/>
        </w:rPr>
        <w:t>3.供应商在磋商活动中提供任何虚假材料，其磋商无效，并报监管部门查处。</w:t>
      </w:r>
    </w:p>
    <w:p>
      <w:pPr>
        <w:spacing w:line="500" w:lineRule="exact"/>
        <w:ind w:firstLine="420" w:firstLineChars="200"/>
        <w:rPr>
          <w:rFonts w:ascii="宋体"/>
          <w:color w:val="auto"/>
          <w:szCs w:val="21"/>
          <w:highlight w:val="none"/>
        </w:rPr>
      </w:pPr>
      <w:r>
        <w:rPr>
          <w:rFonts w:hint="eastAsia" w:ascii="宋体"/>
          <w:color w:val="auto"/>
          <w:szCs w:val="21"/>
          <w:highlight w:val="none"/>
        </w:rPr>
        <w:t>13.9低于成本报价</w:t>
      </w:r>
    </w:p>
    <w:p>
      <w:pPr>
        <w:spacing w:line="500" w:lineRule="exact"/>
        <w:ind w:firstLine="420" w:firstLineChars="200"/>
        <w:rPr>
          <w:rFonts w:ascii="宋体"/>
          <w:color w:val="auto"/>
          <w:szCs w:val="21"/>
          <w:highlight w:val="none"/>
        </w:rPr>
      </w:pPr>
      <w:r>
        <w:rPr>
          <w:rFonts w:hint="eastAsia" w:ascii="宋体"/>
          <w:color w:val="auto"/>
          <w:szCs w:val="21"/>
          <w:highlight w:val="none"/>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pPr>
        <w:spacing w:line="500" w:lineRule="exact"/>
        <w:ind w:firstLine="420" w:firstLineChars="200"/>
        <w:rPr>
          <w:color w:val="auto"/>
          <w:szCs w:val="21"/>
          <w:highlight w:val="none"/>
        </w:rPr>
      </w:pPr>
      <w:r>
        <w:rPr>
          <w:rFonts w:hint="eastAsia" w:ascii="宋体"/>
          <w:color w:val="auto"/>
          <w:szCs w:val="21"/>
          <w:highlight w:val="none"/>
        </w:rPr>
        <w:t xml:space="preserve">13.10 </w:t>
      </w:r>
      <w:r>
        <w:rPr>
          <w:rFonts w:hint="eastAsia" w:ascii="宋体" w:hAnsi="宋体"/>
          <w:color w:val="auto"/>
          <w:szCs w:val="21"/>
          <w:highlight w:val="none"/>
        </w:rPr>
        <w:t>磋商报价不能超过预算控制价，否则其磋商将视为无效。</w:t>
      </w:r>
    </w:p>
    <w:p>
      <w:pPr>
        <w:spacing w:line="500" w:lineRule="exact"/>
        <w:ind w:firstLine="420" w:firstLineChars="200"/>
        <w:rPr>
          <w:rFonts w:ascii="宋体"/>
          <w:color w:val="auto"/>
          <w:szCs w:val="21"/>
          <w:highlight w:val="none"/>
        </w:rPr>
      </w:pPr>
      <w:r>
        <w:rPr>
          <w:rFonts w:hint="eastAsia" w:ascii="宋体"/>
          <w:color w:val="auto"/>
          <w:szCs w:val="21"/>
          <w:highlight w:val="none"/>
        </w:rPr>
        <w:t>13.11最终磋商结束后，磋商小组不得再与供应商进行任何形式的商谈。</w:t>
      </w:r>
    </w:p>
    <w:p>
      <w:pPr>
        <w:widowControl/>
        <w:spacing w:line="500" w:lineRule="exact"/>
        <w:jc w:val="left"/>
        <w:rPr>
          <w:rFonts w:ascii="宋体"/>
          <w:b/>
          <w:color w:val="auto"/>
          <w:szCs w:val="21"/>
          <w:highlight w:val="none"/>
        </w:rPr>
      </w:pPr>
      <w:r>
        <w:rPr>
          <w:rFonts w:hint="eastAsia" w:ascii="宋体"/>
          <w:b/>
          <w:color w:val="auto"/>
          <w:szCs w:val="21"/>
          <w:highlight w:val="none"/>
        </w:rPr>
        <w:t>13.11供应商有下列情形之一的，磋商保证金将不予退还：</w:t>
      </w:r>
    </w:p>
    <w:p>
      <w:pPr>
        <w:widowControl/>
        <w:spacing w:line="500" w:lineRule="exact"/>
        <w:jc w:val="left"/>
        <w:rPr>
          <w:rFonts w:ascii="宋体"/>
          <w:color w:val="auto"/>
          <w:szCs w:val="21"/>
          <w:highlight w:val="none"/>
        </w:rPr>
      </w:pPr>
      <w:r>
        <w:rPr>
          <w:rFonts w:hint="eastAsia" w:ascii="宋体"/>
          <w:color w:val="auto"/>
          <w:szCs w:val="21"/>
          <w:highlight w:val="none"/>
        </w:rPr>
        <w:t>（1）供应商在提交响应文件截止时间后撤回响应文件的；</w:t>
      </w:r>
    </w:p>
    <w:p>
      <w:pPr>
        <w:widowControl/>
        <w:spacing w:line="500" w:lineRule="exact"/>
        <w:jc w:val="left"/>
        <w:rPr>
          <w:rFonts w:ascii="宋体"/>
          <w:color w:val="auto"/>
          <w:szCs w:val="21"/>
          <w:highlight w:val="none"/>
        </w:rPr>
      </w:pPr>
      <w:r>
        <w:rPr>
          <w:rFonts w:hint="eastAsia" w:ascii="宋体"/>
          <w:color w:val="auto"/>
          <w:szCs w:val="21"/>
          <w:highlight w:val="none"/>
        </w:rPr>
        <w:t>（2）供应商在响应文件中提供虚假材料的；</w:t>
      </w:r>
    </w:p>
    <w:p>
      <w:pPr>
        <w:widowControl/>
        <w:spacing w:line="500" w:lineRule="exact"/>
        <w:jc w:val="left"/>
        <w:rPr>
          <w:rFonts w:ascii="宋体"/>
          <w:color w:val="auto"/>
          <w:szCs w:val="21"/>
          <w:highlight w:val="none"/>
        </w:rPr>
      </w:pPr>
      <w:r>
        <w:rPr>
          <w:rFonts w:hint="eastAsia" w:ascii="宋体"/>
          <w:color w:val="auto"/>
          <w:szCs w:val="21"/>
          <w:highlight w:val="none"/>
        </w:rPr>
        <w:t>（3）除因不可抗力或磋商文件认可的情形以外，成交供应商不与采购人签订合同的；</w:t>
      </w:r>
    </w:p>
    <w:p>
      <w:pPr>
        <w:widowControl/>
        <w:spacing w:line="500" w:lineRule="exact"/>
        <w:jc w:val="left"/>
        <w:rPr>
          <w:rFonts w:ascii="宋体"/>
          <w:color w:val="auto"/>
          <w:szCs w:val="21"/>
          <w:highlight w:val="none"/>
        </w:rPr>
      </w:pPr>
      <w:r>
        <w:rPr>
          <w:rFonts w:hint="eastAsia" w:ascii="宋体"/>
          <w:color w:val="auto"/>
          <w:szCs w:val="21"/>
          <w:highlight w:val="none"/>
        </w:rPr>
        <w:t>（4）供应商与采购人、其他供应商或者采购代理机构恶意串通的；</w:t>
      </w:r>
    </w:p>
    <w:p>
      <w:pPr>
        <w:widowControl/>
        <w:spacing w:line="500" w:lineRule="exact"/>
        <w:jc w:val="left"/>
        <w:rPr>
          <w:rFonts w:ascii="宋体"/>
          <w:color w:val="auto"/>
          <w:szCs w:val="21"/>
          <w:highlight w:val="none"/>
        </w:rPr>
      </w:pPr>
      <w:r>
        <w:rPr>
          <w:rFonts w:hint="eastAsia" w:ascii="宋体"/>
          <w:color w:val="auto"/>
          <w:szCs w:val="21"/>
          <w:highlight w:val="none"/>
        </w:rPr>
        <w:t>（5）磋商文件规定的其他情形。</w:t>
      </w:r>
    </w:p>
    <w:p>
      <w:pPr>
        <w:spacing w:line="500" w:lineRule="exact"/>
        <w:rPr>
          <w:rFonts w:ascii="宋体"/>
          <w:b/>
          <w:color w:val="auto"/>
          <w:szCs w:val="21"/>
          <w:highlight w:val="none"/>
        </w:rPr>
      </w:pPr>
      <w:r>
        <w:rPr>
          <w:rFonts w:hint="eastAsia" w:ascii="宋体"/>
          <w:b/>
          <w:color w:val="auto"/>
          <w:szCs w:val="21"/>
          <w:highlight w:val="none"/>
        </w:rPr>
        <w:t>六、确定成交供应商办法及结果公告</w:t>
      </w:r>
    </w:p>
    <w:p>
      <w:pPr>
        <w:spacing w:line="500" w:lineRule="exact"/>
        <w:ind w:firstLine="420" w:firstLineChars="200"/>
        <w:rPr>
          <w:rFonts w:ascii="宋体" w:cs="宋体"/>
          <w:color w:val="auto"/>
          <w:kern w:val="0"/>
          <w:szCs w:val="21"/>
          <w:highlight w:val="none"/>
        </w:rPr>
      </w:pPr>
      <w:r>
        <w:rPr>
          <w:rFonts w:hint="eastAsia" w:ascii="宋体"/>
          <w:color w:val="auto"/>
          <w:szCs w:val="21"/>
          <w:highlight w:val="none"/>
        </w:rPr>
        <w:t>14.1</w:t>
      </w:r>
      <w:r>
        <w:rPr>
          <w:rFonts w:ascii="Arial" w:hAnsi="Arial" w:cs="Arial"/>
          <w:color w:val="auto"/>
          <w:kern w:val="0"/>
          <w:sz w:val="24"/>
          <w:highlight w:val="none"/>
        </w:rPr>
        <w:t xml:space="preserve"> </w:t>
      </w:r>
      <w:r>
        <w:rPr>
          <w:rFonts w:hint="eastAsia" w:ascii="宋体" w:cs="宋体"/>
          <w:color w:val="auto"/>
          <w:kern w:val="0"/>
          <w:szCs w:val="21"/>
          <w:highlight w:val="none"/>
        </w:rPr>
        <w:t>采购</w:t>
      </w:r>
      <w:r>
        <w:rPr>
          <w:rFonts w:hint="eastAsia" w:ascii="宋体"/>
          <w:color w:val="auto"/>
          <w:szCs w:val="21"/>
          <w:highlight w:val="none"/>
        </w:rPr>
        <w:t>代理</w:t>
      </w:r>
      <w:r>
        <w:rPr>
          <w:rFonts w:hint="eastAsia" w:ascii="宋体" w:cs="宋体"/>
          <w:color w:val="auto"/>
          <w:kern w:val="0"/>
          <w:szCs w:val="21"/>
          <w:highlight w:val="none"/>
        </w:rPr>
        <w:t>机构应当在评审结束后2</w:t>
      </w:r>
      <w:r>
        <w:rPr>
          <w:rFonts w:hint="eastAsia" w:ascii="宋体"/>
          <w:color w:val="auto"/>
          <w:spacing w:val="-10"/>
          <w:szCs w:val="21"/>
          <w:highlight w:val="none"/>
        </w:rPr>
        <w:t>个工作日内将评审报告送采购人确认</w:t>
      </w:r>
      <w:r>
        <w:rPr>
          <w:rFonts w:hint="eastAsia" w:ascii="宋体" w:cs="宋体"/>
          <w:color w:val="auto"/>
          <w:kern w:val="0"/>
          <w:szCs w:val="21"/>
          <w:highlight w:val="none"/>
        </w:rPr>
        <w:t>。采购人应当在收到评审报告后</w:t>
      </w:r>
      <w:r>
        <w:rPr>
          <w:rFonts w:hint="eastAsia" w:ascii="宋体" w:cs="宋体"/>
          <w:color w:val="auto"/>
          <w:kern w:val="0"/>
          <w:szCs w:val="21"/>
          <w:highlight w:val="none"/>
          <w:lang w:val="en-US" w:eastAsia="zh-CN"/>
        </w:rPr>
        <w:t>2</w:t>
      </w:r>
      <w:r>
        <w:rPr>
          <w:rFonts w:hint="eastAsia" w:ascii="宋体" w:cs="宋体"/>
          <w:color w:val="auto"/>
          <w:kern w:val="0"/>
          <w:szCs w:val="21"/>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00" w:lineRule="exact"/>
        <w:ind w:firstLine="420" w:firstLineChars="200"/>
        <w:rPr>
          <w:rFonts w:ascii="宋体"/>
          <w:color w:val="auto"/>
          <w:szCs w:val="21"/>
          <w:highlight w:val="none"/>
        </w:rPr>
      </w:pPr>
      <w:r>
        <w:rPr>
          <w:rFonts w:hint="eastAsia" w:ascii="宋体"/>
          <w:color w:val="auto"/>
          <w:szCs w:val="21"/>
          <w:highlight w:val="none"/>
        </w:rPr>
        <w:t>14.2采购代理机构应当在成交供应商确定后2</w:t>
      </w:r>
      <w:r>
        <w:rPr>
          <w:rFonts w:hint="eastAsia" w:ascii="宋体"/>
          <w:color w:val="auto"/>
          <w:spacing w:val="-10"/>
          <w:szCs w:val="21"/>
          <w:highlight w:val="none"/>
        </w:rPr>
        <w:t>个工作日内</w:t>
      </w:r>
      <w:r>
        <w:rPr>
          <w:rFonts w:hint="eastAsia" w:ascii="宋体"/>
          <w:color w:val="auto"/>
          <w:szCs w:val="21"/>
          <w:highlight w:val="none"/>
        </w:rPr>
        <w:t>，在竞争性磋商公告发布媒体上公告成交结果，同时向成交供应商发出成交通知书。</w:t>
      </w:r>
    </w:p>
    <w:p>
      <w:pPr>
        <w:spacing w:line="500" w:lineRule="exact"/>
        <w:ind w:firstLine="420" w:firstLineChars="200"/>
        <w:rPr>
          <w:rFonts w:ascii="宋体"/>
          <w:color w:val="auto"/>
          <w:szCs w:val="21"/>
          <w:highlight w:val="none"/>
        </w:rPr>
      </w:pPr>
      <w:r>
        <w:rPr>
          <w:rFonts w:hint="eastAsia" w:ascii="宋体"/>
          <w:color w:val="auto"/>
          <w:szCs w:val="21"/>
          <w:highlight w:val="none"/>
        </w:rPr>
        <w:t>14.3 谈判供应商如对评审结果有异议，在公示期可以书面形式向采购人或采购代理机构提出质疑。采购人或采购代理机构应当在收到谈判供应商的书面质疑后七个工作日内做出答复，但答复的内容不得涉及商业秘密。</w:t>
      </w:r>
    </w:p>
    <w:p>
      <w:pPr>
        <w:spacing w:line="500" w:lineRule="exact"/>
        <w:ind w:firstLine="420" w:firstLineChars="200"/>
        <w:rPr>
          <w:rFonts w:ascii="宋体"/>
          <w:color w:val="auto"/>
          <w:szCs w:val="21"/>
          <w:highlight w:val="none"/>
        </w:rPr>
      </w:pPr>
      <w:r>
        <w:rPr>
          <w:rFonts w:ascii="宋体"/>
          <w:color w:val="auto"/>
          <w:szCs w:val="21"/>
          <w:highlight w:val="none"/>
        </w:rPr>
        <w:t xml:space="preserve">14.4 </w:t>
      </w:r>
      <w:r>
        <w:rPr>
          <w:rFonts w:hint="eastAsia" w:ascii="宋体"/>
          <w:color w:val="auto"/>
          <w:szCs w:val="21"/>
          <w:highlight w:val="none"/>
        </w:rPr>
        <w:t>质疑谈判供应商必须首先经过质疑程序，在对采购代理机构的答复不满意或者采购代理机构未按规定的时间内做出答复的，可以在答复期满后十五个工作日内书面向贵港市港北区财政局政府采购监督管理股投诉。</w:t>
      </w:r>
    </w:p>
    <w:p>
      <w:pPr>
        <w:spacing w:line="500" w:lineRule="exact"/>
        <w:rPr>
          <w:rFonts w:ascii="宋体"/>
          <w:b/>
          <w:color w:val="auto"/>
          <w:szCs w:val="21"/>
          <w:highlight w:val="none"/>
        </w:rPr>
      </w:pPr>
      <w:r>
        <w:rPr>
          <w:rFonts w:hint="eastAsia" w:ascii="宋体"/>
          <w:b/>
          <w:color w:val="auto"/>
          <w:szCs w:val="21"/>
          <w:highlight w:val="none"/>
        </w:rPr>
        <w:t>七、履约保证金</w:t>
      </w:r>
    </w:p>
    <w:p>
      <w:pPr>
        <w:pStyle w:val="14"/>
        <w:spacing w:line="460" w:lineRule="exact"/>
        <w:ind w:firstLine="422" w:firstLineChars="200"/>
        <w:rPr>
          <w:b/>
          <w:color w:val="auto"/>
          <w:highlight w:val="none"/>
        </w:rPr>
      </w:pPr>
      <w:r>
        <w:rPr>
          <w:rFonts w:hint="eastAsia"/>
          <w:b/>
          <w:color w:val="auto"/>
          <w:highlight w:val="none"/>
        </w:rPr>
        <w:t>无。</w:t>
      </w:r>
    </w:p>
    <w:p>
      <w:pPr>
        <w:spacing w:line="500" w:lineRule="exact"/>
        <w:rPr>
          <w:rFonts w:ascii="宋体"/>
          <w:b/>
          <w:color w:val="auto"/>
          <w:szCs w:val="21"/>
          <w:highlight w:val="none"/>
        </w:rPr>
      </w:pPr>
      <w:r>
        <w:rPr>
          <w:rFonts w:hint="eastAsia" w:ascii="宋体"/>
          <w:b/>
          <w:color w:val="auto"/>
          <w:szCs w:val="21"/>
          <w:highlight w:val="none"/>
        </w:rPr>
        <w:t>八、签订合同</w:t>
      </w:r>
    </w:p>
    <w:p>
      <w:pPr>
        <w:spacing w:line="500" w:lineRule="exact"/>
        <w:ind w:firstLine="420" w:firstLineChars="200"/>
        <w:rPr>
          <w:rFonts w:ascii="宋体"/>
          <w:color w:val="auto"/>
          <w:szCs w:val="21"/>
          <w:highlight w:val="none"/>
        </w:rPr>
      </w:pPr>
      <w:r>
        <w:rPr>
          <w:rFonts w:hint="eastAsia" w:ascii="宋体"/>
          <w:color w:val="auto"/>
          <w:szCs w:val="21"/>
          <w:highlight w:val="none"/>
        </w:rPr>
        <w:t>16.1成交供应商</w:t>
      </w:r>
      <w:r>
        <w:rPr>
          <w:rFonts w:hint="eastAsia" w:ascii="宋体"/>
          <w:color w:val="auto"/>
          <w:szCs w:val="21"/>
          <w:highlight w:val="none"/>
          <w:lang w:eastAsia="zh-CN"/>
        </w:rPr>
        <w:t>应</w:t>
      </w:r>
      <w:r>
        <w:rPr>
          <w:rFonts w:hint="eastAsia" w:ascii="宋体"/>
          <w:color w:val="auto"/>
          <w:szCs w:val="21"/>
          <w:highlight w:val="none"/>
        </w:rPr>
        <w:t>在成交通知书</w:t>
      </w:r>
      <w:r>
        <w:rPr>
          <w:rFonts w:hint="eastAsia" w:ascii="宋体"/>
          <w:color w:val="auto"/>
          <w:szCs w:val="21"/>
          <w:highlight w:val="none"/>
          <w:lang w:eastAsia="zh-CN"/>
        </w:rPr>
        <w:t>发出之日起</w:t>
      </w:r>
      <w:r>
        <w:rPr>
          <w:rFonts w:hint="eastAsia" w:ascii="宋体"/>
          <w:color w:val="auto"/>
          <w:szCs w:val="21"/>
          <w:highlight w:val="none"/>
          <w:lang w:val="en-US" w:eastAsia="zh-CN"/>
        </w:rPr>
        <w:t>20天内</w:t>
      </w:r>
      <w:r>
        <w:rPr>
          <w:rFonts w:hint="eastAsia" w:ascii="宋体"/>
          <w:color w:val="auto"/>
          <w:szCs w:val="21"/>
          <w:highlight w:val="none"/>
        </w:rPr>
        <w:t>，</w:t>
      </w:r>
      <w:r>
        <w:rPr>
          <w:rFonts w:hint="eastAsia" w:ascii="宋体"/>
          <w:color w:val="auto"/>
          <w:szCs w:val="21"/>
          <w:highlight w:val="none"/>
          <w:lang w:eastAsia="zh-CN"/>
        </w:rPr>
        <w:t>由法定代表人或授权代表与采购人进行签订合同</w:t>
      </w:r>
      <w:r>
        <w:rPr>
          <w:rFonts w:hint="eastAsia" w:ascii="宋体"/>
          <w:color w:val="auto"/>
          <w:szCs w:val="21"/>
          <w:highlight w:val="none"/>
        </w:rPr>
        <w:t>。合同正式签订后送一份至贵港市港北区财政局政府采购监督管理股备案。</w:t>
      </w:r>
    </w:p>
    <w:p>
      <w:pPr>
        <w:spacing w:line="500" w:lineRule="exact"/>
        <w:ind w:firstLine="420" w:firstLineChars="200"/>
        <w:rPr>
          <w:rFonts w:ascii="宋体"/>
          <w:color w:val="auto"/>
          <w:szCs w:val="21"/>
          <w:highlight w:val="none"/>
        </w:rPr>
      </w:pPr>
      <w:r>
        <w:rPr>
          <w:rFonts w:hint="eastAsia" w:ascii="宋体"/>
          <w:color w:val="auto"/>
          <w:szCs w:val="21"/>
          <w:highlight w:val="none"/>
        </w:rPr>
        <w:t>16.2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500" w:lineRule="exact"/>
        <w:rPr>
          <w:rFonts w:ascii="宋体"/>
          <w:b/>
          <w:color w:val="auto"/>
          <w:szCs w:val="21"/>
          <w:highlight w:val="none"/>
        </w:rPr>
      </w:pPr>
      <w:r>
        <w:rPr>
          <w:rFonts w:hint="eastAsia" w:ascii="宋体"/>
          <w:b/>
          <w:color w:val="auto"/>
          <w:szCs w:val="21"/>
          <w:highlight w:val="none"/>
        </w:rPr>
        <w:t>九、政府采购合同公告</w:t>
      </w:r>
    </w:p>
    <w:p>
      <w:pPr>
        <w:spacing w:line="500" w:lineRule="exact"/>
        <w:ind w:firstLine="420" w:firstLineChars="200"/>
        <w:rPr>
          <w:rFonts w:ascii="宋体"/>
          <w:color w:val="auto"/>
          <w:szCs w:val="21"/>
          <w:highlight w:val="none"/>
        </w:rPr>
      </w:pPr>
      <w:r>
        <w:rPr>
          <w:rFonts w:hint="eastAsia" w:ascii="宋体"/>
          <w:color w:val="auto"/>
          <w:szCs w:val="21"/>
          <w:highlight w:val="none"/>
        </w:rPr>
        <w:t>17.1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500" w:lineRule="exact"/>
        <w:rPr>
          <w:rFonts w:ascii="宋体"/>
          <w:b/>
          <w:color w:val="auto"/>
          <w:szCs w:val="21"/>
          <w:highlight w:val="none"/>
        </w:rPr>
      </w:pPr>
      <w:r>
        <w:rPr>
          <w:rFonts w:hint="eastAsia" w:ascii="宋体"/>
          <w:b/>
          <w:color w:val="auto"/>
          <w:szCs w:val="21"/>
          <w:highlight w:val="none"/>
        </w:rPr>
        <w:t>十、适用法律</w:t>
      </w:r>
    </w:p>
    <w:p>
      <w:pPr>
        <w:spacing w:line="500" w:lineRule="exact"/>
        <w:ind w:firstLine="420" w:firstLineChars="200"/>
        <w:rPr>
          <w:rFonts w:ascii="宋体"/>
          <w:color w:val="auto"/>
          <w:szCs w:val="21"/>
          <w:highlight w:val="none"/>
        </w:rPr>
      </w:pPr>
      <w:r>
        <w:rPr>
          <w:rFonts w:hint="eastAsia" w:ascii="宋体"/>
          <w:color w:val="auto"/>
          <w:szCs w:val="21"/>
          <w:highlight w:val="none"/>
        </w:rPr>
        <w:t>18.</w:t>
      </w:r>
      <w:r>
        <w:rPr>
          <w:rFonts w:hint="eastAsia"/>
          <w:color w:val="auto"/>
          <w:highlight w:val="none"/>
        </w:rPr>
        <w:t xml:space="preserve"> </w:t>
      </w:r>
      <w:r>
        <w:rPr>
          <w:rFonts w:hint="eastAsia" w:ascii="宋体"/>
          <w:color w:val="auto"/>
          <w:szCs w:val="21"/>
          <w:highlight w:val="none"/>
        </w:rPr>
        <w:t>采购当事人的一切活动均适用于《</w:t>
      </w:r>
      <w:r>
        <w:rPr>
          <w:rFonts w:hint="eastAsia" w:ascii="宋体"/>
          <w:color w:val="auto"/>
          <w:spacing w:val="-10"/>
          <w:szCs w:val="21"/>
          <w:highlight w:val="none"/>
        </w:rPr>
        <w:t>中华人民共和国政府采购法</w:t>
      </w:r>
      <w:r>
        <w:rPr>
          <w:rFonts w:hint="eastAsia" w:ascii="宋体"/>
          <w:color w:val="auto"/>
          <w:szCs w:val="21"/>
          <w:highlight w:val="none"/>
        </w:rPr>
        <w:t>》、</w:t>
      </w:r>
      <w:r>
        <w:rPr>
          <w:rFonts w:hint="eastAsia" w:ascii="宋体" w:hAnsi="宋体"/>
          <w:color w:val="auto"/>
          <w:szCs w:val="21"/>
          <w:highlight w:val="none"/>
        </w:rPr>
        <w:t>《中华人民共和国政府合同法》、</w:t>
      </w:r>
      <w:r>
        <w:rPr>
          <w:rFonts w:hint="eastAsia" w:ascii="宋体"/>
          <w:color w:val="auto"/>
          <w:szCs w:val="21"/>
          <w:highlight w:val="none"/>
        </w:rPr>
        <w:t>《政府采购竞争性磋商采购方式管理暂行办法》及相关规定。</w:t>
      </w:r>
    </w:p>
    <w:p>
      <w:pPr>
        <w:spacing w:line="500" w:lineRule="exact"/>
        <w:rPr>
          <w:rFonts w:ascii="宋体"/>
          <w:b/>
          <w:color w:val="auto"/>
          <w:szCs w:val="21"/>
          <w:highlight w:val="none"/>
        </w:rPr>
      </w:pPr>
      <w:r>
        <w:rPr>
          <w:rFonts w:hint="eastAsia" w:ascii="宋体"/>
          <w:b/>
          <w:color w:val="auto"/>
          <w:szCs w:val="21"/>
          <w:highlight w:val="none"/>
        </w:rPr>
        <w:t>十一、其他事项</w:t>
      </w:r>
    </w:p>
    <w:p>
      <w:pPr>
        <w:pStyle w:val="14"/>
        <w:spacing w:line="380" w:lineRule="exact"/>
        <w:rPr>
          <w:b/>
          <w:color w:val="auto"/>
          <w:highlight w:val="none"/>
        </w:rPr>
      </w:pPr>
      <w:r>
        <w:rPr>
          <w:rFonts w:hint="eastAsia"/>
          <w:b/>
          <w:color w:val="auto"/>
          <w:highlight w:val="none"/>
        </w:rPr>
        <w:t>19.1招标</w:t>
      </w:r>
      <w:r>
        <w:rPr>
          <w:b/>
          <w:color w:val="auto"/>
          <w:highlight w:val="none"/>
        </w:rPr>
        <w:t>代理</w:t>
      </w:r>
      <w:r>
        <w:rPr>
          <w:rFonts w:hint="eastAsia"/>
          <w:b/>
          <w:color w:val="auto"/>
          <w:highlight w:val="none"/>
        </w:rPr>
        <w:t>服务费</w:t>
      </w:r>
    </w:p>
    <w:p>
      <w:pPr>
        <w:spacing w:line="500" w:lineRule="exact"/>
        <w:ind w:firstLine="420" w:firstLineChars="200"/>
        <w:rPr>
          <w:rFonts w:ascii="宋体"/>
          <w:color w:val="auto"/>
          <w:szCs w:val="21"/>
          <w:highlight w:val="none"/>
        </w:rPr>
      </w:pPr>
      <w:r>
        <w:rPr>
          <w:rFonts w:hint="eastAsia" w:ascii="宋体"/>
          <w:color w:val="auto"/>
          <w:szCs w:val="21"/>
          <w:highlight w:val="none"/>
        </w:rPr>
        <w:t>本项目的招标代理服务费按发改价格〔2015〕299号文执行，具体金额为：人民币</w:t>
      </w:r>
      <w:r>
        <w:rPr>
          <w:rFonts w:hint="eastAsia" w:ascii="宋体"/>
          <w:color w:val="auto"/>
          <w:szCs w:val="21"/>
          <w:highlight w:val="none"/>
          <w:lang w:eastAsia="zh-CN"/>
        </w:rPr>
        <w:t>贰万零伍佰元整</w:t>
      </w:r>
      <w:r>
        <w:rPr>
          <w:rFonts w:hint="eastAsia" w:ascii="宋体"/>
          <w:color w:val="auto"/>
          <w:szCs w:val="21"/>
          <w:highlight w:val="none"/>
        </w:rPr>
        <w:t xml:space="preserve"> （￥</w:t>
      </w:r>
      <w:r>
        <w:rPr>
          <w:rFonts w:hint="eastAsia" w:ascii="宋体"/>
          <w:color w:val="auto"/>
          <w:szCs w:val="21"/>
          <w:highlight w:val="none"/>
          <w:lang w:val="en-US" w:eastAsia="zh-CN"/>
        </w:rPr>
        <w:t>20500.00</w:t>
      </w:r>
      <w:r>
        <w:rPr>
          <w:rFonts w:ascii="宋体"/>
          <w:color w:val="auto"/>
          <w:szCs w:val="21"/>
          <w:highlight w:val="none"/>
        </w:rPr>
        <w:t xml:space="preserve"> </w:t>
      </w:r>
      <w:r>
        <w:rPr>
          <w:rFonts w:hint="eastAsia" w:ascii="宋体"/>
          <w:color w:val="auto"/>
          <w:szCs w:val="21"/>
          <w:highlight w:val="none"/>
        </w:rPr>
        <w:t>元）；领取成交通知书前，成交供应商应向代理机构一次性付清代理服务费。否则，将视之为违约，取消该成交决定并对成交供应商已提交的全部保证金不予退还。</w:t>
      </w:r>
    </w:p>
    <w:p>
      <w:pPr>
        <w:spacing w:line="500" w:lineRule="exact"/>
        <w:ind w:firstLine="420" w:firstLineChars="200"/>
        <w:rPr>
          <w:rFonts w:ascii="宋体"/>
          <w:color w:val="auto"/>
          <w:szCs w:val="21"/>
          <w:highlight w:val="none"/>
        </w:rPr>
      </w:pPr>
      <w:r>
        <w:rPr>
          <w:rFonts w:hint="eastAsia" w:ascii="宋体"/>
          <w:color w:val="auto"/>
          <w:szCs w:val="21"/>
          <w:highlight w:val="none"/>
        </w:rPr>
        <w:t>代理服务费专用帐户：</w:t>
      </w:r>
    </w:p>
    <w:p>
      <w:pPr>
        <w:spacing w:line="500" w:lineRule="exact"/>
        <w:ind w:firstLine="420" w:firstLineChars="200"/>
        <w:rPr>
          <w:rFonts w:ascii="宋体"/>
          <w:color w:val="auto"/>
          <w:szCs w:val="21"/>
          <w:highlight w:val="none"/>
        </w:rPr>
      </w:pPr>
      <w:r>
        <w:rPr>
          <w:rFonts w:hint="eastAsia" w:ascii="宋体"/>
          <w:color w:val="auto"/>
          <w:szCs w:val="21"/>
          <w:highlight w:val="none"/>
        </w:rPr>
        <w:t>开户名称：广西新宇建设项目管理有限公司贵港分公司</w:t>
      </w:r>
    </w:p>
    <w:p>
      <w:pPr>
        <w:spacing w:line="500" w:lineRule="exact"/>
        <w:ind w:firstLine="420" w:firstLineChars="200"/>
        <w:rPr>
          <w:rFonts w:ascii="宋体"/>
          <w:color w:val="auto"/>
          <w:szCs w:val="21"/>
          <w:highlight w:val="none"/>
        </w:rPr>
      </w:pPr>
      <w:r>
        <w:rPr>
          <w:rFonts w:hint="eastAsia" w:ascii="宋体"/>
          <w:color w:val="auto"/>
          <w:szCs w:val="21"/>
          <w:highlight w:val="none"/>
        </w:rPr>
        <w:t>开户银行：中国银行股份有限公司贵港市中山支行</w:t>
      </w:r>
    </w:p>
    <w:p>
      <w:pPr>
        <w:spacing w:line="500" w:lineRule="exact"/>
        <w:ind w:firstLine="420" w:firstLineChars="200"/>
        <w:rPr>
          <w:rFonts w:ascii="宋体"/>
          <w:color w:val="auto"/>
          <w:szCs w:val="21"/>
          <w:highlight w:val="none"/>
        </w:rPr>
      </w:pPr>
      <w:r>
        <w:rPr>
          <w:rFonts w:hint="eastAsia" w:ascii="宋体"/>
          <w:color w:val="auto"/>
          <w:szCs w:val="21"/>
          <w:highlight w:val="none"/>
        </w:rPr>
        <w:t>开户帐号：622359464037</w:t>
      </w:r>
    </w:p>
    <w:p>
      <w:pPr>
        <w:pStyle w:val="14"/>
        <w:spacing w:line="380" w:lineRule="exact"/>
        <w:rPr>
          <w:b/>
          <w:color w:val="auto"/>
          <w:highlight w:val="none"/>
        </w:rPr>
      </w:pPr>
      <w:r>
        <w:rPr>
          <w:rFonts w:hint="eastAsia"/>
          <w:b/>
          <w:color w:val="auto"/>
          <w:highlight w:val="none"/>
        </w:rPr>
        <w:t>19.2.解释权</w:t>
      </w:r>
    </w:p>
    <w:p>
      <w:pPr>
        <w:spacing w:line="500" w:lineRule="exact"/>
        <w:ind w:firstLine="420" w:firstLineChars="200"/>
        <w:rPr>
          <w:color w:val="auto"/>
          <w:highlight w:val="none"/>
        </w:rPr>
      </w:pPr>
      <w:r>
        <w:rPr>
          <w:rFonts w:hint="eastAsia"/>
          <w:color w:val="auto"/>
          <w:highlight w:val="none"/>
        </w:rPr>
        <w:t>解释权属本采购代理机构。</w:t>
      </w:r>
    </w:p>
    <w:p>
      <w:pPr>
        <w:pStyle w:val="14"/>
        <w:spacing w:line="380" w:lineRule="exact"/>
        <w:rPr>
          <w:color w:val="auto"/>
          <w:spacing w:val="-4"/>
          <w:highlight w:val="none"/>
        </w:rPr>
      </w:pPr>
      <w:r>
        <w:rPr>
          <w:rFonts w:hint="eastAsia"/>
          <w:b/>
          <w:color w:val="auto"/>
          <w:highlight w:val="none"/>
        </w:rPr>
        <w:t>19.3有关事宜</w:t>
      </w:r>
    </w:p>
    <w:p>
      <w:pPr>
        <w:spacing w:line="500" w:lineRule="exact"/>
        <w:ind w:firstLine="420" w:firstLineChars="200"/>
        <w:rPr>
          <w:color w:val="auto"/>
          <w:highlight w:val="none"/>
        </w:rPr>
      </w:pPr>
      <w:r>
        <w:rPr>
          <w:rFonts w:hint="eastAsia"/>
          <w:color w:val="auto"/>
          <w:highlight w:val="none"/>
        </w:rPr>
        <w:t>所有与本磋商文件有关的函件请按下列通讯地址联系：</w:t>
      </w:r>
    </w:p>
    <w:p>
      <w:pPr>
        <w:spacing w:line="500" w:lineRule="exact"/>
        <w:ind w:firstLine="420" w:firstLineChars="200"/>
        <w:rPr>
          <w:color w:val="auto"/>
          <w:highlight w:val="none"/>
        </w:rPr>
      </w:pPr>
      <w:r>
        <w:rPr>
          <w:rFonts w:hint="eastAsia"/>
          <w:color w:val="auto"/>
          <w:highlight w:val="none"/>
        </w:rPr>
        <w:t>通讯地址：广西新宇建设项目管理有限公司贵港分公司（贵港市港北区新华路龙珠别墅3135号&lt;贵港市公务员局斜对面&gt;）</w:t>
      </w:r>
    </w:p>
    <w:p>
      <w:pPr>
        <w:spacing w:line="500" w:lineRule="exact"/>
        <w:ind w:firstLine="420" w:firstLineChars="200"/>
        <w:rPr>
          <w:rFonts w:ascii="宋体"/>
          <w:color w:val="auto"/>
          <w:szCs w:val="21"/>
          <w:highlight w:val="none"/>
        </w:rPr>
      </w:pPr>
      <w:r>
        <w:rPr>
          <w:rFonts w:hint="eastAsia" w:ascii="宋体"/>
          <w:color w:val="auto"/>
          <w:szCs w:val="21"/>
          <w:highlight w:val="none"/>
        </w:rPr>
        <w:t>电    话：</w:t>
      </w:r>
      <w:r>
        <w:rPr>
          <w:rFonts w:ascii="宋体"/>
          <w:color w:val="auto"/>
          <w:szCs w:val="21"/>
          <w:highlight w:val="none"/>
        </w:rPr>
        <w:t>0775-4358261</w:t>
      </w:r>
    </w:p>
    <w:p>
      <w:pPr>
        <w:pStyle w:val="17"/>
        <w:rPr>
          <w:color w:val="auto"/>
          <w:highlight w:val="none"/>
        </w:rPr>
      </w:pPr>
    </w:p>
    <w:p>
      <w:pPr>
        <w:pStyle w:val="14"/>
        <w:spacing w:line="380" w:lineRule="exact"/>
        <w:rPr>
          <w:b/>
          <w:color w:val="auto"/>
          <w:highlight w:val="none"/>
        </w:rPr>
      </w:pPr>
      <w:r>
        <w:rPr>
          <w:rFonts w:hint="eastAsia"/>
          <w:b/>
          <w:color w:val="auto"/>
          <w:highlight w:val="none"/>
        </w:rPr>
        <w:t>19.4质疑和投诉</w:t>
      </w:r>
    </w:p>
    <w:p>
      <w:pPr>
        <w:spacing w:line="500" w:lineRule="exact"/>
        <w:ind w:firstLine="420" w:firstLineChars="200"/>
        <w:rPr>
          <w:color w:val="auto"/>
          <w:highlight w:val="none"/>
        </w:rPr>
      </w:pPr>
      <w:r>
        <w:rPr>
          <w:rFonts w:hint="eastAsia"/>
          <w:color w:val="auto"/>
          <w:highlight w:val="none"/>
        </w:rPr>
        <w:t>1.投标人认为磋商文件、采购过程或成交结果使自己的合法权益受到损害的，应当在知道或者应知其权益受到损害之日起七个工作日内，以书面形式向采购人、采购代理机构提出质疑，采购代理机构应当依照规定就采购人委托授权范围内的事项在收到磋商人的书面质疑后七个工作日内做出答复，但答复的内容不得涉及商业秘密。质疑必须符合《政府采购质疑和投诉办法》（财政部令第94号）的规定，在对采购代理机构的答复不满意或者采购代理机构未在规定的时间内做出答复的，可以在答复期满后十五个工作日内书面向同级政府采购监督管理部门投诉。</w:t>
      </w:r>
    </w:p>
    <w:p>
      <w:pPr>
        <w:spacing w:line="500" w:lineRule="exact"/>
        <w:ind w:firstLine="420" w:firstLineChars="200"/>
        <w:rPr>
          <w:color w:val="auto"/>
          <w:highlight w:val="none"/>
        </w:rPr>
      </w:pPr>
      <w:r>
        <w:rPr>
          <w:rFonts w:hint="eastAsia"/>
          <w:color w:val="auto"/>
          <w:highlight w:val="none"/>
        </w:rPr>
        <w:t>2. 政府采购监督管理部门在处理投诉事项期间，可以视具体情况书面通知采购人暂停采购活动。</w:t>
      </w:r>
    </w:p>
    <w:p>
      <w:pPr>
        <w:spacing w:line="500" w:lineRule="exact"/>
        <w:ind w:firstLine="420" w:firstLineChars="200"/>
        <w:rPr>
          <w:color w:val="auto"/>
          <w:highlight w:val="none"/>
        </w:rPr>
      </w:pPr>
      <w:r>
        <w:rPr>
          <w:rFonts w:hint="eastAsia"/>
          <w:color w:val="auto"/>
          <w:highlight w:val="none"/>
        </w:rPr>
        <w:t>3.质疑、投诉应当采用书面形式，质疑书、投诉书均应明确阐述磋商文件、采购过程或成交结果中使自己合法权益受到损害的实质性内容，提供相关事实、依据和证据及其来源或线索，便于有关单位调查、答复和处理。</w:t>
      </w:r>
    </w:p>
    <w:p>
      <w:pPr>
        <w:spacing w:line="500" w:lineRule="exact"/>
        <w:ind w:firstLine="420" w:firstLineChars="200"/>
        <w:rPr>
          <w:color w:val="auto"/>
          <w:highlight w:val="none"/>
        </w:rPr>
      </w:pPr>
      <w:r>
        <w:rPr>
          <w:rFonts w:hint="eastAsia"/>
          <w:color w:val="auto"/>
          <w:highlight w:val="none"/>
        </w:rPr>
        <w:t>4.供应商提出质疑时，应当提交质疑函和必要的证明材料。质疑函应当包括下列内容：</w:t>
      </w:r>
      <w:r>
        <w:rPr>
          <w:rFonts w:hint="eastAsia"/>
          <w:color w:val="auto"/>
          <w:highlight w:val="none"/>
        </w:rPr>
        <w:br w:type="textWrapping"/>
      </w:r>
      <w:r>
        <w:rPr>
          <w:rFonts w:hint="eastAsia"/>
          <w:color w:val="auto"/>
          <w:highlight w:val="none"/>
        </w:rPr>
        <w:t>（一）供应商的名称、地址、邮编、联系人及联系电话；</w:t>
      </w:r>
      <w:r>
        <w:rPr>
          <w:rFonts w:hint="eastAsia"/>
          <w:color w:val="auto"/>
          <w:highlight w:val="none"/>
        </w:rPr>
        <w:br w:type="textWrapping"/>
      </w:r>
      <w:r>
        <w:rPr>
          <w:rFonts w:hint="eastAsia"/>
          <w:color w:val="auto"/>
          <w:highlight w:val="none"/>
        </w:rPr>
        <w:t>（二）质疑项目的名称、编号；</w:t>
      </w:r>
      <w:r>
        <w:rPr>
          <w:rFonts w:hint="eastAsia"/>
          <w:color w:val="auto"/>
          <w:highlight w:val="none"/>
        </w:rPr>
        <w:br w:type="textWrapping"/>
      </w:r>
      <w:r>
        <w:rPr>
          <w:rFonts w:hint="eastAsia"/>
          <w:color w:val="auto"/>
          <w:highlight w:val="none"/>
        </w:rPr>
        <w:t>（三）具体、明确的质疑事项和与质疑事项相关的请求；</w:t>
      </w:r>
      <w:r>
        <w:rPr>
          <w:rFonts w:hint="eastAsia"/>
          <w:color w:val="auto"/>
          <w:highlight w:val="none"/>
        </w:rPr>
        <w:br w:type="textWrapping"/>
      </w:r>
      <w:r>
        <w:rPr>
          <w:rFonts w:hint="eastAsia"/>
          <w:color w:val="auto"/>
          <w:highlight w:val="none"/>
        </w:rPr>
        <w:t>（四）事实依据；</w:t>
      </w:r>
    </w:p>
    <w:p>
      <w:pPr>
        <w:spacing w:line="500" w:lineRule="exact"/>
        <w:ind w:firstLine="420" w:firstLineChars="200"/>
        <w:rPr>
          <w:color w:val="auto"/>
          <w:highlight w:val="none"/>
        </w:rPr>
      </w:pPr>
      <w:r>
        <w:rPr>
          <w:rFonts w:hint="eastAsia"/>
          <w:color w:val="auto"/>
          <w:highlight w:val="none"/>
        </w:rPr>
        <w:t>（五）必要的法律依据；</w:t>
      </w:r>
      <w:r>
        <w:rPr>
          <w:rFonts w:hint="eastAsia"/>
          <w:color w:val="auto"/>
          <w:highlight w:val="none"/>
        </w:rPr>
        <w:br w:type="textWrapping"/>
      </w:r>
      <w:r>
        <w:rPr>
          <w:rFonts w:hint="eastAsia"/>
          <w:color w:val="auto"/>
          <w:highlight w:val="none"/>
        </w:rPr>
        <w:t>（六）提起质疑的日期。</w:t>
      </w:r>
      <w:r>
        <w:rPr>
          <w:rFonts w:hint="eastAsia"/>
          <w:color w:val="auto"/>
          <w:highlight w:val="none"/>
        </w:rPr>
        <w:br w:type="textWrapping"/>
      </w:r>
      <w:r>
        <w:rPr>
          <w:rFonts w:hint="eastAsia"/>
          <w:color w:val="auto"/>
          <w:highlight w:val="none"/>
        </w:rPr>
        <w:t> 质疑书应当署名。质疑供应商为自然人的，应当由本人签字；质疑供应商为法人或者其他组织的，应当由法定代表人、主要负责人或者其授权代表签字或盖章，并加盖公章。</w:t>
      </w:r>
    </w:p>
    <w:p>
      <w:pPr>
        <w:spacing w:line="500" w:lineRule="exact"/>
        <w:ind w:firstLine="420" w:firstLineChars="200"/>
        <w:rPr>
          <w:color w:val="auto"/>
          <w:highlight w:val="none"/>
        </w:rPr>
      </w:pPr>
      <w:r>
        <w:rPr>
          <w:rFonts w:hint="eastAsia"/>
          <w:color w:val="auto"/>
          <w:highlight w:val="none"/>
        </w:rPr>
        <w:t>如未按上述要求所进行以及不符合《政府采购质疑和投诉办法》（财政部令第94号）的规定的质疑或投诉将被视为无效，不予受理。</w:t>
      </w:r>
    </w:p>
    <w:p>
      <w:pPr>
        <w:spacing w:line="500" w:lineRule="exact"/>
        <w:ind w:firstLine="420" w:firstLineChars="200"/>
        <w:rPr>
          <w:color w:val="auto"/>
          <w:highlight w:val="none"/>
        </w:rPr>
      </w:pPr>
    </w:p>
    <w:p>
      <w:pPr>
        <w:spacing w:line="500" w:lineRule="exact"/>
        <w:ind w:firstLine="420" w:firstLineChars="200"/>
        <w:rPr>
          <w:color w:val="auto"/>
          <w:highlight w:val="none"/>
        </w:rPr>
      </w:pPr>
    </w:p>
    <w:p>
      <w:pPr>
        <w:pStyle w:val="4"/>
        <w:numPr>
          <w:ilvl w:val="0"/>
          <w:numId w:val="5"/>
        </w:numPr>
        <w:spacing w:line="500" w:lineRule="exact"/>
        <w:jc w:val="center"/>
        <w:rPr>
          <w:color w:val="auto"/>
          <w:sz w:val="44"/>
          <w:szCs w:val="44"/>
          <w:highlight w:val="none"/>
        </w:rPr>
      </w:pPr>
      <w:r>
        <w:rPr>
          <w:rFonts w:ascii="宋体"/>
          <w:color w:val="auto"/>
          <w:szCs w:val="21"/>
          <w:highlight w:val="none"/>
        </w:rPr>
        <w:br w:type="page"/>
      </w:r>
      <w:bookmarkStart w:id="7" w:name="_Toc30409524"/>
      <w:bookmarkStart w:id="8" w:name="_Toc451430916"/>
      <w:r>
        <w:rPr>
          <w:rFonts w:hint="eastAsia"/>
          <w:color w:val="auto"/>
          <w:sz w:val="44"/>
          <w:szCs w:val="44"/>
          <w:highlight w:val="none"/>
        </w:rPr>
        <w:t>项目采购需求</w:t>
      </w:r>
      <w:bookmarkEnd w:id="7"/>
      <w:bookmarkEnd w:id="8"/>
    </w:p>
    <w:p>
      <w:pPr>
        <w:rPr>
          <w:rFonts w:ascii="宋体"/>
          <w:color w:val="auto"/>
          <w:szCs w:val="21"/>
          <w:highlight w:val="none"/>
        </w:rPr>
      </w:pPr>
      <w:bookmarkStart w:id="9" w:name="_Toc451430917"/>
    </w:p>
    <w:p>
      <w:pPr>
        <w:pStyle w:val="17"/>
        <w:rPr>
          <w:color w:val="auto"/>
          <w:highlight w:val="none"/>
        </w:rPr>
      </w:pPr>
    </w:p>
    <w:tbl>
      <w:tblPr>
        <w:tblStyle w:val="2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0"/>
        <w:gridCol w:w="641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项号</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货物名称</w:t>
            </w:r>
          </w:p>
        </w:tc>
        <w:tc>
          <w:tcPr>
            <w:tcW w:w="6417"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规格型号</w:t>
            </w:r>
            <w:r>
              <w:rPr>
                <w:rFonts w:ascii="宋体" w:hAnsi="宋体" w:cs="宋体"/>
                <w:color w:val="auto"/>
                <w:kern w:val="0"/>
                <w:szCs w:val="21"/>
                <w:highlight w:val="none"/>
              </w:rPr>
              <w:t>及</w:t>
            </w:r>
            <w:r>
              <w:rPr>
                <w:rFonts w:hint="eastAsia" w:ascii="宋体" w:hAnsi="宋体" w:cs="宋体"/>
                <w:color w:val="auto"/>
                <w:kern w:val="0"/>
                <w:szCs w:val="21"/>
                <w:highlight w:val="none"/>
              </w:rPr>
              <w:t>技术指标等要求</w:t>
            </w:r>
          </w:p>
        </w:tc>
        <w:tc>
          <w:tcPr>
            <w:tcW w:w="709"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709"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217" w:type="dxa"/>
            <w:gridSpan w:val="3"/>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一、多媒体同步课堂主会场</w:t>
            </w:r>
          </w:p>
        </w:tc>
        <w:tc>
          <w:tcPr>
            <w:tcW w:w="709"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9"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多媒体</w:t>
            </w:r>
            <w:r>
              <w:rPr>
                <w:rFonts w:hint="eastAsia" w:ascii="宋体" w:hAnsi="宋体" w:cs="宋体"/>
                <w:color w:val="auto"/>
                <w:kern w:val="0"/>
                <w:szCs w:val="21"/>
                <w:highlight w:val="none"/>
                <w:lang w:eastAsia="zh-CN"/>
              </w:rPr>
              <w:t>多媒体同步课堂</w:t>
            </w:r>
            <w:r>
              <w:rPr>
                <w:rFonts w:hint="eastAsia" w:ascii="宋体" w:hAnsi="宋体" w:cs="宋体"/>
                <w:color w:val="auto"/>
                <w:kern w:val="0"/>
                <w:szCs w:val="21"/>
                <w:highlight w:val="none"/>
              </w:rPr>
              <w:t>会控平台</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1、要求必须为C/S架构，支持使用PC、平板进行会议控制，图形化简洁友好界面，拖放操作，所见即所得；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2、会议控制页面端除正常的功能外要有显示参会人员在线、非在线、入会、非入会；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3、支持实时预览正在进行中的会议与会终端视频画面，能够监听会议全程声音，能远程控制终端摄像机云台转动和变倍变焦；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4、支持双模板布局，且双模板布局可以分别定义给不同参会端显示（不同参会端显示不同布局模板），并支持随机切换布局模板；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5、支持把参会者直接拖拉进布局模板中的单元窗口，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6、在布局模板中的单元窗口上和参会列表中都可以进行该单元的参会权限设置、辅流权限设置、禁言设置、录像设置、轮循设置及远程管理终端；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7、支持一键呼叫所有与会者，也可以一键逐一呼叫，一键请出与会者；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8、支持会议的点名调试模式，在该模式下，主会场逐一和各个分会场调试，自动打开调试会场的声音，其他会场自动静音。并同时生成并可以导出点名记录；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9、支持实时查看各接入终端的IP、系统版本等设备信息，同时还能实时查看接入终端的接收/发送音视频码流、大小、丢包率等；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10、支持对任意终端的连接速率、编码格式、声音等进行调整和修改，无需终止会议或挂断终端；可对当前正被会议使用的会议模板进行分屏模式、连接速率、编码方式等进行调试和修改，无需挂断会议；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★11、支持不少于12种分屏方式，必须要有1+N和2+N的VIP的分屏方式，也支持用户自定义分屏方式，可根据需要手动调节分屏模式和分屏窗口大小等，最大支持25画面布局；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12、支持一键轮循，布局可固定发言人窗口，可定制1个或多个轮循窗口，并可自动轮循；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13、会控软件可设定多用户，会议控制授权基于会议室，多个会议可以分别设置会控权限实现多个会议的自行管理和控制而不需要MCU管理员进行所有会议的统一管理；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★14、支持通过RTSP协议采集IPC、DVR设备的视频流并同时支持IPC视频画面预览（响应文件中提供检测机构功能检验报告复印件）；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15、支持同一管理界面对与会终端一键重启，可指定任意硬件终端进行会议直播和会议录制的权限管理；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16、支持终端筛选功能，接入同一个虚拟会议室的不同类型终端可以按照硬件终端，软件终端、SIP终端、H323终端、监控视频、Android终端、iPhone终端、iPad终端、Mac终端等进行筛选分类显示；</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多媒体同步课堂MCU服务器</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1、采用嵌入式系统设计，双千兆网卡、双电源冗余备份，保证设备7*24小时稳定运行。</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★2、具有双机热备功能，同一个终端分布在不同的MCU，当一台MCU宕机时，终端可以在10S内自动重新连到另一台MCU，会议自动恢复（响应文件中提供检测机构功能检验报告复印件）；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★3、本次配置20个高清终端接入能力，单台设备最大支持100个终端接入能力；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4、MCU平台可以同时召开6组会议，并为每个会议室配置固定参会人员，管理员后台可以即时修改，这些会议室可不基于时间控制；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★5.支持1080p、720p等高清图像格式，并向下兼容4CIF、CIF标清图像格式，支持1080P辅流输入；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6、支持内置WEB进行后台管理，支持基于C/S的平板电脑进行控制、分屏等操作，会控界面必须图形化、支持拖放，操作便捷、简单易用；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7、支持多业务融合，设备能够支持H.323会议、SIP、ONVIF、RTMP/RTSP、视频会议、视频监控、PC桌面、手机/平板等的多业务的无缝接入；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8、支持多路智能混音特性，支持多种音频格式的终端加入同一会议；支持高清、标清混速混协议召开会议，允许不同编解码格式，包括1080P、720P等终端参加同一个会议，支持多个编解码格式的会议同时召开；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9、支持PC、Android/iOS/MACOS等智能手机及平板电脑接入；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★10、支持公私网穿越功能，在无NAT情况下，终端和MCU之间可以直接实现会议功能，MCU呼叫终端，双向音视频清晰、流畅（响应文件中提供检测机构功能检验报告复印件）；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11、支持RTSP、RTMP的监控系统直接接入系统，无需通过任何额外设备，监控画面可作为1路视频加入到任意一个正在进行的视频会议中，支持监控列表批量导入；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12、支持智能的网络自适应能力，设备应能够根据网络实时情况，自动降速、自动提速，断线自动重邀等功能。当网络超过指定丢包率时，自动降低编码速率，当网络没有丢包时自动提高速率；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13、具有良好的IP损伤适应性，在30%丢包率网络环境下语音通话清晰顺畅，视频基本流畅；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★14、支持集群部署或分布式部署，多个MCU可以组成一个动态资源池，实现MCU的备份和负载均衡；异地服务器之间通过集群形成资源池，能够动态从不同MCU上面分配资源给接入设备；</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多媒体同步课堂分体式终端</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1、采用硬件分体式结构，嵌入式设计，非PC机或工控机；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2、支持一键关机，视频输入接口不少于3路（须包含HDMI、SDI、DVI）；视频输出不少于2路HDMI接口（支持4K分辨率输出）；不低于3路音频输入1路音频输出接口，支持RS232摄像机控制接口和USB3.0接口；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★3、终端在会议模式下支持4K解码显示输出（响应文件中提供检测机构功能检验报告复印件）；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4、终端支持多视功能，终端支持2路主流视频同时发送给远端会场功能，2路主视频流可以加入会议分屏中；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★5、终端支持会议/录播双模式切换（响应文件中提供检测机构功能检验报告复印件）；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6、会议速率支持128Kbps－8Mbps；支持H.263、H.264、H.264HP、H.265或以上编解码视频协议；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★7、支持内置MCU功能，以1台终端为中心，与其他8台终端同时进行连接，连接正常并且可进行9方音视频通信（响应文件中提供检测机构功能检验报告复印件）；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8、支持遥控器和web后台控制，操作简单，画面布局遥控器多种选择，二分屏，画中画，三分屏或双显数据视频分开输出；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9、支持H.323、SIP、H.239、H.265等标准协议；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10、支持根据本地网络情况，接收选择不同码流的视频流，而上传视频智能选择最合适分辨率节省带宽；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11、支持录像回放功能，多路输入视频源以分屏形式呈现回放、1080P单画面全屏形式呈现回放、如有辅流输入、可切换为画中画视频布局；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智能网络速率调整，设备应可根据网络实时状况自动调整升降会议接入带宽，当网络丢包达到一定数值后自动降低码流，保障会议过程流畅、清晰，当网络质量回复正常后自动升高码流，确保高清会议效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13、数据采集支持软硬两种方式，数据流的传输支持有线信号连接和网络采集（无需VGA等连线）；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14、具有良好的IP损伤适应性，在30%丢包率网络环境下语音通话清晰顺畅，视频基本流畅；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15、支持流媒体直播推流功能；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支持离线录制和自动导播功能（响应文件中提供检测机构功能检验报告复印件），非联网情况下、终端可支持本地视频录制，能够将本地重要培训的视频+电脑桌面的多画面在本地录制，录制过程中可根据培训、会议流程自动导播切换讲师、电脑画面等，无需人为干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17、终端支持IPC接入功能，终端支持RTSP协议，可以IPC以1080P画质接入作为主流视频，能够直接通过网络以1080P调取会议室的监控画面，IP监控画面可作为1路视频源接入到视频会议，并推送到远端；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18、支持本地和网络存储功能，可以将本地培训、会议等录制的视频直接保存在本地，培训视频也可以直接复制到USB存储设备上；同时还支持通过网络将录制的会议或培训存储到FTP服务器端；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19、终端支持无线飞屏投影，设备在没有远程开会的情况下，本地会议/培训的电脑画面可以通过终端直接输出到显示设备上，无需再将显示设备线缆重新插拔到电脑上面；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20、支持公私网穿越功能，在无NAT情况下，终端和MCU之间可以直接实现会议功能，MCU呼叫终端，双向音视频清晰、流畅；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21、终端支持不低于20路会议分发功能，电脑登陆终端后台管理界面即可观看正在进行的实时会议；</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高清摄像机</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1、高端1/2.8"HDCMOS传感器，不低于200万高清晰像素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2、最高可以达到1080P高清制式，同时也支持1080i/720P多种制式转换输出，输出帧率更高达60帧/秒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3、支持多种控制方式，云端远程控制/RS-232C通讯控制/RS-422远距离通讯控制（VISCA协议/PELCO“P/D”协议）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★4、内置一体化镜头要求同时支持12倍光学变焦和10倍数字变焦，支持3D数字降噪；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5、镜头最大水平视角（广角）不得小于70度；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6、一体化云台超静音设计，支持DVI-I、HD-SDI接口输出；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7、支持RJ45网络输出，可在交互终端上通过网络调用前端摄像头信号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8、支持H.264、H.265、ONVIF、RTSP、RTMP等标准协议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★9、为保证系统兼容性和良好的售后服务，要求与多媒体同步课堂MCU服务器为同一品牌；</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一拖四无线话筒（桌面）</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1、调制方式:宽带调频(FM)；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2、频率范围：UHF605-655MHz；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3、信道间隔：250KHZ；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4、频率稳定度：±25KHz；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★5、信噪比：&gt;90dB；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6、失真度：&lt;0.5%@1KHz；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7、话筒类型：电容式；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★8、指向特性：单一指向性；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9、话筒耗电量：100mA；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10、动态范围：≥100dB；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11、领道干扰比：&gt;80dB；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12、最大频率偏移度：±50KHz；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★13、音频输出-独立：0～400mV；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14、混合：0～300mV；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15、接收机供电：DC 12V～17V；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16、话筒供电：DC 3V。</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天线放大器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(带指向型天线)</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1、频率范围：500-900MHz；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2、输入截断点：+22dBm；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3、噪声比：4.0dB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4、增益：+6-9dB；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5、输出阻抗：15dB min；</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6、阻抗：50Ω  指向；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7、频宽：300MHz；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8、插座：TNC female；</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9、电源供应：100-240V/50/60Hz；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10、电源消耗：170mA ；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11、主机尺寸:（L×W×H）480*200*45mm </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调音台</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1、16通道调音台；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2、输入：平衡式话筒x16，输出：L、R、SUBx2、AUXx4；</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3、整机信噪比：&lt;-90dB；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4、失真度：&lt;0.01%；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5、频率响应：20Hz-20KHz ±1dB；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6、阻抗匹配-话筒输入：1.6KΩ；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7、其它输入：&gt;10KΩ；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8、录音输出：1.1KΩ；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9、其它输出：120Ω；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10、均衡参数-    高频:12KHz±15dB，低频:100Hz±15dB；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中高频：2.5KHz±15dB，中低频：250Hz±15dB；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11、输入灵敏度-话筒：-60dB；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12、立体声输入：-40dB；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13、辅助输入：-20dB；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14、混音返回：-20dB；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15、主输出电平：+4V max；</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16、消耗功率：30W；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17、机身尺寸：（L×W×H）665x440x125mm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19、净重：7 kg。</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8</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专业音箱</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★1、额定功率：200W；（供应商于响应文件中必须提供所竞标产品具备上述具有检测资质的检测机构出具的检验报告复印件等相关证明材料）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★2、频响范围：50Hz-20KHz；</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★3、阻抗：8（Ω）；</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★4、灵敏度：96dB；（供应商于响应文件中必须提供所竞产品具备上述具有检测资质的检测机构出具的检验报告复印件等相关证明材料）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5、最大声压级：119dB；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6、覆盖角：80°×60°（H×V），分频点：2.5KHz；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7、单元配置：1x10″低音单元  65芯音圈，8Ω，156磁；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1x34mm高音单元  34芯音圈，1″口径，8Ω；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8、号角材质：ABS,号角可调；</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9、音箱材质：15mm高密度纤维板；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10、表面处理：水性环保黑色点漆；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11、音箱铁网：1.5mm厚板材，网孔￠5㎜钢网内衬防尘棉；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12、连接器： SPEAKON NL4×2 PIN1+/2+POS.  PIN1-/2-NEG（正负4芯安全插头）；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13、吊挂方式：底部支撑孔，顶部侧面吊挂、双侧面钢丝绳吊点；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14、吊挂硬件：18xM8吊点、底托、M8×35㎜吊环螺栓、万向壁架（1015A）；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15、箱体尺寸：330×530×326mm（W×H×D）；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16、包装尺寸：415×415×610mm（L×W×H）；                                                                                                                                                                                                                                17、净重：14.8Kg。</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9</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专业功放</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★1、立体声功率：8Ω 350W*2, 4Ω 525W*2；（供应商于响应文件中必须提供所竞产品具备上述具有检测资质的检测机构出具的检验报告复印件等相关证明材料）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2、桥接功率:8Ω 700W；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★3、总谐波失真（1KHz）:0.02%；</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★4、信噪比（A计权）：106dB；</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5、转换速率：60V/us；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6、阻尼系数：400：1；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★7、频率响应：20Hz-20KHz(±0.5dB)；（供应商于响应文件中必须提供所竞产品具备上述具有检测资质的检测机构出具的检验报告复印件等相关证明材料）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8、输入灵敏度：0.775V；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9、输入阻抗：10K ohms-20K ohms；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10、面板指示灯:Signal,protect,active,clip/limiting；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★11、功率放大器是一款带有LCD液晶数字显示屏、时尚的LCD液晶数字显示屏，可实时显示当前工作状态，可实时显示L\R音量、温度、灵敏度输入电压数值</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10</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反馈抑制器</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主要功能特点：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1、集成均衡、压限、分频、噪声门、延时、相位、自动增益、矩阵等于一体的全数字音频处理器；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2、96KHz采样频率，32-bit DSP处理器，24-bit A/D及D/A转换；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3、3路平衡式信号输入6路平衡式信号输出，可灵活组合多种分频模式，高、低通分频点均可达20Hz～20KHz；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4、提供USB2.0、USB3.0和RS485以及TCP/IP接口可连接电脑，其中RS485接口可最多连接250台设备和超过1500米的距离外用电脑来控制；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5、直接用面板的功能键和拔轮进行功能设置或是连接电脑通过PC控制软件来控制，均十分方便、直观和简洁；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6、单机最多可存储30组用户程序；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7、每个输入和输出均有6段独立的全参量均衡，调节增益范围可达±20dB，同时还可选择参量、高调、低调、1阶全通、2阶全通5种均衡模式；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8、每个输入通道可调噪声门，并且每个输入通道有两段全参数可调的动态均衡（DEQ），自动增益控制；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9、2×24 LCD蓝色背光显示功能设置，5段LED显示输入/输出的精确数字电平表、哑音及编辑状态；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10、每个输入和输出均有延时和相位控制及哑音设置，延时最长可达1000ms，延时单位可选择毫秒(ms)、米(m)、英尺(ft)三种，延时可通过粗调及细调模式进行调节；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11、输出通道还可控制压缩、限幅及选择输入信号通道，并能将某通道的所有参数复制到另外一个通道同时进行联动控制；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12、可以通过USB接口或RS485接口连接中控来控制矩阵和通道的哑音；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13、支持设备输入、输出、系统功能分别设置密码进行锁定，实现数据保密；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14、设备软件内置中控代码生成器、可实现一键中英文切换；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15、可通过外置UTWR1盒与电脑进行连接,可实现互联网远程控制。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主要技术参数：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1、输入通道及插座：3路XLR母卡侬座；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2、输出通道及插座：6路XLR公卡侬座；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3、输入阻抗：平衡：20KΩ；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4、输出阻抗 ：平衡：100Ω；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5、PC接口：面板1个USB3.0/USB2.0接口、后板1个RS485接口(凤凰插座) 、1个TCP/IP（RJ-45）接口；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6、共模拟制比：&gt;80dB(1KHz)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7、输入范围：≤+19dBu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8、频率响应：19.7Hz-20KHz(+/-0.5dB)；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9、信噪比：&gt;109dB；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10、失真度：&lt;0.002% OUTPUT=0dBu/1KHz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11、通道分离度：&gt;106dB(1KHz)；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12、功耗 ：≤25W；</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13、电源 ：AC110V/220V 50/60Hz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14、机身尺寸：（L×W×H）482*228*44mm； </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11</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数字啸叫抑制器</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1、输入通道及插座：2路XLR母卡侬座；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2、输出通道及插座：2路XLR公卡侬座；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3、输入阻抗：平衡20KΩ；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4、输出阻抗：平衡100KΩ；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5、共模拟制比：&gt;70dB（1KHz）；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6、输入范围：≤+25dBu；</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7、频率响应:20Hz-20KHz （-0.5dB）；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8、信噪比：&gt;100dB；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9、失真度：&lt;0.01%；</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10、通道分离度：&gt;110dB（1KHz）；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11、啸叫寻找与抑制方式：全自动式陷波；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12、信号输入频率响应：20Hz-30KHz±0.5dB；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13、滤波器：独立24个每通道；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14、频率分辨率：0.5Hz；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15、啸叫寻找时间：0.1-0.5S；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16、FFT长度：2048；</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17、传声增益：6-10 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18、处理器：96KHz采样频率，32-bitDSP；</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19、数模转换：24-bitA/D及D/A转换；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20、电源：AC110V/220V  50/60Hz；</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12</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电源时序器</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1、通道数量：8路；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2、单路最大输出电流：10A；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3、辅助电源输出：10A；</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4、工作电压：180V-240V；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5、输出插座标准；万用电源座；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6、开关间隔时间：1秒；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7、机身尺寸：（L×W×H）480*260*59mm；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8、净重：5kg。</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13</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机柜</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42U标准网络机柜。</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14</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网线、音频线、视频线等</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含设备安装使用所需网线、音频线、高清线、音箱线、音箱支架等所有线材及配件。</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15</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辅助材料</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施工所需的PVC阻燃线管、线槽、自攻钉、电工胶布、等所有施工耗材</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16</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交换机</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★1、最大可用端口≥28个，固化10/100/1000M以太网电口≥24，100/1000M SFP千兆光接口≥4个，10/100/1000M复用电口≥2个；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★2、交换容量≥190Gbps，包转发率≥40Mpps；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3、MAC地址表大小≥8K；</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4、支持生成树协议STP(IEEE 802.1d)，RSTP(IEEE 802.1w)和MSTP(IEEE 802.1s)，完全保证快速收敛，提高容错能力；</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5、符合国家低碳环保等政策要求，支持IEEE 802.3az标准的EEE节能技术；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★6、交换机采用专业的内置防雷技术，要求支持业界领先的防雷能力，业务端口防雷不低于9kv，响应文件中提供官网截图和链接证明；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7、支持链路检测技术，可快速检测链路的通断和光纤链路的单向性，并支持端口下的环路检测功能；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8、支持SNMP、CLI(Telnet/Console)、Syslog、NTP、TFTP、Web；</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17" w:type="dxa"/>
            <w:gridSpan w:val="3"/>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二、多媒体同步课堂分会场系统（8个硬件+软件解码分会场端）</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多媒体同步课堂分体式终端</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1、采用硬件分体式结构，嵌入式设计，非PC机或工控机，标配界面麦克风；</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2、设备具有有线网络和无线接入，支持一键关机，具有麦克风音量输入调节功能，支持高清输入和4K超清分辨率输出、不低于2路音频输入和1路音频输出；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★3、终端在会议模式下支持4K解码显示输出（响应文件中提供检测机构功能检验报告复印件）；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4、支持4K（3840*2160）活动画面输出，会议速率支持128Kbps－8Mbps；支持H.263、H.264、H.264HP、H.265或以上编解码视频协议；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5、支持内置MCU功能，以1台终端为中心，与其他3台终端同时进行连接，连接正常并且可进行4方音视频通信；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6、支持遥控器控制，操作简单，画面布局遥控器多种选择，二分屏，画中画，三分屏；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7、支持H.323、SIP、H.239、H.265等标准协议；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8、支持智能网络调整，终端可以根据本地网络情况，接收选择不同码流的视频流，而上传视频智能选择最合适分辨率节省带宽；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9、支持录像回放功能，多路输入视频源以分屏形式呈现回放、1080P单画面全屏形式呈现回放、如有辅流输入、可切换为画中画视频布局；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智能网络速率调整，设备应可根据网络实时状况自动调整升降会议接入带宽，当网络丢包达到一定数值后自动降低码流，保障会议过程流畅、清晰，当网络质量回复正常后自动升高码流，确保高清会议效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11、数据采集支持网络采集（无需VGA等连线）；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12、具有良好的IP损伤适应性，在30%丢包率网络环境下语音通话清晰顺畅，视频基本流畅；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★13、支持流媒体直播推流功能（响应文件中提供检测机构功能检验报告复印件）；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离线录制和自动导播功能（响应文件中提供检测机构功能检验报告复印件），非联网情况下、终端可支持本地视频录制，能够将本地重要培训的视频+电脑桌面的多画面在本地录制，录制过程中可根据培训、会议流程自动导播切换讲师、电脑画面等，无需人为干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终端支持IPC接入功能，终端支持RTSP协议，可以IPC以1080P画质接入作为主流视频（响应文件中提供检测机构功能检验报告复印件），能够直接通过网络以1080P调取会议室的监控画面，IP监控画面可作为1路视频源接入到视频会议，并推送到远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16、支持本地和网络存储功能，可以将本地培训、会议等录制的视频直接保存在本地，培训视频也可以直接复制到USB存储设备上；同时还支持通过网络将录制的会议或培训存储到FTP服务器端；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★17、终端支持无线飞屏投影，设备在没有远程开会的情况下，本地会议/培训的电脑画面可以通过终端直接输出到显示设备上，无需再将显示设备线缆重新插拔到电脑上面；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18、支持公私网穿越功能，在无NAT情况下，终端和MCU之间可以直接实现会议功能，MCU呼叫终端，双向音视频清晰、流畅；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19、麦克风采用48V幻象供电，有效拾音距离3米，信噪比：72dB（1KHz@1Pa），频响：30～18000Hz，灵敏度：40mV/Pa（-40dB±2dB，@1KHz2500Ω）；</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高清摄像机</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1、高端1/2.8英寸高品质CMOS传感器,有效像素不低于200万；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★2、最高可以达到1080P高清制式，同时也支持1080i/720P多种制式转换输出，输出帧率更高达30帧/秒；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★3、内置一体化镜头要求同时支持10倍光学变焦和12倍数字变焦；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4、镜头最大水平视角（广角）不得小于62度；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★5、为保证系统兼容性和良好的售后服务，要求与多媒体同步课堂MCU服务器为同一品牌；</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多媒体同步课堂软会议端</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1、软件视频终端支持和中心MCU、硬件视频终端的无缝兼容，软件视频终端可以参加MCU平台授权的任意会议，不受软件端或硬件端会场的限制，软件端会场和硬件端会场都可以发送会议双流；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2、支持160*120到1920*1080视频分辨率；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3、支持会议室搜索功能，能够快速检索出需要加入的会议室；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4、支持即时消息功能，会议中可以对全体人员或指定参会人员发送会议即时消息；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5、支持举手功能，使用软件端参会的人员可以通过举手功能申请发言，申请发言后，会议控制系统端弹出发言请求，获得会议管理员许可后软件终端即可开始发言；</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6、支持私聊功能，与会者可以选择某一个会场进行文字消息交流，对会议中一些问题进行单独沟通和交流而不影响其他与会会场；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7、支持安卓、苹果iOS手机及平板电脑，支持Windows、MacOS操作系统。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8、支持会议视频质量一键切换功能，会议软件终端界面应提供一键视频质量切换功能按键，能够根据与会者网络状态自行快速选择高清、超清会议模式；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9、支持发言状态、音量大小、播放声音大小等状态显示；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10、支持会议录像功能，软件参会端可以根据需要申请会议录像权限，获得会议管理员同意后可以对会议进行本地录像；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11、支持会场名称搜索功能，可以根据会场名称定位，方便消息沟通，会议管理等；检索支持模糊查询；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12、支持网络穿越功能，软件视频终端侧可以位于局域网内直接呼叫MCU平台，实现双向音视频和双流互通；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13、支持邀请入会功能，管理员使用会控软件能够呼叫软件客户端用户加入会议；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14、支持多用户登录信息保存功能，用户无需再次输入服务器地址和账号信息；</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鹅颈会议话筒</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1、换能方式：电容式；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2、指向性：超心型指向；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3、频率响应：40Hz-16KHz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4、灵敏度：-40dB±2dB；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5、输出阻抗：200Ω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6、参考拾音距离：20-50cm；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7、连线：8M专用电缆，带1个6.3mm及1个卡侬公头；</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8、供电电压：DC3V（电池供电）6V/48V（幻像电源）自动转换；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9、净重：0.9kg。</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音响</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一、蓝牙话筒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★1、铝合金笔式外观，更显高端大气；使用2.4G数字射频技术，有效避免传输干扰，同时使用1000套无窜频，满足同一场所大量使用的需要；开机自动进入配对状态，配对成功后有提示音，自动转入接收状态；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2、直观LED液晶屏显示各项技术参数，数字音量大小调节、信号强弱、电池余量信息显示；具有很好防风效果，音质清晰，自然；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3、话筒具有激光教鞭功能,同时具有上下翻页按键（选配翻页模块可实现无线翻页、在放影PPT文件时还可一键黑屏）；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4、话筒内置高性能咪头，外置防风棉，音质优美，可实现手持、并带有USB外接话筒接口（需配原厂外接咪）；</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5、话筒可以与任意主机配对使用；无信号或无操作60秒内进入节能待机状态，有信号或操作时自动启动使用，无须对频,电池低损耗；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6、话筒采用大容量充电锂长效电池，充满电可连续工作10小时以上，配旅行（或USB充电器）充电器，使用更加便捷；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7、话筒开机有提示音，且能调节话筒音量大小；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★8、调制方式：GFSK；（供应商于响应文件中必须提供所竞产品具备上述具有检测资质的检测机构出具的检验报告复印件等相关证明材料）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★9、发射频率：2400~2483.5MHz；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10、发射功率：10 dBm；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11、传输范围：约20M（视环境变化）；</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12、工作温度：-20~75度；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13、功耗：约100mA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14、电池充电时间：30分钟~1小时；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15、频率响应：50Hz-15KHz；</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16、信噪比：90dB；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17、输出电平：200mv;</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18、电源供电：5V直流供电；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19、话筒净重：50g；</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20、话筒配件；头戴绳；USB充电线；旅行充电器。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二、蓝牙音箱</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1、使用2.4G数字射频技术，有效避免传输干扰，同时使用1000套无窜频，满足同一场所大量使用的需要；</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2、外置一体式小巧2.4G信号接收盒，避免音箱内部电磁干扰，增强信号稳定性及灵敏度；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3、带一路广播优先接口，当有广播信号时自动切换；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4、一路立体声RCA输入，二路话筒（环保麦克风插口自带DC+6V电源）输入；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5、音箱标配壁挂安装配件，吊装简单方便。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★6、额定功率：50W；（供应商于响应文件中必须提供所竞产品具备上述具有检测资质的检测机构出具的检验报告复印件等相关证明材料）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7、额定阻抗：4Ω；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★8、频率响应：55Hz-18kHz；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9、驱动器：采用5.5寸长冲程低音驱动器，一个高音；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10、接口：1路广播输入（70V－110V输入），1路立体声RCA，2路话筒接口；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11、灵敏度：85dB/1W/1M；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★12、信噪比：75dB；</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13、最大声压级：78dB；</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14、箱体型式：倒相式；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15、箱体及外饰： 高密度中纤板（黑色）箱体，钢网；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16、安装：标配壁挂架；</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无线投屏器</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1、可实现外部电脑音视频高清信号实时传输到触摸一体机上（无论一体机处于任何显示通道），且可支持触摸信号回传。</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2.支持操作系统：Win7/Win10/MacOS传输延迟小于120ms，帧率达到15fps-25fps</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3、无线频段：IEEE 802.11 a/b/g/n，5.8GHz</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4、采用USB接口进行传输，可兼容市面上具备通用USB接口的各类电脑。</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★5、采用单按键设计，只需按一下即可传屏，无需在触摸一体机上做任何操作。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★6、支持同时八个传屏发射端对应一个接收端，可通过按键切换传输不同外部电脑的画面及声音。支持外部电脑在触摸一体机上做扩展屏显示。</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7、无线传屏接收端与整机显示终端之间无任何连接线。</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网线、音频线、视频线等</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含设备安装使用所需网线、音频线、高清线、音箱线、音箱支架等所有线材及配件。</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8</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辅助材料</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施工所需的PVC阻燃线管、线槽、自攻钉、电工胶布、等所有施工耗材</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7" w:type="dxa"/>
            <w:gridSpan w:val="3"/>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三、平板一体机显示屏</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86寸交互智能平板</w:t>
            </w:r>
          </w:p>
        </w:tc>
        <w:tc>
          <w:tcPr>
            <w:tcW w:w="6417" w:type="dxa"/>
            <w:shd w:val="clear" w:color="auto" w:fill="auto"/>
            <w:vAlign w:val="center"/>
          </w:tcPr>
          <w:p>
            <w:pPr>
              <w:widowControl/>
              <w:numPr>
                <w:ilvl w:val="0"/>
                <w:numId w:val="6"/>
              </w:numPr>
              <w:jc w:val="left"/>
              <w:rPr>
                <w:rFonts w:ascii="宋体" w:hAnsi="宋体" w:cs="宋体"/>
                <w:color w:val="auto"/>
                <w:kern w:val="0"/>
                <w:szCs w:val="21"/>
                <w:highlight w:val="none"/>
              </w:rPr>
            </w:pPr>
            <w:r>
              <w:rPr>
                <w:rFonts w:hint="eastAsia" w:ascii="宋体" w:hAnsi="宋体" w:cs="宋体"/>
                <w:color w:val="auto"/>
                <w:kern w:val="0"/>
                <w:szCs w:val="21"/>
                <w:highlight w:val="none"/>
              </w:rPr>
              <w:t>内置电脑配置：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1.采用模块化电脑方案，为方便拓展使用及延长使用寿命，采用≥120Pin接口，抽拉内置式(不接受背包式外挂方式)，实现无单独接线的插拔，低噪音热管传导散热设计。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2.处理器：Intel Core 8代i3或同等档次及以上品牌型号处理器，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3.内存：4G DDR4或以上配置，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4.固态硬盘：128G 或以上配置；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5.具有独立非外扩展的USB接口：电脑上至少6个USB接口，其中≥2个为USB3.0接口；≥1路HDMI；≥1路DP接口，DP接口可传输高清视频信号至外部显示设备。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6.内置电脑需预装正版Windows 10 64位中文专业版系统。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二、屏幕和接口要求：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1.屏幕类型：LED背光；显示尺寸：≥86英寸，显示比例≥16：9；可视角度≥178°；显示屏物理分辨率≥3840*2160，且须具备防眩光效果。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2.屏幕表面采用≥4mm厚全钢化玻璃，且钢化玻璃透光率≥93%，显示屏寿命≥50000小时，且具备智能亮度调节功能：整机能感应并自动调节屏幕亮度来达到在不同光照环境下的最佳显示效果。</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3.输出端子：≥1路耳机；≥1路同轴输出；≥1路Touch USB out。</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4.端口设计：输入端子: ≥1路VGA；≥1路Audio；≥1路AV；≥1路YPbPr；≥2路HDMI；≥1路TV RF；≥2路USB,至少一路可随通道自动切换，方便外接其他设备时在任意通道均可使用；≥1路Line in；≥1路RS232接口；≥1路RJ45；。</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5.图像制式支持：PAL/SECAM；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三、整机设计：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★1.整机电视开关、电脑开关和节能待机键三合一，开机、关机和待机用一个按键即可完成，操作便捷。同时具备前置一键护眼功能按键，可一键过滤蓝光，节能护眼。</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2.内置一体化设计，外部无任何可见内部功能模块的连接线；采用铝合金机身设计，散热性好，且更坚固。设备前面框采用无锐角安全设计。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3.设备自带嵌入式操作系统，在该系统下可实现白板书写、PPT课件播放、多媒体播放、网页浏览，与内置/外接电脑后形成双系统冗余备份。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U盘双通道识别技术：整机面板前置≥3路双通道USB接口（其中≥2路为USB3.0），即同一个USB接口在Windows或Android系统下均能识别，可清晰的查看识别过程，无需区分。（供应商响应文件须提供国家认可的检测机构出具的前置3路双通道USB口和整机电视开关、电脑开关和节能待机按键三合一功能检测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5.外部信号输入智能识别功能：当VGA端口或HDMI端口有信号输入时，设备能自动切换至对应通道，无需手动调整，且断开后能自动切回初始通道。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6.触控技术：非接触式红外触摸技术（采用内置触摸技术，不接受外挂触件），任意通道下十点触摸书写及手势擦除。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7.多点书写技术：能在Windows自带画图软件中实现多点书写。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8.触摸精准性：整机屏幕触摸有效识别高度≤3.5mm,，即触摸物体距离玻璃外表面高度≤3.5mm时，触摸屏识别为点击操作，保证触摸精准。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9.为保证触摸书写流畅度，书写延迟时间≤80ms。</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10.支持通过一根网线，即可实现Windows及Android系统同时联网。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.快速通道跳转功能：整机处于非PC通道下，在屏幕侧边可调出PC通道按钮，支持用户一键回到PC通道，也支持用户自定义设置常用快捷通道，从侧边栏一键进入该通道。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.任意通道智能板擦功能：整机支持任意通道下通过手势识别调出板擦工具，且支持手与屏幕接触面积大小调节板擦工具大小。</w:t>
            </w:r>
          </w:p>
          <w:p>
            <w:pPr>
              <w:widowControl/>
              <w:numPr>
                <w:ilvl w:val="0"/>
                <w:numId w:val="7"/>
              </w:numPr>
              <w:jc w:val="left"/>
              <w:rPr>
                <w:rFonts w:ascii="宋体" w:hAnsi="宋体" w:cs="宋体"/>
                <w:color w:val="auto"/>
                <w:kern w:val="0"/>
                <w:szCs w:val="21"/>
                <w:highlight w:val="none"/>
              </w:rPr>
            </w:pPr>
            <w:r>
              <w:rPr>
                <w:rFonts w:hint="eastAsia" w:ascii="宋体" w:hAnsi="宋体" w:cs="宋体"/>
                <w:color w:val="auto"/>
                <w:kern w:val="0"/>
                <w:szCs w:val="21"/>
                <w:highlight w:val="none"/>
              </w:rPr>
              <w:t>嵌入式系统参数：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1.设备必须具备相当于或优于windows和Android双系统，在其中一个系统中毒崩溃的情况下另一系统使用不会受到任何影响，满足正常教学不受影响。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2.嵌入式系统中，智能操作系统为Android 7.0系统或同等档次及以上品牌操作系统；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★3.嵌入式系统的存储容量≥8G ROM，系统内存≥2G RAM，处理器核心须为双核1.2GHz或以上配置。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4.在嵌入式安卓系统浏览器能自动识别课件并进行分类。</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5.嵌入式互动白板支持三人同时进行书写，且可调用图片配合演示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6.整机处于任意通道下，在屏幕表面任意位置都可快速调出触摸便捷菜单，实现十笔即时批注、手势擦除、截图、快捷白板、任意通道放大等功能，方便配合视频展台等外接设备进行辅助教学。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五、教学工具软件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同步传屏软件：整机内置传屏软件，无需额外在交互智能平板上手动安装驱动和插件，配合使用一根双头USB接线即可实现外部电脑对交互智能平板的连接，连接后支持在交互智能平板屏幕上直接触控操作外部电脑，可直接打开外接在外部电脑上的U盘课件，能够读取U盘中的课件进行演示，实现U盘中音视频的播放功能；该USB接线采用单按键设计只需按一下按键即可传屏和退出传屏，提升外接电脑的课件演示和软件应用效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2.安卓硬件自检软件：无需借助PC，整机可一键进行硬件自检，包括对系统硬盘.系统内存.触摸框.PC模块.光感系统等模块进行检测，并能显示检测结果。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3.无需打开除PPT外的其他软件或者插件，新建PPT后即可支持将课件及板书内容直接生成二维码分享，且扫码后支持在手持终端端生成二维码进行再次分享，方便教师保存课件板书内容。</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★4.分辨率一键切换软件：为便于配合组合式推拉黑板使用，整机支持通过面板前置按键一键切换屏幕分辨率，可以便捷调整教学白板的课件画面显示比例，方便教学。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智能中控菜单软件：触摸中控菜单上的通道信号源名称支持自定义，方便用户识别；且设备支持DBX音效，可实现环绕音质，并支持用户在中控软件菜单中随时开启/关闭DBX音效功能。（竞标时须提供国家认可的检测机构出具的通道信号源自定义、DBX总环音效功能检测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扫码读取功能：可通过内置（非外接扩展）≥500万像素的摄像头，可开启摄像头并拍照对比，在接入网络的情况下，也支持扫码读取功能。（竞标时须提供国家认可的检测机构出具的内置摄像头检测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7.安卓超级计算器软件：可进行初级计算、方程（组）智能求解、自动求导求积分等操作；该计算器还可根据用户输入的函数，智能绘制函数图像，提升老师课堂效率。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一键微课录制软件：为便于配合组合式推拉黑板使用，设备支持通过整机前置按键一键启动录屏功能，可将屏幕中显示的课件、音频等内容与老师人声同步录制，方便制作教学视频。（投标时须提供国家认可的检测机构出具的一键录屏功能检测报告复印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六、学生行为评价软件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1.学生行为评价系统，集成三大功能模块：基础信息管理、课堂表现评价、家校互联互通，功能及操作均统一在同一软件平台同一账号体系实现。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 PC客户端、PC 网页端、安卓手持终端端、苹果手持终端端登陆使用，且各个端的数据是互通的，方便用户随时随地对学生进行管理与评价。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3.支持多个用户管理同一个班级，从而满足一个班级有班主任和多个任课用户的实际情况。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4.支持邀请家长入班，使家长可查看到自己的孩子在学校的各种表现。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5.用户可通过移动端、PC端及网页端对学生、小组及班级进行行为评价，通过卡通游戏化的方式对学生进行表扬或提醒。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6.支持查看课堂表现评价统计报表，按饼状图形式展现学生课堂表现情况，支持查看班级或学生个人的评价情况，并可具体查看到每一条评价的原因、对象、分值，便于用户做统计分析。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七、课件制作及展示教学软件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1.备授课一体化，具有备课模式及授课模式，且操作界面根据备课和授课使用场景不同而区别设计，符合用户使用需求。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2.备课模式工具栏会自动根据老师账号中关联的学科不同而提供相对应的教学工具，例如语文学科会出现田字格工具，数学学科则出现几何工具，无需用户自行选择。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3.支持课件云存储，无需使用 U 盘等存储设备，用户只需联网登录即可在交互式白板软件中获取云课件，并支持课件云分享，可将课件直接分享给其他用户，只需输入其他用户手持终端号即可。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4.支持课件云同步，课件上的所有修改、操作均可实时同步至云端，无需单独保存上传，确保多终端调用同个课件均为最新版本。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6.支持软件联网自动静默升级，无需用户手动更新。</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7.课件背景：提供不少于12 种以上背景模板供用户选择，持自定义背景。</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8.美术画板：支持美术画板工具，提供铅笔、毛笔、油画笔，可实现模拟调色盘功能，用户可自由选择不同颜色进行混合调色，搭配出任意色彩。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9.快捷抠图：无需借助专业图片处理软件，即可在白板软件中对导入的图片进行快捷抠图、去背景，处理后的图片主体边缘没有明显毛边，可导出保存成 PNG 格式。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11.数学公式编辑器：支持复杂数学公式输入，提供不少于 20 个数学符号及和不少于15种公式模板，输出的公式内容支持不同颜色标记及二次编辑。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13.古诗词资源：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（1）提供覆盖小学、初中、高中的古诗词资源，包含原文、翻译、背景介绍、作者介绍、朗诵音频等。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（2）支持用户根据年级、朝代、诗人等进行分类查找，也可直接搜索诗词、古文名称或作者名查找。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（3）提供不少于9种古诗词专用背景模板，用户可贴合古诗词意境选择合适背景进行教学。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（4）古诗词、古文提供原文及翻译、背景介绍、作者介绍等，同时支持一键跳转打开网页，展示对应的背景或者介绍。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（5）支持用户备课时对原文进行注释、标重点等操作，方便用户讲解重点字词。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（6）提供原文朗读功能，全部诗词、古文均配备专业朗读配音，且支持用户在备课时对朗读音频进行打点操作，上课时可播放提前选择好的片段。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★14.立体几何：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（1）支持绘制立方体、圆柱体等立体几何图形。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（2）支持任意调节立体几何图形的尺寸，改变长宽高比例。</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（3）支持沿任意方向旋转立体几何。</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（4）支持为长方体6个面分别涂色，并且可通过任意旋转观察涂色与未涂色的表面</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15.数学画板功能：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（1）支持在白板中插入在线画板，授课时可以一键打开,方便老师配合课件内容进行讲解。</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（2）提供超过500个数学画板资源，覆盖小学、初中、高中学段数学学科主要知识点，并按照知识点分类，便于老师查找。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16.多学科题库：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（1）提供不少于30万道试题给老师使用。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（2）涵盖小学、初中、高中，其中中学部分包含语文、数学、英语、物理、化学、生物、政治、历史、地理等多个学科。</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（3）题库总知识点不少于9000个，除选择、填空、判断等基本题型外，还包含诗歌阅读、完形填空、阅读理解、辨析题、材料题、实验题、作图题等。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（4）可批量选择多题并以交互式试题卡的形式插入到白板中。试题卡包含题干、答案和解析，并可一键实时展开、收起答案和解析。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17.课堂小测：提供不少于40000道初中数学试题。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（1）老师可根据所使用教材版本自由选择人教新版、苏科新版、北师大版、北京课改新版等不同版本试题。</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（2）试题按照教学进度分类，精确到每一章每一节，方便老师查找。</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（3）试题按照使用场景分类，分为课堂小测、课时练习、课后基础、课后提高等，方便老师在不同场景下选择。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（4）题目已根据老师使用需要，组成套题，老师可一键批量选择；同时也支持老师自由组题，形成个性化套。</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18.表格工具：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（1）支持老师插入表格，并提供5种以上表格样式供老师选择。</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（2）支持表格自适应，可一键将表格的行、列调整到最合适的大小。</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（3）支持表格遮罩功能，可对表格中任意一格添加遮罩，在授课模式下通过点击可消除遮罩，方便老师设置互动活动。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（4）在授课模式下，支持表格克隆功能，可克隆出多个相同表格，方便老师请多位同学进行答题互动。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八、大小屏互动软件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★1.手机等移动终端可与交互智能平板实现无线连接，可对连接的设备进行密码的权限管理，支持二维码拍照自连接服务器功能。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九、安全秘钥软件：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1.整机具有便捷式加密技术，可对整机进行加密实时保护，在保护状态下触摸功能、实体按键、PC系统、安卓系统等功能均无法正常操作，保护设备信息安全性；</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通过安全密钥系统和加密技术，用户可将其使用U盘设置为USB安全密钥，整机设置锁定后将进入锁定状态，在该状态下触摸、按键等正常操作均无法正常进行；当插入通过加密技术设置为USB安全钥匙的U盘时，设备可自动解锁，所有功能方可正常使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★3.组合按键解锁功能：为便于配合组合式推拉黑板使用，整机面板的前置按键能够支持通过至少3个前置按键以组合按键的形式进行整机锁定和解锁，防止课件无关人员操作。</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计全校班级的课堂行为评价数据，并根据总分排名展示，方便管理者了解不同班级的课堂行为情况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十、互动答题软件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1.无需借助任何驱动，整机处于任意通道下，可调用互动课堂功能。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2.支持手持终端扫描二维码，实现互动答题功能。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3.学生在手持终端自定义设置姓名，方便用户了解课堂答题情况。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4.支持用户发起单选题、多选题、抢答题等，其中单选题答题结束可在交互智能平板上查看答题结果，帮助用户了解课堂学习情况。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5.弹幕功能：支持开启或关闭弹幕功能，开启后学生可通过手持终端发送弹幕至智能平板展示，增加课堂互动方式。</w:t>
            </w:r>
          </w:p>
        </w:tc>
        <w:tc>
          <w:tcPr>
            <w:tcW w:w="709"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33</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00" w:type="dxa"/>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屏幕支架</w:t>
            </w:r>
          </w:p>
        </w:tc>
        <w:tc>
          <w:tcPr>
            <w:tcW w:w="6417"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1.移动支架通过防倾斜实验，正负10度倾斜角度下不能翻倒；</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2.承挂≥100kg，壁挂高度可调；整体高度≥1610mm；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3.隔板承重30KG,模具设置U型置物槽，方便触摸笔、遥控器等物品放置；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4.支撑立杆采用壁厚≥2mm方通冷轧钢材质，表面酸洗工艺静电黑色喷涂；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5.提供上下双层搁板，均需采用厚度≥1.2mm冷轧钢材质，承重 ≥30kg，表面酸洗工艺静电黑色喷涂；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6.承重底板四角须采用圆滑处理，防止碰伤；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7.脚轮为万向轮，聚氨酯（PU）材质，均带脚刹，直径不小于∮75mm；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脚轮横向间距≥1100mm，纵向间距≥530mm</w:t>
            </w:r>
          </w:p>
        </w:tc>
        <w:tc>
          <w:tcPr>
            <w:tcW w:w="709" w:type="dxa"/>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33</w:t>
            </w:r>
          </w:p>
        </w:tc>
        <w:tc>
          <w:tcPr>
            <w:tcW w:w="709"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r>
    </w:tbl>
    <w:p>
      <w:pPr>
        <w:pStyle w:val="17"/>
        <w:rPr>
          <w:color w:val="auto"/>
          <w:highlight w:val="none"/>
        </w:rPr>
      </w:pPr>
    </w:p>
    <w:p>
      <w:pPr>
        <w:widowControl/>
        <w:jc w:val="left"/>
        <w:rPr>
          <w:b/>
          <w:color w:val="auto"/>
          <w:sz w:val="28"/>
          <w:szCs w:val="28"/>
          <w:highlight w:val="none"/>
        </w:rPr>
      </w:pPr>
      <w:r>
        <w:rPr>
          <w:rFonts w:hint="eastAsia"/>
          <w:b/>
          <w:color w:val="auto"/>
          <w:sz w:val="28"/>
          <w:szCs w:val="28"/>
          <w:highlight w:val="none"/>
        </w:rPr>
        <w:t>一</w:t>
      </w:r>
      <w:r>
        <w:rPr>
          <w:b/>
          <w:color w:val="auto"/>
          <w:sz w:val="28"/>
          <w:szCs w:val="28"/>
          <w:highlight w:val="none"/>
        </w:rPr>
        <w:t>、</w:t>
      </w:r>
      <w:r>
        <w:rPr>
          <w:rFonts w:hint="eastAsia"/>
          <w:b/>
          <w:color w:val="auto"/>
          <w:sz w:val="28"/>
          <w:szCs w:val="28"/>
          <w:highlight w:val="none"/>
        </w:rPr>
        <w:t>商务及技术要求总则</w:t>
      </w:r>
      <w:r>
        <w:rPr>
          <w:b/>
          <w:color w:val="auto"/>
          <w:sz w:val="28"/>
          <w:szCs w:val="28"/>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1、供应商应仔细阅读采购文件（包括技术要求）中所有条款。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2、供应商竞标的货物应符合采购文件中有关品目的技术要求。如果供应商不提供规格响应表说明偏离情况，则将认为竞标的货物完全符合采购文件的技术要求。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3、除在技术要求中另有规定外，供应商所投的一切仪器和设备，应在下列条件下工作：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电源：220V（±10%），单向，50Hz（±1Hz）</w:t>
      </w:r>
    </w:p>
    <w:p>
      <w:pPr>
        <w:spacing w:line="360" w:lineRule="auto"/>
        <w:ind w:firstLine="420" w:firstLineChars="200"/>
        <w:rPr>
          <w:rFonts w:ascii="宋体" w:hAnsi="宋体"/>
          <w:color w:val="auto"/>
          <w:szCs w:val="21"/>
          <w:highlight w:val="none"/>
          <w:vertAlign w:val="superscript"/>
        </w:rPr>
      </w:pPr>
      <w:r>
        <w:rPr>
          <w:rFonts w:hint="eastAsia" w:ascii="宋体" w:hAnsi="宋体"/>
          <w:color w:val="auto"/>
          <w:szCs w:val="21"/>
          <w:highlight w:val="none"/>
        </w:rPr>
        <w:t>水压：</w:t>
      </w:r>
      <w:r>
        <w:rPr>
          <w:rFonts w:hint="eastAsia" w:ascii="宋体" w:hAnsi="宋体" w:cs="宋体"/>
          <w:color w:val="auto"/>
          <w:kern w:val="0"/>
          <w:szCs w:val="21"/>
          <w:highlight w:val="none"/>
        </w:rPr>
        <w:t>≥</w:t>
      </w:r>
      <w:r>
        <w:rPr>
          <w:rFonts w:hint="eastAsia" w:ascii="宋体" w:hAnsi="宋体"/>
          <w:color w:val="auto"/>
          <w:szCs w:val="21"/>
          <w:highlight w:val="none"/>
        </w:rPr>
        <w:t>2kg/cm</w:t>
      </w:r>
      <w:r>
        <w:rPr>
          <w:rFonts w:hint="eastAsia" w:ascii="宋体" w:hAnsi="宋体"/>
          <w:color w:val="auto"/>
          <w:szCs w:val="21"/>
          <w:highlight w:val="none"/>
          <w:vertAlign w:val="superscript"/>
        </w:rPr>
        <w:t>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环境温度：0℃-40℃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相对湿度：不高于85%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连续工作时间：不少于8小时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如果不能满足这些工作条件，供应商应列出偏离值。</w:t>
      </w:r>
    </w:p>
    <w:p>
      <w:pPr>
        <w:spacing w:line="360" w:lineRule="auto"/>
        <w:ind w:firstLine="420" w:firstLineChars="200"/>
        <w:rPr>
          <w:rFonts w:ascii="宋体" w:hAnsi="宋体"/>
          <w:color w:val="auto"/>
          <w:highlight w:val="none"/>
        </w:rPr>
      </w:pPr>
      <w:r>
        <w:rPr>
          <w:rFonts w:hint="eastAsia" w:ascii="宋体" w:hAnsi="宋体"/>
          <w:color w:val="auto"/>
          <w:szCs w:val="21"/>
          <w:highlight w:val="none"/>
        </w:rPr>
        <w:t>4、</w:t>
      </w:r>
      <w:r>
        <w:rPr>
          <w:rFonts w:hint="eastAsia" w:ascii="宋体" w:hAnsi="宋体"/>
          <w:color w:val="auto"/>
          <w:highlight w:val="none"/>
        </w:rPr>
        <w:t>本需求中的技术参数及其性能配置要求仅起参考作用，供应商可选用其他技术参数及性能配置替代，但这些替代的技术参数要实质上相当于或优于采购文件技术参数及性能配置要求。</w:t>
      </w:r>
    </w:p>
    <w:p>
      <w:pPr>
        <w:spacing w:line="360" w:lineRule="auto"/>
        <w:ind w:firstLine="420" w:firstLineChars="200"/>
        <w:rPr>
          <w:rFonts w:ascii="宋体" w:hAnsi="宋体"/>
          <w:color w:val="auto"/>
          <w:highlight w:val="none"/>
        </w:rPr>
      </w:pPr>
      <w:r>
        <w:rPr>
          <w:rFonts w:hint="eastAsia" w:ascii="宋体" w:hAnsi="宋体"/>
          <w:color w:val="auto"/>
          <w:highlight w:val="none"/>
        </w:rPr>
        <w:t>5、本需求中技术参数及配置不明确或有误的，请以详细正确的技术参数及配置同时填写竞标报价表和技术响应表。</w:t>
      </w:r>
    </w:p>
    <w:p>
      <w:pPr>
        <w:spacing w:line="360" w:lineRule="auto"/>
        <w:ind w:firstLine="420" w:firstLineChars="200"/>
        <w:rPr>
          <w:rFonts w:ascii="宋体" w:hAnsi="宋体"/>
          <w:color w:val="auto"/>
          <w:highlight w:val="none"/>
        </w:rPr>
      </w:pPr>
      <w:r>
        <w:rPr>
          <w:rFonts w:hint="eastAsia" w:ascii="宋体" w:hAnsi="宋体"/>
          <w:color w:val="auto"/>
          <w:highlight w:val="none"/>
        </w:rPr>
        <w:t>6、凡在“技术参数及性能配置要求”中表述为“标配”或“标准配置”的设备，供应商应在竞标报价表中将其标配参数详细列明，否则该竞标无效。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7、评标时，如果</w:t>
      </w:r>
      <w:r>
        <w:rPr>
          <w:rFonts w:hint="eastAsia" w:ascii="宋体" w:hAnsi="宋体"/>
          <w:color w:val="auto"/>
          <w:szCs w:val="21"/>
          <w:highlight w:val="none"/>
          <w:lang w:eastAsia="zh-CN"/>
        </w:rPr>
        <w:t>磋商小组</w:t>
      </w:r>
      <w:r>
        <w:rPr>
          <w:rFonts w:hint="eastAsia" w:ascii="宋体" w:hAnsi="宋体"/>
          <w:color w:val="auto"/>
          <w:szCs w:val="21"/>
          <w:highlight w:val="none"/>
        </w:rPr>
        <w:t>发现本“项目要求及技术需求”的技术参数及性能（配置）要求（含附件）和售后服务及其它要求中含有某一品牌特有的参数或其它限制性要求的，有权认定不作为主要技术参数及性能（配置）要求或不作为竞标无效要求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8、除非在技术要求中另有规定外，在保修期内，供货商应在接到通知后2天内免费提供维修服务，调整或更改有缺陷的零部件或设备。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9、要求供应商在所竞标的货物名称注明商品的生产厂家、品牌型号。</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10、供应商提供的产品，应遵循《中华人民共和国产品质量法》的规定，依法承担产品质量责任。“生产者不得生产国家明令淘汰的产品。不得伪造产地，不得伪造或者冒用他人的厂名、厂址。不得伪造或者冒用认证标志、名优标志等质量标志。生产产品，不得掺杂、掺假，不得以假充真、以次充好，不得以不合格产品冒充合格产品。”“销售者应当执行进货检查验收制度，验明产品合格证明和其他标识。应当采取措施，保持销售产品的质量。不得销售失效、变质的产品。不得伪造产地，不得伪造或者冒用他人的厂名、厂址。不得伪造或者冒用认证标志、名优标志等质量标志。销售产品，不得掺杂、掺假，不得以假充真、以次充好，不得以不合格产品冒充合格产品。”若采购方掌握了确切事实说明某供应商存在上列行为之一的，该竞标书将作为无效竞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竞标产品的质量应当检验合格，质量符合产品的国家标准或行业标准以及国家有关规定。对于没有按国家行业标准生产的产品，应提供企业生产标准，供评标时使用，如果成交，将作为今后签约、供货、验收的依据。不按要求提供者，评标时按竞标资料不齐全对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 产品或者其包装上的标识应当符和下列要求：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有产品质量检验合格证明；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有中文标明的产品名称、生产厂厂名和厂址；</w:t>
      </w:r>
    </w:p>
    <w:p>
      <w:pPr>
        <w:tabs>
          <w:tab w:val="left" w:pos="11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根据产品的特点和使用要求，需要标明产品规格、等级、所含主要成分的名称和含量的，相应予以标明；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限期使用的产品，标明生产日期和安全使用期或者失效日期；</w:t>
      </w:r>
    </w:p>
    <w:p>
      <w:pPr>
        <w:tabs>
          <w:tab w:val="left" w:pos="11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使用不当，容易造成产品本身损坏或者可能危及人身、财产安全的产品，有警示标志或者中文警示说明；</w:t>
      </w:r>
    </w:p>
    <w:p>
      <w:pPr>
        <w:tabs>
          <w:tab w:val="left" w:pos="114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剧毒、危险、易碎、储运中不能倒置以及有其他特殊要求的产品，其包装必须符合相应要求，有警示标志或者中文警示说明标明储运注意事项。</w:t>
      </w:r>
    </w:p>
    <w:p>
      <w:pPr>
        <w:widowControl/>
        <w:jc w:val="left"/>
        <w:rPr>
          <w:b/>
          <w:color w:val="auto"/>
          <w:sz w:val="28"/>
          <w:szCs w:val="28"/>
          <w:highlight w:val="none"/>
        </w:rPr>
      </w:pPr>
      <w:r>
        <w:rPr>
          <w:rFonts w:hint="eastAsia"/>
          <w:b/>
          <w:color w:val="auto"/>
          <w:sz w:val="28"/>
          <w:szCs w:val="28"/>
          <w:highlight w:val="none"/>
        </w:rPr>
        <w:t>二</w:t>
      </w:r>
      <w:r>
        <w:rPr>
          <w:b/>
          <w:color w:val="auto"/>
          <w:sz w:val="28"/>
          <w:szCs w:val="28"/>
          <w:highlight w:val="none"/>
        </w:rPr>
        <w:t>、</w:t>
      </w:r>
      <w:r>
        <w:rPr>
          <w:rFonts w:hint="eastAsia"/>
          <w:b/>
          <w:color w:val="auto"/>
          <w:sz w:val="28"/>
          <w:szCs w:val="28"/>
          <w:highlight w:val="none"/>
        </w:rPr>
        <w:t>交货、验收、售后及其他商务要求</w:t>
      </w:r>
    </w:p>
    <w:p>
      <w:pPr>
        <w:widowControl/>
        <w:spacing w:line="380" w:lineRule="exact"/>
        <w:jc w:val="left"/>
        <w:rPr>
          <w:rFonts w:ascii="宋体" w:hAnsi="宋体"/>
          <w:color w:val="auto"/>
          <w:szCs w:val="21"/>
          <w:highlight w:val="none"/>
        </w:rPr>
      </w:pPr>
      <w:r>
        <w:rPr>
          <w:rFonts w:hint="eastAsia" w:ascii="宋体" w:hAnsi="宋体"/>
          <w:color w:val="auto"/>
          <w:szCs w:val="21"/>
          <w:highlight w:val="none"/>
        </w:rPr>
        <w:t>1、交货时间、地点：</w:t>
      </w:r>
    </w:p>
    <w:p>
      <w:pPr>
        <w:spacing w:line="420" w:lineRule="exact"/>
        <w:ind w:firstLine="266" w:firstLineChars="126"/>
        <w:rPr>
          <w:rFonts w:ascii="宋体" w:hAnsi="宋体"/>
          <w:b/>
          <w:color w:val="auto"/>
          <w:szCs w:val="21"/>
          <w:highlight w:val="none"/>
        </w:rPr>
      </w:pPr>
      <w:r>
        <w:rPr>
          <w:rFonts w:hint="eastAsia" w:ascii="宋体" w:hAnsi="宋体"/>
          <w:b/>
          <w:color w:val="auto"/>
          <w:szCs w:val="21"/>
          <w:highlight w:val="none"/>
        </w:rPr>
        <w:t>交货时间：自签订合同之日起20日内交货并安装验收完毕。</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交货地点: 采购单位指定地点。</w:t>
      </w:r>
    </w:p>
    <w:p>
      <w:pPr>
        <w:spacing w:line="420" w:lineRule="exact"/>
        <w:rPr>
          <w:rFonts w:ascii="宋体" w:hAnsi="宋体"/>
          <w:color w:val="auto"/>
          <w:szCs w:val="21"/>
          <w:highlight w:val="none"/>
        </w:rPr>
      </w:pPr>
      <w:r>
        <w:rPr>
          <w:rFonts w:hint="eastAsia" w:ascii="宋体" w:hAnsi="宋体"/>
          <w:color w:val="auto"/>
          <w:szCs w:val="21"/>
          <w:highlight w:val="none"/>
        </w:rPr>
        <w:t>2、本项目产品交货、验收程序如下：</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1）贵港市港北区教育局可以视项目情况在成交人生产过程中派人对成交产品进行监管。成交人供货时必须提供主要投标产品：86寸交互智能平板及多媒体同步课堂MCU服务器的生产厂家针对本项目原厂盖章的售后服务承诺函原件。</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（2）免费送货上门，免费现场安装调试至验收合格，免费对具体使用单位的操作人员进行技术培训，在安装调试过程也应让操作人员共同参与，现场培训。培训费用由成交人负担。</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3）竞标产品必须是按厂家标准配置的整套全新，具备正规合法经营渠道的，符合国家各项有关质量标准的合格产品。相关部件及服务满足以上各项要求。若产品在运输过程中损坏或擦伤需无偿调换相同产品。按国家有关规定实行“三包”，免费送货上门，免费现场安装调试至验收合格，免费培训项目学校的教师熟练使用。供应商必须提供一套完整的行之有效的技术培训方案，并派遣具有相应专业知识和培训经验的人员对项目学校有关管理人员进行包括系统安装、管理与维护培训和系统使用培训。</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（2）成交人货物自检合格后方可供货。供货前成交人需通知贵港市港北区教育局，贵港市港北区教育局对应交货物进行抽样检验。</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3）产品质量监督检验将根据需要，到生产场地或交货地进行现场抽样检验。如有产品质量问题，将按违约处理。产品质量严重的采购单位有权终止合同，由此造成的损失由成交人负责。各批次所有产品的质量责任由成交人负责。质量监督检验合格结论只对抽查样本和本批次产品的判定有效。如有产品质量争议，则按照教育部JY0002 《教学设备产品的检验规则》和国家《产品质量仲裁检验管理办法》解决。产品质量监督检验送检样品由成交人免费提供。全部检测费用由成交人负责（含招标人和监督部门人员的旅差费、食宿费，人数不多于5人, 检测费用由成交人按成交货物价的0.5%预存至甲方指定账户），其费用含在供应商的报价中。在每批货物送检时，检测费从预存的检测费中支付。</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（4）检测合格的，贵港市港北区教育局通知成交人开始交货，如不能按要求供货则按违约处理。</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5）货物接收全数检验。由采购单位按照合同、响应文件承诺、《采购文件》的技术要求和验货样品（如有）对成交货物的产品外观、规格、基本参数等基本项目进行全数检验（逐个产品检验），收货检验时发现质量不合格产品成交人须给予更换。货物接收检验后学校将验收情况的书面材料上报相关监管部门。</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（6）验收过程中如对产品质量功能有异议，业主拒收该品种所有货物，并限期整改，情节严重者，取销该成交人供货资格，所造成的一切后果由成交人自己负责。</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7）如无产品质量问题，且货物经产品质量监督检验和货物接收抽样检验合格，即得出产品验收检验合格结论，采购单位在填写《教学设备产品验收单》后将验收情况报告相关监管部门。如有产品质量问题，则由相关监管部门按照《教学设备产品质量检验程序》进行检验和收集有关信息材料并立即通知供应商协商处理。如不能及时处理，则按合同约定追究违约责任。</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质保期：</w:t>
      </w:r>
      <w:r>
        <w:rPr>
          <w:rFonts w:hint="eastAsia" w:ascii="宋体" w:hAnsi="宋体" w:cs="宋体"/>
          <w:color w:val="auto"/>
          <w:szCs w:val="21"/>
          <w:highlight w:val="none"/>
        </w:rPr>
        <w:t>设备质保期为安装、验收合格并交付使用之日起1年。</w:t>
      </w:r>
      <w:r>
        <w:rPr>
          <w:rFonts w:hint="eastAsia" w:ascii="宋体" w:hAnsi="宋体"/>
          <w:color w:val="auto"/>
          <w:szCs w:val="21"/>
          <w:highlight w:val="none"/>
        </w:rPr>
        <w:t>成交人交货时须附售后服务联系人姓名、电话、详细地址等。</w:t>
      </w:r>
      <w:r>
        <w:rPr>
          <w:rFonts w:hint="eastAsia" w:ascii="宋体" w:hAnsi="宋体" w:cs="宋体"/>
          <w:color w:val="auto"/>
          <w:szCs w:val="21"/>
          <w:highlight w:val="none"/>
        </w:rPr>
        <w:t>在保修期设备运行中发生问题，设备出现故障后12小时做出响应，24小时内到达现场，提供免费服务，直至修复正常使用。如出现48小时内无法修复系统问题或设备故障的，免费提供相同规格型号的设备以供采购单位使用（若厂家免费质保期超过此年限或技术参数及性能（配置）要求中另有要求的，按厂家规定或技术参数及性能（配置）要求要求保修）。</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4、成交人应常年备有配件，接报修通知后，24小时到达现场进行维修；保修期内免费上门服务。</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5、竞标报价是履行合同的最终价格，包括：（1）货物的价格；（2）货物的标准附件、备品备件、专用工具的价格；（3）运输、装卸、调试、技术支持、售后服务等费用；（4）必要的保险费用和各项税费；（5）安装、开展培训（含教材费、场地租用费）、临时放置仓库保管费、货物看守人员工资、押送人员工资、送货上门的费用；（6）到使用单位进行现场验收的费用等一切可能发生的税金和费用。</w:t>
      </w:r>
    </w:p>
    <w:p>
      <w:pPr>
        <w:spacing w:line="420" w:lineRule="exact"/>
        <w:ind w:firstLine="264" w:firstLineChars="126"/>
        <w:rPr>
          <w:rFonts w:ascii="宋体" w:hAnsi="宋体"/>
          <w:color w:val="auto"/>
          <w:szCs w:val="21"/>
          <w:highlight w:val="none"/>
        </w:rPr>
      </w:pPr>
      <w:r>
        <w:rPr>
          <w:rFonts w:hint="eastAsia" w:ascii="宋体" w:hAnsi="宋体"/>
          <w:color w:val="auto"/>
          <w:szCs w:val="21"/>
          <w:highlight w:val="none"/>
        </w:rPr>
        <w:t>6、每年至少进行一次定期回访以及对设备保养。</w:t>
      </w:r>
    </w:p>
    <w:p>
      <w:pPr>
        <w:tabs>
          <w:tab w:val="left" w:pos="1140"/>
        </w:tabs>
        <w:spacing w:line="360" w:lineRule="auto"/>
        <w:ind w:firstLine="420" w:firstLineChars="200"/>
        <w:rPr>
          <w:color w:val="auto"/>
          <w:sz w:val="18"/>
          <w:szCs w:val="18"/>
          <w:highlight w:val="none"/>
        </w:rPr>
      </w:pPr>
      <w:r>
        <w:rPr>
          <w:color w:val="auto"/>
          <w:highlight w:val="none"/>
        </w:rPr>
        <w:br w:type="page"/>
      </w:r>
    </w:p>
    <w:p>
      <w:pPr>
        <w:pStyle w:val="17"/>
        <w:rPr>
          <w:color w:val="auto"/>
          <w:highlight w:val="none"/>
        </w:rPr>
      </w:pPr>
    </w:p>
    <w:bookmarkEnd w:id="9"/>
    <w:p>
      <w:pPr>
        <w:pStyle w:val="4"/>
        <w:spacing w:line="500" w:lineRule="exact"/>
        <w:jc w:val="center"/>
        <w:rPr>
          <w:color w:val="auto"/>
          <w:sz w:val="44"/>
          <w:szCs w:val="44"/>
          <w:highlight w:val="none"/>
        </w:rPr>
      </w:pPr>
      <w:bookmarkStart w:id="10" w:name="_Toc30409525"/>
      <w:r>
        <w:rPr>
          <w:rFonts w:hint="eastAsia"/>
          <w:color w:val="auto"/>
          <w:sz w:val="44"/>
          <w:szCs w:val="44"/>
          <w:highlight w:val="none"/>
        </w:rPr>
        <w:t>第四章 评定标准</w:t>
      </w:r>
      <w:bookmarkEnd w:id="10"/>
    </w:p>
    <w:p>
      <w:pPr>
        <w:pStyle w:val="14"/>
        <w:spacing w:line="500" w:lineRule="exact"/>
        <w:jc w:val="center"/>
        <w:rPr>
          <w:rFonts w:ascii="仿宋_GB2312" w:hAnsi="宋体" w:eastAsia="仿宋_GB2312"/>
          <w:color w:val="auto"/>
          <w:sz w:val="36"/>
          <w:szCs w:val="36"/>
          <w:highlight w:val="none"/>
        </w:rPr>
      </w:pPr>
      <w:r>
        <w:rPr>
          <w:rFonts w:hint="eastAsia" w:ascii="仿宋_GB2312" w:hAnsi="宋体" w:eastAsia="仿宋_GB2312"/>
          <w:b/>
          <w:color w:val="auto"/>
          <w:kern w:val="0"/>
          <w:sz w:val="36"/>
          <w:szCs w:val="36"/>
          <w:highlight w:val="none"/>
        </w:rPr>
        <w:t>评定标准</w:t>
      </w:r>
    </w:p>
    <w:p>
      <w:pPr>
        <w:pStyle w:val="14"/>
        <w:spacing w:line="500" w:lineRule="exact"/>
        <w:ind w:firstLine="278" w:firstLineChars="132"/>
        <w:rPr>
          <w:rFonts w:hAnsi="宋体"/>
          <w:b/>
          <w:bCs/>
          <w:color w:val="auto"/>
          <w:highlight w:val="none"/>
        </w:rPr>
      </w:pPr>
    </w:p>
    <w:p>
      <w:pPr>
        <w:pStyle w:val="14"/>
        <w:spacing w:line="500" w:lineRule="exact"/>
        <w:ind w:firstLine="310" w:firstLineChars="147"/>
        <w:rPr>
          <w:b/>
          <w:bCs/>
          <w:color w:val="auto"/>
          <w:highlight w:val="none"/>
        </w:rPr>
      </w:pPr>
      <w:bookmarkStart w:id="11" w:name="_Toc451430918"/>
      <w:r>
        <w:rPr>
          <w:rFonts w:hint="eastAsia"/>
          <w:b/>
          <w:bCs/>
          <w:color w:val="auto"/>
          <w:highlight w:val="none"/>
        </w:rPr>
        <w:t>一、评标原则</w:t>
      </w:r>
    </w:p>
    <w:p>
      <w:pPr>
        <w:pStyle w:val="14"/>
        <w:spacing w:line="440" w:lineRule="exact"/>
        <w:ind w:firstLine="420"/>
        <w:rPr>
          <w:bCs/>
          <w:color w:val="auto"/>
          <w:highlight w:val="none"/>
        </w:rPr>
      </w:pPr>
      <w:r>
        <w:rPr>
          <w:rFonts w:hint="eastAsia"/>
          <w:bCs/>
          <w:color w:val="auto"/>
          <w:highlight w:val="none"/>
        </w:rPr>
        <w:t>(一）磋商小组</w:t>
      </w:r>
      <w:r>
        <w:rPr>
          <w:rFonts w:hint="eastAsia" w:cs="Courier New"/>
          <w:bCs/>
          <w:color w:val="auto"/>
          <w:highlight w:val="none"/>
        </w:rPr>
        <w:t>构成：本项目的磋商小组由采购人代表和评审专家共3人以上单数组成，</w:t>
      </w:r>
      <w:r>
        <w:rPr>
          <w:rFonts w:hint="eastAsia"/>
          <w:color w:val="auto"/>
          <w:highlight w:val="none"/>
        </w:rPr>
        <w:t>其中评审专家人数不得少于磋商小组成员总数的</w:t>
      </w:r>
      <w:r>
        <w:rPr>
          <w:rFonts w:hint="eastAsia" w:cs="Courier New"/>
          <w:bCs/>
          <w:color w:val="auto"/>
          <w:highlight w:val="none"/>
        </w:rPr>
        <w:t>2/3。</w:t>
      </w:r>
    </w:p>
    <w:p>
      <w:pPr>
        <w:pStyle w:val="14"/>
        <w:spacing w:line="440" w:lineRule="exact"/>
        <w:ind w:firstLine="420"/>
        <w:rPr>
          <w:bCs/>
          <w:color w:val="auto"/>
          <w:highlight w:val="none"/>
        </w:rPr>
      </w:pPr>
      <w:r>
        <w:rPr>
          <w:rFonts w:hint="eastAsia"/>
          <w:bCs/>
          <w:color w:val="auto"/>
          <w:highlight w:val="none"/>
        </w:rPr>
        <w:t>(二）评标依据：磋商小组将以竞争性磋商文件和响应文件为评定依据进行评审，对供应商的报价、技术方案分、履约能力</w:t>
      </w:r>
      <w:r>
        <w:rPr>
          <w:bCs/>
          <w:color w:val="auto"/>
          <w:highlight w:val="none"/>
        </w:rPr>
        <w:t>分</w:t>
      </w:r>
      <w:r>
        <w:rPr>
          <w:rFonts w:hint="eastAsia"/>
          <w:bCs/>
          <w:color w:val="auto"/>
          <w:highlight w:val="none"/>
        </w:rPr>
        <w:t xml:space="preserve">等内容按百分制打分。 </w:t>
      </w:r>
    </w:p>
    <w:p>
      <w:pPr>
        <w:pStyle w:val="14"/>
        <w:spacing w:line="440" w:lineRule="exact"/>
        <w:ind w:firstLine="420"/>
        <w:rPr>
          <w:bCs/>
          <w:color w:val="auto"/>
          <w:highlight w:val="none"/>
        </w:rPr>
      </w:pPr>
      <w:r>
        <w:rPr>
          <w:rFonts w:hint="eastAsia"/>
          <w:bCs/>
          <w:color w:val="auto"/>
          <w:highlight w:val="none"/>
        </w:rPr>
        <w:t>(三）评标方法：综合评分法。</w:t>
      </w:r>
    </w:p>
    <w:p>
      <w:pPr>
        <w:pStyle w:val="14"/>
        <w:spacing w:line="500" w:lineRule="exact"/>
        <w:ind w:firstLine="422" w:firstLineChars="200"/>
        <w:rPr>
          <w:b/>
          <w:bCs/>
          <w:color w:val="auto"/>
          <w:highlight w:val="none"/>
        </w:rPr>
      </w:pPr>
      <w:r>
        <w:rPr>
          <w:rFonts w:hint="eastAsia"/>
          <w:b/>
          <w:bCs/>
          <w:color w:val="auto"/>
          <w:highlight w:val="none"/>
        </w:rPr>
        <w:t>二、评标方法</w:t>
      </w:r>
    </w:p>
    <w:p>
      <w:pPr>
        <w:pStyle w:val="14"/>
        <w:spacing w:line="440" w:lineRule="exact"/>
        <w:ind w:firstLine="420"/>
        <w:rPr>
          <w:bCs/>
          <w:color w:val="auto"/>
          <w:highlight w:val="none"/>
        </w:rPr>
      </w:pPr>
      <w:r>
        <w:rPr>
          <w:rFonts w:hint="eastAsia"/>
          <w:bCs/>
          <w:color w:val="auto"/>
          <w:highlight w:val="none"/>
        </w:rPr>
        <w:t>对进入详评的，磋商小组将以竞争性磋商文件 、响应文件为评定依据，采用百分制综合评分法；计分办法（按四舍五入取至百分位）；</w:t>
      </w:r>
    </w:p>
    <w:p>
      <w:pPr>
        <w:spacing w:line="500" w:lineRule="exact"/>
        <w:ind w:firstLine="236" w:firstLineChars="98"/>
        <w:rPr>
          <w:rFonts w:ascii="宋体" w:cs="Courier New"/>
          <w:b/>
          <w:bCs/>
          <w:color w:val="auto"/>
          <w:sz w:val="24"/>
          <w:szCs w:val="24"/>
          <w:highlight w:val="none"/>
        </w:rPr>
      </w:pPr>
      <w:r>
        <w:rPr>
          <w:rFonts w:hint="eastAsia" w:ascii="宋体" w:cs="Courier New"/>
          <w:b/>
          <w:bCs/>
          <w:color w:val="auto"/>
          <w:sz w:val="24"/>
          <w:szCs w:val="24"/>
          <w:highlight w:val="none"/>
        </w:rPr>
        <w:t>1、价格分（</w:t>
      </w:r>
      <w:r>
        <w:rPr>
          <w:rFonts w:ascii="宋体" w:cs="Courier New"/>
          <w:b/>
          <w:bCs/>
          <w:color w:val="auto"/>
          <w:sz w:val="24"/>
          <w:szCs w:val="24"/>
          <w:highlight w:val="none"/>
        </w:rPr>
        <w:t>30</w:t>
      </w:r>
      <w:r>
        <w:rPr>
          <w:rFonts w:hint="eastAsia" w:ascii="宋体" w:cs="Courier New"/>
          <w:b/>
          <w:bCs/>
          <w:color w:val="auto"/>
          <w:sz w:val="24"/>
          <w:szCs w:val="24"/>
          <w:highlight w:val="none"/>
        </w:rPr>
        <w:t>分）</w:t>
      </w:r>
    </w:p>
    <w:p>
      <w:pPr>
        <w:tabs>
          <w:tab w:val="left" w:pos="5950"/>
        </w:tabs>
        <w:spacing w:line="500" w:lineRule="exact"/>
        <w:ind w:firstLine="315" w:firstLineChars="150"/>
        <w:rPr>
          <w:rFonts w:ascii="宋体" w:cs="Courier New"/>
          <w:bCs/>
          <w:color w:val="auto"/>
          <w:szCs w:val="21"/>
          <w:highlight w:val="none"/>
        </w:rPr>
      </w:pPr>
      <w:r>
        <w:rPr>
          <w:rFonts w:hint="eastAsia" w:ascii="宋体" w:cs="Courier New"/>
          <w:bCs/>
          <w:color w:val="auto"/>
          <w:szCs w:val="21"/>
          <w:highlight w:val="none"/>
        </w:rPr>
        <w:t>超出预算价和未通过资格、符合性审查的供应商，其报价无效。报价评分以最后磋商报价的评审价为依据，根据上面的优惠政策计算各个磋商供应商的评审报价进行计算价格分。</w:t>
      </w:r>
    </w:p>
    <w:p>
      <w:pPr>
        <w:pStyle w:val="14"/>
        <w:spacing w:line="440" w:lineRule="exact"/>
        <w:ind w:firstLine="420"/>
        <w:rPr>
          <w:rFonts w:cs="Courier New"/>
          <w:bCs/>
          <w:color w:val="auto"/>
          <w:highlight w:val="none"/>
        </w:rPr>
      </w:pPr>
    </w:p>
    <w:p>
      <w:pPr>
        <w:spacing w:line="500" w:lineRule="exact"/>
        <w:rPr>
          <w:rFonts w:ascii="宋体" w:cs="Courier New"/>
          <w:bCs/>
          <w:color w:val="auto"/>
          <w:szCs w:val="21"/>
          <w:highlight w:val="none"/>
        </w:rPr>
      </w:pPr>
      <w:r>
        <w:rPr>
          <w:rFonts w:hint="eastAsia" w:ascii="宋体" w:cs="Courier New"/>
          <w:bCs/>
          <w:color w:val="auto"/>
          <w:szCs w:val="21"/>
          <w:highlight w:val="none"/>
        </w:rPr>
        <w:t xml:space="preserve">                      有效供应商的最低评审报价</w:t>
      </w:r>
    </w:p>
    <w:p>
      <w:pPr>
        <w:spacing w:line="500" w:lineRule="exact"/>
        <w:ind w:firstLine="210" w:firstLineChars="100"/>
        <w:rPr>
          <w:rFonts w:ascii="宋体" w:cs="Courier New"/>
          <w:bCs/>
          <w:color w:val="auto"/>
          <w:szCs w:val="21"/>
          <w:highlight w:val="none"/>
        </w:rPr>
      </w:pPr>
      <w:r>
        <w:rPr>
          <w:rFonts w:hint="eastAsia" w:ascii="宋体" w:cs="Courier New"/>
          <w:bCs/>
          <w:color w:val="auto"/>
          <w:szCs w:val="21"/>
          <w:highlight w:val="none"/>
        </w:rPr>
        <w:t xml:space="preserve">某供应商价格分　=  ---------------------------- × </w:t>
      </w:r>
      <w:r>
        <w:rPr>
          <w:rFonts w:ascii="宋体" w:cs="Courier New"/>
          <w:bCs/>
          <w:color w:val="auto"/>
          <w:szCs w:val="21"/>
          <w:highlight w:val="none"/>
        </w:rPr>
        <w:t>30</w:t>
      </w:r>
      <w:r>
        <w:rPr>
          <w:rFonts w:hint="eastAsia" w:ascii="宋体" w:cs="Courier New"/>
          <w:bCs/>
          <w:color w:val="auto"/>
          <w:szCs w:val="21"/>
          <w:highlight w:val="none"/>
        </w:rPr>
        <w:t>分</w:t>
      </w:r>
    </w:p>
    <w:p>
      <w:pPr>
        <w:autoSpaceDE w:val="0"/>
        <w:autoSpaceDN w:val="0"/>
        <w:adjustRightInd w:val="0"/>
        <w:spacing w:line="500" w:lineRule="exact"/>
        <w:rPr>
          <w:rFonts w:ascii="宋体" w:cs="Courier New"/>
          <w:bCs/>
          <w:color w:val="auto"/>
          <w:szCs w:val="21"/>
          <w:highlight w:val="none"/>
        </w:rPr>
      </w:pPr>
      <w:r>
        <w:rPr>
          <w:rFonts w:hint="eastAsia" w:ascii="宋体" w:cs="Courier New"/>
          <w:bCs/>
          <w:color w:val="auto"/>
          <w:szCs w:val="21"/>
          <w:highlight w:val="none"/>
        </w:rPr>
        <w:t xml:space="preserve">                   　 某供应商磋商后报价的评审价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评标报价计算说明：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（1）评标价为磋商供应商的竞标报价进行政策性扣除后的价格，评标价只是作为评标时使用。最终成交人的成交金额＝竞标报价。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照《政府采购促进中小企业发展暂行办法》（财库[2011]181号）之规定，磋商供应商为小型和微型企业，并在其响应文件中提供《中小企业声明函》或者相关证明材料，且其所磋商供应商为小型和微型企业产品的，对其竞标价格给予6%的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（5）政策性扣除计算方法。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供应商被认定为监狱企业或残疾人福利性单位或小型和微型企业且其所磋商供应商为小型和微型企业的，该磋商供应商的竞标报价给予6%的扣除，扣除后的价格为评标报价，即评标报价=竞标报价×（1-6%）；除上述情况外，评标报价=竞标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hAnsi="仿宋" w:cs="宋体"/>
          <w:color w:val="auto"/>
          <w:kern w:val="0"/>
          <w:highlight w:val="none"/>
          <w:lang w:eastAsia="zh-CN"/>
        </w:rPr>
        <w:t>磋商小组</w:t>
      </w:r>
      <w:r>
        <w:rPr>
          <w:rFonts w:hint="eastAsia" w:hAnsi="仿宋" w:cs="宋体"/>
          <w:color w:val="auto"/>
          <w:kern w:val="0"/>
          <w:highlight w:val="none"/>
        </w:rPr>
        <w:t>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w:t>
      </w:r>
      <w:r>
        <w:rPr>
          <w:rFonts w:hint="eastAsia" w:hAnsi="仿宋" w:cs="宋体"/>
          <w:color w:val="auto"/>
          <w:kern w:val="0"/>
          <w:highlight w:val="none"/>
          <w:lang w:eastAsia="zh-CN"/>
        </w:rPr>
        <w:t>磋商小组</w:t>
      </w:r>
      <w:r>
        <w:rPr>
          <w:rFonts w:hint="eastAsia" w:hAnsi="仿宋" w:cs="宋体"/>
          <w:color w:val="auto"/>
          <w:kern w:val="0"/>
          <w:highlight w:val="none"/>
        </w:rPr>
        <w:t>应当将其作为无效竞标处理。</w:t>
      </w:r>
    </w:p>
    <w:p>
      <w:pPr>
        <w:pStyle w:val="14"/>
        <w:spacing w:line="360" w:lineRule="auto"/>
        <w:ind w:firstLine="422"/>
        <w:jc w:val="left"/>
        <w:rPr>
          <w:rFonts w:hAnsi="宋体"/>
          <w:b/>
          <w:bCs/>
          <w:color w:val="auto"/>
          <w:highlight w:val="none"/>
        </w:rPr>
      </w:pPr>
      <w:r>
        <w:rPr>
          <w:rFonts w:hint="eastAsia" w:hAnsi="宋体"/>
          <w:b/>
          <w:bCs/>
          <w:color w:val="auto"/>
          <w:highlight w:val="none"/>
        </w:rPr>
        <w:t>2．技术性能分………………………………………………………………</w:t>
      </w:r>
      <w:r>
        <w:rPr>
          <w:rFonts w:hAnsi="宋体"/>
          <w:b/>
          <w:bCs/>
          <w:color w:val="auto"/>
          <w:highlight w:val="none"/>
        </w:rPr>
        <w:t>34</w:t>
      </w:r>
      <w:r>
        <w:rPr>
          <w:rFonts w:hint="eastAsia" w:hAnsi="宋体"/>
          <w:b/>
          <w:bCs/>
          <w:color w:val="auto"/>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评委根据采购文件要求，对通过资格性和符合性审查进入详评的各磋商供应商在响应文件的响应情况进行独立评审，并按如下计分方式确定得分：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（1）基本性能分.........................................</w:t>
      </w:r>
      <w:r>
        <w:rPr>
          <w:rFonts w:ascii="宋体" w:hAnsi="宋体"/>
          <w:color w:val="auto"/>
          <w:szCs w:val="21"/>
          <w:highlight w:val="none"/>
        </w:rPr>
        <w:t>20</w:t>
      </w:r>
      <w:r>
        <w:rPr>
          <w:rFonts w:hint="eastAsia" w:ascii="宋体" w:hAnsi="宋体"/>
          <w:color w:val="auto"/>
          <w:szCs w:val="21"/>
          <w:highlight w:val="none"/>
        </w:rPr>
        <w:t>分</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由评委根据磋商供应商拟提供的产品质量情况、技术参数情况等审查，带有“</w:t>
      </w:r>
      <w:r>
        <w:rPr>
          <w:rFonts w:hint="eastAsia" w:hAnsi="宋体" w:cs="宋体"/>
          <w:bCs/>
          <w:iCs/>
          <w:color w:val="auto"/>
          <w:highlight w:val="none"/>
        </w:rPr>
        <w:t>★</w:t>
      </w:r>
      <w:r>
        <w:rPr>
          <w:rFonts w:hint="eastAsia" w:hAnsi="宋体"/>
          <w:bCs/>
          <w:iCs/>
          <w:color w:val="auto"/>
          <w:highlight w:val="none"/>
        </w:rPr>
        <w:t>”要求的技术要求每缺少一项扣2分，不带“</w:t>
      </w:r>
      <w:r>
        <w:rPr>
          <w:rFonts w:hint="eastAsia" w:hAnsi="宋体" w:cs="宋体"/>
          <w:bCs/>
          <w:iCs/>
          <w:color w:val="auto"/>
          <w:highlight w:val="none"/>
        </w:rPr>
        <w:t>★</w:t>
      </w:r>
      <w:r>
        <w:rPr>
          <w:rFonts w:hint="eastAsia" w:hAnsi="宋体"/>
          <w:bCs/>
          <w:iCs/>
          <w:color w:val="auto"/>
          <w:highlight w:val="none"/>
        </w:rPr>
        <w:t>”的技术参数不符合采购需求的或负偏离的每项扣1分（本小项满分</w:t>
      </w:r>
      <w:r>
        <w:rPr>
          <w:rFonts w:hAnsi="宋体"/>
          <w:bCs/>
          <w:iCs/>
          <w:color w:val="auto"/>
          <w:highlight w:val="none"/>
        </w:rPr>
        <w:t>20</w:t>
      </w:r>
      <w:r>
        <w:rPr>
          <w:rFonts w:hint="eastAsia" w:hAnsi="宋体"/>
          <w:bCs/>
          <w:iCs/>
          <w:color w:val="auto"/>
          <w:highlight w:val="none"/>
        </w:rPr>
        <w:t>分，扣分扣完本小项</w:t>
      </w:r>
      <w:r>
        <w:rPr>
          <w:rFonts w:hAnsi="宋体"/>
          <w:bCs/>
          <w:iCs/>
          <w:color w:val="auto"/>
          <w:highlight w:val="none"/>
        </w:rPr>
        <w:t>20</w:t>
      </w:r>
      <w:r>
        <w:rPr>
          <w:rFonts w:hint="eastAsia" w:hAnsi="宋体"/>
          <w:bCs/>
          <w:iCs/>
          <w:color w:val="auto"/>
          <w:highlight w:val="none"/>
        </w:rPr>
        <w:t>分为止）。</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（2）货物性能分..........................................</w:t>
      </w:r>
      <w:r>
        <w:rPr>
          <w:rFonts w:hAnsi="宋体"/>
          <w:bCs/>
          <w:iCs/>
          <w:color w:val="auto"/>
          <w:highlight w:val="none"/>
        </w:rPr>
        <w:t>14</w:t>
      </w:r>
      <w:r>
        <w:rPr>
          <w:rFonts w:hint="eastAsia" w:hAnsi="宋体"/>
          <w:bCs/>
          <w:iCs/>
          <w:color w:val="auto"/>
          <w:highlight w:val="none"/>
        </w:rPr>
        <w:t>分</w:t>
      </w:r>
    </w:p>
    <w:p>
      <w:pPr>
        <w:pStyle w:val="14"/>
        <w:spacing w:line="420" w:lineRule="exact"/>
        <w:ind w:firstLine="420" w:firstLineChars="200"/>
        <w:jc w:val="left"/>
        <w:rPr>
          <w:rFonts w:hAnsi="宋体"/>
          <w:bCs/>
          <w:iCs/>
          <w:color w:val="auto"/>
          <w:highlight w:val="none"/>
        </w:rPr>
      </w:pPr>
      <w:r>
        <w:rPr>
          <w:rFonts w:hint="eastAsia" w:hAnsi="宋体"/>
          <w:color w:val="auto"/>
          <w:highlight w:val="none"/>
        </w:rPr>
        <w:t>评委根据采购文件要求，对通过资格性和符合性审查进入详评的各磋商供应商在响应文件的所提供的相关证明材料进行独立评审，并按如下计分方式确定得分</w:t>
      </w:r>
    </w:p>
    <w:p>
      <w:pPr>
        <w:pStyle w:val="21"/>
        <w:spacing w:line="420" w:lineRule="exact"/>
        <w:ind w:left="0" w:firstLine="420" w:firstLineChars="200"/>
        <w:rPr>
          <w:rFonts w:ascii="宋体" w:hAnsi="宋体"/>
          <w:bCs/>
          <w:iCs/>
          <w:color w:val="auto"/>
          <w:kern w:val="2"/>
          <w:szCs w:val="21"/>
          <w:highlight w:val="none"/>
        </w:rPr>
      </w:pPr>
      <w:r>
        <w:rPr>
          <w:rFonts w:ascii="宋体" w:hAnsi="宋体"/>
          <w:bCs/>
          <w:iCs/>
          <w:color w:val="auto"/>
          <w:kern w:val="2"/>
          <w:szCs w:val="21"/>
          <w:highlight w:val="none"/>
        </w:rPr>
        <w:t>1</w:t>
      </w:r>
      <w:r>
        <w:rPr>
          <w:rFonts w:hint="eastAsia" w:ascii="宋体" w:hAnsi="宋体"/>
          <w:bCs/>
          <w:iCs/>
          <w:color w:val="auto"/>
          <w:kern w:val="2"/>
          <w:szCs w:val="21"/>
          <w:highlight w:val="none"/>
        </w:rPr>
        <w:t>、多媒体同步课堂MCU服务器具备电信进网许可证复印件，提供工信部网站查询截图及证书复印件，提供得</w:t>
      </w:r>
      <w:r>
        <w:rPr>
          <w:rFonts w:ascii="宋体" w:hAnsi="宋体"/>
          <w:bCs/>
          <w:iCs/>
          <w:color w:val="auto"/>
          <w:kern w:val="2"/>
          <w:szCs w:val="21"/>
          <w:highlight w:val="none"/>
        </w:rPr>
        <w:t>2</w:t>
      </w:r>
      <w:r>
        <w:rPr>
          <w:rFonts w:hint="eastAsia" w:ascii="宋体" w:hAnsi="宋体"/>
          <w:bCs/>
          <w:iCs/>
          <w:color w:val="auto"/>
          <w:kern w:val="2"/>
          <w:szCs w:val="21"/>
          <w:highlight w:val="none"/>
        </w:rPr>
        <w:t>分，不提供不得分（满分</w:t>
      </w:r>
      <w:r>
        <w:rPr>
          <w:rFonts w:ascii="宋体" w:hAnsi="宋体"/>
          <w:bCs/>
          <w:iCs/>
          <w:color w:val="auto"/>
          <w:kern w:val="2"/>
          <w:szCs w:val="21"/>
          <w:highlight w:val="none"/>
        </w:rPr>
        <w:t>2</w:t>
      </w:r>
      <w:r>
        <w:rPr>
          <w:rFonts w:hint="eastAsia" w:ascii="宋体" w:hAnsi="宋体"/>
          <w:bCs/>
          <w:iCs/>
          <w:color w:val="auto"/>
          <w:kern w:val="2"/>
          <w:szCs w:val="21"/>
          <w:highlight w:val="none"/>
        </w:rPr>
        <w:t>分）</w:t>
      </w:r>
    </w:p>
    <w:p>
      <w:pPr>
        <w:ind w:firstLine="420" w:firstLineChars="200"/>
        <w:rPr>
          <w:rFonts w:hint="eastAsia"/>
          <w:color w:val="auto"/>
          <w:highlight w:val="none"/>
        </w:rPr>
      </w:pPr>
      <w:r>
        <w:rPr>
          <w:rFonts w:ascii="宋体" w:hAnsi="宋体"/>
          <w:bCs/>
          <w:iCs/>
          <w:color w:val="auto"/>
          <w:szCs w:val="21"/>
          <w:highlight w:val="none"/>
        </w:rPr>
        <w:t>2</w:t>
      </w:r>
      <w:r>
        <w:rPr>
          <w:rFonts w:hint="eastAsia" w:ascii="宋体" w:hAnsi="宋体"/>
          <w:bCs/>
          <w:iCs/>
          <w:color w:val="auto"/>
          <w:szCs w:val="21"/>
          <w:highlight w:val="none"/>
        </w:rPr>
        <w:t>、多媒体同步课堂MCU服务器支持4K编解码，支持4K合屏会议功能，提供权威检测机构出具的检测报告复印件，提供的得2分，不提供不得分。（满分2分）</w:t>
      </w:r>
    </w:p>
    <w:p>
      <w:pPr>
        <w:pStyle w:val="21"/>
        <w:spacing w:line="420" w:lineRule="exact"/>
        <w:ind w:left="0" w:firstLine="420" w:firstLineChars="200"/>
        <w:rPr>
          <w:rFonts w:ascii="宋体" w:hAnsi="宋体"/>
          <w:bCs/>
          <w:iCs/>
          <w:color w:val="auto"/>
          <w:kern w:val="2"/>
          <w:szCs w:val="21"/>
          <w:highlight w:val="none"/>
        </w:rPr>
      </w:pPr>
      <w:r>
        <w:rPr>
          <w:rFonts w:ascii="宋体" w:hAnsi="宋体"/>
          <w:bCs/>
          <w:iCs/>
          <w:color w:val="auto"/>
          <w:kern w:val="2"/>
          <w:szCs w:val="21"/>
          <w:highlight w:val="none"/>
        </w:rPr>
        <w:t>3</w:t>
      </w:r>
      <w:r>
        <w:rPr>
          <w:rFonts w:hint="eastAsia" w:ascii="宋体" w:hAnsi="宋体"/>
          <w:bCs/>
          <w:iCs/>
          <w:color w:val="auto"/>
          <w:kern w:val="2"/>
          <w:szCs w:val="21"/>
          <w:highlight w:val="none"/>
        </w:rPr>
        <w:t>、所投交互智能平板产品整机在雷雨复杂天气中仍可安全使用：整机符合浪涌（冲击）抗扰度、静电放电抗扰度、射频电磁场辐射抗扰度、电快速瞬变脉冲群抗扰度、射频场感应的传导抗扰度的要求。完全满足并提供相应安全性能的检测（检验）报告复印件，</w:t>
      </w:r>
      <w:r>
        <w:rPr>
          <w:rFonts w:hint="eastAsia" w:hAnsi="宋体"/>
          <w:bCs/>
          <w:iCs/>
          <w:color w:val="auto"/>
          <w:highlight w:val="none"/>
        </w:rPr>
        <w:t>提供得</w:t>
      </w:r>
      <w:r>
        <w:rPr>
          <w:rFonts w:hAnsi="宋体"/>
          <w:bCs/>
          <w:iCs/>
          <w:color w:val="auto"/>
          <w:highlight w:val="none"/>
        </w:rPr>
        <w:t>2</w:t>
      </w:r>
      <w:r>
        <w:rPr>
          <w:rFonts w:hint="eastAsia" w:hAnsi="宋体"/>
          <w:bCs/>
          <w:iCs/>
          <w:color w:val="auto"/>
          <w:highlight w:val="none"/>
        </w:rPr>
        <w:t>分，不提供不得分</w:t>
      </w:r>
      <w:r>
        <w:rPr>
          <w:rFonts w:hint="eastAsia" w:ascii="宋体" w:hAnsi="宋体"/>
          <w:bCs/>
          <w:iCs/>
          <w:color w:val="auto"/>
          <w:kern w:val="2"/>
          <w:szCs w:val="21"/>
          <w:highlight w:val="none"/>
        </w:rPr>
        <w:t>（满分2分）</w:t>
      </w:r>
    </w:p>
    <w:p>
      <w:pPr>
        <w:pStyle w:val="14"/>
        <w:spacing w:line="360" w:lineRule="exact"/>
        <w:ind w:firstLine="420"/>
        <w:rPr>
          <w:rFonts w:hint="eastAsia" w:hAnsi="宋体"/>
          <w:bCs/>
          <w:iCs/>
          <w:color w:val="auto"/>
          <w:highlight w:val="none"/>
        </w:rPr>
      </w:pPr>
      <w:r>
        <w:rPr>
          <w:rFonts w:hAnsi="宋体"/>
          <w:bCs/>
          <w:iCs/>
          <w:color w:val="auto"/>
          <w:highlight w:val="none"/>
        </w:rPr>
        <w:t>4</w:t>
      </w:r>
      <w:r>
        <w:rPr>
          <w:rFonts w:hint="eastAsia" w:hAnsi="宋体"/>
          <w:bCs/>
          <w:iCs/>
          <w:color w:val="auto"/>
          <w:highlight w:val="none"/>
        </w:rPr>
        <w:t>、所投交互智能平板整机在高低温环境、盐雾环境和复杂运输情况中的稳定性，且机身具备防盐雾锈蚀特性，可在潮湿天气中正常使用。完全满足并提供高低温实验、盐雾实验的检测（检验）报告复印件，</w:t>
      </w:r>
      <w:r>
        <w:rPr>
          <w:rFonts w:hint="eastAsia" w:ascii="Calibri" w:hAnsi="宋体"/>
          <w:bCs/>
          <w:iCs/>
          <w:color w:val="auto"/>
          <w:kern w:val="0"/>
          <w:szCs w:val="20"/>
          <w:highlight w:val="none"/>
        </w:rPr>
        <w:t>提供得</w:t>
      </w:r>
      <w:r>
        <w:rPr>
          <w:rFonts w:ascii="Calibri" w:hAnsi="宋体"/>
          <w:bCs/>
          <w:iCs/>
          <w:color w:val="auto"/>
          <w:kern w:val="0"/>
          <w:szCs w:val="20"/>
          <w:highlight w:val="none"/>
        </w:rPr>
        <w:t>2</w:t>
      </w:r>
      <w:r>
        <w:rPr>
          <w:rFonts w:hint="eastAsia" w:ascii="Calibri" w:hAnsi="宋体"/>
          <w:bCs/>
          <w:iCs/>
          <w:color w:val="auto"/>
          <w:kern w:val="0"/>
          <w:szCs w:val="20"/>
          <w:highlight w:val="none"/>
        </w:rPr>
        <w:t>分，不提供不得分。</w:t>
      </w:r>
      <w:r>
        <w:rPr>
          <w:rFonts w:hint="eastAsia" w:hAnsi="宋体"/>
          <w:bCs/>
          <w:iCs/>
          <w:color w:val="auto"/>
          <w:highlight w:val="none"/>
        </w:rPr>
        <w:t>（满分2分）</w:t>
      </w:r>
    </w:p>
    <w:p>
      <w:pPr>
        <w:pStyle w:val="21"/>
        <w:spacing w:line="420" w:lineRule="exact"/>
        <w:ind w:left="0" w:firstLine="420" w:firstLineChars="200"/>
        <w:rPr>
          <w:rFonts w:hint="eastAsia" w:ascii="宋体" w:hAnsi="宋体"/>
          <w:bCs/>
          <w:iCs/>
          <w:color w:val="auto"/>
          <w:kern w:val="2"/>
          <w:szCs w:val="21"/>
          <w:highlight w:val="none"/>
        </w:rPr>
      </w:pPr>
      <w:r>
        <w:rPr>
          <w:rFonts w:ascii="宋体" w:hAnsi="宋体"/>
          <w:bCs/>
          <w:iCs/>
          <w:color w:val="auto"/>
          <w:kern w:val="2"/>
          <w:szCs w:val="21"/>
          <w:highlight w:val="none"/>
        </w:rPr>
        <w:t>5</w:t>
      </w:r>
      <w:r>
        <w:rPr>
          <w:rFonts w:hint="eastAsia" w:ascii="宋体" w:hAnsi="宋体"/>
          <w:bCs/>
          <w:iCs/>
          <w:color w:val="auto"/>
          <w:kern w:val="2"/>
          <w:szCs w:val="21"/>
          <w:highlight w:val="none"/>
        </w:rPr>
        <w:t>、所投交互智能平板整机具备抗振动、防跌落特性，保证整机运输或使用过程中不易受损。完全满足并提供运输包装跌落的检测（检验）报告复印件，</w:t>
      </w:r>
      <w:r>
        <w:rPr>
          <w:rFonts w:hint="eastAsia" w:hAnsi="宋体"/>
          <w:bCs/>
          <w:iCs/>
          <w:color w:val="auto"/>
          <w:highlight w:val="none"/>
        </w:rPr>
        <w:t>提供得</w:t>
      </w:r>
      <w:r>
        <w:rPr>
          <w:rFonts w:hAnsi="宋体"/>
          <w:bCs/>
          <w:iCs/>
          <w:color w:val="auto"/>
          <w:highlight w:val="none"/>
        </w:rPr>
        <w:t>2</w:t>
      </w:r>
      <w:r>
        <w:rPr>
          <w:rFonts w:hint="eastAsia" w:hAnsi="宋体"/>
          <w:bCs/>
          <w:iCs/>
          <w:color w:val="auto"/>
          <w:highlight w:val="none"/>
        </w:rPr>
        <w:t>分，不提供不得分。</w:t>
      </w:r>
      <w:r>
        <w:rPr>
          <w:rFonts w:hint="eastAsia" w:ascii="宋体" w:hAnsi="宋体"/>
          <w:bCs/>
          <w:iCs/>
          <w:color w:val="auto"/>
          <w:kern w:val="2"/>
          <w:szCs w:val="21"/>
          <w:highlight w:val="none"/>
        </w:rPr>
        <w:t>（满分2分）</w:t>
      </w:r>
    </w:p>
    <w:p>
      <w:pPr>
        <w:pStyle w:val="21"/>
        <w:spacing w:line="420" w:lineRule="exact"/>
        <w:ind w:left="0" w:firstLine="420" w:firstLineChars="200"/>
        <w:rPr>
          <w:rFonts w:hint="eastAsia" w:ascii="宋体" w:hAnsi="宋体"/>
          <w:bCs/>
          <w:iCs/>
          <w:color w:val="auto"/>
          <w:szCs w:val="21"/>
          <w:highlight w:val="none"/>
        </w:rPr>
      </w:pPr>
      <w:r>
        <w:rPr>
          <w:rFonts w:ascii="宋体" w:hAnsi="宋体"/>
          <w:bCs/>
          <w:iCs/>
          <w:color w:val="auto"/>
          <w:szCs w:val="21"/>
          <w:highlight w:val="none"/>
        </w:rPr>
        <w:t>6</w:t>
      </w:r>
      <w:r>
        <w:rPr>
          <w:rFonts w:hint="eastAsia" w:ascii="宋体" w:hAnsi="宋体"/>
          <w:bCs/>
          <w:iCs/>
          <w:color w:val="auto"/>
          <w:szCs w:val="21"/>
          <w:highlight w:val="none"/>
        </w:rPr>
        <w:t>、</w:t>
      </w:r>
      <w:r>
        <w:rPr>
          <w:rFonts w:hint="eastAsia" w:ascii="宋体" w:hAnsi="宋体"/>
          <w:bCs/>
          <w:iCs/>
          <w:color w:val="auto"/>
          <w:kern w:val="2"/>
          <w:szCs w:val="21"/>
          <w:highlight w:val="none"/>
        </w:rPr>
        <w:t>为确保所交互智能平板电脑模块的稳定性和可靠性</w:t>
      </w:r>
      <w:r>
        <w:rPr>
          <w:rFonts w:hint="eastAsia" w:ascii="宋体" w:hAnsi="宋体"/>
          <w:bCs/>
          <w:iCs/>
          <w:color w:val="auto"/>
          <w:szCs w:val="21"/>
          <w:highlight w:val="none"/>
        </w:rPr>
        <w:t>，生产厂商提供（电脑模块）无线电发射设备型号核准证证书复印件，</w:t>
      </w:r>
      <w:r>
        <w:rPr>
          <w:rFonts w:hint="eastAsia" w:hAnsi="宋体"/>
          <w:bCs/>
          <w:iCs/>
          <w:color w:val="auto"/>
          <w:highlight w:val="none"/>
        </w:rPr>
        <w:t>提供得</w:t>
      </w:r>
      <w:r>
        <w:rPr>
          <w:rFonts w:hAnsi="宋体"/>
          <w:bCs/>
          <w:iCs/>
          <w:color w:val="auto"/>
          <w:highlight w:val="none"/>
        </w:rPr>
        <w:t>2</w:t>
      </w:r>
      <w:r>
        <w:rPr>
          <w:rFonts w:hint="eastAsia" w:hAnsi="宋体"/>
          <w:bCs/>
          <w:iCs/>
          <w:color w:val="auto"/>
          <w:highlight w:val="none"/>
        </w:rPr>
        <w:t>分，不提供不得分；</w:t>
      </w:r>
      <w:r>
        <w:rPr>
          <w:rFonts w:hint="eastAsia" w:ascii="宋体" w:hAnsi="宋体"/>
          <w:bCs/>
          <w:iCs/>
          <w:color w:val="auto"/>
          <w:szCs w:val="21"/>
          <w:highlight w:val="none"/>
        </w:rPr>
        <w:t>（满分2分）</w:t>
      </w:r>
    </w:p>
    <w:p>
      <w:pPr>
        <w:pStyle w:val="21"/>
        <w:spacing w:line="420" w:lineRule="exact"/>
        <w:ind w:left="0" w:firstLine="420" w:firstLineChars="200"/>
        <w:rPr>
          <w:rFonts w:hint="eastAsia" w:ascii="宋体" w:hAnsi="宋体"/>
          <w:bCs/>
          <w:iCs/>
          <w:color w:val="auto"/>
          <w:kern w:val="2"/>
          <w:szCs w:val="21"/>
          <w:highlight w:val="none"/>
        </w:rPr>
      </w:pPr>
      <w:r>
        <w:rPr>
          <w:rFonts w:ascii="宋体" w:hAnsi="宋体"/>
          <w:bCs/>
          <w:iCs/>
          <w:color w:val="auto"/>
          <w:kern w:val="2"/>
          <w:szCs w:val="21"/>
          <w:highlight w:val="none"/>
        </w:rPr>
        <w:t>7</w:t>
      </w:r>
      <w:r>
        <w:rPr>
          <w:rFonts w:hint="eastAsia" w:ascii="宋体" w:hAnsi="宋体"/>
          <w:bCs/>
          <w:iCs/>
          <w:color w:val="auto"/>
          <w:kern w:val="2"/>
          <w:szCs w:val="21"/>
          <w:highlight w:val="none"/>
        </w:rPr>
        <w:t>、为确保所投交互智能平板音效满足英语听力、音乐课等方面使用需求，生产厂商提供dbx-tv颁布的总音频增强技术许可证证书复印件，</w:t>
      </w:r>
      <w:r>
        <w:rPr>
          <w:rFonts w:hint="eastAsia" w:hAnsi="宋体"/>
          <w:bCs/>
          <w:iCs/>
          <w:color w:val="auto"/>
          <w:highlight w:val="none"/>
        </w:rPr>
        <w:t>提供得</w:t>
      </w:r>
      <w:r>
        <w:rPr>
          <w:rFonts w:hAnsi="宋体"/>
          <w:bCs/>
          <w:iCs/>
          <w:color w:val="auto"/>
          <w:highlight w:val="none"/>
        </w:rPr>
        <w:t>2</w:t>
      </w:r>
      <w:r>
        <w:rPr>
          <w:rFonts w:hint="eastAsia" w:hAnsi="宋体"/>
          <w:bCs/>
          <w:iCs/>
          <w:color w:val="auto"/>
          <w:highlight w:val="none"/>
        </w:rPr>
        <w:t>分，不提供不得分</w:t>
      </w:r>
      <w:r>
        <w:rPr>
          <w:rFonts w:hint="eastAsia" w:ascii="宋体" w:hAnsi="宋体"/>
          <w:bCs/>
          <w:iCs/>
          <w:color w:val="auto"/>
          <w:kern w:val="2"/>
          <w:szCs w:val="21"/>
          <w:highlight w:val="none"/>
        </w:rPr>
        <w:t>；（满分</w:t>
      </w:r>
      <w:r>
        <w:rPr>
          <w:rFonts w:ascii="宋体" w:hAnsi="宋体"/>
          <w:bCs/>
          <w:iCs/>
          <w:color w:val="auto"/>
          <w:kern w:val="2"/>
          <w:szCs w:val="21"/>
          <w:highlight w:val="none"/>
        </w:rPr>
        <w:t>2</w:t>
      </w:r>
      <w:r>
        <w:rPr>
          <w:rFonts w:hint="eastAsia" w:ascii="宋体" w:hAnsi="宋体"/>
          <w:bCs/>
          <w:iCs/>
          <w:color w:val="auto"/>
          <w:kern w:val="2"/>
          <w:szCs w:val="21"/>
          <w:highlight w:val="none"/>
        </w:rPr>
        <w:t>分）</w:t>
      </w:r>
    </w:p>
    <w:p>
      <w:pPr>
        <w:pStyle w:val="21"/>
        <w:spacing w:line="420" w:lineRule="exact"/>
        <w:ind w:left="0"/>
        <w:rPr>
          <w:rFonts w:ascii="宋体" w:hAnsi="宋体"/>
          <w:bCs/>
          <w:iCs/>
          <w:color w:val="auto"/>
          <w:kern w:val="2"/>
          <w:szCs w:val="21"/>
          <w:highlight w:val="none"/>
        </w:rPr>
      </w:pPr>
    </w:p>
    <w:p>
      <w:pPr>
        <w:pStyle w:val="14"/>
        <w:spacing w:line="360" w:lineRule="auto"/>
        <w:ind w:firstLine="422"/>
        <w:jc w:val="left"/>
        <w:rPr>
          <w:rFonts w:hAnsi="宋体"/>
          <w:b/>
          <w:bCs/>
          <w:color w:val="auto"/>
          <w:highlight w:val="none"/>
        </w:rPr>
      </w:pPr>
      <w:r>
        <w:rPr>
          <w:rFonts w:hint="eastAsia" w:hAnsi="宋体"/>
          <w:b/>
          <w:bCs/>
          <w:color w:val="auto"/>
          <w:highlight w:val="none"/>
        </w:rPr>
        <w:t>3、履约能力分………………………………………………………………………</w:t>
      </w:r>
      <w:r>
        <w:rPr>
          <w:rFonts w:hAnsi="宋体"/>
          <w:b/>
          <w:bCs/>
          <w:color w:val="auto"/>
          <w:highlight w:val="none"/>
        </w:rPr>
        <w:t>……</w:t>
      </w:r>
      <w:r>
        <w:rPr>
          <w:rFonts w:hint="eastAsia" w:hAnsi="宋体"/>
          <w:b/>
          <w:bCs/>
          <w:color w:val="auto"/>
          <w:highlight w:val="none"/>
        </w:rPr>
        <w:t>2</w:t>
      </w:r>
      <w:r>
        <w:rPr>
          <w:rFonts w:hAnsi="宋体"/>
          <w:b/>
          <w:bCs/>
          <w:color w:val="auto"/>
          <w:highlight w:val="none"/>
        </w:rPr>
        <w:t>3</w:t>
      </w:r>
      <w:r>
        <w:rPr>
          <w:rFonts w:hint="eastAsia" w:hAnsi="宋体"/>
          <w:b/>
          <w:bCs/>
          <w:color w:val="auto"/>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评委根据采购文件要求，对通过资格性和符合性审查进入详评的各磋商供应商，根据各供应商响应文件中所提供的相关证明文件进行独立评审，确定得分。</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（1）信誉分..........................................</w:t>
      </w:r>
      <w:r>
        <w:rPr>
          <w:rFonts w:hAnsi="宋体"/>
          <w:bCs/>
          <w:iCs/>
          <w:color w:val="auto"/>
          <w:highlight w:val="none"/>
        </w:rPr>
        <w:t>13</w:t>
      </w:r>
      <w:r>
        <w:rPr>
          <w:rFonts w:hint="eastAsia" w:hAnsi="宋体"/>
          <w:bCs/>
          <w:iCs/>
          <w:color w:val="auto"/>
          <w:highlight w:val="none"/>
        </w:rPr>
        <w:t>分</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由评委根据磋商供应商的证明材料进行比较和评价。</w:t>
      </w:r>
    </w:p>
    <w:p>
      <w:pPr>
        <w:pStyle w:val="14"/>
        <w:spacing w:line="400" w:lineRule="exact"/>
        <w:ind w:firstLine="359" w:firstLineChars="171"/>
        <w:rPr>
          <w:rFonts w:hAnsi="宋体"/>
          <w:bCs/>
          <w:iCs/>
          <w:color w:val="auto"/>
          <w:highlight w:val="none"/>
        </w:rPr>
      </w:pPr>
      <w:r>
        <w:rPr>
          <w:rFonts w:hint="eastAsia" w:hAnsi="宋体"/>
          <w:bCs/>
          <w:iCs/>
          <w:color w:val="auto"/>
          <w:highlight w:val="none"/>
        </w:rPr>
        <w:t>1、供应商通过ISO9000系列国际质量体系认证、多媒体同步课堂MCU服务器生产制造商职业健康安全管理体系GB/TISO45001认证、环境管理体系ISO14001认证的（须提供相关证明材料复印件，否则不予计分），每提供一项得</w:t>
      </w:r>
      <w:r>
        <w:rPr>
          <w:rFonts w:hAnsi="宋体"/>
          <w:bCs/>
          <w:iCs/>
          <w:color w:val="auto"/>
          <w:highlight w:val="none"/>
        </w:rPr>
        <w:t>2</w:t>
      </w:r>
      <w:r>
        <w:rPr>
          <w:rFonts w:hint="eastAsia" w:hAnsi="宋体"/>
          <w:bCs/>
          <w:iCs/>
          <w:color w:val="auto"/>
          <w:highlight w:val="none"/>
        </w:rPr>
        <w:t>分；（满分</w:t>
      </w:r>
      <w:r>
        <w:rPr>
          <w:rFonts w:hAnsi="宋体"/>
          <w:bCs/>
          <w:iCs/>
          <w:color w:val="auto"/>
          <w:highlight w:val="none"/>
        </w:rPr>
        <w:t>6</w:t>
      </w:r>
      <w:r>
        <w:rPr>
          <w:rFonts w:hint="eastAsia" w:hAnsi="宋体"/>
          <w:bCs/>
          <w:iCs/>
          <w:color w:val="auto"/>
          <w:highlight w:val="none"/>
        </w:rPr>
        <w:t>分）。</w:t>
      </w:r>
    </w:p>
    <w:p>
      <w:pPr>
        <w:pStyle w:val="14"/>
        <w:spacing w:line="400" w:lineRule="exact"/>
        <w:ind w:firstLine="359" w:firstLineChars="171"/>
        <w:rPr>
          <w:rFonts w:hAnsi="宋体"/>
          <w:bCs/>
          <w:iCs/>
          <w:color w:val="auto"/>
          <w:highlight w:val="none"/>
        </w:rPr>
      </w:pPr>
      <w:r>
        <w:rPr>
          <w:rFonts w:hint="eastAsia" w:hAnsi="宋体"/>
          <w:bCs/>
          <w:iCs/>
          <w:color w:val="auto"/>
          <w:highlight w:val="none"/>
        </w:rPr>
        <w:t>2、供应商财务状况良好，并提供2017、2018、2</w:t>
      </w:r>
      <w:r>
        <w:rPr>
          <w:rFonts w:hAnsi="宋体"/>
          <w:bCs/>
          <w:iCs/>
          <w:color w:val="auto"/>
          <w:highlight w:val="none"/>
        </w:rPr>
        <w:t>019</w:t>
      </w:r>
      <w:r>
        <w:rPr>
          <w:rFonts w:hint="eastAsia" w:hAnsi="宋体"/>
          <w:bCs/>
          <w:iCs/>
          <w:color w:val="auto"/>
          <w:highlight w:val="none"/>
        </w:rPr>
        <w:t>三年的经第三方审计的财务报告，提供一个年度的得1分；（满分</w:t>
      </w:r>
      <w:r>
        <w:rPr>
          <w:rFonts w:hAnsi="宋体"/>
          <w:bCs/>
          <w:iCs/>
          <w:color w:val="auto"/>
          <w:highlight w:val="none"/>
        </w:rPr>
        <w:t>3</w:t>
      </w:r>
      <w:r>
        <w:rPr>
          <w:rFonts w:hint="eastAsia" w:hAnsi="宋体"/>
          <w:bCs/>
          <w:iCs/>
          <w:color w:val="auto"/>
          <w:highlight w:val="none"/>
        </w:rPr>
        <w:t>分）。</w:t>
      </w:r>
    </w:p>
    <w:p>
      <w:pPr>
        <w:pStyle w:val="14"/>
        <w:spacing w:line="400" w:lineRule="exact"/>
        <w:ind w:firstLine="359" w:firstLineChars="171"/>
        <w:rPr>
          <w:rFonts w:hint="eastAsia" w:hAnsi="宋体"/>
          <w:bCs/>
          <w:iCs/>
          <w:color w:val="auto"/>
          <w:highlight w:val="none"/>
        </w:rPr>
      </w:pPr>
      <w:r>
        <w:rPr>
          <w:rFonts w:hint="eastAsia" w:hAnsi="宋体" w:cs="宋体"/>
          <w:color w:val="auto"/>
          <w:highlight w:val="none"/>
        </w:rPr>
        <w:t>3、投标人具有信用</w:t>
      </w:r>
      <w:r>
        <w:rPr>
          <w:rFonts w:hint="eastAsia" w:hAnsi="宋体"/>
          <w:color w:val="auto"/>
          <w:highlight w:val="none"/>
        </w:rPr>
        <w:t>A</w:t>
      </w:r>
      <w:r>
        <w:rPr>
          <w:rFonts w:hAnsi="宋体"/>
          <w:color w:val="auto"/>
          <w:highlight w:val="none"/>
        </w:rPr>
        <w:t>AA</w:t>
      </w:r>
      <w:r>
        <w:rPr>
          <w:rFonts w:hint="eastAsia" w:hAnsi="宋体" w:cs="宋体"/>
          <w:color w:val="auto"/>
          <w:highlight w:val="none"/>
        </w:rPr>
        <w:t>级单位证书（响应文件中提供有效证书复印件并加盖公章）的，得</w:t>
      </w:r>
      <w:r>
        <w:rPr>
          <w:rFonts w:hAnsi="宋体"/>
          <w:color w:val="auto"/>
          <w:highlight w:val="none"/>
        </w:rPr>
        <w:t>2</w:t>
      </w:r>
      <w:r>
        <w:rPr>
          <w:rFonts w:hint="eastAsia" w:hAnsi="宋体" w:cs="宋体"/>
          <w:color w:val="auto"/>
          <w:highlight w:val="none"/>
        </w:rPr>
        <w:t>分。</w:t>
      </w:r>
      <w:r>
        <w:rPr>
          <w:rFonts w:hAnsi="宋体"/>
          <w:color w:val="auto"/>
          <w:highlight w:val="none"/>
        </w:rPr>
        <w:t>（满分2分）</w:t>
      </w:r>
    </w:p>
    <w:p>
      <w:pPr>
        <w:pStyle w:val="14"/>
        <w:spacing w:line="400" w:lineRule="exact"/>
        <w:ind w:firstLine="359" w:firstLineChars="171"/>
        <w:rPr>
          <w:rFonts w:hint="eastAsia" w:hAnsi="宋体"/>
          <w:bCs/>
          <w:iCs/>
          <w:color w:val="auto"/>
          <w:highlight w:val="none"/>
        </w:rPr>
      </w:pPr>
      <w:r>
        <w:rPr>
          <w:rFonts w:hAnsi="宋体"/>
          <w:bCs/>
          <w:iCs/>
          <w:color w:val="auto"/>
          <w:highlight w:val="none"/>
        </w:rPr>
        <w:t>4</w:t>
      </w:r>
      <w:r>
        <w:rPr>
          <w:rFonts w:hint="eastAsia" w:hAnsi="宋体"/>
          <w:bCs/>
          <w:iCs/>
          <w:color w:val="auto"/>
          <w:highlight w:val="none"/>
        </w:rPr>
        <w:t>、多媒体同步课堂MCU服务器生产制造商为高新技术企业，通过高新技术企业认证并提供相关资质证书的得2分，不提供不得分；（满分2分）</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（2）组织方案分..........................................</w:t>
      </w:r>
      <w:r>
        <w:rPr>
          <w:rFonts w:hAnsi="宋体"/>
          <w:bCs/>
          <w:iCs/>
          <w:color w:val="auto"/>
          <w:highlight w:val="none"/>
        </w:rPr>
        <w:t>10</w:t>
      </w:r>
      <w:r>
        <w:rPr>
          <w:rFonts w:hint="eastAsia" w:hAnsi="宋体"/>
          <w:bCs/>
          <w:iCs/>
          <w:color w:val="auto"/>
          <w:highlight w:val="none"/>
        </w:rPr>
        <w:t>分</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由评委根据磋商供应商的组织方案（设备和人力组织方案）进行比较和评价。</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一档（0</w:t>
      </w:r>
      <w:r>
        <w:rPr>
          <w:rFonts w:hint="eastAsia" w:hAnsi="宋体" w:cs="宋体"/>
          <w:bCs/>
          <w:iCs/>
          <w:color w:val="auto"/>
          <w:highlight w:val="none"/>
        </w:rPr>
        <w:t>～</w:t>
      </w:r>
      <w:r>
        <w:rPr>
          <w:rFonts w:hAnsi="宋体" w:cs="宋体"/>
          <w:bCs/>
          <w:iCs/>
          <w:color w:val="auto"/>
          <w:highlight w:val="none"/>
        </w:rPr>
        <w:t>3</w:t>
      </w:r>
      <w:r>
        <w:rPr>
          <w:rFonts w:hint="eastAsia" w:hAnsi="宋体" w:cs="宋体"/>
          <w:bCs/>
          <w:iCs/>
          <w:color w:val="auto"/>
          <w:highlight w:val="none"/>
        </w:rPr>
        <w:t>.0</w:t>
      </w:r>
      <w:r>
        <w:rPr>
          <w:rFonts w:hint="eastAsia" w:hAnsi="宋体"/>
          <w:bCs/>
          <w:iCs/>
          <w:color w:val="auto"/>
          <w:highlight w:val="none"/>
        </w:rPr>
        <w:t>分）：组织方案较差，供货和安装、调试等人员和设备不足或技术力量薄弱，难以满足采购需求，不能保证质量和交付使用期的。</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二档（</w:t>
      </w:r>
      <w:r>
        <w:rPr>
          <w:rFonts w:hAnsi="宋体"/>
          <w:bCs/>
          <w:iCs/>
          <w:color w:val="auto"/>
          <w:highlight w:val="none"/>
        </w:rPr>
        <w:t>3</w:t>
      </w:r>
      <w:r>
        <w:rPr>
          <w:rFonts w:hint="eastAsia" w:hAnsi="宋体"/>
          <w:bCs/>
          <w:iCs/>
          <w:color w:val="auto"/>
          <w:highlight w:val="none"/>
        </w:rPr>
        <w:t>.1</w:t>
      </w:r>
      <w:r>
        <w:rPr>
          <w:rFonts w:hint="eastAsia" w:hAnsi="宋体" w:cs="宋体"/>
          <w:bCs/>
          <w:iCs/>
          <w:color w:val="auto"/>
          <w:highlight w:val="none"/>
        </w:rPr>
        <w:t>～</w:t>
      </w:r>
      <w:r>
        <w:rPr>
          <w:rFonts w:hAnsi="宋体" w:cs="宋体"/>
          <w:bCs/>
          <w:iCs/>
          <w:color w:val="auto"/>
          <w:highlight w:val="none"/>
        </w:rPr>
        <w:t>6</w:t>
      </w:r>
      <w:r>
        <w:rPr>
          <w:rFonts w:hint="eastAsia" w:hAnsi="宋体"/>
          <w:bCs/>
          <w:iCs/>
          <w:color w:val="auto"/>
          <w:highlight w:val="none"/>
        </w:rPr>
        <w:t>分）：组织方案一般，供货和安装、调试等人员技术力量和设备一般，基本上能保证采购保证质量和交付使用期的。</w:t>
      </w:r>
    </w:p>
    <w:p>
      <w:pPr>
        <w:pStyle w:val="14"/>
        <w:spacing w:line="420" w:lineRule="exact"/>
        <w:ind w:firstLine="420" w:firstLineChars="200"/>
        <w:jc w:val="left"/>
        <w:rPr>
          <w:rFonts w:hAnsi="宋体"/>
          <w:bCs/>
          <w:iCs/>
          <w:color w:val="auto"/>
          <w:highlight w:val="none"/>
        </w:rPr>
      </w:pPr>
      <w:r>
        <w:rPr>
          <w:rFonts w:hint="eastAsia" w:hAnsi="宋体"/>
          <w:bCs/>
          <w:iCs/>
          <w:color w:val="auto"/>
          <w:highlight w:val="none"/>
        </w:rPr>
        <w:t>三档（6.1</w:t>
      </w:r>
      <w:r>
        <w:rPr>
          <w:rFonts w:hint="eastAsia" w:hAnsi="宋体" w:cs="宋体"/>
          <w:bCs/>
          <w:iCs/>
          <w:color w:val="auto"/>
          <w:highlight w:val="none"/>
        </w:rPr>
        <w:t>～</w:t>
      </w:r>
      <w:r>
        <w:rPr>
          <w:rFonts w:hAnsi="宋体" w:cs="宋体"/>
          <w:bCs/>
          <w:iCs/>
          <w:color w:val="auto"/>
          <w:highlight w:val="none"/>
        </w:rPr>
        <w:t>10</w:t>
      </w:r>
      <w:r>
        <w:rPr>
          <w:rFonts w:hint="eastAsia" w:hAnsi="宋体"/>
          <w:bCs/>
          <w:iCs/>
          <w:color w:val="auto"/>
          <w:highlight w:val="none"/>
        </w:rPr>
        <w:t>分）：组织方案较好，供货和安装、调试等人员技术力量雄厚，配备的设备充足，能确保采购保证质量和交付使用期的。</w:t>
      </w:r>
    </w:p>
    <w:p>
      <w:pPr>
        <w:pStyle w:val="14"/>
        <w:spacing w:line="360" w:lineRule="auto"/>
        <w:ind w:firstLine="422"/>
        <w:jc w:val="left"/>
        <w:rPr>
          <w:rFonts w:hAnsi="宋体"/>
          <w:b/>
          <w:bCs/>
          <w:color w:val="auto"/>
          <w:highlight w:val="none"/>
        </w:rPr>
      </w:pPr>
      <w:r>
        <w:rPr>
          <w:rFonts w:hint="eastAsia" w:hAnsi="宋体"/>
          <w:b/>
          <w:bCs/>
          <w:color w:val="auto"/>
          <w:highlight w:val="none"/>
        </w:rPr>
        <w:t>4、售后服务分………………………………………………………………</w:t>
      </w:r>
      <w:r>
        <w:rPr>
          <w:rFonts w:hAnsi="宋体"/>
          <w:b/>
          <w:bCs/>
          <w:color w:val="auto"/>
          <w:highlight w:val="none"/>
        </w:rPr>
        <w:t>8</w:t>
      </w:r>
      <w:r>
        <w:rPr>
          <w:rFonts w:hint="eastAsia" w:hAnsi="宋体"/>
          <w:b/>
          <w:bCs/>
          <w:color w:val="auto"/>
          <w:highlight w:val="none"/>
        </w:rPr>
        <w:t>分</w:t>
      </w:r>
    </w:p>
    <w:p>
      <w:pPr>
        <w:pStyle w:val="14"/>
        <w:spacing w:line="360" w:lineRule="auto"/>
        <w:ind w:firstLine="422"/>
        <w:jc w:val="left"/>
        <w:rPr>
          <w:rFonts w:hAnsi="宋体"/>
          <w:bCs/>
          <w:color w:val="auto"/>
          <w:highlight w:val="none"/>
        </w:rPr>
      </w:pPr>
      <w:r>
        <w:rPr>
          <w:rFonts w:hint="eastAsia" w:hAnsi="宋体"/>
          <w:iCs/>
          <w:color w:val="auto"/>
          <w:highlight w:val="none"/>
          <w:lang w:eastAsia="zh-CN"/>
        </w:rPr>
        <w:t>磋商小组</w:t>
      </w:r>
      <w:r>
        <w:rPr>
          <w:rFonts w:hint="eastAsia" w:hAnsi="宋体"/>
          <w:iCs/>
          <w:color w:val="auto"/>
          <w:highlight w:val="none"/>
        </w:rPr>
        <w:t>根据供应商响应文件中售后服务方案（本地化服务、故障出现解决方案及相应时间、定期维护时间、操作员培训方案、零配件优惠折扣等）进行进行比较和评价。</w:t>
      </w:r>
    </w:p>
    <w:p>
      <w:pPr>
        <w:pStyle w:val="14"/>
        <w:spacing w:line="340" w:lineRule="exact"/>
        <w:ind w:firstLine="420" w:firstLineChars="200"/>
        <w:rPr>
          <w:iCs/>
          <w:color w:val="auto"/>
          <w:highlight w:val="none"/>
        </w:rPr>
      </w:pPr>
      <w:r>
        <w:rPr>
          <w:rFonts w:hint="eastAsia" w:hAnsi="宋体"/>
          <w:iCs/>
          <w:color w:val="auto"/>
          <w:highlight w:val="none"/>
        </w:rPr>
        <w:t>一档（0～</w:t>
      </w:r>
      <w:r>
        <w:rPr>
          <w:rFonts w:hAnsi="宋体"/>
          <w:iCs/>
          <w:color w:val="auto"/>
          <w:highlight w:val="none"/>
        </w:rPr>
        <w:t>2</w:t>
      </w:r>
      <w:r>
        <w:rPr>
          <w:rFonts w:hint="eastAsia" w:hAnsi="宋体"/>
          <w:iCs/>
          <w:color w:val="auto"/>
          <w:highlight w:val="none"/>
        </w:rPr>
        <w:t>分）：磋商供应商的售后服务方案</w:t>
      </w:r>
      <w:r>
        <w:rPr>
          <w:rFonts w:hint="eastAsia"/>
          <w:iCs/>
          <w:color w:val="auto"/>
          <w:highlight w:val="none"/>
        </w:rPr>
        <w:t>较为简单，售后服务不能全部满足维修维护要求，无本地化</w:t>
      </w:r>
      <w:r>
        <w:rPr>
          <w:rFonts w:hint="eastAsia"/>
          <w:iCs/>
          <w:color w:val="auto"/>
          <w:highlight w:val="none"/>
          <w:lang w:val="en-US" w:eastAsia="zh-CN"/>
        </w:rPr>
        <w:t>(广西区内)</w:t>
      </w:r>
      <w:r>
        <w:rPr>
          <w:rFonts w:hint="eastAsia"/>
          <w:iCs/>
          <w:color w:val="auto"/>
          <w:highlight w:val="none"/>
        </w:rPr>
        <w:t>服务，维修响应时间较长，维修维护人员配置不足的；</w:t>
      </w:r>
    </w:p>
    <w:p>
      <w:pPr>
        <w:pStyle w:val="14"/>
        <w:spacing w:line="340" w:lineRule="exact"/>
        <w:ind w:firstLine="420" w:firstLineChars="200"/>
        <w:rPr>
          <w:rFonts w:hAnsi="宋体"/>
          <w:iCs/>
          <w:color w:val="auto"/>
          <w:highlight w:val="none"/>
        </w:rPr>
      </w:pPr>
      <w:r>
        <w:rPr>
          <w:rFonts w:hint="eastAsia" w:hAnsi="宋体"/>
          <w:iCs/>
          <w:color w:val="auto"/>
          <w:highlight w:val="none"/>
        </w:rPr>
        <w:t>二档（</w:t>
      </w:r>
      <w:r>
        <w:rPr>
          <w:rFonts w:hAnsi="宋体"/>
          <w:iCs/>
          <w:color w:val="auto"/>
          <w:highlight w:val="none"/>
        </w:rPr>
        <w:t>2</w:t>
      </w:r>
      <w:r>
        <w:rPr>
          <w:rFonts w:hint="eastAsia" w:hAnsi="宋体"/>
          <w:iCs/>
          <w:color w:val="auto"/>
          <w:highlight w:val="none"/>
        </w:rPr>
        <w:t>.1～</w:t>
      </w:r>
      <w:r>
        <w:rPr>
          <w:rFonts w:hAnsi="宋体"/>
          <w:iCs/>
          <w:color w:val="auto"/>
          <w:highlight w:val="none"/>
        </w:rPr>
        <w:t>5</w:t>
      </w:r>
      <w:r>
        <w:rPr>
          <w:rFonts w:hint="eastAsia" w:hAnsi="宋体"/>
          <w:iCs/>
          <w:color w:val="auto"/>
          <w:highlight w:val="none"/>
        </w:rPr>
        <w:t>分）：磋商供应商的售后服务方案</w:t>
      </w:r>
      <w:r>
        <w:rPr>
          <w:rFonts w:hint="eastAsia"/>
          <w:iCs/>
          <w:color w:val="auto"/>
          <w:highlight w:val="none"/>
        </w:rPr>
        <w:t>一般，售后服务基本上能满足维修维护要求，无本地化</w:t>
      </w:r>
      <w:r>
        <w:rPr>
          <w:rFonts w:hint="eastAsia"/>
          <w:iCs/>
          <w:color w:val="auto"/>
          <w:highlight w:val="none"/>
          <w:lang w:val="en-US" w:eastAsia="zh-CN"/>
        </w:rPr>
        <w:t>(广西区内)</w:t>
      </w:r>
      <w:r>
        <w:rPr>
          <w:rFonts w:hint="eastAsia"/>
          <w:iCs/>
          <w:color w:val="auto"/>
          <w:highlight w:val="none"/>
        </w:rPr>
        <w:t>服务维修响应时间较长，维修维护人员配置基本上能满足需求的；</w:t>
      </w:r>
    </w:p>
    <w:p>
      <w:pPr>
        <w:pStyle w:val="14"/>
        <w:spacing w:line="340" w:lineRule="exact"/>
        <w:ind w:firstLine="420" w:firstLineChars="200"/>
        <w:rPr>
          <w:rFonts w:hAnsi="宋体"/>
          <w:iCs/>
          <w:color w:val="auto"/>
          <w:highlight w:val="none"/>
        </w:rPr>
      </w:pPr>
      <w:r>
        <w:rPr>
          <w:rFonts w:hint="eastAsia" w:hAnsi="宋体"/>
          <w:iCs/>
          <w:color w:val="auto"/>
          <w:highlight w:val="none"/>
        </w:rPr>
        <w:t>三档（</w:t>
      </w:r>
      <w:r>
        <w:rPr>
          <w:rFonts w:hAnsi="宋体"/>
          <w:iCs/>
          <w:color w:val="auto"/>
          <w:highlight w:val="none"/>
        </w:rPr>
        <w:t>5</w:t>
      </w:r>
      <w:r>
        <w:rPr>
          <w:rFonts w:hint="eastAsia" w:hAnsi="宋体"/>
          <w:iCs/>
          <w:color w:val="auto"/>
          <w:highlight w:val="none"/>
        </w:rPr>
        <w:t>.1～</w:t>
      </w:r>
      <w:r>
        <w:rPr>
          <w:rFonts w:hAnsi="宋体"/>
          <w:iCs/>
          <w:color w:val="auto"/>
          <w:highlight w:val="none"/>
        </w:rPr>
        <w:t>8</w:t>
      </w:r>
      <w:r>
        <w:rPr>
          <w:rFonts w:hint="eastAsia" w:hAnsi="宋体"/>
          <w:iCs/>
          <w:color w:val="auto"/>
          <w:highlight w:val="none"/>
        </w:rPr>
        <w:t>分）：磋商供应商的售后服务方案</w:t>
      </w:r>
      <w:r>
        <w:rPr>
          <w:rFonts w:hint="eastAsia"/>
          <w:iCs/>
          <w:color w:val="auto"/>
          <w:highlight w:val="none"/>
        </w:rPr>
        <w:t>较好，售后服务能确保满足维修维护要求，有本地化</w:t>
      </w:r>
      <w:r>
        <w:rPr>
          <w:rFonts w:hint="eastAsia"/>
          <w:iCs/>
          <w:color w:val="auto"/>
          <w:highlight w:val="none"/>
          <w:lang w:val="en-US" w:eastAsia="zh-CN"/>
        </w:rPr>
        <w:t>(广西区内)</w:t>
      </w:r>
      <w:r>
        <w:rPr>
          <w:rFonts w:hint="eastAsia"/>
          <w:iCs/>
          <w:color w:val="auto"/>
          <w:highlight w:val="none"/>
        </w:rPr>
        <w:t>服务维修响应时间及时，维修维护人员配置充足，能确保提供良好的售后服务的。</w:t>
      </w:r>
    </w:p>
    <w:p>
      <w:pPr>
        <w:pStyle w:val="14"/>
        <w:spacing w:line="360" w:lineRule="auto"/>
        <w:ind w:firstLine="422"/>
        <w:jc w:val="left"/>
        <w:rPr>
          <w:rFonts w:hAnsi="宋体"/>
          <w:b/>
          <w:bCs/>
          <w:color w:val="auto"/>
          <w:highlight w:val="none"/>
        </w:rPr>
      </w:pPr>
      <w:r>
        <w:rPr>
          <w:rFonts w:hint="eastAsia" w:hAnsi="宋体"/>
          <w:b/>
          <w:bCs/>
          <w:color w:val="auto"/>
          <w:highlight w:val="none"/>
        </w:rPr>
        <w:t>5、政策功能分………………………………………………………………</w:t>
      </w:r>
      <w:r>
        <w:rPr>
          <w:rFonts w:hAnsi="宋体"/>
          <w:b/>
          <w:bCs/>
          <w:color w:val="auto"/>
          <w:highlight w:val="none"/>
        </w:rPr>
        <w:t>5</w:t>
      </w:r>
      <w:r>
        <w:rPr>
          <w:rFonts w:hint="eastAsia" w:hAnsi="宋体"/>
          <w:b/>
          <w:bCs/>
          <w:color w:val="auto"/>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（（1）采用财政部现行《节能产品政府采购清单》目录内（政府强制采购节能产品除外）的产品（提供有效证明复印件），根据其所占分标金额比例得0.1～</w:t>
      </w:r>
      <w:r>
        <w:rPr>
          <w:rFonts w:ascii="宋体" w:hAnsi="宋体"/>
          <w:color w:val="auto"/>
          <w:szCs w:val="21"/>
          <w:highlight w:val="none"/>
        </w:rPr>
        <w:t>2</w:t>
      </w:r>
      <w:r>
        <w:rPr>
          <w:rFonts w:hint="eastAsia" w:ascii="宋体" w:hAnsi="宋体"/>
          <w:color w:val="auto"/>
          <w:szCs w:val="21"/>
          <w:highlight w:val="none"/>
        </w:rPr>
        <w:t xml:space="preserve">分。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（2）采用财政部现行《环境标志产品政府采购清单》目录内的产品（提供有效证明复印件），根据其所占项目金额比例得0.1～</w:t>
      </w:r>
      <w:r>
        <w:rPr>
          <w:rFonts w:ascii="宋体" w:hAnsi="宋体"/>
          <w:color w:val="auto"/>
          <w:szCs w:val="21"/>
          <w:highlight w:val="none"/>
        </w:rPr>
        <w:t>2</w:t>
      </w:r>
      <w:r>
        <w:rPr>
          <w:rFonts w:hint="eastAsia" w:ascii="宋体" w:hAnsi="宋体"/>
          <w:color w:val="auto"/>
          <w:szCs w:val="21"/>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(3)采用广西工业产品的金额占本次竞标总金额的80%以上（含）的，得1分。</w:t>
      </w:r>
    </w:p>
    <w:p>
      <w:pPr>
        <w:pStyle w:val="14"/>
        <w:spacing w:line="500" w:lineRule="exact"/>
        <w:ind w:firstLine="420" w:firstLineChars="200"/>
        <w:rPr>
          <w:rFonts w:hAnsi="宋体"/>
          <w:color w:val="auto"/>
          <w:highlight w:val="none"/>
        </w:rPr>
      </w:pPr>
      <w:r>
        <w:rPr>
          <w:rFonts w:hint="eastAsia" w:hAnsi="宋体"/>
          <w:color w:val="auto"/>
          <w:highlight w:val="none"/>
        </w:rPr>
        <w:t xml:space="preserve">  ( 三) 总得分 =1+2+3+4+5。</w:t>
      </w:r>
    </w:p>
    <w:p>
      <w:pPr>
        <w:pStyle w:val="14"/>
        <w:spacing w:line="500" w:lineRule="exact"/>
        <w:ind w:firstLine="422" w:firstLineChars="200"/>
        <w:rPr>
          <w:b/>
          <w:bCs/>
          <w:color w:val="auto"/>
          <w:highlight w:val="none"/>
        </w:rPr>
      </w:pPr>
      <w:r>
        <w:rPr>
          <w:rFonts w:hint="eastAsia"/>
          <w:b/>
          <w:bCs/>
          <w:color w:val="auto"/>
          <w:highlight w:val="none"/>
        </w:rPr>
        <w:t>三、成交候选人推荐原则</w:t>
      </w:r>
    </w:p>
    <w:p>
      <w:pPr>
        <w:pStyle w:val="14"/>
        <w:spacing w:line="440" w:lineRule="exact"/>
        <w:ind w:firstLine="420"/>
        <w:rPr>
          <w:color w:val="auto"/>
          <w:highlight w:val="none"/>
        </w:rPr>
      </w:pPr>
      <w:r>
        <w:rPr>
          <w:rFonts w:hint="eastAsia"/>
          <w:color w:val="auto"/>
          <w:highlight w:val="none"/>
        </w:rPr>
        <w:t>1</w:t>
      </w:r>
      <w:r>
        <w:rPr>
          <w:color w:val="auto"/>
          <w:highlight w:val="none"/>
        </w:rPr>
        <w:t>.</w:t>
      </w:r>
      <w:r>
        <w:rPr>
          <w:rFonts w:hint="eastAsia"/>
          <w:color w:val="auto"/>
          <w:highlight w:val="none"/>
        </w:rPr>
        <w:t>磋商小组应当根据综合评分情况，按照评审得分由高到低顺序推荐3名成交候选供应商，并编写评审报告。评审得分相同的，以磋商响应报价由低到高顺序排列；若得分相同且响应报价相同的，按照最终报价由低到高的顺序推荐；若仍相同的，按照技术方案优劣顺序推荐。</w:t>
      </w:r>
    </w:p>
    <w:p>
      <w:pPr>
        <w:pStyle w:val="14"/>
        <w:spacing w:line="440" w:lineRule="exact"/>
        <w:ind w:firstLine="420"/>
        <w:rPr>
          <w:color w:val="auto"/>
          <w:highlight w:val="none"/>
        </w:rPr>
      </w:pPr>
      <w:r>
        <w:rPr>
          <w:rFonts w:hint="eastAsia"/>
          <w:color w:val="auto"/>
          <w:highlight w:val="none"/>
        </w:rPr>
        <w:t>2</w:t>
      </w:r>
      <w:r>
        <w:rPr>
          <w:color w:val="auto"/>
          <w:highlight w:val="none"/>
        </w:rPr>
        <w:t>.</w:t>
      </w:r>
      <w:r>
        <w:rPr>
          <w:rFonts w:hint="eastAsia"/>
          <w:color w:val="auto"/>
          <w:highlight w:val="none"/>
        </w:rPr>
        <w:t>第一名供应商放弃成交或因不可抗力等原因提出不能履行合同，采购单位可以确定排名次位的供应商为成交人，以此类推。但确定为成交人的供应商放弃成交时，采购人也可以重新开展磋商。</w:t>
      </w:r>
    </w:p>
    <w:p>
      <w:pPr>
        <w:pStyle w:val="14"/>
        <w:spacing w:line="440" w:lineRule="exact"/>
        <w:ind w:firstLine="420"/>
        <w:rPr>
          <w:bCs/>
          <w:color w:val="auto"/>
          <w:highlight w:val="none"/>
        </w:rPr>
      </w:pPr>
      <w:r>
        <w:rPr>
          <w:rFonts w:hint="eastAsia"/>
          <w:color w:val="auto"/>
          <w:highlight w:val="none"/>
        </w:rPr>
        <w:t>3</w:t>
      </w:r>
      <w:r>
        <w:rPr>
          <w:color w:val="auto"/>
          <w:highlight w:val="none"/>
        </w:rPr>
        <w:t>.</w:t>
      </w:r>
      <w:r>
        <w:rPr>
          <w:rFonts w:hint="eastAsia"/>
          <w:color w:val="auto"/>
          <w:highlight w:val="none"/>
        </w:rPr>
        <w:t>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widowControl/>
        <w:jc w:val="left"/>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spacing w:line="500" w:lineRule="exact"/>
        <w:ind w:left="180"/>
        <w:jc w:val="center"/>
        <w:rPr>
          <w:color w:val="auto"/>
          <w:sz w:val="44"/>
          <w:szCs w:val="44"/>
          <w:highlight w:val="none"/>
        </w:rPr>
      </w:pPr>
      <w:bookmarkStart w:id="12" w:name="_Toc30409526"/>
      <w:r>
        <w:rPr>
          <w:rFonts w:hint="eastAsia"/>
          <w:color w:val="auto"/>
          <w:sz w:val="44"/>
          <w:szCs w:val="44"/>
          <w:highlight w:val="none"/>
        </w:rPr>
        <w:t>第五章   采购合同格式（参考格式）</w:t>
      </w:r>
      <w:bookmarkEnd w:id="11"/>
      <w:bookmarkEnd w:id="12"/>
    </w:p>
    <w:p>
      <w:pPr>
        <w:spacing w:line="360" w:lineRule="auto"/>
        <w:ind w:left="1380" w:leftChars="657"/>
        <w:rPr>
          <w:rFonts w:ascii="仿宋_GB2312" w:hAnsi="仿宋" w:eastAsia="仿宋_GB2312"/>
          <w:b/>
          <w:color w:val="auto"/>
          <w:sz w:val="28"/>
          <w:szCs w:val="28"/>
          <w:highlight w:val="none"/>
        </w:rPr>
      </w:pPr>
      <w:r>
        <w:rPr>
          <w:rFonts w:hint="eastAsia"/>
          <w:color w:val="auto"/>
          <w:highlight w:val="none"/>
        </w:rPr>
        <w:t>（</w:t>
      </w:r>
      <w:r>
        <w:rPr>
          <w:rFonts w:hint="eastAsia" w:ascii="仿宋_GB2312" w:hAnsi="仿宋" w:eastAsia="仿宋_GB2312"/>
          <w:b/>
          <w:color w:val="auto"/>
          <w:sz w:val="28"/>
          <w:szCs w:val="28"/>
          <w:highlight w:val="none"/>
        </w:rPr>
        <w:t>注：本合同格式仅为合同的参考文本，合同签订双方</w:t>
      </w:r>
    </w:p>
    <w:p>
      <w:pPr>
        <w:spacing w:line="360" w:lineRule="auto"/>
        <w:ind w:left="1380" w:leftChars="657" w:firstLine="1405" w:firstLineChars="500"/>
        <w:rPr>
          <w:rFonts w:ascii="宋体" w:hAnsi="宋体"/>
          <w:color w:val="auto"/>
          <w:sz w:val="28"/>
          <w:highlight w:val="none"/>
        </w:rPr>
      </w:pPr>
      <w:r>
        <w:rPr>
          <w:rFonts w:hint="eastAsia" w:ascii="仿宋_GB2312" w:hAnsi="仿宋" w:eastAsia="仿宋_GB2312"/>
          <w:b/>
          <w:color w:val="auto"/>
          <w:sz w:val="28"/>
          <w:szCs w:val="28"/>
          <w:highlight w:val="none"/>
        </w:rPr>
        <w:t>可根据项目的具体要求进行修订。</w:t>
      </w:r>
      <w:r>
        <w:rPr>
          <w:rFonts w:hint="eastAsia"/>
          <w:color w:val="auto"/>
          <w:highlight w:val="none"/>
        </w:rPr>
        <w:t>）</w:t>
      </w:r>
    </w:p>
    <w:p>
      <w:pPr>
        <w:spacing w:line="500" w:lineRule="exact"/>
        <w:ind w:firstLine="420" w:firstLineChars="200"/>
        <w:jc w:val="center"/>
        <w:rPr>
          <w:rFonts w:ascii="宋体"/>
          <w:color w:val="auto"/>
          <w:highlight w:val="none"/>
        </w:rPr>
      </w:pPr>
    </w:p>
    <w:p>
      <w:pPr>
        <w:spacing w:line="500" w:lineRule="exact"/>
        <w:jc w:val="center"/>
        <w:rPr>
          <w:rFonts w:ascii="宋体"/>
          <w:color w:val="auto"/>
          <w:szCs w:val="21"/>
          <w:highlight w:val="none"/>
        </w:rPr>
      </w:pPr>
    </w:p>
    <w:p>
      <w:pPr>
        <w:spacing w:line="500" w:lineRule="exact"/>
        <w:jc w:val="center"/>
        <w:rPr>
          <w:rFonts w:ascii="宋体"/>
          <w:color w:val="auto"/>
          <w:szCs w:val="21"/>
          <w:highlight w:val="none"/>
        </w:rPr>
      </w:pPr>
    </w:p>
    <w:p>
      <w:pPr>
        <w:spacing w:line="500" w:lineRule="exact"/>
        <w:rPr>
          <w:rFonts w:ascii="宋体"/>
          <w:color w:val="auto"/>
          <w:szCs w:val="21"/>
          <w:highlight w:val="none"/>
        </w:rPr>
      </w:pPr>
    </w:p>
    <w:p>
      <w:pPr>
        <w:spacing w:line="500" w:lineRule="exact"/>
        <w:rPr>
          <w:rFonts w:ascii="宋体"/>
          <w:color w:val="auto"/>
          <w:szCs w:val="21"/>
          <w:highlight w:val="none"/>
        </w:rPr>
      </w:pPr>
    </w:p>
    <w:p>
      <w:pPr>
        <w:snapToGrid w:val="0"/>
        <w:spacing w:line="400" w:lineRule="exact"/>
        <w:ind w:right="480"/>
        <w:jc w:val="center"/>
        <w:rPr>
          <w:rFonts w:ascii="宋体"/>
          <w:b/>
          <w:color w:val="auto"/>
          <w:sz w:val="30"/>
          <w:szCs w:val="30"/>
          <w:highlight w:val="none"/>
          <w:u w:val="single"/>
        </w:rPr>
      </w:pPr>
      <w:r>
        <w:rPr>
          <w:rFonts w:ascii="宋体"/>
          <w:color w:val="auto"/>
          <w:szCs w:val="21"/>
          <w:highlight w:val="none"/>
        </w:rPr>
        <w:br w:type="page"/>
      </w:r>
      <w:bookmarkStart w:id="13" w:name="_Toc451430919"/>
      <w:r>
        <w:rPr>
          <w:rFonts w:hint="eastAsia" w:ascii="宋体"/>
          <w:b/>
          <w:color w:val="auto"/>
          <w:sz w:val="30"/>
          <w:szCs w:val="30"/>
          <w:highlight w:val="none"/>
        </w:rPr>
        <w:t>.</w:t>
      </w:r>
      <w:r>
        <w:rPr>
          <w:rFonts w:ascii="宋体"/>
          <w:b/>
          <w:color w:val="auto"/>
          <w:sz w:val="30"/>
          <w:szCs w:val="30"/>
          <w:highlight w:val="none"/>
          <w:u w:val="single"/>
        </w:rPr>
        <w:t xml:space="preserve">            </w:t>
      </w:r>
      <w:r>
        <w:rPr>
          <w:rFonts w:hint="eastAsia" w:ascii="宋体"/>
          <w:b/>
          <w:color w:val="auto"/>
          <w:sz w:val="30"/>
          <w:szCs w:val="30"/>
          <w:highlight w:val="none"/>
          <w:u w:val="single"/>
        </w:rPr>
        <w:t>（项目</w:t>
      </w:r>
      <w:r>
        <w:rPr>
          <w:rFonts w:ascii="宋体"/>
          <w:b/>
          <w:color w:val="auto"/>
          <w:sz w:val="30"/>
          <w:szCs w:val="30"/>
          <w:highlight w:val="none"/>
          <w:u w:val="single"/>
        </w:rPr>
        <w:t>名称</w:t>
      </w:r>
      <w:r>
        <w:rPr>
          <w:rFonts w:hint="eastAsia" w:ascii="宋体"/>
          <w:b/>
          <w:color w:val="auto"/>
          <w:sz w:val="30"/>
          <w:szCs w:val="30"/>
          <w:highlight w:val="none"/>
          <w:u w:val="single"/>
        </w:rPr>
        <w:t>）</w:t>
      </w:r>
      <w:r>
        <w:rPr>
          <w:rFonts w:ascii="宋体"/>
          <w:b/>
          <w:color w:val="auto"/>
          <w:sz w:val="30"/>
          <w:szCs w:val="30"/>
          <w:highlight w:val="none"/>
          <w:u w:val="single"/>
        </w:rPr>
        <w:t xml:space="preserve">              </w:t>
      </w:r>
      <w:r>
        <w:rPr>
          <w:rFonts w:hint="eastAsia" w:ascii="宋体"/>
          <w:b/>
          <w:color w:val="auto"/>
          <w:sz w:val="30"/>
          <w:szCs w:val="30"/>
          <w:highlight w:val="none"/>
          <w:u w:val="single"/>
        </w:rPr>
        <w:t>合同</w:t>
      </w:r>
    </w:p>
    <w:p>
      <w:pPr>
        <w:snapToGrid w:val="0"/>
        <w:spacing w:line="400" w:lineRule="exact"/>
        <w:ind w:right="480"/>
        <w:rPr>
          <w:rFonts w:ascii="宋体" w:hAnsi="宋体"/>
          <w:color w:val="auto"/>
          <w:highlight w:val="none"/>
        </w:rPr>
      </w:pPr>
    </w:p>
    <w:p>
      <w:pPr>
        <w:snapToGrid w:val="0"/>
        <w:spacing w:line="400" w:lineRule="exact"/>
        <w:ind w:right="480"/>
        <w:rPr>
          <w:rFonts w:ascii="宋体" w:hAnsi="宋体"/>
          <w:color w:val="auto"/>
          <w:highlight w:val="none"/>
        </w:rPr>
      </w:pPr>
    </w:p>
    <w:p>
      <w:pPr>
        <w:snapToGrid w:val="0"/>
        <w:spacing w:line="400" w:lineRule="exact"/>
        <w:ind w:right="480"/>
        <w:rPr>
          <w:rFonts w:ascii="宋体" w:hAnsi="宋体"/>
          <w:color w:val="auto"/>
          <w:highlight w:val="none"/>
          <w:u w:val="single"/>
        </w:rPr>
      </w:pPr>
      <w:r>
        <w:rPr>
          <w:rFonts w:hint="eastAsia" w:ascii="宋体" w:hAnsi="宋体"/>
          <w:color w:val="auto"/>
          <w:highlight w:val="none"/>
        </w:rPr>
        <w:t>合同编号：</w:t>
      </w:r>
      <w:r>
        <w:rPr>
          <w:rFonts w:hint="eastAsia" w:ascii="宋体" w:hAnsi="宋体"/>
          <w:color w:val="auto"/>
          <w:highlight w:val="none"/>
          <w:u w:val="single"/>
        </w:rPr>
        <w:t xml:space="preserve">               </w:t>
      </w:r>
      <w:r>
        <w:rPr>
          <w:rFonts w:hint="eastAsia" w:ascii="宋体" w:hAnsi="宋体"/>
          <w:color w:val="auto"/>
          <w:highlight w:val="none"/>
        </w:rPr>
        <w:t xml:space="preserve"> </w:t>
      </w:r>
    </w:p>
    <w:p>
      <w:pPr>
        <w:snapToGrid w:val="0"/>
        <w:spacing w:line="400" w:lineRule="exact"/>
        <w:rPr>
          <w:rFonts w:ascii="宋体" w:hAnsi="宋体"/>
          <w:color w:val="auto"/>
          <w:highlight w:val="none"/>
          <w:u w:val="single"/>
        </w:rPr>
      </w:pPr>
      <w:r>
        <w:rPr>
          <w:rFonts w:hint="eastAsia" w:ascii="宋体" w:hAnsi="宋体"/>
          <w:color w:val="auto"/>
          <w:spacing w:val="-20"/>
          <w:highlight w:val="none"/>
        </w:rPr>
        <w:t>招 标 编 号</w:t>
      </w:r>
      <w:r>
        <w:rPr>
          <w:rFonts w:hint="eastAsia" w:ascii="宋体" w:hAnsi="宋体"/>
          <w:color w:val="auto"/>
          <w:highlight w:val="none"/>
        </w:rPr>
        <w:t>：</w:t>
      </w:r>
      <w:r>
        <w:rPr>
          <w:rFonts w:hint="eastAsia" w:ascii="宋体" w:hAnsi="宋体"/>
          <w:color w:val="auto"/>
          <w:highlight w:val="none"/>
          <w:u w:val="single"/>
        </w:rPr>
        <w:t xml:space="preserve">               </w:t>
      </w:r>
    </w:p>
    <w:p>
      <w:pPr>
        <w:snapToGrid w:val="0"/>
        <w:spacing w:line="400" w:lineRule="exact"/>
        <w:rPr>
          <w:rFonts w:ascii="宋体" w:hAnsi="宋体"/>
          <w:color w:val="auto"/>
          <w:highlight w:val="none"/>
        </w:rPr>
      </w:pP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pacing w:val="-20"/>
          <w:szCs w:val="21"/>
          <w:highlight w:val="none"/>
        </w:rPr>
        <w:t>编号</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年  月  日 </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根据《中华人民共和国政府采购法》、《中华人民共和国合同法》等法律、法规规定，按照招投标文件（采购文件）规定条款和中标供应商承诺，甲乙双方签订本合同。</w:t>
      </w:r>
    </w:p>
    <w:p>
      <w:pPr>
        <w:snapToGrid w:val="0"/>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1、供货一览表</w:t>
      </w:r>
    </w:p>
    <w:tbl>
      <w:tblPr>
        <w:tblStyle w:val="24"/>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3140"/>
        <w:gridCol w:w="1049"/>
        <w:gridCol w:w="907"/>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304"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产品</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3140"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品牌、规格型号及技术参数、生产厂家</w:t>
            </w:r>
          </w:p>
        </w:tc>
        <w:tc>
          <w:tcPr>
            <w:tcW w:w="1049"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907"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  量</w:t>
            </w:r>
          </w:p>
        </w:tc>
        <w:tc>
          <w:tcPr>
            <w:tcW w:w="1260"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  价</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c>
          <w:tcPr>
            <w:tcW w:w="1800"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  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360" w:lineRule="exact"/>
              <w:jc w:val="center"/>
              <w:rPr>
                <w:rFonts w:ascii="宋体" w:hAnsi="宋体"/>
                <w:color w:val="auto"/>
                <w:szCs w:val="21"/>
                <w:highlight w:val="none"/>
              </w:rPr>
            </w:pPr>
          </w:p>
        </w:tc>
        <w:tc>
          <w:tcPr>
            <w:tcW w:w="1304" w:type="dxa"/>
            <w:vAlign w:val="center"/>
          </w:tcPr>
          <w:p>
            <w:pPr>
              <w:snapToGrid w:val="0"/>
              <w:spacing w:line="360" w:lineRule="exact"/>
              <w:jc w:val="center"/>
              <w:rPr>
                <w:rFonts w:ascii="宋体" w:hAnsi="宋体"/>
                <w:color w:val="auto"/>
                <w:sz w:val="24"/>
                <w:highlight w:val="none"/>
              </w:rPr>
            </w:pPr>
          </w:p>
        </w:tc>
        <w:tc>
          <w:tcPr>
            <w:tcW w:w="3140" w:type="dxa"/>
            <w:vAlign w:val="center"/>
          </w:tcPr>
          <w:p>
            <w:pPr>
              <w:snapToGrid w:val="0"/>
              <w:spacing w:line="360" w:lineRule="exact"/>
              <w:jc w:val="center"/>
              <w:rPr>
                <w:rFonts w:ascii="宋体" w:hAnsi="宋体"/>
                <w:color w:val="auto"/>
                <w:szCs w:val="21"/>
                <w:highlight w:val="none"/>
              </w:rPr>
            </w:pPr>
          </w:p>
        </w:tc>
        <w:tc>
          <w:tcPr>
            <w:tcW w:w="1049" w:type="dxa"/>
          </w:tcPr>
          <w:p>
            <w:pPr>
              <w:snapToGrid w:val="0"/>
              <w:spacing w:line="360" w:lineRule="exact"/>
              <w:jc w:val="center"/>
              <w:rPr>
                <w:rFonts w:ascii="宋体" w:hAnsi="宋体"/>
                <w:color w:val="auto"/>
                <w:szCs w:val="21"/>
                <w:highlight w:val="none"/>
              </w:rPr>
            </w:pPr>
          </w:p>
        </w:tc>
        <w:tc>
          <w:tcPr>
            <w:tcW w:w="907" w:type="dxa"/>
          </w:tcPr>
          <w:p>
            <w:pPr>
              <w:snapToGrid w:val="0"/>
              <w:spacing w:line="360" w:lineRule="exact"/>
              <w:jc w:val="center"/>
              <w:rPr>
                <w:rFonts w:ascii="宋体" w:hAnsi="宋体"/>
                <w:color w:val="auto"/>
                <w:szCs w:val="21"/>
                <w:highlight w:val="none"/>
              </w:rPr>
            </w:pPr>
          </w:p>
        </w:tc>
        <w:tc>
          <w:tcPr>
            <w:tcW w:w="1260" w:type="dxa"/>
            <w:vAlign w:val="center"/>
          </w:tcPr>
          <w:p>
            <w:pPr>
              <w:snapToGrid w:val="0"/>
              <w:spacing w:line="360" w:lineRule="exact"/>
              <w:jc w:val="center"/>
              <w:rPr>
                <w:rFonts w:ascii="宋体" w:hAnsi="宋体"/>
                <w:color w:val="auto"/>
                <w:szCs w:val="21"/>
                <w:highlight w:val="none"/>
              </w:rPr>
            </w:pPr>
          </w:p>
        </w:tc>
        <w:tc>
          <w:tcPr>
            <w:tcW w:w="1800" w:type="dxa"/>
            <w:vAlign w:val="center"/>
          </w:tcPr>
          <w:p>
            <w:pPr>
              <w:snapToGrid w:val="0"/>
              <w:spacing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360" w:lineRule="exact"/>
              <w:jc w:val="center"/>
              <w:rPr>
                <w:rFonts w:ascii="宋体" w:hAnsi="宋体"/>
                <w:color w:val="auto"/>
                <w:szCs w:val="21"/>
                <w:highlight w:val="none"/>
              </w:rPr>
            </w:pPr>
          </w:p>
        </w:tc>
        <w:tc>
          <w:tcPr>
            <w:tcW w:w="1304" w:type="dxa"/>
            <w:vAlign w:val="center"/>
          </w:tcPr>
          <w:p>
            <w:pPr>
              <w:snapToGrid w:val="0"/>
              <w:spacing w:line="360" w:lineRule="exact"/>
              <w:jc w:val="center"/>
              <w:rPr>
                <w:rFonts w:ascii="宋体" w:hAnsi="宋体"/>
                <w:color w:val="auto"/>
                <w:szCs w:val="21"/>
                <w:highlight w:val="none"/>
              </w:rPr>
            </w:pPr>
          </w:p>
        </w:tc>
        <w:tc>
          <w:tcPr>
            <w:tcW w:w="3140" w:type="dxa"/>
            <w:vAlign w:val="center"/>
          </w:tcPr>
          <w:p>
            <w:pPr>
              <w:snapToGrid w:val="0"/>
              <w:spacing w:line="360" w:lineRule="exact"/>
              <w:jc w:val="center"/>
              <w:rPr>
                <w:rFonts w:ascii="宋体" w:hAnsi="宋体"/>
                <w:color w:val="auto"/>
                <w:szCs w:val="21"/>
                <w:highlight w:val="none"/>
              </w:rPr>
            </w:pPr>
          </w:p>
        </w:tc>
        <w:tc>
          <w:tcPr>
            <w:tcW w:w="1049" w:type="dxa"/>
          </w:tcPr>
          <w:p>
            <w:pPr>
              <w:snapToGrid w:val="0"/>
              <w:spacing w:line="360" w:lineRule="exact"/>
              <w:jc w:val="center"/>
              <w:rPr>
                <w:rFonts w:ascii="宋体" w:hAnsi="宋体"/>
                <w:color w:val="auto"/>
                <w:szCs w:val="21"/>
                <w:highlight w:val="none"/>
              </w:rPr>
            </w:pPr>
          </w:p>
        </w:tc>
        <w:tc>
          <w:tcPr>
            <w:tcW w:w="907" w:type="dxa"/>
          </w:tcPr>
          <w:p>
            <w:pPr>
              <w:snapToGrid w:val="0"/>
              <w:spacing w:line="360" w:lineRule="exact"/>
              <w:jc w:val="center"/>
              <w:rPr>
                <w:rFonts w:ascii="宋体" w:hAnsi="宋体"/>
                <w:color w:val="auto"/>
                <w:szCs w:val="21"/>
                <w:highlight w:val="none"/>
              </w:rPr>
            </w:pPr>
          </w:p>
        </w:tc>
        <w:tc>
          <w:tcPr>
            <w:tcW w:w="1260" w:type="dxa"/>
            <w:vAlign w:val="center"/>
          </w:tcPr>
          <w:p>
            <w:pPr>
              <w:snapToGrid w:val="0"/>
              <w:spacing w:line="360" w:lineRule="exact"/>
              <w:jc w:val="center"/>
              <w:rPr>
                <w:rFonts w:ascii="宋体" w:hAnsi="宋体"/>
                <w:color w:val="auto"/>
                <w:szCs w:val="21"/>
                <w:highlight w:val="none"/>
              </w:rPr>
            </w:pPr>
          </w:p>
        </w:tc>
        <w:tc>
          <w:tcPr>
            <w:tcW w:w="1800" w:type="dxa"/>
            <w:vAlign w:val="center"/>
          </w:tcPr>
          <w:p>
            <w:pPr>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56" w:type="dxa"/>
            <w:gridSpan w:val="7"/>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人民币合计金额（大写）                                  （小写）</w:t>
            </w:r>
            <w:r>
              <w:rPr>
                <w:rFonts w:hint="eastAsia" w:ascii="宋体" w:hAnsi="宋体"/>
                <w:color w:val="auto"/>
                <w:spacing w:val="20"/>
                <w:szCs w:val="21"/>
                <w:highlight w:val="none"/>
                <w:u w:val="single"/>
              </w:rPr>
              <w:t>￥            元</w:t>
            </w:r>
            <w:r>
              <w:rPr>
                <w:rFonts w:hint="eastAsia" w:ascii="宋体" w:hAnsi="宋体"/>
                <w:color w:val="auto"/>
                <w:szCs w:val="21"/>
                <w:highlight w:val="none"/>
              </w:rPr>
              <w:t xml:space="preserve">                 </w:t>
            </w:r>
          </w:p>
        </w:tc>
      </w:tr>
    </w:tbl>
    <w:p>
      <w:pPr>
        <w:spacing w:line="360" w:lineRule="auto"/>
        <w:ind w:firstLine="420" w:firstLineChars="200"/>
        <w:jc w:val="left"/>
        <w:rPr>
          <w:color w:val="auto"/>
          <w:highlight w:val="none"/>
        </w:rPr>
      </w:pPr>
      <w:r>
        <w:rPr>
          <w:rFonts w:hint="eastAsia" w:ascii="宋体" w:hAnsi="宋体"/>
          <w:color w:val="auto"/>
          <w:szCs w:val="21"/>
          <w:highlight w:val="none"/>
        </w:rPr>
        <w:t>2、合同合计金额包括</w:t>
      </w:r>
      <w:r>
        <w:rPr>
          <w:rFonts w:hint="eastAsia"/>
          <w:color w:val="auto"/>
          <w:highlight w:val="none"/>
        </w:rPr>
        <w:t>全部设备的采购、运输、利润、税金、安装、调试</w:t>
      </w:r>
      <w:r>
        <w:rPr>
          <w:rFonts w:hint="eastAsia" w:ascii="宋体" w:hAnsi="宋体"/>
          <w:color w:val="auto"/>
          <w:highlight w:val="none"/>
        </w:rPr>
        <w:t>（包含基础的平整稳固）</w:t>
      </w:r>
      <w:r>
        <w:rPr>
          <w:rFonts w:hint="eastAsia"/>
          <w:color w:val="auto"/>
          <w:highlight w:val="none"/>
        </w:rPr>
        <w:t>直至整个项目验收合格、售后服务（运送期间的仓储保管费、装车费、卸货费、运费、保险及税金费用</w:t>
      </w:r>
      <w:r>
        <w:rPr>
          <w:rFonts w:hint="eastAsia" w:ascii="宋体" w:hAnsi="宋体"/>
          <w:color w:val="auto"/>
          <w:szCs w:val="21"/>
          <w:highlight w:val="none"/>
        </w:rPr>
        <w:t>。如招投标文件对其另有规定的，从其规定。</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第二条　质量保证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第三条　权力保证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乙方应保证所提供货物在使用时不会侵犯任何第三方的专利权、商标权、工业设计权或其他权利。</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乙方应按招标文件规定的时间向甲方提供使用货物的有关技术资料。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乙方保证所交付的货物的所有权完全属于乙方且无任何抵押、质押、查封等产权瑕疵。</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第四条　包装和运输</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1、乙方提供的货物均应按招投标文件要求的包装材料、包装标准、包装方式进行包装，内应附详细的装箱单和质量合格证。</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不限   </w:t>
      </w:r>
      <w:r>
        <w:rPr>
          <w:rFonts w:hint="eastAsia" w:ascii="宋体" w:hAnsi="宋体"/>
          <w:color w:val="auto"/>
          <w:szCs w:val="21"/>
          <w:highlight w:val="none"/>
        </w:rPr>
        <w:t xml:space="preserve">  。</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本项目不接受损耗 。</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第五条　交付和验收</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1、交付使用时间：</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2、乙方提供不符合招投标文件和本合同规定的货物，甲方有权拒绝接受。</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甲方在到货后即首先对货物外观、数量进行初步验收，（安装、调试完）后7个工作日内进行详细验收，逾期不验收的，乙方可视同验收合格。验收合格后由甲、乙双方签署货物验收单并加盖采购单位公章，甲乙双方各执一份。</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5、在验收过程中发现乙方有违约问题，可暂缓资金结算，待违约问题解决后，方可办理资金结算事宜。</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6、甲方对验收有异议的，在验收后5个工作日内以书面形式向乙方提出，乙方应自收到甲方书面异议后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第六条　安装和培训</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1、甲方应提供必要安装条件（如场地）。</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2、乙方负责甲方2名技术人员的培训。培训时间、地点：</w:t>
      </w:r>
      <w:r>
        <w:rPr>
          <w:rFonts w:hint="eastAsia" w:ascii="宋体" w:hAnsi="宋体"/>
          <w:color w:val="auto"/>
          <w:szCs w:val="21"/>
          <w:highlight w:val="none"/>
          <w:u w:val="single"/>
        </w:rPr>
        <w:t xml:space="preserve"> 采购人指定的时间及地点 。</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第七条  售后服务、保修期</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1、乙方应按照国家有关法律法规和“三包”规定以及招投标文件和本合同所附的《服务承诺》，为甲方提供售后服务。</w:t>
      </w:r>
    </w:p>
    <w:p>
      <w:pPr>
        <w:snapToGrid w:val="0"/>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验收后</w:t>
      </w:r>
      <w:r>
        <w:rPr>
          <w:rFonts w:hint="eastAsia" w:ascii="宋体" w:hAnsi="宋体" w:cs="Arial"/>
          <w:color w:val="auto"/>
          <w:kern w:val="0"/>
          <w:szCs w:val="21"/>
          <w:highlight w:val="none"/>
          <w:u w:val="single"/>
        </w:rPr>
        <w:t>免费保修</w:t>
      </w:r>
      <w:r>
        <w:rPr>
          <w:rFonts w:ascii="宋体" w:hAnsi="宋体" w:cs="Arial"/>
          <w:color w:val="auto"/>
          <w:kern w:val="0"/>
          <w:szCs w:val="21"/>
          <w:highlight w:val="none"/>
          <w:u w:val="single"/>
        </w:rPr>
        <w:t>1</w:t>
      </w:r>
      <w:r>
        <w:rPr>
          <w:rFonts w:hint="eastAsia" w:ascii="宋体" w:hAnsi="宋体" w:cs="Arial"/>
          <w:color w:val="auto"/>
          <w:kern w:val="0"/>
          <w:szCs w:val="21"/>
          <w:highlight w:val="none"/>
          <w:u w:val="single"/>
        </w:rPr>
        <w:t>年</w:t>
      </w:r>
      <w:r>
        <w:rPr>
          <w:rFonts w:hint="eastAsia" w:ascii="宋体" w:hAnsi="宋体"/>
          <w:color w:val="auto"/>
          <w:szCs w:val="21"/>
          <w:highlight w:val="none"/>
          <w:u w:val="singl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3、乙方提供的服务承诺和售后服务及保修期责任等其它具体约定事项。（见合同附件）</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第八条　付款方式和保证金</w:t>
      </w:r>
    </w:p>
    <w:p>
      <w:pPr>
        <w:pStyle w:val="14"/>
        <w:snapToGrid w:val="0"/>
        <w:spacing w:line="380" w:lineRule="exact"/>
        <w:ind w:left="420" w:leftChars="200"/>
        <w:rPr>
          <w:rFonts w:hAnsi="宋体"/>
          <w:color w:val="auto"/>
          <w:highlight w:val="none"/>
        </w:rPr>
      </w:pPr>
      <w:r>
        <w:rPr>
          <w:rFonts w:hint="eastAsia" w:hAnsi="宋体"/>
          <w:bCs/>
          <w:color w:val="auto"/>
          <w:highlight w:val="none"/>
        </w:rPr>
        <w:t>1、</w:t>
      </w:r>
      <w:r>
        <w:rPr>
          <w:rFonts w:hint="eastAsia" w:hAnsi="宋体"/>
          <w:color w:val="auto"/>
          <w:highlight w:val="none"/>
        </w:rPr>
        <w:t>当采购数量与实际使用数量不一致时，乙方应根据实际使用量供货，合同的最终结算金额按实际使用量乘以成交单价进行计算。</w:t>
      </w:r>
    </w:p>
    <w:p>
      <w:pPr>
        <w:pStyle w:val="14"/>
        <w:spacing w:line="380" w:lineRule="exact"/>
        <w:ind w:firstLine="420"/>
        <w:rPr>
          <w:rFonts w:hAnsi="宋体"/>
          <w:color w:val="auto"/>
          <w:highlight w:val="none"/>
        </w:rPr>
      </w:pPr>
      <w:r>
        <w:rPr>
          <w:rFonts w:hint="eastAsia" w:hAnsi="宋体"/>
          <w:color w:val="auto"/>
          <w:highlight w:val="none"/>
        </w:rPr>
        <w:t>2、本合同以人民币付款。</w:t>
      </w:r>
    </w:p>
    <w:p>
      <w:pPr>
        <w:pStyle w:val="14"/>
        <w:spacing w:line="380" w:lineRule="exact"/>
        <w:ind w:firstLine="420" w:firstLineChars="200"/>
        <w:rPr>
          <w:rFonts w:hAnsi="宋体"/>
          <w:color w:val="auto"/>
          <w:highlight w:val="none"/>
        </w:rPr>
      </w:pPr>
      <w:r>
        <w:rPr>
          <w:rFonts w:hint="eastAsia" w:hAnsi="宋体"/>
          <w:color w:val="auto"/>
          <w:highlight w:val="none"/>
        </w:rPr>
        <w:t>3、甲方按合同规定审核验收合格后付款。</w:t>
      </w:r>
    </w:p>
    <w:p>
      <w:pPr>
        <w:snapToGrid w:val="0"/>
        <w:spacing w:line="380" w:lineRule="exact"/>
        <w:ind w:left="-61" w:leftChars="-29" w:firstLine="514" w:firstLineChars="245"/>
        <w:rPr>
          <w:rFonts w:ascii="宋体" w:hAnsi="宋体"/>
          <w:color w:val="auto"/>
          <w:highlight w:val="none"/>
        </w:rPr>
      </w:pPr>
      <w:r>
        <w:rPr>
          <w:rFonts w:hint="eastAsia" w:ascii="宋体" w:hAnsi="宋体"/>
          <w:color w:val="auto"/>
          <w:highlight w:val="none"/>
        </w:rPr>
        <w:t>4、付款方式：</w:t>
      </w:r>
    </w:p>
    <w:p>
      <w:pPr>
        <w:pStyle w:val="14"/>
        <w:spacing w:line="380" w:lineRule="exact"/>
        <w:ind w:firstLine="420"/>
        <w:jc w:val="left"/>
        <w:rPr>
          <w:rFonts w:hAnsi="宋体" w:cs="宋体"/>
          <w:color w:val="auto"/>
          <w:kern w:val="0"/>
          <w:highlight w:val="none"/>
          <w:lang w:bidi="ar"/>
        </w:rPr>
      </w:pPr>
      <w:r>
        <w:rPr>
          <w:rFonts w:hint="eastAsia" w:hAnsi="宋体" w:cs="宋体"/>
          <w:color w:val="auto"/>
          <w:kern w:val="0"/>
          <w:highlight w:val="none"/>
          <w:lang w:bidi="ar"/>
        </w:rPr>
        <w:t>本项目无预付款，货到后乙方安装调试完毕经采购人验收合格后，甲方凭乙方开具的发票在十个工作日内向乙方支付合同总金额的97%，剩余合同总金额的3%作为质量保证金，质量保证金待质保期过后退还（无息）。</w:t>
      </w:r>
    </w:p>
    <w:p>
      <w:pPr>
        <w:pStyle w:val="14"/>
        <w:spacing w:line="380" w:lineRule="exact"/>
        <w:ind w:firstLine="420"/>
        <w:jc w:val="left"/>
        <w:rPr>
          <w:rFonts w:hAnsi="宋体"/>
          <w:b/>
          <w:color w:val="auto"/>
          <w:highlight w:val="none"/>
        </w:rPr>
      </w:pPr>
      <w:r>
        <w:rPr>
          <w:rFonts w:hint="eastAsia" w:hAnsi="宋体"/>
          <w:b/>
          <w:color w:val="auto"/>
          <w:highlight w:val="none"/>
        </w:rPr>
        <w:t>第九条　质保金及履约保证金</w:t>
      </w:r>
    </w:p>
    <w:p>
      <w:pPr>
        <w:snapToGrid w:val="0"/>
        <w:spacing w:line="380" w:lineRule="exact"/>
        <w:ind w:left="-61" w:leftChars="-29" w:firstLine="514" w:firstLineChars="245"/>
        <w:rPr>
          <w:rFonts w:ascii="宋体" w:hAnsi="宋体"/>
          <w:color w:val="auto"/>
          <w:szCs w:val="21"/>
          <w:highlight w:val="none"/>
        </w:rPr>
      </w:pPr>
      <w:r>
        <w:rPr>
          <w:rFonts w:hint="eastAsia" w:ascii="宋体" w:hAnsi="宋体"/>
          <w:color w:val="auto"/>
          <w:szCs w:val="21"/>
          <w:highlight w:val="none"/>
        </w:rPr>
        <w:t>甲方扣除</w:t>
      </w:r>
      <w:r>
        <w:rPr>
          <w:rFonts w:hint="eastAsia" w:ascii="宋体" w:hAnsi="宋体"/>
          <w:color w:val="auto"/>
          <w:highlight w:val="none"/>
        </w:rPr>
        <w:t xml:space="preserve">合同总金额的 </w:t>
      </w:r>
      <w:r>
        <w:rPr>
          <w:rFonts w:hint="eastAsia" w:ascii="宋体" w:hAnsi="宋体"/>
          <w:color w:val="auto"/>
          <w:highlight w:val="none"/>
          <w:u w:val="single"/>
        </w:rPr>
        <w:t xml:space="preserve">   </w:t>
      </w:r>
      <w:r>
        <w:rPr>
          <w:rFonts w:hint="eastAsia" w:ascii="宋体" w:hAnsi="宋体"/>
          <w:color w:val="auto"/>
          <w:szCs w:val="21"/>
          <w:highlight w:val="none"/>
        </w:rPr>
        <w:t>作为质量保证金，壹年过后五个工作日内无息返还。如在保质期内发现乙方不按合同要求履行售后服务承诺，业主因此所造成直接经济损失将从保证金中扣除，直致扣完为止。</w:t>
      </w:r>
    </w:p>
    <w:p>
      <w:pPr>
        <w:snapToGrid w:val="0"/>
        <w:spacing w:line="380" w:lineRule="exact"/>
        <w:ind w:left="-61" w:leftChars="-29" w:firstLine="517" w:firstLineChars="245"/>
        <w:rPr>
          <w:rFonts w:ascii="宋体" w:hAnsi="宋体"/>
          <w:b/>
          <w:color w:val="auto"/>
          <w:highlight w:val="none"/>
        </w:rPr>
      </w:pPr>
      <w:r>
        <w:rPr>
          <w:rFonts w:hint="eastAsia" w:ascii="宋体" w:hAnsi="宋体"/>
          <w:b/>
          <w:color w:val="auto"/>
          <w:highlight w:val="none"/>
        </w:rPr>
        <w:t>本项目</w:t>
      </w:r>
      <w:r>
        <w:rPr>
          <w:rFonts w:ascii="宋体" w:hAnsi="宋体"/>
          <w:b/>
          <w:color w:val="auto"/>
          <w:highlight w:val="none"/>
        </w:rPr>
        <w:t>无</w:t>
      </w:r>
      <w:r>
        <w:rPr>
          <w:rFonts w:hint="eastAsia" w:ascii="宋体" w:hAnsi="宋体"/>
          <w:b/>
          <w:color w:val="auto"/>
          <w:highlight w:val="none"/>
        </w:rPr>
        <w:t>履约</w:t>
      </w:r>
      <w:r>
        <w:rPr>
          <w:rFonts w:ascii="宋体" w:hAnsi="宋体"/>
          <w:b/>
          <w:color w:val="auto"/>
          <w:highlight w:val="none"/>
        </w:rPr>
        <w:t>保证金。</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第十条、税费本合同执行中相关的一切税费均由乙方负担。</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第十一条　违约责任</w:t>
      </w:r>
    </w:p>
    <w:p>
      <w:pPr>
        <w:snapToGrid w:val="0"/>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80" w:lineRule="exact"/>
        <w:ind w:firstLine="472" w:firstLineChars="225"/>
        <w:rPr>
          <w:rFonts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2、乙方提供的货物如侵犯了第三方合法权益而引发的任何纠纷或诉讼，均由乙方负责交涉并承担全部责任，若甲方因此涉诉的，甲方支出的相关费用（含诉讼费、律师费等）及造成的损失由乙方承担。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3、因包装、运输引起的货物损坏，按质量不合格处罚。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4、甲方无故延期接收货物、乙方逾期交货的，每天向对方偿付中标金额的3%滞纳金，超过5天对方有权解除合同，违约方承担因此给对方造成经济损失；甲方延期付货款的，每天向乙方偿付延期货款额3‰ 滞纳金。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5、乙方未按本合同和投标文件中规定的服务承诺提供售后服务的，乙方应按本合同合计金额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6、乙方提供的货物在质量保证期内，因设计、工艺或材料的缺陷和其它质量原因造成的问题，由乙方负责，费用从质量保证金中扣除，不足另补。</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7、其它违约行为按违约货款额5%收取违约金并赔偿经济损失。</w:t>
      </w:r>
    </w:p>
    <w:p>
      <w:pPr>
        <w:pStyle w:val="14"/>
        <w:snapToGrid w:val="0"/>
        <w:spacing w:line="380" w:lineRule="exact"/>
        <w:ind w:firstLine="413" w:firstLineChars="196"/>
        <w:rPr>
          <w:rFonts w:hAnsi="宋体"/>
          <w:b/>
          <w:color w:val="auto"/>
          <w:highlight w:val="none"/>
        </w:rPr>
      </w:pPr>
      <w:r>
        <w:rPr>
          <w:rFonts w:hint="eastAsia" w:hAnsi="宋体"/>
          <w:b/>
          <w:color w:val="auto"/>
          <w:highlight w:val="none"/>
        </w:rPr>
        <w:t>第十二条、不可抗力事件处理</w:t>
      </w:r>
    </w:p>
    <w:p>
      <w:pPr>
        <w:pStyle w:val="14"/>
        <w:snapToGrid w:val="0"/>
        <w:spacing w:line="380" w:lineRule="exact"/>
        <w:ind w:firstLine="422" w:firstLineChars="200"/>
        <w:rPr>
          <w:rFonts w:hAnsi="宋体"/>
          <w:b/>
          <w:color w:val="auto"/>
          <w:highlight w:val="none"/>
        </w:rPr>
      </w:pPr>
      <w:r>
        <w:rPr>
          <w:rFonts w:hint="eastAsia" w:hAnsi="宋体"/>
          <w:b/>
          <w:color w:val="auto"/>
          <w:highlight w:val="none"/>
        </w:rPr>
        <w:t>1. 在合同有效期内，任何一方因不可抗力事件导致不能履行合同，则合同履行期可延长，其延长期与不可抗力影响期相同。</w:t>
      </w:r>
    </w:p>
    <w:p>
      <w:pPr>
        <w:pStyle w:val="14"/>
        <w:snapToGrid w:val="0"/>
        <w:spacing w:line="380" w:lineRule="exact"/>
        <w:ind w:firstLine="422" w:firstLineChars="200"/>
        <w:rPr>
          <w:rFonts w:hAnsi="宋体"/>
          <w:b/>
          <w:color w:val="auto"/>
          <w:highlight w:val="none"/>
        </w:rPr>
      </w:pPr>
      <w:r>
        <w:rPr>
          <w:rFonts w:hint="eastAsia" w:hAnsi="宋体"/>
          <w:b/>
          <w:color w:val="auto"/>
          <w:highlight w:val="none"/>
        </w:rPr>
        <w:t>2. 不可抗力事件发生后，应立即通知对方，并寄送有关权威机构出具的证明。</w:t>
      </w:r>
    </w:p>
    <w:p>
      <w:pPr>
        <w:pStyle w:val="14"/>
        <w:snapToGrid w:val="0"/>
        <w:spacing w:line="380" w:lineRule="exact"/>
        <w:ind w:firstLine="422" w:firstLineChars="200"/>
        <w:rPr>
          <w:rFonts w:hAnsi="宋体"/>
          <w:b/>
          <w:color w:val="auto"/>
          <w:highlight w:val="none"/>
        </w:rPr>
      </w:pPr>
      <w:r>
        <w:rPr>
          <w:rFonts w:hint="eastAsia" w:hAnsi="宋体"/>
          <w:b/>
          <w:color w:val="auto"/>
          <w:highlight w:val="none"/>
        </w:rPr>
        <w:t>3. 不可抗力事件延续一百二十天以上，双方应通过友好协商，确定是否继续履行合同。</w:t>
      </w:r>
    </w:p>
    <w:p>
      <w:pPr>
        <w:snapToGrid w:val="0"/>
        <w:spacing w:line="380" w:lineRule="exact"/>
        <w:ind w:firstLine="422" w:firstLineChars="200"/>
        <w:rPr>
          <w:rFonts w:ascii="宋体" w:hAnsi="宋体"/>
          <w:color w:val="auto"/>
          <w:szCs w:val="21"/>
          <w:highlight w:val="none"/>
        </w:rPr>
      </w:pPr>
      <w:r>
        <w:rPr>
          <w:rFonts w:hint="eastAsia" w:ascii="宋体" w:hAnsi="宋体"/>
          <w:b/>
          <w:color w:val="auto"/>
          <w:szCs w:val="21"/>
          <w:highlight w:val="none"/>
        </w:rPr>
        <w:t>第十三条  合同争议解决</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2、因履行本合同引起的或与本合同有关的争议，甲乙双方应首先通过友好协商解决，如果协商不能解决，可向仲裁委员会申请仲裁或向人民法院提起诉讼。</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3、诉讼期间，本合同继续履行。</w:t>
      </w:r>
    </w:p>
    <w:p>
      <w:pPr>
        <w:pStyle w:val="14"/>
        <w:snapToGrid w:val="0"/>
        <w:spacing w:line="380" w:lineRule="exact"/>
        <w:ind w:firstLine="413" w:firstLineChars="196"/>
        <w:rPr>
          <w:rFonts w:hAnsi="宋体"/>
          <w:b/>
          <w:color w:val="auto"/>
          <w:highlight w:val="none"/>
        </w:rPr>
      </w:pPr>
      <w:r>
        <w:rPr>
          <w:rFonts w:hint="eastAsia" w:hAnsi="宋体"/>
          <w:b/>
          <w:color w:val="auto"/>
          <w:highlight w:val="none"/>
        </w:rPr>
        <w:t>第十四条、诉讼</w:t>
      </w:r>
    </w:p>
    <w:p>
      <w:pPr>
        <w:pStyle w:val="14"/>
        <w:snapToGrid w:val="0"/>
        <w:spacing w:line="380" w:lineRule="exact"/>
        <w:ind w:left="420" w:hanging="420" w:hangingChars="200"/>
        <w:rPr>
          <w:rFonts w:hAnsi="宋体"/>
          <w:color w:val="auto"/>
          <w:highlight w:val="none"/>
        </w:rPr>
      </w:pPr>
      <w:r>
        <w:rPr>
          <w:rFonts w:hint="eastAsia" w:hAnsi="宋体"/>
          <w:color w:val="auto"/>
          <w:highlight w:val="none"/>
        </w:rPr>
        <w:t xml:space="preserve">        双方在执行合同中所发生的一切争议，应通过协商解决。如果协商不能解决，可向仲裁委员会申请仲裁或向人民法院提起诉讼。</w:t>
      </w:r>
    </w:p>
    <w:p>
      <w:pPr>
        <w:pStyle w:val="14"/>
        <w:snapToGrid w:val="0"/>
        <w:spacing w:line="380" w:lineRule="exact"/>
        <w:ind w:left="561" w:leftChars="267"/>
        <w:rPr>
          <w:rFonts w:hAnsi="宋体"/>
          <w:b/>
          <w:color w:val="auto"/>
          <w:highlight w:val="none"/>
        </w:rPr>
      </w:pPr>
      <w:r>
        <w:rPr>
          <w:rFonts w:hint="eastAsia" w:hAnsi="宋体"/>
          <w:b/>
          <w:color w:val="auto"/>
          <w:highlight w:val="none"/>
        </w:rPr>
        <w:t>第十五条、合同生效及其它</w:t>
      </w:r>
    </w:p>
    <w:p>
      <w:pPr>
        <w:pStyle w:val="14"/>
        <w:snapToGrid w:val="0"/>
        <w:spacing w:line="380" w:lineRule="exact"/>
        <w:ind w:left="561" w:leftChars="267"/>
        <w:rPr>
          <w:rFonts w:hAnsi="宋体"/>
          <w:b/>
          <w:color w:val="auto"/>
          <w:highlight w:val="none"/>
        </w:rPr>
      </w:pPr>
      <w:r>
        <w:rPr>
          <w:rFonts w:hint="eastAsia" w:hAnsi="宋体"/>
          <w:b/>
          <w:color w:val="auto"/>
          <w:highlight w:val="none"/>
        </w:rPr>
        <w:t>1．合同经双方法定代表人或授权代表签字并加盖单位公章后生效。</w:t>
      </w:r>
    </w:p>
    <w:p>
      <w:pPr>
        <w:pStyle w:val="14"/>
        <w:snapToGrid w:val="0"/>
        <w:spacing w:line="380" w:lineRule="exact"/>
        <w:ind w:left="561" w:leftChars="267"/>
        <w:rPr>
          <w:rFonts w:hAnsi="宋体"/>
          <w:b/>
          <w:color w:val="auto"/>
          <w:highlight w:val="none"/>
        </w:rPr>
      </w:pPr>
      <w:r>
        <w:rPr>
          <w:rFonts w:hint="eastAsia" w:hAnsi="宋体"/>
          <w:b/>
          <w:color w:val="auto"/>
          <w:highlight w:val="none"/>
        </w:rPr>
        <w:t>2．合同执行中涉及采购资金和采购内容修改或补充的，须经财政部门审批，并签书面补充协议报财政部门备案，方可作为主合同不可分割的一部分。</w:t>
      </w:r>
    </w:p>
    <w:p>
      <w:pPr>
        <w:pStyle w:val="14"/>
        <w:snapToGrid w:val="0"/>
        <w:spacing w:line="380" w:lineRule="exact"/>
        <w:ind w:left="561" w:leftChars="267"/>
        <w:rPr>
          <w:rFonts w:hAnsi="宋体"/>
          <w:b/>
          <w:color w:val="auto"/>
          <w:highlight w:val="none"/>
        </w:rPr>
      </w:pPr>
      <w:r>
        <w:rPr>
          <w:rFonts w:hint="eastAsia" w:hAnsi="宋体"/>
          <w:b/>
          <w:color w:val="auto"/>
          <w:highlight w:val="none"/>
        </w:rPr>
        <w:t>3．本合同未尽事宜，遵照《合同法》有关条文执行。</w:t>
      </w:r>
    </w:p>
    <w:p>
      <w:pPr>
        <w:snapToGrid w:val="0"/>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第十六条　合同的变更、终止与转让</w:t>
      </w:r>
    </w:p>
    <w:p>
      <w:pPr>
        <w:snapToGrid w:val="0"/>
        <w:spacing w:line="380" w:lineRule="exact"/>
        <w:ind w:firstLine="420" w:firstLineChars="200"/>
        <w:rPr>
          <w:rFonts w:ascii="宋体" w:hAnsi="宋体"/>
          <w:color w:val="auto"/>
          <w:highlight w:val="none"/>
        </w:rPr>
      </w:pPr>
      <w:r>
        <w:rPr>
          <w:rFonts w:hint="eastAsia" w:ascii="宋体" w:hAnsi="宋体"/>
          <w:color w:val="auto"/>
          <w:highlight w:val="none"/>
        </w:rPr>
        <w:t>1、除《中华人民共和国政府采购法》第50条规定的情形外，本合同一经签订，甲乙双方不得擅自变更、中止或终止。</w:t>
      </w:r>
    </w:p>
    <w:p>
      <w:pPr>
        <w:pStyle w:val="14"/>
        <w:snapToGrid w:val="0"/>
        <w:spacing w:line="380" w:lineRule="exact"/>
        <w:ind w:firstLine="413" w:firstLineChars="196"/>
        <w:rPr>
          <w:rFonts w:hAnsi="宋体"/>
          <w:b/>
          <w:color w:val="auto"/>
          <w:highlight w:val="none"/>
        </w:rPr>
      </w:pPr>
      <w:r>
        <w:rPr>
          <w:rFonts w:hint="eastAsia" w:hAnsi="宋体"/>
          <w:b/>
          <w:color w:val="auto"/>
          <w:highlight w:val="none"/>
        </w:rPr>
        <w:t>2、乙方不得擅自转让其应履行的合同义务。</w:t>
      </w:r>
    </w:p>
    <w:p>
      <w:pPr>
        <w:snapToGrid w:val="0"/>
        <w:spacing w:line="380" w:lineRule="exact"/>
        <w:ind w:firstLine="422" w:firstLineChars="200"/>
        <w:rPr>
          <w:rFonts w:ascii="宋体" w:hAnsi="宋体"/>
          <w:b/>
          <w:color w:val="auto"/>
          <w:highlight w:val="none"/>
        </w:rPr>
      </w:pPr>
      <w:r>
        <w:rPr>
          <w:rFonts w:hint="eastAsia" w:ascii="宋体" w:hAnsi="宋体"/>
          <w:b/>
          <w:color w:val="auto"/>
          <w:highlight w:val="none"/>
        </w:rPr>
        <w:t>第十七条　签订本合同所依据的文件</w:t>
      </w:r>
    </w:p>
    <w:p>
      <w:pPr>
        <w:snapToGrid w:val="0"/>
        <w:spacing w:line="380" w:lineRule="exact"/>
        <w:ind w:firstLine="420" w:firstLineChars="200"/>
        <w:rPr>
          <w:rFonts w:ascii="宋体" w:hAnsi="宋体"/>
          <w:color w:val="auto"/>
          <w:highlight w:val="none"/>
          <w:u w:val="single"/>
        </w:rPr>
      </w:pPr>
      <w:r>
        <w:rPr>
          <w:rFonts w:hint="eastAsia" w:ascii="宋体" w:hAnsi="宋体"/>
          <w:color w:val="auto"/>
          <w:highlight w:val="none"/>
        </w:rPr>
        <w:t>1、政府采购招标文件；2、乙方提供的投标文件；3、投标承诺书；4、中标或成交通知书；5、履约保证金。上述文件为合同组成部分，通具有约束力。</w:t>
      </w:r>
    </w:p>
    <w:p>
      <w:pPr>
        <w:snapToGrid w:val="0"/>
        <w:spacing w:line="380" w:lineRule="exact"/>
        <w:ind w:firstLine="422" w:firstLineChars="200"/>
        <w:rPr>
          <w:rFonts w:ascii="宋体" w:hAnsi="宋体"/>
          <w:color w:val="auto"/>
          <w:highlight w:val="none"/>
        </w:rPr>
      </w:pPr>
      <w:r>
        <w:rPr>
          <w:rFonts w:hint="eastAsia" w:ascii="宋体" w:hAnsi="宋体"/>
          <w:b/>
          <w:color w:val="auto"/>
          <w:highlight w:val="none"/>
        </w:rPr>
        <w:t>第十八条　</w:t>
      </w:r>
      <w:r>
        <w:rPr>
          <w:rFonts w:hint="eastAsia" w:ascii="宋体" w:hAnsi="宋体"/>
          <w:color w:val="auto"/>
          <w:highlight w:val="none"/>
        </w:rPr>
        <w:t>本合同一式四份，具有同等法律效力，财政部门（政府采购监管部门）、采购代理机构、甲、乙双方各一份。</w:t>
      </w:r>
    </w:p>
    <w:p>
      <w:pPr>
        <w:snapToGrid w:val="0"/>
        <w:spacing w:line="380" w:lineRule="exact"/>
        <w:ind w:firstLine="420" w:firstLineChars="200"/>
        <w:rPr>
          <w:rFonts w:ascii="宋体" w:hAnsi="宋体"/>
          <w:color w:val="auto"/>
          <w:highlight w:val="none"/>
        </w:rPr>
      </w:pPr>
      <w:r>
        <w:rPr>
          <w:rFonts w:hint="eastAsia" w:ascii="宋体" w:hAnsi="宋体"/>
          <w:color w:val="auto"/>
          <w:highlight w:val="none"/>
        </w:rPr>
        <w:t>本合同甲乙双方签字盖章后生效，自签订之日起七个工作日内，采购人或采购代理机构应当将合同副本报同级财政部门备案。</w:t>
      </w:r>
    </w:p>
    <w:tbl>
      <w:tblPr>
        <w:tblStyle w:val="2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甲方（章）           </w:t>
            </w:r>
          </w:p>
          <w:p>
            <w:pPr>
              <w:snapToGrid w:val="0"/>
              <w:spacing w:line="400" w:lineRule="exact"/>
              <w:ind w:firstLine="945" w:firstLineChars="450"/>
              <w:jc w:val="right"/>
              <w:rPr>
                <w:rFonts w:ascii="宋体" w:hAnsi="宋体"/>
                <w:color w:val="auto"/>
                <w:highlight w:val="none"/>
              </w:rPr>
            </w:pPr>
            <w:r>
              <w:rPr>
                <w:rFonts w:hint="eastAsia" w:ascii="宋体" w:hAnsi="宋体"/>
                <w:color w:val="auto"/>
                <w:highlight w:val="none"/>
              </w:rPr>
              <w:t>年   月   日</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 xml:space="preserve">乙方（章）              </w:t>
            </w:r>
          </w:p>
          <w:p>
            <w:pPr>
              <w:snapToGrid w:val="0"/>
              <w:spacing w:line="400" w:lineRule="exact"/>
              <w:jc w:val="right"/>
              <w:rPr>
                <w:rFonts w:ascii="宋体" w:hAnsi="宋体"/>
                <w:color w:val="auto"/>
                <w:highlight w:val="none"/>
              </w:rPr>
            </w:pPr>
            <w:r>
              <w:rPr>
                <w:rFonts w:hint="eastAsia" w:ascii="宋体" w:hAnsi="宋体"/>
                <w:color w:val="auto"/>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单位地址：</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法定代表人：</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委托代理人：                 年  月  日</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委托代理人：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电话：</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电子邮箱：</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开户银行：</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账号：</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宋体" w:hAnsi="宋体"/>
                <w:color w:val="auto"/>
                <w:highlight w:val="none"/>
              </w:rPr>
            </w:pPr>
            <w:r>
              <w:rPr>
                <w:rFonts w:hint="eastAsia" w:ascii="宋体" w:hAnsi="宋体"/>
                <w:color w:val="auto"/>
                <w:highlight w:val="none"/>
              </w:rPr>
              <w:t>邮政编码：</w:t>
            </w:r>
          </w:p>
        </w:tc>
        <w:tc>
          <w:tcPr>
            <w:tcW w:w="4517" w:type="dxa"/>
            <w:vAlign w:val="center"/>
          </w:tcPr>
          <w:p>
            <w:pPr>
              <w:snapToGrid w:val="0"/>
              <w:spacing w:line="400" w:lineRule="exact"/>
              <w:rPr>
                <w:rFonts w:ascii="宋体" w:hAnsi="宋体"/>
                <w:color w:val="auto"/>
                <w:highlight w:val="none"/>
              </w:rPr>
            </w:pPr>
            <w:r>
              <w:rPr>
                <w:rFonts w:hint="eastAsia" w:ascii="宋体" w:hAnsi="宋体"/>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033" w:type="dxa"/>
            <w:gridSpan w:val="2"/>
            <w:vAlign w:val="center"/>
          </w:tcPr>
          <w:p>
            <w:pPr>
              <w:snapToGrid w:val="0"/>
              <w:spacing w:line="400" w:lineRule="exact"/>
              <w:rPr>
                <w:rFonts w:ascii="宋体" w:hAnsi="宋体"/>
                <w:color w:val="auto"/>
                <w:highlight w:val="none"/>
              </w:rPr>
            </w:pPr>
            <w:r>
              <w:rPr>
                <w:rFonts w:hint="eastAsia" w:ascii="宋体" w:hAnsi="宋体"/>
                <w:color w:val="auto"/>
                <w:highlight w:val="none"/>
              </w:rPr>
              <w:t>经办人：</w:t>
            </w:r>
          </w:p>
          <w:p>
            <w:pPr>
              <w:snapToGrid w:val="0"/>
              <w:spacing w:line="400" w:lineRule="exact"/>
              <w:rPr>
                <w:rFonts w:ascii="宋体" w:hAnsi="宋体"/>
                <w:color w:val="auto"/>
                <w:highlight w:val="none"/>
              </w:rPr>
            </w:pPr>
          </w:p>
        </w:tc>
      </w:tr>
    </w:tbl>
    <w:p>
      <w:pPr>
        <w:snapToGrid w:val="0"/>
        <w:spacing w:line="440" w:lineRule="exact"/>
        <w:jc w:val="center"/>
        <w:rPr>
          <w:rFonts w:ascii="宋体" w:hAnsi="宋体"/>
          <w:b/>
          <w:color w:val="auto"/>
          <w:sz w:val="36"/>
          <w:szCs w:val="36"/>
          <w:highlight w:val="none"/>
        </w:rPr>
      </w:pPr>
      <w:r>
        <w:rPr>
          <w:rFonts w:ascii="宋体" w:hAnsi="宋体"/>
          <w:color w:val="auto"/>
          <w:szCs w:val="21"/>
          <w:highlight w:val="none"/>
        </w:rPr>
        <w:br w:type="page"/>
      </w:r>
      <w:r>
        <w:rPr>
          <w:rFonts w:hint="eastAsia" w:ascii="宋体" w:hAnsi="宋体"/>
          <w:b/>
          <w:color w:val="auto"/>
          <w:sz w:val="36"/>
          <w:szCs w:val="36"/>
          <w:highlight w:val="none"/>
        </w:rPr>
        <w:t>合 同 附 件</w:t>
      </w:r>
    </w:p>
    <w:p>
      <w:pPr>
        <w:snapToGrid w:val="0"/>
        <w:rPr>
          <w:rFonts w:ascii="宋体" w:hAnsi="宋体"/>
          <w:color w:val="auto"/>
          <w:szCs w:val="21"/>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color w:val="auto"/>
                <w:kern w:val="0"/>
                <w:szCs w:val="21"/>
                <w:highlight w:val="none"/>
              </w:rPr>
            </w:pPr>
          </w:p>
          <w:p>
            <w:pPr>
              <w:snapToGrid w:val="0"/>
              <w:rPr>
                <w:rFonts w:ascii="宋体" w:hAnsi="宋体"/>
                <w:color w:val="auto"/>
                <w:szCs w:val="21"/>
                <w:highlight w:val="none"/>
              </w:rPr>
            </w:pPr>
            <w:r>
              <w:rPr>
                <w:rFonts w:hint="eastAsia" w:ascii="宋体" w:hAnsi="宋体"/>
                <w:snapToGrid w:val="0"/>
                <w:color w:val="auto"/>
                <w:kern w:val="0"/>
                <w:szCs w:val="21"/>
                <w:highlight w:val="none"/>
              </w:rPr>
              <w:t>1、供应商承诺具体事项：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color w:val="auto"/>
                <w:kern w:val="0"/>
                <w:szCs w:val="21"/>
                <w:highlight w:val="none"/>
              </w:rPr>
            </w:pPr>
          </w:p>
          <w:p>
            <w:pPr>
              <w:snapToGrid w:val="0"/>
              <w:rPr>
                <w:rFonts w:ascii="宋体" w:hAnsi="宋体"/>
                <w:color w:val="auto"/>
                <w:szCs w:val="21"/>
                <w:highlight w:val="none"/>
              </w:rPr>
            </w:pPr>
            <w:r>
              <w:rPr>
                <w:rFonts w:hint="eastAsia" w:ascii="宋体" w:hAnsi="宋体"/>
                <w:snapToGrid w:val="0"/>
                <w:color w:val="auto"/>
                <w:kern w:val="0"/>
                <w:szCs w:val="21"/>
                <w:highlight w:val="none"/>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color w:val="auto"/>
                <w:kern w:val="0"/>
                <w:szCs w:val="21"/>
                <w:highlight w:val="none"/>
              </w:rPr>
            </w:pPr>
          </w:p>
          <w:p>
            <w:pPr>
              <w:snapToGrid w:val="0"/>
              <w:rPr>
                <w:rFonts w:ascii="宋体" w:hAnsi="宋体"/>
                <w:color w:val="auto"/>
                <w:szCs w:val="21"/>
                <w:highlight w:val="none"/>
              </w:rPr>
            </w:pPr>
            <w:r>
              <w:rPr>
                <w:rFonts w:hint="eastAsia" w:ascii="宋体" w:hAnsi="宋体"/>
                <w:snapToGrid w:val="0"/>
                <w:color w:val="auto"/>
                <w:kern w:val="0"/>
                <w:szCs w:val="21"/>
                <w:highlight w:val="none"/>
              </w:rPr>
              <w:t>3、保修期责任：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Pr>
          <w:p>
            <w:pPr>
              <w:snapToGrid w:val="0"/>
              <w:rPr>
                <w:rFonts w:ascii="宋体" w:hAnsi="宋体"/>
                <w:snapToGrid w:val="0"/>
                <w:color w:val="auto"/>
                <w:kern w:val="0"/>
                <w:szCs w:val="21"/>
                <w:highlight w:val="none"/>
              </w:rPr>
            </w:pPr>
          </w:p>
          <w:p>
            <w:pPr>
              <w:snapToGrid w:val="0"/>
              <w:rPr>
                <w:rFonts w:ascii="宋体" w:hAnsi="宋体"/>
                <w:color w:val="auto"/>
                <w:szCs w:val="21"/>
                <w:highlight w:val="none"/>
              </w:rPr>
            </w:pPr>
            <w:r>
              <w:rPr>
                <w:rFonts w:hint="eastAsia" w:ascii="宋体" w:hAnsi="宋体"/>
                <w:snapToGrid w:val="0"/>
                <w:color w:val="auto"/>
                <w:kern w:val="0"/>
                <w:szCs w:val="21"/>
                <w:highlight w:val="none"/>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vAlign w:val="center"/>
          </w:tcPr>
          <w:p>
            <w:pPr>
              <w:ind w:firstLine="482"/>
              <w:rPr>
                <w:rFonts w:ascii="宋体" w:hAnsi="宋体"/>
                <w:color w:val="auto"/>
                <w:szCs w:val="21"/>
                <w:highlight w:val="none"/>
              </w:rPr>
            </w:pPr>
            <w:r>
              <w:rPr>
                <w:rFonts w:hint="eastAsia" w:ascii="宋体" w:hAnsi="宋体"/>
                <w:color w:val="auto"/>
                <w:szCs w:val="21"/>
                <w:highlight w:val="none"/>
              </w:rPr>
              <w:t>甲方（章）</w:t>
            </w: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r>
              <w:rPr>
                <w:rFonts w:hint="eastAsia" w:ascii="宋体" w:hAnsi="宋体"/>
                <w:color w:val="auto"/>
                <w:szCs w:val="21"/>
                <w:highlight w:val="none"/>
              </w:rPr>
              <w:t xml:space="preserve">                 年   月   日 </w:t>
            </w:r>
          </w:p>
        </w:tc>
        <w:tc>
          <w:tcPr>
            <w:tcW w:w="4725" w:type="dxa"/>
            <w:vAlign w:val="center"/>
          </w:tcPr>
          <w:p>
            <w:pPr>
              <w:ind w:firstLine="482"/>
              <w:rPr>
                <w:rFonts w:ascii="宋体" w:hAnsi="宋体"/>
                <w:color w:val="auto"/>
                <w:szCs w:val="21"/>
                <w:highlight w:val="none"/>
              </w:rPr>
            </w:pPr>
            <w:r>
              <w:rPr>
                <w:rFonts w:hint="eastAsia" w:ascii="宋体" w:hAnsi="宋体"/>
                <w:color w:val="auto"/>
                <w:szCs w:val="21"/>
                <w:highlight w:val="none"/>
              </w:rPr>
              <w:t>乙方（章）</w:t>
            </w: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p>
          <w:p>
            <w:pPr>
              <w:ind w:firstLine="482"/>
              <w:rPr>
                <w:rFonts w:ascii="宋体" w:hAnsi="宋体"/>
                <w:color w:val="auto"/>
                <w:szCs w:val="21"/>
                <w:highlight w:val="none"/>
              </w:rPr>
            </w:pPr>
            <w:r>
              <w:rPr>
                <w:rFonts w:hint="eastAsia" w:ascii="宋体" w:hAnsi="宋体"/>
                <w:color w:val="auto"/>
                <w:szCs w:val="21"/>
                <w:highlight w:val="none"/>
              </w:rPr>
              <w:t xml:space="preserve">                年   月   日</w:t>
            </w:r>
          </w:p>
        </w:tc>
      </w:tr>
    </w:tbl>
    <w:p>
      <w:pPr>
        <w:snapToGrid w:val="0"/>
        <w:rPr>
          <w:rFonts w:ascii="宋体" w:hAnsi="宋体"/>
          <w:color w:val="auto"/>
          <w:szCs w:val="21"/>
          <w:highlight w:val="none"/>
        </w:rPr>
      </w:pPr>
    </w:p>
    <w:p>
      <w:pPr>
        <w:snapToGrid w:val="0"/>
        <w:rPr>
          <w:rFonts w:ascii="宋体" w:hAnsi="宋体"/>
          <w:color w:val="auto"/>
          <w:szCs w:val="21"/>
          <w:highlight w:val="none"/>
        </w:rPr>
      </w:pPr>
      <w:r>
        <w:rPr>
          <w:rFonts w:hint="eastAsia" w:ascii="宋体" w:hAnsi="宋体"/>
          <w:color w:val="auto"/>
          <w:szCs w:val="21"/>
          <w:highlight w:val="none"/>
        </w:rPr>
        <w:t>注：售后服务事项填不下时可另加附页</w:t>
      </w:r>
    </w:p>
    <w:p>
      <w:pPr>
        <w:pStyle w:val="3"/>
        <w:jc w:val="center"/>
        <w:rPr>
          <w:rFonts w:ascii="宋体" w:hAnsi="宋体" w:cs="宋体-PUA"/>
          <w:color w:val="auto"/>
          <w:szCs w:val="21"/>
          <w:highlight w:val="none"/>
          <w:u w:val="single"/>
        </w:rPr>
        <w:sectPr>
          <w:pgSz w:w="11907" w:h="16840"/>
          <w:pgMar w:top="1440" w:right="1440" w:bottom="1440" w:left="1377" w:header="851" w:footer="851" w:gutter="0"/>
          <w:cols w:space="720" w:num="1"/>
          <w:docGrid w:linePitch="312" w:charSpace="0"/>
        </w:sectPr>
      </w:pPr>
    </w:p>
    <w:p>
      <w:pPr>
        <w:spacing w:line="447" w:lineRule="exact"/>
        <w:ind w:left="2169"/>
        <w:rPr>
          <w:rFonts w:ascii="宋体" w:hAnsi="宋体" w:cs="宋体"/>
          <w:color w:val="auto"/>
          <w:sz w:val="36"/>
          <w:szCs w:val="36"/>
          <w:highlight w:val="none"/>
        </w:rPr>
      </w:pPr>
      <w:bookmarkStart w:id="14" w:name="_Toc503540103"/>
      <w:bookmarkStart w:id="15" w:name="_Toc358569763"/>
      <w:r>
        <w:rPr>
          <w:rFonts w:ascii="宋体" w:hAnsi="宋体" w:cs="宋体"/>
          <w:color w:val="auto"/>
          <w:sz w:val="36"/>
          <w:szCs w:val="36"/>
          <w:highlight w:val="none"/>
        </w:rPr>
        <w:t>政府采购项目合同验收报告（格式）</w:t>
      </w:r>
    </w:p>
    <w:p>
      <w:pPr>
        <w:spacing w:before="7"/>
        <w:rPr>
          <w:rFonts w:ascii="宋体" w:hAnsi="宋体" w:cs="宋体"/>
          <w:color w:val="auto"/>
          <w:sz w:val="38"/>
          <w:szCs w:val="38"/>
          <w:highlight w:val="none"/>
        </w:rPr>
      </w:pPr>
    </w:p>
    <w:p>
      <w:pPr>
        <w:pStyle w:val="5"/>
        <w:tabs>
          <w:tab w:val="left" w:pos="5872"/>
          <w:tab w:val="left" w:pos="9472"/>
        </w:tabs>
        <w:spacing w:before="0" w:line="336" w:lineRule="auto"/>
        <w:ind w:left="112" w:right="111" w:firstLine="48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根据政府采购合同（采购合同编号：    ）的约定，我单位对</w:t>
      </w:r>
      <w:r>
        <w:rPr>
          <w:rFonts w:hint="eastAsia" w:ascii="宋体" w:hAnsi="宋体" w:eastAsia="宋体" w:cs="宋体"/>
          <w:b w:val="0"/>
          <w:bCs w:val="0"/>
          <w:color w:val="auto"/>
          <w:sz w:val="24"/>
          <w:szCs w:val="24"/>
          <w:highlight w:val="none"/>
          <w:u w:val="single" w:color="000000"/>
        </w:rPr>
        <w:t>（项目名称）</w:t>
      </w:r>
      <w:r>
        <w:rPr>
          <w:rFonts w:hint="eastAsia" w:ascii="宋体" w:hAnsi="宋体" w:eastAsia="宋体" w:cs="宋体"/>
          <w:b w:val="0"/>
          <w:bCs w:val="0"/>
          <w:color w:val="auto"/>
          <w:sz w:val="24"/>
          <w:szCs w:val="24"/>
          <w:highlight w:val="none"/>
          <w:u w:val="single" w:color="000000"/>
        </w:rPr>
        <w:tab/>
      </w:r>
      <w:r>
        <w:rPr>
          <w:rFonts w:hint="eastAsia" w:ascii="宋体" w:hAnsi="宋体" w:eastAsia="宋体" w:cs="宋体"/>
          <w:b w:val="0"/>
          <w:bCs w:val="0"/>
          <w:color w:val="auto"/>
          <w:sz w:val="24"/>
          <w:szCs w:val="24"/>
          <w:highlight w:val="none"/>
        </w:rPr>
        <w:t>政府 采购项目中标（或成交）供应商</w:t>
      </w:r>
      <w:r>
        <w:rPr>
          <w:rFonts w:hint="eastAsia" w:ascii="宋体" w:hAnsi="宋体" w:eastAsia="宋体" w:cs="宋体"/>
          <w:b w:val="0"/>
          <w:bCs w:val="0"/>
          <w:color w:val="auto"/>
          <w:sz w:val="24"/>
          <w:szCs w:val="24"/>
          <w:highlight w:val="none"/>
          <w:u w:val="single" w:color="000000"/>
        </w:rPr>
        <w:t>（公司名称）</w:t>
      </w:r>
      <w:r>
        <w:rPr>
          <w:rFonts w:hint="eastAsia" w:ascii="宋体" w:hAnsi="宋体" w:eastAsia="宋体" w:cs="宋体"/>
          <w:b w:val="0"/>
          <w:bCs w:val="0"/>
          <w:color w:val="auto"/>
          <w:sz w:val="24"/>
          <w:szCs w:val="24"/>
          <w:highlight w:val="none"/>
          <w:u w:val="single" w:color="000000"/>
        </w:rPr>
        <w:tab/>
      </w:r>
      <w:r>
        <w:rPr>
          <w:rFonts w:hint="eastAsia" w:ascii="宋体" w:hAnsi="宋体" w:eastAsia="宋体" w:cs="宋体"/>
          <w:b w:val="0"/>
          <w:bCs w:val="0"/>
          <w:color w:val="auto"/>
          <w:sz w:val="24"/>
          <w:szCs w:val="24"/>
          <w:highlight w:val="none"/>
        </w:rPr>
        <w:t>提供的货物（或服务）进行了验收，验 收情况如下：</w:t>
      </w:r>
    </w:p>
    <w:p>
      <w:pPr>
        <w:spacing w:before="3"/>
        <w:rPr>
          <w:rFonts w:ascii="宋体" w:hAnsi="宋体" w:cs="宋体"/>
          <w:color w:val="auto"/>
          <w:sz w:val="18"/>
          <w:szCs w:val="18"/>
          <w:highlight w:val="none"/>
        </w:rPr>
      </w:pPr>
    </w:p>
    <w:tbl>
      <w:tblPr>
        <w:tblStyle w:val="71"/>
        <w:tblW w:w="9232" w:type="dxa"/>
        <w:tblInd w:w="439" w:type="dxa"/>
        <w:tblLayout w:type="fixed"/>
        <w:tblCellMar>
          <w:top w:w="0" w:type="dxa"/>
          <w:left w:w="0" w:type="dxa"/>
          <w:bottom w:w="0" w:type="dxa"/>
          <w:right w:w="0" w:type="dxa"/>
        </w:tblCellMar>
      </w:tblPr>
      <w:tblGrid>
        <w:gridCol w:w="1783"/>
        <w:gridCol w:w="1553"/>
        <w:gridCol w:w="1579"/>
        <w:gridCol w:w="1540"/>
        <w:gridCol w:w="660"/>
        <w:gridCol w:w="338"/>
        <w:gridCol w:w="1779"/>
      </w:tblGrid>
      <w:tr>
        <w:tblPrEx>
          <w:tblCellMar>
            <w:top w:w="0" w:type="dxa"/>
            <w:left w:w="0" w:type="dxa"/>
            <w:bottom w:w="0" w:type="dxa"/>
            <w:right w:w="0" w:type="dxa"/>
          </w:tblCellMar>
        </w:tblPrEx>
        <w:trPr>
          <w:trHeight w:val="517" w:hRule="exact"/>
        </w:trPr>
        <w:tc>
          <w:tcPr>
            <w:tcW w:w="3336" w:type="dxa"/>
            <w:gridSpan w:val="2"/>
            <w:tcBorders>
              <w:top w:val="single" w:color="000000" w:sz="8" w:space="0"/>
              <w:left w:val="single" w:color="000000" w:sz="8" w:space="0"/>
              <w:bottom w:val="single" w:color="000000" w:sz="8" w:space="0"/>
              <w:right w:val="single" w:color="000000" w:sz="8" w:space="0"/>
            </w:tcBorders>
          </w:tcPr>
          <w:p>
            <w:pPr>
              <w:pStyle w:val="64"/>
              <w:spacing w:before="55"/>
              <w:ind w:left="1055"/>
              <w:rPr>
                <w:rFonts w:ascii="宋体" w:hAnsi="宋体" w:cs="宋体"/>
                <w:color w:val="auto"/>
                <w:kern w:val="0"/>
                <w:sz w:val="24"/>
                <w:szCs w:val="24"/>
                <w:highlight w:val="none"/>
              </w:rPr>
            </w:pPr>
            <w:r>
              <w:rPr>
                <w:rFonts w:ascii="宋体" w:hAnsi="宋体" w:cs="宋体"/>
                <w:color w:val="auto"/>
                <w:kern w:val="0"/>
                <w:sz w:val="24"/>
                <w:szCs w:val="24"/>
                <w:highlight w:val="none"/>
              </w:rPr>
              <w:t>验收方式：</w:t>
            </w:r>
          </w:p>
        </w:tc>
        <w:tc>
          <w:tcPr>
            <w:tcW w:w="5896" w:type="dxa"/>
            <w:gridSpan w:val="5"/>
            <w:tcBorders>
              <w:top w:val="single" w:color="000000" w:sz="8" w:space="0"/>
              <w:left w:val="single" w:color="000000" w:sz="8" w:space="0"/>
              <w:bottom w:val="single" w:color="000000" w:sz="8" w:space="0"/>
              <w:right w:val="single" w:color="000000" w:sz="8" w:space="0"/>
            </w:tcBorders>
          </w:tcPr>
          <w:p>
            <w:pPr>
              <w:pStyle w:val="64"/>
              <w:tabs>
                <w:tab w:val="left" w:pos="3236"/>
              </w:tabs>
              <w:spacing w:before="55"/>
              <w:ind w:left="1533"/>
              <w:rPr>
                <w:rFonts w:ascii="宋体" w:hAnsi="宋体" w:cs="宋体"/>
                <w:color w:val="auto"/>
                <w:kern w:val="0"/>
                <w:sz w:val="24"/>
                <w:szCs w:val="24"/>
                <w:highlight w:val="none"/>
              </w:rPr>
            </w:pPr>
            <w:r>
              <w:rPr>
                <w:rFonts w:eastAsia="Calibri" w:cs="Calibri"/>
                <w:color w:val="auto"/>
                <w:spacing w:val="-1"/>
                <w:kern w:val="0"/>
                <w:sz w:val="24"/>
                <w:szCs w:val="24"/>
                <w:highlight w:val="none"/>
              </w:rPr>
              <w:t>□</w:t>
            </w:r>
            <w:r>
              <w:rPr>
                <w:rFonts w:ascii="宋体" w:hAnsi="宋体" w:cs="宋体"/>
                <w:color w:val="auto"/>
                <w:spacing w:val="-1"/>
                <w:kern w:val="0"/>
                <w:sz w:val="24"/>
                <w:szCs w:val="24"/>
                <w:highlight w:val="none"/>
              </w:rPr>
              <w:t>自行验收</w:t>
            </w:r>
            <w:r>
              <w:rPr>
                <w:rFonts w:ascii="宋体" w:hAnsi="宋体" w:cs="宋体"/>
                <w:color w:val="auto"/>
                <w:spacing w:val="-1"/>
                <w:kern w:val="0"/>
                <w:sz w:val="24"/>
                <w:szCs w:val="24"/>
                <w:highlight w:val="none"/>
              </w:rPr>
              <w:tab/>
            </w:r>
            <w:r>
              <w:rPr>
                <w:rFonts w:eastAsia="Calibri" w:cs="Calibri"/>
                <w:color w:val="auto"/>
                <w:spacing w:val="-1"/>
                <w:kern w:val="0"/>
                <w:sz w:val="24"/>
                <w:szCs w:val="24"/>
                <w:highlight w:val="none"/>
              </w:rPr>
              <w:t>□</w:t>
            </w:r>
            <w:r>
              <w:rPr>
                <w:rFonts w:ascii="宋体" w:hAnsi="宋体" w:cs="宋体"/>
                <w:color w:val="auto"/>
                <w:spacing w:val="-1"/>
                <w:kern w:val="0"/>
                <w:sz w:val="24"/>
                <w:szCs w:val="24"/>
                <w:highlight w:val="none"/>
              </w:rPr>
              <w:t>联合验收</w:t>
            </w:r>
          </w:p>
        </w:tc>
      </w:tr>
      <w:tr>
        <w:tblPrEx>
          <w:tblCellMar>
            <w:top w:w="0" w:type="dxa"/>
            <w:left w:w="0" w:type="dxa"/>
            <w:bottom w:w="0" w:type="dxa"/>
            <w:right w:w="0" w:type="dxa"/>
          </w:tblCellMar>
        </w:tblPrEx>
        <w:trPr>
          <w:trHeight w:val="712" w:hRule="exact"/>
        </w:trPr>
        <w:tc>
          <w:tcPr>
            <w:tcW w:w="1783" w:type="dxa"/>
            <w:tcBorders>
              <w:top w:val="single" w:color="000000" w:sz="8" w:space="0"/>
              <w:left w:val="single" w:color="000000" w:sz="8" w:space="0"/>
              <w:bottom w:val="single" w:color="000000" w:sz="8" w:space="0"/>
              <w:right w:val="single" w:color="000000" w:sz="8" w:space="0"/>
            </w:tcBorders>
          </w:tcPr>
          <w:p>
            <w:pPr>
              <w:pStyle w:val="64"/>
              <w:spacing w:before="152"/>
              <w:ind w:right="1"/>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1553" w:type="dxa"/>
            <w:tcBorders>
              <w:top w:val="single" w:color="000000" w:sz="8" w:space="0"/>
              <w:left w:val="single" w:color="000000" w:sz="8" w:space="0"/>
              <w:bottom w:val="single" w:color="000000" w:sz="8" w:space="0"/>
              <w:right w:val="single" w:color="000000" w:sz="8" w:space="0"/>
            </w:tcBorders>
          </w:tcPr>
          <w:p>
            <w:pPr>
              <w:pStyle w:val="64"/>
              <w:spacing w:before="152"/>
              <w:ind w:left="436"/>
              <w:rPr>
                <w:rFonts w:ascii="宋体" w:hAnsi="宋体" w:cs="宋体"/>
                <w:color w:val="auto"/>
                <w:kern w:val="0"/>
                <w:sz w:val="24"/>
                <w:szCs w:val="24"/>
                <w:highlight w:val="none"/>
              </w:rPr>
            </w:pPr>
            <w:r>
              <w:rPr>
                <w:rFonts w:ascii="宋体" w:hAnsi="宋体" w:cs="宋体"/>
                <w:color w:val="auto"/>
                <w:kern w:val="0"/>
                <w:sz w:val="24"/>
                <w:szCs w:val="24"/>
                <w:highlight w:val="none"/>
              </w:rPr>
              <w:t>名</w:t>
            </w:r>
            <w:r>
              <w:rPr>
                <w:rFonts w:ascii="宋体" w:hAnsi="宋体" w:cs="宋体"/>
                <w:color w:val="auto"/>
                <w:spacing w:val="60"/>
                <w:kern w:val="0"/>
                <w:sz w:val="24"/>
                <w:szCs w:val="24"/>
                <w:highlight w:val="none"/>
              </w:rPr>
              <w:t xml:space="preserve"> </w:t>
            </w:r>
            <w:r>
              <w:rPr>
                <w:rFonts w:ascii="宋体" w:hAnsi="宋体" w:cs="宋体"/>
                <w:color w:val="auto"/>
                <w:kern w:val="0"/>
                <w:sz w:val="24"/>
                <w:szCs w:val="24"/>
                <w:highlight w:val="none"/>
              </w:rPr>
              <w:t>称</w:t>
            </w:r>
          </w:p>
        </w:tc>
        <w:tc>
          <w:tcPr>
            <w:tcW w:w="3119" w:type="dxa"/>
            <w:gridSpan w:val="2"/>
            <w:tcBorders>
              <w:top w:val="single" w:color="000000" w:sz="8" w:space="0"/>
              <w:left w:val="single" w:color="000000" w:sz="8" w:space="0"/>
              <w:bottom w:val="single" w:color="000000" w:sz="8" w:space="0"/>
              <w:right w:val="single" w:color="000000" w:sz="8" w:space="0"/>
            </w:tcBorders>
          </w:tcPr>
          <w:p>
            <w:pPr>
              <w:pStyle w:val="64"/>
              <w:spacing w:line="310" w:lineRule="exact"/>
              <w:ind w:right="4"/>
              <w:jc w:val="center"/>
              <w:rPr>
                <w:rFonts w:ascii="宋体" w:hAnsi="宋体" w:cs="宋体"/>
                <w:color w:val="auto"/>
                <w:kern w:val="0"/>
                <w:sz w:val="24"/>
                <w:szCs w:val="24"/>
                <w:highlight w:val="none"/>
              </w:rPr>
            </w:pPr>
            <w:r>
              <w:rPr>
                <w:rFonts w:ascii="宋体" w:hAnsi="宋体" w:cs="宋体"/>
                <w:color w:val="auto"/>
                <w:kern w:val="0"/>
                <w:sz w:val="24"/>
                <w:szCs w:val="24"/>
                <w:highlight w:val="none"/>
              </w:rPr>
              <w:t>货物型号规格、标准及配置</w:t>
            </w:r>
          </w:p>
          <w:p>
            <w:pPr>
              <w:pStyle w:val="64"/>
              <w:spacing w:line="313"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（或服务内容、标准）</w:t>
            </w:r>
          </w:p>
        </w:tc>
        <w:tc>
          <w:tcPr>
            <w:tcW w:w="998" w:type="dxa"/>
            <w:gridSpan w:val="2"/>
            <w:tcBorders>
              <w:top w:val="single" w:color="000000" w:sz="8" w:space="0"/>
              <w:left w:val="single" w:color="000000" w:sz="8" w:space="0"/>
              <w:bottom w:val="single" w:color="000000" w:sz="8" w:space="0"/>
              <w:right w:val="single" w:color="000000" w:sz="8" w:space="0"/>
            </w:tcBorders>
          </w:tcPr>
          <w:p>
            <w:pPr>
              <w:pStyle w:val="64"/>
              <w:spacing w:before="152"/>
              <w:ind w:left="250"/>
              <w:rPr>
                <w:rFonts w:ascii="宋体" w:hAnsi="宋体" w:cs="宋体"/>
                <w:color w:val="auto"/>
                <w:kern w:val="0"/>
                <w:sz w:val="24"/>
                <w:szCs w:val="24"/>
                <w:highlight w:val="none"/>
              </w:rPr>
            </w:pPr>
            <w:r>
              <w:rPr>
                <w:rFonts w:ascii="宋体" w:hAnsi="宋体" w:cs="宋体"/>
                <w:color w:val="auto"/>
                <w:kern w:val="0"/>
                <w:sz w:val="24"/>
                <w:szCs w:val="24"/>
                <w:highlight w:val="none"/>
              </w:rPr>
              <w:t>数量</w:t>
            </w:r>
          </w:p>
        </w:tc>
        <w:tc>
          <w:tcPr>
            <w:tcW w:w="1779" w:type="dxa"/>
            <w:tcBorders>
              <w:top w:val="single" w:color="000000" w:sz="8" w:space="0"/>
              <w:left w:val="single" w:color="000000" w:sz="8" w:space="0"/>
              <w:bottom w:val="single" w:color="000000" w:sz="8" w:space="0"/>
              <w:right w:val="single" w:color="000000" w:sz="8" w:space="0"/>
            </w:tcBorders>
          </w:tcPr>
          <w:p>
            <w:pPr>
              <w:pStyle w:val="64"/>
              <w:spacing w:before="27" w:line="312" w:lineRule="exact"/>
              <w:ind w:left="399" w:right="278" w:hanging="120"/>
              <w:rPr>
                <w:rFonts w:ascii="宋体" w:hAnsi="宋体" w:cs="宋体"/>
                <w:color w:val="auto"/>
                <w:kern w:val="0"/>
                <w:sz w:val="24"/>
                <w:szCs w:val="24"/>
                <w:highlight w:val="none"/>
              </w:rPr>
            </w:pPr>
            <w:r>
              <w:rPr>
                <w:rFonts w:ascii="宋体" w:hAnsi="宋体" w:cs="宋体"/>
                <w:color w:val="auto"/>
                <w:kern w:val="0"/>
                <w:sz w:val="24"/>
                <w:szCs w:val="24"/>
                <w:highlight w:val="none"/>
              </w:rPr>
              <w:t>与合同约定 是否一致</w:t>
            </w: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507" w:hRule="exact"/>
        </w:trPr>
        <w:tc>
          <w:tcPr>
            <w:tcW w:w="178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553"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3119"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998"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1779" w:type="dxa"/>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661" w:hRule="exact"/>
        </w:trPr>
        <w:tc>
          <w:tcPr>
            <w:tcW w:w="1783" w:type="dxa"/>
            <w:tcBorders>
              <w:top w:val="single" w:color="000000" w:sz="8" w:space="0"/>
              <w:left w:val="single" w:color="000000" w:sz="8" w:space="0"/>
              <w:bottom w:val="single" w:color="000000" w:sz="8" w:space="0"/>
              <w:right w:val="single" w:color="000000" w:sz="8" w:space="0"/>
            </w:tcBorders>
          </w:tcPr>
          <w:p>
            <w:pPr>
              <w:pStyle w:val="64"/>
              <w:spacing w:before="127"/>
              <w:ind w:left="-1"/>
              <w:rPr>
                <w:rFonts w:ascii="宋体" w:hAnsi="宋体" w:cs="宋体"/>
                <w:color w:val="auto"/>
                <w:kern w:val="0"/>
                <w:sz w:val="24"/>
                <w:szCs w:val="24"/>
                <w:highlight w:val="none"/>
              </w:rPr>
            </w:pPr>
            <w:r>
              <w:rPr>
                <w:rFonts w:ascii="宋体" w:hAnsi="宋体" w:cs="宋体"/>
                <w:color w:val="auto"/>
                <w:kern w:val="0"/>
                <w:sz w:val="24"/>
                <w:szCs w:val="24"/>
                <w:highlight w:val="none"/>
              </w:rPr>
              <w:t>实际供货日期</w:t>
            </w:r>
          </w:p>
        </w:tc>
        <w:tc>
          <w:tcPr>
            <w:tcW w:w="3132"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c>
          <w:tcPr>
            <w:tcW w:w="2200" w:type="dxa"/>
            <w:gridSpan w:val="2"/>
            <w:tcBorders>
              <w:top w:val="single" w:color="000000" w:sz="8" w:space="0"/>
              <w:left w:val="single" w:color="000000" w:sz="8" w:space="0"/>
              <w:bottom w:val="single" w:color="000000" w:sz="8" w:space="0"/>
              <w:right w:val="single" w:color="000000" w:sz="8" w:space="0"/>
            </w:tcBorders>
          </w:tcPr>
          <w:p>
            <w:pPr>
              <w:pStyle w:val="64"/>
              <w:spacing w:before="127"/>
              <w:ind w:left="215"/>
              <w:rPr>
                <w:rFonts w:ascii="宋体" w:hAnsi="宋体" w:cs="宋体"/>
                <w:color w:val="auto"/>
                <w:kern w:val="0"/>
                <w:sz w:val="24"/>
                <w:szCs w:val="24"/>
                <w:highlight w:val="none"/>
              </w:rPr>
            </w:pPr>
            <w:r>
              <w:rPr>
                <w:rFonts w:ascii="宋体" w:hAnsi="宋体" w:cs="宋体"/>
                <w:color w:val="auto"/>
                <w:kern w:val="0"/>
                <w:sz w:val="24"/>
                <w:szCs w:val="24"/>
                <w:highlight w:val="none"/>
              </w:rPr>
              <w:t>合同交货验收日期</w:t>
            </w:r>
          </w:p>
        </w:tc>
        <w:tc>
          <w:tcPr>
            <w:tcW w:w="2117" w:type="dxa"/>
            <w:gridSpan w:val="2"/>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713" w:hRule="exact"/>
        </w:trPr>
        <w:tc>
          <w:tcPr>
            <w:tcW w:w="1783" w:type="dxa"/>
            <w:tcBorders>
              <w:top w:val="single" w:color="000000" w:sz="8" w:space="0"/>
              <w:left w:val="single" w:color="000000" w:sz="8" w:space="0"/>
              <w:bottom w:val="single" w:color="000000" w:sz="8" w:space="0"/>
              <w:right w:val="single" w:color="000000" w:sz="8" w:space="0"/>
            </w:tcBorders>
          </w:tcPr>
          <w:p>
            <w:pPr>
              <w:pStyle w:val="64"/>
              <w:spacing w:before="152"/>
              <w:ind w:left="97"/>
              <w:rPr>
                <w:rFonts w:ascii="宋体" w:hAnsi="宋体" w:cs="宋体"/>
                <w:color w:val="auto"/>
                <w:kern w:val="0"/>
                <w:sz w:val="24"/>
                <w:szCs w:val="24"/>
                <w:highlight w:val="none"/>
              </w:rPr>
            </w:pPr>
            <w:r>
              <w:rPr>
                <w:rFonts w:ascii="宋体" w:hAnsi="宋体" w:cs="宋体"/>
                <w:color w:val="auto"/>
                <w:kern w:val="0"/>
                <w:sz w:val="24"/>
                <w:szCs w:val="24"/>
                <w:highlight w:val="none"/>
              </w:rPr>
              <w:t>验收具体内容</w:t>
            </w:r>
          </w:p>
        </w:tc>
        <w:tc>
          <w:tcPr>
            <w:tcW w:w="7449" w:type="dxa"/>
            <w:gridSpan w:val="6"/>
            <w:tcBorders>
              <w:top w:val="single" w:color="000000" w:sz="8" w:space="0"/>
              <w:left w:val="single" w:color="000000" w:sz="8" w:space="0"/>
              <w:bottom w:val="single" w:color="000000" w:sz="8" w:space="0"/>
              <w:right w:val="single" w:color="000000" w:sz="8" w:space="0"/>
            </w:tcBorders>
          </w:tcPr>
          <w:p>
            <w:pPr>
              <w:pStyle w:val="64"/>
              <w:spacing w:before="152"/>
              <w:ind w:left="158"/>
              <w:rPr>
                <w:rFonts w:ascii="宋体" w:hAnsi="宋体" w:cs="宋体"/>
                <w:color w:val="auto"/>
                <w:kern w:val="0"/>
                <w:sz w:val="24"/>
                <w:szCs w:val="24"/>
                <w:highlight w:val="none"/>
              </w:rPr>
            </w:pPr>
            <w:r>
              <w:rPr>
                <w:rFonts w:ascii="宋体" w:hAnsi="宋体" w:cs="宋体"/>
                <w:color w:val="auto"/>
                <w:kern w:val="0"/>
                <w:sz w:val="24"/>
                <w:szCs w:val="24"/>
                <w:highlight w:val="none"/>
              </w:rPr>
              <w:t>(按磋商采购文件、投标文件及验收方案等。可附件)</w:t>
            </w:r>
          </w:p>
        </w:tc>
      </w:tr>
      <w:tr>
        <w:tblPrEx>
          <w:tblCellMar>
            <w:top w:w="0" w:type="dxa"/>
            <w:left w:w="0" w:type="dxa"/>
            <w:bottom w:w="0" w:type="dxa"/>
            <w:right w:w="0" w:type="dxa"/>
          </w:tblCellMar>
        </w:tblPrEx>
        <w:trPr>
          <w:trHeight w:val="1469" w:hRule="exact"/>
        </w:trPr>
        <w:tc>
          <w:tcPr>
            <w:tcW w:w="1783" w:type="dxa"/>
            <w:tcBorders>
              <w:top w:val="single" w:color="000000" w:sz="8" w:space="0"/>
              <w:left w:val="single" w:color="000000" w:sz="8" w:space="0"/>
              <w:bottom w:val="single" w:color="000000" w:sz="8" w:space="0"/>
              <w:right w:val="single" w:color="000000" w:sz="8" w:space="0"/>
            </w:tcBorders>
          </w:tcPr>
          <w:p>
            <w:pPr>
              <w:pStyle w:val="64"/>
              <w:rPr>
                <w:rFonts w:ascii="宋体" w:hAnsi="宋体" w:cs="宋体"/>
                <w:color w:val="auto"/>
                <w:kern w:val="0"/>
                <w:sz w:val="24"/>
                <w:szCs w:val="24"/>
                <w:highlight w:val="none"/>
              </w:rPr>
            </w:pPr>
          </w:p>
          <w:p>
            <w:pPr>
              <w:pStyle w:val="64"/>
              <w:spacing w:before="8"/>
              <w:rPr>
                <w:rFonts w:ascii="宋体" w:hAnsi="宋体" w:cs="宋体"/>
                <w:color w:val="auto"/>
                <w:kern w:val="0"/>
                <w:sz w:val="16"/>
                <w:szCs w:val="16"/>
                <w:highlight w:val="none"/>
              </w:rPr>
            </w:pPr>
          </w:p>
          <w:p>
            <w:pPr>
              <w:pStyle w:val="64"/>
              <w:ind w:left="97"/>
              <w:rPr>
                <w:rFonts w:ascii="宋体" w:hAnsi="宋体" w:cs="宋体"/>
                <w:color w:val="auto"/>
                <w:kern w:val="0"/>
                <w:sz w:val="24"/>
                <w:szCs w:val="24"/>
                <w:highlight w:val="none"/>
              </w:rPr>
            </w:pPr>
            <w:r>
              <w:rPr>
                <w:rFonts w:ascii="宋体" w:hAnsi="宋体" w:cs="宋体"/>
                <w:color w:val="auto"/>
                <w:kern w:val="0"/>
                <w:sz w:val="24"/>
                <w:szCs w:val="24"/>
                <w:highlight w:val="none"/>
              </w:rPr>
              <w:t>验收小组意见</w:t>
            </w:r>
          </w:p>
        </w:tc>
        <w:tc>
          <w:tcPr>
            <w:tcW w:w="7449" w:type="dxa"/>
            <w:gridSpan w:val="6"/>
            <w:tcBorders>
              <w:top w:val="single" w:color="000000" w:sz="8" w:space="0"/>
              <w:left w:val="single" w:color="000000" w:sz="8" w:space="0"/>
              <w:bottom w:val="single" w:color="000000" w:sz="8" w:space="0"/>
              <w:right w:val="single" w:color="000000" w:sz="8" w:space="0"/>
            </w:tcBorders>
          </w:tcPr>
          <w:p>
            <w:pPr>
              <w:rPr>
                <w:color w:val="auto"/>
                <w:kern w:val="0"/>
                <w:sz w:val="20"/>
                <w:szCs w:val="20"/>
                <w:highlight w:val="none"/>
              </w:rPr>
            </w:pPr>
          </w:p>
        </w:tc>
      </w:tr>
      <w:tr>
        <w:tblPrEx>
          <w:tblCellMar>
            <w:top w:w="0" w:type="dxa"/>
            <w:left w:w="0" w:type="dxa"/>
            <w:bottom w:w="0" w:type="dxa"/>
            <w:right w:w="0" w:type="dxa"/>
          </w:tblCellMar>
        </w:tblPrEx>
        <w:trPr>
          <w:trHeight w:val="631" w:hRule="exact"/>
        </w:trPr>
        <w:tc>
          <w:tcPr>
            <w:tcW w:w="9232" w:type="dxa"/>
            <w:gridSpan w:val="7"/>
            <w:tcBorders>
              <w:top w:val="single" w:color="000000" w:sz="8" w:space="0"/>
              <w:left w:val="single" w:color="000000" w:sz="8" w:space="0"/>
              <w:bottom w:val="single" w:color="000000" w:sz="8" w:space="0"/>
              <w:right w:val="single" w:color="000000" w:sz="8" w:space="0"/>
            </w:tcBorders>
          </w:tcPr>
          <w:p>
            <w:pPr>
              <w:pStyle w:val="64"/>
              <w:spacing w:before="113"/>
              <w:ind w:left="97"/>
              <w:rPr>
                <w:rFonts w:ascii="宋体" w:hAnsi="宋体" w:cs="宋体"/>
                <w:color w:val="auto"/>
                <w:kern w:val="0"/>
                <w:sz w:val="24"/>
                <w:szCs w:val="24"/>
                <w:highlight w:val="none"/>
              </w:rPr>
            </w:pPr>
            <w:r>
              <w:rPr>
                <w:rFonts w:ascii="宋体" w:hAnsi="宋体" w:cs="宋体"/>
                <w:color w:val="auto"/>
                <w:kern w:val="0"/>
                <w:sz w:val="24"/>
                <w:szCs w:val="24"/>
                <w:highlight w:val="none"/>
              </w:rPr>
              <w:t>验收小组成员签字：</w:t>
            </w:r>
          </w:p>
        </w:tc>
      </w:tr>
      <w:tr>
        <w:tblPrEx>
          <w:tblCellMar>
            <w:top w:w="0" w:type="dxa"/>
            <w:left w:w="0" w:type="dxa"/>
            <w:bottom w:w="0" w:type="dxa"/>
            <w:right w:w="0" w:type="dxa"/>
          </w:tblCellMar>
        </w:tblPrEx>
        <w:trPr>
          <w:trHeight w:val="631" w:hRule="exact"/>
        </w:trPr>
        <w:tc>
          <w:tcPr>
            <w:tcW w:w="9232" w:type="dxa"/>
            <w:gridSpan w:val="7"/>
            <w:tcBorders>
              <w:top w:val="single" w:color="000000" w:sz="8" w:space="0"/>
              <w:left w:val="single" w:color="000000" w:sz="8" w:space="0"/>
              <w:bottom w:val="single" w:color="000000" w:sz="8" w:space="0"/>
              <w:right w:val="single" w:color="000000" w:sz="8" w:space="0"/>
            </w:tcBorders>
          </w:tcPr>
          <w:p>
            <w:pPr>
              <w:pStyle w:val="64"/>
              <w:spacing w:before="111"/>
              <w:ind w:left="97"/>
              <w:rPr>
                <w:rFonts w:ascii="宋体" w:hAnsi="宋体" w:cs="宋体"/>
                <w:color w:val="auto"/>
                <w:kern w:val="0"/>
                <w:sz w:val="24"/>
                <w:szCs w:val="24"/>
                <w:highlight w:val="none"/>
              </w:rPr>
            </w:pPr>
            <w:r>
              <w:rPr>
                <w:rFonts w:ascii="宋体" w:hAnsi="宋体" w:cs="宋体"/>
                <w:color w:val="auto"/>
                <w:kern w:val="0"/>
                <w:sz w:val="24"/>
                <w:szCs w:val="24"/>
                <w:highlight w:val="none"/>
              </w:rPr>
              <w:t>参与验收其他或监督人员签字：</w:t>
            </w:r>
          </w:p>
        </w:tc>
      </w:tr>
      <w:tr>
        <w:tblPrEx>
          <w:tblCellMar>
            <w:top w:w="0" w:type="dxa"/>
            <w:left w:w="0" w:type="dxa"/>
            <w:bottom w:w="0" w:type="dxa"/>
            <w:right w:w="0" w:type="dxa"/>
          </w:tblCellMar>
        </w:tblPrEx>
        <w:trPr>
          <w:trHeight w:val="1133" w:hRule="exact"/>
        </w:trPr>
        <w:tc>
          <w:tcPr>
            <w:tcW w:w="4915" w:type="dxa"/>
            <w:gridSpan w:val="3"/>
            <w:tcBorders>
              <w:top w:val="single" w:color="000000" w:sz="8" w:space="0"/>
              <w:left w:val="single" w:color="000000" w:sz="8" w:space="0"/>
              <w:bottom w:val="single" w:color="000000" w:sz="8" w:space="0"/>
              <w:right w:val="single" w:color="000000" w:sz="8" w:space="0"/>
            </w:tcBorders>
          </w:tcPr>
          <w:p>
            <w:pPr>
              <w:pStyle w:val="64"/>
              <w:tabs>
                <w:tab w:val="left" w:pos="2257"/>
              </w:tabs>
              <w:spacing w:before="198" w:line="252" w:lineRule="auto"/>
              <w:ind w:left="97" w:right="1797"/>
              <w:rPr>
                <w:rFonts w:ascii="宋体" w:hAnsi="宋体" w:cs="宋体"/>
                <w:color w:val="auto"/>
                <w:kern w:val="0"/>
                <w:sz w:val="24"/>
                <w:szCs w:val="24"/>
                <w:highlight w:val="none"/>
              </w:rPr>
            </w:pPr>
            <w:r>
              <w:rPr>
                <w:rFonts w:ascii="宋体" w:hAnsi="宋体" w:cs="宋体"/>
                <w:color w:val="auto"/>
                <w:kern w:val="0"/>
                <w:sz w:val="24"/>
                <w:szCs w:val="24"/>
                <w:highlight w:val="none"/>
              </w:rPr>
              <w:t>供应商签字或盖章： 联系方式：</w:t>
            </w:r>
            <w:r>
              <w:rPr>
                <w:rFonts w:ascii="宋体" w:hAnsi="宋体" w:cs="宋体"/>
                <w:color w:val="auto"/>
                <w:kern w:val="0"/>
                <w:sz w:val="24"/>
                <w:szCs w:val="24"/>
                <w:highlight w:val="none"/>
              </w:rPr>
              <w:tab/>
            </w:r>
            <w:r>
              <w:rPr>
                <w:rFonts w:ascii="宋体" w:hAnsi="宋体" w:cs="宋体"/>
                <w:color w:val="auto"/>
                <w:kern w:val="0"/>
                <w:sz w:val="24"/>
                <w:szCs w:val="24"/>
                <w:highlight w:val="none"/>
              </w:rPr>
              <w:t>年</w:t>
            </w:r>
            <w:r>
              <w:rPr>
                <w:rFonts w:ascii="宋体" w:hAnsi="宋体" w:cs="宋体"/>
                <w:color w:val="auto"/>
                <w:spacing w:val="-60"/>
                <w:kern w:val="0"/>
                <w:sz w:val="24"/>
                <w:szCs w:val="24"/>
                <w:highlight w:val="none"/>
              </w:rPr>
              <w:t xml:space="preserve"> </w:t>
            </w:r>
            <w:r>
              <w:rPr>
                <w:rFonts w:ascii="宋体" w:hAnsi="宋体" w:cs="宋体"/>
                <w:color w:val="auto"/>
                <w:kern w:val="0"/>
                <w:sz w:val="24"/>
                <w:szCs w:val="24"/>
                <w:highlight w:val="none"/>
              </w:rPr>
              <w:t>月</w:t>
            </w:r>
            <w:r>
              <w:rPr>
                <w:rFonts w:ascii="宋体" w:hAnsi="宋体" w:cs="宋体"/>
                <w:color w:val="auto"/>
                <w:spacing w:val="-60"/>
                <w:kern w:val="0"/>
                <w:sz w:val="24"/>
                <w:szCs w:val="24"/>
                <w:highlight w:val="none"/>
              </w:rPr>
              <w:t xml:space="preserve"> </w:t>
            </w:r>
            <w:r>
              <w:rPr>
                <w:rFonts w:ascii="宋体" w:hAnsi="宋体" w:cs="宋体"/>
                <w:color w:val="auto"/>
                <w:kern w:val="0"/>
                <w:sz w:val="24"/>
                <w:szCs w:val="24"/>
                <w:highlight w:val="none"/>
              </w:rPr>
              <w:t>日</w:t>
            </w:r>
          </w:p>
        </w:tc>
        <w:tc>
          <w:tcPr>
            <w:tcW w:w="4317" w:type="dxa"/>
            <w:gridSpan w:val="4"/>
            <w:tcBorders>
              <w:top w:val="single" w:color="000000" w:sz="8" w:space="0"/>
              <w:left w:val="single" w:color="000000" w:sz="8" w:space="0"/>
              <w:bottom w:val="single" w:color="000000" w:sz="8" w:space="0"/>
              <w:right w:val="single" w:color="000000" w:sz="8" w:space="0"/>
            </w:tcBorders>
          </w:tcPr>
          <w:p>
            <w:pPr>
              <w:pStyle w:val="64"/>
              <w:spacing w:before="198"/>
              <w:ind w:left="59"/>
              <w:rPr>
                <w:rFonts w:ascii="宋体" w:hAnsi="宋体" w:cs="宋体"/>
                <w:color w:val="auto"/>
                <w:kern w:val="0"/>
                <w:sz w:val="24"/>
                <w:szCs w:val="24"/>
                <w:highlight w:val="none"/>
              </w:rPr>
            </w:pPr>
            <w:r>
              <w:rPr>
                <w:rFonts w:ascii="宋体" w:hAnsi="宋体" w:cs="宋体"/>
                <w:color w:val="auto"/>
                <w:kern w:val="0"/>
                <w:sz w:val="24"/>
                <w:szCs w:val="24"/>
                <w:highlight w:val="none"/>
              </w:rPr>
              <w:t>采购单位盖章：</w:t>
            </w:r>
          </w:p>
          <w:p>
            <w:pPr>
              <w:pStyle w:val="64"/>
              <w:spacing w:before="17"/>
              <w:ind w:left="2118"/>
              <w:rPr>
                <w:rFonts w:ascii="宋体" w:hAnsi="宋体" w:cs="宋体"/>
                <w:color w:val="auto"/>
                <w:kern w:val="0"/>
                <w:sz w:val="24"/>
                <w:szCs w:val="24"/>
                <w:highlight w:val="none"/>
              </w:rPr>
            </w:pPr>
            <w:r>
              <w:rPr>
                <w:rFonts w:ascii="宋体" w:hAnsi="宋体" w:cs="宋体"/>
                <w:color w:val="auto"/>
                <w:kern w:val="0"/>
                <w:sz w:val="24"/>
                <w:szCs w:val="24"/>
                <w:highlight w:val="none"/>
              </w:rPr>
              <w:t>年</w:t>
            </w:r>
            <w:r>
              <w:rPr>
                <w:rFonts w:ascii="宋体" w:hAnsi="宋体" w:cs="宋体"/>
                <w:color w:val="auto"/>
                <w:spacing w:val="-60"/>
                <w:kern w:val="0"/>
                <w:sz w:val="24"/>
                <w:szCs w:val="24"/>
                <w:highlight w:val="none"/>
              </w:rPr>
              <w:t xml:space="preserve"> </w:t>
            </w:r>
            <w:r>
              <w:rPr>
                <w:rFonts w:ascii="宋体" w:hAnsi="宋体" w:cs="宋体"/>
                <w:color w:val="auto"/>
                <w:kern w:val="0"/>
                <w:sz w:val="24"/>
                <w:szCs w:val="24"/>
                <w:highlight w:val="none"/>
              </w:rPr>
              <w:t>月</w:t>
            </w:r>
            <w:r>
              <w:rPr>
                <w:rFonts w:ascii="宋体" w:hAnsi="宋体" w:cs="宋体"/>
                <w:color w:val="auto"/>
                <w:spacing w:val="-60"/>
                <w:kern w:val="0"/>
                <w:sz w:val="24"/>
                <w:szCs w:val="24"/>
                <w:highlight w:val="none"/>
              </w:rPr>
              <w:t xml:space="preserve"> </w:t>
            </w:r>
            <w:r>
              <w:rPr>
                <w:rFonts w:ascii="宋体" w:hAnsi="宋体" w:cs="宋体"/>
                <w:color w:val="auto"/>
                <w:kern w:val="0"/>
                <w:sz w:val="24"/>
                <w:szCs w:val="24"/>
                <w:highlight w:val="none"/>
              </w:rPr>
              <w:t>日</w:t>
            </w:r>
          </w:p>
        </w:tc>
      </w:tr>
    </w:tbl>
    <w:p>
      <w:pPr>
        <w:spacing w:before="20"/>
        <w:ind w:left="112"/>
        <w:rPr>
          <w:rFonts w:ascii="宋体" w:hAnsi="宋体" w:cs="宋体"/>
          <w:color w:val="auto"/>
          <w:sz w:val="18"/>
          <w:szCs w:val="18"/>
          <w:highlight w:val="none"/>
        </w:rPr>
        <w:sectPr>
          <w:pgSz w:w="11910" w:h="16840"/>
          <w:pgMar w:top="1180" w:right="820" w:bottom="1200" w:left="1020" w:header="0" w:footer="1009" w:gutter="0"/>
          <w:cols w:space="720" w:num="1"/>
        </w:sectPr>
      </w:pPr>
      <w:r>
        <w:rPr>
          <w:rFonts w:ascii="宋体" w:hAnsi="宋体" w:cs="宋体"/>
          <w:color w:val="auto"/>
          <w:sz w:val="18"/>
          <w:szCs w:val="18"/>
          <w:highlight w:val="none"/>
        </w:rPr>
        <w:t>备注：本报告单一式</w:t>
      </w:r>
      <w:r>
        <w:rPr>
          <w:rFonts w:ascii="宋体" w:hAnsi="宋体" w:cs="宋体"/>
          <w:color w:val="auto"/>
          <w:spacing w:val="-45"/>
          <w:sz w:val="18"/>
          <w:szCs w:val="18"/>
          <w:highlight w:val="none"/>
        </w:rPr>
        <w:t xml:space="preserve"> </w:t>
      </w:r>
      <w:r>
        <w:rPr>
          <w:rFonts w:ascii="宋体" w:hAnsi="宋体" w:cs="宋体"/>
          <w:color w:val="auto"/>
          <w:sz w:val="18"/>
          <w:szCs w:val="18"/>
          <w:highlight w:val="none"/>
        </w:rPr>
        <w:t>4</w:t>
      </w:r>
      <w:r>
        <w:rPr>
          <w:rFonts w:ascii="宋体" w:hAnsi="宋体" w:cs="宋体"/>
          <w:color w:val="auto"/>
          <w:spacing w:val="-46"/>
          <w:sz w:val="18"/>
          <w:szCs w:val="18"/>
          <w:highlight w:val="none"/>
        </w:rPr>
        <w:t xml:space="preserve"> </w:t>
      </w:r>
      <w:r>
        <w:rPr>
          <w:rFonts w:ascii="宋体" w:hAnsi="宋体" w:cs="宋体"/>
          <w:color w:val="auto"/>
          <w:sz w:val="18"/>
          <w:szCs w:val="18"/>
          <w:highlight w:val="none"/>
        </w:rPr>
        <w:t>份（采购单位</w:t>
      </w:r>
      <w:r>
        <w:rPr>
          <w:rFonts w:ascii="宋体" w:hAnsi="宋体" w:cs="宋体"/>
          <w:color w:val="auto"/>
          <w:spacing w:val="-45"/>
          <w:sz w:val="18"/>
          <w:szCs w:val="18"/>
          <w:highlight w:val="none"/>
        </w:rPr>
        <w:t xml:space="preserve"> </w:t>
      </w:r>
      <w:r>
        <w:rPr>
          <w:rFonts w:ascii="宋体" w:hAnsi="宋体" w:cs="宋体"/>
          <w:color w:val="auto"/>
          <w:sz w:val="18"/>
          <w:szCs w:val="18"/>
          <w:highlight w:val="none"/>
        </w:rPr>
        <w:t>1</w:t>
      </w:r>
      <w:r>
        <w:rPr>
          <w:rFonts w:ascii="宋体" w:hAnsi="宋体" w:cs="宋体"/>
          <w:color w:val="auto"/>
          <w:spacing w:val="-46"/>
          <w:sz w:val="18"/>
          <w:szCs w:val="18"/>
          <w:highlight w:val="none"/>
        </w:rPr>
        <w:t xml:space="preserve"> </w:t>
      </w:r>
      <w:r>
        <w:rPr>
          <w:rFonts w:ascii="宋体" w:hAnsi="宋体" w:cs="宋体"/>
          <w:color w:val="auto"/>
          <w:sz w:val="18"/>
          <w:szCs w:val="18"/>
          <w:highlight w:val="none"/>
        </w:rPr>
        <w:t>份、供应商</w:t>
      </w:r>
      <w:r>
        <w:rPr>
          <w:rFonts w:ascii="宋体" w:hAnsi="宋体" w:cs="宋体"/>
          <w:color w:val="auto"/>
          <w:spacing w:val="-45"/>
          <w:sz w:val="18"/>
          <w:szCs w:val="18"/>
          <w:highlight w:val="none"/>
        </w:rPr>
        <w:t xml:space="preserve"> </w:t>
      </w:r>
      <w:r>
        <w:rPr>
          <w:rFonts w:ascii="宋体" w:hAnsi="宋体" w:cs="宋体"/>
          <w:color w:val="auto"/>
          <w:sz w:val="18"/>
          <w:szCs w:val="18"/>
          <w:highlight w:val="none"/>
        </w:rPr>
        <w:t>1</w:t>
      </w:r>
      <w:r>
        <w:rPr>
          <w:rFonts w:ascii="宋体" w:hAnsi="宋体" w:cs="宋体"/>
          <w:color w:val="auto"/>
          <w:spacing w:val="-46"/>
          <w:sz w:val="18"/>
          <w:szCs w:val="18"/>
          <w:highlight w:val="none"/>
        </w:rPr>
        <w:t xml:space="preserve"> </w:t>
      </w:r>
      <w:r>
        <w:rPr>
          <w:rFonts w:ascii="宋体" w:hAnsi="宋体" w:cs="宋体"/>
          <w:color w:val="auto"/>
          <w:sz w:val="18"/>
          <w:szCs w:val="18"/>
          <w:highlight w:val="none"/>
        </w:rPr>
        <w:t>份、采购监督部门备案</w:t>
      </w:r>
      <w:r>
        <w:rPr>
          <w:rFonts w:ascii="宋体" w:hAnsi="宋体" w:cs="宋体"/>
          <w:color w:val="auto"/>
          <w:spacing w:val="-45"/>
          <w:sz w:val="18"/>
          <w:szCs w:val="18"/>
          <w:highlight w:val="none"/>
        </w:rPr>
        <w:t xml:space="preserve"> </w:t>
      </w:r>
      <w:r>
        <w:rPr>
          <w:rFonts w:ascii="宋体" w:hAnsi="宋体" w:cs="宋体"/>
          <w:color w:val="auto"/>
          <w:sz w:val="18"/>
          <w:szCs w:val="18"/>
          <w:highlight w:val="none"/>
        </w:rPr>
        <w:t>1</w:t>
      </w:r>
      <w:r>
        <w:rPr>
          <w:rFonts w:ascii="宋体" w:hAnsi="宋体" w:cs="宋体"/>
          <w:color w:val="auto"/>
          <w:spacing w:val="-46"/>
          <w:sz w:val="18"/>
          <w:szCs w:val="18"/>
          <w:highlight w:val="none"/>
        </w:rPr>
        <w:t xml:space="preserve"> </w:t>
      </w:r>
      <w:r>
        <w:rPr>
          <w:rFonts w:ascii="宋体" w:hAnsi="宋体" w:cs="宋体"/>
          <w:color w:val="auto"/>
          <w:sz w:val="18"/>
          <w:szCs w:val="18"/>
          <w:highlight w:val="none"/>
        </w:rPr>
        <w:t>份、采购代理机构</w:t>
      </w:r>
      <w:r>
        <w:rPr>
          <w:rFonts w:ascii="宋体" w:hAnsi="宋体" w:cs="宋体"/>
          <w:color w:val="auto"/>
          <w:spacing w:val="-45"/>
          <w:sz w:val="18"/>
          <w:szCs w:val="18"/>
          <w:highlight w:val="none"/>
        </w:rPr>
        <w:t xml:space="preserve"> </w:t>
      </w:r>
      <w:r>
        <w:rPr>
          <w:rFonts w:ascii="宋体" w:hAnsi="宋体" w:cs="宋体"/>
          <w:color w:val="auto"/>
          <w:sz w:val="18"/>
          <w:szCs w:val="18"/>
          <w:highlight w:val="none"/>
        </w:rPr>
        <w:t>1</w:t>
      </w:r>
      <w:r>
        <w:rPr>
          <w:rFonts w:ascii="宋体" w:hAnsi="宋体" w:cs="宋体"/>
          <w:color w:val="auto"/>
          <w:spacing w:val="-46"/>
          <w:sz w:val="18"/>
          <w:szCs w:val="18"/>
          <w:highlight w:val="none"/>
        </w:rPr>
        <w:t xml:space="preserve"> </w:t>
      </w:r>
      <w:r>
        <w:rPr>
          <w:rFonts w:ascii="宋体" w:hAnsi="宋体" w:cs="宋体"/>
          <w:color w:val="auto"/>
          <w:sz w:val="18"/>
          <w:szCs w:val="18"/>
          <w:highlight w:val="none"/>
        </w:rPr>
        <w:t>份）</w:t>
      </w:r>
      <w:r>
        <w:rPr>
          <w:rFonts w:hint="eastAsia" w:ascii="宋体" w:hAnsi="宋体" w:cs="宋体"/>
          <w:color w:val="auto"/>
          <w:sz w:val="18"/>
          <w:szCs w:val="18"/>
          <w:highlight w:val="none"/>
        </w:rPr>
        <w:t>。</w:t>
      </w:r>
    </w:p>
    <w:bookmarkEnd w:id="14"/>
    <w:bookmarkEnd w:id="15"/>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4"/>
        <w:spacing w:line="500" w:lineRule="exact"/>
        <w:ind w:left="181"/>
        <w:jc w:val="center"/>
        <w:rPr>
          <w:color w:val="auto"/>
          <w:sz w:val="44"/>
          <w:szCs w:val="44"/>
          <w:highlight w:val="none"/>
        </w:rPr>
      </w:pPr>
      <w:bookmarkStart w:id="16" w:name="_Toc30409528"/>
      <w:r>
        <w:rPr>
          <w:rFonts w:hint="eastAsia"/>
          <w:color w:val="auto"/>
          <w:sz w:val="44"/>
          <w:szCs w:val="44"/>
          <w:highlight w:val="none"/>
        </w:rPr>
        <w:t>第六章   响应文件格式</w:t>
      </w:r>
      <w:bookmarkEnd w:id="13"/>
      <w:bookmarkEnd w:id="16"/>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p>
    <w:p>
      <w:pPr>
        <w:pStyle w:val="65"/>
        <w:spacing w:line="460" w:lineRule="exact"/>
        <w:rPr>
          <w:rFonts w:hAnsi="宋体"/>
          <w:color w:val="auto"/>
          <w:sz w:val="28"/>
          <w:highlight w:val="none"/>
          <w:lang w:eastAsia="zh-CN"/>
        </w:rPr>
      </w:pPr>
      <w:r>
        <w:rPr>
          <w:rFonts w:hAnsi="宋体"/>
          <w:color w:val="auto"/>
          <w:sz w:val="28"/>
          <w:highlight w:val="none"/>
          <w:lang w:eastAsia="zh-CN"/>
        </w:rPr>
        <w:br w:type="page"/>
      </w:r>
    </w:p>
    <w:p>
      <w:pPr>
        <w:pStyle w:val="4"/>
        <w:spacing w:line="500" w:lineRule="exact"/>
        <w:ind w:left="180"/>
        <w:rPr>
          <w:b w:val="0"/>
          <w:color w:val="auto"/>
          <w:highlight w:val="none"/>
        </w:rPr>
      </w:pPr>
      <w:bookmarkStart w:id="17" w:name="_Toc30409529"/>
      <w:r>
        <w:rPr>
          <w:rFonts w:hint="eastAsia"/>
          <w:b w:val="0"/>
          <w:color w:val="auto"/>
          <w:highlight w:val="none"/>
        </w:rPr>
        <w:t>外包封封面格式：</w:t>
      </w:r>
      <w:bookmarkEnd w:id="17"/>
      <w:r>
        <w:rPr>
          <w:rFonts w:hint="eastAsia"/>
          <w:b w:val="0"/>
          <w:color w:val="auto"/>
          <w:highlight w:val="none"/>
        </w:rPr>
        <w:t xml:space="preserve"> </w:t>
      </w:r>
    </w:p>
    <w:p>
      <w:pPr>
        <w:spacing w:line="500" w:lineRule="exact"/>
        <w:jc w:val="center"/>
        <w:rPr>
          <w:rFonts w:ascii="仿宋_GB2312" w:eastAsia="仿宋_GB2312"/>
          <w:b/>
          <w:color w:val="auto"/>
          <w:sz w:val="32"/>
          <w:szCs w:val="32"/>
          <w:highlight w:val="none"/>
        </w:rPr>
      </w:pPr>
    </w:p>
    <w:p>
      <w:pPr>
        <w:spacing w:line="500" w:lineRule="exact"/>
        <w:jc w:val="center"/>
        <w:rPr>
          <w:rFonts w:ascii="仿宋_GB2312" w:eastAsia="仿宋_GB2312"/>
          <w:b/>
          <w:color w:val="auto"/>
          <w:sz w:val="32"/>
          <w:szCs w:val="32"/>
          <w:highlight w:val="none"/>
        </w:rPr>
      </w:pPr>
    </w:p>
    <w:p>
      <w:pPr>
        <w:pStyle w:val="14"/>
        <w:spacing w:line="500" w:lineRule="exact"/>
        <w:ind w:firstLine="2160" w:firstLineChars="600"/>
        <w:rPr>
          <w:color w:val="auto"/>
          <w:sz w:val="36"/>
          <w:szCs w:val="36"/>
          <w:highlight w:val="none"/>
        </w:rPr>
      </w:pPr>
      <w:r>
        <w:rPr>
          <w:rFonts w:hint="eastAsia"/>
          <w:color w:val="auto"/>
          <w:sz w:val="36"/>
          <w:szCs w:val="36"/>
          <w:highlight w:val="none"/>
        </w:rPr>
        <w:t xml:space="preserve">                      </w:t>
      </w:r>
    </w:p>
    <w:p>
      <w:pPr>
        <w:pStyle w:val="14"/>
        <w:spacing w:line="800" w:lineRule="exact"/>
        <w:jc w:val="center"/>
        <w:rPr>
          <w:color w:val="auto"/>
          <w:sz w:val="36"/>
          <w:szCs w:val="36"/>
          <w:highlight w:val="none"/>
        </w:rPr>
      </w:pPr>
    </w:p>
    <w:p>
      <w:pPr>
        <w:pStyle w:val="14"/>
        <w:spacing w:line="800" w:lineRule="exact"/>
        <w:jc w:val="center"/>
        <w:rPr>
          <w:color w:val="auto"/>
          <w:sz w:val="72"/>
          <w:szCs w:val="72"/>
          <w:highlight w:val="none"/>
        </w:rPr>
      </w:pPr>
      <w:r>
        <w:rPr>
          <w:rFonts w:hint="eastAsia"/>
          <w:color w:val="auto"/>
          <w:sz w:val="72"/>
          <w:szCs w:val="72"/>
          <w:highlight w:val="none"/>
        </w:rPr>
        <w:t>竞争性磋商响应文件</w:t>
      </w:r>
    </w:p>
    <w:p>
      <w:pPr>
        <w:pStyle w:val="14"/>
        <w:spacing w:line="500" w:lineRule="exact"/>
        <w:jc w:val="center"/>
        <w:rPr>
          <w:color w:val="auto"/>
          <w:sz w:val="36"/>
          <w:szCs w:val="36"/>
          <w:highlight w:val="none"/>
        </w:rPr>
      </w:pPr>
    </w:p>
    <w:p>
      <w:pPr>
        <w:pStyle w:val="14"/>
        <w:spacing w:line="500" w:lineRule="exact"/>
        <w:rPr>
          <w:color w:val="auto"/>
          <w:sz w:val="36"/>
          <w:szCs w:val="36"/>
          <w:highlight w:val="none"/>
        </w:rPr>
      </w:pPr>
    </w:p>
    <w:p>
      <w:pPr>
        <w:pStyle w:val="14"/>
        <w:spacing w:line="500" w:lineRule="exact"/>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pPr>
        <w:pStyle w:val="14"/>
        <w:spacing w:line="500" w:lineRule="exact"/>
        <w:rPr>
          <w:color w:val="auto"/>
          <w:sz w:val="32"/>
          <w:szCs w:val="32"/>
          <w:highlight w:val="none"/>
          <w:u w:val="single"/>
        </w:rPr>
      </w:pPr>
    </w:p>
    <w:p>
      <w:pPr>
        <w:pStyle w:val="14"/>
        <w:spacing w:line="500" w:lineRule="exact"/>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pPr>
        <w:pStyle w:val="14"/>
        <w:spacing w:line="500" w:lineRule="exact"/>
        <w:ind w:firstLine="2560" w:firstLineChars="800"/>
        <w:rPr>
          <w:color w:val="auto"/>
          <w:sz w:val="32"/>
          <w:szCs w:val="32"/>
          <w:highlight w:val="none"/>
        </w:rPr>
      </w:pPr>
      <w:r>
        <w:rPr>
          <w:rFonts w:hint="eastAsia"/>
          <w:color w:val="auto"/>
          <w:sz w:val="32"/>
          <w:szCs w:val="32"/>
          <w:highlight w:val="none"/>
        </w:rPr>
        <w:t xml:space="preserve">                </w:t>
      </w:r>
    </w:p>
    <w:p>
      <w:pPr>
        <w:pStyle w:val="14"/>
        <w:spacing w:line="500" w:lineRule="exact"/>
        <w:rPr>
          <w:color w:val="auto"/>
          <w:sz w:val="32"/>
          <w:szCs w:val="32"/>
          <w:highlight w:val="none"/>
        </w:rPr>
      </w:pPr>
      <w:r>
        <w:rPr>
          <w:rFonts w:hint="eastAsia"/>
          <w:color w:val="auto"/>
          <w:sz w:val="32"/>
          <w:szCs w:val="32"/>
          <w:highlight w:val="none"/>
        </w:rPr>
        <w:t>供应商名称：</w:t>
      </w:r>
      <w:r>
        <w:rPr>
          <w:rFonts w:hint="eastAsia"/>
          <w:color w:val="auto"/>
          <w:sz w:val="32"/>
          <w:szCs w:val="32"/>
          <w:highlight w:val="none"/>
          <w:u w:val="single"/>
        </w:rPr>
        <w:t xml:space="preserve">                   </w:t>
      </w:r>
      <w:r>
        <w:rPr>
          <w:rFonts w:hint="eastAsia"/>
          <w:color w:val="auto"/>
          <w:sz w:val="32"/>
          <w:szCs w:val="32"/>
          <w:highlight w:val="none"/>
        </w:rPr>
        <w:t xml:space="preserve">    </w:t>
      </w:r>
    </w:p>
    <w:p>
      <w:pPr>
        <w:pStyle w:val="14"/>
        <w:spacing w:line="500" w:lineRule="exact"/>
        <w:ind w:firstLine="2560" w:firstLineChars="800"/>
        <w:rPr>
          <w:color w:val="auto"/>
          <w:sz w:val="32"/>
          <w:szCs w:val="32"/>
          <w:highlight w:val="none"/>
          <w:u w:val="single"/>
        </w:rPr>
      </w:pPr>
    </w:p>
    <w:p>
      <w:pPr>
        <w:pStyle w:val="14"/>
        <w:spacing w:line="500" w:lineRule="exact"/>
        <w:rPr>
          <w:color w:val="auto"/>
          <w:sz w:val="32"/>
          <w:szCs w:val="32"/>
          <w:highlight w:val="none"/>
          <w:u w:val="single"/>
        </w:rPr>
      </w:pPr>
      <w:r>
        <w:rPr>
          <w:rFonts w:hint="eastAsia"/>
          <w:color w:val="auto"/>
          <w:sz w:val="32"/>
          <w:szCs w:val="32"/>
          <w:highlight w:val="none"/>
        </w:rPr>
        <w:t>供应商地址：</w:t>
      </w:r>
      <w:r>
        <w:rPr>
          <w:rFonts w:hint="eastAsia"/>
          <w:color w:val="auto"/>
          <w:sz w:val="32"/>
          <w:szCs w:val="32"/>
          <w:highlight w:val="none"/>
          <w:u w:val="single"/>
        </w:rPr>
        <w:t xml:space="preserve">                   </w:t>
      </w:r>
    </w:p>
    <w:p>
      <w:pPr>
        <w:pStyle w:val="14"/>
        <w:spacing w:line="500" w:lineRule="exact"/>
        <w:rPr>
          <w:color w:val="auto"/>
          <w:sz w:val="32"/>
          <w:szCs w:val="32"/>
          <w:highlight w:val="none"/>
          <w:u w:val="single"/>
        </w:rPr>
      </w:pPr>
    </w:p>
    <w:p>
      <w:pPr>
        <w:pStyle w:val="14"/>
        <w:spacing w:line="500" w:lineRule="exact"/>
        <w:rPr>
          <w:color w:val="auto"/>
          <w:sz w:val="32"/>
          <w:szCs w:val="32"/>
          <w:highlight w:val="none"/>
        </w:rPr>
      </w:pPr>
      <w:r>
        <w:rPr>
          <w:rFonts w:hint="eastAsia"/>
          <w:color w:val="auto"/>
          <w:sz w:val="32"/>
          <w:szCs w:val="32"/>
          <w:highlight w:val="none"/>
        </w:rPr>
        <w:t>邮编：</w:t>
      </w:r>
    </w:p>
    <w:p>
      <w:pPr>
        <w:pStyle w:val="14"/>
        <w:spacing w:line="500" w:lineRule="exact"/>
        <w:ind w:firstLine="2560" w:firstLineChars="800"/>
        <w:rPr>
          <w:color w:val="auto"/>
          <w:sz w:val="32"/>
          <w:szCs w:val="32"/>
          <w:highlight w:val="none"/>
          <w:u w:val="single"/>
        </w:rPr>
      </w:pPr>
    </w:p>
    <w:p>
      <w:pPr>
        <w:pStyle w:val="14"/>
        <w:spacing w:line="500" w:lineRule="exact"/>
        <w:rPr>
          <w:color w:val="auto"/>
          <w:sz w:val="32"/>
          <w:szCs w:val="32"/>
          <w:highlight w:val="none"/>
        </w:rPr>
      </w:pPr>
      <w:r>
        <w:rPr>
          <w:rFonts w:hint="eastAsia"/>
          <w:color w:val="auto"/>
          <w:sz w:val="32"/>
          <w:szCs w:val="32"/>
          <w:highlight w:val="none"/>
        </w:rPr>
        <w:t>联系电话：</w:t>
      </w:r>
    </w:p>
    <w:p>
      <w:pPr>
        <w:pStyle w:val="14"/>
        <w:spacing w:line="500" w:lineRule="exact"/>
        <w:ind w:firstLine="2560" w:firstLineChars="800"/>
        <w:rPr>
          <w:color w:val="auto"/>
          <w:sz w:val="32"/>
          <w:szCs w:val="32"/>
          <w:highlight w:val="none"/>
          <w:u w:val="single"/>
        </w:rPr>
      </w:pPr>
    </w:p>
    <w:p>
      <w:pPr>
        <w:pStyle w:val="14"/>
        <w:spacing w:line="500" w:lineRule="exact"/>
        <w:jc w:val="center"/>
        <w:rPr>
          <w:color w:val="auto"/>
          <w:sz w:val="32"/>
          <w:szCs w:val="32"/>
          <w:highlight w:val="none"/>
        </w:rPr>
      </w:pPr>
      <w:r>
        <w:rPr>
          <w:rFonts w:hint="eastAsia"/>
          <w:color w:val="auto"/>
          <w:sz w:val="32"/>
          <w:szCs w:val="32"/>
          <w:highlight w:val="none"/>
        </w:rPr>
        <w:t xml:space="preserve"> 2020  年  月   日  时  分前不能启封</w:t>
      </w:r>
    </w:p>
    <w:p>
      <w:pPr>
        <w:pStyle w:val="14"/>
        <w:tabs>
          <w:tab w:val="left" w:pos="7560"/>
          <w:tab w:val="left" w:pos="7920"/>
        </w:tabs>
        <w:spacing w:line="500" w:lineRule="exact"/>
        <w:jc w:val="center"/>
        <w:rPr>
          <w:color w:val="auto"/>
          <w:sz w:val="36"/>
          <w:szCs w:val="36"/>
          <w:highlight w:val="none"/>
        </w:rPr>
      </w:pPr>
    </w:p>
    <w:p>
      <w:pPr>
        <w:rPr>
          <w:color w:val="auto"/>
          <w:highlight w:val="none"/>
        </w:rPr>
      </w:pPr>
    </w:p>
    <w:p>
      <w:pPr>
        <w:rPr>
          <w:color w:val="auto"/>
          <w:highlight w:val="none"/>
        </w:rPr>
      </w:pPr>
      <w:r>
        <w:rPr>
          <w:color w:val="auto"/>
          <w:highlight w:val="none"/>
        </w:rPr>
        <w:br w:type="page"/>
      </w:r>
    </w:p>
    <w:p>
      <w:pPr>
        <w:pStyle w:val="4"/>
        <w:spacing w:line="500" w:lineRule="exact"/>
        <w:ind w:left="180"/>
        <w:rPr>
          <w:b w:val="0"/>
          <w:color w:val="auto"/>
          <w:highlight w:val="none"/>
        </w:rPr>
      </w:pPr>
      <w:bookmarkStart w:id="18" w:name="_Toc30409530"/>
      <w:r>
        <w:rPr>
          <w:rFonts w:hint="eastAsia"/>
          <w:b w:val="0"/>
          <w:color w:val="auto"/>
          <w:highlight w:val="none"/>
        </w:rPr>
        <w:t>1</w:t>
      </w:r>
      <w:r>
        <w:rPr>
          <w:b w:val="0"/>
          <w:color w:val="auto"/>
          <w:highlight w:val="none"/>
        </w:rPr>
        <w:t>.</w:t>
      </w:r>
      <w:r>
        <w:rPr>
          <w:rFonts w:hint="eastAsia"/>
          <w:b w:val="0"/>
          <w:color w:val="auto"/>
          <w:highlight w:val="none"/>
        </w:rPr>
        <w:t>响应文件封面格式：</w:t>
      </w:r>
      <w:bookmarkEnd w:id="18"/>
      <w:r>
        <w:rPr>
          <w:rFonts w:hint="eastAsia"/>
          <w:b w:val="0"/>
          <w:color w:val="auto"/>
          <w:highlight w:val="none"/>
        </w:rPr>
        <w:t xml:space="preserve"> </w:t>
      </w:r>
    </w:p>
    <w:p>
      <w:pPr>
        <w:spacing w:line="500" w:lineRule="exact"/>
        <w:jc w:val="center"/>
        <w:rPr>
          <w:rFonts w:ascii="仿宋_GB2312" w:eastAsia="仿宋_GB2312"/>
          <w:b/>
          <w:color w:val="auto"/>
          <w:sz w:val="32"/>
          <w:szCs w:val="32"/>
          <w:highlight w:val="none"/>
        </w:rPr>
      </w:pPr>
    </w:p>
    <w:p>
      <w:pPr>
        <w:spacing w:line="500" w:lineRule="exact"/>
        <w:jc w:val="center"/>
        <w:rPr>
          <w:rFonts w:ascii="仿宋_GB2312" w:eastAsia="仿宋_GB2312"/>
          <w:b/>
          <w:color w:val="auto"/>
          <w:sz w:val="32"/>
          <w:szCs w:val="32"/>
          <w:highlight w:val="none"/>
        </w:rPr>
      </w:pPr>
    </w:p>
    <w:p>
      <w:pPr>
        <w:pStyle w:val="14"/>
        <w:spacing w:line="500" w:lineRule="exact"/>
        <w:ind w:firstLine="2160" w:firstLineChars="600"/>
        <w:rPr>
          <w:color w:val="auto"/>
          <w:sz w:val="36"/>
          <w:szCs w:val="36"/>
          <w:highlight w:val="none"/>
        </w:rPr>
      </w:pPr>
      <w:r>
        <w:rPr>
          <w:rFonts w:hint="eastAsia"/>
          <w:color w:val="auto"/>
          <w:sz w:val="36"/>
          <w:szCs w:val="36"/>
          <w:highlight w:val="none"/>
        </w:rPr>
        <w:t xml:space="preserve">                        </w:t>
      </w:r>
      <w:r>
        <w:rPr>
          <w:rFonts w:hint="eastAsia"/>
          <w:color w:val="auto"/>
          <w:sz w:val="36"/>
          <w:szCs w:val="36"/>
          <w:highlight w:val="none"/>
          <w:u w:val="single"/>
        </w:rPr>
        <w:t xml:space="preserve"> 正/副 </w:t>
      </w:r>
      <w:r>
        <w:rPr>
          <w:rFonts w:hint="eastAsia"/>
          <w:color w:val="auto"/>
          <w:sz w:val="36"/>
          <w:szCs w:val="36"/>
          <w:highlight w:val="none"/>
        </w:rPr>
        <w:t>本</w:t>
      </w:r>
    </w:p>
    <w:p>
      <w:pPr>
        <w:pStyle w:val="14"/>
        <w:spacing w:line="500" w:lineRule="exact"/>
        <w:jc w:val="center"/>
        <w:rPr>
          <w:color w:val="auto"/>
          <w:sz w:val="36"/>
          <w:szCs w:val="36"/>
          <w:highlight w:val="none"/>
        </w:rPr>
      </w:pPr>
    </w:p>
    <w:p>
      <w:pPr>
        <w:pStyle w:val="14"/>
        <w:spacing w:line="500" w:lineRule="exact"/>
        <w:jc w:val="center"/>
        <w:rPr>
          <w:color w:val="auto"/>
          <w:sz w:val="36"/>
          <w:szCs w:val="36"/>
          <w:highlight w:val="none"/>
        </w:rPr>
      </w:pPr>
    </w:p>
    <w:p>
      <w:pPr>
        <w:pStyle w:val="14"/>
        <w:spacing w:line="500" w:lineRule="exact"/>
        <w:jc w:val="center"/>
        <w:rPr>
          <w:color w:val="auto"/>
          <w:sz w:val="36"/>
          <w:szCs w:val="36"/>
          <w:highlight w:val="none"/>
        </w:rPr>
      </w:pPr>
    </w:p>
    <w:p>
      <w:pPr>
        <w:pStyle w:val="14"/>
        <w:spacing w:line="800" w:lineRule="exact"/>
        <w:jc w:val="center"/>
        <w:rPr>
          <w:color w:val="auto"/>
          <w:sz w:val="36"/>
          <w:szCs w:val="36"/>
          <w:highlight w:val="none"/>
        </w:rPr>
      </w:pPr>
    </w:p>
    <w:p>
      <w:pPr>
        <w:pStyle w:val="14"/>
        <w:spacing w:line="800" w:lineRule="exact"/>
        <w:jc w:val="center"/>
        <w:rPr>
          <w:color w:val="auto"/>
          <w:sz w:val="72"/>
          <w:szCs w:val="72"/>
          <w:highlight w:val="none"/>
        </w:rPr>
      </w:pPr>
      <w:r>
        <w:rPr>
          <w:rFonts w:hint="eastAsia"/>
          <w:color w:val="auto"/>
          <w:sz w:val="72"/>
          <w:szCs w:val="72"/>
          <w:highlight w:val="none"/>
        </w:rPr>
        <w:t>竞争性磋商响应文件</w:t>
      </w:r>
    </w:p>
    <w:p>
      <w:pPr>
        <w:pStyle w:val="14"/>
        <w:spacing w:line="500" w:lineRule="exact"/>
        <w:jc w:val="center"/>
        <w:rPr>
          <w:color w:val="auto"/>
          <w:sz w:val="36"/>
          <w:szCs w:val="36"/>
          <w:highlight w:val="none"/>
        </w:rPr>
      </w:pPr>
      <w:r>
        <w:rPr>
          <w:rFonts w:hint="eastAsia"/>
          <w:color w:val="auto"/>
          <w:sz w:val="36"/>
          <w:szCs w:val="36"/>
          <w:highlight w:val="none"/>
        </w:rPr>
        <w:t xml:space="preserve"> （资格/报价/商务技术文件）</w:t>
      </w:r>
    </w:p>
    <w:p>
      <w:pPr>
        <w:pStyle w:val="14"/>
        <w:spacing w:line="500" w:lineRule="exact"/>
        <w:jc w:val="center"/>
        <w:rPr>
          <w:color w:val="auto"/>
          <w:sz w:val="36"/>
          <w:szCs w:val="36"/>
          <w:highlight w:val="none"/>
        </w:rPr>
      </w:pPr>
    </w:p>
    <w:p>
      <w:pPr>
        <w:pStyle w:val="14"/>
        <w:spacing w:line="500" w:lineRule="exact"/>
        <w:jc w:val="center"/>
        <w:rPr>
          <w:color w:val="auto"/>
          <w:sz w:val="36"/>
          <w:szCs w:val="36"/>
          <w:highlight w:val="none"/>
        </w:rPr>
      </w:pPr>
    </w:p>
    <w:p>
      <w:pPr>
        <w:pStyle w:val="14"/>
        <w:spacing w:line="500" w:lineRule="exact"/>
        <w:ind w:firstLine="2560" w:firstLineChars="80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pPr>
        <w:pStyle w:val="14"/>
        <w:spacing w:line="500" w:lineRule="exact"/>
        <w:ind w:firstLine="2560" w:firstLineChars="80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pPr>
        <w:pStyle w:val="14"/>
        <w:spacing w:line="500" w:lineRule="exact"/>
        <w:ind w:firstLine="2560" w:firstLineChars="800"/>
        <w:rPr>
          <w:color w:val="auto"/>
          <w:sz w:val="32"/>
          <w:szCs w:val="32"/>
          <w:highlight w:val="none"/>
        </w:rPr>
      </w:pPr>
      <w:r>
        <w:rPr>
          <w:rFonts w:hint="eastAsia"/>
          <w:color w:val="auto"/>
          <w:sz w:val="32"/>
          <w:szCs w:val="32"/>
          <w:highlight w:val="none"/>
        </w:rPr>
        <w:t xml:space="preserve">                      </w:t>
      </w:r>
    </w:p>
    <w:p>
      <w:pPr>
        <w:pStyle w:val="14"/>
        <w:spacing w:line="500" w:lineRule="exact"/>
        <w:ind w:firstLine="2560" w:firstLineChars="800"/>
        <w:rPr>
          <w:color w:val="auto"/>
          <w:sz w:val="32"/>
          <w:szCs w:val="32"/>
          <w:highlight w:val="none"/>
          <w:u w:val="single"/>
        </w:rPr>
      </w:pPr>
    </w:p>
    <w:p>
      <w:pPr>
        <w:pStyle w:val="14"/>
        <w:spacing w:line="500" w:lineRule="exact"/>
        <w:ind w:firstLine="2560" w:firstLineChars="800"/>
        <w:rPr>
          <w:color w:val="auto"/>
          <w:sz w:val="32"/>
          <w:szCs w:val="32"/>
          <w:highlight w:val="none"/>
          <w:u w:val="single"/>
        </w:rPr>
      </w:pPr>
    </w:p>
    <w:p>
      <w:pPr>
        <w:pStyle w:val="14"/>
        <w:spacing w:line="500" w:lineRule="exact"/>
        <w:ind w:firstLine="2560" w:firstLineChars="800"/>
        <w:rPr>
          <w:color w:val="auto"/>
          <w:sz w:val="32"/>
          <w:szCs w:val="32"/>
          <w:highlight w:val="none"/>
          <w:u w:val="single"/>
        </w:rPr>
      </w:pPr>
    </w:p>
    <w:p>
      <w:pPr>
        <w:pStyle w:val="14"/>
        <w:spacing w:line="500" w:lineRule="exact"/>
        <w:ind w:firstLine="800" w:firstLineChars="250"/>
        <w:rPr>
          <w:color w:val="auto"/>
          <w:sz w:val="32"/>
          <w:szCs w:val="32"/>
          <w:highlight w:val="none"/>
          <w:u w:val="single"/>
        </w:rPr>
      </w:pPr>
      <w:r>
        <w:rPr>
          <w:rFonts w:hint="eastAsia"/>
          <w:color w:val="auto"/>
          <w:sz w:val="32"/>
          <w:szCs w:val="32"/>
          <w:highlight w:val="none"/>
        </w:rPr>
        <w:t>供应商：</w:t>
      </w:r>
      <w:r>
        <w:rPr>
          <w:rFonts w:hint="eastAsia"/>
          <w:color w:val="auto"/>
          <w:sz w:val="32"/>
          <w:szCs w:val="32"/>
          <w:highlight w:val="none"/>
          <w:u w:val="single"/>
        </w:rPr>
        <w:t xml:space="preserve">                                       </w:t>
      </w:r>
    </w:p>
    <w:p>
      <w:pPr>
        <w:pStyle w:val="14"/>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pPr>
        <w:pStyle w:val="14"/>
        <w:spacing w:line="500" w:lineRule="exact"/>
        <w:ind w:firstLine="480" w:firstLineChars="150"/>
        <w:rPr>
          <w:color w:val="auto"/>
          <w:sz w:val="32"/>
          <w:szCs w:val="32"/>
          <w:highlight w:val="none"/>
        </w:rPr>
      </w:pPr>
    </w:p>
    <w:p>
      <w:pPr>
        <w:pStyle w:val="14"/>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pPr>
        <w:pStyle w:val="14"/>
        <w:tabs>
          <w:tab w:val="left" w:pos="7560"/>
          <w:tab w:val="left" w:pos="7920"/>
        </w:tabs>
        <w:spacing w:line="500" w:lineRule="exact"/>
        <w:jc w:val="center"/>
        <w:rPr>
          <w:color w:val="auto"/>
          <w:sz w:val="36"/>
          <w:szCs w:val="36"/>
          <w:highlight w:val="none"/>
        </w:rPr>
      </w:pPr>
      <w:bookmarkStart w:id="19" w:name="_Toc417029006"/>
      <w:bookmarkStart w:id="20" w:name="_Toc397585461"/>
    </w:p>
    <w:p>
      <w:pPr>
        <w:pStyle w:val="14"/>
        <w:spacing w:line="500" w:lineRule="exact"/>
        <w:rPr>
          <w:color w:val="auto"/>
          <w:sz w:val="28"/>
          <w:szCs w:val="28"/>
          <w:highlight w:val="none"/>
        </w:rPr>
      </w:pPr>
    </w:p>
    <w:p>
      <w:pPr>
        <w:pStyle w:val="57"/>
        <w:numPr>
          <w:ilvl w:val="0"/>
          <w:numId w:val="0"/>
        </w:numPr>
        <w:jc w:val="both"/>
        <w:rPr>
          <w:color w:val="auto"/>
          <w:highlight w:val="none"/>
          <w:lang w:val="zh-CN"/>
        </w:rPr>
      </w:pPr>
    </w:p>
    <w:p>
      <w:pPr>
        <w:pStyle w:val="57"/>
        <w:numPr>
          <w:ilvl w:val="0"/>
          <w:numId w:val="0"/>
        </w:numPr>
        <w:jc w:val="center"/>
        <w:rPr>
          <w:color w:val="auto"/>
          <w:highlight w:val="none"/>
        </w:rPr>
      </w:pPr>
      <w:r>
        <w:rPr>
          <w:color w:val="auto"/>
          <w:highlight w:val="none"/>
          <w:lang w:val="zh-CN"/>
        </w:rPr>
        <w:t>目</w:t>
      </w:r>
      <w:r>
        <w:rPr>
          <w:rFonts w:hint="eastAsia"/>
          <w:color w:val="auto"/>
          <w:highlight w:val="none"/>
          <w:lang w:val="zh-CN"/>
        </w:rPr>
        <w:t xml:space="preserve">   </w:t>
      </w:r>
      <w:r>
        <w:rPr>
          <w:color w:val="auto"/>
          <w:highlight w:val="none"/>
          <w:lang w:val="zh-CN"/>
        </w:rPr>
        <w:t>录</w:t>
      </w:r>
    </w:p>
    <w:p>
      <w:pPr>
        <w:spacing w:line="500" w:lineRule="exact"/>
        <w:rPr>
          <w:rFonts w:ascii="宋体" w:hAnsi="宋体"/>
          <w:color w:val="auto"/>
          <w:highlight w:val="none"/>
        </w:rPr>
      </w:pPr>
      <w:r>
        <w:rPr>
          <w:rFonts w:hint="eastAsia" w:ascii="宋体" w:hAnsi="宋体"/>
          <w:b/>
          <w:color w:val="auto"/>
          <w:szCs w:val="21"/>
          <w:highlight w:val="none"/>
        </w:rPr>
        <w:t>一、</w:t>
      </w:r>
      <w:r>
        <w:rPr>
          <w:rFonts w:hint="eastAsia" w:ascii="宋体"/>
          <w:b/>
          <w:color w:val="auto"/>
          <w:szCs w:val="21"/>
          <w:highlight w:val="none"/>
        </w:rPr>
        <w:t>资格证明文件</w:t>
      </w:r>
      <w:r>
        <w:rPr>
          <w:rFonts w:hint="eastAsia" w:ascii="宋体" w:hAnsi="宋体"/>
          <w:b/>
          <w:color w:val="auto"/>
          <w:szCs w:val="21"/>
          <w:highlight w:val="none"/>
        </w:rPr>
        <w:t xml:space="preserve"> </w:t>
      </w:r>
    </w:p>
    <w:p>
      <w:pPr>
        <w:spacing w:line="400" w:lineRule="exact"/>
        <w:ind w:firstLine="210" w:firstLineChars="100"/>
        <w:rPr>
          <w:rFonts w:ascii="宋体" w:hAnsi="宋体"/>
          <w:color w:val="auto"/>
          <w:highlight w:val="none"/>
        </w:rPr>
      </w:pPr>
      <w:r>
        <w:rPr>
          <w:rFonts w:hint="eastAsia" w:ascii="宋体" w:hAnsi="宋体"/>
          <w:color w:val="auto"/>
          <w:highlight w:val="none"/>
        </w:rPr>
        <w:t>（1）有效的营业执照</w:t>
      </w:r>
      <w:r>
        <w:rPr>
          <w:rFonts w:hint="eastAsia" w:ascii="宋体" w:hAnsi="宋体"/>
          <w:color w:val="auto"/>
          <w:szCs w:val="21"/>
          <w:highlight w:val="none"/>
        </w:rPr>
        <w:t>或事业单位法人证书复印件；</w:t>
      </w:r>
    </w:p>
    <w:p>
      <w:pPr>
        <w:spacing w:line="400" w:lineRule="exact"/>
        <w:ind w:firstLine="210" w:firstLineChars="100"/>
        <w:rPr>
          <w:rFonts w:ascii="宋体" w:hAnsi="宋体"/>
          <w:color w:val="auto"/>
          <w:highlight w:val="none"/>
        </w:rPr>
      </w:pPr>
      <w:r>
        <w:rPr>
          <w:rFonts w:hint="eastAsia" w:ascii="宋体" w:hAnsi="宋体"/>
          <w:color w:val="auto"/>
          <w:highlight w:val="none"/>
        </w:rPr>
        <w:t>（2）法定代表人身份证复印件；</w:t>
      </w:r>
    </w:p>
    <w:p>
      <w:pPr>
        <w:spacing w:line="400" w:lineRule="exact"/>
        <w:ind w:firstLine="210" w:firstLineChars="100"/>
        <w:rPr>
          <w:rFonts w:ascii="宋体" w:hAnsi="宋体"/>
          <w:color w:val="auto"/>
          <w:highlight w:val="none"/>
        </w:rPr>
      </w:pPr>
      <w:r>
        <w:rPr>
          <w:rFonts w:hint="eastAsia" w:ascii="宋体" w:hAnsi="宋体"/>
          <w:color w:val="auto"/>
          <w:highlight w:val="none"/>
        </w:rPr>
        <w:t>（3）法定代表人授权委托书和委托代理人身份证复印件（</w:t>
      </w:r>
      <w:r>
        <w:rPr>
          <w:rFonts w:hint="eastAsia" w:ascii="宋体" w:hAnsi="宋体"/>
          <w:b/>
          <w:color w:val="auto"/>
          <w:highlight w:val="none"/>
        </w:rPr>
        <w:t>委托代理时提供，格式见后）</w:t>
      </w:r>
      <w:r>
        <w:rPr>
          <w:rFonts w:hint="eastAsia" w:ascii="宋体" w:hAnsi="宋体"/>
          <w:color w:val="auto"/>
          <w:highlight w:val="none"/>
        </w:rPr>
        <w:t>；</w:t>
      </w:r>
    </w:p>
    <w:p>
      <w:pPr>
        <w:spacing w:line="400" w:lineRule="exact"/>
        <w:ind w:firstLine="210" w:firstLineChars="100"/>
        <w:rPr>
          <w:rFonts w:ascii="宋体" w:hAnsi="宋体"/>
          <w:color w:val="auto"/>
          <w:szCs w:val="21"/>
          <w:highlight w:val="none"/>
        </w:rPr>
      </w:pPr>
      <w:r>
        <w:rPr>
          <w:rFonts w:hint="eastAsia" w:ascii="宋体" w:hAnsi="宋体"/>
          <w:color w:val="auto"/>
          <w:highlight w:val="none"/>
        </w:rPr>
        <w:t>（4）</w:t>
      </w:r>
      <w:r>
        <w:rPr>
          <w:rFonts w:hint="eastAsia" w:ascii="宋体" w:hAnsi="宋体"/>
          <w:color w:val="auto"/>
          <w:szCs w:val="21"/>
          <w:highlight w:val="none"/>
        </w:rPr>
        <w:t>磋商供应商</w:t>
      </w:r>
      <w:r>
        <w:rPr>
          <w:rFonts w:hint="eastAsia" w:hAnsi="宋体"/>
          <w:color w:val="auto"/>
          <w:szCs w:val="21"/>
          <w:highlight w:val="none"/>
        </w:rPr>
        <w:t>2020年1月至2020年3月</w:t>
      </w:r>
      <w:r>
        <w:rPr>
          <w:rFonts w:hint="eastAsia" w:ascii="宋体" w:hAnsi="宋体"/>
          <w:color w:val="auto"/>
          <w:szCs w:val="21"/>
          <w:highlight w:val="none"/>
        </w:rPr>
        <w:t>依法缴纳的 “中华人民共和国税收专用完税证明”复印件或电子缴税付款凭证复印件或税务征收机关出具的依法缴纳税收证明复印件；</w:t>
      </w:r>
    </w:p>
    <w:p>
      <w:pPr>
        <w:spacing w:line="400" w:lineRule="exact"/>
        <w:ind w:firstLine="210" w:firstLineChars="100"/>
        <w:rPr>
          <w:rFonts w:ascii="宋体" w:hAnsi="宋体"/>
          <w:color w:val="auto"/>
          <w:szCs w:val="21"/>
          <w:highlight w:val="none"/>
        </w:rPr>
      </w:pPr>
      <w:r>
        <w:rPr>
          <w:rFonts w:hint="eastAsia" w:ascii="宋体" w:hAnsi="宋体"/>
          <w:color w:val="auto"/>
          <w:highlight w:val="none"/>
        </w:rPr>
        <w:t>（5）</w:t>
      </w:r>
      <w:r>
        <w:rPr>
          <w:rFonts w:hint="eastAsia" w:ascii="宋体" w:hAnsi="宋体"/>
          <w:color w:val="auto"/>
          <w:szCs w:val="21"/>
          <w:highlight w:val="none"/>
        </w:rPr>
        <w:t>磋商供应商2020年1月至2020年3月份在职在册员工依法缴纳的“社会保险基金专用收款收据”复印件或人力资源与社会保障局（社保中心或劳动监察部门）出具的依法缴纳社保证明复印件；</w:t>
      </w:r>
    </w:p>
    <w:p>
      <w:pPr>
        <w:tabs>
          <w:tab w:val="left" w:pos="987"/>
        </w:tabs>
        <w:spacing w:line="400" w:lineRule="exact"/>
        <w:ind w:firstLine="210" w:firstLineChars="100"/>
        <w:rPr>
          <w:rFonts w:ascii="宋体" w:hAnsi="宋体"/>
          <w:color w:val="auto"/>
          <w:szCs w:val="21"/>
          <w:highlight w:val="none"/>
        </w:rPr>
      </w:pPr>
      <w:r>
        <w:rPr>
          <w:rFonts w:hint="eastAsia" w:ascii="宋体" w:hAnsi="宋体"/>
          <w:color w:val="auto"/>
          <w:highlight w:val="none"/>
        </w:rPr>
        <w:t>（6）</w:t>
      </w:r>
      <w:r>
        <w:rPr>
          <w:rFonts w:hint="eastAsia"/>
          <w:color w:val="auto"/>
          <w:highlight w:val="none"/>
        </w:rPr>
        <w:t>磋商供应商2018年度经审计的财务报告复印件（对于从取得营业执照时间起到投标截止时间为止不足要求年数的企业，只需提交企业取得营业执照年份至所要求最近年份经审计的财务报告）</w:t>
      </w:r>
      <w:r>
        <w:rPr>
          <w:rFonts w:hint="eastAsia" w:ascii="宋体" w:hAnsi="宋体"/>
          <w:color w:val="auto"/>
          <w:szCs w:val="21"/>
          <w:highlight w:val="none"/>
        </w:rPr>
        <w:t xml:space="preserve">； </w:t>
      </w:r>
    </w:p>
    <w:p>
      <w:pPr>
        <w:tabs>
          <w:tab w:val="left" w:pos="987"/>
        </w:tabs>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（7）</w:t>
      </w:r>
      <w:r>
        <w:rPr>
          <w:rFonts w:hint="eastAsia" w:hAnsi="宋体"/>
          <w:color w:val="auto"/>
          <w:highlight w:val="none"/>
        </w:rPr>
        <w:t>磋商供应商在“信用中国”网站(www.creditchina.gov.cn)、中国政府采购网(www.ccgp.gov.cn)等查询结果截图复印件；</w:t>
      </w:r>
    </w:p>
    <w:p>
      <w:pPr>
        <w:spacing w:line="500" w:lineRule="exact"/>
        <w:rPr>
          <w:rFonts w:ascii="宋体" w:hAnsi="宋体"/>
          <w:b/>
          <w:color w:val="auto"/>
          <w:szCs w:val="21"/>
          <w:highlight w:val="none"/>
        </w:rPr>
      </w:pPr>
      <w:r>
        <w:rPr>
          <w:rFonts w:hint="eastAsia" w:ascii="宋体" w:hAnsi="宋体"/>
          <w:b/>
          <w:color w:val="auto"/>
          <w:szCs w:val="21"/>
          <w:highlight w:val="none"/>
        </w:rPr>
        <w:t xml:space="preserve">二、 </w:t>
      </w:r>
      <w:r>
        <w:rPr>
          <w:rFonts w:hint="eastAsia" w:ascii="宋体"/>
          <w:b/>
          <w:color w:val="auto"/>
          <w:szCs w:val="21"/>
          <w:highlight w:val="none"/>
        </w:rPr>
        <w:t>报价文件</w:t>
      </w:r>
    </w:p>
    <w:p>
      <w:pPr>
        <w:spacing w:line="500" w:lineRule="exact"/>
        <w:rPr>
          <w:rFonts w:hAnsi="宋体"/>
          <w:bCs/>
          <w:color w:val="auto"/>
          <w:szCs w:val="21"/>
          <w:highlight w:val="none"/>
        </w:rPr>
      </w:pPr>
      <w:r>
        <w:rPr>
          <w:rFonts w:hint="eastAsia" w:hAnsi="宋体"/>
          <w:bCs/>
          <w:color w:val="auto"/>
          <w:szCs w:val="21"/>
          <w:highlight w:val="none"/>
        </w:rPr>
        <w:t xml:space="preserve">（1）磋商函； </w:t>
      </w:r>
    </w:p>
    <w:p>
      <w:pPr>
        <w:spacing w:line="500" w:lineRule="exact"/>
        <w:rPr>
          <w:rFonts w:hAnsi="宋体"/>
          <w:bCs/>
          <w:color w:val="auto"/>
          <w:szCs w:val="21"/>
          <w:highlight w:val="none"/>
        </w:rPr>
      </w:pPr>
      <w:r>
        <w:rPr>
          <w:rFonts w:hint="eastAsia" w:hAnsi="宋体"/>
          <w:bCs/>
          <w:color w:val="auto"/>
          <w:szCs w:val="21"/>
          <w:highlight w:val="none"/>
        </w:rPr>
        <w:t>（2）磋商函附录；</w:t>
      </w:r>
    </w:p>
    <w:p>
      <w:pPr>
        <w:spacing w:line="500" w:lineRule="exact"/>
        <w:rPr>
          <w:rFonts w:hAnsi="宋体"/>
          <w:bCs/>
          <w:color w:val="auto"/>
          <w:szCs w:val="21"/>
          <w:highlight w:val="none"/>
        </w:rPr>
      </w:pPr>
      <w:r>
        <w:rPr>
          <w:rFonts w:hint="eastAsia" w:hAnsi="宋体"/>
          <w:bCs/>
          <w:color w:val="auto"/>
          <w:szCs w:val="21"/>
          <w:highlight w:val="none"/>
        </w:rPr>
        <w:t xml:space="preserve">（3）磋商报价明细表； </w:t>
      </w:r>
    </w:p>
    <w:p>
      <w:pPr>
        <w:spacing w:line="500" w:lineRule="exact"/>
        <w:rPr>
          <w:rFonts w:ascii="宋体" w:hAnsi="宋体"/>
          <w:color w:val="auto"/>
          <w:szCs w:val="21"/>
          <w:highlight w:val="none"/>
        </w:rPr>
      </w:pPr>
      <w:r>
        <w:rPr>
          <w:rFonts w:hint="eastAsia" w:hAnsi="宋体"/>
          <w:bCs/>
          <w:color w:val="auto"/>
          <w:szCs w:val="21"/>
          <w:highlight w:val="none"/>
        </w:rPr>
        <w:t>（4）磋商供应商针对报价需要说明的其他文件和说明（比如中小企业声明函等，如有请提供）。</w:t>
      </w:r>
    </w:p>
    <w:p>
      <w:pPr>
        <w:spacing w:line="500" w:lineRule="exact"/>
        <w:rPr>
          <w:rFonts w:ascii="宋体" w:hAnsi="宋体"/>
          <w:color w:val="auto"/>
          <w:szCs w:val="21"/>
          <w:highlight w:val="none"/>
        </w:rPr>
      </w:pPr>
      <w:r>
        <w:rPr>
          <w:rFonts w:hint="eastAsia" w:ascii="宋体" w:hAnsi="宋体"/>
          <w:b/>
          <w:color w:val="auto"/>
          <w:szCs w:val="21"/>
          <w:highlight w:val="none"/>
        </w:rPr>
        <w:t xml:space="preserve">三、商务技术文件 </w:t>
      </w:r>
    </w:p>
    <w:p>
      <w:pPr>
        <w:pStyle w:val="14"/>
        <w:spacing w:line="400" w:lineRule="exact"/>
        <w:ind w:firstLine="420" w:firstLineChars="200"/>
        <w:rPr>
          <w:rFonts w:hAnsi="宋体"/>
          <w:color w:val="auto"/>
          <w:highlight w:val="none"/>
        </w:rPr>
      </w:pPr>
      <w:r>
        <w:rPr>
          <w:rFonts w:hint="eastAsia" w:hAnsi="宋体"/>
          <w:color w:val="auto"/>
          <w:highlight w:val="none"/>
        </w:rPr>
        <w:t>（1）企业情况</w:t>
      </w:r>
    </w:p>
    <w:p>
      <w:pPr>
        <w:pStyle w:val="14"/>
        <w:spacing w:line="440" w:lineRule="exact"/>
        <w:ind w:firstLine="420" w:firstLineChars="200"/>
        <w:rPr>
          <w:rFonts w:hAnsi="宋体"/>
          <w:color w:val="auto"/>
          <w:highlight w:val="none"/>
        </w:rPr>
      </w:pPr>
      <w:r>
        <w:rPr>
          <w:rFonts w:hint="eastAsia" w:hAnsi="宋体"/>
          <w:color w:val="auto"/>
          <w:highlight w:val="none"/>
        </w:rPr>
        <w:t>（2）技术响应表</w:t>
      </w:r>
      <w:r>
        <w:rPr>
          <w:rFonts w:hint="eastAsia" w:hAnsi="宋体"/>
          <w:b/>
          <w:bCs/>
          <w:color w:val="auto"/>
          <w:highlight w:val="none"/>
        </w:rPr>
        <w:t>（必须提供）；</w:t>
      </w:r>
    </w:p>
    <w:p>
      <w:pPr>
        <w:pStyle w:val="14"/>
        <w:spacing w:line="400" w:lineRule="exact"/>
        <w:ind w:firstLine="420" w:firstLineChars="200"/>
        <w:rPr>
          <w:rFonts w:hAnsi="宋体"/>
          <w:color w:val="auto"/>
          <w:highlight w:val="none"/>
        </w:rPr>
      </w:pPr>
      <w:r>
        <w:rPr>
          <w:rFonts w:hint="eastAsia" w:hAnsi="宋体"/>
          <w:color w:val="auto"/>
          <w:highlight w:val="none"/>
        </w:rPr>
        <w:t>（3）项目实施方案（为磋商供应商完成货物供应、安装、调试等各项工作所采取管理措施、组织措施和保障措施等等，由磋商供应商自行编写）；（格式自拟）</w:t>
      </w:r>
    </w:p>
    <w:p>
      <w:pPr>
        <w:pStyle w:val="14"/>
        <w:spacing w:line="400" w:lineRule="exact"/>
        <w:ind w:firstLine="420" w:firstLineChars="200"/>
        <w:rPr>
          <w:rFonts w:hAnsi="宋体"/>
          <w:color w:val="auto"/>
          <w:highlight w:val="none"/>
        </w:rPr>
      </w:pPr>
      <w:r>
        <w:rPr>
          <w:rFonts w:hint="eastAsia" w:hAnsi="宋体"/>
          <w:color w:val="auto"/>
          <w:highlight w:val="none"/>
        </w:rPr>
        <w:t>（4）售后服务方案；（格式自拟）</w:t>
      </w:r>
    </w:p>
    <w:p>
      <w:pPr>
        <w:pStyle w:val="14"/>
        <w:spacing w:line="400" w:lineRule="exact"/>
        <w:ind w:firstLine="420" w:firstLineChars="200"/>
        <w:rPr>
          <w:rFonts w:hAnsi="宋体"/>
          <w:color w:val="auto"/>
          <w:highlight w:val="none"/>
        </w:rPr>
      </w:pPr>
      <w:r>
        <w:rPr>
          <w:rFonts w:hint="eastAsia" w:hAnsi="宋体"/>
          <w:color w:val="auto"/>
          <w:highlight w:val="none"/>
        </w:rPr>
        <w:t>（5）其它文件及资料（信誉、业绩等证明文件）。</w:t>
      </w:r>
    </w:p>
    <w:p>
      <w:pPr>
        <w:pStyle w:val="4"/>
        <w:spacing w:line="500" w:lineRule="exact"/>
        <w:jc w:val="center"/>
        <w:rPr>
          <w:rFonts w:ascii="仿宋_GB2312" w:eastAsia="仿宋_GB2312"/>
          <w:bCs w:val="0"/>
          <w:color w:val="auto"/>
          <w:highlight w:val="none"/>
        </w:rPr>
      </w:pPr>
    </w:p>
    <w:p>
      <w:pPr>
        <w:pStyle w:val="4"/>
        <w:spacing w:line="500" w:lineRule="exact"/>
        <w:jc w:val="center"/>
        <w:rPr>
          <w:rFonts w:ascii="仿宋_GB2312" w:eastAsia="仿宋_GB2312"/>
          <w:bCs w:val="0"/>
          <w:color w:val="auto"/>
          <w:highlight w:val="none"/>
        </w:rPr>
      </w:pPr>
    </w:p>
    <w:p>
      <w:pPr>
        <w:pStyle w:val="4"/>
        <w:spacing w:line="500" w:lineRule="exact"/>
        <w:jc w:val="center"/>
        <w:rPr>
          <w:rFonts w:ascii="仿宋_GB2312" w:hAnsi="仿宋_GB2312"/>
          <w:color w:val="auto"/>
          <w:sz w:val="44"/>
          <w:szCs w:val="44"/>
          <w:highlight w:val="none"/>
        </w:rPr>
      </w:pPr>
    </w:p>
    <w:p>
      <w:pPr>
        <w:pStyle w:val="4"/>
        <w:spacing w:line="500" w:lineRule="exact"/>
        <w:jc w:val="center"/>
        <w:rPr>
          <w:rFonts w:ascii="仿宋_GB2312" w:hAnsi="仿宋_GB2312"/>
          <w:color w:val="auto"/>
          <w:sz w:val="44"/>
          <w:szCs w:val="44"/>
          <w:highlight w:val="none"/>
        </w:rPr>
      </w:pPr>
      <w:bookmarkStart w:id="21" w:name="_Toc451430989"/>
      <w:bookmarkStart w:id="22" w:name="_Toc451430920"/>
      <w:bookmarkStart w:id="23" w:name="_Toc30409531"/>
      <w:r>
        <w:rPr>
          <w:rFonts w:hint="eastAsia" w:ascii="仿宋_GB2312" w:hAnsi="仿宋_GB2312"/>
          <w:color w:val="auto"/>
          <w:sz w:val="44"/>
          <w:szCs w:val="44"/>
          <w:highlight w:val="none"/>
        </w:rPr>
        <w:t>一、</w:t>
      </w:r>
      <w:bookmarkEnd w:id="19"/>
      <w:bookmarkEnd w:id="20"/>
      <w:bookmarkEnd w:id="21"/>
      <w:bookmarkEnd w:id="22"/>
      <w:r>
        <w:rPr>
          <w:rFonts w:hint="eastAsia" w:ascii="仿宋_GB2312" w:hAnsi="仿宋_GB2312"/>
          <w:color w:val="auto"/>
          <w:sz w:val="44"/>
          <w:szCs w:val="44"/>
          <w:highlight w:val="none"/>
        </w:rPr>
        <w:t>资格证明文件</w:t>
      </w:r>
      <w:bookmarkEnd w:id="23"/>
    </w:p>
    <w:p>
      <w:pPr>
        <w:pStyle w:val="4"/>
        <w:spacing w:line="500" w:lineRule="exact"/>
        <w:rPr>
          <w:rFonts w:ascii="仿宋_GB2312" w:hAnsi="仿宋_GB2312"/>
          <w:color w:val="auto"/>
          <w:highlight w:val="none"/>
        </w:rPr>
      </w:pPr>
      <w:bookmarkStart w:id="24" w:name="_Toc397585462"/>
    </w:p>
    <w:p>
      <w:pPr>
        <w:pStyle w:val="4"/>
        <w:spacing w:line="500" w:lineRule="exact"/>
        <w:jc w:val="center"/>
        <w:rPr>
          <w:rFonts w:ascii="仿宋_GB2312" w:hAnsi="仿宋_GB2312"/>
          <w:color w:val="auto"/>
          <w:highlight w:val="none"/>
        </w:rPr>
      </w:pPr>
      <w:bookmarkStart w:id="25" w:name="_Toc417029007"/>
    </w:p>
    <w:p>
      <w:pPr>
        <w:pStyle w:val="4"/>
        <w:spacing w:line="500" w:lineRule="exact"/>
        <w:jc w:val="center"/>
        <w:rPr>
          <w:rFonts w:ascii="仿宋_GB2312" w:hAnsi="仿宋_GB2312"/>
          <w:color w:val="auto"/>
          <w:highlight w:val="none"/>
        </w:rPr>
      </w:pPr>
    </w:p>
    <w:p>
      <w:pPr>
        <w:pStyle w:val="4"/>
        <w:spacing w:line="500" w:lineRule="exact"/>
        <w:jc w:val="center"/>
        <w:rPr>
          <w:rFonts w:ascii="仿宋_GB2312" w:hAnsi="仿宋_GB2312"/>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spacing w:line="500" w:lineRule="exact"/>
        <w:jc w:val="center"/>
        <w:rPr>
          <w:rFonts w:ascii="仿宋_GB2312" w:hAnsi="仿宋_GB2312"/>
          <w:color w:val="auto"/>
          <w:highlight w:val="none"/>
        </w:rPr>
      </w:pPr>
    </w:p>
    <w:bookmarkEnd w:id="24"/>
    <w:bookmarkEnd w:id="25"/>
    <w:p>
      <w:pPr>
        <w:pStyle w:val="4"/>
        <w:spacing w:line="500" w:lineRule="exact"/>
        <w:jc w:val="center"/>
        <w:rPr>
          <w:color w:val="auto"/>
          <w:highlight w:val="none"/>
        </w:rPr>
        <w:sectPr>
          <w:headerReference r:id="rId11" w:type="default"/>
          <w:pgSz w:w="11906" w:h="16838"/>
          <w:pgMar w:top="907" w:right="1469" w:bottom="907" w:left="1440" w:header="567" w:footer="624" w:gutter="0"/>
          <w:cols w:space="720" w:num="1"/>
          <w:docGrid w:linePitch="312" w:charSpace="0"/>
        </w:sectPr>
      </w:pPr>
      <w:bookmarkStart w:id="26" w:name="_Toc358477286"/>
      <w:bookmarkStart w:id="27" w:name="_Toc357157412"/>
      <w:bookmarkStart w:id="28" w:name="_Toc354479504"/>
    </w:p>
    <w:p>
      <w:pPr>
        <w:spacing w:line="440" w:lineRule="exact"/>
        <w:ind w:firstLine="210" w:firstLineChars="100"/>
        <w:rPr>
          <w:rFonts w:ascii="宋体" w:hAnsi="宋体"/>
          <w:color w:val="auto"/>
          <w:szCs w:val="21"/>
          <w:highlight w:val="none"/>
        </w:rPr>
      </w:pPr>
      <w:bookmarkStart w:id="29" w:name="_Toc451430921"/>
      <w:r>
        <w:rPr>
          <w:rFonts w:hint="eastAsia" w:ascii="宋体" w:hAnsi="宋体"/>
          <w:color w:val="auto"/>
          <w:highlight w:val="none"/>
        </w:rPr>
        <w:t>（1）有效的营业执照</w:t>
      </w:r>
      <w:r>
        <w:rPr>
          <w:rFonts w:hint="eastAsia" w:ascii="宋体" w:hAnsi="宋体"/>
          <w:color w:val="auto"/>
          <w:szCs w:val="21"/>
          <w:highlight w:val="none"/>
        </w:rPr>
        <w:t>或事业单位法人证书复印件</w:t>
      </w:r>
      <w:r>
        <w:rPr>
          <w:rFonts w:hint="eastAsia" w:hAnsi="宋体"/>
          <w:b/>
          <w:color w:val="auto"/>
          <w:highlight w:val="none"/>
        </w:rPr>
        <w:t>（</w:t>
      </w:r>
      <w:r>
        <w:rPr>
          <w:rFonts w:hint="eastAsia" w:ascii="宋体" w:hAnsi="宋体"/>
          <w:b/>
          <w:color w:val="auto"/>
          <w:szCs w:val="21"/>
          <w:highlight w:val="none"/>
        </w:rPr>
        <w:t>必须提供，复印件加盖单位公章</w:t>
      </w:r>
      <w:r>
        <w:rPr>
          <w:rFonts w:hint="eastAsia" w:hAnsi="宋体"/>
          <w:b/>
          <w:color w:val="auto"/>
          <w:highlight w:val="none"/>
        </w:rPr>
        <w:t>）</w:t>
      </w:r>
      <w:r>
        <w:rPr>
          <w:rFonts w:hint="eastAsia" w:ascii="宋体" w:hAnsi="宋体"/>
          <w:color w:val="auto"/>
          <w:szCs w:val="21"/>
          <w:highlight w:val="none"/>
        </w:rPr>
        <w:t>；；</w:t>
      </w:r>
    </w:p>
    <w:p>
      <w:pPr>
        <w:spacing w:line="440" w:lineRule="exact"/>
        <w:ind w:firstLine="210" w:firstLineChars="100"/>
        <w:rPr>
          <w:rFonts w:ascii="宋体" w:hAnsi="宋体"/>
          <w:color w:val="auto"/>
          <w:highlight w:val="none"/>
        </w:rPr>
      </w:pPr>
    </w:p>
    <w:p>
      <w:pPr>
        <w:spacing w:line="440" w:lineRule="exact"/>
        <w:ind w:firstLine="210" w:firstLineChars="100"/>
        <w:rPr>
          <w:rFonts w:ascii="宋体" w:hAnsi="宋体"/>
          <w:color w:val="auto"/>
          <w:highlight w:val="none"/>
        </w:rPr>
      </w:pPr>
    </w:p>
    <w:p>
      <w:pPr>
        <w:spacing w:line="440" w:lineRule="exact"/>
        <w:ind w:firstLine="210" w:firstLineChars="100"/>
        <w:rPr>
          <w:rFonts w:ascii="宋体" w:hAnsi="宋体" w:cs="宋体"/>
          <w:color w:val="auto"/>
          <w:highlight w:val="none"/>
        </w:rPr>
      </w:pPr>
    </w:p>
    <w:p>
      <w:pPr>
        <w:spacing w:line="440" w:lineRule="exact"/>
        <w:ind w:firstLine="210" w:firstLineChars="100"/>
        <w:rPr>
          <w:rFonts w:ascii="宋体" w:hAnsi="宋体"/>
          <w:color w:val="auto"/>
          <w:highlight w:val="none"/>
        </w:rPr>
      </w:pPr>
      <w:r>
        <w:rPr>
          <w:rFonts w:hint="eastAsia" w:ascii="宋体" w:hAnsi="宋体"/>
          <w:color w:val="auto"/>
          <w:highlight w:val="none"/>
        </w:rPr>
        <w:t>（2）法定代表人身份证复印件；</w:t>
      </w:r>
    </w:p>
    <w:p>
      <w:pPr>
        <w:spacing w:line="440" w:lineRule="exact"/>
        <w:ind w:firstLine="210" w:firstLineChars="100"/>
        <w:rPr>
          <w:rFonts w:ascii="宋体" w:hAnsi="宋体"/>
          <w:color w:val="auto"/>
          <w:highlight w:val="none"/>
        </w:rPr>
      </w:pPr>
    </w:p>
    <w:p>
      <w:pPr>
        <w:spacing w:line="440" w:lineRule="exact"/>
        <w:ind w:firstLine="210" w:firstLineChars="100"/>
        <w:rPr>
          <w:rFonts w:ascii="宋体" w:hAnsi="宋体"/>
          <w:color w:val="auto"/>
          <w:highlight w:val="none"/>
        </w:rPr>
      </w:pPr>
    </w:p>
    <w:p>
      <w:pPr>
        <w:spacing w:line="440" w:lineRule="exact"/>
        <w:ind w:firstLine="210" w:firstLineChars="100"/>
        <w:rPr>
          <w:rFonts w:ascii="宋体" w:hAnsi="宋体"/>
          <w:color w:val="auto"/>
          <w:highlight w:val="none"/>
        </w:rPr>
      </w:pPr>
    </w:p>
    <w:p>
      <w:pPr>
        <w:spacing w:line="440" w:lineRule="exact"/>
        <w:ind w:firstLine="210" w:firstLineChars="100"/>
        <w:rPr>
          <w:rFonts w:ascii="宋体" w:hAnsi="宋体"/>
          <w:color w:val="auto"/>
          <w:highlight w:val="none"/>
        </w:rPr>
      </w:pPr>
      <w:r>
        <w:rPr>
          <w:rFonts w:hint="eastAsia" w:ascii="宋体" w:hAnsi="宋体"/>
          <w:color w:val="auto"/>
          <w:highlight w:val="none"/>
        </w:rPr>
        <w:t>（3）法定代表人授权委托书和委托代理人身份证复印件（</w:t>
      </w:r>
      <w:r>
        <w:rPr>
          <w:rFonts w:hint="eastAsia" w:ascii="宋体" w:hAnsi="宋体"/>
          <w:b/>
          <w:color w:val="auto"/>
          <w:highlight w:val="none"/>
        </w:rPr>
        <w:t>委托代理时提供，格式见后）；</w:t>
      </w:r>
    </w:p>
    <w:p>
      <w:pPr>
        <w:spacing w:line="500" w:lineRule="exact"/>
        <w:jc w:val="center"/>
        <w:rPr>
          <w:rFonts w:ascii="仿宋_GB2312" w:eastAsia="仿宋_GB2312"/>
          <w:b/>
          <w:color w:val="auto"/>
          <w:sz w:val="32"/>
          <w:szCs w:val="32"/>
          <w:highlight w:val="none"/>
        </w:rPr>
      </w:pPr>
    </w:p>
    <w:p>
      <w:pPr>
        <w:spacing w:line="500" w:lineRule="exact"/>
        <w:jc w:val="center"/>
        <w:rPr>
          <w:color w:val="auto"/>
          <w:highlight w:val="none"/>
        </w:rPr>
      </w:pPr>
      <w:r>
        <w:rPr>
          <w:rFonts w:hint="eastAsia" w:ascii="仿宋_GB2312" w:eastAsia="仿宋_GB2312"/>
          <w:b/>
          <w:color w:val="auto"/>
          <w:sz w:val="32"/>
          <w:szCs w:val="32"/>
          <w:highlight w:val="none"/>
        </w:rPr>
        <w:t>法定代表人授权委托书（格式）</w:t>
      </w:r>
    </w:p>
    <w:p>
      <w:pPr>
        <w:spacing w:line="500" w:lineRule="exact"/>
        <w:rPr>
          <w:rFonts w:ascii="宋体"/>
          <w:color w:val="auto"/>
          <w:szCs w:val="21"/>
          <w:highlight w:val="none"/>
          <w:u w:val="single"/>
        </w:rPr>
      </w:pPr>
    </w:p>
    <w:p>
      <w:pPr>
        <w:spacing w:line="500" w:lineRule="exact"/>
        <w:ind w:firstLine="105" w:firstLineChars="50"/>
        <w:rPr>
          <w:rFonts w:ascii="宋体"/>
          <w:color w:val="auto"/>
          <w:szCs w:val="21"/>
          <w:highlight w:val="none"/>
          <w:u w:val="single"/>
        </w:rPr>
      </w:pPr>
      <w:r>
        <w:rPr>
          <w:rFonts w:hint="eastAsia" w:ascii="宋体"/>
          <w:color w:val="auto"/>
          <w:szCs w:val="21"/>
          <w:highlight w:val="none"/>
          <w:u w:val="single"/>
        </w:rPr>
        <w:t xml:space="preserve">（采购人名称）：         </w:t>
      </w:r>
    </w:p>
    <w:p>
      <w:pPr>
        <w:spacing w:line="500" w:lineRule="exact"/>
        <w:ind w:firstLine="420" w:firstLineChars="200"/>
        <w:rPr>
          <w:rFonts w:ascii="宋体"/>
          <w:color w:val="auto"/>
          <w:szCs w:val="21"/>
          <w:highlight w:val="none"/>
        </w:rPr>
      </w:pPr>
      <w:r>
        <w:rPr>
          <w:rFonts w:hint="eastAsia" w:ascii="宋体"/>
          <w:color w:val="auto"/>
          <w:szCs w:val="21"/>
          <w:highlight w:val="none"/>
        </w:rPr>
        <w:t>兹授权</w:t>
      </w:r>
      <w:r>
        <w:rPr>
          <w:rFonts w:hint="eastAsia" w:ascii="宋体"/>
          <w:color w:val="auto"/>
          <w:szCs w:val="21"/>
          <w:highlight w:val="none"/>
          <w:u w:val="single"/>
        </w:rPr>
        <w:t xml:space="preserve">          </w:t>
      </w:r>
      <w:r>
        <w:rPr>
          <w:rFonts w:hint="eastAsia" w:ascii="宋体"/>
          <w:color w:val="auto"/>
          <w:szCs w:val="21"/>
          <w:highlight w:val="none"/>
        </w:rPr>
        <w:t>同志为我公司参加贵单位组织的</w:t>
      </w:r>
      <w:r>
        <w:rPr>
          <w:rFonts w:hint="eastAsia" w:ascii="宋体"/>
          <w:color w:val="auto"/>
          <w:szCs w:val="21"/>
          <w:highlight w:val="none"/>
          <w:u w:val="single"/>
        </w:rPr>
        <w:t xml:space="preserve">   （项目名称、项目编号）竞争性磋商 </w:t>
      </w:r>
      <w:r>
        <w:rPr>
          <w:rFonts w:hint="eastAsia" w:ascii="宋体"/>
          <w:color w:val="auto"/>
          <w:szCs w:val="21"/>
          <w:highlight w:val="none"/>
        </w:rPr>
        <w:t>采购活动的竞标代表人，全权代表我公司处理在该项目活动中的一切事宜。代理期限从</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日起至</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 xml:space="preserve">日止。 </w:t>
      </w:r>
    </w:p>
    <w:p>
      <w:pPr>
        <w:spacing w:line="500" w:lineRule="exact"/>
        <w:rPr>
          <w:rFonts w:ascii="宋体"/>
          <w:color w:val="auto"/>
          <w:szCs w:val="21"/>
          <w:highlight w:val="none"/>
        </w:rPr>
      </w:pPr>
    </w:p>
    <w:p>
      <w:pPr>
        <w:spacing w:line="500" w:lineRule="exact"/>
        <w:ind w:firstLine="4410" w:firstLineChars="2100"/>
        <w:rPr>
          <w:rFonts w:ascii="宋体"/>
          <w:color w:val="auto"/>
          <w:szCs w:val="21"/>
          <w:highlight w:val="none"/>
        </w:rPr>
      </w:pPr>
      <w:r>
        <w:rPr>
          <w:rFonts w:hint="eastAsia" w:ascii="宋体"/>
          <w:color w:val="auto"/>
          <w:szCs w:val="21"/>
          <w:highlight w:val="none"/>
        </w:rPr>
        <w:t>授权单位（签章）：</w:t>
      </w:r>
      <w:r>
        <w:rPr>
          <w:rFonts w:hint="eastAsia" w:ascii="宋体"/>
          <w:color w:val="auto"/>
          <w:szCs w:val="21"/>
          <w:highlight w:val="none"/>
          <w:u w:val="single"/>
        </w:rPr>
        <w:t xml:space="preserve">                   </w:t>
      </w:r>
    </w:p>
    <w:p>
      <w:pPr>
        <w:spacing w:line="500" w:lineRule="exact"/>
        <w:ind w:firstLine="4410" w:firstLineChars="2100"/>
        <w:rPr>
          <w:rFonts w:ascii="宋体"/>
          <w:color w:val="auto"/>
          <w:szCs w:val="21"/>
          <w:highlight w:val="none"/>
        </w:rPr>
      </w:pPr>
      <w:r>
        <w:rPr>
          <w:rFonts w:hint="eastAsia" w:ascii="宋体"/>
          <w:color w:val="auto"/>
          <w:szCs w:val="21"/>
          <w:highlight w:val="none"/>
        </w:rPr>
        <w:t>法定代表人（签字或盖章）：</w:t>
      </w:r>
      <w:r>
        <w:rPr>
          <w:rFonts w:hint="eastAsia" w:ascii="宋体"/>
          <w:color w:val="auto"/>
          <w:szCs w:val="21"/>
          <w:highlight w:val="none"/>
          <w:u w:val="single"/>
        </w:rPr>
        <w:t xml:space="preserve">           </w:t>
      </w:r>
    </w:p>
    <w:p>
      <w:pPr>
        <w:spacing w:line="500" w:lineRule="exact"/>
        <w:ind w:firstLine="4410" w:firstLineChars="2100"/>
        <w:rPr>
          <w:rFonts w:ascii="宋体"/>
          <w:color w:val="auto"/>
          <w:szCs w:val="21"/>
          <w:highlight w:val="none"/>
        </w:rPr>
      </w:pPr>
      <w:r>
        <w:rPr>
          <w:rFonts w:hint="eastAsia" w:ascii="宋体"/>
          <w:color w:val="auto"/>
          <w:szCs w:val="21"/>
          <w:highlight w:val="none"/>
        </w:rPr>
        <w:t>签发日期：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adjustRightInd w:val="0"/>
        <w:snapToGrid w:val="0"/>
        <w:spacing w:line="500" w:lineRule="exact"/>
        <w:ind w:firstLine="420" w:firstLineChars="200"/>
        <w:rPr>
          <w:rFonts w:ascii="宋体"/>
          <w:color w:val="auto"/>
          <w:szCs w:val="21"/>
          <w:highlight w:val="none"/>
        </w:rPr>
      </w:pPr>
    </w:p>
    <w:p>
      <w:pPr>
        <w:adjustRightInd w:val="0"/>
        <w:snapToGrid w:val="0"/>
        <w:spacing w:line="500" w:lineRule="exact"/>
        <w:ind w:firstLine="420" w:firstLineChars="200"/>
        <w:rPr>
          <w:rFonts w:ascii="宋体"/>
          <w:color w:val="auto"/>
          <w:szCs w:val="21"/>
          <w:highlight w:val="none"/>
        </w:rPr>
      </w:pPr>
      <w:r>
        <w:rPr>
          <w:rFonts w:hint="eastAsia" w:ascii="宋体"/>
          <w:color w:val="auto"/>
          <w:szCs w:val="21"/>
          <w:highlight w:val="none"/>
        </w:rPr>
        <w:t>附：被授权人身份证（复印件）</w:t>
      </w:r>
    </w:p>
    <w:p>
      <w:pPr>
        <w:pStyle w:val="14"/>
        <w:spacing w:line="500" w:lineRule="exact"/>
        <w:rPr>
          <w:color w:val="auto"/>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pStyle w:val="14"/>
        <w:spacing w:line="500" w:lineRule="exact"/>
        <w:rPr>
          <w:rFonts w:ascii="Times New Roman"/>
          <w:b/>
          <w:color w:val="auto"/>
          <w:sz w:val="28"/>
          <w:szCs w:val="28"/>
          <w:highlight w:val="none"/>
        </w:rPr>
      </w:pPr>
    </w:p>
    <w:p>
      <w:pPr>
        <w:spacing w:line="440" w:lineRule="exact"/>
        <w:ind w:firstLine="210" w:firstLineChars="100"/>
        <w:rPr>
          <w:rFonts w:ascii="宋体" w:hAnsi="宋体"/>
          <w:color w:val="auto"/>
          <w:highlight w:val="none"/>
        </w:rPr>
      </w:pPr>
      <w:r>
        <w:rPr>
          <w:rFonts w:hint="eastAsia" w:ascii="宋体" w:hAnsi="宋体"/>
          <w:color w:val="auto"/>
          <w:szCs w:val="21"/>
          <w:highlight w:val="none"/>
        </w:rPr>
        <w:t>（4）磋商供应商</w:t>
      </w:r>
      <w:r>
        <w:rPr>
          <w:rFonts w:hint="eastAsia" w:hAnsi="宋体"/>
          <w:color w:val="auto"/>
          <w:szCs w:val="21"/>
          <w:highlight w:val="none"/>
        </w:rPr>
        <w:t>2020年1月至2020年3月</w:t>
      </w:r>
      <w:r>
        <w:rPr>
          <w:rFonts w:hint="eastAsia" w:ascii="宋体" w:hAnsi="宋体"/>
          <w:color w:val="auto"/>
          <w:szCs w:val="21"/>
          <w:highlight w:val="none"/>
        </w:rPr>
        <w:t>依法缴纳的 “中华人民共和国税收专用完税证明”复印件或电子缴税付款凭证复印件或税务征收机关出具的依法缴纳税收证明复印件</w:t>
      </w:r>
      <w:r>
        <w:rPr>
          <w:rFonts w:hint="eastAsia" w:hAnsi="宋体"/>
          <w:b/>
          <w:color w:val="auto"/>
          <w:highlight w:val="none"/>
        </w:rPr>
        <w:t>（</w:t>
      </w:r>
      <w:r>
        <w:rPr>
          <w:rFonts w:hint="eastAsia" w:ascii="宋体" w:hAnsi="宋体"/>
          <w:b/>
          <w:color w:val="auto"/>
          <w:szCs w:val="21"/>
          <w:highlight w:val="none"/>
        </w:rPr>
        <w:t>必须提供，复印件加盖单位公章</w:t>
      </w:r>
      <w:r>
        <w:rPr>
          <w:rFonts w:hint="eastAsia" w:hAnsi="宋体"/>
          <w:b/>
          <w:color w:val="auto"/>
          <w:highlight w:val="none"/>
        </w:rPr>
        <w:t>）</w:t>
      </w:r>
      <w:r>
        <w:rPr>
          <w:rFonts w:hint="eastAsia" w:ascii="宋体" w:hAnsi="宋体"/>
          <w:color w:val="auto"/>
          <w:highlight w:val="none"/>
        </w:rPr>
        <w:t>；</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（5）磋商供应商2020年1月至2020年3月份在职在册员工依法缴纳的“社会保险基金专用收款收据”复印件或人力资源与社会保障局（社保中心或劳动监察部门）出具的依法缴纳社保证明复印件</w:t>
      </w:r>
      <w:r>
        <w:rPr>
          <w:rFonts w:hint="eastAsia" w:hAnsi="宋体"/>
          <w:b/>
          <w:color w:val="auto"/>
          <w:highlight w:val="none"/>
        </w:rPr>
        <w:t>（</w:t>
      </w:r>
      <w:r>
        <w:rPr>
          <w:rFonts w:hint="eastAsia" w:ascii="宋体" w:hAnsi="宋体"/>
          <w:b/>
          <w:color w:val="auto"/>
          <w:szCs w:val="21"/>
          <w:highlight w:val="none"/>
        </w:rPr>
        <w:t>必须提供，复印件加盖单位公章</w:t>
      </w:r>
      <w:r>
        <w:rPr>
          <w:rFonts w:hint="eastAsia" w:hAnsi="宋体"/>
          <w:b/>
          <w:color w:val="auto"/>
          <w:highlight w:val="none"/>
        </w:rPr>
        <w:t>）</w:t>
      </w:r>
      <w:r>
        <w:rPr>
          <w:rFonts w:hint="eastAsia" w:ascii="宋体" w:hAnsi="宋体"/>
          <w:color w:val="auto"/>
          <w:szCs w:val="21"/>
          <w:highlight w:val="none"/>
        </w:rPr>
        <w:t>；</w:t>
      </w:r>
    </w:p>
    <w:p>
      <w:pPr>
        <w:spacing w:line="440" w:lineRule="exact"/>
        <w:ind w:firstLine="210" w:firstLineChars="100"/>
        <w:rPr>
          <w:rFonts w:ascii="宋体" w:hAnsi="宋体"/>
          <w:color w:val="auto"/>
          <w:szCs w:val="21"/>
          <w:highlight w:val="none"/>
        </w:rPr>
      </w:pPr>
    </w:p>
    <w:p>
      <w:pPr>
        <w:spacing w:line="440" w:lineRule="exact"/>
        <w:ind w:firstLine="210" w:firstLineChars="100"/>
        <w:rPr>
          <w:rFonts w:ascii="宋体" w:hAnsi="宋体"/>
          <w:color w:val="auto"/>
          <w:szCs w:val="21"/>
          <w:highlight w:val="none"/>
        </w:rPr>
      </w:pPr>
    </w:p>
    <w:p>
      <w:pPr>
        <w:spacing w:line="440" w:lineRule="exact"/>
        <w:ind w:firstLine="210" w:firstLineChars="100"/>
        <w:rPr>
          <w:rFonts w:ascii="宋体" w:hAnsi="宋体"/>
          <w:color w:val="auto"/>
          <w:szCs w:val="21"/>
          <w:highlight w:val="none"/>
        </w:rPr>
      </w:pPr>
    </w:p>
    <w:p>
      <w:pPr>
        <w:spacing w:line="440" w:lineRule="exact"/>
        <w:ind w:firstLine="210" w:firstLineChars="100"/>
        <w:rPr>
          <w:rFonts w:ascii="宋体" w:hAnsi="宋体"/>
          <w:color w:val="auto"/>
          <w:szCs w:val="21"/>
          <w:highlight w:val="none"/>
        </w:rPr>
      </w:pPr>
      <w:r>
        <w:rPr>
          <w:rFonts w:hint="eastAsia" w:ascii="宋体" w:hAnsi="宋体"/>
          <w:color w:val="auto"/>
          <w:szCs w:val="21"/>
          <w:highlight w:val="none"/>
        </w:rPr>
        <w:t>（6）</w:t>
      </w:r>
      <w:r>
        <w:rPr>
          <w:rFonts w:hint="eastAsia"/>
          <w:color w:val="auto"/>
          <w:highlight w:val="none"/>
        </w:rPr>
        <w:t>磋商供应商2018年度经审计的财务报告复印件（对于从取得营业执照时间起到投标截止时间为止不足要求年数的企业，只需提交企业取得营业执照年份至所要求最近年份经审计的财务报告）</w:t>
      </w:r>
      <w:r>
        <w:rPr>
          <w:rFonts w:hint="eastAsia" w:hAnsi="宋体"/>
          <w:b/>
          <w:color w:val="auto"/>
          <w:highlight w:val="none"/>
        </w:rPr>
        <w:t>（必须提供，</w:t>
      </w:r>
      <w:r>
        <w:rPr>
          <w:rFonts w:hint="eastAsia" w:ascii="宋体" w:hAnsi="宋体"/>
          <w:b/>
          <w:color w:val="auto"/>
          <w:szCs w:val="21"/>
          <w:highlight w:val="none"/>
        </w:rPr>
        <w:t>复印件加盖单位公章</w:t>
      </w:r>
      <w:r>
        <w:rPr>
          <w:rFonts w:hint="eastAsia" w:hAnsi="宋体"/>
          <w:b/>
          <w:color w:val="auto"/>
          <w:highlight w:val="none"/>
        </w:rPr>
        <w:t>）</w:t>
      </w:r>
      <w:r>
        <w:rPr>
          <w:rFonts w:hint="eastAsia" w:ascii="宋体" w:hAnsi="宋体"/>
          <w:color w:val="auto"/>
          <w:szCs w:val="21"/>
          <w:highlight w:val="none"/>
        </w:rPr>
        <w:t>；</w:t>
      </w:r>
    </w:p>
    <w:p>
      <w:pPr>
        <w:spacing w:line="440" w:lineRule="exact"/>
        <w:ind w:firstLine="210" w:firstLineChars="100"/>
        <w:rPr>
          <w:rFonts w:ascii="宋体" w:hAnsi="宋体"/>
          <w:color w:val="auto"/>
          <w:szCs w:val="21"/>
          <w:highlight w:val="none"/>
        </w:rPr>
      </w:pPr>
    </w:p>
    <w:p>
      <w:pPr>
        <w:spacing w:line="440" w:lineRule="exact"/>
        <w:rPr>
          <w:rFonts w:ascii="宋体" w:hAnsi="宋体"/>
          <w:color w:val="auto"/>
          <w:szCs w:val="21"/>
          <w:highlight w:val="none"/>
        </w:rPr>
      </w:pPr>
    </w:p>
    <w:p>
      <w:pPr>
        <w:pStyle w:val="14"/>
        <w:spacing w:line="440" w:lineRule="exact"/>
        <w:rPr>
          <w:rFonts w:hAnsi="宋体"/>
          <w:b/>
          <w:color w:val="auto"/>
          <w:highlight w:val="none"/>
        </w:rPr>
      </w:pPr>
    </w:p>
    <w:p>
      <w:pPr>
        <w:pStyle w:val="14"/>
        <w:spacing w:line="440" w:lineRule="exact"/>
        <w:ind w:firstLine="422" w:firstLineChars="200"/>
        <w:rPr>
          <w:rFonts w:hAnsi="宋体"/>
          <w:b/>
          <w:color w:val="auto"/>
          <w:highlight w:val="none"/>
        </w:rPr>
      </w:pPr>
    </w:p>
    <w:p>
      <w:pPr>
        <w:pStyle w:val="14"/>
        <w:spacing w:line="440" w:lineRule="exact"/>
        <w:ind w:firstLine="422" w:firstLineChars="200"/>
        <w:rPr>
          <w:rFonts w:hAnsi="宋体"/>
          <w:b/>
          <w:color w:val="auto"/>
          <w:highlight w:val="none"/>
        </w:rPr>
      </w:pPr>
    </w:p>
    <w:p>
      <w:pPr>
        <w:spacing w:line="440" w:lineRule="exact"/>
        <w:ind w:firstLine="210" w:firstLineChars="100"/>
        <w:rPr>
          <w:rFonts w:ascii="宋体" w:hAnsi="宋体"/>
          <w:color w:val="auto"/>
          <w:szCs w:val="21"/>
          <w:highlight w:val="none"/>
        </w:rPr>
      </w:pPr>
      <w:r>
        <w:rPr>
          <w:rFonts w:hint="eastAsia" w:hAnsi="宋体"/>
          <w:color w:val="auto"/>
          <w:highlight w:val="none"/>
        </w:rPr>
        <w:t>（</w:t>
      </w:r>
      <w:r>
        <w:rPr>
          <w:rFonts w:hint="eastAsia" w:hAnsi="宋体"/>
          <w:color w:val="auto"/>
          <w:highlight w:val="none"/>
          <w:lang w:val="en-US" w:eastAsia="zh-CN"/>
        </w:rPr>
        <w:t>7</w:t>
      </w:r>
      <w:r>
        <w:rPr>
          <w:rFonts w:hint="eastAsia" w:hAnsi="宋体"/>
          <w:color w:val="auto"/>
          <w:highlight w:val="none"/>
        </w:rPr>
        <w:t>）磋商供应商在“信用中国”网站(www.creditchina.gov.cn)、中国政府采购网(www.ccgp.gov.cn)等查询结果截图复印件；</w:t>
      </w:r>
      <w:r>
        <w:rPr>
          <w:rFonts w:hint="eastAsia" w:hAnsi="宋体"/>
          <w:b/>
          <w:color w:val="auto"/>
          <w:highlight w:val="none"/>
        </w:rPr>
        <w:t>（必须提供，加盖单位公章）。</w:t>
      </w:r>
    </w:p>
    <w:bookmarkEnd w:id="26"/>
    <w:bookmarkEnd w:id="27"/>
    <w:bookmarkEnd w:id="28"/>
    <w:bookmarkEnd w:id="29"/>
    <w:p>
      <w:pPr>
        <w:spacing w:line="440" w:lineRule="exact"/>
        <w:ind w:firstLine="210" w:firstLineChars="100"/>
        <w:rPr>
          <w:rFonts w:ascii="宋体" w:hAnsi="宋体"/>
          <w:color w:val="auto"/>
          <w:szCs w:val="21"/>
          <w:highlight w:val="none"/>
        </w:rPr>
      </w:pPr>
      <w:bookmarkStart w:id="30" w:name="_Toc397585463"/>
      <w:bookmarkStart w:id="31" w:name="_Toc417029008"/>
    </w:p>
    <w:p>
      <w:pPr>
        <w:rPr>
          <w:color w:val="auto"/>
          <w:highlight w:val="none"/>
        </w:rPr>
      </w:pPr>
      <w:r>
        <w:rPr>
          <w:color w:val="auto"/>
          <w:highlight w:val="none"/>
        </w:rPr>
        <w:br w:type="page"/>
      </w:r>
    </w:p>
    <w:p>
      <w:pPr>
        <w:pStyle w:val="4"/>
        <w:spacing w:line="500" w:lineRule="exact"/>
        <w:jc w:val="center"/>
        <w:rPr>
          <w:rFonts w:ascii="仿宋_GB2312" w:hAnsi="仿宋_GB2312"/>
          <w:color w:val="auto"/>
          <w:sz w:val="44"/>
          <w:szCs w:val="44"/>
          <w:highlight w:val="none"/>
        </w:rPr>
      </w:pPr>
    </w:p>
    <w:p>
      <w:pPr>
        <w:pStyle w:val="4"/>
        <w:spacing w:line="500" w:lineRule="exact"/>
        <w:jc w:val="center"/>
        <w:rPr>
          <w:rFonts w:ascii="仿宋_GB2312" w:hAnsi="仿宋_GB2312"/>
          <w:color w:val="auto"/>
          <w:sz w:val="44"/>
          <w:szCs w:val="44"/>
          <w:highlight w:val="none"/>
        </w:rPr>
      </w:pPr>
    </w:p>
    <w:p>
      <w:pPr>
        <w:pStyle w:val="4"/>
        <w:spacing w:line="500" w:lineRule="exact"/>
        <w:jc w:val="center"/>
        <w:rPr>
          <w:rFonts w:ascii="仿宋_GB2312" w:hAnsi="仿宋_GB2312"/>
          <w:color w:val="auto"/>
          <w:sz w:val="44"/>
          <w:szCs w:val="44"/>
          <w:highlight w:val="none"/>
        </w:rPr>
      </w:pPr>
    </w:p>
    <w:p>
      <w:pPr>
        <w:pStyle w:val="4"/>
        <w:spacing w:line="500" w:lineRule="exact"/>
        <w:jc w:val="center"/>
        <w:rPr>
          <w:rFonts w:ascii="仿宋_GB2312" w:hAnsi="仿宋_GB2312"/>
          <w:color w:val="auto"/>
          <w:sz w:val="44"/>
          <w:szCs w:val="44"/>
          <w:highlight w:val="none"/>
        </w:rPr>
      </w:pPr>
    </w:p>
    <w:p>
      <w:pPr>
        <w:pStyle w:val="4"/>
        <w:spacing w:line="500" w:lineRule="exact"/>
        <w:jc w:val="center"/>
        <w:rPr>
          <w:rFonts w:ascii="仿宋_GB2312" w:hAnsi="仿宋_GB2312"/>
          <w:color w:val="auto"/>
          <w:sz w:val="44"/>
          <w:szCs w:val="44"/>
          <w:highlight w:val="none"/>
        </w:rPr>
      </w:pPr>
      <w:bookmarkStart w:id="32" w:name="_Toc451430990"/>
      <w:bookmarkStart w:id="33" w:name="_Toc451430922"/>
      <w:bookmarkStart w:id="34" w:name="_Toc30409532"/>
      <w:r>
        <w:rPr>
          <w:rFonts w:hint="eastAsia" w:ascii="仿宋_GB2312" w:hAnsi="仿宋_GB2312"/>
          <w:color w:val="auto"/>
          <w:sz w:val="44"/>
          <w:szCs w:val="44"/>
          <w:highlight w:val="none"/>
        </w:rPr>
        <w:t>二、报价文件</w:t>
      </w:r>
      <w:bookmarkEnd w:id="30"/>
      <w:bookmarkEnd w:id="31"/>
      <w:bookmarkEnd w:id="32"/>
      <w:bookmarkEnd w:id="33"/>
      <w:bookmarkEnd w:id="34"/>
    </w:p>
    <w:p>
      <w:pPr>
        <w:spacing w:line="500" w:lineRule="exact"/>
        <w:jc w:val="center"/>
        <w:rPr>
          <w:rFonts w:ascii="黑体" w:eastAsia="黑体" w:cs="黑体"/>
          <w:color w:val="auto"/>
          <w:sz w:val="32"/>
          <w:szCs w:val="32"/>
          <w:highlight w:val="none"/>
        </w:rPr>
      </w:pPr>
      <w:bookmarkStart w:id="35" w:name="_Toc397585464"/>
    </w:p>
    <w:p>
      <w:pPr>
        <w:spacing w:line="500" w:lineRule="exact"/>
        <w:jc w:val="center"/>
        <w:rPr>
          <w:rFonts w:ascii="黑体" w:eastAsia="黑体" w:cs="黑体"/>
          <w:color w:val="auto"/>
          <w:sz w:val="32"/>
          <w:szCs w:val="32"/>
          <w:highlight w:val="none"/>
        </w:rPr>
      </w:pPr>
    </w:p>
    <w:p>
      <w:pPr>
        <w:spacing w:line="500" w:lineRule="exact"/>
        <w:jc w:val="center"/>
        <w:rPr>
          <w:rFonts w:ascii="黑体" w:eastAsia="黑体" w:cs="黑体"/>
          <w:color w:val="auto"/>
          <w:sz w:val="32"/>
          <w:szCs w:val="32"/>
          <w:highlight w:val="none"/>
        </w:rPr>
      </w:pPr>
    </w:p>
    <w:bookmarkEnd w:id="35"/>
    <w:p>
      <w:pPr>
        <w:spacing w:line="500" w:lineRule="exact"/>
        <w:rPr>
          <w:rFonts w:ascii="宋体"/>
          <w:b/>
          <w:color w:val="auto"/>
          <w:sz w:val="32"/>
          <w:szCs w:val="32"/>
          <w:highlight w:val="none"/>
        </w:rPr>
      </w:pPr>
    </w:p>
    <w:p>
      <w:pPr>
        <w:pageBreakBefore/>
        <w:spacing w:line="500" w:lineRule="exact"/>
        <w:rPr>
          <w:rFonts w:ascii="宋体"/>
          <w:b/>
          <w:color w:val="auto"/>
          <w:sz w:val="32"/>
          <w:szCs w:val="32"/>
          <w:highlight w:val="none"/>
        </w:rPr>
      </w:pPr>
      <w:r>
        <w:rPr>
          <w:rFonts w:hint="eastAsia" w:ascii="宋体"/>
          <w:b/>
          <w:color w:val="auto"/>
          <w:sz w:val="32"/>
          <w:szCs w:val="32"/>
          <w:highlight w:val="none"/>
        </w:rPr>
        <w:t>1.磋商函；</w:t>
      </w:r>
    </w:p>
    <w:p>
      <w:pPr>
        <w:spacing w:line="500" w:lineRule="exact"/>
        <w:rPr>
          <w:rFonts w:hAnsi="宋体"/>
          <w:bCs/>
          <w:color w:val="auto"/>
          <w:highlight w:val="none"/>
        </w:rPr>
      </w:pPr>
      <w:r>
        <w:rPr>
          <w:rFonts w:hint="eastAsia" w:ascii="宋体"/>
          <w:color w:val="auto"/>
          <w:szCs w:val="21"/>
          <w:highlight w:val="none"/>
        </w:rPr>
        <w:t xml:space="preserve">                                 磋商函（格式）</w:t>
      </w:r>
    </w:p>
    <w:p>
      <w:pPr>
        <w:spacing w:line="440" w:lineRule="exact"/>
        <w:rPr>
          <w:color w:val="auto"/>
          <w:szCs w:val="21"/>
          <w:highlight w:val="none"/>
        </w:rPr>
      </w:pPr>
      <w:r>
        <w:rPr>
          <w:rFonts w:hint="eastAsia" w:hAnsi="宋体"/>
          <w:bCs/>
          <w:color w:val="auto"/>
          <w:highlight w:val="none"/>
        </w:rPr>
        <w:t xml:space="preserve">     </w:t>
      </w:r>
      <w:r>
        <w:rPr>
          <w:rFonts w:hint="eastAsia"/>
          <w:color w:val="auto"/>
          <w:szCs w:val="21"/>
          <w:highlight w:val="none"/>
        </w:rPr>
        <w:t>致</w:t>
      </w:r>
      <w:r>
        <w:rPr>
          <w:rFonts w:hint="eastAsia"/>
          <w:color w:val="auto"/>
          <w:szCs w:val="21"/>
          <w:highlight w:val="none"/>
          <w:u w:val="single"/>
        </w:rPr>
        <w:t xml:space="preserve">    （采购代理机构名称）               </w:t>
      </w:r>
      <w:r>
        <w:rPr>
          <w:rFonts w:hint="eastAsia"/>
          <w:color w:val="auto"/>
          <w:szCs w:val="21"/>
          <w:highlight w:val="none"/>
        </w:rPr>
        <w:t>：</w:t>
      </w:r>
    </w:p>
    <w:p>
      <w:pPr>
        <w:spacing w:line="440" w:lineRule="exact"/>
        <w:ind w:firstLine="420" w:firstLineChars="200"/>
        <w:rPr>
          <w:rFonts w:ascii="宋体" w:cs="宋体"/>
          <w:color w:val="auto"/>
          <w:kern w:val="0"/>
          <w:szCs w:val="21"/>
          <w:highlight w:val="none"/>
        </w:rPr>
      </w:pPr>
      <w:r>
        <w:rPr>
          <w:rFonts w:ascii="宋体" w:cs="宋体"/>
          <w:color w:val="auto"/>
          <w:kern w:val="0"/>
          <w:szCs w:val="21"/>
          <w:highlight w:val="none"/>
        </w:rPr>
        <w:t>1.</w:t>
      </w:r>
      <w:r>
        <w:rPr>
          <w:rFonts w:hint="eastAsia" w:ascii="宋体" w:cs="宋体"/>
          <w:color w:val="auto"/>
          <w:kern w:val="0"/>
          <w:szCs w:val="21"/>
          <w:highlight w:val="none"/>
        </w:rPr>
        <w:t>根据你方采购项目编号为</w:t>
      </w:r>
      <w:r>
        <w:rPr>
          <w:rFonts w:hint="eastAsia" w:ascii="宋体" w:cs="宋体"/>
          <w:color w:val="auto"/>
          <w:kern w:val="0"/>
          <w:szCs w:val="21"/>
          <w:highlight w:val="none"/>
          <w:u w:val="single"/>
        </w:rPr>
        <w:t xml:space="preserve">（采购编号）  </w:t>
      </w:r>
      <w:r>
        <w:rPr>
          <w:rFonts w:ascii="宋体" w:cs="宋体"/>
          <w:color w:val="auto"/>
          <w:kern w:val="0"/>
          <w:szCs w:val="21"/>
          <w:highlight w:val="none"/>
          <w:u w:val="single"/>
        </w:rPr>
        <w:t xml:space="preserve"> </w:t>
      </w:r>
      <w:r>
        <w:rPr>
          <w:rFonts w:hint="eastAsia" w:ascii="宋体" w:cs="宋体"/>
          <w:color w:val="auto"/>
          <w:kern w:val="0"/>
          <w:szCs w:val="21"/>
          <w:highlight w:val="none"/>
        </w:rPr>
        <w:t>的</w:t>
      </w:r>
      <w:r>
        <w:rPr>
          <w:rFonts w:hint="eastAsia" w:ascii="宋体" w:cs="宋体"/>
          <w:color w:val="auto"/>
          <w:kern w:val="0"/>
          <w:szCs w:val="21"/>
          <w:highlight w:val="none"/>
          <w:u w:val="single"/>
        </w:rPr>
        <w:t xml:space="preserve">（项目名称）   </w:t>
      </w:r>
      <w:r>
        <w:rPr>
          <w:rFonts w:hint="eastAsia" w:ascii="宋体" w:cs="宋体"/>
          <w:color w:val="auto"/>
          <w:kern w:val="0"/>
          <w:szCs w:val="21"/>
          <w:highlight w:val="none"/>
        </w:rPr>
        <w:t>竞争性磋商采购文件，遵照《中华人民共和国政府采购法》等有关规定，经踏勘项目现场和研究上述竞争性磋商采购文件的竞标须知、合同条款、技术要求及其他有关文件后，</w:t>
      </w:r>
      <w:r>
        <w:rPr>
          <w:rFonts w:hAnsi="宋体"/>
          <w:color w:val="auto"/>
          <w:kern w:val="0"/>
          <w:szCs w:val="21"/>
          <w:highlight w:val="none"/>
        </w:rPr>
        <w:t>我方的</w:t>
      </w:r>
      <w:r>
        <w:rPr>
          <w:rFonts w:hint="eastAsia" w:hAnsi="宋体"/>
          <w:color w:val="auto"/>
          <w:kern w:val="0"/>
          <w:szCs w:val="21"/>
          <w:highlight w:val="none"/>
        </w:rPr>
        <w:t>磋商报价是：</w:t>
      </w:r>
      <w:r>
        <w:rPr>
          <w:rFonts w:hint="eastAsia" w:hAnsi="宋体"/>
          <w:color w:val="auto"/>
          <w:highlight w:val="none"/>
        </w:rPr>
        <w:t>为</w:t>
      </w:r>
      <w:r>
        <w:rPr>
          <w:rFonts w:hint="eastAsia" w:hAnsi="宋体"/>
          <w:color w:val="auto"/>
          <w:highlight w:val="none"/>
          <w:u w:val="single"/>
        </w:rPr>
        <w:t xml:space="preserve"> 人民币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 xml:space="preserve"> ） </w:t>
      </w:r>
      <w:r>
        <w:rPr>
          <w:rFonts w:hint="eastAsia" w:ascii="宋体" w:cs="宋体"/>
          <w:color w:val="auto"/>
          <w:kern w:val="0"/>
          <w:szCs w:val="21"/>
          <w:highlight w:val="none"/>
        </w:rPr>
        <w:t>的磋商报价并按上述要求承包本项目的采购工作。</w:t>
      </w:r>
    </w:p>
    <w:p>
      <w:pPr>
        <w:spacing w:line="440" w:lineRule="exact"/>
        <w:ind w:firstLine="420" w:firstLineChars="200"/>
        <w:rPr>
          <w:rFonts w:ascii="宋体" w:cs="宋体"/>
          <w:color w:val="auto"/>
          <w:kern w:val="0"/>
          <w:szCs w:val="21"/>
          <w:highlight w:val="none"/>
        </w:rPr>
      </w:pPr>
      <w:r>
        <w:rPr>
          <w:rFonts w:ascii="宋体" w:cs="宋体"/>
          <w:color w:val="auto"/>
          <w:kern w:val="0"/>
          <w:szCs w:val="21"/>
          <w:highlight w:val="none"/>
        </w:rPr>
        <w:t>2.</w:t>
      </w:r>
      <w:r>
        <w:rPr>
          <w:rFonts w:hint="eastAsia" w:ascii="宋体" w:cs="宋体"/>
          <w:color w:val="auto"/>
          <w:kern w:val="0"/>
          <w:szCs w:val="21"/>
          <w:highlight w:val="none"/>
        </w:rPr>
        <w:t>我方已详细审核全部竞争性磋商采购文件，包括修改文件（如有时）及有关附件。</w:t>
      </w:r>
    </w:p>
    <w:p>
      <w:pPr>
        <w:spacing w:line="440" w:lineRule="exact"/>
        <w:ind w:firstLine="420" w:firstLineChars="200"/>
        <w:rPr>
          <w:rFonts w:ascii="宋体" w:cs="宋体"/>
          <w:color w:val="auto"/>
          <w:kern w:val="0"/>
          <w:szCs w:val="21"/>
          <w:highlight w:val="none"/>
        </w:rPr>
      </w:pPr>
      <w:r>
        <w:rPr>
          <w:rFonts w:ascii="宋体" w:cs="宋体"/>
          <w:color w:val="auto"/>
          <w:kern w:val="0"/>
          <w:szCs w:val="21"/>
          <w:highlight w:val="none"/>
        </w:rPr>
        <w:t>3.</w:t>
      </w:r>
      <w:r>
        <w:rPr>
          <w:rFonts w:hint="eastAsia" w:ascii="宋体" w:cs="宋体"/>
          <w:color w:val="auto"/>
          <w:kern w:val="0"/>
          <w:szCs w:val="21"/>
          <w:highlight w:val="none"/>
        </w:rPr>
        <w:t>我方承认竞标函附录是我方竞标函的组成部分。</w:t>
      </w:r>
    </w:p>
    <w:p>
      <w:pPr>
        <w:spacing w:line="440" w:lineRule="exact"/>
        <w:ind w:firstLine="420" w:firstLineChars="200"/>
        <w:rPr>
          <w:rFonts w:ascii="宋体" w:cs="宋体"/>
          <w:color w:val="auto"/>
          <w:kern w:val="0"/>
          <w:szCs w:val="21"/>
          <w:highlight w:val="none"/>
          <w:u w:val="single"/>
        </w:rPr>
      </w:pPr>
      <w:r>
        <w:rPr>
          <w:rFonts w:ascii="宋体" w:cs="宋体"/>
          <w:color w:val="auto"/>
          <w:kern w:val="0"/>
          <w:szCs w:val="21"/>
          <w:highlight w:val="none"/>
        </w:rPr>
        <w:t>4.</w:t>
      </w:r>
      <w:r>
        <w:rPr>
          <w:rFonts w:hint="eastAsia" w:ascii="宋体" w:cs="宋体"/>
          <w:color w:val="auto"/>
          <w:kern w:val="0"/>
          <w:szCs w:val="21"/>
          <w:highlight w:val="none"/>
        </w:rPr>
        <w:t>一旦我方成交，我方保证按合同协议书中规定交付使用期</w:t>
      </w:r>
      <w:r>
        <w:rPr>
          <w:rFonts w:hint="eastAsia" w:ascii="宋体" w:cs="宋体"/>
          <w:color w:val="auto"/>
          <w:kern w:val="0"/>
          <w:szCs w:val="21"/>
          <w:highlight w:val="none"/>
          <w:u w:val="single"/>
        </w:rPr>
        <w:t xml:space="preserve">             </w:t>
      </w:r>
    </w:p>
    <w:p>
      <w:pPr>
        <w:spacing w:line="440" w:lineRule="exact"/>
        <w:ind w:firstLine="420" w:firstLineChars="200"/>
        <w:rPr>
          <w:rFonts w:ascii="宋体" w:cs="宋体"/>
          <w:color w:val="auto"/>
          <w:kern w:val="0"/>
          <w:szCs w:val="21"/>
          <w:highlight w:val="none"/>
        </w:rPr>
      </w:pPr>
      <w:r>
        <w:rPr>
          <w:rFonts w:ascii="宋体" w:cs="宋体"/>
          <w:color w:val="auto"/>
          <w:kern w:val="0"/>
          <w:szCs w:val="21"/>
          <w:highlight w:val="none"/>
        </w:rPr>
        <w:t>5.</w:t>
      </w:r>
      <w:r>
        <w:rPr>
          <w:rFonts w:hint="eastAsia" w:ascii="宋体" w:cs="宋体"/>
          <w:color w:val="auto"/>
          <w:kern w:val="0"/>
          <w:szCs w:val="21"/>
          <w:highlight w:val="none"/>
        </w:rPr>
        <w:t>我方同意所提交的磋商文件在竞争性磋商采购文件的竞标须知中第</w:t>
      </w:r>
      <w:r>
        <w:rPr>
          <w:rFonts w:ascii="宋体" w:cs="宋体"/>
          <w:color w:val="auto"/>
          <w:kern w:val="0"/>
          <w:szCs w:val="21"/>
          <w:highlight w:val="none"/>
        </w:rPr>
        <w:t xml:space="preserve">13.1 </w:t>
      </w:r>
      <w:r>
        <w:rPr>
          <w:rFonts w:hint="eastAsia" w:ascii="宋体" w:cs="宋体"/>
          <w:color w:val="auto"/>
          <w:kern w:val="0"/>
          <w:szCs w:val="21"/>
          <w:highlight w:val="none"/>
        </w:rPr>
        <w:t>条规定的竞标有效期内有效，在此期间内如果成交，我方将受此约束。</w:t>
      </w:r>
    </w:p>
    <w:p>
      <w:pPr>
        <w:spacing w:line="440" w:lineRule="exact"/>
        <w:ind w:firstLine="420" w:firstLineChars="200"/>
        <w:rPr>
          <w:rFonts w:ascii="宋体" w:cs="宋体"/>
          <w:color w:val="auto"/>
          <w:kern w:val="0"/>
          <w:szCs w:val="21"/>
          <w:highlight w:val="none"/>
        </w:rPr>
      </w:pPr>
      <w:r>
        <w:rPr>
          <w:rFonts w:ascii="宋体" w:cs="宋体"/>
          <w:color w:val="auto"/>
          <w:kern w:val="0"/>
          <w:szCs w:val="21"/>
          <w:highlight w:val="none"/>
        </w:rPr>
        <w:t>6.</w:t>
      </w:r>
      <w:r>
        <w:rPr>
          <w:rFonts w:hint="eastAsia" w:ascii="宋体" w:cs="宋体"/>
          <w:color w:val="auto"/>
          <w:kern w:val="0"/>
          <w:szCs w:val="21"/>
          <w:highlight w:val="none"/>
        </w:rPr>
        <w:t>除非另外达成协议并生效，你方的成交通知书和本磋商文件将成为约束双方的合同文件的组成部分。</w:t>
      </w:r>
    </w:p>
    <w:p>
      <w:pPr>
        <w:spacing w:line="440" w:lineRule="exact"/>
        <w:ind w:firstLine="630"/>
        <w:rPr>
          <w:color w:val="auto"/>
          <w:szCs w:val="21"/>
          <w:highlight w:val="none"/>
        </w:rPr>
      </w:pPr>
      <w:r>
        <w:rPr>
          <w:rFonts w:ascii="宋体" w:cs="宋体"/>
          <w:color w:val="auto"/>
          <w:kern w:val="0"/>
          <w:szCs w:val="21"/>
          <w:highlight w:val="none"/>
        </w:rPr>
        <w:t>7.</w:t>
      </w:r>
      <w:r>
        <w:rPr>
          <w:rFonts w:hint="eastAsia" w:ascii="宋体" w:cs="宋体"/>
          <w:color w:val="auto"/>
          <w:kern w:val="0"/>
          <w:szCs w:val="21"/>
          <w:highlight w:val="none"/>
        </w:rPr>
        <w:t>我方将与本竞标函一起，提交人民币</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元</w:t>
      </w:r>
      <w:r>
        <w:rPr>
          <w:rFonts w:hint="eastAsia" w:ascii="宋体" w:cs="宋体"/>
          <w:color w:val="auto"/>
          <w:kern w:val="0"/>
          <w:szCs w:val="21"/>
          <w:highlight w:val="none"/>
        </w:rPr>
        <w:t>作为竞标保证金。</w:t>
      </w:r>
    </w:p>
    <w:p>
      <w:pPr>
        <w:spacing w:line="440" w:lineRule="exact"/>
        <w:ind w:firstLine="630"/>
        <w:rPr>
          <w:color w:val="auto"/>
          <w:szCs w:val="21"/>
          <w:highlight w:val="none"/>
        </w:rPr>
      </w:pPr>
    </w:p>
    <w:p>
      <w:pPr>
        <w:spacing w:line="440" w:lineRule="exact"/>
        <w:ind w:firstLine="630"/>
        <w:rPr>
          <w:color w:val="auto"/>
          <w:szCs w:val="21"/>
          <w:highlight w:val="none"/>
        </w:rPr>
      </w:pPr>
    </w:p>
    <w:p>
      <w:pPr>
        <w:spacing w:line="440" w:lineRule="exact"/>
        <w:rPr>
          <w:color w:val="auto"/>
          <w:szCs w:val="21"/>
          <w:highlight w:val="none"/>
        </w:rPr>
      </w:pPr>
      <w:r>
        <w:rPr>
          <w:rFonts w:hint="eastAsia"/>
          <w:color w:val="auto"/>
          <w:szCs w:val="21"/>
          <w:highlight w:val="none"/>
        </w:rPr>
        <w:t>磋商供应商：（盖章）                 法定代表人或授权委托代理人：（签字或盖章）</w:t>
      </w:r>
    </w:p>
    <w:p>
      <w:pPr>
        <w:spacing w:line="440" w:lineRule="exact"/>
        <w:rPr>
          <w:color w:val="auto"/>
          <w:szCs w:val="21"/>
          <w:highlight w:val="none"/>
        </w:rPr>
      </w:pPr>
      <w:r>
        <w:rPr>
          <w:rFonts w:hint="eastAsia"/>
          <w:color w:val="auto"/>
          <w:szCs w:val="21"/>
          <w:highlight w:val="none"/>
        </w:rPr>
        <w:t xml:space="preserve">地址：                          </w:t>
      </w:r>
    </w:p>
    <w:p>
      <w:pPr>
        <w:spacing w:line="440" w:lineRule="exact"/>
        <w:rPr>
          <w:color w:val="auto"/>
          <w:szCs w:val="21"/>
          <w:highlight w:val="none"/>
        </w:rPr>
      </w:pPr>
      <w:r>
        <w:rPr>
          <w:rFonts w:hint="eastAsia"/>
          <w:color w:val="auto"/>
          <w:szCs w:val="21"/>
          <w:highlight w:val="none"/>
        </w:rPr>
        <w:t>电话：</w:t>
      </w:r>
    </w:p>
    <w:p>
      <w:pPr>
        <w:spacing w:line="440" w:lineRule="exact"/>
        <w:rPr>
          <w:color w:val="auto"/>
          <w:szCs w:val="21"/>
          <w:highlight w:val="none"/>
        </w:rPr>
      </w:pPr>
      <w:r>
        <w:rPr>
          <w:rFonts w:hint="eastAsia"/>
          <w:color w:val="auto"/>
          <w:szCs w:val="21"/>
          <w:highlight w:val="none"/>
        </w:rPr>
        <w:t>开户银行名称：                       银行帐号：</w:t>
      </w:r>
    </w:p>
    <w:p>
      <w:pPr>
        <w:spacing w:line="440" w:lineRule="exact"/>
        <w:rPr>
          <w:color w:val="auto"/>
          <w:szCs w:val="21"/>
          <w:highlight w:val="none"/>
        </w:rPr>
      </w:pPr>
      <w:r>
        <w:rPr>
          <w:rFonts w:hint="eastAsia"/>
          <w:color w:val="auto"/>
          <w:szCs w:val="21"/>
          <w:highlight w:val="none"/>
        </w:rPr>
        <w:t xml:space="preserve">开户行地址：     </w:t>
      </w:r>
    </w:p>
    <w:p>
      <w:pPr>
        <w:rPr>
          <w:color w:val="auto"/>
          <w:szCs w:val="21"/>
          <w:highlight w:val="none"/>
        </w:rPr>
      </w:pPr>
    </w:p>
    <w:p>
      <w:pPr>
        <w:rPr>
          <w:color w:val="auto"/>
          <w:szCs w:val="21"/>
          <w:highlight w:val="none"/>
        </w:rPr>
      </w:pPr>
      <w:r>
        <w:rPr>
          <w:rFonts w:hint="eastAsia"/>
          <w:color w:val="auto"/>
          <w:szCs w:val="21"/>
          <w:highlight w:val="none"/>
        </w:rPr>
        <w:t xml:space="preserve">日期：      年    月    日 </w:t>
      </w:r>
    </w:p>
    <w:p>
      <w:pPr>
        <w:spacing w:line="500" w:lineRule="exact"/>
        <w:rPr>
          <w:rFonts w:hAnsi="宋体"/>
          <w:bCs/>
          <w:color w:val="auto"/>
          <w:highlight w:val="none"/>
        </w:rPr>
      </w:pPr>
    </w:p>
    <w:p>
      <w:pPr>
        <w:pStyle w:val="14"/>
        <w:spacing w:line="360" w:lineRule="exact"/>
        <w:ind w:firstLine="5460" w:firstLineChars="2600"/>
        <w:rPr>
          <w:rFonts w:hAnsi="宋体"/>
          <w:bCs/>
          <w:color w:val="auto"/>
          <w:highlight w:val="none"/>
        </w:rPr>
      </w:pPr>
      <w:r>
        <w:rPr>
          <w:rFonts w:hAnsi="宋体"/>
          <w:bCs/>
          <w:color w:val="auto"/>
          <w:highlight w:val="none"/>
        </w:rPr>
        <w:br w:type="page"/>
      </w:r>
    </w:p>
    <w:p>
      <w:pPr>
        <w:pStyle w:val="5"/>
        <w:jc w:val="center"/>
        <w:rPr>
          <w:rFonts w:ascii="宋体"/>
          <w:color w:val="auto"/>
          <w:highlight w:val="none"/>
        </w:rPr>
      </w:pPr>
      <w:r>
        <w:rPr>
          <w:rFonts w:hint="eastAsia"/>
          <w:color w:val="auto"/>
          <w:highlight w:val="none"/>
        </w:rPr>
        <w:t>2. 磋商函附录</w:t>
      </w:r>
    </w:p>
    <w:p>
      <w:pPr>
        <w:spacing w:line="500" w:lineRule="exact"/>
        <w:rPr>
          <w:rFonts w:ascii="宋体" w:hAnsi="宋体"/>
          <w:color w:val="auto"/>
          <w:szCs w:val="21"/>
          <w:highlight w:val="non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500" w:lineRule="exact"/>
        <w:ind w:firstLine="6825" w:firstLineChars="3250"/>
        <w:rPr>
          <w:rFonts w:ascii="宋体" w:hAnsi="宋体"/>
          <w:color w:val="auto"/>
          <w:szCs w:val="21"/>
          <w:highlight w:val="none"/>
        </w:rPr>
      </w:pPr>
      <w:r>
        <w:rPr>
          <w:rFonts w:hint="eastAsia" w:ascii="宋体" w:hAnsi="宋体"/>
          <w:color w:val="auto"/>
          <w:szCs w:val="21"/>
          <w:highlight w:val="none"/>
        </w:rPr>
        <w:t>金额单位：人民币（元）</w:t>
      </w:r>
    </w:p>
    <w:tbl>
      <w:tblPr>
        <w:tblStyle w:val="24"/>
        <w:tblW w:w="82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2039"/>
        <w:gridCol w:w="2268"/>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08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5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03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Times New Roman" w:cs="宋体"/>
                <w:color w:val="auto"/>
                <w:kern w:val="0"/>
                <w:sz w:val="24"/>
                <w:szCs w:val="24"/>
                <w:highlight w:val="none"/>
              </w:rPr>
              <w:t>项目内容</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Times New Roman" w:cs="宋体"/>
                <w:color w:val="auto"/>
                <w:kern w:val="0"/>
                <w:sz w:val="24"/>
                <w:szCs w:val="24"/>
                <w:highlight w:val="none"/>
              </w:rPr>
              <w:t>条款号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Times New Roman" w:cs="宋体"/>
                <w:color w:val="auto"/>
                <w:kern w:val="0"/>
                <w:sz w:val="24"/>
                <w:szCs w:val="24"/>
                <w:highlight w:val="none"/>
              </w:rPr>
              <w:t>约定内容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25" w:firstLineChars="250"/>
              <w:rPr>
                <w:rFonts w:hint="eastAsia" w:ascii="宋体" w:eastAsia="宋体"/>
                <w:color w:val="auto"/>
                <w:szCs w:val="21"/>
                <w:highlight w:val="none"/>
                <w:lang w:eastAsia="zh-CN"/>
              </w:rPr>
            </w:pPr>
            <w:r>
              <w:rPr>
                <w:rFonts w:hint="eastAsia" w:ascii="宋体"/>
                <w:color w:val="auto"/>
                <w:szCs w:val="21"/>
                <w:highlight w:val="none"/>
                <w:lang w:val="en-US" w:eastAsia="zh-CN"/>
              </w:rPr>
              <w:t>1</w:t>
            </w:r>
          </w:p>
        </w:tc>
        <w:tc>
          <w:tcPr>
            <w:tcW w:w="20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jc w:val="center"/>
              <w:rPr>
                <w:rFonts w:ascii="宋体" w:hAnsi="宋体"/>
                <w:color w:val="auto"/>
                <w:spacing w:val="20"/>
                <w:szCs w:val="21"/>
                <w:highlight w:val="none"/>
              </w:rPr>
            </w:pPr>
            <w:r>
              <w:rPr>
                <w:rFonts w:hint="eastAsia" w:ascii="宋体" w:cs="宋体"/>
                <w:color w:val="auto"/>
                <w:kern w:val="0"/>
                <w:sz w:val="24"/>
                <w:szCs w:val="24"/>
                <w:highlight w:val="none"/>
              </w:rPr>
              <w:t>磋商有效期</w:t>
            </w:r>
          </w:p>
        </w:tc>
        <w:tc>
          <w:tcPr>
            <w:tcW w:w="226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ind w:firstLine="360" w:firstLineChars="150"/>
              <w:rPr>
                <w:rFonts w:ascii="宋体" w:hAnsi="宋体"/>
                <w:color w:val="auto"/>
                <w:spacing w:val="20"/>
                <w:szCs w:val="21"/>
                <w:highlight w:val="none"/>
              </w:rPr>
            </w:pPr>
            <w:r>
              <w:rPr>
                <w:rFonts w:hint="eastAsia" w:ascii="宋体" w:cs="宋体"/>
                <w:color w:val="auto"/>
                <w:kern w:val="0"/>
                <w:sz w:val="24"/>
                <w:szCs w:val="24"/>
                <w:highlight w:val="none"/>
              </w:rPr>
              <w:t>竞标须知</w:t>
            </w:r>
          </w:p>
        </w:tc>
        <w:tc>
          <w:tcPr>
            <w:tcW w:w="28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500" w:lineRule="exact"/>
              <w:jc w:val="center"/>
              <w:rPr>
                <w:rFonts w:ascii="宋体" w:cs="宋体"/>
                <w:color w:val="auto"/>
                <w:kern w:val="0"/>
                <w:sz w:val="24"/>
                <w:szCs w:val="24"/>
                <w:highlight w:val="none"/>
              </w:rPr>
            </w:pPr>
            <w:r>
              <w:rPr>
                <w:rFonts w:hint="eastAsia" w:ascii="宋体" w:cs="宋体"/>
                <w:color w:val="auto"/>
                <w:kern w:val="0"/>
                <w:sz w:val="24"/>
                <w:szCs w:val="24"/>
                <w:highlight w:val="none"/>
              </w:rPr>
              <w:t>磋商文件递交</w:t>
            </w:r>
          </w:p>
          <w:p>
            <w:pPr>
              <w:tabs>
                <w:tab w:val="left" w:pos="1418"/>
              </w:tabs>
              <w:snapToGrid w:val="0"/>
              <w:spacing w:before="50" w:after="50" w:line="500" w:lineRule="exact"/>
              <w:jc w:val="center"/>
              <w:rPr>
                <w:rFonts w:ascii="宋体" w:hAnsi="宋体"/>
                <w:color w:val="auto"/>
                <w:spacing w:val="20"/>
                <w:szCs w:val="21"/>
                <w:highlight w:val="none"/>
              </w:rPr>
            </w:pPr>
            <w:r>
              <w:rPr>
                <w:rFonts w:hint="eastAsia" w:ascii="宋体" w:cs="宋体"/>
                <w:color w:val="auto"/>
                <w:kern w:val="0"/>
                <w:sz w:val="24"/>
                <w:szCs w:val="24"/>
                <w:highlight w:val="none"/>
              </w:rPr>
              <w:t>截止之后</w:t>
            </w:r>
            <w:r>
              <w:rPr>
                <w:rFonts w:hint="eastAsia" w:ascii="宋体" w:cs="宋体"/>
                <w:color w:val="auto"/>
                <w:kern w:val="0"/>
                <w:sz w:val="24"/>
                <w:szCs w:val="24"/>
                <w:highlight w:val="none"/>
                <w:u w:val="single"/>
              </w:rPr>
              <w:t xml:space="preserve">     </w:t>
            </w:r>
            <w:r>
              <w:rPr>
                <w:rFonts w:hint="eastAsia" w:ascii="宋体" w:cs="宋体"/>
                <w:color w:val="auto"/>
                <w:kern w:val="0"/>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25" w:firstLineChars="250"/>
              <w:rPr>
                <w:rFonts w:hint="eastAsia" w:ascii="宋体" w:eastAsia="宋体"/>
                <w:color w:val="auto"/>
                <w:szCs w:val="21"/>
                <w:highlight w:val="none"/>
                <w:lang w:eastAsia="zh-CN"/>
              </w:rPr>
            </w:pPr>
            <w:r>
              <w:rPr>
                <w:rFonts w:hint="eastAsia" w:ascii="宋体"/>
                <w:color w:val="auto"/>
                <w:szCs w:val="21"/>
                <w:highlight w:val="none"/>
                <w:lang w:val="en-US" w:eastAsia="zh-CN"/>
              </w:rPr>
              <w:t>2</w:t>
            </w:r>
          </w:p>
        </w:tc>
        <w:tc>
          <w:tcPr>
            <w:tcW w:w="20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jc w:val="center"/>
              <w:rPr>
                <w:rFonts w:ascii="宋体" w:hAnsi="宋体"/>
                <w:color w:val="auto"/>
                <w:spacing w:val="20"/>
                <w:szCs w:val="21"/>
                <w:highlight w:val="none"/>
              </w:rPr>
            </w:pPr>
            <w:r>
              <w:rPr>
                <w:rFonts w:hint="eastAsia" w:ascii="宋体" w:cs="宋体"/>
                <w:color w:val="auto"/>
                <w:kern w:val="0"/>
                <w:sz w:val="24"/>
                <w:szCs w:val="24"/>
                <w:highlight w:val="none"/>
              </w:rPr>
              <w:t>交付使用期</w:t>
            </w:r>
          </w:p>
        </w:tc>
        <w:tc>
          <w:tcPr>
            <w:tcW w:w="226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ind w:firstLine="375" w:firstLineChars="150"/>
              <w:rPr>
                <w:rFonts w:ascii="宋体" w:hAnsi="宋体"/>
                <w:color w:val="auto"/>
                <w:spacing w:val="20"/>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50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25" w:firstLineChars="250"/>
              <w:rPr>
                <w:rFonts w:hint="eastAsia" w:ascii="宋体" w:eastAsia="宋体"/>
                <w:color w:val="auto"/>
                <w:szCs w:val="21"/>
                <w:highlight w:val="none"/>
                <w:lang w:eastAsia="zh-CN"/>
              </w:rPr>
            </w:pPr>
            <w:r>
              <w:rPr>
                <w:rFonts w:hint="eastAsia" w:ascii="宋体"/>
                <w:color w:val="auto"/>
                <w:szCs w:val="21"/>
                <w:highlight w:val="none"/>
                <w:lang w:val="en-US" w:eastAsia="zh-CN"/>
              </w:rPr>
              <w:t>3</w:t>
            </w:r>
          </w:p>
        </w:tc>
        <w:tc>
          <w:tcPr>
            <w:tcW w:w="20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ind w:firstLine="360" w:firstLineChars="150"/>
              <w:rPr>
                <w:rFonts w:ascii="宋体" w:hAnsi="宋体"/>
                <w:color w:val="auto"/>
                <w:spacing w:val="20"/>
                <w:szCs w:val="21"/>
                <w:highlight w:val="none"/>
              </w:rPr>
            </w:pPr>
            <w:r>
              <w:rPr>
                <w:rFonts w:hint="eastAsia" w:ascii="宋体" w:cs="宋体"/>
                <w:color w:val="auto"/>
                <w:kern w:val="0"/>
                <w:sz w:val="24"/>
                <w:szCs w:val="24"/>
                <w:highlight w:val="none"/>
              </w:rPr>
              <w:t>付款方式</w:t>
            </w:r>
          </w:p>
        </w:tc>
        <w:tc>
          <w:tcPr>
            <w:tcW w:w="2268"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00" w:lineRule="exact"/>
              <w:jc w:val="center"/>
              <w:rPr>
                <w:rFonts w:ascii="宋体" w:hAnsi="宋体"/>
                <w:color w:val="auto"/>
                <w:spacing w:val="20"/>
                <w:szCs w:val="21"/>
                <w:highlight w:val="none"/>
              </w:rPr>
            </w:pPr>
            <w:r>
              <w:rPr>
                <w:rFonts w:hint="eastAsia" w:ascii="宋体" w:hAnsi="宋体"/>
                <w:color w:val="auto"/>
                <w:spacing w:val="20"/>
                <w:szCs w:val="21"/>
                <w:highlight w:val="none"/>
              </w:rPr>
              <w:t>按合同条款执行</w:t>
            </w:r>
          </w:p>
        </w:tc>
        <w:tc>
          <w:tcPr>
            <w:tcW w:w="28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500" w:lineRule="exact"/>
              <w:jc w:val="center"/>
              <w:rPr>
                <w:rFonts w:ascii="宋体" w:hAnsi="宋体"/>
                <w:color w:val="auto"/>
                <w:spacing w:val="20"/>
                <w:szCs w:val="21"/>
                <w:highlight w:val="none"/>
              </w:rPr>
            </w:pPr>
          </w:p>
        </w:tc>
      </w:tr>
    </w:tbl>
    <w:p>
      <w:pPr>
        <w:spacing w:line="500" w:lineRule="exact"/>
        <w:rPr>
          <w:rFonts w:ascii="宋体" w:hAnsi="宋体"/>
          <w:color w:val="auto"/>
          <w:szCs w:val="21"/>
          <w:highlight w:val="none"/>
        </w:rPr>
      </w:pPr>
    </w:p>
    <w:p>
      <w:pPr>
        <w:pStyle w:val="14"/>
        <w:spacing w:line="500" w:lineRule="exact"/>
        <w:rPr>
          <w:rFonts w:hAnsi="宋体"/>
          <w:color w:val="auto"/>
          <w:highlight w:val="none"/>
        </w:rPr>
      </w:pPr>
    </w:p>
    <w:p>
      <w:pPr>
        <w:pStyle w:val="14"/>
        <w:spacing w:line="500" w:lineRule="exact"/>
        <w:ind w:firstLine="3150" w:firstLineChars="1500"/>
        <w:rPr>
          <w:rFonts w:hAnsi="宋体"/>
          <w:color w:val="auto"/>
          <w:highlight w:val="none"/>
          <w:u w:val="single"/>
        </w:rPr>
      </w:pPr>
      <w:r>
        <w:rPr>
          <w:rFonts w:hint="eastAsia" w:hAnsi="宋体"/>
          <w:color w:val="auto"/>
          <w:highlight w:val="none"/>
        </w:rPr>
        <w:t>法定代表人或法定代表人授权代表（签字）:</w:t>
      </w:r>
      <w:r>
        <w:rPr>
          <w:rFonts w:hint="eastAsia" w:hAnsi="宋体"/>
          <w:color w:val="auto"/>
          <w:highlight w:val="none"/>
          <w:u w:val="single"/>
        </w:rPr>
        <w:t xml:space="preserve">              </w:t>
      </w:r>
    </w:p>
    <w:p>
      <w:pPr>
        <w:pStyle w:val="14"/>
        <w:spacing w:line="500" w:lineRule="exact"/>
        <w:ind w:firstLine="3150" w:firstLineChars="1500"/>
        <w:rPr>
          <w:rFonts w:hAnsi="宋体"/>
          <w:color w:val="auto"/>
          <w:highlight w:val="none"/>
          <w:u w:val="single"/>
        </w:rPr>
      </w:pPr>
      <w:r>
        <w:rPr>
          <w:rFonts w:hint="eastAsia" w:hAnsi="宋体"/>
          <w:color w:val="auto"/>
          <w:highlight w:val="none"/>
        </w:rPr>
        <w:t>磋商供应商名称（签章）：</w:t>
      </w:r>
      <w:r>
        <w:rPr>
          <w:rFonts w:hint="eastAsia" w:hAnsi="宋体"/>
          <w:color w:val="auto"/>
          <w:highlight w:val="none"/>
          <w:u w:val="single"/>
        </w:rPr>
        <w:t xml:space="preserve">                              </w:t>
      </w:r>
    </w:p>
    <w:p>
      <w:pPr>
        <w:spacing w:line="500" w:lineRule="exact"/>
        <w:ind w:firstLine="3150" w:firstLineChars="1500"/>
        <w:rPr>
          <w:rFonts w:hAnsi="宋体"/>
          <w:color w:val="auto"/>
          <w:highlight w:val="none"/>
        </w:rPr>
      </w:pPr>
      <w:r>
        <w:rPr>
          <w:rFonts w:hint="eastAsia" w:hAnsi="宋体"/>
          <w:color w:val="auto"/>
          <w:highlight w:val="none"/>
        </w:rPr>
        <w:t>报价时间：</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pPr>
        <w:pStyle w:val="14"/>
        <w:numPr>
          <w:ilvl w:val="0"/>
          <w:numId w:val="8"/>
        </w:numPr>
        <w:snapToGrid w:val="0"/>
        <w:spacing w:before="295" w:after="295" w:line="360" w:lineRule="exact"/>
        <w:jc w:val="center"/>
        <w:rPr>
          <w:rFonts w:hAnsi="宋体"/>
          <w:b/>
          <w:bCs/>
          <w:color w:val="auto"/>
          <w:sz w:val="30"/>
          <w:szCs w:val="30"/>
          <w:highlight w:val="none"/>
        </w:rPr>
      </w:pPr>
      <w:r>
        <w:rPr>
          <w:rFonts w:hAnsi="宋体"/>
          <w:color w:val="auto"/>
          <w:highlight w:val="none"/>
        </w:rPr>
        <w:br w:type="page"/>
      </w:r>
      <w:r>
        <w:rPr>
          <w:rFonts w:hint="eastAsia" w:hAnsi="宋体"/>
          <w:b/>
          <w:bCs/>
          <w:color w:val="auto"/>
          <w:sz w:val="30"/>
          <w:szCs w:val="30"/>
          <w:highlight w:val="none"/>
        </w:rPr>
        <w:t>磋商报价明细表</w:t>
      </w:r>
    </w:p>
    <w:p>
      <w:pPr>
        <w:pStyle w:val="14"/>
        <w:snapToGrid w:val="0"/>
        <w:spacing w:before="295" w:after="295" w:line="360" w:lineRule="exact"/>
        <w:ind w:firstLine="2625" w:firstLineChars="1250"/>
        <w:jc w:val="left"/>
        <w:rPr>
          <w:rFonts w:hAnsi="宋体"/>
          <w:b/>
          <w:color w:val="auto"/>
          <w:highlight w:val="none"/>
        </w:rPr>
      </w:pPr>
      <w:r>
        <w:rPr>
          <w:rFonts w:hint="eastAsia" w:hAnsi="宋体"/>
          <w:color w:val="auto"/>
          <w:highlight w:val="none"/>
        </w:rPr>
        <w:t xml:space="preserve">                             金额单位：人民币（元）</w:t>
      </w:r>
    </w:p>
    <w:tbl>
      <w:tblPr>
        <w:tblStyle w:val="24"/>
        <w:tblW w:w="102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333"/>
        <w:gridCol w:w="834"/>
        <w:gridCol w:w="933"/>
        <w:gridCol w:w="1116"/>
        <w:gridCol w:w="2483"/>
        <w:gridCol w:w="1394"/>
        <w:gridCol w:w="14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5"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b/>
                <w:color w:val="auto"/>
                <w:szCs w:val="21"/>
                <w:highlight w:val="none"/>
              </w:rPr>
            </w:pPr>
            <w:r>
              <w:rPr>
                <w:rFonts w:hint="eastAsia" w:ascii="宋体" w:hAnsi="宋体"/>
                <w:b/>
                <w:color w:val="auto"/>
                <w:szCs w:val="21"/>
                <w:highlight w:val="none"/>
              </w:rPr>
              <w:t>序号</w:t>
            </w:r>
          </w:p>
        </w:tc>
        <w:tc>
          <w:tcPr>
            <w:tcW w:w="1333"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b/>
                <w:color w:val="auto"/>
                <w:szCs w:val="21"/>
                <w:highlight w:val="none"/>
              </w:rPr>
            </w:pPr>
            <w:r>
              <w:rPr>
                <w:rFonts w:hint="eastAsia" w:ascii="宋体" w:hAnsi="宋体"/>
                <w:b/>
                <w:color w:val="auto"/>
                <w:szCs w:val="21"/>
                <w:highlight w:val="none"/>
              </w:rPr>
              <w:t>货物项目名称</w:t>
            </w:r>
          </w:p>
        </w:tc>
        <w:tc>
          <w:tcPr>
            <w:tcW w:w="834"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单位</w:t>
            </w:r>
          </w:p>
        </w:tc>
        <w:tc>
          <w:tcPr>
            <w:tcW w:w="933"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数量</w:t>
            </w:r>
          </w:p>
        </w:tc>
        <w:tc>
          <w:tcPr>
            <w:tcW w:w="1116"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厂家品牌</w:t>
            </w:r>
          </w:p>
        </w:tc>
        <w:tc>
          <w:tcPr>
            <w:tcW w:w="2483"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规格型号及技术参数</w:t>
            </w:r>
          </w:p>
        </w:tc>
        <w:tc>
          <w:tcPr>
            <w:tcW w:w="1394"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投标报价（单价）</w:t>
            </w:r>
          </w:p>
        </w:tc>
        <w:tc>
          <w:tcPr>
            <w:tcW w:w="1456" w:type="dxa"/>
            <w:tcBorders>
              <w:top w:val="single" w:color="auto" w:sz="4" w:space="0"/>
              <w:left w:val="single" w:color="auto" w:sz="6" w:space="0"/>
              <w:bottom w:val="single" w:color="auto" w:sz="6" w:space="0"/>
              <w:right w:val="single" w:color="auto" w:sz="6" w:space="0"/>
            </w:tcBorders>
          </w:tcPr>
          <w:p>
            <w:pPr>
              <w:adjustRightInd w:val="0"/>
              <w:snapToGrid w:val="0"/>
              <w:spacing w:line="300" w:lineRule="auto"/>
              <w:jc w:val="center"/>
              <w:rPr>
                <w:rFonts w:ascii="宋体" w:hAnsi="宋体"/>
                <w:b/>
                <w:color w:val="auto"/>
                <w:szCs w:val="21"/>
                <w:highlight w:val="none"/>
              </w:rPr>
            </w:pPr>
            <w:r>
              <w:rPr>
                <w:rFonts w:hint="eastAsia" w:ascii="宋体" w:hAnsi="宋体"/>
                <w:b/>
                <w:color w:val="auto"/>
                <w:szCs w:val="21"/>
                <w:highlight w:val="none"/>
              </w:rPr>
              <w:t>投标报价（合价）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05" w:type="dxa"/>
            <w:tcBorders>
              <w:top w:val="single" w:color="auto" w:sz="6" w:space="0"/>
              <w:left w:val="single" w:color="auto" w:sz="4"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1333" w:type="dxa"/>
            <w:tcBorders>
              <w:top w:val="single" w:color="auto" w:sz="6" w:space="0"/>
              <w:left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834" w:type="dxa"/>
            <w:tcBorders>
              <w:top w:val="single" w:color="auto" w:sz="6" w:space="0"/>
              <w:left w:val="single" w:color="auto" w:sz="6" w:space="0"/>
              <w:right w:val="single" w:color="auto" w:sz="4" w:space="0"/>
            </w:tcBorders>
            <w:vAlign w:val="center"/>
          </w:tcPr>
          <w:p>
            <w:pPr>
              <w:adjustRightInd w:val="0"/>
              <w:snapToGrid w:val="0"/>
              <w:spacing w:line="300" w:lineRule="auto"/>
              <w:jc w:val="center"/>
              <w:rPr>
                <w:rFonts w:ascii="宋体" w:hAnsi="宋体"/>
                <w:color w:val="auto"/>
                <w:szCs w:val="21"/>
                <w:highlight w:val="none"/>
              </w:rPr>
            </w:pPr>
          </w:p>
        </w:tc>
        <w:tc>
          <w:tcPr>
            <w:tcW w:w="933" w:type="dxa"/>
            <w:tcBorders>
              <w:top w:val="single" w:color="auto" w:sz="6" w:space="0"/>
              <w:left w:val="single" w:color="auto" w:sz="4"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2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pPr>
              <w:adjustRightInd w:val="0"/>
              <w:snapToGrid w:val="0"/>
              <w:spacing w:line="300" w:lineRule="auto"/>
              <w:ind w:left="-88" w:leftChars="-4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05" w:type="dxa"/>
            <w:tcBorders>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1333" w:type="dxa"/>
            <w:tcBorders>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8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olor w:val="auto"/>
                <w:szCs w:val="21"/>
                <w:highlight w:val="none"/>
              </w:rPr>
            </w:pPr>
          </w:p>
        </w:tc>
        <w:tc>
          <w:tcPr>
            <w:tcW w:w="9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2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5" w:type="dxa"/>
            <w:tcBorders>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1333" w:type="dxa"/>
            <w:tcBorders>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8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olor w:val="auto"/>
                <w:szCs w:val="21"/>
                <w:highlight w:val="none"/>
              </w:rPr>
            </w:pPr>
          </w:p>
        </w:tc>
        <w:tc>
          <w:tcPr>
            <w:tcW w:w="9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2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05"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w:t>
            </w:r>
          </w:p>
        </w:tc>
        <w:tc>
          <w:tcPr>
            <w:tcW w:w="1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p>
        </w:tc>
        <w:tc>
          <w:tcPr>
            <w:tcW w:w="8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olor w:val="auto"/>
                <w:szCs w:val="21"/>
                <w:highlight w:val="none"/>
              </w:rPr>
            </w:pPr>
          </w:p>
        </w:tc>
        <w:tc>
          <w:tcPr>
            <w:tcW w:w="93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11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248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c>
          <w:tcPr>
            <w:tcW w:w="1456" w:type="dxa"/>
            <w:tcBorders>
              <w:top w:val="single" w:color="auto" w:sz="6" w:space="0"/>
              <w:left w:val="single" w:color="auto" w:sz="6" w:space="0"/>
              <w:bottom w:val="single" w:color="auto" w:sz="6" w:space="0"/>
              <w:right w:val="single" w:color="auto" w:sz="6" w:space="0"/>
            </w:tcBorders>
          </w:tcPr>
          <w:p>
            <w:pPr>
              <w:adjustRightInd w:val="0"/>
              <w:snapToGrid w:val="0"/>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38"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olor w:val="auto"/>
                <w:szCs w:val="21"/>
                <w:highlight w:val="none"/>
              </w:rPr>
            </w:pPr>
            <w:r>
              <w:rPr>
                <w:rFonts w:hint="eastAsia" w:ascii="宋体" w:hAnsi="宋体"/>
                <w:color w:val="auto"/>
                <w:szCs w:val="21"/>
                <w:highlight w:val="none"/>
              </w:rPr>
              <w:t>磋商报价</w:t>
            </w:r>
          </w:p>
        </w:tc>
        <w:tc>
          <w:tcPr>
            <w:tcW w:w="676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人民币          （￥        元）</w:t>
            </w:r>
          </w:p>
        </w:tc>
        <w:tc>
          <w:tcPr>
            <w:tcW w:w="145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olor w:val="auto"/>
                <w:szCs w:val="21"/>
                <w:highlight w:val="none"/>
              </w:rPr>
            </w:pPr>
          </w:p>
        </w:tc>
      </w:tr>
    </w:tbl>
    <w:p>
      <w:pPr>
        <w:snapToGrid w:val="0"/>
        <w:spacing w:before="50" w:after="50" w:line="500" w:lineRule="exact"/>
        <w:ind w:firstLine="3150" w:firstLineChars="1500"/>
        <w:rPr>
          <w:rFonts w:hAnsi="宋体"/>
          <w:color w:val="auto"/>
          <w:highlight w:val="none"/>
        </w:rPr>
      </w:pPr>
      <w:bookmarkStart w:id="36" w:name="_Toc30409533"/>
    </w:p>
    <w:p>
      <w:pPr>
        <w:rPr>
          <w:rFonts w:ascii="Verdana" w:hAnsi="Verdana"/>
          <w:b/>
          <w:color w:val="auto"/>
          <w:kern w:val="0"/>
          <w:sz w:val="20"/>
          <w:szCs w:val="20"/>
          <w:highlight w:val="none"/>
        </w:rPr>
      </w:pPr>
      <w:r>
        <w:rPr>
          <w:rFonts w:hint="eastAsia" w:ascii="Verdana" w:hAnsi="Verdana"/>
          <w:b/>
          <w:color w:val="auto"/>
          <w:kern w:val="0"/>
          <w:sz w:val="20"/>
          <w:szCs w:val="20"/>
          <w:highlight w:val="none"/>
        </w:rPr>
        <w:t>注：本磋商价格应与磋商函的报价一致。</w:t>
      </w:r>
      <w:bookmarkEnd w:id="36"/>
    </w:p>
    <w:p>
      <w:pPr>
        <w:snapToGrid w:val="0"/>
        <w:spacing w:before="50" w:after="50" w:line="500" w:lineRule="exact"/>
        <w:ind w:firstLine="3750" w:firstLineChars="1500"/>
        <w:rPr>
          <w:rFonts w:ascii="宋体" w:hAnsi="宋体"/>
          <w:color w:val="auto"/>
          <w:szCs w:val="21"/>
          <w:highlight w:val="none"/>
        </w:rPr>
      </w:pPr>
      <w:r>
        <w:rPr>
          <w:rFonts w:hint="eastAsia"/>
          <w:color w:val="auto"/>
          <w:spacing w:val="20"/>
          <w:highlight w:val="none"/>
        </w:rPr>
        <w:t xml:space="preserve"> </w:t>
      </w:r>
    </w:p>
    <w:p>
      <w:pPr>
        <w:pStyle w:val="14"/>
        <w:spacing w:line="500" w:lineRule="exact"/>
        <w:ind w:firstLine="3150" w:firstLineChars="1500"/>
        <w:rPr>
          <w:rFonts w:hAnsi="宋体"/>
          <w:color w:val="auto"/>
          <w:highlight w:val="none"/>
          <w:u w:val="single"/>
        </w:rPr>
      </w:pPr>
      <w:r>
        <w:rPr>
          <w:rFonts w:hint="eastAsia" w:hAnsi="宋体"/>
          <w:color w:val="auto"/>
          <w:highlight w:val="none"/>
        </w:rPr>
        <w:t>法定代表人或法定代表人授权代表（签字）:</w:t>
      </w:r>
      <w:r>
        <w:rPr>
          <w:rFonts w:hint="eastAsia" w:hAnsi="宋体"/>
          <w:color w:val="auto"/>
          <w:highlight w:val="none"/>
          <w:u w:val="single"/>
        </w:rPr>
        <w:t xml:space="preserve">              </w:t>
      </w:r>
    </w:p>
    <w:p>
      <w:pPr>
        <w:pStyle w:val="14"/>
        <w:spacing w:line="500" w:lineRule="exact"/>
        <w:ind w:firstLine="3150" w:firstLineChars="1500"/>
        <w:rPr>
          <w:rFonts w:hAnsi="宋体"/>
          <w:color w:val="auto"/>
          <w:highlight w:val="none"/>
          <w:u w:val="single"/>
        </w:rPr>
      </w:pPr>
      <w:r>
        <w:rPr>
          <w:rFonts w:hint="eastAsia" w:hAnsi="宋体"/>
          <w:color w:val="auto"/>
          <w:highlight w:val="none"/>
        </w:rPr>
        <w:t>磋商供应商名称（签章）：</w:t>
      </w:r>
      <w:r>
        <w:rPr>
          <w:rFonts w:hint="eastAsia" w:hAnsi="宋体"/>
          <w:color w:val="auto"/>
          <w:highlight w:val="none"/>
          <w:u w:val="single"/>
        </w:rPr>
        <w:t xml:space="preserve">                              </w:t>
      </w:r>
    </w:p>
    <w:p>
      <w:pPr>
        <w:pStyle w:val="14"/>
        <w:spacing w:line="500" w:lineRule="exact"/>
        <w:ind w:firstLine="3150" w:firstLineChars="1500"/>
        <w:rPr>
          <w:rFonts w:hAnsi="宋体"/>
          <w:b/>
          <w:bCs/>
          <w:color w:val="auto"/>
          <w:highlight w:val="none"/>
        </w:rPr>
      </w:pPr>
      <w:r>
        <w:rPr>
          <w:rFonts w:hint="eastAsia" w:hAnsi="宋体"/>
          <w:color w:val="auto"/>
          <w:highlight w:val="none"/>
        </w:rPr>
        <w:t>报价时间</w:t>
      </w:r>
      <w:r>
        <w:rPr>
          <w:rFonts w:hint="eastAsia" w:hAnsi="宋体"/>
          <w:b/>
          <w:bCs/>
          <w:color w:val="auto"/>
          <w:highlight w:val="none"/>
        </w:rPr>
        <w:t>：</w:t>
      </w:r>
      <w:r>
        <w:rPr>
          <w:rFonts w:hAnsi="宋体"/>
          <w:b/>
          <w:bCs/>
          <w:color w:val="auto"/>
          <w:highlight w:val="none"/>
        </w:rPr>
        <w:t xml:space="preserve">     </w:t>
      </w:r>
      <w:r>
        <w:rPr>
          <w:rFonts w:hint="eastAsia" w:hAnsi="宋体"/>
          <w:b/>
          <w:bCs/>
          <w:color w:val="auto"/>
          <w:highlight w:val="none"/>
        </w:rPr>
        <w:t>年</w:t>
      </w:r>
      <w:r>
        <w:rPr>
          <w:rFonts w:hAnsi="宋体"/>
          <w:b/>
          <w:bCs/>
          <w:color w:val="auto"/>
          <w:highlight w:val="none"/>
        </w:rPr>
        <w:t xml:space="preserve">     </w:t>
      </w:r>
      <w:r>
        <w:rPr>
          <w:rFonts w:hint="eastAsia" w:hAnsi="宋体"/>
          <w:b/>
          <w:bCs/>
          <w:color w:val="auto"/>
          <w:highlight w:val="none"/>
        </w:rPr>
        <w:t>月</w:t>
      </w:r>
      <w:r>
        <w:rPr>
          <w:rFonts w:hAnsi="宋体"/>
          <w:b/>
          <w:bCs/>
          <w:color w:val="auto"/>
          <w:highlight w:val="none"/>
        </w:rPr>
        <w:t xml:space="preserve">    </w:t>
      </w:r>
      <w:r>
        <w:rPr>
          <w:rFonts w:hint="eastAsia" w:hAnsi="宋体"/>
          <w:b/>
          <w:bCs/>
          <w:color w:val="auto"/>
          <w:highlight w:val="none"/>
        </w:rPr>
        <w:t>日</w:t>
      </w:r>
    </w:p>
    <w:p>
      <w:pPr>
        <w:rPr>
          <w:rFonts w:ascii="Verdana" w:hAnsi="Verdana"/>
          <w:color w:val="auto"/>
          <w:kern w:val="0"/>
          <w:sz w:val="20"/>
          <w:szCs w:val="20"/>
          <w:highlight w:val="none"/>
        </w:rPr>
      </w:pPr>
    </w:p>
    <w:p>
      <w:pPr>
        <w:rPr>
          <w:rFonts w:ascii="新宋体" w:hAnsi="新宋体" w:eastAsia="新宋体" w:cs="新宋体"/>
          <w:b/>
          <w:bCs/>
          <w:color w:val="auto"/>
          <w:kern w:val="0"/>
          <w:sz w:val="32"/>
          <w:szCs w:val="32"/>
          <w:highlight w:val="none"/>
          <w:lang w:bidi="ar"/>
        </w:rPr>
      </w:pPr>
    </w:p>
    <w:p>
      <w:pPr>
        <w:rPr>
          <w:rFonts w:ascii="宋体" w:hAnsi="宋体"/>
          <w:b/>
          <w:color w:val="auto"/>
          <w:kern w:val="0"/>
          <w:sz w:val="28"/>
          <w:szCs w:val="28"/>
          <w:highlight w:val="none"/>
        </w:rPr>
      </w:pPr>
      <w:r>
        <w:rPr>
          <w:rFonts w:ascii="Verdana" w:hAnsi="Verdana"/>
          <w:color w:val="auto"/>
          <w:kern w:val="0"/>
          <w:sz w:val="20"/>
          <w:szCs w:val="20"/>
          <w:highlight w:val="none"/>
        </w:rPr>
        <w:br w:type="page"/>
      </w:r>
      <w:r>
        <w:rPr>
          <w:rFonts w:ascii="宋体" w:hAnsi="宋体"/>
          <w:b/>
          <w:color w:val="auto"/>
          <w:kern w:val="0"/>
          <w:sz w:val="28"/>
          <w:szCs w:val="28"/>
          <w:highlight w:val="none"/>
        </w:rPr>
        <w:t>4</w:t>
      </w:r>
      <w:r>
        <w:rPr>
          <w:rFonts w:hint="eastAsia" w:ascii="宋体" w:hAnsi="宋体"/>
          <w:b/>
          <w:color w:val="auto"/>
          <w:kern w:val="0"/>
          <w:sz w:val="28"/>
          <w:szCs w:val="28"/>
          <w:highlight w:val="none"/>
        </w:rPr>
        <w:t>、磋商供应商针对报价需要说明的其他文件和说明（比如中小企业声明函</w:t>
      </w:r>
      <w:r>
        <w:rPr>
          <w:rFonts w:ascii="宋体" w:hAnsi="宋体"/>
          <w:b/>
          <w:color w:val="auto"/>
          <w:kern w:val="0"/>
          <w:sz w:val="28"/>
          <w:szCs w:val="28"/>
          <w:highlight w:val="none"/>
        </w:rPr>
        <w:t>等</w:t>
      </w:r>
      <w:r>
        <w:rPr>
          <w:rFonts w:hint="eastAsia" w:ascii="宋体" w:hAnsi="宋体"/>
          <w:b/>
          <w:color w:val="auto"/>
          <w:kern w:val="0"/>
          <w:sz w:val="28"/>
          <w:szCs w:val="28"/>
          <w:highlight w:val="none"/>
        </w:rPr>
        <w:t>，</w:t>
      </w:r>
      <w:r>
        <w:rPr>
          <w:rFonts w:ascii="宋体" w:hAnsi="宋体"/>
          <w:b/>
          <w:color w:val="auto"/>
          <w:kern w:val="0"/>
          <w:sz w:val="28"/>
          <w:szCs w:val="28"/>
          <w:highlight w:val="none"/>
        </w:rPr>
        <w:t>如有</w:t>
      </w:r>
      <w:r>
        <w:rPr>
          <w:rFonts w:hint="eastAsia" w:ascii="宋体" w:hAnsi="宋体"/>
          <w:b/>
          <w:color w:val="auto"/>
          <w:kern w:val="0"/>
          <w:sz w:val="28"/>
          <w:szCs w:val="28"/>
          <w:highlight w:val="none"/>
        </w:rPr>
        <w:t>请</w:t>
      </w:r>
      <w:r>
        <w:rPr>
          <w:rFonts w:ascii="宋体" w:hAnsi="宋体"/>
          <w:b/>
          <w:color w:val="auto"/>
          <w:kern w:val="0"/>
          <w:sz w:val="28"/>
          <w:szCs w:val="28"/>
          <w:highlight w:val="none"/>
        </w:rPr>
        <w:t>提供</w:t>
      </w:r>
      <w:r>
        <w:rPr>
          <w:rFonts w:hint="eastAsia" w:ascii="宋体" w:hAnsi="宋体"/>
          <w:b/>
          <w:color w:val="auto"/>
          <w:kern w:val="0"/>
          <w:sz w:val="28"/>
          <w:szCs w:val="28"/>
          <w:highlight w:val="none"/>
        </w:rPr>
        <w:t>）</w:t>
      </w:r>
    </w:p>
    <w:p>
      <w:pPr>
        <w:rPr>
          <w:rFonts w:ascii="Verdana" w:hAnsi="Verdana"/>
          <w:color w:val="auto"/>
          <w:kern w:val="0"/>
          <w:sz w:val="20"/>
          <w:szCs w:val="20"/>
          <w:highlight w:val="none"/>
        </w:rPr>
      </w:pPr>
    </w:p>
    <w:p>
      <w:pPr>
        <w:snapToGrid w:val="0"/>
        <w:spacing w:before="50" w:after="50" w:line="300" w:lineRule="exact"/>
        <w:ind w:right="-817" w:rightChars="-389"/>
        <w:rPr>
          <w:rFonts w:ascii="宋体" w:hAnsi="宋体"/>
          <w:b/>
          <w:color w:val="auto"/>
          <w:szCs w:val="21"/>
          <w:highlight w:val="none"/>
        </w:rPr>
      </w:pPr>
    </w:p>
    <w:p>
      <w:pPr>
        <w:snapToGrid w:val="0"/>
        <w:spacing w:before="50" w:after="50" w:line="300" w:lineRule="exact"/>
        <w:ind w:right="-817" w:rightChars="-389"/>
        <w:rPr>
          <w:rFonts w:ascii="宋体" w:hAnsi="宋体"/>
          <w:b/>
          <w:color w:val="auto"/>
          <w:szCs w:val="21"/>
          <w:highlight w:val="none"/>
        </w:rPr>
      </w:pPr>
    </w:p>
    <w:p>
      <w:pPr>
        <w:snapToGrid w:val="0"/>
        <w:spacing w:before="50" w:after="50" w:line="300" w:lineRule="exact"/>
        <w:ind w:right="-817" w:rightChars="-389"/>
        <w:rPr>
          <w:rFonts w:ascii="宋体" w:hAnsi="宋体"/>
          <w:b/>
          <w:color w:val="auto"/>
          <w:szCs w:val="21"/>
          <w:highlight w:val="none"/>
        </w:rPr>
      </w:pPr>
      <w:r>
        <w:rPr>
          <w:rFonts w:hint="eastAsia" w:ascii="宋体" w:hAnsi="宋体"/>
          <w:b/>
          <w:color w:val="auto"/>
          <w:szCs w:val="21"/>
          <w:highlight w:val="none"/>
        </w:rPr>
        <w:t>中小企业声明函格式</w:t>
      </w:r>
    </w:p>
    <w:p>
      <w:pPr>
        <w:snapToGrid w:val="0"/>
        <w:spacing w:before="50" w:after="50" w:line="440" w:lineRule="exact"/>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p>
    <w:p>
      <w:pPr>
        <w:spacing w:line="588" w:lineRule="exact"/>
        <w:ind w:firstLine="420" w:firstLineChars="200"/>
        <w:rPr>
          <w:color w:val="auto"/>
          <w:szCs w:val="21"/>
          <w:highlight w:val="none"/>
        </w:rPr>
      </w:pPr>
      <w:r>
        <w:rPr>
          <w:rFonts w:hint="eastAsia"/>
          <w:color w:val="auto"/>
          <w:szCs w:val="21"/>
          <w:highlight w:val="none"/>
        </w:rPr>
        <w:t>　　</w:t>
      </w:r>
      <w:r>
        <w:rPr>
          <w:rFonts w:hint="eastAsia" w:ascii="宋体" w:hAnsi="宋体"/>
          <w:color w:val="auto"/>
          <w:spacing w:val="6"/>
          <w:szCs w:val="21"/>
          <w:highlight w:val="none"/>
        </w:rPr>
        <w:t>本公司郑重声明</w:t>
      </w:r>
      <w:r>
        <w:rPr>
          <w:rFonts w:hint="eastAsia"/>
          <w:color w:val="auto"/>
          <w:szCs w:val="21"/>
          <w:highlight w:val="none"/>
        </w:rPr>
        <w:t>，根据《政府采购促进中小企业发展暂行办法》（财库[2011]181号）的规定，本公司为______（请填写：中型、小型、微型）企业。即，本公司同时满足以下条件：</w:t>
      </w:r>
      <w:r>
        <w:rPr>
          <w:rFonts w:hint="eastAsia"/>
          <w:color w:val="auto"/>
          <w:szCs w:val="21"/>
          <w:highlight w:val="none"/>
        </w:rPr>
        <w:br w:type="textWrapping"/>
      </w:r>
      <w:r>
        <w:rPr>
          <w:rFonts w:hint="eastAsia"/>
          <w:color w:val="auto"/>
          <w:szCs w:val="21"/>
          <w:highlight w:val="none"/>
        </w:rPr>
        <w:br w:type="textWrapping"/>
      </w:r>
      <w:r>
        <w:rPr>
          <w:rFonts w:hint="eastAsia"/>
          <w:color w:val="auto"/>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color w:val="auto"/>
          <w:szCs w:val="21"/>
          <w:highlight w:val="none"/>
        </w:rPr>
        <w:br w:type="textWrapping"/>
      </w:r>
      <w:r>
        <w:rPr>
          <w:rFonts w:hint="eastAsia"/>
          <w:color w:val="auto"/>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color w:val="auto"/>
          <w:szCs w:val="21"/>
          <w:highlight w:val="none"/>
        </w:rPr>
        <w:br w:type="textWrapping"/>
      </w:r>
      <w:r>
        <w:rPr>
          <w:rFonts w:hint="eastAsia"/>
          <w:color w:val="auto"/>
          <w:szCs w:val="21"/>
          <w:highlight w:val="none"/>
        </w:rPr>
        <w:t>　　本公司对上述声明的真实性负责。如有虚假，将依法承担相应责任。</w:t>
      </w:r>
    </w:p>
    <w:p>
      <w:pPr>
        <w:rPr>
          <w:color w:val="auto"/>
          <w:szCs w:val="21"/>
          <w:highlight w:val="none"/>
        </w:rPr>
      </w:pPr>
      <w:r>
        <w:rPr>
          <w:rFonts w:hint="eastAsia"/>
          <w:color w:val="auto"/>
          <w:szCs w:val="21"/>
          <w:highlight w:val="none"/>
        </w:rPr>
        <w:t xml:space="preserve">                                       </w:t>
      </w:r>
    </w:p>
    <w:p>
      <w:pPr>
        <w:rPr>
          <w:color w:val="auto"/>
          <w:szCs w:val="21"/>
          <w:highlight w:val="none"/>
        </w:rPr>
      </w:pPr>
    </w:p>
    <w:p>
      <w:pPr>
        <w:rPr>
          <w:color w:val="auto"/>
          <w:szCs w:val="21"/>
          <w:highlight w:val="none"/>
        </w:rPr>
      </w:pPr>
    </w:p>
    <w:p>
      <w:pPr>
        <w:spacing w:line="588" w:lineRule="exact"/>
        <w:ind w:firstLine="3663" w:firstLineChars="1650"/>
        <w:rPr>
          <w:color w:val="auto"/>
          <w:szCs w:val="21"/>
          <w:highlight w:val="none"/>
        </w:rPr>
      </w:pPr>
      <w:r>
        <w:rPr>
          <w:rFonts w:hint="eastAsia" w:ascii="宋体" w:hAnsi="宋体"/>
          <w:color w:val="auto"/>
          <w:spacing w:val="6"/>
          <w:szCs w:val="21"/>
          <w:highlight w:val="none"/>
        </w:rPr>
        <w:t>磋商供应商名称</w:t>
      </w:r>
      <w:r>
        <w:rPr>
          <w:rFonts w:hint="eastAsia"/>
          <w:color w:val="auto"/>
          <w:szCs w:val="21"/>
          <w:highlight w:val="none"/>
        </w:rPr>
        <w:t>（盖章）：　</w:t>
      </w:r>
      <w:r>
        <w:rPr>
          <w:rFonts w:hint="eastAsia"/>
          <w:color w:val="auto"/>
          <w:szCs w:val="21"/>
          <w:highlight w:val="none"/>
        </w:rPr>
        <w:br w:type="textWrapping"/>
      </w:r>
      <w:r>
        <w:rPr>
          <w:rFonts w:hint="eastAsia"/>
          <w:color w:val="auto"/>
          <w:szCs w:val="21"/>
          <w:highlight w:val="none"/>
        </w:rPr>
        <w:t xml:space="preserve">                                      日　      　期：</w:t>
      </w:r>
    </w:p>
    <w:p>
      <w:pPr>
        <w:ind w:firstLine="3675" w:firstLineChars="1750"/>
        <w:rPr>
          <w:color w:val="auto"/>
          <w:szCs w:val="21"/>
          <w:highlight w:val="none"/>
        </w:rPr>
      </w:pPr>
    </w:p>
    <w:p>
      <w:pPr>
        <w:spacing w:line="588" w:lineRule="exact"/>
        <w:rPr>
          <w:rFonts w:ascii="宋体" w:hAnsi="宋体"/>
          <w:color w:val="auto"/>
          <w:spacing w:val="6"/>
          <w:szCs w:val="21"/>
          <w:highlight w:val="none"/>
        </w:rPr>
      </w:pPr>
      <w:r>
        <w:rPr>
          <w:rFonts w:hAnsi="宋体"/>
          <w:color w:val="auto"/>
          <w:highlight w:val="none"/>
        </w:rPr>
        <w:br w:type="page"/>
      </w:r>
      <w:r>
        <w:rPr>
          <w:rFonts w:hint="eastAsia" w:hAnsi="宋体"/>
          <w:color w:val="auto"/>
          <w:highlight w:val="none"/>
        </w:rPr>
        <w:t>残疾人福利性单位声明函</w:t>
      </w:r>
      <w:r>
        <w:rPr>
          <w:rFonts w:hint="eastAsia" w:ascii="宋体" w:hAnsi="宋体"/>
          <w:color w:val="auto"/>
          <w:spacing w:val="6"/>
          <w:szCs w:val="21"/>
          <w:highlight w:val="none"/>
        </w:rPr>
        <w:t>（格式）：</w:t>
      </w:r>
    </w:p>
    <w:p>
      <w:pPr>
        <w:spacing w:line="588" w:lineRule="exact"/>
        <w:jc w:val="center"/>
        <w:rPr>
          <w:rFonts w:ascii="宋体" w:hAnsi="宋体"/>
          <w:b/>
          <w:color w:val="auto"/>
          <w:spacing w:val="6"/>
          <w:sz w:val="30"/>
          <w:szCs w:val="30"/>
          <w:highlight w:val="none"/>
        </w:rPr>
      </w:pPr>
      <w:bookmarkStart w:id="37" w:name="OLE_LINK14"/>
      <w:bookmarkStart w:id="38" w:name="OLE_LINK13"/>
    </w:p>
    <w:p>
      <w:pPr>
        <w:spacing w:line="588" w:lineRule="exact"/>
        <w:jc w:val="center"/>
        <w:rPr>
          <w:rFonts w:ascii="宋体" w:hAnsi="宋体"/>
          <w:b/>
          <w:color w:val="auto"/>
          <w:spacing w:val="6"/>
          <w:sz w:val="30"/>
          <w:szCs w:val="30"/>
          <w:highlight w:val="none"/>
        </w:rPr>
      </w:pPr>
      <w:r>
        <w:rPr>
          <w:rFonts w:hint="eastAsia" w:ascii="宋体" w:hAnsi="宋体"/>
          <w:b/>
          <w:color w:val="auto"/>
          <w:spacing w:val="6"/>
          <w:sz w:val="30"/>
          <w:szCs w:val="30"/>
          <w:highlight w:val="none"/>
        </w:rPr>
        <w:t>残疾人福利性单位声明函</w:t>
      </w:r>
    </w:p>
    <w:bookmarkEnd w:id="37"/>
    <w:bookmarkEnd w:id="38"/>
    <w:p>
      <w:pPr>
        <w:spacing w:line="588" w:lineRule="exact"/>
        <w:rPr>
          <w:rFonts w:ascii="仿宋_GB2312" w:eastAsia="仿宋_GB2312"/>
          <w:b/>
          <w:color w:val="auto"/>
          <w:spacing w:val="6"/>
          <w:sz w:val="30"/>
          <w:szCs w:val="30"/>
          <w:highlight w:val="none"/>
        </w:rPr>
      </w:pP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p>
    <w:p>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磋商供应商名称</w:t>
      </w:r>
      <w:r>
        <w:rPr>
          <w:rFonts w:hint="eastAsia"/>
          <w:color w:val="auto"/>
          <w:szCs w:val="21"/>
          <w:highlight w:val="none"/>
        </w:rPr>
        <w:t>（盖章）：</w:t>
      </w:r>
    </w:p>
    <w:p>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日  期：</w:t>
      </w:r>
    </w:p>
    <w:p>
      <w:pPr>
        <w:pStyle w:val="14"/>
        <w:snapToGrid w:val="0"/>
        <w:spacing w:line="320" w:lineRule="exact"/>
        <w:ind w:firstLine="413" w:firstLineChars="196"/>
        <w:rPr>
          <w:rFonts w:hAnsi="宋体"/>
          <w:b/>
          <w:color w:val="auto"/>
          <w:highlight w:val="none"/>
        </w:rPr>
      </w:pPr>
    </w:p>
    <w:p>
      <w:pPr>
        <w:pStyle w:val="14"/>
        <w:snapToGrid w:val="0"/>
        <w:spacing w:line="320" w:lineRule="exact"/>
        <w:ind w:firstLine="413" w:firstLineChars="196"/>
        <w:rPr>
          <w:rFonts w:hAnsi="宋体"/>
          <w:b/>
          <w:color w:val="auto"/>
          <w:highlight w:val="none"/>
        </w:rPr>
      </w:pPr>
    </w:p>
    <w:p>
      <w:pPr>
        <w:pStyle w:val="14"/>
        <w:snapToGrid w:val="0"/>
        <w:spacing w:line="320" w:lineRule="exact"/>
        <w:ind w:firstLine="413" w:firstLineChars="196"/>
        <w:rPr>
          <w:rFonts w:hAnsi="宋体"/>
          <w:b/>
          <w:color w:val="auto"/>
          <w:highlight w:val="none"/>
        </w:rPr>
      </w:pPr>
      <w:r>
        <w:rPr>
          <w:rFonts w:hint="eastAsia" w:hAnsi="宋体"/>
          <w:b/>
          <w:color w:val="auto"/>
          <w:highlight w:val="none"/>
        </w:rPr>
        <w:t>注：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ind w:firstLine="3500" w:firstLineChars="1750"/>
        <w:rPr>
          <w:rFonts w:ascii="Verdana" w:hAnsi="Verdana"/>
          <w:color w:val="auto"/>
          <w:kern w:val="0"/>
          <w:sz w:val="20"/>
          <w:szCs w:val="20"/>
          <w:highlight w:val="none"/>
        </w:rPr>
      </w:pPr>
    </w:p>
    <w:p>
      <w:pPr>
        <w:rPr>
          <w:rFonts w:ascii="Verdana" w:hAnsi="Verdana"/>
          <w:color w:val="auto"/>
          <w:kern w:val="0"/>
          <w:sz w:val="20"/>
          <w:szCs w:val="20"/>
          <w:highlight w:val="none"/>
        </w:rPr>
      </w:pPr>
    </w:p>
    <w:p>
      <w:pPr>
        <w:rPr>
          <w:rFonts w:ascii="Verdana" w:hAnsi="Verdana"/>
          <w:color w:val="auto"/>
          <w:kern w:val="0"/>
          <w:sz w:val="20"/>
          <w:szCs w:val="20"/>
          <w:highlight w:val="none"/>
        </w:rPr>
      </w:pPr>
    </w:p>
    <w:p>
      <w:pPr>
        <w:spacing w:line="500" w:lineRule="exact"/>
        <w:rPr>
          <w:rFonts w:ascii="黑体" w:hAnsi="黑体" w:eastAsia="黑体"/>
          <w:b/>
          <w:color w:val="auto"/>
          <w:sz w:val="32"/>
          <w:szCs w:val="32"/>
          <w:highlight w:val="none"/>
        </w:rPr>
      </w:pPr>
      <w:bookmarkStart w:id="39" w:name="_Toc354479518"/>
      <w:r>
        <w:rPr>
          <w:rFonts w:ascii="宋体" w:hAnsi="宋体"/>
          <w:bCs/>
          <w:color w:val="auto"/>
          <w:highlight w:val="none"/>
        </w:rPr>
        <w:br w:type="page"/>
      </w:r>
    </w:p>
    <w:p>
      <w:pPr>
        <w:spacing w:line="500" w:lineRule="exact"/>
        <w:rPr>
          <w:rFonts w:ascii="黑体" w:hAnsi="黑体" w:eastAsia="黑体"/>
          <w:b/>
          <w:color w:val="auto"/>
          <w:sz w:val="32"/>
          <w:szCs w:val="32"/>
          <w:highlight w:val="none"/>
        </w:rPr>
      </w:pPr>
    </w:p>
    <w:p>
      <w:pPr>
        <w:spacing w:line="500" w:lineRule="exact"/>
        <w:ind w:left="2002"/>
        <w:rPr>
          <w:rFonts w:ascii="黑体" w:hAnsi="黑体" w:eastAsia="黑体"/>
          <w:b/>
          <w:color w:val="auto"/>
          <w:sz w:val="32"/>
          <w:szCs w:val="32"/>
          <w:highlight w:val="none"/>
        </w:rPr>
      </w:pPr>
    </w:p>
    <w:p>
      <w:pPr>
        <w:spacing w:line="500" w:lineRule="exact"/>
        <w:rPr>
          <w:rFonts w:ascii="黑体" w:hAnsi="黑体" w:eastAsia="黑体"/>
          <w:b/>
          <w:color w:val="auto"/>
          <w:sz w:val="32"/>
          <w:szCs w:val="32"/>
          <w:highlight w:val="none"/>
        </w:rPr>
      </w:pPr>
    </w:p>
    <w:p>
      <w:pPr>
        <w:spacing w:line="500" w:lineRule="exact"/>
        <w:rPr>
          <w:rFonts w:ascii="黑体" w:hAnsi="黑体" w:eastAsia="黑体"/>
          <w:b/>
          <w:color w:val="auto"/>
          <w:sz w:val="32"/>
          <w:szCs w:val="32"/>
          <w:highlight w:val="none"/>
        </w:rPr>
      </w:pPr>
    </w:p>
    <w:bookmarkEnd w:id="39"/>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pStyle w:val="14"/>
        <w:tabs>
          <w:tab w:val="left" w:pos="7380"/>
        </w:tabs>
        <w:spacing w:line="500" w:lineRule="exact"/>
        <w:ind w:right="-153" w:rightChars="-73"/>
        <w:jc w:val="center"/>
        <w:rPr>
          <w:rFonts w:hAnsi="宋体"/>
          <w:b/>
          <w:color w:val="auto"/>
          <w:sz w:val="52"/>
          <w:szCs w:val="52"/>
          <w:highlight w:val="none"/>
        </w:rPr>
      </w:pPr>
      <w:r>
        <w:rPr>
          <w:rFonts w:hint="eastAsia" w:hAnsi="宋体"/>
          <w:b/>
          <w:color w:val="auto"/>
          <w:sz w:val="52"/>
          <w:szCs w:val="52"/>
          <w:highlight w:val="none"/>
        </w:rPr>
        <w:t>三、商务技术文件</w:t>
      </w: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p>
    <w:p>
      <w:pPr>
        <w:pStyle w:val="14"/>
        <w:tabs>
          <w:tab w:val="left" w:pos="7380"/>
        </w:tabs>
        <w:spacing w:line="500" w:lineRule="exact"/>
        <w:ind w:right="-153" w:rightChars="-73"/>
        <w:jc w:val="center"/>
        <w:rPr>
          <w:rFonts w:hAnsi="宋体"/>
          <w:b/>
          <w:color w:val="auto"/>
          <w:sz w:val="36"/>
          <w:szCs w:val="36"/>
          <w:highlight w:val="none"/>
        </w:rPr>
      </w:pPr>
      <w:r>
        <w:rPr>
          <w:rFonts w:hAnsi="宋体"/>
          <w:b/>
          <w:color w:val="auto"/>
          <w:sz w:val="36"/>
          <w:szCs w:val="36"/>
          <w:highlight w:val="none"/>
        </w:rPr>
        <w:br w:type="page"/>
      </w:r>
    </w:p>
    <w:p>
      <w:pPr>
        <w:pStyle w:val="14"/>
        <w:numPr>
          <w:ilvl w:val="0"/>
          <w:numId w:val="9"/>
        </w:numPr>
        <w:spacing w:line="560" w:lineRule="exact"/>
        <w:ind w:firstLine="281" w:firstLineChars="100"/>
        <w:rPr>
          <w:rFonts w:hAnsi="宋体"/>
          <w:b/>
          <w:color w:val="auto"/>
          <w:sz w:val="28"/>
          <w:szCs w:val="28"/>
          <w:highlight w:val="none"/>
        </w:rPr>
      </w:pPr>
      <w:r>
        <w:rPr>
          <w:rFonts w:hint="eastAsia" w:hAnsi="宋体"/>
          <w:b/>
          <w:color w:val="auto"/>
          <w:sz w:val="28"/>
          <w:szCs w:val="28"/>
          <w:highlight w:val="none"/>
        </w:rPr>
        <w:t>企业情况（格式自拟）</w:t>
      </w:r>
    </w:p>
    <w:p>
      <w:pPr>
        <w:pStyle w:val="14"/>
        <w:spacing w:line="560" w:lineRule="exact"/>
        <w:rPr>
          <w:rFonts w:hAnsi="宋体"/>
          <w:b/>
          <w:color w:val="auto"/>
          <w:sz w:val="28"/>
          <w:szCs w:val="28"/>
          <w:highlight w:val="none"/>
        </w:rPr>
      </w:pPr>
    </w:p>
    <w:p>
      <w:pPr>
        <w:pStyle w:val="14"/>
        <w:spacing w:line="440" w:lineRule="exact"/>
        <w:ind w:firstLine="321" w:firstLineChars="100"/>
        <w:rPr>
          <w:rFonts w:hAnsi="宋体"/>
          <w:b/>
          <w:bCs/>
          <w:color w:val="auto"/>
          <w:sz w:val="32"/>
          <w:szCs w:val="32"/>
          <w:highlight w:val="none"/>
        </w:rPr>
      </w:pPr>
      <w:r>
        <w:rPr>
          <w:rFonts w:hint="eastAsia" w:hAnsi="宋体"/>
          <w:b/>
          <w:bCs/>
          <w:color w:val="auto"/>
          <w:sz w:val="32"/>
          <w:szCs w:val="32"/>
          <w:highlight w:val="none"/>
        </w:rPr>
        <w:t>二、技术响应表（必须提供）；</w:t>
      </w:r>
    </w:p>
    <w:p>
      <w:pPr>
        <w:snapToGrid w:val="0"/>
        <w:spacing w:before="50" w:after="50"/>
        <w:rPr>
          <w:rFonts w:ascii="宋体" w:hAnsi="宋体"/>
          <w:b/>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 w:val="30"/>
          <w:szCs w:val="30"/>
          <w:highlight w:val="none"/>
        </w:rPr>
        <w:t xml:space="preserve">                       技术响应表（格式）；</w:t>
      </w:r>
      <w:r>
        <w:rPr>
          <w:rFonts w:hint="eastAsia" w:ascii="宋体" w:hAnsi="宋体"/>
          <w:b/>
          <w:color w:val="auto"/>
          <w:szCs w:val="21"/>
          <w:highlight w:val="none"/>
        </w:rPr>
        <w:t xml:space="preserve"> </w:t>
      </w:r>
    </w:p>
    <w:tbl>
      <w:tblPr>
        <w:tblStyle w:val="24"/>
        <w:tblpPr w:leftFromText="180" w:rightFromText="180" w:vertAnchor="text" w:tblpY="1"/>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40"/>
        <w:gridCol w:w="2966"/>
        <w:gridCol w:w="2394"/>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90" w:type="dxa"/>
            <w:tcBorders>
              <w:top w:val="single" w:color="auto" w:sz="4" w:space="0"/>
              <w:left w:val="single" w:color="auto" w:sz="4" w:space="0"/>
              <w:bottom w:val="single" w:color="auto" w:sz="4" w:space="0"/>
              <w:right w:val="single" w:color="auto" w:sz="4" w:space="0"/>
            </w:tcBorders>
          </w:tcPr>
          <w:p>
            <w:pPr>
              <w:pStyle w:val="14"/>
              <w:spacing w:before="240"/>
              <w:jc w:val="center"/>
              <w:rPr>
                <w:rFonts w:hAnsi="宋体"/>
                <w:bCs/>
                <w:color w:val="auto"/>
                <w:highlight w:val="none"/>
              </w:rPr>
            </w:pPr>
            <w:r>
              <w:rPr>
                <w:rFonts w:hint="eastAsia" w:hAnsi="宋体"/>
                <w:bCs/>
                <w:color w:val="auto"/>
                <w:highlight w:val="none"/>
              </w:rPr>
              <w:t>项号</w:t>
            </w:r>
          </w:p>
        </w:tc>
        <w:tc>
          <w:tcPr>
            <w:tcW w:w="1540" w:type="dxa"/>
            <w:tcBorders>
              <w:top w:val="single" w:color="auto" w:sz="4" w:space="0"/>
              <w:left w:val="single" w:color="auto" w:sz="4" w:space="0"/>
              <w:bottom w:val="single" w:color="auto" w:sz="4" w:space="0"/>
              <w:right w:val="single" w:color="auto" w:sz="4" w:space="0"/>
            </w:tcBorders>
          </w:tcPr>
          <w:p>
            <w:pPr>
              <w:pStyle w:val="14"/>
              <w:spacing w:before="240"/>
              <w:jc w:val="center"/>
              <w:rPr>
                <w:rFonts w:hAnsi="宋体"/>
                <w:bCs/>
                <w:color w:val="auto"/>
                <w:highlight w:val="none"/>
              </w:rPr>
            </w:pPr>
            <w:r>
              <w:rPr>
                <w:rFonts w:hint="eastAsia" w:hAnsi="宋体"/>
                <w:bCs/>
                <w:color w:val="auto"/>
                <w:highlight w:val="none"/>
              </w:rPr>
              <w:t>货物项目名称</w:t>
            </w:r>
          </w:p>
        </w:tc>
        <w:tc>
          <w:tcPr>
            <w:tcW w:w="2966" w:type="dxa"/>
            <w:tcBorders>
              <w:top w:val="single" w:color="auto" w:sz="4" w:space="0"/>
              <w:left w:val="single" w:color="auto" w:sz="4" w:space="0"/>
              <w:bottom w:val="single" w:color="auto" w:sz="4" w:space="0"/>
              <w:right w:val="single" w:color="auto" w:sz="4" w:space="0"/>
            </w:tcBorders>
          </w:tcPr>
          <w:p>
            <w:pPr>
              <w:pStyle w:val="64"/>
              <w:spacing w:before="27" w:line="261" w:lineRule="auto"/>
              <w:ind w:left="459" w:right="142" w:hanging="315"/>
              <w:jc w:val="center"/>
              <w:rPr>
                <w:rFonts w:hAnsi="宋体"/>
                <w:color w:val="auto"/>
                <w:highlight w:val="none"/>
              </w:rPr>
            </w:pPr>
            <w:r>
              <w:rPr>
                <w:rFonts w:ascii="宋体" w:hAnsi="宋体" w:cs="宋体"/>
                <w:color w:val="auto"/>
                <w:szCs w:val="21"/>
                <w:highlight w:val="none"/>
              </w:rPr>
              <w:t>采购需求（</w:t>
            </w:r>
            <w:r>
              <w:rPr>
                <w:rFonts w:hint="eastAsia" w:ascii="宋体" w:hAnsi="宋体" w:cs="宋体"/>
                <w:color w:val="auto"/>
                <w:szCs w:val="21"/>
                <w:highlight w:val="none"/>
              </w:rPr>
              <w:t>规格型号及技术指标</w:t>
            </w:r>
            <w:r>
              <w:rPr>
                <w:rFonts w:ascii="宋体" w:hAnsi="宋体" w:cs="宋体"/>
                <w:color w:val="auto"/>
                <w:szCs w:val="21"/>
                <w:highlight w:val="none"/>
              </w:rPr>
              <w:t>等要求）</w:t>
            </w:r>
          </w:p>
        </w:tc>
        <w:tc>
          <w:tcPr>
            <w:tcW w:w="2394" w:type="dxa"/>
            <w:tcBorders>
              <w:top w:val="single" w:color="auto" w:sz="4" w:space="0"/>
              <w:left w:val="single" w:color="auto" w:sz="4" w:space="0"/>
              <w:bottom w:val="single" w:color="auto" w:sz="4" w:space="0"/>
              <w:right w:val="single" w:color="auto" w:sz="4" w:space="0"/>
            </w:tcBorders>
            <w:vAlign w:val="center"/>
          </w:tcPr>
          <w:p>
            <w:pPr>
              <w:pStyle w:val="64"/>
              <w:spacing w:line="261" w:lineRule="auto"/>
              <w:ind w:left="392" w:right="182" w:hanging="209"/>
              <w:jc w:val="center"/>
              <w:rPr>
                <w:rFonts w:hAnsi="宋体"/>
                <w:color w:val="auto"/>
                <w:highlight w:val="none"/>
              </w:rPr>
            </w:pPr>
            <w:r>
              <w:rPr>
                <w:rFonts w:ascii="宋体" w:hAnsi="宋体" w:cs="宋体"/>
                <w:color w:val="auto"/>
                <w:szCs w:val="21"/>
                <w:highlight w:val="none"/>
              </w:rPr>
              <w:t>响应</w:t>
            </w:r>
            <w:r>
              <w:rPr>
                <w:rFonts w:hint="eastAsia" w:ascii="宋体" w:hAnsi="宋体" w:cs="宋体"/>
                <w:color w:val="auto"/>
                <w:szCs w:val="21"/>
                <w:highlight w:val="none"/>
              </w:rPr>
              <w:t>产品</w:t>
            </w:r>
            <w:r>
              <w:rPr>
                <w:rFonts w:ascii="宋体" w:hAnsi="宋体" w:cs="宋体"/>
                <w:color w:val="auto"/>
                <w:szCs w:val="21"/>
                <w:highlight w:val="none"/>
              </w:rPr>
              <w:t>（</w:t>
            </w:r>
            <w:r>
              <w:rPr>
                <w:rFonts w:hint="eastAsia" w:ascii="宋体" w:hAnsi="宋体" w:cs="宋体"/>
                <w:color w:val="auto"/>
                <w:szCs w:val="21"/>
                <w:highlight w:val="none"/>
              </w:rPr>
              <w:t>规格型号及技术指标</w:t>
            </w:r>
            <w:r>
              <w:rPr>
                <w:rFonts w:ascii="宋体" w:hAnsi="宋体" w:cs="宋体"/>
                <w:color w:val="auto"/>
                <w:szCs w:val="21"/>
                <w:highlight w:val="none"/>
              </w:rPr>
              <w:t>等情况）</w:t>
            </w:r>
          </w:p>
        </w:tc>
        <w:tc>
          <w:tcPr>
            <w:tcW w:w="1840" w:type="dxa"/>
            <w:tcBorders>
              <w:top w:val="single" w:color="auto" w:sz="4" w:space="0"/>
              <w:left w:val="single" w:color="auto" w:sz="4" w:space="0"/>
              <w:bottom w:val="single" w:color="auto" w:sz="4" w:space="0"/>
              <w:right w:val="single" w:color="auto" w:sz="4" w:space="0"/>
            </w:tcBorders>
          </w:tcPr>
          <w:p>
            <w:pPr>
              <w:pStyle w:val="64"/>
              <w:spacing w:before="11"/>
              <w:jc w:val="center"/>
              <w:rPr>
                <w:rFonts w:ascii="宋体" w:hAnsi="宋体" w:cs="宋体"/>
                <w:b/>
                <w:bCs/>
                <w:color w:val="auto"/>
                <w:sz w:val="15"/>
                <w:szCs w:val="15"/>
                <w:highlight w:val="none"/>
              </w:rPr>
            </w:pPr>
          </w:p>
          <w:p>
            <w:pPr>
              <w:pStyle w:val="64"/>
              <w:ind w:left="326"/>
              <w:jc w:val="center"/>
              <w:rPr>
                <w:rFonts w:hAnsi="宋体"/>
                <w:bCs/>
                <w:color w:val="auto"/>
                <w:highlight w:val="none"/>
              </w:rPr>
            </w:pPr>
            <w:r>
              <w:rPr>
                <w:rFonts w:ascii="宋体" w:hAnsi="宋体" w:cs="宋体"/>
                <w:color w:val="auto"/>
                <w:szCs w:val="21"/>
                <w:highlight w:val="none"/>
              </w:rPr>
              <w:t>偏离</w:t>
            </w:r>
            <w:r>
              <w:rPr>
                <w:rFonts w:hint="eastAsia" w:ascii="宋体" w:hAnsi="宋体" w:cs="宋体"/>
                <w:color w:val="auto"/>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0" w:type="dxa"/>
            <w:tcBorders>
              <w:left w:val="single" w:color="auto" w:sz="4" w:space="0"/>
              <w:bottom w:val="single" w:color="auto" w:sz="4" w:space="0"/>
              <w:right w:val="single" w:color="auto" w:sz="4" w:space="0"/>
            </w:tcBorders>
          </w:tcPr>
          <w:p>
            <w:pPr>
              <w:pStyle w:val="14"/>
              <w:spacing w:before="240" w:line="300" w:lineRule="exact"/>
              <w:jc w:val="center"/>
              <w:rPr>
                <w:rFonts w:hAnsi="宋体"/>
                <w:color w:val="auto"/>
                <w:highlight w:val="none"/>
              </w:rPr>
            </w:pPr>
          </w:p>
        </w:tc>
        <w:tc>
          <w:tcPr>
            <w:tcW w:w="1540" w:type="dxa"/>
            <w:tcBorders>
              <w:left w:val="single" w:color="auto" w:sz="4" w:space="0"/>
              <w:bottom w:val="single" w:color="auto" w:sz="4" w:space="0"/>
              <w:right w:val="single" w:color="auto" w:sz="4" w:space="0"/>
            </w:tcBorders>
          </w:tcPr>
          <w:p>
            <w:pPr>
              <w:pStyle w:val="14"/>
              <w:spacing w:before="240" w:line="300" w:lineRule="exact"/>
              <w:rPr>
                <w:rFonts w:hAnsi="宋体"/>
                <w:color w:val="auto"/>
                <w:sz w:val="3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2394"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1840"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0" w:type="dxa"/>
            <w:tcBorders>
              <w:left w:val="single" w:color="auto" w:sz="4" w:space="0"/>
              <w:bottom w:val="single" w:color="auto" w:sz="4" w:space="0"/>
              <w:right w:val="single" w:color="auto" w:sz="4" w:space="0"/>
            </w:tcBorders>
          </w:tcPr>
          <w:p>
            <w:pPr>
              <w:pStyle w:val="14"/>
              <w:spacing w:before="240" w:line="300" w:lineRule="exact"/>
              <w:jc w:val="center"/>
              <w:rPr>
                <w:rFonts w:hAnsi="宋体"/>
                <w:color w:val="auto"/>
                <w:highlight w:val="none"/>
              </w:rPr>
            </w:pPr>
          </w:p>
        </w:tc>
        <w:tc>
          <w:tcPr>
            <w:tcW w:w="1540" w:type="dxa"/>
            <w:tcBorders>
              <w:left w:val="single" w:color="auto" w:sz="4" w:space="0"/>
              <w:bottom w:val="single" w:color="auto" w:sz="4" w:space="0"/>
              <w:right w:val="single" w:color="auto" w:sz="4" w:space="0"/>
            </w:tcBorders>
          </w:tcPr>
          <w:p>
            <w:pPr>
              <w:pStyle w:val="14"/>
              <w:spacing w:before="240" w:line="300" w:lineRule="exact"/>
              <w:rPr>
                <w:rFonts w:hAnsi="宋体"/>
                <w:color w:val="auto"/>
                <w:sz w:val="3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2394"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1840"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0" w:type="dxa"/>
            <w:tcBorders>
              <w:left w:val="single" w:color="auto" w:sz="4" w:space="0"/>
              <w:bottom w:val="single" w:color="auto" w:sz="4" w:space="0"/>
              <w:right w:val="single" w:color="auto" w:sz="4" w:space="0"/>
            </w:tcBorders>
          </w:tcPr>
          <w:p>
            <w:pPr>
              <w:pStyle w:val="14"/>
              <w:spacing w:before="240" w:line="300" w:lineRule="exact"/>
              <w:jc w:val="center"/>
              <w:rPr>
                <w:rFonts w:hAnsi="宋体"/>
                <w:color w:val="auto"/>
                <w:highlight w:val="none"/>
              </w:rPr>
            </w:pPr>
          </w:p>
        </w:tc>
        <w:tc>
          <w:tcPr>
            <w:tcW w:w="1540" w:type="dxa"/>
            <w:tcBorders>
              <w:left w:val="single" w:color="auto" w:sz="4" w:space="0"/>
              <w:bottom w:val="single" w:color="auto" w:sz="4" w:space="0"/>
              <w:right w:val="single" w:color="auto" w:sz="4" w:space="0"/>
            </w:tcBorders>
          </w:tcPr>
          <w:p>
            <w:pPr>
              <w:pStyle w:val="14"/>
              <w:spacing w:before="240" w:line="300" w:lineRule="exact"/>
              <w:rPr>
                <w:rFonts w:hAnsi="宋体"/>
                <w:color w:val="auto"/>
                <w:sz w:val="32"/>
                <w:highlight w:val="none"/>
              </w:rPr>
            </w:pPr>
          </w:p>
        </w:tc>
        <w:tc>
          <w:tcPr>
            <w:tcW w:w="2966"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2394"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c>
          <w:tcPr>
            <w:tcW w:w="1840" w:type="dxa"/>
            <w:tcBorders>
              <w:top w:val="single" w:color="auto" w:sz="4" w:space="0"/>
              <w:left w:val="single" w:color="auto" w:sz="4" w:space="0"/>
              <w:bottom w:val="single" w:color="auto" w:sz="4" w:space="0"/>
              <w:right w:val="single" w:color="auto" w:sz="4" w:space="0"/>
            </w:tcBorders>
          </w:tcPr>
          <w:p>
            <w:pPr>
              <w:pStyle w:val="14"/>
              <w:spacing w:before="240" w:line="300" w:lineRule="exact"/>
              <w:jc w:val="center"/>
              <w:rPr>
                <w:rFonts w:hAnsi="宋体"/>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0" w:type="dxa"/>
            <w:tcBorders>
              <w:top w:val="single" w:color="auto" w:sz="4" w:space="0"/>
              <w:left w:val="single" w:color="auto" w:sz="4" w:space="0"/>
              <w:bottom w:val="single" w:color="auto" w:sz="4" w:space="0"/>
              <w:right w:val="single" w:color="auto" w:sz="4" w:space="0"/>
            </w:tcBorders>
            <w:vAlign w:val="center"/>
          </w:tcPr>
          <w:p>
            <w:pPr>
              <w:pStyle w:val="14"/>
              <w:spacing w:before="240" w:line="300" w:lineRule="exact"/>
              <w:jc w:val="center"/>
              <w:rPr>
                <w:rFonts w:hAnsi="宋体"/>
                <w:color w:val="auto"/>
                <w:highlight w:val="none"/>
              </w:rPr>
            </w:pPr>
            <w:r>
              <w:rPr>
                <w:rFonts w:hint="eastAsia" w:hAnsi="宋体"/>
                <w:color w:val="auto"/>
                <w:sz w:val="32"/>
                <w:highlight w:val="none"/>
              </w:rPr>
              <w:t>……</w:t>
            </w:r>
          </w:p>
        </w:tc>
        <w:tc>
          <w:tcPr>
            <w:tcW w:w="1540" w:type="dxa"/>
            <w:tcBorders>
              <w:top w:val="single" w:color="auto" w:sz="4" w:space="0"/>
              <w:left w:val="single" w:color="auto" w:sz="4" w:space="0"/>
              <w:bottom w:val="single" w:color="auto" w:sz="4" w:space="0"/>
              <w:right w:val="single" w:color="auto" w:sz="4" w:space="0"/>
            </w:tcBorders>
            <w:vAlign w:val="center"/>
          </w:tcPr>
          <w:p>
            <w:pPr>
              <w:pStyle w:val="14"/>
              <w:spacing w:before="240" w:line="300" w:lineRule="exact"/>
              <w:jc w:val="center"/>
              <w:rPr>
                <w:rFonts w:hAnsi="宋体"/>
                <w:color w:val="auto"/>
                <w:sz w:val="32"/>
                <w:highlight w:val="none"/>
              </w:rPr>
            </w:pPr>
            <w:r>
              <w:rPr>
                <w:rFonts w:hint="eastAsia" w:hAnsi="宋体"/>
                <w:color w:val="auto"/>
                <w:sz w:val="32"/>
                <w:highlight w:val="none"/>
              </w:rPr>
              <w:t>……</w:t>
            </w:r>
          </w:p>
        </w:tc>
        <w:tc>
          <w:tcPr>
            <w:tcW w:w="2966" w:type="dxa"/>
            <w:tcBorders>
              <w:top w:val="single" w:color="auto" w:sz="4" w:space="0"/>
              <w:left w:val="single" w:color="auto" w:sz="4" w:space="0"/>
              <w:bottom w:val="single" w:color="auto" w:sz="4" w:space="0"/>
              <w:right w:val="single" w:color="auto" w:sz="4" w:space="0"/>
            </w:tcBorders>
            <w:vAlign w:val="center"/>
          </w:tcPr>
          <w:p>
            <w:pPr>
              <w:pStyle w:val="14"/>
              <w:spacing w:before="240" w:line="300" w:lineRule="exact"/>
              <w:jc w:val="center"/>
              <w:rPr>
                <w:rFonts w:hAnsi="宋体"/>
                <w:color w:val="auto"/>
                <w:sz w:val="32"/>
                <w:highlight w:val="none"/>
              </w:rPr>
            </w:pPr>
            <w:r>
              <w:rPr>
                <w:rFonts w:hint="eastAsia" w:hAnsi="宋体"/>
                <w:color w:val="auto"/>
                <w:sz w:val="32"/>
                <w:highlight w:val="none"/>
              </w:rPr>
              <w:t>……</w:t>
            </w:r>
          </w:p>
        </w:tc>
        <w:tc>
          <w:tcPr>
            <w:tcW w:w="2394" w:type="dxa"/>
            <w:tcBorders>
              <w:top w:val="single" w:color="auto" w:sz="4" w:space="0"/>
              <w:left w:val="single" w:color="auto" w:sz="4" w:space="0"/>
              <w:bottom w:val="single" w:color="auto" w:sz="4" w:space="0"/>
              <w:right w:val="single" w:color="auto" w:sz="4" w:space="0"/>
            </w:tcBorders>
            <w:vAlign w:val="center"/>
          </w:tcPr>
          <w:p>
            <w:pPr>
              <w:pStyle w:val="14"/>
              <w:spacing w:before="240" w:line="300" w:lineRule="exact"/>
              <w:jc w:val="center"/>
              <w:rPr>
                <w:rFonts w:hAnsi="宋体"/>
                <w:color w:val="auto"/>
                <w:sz w:val="32"/>
                <w:highlight w:val="none"/>
              </w:rPr>
            </w:pPr>
            <w:r>
              <w:rPr>
                <w:rFonts w:hint="eastAsia" w:hAnsi="宋体"/>
                <w:color w:val="auto"/>
                <w:sz w:val="32"/>
                <w:highlight w:val="none"/>
              </w:rPr>
              <w:t>……</w:t>
            </w:r>
          </w:p>
        </w:tc>
        <w:tc>
          <w:tcPr>
            <w:tcW w:w="1840" w:type="dxa"/>
            <w:tcBorders>
              <w:top w:val="single" w:color="auto" w:sz="4" w:space="0"/>
              <w:left w:val="single" w:color="auto" w:sz="4" w:space="0"/>
              <w:bottom w:val="single" w:color="auto" w:sz="4" w:space="0"/>
              <w:right w:val="single" w:color="auto" w:sz="4" w:space="0"/>
            </w:tcBorders>
            <w:vAlign w:val="center"/>
          </w:tcPr>
          <w:p>
            <w:pPr>
              <w:pStyle w:val="14"/>
              <w:spacing w:before="240" w:line="300" w:lineRule="exact"/>
              <w:jc w:val="center"/>
              <w:rPr>
                <w:rFonts w:hAnsi="宋体"/>
                <w:color w:val="auto"/>
                <w:sz w:val="32"/>
                <w:highlight w:val="none"/>
              </w:rPr>
            </w:pPr>
            <w:r>
              <w:rPr>
                <w:rFonts w:hint="eastAsia" w:hAnsi="宋体"/>
                <w:color w:val="auto"/>
                <w:sz w:val="32"/>
                <w:highlight w:val="none"/>
              </w:rPr>
              <w:t>……</w:t>
            </w:r>
          </w:p>
        </w:tc>
      </w:tr>
    </w:tbl>
    <w:p>
      <w:pPr>
        <w:pStyle w:val="10"/>
        <w:rPr>
          <w:rFonts w:ascii="宋体" w:hAnsi="宋体"/>
          <w:color w:val="auto"/>
          <w:sz w:val="21"/>
          <w:szCs w:val="21"/>
          <w:highlight w:val="none"/>
        </w:rPr>
      </w:pPr>
    </w:p>
    <w:p>
      <w:pPr>
        <w:pStyle w:val="10"/>
        <w:rPr>
          <w:rFonts w:ascii="宋体" w:hAnsi="宋体"/>
          <w:color w:val="auto"/>
          <w:sz w:val="21"/>
          <w:szCs w:val="21"/>
          <w:highlight w:val="none"/>
        </w:rPr>
      </w:pPr>
    </w:p>
    <w:p>
      <w:pPr>
        <w:pStyle w:val="10"/>
        <w:rPr>
          <w:rFonts w:ascii="宋体" w:hAnsi="宋体"/>
          <w:color w:val="auto"/>
          <w:sz w:val="21"/>
          <w:szCs w:val="21"/>
          <w:highlight w:val="none"/>
        </w:rPr>
      </w:pPr>
      <w:r>
        <w:rPr>
          <w:rFonts w:hint="eastAsia" w:ascii="宋体" w:hAnsi="宋体"/>
          <w:color w:val="auto"/>
          <w:sz w:val="21"/>
          <w:szCs w:val="21"/>
          <w:highlight w:val="none"/>
        </w:rPr>
        <w:t>注：1、磋商供应商应根据投标设备的性能指标、对照招标文件要求在“偏离情况”栏注明“正偏离”、“负偏离”或“无偏离”。（正偏离视为优于采购要求）</w:t>
      </w:r>
    </w:p>
    <w:p>
      <w:pPr>
        <w:pStyle w:val="10"/>
        <w:ind w:firstLine="422" w:firstLineChars="200"/>
        <w:rPr>
          <w:rFonts w:ascii="宋体" w:hAnsi="宋体"/>
          <w:color w:val="auto"/>
          <w:spacing w:val="20"/>
          <w:sz w:val="21"/>
          <w:szCs w:val="21"/>
          <w:highlight w:val="none"/>
        </w:rPr>
      </w:pPr>
      <w:r>
        <w:rPr>
          <w:rFonts w:hint="eastAsia" w:ascii="宋体" w:hAnsi="宋体"/>
          <w:color w:val="auto"/>
          <w:sz w:val="21"/>
          <w:szCs w:val="21"/>
          <w:highlight w:val="none"/>
        </w:rPr>
        <w:t xml:space="preserve">  </w:t>
      </w:r>
    </w:p>
    <w:p>
      <w:pPr>
        <w:snapToGrid w:val="0"/>
        <w:spacing w:before="50" w:after="50" w:line="320" w:lineRule="exact"/>
        <w:ind w:left="-2" w:leftChars="-1" w:right="-817" w:rightChars="-389"/>
        <w:rPr>
          <w:rFonts w:ascii="宋体" w:hAnsi="宋体"/>
          <w:color w:val="auto"/>
          <w:szCs w:val="21"/>
          <w:highlight w:val="none"/>
        </w:rPr>
      </w:pPr>
    </w:p>
    <w:p>
      <w:pPr>
        <w:snapToGrid w:val="0"/>
        <w:spacing w:before="50" w:after="50" w:line="320" w:lineRule="exact"/>
        <w:ind w:left="-2" w:leftChars="-1" w:right="-817" w:rightChars="-389"/>
        <w:rPr>
          <w:rFonts w:ascii="宋体" w:hAnsi="宋体"/>
          <w:color w:val="auto"/>
          <w:szCs w:val="21"/>
          <w:highlight w:val="none"/>
        </w:rPr>
      </w:pPr>
    </w:p>
    <w:p>
      <w:pPr>
        <w:snapToGrid w:val="0"/>
        <w:spacing w:before="50" w:after="50" w:line="320" w:lineRule="exact"/>
        <w:ind w:left="-2" w:leftChars="-1" w:right="-817" w:rightChars="-389"/>
        <w:rPr>
          <w:rFonts w:ascii="宋体" w:hAnsi="宋体"/>
          <w:color w:val="auto"/>
          <w:szCs w:val="21"/>
          <w:highlight w:val="none"/>
          <w:u w:val="single"/>
        </w:rPr>
      </w:pPr>
      <w:r>
        <w:rPr>
          <w:rFonts w:hint="eastAsia" w:ascii="宋体" w:hAnsi="宋体"/>
          <w:color w:val="auto"/>
          <w:szCs w:val="21"/>
          <w:highlight w:val="none"/>
        </w:rPr>
        <w:t xml:space="preserve">法定代表人或授权委托代理人（签字）： </w:t>
      </w:r>
      <w:r>
        <w:rPr>
          <w:rFonts w:hint="eastAsia" w:ascii="宋体" w:hAnsi="宋体"/>
          <w:color w:val="auto"/>
          <w:szCs w:val="21"/>
          <w:highlight w:val="none"/>
          <w:u w:val="single"/>
        </w:rPr>
        <w:t xml:space="preserve">                   </w:t>
      </w:r>
    </w:p>
    <w:p>
      <w:pPr>
        <w:snapToGrid w:val="0"/>
        <w:spacing w:before="50" w:after="50" w:line="360" w:lineRule="exact"/>
        <w:ind w:right="-817" w:rightChars="-389"/>
        <w:rPr>
          <w:rFonts w:ascii="宋体" w:hAnsi="宋体"/>
          <w:color w:val="auto"/>
          <w:szCs w:val="21"/>
          <w:highlight w:val="none"/>
          <w:u w:val="single"/>
        </w:rPr>
      </w:pPr>
      <w:r>
        <w:rPr>
          <w:rFonts w:hint="eastAsia" w:ascii="宋体" w:hAnsi="宋体"/>
          <w:color w:val="auto"/>
          <w:szCs w:val="21"/>
          <w:highlight w:val="none"/>
        </w:rPr>
        <w:t>供应商名称（公章）：</w:t>
      </w:r>
      <w:r>
        <w:rPr>
          <w:rFonts w:hint="eastAsia" w:ascii="宋体" w:hAnsi="宋体"/>
          <w:color w:val="auto"/>
          <w:szCs w:val="21"/>
          <w:highlight w:val="none"/>
          <w:u w:val="single"/>
        </w:rPr>
        <w:t xml:space="preserve">                                 </w:t>
      </w:r>
    </w:p>
    <w:p>
      <w:pPr>
        <w:snapToGrid w:val="0"/>
        <w:spacing w:before="50" w:after="50" w:line="360" w:lineRule="exact"/>
        <w:ind w:right="-817" w:rightChars="-389"/>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年   月   日</w:t>
      </w:r>
    </w:p>
    <w:p>
      <w:pPr>
        <w:snapToGrid w:val="0"/>
        <w:spacing w:before="50" w:after="50" w:line="360" w:lineRule="exact"/>
        <w:ind w:right="-817" w:rightChars="-389"/>
        <w:rPr>
          <w:rFonts w:ascii="宋体" w:hAnsi="宋体"/>
          <w:color w:val="auto"/>
          <w:szCs w:val="21"/>
          <w:highlight w:val="none"/>
          <w:u w:val="single"/>
        </w:rPr>
      </w:pPr>
    </w:p>
    <w:p>
      <w:pPr>
        <w:pStyle w:val="14"/>
        <w:spacing w:line="560" w:lineRule="exact"/>
        <w:rPr>
          <w:rFonts w:hAnsi="宋体"/>
          <w:b/>
          <w:color w:val="auto"/>
          <w:sz w:val="28"/>
          <w:szCs w:val="28"/>
          <w:highlight w:val="none"/>
        </w:rPr>
      </w:pPr>
    </w:p>
    <w:p>
      <w:pPr>
        <w:pStyle w:val="14"/>
        <w:spacing w:line="560" w:lineRule="exact"/>
        <w:rPr>
          <w:rFonts w:hAnsi="宋体"/>
          <w:color w:val="auto"/>
          <w:highlight w:val="none"/>
        </w:rPr>
      </w:pPr>
      <w:r>
        <w:rPr>
          <w:rFonts w:hAnsi="宋体"/>
          <w:color w:val="auto"/>
          <w:highlight w:val="none"/>
        </w:rPr>
        <w:br w:type="page"/>
      </w:r>
    </w:p>
    <w:p>
      <w:pPr>
        <w:pStyle w:val="14"/>
        <w:spacing w:line="440" w:lineRule="exact"/>
        <w:ind w:firstLine="280" w:firstLineChars="100"/>
        <w:rPr>
          <w:rFonts w:hAnsi="宋体"/>
          <w:color w:val="auto"/>
          <w:sz w:val="28"/>
          <w:szCs w:val="28"/>
          <w:highlight w:val="none"/>
        </w:rPr>
      </w:pPr>
    </w:p>
    <w:p>
      <w:pPr>
        <w:pStyle w:val="14"/>
        <w:spacing w:line="440" w:lineRule="exact"/>
        <w:ind w:firstLine="280" w:firstLineChars="100"/>
        <w:rPr>
          <w:rFonts w:hAnsi="宋体"/>
          <w:color w:val="auto"/>
          <w:sz w:val="28"/>
          <w:szCs w:val="28"/>
          <w:highlight w:val="none"/>
        </w:rPr>
      </w:pPr>
    </w:p>
    <w:p>
      <w:pPr>
        <w:pStyle w:val="14"/>
        <w:spacing w:line="440" w:lineRule="exact"/>
        <w:ind w:firstLine="281" w:firstLineChars="100"/>
        <w:rPr>
          <w:rFonts w:hAnsi="宋体"/>
          <w:b/>
          <w:color w:val="auto"/>
          <w:sz w:val="28"/>
          <w:szCs w:val="28"/>
          <w:highlight w:val="none"/>
        </w:rPr>
      </w:pPr>
      <w:r>
        <w:rPr>
          <w:rFonts w:hint="eastAsia" w:hAnsi="宋体"/>
          <w:b/>
          <w:color w:val="auto"/>
          <w:sz w:val="28"/>
          <w:szCs w:val="28"/>
          <w:highlight w:val="none"/>
        </w:rPr>
        <w:t>三、项目实施方案（为磋商供应商完成货物供应、安装、调试等各项工作所采取管理措施、组织措施和保障措施等等，由磋商供应商自行编写）；（格式自拟）</w:t>
      </w:r>
    </w:p>
    <w:p>
      <w:pPr>
        <w:pStyle w:val="14"/>
        <w:spacing w:line="440" w:lineRule="exact"/>
        <w:ind w:firstLine="420"/>
        <w:rPr>
          <w:rFonts w:hAnsi="宋体"/>
          <w:color w:val="auto"/>
          <w:sz w:val="28"/>
          <w:szCs w:val="28"/>
          <w:highlight w:val="none"/>
        </w:rPr>
      </w:pPr>
    </w:p>
    <w:p>
      <w:pPr>
        <w:pStyle w:val="14"/>
        <w:spacing w:line="440" w:lineRule="exact"/>
        <w:ind w:firstLine="420"/>
        <w:rPr>
          <w:rFonts w:hAnsi="宋体"/>
          <w:color w:val="auto"/>
          <w:sz w:val="28"/>
          <w:szCs w:val="28"/>
          <w:highlight w:val="none"/>
        </w:rPr>
      </w:pPr>
    </w:p>
    <w:p>
      <w:pPr>
        <w:pStyle w:val="14"/>
        <w:spacing w:line="560" w:lineRule="exact"/>
        <w:ind w:firstLine="281" w:firstLineChars="100"/>
        <w:rPr>
          <w:rFonts w:hAnsi="宋体"/>
          <w:b/>
          <w:color w:val="auto"/>
          <w:sz w:val="28"/>
          <w:szCs w:val="28"/>
          <w:highlight w:val="none"/>
        </w:rPr>
      </w:pPr>
      <w:r>
        <w:rPr>
          <w:rFonts w:hint="eastAsia" w:hAnsi="宋体"/>
          <w:b/>
          <w:color w:val="auto"/>
          <w:sz w:val="28"/>
          <w:szCs w:val="28"/>
          <w:highlight w:val="none"/>
        </w:rPr>
        <w:t>四、售后服务方案（格式自拟）；</w:t>
      </w:r>
    </w:p>
    <w:p>
      <w:pPr>
        <w:pStyle w:val="14"/>
        <w:spacing w:line="560" w:lineRule="exact"/>
        <w:ind w:firstLine="280" w:firstLineChars="100"/>
        <w:rPr>
          <w:rFonts w:hAnsi="宋体"/>
          <w:color w:val="auto"/>
          <w:sz w:val="28"/>
          <w:szCs w:val="28"/>
          <w:highlight w:val="none"/>
        </w:rPr>
      </w:pPr>
    </w:p>
    <w:p>
      <w:pPr>
        <w:pStyle w:val="14"/>
        <w:spacing w:line="560" w:lineRule="exact"/>
        <w:ind w:firstLine="281" w:firstLineChars="100"/>
        <w:rPr>
          <w:rFonts w:hAnsi="宋体"/>
          <w:b/>
          <w:color w:val="auto"/>
          <w:sz w:val="28"/>
          <w:szCs w:val="28"/>
          <w:highlight w:val="none"/>
        </w:rPr>
      </w:pPr>
      <w:r>
        <w:rPr>
          <w:rFonts w:hint="eastAsia" w:hAnsi="宋体"/>
          <w:b/>
          <w:color w:val="auto"/>
          <w:sz w:val="28"/>
          <w:szCs w:val="28"/>
          <w:highlight w:val="none"/>
        </w:rPr>
        <w:t>五、其它文件及资料（信誉、业绩等证明文件）。</w:t>
      </w:r>
    </w:p>
    <w:p>
      <w:pPr>
        <w:spacing w:line="500" w:lineRule="exact"/>
        <w:rPr>
          <w:color w:val="auto"/>
          <w:highlight w:val="none"/>
        </w:rPr>
      </w:pPr>
    </w:p>
    <w:p>
      <w:pPr>
        <w:spacing w:line="500" w:lineRule="exact"/>
        <w:rPr>
          <w:color w:val="auto"/>
          <w:highlight w:val="none"/>
        </w:rPr>
      </w:pPr>
    </w:p>
    <w:p>
      <w:pPr>
        <w:rPr>
          <w:color w:val="auto"/>
          <w:highlight w:val="none"/>
        </w:rPr>
      </w:pPr>
    </w:p>
    <w:p>
      <w:pPr>
        <w:rPr>
          <w:color w:val="auto"/>
          <w:highlight w:val="none"/>
        </w:rPr>
      </w:pPr>
    </w:p>
    <w:sectPr>
      <w:pgSz w:w="11907" w:h="16839"/>
      <w:pgMar w:top="907" w:right="1469" w:bottom="907" w:left="1440" w:header="567" w:footer="51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Adobe 宋体 Std L">
    <w:altName w:val="宋体"/>
    <w:panose1 w:val="00000000000000000000"/>
    <w:charset w:val="7A"/>
    <w:family w:val="roman"/>
    <w:pitch w:val="default"/>
    <w:sig w:usb0="00000000" w:usb1="00000000" w:usb2="00000016" w:usb3="00000000" w:csb0="00060007" w:csb1="00000000"/>
  </w:font>
  <w:font w:name="方正美黑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汉仪魏碑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44</w:t>
    </w:r>
    <w:r>
      <w:fldChar w:fldCharType="end"/>
    </w:r>
  </w:p>
  <w:p>
    <w:pPr>
      <w:pStyle w:val="17"/>
      <w:framePr w:wrap="around" w:vAnchor="text" w:hAnchor="margin" w:xAlign="center" w:y="1"/>
      <w:ind w:right="360"/>
      <w:rPr>
        <w:rStyle w:val="27"/>
      </w:rPr>
    </w:pPr>
    <w:r>
      <w:tab/>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 xml:space="preserve"> </w:t>
    </w:r>
    <w: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8213C"/>
    <w:multiLevelType w:val="singleLevel"/>
    <w:tmpl w:val="8E38213C"/>
    <w:lvl w:ilvl="0" w:tentative="0">
      <w:start w:val="1"/>
      <w:numFmt w:val="chineseCounting"/>
      <w:suff w:val="nothing"/>
      <w:lvlText w:val="%1、"/>
      <w:lvlJc w:val="left"/>
      <w:rPr>
        <w:rFonts w:hint="eastAsia"/>
      </w:rPr>
    </w:lvl>
  </w:abstractNum>
  <w:abstractNum w:abstractNumId="1">
    <w:nsid w:val="B2A5EDE0"/>
    <w:multiLevelType w:val="singleLevel"/>
    <w:tmpl w:val="B2A5EDE0"/>
    <w:lvl w:ilvl="0" w:tentative="0">
      <w:start w:val="3"/>
      <w:numFmt w:val="chineseCounting"/>
      <w:suff w:val="space"/>
      <w:lvlText w:val="第%1章"/>
      <w:lvlJc w:val="left"/>
      <w:rPr>
        <w:rFonts w:hint="eastAsia"/>
      </w:rPr>
    </w:lvl>
  </w:abstractNum>
  <w:abstractNum w:abstractNumId="2">
    <w:nsid w:val="CF69177F"/>
    <w:multiLevelType w:val="singleLevel"/>
    <w:tmpl w:val="CF69177F"/>
    <w:lvl w:ilvl="0" w:tentative="0">
      <w:start w:val="4"/>
      <w:numFmt w:val="chineseCounting"/>
      <w:suff w:val="nothing"/>
      <w:lvlText w:val="%1、"/>
      <w:lvlJc w:val="left"/>
      <w:rPr>
        <w:rFonts w:hint="eastAsia"/>
      </w:rPr>
    </w:lvl>
  </w:abstractNum>
  <w:abstractNum w:abstractNumId="3">
    <w:nsid w:val="FFFFFF88"/>
    <w:multiLevelType w:val="singleLevel"/>
    <w:tmpl w:val="FFFFFF88"/>
    <w:lvl w:ilvl="0" w:tentative="0">
      <w:start w:val="1"/>
      <w:numFmt w:val="decimal"/>
      <w:pStyle w:val="7"/>
      <w:lvlText w:val="%1."/>
      <w:lvlJc w:val="left"/>
      <w:pPr>
        <w:tabs>
          <w:tab w:val="left" w:pos="360"/>
        </w:tabs>
        <w:ind w:left="360" w:hanging="360" w:hangingChars="200"/>
      </w:pPr>
    </w:lvl>
  </w:abstractNum>
  <w:abstractNum w:abstractNumId="4">
    <w:nsid w:val="00000001"/>
    <w:multiLevelType w:val="singleLevel"/>
    <w:tmpl w:val="00000001"/>
    <w:lvl w:ilvl="0" w:tentative="0">
      <w:start w:val="1"/>
      <w:numFmt w:val="chineseCounting"/>
      <w:suff w:val="nothing"/>
      <w:lvlText w:val="%1、"/>
      <w:lvlJc w:val="left"/>
      <w:rPr>
        <w:rFonts w:hint="eastAsia"/>
      </w:rPr>
    </w:lvl>
  </w:abstractNum>
  <w:abstractNum w:abstractNumId="5">
    <w:nsid w:val="00000003"/>
    <w:multiLevelType w:val="singleLevel"/>
    <w:tmpl w:val="00000003"/>
    <w:lvl w:ilvl="0" w:tentative="0">
      <w:start w:val="3"/>
      <w:numFmt w:val="decimal"/>
      <w:suff w:val="nothing"/>
      <w:lvlText w:val="%1、"/>
      <w:lvlJc w:val="left"/>
    </w:lvl>
  </w:abstractNum>
  <w:abstractNum w:abstractNumId="6">
    <w:nsid w:val="00000004"/>
    <w:multiLevelType w:val="singleLevel"/>
    <w:tmpl w:val="00000004"/>
    <w:lvl w:ilvl="0" w:tentative="0">
      <w:start w:val="1"/>
      <w:numFmt w:val="decimal"/>
      <w:lvlText w:val="%1."/>
      <w:lvlJc w:val="left"/>
      <w:pPr>
        <w:tabs>
          <w:tab w:val="left" w:pos="360"/>
        </w:tabs>
        <w:ind w:left="360" w:hanging="360"/>
      </w:pPr>
    </w:lvl>
  </w:abstractNum>
  <w:abstractNum w:abstractNumId="7">
    <w:nsid w:val="00000009"/>
    <w:multiLevelType w:val="multilevel"/>
    <w:tmpl w:val="00000009"/>
    <w:lvl w:ilvl="0" w:tentative="0">
      <w:start w:val="1"/>
      <w:numFmt w:val="decimal"/>
      <w:pStyle w:val="57"/>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A"/>
    <w:multiLevelType w:val="singleLevel"/>
    <w:tmpl w:val="0000000A"/>
    <w:lvl w:ilvl="0" w:tentative="0">
      <w:start w:val="1"/>
      <w:numFmt w:val="decimal"/>
      <w:suff w:val="nothing"/>
      <w:lvlText w:val="（%1）"/>
      <w:lvlJc w:val="left"/>
    </w:lvl>
  </w:abstractNum>
  <w:num w:numId="1">
    <w:abstractNumId w:val="3"/>
  </w:num>
  <w:num w:numId="2">
    <w:abstractNumId w:val="7"/>
  </w:num>
  <w:num w:numId="3">
    <w:abstractNumId w:val="6"/>
  </w:num>
  <w:num w:numId="4">
    <w:abstractNumId w:val="8"/>
  </w:num>
  <w:num w:numId="5">
    <w:abstractNumId w:val="1"/>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FD"/>
    <w:rsid w:val="00021CB1"/>
    <w:rsid w:val="00034C8C"/>
    <w:rsid w:val="00062737"/>
    <w:rsid w:val="000670BD"/>
    <w:rsid w:val="00087AC8"/>
    <w:rsid w:val="000C7B9A"/>
    <w:rsid w:val="000F436F"/>
    <w:rsid w:val="001143E7"/>
    <w:rsid w:val="001231CD"/>
    <w:rsid w:val="00280B81"/>
    <w:rsid w:val="002949FD"/>
    <w:rsid w:val="002B24A3"/>
    <w:rsid w:val="002B5FCA"/>
    <w:rsid w:val="002D61C7"/>
    <w:rsid w:val="002F69A0"/>
    <w:rsid w:val="00364E1A"/>
    <w:rsid w:val="00396809"/>
    <w:rsid w:val="003F70A3"/>
    <w:rsid w:val="004273D5"/>
    <w:rsid w:val="00470D0B"/>
    <w:rsid w:val="004B219C"/>
    <w:rsid w:val="004B24B2"/>
    <w:rsid w:val="004E474B"/>
    <w:rsid w:val="004F4542"/>
    <w:rsid w:val="005228BB"/>
    <w:rsid w:val="00540EF3"/>
    <w:rsid w:val="00542A45"/>
    <w:rsid w:val="00564DC1"/>
    <w:rsid w:val="005E748B"/>
    <w:rsid w:val="006339C4"/>
    <w:rsid w:val="00634045"/>
    <w:rsid w:val="00661C75"/>
    <w:rsid w:val="00663F6D"/>
    <w:rsid w:val="006D6DD8"/>
    <w:rsid w:val="006F2969"/>
    <w:rsid w:val="00707C4A"/>
    <w:rsid w:val="00715882"/>
    <w:rsid w:val="00726E7F"/>
    <w:rsid w:val="007767A3"/>
    <w:rsid w:val="007805F4"/>
    <w:rsid w:val="007E37E6"/>
    <w:rsid w:val="008002A1"/>
    <w:rsid w:val="00816DB8"/>
    <w:rsid w:val="00821DDC"/>
    <w:rsid w:val="0083415D"/>
    <w:rsid w:val="00876935"/>
    <w:rsid w:val="00893D7C"/>
    <w:rsid w:val="008B624F"/>
    <w:rsid w:val="008B6377"/>
    <w:rsid w:val="008D169E"/>
    <w:rsid w:val="008D41F1"/>
    <w:rsid w:val="008F4B22"/>
    <w:rsid w:val="00983B71"/>
    <w:rsid w:val="009F0243"/>
    <w:rsid w:val="00A47226"/>
    <w:rsid w:val="00A66A45"/>
    <w:rsid w:val="00A85C04"/>
    <w:rsid w:val="00A8738C"/>
    <w:rsid w:val="00A92CF0"/>
    <w:rsid w:val="00AA1F78"/>
    <w:rsid w:val="00AE4620"/>
    <w:rsid w:val="00B0109F"/>
    <w:rsid w:val="00B6512D"/>
    <w:rsid w:val="00BD5CFD"/>
    <w:rsid w:val="00BF22B8"/>
    <w:rsid w:val="00C37E3C"/>
    <w:rsid w:val="00C547BF"/>
    <w:rsid w:val="00C805EB"/>
    <w:rsid w:val="00D3263A"/>
    <w:rsid w:val="00D62C68"/>
    <w:rsid w:val="00DD54D4"/>
    <w:rsid w:val="00DD7C0D"/>
    <w:rsid w:val="00E37CE4"/>
    <w:rsid w:val="00E62119"/>
    <w:rsid w:val="00E7220E"/>
    <w:rsid w:val="00E962EC"/>
    <w:rsid w:val="00EA1CCE"/>
    <w:rsid w:val="00EC0145"/>
    <w:rsid w:val="00EC57D8"/>
    <w:rsid w:val="00F21CA2"/>
    <w:rsid w:val="00F467E7"/>
    <w:rsid w:val="00F55F9A"/>
    <w:rsid w:val="00F57BBB"/>
    <w:rsid w:val="00F972C5"/>
    <w:rsid w:val="00FA5DC5"/>
    <w:rsid w:val="00FA6593"/>
    <w:rsid w:val="00FC2787"/>
    <w:rsid w:val="048065FE"/>
    <w:rsid w:val="0AAF6421"/>
    <w:rsid w:val="0CEE3FF6"/>
    <w:rsid w:val="142D48C7"/>
    <w:rsid w:val="26C2390F"/>
    <w:rsid w:val="33481A50"/>
    <w:rsid w:val="35535151"/>
    <w:rsid w:val="389B470C"/>
    <w:rsid w:val="42682F54"/>
    <w:rsid w:val="487B41FC"/>
    <w:rsid w:val="546C0697"/>
    <w:rsid w:val="6887100A"/>
    <w:rsid w:val="6F2D4990"/>
    <w:rsid w:val="7E91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0"/>
    <w:qFormat/>
    <w:uiPriority w:val="0"/>
    <w:pPr>
      <w:keepNext/>
      <w:keepLines/>
      <w:spacing w:before="260" w:after="260" w:line="415" w:lineRule="auto"/>
      <w:outlineLvl w:val="1"/>
    </w:pPr>
    <w:rPr>
      <w:rFonts w:ascii="Cambria" w:hAnsi="Cambria"/>
      <w:b/>
      <w:bCs/>
      <w:sz w:val="32"/>
      <w:szCs w:val="32"/>
    </w:rPr>
  </w:style>
  <w:style w:type="paragraph" w:styleId="2">
    <w:name w:val="heading 3"/>
    <w:basedOn w:val="1"/>
    <w:next w:val="1"/>
    <w:link w:val="41"/>
    <w:qFormat/>
    <w:uiPriority w:val="0"/>
    <w:pPr>
      <w:keepNext/>
      <w:keepLines/>
      <w:spacing w:line="360" w:lineRule="auto"/>
      <w:outlineLvl w:val="2"/>
    </w:pPr>
    <w:rPr>
      <w:rFonts w:eastAsia="黑体"/>
      <w:b/>
      <w:bCs/>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numPr>
        <w:ilvl w:val="0"/>
        <w:numId w:val="1"/>
      </w:numPr>
      <w:ind w:firstLine="0" w:firstLineChars="0"/>
    </w:pPr>
  </w:style>
  <w:style w:type="paragraph" w:styleId="8">
    <w:name w:val="Normal Indent"/>
    <w:basedOn w:val="1"/>
    <w:link w:val="74"/>
    <w:qFormat/>
    <w:uiPriority w:val="0"/>
    <w:pPr>
      <w:ind w:firstLine="420"/>
    </w:pPr>
    <w:rPr>
      <w:rFonts w:asciiTheme="minorHAnsi" w:hAnsiTheme="minorHAnsi" w:cstheme="minorBidi"/>
      <w:b/>
      <w:i/>
    </w:rPr>
  </w:style>
  <w:style w:type="paragraph" w:styleId="9">
    <w:name w:val="annotation text"/>
    <w:basedOn w:val="1"/>
    <w:link w:val="51"/>
    <w:qFormat/>
    <w:uiPriority w:val="0"/>
    <w:pPr>
      <w:jc w:val="left"/>
    </w:pPr>
    <w:rPr>
      <w:lang w:eastAsia="en-US"/>
    </w:rPr>
  </w:style>
  <w:style w:type="paragraph" w:styleId="10">
    <w:name w:val="Body Text 3"/>
    <w:basedOn w:val="1"/>
    <w:link w:val="58"/>
    <w:qFormat/>
    <w:uiPriority w:val="0"/>
    <w:pPr>
      <w:spacing w:line="500" w:lineRule="exact"/>
    </w:pPr>
    <w:rPr>
      <w:b/>
      <w:bCs/>
      <w:sz w:val="24"/>
    </w:rPr>
  </w:style>
  <w:style w:type="paragraph" w:styleId="11">
    <w:name w:val="Body Text"/>
    <w:basedOn w:val="1"/>
    <w:link w:val="66"/>
    <w:qFormat/>
    <w:uiPriority w:val="0"/>
    <w:pPr>
      <w:adjustRightInd w:val="0"/>
      <w:spacing w:after="60" w:line="360" w:lineRule="atLeast"/>
      <w:ind w:left="72" w:leftChars="30" w:right="30" w:rightChars="30"/>
      <w:jc w:val="center"/>
      <w:textAlignment w:val="baseline"/>
    </w:pPr>
  </w:style>
  <w:style w:type="paragraph" w:styleId="12">
    <w:name w:val="Body Text Indent"/>
    <w:basedOn w:val="1"/>
    <w:unhideWhenUsed/>
    <w:qFormat/>
    <w:uiPriority w:val="0"/>
    <w:pPr>
      <w:ind w:firstLine="830" w:firstLineChars="352"/>
    </w:pPr>
    <w:rPr>
      <w:rFonts w:hint="eastAsia" w:ascii="仿宋_GB2312" w:hAnsi="Times New Roman" w:eastAsia="仿宋_GB2312"/>
      <w:sz w:val="32"/>
    </w:rPr>
  </w:style>
  <w:style w:type="paragraph" w:styleId="13">
    <w:name w:val="toc 3"/>
    <w:basedOn w:val="1"/>
    <w:next w:val="1"/>
    <w:qFormat/>
    <w:uiPriority w:val="0"/>
    <w:pPr>
      <w:ind w:left="840" w:leftChars="400"/>
    </w:pPr>
  </w:style>
  <w:style w:type="paragraph" w:styleId="14">
    <w:name w:val="Plain Text"/>
    <w:basedOn w:val="1"/>
    <w:link w:val="50"/>
    <w:qFormat/>
    <w:uiPriority w:val="0"/>
    <w:rPr>
      <w:rFonts w:ascii="宋体"/>
      <w:szCs w:val="21"/>
    </w:rPr>
  </w:style>
  <w:style w:type="paragraph" w:styleId="15">
    <w:name w:val="endnote text"/>
    <w:basedOn w:val="1"/>
    <w:link w:val="72"/>
    <w:unhideWhenUsed/>
    <w:qFormat/>
    <w:uiPriority w:val="99"/>
    <w:pPr>
      <w:snapToGrid w:val="0"/>
      <w:jc w:val="left"/>
    </w:pPr>
    <w:rPr>
      <w:rFonts w:ascii="Times New Roman" w:hAnsi="Times New Roman" w:eastAsiaTheme="minorEastAsia" w:cstheme="minorBidi"/>
      <w:szCs w:val="24"/>
    </w:rPr>
  </w:style>
  <w:style w:type="paragraph" w:styleId="16">
    <w:name w:val="Balloon Text"/>
    <w:basedOn w:val="1"/>
    <w:link w:val="47"/>
    <w:qFormat/>
    <w:uiPriority w:val="0"/>
    <w:rPr>
      <w:sz w:val="18"/>
      <w:szCs w:val="18"/>
      <w:lang w:eastAsia="en-US"/>
    </w:rPr>
  </w:style>
  <w:style w:type="paragraph" w:styleId="17">
    <w:name w:val="footer"/>
    <w:basedOn w:val="1"/>
    <w:link w:val="48"/>
    <w:qFormat/>
    <w:uiPriority w:val="0"/>
    <w:pPr>
      <w:tabs>
        <w:tab w:val="center" w:pos="4153"/>
        <w:tab w:val="right" w:pos="8306"/>
      </w:tabs>
      <w:snapToGrid w:val="0"/>
      <w:jc w:val="left"/>
    </w:pPr>
    <w:rPr>
      <w:sz w:val="18"/>
      <w:szCs w:val="18"/>
    </w:rPr>
  </w:style>
  <w:style w:type="paragraph" w:styleId="18">
    <w:name w:val="header"/>
    <w:basedOn w:val="1"/>
    <w:link w:val="6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9">
    <w:name w:val="toc 1"/>
    <w:basedOn w:val="1"/>
    <w:next w:val="1"/>
    <w:qFormat/>
    <w:uiPriority w:val="0"/>
  </w:style>
  <w:style w:type="paragraph" w:styleId="20">
    <w:name w:val="toc 2"/>
    <w:basedOn w:val="1"/>
    <w:next w:val="1"/>
    <w:qFormat/>
    <w:uiPriority w:val="0"/>
    <w:pPr>
      <w:ind w:left="200" w:leftChars="200"/>
    </w:pPr>
    <w:rPr>
      <w:rFonts w:ascii="Times New Roman" w:hAnsi="Times New Roman"/>
      <w:szCs w:val="24"/>
    </w:rPr>
  </w:style>
  <w:style w:type="paragraph" w:styleId="2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2">
    <w:name w:val="Normal (Web)"/>
    <w:basedOn w:val="1"/>
    <w:qFormat/>
    <w:uiPriority w:val="0"/>
    <w:pPr>
      <w:jc w:val="left"/>
    </w:pPr>
    <w:rPr>
      <w:kern w:val="0"/>
      <w:sz w:val="24"/>
    </w:rPr>
  </w:style>
  <w:style w:type="paragraph" w:styleId="23">
    <w:name w:val="annotation subject"/>
    <w:basedOn w:val="9"/>
    <w:next w:val="9"/>
    <w:link w:val="44"/>
    <w:qFormat/>
    <w:uiPriority w:val="0"/>
    <w:rPr>
      <w:b/>
      <w:bCs/>
    </w:rPr>
  </w:style>
  <w:style w:type="table" w:styleId="25">
    <w:name w:val="Table Grid"/>
    <w:basedOn w:val="24"/>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Calibri" w:hAnsi="Calibri" w:eastAsia="宋体" w:cs="Times New Roman"/>
    </w:rPr>
  </w:style>
  <w:style w:type="character" w:styleId="28">
    <w:name w:val="FollowedHyperlink"/>
    <w:qFormat/>
    <w:uiPriority w:val="0"/>
    <w:rPr>
      <w:rFonts w:ascii="Verdana" w:hAnsi="Verdana" w:eastAsia="宋体" w:cs="Times New Roman"/>
      <w:color w:val="0088CC"/>
      <w:kern w:val="0"/>
      <w:sz w:val="20"/>
      <w:szCs w:val="20"/>
      <w:u w:val="none"/>
      <w:lang w:eastAsia="en-US"/>
    </w:rPr>
  </w:style>
  <w:style w:type="character" w:styleId="29">
    <w:name w:val="HTML Definition"/>
    <w:qFormat/>
    <w:uiPriority w:val="0"/>
    <w:rPr>
      <w:rFonts w:ascii="Verdana" w:hAnsi="Verdana" w:eastAsia="宋体" w:cs="Times New Roman"/>
      <w:color w:val="auto"/>
      <w:kern w:val="0"/>
      <w:sz w:val="20"/>
      <w:szCs w:val="20"/>
      <w:lang w:eastAsia="en-US"/>
    </w:rPr>
  </w:style>
  <w:style w:type="character" w:styleId="30">
    <w:name w:val="HTML Typewriter"/>
    <w:qFormat/>
    <w:uiPriority w:val="0"/>
    <w:rPr>
      <w:rFonts w:ascii="monospace" w:hAnsi="monospace" w:eastAsia="monospace" w:cs="monospace"/>
      <w:color w:val="auto"/>
      <w:kern w:val="0"/>
      <w:sz w:val="20"/>
      <w:szCs w:val="20"/>
      <w:lang w:eastAsia="en-US"/>
    </w:rPr>
  </w:style>
  <w:style w:type="character" w:styleId="31">
    <w:name w:val="HTML Acronym"/>
    <w:qFormat/>
    <w:uiPriority w:val="0"/>
    <w:rPr>
      <w:rFonts w:ascii="Calibri" w:hAnsi="Calibri" w:eastAsia="宋体" w:cs="Times New Roman"/>
      <w:color w:val="auto"/>
      <w:kern w:val="0"/>
      <w:sz w:val="20"/>
      <w:szCs w:val="20"/>
      <w:lang w:eastAsia="en-US"/>
    </w:rPr>
  </w:style>
  <w:style w:type="character" w:styleId="32">
    <w:name w:val="HTML Variable"/>
    <w:qFormat/>
    <w:uiPriority w:val="0"/>
    <w:rPr>
      <w:rFonts w:ascii="Verdana" w:hAnsi="Verdana" w:eastAsia="宋体" w:cs="Times New Roman"/>
      <w:color w:val="auto"/>
      <w:kern w:val="0"/>
      <w:sz w:val="20"/>
      <w:szCs w:val="20"/>
      <w:lang w:eastAsia="en-US"/>
    </w:rPr>
  </w:style>
  <w:style w:type="character" w:styleId="33">
    <w:name w:val="Hyperlink"/>
    <w:qFormat/>
    <w:uiPriority w:val="0"/>
    <w:rPr>
      <w:rFonts w:ascii="Verdana" w:hAnsi="Verdana" w:eastAsia="宋体" w:cs="Times New Roman"/>
      <w:color w:val="0088CC"/>
      <w:kern w:val="0"/>
      <w:sz w:val="20"/>
      <w:szCs w:val="20"/>
      <w:u w:val="none"/>
      <w:lang w:eastAsia="en-US"/>
    </w:rPr>
  </w:style>
  <w:style w:type="character" w:styleId="34">
    <w:name w:val="HTML Code"/>
    <w:qFormat/>
    <w:uiPriority w:val="0"/>
    <w:rPr>
      <w:rFonts w:hint="default" w:ascii="monospace" w:hAnsi="monospace" w:eastAsia="monospace" w:cs="monospace"/>
      <w:color w:val="auto"/>
      <w:kern w:val="0"/>
      <w:sz w:val="20"/>
      <w:szCs w:val="20"/>
      <w:lang w:eastAsia="en-US"/>
    </w:rPr>
  </w:style>
  <w:style w:type="character" w:styleId="35">
    <w:name w:val="annotation reference"/>
    <w:qFormat/>
    <w:uiPriority w:val="0"/>
    <w:rPr>
      <w:rFonts w:ascii="Verdana" w:hAnsi="Verdana" w:eastAsia="宋体" w:cs="Times New Roman"/>
      <w:color w:val="auto"/>
      <w:kern w:val="0"/>
      <w:sz w:val="21"/>
      <w:szCs w:val="21"/>
      <w:lang w:eastAsia="en-US"/>
    </w:rPr>
  </w:style>
  <w:style w:type="character" w:styleId="36">
    <w:name w:val="HTML Cite"/>
    <w:qFormat/>
    <w:uiPriority w:val="0"/>
    <w:rPr>
      <w:rFonts w:ascii="Verdana" w:hAnsi="Verdana" w:eastAsia="宋体" w:cs="Times New Roman"/>
      <w:color w:val="auto"/>
      <w:kern w:val="0"/>
      <w:sz w:val="20"/>
      <w:szCs w:val="20"/>
      <w:lang w:eastAsia="en-US"/>
    </w:rPr>
  </w:style>
  <w:style w:type="character" w:styleId="37">
    <w:name w:val="HTML Keyboard"/>
    <w:qFormat/>
    <w:uiPriority w:val="0"/>
    <w:rPr>
      <w:rFonts w:hint="default" w:ascii="monospace" w:hAnsi="monospace" w:eastAsia="monospace" w:cs="monospace"/>
      <w:color w:val="auto"/>
      <w:kern w:val="0"/>
      <w:sz w:val="20"/>
      <w:szCs w:val="20"/>
      <w:lang w:eastAsia="en-US"/>
    </w:rPr>
  </w:style>
  <w:style w:type="character" w:styleId="38">
    <w:name w:val="HTML Sample"/>
    <w:qFormat/>
    <w:uiPriority w:val="0"/>
    <w:rPr>
      <w:rFonts w:hint="default" w:ascii="monospace" w:hAnsi="monospace" w:eastAsia="monospace" w:cs="monospace"/>
      <w:color w:val="auto"/>
      <w:kern w:val="0"/>
      <w:sz w:val="20"/>
      <w:szCs w:val="20"/>
      <w:lang w:eastAsia="en-US"/>
    </w:rPr>
  </w:style>
  <w:style w:type="character" w:customStyle="1" w:styleId="39">
    <w:name w:val="标题 1 字符"/>
    <w:basedOn w:val="26"/>
    <w:link w:val="3"/>
    <w:qFormat/>
    <w:uiPriority w:val="0"/>
    <w:rPr>
      <w:rFonts w:ascii="Times New Roman" w:hAnsi="Times New Roman" w:eastAsia="宋体" w:cs="Times New Roman"/>
      <w:b/>
      <w:bCs/>
      <w:kern w:val="44"/>
      <w:sz w:val="44"/>
      <w:szCs w:val="44"/>
    </w:rPr>
  </w:style>
  <w:style w:type="character" w:customStyle="1" w:styleId="40">
    <w:name w:val="标题 2 字符"/>
    <w:basedOn w:val="26"/>
    <w:link w:val="4"/>
    <w:qFormat/>
    <w:uiPriority w:val="0"/>
    <w:rPr>
      <w:rFonts w:ascii="Cambria" w:hAnsi="Cambria" w:eastAsia="宋体" w:cs="Times New Roman"/>
      <w:b/>
      <w:bCs/>
      <w:sz w:val="32"/>
      <w:szCs w:val="32"/>
    </w:rPr>
  </w:style>
  <w:style w:type="character" w:customStyle="1" w:styleId="41">
    <w:name w:val="标题 3 字符"/>
    <w:basedOn w:val="26"/>
    <w:link w:val="2"/>
    <w:qFormat/>
    <w:uiPriority w:val="0"/>
    <w:rPr>
      <w:rFonts w:ascii="Calibri" w:hAnsi="Calibri" w:eastAsia="黑体" w:cs="Times New Roman"/>
      <w:b/>
      <w:bCs/>
      <w:szCs w:val="32"/>
    </w:rPr>
  </w:style>
  <w:style w:type="character" w:customStyle="1" w:styleId="42">
    <w:name w:val="标题 4 字符"/>
    <w:basedOn w:val="26"/>
    <w:link w:val="5"/>
    <w:qFormat/>
    <w:uiPriority w:val="0"/>
    <w:rPr>
      <w:rFonts w:ascii="Arial" w:hAnsi="Arial" w:eastAsia="黑体" w:cs="Times New Roman"/>
      <w:b/>
      <w:bCs/>
      <w:sz w:val="28"/>
      <w:szCs w:val="28"/>
    </w:rPr>
  </w:style>
  <w:style w:type="character" w:customStyle="1" w:styleId="43">
    <w:name w:val="标题 5 字符"/>
    <w:basedOn w:val="26"/>
    <w:link w:val="6"/>
    <w:qFormat/>
    <w:uiPriority w:val="0"/>
    <w:rPr>
      <w:rFonts w:ascii="Calibri" w:hAnsi="Calibri" w:eastAsia="宋体" w:cs="Times New Roman"/>
      <w:b/>
      <w:bCs/>
      <w:sz w:val="28"/>
      <w:szCs w:val="28"/>
    </w:rPr>
  </w:style>
  <w:style w:type="character" w:customStyle="1" w:styleId="44">
    <w:name w:val="批注主题 字符"/>
    <w:link w:val="23"/>
    <w:qFormat/>
    <w:uiPriority w:val="0"/>
    <w:rPr>
      <w:rFonts w:ascii="Calibri" w:hAnsi="Calibri" w:eastAsia="宋体" w:cs="Times New Roman"/>
      <w:b/>
      <w:bCs/>
      <w:lang w:eastAsia="en-US"/>
    </w:rPr>
  </w:style>
  <w:style w:type="character" w:customStyle="1" w:styleId="45">
    <w:name w:val="样式1 字符"/>
    <w:link w:val="46"/>
    <w:qFormat/>
    <w:uiPriority w:val="0"/>
    <w:rPr>
      <w:rFonts w:ascii="Calibri" w:hAnsi="宋体" w:eastAsia="黑体" w:cs="Times New Roman"/>
      <w:b/>
      <w:bCs/>
      <w:szCs w:val="32"/>
    </w:rPr>
  </w:style>
  <w:style w:type="paragraph" w:customStyle="1" w:styleId="46">
    <w:name w:val="样式1"/>
    <w:basedOn w:val="2"/>
    <w:link w:val="45"/>
    <w:qFormat/>
    <w:uiPriority w:val="0"/>
    <w:rPr>
      <w:rFonts w:hAnsi="宋体"/>
    </w:rPr>
  </w:style>
  <w:style w:type="character" w:customStyle="1" w:styleId="47">
    <w:name w:val="批注框文本 字符"/>
    <w:link w:val="16"/>
    <w:qFormat/>
    <w:uiPriority w:val="0"/>
    <w:rPr>
      <w:rFonts w:ascii="Calibri" w:hAnsi="Calibri" w:eastAsia="宋体" w:cs="Times New Roman"/>
      <w:sz w:val="18"/>
      <w:szCs w:val="18"/>
      <w:lang w:eastAsia="en-US"/>
    </w:rPr>
  </w:style>
  <w:style w:type="character" w:customStyle="1" w:styleId="48">
    <w:name w:val="页脚 字符"/>
    <w:link w:val="17"/>
    <w:qFormat/>
    <w:uiPriority w:val="0"/>
    <w:rPr>
      <w:rFonts w:ascii="Calibri" w:hAnsi="Calibri" w:eastAsia="宋体" w:cs="Times New Roman"/>
      <w:sz w:val="18"/>
      <w:szCs w:val="18"/>
    </w:rPr>
  </w:style>
  <w:style w:type="character" w:customStyle="1" w:styleId="49">
    <w:name w:val="l2"/>
    <w:qFormat/>
    <w:uiPriority w:val="0"/>
    <w:rPr>
      <w:rFonts w:ascii="Calibri" w:hAnsi="Calibri" w:eastAsia="宋体" w:cs="Times New Roman"/>
      <w:color w:val="auto"/>
      <w:kern w:val="0"/>
      <w:sz w:val="20"/>
      <w:szCs w:val="20"/>
      <w:lang w:eastAsia="en-US"/>
    </w:rPr>
  </w:style>
  <w:style w:type="character" w:customStyle="1" w:styleId="50">
    <w:name w:val="纯文本 字符"/>
    <w:link w:val="14"/>
    <w:qFormat/>
    <w:uiPriority w:val="0"/>
    <w:rPr>
      <w:rFonts w:ascii="宋体" w:hAnsi="Calibri" w:eastAsia="宋体" w:cs="Times New Roman"/>
      <w:szCs w:val="21"/>
    </w:rPr>
  </w:style>
  <w:style w:type="character" w:customStyle="1" w:styleId="51">
    <w:name w:val="批注文字 字符"/>
    <w:link w:val="9"/>
    <w:qFormat/>
    <w:uiPriority w:val="0"/>
    <w:rPr>
      <w:rFonts w:ascii="Calibri" w:hAnsi="Calibri" w:eastAsia="宋体" w:cs="Times New Roman"/>
      <w:lang w:eastAsia="en-US"/>
    </w:rPr>
  </w:style>
  <w:style w:type="character" w:customStyle="1" w:styleId="52">
    <w:name w:val="r2"/>
    <w:qFormat/>
    <w:uiPriority w:val="0"/>
    <w:rPr>
      <w:rFonts w:ascii="Calibri" w:hAnsi="Calibri" w:eastAsia="宋体" w:cs="Times New Roman"/>
      <w:color w:val="auto"/>
      <w:kern w:val="0"/>
      <w:sz w:val="20"/>
      <w:szCs w:val="20"/>
      <w:lang w:eastAsia="en-US"/>
    </w:rPr>
  </w:style>
  <w:style w:type="character" w:customStyle="1" w:styleId="53">
    <w:name w:val="纯文本 Char1"/>
    <w:qFormat/>
    <w:uiPriority w:val="0"/>
    <w:rPr>
      <w:rFonts w:ascii="宋体" w:hAnsi="Courier New" w:eastAsia="宋体" w:cs="Courier New"/>
      <w:szCs w:val="21"/>
    </w:rPr>
  </w:style>
  <w:style w:type="character" w:customStyle="1" w:styleId="54">
    <w:name w:val="r"/>
    <w:qFormat/>
    <w:uiPriority w:val="0"/>
    <w:rPr>
      <w:rFonts w:ascii="Calibri" w:hAnsi="Calibri" w:eastAsia="宋体" w:cs="Times New Roman"/>
      <w:color w:val="auto"/>
      <w:kern w:val="0"/>
      <w:sz w:val="20"/>
      <w:szCs w:val="20"/>
      <w:lang w:eastAsia="en-US"/>
    </w:rPr>
  </w:style>
  <w:style w:type="character" w:customStyle="1" w:styleId="55">
    <w:name w:val="l"/>
    <w:uiPriority w:val="0"/>
    <w:rPr>
      <w:rFonts w:ascii="Calibri" w:hAnsi="Calibri" w:eastAsia="宋体" w:cs="Times New Roman"/>
      <w:color w:val="auto"/>
      <w:kern w:val="0"/>
      <w:sz w:val="20"/>
      <w:szCs w:val="20"/>
      <w:lang w:eastAsia="en-US"/>
    </w:rPr>
  </w:style>
  <w:style w:type="paragraph" w:customStyle="1" w:styleId="5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7">
    <w:name w:val="_Style 10"/>
    <w:basedOn w:val="3"/>
    <w:next w:val="1"/>
    <w:qFormat/>
    <w:uiPriority w:val="0"/>
    <w:pPr>
      <w:widowControl/>
      <w:numPr>
        <w:ilvl w:val="0"/>
        <w:numId w:val="2"/>
      </w:numPr>
      <w:spacing w:before="480" w:after="0" w:line="276" w:lineRule="auto"/>
      <w:jc w:val="left"/>
      <w:outlineLvl w:val="9"/>
    </w:pPr>
    <w:rPr>
      <w:rFonts w:ascii="Cambria" w:hAnsi="Cambria"/>
      <w:color w:val="365F91"/>
      <w:kern w:val="0"/>
      <w:sz w:val="28"/>
      <w:szCs w:val="28"/>
    </w:rPr>
  </w:style>
  <w:style w:type="character" w:customStyle="1" w:styleId="58">
    <w:name w:val="正文文本 3 字符"/>
    <w:basedOn w:val="26"/>
    <w:link w:val="10"/>
    <w:qFormat/>
    <w:uiPriority w:val="0"/>
    <w:rPr>
      <w:rFonts w:ascii="Calibri" w:hAnsi="Calibri" w:eastAsia="宋体" w:cs="Times New Roman"/>
      <w:b/>
      <w:bCs/>
      <w:sz w:val="24"/>
    </w:rPr>
  </w:style>
  <w:style w:type="character" w:customStyle="1" w:styleId="59">
    <w:name w:val="批注文字 字符1"/>
    <w:basedOn w:val="26"/>
    <w:semiHidden/>
    <w:qFormat/>
    <w:uiPriority w:val="99"/>
    <w:rPr>
      <w:rFonts w:ascii="Calibri" w:hAnsi="Calibri" w:eastAsia="宋体" w:cs="Times New Roman"/>
    </w:rPr>
  </w:style>
  <w:style w:type="paragraph" w:customStyle="1" w:styleId="60">
    <w:name w:val="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61">
    <w:name w:val="页眉 字符"/>
    <w:basedOn w:val="26"/>
    <w:link w:val="18"/>
    <w:uiPriority w:val="0"/>
    <w:rPr>
      <w:rFonts w:ascii="Times New Roman" w:hAnsi="Times New Roman" w:eastAsia="宋体" w:cs="Times New Roman"/>
      <w:sz w:val="18"/>
      <w:szCs w:val="18"/>
    </w:rPr>
  </w:style>
  <w:style w:type="character" w:customStyle="1" w:styleId="62">
    <w:name w:val="纯文本 字符1"/>
    <w:basedOn w:val="26"/>
    <w:semiHidden/>
    <w:qFormat/>
    <w:uiPriority w:val="99"/>
    <w:rPr>
      <w:rFonts w:hAnsi="Courier New" w:cs="Courier New" w:asciiTheme="minorEastAsia"/>
    </w:rPr>
  </w:style>
  <w:style w:type="paragraph" w:customStyle="1" w:styleId="63">
    <w:name w:val="[基本段落]"/>
    <w:basedOn w:val="1"/>
    <w:qFormat/>
    <w:uiPriority w:val="0"/>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64">
    <w:name w:val="Table Paragraph"/>
    <w:basedOn w:val="1"/>
    <w:qFormat/>
    <w:uiPriority w:val="1"/>
  </w:style>
  <w:style w:type="paragraph" w:customStyle="1" w:styleId="65">
    <w:name w:val="p18"/>
    <w:basedOn w:val="1"/>
    <w:qFormat/>
    <w:uiPriority w:val="0"/>
    <w:pPr>
      <w:widowControl/>
    </w:pPr>
    <w:rPr>
      <w:rFonts w:ascii="宋体" w:hAnsi="Times New Roman" w:cs="宋体"/>
      <w:kern w:val="0"/>
      <w:sz w:val="20"/>
      <w:szCs w:val="21"/>
      <w:lang w:eastAsia="en-US"/>
    </w:rPr>
  </w:style>
  <w:style w:type="character" w:customStyle="1" w:styleId="66">
    <w:name w:val="正文文本 字符"/>
    <w:basedOn w:val="26"/>
    <w:link w:val="11"/>
    <w:uiPriority w:val="0"/>
    <w:rPr>
      <w:rFonts w:ascii="Calibri" w:hAnsi="Calibri" w:eastAsia="宋体" w:cs="Times New Roman"/>
    </w:rPr>
  </w:style>
  <w:style w:type="character" w:customStyle="1" w:styleId="67">
    <w:name w:val="页脚 字符1"/>
    <w:basedOn w:val="26"/>
    <w:semiHidden/>
    <w:qFormat/>
    <w:uiPriority w:val="99"/>
    <w:rPr>
      <w:rFonts w:ascii="Calibri" w:hAnsi="Calibri" w:eastAsia="宋体" w:cs="Times New Roman"/>
      <w:sz w:val="18"/>
      <w:szCs w:val="18"/>
    </w:rPr>
  </w:style>
  <w:style w:type="paragraph" w:customStyle="1" w:styleId="68">
    <w:name w:val="列出段落1"/>
    <w:basedOn w:val="1"/>
    <w:qFormat/>
    <w:uiPriority w:val="0"/>
    <w:pPr>
      <w:ind w:firstLine="420" w:firstLineChars="200"/>
    </w:pPr>
    <w:rPr>
      <w:rFonts w:ascii="Times New Roman" w:hAnsi="Times New Roman"/>
      <w:szCs w:val="24"/>
    </w:rPr>
  </w:style>
  <w:style w:type="character" w:customStyle="1" w:styleId="69">
    <w:name w:val="批注框文本 字符1"/>
    <w:basedOn w:val="26"/>
    <w:semiHidden/>
    <w:qFormat/>
    <w:uiPriority w:val="99"/>
    <w:rPr>
      <w:rFonts w:ascii="Calibri" w:hAnsi="Calibri" w:eastAsia="宋体" w:cs="Times New Roman"/>
      <w:sz w:val="18"/>
      <w:szCs w:val="18"/>
    </w:rPr>
  </w:style>
  <w:style w:type="character" w:customStyle="1" w:styleId="70">
    <w:name w:val="批注主题 字符1"/>
    <w:basedOn w:val="59"/>
    <w:semiHidden/>
    <w:qFormat/>
    <w:uiPriority w:val="99"/>
    <w:rPr>
      <w:rFonts w:ascii="Calibri" w:hAnsi="Calibri" w:eastAsia="宋体" w:cs="Times New Roman"/>
      <w:b/>
      <w:bCs/>
    </w:rPr>
  </w:style>
  <w:style w:type="table" w:customStyle="1" w:styleId="71">
    <w:name w:val="Table Normal"/>
    <w:unhideWhenUsed/>
    <w:qFormat/>
    <w:uiPriority w:val="2"/>
    <w:rPr>
      <w:rFonts w:ascii="Calibri" w:hAnsi="Calibri"/>
    </w:rPr>
    <w:tblPr>
      <w:tblCellMar>
        <w:top w:w="0" w:type="dxa"/>
        <w:left w:w="0" w:type="dxa"/>
        <w:bottom w:w="0" w:type="dxa"/>
        <w:right w:w="0" w:type="dxa"/>
      </w:tblCellMar>
    </w:tblPr>
  </w:style>
  <w:style w:type="character" w:customStyle="1" w:styleId="72">
    <w:name w:val="尾注文本 字符"/>
    <w:link w:val="15"/>
    <w:qFormat/>
    <w:uiPriority w:val="99"/>
    <w:rPr>
      <w:rFonts w:ascii="Times New Roman" w:hAnsi="Times New Roman"/>
      <w:szCs w:val="24"/>
    </w:rPr>
  </w:style>
  <w:style w:type="character" w:customStyle="1" w:styleId="73">
    <w:name w:val="尾注文本 字符1"/>
    <w:basedOn w:val="26"/>
    <w:semiHidden/>
    <w:uiPriority w:val="99"/>
    <w:rPr>
      <w:rFonts w:ascii="Calibri" w:hAnsi="Calibri" w:eastAsia="宋体" w:cs="Times New Roman"/>
    </w:rPr>
  </w:style>
  <w:style w:type="character" w:customStyle="1" w:styleId="74">
    <w:name w:val="正文缩进 字符"/>
    <w:link w:val="8"/>
    <w:qFormat/>
    <w:uiPriority w:val="0"/>
    <w:rPr>
      <w:rFonts w:eastAsia="宋体"/>
      <w:b/>
      <w: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7486</Words>
  <Characters>42674</Characters>
  <Lines>355</Lines>
  <Paragraphs>100</Paragraphs>
  <TotalTime>89</TotalTime>
  <ScaleCrop>false</ScaleCrop>
  <LinksUpToDate>false</LinksUpToDate>
  <CharactersWithSpaces>50060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2020-04-15T03:24:00Z</dcterms:created>
  <dc:creator>NTKO</dc:creator>
  <cp:lastModifiedBy>Administrator</cp:lastModifiedBy>
  <cp:lastPrinted>2020-04-23T07:35:00Z</cp:lastPrinted>
  <dcterms:modified xsi:type="dcterms:W3CDTF">2020-06-02T07:59:19Z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