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Ansi="宋体"/>
          <w:b/>
          <w:bCs/>
          <w:color w:val="auto"/>
          <w:spacing w:val="28"/>
          <w:sz w:val="52"/>
          <w:szCs w:val="52"/>
          <w:highlight w:val="none"/>
        </w:rPr>
      </w:pPr>
    </w:p>
    <w:p>
      <w:pPr>
        <w:pStyle w:val="12"/>
        <w:jc w:val="center"/>
        <w:rPr>
          <w:rFonts w:hAnsi="宋体"/>
          <w:b/>
          <w:bCs/>
          <w:color w:val="auto"/>
          <w:spacing w:val="28"/>
          <w:sz w:val="52"/>
          <w:szCs w:val="52"/>
          <w:highlight w:val="none"/>
        </w:rPr>
      </w:pPr>
      <w:r>
        <w:rPr>
          <w:rFonts w:hint="eastAsia" w:hAnsi="宋体"/>
          <w:b/>
          <w:bCs/>
          <w:color w:val="auto"/>
          <w:spacing w:val="28"/>
          <w:sz w:val="52"/>
          <w:szCs w:val="52"/>
          <w:highlight w:val="none"/>
        </w:rPr>
        <w:t xml:space="preserve"> 广西新宇建设项目管理有限公司</w:t>
      </w:r>
    </w:p>
    <w:p>
      <w:pPr>
        <w:pStyle w:val="12"/>
        <w:ind w:firstLine="917" w:firstLineChars="244"/>
        <w:rPr>
          <w:rFonts w:hAnsi="宋体"/>
          <w:color w:val="auto"/>
          <w:spacing w:val="28"/>
          <w:sz w:val="32"/>
          <w:highlight w:val="none"/>
        </w:rPr>
      </w:pPr>
    </w:p>
    <w:p>
      <w:pPr>
        <w:pStyle w:val="12"/>
        <w:rPr>
          <w:rFonts w:hAnsi="宋体"/>
          <w:b/>
          <w:color w:val="auto"/>
          <w:spacing w:val="-18"/>
          <w:sz w:val="72"/>
          <w:szCs w:val="72"/>
          <w:highlight w:val="none"/>
        </w:rPr>
      </w:pPr>
    </w:p>
    <w:p>
      <w:pPr>
        <w:pStyle w:val="12"/>
        <w:jc w:val="center"/>
        <w:rPr>
          <w:rFonts w:hAnsi="宋体"/>
          <w:b/>
          <w:color w:val="auto"/>
          <w:spacing w:val="-18"/>
          <w:sz w:val="72"/>
          <w:szCs w:val="72"/>
          <w:highlight w:val="none"/>
        </w:rPr>
      </w:pPr>
      <w:r>
        <w:rPr>
          <w:rFonts w:hAnsi="宋体"/>
          <w:b/>
          <w:color w:val="auto"/>
          <w:spacing w:val="-18"/>
          <w:sz w:val="72"/>
          <w:szCs w:val="72"/>
          <w:highlight w:val="none"/>
        </w:rPr>
        <w:t>竞争性</w:t>
      </w:r>
      <w:r>
        <w:rPr>
          <w:rFonts w:hint="eastAsia" w:hAnsi="宋体"/>
          <w:b/>
          <w:color w:val="auto"/>
          <w:spacing w:val="-18"/>
          <w:sz w:val="72"/>
          <w:szCs w:val="72"/>
          <w:highlight w:val="none"/>
        </w:rPr>
        <w:t>磋商采购</w:t>
      </w:r>
      <w:r>
        <w:rPr>
          <w:rFonts w:hAnsi="宋体"/>
          <w:b/>
          <w:color w:val="auto"/>
          <w:spacing w:val="-18"/>
          <w:sz w:val="72"/>
          <w:szCs w:val="72"/>
          <w:highlight w:val="none"/>
        </w:rPr>
        <w:t>文件</w:t>
      </w:r>
    </w:p>
    <w:p>
      <w:pPr>
        <w:jc w:val="center"/>
        <w:rPr>
          <w:color w:val="auto"/>
          <w:highlight w:val="none"/>
        </w:rPr>
      </w:pPr>
    </w:p>
    <w:p>
      <w:pPr>
        <w:jc w:val="center"/>
        <w:rPr>
          <w:color w:val="auto"/>
          <w:highlight w:val="none"/>
        </w:rPr>
      </w:pPr>
    </w:p>
    <w:p>
      <w:pPr>
        <w:jc w:val="center"/>
        <w:rPr>
          <w:color w:val="auto"/>
          <w:highlight w:val="none"/>
        </w:rPr>
      </w:pPr>
      <w:r>
        <w:rPr>
          <w:rFonts w:hint="eastAsia"/>
          <w:color w:val="auto"/>
          <w:highlight w:val="none"/>
        </w:rPr>
        <w:t>.</w:t>
      </w:r>
    </w:p>
    <w:p>
      <w:pPr>
        <w:jc w:val="center"/>
        <w:rPr>
          <w:color w:val="auto"/>
          <w:highlight w:val="none"/>
        </w:rPr>
      </w:pPr>
    </w:p>
    <w:p>
      <w:pPr>
        <w:rPr>
          <w:color w:val="auto"/>
          <w:highlight w:val="none"/>
        </w:rPr>
      </w:pPr>
    </w:p>
    <w:p>
      <w:pPr>
        <w:spacing w:line="800" w:lineRule="exact"/>
        <w:ind w:firstLine="964" w:firstLineChars="300"/>
        <w:rPr>
          <w:rFonts w:hint="eastAsia" w:eastAsia="宋体"/>
          <w:b/>
          <w:bCs/>
          <w:color w:val="auto"/>
          <w:sz w:val="32"/>
          <w:szCs w:val="32"/>
          <w:highlight w:val="none"/>
          <w:lang w:eastAsia="zh-CN"/>
        </w:rPr>
      </w:pPr>
      <w:r>
        <w:rPr>
          <w:rFonts w:hint="eastAsia"/>
          <w:b/>
          <w:color w:val="auto"/>
          <w:sz w:val="32"/>
          <w:szCs w:val="32"/>
          <w:highlight w:val="none"/>
        </w:rPr>
        <w:t>项目编号：</w:t>
      </w:r>
      <w:r>
        <w:rPr>
          <w:rFonts w:hint="eastAsia"/>
          <w:b/>
          <w:bCs/>
          <w:color w:val="auto"/>
          <w:sz w:val="32"/>
          <w:szCs w:val="32"/>
          <w:highlight w:val="none"/>
          <w:lang w:eastAsia="zh-CN"/>
        </w:rPr>
        <w:t>GGZC2020-C2-50378-GXXY</w:t>
      </w:r>
    </w:p>
    <w:p>
      <w:pPr>
        <w:spacing w:line="800" w:lineRule="exact"/>
        <w:ind w:firstLine="964" w:firstLineChars="300"/>
        <w:rPr>
          <w:rFonts w:hint="eastAsia" w:eastAsia="宋体"/>
          <w:b/>
          <w:color w:val="auto"/>
          <w:sz w:val="32"/>
          <w:szCs w:val="32"/>
          <w:highlight w:val="none"/>
          <w:lang w:eastAsia="zh-CN"/>
        </w:rPr>
      </w:pPr>
      <w:r>
        <w:rPr>
          <w:rFonts w:hint="eastAsia"/>
          <w:b/>
          <w:color w:val="auto"/>
          <w:sz w:val="32"/>
          <w:szCs w:val="32"/>
          <w:highlight w:val="none"/>
        </w:rPr>
        <w:t>项目名称：</w:t>
      </w:r>
      <w:r>
        <w:rPr>
          <w:rFonts w:hint="eastAsia"/>
          <w:b/>
          <w:bCs/>
          <w:color w:val="auto"/>
          <w:sz w:val="32"/>
          <w:szCs w:val="32"/>
          <w:highlight w:val="none"/>
          <w:lang w:eastAsia="zh-CN"/>
        </w:rPr>
        <w:t>大藤峡库区左岸淹没区变压器紧急迁移工程服务</w:t>
      </w:r>
    </w:p>
    <w:p>
      <w:pPr>
        <w:spacing w:line="800" w:lineRule="exact"/>
        <w:rPr>
          <w:b/>
          <w:color w:val="auto"/>
          <w:sz w:val="36"/>
          <w:szCs w:val="36"/>
          <w:highlight w:val="none"/>
        </w:rPr>
      </w:pPr>
      <w:r>
        <w:rPr>
          <w:rFonts w:hint="eastAsia"/>
          <w:b/>
          <w:color w:val="auto"/>
          <w:sz w:val="36"/>
          <w:szCs w:val="36"/>
          <w:highlight w:val="none"/>
        </w:rPr>
        <w:t xml:space="preserve">       </w:t>
      </w:r>
    </w:p>
    <w:p>
      <w:pPr>
        <w:ind w:firstLine="1669" w:firstLineChars="795"/>
        <w:rPr>
          <w:color w:val="auto"/>
          <w:highlight w:val="none"/>
        </w:rPr>
      </w:pPr>
      <w:r>
        <w:rPr>
          <w:rFonts w:hint="eastAsia"/>
          <w:color w:val="auto"/>
          <w:highlight w:val="none"/>
        </w:rPr>
        <w:cr/>
      </w:r>
    </w:p>
    <w:p>
      <w:pPr>
        <w:pStyle w:val="12"/>
        <w:spacing w:line="100" w:lineRule="atLeast"/>
        <w:ind w:left="-7" w:leftChars="-8" w:hanging="10" w:hangingChars="5"/>
        <w:jc w:val="center"/>
        <w:rPr>
          <w:b/>
          <w:color w:val="auto"/>
          <w:sz w:val="28"/>
          <w:highlight w:val="none"/>
        </w:rPr>
      </w:pPr>
      <w:r>
        <w:rPr>
          <w:b/>
          <w:color w:val="auto"/>
          <w:sz w:val="20"/>
          <w:highlight w:val="none"/>
        </w:rPr>
        <w:pict>
          <v:line id="Line 3" o:spid="_x0000_s1026" o:spt="20" style="position:absolute;left:0pt;margin-left:11.25pt;margin-top:21.15pt;height:0.05pt;width:477pt;z-index:1024;mso-width-relative:page;mso-height-relative:page;" coordsize="21600,21600">
            <v:path arrowok="t"/>
            <v:fill focussize="0,0"/>
            <v:stroke weight="4.5pt" linestyle="thinThick"/>
            <v:imagedata o:title=""/>
            <o:lock v:ext="edit"/>
          </v:line>
        </w:pict>
      </w:r>
    </w:p>
    <w:p>
      <w:pPr>
        <w:pStyle w:val="12"/>
        <w:spacing w:line="700" w:lineRule="exact"/>
        <w:ind w:firstLine="1285" w:firstLineChars="400"/>
        <w:rPr>
          <w:b/>
          <w:color w:val="auto"/>
          <w:sz w:val="32"/>
          <w:szCs w:val="32"/>
          <w:highlight w:val="none"/>
        </w:rPr>
      </w:pPr>
      <w:r>
        <w:rPr>
          <w:rFonts w:hint="eastAsia"/>
          <w:b/>
          <w:color w:val="auto"/>
          <w:sz w:val="32"/>
          <w:szCs w:val="32"/>
          <w:highlight w:val="none"/>
        </w:rPr>
        <w:t>采购单位：</w:t>
      </w:r>
      <w:r>
        <w:rPr>
          <w:rFonts w:hint="eastAsia"/>
          <w:b/>
          <w:color w:val="auto"/>
          <w:sz w:val="32"/>
          <w:szCs w:val="32"/>
          <w:highlight w:val="none"/>
          <w:lang w:eastAsia="zh-CN"/>
        </w:rPr>
        <w:t>桂平市水库和扶贫易地安置中心</w:t>
      </w:r>
      <w:r>
        <w:rPr>
          <w:rFonts w:hint="eastAsia"/>
          <w:b/>
          <w:color w:val="auto"/>
          <w:sz w:val="32"/>
          <w:szCs w:val="32"/>
          <w:highlight w:val="none"/>
        </w:rPr>
        <w:t xml:space="preserve">   </w:t>
      </w:r>
    </w:p>
    <w:p>
      <w:pPr>
        <w:pStyle w:val="13"/>
        <w:spacing w:line="700" w:lineRule="exact"/>
        <w:ind w:left="93" w:leftChars="0" w:hanging="93" w:hangingChars="29"/>
        <w:jc w:val="center"/>
        <w:rPr>
          <w:rFonts w:hint="eastAsia"/>
          <w:b/>
          <w:color w:val="auto"/>
          <w:sz w:val="32"/>
          <w:szCs w:val="32"/>
          <w:highlight w:val="none"/>
        </w:rPr>
      </w:pPr>
      <w:r>
        <w:rPr>
          <w:rFonts w:hint="eastAsia"/>
          <w:b/>
          <w:color w:val="auto"/>
          <w:sz w:val="32"/>
          <w:szCs w:val="32"/>
          <w:highlight w:val="none"/>
          <w:lang w:val="en-US" w:eastAsia="zh-CN"/>
        </w:rPr>
        <w:t xml:space="preserve"> </w:t>
      </w:r>
      <w:r>
        <w:rPr>
          <w:rFonts w:hint="eastAsia"/>
          <w:b/>
          <w:color w:val="auto"/>
          <w:sz w:val="32"/>
          <w:szCs w:val="32"/>
          <w:highlight w:val="none"/>
        </w:rPr>
        <w:t>采购代理机构：广西新宇建设项目管理有限公司</w:t>
      </w:r>
    </w:p>
    <w:p>
      <w:pPr>
        <w:rPr>
          <w:rFonts w:hint="eastAsia" w:eastAsia="宋体"/>
          <w:color w:val="auto"/>
          <w:highlight w:val="none"/>
          <w:lang w:val="en-US" w:eastAsia="zh-CN"/>
        </w:rPr>
      </w:pPr>
      <w:r>
        <w:rPr>
          <w:rFonts w:hint="eastAsia"/>
          <w:b/>
          <w:color w:val="auto"/>
          <w:sz w:val="32"/>
          <w:szCs w:val="32"/>
          <w:highlight w:val="none"/>
          <w:lang w:val="en-US" w:eastAsia="zh-CN"/>
        </w:rPr>
        <w:t xml:space="preserve">      </w:t>
      </w:r>
    </w:p>
    <w:p>
      <w:pPr>
        <w:pStyle w:val="13"/>
        <w:spacing w:line="700" w:lineRule="exact"/>
        <w:ind w:left="93" w:leftChars="0" w:hanging="93" w:hangingChars="29"/>
        <w:jc w:val="center"/>
        <w:rPr>
          <w:rFonts w:hAnsi="宋体"/>
          <w:color w:val="auto"/>
          <w:szCs w:val="21"/>
          <w:highlight w:val="none"/>
        </w:rPr>
      </w:pPr>
      <w:r>
        <w:rPr>
          <w:b/>
          <w:color w:val="auto"/>
          <w:sz w:val="32"/>
          <w:szCs w:val="32"/>
          <w:highlight w:val="none"/>
        </w:rPr>
        <w:t>20</w:t>
      </w:r>
      <w:r>
        <w:rPr>
          <w:rFonts w:hint="eastAsia"/>
          <w:b/>
          <w:color w:val="auto"/>
          <w:sz w:val="32"/>
          <w:szCs w:val="32"/>
          <w:highlight w:val="none"/>
        </w:rPr>
        <w:t>20</w:t>
      </w:r>
      <w:r>
        <w:rPr>
          <w:b/>
          <w:color w:val="auto"/>
          <w:sz w:val="32"/>
          <w:szCs w:val="32"/>
          <w:highlight w:val="none"/>
        </w:rPr>
        <w:t>年</w:t>
      </w:r>
      <w:r>
        <w:rPr>
          <w:rFonts w:hint="eastAsia"/>
          <w:b/>
          <w:color w:val="auto"/>
          <w:sz w:val="32"/>
          <w:szCs w:val="32"/>
          <w:highlight w:val="none"/>
          <w:lang w:val="en-US" w:eastAsia="zh-CN"/>
        </w:rPr>
        <w:t>12</w:t>
      </w:r>
      <w:r>
        <w:rPr>
          <w:b/>
          <w:color w:val="auto"/>
          <w:sz w:val="32"/>
          <w:szCs w:val="32"/>
          <w:highlight w:val="none"/>
        </w:rPr>
        <w:t>月</w:t>
      </w:r>
    </w:p>
    <w:p>
      <w:pPr>
        <w:rPr>
          <w:color w:val="auto"/>
          <w:highlight w:val="none"/>
        </w:rPr>
      </w:pPr>
    </w:p>
    <w:p>
      <w:pPr>
        <w:pStyle w:val="12"/>
        <w:spacing w:before="312" w:beforeLines="100" w:line="360" w:lineRule="auto"/>
        <w:jc w:val="center"/>
        <w:rPr>
          <w:rFonts w:hint="eastAsia" w:cs="Courier New"/>
          <w:b/>
          <w:color w:val="auto"/>
          <w:sz w:val="42"/>
          <w:szCs w:val="72"/>
          <w:highlight w:val="none"/>
        </w:rPr>
      </w:pPr>
    </w:p>
    <w:p>
      <w:pPr>
        <w:pStyle w:val="12"/>
        <w:spacing w:before="312" w:beforeLines="100" w:line="360" w:lineRule="auto"/>
        <w:jc w:val="center"/>
        <w:rPr>
          <w:rFonts w:hint="eastAsia" w:cs="Courier New"/>
          <w:b/>
          <w:color w:val="auto"/>
          <w:sz w:val="42"/>
          <w:szCs w:val="72"/>
          <w:highlight w:val="none"/>
        </w:rPr>
      </w:pPr>
    </w:p>
    <w:p>
      <w:pPr>
        <w:pStyle w:val="12"/>
        <w:spacing w:before="312" w:beforeLines="100" w:line="360" w:lineRule="auto"/>
        <w:jc w:val="center"/>
        <w:rPr>
          <w:rFonts w:hint="eastAsia" w:cs="Courier New"/>
          <w:b/>
          <w:color w:val="auto"/>
          <w:sz w:val="42"/>
          <w:szCs w:val="72"/>
          <w:highlight w:val="none"/>
        </w:rPr>
      </w:pPr>
    </w:p>
    <w:p>
      <w:pPr>
        <w:pStyle w:val="12"/>
        <w:spacing w:before="312" w:beforeLines="100" w:line="360" w:lineRule="auto"/>
        <w:jc w:val="center"/>
        <w:rPr>
          <w:rFonts w:cs="Courier New"/>
          <w:b/>
          <w:color w:val="auto"/>
          <w:sz w:val="42"/>
          <w:szCs w:val="72"/>
          <w:highlight w:val="none"/>
        </w:rPr>
      </w:pPr>
      <w:r>
        <w:rPr>
          <w:rFonts w:hint="eastAsia" w:cs="Courier New"/>
          <w:b/>
          <w:color w:val="auto"/>
          <w:sz w:val="42"/>
          <w:szCs w:val="72"/>
          <w:highlight w:val="none"/>
        </w:rPr>
        <w:t>目    录</w:t>
      </w:r>
    </w:p>
    <w:p>
      <w:pPr>
        <w:pStyle w:val="12"/>
        <w:spacing w:before="312" w:beforeLines="100" w:line="360" w:lineRule="auto"/>
        <w:jc w:val="center"/>
        <w:rPr>
          <w:rFonts w:cs="Courier New"/>
          <w:b/>
          <w:color w:val="auto"/>
          <w:sz w:val="42"/>
          <w:szCs w:val="72"/>
          <w:highlight w:val="none"/>
        </w:rPr>
      </w:pPr>
    </w:p>
    <w:p>
      <w:pPr>
        <w:pStyle w:val="11"/>
        <w:spacing w:line="600" w:lineRule="exact"/>
        <w:ind w:leftChars="200" w:firstLine="472" w:firstLineChars="147"/>
        <w:rPr>
          <w:rFonts w:hAnsi="Courier New"/>
          <w:b/>
          <w:bCs w:val="0"/>
          <w:i w:val="0"/>
          <w:iCs w:val="0"/>
          <w:color w:val="auto"/>
          <w:spacing w:val="0"/>
          <w:sz w:val="32"/>
          <w:szCs w:val="32"/>
          <w:highlight w:val="none"/>
        </w:rPr>
      </w:pPr>
      <w:r>
        <w:rPr>
          <w:rFonts w:hint="eastAsia" w:hAnsi="Courier New"/>
          <w:b/>
          <w:bCs w:val="0"/>
          <w:i w:val="0"/>
          <w:iCs w:val="0"/>
          <w:color w:val="auto"/>
          <w:spacing w:val="0"/>
          <w:sz w:val="32"/>
          <w:szCs w:val="32"/>
          <w:highlight w:val="none"/>
        </w:rPr>
        <w:t>竞争性磋商公告........................</w:t>
      </w:r>
      <w:r>
        <w:rPr>
          <w:rFonts w:hint="eastAsia" w:hAnsi="Courier New"/>
          <w:b/>
          <w:bCs w:val="0"/>
          <w:i w:val="0"/>
          <w:iCs w:val="0"/>
          <w:color w:val="auto"/>
          <w:spacing w:val="0"/>
          <w:sz w:val="32"/>
          <w:szCs w:val="32"/>
          <w:highlight w:val="none"/>
          <w:lang w:val="en-US" w:eastAsia="zh-CN"/>
        </w:rPr>
        <w:t>..</w:t>
      </w:r>
      <w:r>
        <w:rPr>
          <w:rFonts w:hint="eastAsia" w:hAnsi="Courier New"/>
          <w:b/>
          <w:bCs w:val="0"/>
          <w:i w:val="0"/>
          <w:iCs w:val="0"/>
          <w:color w:val="auto"/>
          <w:spacing w:val="0"/>
          <w:sz w:val="32"/>
          <w:szCs w:val="32"/>
          <w:highlight w:val="none"/>
        </w:rPr>
        <w:t>.....2</w:t>
      </w:r>
    </w:p>
    <w:p>
      <w:pPr>
        <w:pStyle w:val="11"/>
        <w:spacing w:line="600" w:lineRule="exact"/>
        <w:ind w:leftChars="200" w:firstLine="472" w:firstLineChars="147"/>
        <w:rPr>
          <w:rFonts w:hint="eastAsia" w:hAnsi="Courier New" w:eastAsia="宋体"/>
          <w:b/>
          <w:bCs w:val="0"/>
          <w:i w:val="0"/>
          <w:iCs w:val="0"/>
          <w:color w:val="auto"/>
          <w:spacing w:val="0"/>
          <w:sz w:val="32"/>
          <w:szCs w:val="32"/>
          <w:highlight w:val="none"/>
          <w:lang w:eastAsia="zh-CN"/>
        </w:rPr>
      </w:pPr>
      <w:r>
        <w:rPr>
          <w:rFonts w:hint="eastAsia" w:hAnsi="Courier New"/>
          <w:b/>
          <w:bCs w:val="0"/>
          <w:i w:val="0"/>
          <w:iCs w:val="0"/>
          <w:color w:val="auto"/>
          <w:spacing w:val="0"/>
          <w:sz w:val="32"/>
          <w:szCs w:val="32"/>
          <w:highlight w:val="none"/>
        </w:rPr>
        <w:t>第</w:t>
      </w:r>
      <w:r>
        <w:rPr>
          <w:rFonts w:hint="eastAsia" w:hAnsi="Courier New"/>
          <w:b/>
          <w:bCs w:val="0"/>
          <w:i w:val="0"/>
          <w:iCs w:val="0"/>
          <w:color w:val="auto"/>
          <w:spacing w:val="0"/>
          <w:sz w:val="32"/>
          <w:szCs w:val="32"/>
          <w:highlight w:val="none"/>
          <w:lang w:eastAsia="zh-CN"/>
        </w:rPr>
        <w:t>一</w:t>
      </w:r>
      <w:r>
        <w:rPr>
          <w:rFonts w:hint="eastAsia" w:hAnsi="Courier New"/>
          <w:b/>
          <w:bCs w:val="0"/>
          <w:i w:val="0"/>
          <w:iCs w:val="0"/>
          <w:color w:val="auto"/>
          <w:spacing w:val="0"/>
          <w:sz w:val="32"/>
          <w:szCs w:val="32"/>
          <w:highlight w:val="none"/>
        </w:rPr>
        <w:t>章：磋商人须知前附表及磋商须知...........</w:t>
      </w:r>
      <w:r>
        <w:rPr>
          <w:rFonts w:hint="eastAsia" w:hAnsi="Courier New"/>
          <w:b/>
          <w:bCs w:val="0"/>
          <w:i w:val="0"/>
          <w:iCs w:val="0"/>
          <w:color w:val="auto"/>
          <w:spacing w:val="0"/>
          <w:sz w:val="32"/>
          <w:szCs w:val="32"/>
          <w:highlight w:val="none"/>
          <w:lang w:val="en-US" w:eastAsia="zh-CN"/>
        </w:rPr>
        <w:t>5</w:t>
      </w:r>
    </w:p>
    <w:p>
      <w:pPr>
        <w:pStyle w:val="11"/>
        <w:spacing w:line="600" w:lineRule="exact"/>
        <w:ind w:leftChars="200" w:firstLine="472" w:firstLineChars="147"/>
        <w:rPr>
          <w:rFonts w:hint="eastAsia" w:hAnsi="Courier New" w:eastAsia="宋体"/>
          <w:b/>
          <w:bCs w:val="0"/>
          <w:i w:val="0"/>
          <w:iCs w:val="0"/>
          <w:color w:val="auto"/>
          <w:spacing w:val="0"/>
          <w:sz w:val="32"/>
          <w:szCs w:val="32"/>
          <w:highlight w:val="none"/>
          <w:lang w:eastAsia="zh-CN"/>
        </w:rPr>
      </w:pPr>
      <w:r>
        <w:rPr>
          <w:rFonts w:hint="eastAsia" w:hAnsi="Courier New"/>
          <w:b/>
          <w:bCs w:val="0"/>
          <w:i w:val="0"/>
          <w:iCs w:val="0"/>
          <w:color w:val="auto"/>
          <w:spacing w:val="0"/>
          <w:sz w:val="32"/>
          <w:szCs w:val="32"/>
          <w:highlight w:val="none"/>
        </w:rPr>
        <w:t>第</w:t>
      </w:r>
      <w:r>
        <w:rPr>
          <w:rFonts w:hint="eastAsia" w:hAnsi="Courier New"/>
          <w:b/>
          <w:bCs w:val="0"/>
          <w:i w:val="0"/>
          <w:iCs w:val="0"/>
          <w:color w:val="auto"/>
          <w:spacing w:val="0"/>
          <w:sz w:val="32"/>
          <w:szCs w:val="32"/>
          <w:highlight w:val="none"/>
          <w:lang w:eastAsia="zh-CN"/>
        </w:rPr>
        <w:t>二</w:t>
      </w:r>
      <w:r>
        <w:rPr>
          <w:rFonts w:hint="eastAsia" w:hAnsi="Courier New"/>
          <w:b/>
          <w:bCs w:val="0"/>
          <w:i w:val="0"/>
          <w:iCs w:val="0"/>
          <w:color w:val="auto"/>
          <w:spacing w:val="0"/>
          <w:sz w:val="32"/>
          <w:szCs w:val="32"/>
          <w:highlight w:val="none"/>
        </w:rPr>
        <w:t>章：合同主要条款（参考格式）.............1</w:t>
      </w:r>
      <w:r>
        <w:rPr>
          <w:rFonts w:hint="eastAsia" w:hAnsi="Courier New"/>
          <w:b/>
          <w:bCs w:val="0"/>
          <w:i w:val="0"/>
          <w:iCs w:val="0"/>
          <w:color w:val="auto"/>
          <w:spacing w:val="0"/>
          <w:sz w:val="32"/>
          <w:szCs w:val="32"/>
          <w:highlight w:val="none"/>
          <w:lang w:val="en-US" w:eastAsia="zh-CN"/>
        </w:rPr>
        <w:t>7</w:t>
      </w:r>
    </w:p>
    <w:p>
      <w:pPr>
        <w:pStyle w:val="11"/>
        <w:spacing w:line="600" w:lineRule="exact"/>
        <w:ind w:leftChars="200" w:firstLine="472" w:firstLineChars="147"/>
        <w:rPr>
          <w:rFonts w:hint="default" w:hAnsi="Courier New" w:eastAsia="宋体"/>
          <w:b/>
          <w:bCs w:val="0"/>
          <w:i w:val="0"/>
          <w:iCs w:val="0"/>
          <w:color w:val="auto"/>
          <w:spacing w:val="0"/>
          <w:sz w:val="32"/>
          <w:szCs w:val="32"/>
          <w:highlight w:val="none"/>
          <w:lang w:val="en-US" w:eastAsia="zh-CN"/>
        </w:rPr>
      </w:pPr>
      <w:r>
        <w:rPr>
          <w:rFonts w:hint="eastAsia" w:hAnsi="Courier New"/>
          <w:b/>
          <w:bCs w:val="0"/>
          <w:i w:val="0"/>
          <w:iCs w:val="0"/>
          <w:color w:val="auto"/>
          <w:spacing w:val="0"/>
          <w:sz w:val="32"/>
          <w:szCs w:val="32"/>
          <w:highlight w:val="none"/>
        </w:rPr>
        <w:t>第</w:t>
      </w:r>
      <w:r>
        <w:rPr>
          <w:rFonts w:hint="eastAsia" w:hAnsi="Courier New"/>
          <w:b/>
          <w:bCs w:val="0"/>
          <w:i w:val="0"/>
          <w:iCs w:val="0"/>
          <w:color w:val="auto"/>
          <w:spacing w:val="0"/>
          <w:sz w:val="32"/>
          <w:szCs w:val="32"/>
          <w:highlight w:val="none"/>
          <w:lang w:eastAsia="zh-CN"/>
        </w:rPr>
        <w:t>三</w:t>
      </w:r>
      <w:r>
        <w:rPr>
          <w:rFonts w:hint="eastAsia" w:hAnsi="Courier New"/>
          <w:b/>
          <w:bCs w:val="0"/>
          <w:i w:val="0"/>
          <w:iCs w:val="0"/>
          <w:color w:val="auto"/>
          <w:spacing w:val="0"/>
          <w:sz w:val="32"/>
          <w:szCs w:val="32"/>
          <w:highlight w:val="none"/>
        </w:rPr>
        <w:t>章：磋商文件格式...... ..................</w:t>
      </w:r>
      <w:r>
        <w:rPr>
          <w:rFonts w:hint="eastAsia" w:hAnsi="Courier New"/>
          <w:b/>
          <w:bCs w:val="0"/>
          <w:i w:val="0"/>
          <w:iCs w:val="0"/>
          <w:color w:val="auto"/>
          <w:spacing w:val="0"/>
          <w:sz w:val="32"/>
          <w:szCs w:val="32"/>
          <w:highlight w:val="none"/>
          <w:lang w:val="en-US" w:eastAsia="zh-CN"/>
        </w:rPr>
        <w:t>71</w:t>
      </w:r>
    </w:p>
    <w:p>
      <w:pPr>
        <w:pStyle w:val="11"/>
        <w:spacing w:line="600" w:lineRule="exact"/>
        <w:ind w:leftChars="200" w:firstLine="472" w:firstLineChars="147"/>
        <w:rPr>
          <w:rFonts w:hint="eastAsia" w:hAnsi="Courier New"/>
          <w:b/>
          <w:bCs w:val="0"/>
          <w:i w:val="0"/>
          <w:iCs w:val="0"/>
          <w:color w:val="auto"/>
          <w:spacing w:val="0"/>
          <w:sz w:val="32"/>
          <w:szCs w:val="32"/>
          <w:highlight w:val="none"/>
          <w:lang w:val="en-US" w:eastAsia="zh-CN"/>
        </w:rPr>
      </w:pPr>
      <w:r>
        <w:rPr>
          <w:rFonts w:hint="eastAsia" w:hAnsi="Courier New"/>
          <w:b/>
          <w:bCs w:val="0"/>
          <w:i w:val="0"/>
          <w:iCs w:val="0"/>
          <w:color w:val="auto"/>
          <w:spacing w:val="0"/>
          <w:sz w:val="32"/>
          <w:szCs w:val="32"/>
          <w:highlight w:val="none"/>
        </w:rPr>
        <w:t>第</w:t>
      </w:r>
      <w:r>
        <w:rPr>
          <w:rFonts w:hint="eastAsia" w:hAnsi="Courier New"/>
          <w:b/>
          <w:bCs w:val="0"/>
          <w:i w:val="0"/>
          <w:iCs w:val="0"/>
          <w:color w:val="auto"/>
          <w:spacing w:val="0"/>
          <w:sz w:val="32"/>
          <w:szCs w:val="32"/>
          <w:highlight w:val="none"/>
          <w:lang w:eastAsia="zh-CN"/>
        </w:rPr>
        <w:t>四</w:t>
      </w:r>
      <w:r>
        <w:rPr>
          <w:rFonts w:hint="eastAsia" w:hAnsi="Courier New"/>
          <w:b/>
          <w:bCs w:val="0"/>
          <w:i w:val="0"/>
          <w:iCs w:val="0"/>
          <w:color w:val="auto"/>
          <w:spacing w:val="0"/>
          <w:sz w:val="32"/>
          <w:szCs w:val="32"/>
          <w:highlight w:val="none"/>
        </w:rPr>
        <w:t>章：技术规范.... ........... ............</w:t>
      </w:r>
      <w:r>
        <w:rPr>
          <w:rFonts w:hint="eastAsia" w:hAnsi="Courier New"/>
          <w:b/>
          <w:bCs w:val="0"/>
          <w:i w:val="0"/>
          <w:iCs w:val="0"/>
          <w:color w:val="auto"/>
          <w:spacing w:val="0"/>
          <w:sz w:val="32"/>
          <w:szCs w:val="32"/>
          <w:highlight w:val="none"/>
          <w:lang w:val="en-US" w:eastAsia="zh-CN"/>
        </w:rPr>
        <w:t>84</w:t>
      </w:r>
    </w:p>
    <w:p>
      <w:pPr>
        <w:pStyle w:val="11"/>
        <w:spacing w:line="600" w:lineRule="exact"/>
        <w:ind w:leftChars="200" w:firstLine="472" w:firstLineChars="147"/>
        <w:rPr>
          <w:rFonts w:hint="default"/>
          <w:color w:val="auto"/>
          <w:highlight w:val="none"/>
          <w:lang w:val="en-US" w:eastAsia="zh-CN"/>
        </w:rPr>
      </w:pPr>
      <w:r>
        <w:rPr>
          <w:rFonts w:hint="eastAsia" w:hAnsi="Courier New"/>
          <w:b/>
          <w:bCs w:val="0"/>
          <w:i w:val="0"/>
          <w:iCs w:val="0"/>
          <w:color w:val="auto"/>
          <w:spacing w:val="0"/>
          <w:sz w:val="32"/>
          <w:szCs w:val="32"/>
          <w:highlight w:val="none"/>
        </w:rPr>
        <w:t>第</w:t>
      </w:r>
      <w:r>
        <w:rPr>
          <w:rFonts w:hint="eastAsia" w:hAnsi="Courier New"/>
          <w:b/>
          <w:bCs w:val="0"/>
          <w:i w:val="0"/>
          <w:iCs w:val="0"/>
          <w:color w:val="auto"/>
          <w:spacing w:val="0"/>
          <w:sz w:val="32"/>
          <w:szCs w:val="32"/>
          <w:highlight w:val="none"/>
          <w:lang w:eastAsia="zh-CN"/>
        </w:rPr>
        <w:t>五</w:t>
      </w:r>
      <w:r>
        <w:rPr>
          <w:rFonts w:hint="eastAsia" w:hAnsi="Courier New"/>
          <w:b/>
          <w:bCs w:val="0"/>
          <w:i w:val="0"/>
          <w:iCs w:val="0"/>
          <w:color w:val="auto"/>
          <w:spacing w:val="0"/>
          <w:sz w:val="32"/>
          <w:szCs w:val="32"/>
          <w:highlight w:val="none"/>
        </w:rPr>
        <w:t>章：</w:t>
      </w:r>
      <w:r>
        <w:rPr>
          <w:rFonts w:hint="eastAsia" w:hAnsi="Courier New"/>
          <w:b/>
          <w:bCs w:val="0"/>
          <w:i w:val="0"/>
          <w:iCs w:val="0"/>
          <w:color w:val="auto"/>
          <w:spacing w:val="0"/>
          <w:sz w:val="32"/>
          <w:szCs w:val="32"/>
          <w:highlight w:val="none"/>
          <w:lang w:eastAsia="zh-CN"/>
        </w:rPr>
        <w:t>施工图纸</w:t>
      </w:r>
      <w:r>
        <w:rPr>
          <w:rFonts w:hint="eastAsia" w:hAnsi="Courier New"/>
          <w:b/>
          <w:bCs w:val="0"/>
          <w:i w:val="0"/>
          <w:iCs w:val="0"/>
          <w:color w:val="auto"/>
          <w:spacing w:val="0"/>
          <w:sz w:val="32"/>
          <w:szCs w:val="32"/>
          <w:highlight w:val="none"/>
        </w:rPr>
        <w:t>.... ........... ............</w:t>
      </w:r>
      <w:r>
        <w:rPr>
          <w:rFonts w:hint="eastAsia" w:hAnsi="Courier New"/>
          <w:b/>
          <w:bCs w:val="0"/>
          <w:i w:val="0"/>
          <w:iCs w:val="0"/>
          <w:color w:val="auto"/>
          <w:spacing w:val="0"/>
          <w:sz w:val="32"/>
          <w:szCs w:val="32"/>
          <w:highlight w:val="none"/>
          <w:lang w:val="en-US" w:eastAsia="zh-CN"/>
        </w:rPr>
        <w:t>85</w:t>
      </w:r>
    </w:p>
    <w:p>
      <w:pPr>
        <w:pStyle w:val="11"/>
        <w:spacing w:line="600" w:lineRule="exact"/>
        <w:ind w:leftChars="200" w:firstLine="472" w:firstLineChars="147"/>
        <w:rPr>
          <w:rFonts w:hint="default" w:hAnsi="Courier New" w:eastAsia="宋体"/>
          <w:b/>
          <w:bCs w:val="0"/>
          <w:i w:val="0"/>
          <w:iCs w:val="0"/>
          <w:color w:val="auto"/>
          <w:spacing w:val="0"/>
          <w:sz w:val="32"/>
          <w:szCs w:val="32"/>
          <w:highlight w:val="none"/>
          <w:lang w:val="en-US" w:eastAsia="zh-CN"/>
        </w:rPr>
      </w:pPr>
      <w:r>
        <w:rPr>
          <w:rFonts w:hint="eastAsia" w:hAnsi="Courier New"/>
          <w:b/>
          <w:bCs w:val="0"/>
          <w:i w:val="0"/>
          <w:iCs w:val="0"/>
          <w:color w:val="auto"/>
          <w:spacing w:val="0"/>
          <w:sz w:val="32"/>
          <w:szCs w:val="32"/>
          <w:highlight w:val="none"/>
        </w:rPr>
        <w:t>第六章：评标标准.... ........... ............</w:t>
      </w:r>
      <w:r>
        <w:rPr>
          <w:rFonts w:hint="eastAsia" w:hAnsi="Courier New"/>
          <w:b/>
          <w:bCs w:val="0"/>
          <w:i w:val="0"/>
          <w:iCs w:val="0"/>
          <w:color w:val="auto"/>
          <w:spacing w:val="0"/>
          <w:sz w:val="32"/>
          <w:szCs w:val="32"/>
          <w:highlight w:val="none"/>
          <w:lang w:val="en-US" w:eastAsia="zh-CN"/>
        </w:rPr>
        <w:t>86</w:t>
      </w:r>
    </w:p>
    <w:p>
      <w:pPr>
        <w:rPr>
          <w:color w:val="auto"/>
          <w:sz w:val="32"/>
          <w:szCs w:val="32"/>
          <w:highlight w:val="none"/>
        </w:rPr>
      </w:pPr>
    </w:p>
    <w:p>
      <w:pPr>
        <w:pStyle w:val="11"/>
        <w:jc w:val="center"/>
        <w:rPr>
          <w:b/>
          <w:bCs w:val="0"/>
          <w:i w:val="0"/>
          <w:color w:val="auto"/>
          <w:sz w:val="32"/>
          <w:szCs w:val="32"/>
          <w:highlight w:val="none"/>
        </w:rPr>
      </w:pPr>
      <w:r>
        <w:rPr>
          <w:rStyle w:val="25"/>
          <w:bCs w:val="0"/>
          <w:i w:val="0"/>
          <w:iCs w:val="0"/>
          <w:color w:val="auto"/>
          <w:highlight w:val="none"/>
        </w:rPr>
        <w:br w:type="page"/>
      </w:r>
      <w:bookmarkStart w:id="0" w:name="_Toc677"/>
      <w:r>
        <w:rPr>
          <w:rFonts w:hint="eastAsia"/>
          <w:b/>
          <w:bCs w:val="0"/>
          <w:i w:val="0"/>
          <w:color w:val="auto"/>
          <w:sz w:val="32"/>
          <w:szCs w:val="32"/>
          <w:highlight w:val="none"/>
        </w:rPr>
        <w:t xml:space="preserve"> </w:t>
      </w:r>
    </w:p>
    <w:p>
      <w:pPr>
        <w:spacing w:line="380" w:lineRule="exact"/>
        <w:jc w:val="center"/>
        <w:rPr>
          <w:color w:val="auto"/>
          <w:highlight w:val="none"/>
        </w:rPr>
      </w:pPr>
      <w:r>
        <w:rPr>
          <w:rFonts w:hint="eastAsia" w:ascii="宋体" w:hAnsi="宋体"/>
          <w:b/>
          <w:bCs/>
          <w:color w:val="auto"/>
          <w:position w:val="-6"/>
          <w:sz w:val="28"/>
          <w:szCs w:val="28"/>
          <w:highlight w:val="none"/>
        </w:rPr>
        <w:t>广西新宇建设项目管理有限公司</w:t>
      </w:r>
      <w:r>
        <w:rPr>
          <w:rFonts w:hint="eastAsia" w:ascii="宋体" w:hAnsi="宋体"/>
          <w:b/>
          <w:bCs/>
          <w:color w:val="auto"/>
          <w:position w:val="-6"/>
          <w:sz w:val="28"/>
          <w:szCs w:val="28"/>
          <w:highlight w:val="none"/>
          <w:lang w:eastAsia="zh-CN"/>
        </w:rPr>
        <w:t>关于大藤峡库区左岸淹没区变压器紧急迁移工程服务</w:t>
      </w:r>
      <w:r>
        <w:rPr>
          <w:rFonts w:hint="eastAsia" w:ascii="宋体" w:hAnsi="宋体"/>
          <w:b/>
          <w:color w:val="auto"/>
          <w:position w:val="-6"/>
          <w:sz w:val="28"/>
          <w:szCs w:val="28"/>
          <w:highlight w:val="none"/>
        </w:rPr>
        <w:t>（</w:t>
      </w:r>
      <w:r>
        <w:rPr>
          <w:rFonts w:hint="eastAsia" w:ascii="宋体" w:hAnsi="宋体"/>
          <w:b/>
          <w:bCs/>
          <w:color w:val="auto"/>
          <w:position w:val="-6"/>
          <w:sz w:val="28"/>
          <w:szCs w:val="28"/>
          <w:highlight w:val="none"/>
          <w:lang w:eastAsia="zh-CN"/>
        </w:rPr>
        <w:t>GGZC2020-C2-50378-GXXY</w:t>
      </w:r>
      <w:r>
        <w:rPr>
          <w:rFonts w:hint="eastAsia" w:ascii="宋体" w:hAnsi="宋体"/>
          <w:b/>
          <w:color w:val="auto"/>
          <w:position w:val="-6"/>
          <w:sz w:val="28"/>
          <w:szCs w:val="28"/>
          <w:highlight w:val="none"/>
        </w:rPr>
        <w:t>）竞争性磋商公告</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大藤峡库区左岸淹没区变压器紧急迁移工程服务</w:t>
      </w:r>
      <w:r>
        <w:rPr>
          <w:rFonts w:hint="eastAsia" w:ascii="宋体" w:hAnsi="宋体" w:cs="宋体"/>
          <w:color w:val="auto"/>
          <w:szCs w:val="21"/>
          <w:highlight w:val="none"/>
        </w:rPr>
        <w:t xml:space="preserve"> 采购项目的潜在供应商应在</w:t>
      </w:r>
      <w:r>
        <w:rPr>
          <w:rFonts w:hint="eastAsia" w:ascii="宋体" w:hAnsi="宋体" w:cs="宋体"/>
          <w:color w:val="auto"/>
          <w:szCs w:val="21"/>
          <w:highlight w:val="none"/>
          <w:u w:val="single"/>
        </w:rPr>
        <w:t>（中国政府采购网（http://www.ccgp.gov.cn/）、广西壮族自治区政府采购网（http://zfcg.gxzf.gov.cn/）、贵港市政府采购网（http://zfcg.czj.gxgg.gov.cn/），贵港市公共资源交易中心网（http://ggggjy.gxgg.gov.cn:9005/））</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rPr>
        <w:t xml:space="preserve"> 2020</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月 日9点00分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4"/>
        <w:spacing w:before="20" w:after="20" w:line="380" w:lineRule="exact"/>
        <w:rPr>
          <w:rFonts w:ascii="宋体" w:hAnsi="宋体" w:eastAsia="宋体" w:cs="宋体"/>
          <w:bCs w:val="0"/>
          <w:color w:val="auto"/>
          <w:sz w:val="24"/>
          <w:szCs w:val="24"/>
          <w:highlight w:val="none"/>
        </w:rPr>
      </w:pPr>
      <w:bookmarkStart w:id="1" w:name="_Toc35393798"/>
      <w:bookmarkStart w:id="2" w:name="_Toc28359089"/>
      <w:bookmarkStart w:id="3" w:name="_Toc28359012"/>
      <w:bookmarkStart w:id="4" w:name="_Toc35393629"/>
      <w:r>
        <w:rPr>
          <w:rFonts w:hint="eastAsia" w:ascii="宋体" w:hAnsi="宋体" w:eastAsia="宋体" w:cs="宋体"/>
          <w:bCs w:val="0"/>
          <w:color w:val="auto"/>
          <w:sz w:val="24"/>
          <w:szCs w:val="24"/>
          <w:highlight w:val="none"/>
        </w:rPr>
        <w:t>一、项目基本情况</w:t>
      </w:r>
      <w:bookmarkEnd w:id="1"/>
      <w:bookmarkEnd w:id="2"/>
      <w:bookmarkEnd w:id="3"/>
      <w:bookmarkEnd w:id="4"/>
    </w:p>
    <w:p>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GGZC2020-C2-50378-GXXY</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政府采购计划（备案号：GPZC2020-C2-</w:t>
      </w:r>
      <w:r>
        <w:rPr>
          <w:rFonts w:hint="eastAsia" w:ascii="宋体" w:hAnsi="宋体" w:cs="宋体"/>
          <w:color w:val="auto"/>
          <w:szCs w:val="21"/>
          <w:highlight w:val="none"/>
          <w:lang w:val="en-US" w:eastAsia="zh-CN"/>
        </w:rPr>
        <w:t>08441</w:t>
      </w:r>
      <w:r>
        <w:rPr>
          <w:rFonts w:hint="eastAsia" w:ascii="宋体" w:hAnsi="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大藤峡库区左岸淹没区变压器紧急迁移工程服务</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采购方式：□竞争性谈判 </w:t>
      </w:r>
      <w:r>
        <w:rPr>
          <w:rFonts w:ascii="Segoe UI Symbol" w:hAnsi="Segoe UI Symbol" w:cs="Segoe UI Symbol"/>
          <w:color w:val="auto"/>
          <w:szCs w:val="21"/>
          <w:highlight w:val="none"/>
        </w:rPr>
        <w:t>☑</w:t>
      </w:r>
      <w:r>
        <w:rPr>
          <w:rFonts w:hint="eastAsia" w:ascii="宋体" w:hAnsi="宋体" w:cs="宋体"/>
          <w:color w:val="auto"/>
          <w:szCs w:val="21"/>
          <w:highlight w:val="none"/>
        </w:rPr>
        <w:t>竞争性磋商 □询价</w:t>
      </w:r>
    </w:p>
    <w:p>
      <w:pPr>
        <w:spacing w:line="380" w:lineRule="exact"/>
        <w:ind w:firstLine="420" w:firstLineChars="200"/>
        <w:rPr>
          <w:rFonts w:hint="eastAsia" w:eastAsia="宋体"/>
          <w:bCs/>
          <w:color w:val="auto"/>
          <w:szCs w:val="21"/>
          <w:highlight w:val="none"/>
          <w:lang w:eastAsia="zh-CN"/>
        </w:rPr>
      </w:pPr>
      <w:r>
        <w:rPr>
          <w:rFonts w:hint="eastAsia"/>
          <w:bCs/>
          <w:color w:val="auto"/>
          <w:szCs w:val="21"/>
          <w:highlight w:val="none"/>
        </w:rPr>
        <w:t>预算控制价：</w:t>
      </w:r>
      <w:r>
        <w:rPr>
          <w:rFonts w:hint="eastAsia"/>
          <w:bCs/>
          <w:color w:val="auto"/>
          <w:szCs w:val="21"/>
          <w:highlight w:val="none"/>
          <w:lang w:eastAsia="zh-CN"/>
        </w:rPr>
        <w:t>人民币贰佰陆拾壹万贰仟柒佰捌拾元整（￥2612780.00）</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最高限价（如有）：无</w:t>
      </w:r>
    </w:p>
    <w:p>
      <w:pPr>
        <w:spacing w:line="380" w:lineRule="exact"/>
        <w:ind w:left="420" w:left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1、本工程迁移左岸10kV努滩线沿途水淹区的配变及专变,共7台。</w:t>
      </w:r>
    </w:p>
    <w:p>
      <w:pPr>
        <w:spacing w:line="380" w:lineRule="exact"/>
        <w:ind w:left="420" w:left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本工程架设10kV架空线JKLYJ-70共1180m,架设15m电杆2基,12m电杆25基,10m电杆93基，10m大拔稍杆2基，拉线28组。架设0.4kV二线沿墙线BLVV-35共320m，0.4kV二线架空线BLVV-35共1010m，0.4kV四线沿墙线BLVV-35共370m，0.4kV四线架空线BLVV-35共2370m，0.4kV四线架空线BLVV-70共980m，0.4kV四线架空线BLVV-240共520m。</w:t>
      </w:r>
    </w:p>
    <w:p>
      <w:pPr>
        <w:spacing w:line="380" w:lineRule="exact"/>
        <w:ind w:left="420" w:left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3、安装分支跌落式熔断器7组,过电压保护器及其接地网8套,安装验电接地环7组。</w:t>
      </w:r>
    </w:p>
    <w:p>
      <w:pPr>
        <w:spacing w:line="380" w:lineRule="exact"/>
        <w:ind w:left="420" w:left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4、安装台架式变压器7台,S15-30kVA共3台,S11-30kVA共2台,S11-250kVA共2台,台架杆上安装跌落式熔断器7组,隔离开关7组,综合配电箱30kVA共5套,综合配电箱250kVA共2套,设备接地网7套。</w:t>
      </w:r>
    </w:p>
    <w:p>
      <w:pPr>
        <w:spacing w:line="380" w:lineRule="exact"/>
        <w:ind w:left="420" w:leftChars="200"/>
        <w:rPr>
          <w:color w:val="auto"/>
          <w:szCs w:val="21"/>
          <w:highlight w:val="none"/>
        </w:rPr>
      </w:pPr>
      <w:r>
        <w:rPr>
          <w:rFonts w:hint="eastAsia" w:ascii="宋体" w:hAnsi="宋体" w:cs="宋体"/>
          <w:color w:val="auto"/>
          <w:szCs w:val="21"/>
          <w:highlight w:val="none"/>
          <w:lang w:val="en-US" w:eastAsia="zh-CN"/>
        </w:rPr>
        <w:t>5、二次运输道路共8.5KM</w:t>
      </w:r>
      <w:r>
        <w:rPr>
          <w:rFonts w:hint="eastAsia"/>
          <w:color w:val="auto"/>
          <w:szCs w:val="21"/>
          <w:highlight w:val="none"/>
        </w:rPr>
        <w:t>；详见工程量清单文件及施工图纸。</w:t>
      </w:r>
    </w:p>
    <w:p>
      <w:pPr>
        <w:spacing w:line="380" w:lineRule="exact"/>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工期：</w:t>
      </w:r>
      <w:r>
        <w:rPr>
          <w:rFonts w:hint="eastAsia" w:ascii="宋体" w:hAnsi="宋体" w:cs="宋体"/>
          <w:color w:val="auto"/>
          <w:szCs w:val="21"/>
          <w:highlight w:val="none"/>
          <w:lang w:eastAsia="zh-CN"/>
        </w:rPr>
        <w:t>60日历天</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工程质量要求：达到国家施工验收规范合格标准</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w:t>
      </w:r>
      <w:r>
        <w:rPr>
          <w:rFonts w:ascii="Segoe UI Symbol" w:hAnsi="Segoe UI Symbol" w:cs="Segoe UI Symbol"/>
          <w:color w:val="auto"/>
          <w:szCs w:val="21"/>
          <w:highlight w:val="none"/>
        </w:rPr>
        <w:t>☑</w:t>
      </w:r>
      <w:r>
        <w:rPr>
          <w:rFonts w:hint="eastAsia" w:ascii="宋体" w:hAnsi="宋体" w:cs="宋体"/>
          <w:color w:val="auto"/>
          <w:szCs w:val="21"/>
          <w:highlight w:val="none"/>
        </w:rPr>
        <w:t>否）接受联合体。</w:t>
      </w:r>
    </w:p>
    <w:p>
      <w:pPr>
        <w:pStyle w:val="4"/>
        <w:spacing w:before="20" w:after="20" w:line="380" w:lineRule="exact"/>
        <w:rPr>
          <w:rFonts w:ascii="宋体" w:hAnsi="宋体" w:eastAsia="宋体" w:cs="宋体"/>
          <w:bCs w:val="0"/>
          <w:color w:val="auto"/>
          <w:sz w:val="24"/>
          <w:szCs w:val="24"/>
          <w:highlight w:val="none"/>
        </w:rPr>
      </w:pPr>
      <w:bookmarkStart w:id="5" w:name="_Toc35393630"/>
      <w:bookmarkStart w:id="6" w:name="_Toc28359013"/>
      <w:bookmarkStart w:id="7" w:name="_Toc35393799"/>
      <w:bookmarkStart w:id="8" w:name="_Toc28359090"/>
      <w:r>
        <w:rPr>
          <w:rFonts w:hint="eastAsia" w:ascii="宋体" w:hAnsi="宋体" w:eastAsia="宋体" w:cs="宋体"/>
          <w:bCs w:val="0"/>
          <w:color w:val="auto"/>
          <w:sz w:val="24"/>
          <w:szCs w:val="24"/>
          <w:highlight w:val="none"/>
        </w:rPr>
        <w:t>二、申请人的资格要求：</w:t>
      </w:r>
      <w:bookmarkEnd w:id="5"/>
      <w:bookmarkEnd w:id="6"/>
      <w:bookmarkEnd w:id="7"/>
      <w:bookmarkEnd w:id="8"/>
    </w:p>
    <w:p>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1.（1）符合《中华人民共和国政府采购法》第二十二条的规定，具有独立的法人资格</w:t>
      </w:r>
      <w:r>
        <w:rPr>
          <w:rFonts w:hint="eastAsia" w:ascii="宋体" w:hAnsi="宋体" w:cs="宋体"/>
          <w:color w:val="auto"/>
          <w:szCs w:val="21"/>
          <w:highlight w:val="none"/>
          <w:lang w:eastAsia="zh-CN"/>
        </w:rPr>
        <w:t>。</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（2）在国内注册（指按国家有关规定要求注册的） 生产或经营本次采购项目，具备有效的电力工程施工总承包三级以上（含三级）或输变电工程专业承包三级以上（含三级）资质；</w:t>
      </w:r>
      <w:r>
        <w:rPr>
          <w:rFonts w:hint="eastAsia" w:ascii="宋体" w:hAnsi="宋体"/>
          <w:color w:val="auto"/>
          <w:highlight w:val="none"/>
        </w:rPr>
        <w:t>同时具备国家电力监管委员会颁发的承装（修、试）电力设施许可证（要求同时具备承装类</w:t>
      </w:r>
      <w:r>
        <w:rPr>
          <w:rFonts w:hint="eastAsia" w:ascii="宋体" w:hAnsi="宋体"/>
          <w:color w:val="auto"/>
          <w:highlight w:val="none"/>
          <w:lang w:eastAsia="zh-CN"/>
        </w:rPr>
        <w:t>三</w:t>
      </w:r>
      <w:r>
        <w:rPr>
          <w:rFonts w:hint="eastAsia" w:ascii="宋体" w:hAnsi="宋体"/>
          <w:color w:val="auto"/>
          <w:highlight w:val="none"/>
        </w:rPr>
        <w:t>级及以上、承修类</w:t>
      </w:r>
      <w:r>
        <w:rPr>
          <w:rFonts w:hint="eastAsia" w:ascii="宋体" w:hAnsi="宋体"/>
          <w:color w:val="auto"/>
          <w:highlight w:val="none"/>
          <w:lang w:eastAsia="zh-CN"/>
        </w:rPr>
        <w:t>三</w:t>
      </w:r>
      <w:r>
        <w:rPr>
          <w:rFonts w:hint="eastAsia" w:ascii="宋体" w:hAnsi="宋体"/>
          <w:color w:val="auto"/>
          <w:highlight w:val="none"/>
        </w:rPr>
        <w:t>级及以上、承试类</w:t>
      </w:r>
      <w:r>
        <w:rPr>
          <w:rFonts w:hint="eastAsia" w:ascii="宋体" w:hAnsi="宋体"/>
          <w:color w:val="auto"/>
          <w:highlight w:val="none"/>
          <w:lang w:eastAsia="zh-CN"/>
        </w:rPr>
        <w:t>三</w:t>
      </w:r>
      <w:r>
        <w:rPr>
          <w:rFonts w:hint="eastAsia" w:ascii="宋体" w:hAnsi="宋体"/>
          <w:color w:val="auto"/>
          <w:highlight w:val="none"/>
        </w:rPr>
        <w:t>级及以上）的企业</w:t>
      </w:r>
      <w:r>
        <w:rPr>
          <w:rFonts w:hint="eastAsia" w:ascii="宋体" w:hAnsi="宋体" w:cs="宋体"/>
          <w:color w:val="auto"/>
          <w:szCs w:val="21"/>
          <w:highlight w:val="none"/>
        </w:rPr>
        <w:t>;具备有效国家建设行政管理部门颁发的安全生产许可证；具有履行合同所必需的设备和专业技术能力；</w:t>
      </w:r>
    </w:p>
    <w:p>
      <w:pPr>
        <w:tabs>
          <w:tab w:val="left" w:pos="5985"/>
        </w:tabs>
        <w:spacing w:line="400" w:lineRule="exact"/>
        <w:ind w:firstLine="420" w:firstLineChars="200"/>
        <w:rPr>
          <w:rFonts w:hint="eastAsia" w:ascii="宋体" w:hAnsi="宋体" w:cs="宋体"/>
          <w:color w:val="auto"/>
          <w:szCs w:val="21"/>
          <w:highlight w:val="none"/>
          <w:lang w:val="en-US" w:eastAsia="zh-CN" w:bidi="ar"/>
        </w:rPr>
      </w:pPr>
    </w:p>
    <w:p>
      <w:pPr>
        <w:tabs>
          <w:tab w:val="left" w:pos="5985"/>
        </w:tabs>
        <w:spacing w:line="400" w:lineRule="exact"/>
        <w:ind w:firstLine="420" w:firstLineChars="200"/>
        <w:rPr>
          <w:color w:val="auto"/>
          <w:highlight w:val="none"/>
        </w:rPr>
      </w:pP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bidi="ar"/>
        </w:rPr>
        <w:t>拟投入本项目的项目经理需具备</w:t>
      </w:r>
      <w:r>
        <w:rPr>
          <w:rFonts w:hint="eastAsia" w:ascii="宋体" w:hAnsi="宋体" w:cs="宋体"/>
          <w:color w:val="auto"/>
          <w:szCs w:val="21"/>
          <w:highlight w:val="none"/>
        </w:rPr>
        <w:t>机电工程专业二级以上（含二级）注册建造师执业资格，具备有效的安全生产考核合格证书（B 类），并在磋商人单位注册；</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）本项目不接受联合体磋商。</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）对在“信用中国”网站(www.c</w:t>
      </w:r>
      <w:r>
        <w:rPr>
          <w:rFonts w:ascii="Segoe UI Symbol" w:hAnsi="Segoe UI Symbol" w:cs="Segoe UI Symbol"/>
          <w:color w:val="auto"/>
          <w:szCs w:val="21"/>
          <w:highlight w:val="none"/>
        </w:rPr>
        <w:t>☑</w:t>
      </w:r>
      <w:r>
        <w:rPr>
          <w:rFonts w:hint="eastAsia" w:ascii="宋体" w:hAnsi="宋体" w:cs="宋体"/>
          <w:color w:val="auto"/>
          <w:szCs w:val="21"/>
          <w:highlight w:val="none"/>
        </w:rPr>
        <w:t>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w:t>
      </w:r>
    </w:p>
    <w:p>
      <w:pPr>
        <w:spacing w:line="380" w:lineRule="exact"/>
        <w:ind w:firstLine="420" w:firstLineChars="200"/>
        <w:rPr>
          <w:rFonts w:ascii="宋体" w:hAnsi="宋体" w:cs="宋体"/>
          <w:color w:val="auto"/>
          <w:szCs w:val="21"/>
          <w:highlight w:val="none"/>
          <w:u w:val="single"/>
        </w:rPr>
      </w:pPr>
      <w:bookmarkStart w:id="9" w:name="_Toc28359014"/>
      <w:bookmarkStart w:id="10" w:name="_Toc28359091"/>
      <w:r>
        <w:rPr>
          <w:rFonts w:hint="eastAsia" w:ascii="宋体" w:hAnsi="宋体" w:cs="宋体"/>
          <w:color w:val="auto"/>
          <w:szCs w:val="21"/>
          <w:highlight w:val="none"/>
        </w:rPr>
        <w:t>2.本项目的特定资格要求：无。</w:t>
      </w:r>
    </w:p>
    <w:p>
      <w:pPr>
        <w:pStyle w:val="4"/>
        <w:spacing w:before="20" w:after="20" w:line="380" w:lineRule="exact"/>
        <w:rPr>
          <w:rFonts w:ascii="宋体" w:hAnsi="宋体" w:eastAsia="宋体" w:cs="宋体"/>
          <w:bCs w:val="0"/>
          <w:color w:val="auto"/>
          <w:sz w:val="24"/>
          <w:szCs w:val="24"/>
          <w:highlight w:val="none"/>
        </w:rPr>
      </w:pPr>
      <w:bookmarkStart w:id="11" w:name="_Toc35393800"/>
      <w:bookmarkStart w:id="12" w:name="_Toc35393631"/>
      <w:r>
        <w:rPr>
          <w:rFonts w:hint="eastAsia" w:ascii="宋体" w:hAnsi="宋体" w:eastAsia="宋体" w:cs="宋体"/>
          <w:bCs w:val="0"/>
          <w:color w:val="auto"/>
          <w:sz w:val="24"/>
          <w:szCs w:val="24"/>
          <w:highlight w:val="none"/>
        </w:rPr>
        <w:t>三、获取采购文件</w:t>
      </w:r>
      <w:bookmarkEnd w:id="9"/>
      <w:bookmarkEnd w:id="10"/>
      <w:bookmarkEnd w:id="11"/>
      <w:bookmarkEnd w:id="12"/>
    </w:p>
    <w:p>
      <w:pPr>
        <w:spacing w:line="380" w:lineRule="exact"/>
        <w:ind w:firstLine="420" w:firstLineChars="200"/>
        <w:rPr>
          <w:rFonts w:hint="default" w:ascii="宋体" w:hAnsi="宋体" w:eastAsia="宋体" w:cs="宋体"/>
          <w:color w:val="auto"/>
          <w:szCs w:val="21"/>
          <w:highlight w:val="none"/>
          <w:lang w:val="en-US" w:eastAsia="zh-CN"/>
        </w:rPr>
      </w:pPr>
      <w:bookmarkStart w:id="13" w:name="_Toc35393632"/>
      <w:bookmarkStart w:id="14" w:name="_Toc28359092"/>
      <w:bookmarkStart w:id="15" w:name="_Toc35393801"/>
      <w:bookmarkStart w:id="16" w:name="_Toc28359015"/>
      <w:r>
        <w:rPr>
          <w:rFonts w:hint="eastAsia" w:ascii="宋体" w:hAnsi="宋体" w:cs="宋体"/>
          <w:color w:val="auto"/>
          <w:szCs w:val="21"/>
          <w:highlight w:val="none"/>
        </w:rPr>
        <w:t>时间：</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月 </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rPr>
        <w:t>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竞标截止时间前</w:t>
      </w:r>
      <w:r>
        <w:rPr>
          <w:rFonts w:hint="eastAsia" w:ascii="宋体" w:hAnsi="宋体" w:cs="宋体"/>
          <w:color w:val="auto"/>
          <w:szCs w:val="21"/>
          <w:highlight w:val="none"/>
          <w:u w:val="single"/>
          <w:lang w:val="en-US" w:eastAsia="zh-CN"/>
        </w:rPr>
        <w:t xml:space="preserve">  </w:t>
      </w:r>
    </w:p>
    <w:p>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地点：</w:t>
      </w:r>
      <w:r>
        <w:rPr>
          <w:rFonts w:hint="eastAsia" w:ascii="宋体" w:hAnsi="宋体" w:cs="宋体"/>
          <w:color w:val="auto"/>
          <w:kern w:val="0"/>
          <w:szCs w:val="21"/>
          <w:highlight w:val="none"/>
        </w:rPr>
        <w:t>贵港市政府采购网（http://zfcg.czj.gxgg.gov.cn/）</w:t>
      </w:r>
    </w:p>
    <w:p>
      <w:pPr>
        <w:spacing w:line="380" w:lineRule="exact"/>
        <w:ind w:firstLine="540"/>
        <w:rPr>
          <w:rFonts w:ascii="宋体" w:hAnsi="宋体" w:cs="宋体"/>
          <w:color w:val="auto"/>
          <w:szCs w:val="21"/>
          <w:highlight w:val="none"/>
        </w:rPr>
      </w:pPr>
      <w:r>
        <w:rPr>
          <w:rFonts w:hint="eastAsia" w:ascii="宋体" w:hAnsi="宋体" w:cs="宋体"/>
          <w:color w:val="auto"/>
          <w:szCs w:val="21"/>
          <w:highlight w:val="none"/>
        </w:rPr>
        <w:t>方式：供应商通过贵港市政府采购网“供应商注册入口”完成账号注册后，登录政采云平台“项目采购—获取采购文件”模块自行下载采购文件；潜在竞标人在截标现场签到报名，便认定为本项目的报名人。竞标人在签到后即可递交响应文件。</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pPr>
        <w:pStyle w:val="4"/>
        <w:spacing w:before="20" w:after="20" w:line="380" w:lineRule="exac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四、响应文件提交</w:t>
      </w:r>
      <w:bookmarkEnd w:id="13"/>
      <w:bookmarkEnd w:id="14"/>
      <w:bookmarkEnd w:id="15"/>
      <w:bookmarkEnd w:id="16"/>
    </w:p>
    <w:p>
      <w:pPr>
        <w:spacing w:line="38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截止时间：20</w:t>
      </w:r>
      <w:r>
        <w:rPr>
          <w:rFonts w:hint="eastAsia" w:ascii="宋体" w:hAnsi="宋体" w:cs="宋体"/>
          <w:color w:val="auto"/>
          <w:szCs w:val="21"/>
          <w:highlight w:val="none"/>
          <w:lang w:val="en-US" w:eastAsia="zh-CN"/>
        </w:rPr>
        <w:t>21</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 xml:space="preserve">5 </w:t>
      </w:r>
      <w:r>
        <w:rPr>
          <w:rFonts w:hint="eastAsia" w:ascii="宋体" w:hAnsi="宋体" w:cs="宋体"/>
          <w:bCs/>
          <w:color w:val="auto"/>
          <w:szCs w:val="21"/>
          <w:highlight w:val="none"/>
        </w:rPr>
        <w:t>日9点</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0 分（北京时间）</w:t>
      </w:r>
    </w:p>
    <w:p>
      <w:pPr>
        <w:spacing w:line="38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szCs w:val="21"/>
          <w:highlight w:val="none"/>
          <w:lang w:eastAsia="zh-CN"/>
        </w:rPr>
        <w:t>桂平市公共资源交易中心【桂江西路政务服务中心新大楼（原国会大夏）五楼</w:t>
      </w:r>
      <w:r>
        <w:rPr>
          <w:rFonts w:hint="eastAsia" w:ascii="宋体" w:hAnsi="宋体" w:cs="宋体"/>
          <w:color w:val="auto"/>
          <w:szCs w:val="21"/>
          <w:highlight w:val="none"/>
        </w:rPr>
        <w:t>。</w:t>
      </w:r>
    </w:p>
    <w:p>
      <w:pPr>
        <w:pStyle w:val="4"/>
        <w:spacing w:before="20" w:after="20" w:line="380" w:lineRule="exact"/>
        <w:rPr>
          <w:rFonts w:ascii="宋体" w:hAnsi="宋体" w:eastAsia="宋体" w:cs="宋体"/>
          <w:bCs w:val="0"/>
          <w:color w:val="auto"/>
          <w:sz w:val="24"/>
          <w:szCs w:val="24"/>
          <w:highlight w:val="none"/>
        </w:rPr>
      </w:pPr>
      <w:bookmarkStart w:id="17" w:name="_Toc28359016"/>
      <w:bookmarkStart w:id="18" w:name="_Toc35393633"/>
      <w:bookmarkStart w:id="19" w:name="_Toc35393802"/>
      <w:bookmarkStart w:id="20" w:name="_Toc28359093"/>
      <w:r>
        <w:rPr>
          <w:rFonts w:hint="eastAsia" w:ascii="宋体" w:hAnsi="宋体" w:eastAsia="宋体" w:cs="宋体"/>
          <w:bCs w:val="0"/>
          <w:color w:val="auto"/>
          <w:sz w:val="24"/>
          <w:szCs w:val="24"/>
          <w:highlight w:val="none"/>
        </w:rPr>
        <w:t>五、开启</w:t>
      </w:r>
      <w:bookmarkEnd w:id="17"/>
      <w:bookmarkEnd w:id="18"/>
      <w:bookmarkEnd w:id="19"/>
      <w:bookmarkEnd w:id="20"/>
    </w:p>
    <w:p>
      <w:pPr>
        <w:spacing w:line="38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2020</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 xml:space="preserve"> 1 </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5</w:t>
      </w:r>
      <w:r>
        <w:rPr>
          <w:rFonts w:hint="eastAsia" w:ascii="宋体" w:hAnsi="宋体" w:cs="宋体"/>
          <w:bCs/>
          <w:color w:val="auto"/>
          <w:szCs w:val="21"/>
          <w:highlight w:val="none"/>
          <w:u w:val="single"/>
        </w:rPr>
        <w:t xml:space="preserve"> 日9点</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0分</w:t>
      </w:r>
      <w:r>
        <w:rPr>
          <w:rFonts w:hint="eastAsia" w:ascii="宋体" w:hAnsi="宋体" w:cs="宋体"/>
          <w:bCs/>
          <w:color w:val="auto"/>
          <w:szCs w:val="21"/>
          <w:highlight w:val="none"/>
        </w:rPr>
        <w:t>（北京时间）</w:t>
      </w:r>
    </w:p>
    <w:p>
      <w:pPr>
        <w:spacing w:line="38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szCs w:val="21"/>
          <w:highlight w:val="none"/>
          <w:lang w:eastAsia="zh-CN"/>
        </w:rPr>
        <w:t>桂平市公共资源交易中心【桂江西路政务服务中心新大楼（原国会大夏）五楼</w:t>
      </w:r>
      <w:r>
        <w:rPr>
          <w:rFonts w:hint="eastAsia" w:ascii="宋体" w:hAnsi="宋体" w:cs="宋体"/>
          <w:color w:val="auto"/>
          <w:szCs w:val="21"/>
          <w:highlight w:val="none"/>
        </w:rPr>
        <w:t>。</w:t>
      </w:r>
    </w:p>
    <w:p>
      <w:pPr>
        <w:pStyle w:val="4"/>
        <w:spacing w:before="20" w:after="20" w:line="380" w:lineRule="exact"/>
        <w:rPr>
          <w:rFonts w:ascii="宋体" w:hAnsi="宋体" w:eastAsia="宋体" w:cs="宋体"/>
          <w:bCs w:val="0"/>
          <w:color w:val="auto"/>
          <w:sz w:val="24"/>
          <w:szCs w:val="24"/>
          <w:highlight w:val="none"/>
        </w:rPr>
      </w:pPr>
      <w:bookmarkStart w:id="21" w:name="_Toc35393634"/>
      <w:bookmarkStart w:id="22" w:name="_Toc28359017"/>
      <w:bookmarkStart w:id="23" w:name="_Toc35393803"/>
      <w:bookmarkStart w:id="24" w:name="_Toc28359094"/>
      <w:r>
        <w:rPr>
          <w:rFonts w:hint="eastAsia" w:ascii="宋体" w:hAnsi="宋体" w:eastAsia="宋体" w:cs="宋体"/>
          <w:bCs w:val="0"/>
          <w:color w:val="auto"/>
          <w:sz w:val="24"/>
          <w:szCs w:val="24"/>
          <w:highlight w:val="none"/>
        </w:rPr>
        <w:t>六、公告期限</w:t>
      </w:r>
      <w:bookmarkEnd w:id="21"/>
      <w:bookmarkEnd w:id="22"/>
      <w:bookmarkEnd w:id="23"/>
      <w:bookmarkEnd w:id="24"/>
    </w:p>
    <w:p>
      <w:pPr>
        <w:spacing w:line="380" w:lineRule="exact"/>
        <w:ind w:firstLine="420" w:firstLineChars="200"/>
        <w:rPr>
          <w:rFonts w:ascii="仿宋" w:hAnsi="仿宋" w:eastAsia="仿宋" w:cs="宋体"/>
          <w:color w:val="auto"/>
          <w:kern w:val="0"/>
          <w:sz w:val="28"/>
          <w:szCs w:val="28"/>
          <w:highlight w:val="none"/>
        </w:rPr>
      </w:pPr>
      <w:r>
        <w:rPr>
          <w:rFonts w:hint="eastAsia" w:ascii="宋体" w:hAnsi="宋体" w:cs="宋体"/>
          <w:color w:val="auto"/>
          <w:kern w:val="0"/>
          <w:szCs w:val="21"/>
          <w:highlight w:val="none"/>
        </w:rPr>
        <w:t>自本公告发布之日起10日历天。</w:t>
      </w:r>
    </w:p>
    <w:p>
      <w:pPr>
        <w:pStyle w:val="4"/>
        <w:numPr>
          <w:ilvl w:val="0"/>
          <w:numId w:val="1"/>
        </w:numPr>
        <w:spacing w:before="20" w:after="20" w:line="380" w:lineRule="exact"/>
        <w:rPr>
          <w:rFonts w:ascii="宋体" w:hAnsi="宋体" w:eastAsia="宋体" w:cs="宋体"/>
          <w:bCs w:val="0"/>
          <w:color w:val="auto"/>
          <w:sz w:val="24"/>
          <w:szCs w:val="24"/>
          <w:highlight w:val="none"/>
        </w:rPr>
      </w:pPr>
      <w:bookmarkStart w:id="25" w:name="_Toc35393804"/>
      <w:bookmarkStart w:id="26" w:name="_Toc35393635"/>
      <w:r>
        <w:rPr>
          <w:rFonts w:hint="eastAsia" w:ascii="宋体" w:hAnsi="宋体" w:eastAsia="宋体" w:cs="宋体"/>
          <w:bCs w:val="0"/>
          <w:color w:val="auto"/>
          <w:sz w:val="24"/>
          <w:szCs w:val="24"/>
          <w:highlight w:val="none"/>
        </w:rPr>
        <w:t>其他补充事宜</w:t>
      </w:r>
      <w:bookmarkEnd w:id="25"/>
      <w:bookmarkEnd w:id="26"/>
    </w:p>
    <w:p>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一）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等政府采购相关政策。</w:t>
      </w:r>
    </w:p>
    <w:p>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网上查询：中国政府采购网（http://www.ccgp.gov.cn/）、广西壮族自治区政府采购网（http://zfcg.gxzf.gov.cn/）、贵港市政府采购网（http://zfcg.czj.gxgg.gov.cn/），贵港市公共资源交易中心网（http://ggggjy.gxgg.gov.cn:9005/）</w:t>
      </w:r>
    </w:p>
    <w:p>
      <w:pPr>
        <w:pStyle w:val="4"/>
        <w:spacing w:before="20" w:after="20" w:line="380" w:lineRule="exact"/>
        <w:rPr>
          <w:rFonts w:ascii="宋体" w:hAnsi="宋体" w:eastAsia="宋体" w:cs="宋体"/>
          <w:bCs w:val="0"/>
          <w:color w:val="auto"/>
          <w:sz w:val="24"/>
          <w:szCs w:val="24"/>
          <w:highlight w:val="none"/>
        </w:rPr>
      </w:pPr>
      <w:bookmarkStart w:id="27" w:name="_Toc28359018"/>
      <w:bookmarkStart w:id="28" w:name="_Toc35393805"/>
      <w:bookmarkStart w:id="29" w:name="_Toc35393636"/>
      <w:bookmarkStart w:id="30" w:name="_Toc28359095"/>
      <w:r>
        <w:rPr>
          <w:rFonts w:hint="eastAsia" w:ascii="宋体" w:hAnsi="宋体" w:eastAsia="宋体" w:cs="宋体"/>
          <w:bCs w:val="0"/>
          <w:color w:val="auto"/>
          <w:sz w:val="24"/>
          <w:szCs w:val="24"/>
          <w:highlight w:val="none"/>
        </w:rPr>
        <w:t>八、凡对本次采购提出询问，请按以下方式联系。</w:t>
      </w:r>
      <w:bookmarkEnd w:id="27"/>
      <w:bookmarkEnd w:id="28"/>
      <w:bookmarkEnd w:id="29"/>
      <w:bookmarkEnd w:id="30"/>
    </w:p>
    <w:p>
      <w:pPr>
        <w:pStyle w:val="4"/>
        <w:spacing w:before="100" w:after="100" w:line="360" w:lineRule="exact"/>
        <w:ind w:firstLine="630" w:firstLineChars="300"/>
        <w:rPr>
          <w:rFonts w:ascii="宋体" w:hAnsi="宋体" w:eastAsia="宋体" w:cs="宋体"/>
          <w:b w:val="0"/>
          <w:color w:val="auto"/>
          <w:sz w:val="21"/>
          <w:szCs w:val="21"/>
          <w:highlight w:val="none"/>
        </w:rPr>
      </w:pPr>
      <w:bookmarkStart w:id="31" w:name="_Toc35393637"/>
      <w:bookmarkStart w:id="32" w:name="_Toc28359096"/>
      <w:bookmarkStart w:id="33" w:name="_Toc28359019"/>
      <w:bookmarkStart w:id="34" w:name="_Toc35393806"/>
      <w:r>
        <w:rPr>
          <w:rFonts w:hint="eastAsia" w:ascii="宋体" w:hAnsi="宋体" w:eastAsia="宋体" w:cs="宋体"/>
          <w:b w:val="0"/>
          <w:color w:val="auto"/>
          <w:sz w:val="21"/>
          <w:szCs w:val="21"/>
          <w:highlight w:val="none"/>
        </w:rPr>
        <w:t>1.采购人信息</w:t>
      </w:r>
      <w:bookmarkEnd w:id="31"/>
      <w:bookmarkEnd w:id="32"/>
      <w:bookmarkEnd w:id="33"/>
      <w:bookmarkEnd w:id="34"/>
    </w:p>
    <w:p>
      <w:pPr>
        <w:spacing w:line="360" w:lineRule="exact"/>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eastAsia="zh-CN"/>
        </w:rPr>
        <w:t>桂平市水库和扶贫易地安置中心</w:t>
      </w:r>
    </w:p>
    <w:p>
      <w:pPr>
        <w:spacing w:line="360" w:lineRule="exact"/>
        <w:ind w:left="1041" w:leftChars="371" w:hanging="262" w:hangingChars="125"/>
        <w:jc w:val="left"/>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eastAsia="zh-CN"/>
        </w:rPr>
        <w:t>桂平市西山镇人民西路158号</w:t>
      </w:r>
      <w:r>
        <w:rPr>
          <w:rFonts w:hint="eastAsia" w:ascii="宋体" w:hAnsi="宋体" w:cs="宋体"/>
          <w:color w:val="auto"/>
          <w:szCs w:val="21"/>
          <w:highlight w:val="none"/>
          <w:u w:val="single"/>
        </w:rPr>
        <w:t>　　</w:t>
      </w:r>
    </w:p>
    <w:p>
      <w:pPr>
        <w:spacing w:line="360" w:lineRule="exact"/>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eastAsia="zh-CN"/>
        </w:rPr>
        <w:t xml:space="preserve">0775-3385339 </w:t>
      </w:r>
      <w:r>
        <w:rPr>
          <w:rFonts w:hint="eastAsia" w:ascii="宋体" w:hAnsi="宋体" w:cs="宋体"/>
          <w:color w:val="auto"/>
          <w:szCs w:val="21"/>
          <w:highlight w:val="none"/>
          <w:u w:val="single"/>
        </w:rPr>
        <w:t>　　　</w:t>
      </w:r>
    </w:p>
    <w:p>
      <w:pPr>
        <w:pStyle w:val="4"/>
        <w:spacing w:before="100" w:after="100" w:line="360" w:lineRule="exact"/>
        <w:ind w:firstLine="630" w:firstLineChars="300"/>
        <w:rPr>
          <w:rFonts w:ascii="宋体" w:hAnsi="宋体" w:eastAsia="宋体" w:cs="宋体"/>
          <w:b w:val="0"/>
          <w:color w:val="auto"/>
          <w:sz w:val="21"/>
          <w:szCs w:val="21"/>
          <w:highlight w:val="none"/>
        </w:rPr>
      </w:pPr>
      <w:bookmarkStart w:id="35" w:name="_Toc28359020"/>
      <w:bookmarkStart w:id="36" w:name="_Toc28359097"/>
      <w:bookmarkStart w:id="37" w:name="_Toc35393638"/>
      <w:bookmarkStart w:id="38" w:name="_Toc35393807"/>
      <w:r>
        <w:rPr>
          <w:rFonts w:hint="eastAsia" w:ascii="宋体" w:hAnsi="宋体" w:eastAsia="宋体" w:cs="宋体"/>
          <w:b w:val="0"/>
          <w:color w:val="auto"/>
          <w:sz w:val="21"/>
          <w:szCs w:val="21"/>
          <w:highlight w:val="none"/>
        </w:rPr>
        <w:t>2.采购代理机构信息</w:t>
      </w:r>
      <w:bookmarkEnd w:id="35"/>
      <w:bookmarkEnd w:id="36"/>
      <w:bookmarkEnd w:id="37"/>
      <w:bookmarkEnd w:id="38"/>
    </w:p>
    <w:p>
      <w:pPr>
        <w:spacing w:line="36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广西新宇建设项目管理有限公司　　　</w:t>
      </w:r>
    </w:p>
    <w:p>
      <w:pPr>
        <w:spacing w:line="36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贵港市新华路龙珠别墅3135号四楼&lt;贵港市人力资源和社会保障局、公务员局斜对面&gt;　　</w:t>
      </w:r>
    </w:p>
    <w:p>
      <w:pPr>
        <w:spacing w:line="360" w:lineRule="exact"/>
        <w:ind w:firstLine="840" w:firstLineChars="4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　0775-4358261</w:t>
      </w:r>
      <w:r>
        <w:rPr>
          <w:rFonts w:hint="eastAsia" w:ascii="宋体" w:hAnsi="宋体" w:cs="宋体"/>
          <w:color w:val="auto"/>
          <w:szCs w:val="21"/>
          <w:highlight w:val="none"/>
          <w:u w:val="single"/>
          <w:lang w:val="en-US" w:eastAsia="zh-CN"/>
        </w:rPr>
        <w:t xml:space="preserve">  </w:t>
      </w:r>
    </w:p>
    <w:p>
      <w:pPr>
        <w:pStyle w:val="12"/>
        <w:tabs>
          <w:tab w:val="left" w:pos="455"/>
        </w:tabs>
        <w:spacing w:line="360" w:lineRule="exact"/>
        <w:ind w:firstLine="630" w:firstLineChars="300"/>
        <w:rPr>
          <w:rFonts w:hAnsi="宋体" w:cs="宋体"/>
          <w:color w:val="auto"/>
          <w:szCs w:val="21"/>
          <w:highlight w:val="none"/>
        </w:rPr>
      </w:pPr>
      <w:r>
        <w:rPr>
          <w:rFonts w:hint="eastAsia" w:hAnsi="宋体" w:cs="宋体"/>
          <w:color w:val="auto"/>
          <w:szCs w:val="21"/>
          <w:highlight w:val="none"/>
        </w:rPr>
        <w:t>3.项目联系方式</w:t>
      </w:r>
    </w:p>
    <w:p>
      <w:pPr>
        <w:pStyle w:val="12"/>
        <w:tabs>
          <w:tab w:val="left" w:pos="455"/>
        </w:tabs>
        <w:spacing w:line="360" w:lineRule="exact"/>
        <w:ind w:firstLine="840" w:firstLineChars="400"/>
        <w:rPr>
          <w:rFonts w:hAnsi="宋体" w:cs="宋体"/>
          <w:color w:val="auto"/>
          <w:szCs w:val="21"/>
          <w:highlight w:val="none"/>
          <w:u w:val="single"/>
        </w:rPr>
      </w:pPr>
      <w:r>
        <w:rPr>
          <w:rFonts w:hint="eastAsia" w:hAnsi="宋体" w:cs="宋体"/>
          <w:color w:val="auto"/>
          <w:szCs w:val="21"/>
          <w:highlight w:val="none"/>
        </w:rPr>
        <w:t>项目联系人：</w:t>
      </w:r>
      <w:r>
        <w:rPr>
          <w:rFonts w:hint="eastAsia" w:hAnsi="宋体" w:cs="宋体"/>
          <w:color w:val="auto"/>
          <w:szCs w:val="21"/>
          <w:highlight w:val="none"/>
          <w:u w:val="single"/>
        </w:rPr>
        <w:t xml:space="preserve">  杨肖   </w:t>
      </w:r>
    </w:p>
    <w:p>
      <w:pPr>
        <w:pStyle w:val="12"/>
        <w:tabs>
          <w:tab w:val="left" w:pos="455"/>
        </w:tabs>
        <w:spacing w:line="360" w:lineRule="exact"/>
        <w:ind w:firstLine="840" w:firstLineChars="400"/>
        <w:rPr>
          <w:rFonts w:hAnsi="宋体"/>
          <w:color w:val="auto"/>
          <w:szCs w:val="21"/>
          <w:highlight w:val="none"/>
        </w:rPr>
      </w:pPr>
      <w:r>
        <w:rPr>
          <w:rFonts w:hint="eastAsia" w:hAnsi="宋体" w:cs="宋体"/>
          <w:color w:val="auto"/>
          <w:szCs w:val="21"/>
          <w:highlight w:val="none"/>
        </w:rPr>
        <w:t>电　　 话：　</w:t>
      </w:r>
      <w:r>
        <w:rPr>
          <w:rFonts w:hint="eastAsia" w:hAnsi="宋体" w:cs="宋体"/>
          <w:color w:val="auto"/>
          <w:szCs w:val="21"/>
          <w:highlight w:val="none"/>
          <w:u w:val="single"/>
        </w:rPr>
        <w:t xml:space="preserve"> 0775-4358261  </w:t>
      </w:r>
      <w:r>
        <w:rPr>
          <w:rFonts w:hint="eastAsia" w:hAnsi="宋体" w:cs="宋体"/>
          <w:color w:val="auto"/>
          <w:szCs w:val="21"/>
          <w:highlight w:val="none"/>
        </w:rPr>
        <w:t>　　　　　　　　</w:t>
      </w:r>
      <w:r>
        <w:rPr>
          <w:rFonts w:hint="eastAsia" w:hAnsi="宋体"/>
          <w:color w:val="auto"/>
          <w:szCs w:val="21"/>
          <w:highlight w:val="none"/>
        </w:rPr>
        <w:t xml:space="preserve">                                                      </w:t>
      </w:r>
    </w:p>
    <w:p>
      <w:pPr>
        <w:rPr>
          <w:rFonts w:hAnsi="宋体"/>
          <w:color w:val="auto"/>
          <w:szCs w:val="21"/>
          <w:highlight w:val="none"/>
        </w:rPr>
      </w:pPr>
    </w:p>
    <w:p>
      <w:pPr>
        <w:pStyle w:val="2"/>
        <w:rPr>
          <w:color w:val="auto"/>
          <w:highlight w:val="none"/>
        </w:rPr>
      </w:pPr>
    </w:p>
    <w:p>
      <w:pPr>
        <w:ind w:firstLine="5040" w:firstLineChars="2400"/>
        <w:rPr>
          <w:rFonts w:hAnsi="宋体"/>
          <w:color w:val="auto"/>
          <w:szCs w:val="21"/>
          <w:highlight w:val="none"/>
        </w:rPr>
      </w:pPr>
      <w:r>
        <w:rPr>
          <w:rFonts w:hint="eastAsia" w:hAnsi="宋体"/>
          <w:color w:val="auto"/>
          <w:szCs w:val="21"/>
          <w:highlight w:val="none"/>
        </w:rPr>
        <w:t>广西新宇建设项目管理有限公司</w:t>
      </w:r>
    </w:p>
    <w:p>
      <w:pPr>
        <w:pStyle w:val="12"/>
        <w:tabs>
          <w:tab w:val="left" w:pos="455"/>
        </w:tabs>
        <w:spacing w:line="360" w:lineRule="exact"/>
        <w:ind w:firstLine="6090" w:firstLineChars="2900"/>
        <w:rPr>
          <w:rFonts w:hAnsi="宋体"/>
          <w:color w:val="auto"/>
          <w:szCs w:val="21"/>
          <w:highlight w:val="none"/>
        </w:rPr>
      </w:pPr>
      <w:r>
        <w:rPr>
          <w:rFonts w:hint="eastAsia" w:hAnsi="宋体"/>
          <w:color w:val="auto"/>
          <w:szCs w:val="21"/>
          <w:highlight w:val="none"/>
        </w:rPr>
        <w:t>2020年</w:t>
      </w:r>
      <w:r>
        <w:rPr>
          <w:rFonts w:hint="eastAsia" w:hAnsi="宋体"/>
          <w:color w:val="auto"/>
          <w:szCs w:val="21"/>
          <w:highlight w:val="none"/>
          <w:lang w:val="en-US" w:eastAsia="zh-CN"/>
        </w:rPr>
        <w:t>12</w:t>
      </w:r>
      <w:r>
        <w:rPr>
          <w:rFonts w:hint="eastAsia" w:hAnsi="宋体"/>
          <w:color w:val="auto"/>
          <w:szCs w:val="21"/>
          <w:highlight w:val="none"/>
        </w:rPr>
        <w:t>月</w:t>
      </w:r>
      <w:r>
        <w:rPr>
          <w:rFonts w:hint="eastAsia" w:hAnsi="宋体"/>
          <w:color w:val="auto"/>
          <w:szCs w:val="21"/>
          <w:highlight w:val="none"/>
          <w:lang w:val="en-US" w:eastAsia="zh-CN"/>
        </w:rPr>
        <w:t>22</w:t>
      </w:r>
      <w:r>
        <w:rPr>
          <w:rFonts w:hint="eastAsia" w:hAnsi="宋体"/>
          <w:color w:val="auto"/>
          <w:szCs w:val="21"/>
          <w:highlight w:val="none"/>
        </w:rPr>
        <w:t xml:space="preserve">日    </w:t>
      </w:r>
    </w:p>
    <w:p>
      <w:pPr>
        <w:pStyle w:val="12"/>
        <w:tabs>
          <w:tab w:val="left" w:pos="455"/>
        </w:tabs>
        <w:spacing w:line="360" w:lineRule="exact"/>
        <w:rPr>
          <w:rFonts w:hAnsi="宋体"/>
          <w:color w:val="auto"/>
          <w:szCs w:val="21"/>
          <w:highlight w:val="none"/>
        </w:rPr>
      </w:pPr>
      <w:r>
        <w:rPr>
          <w:rFonts w:hAnsi="宋体"/>
          <w:color w:val="auto"/>
          <w:szCs w:val="21"/>
          <w:highlight w:val="none"/>
        </w:rPr>
        <w:br w:type="page"/>
      </w:r>
    </w:p>
    <w:p>
      <w:pPr>
        <w:spacing w:line="420" w:lineRule="exact"/>
        <w:ind w:firstLine="315" w:firstLineChars="98"/>
        <w:jc w:val="center"/>
        <w:outlineLvl w:val="2"/>
        <w:rPr>
          <w:rFonts w:ascii="宋体" w:hAnsi="宋体" w:cs="Courier New"/>
          <w:b/>
          <w:bCs/>
          <w:color w:val="auto"/>
          <w:sz w:val="32"/>
          <w:szCs w:val="32"/>
          <w:highlight w:val="none"/>
        </w:rPr>
      </w:pPr>
      <w:r>
        <w:rPr>
          <w:rFonts w:hint="eastAsia"/>
          <w:b/>
          <w:bCs/>
          <w:color w:val="auto"/>
          <w:sz w:val="32"/>
          <w:szCs w:val="32"/>
          <w:highlight w:val="none"/>
        </w:rPr>
        <w:t>第</w:t>
      </w:r>
      <w:r>
        <w:rPr>
          <w:rFonts w:hint="eastAsia"/>
          <w:b/>
          <w:bCs/>
          <w:color w:val="auto"/>
          <w:sz w:val="32"/>
          <w:szCs w:val="32"/>
          <w:highlight w:val="none"/>
          <w:lang w:eastAsia="zh-CN"/>
        </w:rPr>
        <w:t>一</w:t>
      </w:r>
      <w:r>
        <w:rPr>
          <w:rFonts w:hint="eastAsia"/>
          <w:b/>
          <w:bCs/>
          <w:color w:val="auto"/>
          <w:sz w:val="32"/>
          <w:szCs w:val="32"/>
          <w:highlight w:val="none"/>
        </w:rPr>
        <w:t xml:space="preserve">章  </w:t>
      </w:r>
      <w:bookmarkEnd w:id="0"/>
      <w:r>
        <w:rPr>
          <w:rFonts w:hint="eastAsia" w:ascii="宋体" w:hAnsi="宋体" w:cs="Courier New"/>
          <w:b/>
          <w:bCs/>
          <w:iCs/>
          <w:color w:val="auto"/>
          <w:spacing w:val="2"/>
          <w:sz w:val="32"/>
          <w:szCs w:val="32"/>
          <w:highlight w:val="none"/>
        </w:rPr>
        <w:t>磋商人须知前附表及磋商须知</w:t>
      </w:r>
    </w:p>
    <w:tbl>
      <w:tblPr>
        <w:tblStyle w:val="21"/>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4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项号</w:t>
            </w:r>
          </w:p>
        </w:tc>
        <w:tc>
          <w:tcPr>
            <w:tcW w:w="1446"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条款号</w:t>
            </w:r>
          </w:p>
        </w:tc>
        <w:tc>
          <w:tcPr>
            <w:tcW w:w="7342"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1.1</w:t>
            </w:r>
          </w:p>
        </w:tc>
        <w:tc>
          <w:tcPr>
            <w:tcW w:w="7342" w:type="dxa"/>
            <w:vAlign w:val="center"/>
          </w:tcPr>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工程综合说明：</w:t>
            </w:r>
          </w:p>
          <w:p>
            <w:pPr>
              <w:spacing w:line="400" w:lineRule="exact"/>
              <w:rPr>
                <w:rFonts w:hint="eastAsia" w:ascii="宋体" w:hAnsi="宋体" w:eastAsia="宋体" w:cs="Courier New"/>
                <w:bCs/>
                <w:color w:val="auto"/>
                <w:spacing w:val="2"/>
                <w:szCs w:val="21"/>
                <w:highlight w:val="none"/>
                <w:lang w:eastAsia="zh-CN"/>
              </w:rPr>
            </w:pPr>
            <w:r>
              <w:rPr>
                <w:rFonts w:hint="eastAsia" w:ascii="宋体" w:hAnsi="宋体" w:cs="Courier New"/>
                <w:color w:val="auto"/>
                <w:spacing w:val="2"/>
                <w:szCs w:val="21"/>
                <w:highlight w:val="none"/>
              </w:rPr>
              <w:t>工程名称：</w:t>
            </w:r>
            <w:r>
              <w:rPr>
                <w:rFonts w:hint="eastAsia" w:ascii="宋体" w:hAnsi="宋体" w:cs="Courier New"/>
                <w:bCs/>
                <w:color w:val="auto"/>
                <w:spacing w:val="2"/>
                <w:szCs w:val="21"/>
                <w:highlight w:val="none"/>
                <w:lang w:eastAsia="zh-CN"/>
              </w:rPr>
              <w:t>大藤峡库区左岸淹没区变压器紧急迁移工程服务</w:t>
            </w:r>
          </w:p>
          <w:p>
            <w:pPr>
              <w:spacing w:line="40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rPr>
              <w:t>项目编号：</w:t>
            </w:r>
            <w:r>
              <w:rPr>
                <w:rFonts w:hint="eastAsia" w:ascii="宋体" w:hAnsi="宋体" w:cs="Courier New"/>
                <w:color w:val="auto"/>
                <w:spacing w:val="2"/>
                <w:szCs w:val="21"/>
                <w:highlight w:val="none"/>
                <w:lang w:eastAsia="zh-CN"/>
              </w:rPr>
              <w:t>GGZC2020-C2-50378-GXXY</w:t>
            </w:r>
          </w:p>
          <w:p>
            <w:pPr>
              <w:spacing w:line="400" w:lineRule="exact"/>
              <w:rPr>
                <w:rFonts w:hint="eastAsia" w:ascii="宋体" w:hAnsi="宋体" w:eastAsia="宋体" w:cs="Courier New"/>
                <w:bCs/>
                <w:color w:val="auto"/>
                <w:spacing w:val="2"/>
                <w:szCs w:val="21"/>
                <w:highlight w:val="none"/>
                <w:lang w:eastAsia="zh-CN"/>
              </w:rPr>
            </w:pPr>
            <w:r>
              <w:rPr>
                <w:rFonts w:hint="eastAsia" w:ascii="宋体" w:hAnsi="宋体" w:cs="Courier New"/>
                <w:color w:val="auto"/>
                <w:spacing w:val="2"/>
                <w:szCs w:val="21"/>
                <w:highlight w:val="none"/>
              </w:rPr>
              <w:t>建设地点：</w:t>
            </w:r>
            <w:r>
              <w:rPr>
                <w:rFonts w:hint="eastAsia" w:ascii="宋体" w:hAnsi="宋体" w:cs="Courier New"/>
                <w:bCs/>
                <w:color w:val="auto"/>
                <w:spacing w:val="2"/>
                <w:szCs w:val="21"/>
                <w:highlight w:val="none"/>
                <w:lang w:eastAsia="zh-CN"/>
              </w:rPr>
              <w:t>大藤峡库区</w:t>
            </w:r>
          </w:p>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承包方式：</w:t>
            </w:r>
            <w:r>
              <w:rPr>
                <w:rFonts w:hint="eastAsia" w:ascii="宋体" w:hAnsi="宋体" w:cs="Courier New"/>
                <w:color w:val="auto"/>
                <w:spacing w:val="2"/>
                <w:szCs w:val="21"/>
                <w:highlight w:val="none"/>
                <w:lang w:eastAsia="zh-CN"/>
              </w:rPr>
              <w:t>综合单价</w:t>
            </w:r>
            <w:r>
              <w:rPr>
                <w:rFonts w:hint="eastAsia" w:ascii="宋体" w:hAnsi="宋体" w:cs="Courier New"/>
                <w:color w:val="auto"/>
                <w:spacing w:val="2"/>
                <w:szCs w:val="21"/>
                <w:highlight w:val="none"/>
              </w:rPr>
              <w:t>。</w:t>
            </w:r>
          </w:p>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工程质量要求：达到国家施工验收规范合格标准</w:t>
            </w:r>
          </w:p>
          <w:p>
            <w:pPr>
              <w:spacing w:line="400" w:lineRule="exact"/>
              <w:rPr>
                <w:rFonts w:hint="eastAsia" w:ascii="宋体" w:hAnsi="宋体" w:cs="Courier New"/>
                <w:color w:val="auto"/>
                <w:spacing w:val="2"/>
                <w:szCs w:val="21"/>
                <w:highlight w:val="none"/>
                <w:lang w:val="en-US" w:eastAsia="zh-CN"/>
              </w:rPr>
            </w:pPr>
            <w:r>
              <w:rPr>
                <w:rFonts w:hint="eastAsia"/>
                <w:color w:val="auto"/>
                <w:szCs w:val="21"/>
                <w:highlight w:val="none"/>
              </w:rPr>
              <w:t>工程规模：</w:t>
            </w:r>
            <w:r>
              <w:rPr>
                <w:rFonts w:hint="eastAsia" w:ascii="宋体" w:hAnsi="宋体" w:cs="Courier New"/>
                <w:color w:val="auto"/>
                <w:spacing w:val="2"/>
                <w:szCs w:val="21"/>
                <w:highlight w:val="none"/>
                <w:lang w:val="en-US" w:eastAsia="zh-CN"/>
              </w:rPr>
              <w:t>1、本工程迁移左岸10kV努滩线沿途水淹区的配变及专变,共7台。</w:t>
            </w:r>
          </w:p>
          <w:p>
            <w:pPr>
              <w:spacing w:line="400" w:lineRule="exact"/>
              <w:rPr>
                <w:rFonts w:hint="eastAsia" w:ascii="宋体" w:hAnsi="宋体" w:cs="Courier New"/>
                <w:color w:val="auto"/>
                <w:spacing w:val="2"/>
                <w:szCs w:val="21"/>
                <w:highlight w:val="none"/>
                <w:lang w:val="en-US" w:eastAsia="zh-CN"/>
              </w:rPr>
            </w:pPr>
            <w:r>
              <w:rPr>
                <w:rFonts w:hint="eastAsia" w:ascii="宋体" w:hAnsi="宋体" w:cs="Courier New"/>
                <w:color w:val="auto"/>
                <w:spacing w:val="2"/>
                <w:szCs w:val="21"/>
                <w:highlight w:val="none"/>
                <w:lang w:val="en-US" w:eastAsia="zh-CN"/>
              </w:rPr>
              <w:t>2、本工程架设10kV架空线JKLYJ-70共1180m,架设15m电杆2基,12m电杆25基,10m电杆93基，10m大拔稍杆2基，拉线28组。架设0.4kV二线沿墙线BLVV-35共320m，0.4kV二线架空线BLVV-35共1010m，0.4kV四线沿墙线BLVV-35共370m，0.4kV四线架空线BLVV-35共2370m，0.4kV四线架空线BLVV-70共980m，0.4kV四线架空线BLVV-240共520m。</w:t>
            </w:r>
          </w:p>
          <w:p>
            <w:pPr>
              <w:spacing w:line="400" w:lineRule="exact"/>
              <w:rPr>
                <w:rFonts w:hint="eastAsia" w:ascii="宋体" w:hAnsi="宋体" w:cs="Courier New"/>
                <w:color w:val="auto"/>
                <w:spacing w:val="2"/>
                <w:szCs w:val="21"/>
                <w:highlight w:val="none"/>
                <w:lang w:val="en-US" w:eastAsia="zh-CN"/>
              </w:rPr>
            </w:pPr>
            <w:r>
              <w:rPr>
                <w:rFonts w:hint="eastAsia" w:ascii="宋体" w:hAnsi="宋体" w:cs="Courier New"/>
                <w:color w:val="auto"/>
                <w:spacing w:val="2"/>
                <w:szCs w:val="21"/>
                <w:highlight w:val="none"/>
                <w:lang w:val="en-US" w:eastAsia="zh-CN"/>
              </w:rPr>
              <w:t>3、安装分支跌落式熔断器7组,过电压保护器及其接地网8套,安装验电接地环7组。</w:t>
            </w:r>
          </w:p>
          <w:p>
            <w:pPr>
              <w:spacing w:line="400" w:lineRule="exact"/>
              <w:rPr>
                <w:rFonts w:hint="eastAsia" w:ascii="宋体" w:hAnsi="宋体" w:cs="Courier New"/>
                <w:color w:val="auto"/>
                <w:spacing w:val="2"/>
                <w:szCs w:val="21"/>
                <w:highlight w:val="none"/>
                <w:lang w:val="en-US" w:eastAsia="zh-CN"/>
              </w:rPr>
            </w:pPr>
            <w:r>
              <w:rPr>
                <w:rFonts w:hint="eastAsia" w:ascii="宋体" w:hAnsi="宋体" w:cs="Courier New"/>
                <w:color w:val="auto"/>
                <w:spacing w:val="2"/>
                <w:szCs w:val="21"/>
                <w:highlight w:val="none"/>
                <w:lang w:val="en-US" w:eastAsia="zh-CN"/>
              </w:rPr>
              <w:t>4、安装台架式变压器7台,S15-30kVA共3台,S11-30kVA共2台,S11-250kVA共2台,台架杆上安装跌落式熔断器7组,隔离开关7组,综合配电箱30kVA共5套,综合配电箱250kVA共2套,设备接地网7套。</w:t>
            </w:r>
          </w:p>
          <w:p>
            <w:pPr>
              <w:spacing w:line="400" w:lineRule="exact"/>
              <w:rPr>
                <w:rFonts w:hint="eastAsia" w:ascii="宋体" w:hAnsi="宋体" w:cs="Courier New"/>
                <w:color w:val="auto"/>
                <w:spacing w:val="2"/>
                <w:szCs w:val="21"/>
                <w:highlight w:val="none"/>
              </w:rPr>
            </w:pPr>
            <w:r>
              <w:rPr>
                <w:rFonts w:hint="eastAsia" w:ascii="宋体" w:hAnsi="宋体" w:cs="Courier New"/>
                <w:color w:val="auto"/>
                <w:spacing w:val="2"/>
                <w:szCs w:val="21"/>
                <w:highlight w:val="none"/>
                <w:lang w:val="en-US" w:eastAsia="zh-CN"/>
              </w:rPr>
              <w:t>5、二次运输道路共8.5KM</w:t>
            </w:r>
            <w:r>
              <w:rPr>
                <w:rFonts w:hint="eastAsia" w:ascii="宋体" w:hAnsi="宋体" w:cs="Courier New"/>
                <w:color w:val="auto"/>
                <w:spacing w:val="2"/>
                <w:szCs w:val="21"/>
                <w:highlight w:val="none"/>
              </w:rPr>
              <w:t>；详见工程量清单文件及施工图纸。</w:t>
            </w:r>
          </w:p>
          <w:p>
            <w:pPr>
              <w:spacing w:line="400" w:lineRule="exact"/>
              <w:rPr>
                <w:color w:val="auto"/>
                <w:szCs w:val="21"/>
                <w:highlight w:val="none"/>
              </w:rPr>
            </w:pPr>
            <w:r>
              <w:rPr>
                <w:rFonts w:hint="eastAsia"/>
                <w:color w:val="auto"/>
                <w:szCs w:val="21"/>
                <w:highlight w:val="none"/>
              </w:rPr>
              <w:t>预算控制价：</w:t>
            </w:r>
            <w:r>
              <w:rPr>
                <w:rFonts w:hint="eastAsia"/>
                <w:color w:val="auto"/>
                <w:szCs w:val="21"/>
                <w:highlight w:val="none"/>
                <w:lang w:eastAsia="zh-CN"/>
              </w:rPr>
              <w:t>人民币贰佰陆拾壹万贰仟柒佰捌拾元整（￥2612780.00）</w:t>
            </w:r>
            <w:r>
              <w:rPr>
                <w:rFonts w:hint="eastAsia"/>
                <w:color w:val="auto"/>
                <w:szCs w:val="21"/>
                <w:highlight w:val="none"/>
              </w:rPr>
              <w:t>。</w:t>
            </w:r>
          </w:p>
          <w:p>
            <w:pPr>
              <w:spacing w:line="400" w:lineRule="exact"/>
              <w:rPr>
                <w:rFonts w:ascii="宋体" w:hAnsi="宋体" w:cs="Courier New"/>
                <w:color w:val="auto"/>
                <w:spacing w:val="2"/>
                <w:szCs w:val="21"/>
                <w:highlight w:val="none"/>
              </w:rPr>
            </w:pPr>
            <w:r>
              <w:rPr>
                <w:rFonts w:hint="eastAsia"/>
                <w:color w:val="auto"/>
                <w:szCs w:val="21"/>
                <w:highlight w:val="none"/>
              </w:rPr>
              <w:t>要求工期为：</w:t>
            </w:r>
            <w:r>
              <w:rPr>
                <w:rFonts w:hint="eastAsia"/>
                <w:color w:val="auto"/>
                <w:szCs w:val="21"/>
                <w:highlight w:val="none"/>
                <w:lang w:eastAsia="zh-CN"/>
              </w:rPr>
              <w:t>60日历天</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446"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7342" w:type="dxa"/>
            <w:vAlign w:val="center"/>
          </w:tcPr>
          <w:p>
            <w:pPr>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rPr>
              <w:t>资金来源：上级资金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446" w:type="dxa"/>
            <w:vAlign w:val="center"/>
          </w:tcPr>
          <w:p>
            <w:pPr>
              <w:spacing w:line="360" w:lineRule="auto"/>
              <w:ind w:firstLine="535" w:firstLineChars="250"/>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7342" w:type="dxa"/>
            <w:vAlign w:val="center"/>
          </w:tcPr>
          <w:p>
            <w:pPr>
              <w:spacing w:line="4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磋商人最低资质等级：</w:t>
            </w:r>
          </w:p>
          <w:p>
            <w:pPr>
              <w:spacing w:line="400" w:lineRule="exact"/>
              <w:rPr>
                <w:rFonts w:hint="eastAsia"/>
                <w:color w:val="auto"/>
                <w:szCs w:val="21"/>
                <w:highlight w:val="none"/>
                <w:lang w:eastAsia="zh-CN"/>
              </w:rPr>
            </w:pPr>
            <w:r>
              <w:rPr>
                <w:rFonts w:hint="eastAsia"/>
                <w:color w:val="auto"/>
                <w:szCs w:val="21"/>
                <w:highlight w:val="none"/>
              </w:rPr>
              <w:t>1）符合《中华人民共和国政府采购法》第二十二条的规定，具有独立的法人资格</w:t>
            </w:r>
            <w:r>
              <w:rPr>
                <w:rFonts w:hint="eastAsia"/>
                <w:color w:val="auto"/>
                <w:szCs w:val="21"/>
                <w:highlight w:val="none"/>
                <w:lang w:eastAsia="zh-CN"/>
              </w:rPr>
              <w:t>。</w:t>
            </w:r>
          </w:p>
          <w:p>
            <w:pPr>
              <w:spacing w:line="400" w:lineRule="exact"/>
              <w:rPr>
                <w:rFonts w:hint="eastAsia"/>
                <w:color w:val="auto"/>
                <w:szCs w:val="21"/>
                <w:highlight w:val="none"/>
              </w:rPr>
            </w:pPr>
            <w:r>
              <w:rPr>
                <w:rFonts w:hint="eastAsia"/>
                <w:color w:val="auto"/>
                <w:szCs w:val="21"/>
                <w:highlight w:val="none"/>
              </w:rPr>
              <w:t>（2）在国内注册（指按国家有关规定要求注册的） 生产或经营本次采购项目，具备有效的电力工程施工总承包三级以上（含三级）或输变电工程专业承包三级以上（含三级）资质；同时具备国家电力监管委员会颁发的承装（修、试）电力设施许可证（要求</w:t>
            </w:r>
            <w:r>
              <w:rPr>
                <w:rFonts w:hint="eastAsia" w:ascii="宋体" w:hAnsi="宋体"/>
                <w:color w:val="auto"/>
                <w:highlight w:val="none"/>
              </w:rPr>
              <w:t>同时具备</w:t>
            </w:r>
            <w:r>
              <w:rPr>
                <w:rFonts w:hint="eastAsia"/>
                <w:color w:val="auto"/>
                <w:szCs w:val="21"/>
                <w:highlight w:val="none"/>
              </w:rPr>
              <w:t>承装类</w:t>
            </w:r>
            <w:r>
              <w:rPr>
                <w:rFonts w:hint="eastAsia"/>
                <w:color w:val="auto"/>
                <w:szCs w:val="21"/>
                <w:highlight w:val="none"/>
                <w:lang w:eastAsia="zh-CN"/>
              </w:rPr>
              <w:t>三</w:t>
            </w:r>
            <w:r>
              <w:rPr>
                <w:rFonts w:hint="eastAsia"/>
                <w:color w:val="auto"/>
                <w:szCs w:val="21"/>
                <w:highlight w:val="none"/>
              </w:rPr>
              <w:t>级及以上、承修类</w:t>
            </w:r>
            <w:r>
              <w:rPr>
                <w:rFonts w:hint="eastAsia"/>
                <w:color w:val="auto"/>
                <w:szCs w:val="21"/>
                <w:highlight w:val="none"/>
                <w:lang w:eastAsia="zh-CN"/>
              </w:rPr>
              <w:t>三</w:t>
            </w:r>
            <w:r>
              <w:rPr>
                <w:rFonts w:hint="eastAsia"/>
                <w:color w:val="auto"/>
                <w:szCs w:val="21"/>
                <w:highlight w:val="none"/>
              </w:rPr>
              <w:t>级及以上、承试类</w:t>
            </w:r>
            <w:r>
              <w:rPr>
                <w:rFonts w:hint="eastAsia"/>
                <w:color w:val="auto"/>
                <w:szCs w:val="21"/>
                <w:highlight w:val="none"/>
                <w:lang w:eastAsia="zh-CN"/>
              </w:rPr>
              <w:t>三</w:t>
            </w:r>
            <w:r>
              <w:rPr>
                <w:rFonts w:hint="eastAsia"/>
                <w:color w:val="auto"/>
                <w:szCs w:val="21"/>
                <w:highlight w:val="none"/>
              </w:rPr>
              <w:t>级及以上）的企业;具备有效国家建设行政管理部门颁发的安全生产许可证；具有履行合同所必需的设备和专业技术能力；</w:t>
            </w:r>
          </w:p>
          <w:p>
            <w:pPr>
              <w:spacing w:line="400" w:lineRule="exact"/>
              <w:rPr>
                <w:color w:val="auto"/>
                <w:szCs w:val="21"/>
                <w:highlight w:val="none"/>
              </w:rPr>
            </w:pPr>
            <w:r>
              <w:rPr>
                <w:rFonts w:hint="eastAsia"/>
                <w:color w:val="auto"/>
                <w:szCs w:val="21"/>
                <w:highlight w:val="none"/>
                <w:lang w:val="en-US" w:eastAsia="zh-CN"/>
              </w:rPr>
              <w:t>(3)</w:t>
            </w:r>
            <w:r>
              <w:rPr>
                <w:rFonts w:hint="eastAsia"/>
                <w:color w:val="auto"/>
                <w:szCs w:val="21"/>
                <w:highlight w:val="none"/>
              </w:rPr>
              <w:t>拟投入本项目的项目经理需具备机电工程专业二级以上（含二级）注册建造师执业资格，具备有效的安全生产考核合格证书（B 类），并在磋商人单位注册；</w:t>
            </w:r>
          </w:p>
          <w:p>
            <w:pPr>
              <w:spacing w:line="400" w:lineRule="exact"/>
              <w:rPr>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）本项目不接受联合体磋商。</w:t>
            </w:r>
          </w:p>
          <w:p>
            <w:pPr>
              <w:spacing w:line="400" w:lineRule="exact"/>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rPr>
                <w:color w:val="auto"/>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）对在“信用中国”网站(www.c</w:t>
            </w:r>
            <w:r>
              <w:rPr>
                <w:color w:val="auto"/>
                <w:szCs w:val="21"/>
                <w:highlight w:val="none"/>
              </w:rPr>
              <w:t>☑</w:t>
            </w:r>
            <w:r>
              <w:rPr>
                <w:rFonts w:hint="eastAsia"/>
                <w:color w:val="auto"/>
                <w:szCs w:val="21"/>
                <w:highlight w:val="none"/>
              </w:rPr>
              <w:t>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w:t>
            </w:r>
            <w:r>
              <w:rPr>
                <w:rFonts w:hint="eastAsia" w:ascii="宋体" w:hAnsi="宋体" w:cs="Courier New"/>
                <w:color w:val="auto"/>
                <w:spacing w:val="2"/>
                <w:szCs w:val="21"/>
                <w:highlight w:val="none"/>
              </w:rPr>
              <w:t>3</w:t>
            </w:r>
            <w:r>
              <w:rPr>
                <w:rFonts w:ascii="宋体" w:hAnsi="宋体" w:cs="Courier New"/>
                <w:color w:val="auto"/>
                <w:spacing w:val="2"/>
                <w:szCs w:val="21"/>
                <w:highlight w:val="none"/>
              </w:rPr>
              <w:t>.1</w:t>
            </w:r>
          </w:p>
        </w:tc>
        <w:tc>
          <w:tcPr>
            <w:tcW w:w="7342" w:type="dxa"/>
            <w:vAlign w:val="center"/>
          </w:tcPr>
          <w:p>
            <w:pPr>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rPr>
              <w:t>磋商有效期为：磋商截止日期之日起90天（日历天）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w:t>
            </w:r>
            <w:r>
              <w:rPr>
                <w:rFonts w:hint="eastAsia" w:ascii="宋体" w:hAnsi="宋体" w:cs="Courier New"/>
                <w:color w:val="auto"/>
                <w:spacing w:val="2"/>
                <w:szCs w:val="21"/>
                <w:highlight w:val="none"/>
              </w:rPr>
              <w:t>4</w:t>
            </w:r>
            <w:r>
              <w:rPr>
                <w:rFonts w:ascii="宋体" w:hAnsi="宋体" w:cs="Courier New"/>
                <w:color w:val="auto"/>
                <w:spacing w:val="2"/>
                <w:szCs w:val="21"/>
                <w:highlight w:val="none"/>
              </w:rPr>
              <w:t>.1</w:t>
            </w:r>
          </w:p>
        </w:tc>
        <w:tc>
          <w:tcPr>
            <w:tcW w:w="7342" w:type="dxa"/>
            <w:vAlign w:val="center"/>
          </w:tcPr>
          <w:p>
            <w:pPr>
              <w:spacing w:line="400" w:lineRule="exact"/>
              <w:rPr>
                <w:color w:val="auto"/>
                <w:highlight w:val="none"/>
              </w:rPr>
            </w:pPr>
            <w:r>
              <w:rPr>
                <w:rFonts w:hint="eastAsia"/>
                <w:color w:val="auto"/>
                <w:szCs w:val="21"/>
                <w:highlight w:val="none"/>
              </w:rPr>
              <w:t>磋商保证金：无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w:t>
            </w:r>
            <w:r>
              <w:rPr>
                <w:rFonts w:hint="eastAsia" w:ascii="宋体" w:hAnsi="宋体" w:cs="Courier New"/>
                <w:color w:val="auto"/>
                <w:spacing w:val="2"/>
                <w:szCs w:val="21"/>
                <w:highlight w:val="none"/>
              </w:rPr>
              <w:t>6</w:t>
            </w:r>
            <w:r>
              <w:rPr>
                <w:rFonts w:ascii="宋体" w:hAnsi="宋体" w:cs="Courier New"/>
                <w:color w:val="auto"/>
                <w:spacing w:val="2"/>
                <w:szCs w:val="21"/>
                <w:highlight w:val="none"/>
              </w:rPr>
              <w:t>.1</w:t>
            </w:r>
          </w:p>
        </w:tc>
        <w:tc>
          <w:tcPr>
            <w:tcW w:w="7342" w:type="dxa"/>
            <w:vAlign w:val="center"/>
          </w:tcPr>
          <w:p>
            <w:pPr>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rPr>
              <w:t>磋商文件份数：正本一份、副本三份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1</w:t>
            </w:r>
            <w:r>
              <w:rPr>
                <w:rFonts w:hint="eastAsia" w:ascii="宋体" w:hAnsi="宋体" w:cs="Courier New"/>
                <w:color w:val="auto"/>
                <w:spacing w:val="2"/>
                <w:szCs w:val="21"/>
                <w:highlight w:val="none"/>
              </w:rPr>
              <w:t>7.4</w:t>
            </w:r>
          </w:p>
        </w:tc>
        <w:tc>
          <w:tcPr>
            <w:tcW w:w="7342" w:type="dxa"/>
            <w:vAlign w:val="center"/>
          </w:tcPr>
          <w:p>
            <w:pPr>
              <w:spacing w:line="3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磋商文件递交地点：</w:t>
            </w:r>
            <w:r>
              <w:rPr>
                <w:rFonts w:hint="eastAsia" w:ascii="宋体" w:hAnsi="宋体" w:cs="Courier New"/>
                <w:color w:val="auto"/>
                <w:spacing w:val="2"/>
                <w:szCs w:val="21"/>
                <w:highlight w:val="none"/>
                <w:lang w:eastAsia="zh-CN"/>
              </w:rPr>
              <w:t>桂平市公共资源交易中心【桂江西路政务服务中心新大楼（原国会大夏）五楼</w:t>
            </w:r>
            <w:r>
              <w:rPr>
                <w:rFonts w:hint="eastAsia" w:ascii="宋体" w:hAnsi="宋体" w:cs="Courier New"/>
                <w:color w:val="auto"/>
                <w:spacing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446"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r>
              <w:rPr>
                <w:rFonts w:ascii="宋体" w:hAnsi="宋体" w:cs="Courier New"/>
                <w:color w:val="auto"/>
                <w:spacing w:val="2"/>
                <w:szCs w:val="21"/>
                <w:highlight w:val="none"/>
              </w:rPr>
              <w:t>.1</w:t>
            </w:r>
          </w:p>
        </w:tc>
        <w:tc>
          <w:tcPr>
            <w:tcW w:w="7342" w:type="dxa"/>
            <w:vAlign w:val="center"/>
          </w:tcPr>
          <w:p>
            <w:pPr>
              <w:spacing w:line="360" w:lineRule="auto"/>
              <w:rPr>
                <w:rFonts w:hAnsi="宋体"/>
                <w:bCs/>
                <w:color w:val="auto"/>
                <w:szCs w:val="21"/>
                <w:highlight w:val="none"/>
              </w:rPr>
            </w:pPr>
            <w:r>
              <w:rPr>
                <w:rFonts w:hint="eastAsia" w:hAnsi="宋体"/>
                <w:bCs/>
                <w:color w:val="auto"/>
                <w:szCs w:val="21"/>
                <w:highlight w:val="none"/>
              </w:rPr>
              <w:t>磋商文件递交时间：</w:t>
            </w:r>
            <w:r>
              <w:rPr>
                <w:rFonts w:hint="eastAsia"/>
                <w:color w:val="auto"/>
                <w:szCs w:val="21"/>
                <w:highlight w:val="none"/>
              </w:rPr>
              <w:t>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1</w:t>
            </w:r>
            <w:r>
              <w:rPr>
                <w:rFonts w:hint="eastAsia"/>
                <w:color w:val="auto"/>
                <w:szCs w:val="21"/>
                <w:highlight w:val="none"/>
              </w:rPr>
              <w:t xml:space="preserve">月 </w:t>
            </w:r>
            <w:r>
              <w:rPr>
                <w:rFonts w:hint="eastAsia"/>
                <w:color w:val="auto"/>
                <w:szCs w:val="21"/>
                <w:highlight w:val="none"/>
                <w:lang w:val="en-US" w:eastAsia="zh-CN"/>
              </w:rPr>
              <w:t>5</w:t>
            </w:r>
            <w:r>
              <w:rPr>
                <w:rFonts w:hint="eastAsia"/>
                <w:color w:val="auto"/>
                <w:szCs w:val="21"/>
                <w:highlight w:val="none"/>
              </w:rPr>
              <w:t>日上午9时</w:t>
            </w:r>
            <w:r>
              <w:rPr>
                <w:rFonts w:hint="eastAsia"/>
                <w:color w:val="auto"/>
                <w:szCs w:val="21"/>
                <w:highlight w:val="none"/>
                <w:lang w:val="en-US" w:eastAsia="zh-CN"/>
              </w:rPr>
              <w:t>0</w:t>
            </w:r>
            <w:r>
              <w:rPr>
                <w:rFonts w:hint="eastAsia"/>
                <w:color w:val="auto"/>
                <w:szCs w:val="21"/>
                <w:highlight w:val="none"/>
              </w:rPr>
              <w:t>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2</w:t>
            </w:r>
            <w:r>
              <w:rPr>
                <w:rFonts w:hint="eastAsia" w:ascii="宋体" w:hAnsi="宋体" w:cs="Courier New"/>
                <w:color w:val="auto"/>
                <w:spacing w:val="2"/>
                <w:szCs w:val="21"/>
                <w:highlight w:val="none"/>
              </w:rPr>
              <w:t>0</w:t>
            </w:r>
            <w:r>
              <w:rPr>
                <w:rFonts w:ascii="宋体" w:hAnsi="宋体" w:cs="Courier New"/>
                <w:color w:val="auto"/>
                <w:spacing w:val="2"/>
                <w:szCs w:val="21"/>
                <w:highlight w:val="none"/>
              </w:rPr>
              <w:t>.1</w:t>
            </w:r>
          </w:p>
        </w:tc>
        <w:tc>
          <w:tcPr>
            <w:tcW w:w="7342" w:type="dxa"/>
            <w:vAlign w:val="center"/>
          </w:tcPr>
          <w:p>
            <w:pPr>
              <w:spacing w:line="400" w:lineRule="exact"/>
              <w:rPr>
                <w:rFonts w:hAnsi="宋体"/>
                <w:bCs/>
                <w:color w:val="auto"/>
                <w:szCs w:val="21"/>
                <w:highlight w:val="none"/>
              </w:rPr>
            </w:pPr>
            <w:r>
              <w:rPr>
                <w:rFonts w:hint="eastAsia" w:hAnsi="宋体"/>
                <w:bCs/>
                <w:color w:val="auto"/>
                <w:szCs w:val="21"/>
                <w:highlight w:val="none"/>
              </w:rPr>
              <w:t>磋商截止时间及开标时间：20</w:t>
            </w:r>
            <w:r>
              <w:rPr>
                <w:rFonts w:hint="eastAsia" w:hAnsi="宋体"/>
                <w:bCs/>
                <w:color w:val="auto"/>
                <w:szCs w:val="21"/>
                <w:highlight w:val="none"/>
                <w:lang w:val="en-US" w:eastAsia="zh-CN"/>
              </w:rPr>
              <w:t>21</w:t>
            </w:r>
            <w:r>
              <w:rPr>
                <w:rFonts w:hint="eastAsia" w:hAnsi="宋体"/>
                <w:bCs/>
                <w:color w:val="auto"/>
                <w:szCs w:val="21"/>
                <w:highlight w:val="none"/>
              </w:rPr>
              <w:t>年</w:t>
            </w:r>
            <w:r>
              <w:rPr>
                <w:rFonts w:hint="eastAsia" w:hAnsi="宋体"/>
                <w:bCs/>
                <w:color w:val="auto"/>
                <w:szCs w:val="21"/>
                <w:highlight w:val="none"/>
                <w:lang w:val="en-US" w:eastAsia="zh-CN"/>
              </w:rPr>
              <w:t>1</w:t>
            </w:r>
            <w:r>
              <w:rPr>
                <w:rFonts w:hint="eastAsia" w:hAnsi="宋体"/>
                <w:bCs/>
                <w:color w:val="auto"/>
                <w:szCs w:val="21"/>
                <w:highlight w:val="none"/>
              </w:rPr>
              <w:t xml:space="preserve">月 </w:t>
            </w:r>
            <w:r>
              <w:rPr>
                <w:rFonts w:hint="eastAsia" w:hAnsi="宋体"/>
                <w:bCs/>
                <w:color w:val="auto"/>
                <w:szCs w:val="21"/>
                <w:highlight w:val="none"/>
                <w:lang w:val="en-US" w:eastAsia="zh-CN"/>
              </w:rPr>
              <w:t>5</w:t>
            </w:r>
            <w:r>
              <w:rPr>
                <w:rFonts w:hint="eastAsia" w:hAnsi="宋体"/>
                <w:bCs/>
                <w:color w:val="auto"/>
                <w:szCs w:val="21"/>
                <w:highlight w:val="none"/>
              </w:rPr>
              <w:t>日上午9时</w:t>
            </w:r>
            <w:r>
              <w:rPr>
                <w:rFonts w:hint="eastAsia" w:hAnsi="宋体"/>
                <w:bCs/>
                <w:color w:val="auto"/>
                <w:szCs w:val="21"/>
                <w:highlight w:val="none"/>
                <w:lang w:val="en-US" w:eastAsia="zh-CN"/>
              </w:rPr>
              <w:t>0</w:t>
            </w:r>
            <w:r>
              <w:rPr>
                <w:rFonts w:hint="eastAsia" w:hAnsi="宋体"/>
                <w:bCs/>
                <w:color w:val="auto"/>
                <w:szCs w:val="21"/>
                <w:highlight w:val="none"/>
              </w:rPr>
              <w:t>0分</w:t>
            </w:r>
          </w:p>
          <w:p>
            <w:pPr>
              <w:spacing w:line="400" w:lineRule="exact"/>
              <w:rPr>
                <w:rFonts w:hAnsi="宋体"/>
                <w:bCs/>
                <w:color w:val="auto"/>
                <w:szCs w:val="21"/>
                <w:highlight w:val="none"/>
              </w:rPr>
            </w:pPr>
            <w:r>
              <w:rPr>
                <w:rFonts w:hint="eastAsia" w:hAnsi="宋体"/>
                <w:bCs/>
                <w:color w:val="auto"/>
                <w:szCs w:val="21"/>
                <w:highlight w:val="none"/>
              </w:rPr>
              <w:t>地点：</w:t>
            </w:r>
            <w:r>
              <w:rPr>
                <w:rFonts w:hint="eastAsia" w:hAnsi="宋体"/>
                <w:bCs/>
                <w:color w:val="auto"/>
                <w:szCs w:val="21"/>
                <w:highlight w:val="none"/>
                <w:lang w:eastAsia="zh-CN"/>
              </w:rPr>
              <w:t>桂平市公共资源交易中心【桂江西路政务服务中心新大楼（原国会大夏）五楼</w:t>
            </w:r>
            <w:r>
              <w:rPr>
                <w:rFonts w:hint="eastAsia"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10</w:t>
            </w:r>
          </w:p>
        </w:tc>
        <w:tc>
          <w:tcPr>
            <w:tcW w:w="1446" w:type="dxa"/>
            <w:vAlign w:val="center"/>
          </w:tcPr>
          <w:p>
            <w:pPr>
              <w:spacing w:line="360" w:lineRule="auto"/>
              <w:jc w:val="center"/>
              <w:rPr>
                <w:rFonts w:ascii="宋体" w:hAnsi="宋体" w:cs="Courier New"/>
                <w:color w:val="auto"/>
                <w:spacing w:val="2"/>
                <w:szCs w:val="21"/>
                <w:highlight w:val="none"/>
              </w:rPr>
            </w:pPr>
            <w:r>
              <w:rPr>
                <w:rFonts w:ascii="宋体" w:hAnsi="宋体" w:cs="Courier New"/>
                <w:color w:val="auto"/>
                <w:spacing w:val="2"/>
                <w:szCs w:val="21"/>
                <w:highlight w:val="none"/>
              </w:rPr>
              <w:t>2</w:t>
            </w:r>
            <w:r>
              <w:rPr>
                <w:rFonts w:hint="eastAsia" w:ascii="宋体" w:hAnsi="宋体" w:cs="Courier New"/>
                <w:color w:val="auto"/>
                <w:spacing w:val="2"/>
                <w:szCs w:val="21"/>
                <w:highlight w:val="none"/>
              </w:rPr>
              <w:t>8</w:t>
            </w:r>
          </w:p>
        </w:tc>
        <w:tc>
          <w:tcPr>
            <w:tcW w:w="7342" w:type="dxa"/>
            <w:vAlign w:val="center"/>
          </w:tcPr>
          <w:p>
            <w:pPr>
              <w:tabs>
                <w:tab w:val="left" w:pos="507"/>
              </w:tabs>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446" w:type="dxa"/>
            <w:vAlign w:val="center"/>
          </w:tcPr>
          <w:p>
            <w:pPr>
              <w:pStyle w:val="17"/>
              <w:spacing w:before="0" w:after="0" w:line="360" w:lineRule="auto"/>
              <w:rPr>
                <w:b w:val="0"/>
                <w:color w:val="auto"/>
                <w:sz w:val="21"/>
                <w:szCs w:val="21"/>
                <w:highlight w:val="none"/>
              </w:rPr>
            </w:pPr>
            <w:r>
              <w:rPr>
                <w:rFonts w:hint="eastAsia"/>
                <w:b w:val="0"/>
                <w:color w:val="auto"/>
                <w:sz w:val="21"/>
                <w:szCs w:val="21"/>
                <w:highlight w:val="none"/>
              </w:rPr>
              <w:t>30</w:t>
            </w:r>
          </w:p>
        </w:tc>
        <w:tc>
          <w:tcPr>
            <w:tcW w:w="7342" w:type="dxa"/>
            <w:vAlign w:val="center"/>
          </w:tcPr>
          <w:p>
            <w:pPr>
              <w:spacing w:line="3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评标结果将在</w:t>
            </w:r>
            <w:r>
              <w:rPr>
                <w:rFonts w:hint="eastAsia" w:ascii="宋体" w:hAnsi="宋体" w:cs="Courier New"/>
                <w:bCs/>
                <w:color w:val="auto"/>
                <w:spacing w:val="2"/>
                <w:szCs w:val="21"/>
                <w:highlight w:val="none"/>
              </w:rPr>
              <w:t>中国政府采购网（http://www.ccgp.gov.cn/）、广西壮族自治区政府采购网（http://zfcg.gxzf.gov.cn/）、贵港市政府采购网（http://zfcg.czj.gxgg.gov.cn/），贵港市公共资源交易中心网（http://ggggjy.gxgg.gov.cn:9005/）</w:t>
            </w:r>
            <w:r>
              <w:rPr>
                <w:rFonts w:hint="eastAsia" w:ascii="宋体" w:hAnsi="宋体" w:cs="Courier New"/>
                <w:color w:val="auto"/>
                <w:spacing w:val="2"/>
                <w:szCs w:val="21"/>
                <w:highlight w:val="none"/>
              </w:rPr>
              <w:t>公示，公示期为1个工作日。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0" w:type="dxa"/>
            <w:vAlign w:val="center"/>
          </w:tcPr>
          <w:p>
            <w:pPr>
              <w:spacing w:line="360" w:lineRule="auto"/>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446" w:type="dxa"/>
            <w:vAlign w:val="center"/>
          </w:tcPr>
          <w:p>
            <w:pPr>
              <w:pStyle w:val="17"/>
              <w:spacing w:before="0" w:after="0" w:line="360" w:lineRule="auto"/>
              <w:rPr>
                <w:b w:val="0"/>
                <w:color w:val="auto"/>
                <w:sz w:val="21"/>
                <w:szCs w:val="21"/>
                <w:highlight w:val="none"/>
              </w:rPr>
            </w:pPr>
            <w:r>
              <w:rPr>
                <w:rFonts w:hint="eastAsia"/>
                <w:b w:val="0"/>
                <w:color w:val="auto"/>
                <w:sz w:val="21"/>
                <w:szCs w:val="21"/>
                <w:highlight w:val="none"/>
              </w:rPr>
              <w:t>15</w:t>
            </w:r>
          </w:p>
        </w:tc>
        <w:tc>
          <w:tcPr>
            <w:tcW w:w="7342" w:type="dxa"/>
            <w:vAlign w:val="center"/>
          </w:tcPr>
          <w:p>
            <w:pPr>
              <w:spacing w:line="360" w:lineRule="auto"/>
              <w:rPr>
                <w:rFonts w:ascii="宋体" w:hAnsi="宋体" w:cs="Courier New"/>
                <w:color w:val="auto"/>
                <w:spacing w:val="2"/>
                <w:szCs w:val="21"/>
                <w:highlight w:val="none"/>
              </w:rPr>
            </w:pPr>
            <w:r>
              <w:rPr>
                <w:rFonts w:hint="eastAsia" w:ascii="宋体" w:hAnsi="宋体" w:cs="Courier New"/>
                <w:color w:val="auto"/>
                <w:spacing w:val="2"/>
                <w:szCs w:val="21"/>
                <w:highlight w:val="none"/>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13</w:t>
            </w:r>
          </w:p>
        </w:tc>
        <w:tc>
          <w:tcPr>
            <w:tcW w:w="1446" w:type="dxa"/>
            <w:vAlign w:val="center"/>
          </w:tcPr>
          <w:p>
            <w:pPr>
              <w:pStyle w:val="17"/>
              <w:spacing w:line="360" w:lineRule="auto"/>
              <w:rPr>
                <w:b w:val="0"/>
                <w:color w:val="auto"/>
                <w:sz w:val="21"/>
                <w:szCs w:val="21"/>
                <w:highlight w:val="none"/>
              </w:rPr>
            </w:pPr>
          </w:p>
        </w:tc>
        <w:tc>
          <w:tcPr>
            <w:tcW w:w="7342" w:type="dxa"/>
            <w:vAlign w:val="center"/>
          </w:tcPr>
          <w:p>
            <w:pPr>
              <w:autoSpaceDE w:val="0"/>
              <w:autoSpaceDN w:val="0"/>
              <w:spacing w:line="400" w:lineRule="exact"/>
              <w:ind w:right="69" w:rightChars="33"/>
              <w:jc w:val="left"/>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履约保证金:无</w:t>
            </w:r>
            <w:r>
              <w:rPr>
                <w:rFonts w:hint="eastAsia"/>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14</w:t>
            </w:r>
          </w:p>
        </w:tc>
        <w:tc>
          <w:tcPr>
            <w:tcW w:w="1446" w:type="dxa"/>
            <w:vAlign w:val="center"/>
          </w:tcPr>
          <w:p>
            <w:pPr>
              <w:pStyle w:val="17"/>
              <w:spacing w:line="360" w:lineRule="auto"/>
              <w:rPr>
                <w:b w:val="0"/>
                <w:color w:val="auto"/>
                <w:sz w:val="21"/>
                <w:szCs w:val="21"/>
                <w:highlight w:val="none"/>
              </w:rPr>
            </w:pPr>
            <w:r>
              <w:rPr>
                <w:rFonts w:hint="eastAsia"/>
                <w:b w:val="0"/>
                <w:color w:val="auto"/>
                <w:sz w:val="21"/>
                <w:szCs w:val="21"/>
                <w:highlight w:val="none"/>
              </w:rPr>
              <w:t>35.1</w:t>
            </w:r>
          </w:p>
        </w:tc>
        <w:tc>
          <w:tcPr>
            <w:tcW w:w="7342" w:type="dxa"/>
            <w:vAlign w:val="center"/>
          </w:tcPr>
          <w:p>
            <w:pPr>
              <w:spacing w:line="360" w:lineRule="auto"/>
              <w:rPr>
                <w:rFonts w:ascii="宋体" w:hAnsi="宋体"/>
                <w:color w:val="auto"/>
                <w:szCs w:val="21"/>
                <w:highlight w:val="none"/>
              </w:rPr>
            </w:pPr>
            <w:r>
              <w:rPr>
                <w:rFonts w:hint="eastAsia" w:ascii="宋体" w:hAnsi="宋体"/>
                <w:color w:val="auto"/>
                <w:spacing w:val="2"/>
                <w:szCs w:val="21"/>
                <w:highlight w:val="none"/>
              </w:rPr>
              <w:t>采购代理服务费：本项目代理服务费按桂价费字【2015】299号文件“工程类”标准收取，由成交人向采购代理机构支付,本项目服务费为</w:t>
            </w:r>
            <w:r>
              <w:rPr>
                <w:rFonts w:hint="eastAsia" w:ascii="宋体" w:hAnsi="宋体"/>
                <w:color w:val="auto"/>
                <w:spacing w:val="2"/>
                <w:szCs w:val="21"/>
                <w:highlight w:val="none"/>
                <w:lang w:eastAsia="zh-CN"/>
              </w:rPr>
              <w:t>人民币贰万壹仟贰佰元整（￥21200.00）</w:t>
            </w:r>
            <w:r>
              <w:rPr>
                <w:rFonts w:hint="eastAsia" w:ascii="宋体" w:hAnsi="宋体"/>
                <w:color w:val="auto"/>
                <w:spacing w:val="2"/>
                <w:szCs w:val="21"/>
                <w:highlight w:val="none"/>
              </w:rPr>
              <w:t>。领取成交通知书前，成交供应商应向采购代理机构一次性付清成交服务费，否则，采购代理机构将视之为违约。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1446" w:type="dxa"/>
            <w:vAlign w:val="center"/>
          </w:tcPr>
          <w:p>
            <w:pPr>
              <w:pStyle w:val="17"/>
              <w:spacing w:line="360" w:lineRule="auto"/>
              <w:rPr>
                <w:b w:val="0"/>
                <w:color w:val="auto"/>
                <w:sz w:val="21"/>
                <w:szCs w:val="21"/>
                <w:highlight w:val="none"/>
              </w:rPr>
            </w:pPr>
          </w:p>
        </w:tc>
        <w:tc>
          <w:tcPr>
            <w:tcW w:w="7342" w:type="dxa"/>
            <w:vAlign w:val="center"/>
          </w:tcPr>
          <w:p>
            <w:pPr>
              <w:snapToGrid w:val="0"/>
              <w:spacing w:line="400" w:lineRule="exact"/>
              <w:rPr>
                <w:rFonts w:ascii="宋体" w:hAnsi="宋体" w:cs="Courier New"/>
                <w:color w:val="auto"/>
                <w:spacing w:val="2"/>
                <w:szCs w:val="21"/>
                <w:highlight w:val="none"/>
              </w:rPr>
            </w:pPr>
            <w:r>
              <w:rPr>
                <w:rFonts w:ascii="宋体" w:hAnsi="宋体"/>
                <w:color w:val="auto"/>
                <w:spacing w:val="2"/>
                <w:szCs w:val="21"/>
                <w:highlight w:val="none"/>
              </w:rPr>
              <w:t>本文件中描述</w:t>
            </w:r>
            <w:r>
              <w:rPr>
                <w:rFonts w:hint="eastAsia" w:ascii="宋体" w:hAnsi="宋体"/>
                <w:color w:val="auto"/>
                <w:spacing w:val="2"/>
                <w:szCs w:val="21"/>
                <w:highlight w:val="none"/>
              </w:rPr>
              <w:t>投标人</w:t>
            </w:r>
            <w:r>
              <w:rPr>
                <w:rFonts w:ascii="宋体" w:hAnsi="宋体"/>
                <w:color w:val="auto"/>
                <w:spacing w:val="2"/>
                <w:szCs w:val="21"/>
                <w:highlight w:val="none"/>
              </w:rPr>
              <w:t>的“公章”是指根据我国对公章的管理规定，用</w:t>
            </w:r>
            <w:r>
              <w:rPr>
                <w:rFonts w:hint="eastAsia" w:ascii="宋体" w:hAnsi="宋体"/>
                <w:color w:val="auto"/>
                <w:spacing w:val="2"/>
                <w:szCs w:val="21"/>
                <w:highlight w:val="none"/>
              </w:rPr>
              <w:t>投标人</w:t>
            </w:r>
            <w:r>
              <w:rPr>
                <w:rFonts w:ascii="宋体" w:hAnsi="宋体"/>
                <w:color w:val="auto"/>
                <w:spacing w:val="2"/>
                <w:szCs w:val="21"/>
                <w:highlight w:val="none"/>
              </w:rPr>
              <w:t>法定主体行为名称制作的印章，除本文件有特殊规定外，</w:t>
            </w:r>
            <w:r>
              <w:rPr>
                <w:rFonts w:hint="eastAsia" w:ascii="宋体" w:hAnsi="宋体"/>
                <w:color w:val="auto"/>
                <w:spacing w:val="2"/>
                <w:szCs w:val="21"/>
                <w:highlight w:val="none"/>
              </w:rPr>
              <w:t>投标人</w:t>
            </w:r>
            <w:r>
              <w:rPr>
                <w:rFonts w:ascii="宋体" w:hAnsi="宋体"/>
                <w:color w:val="auto"/>
                <w:spacing w:val="2"/>
                <w:szCs w:val="21"/>
                <w:highlight w:val="none"/>
              </w:rPr>
              <w:t>的财务章、部门章、分公司章、工会章、合同章、投标专用章、业务专用章及银行的转账章、现金收讫章、现金付讫章等其它形式印章均不能代替公章</w:t>
            </w:r>
            <w:r>
              <w:rPr>
                <w:rFonts w:hint="eastAsia" w:ascii="宋体" w:hAnsi="宋体"/>
                <w:color w:val="auto"/>
                <w:spacing w:val="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16</w:t>
            </w:r>
          </w:p>
        </w:tc>
        <w:tc>
          <w:tcPr>
            <w:tcW w:w="1446" w:type="dxa"/>
            <w:vAlign w:val="center"/>
          </w:tcPr>
          <w:p>
            <w:pPr>
              <w:pStyle w:val="17"/>
              <w:spacing w:line="360" w:lineRule="auto"/>
              <w:rPr>
                <w:b w:val="0"/>
                <w:color w:val="auto"/>
                <w:sz w:val="21"/>
                <w:szCs w:val="21"/>
                <w:highlight w:val="none"/>
              </w:rPr>
            </w:pPr>
          </w:p>
        </w:tc>
        <w:tc>
          <w:tcPr>
            <w:tcW w:w="7342" w:type="dxa"/>
            <w:vAlign w:val="center"/>
          </w:tcPr>
          <w:p>
            <w:pPr>
              <w:rPr>
                <w:rFonts w:ascii="宋体" w:hAnsi="宋体"/>
                <w:color w:val="auto"/>
                <w:spacing w:val="2"/>
                <w:szCs w:val="21"/>
                <w:highlight w:val="none"/>
              </w:rPr>
            </w:pPr>
            <w:r>
              <w:rPr>
                <w:rFonts w:hint="eastAsia"/>
                <w:color w:val="auto"/>
                <w:highlight w:val="none"/>
              </w:rPr>
              <w:t>合同是否调价：</w:t>
            </w:r>
            <w:r>
              <w:rPr>
                <w:color w:val="auto"/>
                <w:highlight w:val="none"/>
              </w:rPr>
              <w:t>除上级有关文件规定之外，本工程合同期内</w:t>
            </w:r>
            <w:r>
              <w:rPr>
                <w:rFonts w:hint="eastAsia"/>
                <w:color w:val="auto"/>
                <w:highlight w:val="none"/>
              </w:rPr>
              <w:t>单价</w:t>
            </w:r>
            <w:r>
              <w:rPr>
                <w:color w:val="auto"/>
                <w:highlight w:val="none"/>
              </w:rPr>
              <w:t>不可调价</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17</w:t>
            </w:r>
          </w:p>
        </w:tc>
        <w:tc>
          <w:tcPr>
            <w:tcW w:w="1446" w:type="dxa"/>
            <w:vAlign w:val="center"/>
          </w:tcPr>
          <w:p>
            <w:pPr>
              <w:pStyle w:val="17"/>
              <w:spacing w:line="360" w:lineRule="auto"/>
              <w:rPr>
                <w:b w:val="0"/>
                <w:color w:val="auto"/>
                <w:sz w:val="21"/>
                <w:szCs w:val="21"/>
                <w:highlight w:val="none"/>
              </w:rPr>
            </w:pPr>
            <w:r>
              <w:rPr>
                <w:rFonts w:hint="eastAsia"/>
                <w:b w:val="0"/>
                <w:color w:val="auto"/>
                <w:sz w:val="21"/>
                <w:szCs w:val="21"/>
                <w:highlight w:val="none"/>
              </w:rPr>
              <w:t>付款方式</w:t>
            </w:r>
          </w:p>
        </w:tc>
        <w:tc>
          <w:tcPr>
            <w:tcW w:w="7342" w:type="dxa"/>
            <w:vAlign w:val="center"/>
          </w:tcPr>
          <w:p>
            <w:pPr>
              <w:spacing w:line="500" w:lineRule="exact"/>
              <w:rPr>
                <w:color w:val="auto"/>
                <w:highlight w:val="none"/>
              </w:rPr>
            </w:pPr>
            <w:r>
              <w:rPr>
                <w:rFonts w:hint="eastAsia"/>
                <w:color w:val="auto"/>
                <w:highlight w:val="none"/>
              </w:rPr>
              <w:t>预付款支付工程总造价的30%，按工程进度分期付款，付款比例为按工程计量同期内完成工程量的80%支付，工程竣工验收后工程进度款支付至合同价的80%，剩下的20%作为工程尾款，待工程竣工结算审计完成后再予清算，并按规定预留合同价3%的质量保证金，质保期满确认无质量问题后付清。</w:t>
            </w:r>
          </w:p>
          <w:p>
            <w:pPr>
              <w:spacing w:line="500" w:lineRule="exact"/>
              <w:rPr>
                <w:color w:val="auto"/>
                <w:highlight w:val="none"/>
                <w:u w:val="single"/>
              </w:rPr>
            </w:pPr>
            <w:r>
              <w:rPr>
                <w:rFonts w:hint="eastAsia"/>
                <w:color w:val="auto"/>
                <w:highlight w:val="none"/>
              </w:rPr>
              <w:t>进度款支付方式：</w:t>
            </w:r>
            <w:r>
              <w:rPr>
                <w:rFonts w:hint="eastAsia"/>
                <w:color w:val="auto"/>
                <w:highlight w:val="none"/>
                <w:u w:val="single"/>
              </w:rPr>
              <w:t>对公账户口银行转账。</w:t>
            </w:r>
          </w:p>
        </w:tc>
      </w:tr>
    </w:tbl>
    <w:p>
      <w:pPr>
        <w:spacing w:line="360" w:lineRule="exact"/>
        <w:ind w:firstLine="211" w:firstLineChars="98"/>
        <w:jc w:val="center"/>
        <w:outlineLvl w:val="2"/>
        <w:rPr>
          <w:rFonts w:ascii="宋体" w:hAnsi="宋体" w:cs="Courier New"/>
          <w:b/>
          <w:bCs/>
          <w:color w:val="auto"/>
          <w:spacing w:val="2"/>
          <w:sz w:val="24"/>
          <w:highlight w:val="none"/>
        </w:rPr>
      </w:pPr>
      <w:r>
        <w:rPr>
          <w:rFonts w:ascii="宋体" w:hAnsi="宋体" w:cs="Courier New"/>
          <w:b/>
          <w:bCs/>
          <w:color w:val="auto"/>
          <w:spacing w:val="2"/>
          <w:highlight w:val="none"/>
        </w:rPr>
        <w:br w:type="page"/>
      </w:r>
      <w:bookmarkStart w:id="39" w:name="_Toc14103"/>
      <w:r>
        <w:rPr>
          <w:rFonts w:hint="eastAsia" w:ascii="宋体" w:hAnsi="宋体" w:cs="Courier New"/>
          <w:b/>
          <w:bCs/>
          <w:color w:val="auto"/>
          <w:spacing w:val="2"/>
          <w:sz w:val="24"/>
          <w:highlight w:val="none"/>
        </w:rPr>
        <w:t>一、总 则</w:t>
      </w:r>
      <w:bookmarkEnd w:id="39"/>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L.工程说明</w:t>
      </w:r>
    </w:p>
    <w:p>
      <w:pPr>
        <w:spacing w:line="400" w:lineRule="exact"/>
        <w:ind w:firstLine="405" w:firstLineChars="193"/>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1工程的说明见磋商须知前附表（以下称“前附表”）第1项所述。</w:t>
      </w:r>
    </w:p>
    <w:p>
      <w:pPr>
        <w:spacing w:line="400" w:lineRule="exact"/>
        <w:ind w:firstLine="405" w:firstLineChars="193"/>
        <w:rPr>
          <w:rFonts w:hint="eastAsia" w:ascii="宋体" w:hAnsi="宋体"/>
          <w:color w:val="auto"/>
          <w:highlight w:val="none"/>
          <w:lang w:val="en-US" w:eastAsia="zh-CN"/>
        </w:rPr>
      </w:pPr>
      <w:r>
        <w:rPr>
          <w:rFonts w:hint="eastAsia" w:ascii="宋体" w:hAnsi="宋体"/>
          <w:color w:val="auto"/>
          <w:highlight w:val="none"/>
        </w:rPr>
        <w:t>1.2 工程概况：</w:t>
      </w:r>
      <w:r>
        <w:rPr>
          <w:rFonts w:hint="eastAsia" w:ascii="宋体" w:hAnsi="宋体"/>
          <w:color w:val="auto"/>
          <w:highlight w:val="none"/>
          <w:lang w:val="en-US" w:eastAsia="zh-CN"/>
        </w:rPr>
        <w:t>1、本工程迁移左岸10kV努滩线沿途水淹区的配变及专变,共7台。</w:t>
      </w:r>
    </w:p>
    <w:p>
      <w:pPr>
        <w:spacing w:line="400" w:lineRule="exact"/>
        <w:ind w:firstLine="405" w:firstLineChars="193"/>
        <w:rPr>
          <w:rFonts w:hint="eastAsia" w:ascii="宋体" w:hAnsi="宋体"/>
          <w:color w:val="auto"/>
          <w:highlight w:val="none"/>
          <w:lang w:val="en-US" w:eastAsia="zh-CN"/>
        </w:rPr>
      </w:pPr>
      <w:r>
        <w:rPr>
          <w:rFonts w:hint="eastAsia" w:ascii="宋体" w:hAnsi="宋体"/>
          <w:color w:val="auto"/>
          <w:highlight w:val="none"/>
          <w:lang w:val="en-US" w:eastAsia="zh-CN"/>
        </w:rPr>
        <w:t>2、本工程架设10kV架空线JKLYJ-70共1180m,架设15m电杆2基,12m电杆25基,10m电杆93基，10m大拔稍杆2基，拉线28组。架设0.4kV二线沿墙线BLVV-35共320m，0.4kV二线架空线BLVV-35共1010m，0.4kV四线沿墙线BLVV-35共370m，0.4kV四线架空线BLVV-35共2370m，0.4kV四线架空线BLVV-70共980m，0.4kV四线架空线BLVV-240共520m。</w:t>
      </w:r>
    </w:p>
    <w:p>
      <w:pPr>
        <w:spacing w:line="400" w:lineRule="exact"/>
        <w:ind w:firstLine="405" w:firstLineChars="193"/>
        <w:rPr>
          <w:rFonts w:hint="eastAsia" w:ascii="宋体" w:hAnsi="宋体"/>
          <w:color w:val="auto"/>
          <w:highlight w:val="none"/>
          <w:lang w:val="en-US" w:eastAsia="zh-CN"/>
        </w:rPr>
      </w:pPr>
      <w:r>
        <w:rPr>
          <w:rFonts w:hint="eastAsia" w:ascii="宋体" w:hAnsi="宋体"/>
          <w:color w:val="auto"/>
          <w:highlight w:val="none"/>
          <w:lang w:val="en-US" w:eastAsia="zh-CN"/>
        </w:rPr>
        <w:t>3、安装分支跌落式熔断器7组,过电压保护器及其接地网8套,安装验电接地环7组。</w:t>
      </w:r>
    </w:p>
    <w:p>
      <w:pPr>
        <w:spacing w:line="400" w:lineRule="exact"/>
        <w:ind w:firstLine="405" w:firstLineChars="193"/>
        <w:rPr>
          <w:rFonts w:hint="eastAsia" w:ascii="宋体" w:hAnsi="宋体"/>
          <w:color w:val="auto"/>
          <w:highlight w:val="none"/>
          <w:lang w:val="en-US" w:eastAsia="zh-CN"/>
        </w:rPr>
      </w:pPr>
      <w:r>
        <w:rPr>
          <w:rFonts w:hint="eastAsia" w:ascii="宋体" w:hAnsi="宋体"/>
          <w:color w:val="auto"/>
          <w:highlight w:val="none"/>
          <w:lang w:val="en-US" w:eastAsia="zh-CN"/>
        </w:rPr>
        <w:t>4、安装台架式变压器7台,S15-30kVA共3台,S11-30kVA共2台,S11-250kVA共2台,台架杆上安装跌落式熔断器7组,隔离开关7组,综合配电箱30kVA共5套,综合配电箱250kVA共2套,设备接地网7套。</w:t>
      </w:r>
    </w:p>
    <w:p>
      <w:pPr>
        <w:spacing w:line="400" w:lineRule="exact"/>
        <w:ind w:firstLine="405" w:firstLineChars="193"/>
        <w:rPr>
          <w:color w:val="auto"/>
          <w:szCs w:val="21"/>
          <w:highlight w:val="none"/>
        </w:rPr>
      </w:pPr>
      <w:r>
        <w:rPr>
          <w:rFonts w:hint="eastAsia" w:ascii="宋体" w:hAnsi="宋体"/>
          <w:color w:val="auto"/>
          <w:highlight w:val="none"/>
          <w:lang w:val="en-US" w:eastAsia="zh-CN"/>
        </w:rPr>
        <w:t>5、二次运输道路共8.5KM</w:t>
      </w:r>
      <w:r>
        <w:rPr>
          <w:rFonts w:hint="eastAsia" w:ascii="宋体" w:hAnsi="宋体"/>
          <w:color w:val="auto"/>
          <w:highlight w:val="none"/>
        </w:rPr>
        <w:t>；详见工程量清单文件及施工图纸。</w:t>
      </w:r>
    </w:p>
    <w:p>
      <w:pPr>
        <w:spacing w:line="400" w:lineRule="exact"/>
        <w:ind w:firstLine="420" w:firstLineChars="200"/>
        <w:rPr>
          <w:rFonts w:ascii="宋体" w:hAnsi="宋体"/>
          <w:color w:val="auto"/>
          <w:highlight w:val="none"/>
        </w:rPr>
      </w:pPr>
      <w:r>
        <w:rPr>
          <w:rFonts w:hint="eastAsia" w:ascii="宋体" w:hAnsi="宋体"/>
          <w:color w:val="auto"/>
          <w:highlight w:val="none"/>
        </w:rPr>
        <w:t>要求工期为：</w:t>
      </w:r>
      <w:r>
        <w:rPr>
          <w:rFonts w:hint="eastAsia" w:ascii="宋体" w:hAnsi="宋体"/>
          <w:color w:val="auto"/>
          <w:highlight w:val="none"/>
          <w:lang w:eastAsia="zh-CN"/>
        </w:rPr>
        <w:t>60日历天</w:t>
      </w:r>
      <w:r>
        <w:rPr>
          <w:rFonts w:hint="eastAsia" w:ascii="宋体" w:hAnsi="宋体"/>
          <w:color w:val="auto"/>
          <w:highlight w:val="none"/>
        </w:rPr>
        <w:t>。</w:t>
      </w:r>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2.资金来源及落实情况</w:t>
      </w:r>
    </w:p>
    <w:p>
      <w:pPr>
        <w:spacing w:line="40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本工程的资金来源为</w:t>
      </w:r>
      <w:r>
        <w:rPr>
          <w:rFonts w:hint="eastAsia" w:ascii="宋体" w:hAnsi="宋体" w:cs="Courier New"/>
          <w:color w:val="auto"/>
          <w:spacing w:val="2"/>
          <w:highlight w:val="none"/>
          <w:u w:val="single"/>
        </w:rPr>
        <w:t>上级资金</w:t>
      </w:r>
      <w:r>
        <w:rPr>
          <w:rFonts w:hint="eastAsia" w:ascii="宋体" w:hAnsi="宋体" w:cs="Courier New"/>
          <w:color w:val="auto"/>
          <w:spacing w:val="2"/>
          <w:highlight w:val="none"/>
        </w:rPr>
        <w:t>，资金已落实，并将资金用于本工程合同项下的合格支付。</w:t>
      </w:r>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3.磋商人资质与合格条件的要求</w:t>
      </w:r>
    </w:p>
    <w:p>
      <w:pPr>
        <w:spacing w:line="400" w:lineRule="exact"/>
        <w:ind w:firstLine="405" w:firstLineChars="193"/>
        <w:rPr>
          <w:rFonts w:ascii="宋体" w:hAnsi="宋体" w:cs="Courier New"/>
          <w:color w:val="auto"/>
          <w:spacing w:val="2"/>
          <w:highlight w:val="none"/>
        </w:rPr>
      </w:pPr>
      <w:r>
        <w:rPr>
          <w:rFonts w:hint="eastAsia" w:ascii="宋体" w:hAnsi="宋体"/>
          <w:color w:val="auto"/>
          <w:highlight w:val="none"/>
        </w:rPr>
        <w:t>有资格获得本合同的磋商人，至少应满足本须知</w:t>
      </w:r>
      <w:r>
        <w:rPr>
          <w:rFonts w:hint="eastAsia" w:ascii="宋体" w:hAnsi="宋体"/>
          <w:color w:val="auto"/>
          <w:highlight w:val="none"/>
          <w:u w:val="single"/>
        </w:rPr>
        <w:t>前附表第3项</w:t>
      </w:r>
      <w:r>
        <w:rPr>
          <w:rFonts w:hint="eastAsia" w:ascii="宋体" w:hAnsi="宋体"/>
          <w:color w:val="auto"/>
          <w:highlight w:val="none"/>
        </w:rPr>
        <w:t>所列的最低资格标准。</w:t>
      </w:r>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4.磋商范围</w:t>
      </w:r>
    </w:p>
    <w:p>
      <w:pPr>
        <w:spacing w:line="40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按照本竞争性磋商条件书第四卷所提供工程量清单要求。</w:t>
      </w:r>
    </w:p>
    <w:p>
      <w:pPr>
        <w:spacing w:line="400" w:lineRule="exact"/>
        <w:rPr>
          <w:rFonts w:ascii="宋体" w:hAnsi="宋体" w:cs="Courier New"/>
          <w:b/>
          <w:bCs/>
          <w:color w:val="auto"/>
          <w:spacing w:val="2"/>
          <w:highlight w:val="none"/>
        </w:rPr>
      </w:pPr>
      <w:r>
        <w:rPr>
          <w:rFonts w:hint="eastAsia" w:ascii="宋体" w:hAnsi="宋体" w:cs="Courier New"/>
          <w:b/>
          <w:bCs/>
          <w:color w:val="auto"/>
          <w:spacing w:val="2"/>
          <w:highlight w:val="none"/>
        </w:rPr>
        <w:t>5.磋商费用</w:t>
      </w:r>
    </w:p>
    <w:p>
      <w:pPr>
        <w:pStyle w:val="9"/>
        <w:spacing w:line="400" w:lineRule="exact"/>
        <w:ind w:firstLine="417" w:firstLineChars="195"/>
        <w:rPr>
          <w:color w:val="auto"/>
          <w:highlight w:val="none"/>
        </w:rPr>
      </w:pPr>
      <w:r>
        <w:rPr>
          <w:rFonts w:hint="eastAsia"/>
          <w:color w:val="auto"/>
          <w:highlight w:val="none"/>
        </w:rPr>
        <w:t>磋商人应向采购代理机构购买竞争性磋商文件并承担其编制磋商文件与递交磋商文件所涉及的一切费用。不管磋商结果如何，采购代理机构对上述费用不负任何责任。</w:t>
      </w:r>
    </w:p>
    <w:p>
      <w:pPr>
        <w:pStyle w:val="9"/>
        <w:spacing w:line="400" w:lineRule="exact"/>
        <w:ind w:firstLine="0" w:firstLineChars="0"/>
        <w:rPr>
          <w:color w:val="auto"/>
          <w:highlight w:val="none"/>
        </w:rPr>
      </w:pPr>
      <w:r>
        <w:rPr>
          <w:rFonts w:hint="eastAsia"/>
          <w:b/>
          <w:bCs/>
          <w:color w:val="auto"/>
          <w:highlight w:val="none"/>
        </w:rPr>
        <w:t>6.现场考察</w:t>
      </w:r>
    </w:p>
    <w:p>
      <w:pPr>
        <w:pStyle w:val="12"/>
        <w:spacing w:line="400" w:lineRule="exact"/>
        <w:ind w:firstLine="420"/>
        <w:rPr>
          <w:rFonts w:hAnsi="宋体"/>
          <w:color w:val="auto"/>
          <w:highlight w:val="none"/>
        </w:rPr>
      </w:pPr>
      <w:r>
        <w:rPr>
          <w:rFonts w:hint="eastAsia" w:hAnsi="宋体"/>
          <w:color w:val="auto"/>
          <w:highlight w:val="none"/>
        </w:rPr>
        <w:t>建议磋商人按本项目的内容对工程现场和其周围环境进行考察和检查，以获取有关编制磋商文件和签署实施工程合同所需的各种资料。磋商人应承担现场考察的责任和风险。考察现场的费用由磋商人自己承担。</w:t>
      </w:r>
    </w:p>
    <w:p>
      <w:pPr>
        <w:spacing w:line="420" w:lineRule="exact"/>
        <w:jc w:val="center"/>
        <w:outlineLvl w:val="2"/>
        <w:rPr>
          <w:rFonts w:ascii="宋体" w:hAnsi="宋体" w:cs="Courier New"/>
          <w:b/>
          <w:bCs/>
          <w:color w:val="auto"/>
          <w:spacing w:val="2"/>
          <w:sz w:val="24"/>
          <w:highlight w:val="none"/>
        </w:rPr>
      </w:pPr>
      <w:bookmarkStart w:id="40" w:name="_Toc5465"/>
      <w:r>
        <w:rPr>
          <w:rFonts w:hint="eastAsia" w:ascii="宋体" w:hAnsi="宋体" w:cs="Courier New"/>
          <w:b/>
          <w:bCs/>
          <w:color w:val="auto"/>
          <w:spacing w:val="2"/>
          <w:sz w:val="24"/>
          <w:highlight w:val="none"/>
        </w:rPr>
        <w:t>二、竞争性磋商文件</w:t>
      </w:r>
      <w:bookmarkEnd w:id="40"/>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7.竞争性磋商条件书的组成</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7</w:t>
      </w:r>
      <w:r>
        <w:rPr>
          <w:rFonts w:ascii="宋体" w:hAnsi="宋体" w:cs="Courier New"/>
          <w:color w:val="auto"/>
          <w:spacing w:val="2"/>
          <w:highlight w:val="none"/>
        </w:rPr>
        <w:t>.</w:t>
      </w:r>
      <w:r>
        <w:rPr>
          <w:rFonts w:hint="eastAsia" w:ascii="宋体" w:hAnsi="宋体" w:cs="Courier New"/>
          <w:color w:val="auto"/>
          <w:spacing w:val="2"/>
          <w:highlight w:val="none"/>
        </w:rPr>
        <w:t>1本合同的竞争性磋商条件书包括下列文件及所有按本须知第9条发出的补充通知和第15条所述的补遗文件。</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竞争性磋商条件书包括下列内容：</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第一卷  磋商须知、合同条件及合同格式</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第一章 磋商须知前附表和磋商须知</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第二章 合同格式</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第二卷 技术规范</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第三章 技术规范</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第三卷  磋商文件格式</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7</w:t>
      </w:r>
      <w:r>
        <w:rPr>
          <w:rFonts w:ascii="宋体" w:hAnsi="宋体" w:cs="Courier New"/>
          <w:color w:val="auto"/>
          <w:spacing w:val="2"/>
          <w:highlight w:val="none"/>
        </w:rPr>
        <w:t>.</w:t>
      </w:r>
      <w:r>
        <w:rPr>
          <w:rFonts w:hint="eastAsia" w:ascii="宋体" w:hAnsi="宋体" w:cs="Courier New"/>
          <w:color w:val="auto"/>
          <w:spacing w:val="2"/>
          <w:highlight w:val="none"/>
        </w:rPr>
        <w:t>2磋商人应认真审阅竞争性磋商条件书中所有的磋商须知、合同条件、规定格式、技术规范或技术要求及施工图纸。如果磋商人编制的磋商文件不能符合竞争性磋商条件书的要求，责任由磋商人自负。实质上不响应竞争性磋商条件书要求的磋商文件将被采购代理机构拒绝。</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8.竞争性磋商条件书的解释</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磋商人在收到竞争性磋商条件书后，若有问题需要澄清，应于收到竞争性磋商条件书后2日内，以书面形式（包括书面文字、传真、电报等，下同）向采购代理机构提出，采购代理机构将以书面形式予以解答，答复将送给所有获得竞争性磋商条件书的磋商人。</w:t>
      </w:r>
    </w:p>
    <w:p>
      <w:pPr>
        <w:spacing w:line="420" w:lineRule="exact"/>
        <w:rPr>
          <w:rFonts w:ascii="宋体" w:hAnsi="宋体" w:cs="Courier New"/>
          <w:b/>
          <w:bCs/>
          <w:color w:val="auto"/>
          <w:spacing w:val="2"/>
          <w:highlight w:val="none"/>
        </w:rPr>
      </w:pPr>
      <w:r>
        <w:rPr>
          <w:rFonts w:hint="eastAsia" w:ascii="宋体" w:hAnsi="宋体" w:cs="Courier New"/>
          <w:b/>
          <w:bCs/>
          <w:color w:val="auto"/>
          <w:spacing w:val="2"/>
          <w:highlight w:val="none"/>
        </w:rPr>
        <w:t>9.竞争性磋商条件书的修改</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9</w:t>
      </w:r>
      <w:r>
        <w:rPr>
          <w:rFonts w:ascii="宋体" w:hAnsi="宋体" w:cs="Courier New"/>
          <w:color w:val="auto"/>
          <w:spacing w:val="2"/>
          <w:highlight w:val="none"/>
        </w:rPr>
        <w:t>.</w:t>
      </w:r>
      <w:r>
        <w:rPr>
          <w:rFonts w:hint="eastAsia" w:ascii="宋体" w:hAnsi="宋体" w:cs="Courier New"/>
          <w:color w:val="auto"/>
          <w:spacing w:val="2"/>
          <w:highlight w:val="none"/>
        </w:rPr>
        <w:t>1在磋商截止三个工作日前，采购人可能会以补充通知的方式修改竞争性磋商条件书，补充通知将以书面方式发给所有获得竞争性磋商条件书的磋商人，补充通知作为竞争性磋商条件书的组成部分，对磋商人起约束作用。</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9</w:t>
      </w:r>
      <w:r>
        <w:rPr>
          <w:rFonts w:ascii="宋体" w:hAnsi="宋体" w:cs="Courier New"/>
          <w:color w:val="auto"/>
          <w:spacing w:val="2"/>
          <w:highlight w:val="none"/>
        </w:rPr>
        <w:t>.</w:t>
      </w:r>
      <w:r>
        <w:rPr>
          <w:rFonts w:hint="eastAsia" w:ascii="宋体" w:hAnsi="宋体" w:cs="Courier New"/>
          <w:color w:val="auto"/>
          <w:spacing w:val="2"/>
          <w:highlight w:val="none"/>
        </w:rPr>
        <w:t>2 为使磋商人在编制磋商文件时把补充通知的内容考虑进去，采购代理机构必须在磋商截止三个工作日前，以书面形式通知所有获得竞争性磋商条件书的磋商人。采购代理机构可酌情延长递交磋商文件的截止日期。</w:t>
      </w:r>
    </w:p>
    <w:p>
      <w:pPr>
        <w:spacing w:line="42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9.3如果竞争性磋商条件书原定的编制磋商文件的时间没有考虑因竞争性磋商条件书修改而引起磋商文件修改必须的时间，采购代理机构可酌情延长递交磋商文件的截止日期。</w:t>
      </w:r>
    </w:p>
    <w:p>
      <w:pPr>
        <w:spacing w:line="420" w:lineRule="exact"/>
        <w:ind w:firstLine="478" w:firstLineChars="195"/>
        <w:jc w:val="center"/>
        <w:outlineLvl w:val="2"/>
        <w:rPr>
          <w:rFonts w:ascii="宋体" w:hAnsi="宋体" w:cs="Courier New"/>
          <w:b/>
          <w:bCs/>
          <w:color w:val="auto"/>
          <w:spacing w:val="2"/>
          <w:sz w:val="24"/>
          <w:highlight w:val="none"/>
        </w:rPr>
      </w:pPr>
      <w:bookmarkStart w:id="41" w:name="_Toc32000"/>
      <w:r>
        <w:rPr>
          <w:rFonts w:hint="eastAsia" w:ascii="宋体" w:hAnsi="宋体" w:cs="Courier New"/>
          <w:b/>
          <w:bCs/>
          <w:color w:val="auto"/>
          <w:spacing w:val="2"/>
          <w:sz w:val="24"/>
          <w:highlight w:val="none"/>
        </w:rPr>
        <w:t>三、磋商报价说明</w:t>
      </w:r>
      <w:bookmarkEnd w:id="41"/>
    </w:p>
    <w:p>
      <w:pPr>
        <w:spacing w:line="420" w:lineRule="exact"/>
        <w:rPr>
          <w:rFonts w:ascii="宋体" w:hAnsi="宋体" w:cs="Courier New"/>
          <w:b/>
          <w:bCs/>
          <w:color w:val="auto"/>
          <w:spacing w:val="2"/>
          <w:highlight w:val="none"/>
        </w:rPr>
      </w:pPr>
      <w:r>
        <w:rPr>
          <w:rFonts w:ascii="宋体" w:hAnsi="宋体" w:cs="Courier New"/>
          <w:b/>
          <w:bCs/>
          <w:color w:val="auto"/>
          <w:spacing w:val="2"/>
          <w:highlight w:val="none"/>
        </w:rPr>
        <w:t>10</w:t>
      </w:r>
      <w:r>
        <w:rPr>
          <w:rFonts w:hint="eastAsia" w:ascii="宋体" w:hAnsi="宋体" w:cs="Courier New"/>
          <w:b/>
          <w:bCs/>
          <w:color w:val="auto"/>
          <w:spacing w:val="2"/>
          <w:highlight w:val="none"/>
        </w:rPr>
        <w:t>.磋商价格</w:t>
      </w:r>
    </w:p>
    <w:p>
      <w:pPr>
        <w:spacing w:line="400" w:lineRule="exact"/>
        <w:ind w:firstLine="407" w:firstLineChars="194"/>
        <w:rPr>
          <w:rFonts w:ascii="宋体" w:hAnsi="宋体"/>
          <w:b/>
          <w:bCs/>
          <w:color w:val="auto"/>
          <w:highlight w:val="none"/>
        </w:rPr>
      </w:pPr>
      <w:r>
        <w:rPr>
          <w:rFonts w:hint="eastAsia" w:ascii="宋体" w:hAnsi="宋体"/>
          <w:color w:val="auto"/>
          <w:highlight w:val="none"/>
        </w:rPr>
        <w:t>10.1</w:t>
      </w:r>
      <w:r>
        <w:rPr>
          <w:rFonts w:hint="eastAsia" w:ascii="宋体" w:hAnsi="宋体"/>
          <w:b/>
          <w:color w:val="auto"/>
          <w:highlight w:val="none"/>
        </w:rPr>
        <w:t>本工程的报价方式为工程量清单报价，合同承包方式为</w:t>
      </w:r>
      <w:r>
        <w:rPr>
          <w:rFonts w:hint="eastAsia" w:ascii="宋体" w:hAnsi="宋体"/>
          <w:b/>
          <w:color w:val="auto"/>
          <w:highlight w:val="none"/>
          <w:lang w:eastAsia="zh-CN"/>
        </w:rPr>
        <w:t>综合单价</w:t>
      </w:r>
      <w:r>
        <w:rPr>
          <w:rFonts w:hint="eastAsia" w:ascii="宋体" w:hAnsi="宋体"/>
          <w:b/>
          <w:color w:val="auto"/>
          <w:highlight w:val="none"/>
        </w:rPr>
        <w:t>。</w:t>
      </w:r>
    </w:p>
    <w:p>
      <w:pPr>
        <w:spacing w:line="360" w:lineRule="auto"/>
        <w:ind w:firstLine="407" w:firstLineChars="194"/>
        <w:rPr>
          <w:rFonts w:ascii="宋体" w:hAnsi="宋体"/>
          <w:color w:val="auto"/>
          <w:szCs w:val="21"/>
          <w:highlight w:val="none"/>
        </w:rPr>
      </w:pP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2施工过程中主要建材信息价</w:t>
      </w:r>
      <w:r>
        <w:rPr>
          <w:color w:val="auto"/>
          <w:highlight w:val="none"/>
        </w:rPr>
        <w:t>除上级有关文件规定之外，本工程合同期内</w:t>
      </w:r>
      <w:r>
        <w:rPr>
          <w:rFonts w:hint="eastAsia"/>
          <w:color w:val="auto"/>
          <w:highlight w:val="none"/>
        </w:rPr>
        <w:t>单价</w:t>
      </w:r>
      <w:r>
        <w:rPr>
          <w:color w:val="auto"/>
          <w:highlight w:val="none"/>
        </w:rPr>
        <w:t>不可调价</w:t>
      </w:r>
      <w:r>
        <w:rPr>
          <w:rFonts w:hint="eastAsia"/>
          <w:color w:val="auto"/>
          <w:highlight w:val="none"/>
        </w:rPr>
        <w:t>。</w:t>
      </w:r>
    </w:p>
    <w:p>
      <w:pPr>
        <w:pStyle w:val="12"/>
        <w:spacing w:line="360" w:lineRule="auto"/>
        <w:ind w:firstLine="407" w:firstLineChars="194"/>
        <w:rPr>
          <w:rFonts w:hAnsi="宋体"/>
          <w:color w:val="auto"/>
          <w:szCs w:val="21"/>
          <w:highlight w:val="none"/>
        </w:rPr>
      </w:pPr>
      <w:r>
        <w:rPr>
          <w:rFonts w:hint="eastAsia" w:hAnsi="宋体"/>
          <w:color w:val="auto"/>
          <w:highlight w:val="none"/>
        </w:rPr>
        <w:t>10</w:t>
      </w:r>
      <w:r>
        <w:rPr>
          <w:rFonts w:hAnsi="宋体"/>
          <w:color w:val="auto"/>
          <w:highlight w:val="none"/>
        </w:rPr>
        <w:t>.</w:t>
      </w:r>
      <w:r>
        <w:rPr>
          <w:rFonts w:hint="eastAsia" w:hAnsi="宋体"/>
          <w:color w:val="auto"/>
          <w:highlight w:val="none"/>
        </w:rPr>
        <w:t>1</w:t>
      </w:r>
      <w:r>
        <w:rPr>
          <w:rFonts w:hAnsi="宋体"/>
          <w:color w:val="auto"/>
          <w:highlight w:val="none"/>
        </w:rPr>
        <w:t>.3</w:t>
      </w:r>
      <w:r>
        <w:rPr>
          <w:rFonts w:hint="eastAsia" w:hAnsi="宋体"/>
          <w:color w:val="auto"/>
          <w:szCs w:val="21"/>
          <w:highlight w:val="none"/>
        </w:rPr>
        <w:t>本合同实施期间因设计变更引起工程项目、工程量变化的，其工程量按实际发生并经监理工程师及发包人签证认可，变更合同价款按下列方法进行：</w:t>
      </w:r>
    </w:p>
    <w:p>
      <w:pPr>
        <w:pStyle w:val="12"/>
        <w:spacing w:line="360" w:lineRule="auto"/>
        <w:ind w:firstLine="420" w:firstLineChars="200"/>
        <w:rPr>
          <w:rFonts w:hAnsi="宋体"/>
          <w:color w:val="auto"/>
          <w:szCs w:val="21"/>
          <w:highlight w:val="none"/>
        </w:rPr>
      </w:pPr>
      <w:r>
        <w:rPr>
          <w:rFonts w:hint="eastAsia" w:hAnsi="宋体"/>
          <w:color w:val="auto"/>
          <w:szCs w:val="21"/>
          <w:highlight w:val="none"/>
        </w:rPr>
        <w:t>（1）合同中已有适用于变更工程的价格，按合同已有的价格变更合同价款；</w:t>
      </w:r>
    </w:p>
    <w:p>
      <w:pPr>
        <w:pStyle w:val="12"/>
        <w:spacing w:line="360" w:lineRule="auto"/>
        <w:ind w:firstLine="420" w:firstLineChars="200"/>
        <w:rPr>
          <w:rFonts w:hAnsi="宋体"/>
          <w:b/>
          <w:bCs/>
          <w:color w:val="auto"/>
          <w:szCs w:val="21"/>
          <w:highlight w:val="none"/>
        </w:rPr>
      </w:pPr>
      <w:r>
        <w:rPr>
          <w:rFonts w:hint="eastAsia" w:hAnsi="宋体"/>
          <w:color w:val="auto"/>
          <w:szCs w:val="21"/>
          <w:highlight w:val="none"/>
        </w:rPr>
        <w:t>（2）合同中只有类似于变更工程的价格，可以参照类似价格变更合同价款；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（3）合同中没有适用或类似于变更工程的价格，则有定额的套定额计算（土石方除外），执行本工程磋商报价的计算及结算依据，其中材料价格有信息价的参考20</w:t>
      </w:r>
      <w:r>
        <w:rPr>
          <w:rFonts w:hint="eastAsia" w:ascii="宋体" w:hAnsi="宋体"/>
          <w:color w:val="auto"/>
          <w:szCs w:val="21"/>
          <w:highlight w:val="none"/>
          <w:lang w:val="en-US" w:eastAsia="zh-CN"/>
        </w:rPr>
        <w:t>20</w:t>
      </w:r>
      <w:r>
        <w:rPr>
          <w:rFonts w:hint="eastAsia" w:ascii="宋体" w:hAnsi="宋体"/>
          <w:color w:val="auto"/>
          <w:szCs w:val="21"/>
          <w:highlight w:val="none"/>
        </w:rPr>
        <w:t>年第</w:t>
      </w:r>
      <w:r>
        <w:rPr>
          <w:rFonts w:hint="eastAsia" w:ascii="宋体" w:hAnsi="宋体"/>
          <w:color w:val="auto"/>
          <w:szCs w:val="21"/>
          <w:highlight w:val="none"/>
          <w:lang w:val="en-US" w:eastAsia="zh-CN"/>
        </w:rPr>
        <w:t>10</w:t>
      </w:r>
      <w:r>
        <w:rPr>
          <w:rFonts w:hint="eastAsia" w:ascii="宋体" w:hAnsi="宋体"/>
          <w:color w:val="auto"/>
          <w:szCs w:val="21"/>
          <w:highlight w:val="none"/>
        </w:rPr>
        <w:t>期《贵港市建设工程造价信息》及中国南方电网有限责任公司电力建设定额站发布的《南方电网公司20</w:t>
      </w:r>
      <w:r>
        <w:rPr>
          <w:rFonts w:hint="eastAsia" w:ascii="宋体" w:hAnsi="宋体"/>
          <w:color w:val="auto"/>
          <w:szCs w:val="21"/>
          <w:highlight w:val="none"/>
          <w:lang w:val="en-US" w:eastAsia="zh-CN"/>
        </w:rPr>
        <w:t>20</w:t>
      </w:r>
      <w:r>
        <w:rPr>
          <w:rFonts w:hint="eastAsia" w:ascii="宋体" w:hAnsi="宋体"/>
          <w:color w:val="auto"/>
          <w:szCs w:val="21"/>
          <w:highlight w:val="none"/>
        </w:rPr>
        <w:t>年第</w:t>
      </w:r>
      <w:r>
        <w:rPr>
          <w:rFonts w:hint="eastAsia" w:ascii="宋体" w:hAnsi="宋体"/>
          <w:color w:val="auto"/>
          <w:szCs w:val="21"/>
          <w:highlight w:val="none"/>
          <w:lang w:eastAsia="zh-CN"/>
        </w:rPr>
        <w:t>三</w:t>
      </w:r>
      <w:r>
        <w:rPr>
          <w:rFonts w:hint="eastAsia" w:ascii="宋体" w:hAnsi="宋体"/>
          <w:color w:val="auto"/>
          <w:szCs w:val="21"/>
          <w:highlight w:val="none"/>
        </w:rPr>
        <w:t>季度电网工程主要设备材料信息价格》及市场综合询价进行计算，无信息的按市场价；新增项目无定额可套的，由发包人、承包人及监理根据市场价格协商确定。</w:t>
      </w:r>
    </w:p>
    <w:p>
      <w:pPr>
        <w:spacing w:line="360" w:lineRule="auto"/>
        <w:ind w:firstLine="480"/>
        <w:rPr>
          <w:rFonts w:ascii="宋体" w:hAnsi="宋体"/>
          <w:color w:val="auto"/>
          <w:highlight w:val="none"/>
        </w:rPr>
      </w:pP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 xml:space="preserve">.4 </w:t>
      </w:r>
      <w:r>
        <w:rPr>
          <w:rFonts w:hint="eastAsia" w:ascii="宋体" w:hAnsi="宋体"/>
          <w:color w:val="auto"/>
          <w:highlight w:val="none"/>
        </w:rPr>
        <w:t>磋商单位应认真填写工程预算中所列的所有各细目的单价和总额价，填写工程量清单时应注意：</w:t>
      </w:r>
    </w:p>
    <w:p>
      <w:pPr>
        <w:spacing w:line="360" w:lineRule="auto"/>
        <w:ind w:firstLine="420" w:firstLineChars="200"/>
        <w:rPr>
          <w:rFonts w:ascii="宋体" w:hAnsi="宋体"/>
          <w:color w:val="auto"/>
          <w:highlight w:val="none"/>
        </w:rPr>
      </w:pPr>
      <w:r>
        <w:rPr>
          <w:rFonts w:hint="eastAsia" w:ascii="宋体" w:hAnsi="宋体"/>
          <w:color w:val="auto"/>
          <w:highlight w:val="none"/>
        </w:rPr>
        <w:t>（1）有工程数量的应报单价和总额。</w:t>
      </w:r>
    </w:p>
    <w:p>
      <w:pPr>
        <w:spacing w:line="360" w:lineRule="auto"/>
        <w:ind w:firstLine="420" w:firstLineChars="200"/>
        <w:rPr>
          <w:rFonts w:ascii="宋体" w:hAnsi="宋体"/>
          <w:color w:val="auto"/>
          <w:highlight w:val="none"/>
        </w:rPr>
      </w:pPr>
      <w:r>
        <w:rPr>
          <w:rFonts w:hint="eastAsia" w:ascii="宋体" w:hAnsi="宋体"/>
          <w:color w:val="auto"/>
          <w:highlight w:val="none"/>
        </w:rPr>
        <w:t>（2）无工程数量的项目不报价。</w:t>
      </w:r>
    </w:p>
    <w:p>
      <w:pPr>
        <w:spacing w:line="360" w:lineRule="auto"/>
        <w:ind w:left="210" w:leftChars="100" w:firstLine="210" w:firstLineChars="100"/>
        <w:rPr>
          <w:rFonts w:ascii="宋体" w:hAnsi="宋体"/>
          <w:color w:val="auto"/>
          <w:highlight w:val="none"/>
        </w:rPr>
      </w:pPr>
      <w:r>
        <w:rPr>
          <w:rFonts w:hint="eastAsia" w:ascii="宋体" w:hAnsi="宋体"/>
          <w:color w:val="auto"/>
          <w:highlight w:val="none"/>
        </w:rPr>
        <w:t>（3）磋商时，采购单位要求报价的细目，磋商人没有填入单价或总额价的细目，其费用应视为已分配在工程量清单的其它单价或总额价中，承包人必须按监理工程师的指令完成工程量清单中未填入单价或总额价的工程细目，但不能得到支付与结算。</w:t>
      </w:r>
    </w:p>
    <w:p>
      <w:pPr>
        <w:spacing w:line="360" w:lineRule="auto"/>
        <w:ind w:firstLine="435"/>
        <w:rPr>
          <w:rFonts w:ascii="宋体" w:hAnsi="宋体"/>
          <w:color w:val="auto"/>
          <w:highlight w:val="none"/>
        </w:rPr>
      </w:pP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5采购单位所提供的施工图纸，应认为已包括完成本工程的所有项目。凡施工图纸所示工程所必不可少的附属工程、相关工程、衔接与后续工程所需的费用，磋商单位应计入相关项目的报价中。</w:t>
      </w:r>
    </w:p>
    <w:p>
      <w:pPr>
        <w:spacing w:line="360" w:lineRule="auto"/>
        <w:ind w:firstLine="435"/>
        <w:rPr>
          <w:rFonts w:ascii="宋体" w:hAnsi="宋体"/>
          <w:color w:val="auto"/>
          <w:highlight w:val="none"/>
        </w:rPr>
      </w:pPr>
      <w:r>
        <w:rPr>
          <w:rFonts w:hint="eastAsia" w:ascii="宋体" w:hAnsi="宋体"/>
          <w:color w:val="auto"/>
          <w:szCs w:val="21"/>
          <w:highlight w:val="none"/>
        </w:rPr>
        <w:t>10</w:t>
      </w:r>
      <w:r>
        <w:rPr>
          <w:rFonts w:ascii="宋体" w:hAnsi="宋体"/>
          <w:color w:val="auto"/>
          <w:szCs w:val="21"/>
          <w:highlight w:val="none"/>
        </w:rPr>
        <w:t>.1.</w:t>
      </w:r>
      <w:r>
        <w:rPr>
          <w:rFonts w:hint="eastAsia" w:ascii="宋体" w:hAnsi="宋体"/>
          <w:color w:val="auto"/>
          <w:szCs w:val="21"/>
          <w:highlight w:val="none"/>
        </w:rPr>
        <w:t>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pPr>
        <w:spacing w:line="360" w:lineRule="auto"/>
        <w:ind w:firstLine="420" w:firstLineChars="200"/>
        <w:rPr>
          <w:rFonts w:ascii="宋体" w:hAnsi="宋体"/>
          <w:b/>
          <w:color w:val="auto"/>
          <w:highlight w:val="none"/>
        </w:rPr>
      </w:pPr>
      <w:r>
        <w:rPr>
          <w:rFonts w:hint="eastAsia" w:ascii="宋体" w:hAnsi="宋体"/>
          <w:color w:val="auto"/>
          <w:highlight w:val="none"/>
        </w:rPr>
        <w:t>10.1.7除非合同中另有规定，具有标价的工程量清单中所报单价和合价，以及报价汇总表中的价格应包括施工设备、劳务、管理、材料、安装、维护、保险、利润、税金、政策性文件规定及合同包含的应有风险、责任等各项应有费用，经磋商小组审核严重不平衡的报价将不予接受。</w:t>
      </w:r>
    </w:p>
    <w:p>
      <w:pPr>
        <w:rPr>
          <w:color w:val="auto"/>
          <w:szCs w:val="21"/>
          <w:highlight w:val="none"/>
        </w:rPr>
      </w:pPr>
      <w:r>
        <w:rPr>
          <w:rFonts w:hint="eastAsia" w:ascii="宋体" w:hAnsi="宋体"/>
          <w:b/>
          <w:color w:val="auto"/>
          <w:highlight w:val="none"/>
        </w:rPr>
        <w:t xml:space="preserve">   10.1.8</w:t>
      </w:r>
      <w:r>
        <w:rPr>
          <w:rFonts w:hint="eastAsia" w:ascii="宋体" w:hAnsi="宋体"/>
          <w:b/>
          <w:bCs/>
          <w:color w:val="auto"/>
          <w:szCs w:val="21"/>
          <w:highlight w:val="none"/>
        </w:rPr>
        <w:t>预算控制价：</w:t>
      </w:r>
      <w:r>
        <w:rPr>
          <w:rFonts w:hint="eastAsia" w:ascii="宋体" w:hAnsi="宋体"/>
          <w:b/>
          <w:bCs/>
          <w:color w:val="auto"/>
          <w:szCs w:val="21"/>
          <w:highlight w:val="none"/>
          <w:lang w:eastAsia="zh-CN"/>
        </w:rPr>
        <w:t>人民币贰佰陆拾壹万贰仟柒佰捌拾元整（￥2612780.00）</w:t>
      </w:r>
      <w:r>
        <w:rPr>
          <w:rFonts w:hint="eastAsia" w:ascii="宋体" w:hAnsi="宋体"/>
          <w:bCs/>
          <w:color w:val="auto"/>
          <w:szCs w:val="21"/>
          <w:highlight w:val="none"/>
        </w:rPr>
        <w:t>。</w:t>
      </w:r>
    </w:p>
    <w:p>
      <w:pPr>
        <w:spacing w:line="360" w:lineRule="auto"/>
        <w:ind w:firstLine="422" w:firstLineChars="200"/>
        <w:rPr>
          <w:rFonts w:ascii="宋体" w:hAnsi="宋体"/>
          <w:b/>
          <w:color w:val="auto"/>
          <w:highlight w:val="none"/>
        </w:rPr>
      </w:pPr>
      <w:r>
        <w:rPr>
          <w:rFonts w:hint="eastAsia" w:ascii="宋体" w:hAnsi="宋体"/>
          <w:b/>
          <w:color w:val="auto"/>
          <w:highlight w:val="none"/>
        </w:rPr>
        <w:t>磋商人须提前做好相关准备并按时递交磋商文件，报价高于采购人工程预算控制价的磋商文件将被拒绝。</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2工程计价参考依据：</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1</w:t>
      </w:r>
      <w:r>
        <w:rPr>
          <w:rFonts w:ascii="宋体" w:hAnsi="宋体"/>
          <w:color w:val="auto"/>
          <w:highlight w:val="none"/>
        </w:rPr>
        <w:t>.《建设工程工程量清单计价规范》(GB50500-2013)和《&lt;建设工程工程量清单计价规范&gt;广西壮族自治区实施细则》（修订本)。</w:t>
      </w:r>
    </w:p>
    <w:p>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2</w:t>
      </w:r>
      <w:r>
        <w:rPr>
          <w:rFonts w:ascii="宋体" w:hAnsi="宋体"/>
          <w:color w:val="auto"/>
          <w:highlight w:val="none"/>
        </w:rPr>
        <w:t>.《建设工程工程量清单计算规范》广西壮族自治区实施细则(GB50854~50862-2013)</w:t>
      </w:r>
      <w:r>
        <w:rPr>
          <w:rFonts w:hint="eastAsia" w:ascii="宋体" w:hAnsi="宋体"/>
          <w:color w:val="auto"/>
          <w:highlight w:val="none"/>
          <w:lang w:eastAsia="zh-CN"/>
        </w:rPr>
        <w:t>。</w:t>
      </w:r>
    </w:p>
    <w:p>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.定额</w:t>
      </w:r>
      <w:r>
        <w:rPr>
          <w:rFonts w:hint="eastAsia" w:ascii="宋体" w:hAnsi="宋体"/>
          <w:color w:val="auto"/>
          <w:highlight w:val="none"/>
        </w:rPr>
        <w:t>执行中电联定额【</w:t>
      </w:r>
      <w:r>
        <w:rPr>
          <w:rFonts w:ascii="宋体" w:hAnsi="宋体"/>
          <w:color w:val="auto"/>
          <w:highlight w:val="none"/>
        </w:rPr>
        <w:t>2017】104号《中电联关于&lt;20kV及以下配电网工程定额和费用基数规定&gt;（2016版）》，2016年版《20kV及以下配电网工程建设预算编制与计算标准》、《20kV及以下配电网工程建设预算定额》第三册 架空线路工程、第四册 电缆工程</w:t>
      </w:r>
      <w:r>
        <w:rPr>
          <w:rFonts w:hint="eastAsia" w:ascii="宋体" w:hAnsi="宋体"/>
          <w:color w:val="auto"/>
          <w:highlight w:val="none"/>
          <w:lang w:eastAsia="zh-CN"/>
        </w:rPr>
        <w:t>，</w:t>
      </w:r>
      <w:r>
        <w:rPr>
          <w:rFonts w:ascii="宋体" w:hAnsi="宋体"/>
          <w:color w:val="auto"/>
          <w:highlight w:val="none"/>
        </w:rPr>
        <w:t>201</w:t>
      </w:r>
      <w:r>
        <w:rPr>
          <w:rFonts w:hint="eastAsia" w:ascii="宋体" w:hAnsi="宋体"/>
          <w:color w:val="auto"/>
          <w:highlight w:val="none"/>
          <w:lang w:val="en-US" w:eastAsia="zh-CN"/>
        </w:rPr>
        <w:t>4</w:t>
      </w:r>
      <w:r>
        <w:rPr>
          <w:rFonts w:ascii="宋体" w:hAnsi="宋体"/>
          <w:color w:val="auto"/>
          <w:highlight w:val="none"/>
        </w:rPr>
        <w:t>年《广西壮族自治区</w:t>
      </w:r>
      <w:r>
        <w:rPr>
          <w:rFonts w:hint="eastAsia" w:ascii="宋体" w:hAnsi="宋体"/>
          <w:color w:val="auto"/>
          <w:highlight w:val="none"/>
          <w:lang w:eastAsia="zh-CN"/>
        </w:rPr>
        <w:t>市政</w:t>
      </w:r>
      <w:r>
        <w:rPr>
          <w:rFonts w:ascii="宋体" w:hAnsi="宋体"/>
          <w:color w:val="auto"/>
          <w:highlight w:val="none"/>
        </w:rPr>
        <w:t>工程消耗量定额》及配套的费用定额；</w:t>
      </w:r>
      <w:r>
        <w:rPr>
          <w:rFonts w:ascii="宋体" w:hAnsi="宋体"/>
          <w:color w:val="auto"/>
          <w:highlight w:val="none"/>
        </w:rPr>
        <w:tab/>
      </w:r>
    </w:p>
    <w:p>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.广西壮族自治区住房城乡建设厅《关于建筑业实施营业税改征增值税后广西壮族自治区建设工程计价依据调整的通知》（桂建标〔2016〕17号）。</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5.广西壮族自治区建设工程造价管理总站《关于调整除税价计算适用增值税税率的通知》（桂造价〔2018〕14号）。</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6.广西壮族自治区住房和城乡建设厅文件《关于调整建设工程定额人工费及有关费率的通知》（桂建标〔2018〕19号）。</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7.广西壮族自治区住房城乡建设厅文件《自治区住房城乡建设厅关于调整建设工程计价增值税税率的通知》（桂建标〔2019〕12号）。</w:t>
      </w:r>
    </w:p>
    <w:p>
      <w:pPr>
        <w:spacing w:line="360" w:lineRule="auto"/>
        <w:ind w:firstLine="422" w:firstLineChars="200"/>
        <w:rPr>
          <w:rFonts w:ascii="宋体" w:hAnsi="宋体"/>
          <w:b/>
          <w:color w:val="auto"/>
          <w:highlight w:val="none"/>
        </w:rPr>
      </w:pPr>
      <w:r>
        <w:rPr>
          <w:rFonts w:hint="eastAsia" w:ascii="宋体" w:hAnsi="宋体"/>
          <w:b/>
          <w:color w:val="auto"/>
          <w:highlight w:val="none"/>
        </w:rPr>
        <w:t>10</w:t>
      </w:r>
      <w:r>
        <w:rPr>
          <w:rFonts w:ascii="宋体" w:hAnsi="宋体"/>
          <w:b/>
          <w:color w:val="auto"/>
          <w:highlight w:val="none"/>
        </w:rPr>
        <w:t>.</w:t>
      </w:r>
      <w:r>
        <w:rPr>
          <w:rFonts w:hint="eastAsia" w:ascii="宋体" w:hAnsi="宋体"/>
          <w:b/>
          <w:color w:val="auto"/>
          <w:highlight w:val="none"/>
        </w:rPr>
        <w:t>2</w:t>
      </w:r>
      <w:r>
        <w:rPr>
          <w:rFonts w:ascii="宋体" w:hAnsi="宋体"/>
          <w:b/>
          <w:color w:val="auto"/>
          <w:highlight w:val="none"/>
        </w:rPr>
        <w:t>.</w:t>
      </w:r>
      <w:r>
        <w:rPr>
          <w:rFonts w:hint="eastAsia" w:ascii="宋体" w:hAnsi="宋体"/>
          <w:b/>
          <w:color w:val="auto"/>
          <w:highlight w:val="none"/>
        </w:rPr>
        <w:t>5</w:t>
      </w:r>
      <w:r>
        <w:rPr>
          <w:rFonts w:hint="eastAsia" w:ascii="宋体" w:hAnsi="宋体" w:cs="Courier New"/>
          <w:b/>
          <w:color w:val="auto"/>
          <w:spacing w:val="2"/>
          <w:highlight w:val="none"/>
          <w:u w:val="single"/>
        </w:rPr>
        <w:t>本工程施工期间的水电费由施工方承担</w:t>
      </w:r>
      <w:r>
        <w:rPr>
          <w:rFonts w:hint="eastAsia" w:ascii="宋体" w:hAnsi="宋体" w:cs="Courier New"/>
          <w:b/>
          <w:color w:val="auto"/>
          <w:spacing w:val="2"/>
          <w:highlight w:val="none"/>
        </w:rPr>
        <w:t>。</w:t>
      </w:r>
    </w:p>
    <w:p>
      <w:pPr>
        <w:spacing w:line="360" w:lineRule="auto"/>
        <w:ind w:firstLine="424" w:firstLineChars="202"/>
        <w:rPr>
          <w:rFonts w:ascii="宋体" w:hAnsi="宋体"/>
          <w:color w:val="auto"/>
          <w:highlight w:val="none"/>
        </w:rPr>
      </w:pPr>
      <w:r>
        <w:rPr>
          <w:rFonts w:hint="eastAsia" w:ascii="宋体" w:hAnsi="宋体"/>
          <w:color w:val="auto"/>
          <w:highlight w:val="none"/>
        </w:rPr>
        <w:t>10</w:t>
      </w:r>
      <w:r>
        <w:rPr>
          <w:rFonts w:ascii="宋体" w:hAnsi="宋体"/>
          <w:color w:val="auto"/>
          <w:highlight w:val="none"/>
        </w:rPr>
        <w:t>.</w:t>
      </w:r>
      <w:r>
        <w:rPr>
          <w:rFonts w:hint="eastAsia" w:ascii="宋体" w:hAnsi="宋体"/>
          <w:color w:val="auto"/>
          <w:highlight w:val="none"/>
        </w:rPr>
        <w:t>3磋商货币</w:t>
      </w:r>
    </w:p>
    <w:p>
      <w:pPr>
        <w:spacing w:line="360" w:lineRule="auto"/>
        <w:ind w:firstLine="480"/>
        <w:rPr>
          <w:rFonts w:ascii="宋体" w:hAnsi="宋体"/>
          <w:color w:val="auto"/>
          <w:highlight w:val="none"/>
        </w:rPr>
      </w:pPr>
      <w:r>
        <w:rPr>
          <w:rFonts w:hint="eastAsia" w:ascii="宋体" w:hAnsi="宋体"/>
          <w:color w:val="auto"/>
          <w:highlight w:val="none"/>
        </w:rPr>
        <w:t>磋商文件报价中的单价和合价全部采用人民币表示。</w:t>
      </w:r>
    </w:p>
    <w:p>
      <w:pPr>
        <w:spacing w:line="360" w:lineRule="auto"/>
        <w:ind w:firstLine="480"/>
        <w:rPr>
          <w:rFonts w:ascii="宋体" w:hAnsi="宋体"/>
          <w:color w:val="auto"/>
          <w:highlight w:val="none"/>
        </w:rPr>
      </w:pPr>
      <w:r>
        <w:rPr>
          <w:rFonts w:hint="eastAsia" w:ascii="宋体" w:hAnsi="宋体"/>
          <w:color w:val="auto"/>
          <w:highlight w:val="none"/>
        </w:rPr>
        <w:t>10.4本项目有二次报价，如二次报价总价有变动，请在二次报价函中列明变动的</w:t>
      </w:r>
      <w:r>
        <w:rPr>
          <w:rFonts w:hint="eastAsia" w:ascii="宋体" w:hAnsi="宋体" w:cs="Courier New"/>
          <w:color w:val="auto"/>
          <w:spacing w:val="2"/>
          <w:highlight w:val="none"/>
        </w:rPr>
        <w:t>项目编码、项目名称、项目特征、计</w:t>
      </w:r>
      <w:r>
        <w:rPr>
          <w:rFonts w:hint="eastAsia" w:ascii="宋体" w:hAnsi="宋体"/>
          <w:color w:val="auto"/>
          <w:highlight w:val="none"/>
        </w:rPr>
        <w:t>量单位、工程数量、单价。</w:t>
      </w:r>
      <w:r>
        <w:rPr>
          <w:rFonts w:ascii="宋体" w:hAnsi="宋体"/>
          <w:color w:val="auto"/>
          <w:highlight w:val="none"/>
        </w:rPr>
        <w:t>如有必要，可以增加附页，作为</w:t>
      </w:r>
      <w:r>
        <w:rPr>
          <w:rFonts w:hint="eastAsia" w:ascii="宋体" w:hAnsi="宋体"/>
          <w:color w:val="auto"/>
          <w:highlight w:val="none"/>
        </w:rPr>
        <w:t>应答</w:t>
      </w:r>
      <w:r>
        <w:rPr>
          <w:rFonts w:ascii="宋体" w:hAnsi="宋体"/>
          <w:color w:val="auto"/>
          <w:highlight w:val="none"/>
        </w:rPr>
        <w:t>文件的组成部分</w:t>
      </w:r>
      <w:r>
        <w:rPr>
          <w:rFonts w:hint="eastAsia" w:ascii="宋体" w:hAnsi="宋体"/>
          <w:color w:val="auto"/>
          <w:highlight w:val="none"/>
        </w:rPr>
        <w:t>并加盖单位公章或授权委托人签字，否则视为无效磋商。</w:t>
      </w:r>
    </w:p>
    <w:p>
      <w:pPr>
        <w:spacing w:line="360" w:lineRule="auto"/>
        <w:ind w:firstLine="480"/>
        <w:jc w:val="center"/>
        <w:rPr>
          <w:rFonts w:ascii="宋体" w:hAnsi="宋体" w:cs="Courier New"/>
          <w:b/>
          <w:bCs/>
          <w:color w:val="auto"/>
          <w:spacing w:val="2"/>
          <w:sz w:val="24"/>
          <w:highlight w:val="none"/>
        </w:rPr>
      </w:pPr>
      <w:r>
        <w:rPr>
          <w:rFonts w:hint="eastAsia" w:ascii="宋体" w:hAnsi="宋体" w:cs="Courier New"/>
          <w:b/>
          <w:bCs/>
          <w:color w:val="auto"/>
          <w:spacing w:val="2"/>
          <w:sz w:val="24"/>
          <w:highlight w:val="none"/>
        </w:rPr>
        <w:t>四、磋商文件的编制</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11.磋商文件的语言</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磋商文件及磋商人与采购人之间往来的与磋商有关的通知、函件和文件均应使用</w:t>
      </w:r>
      <w:r>
        <w:rPr>
          <w:rFonts w:hint="eastAsia" w:ascii="宋体" w:hAnsi="宋体" w:cs="Courier New"/>
          <w:bCs/>
          <w:color w:val="auto"/>
          <w:spacing w:val="2"/>
          <w:highlight w:val="none"/>
        </w:rPr>
        <w:t>中文</w:t>
      </w:r>
      <w:r>
        <w:rPr>
          <w:rFonts w:hint="eastAsia" w:ascii="宋体" w:hAnsi="宋体" w:cs="Courier New"/>
          <w:color w:val="auto"/>
          <w:spacing w:val="2"/>
          <w:highlight w:val="none"/>
        </w:rPr>
        <w:t>。</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12.磋商文件的组成</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12.1磋商人的磋商文件应包括下列内容：</w:t>
      </w:r>
    </w:p>
    <w:p>
      <w:pPr>
        <w:spacing w:line="360" w:lineRule="auto"/>
        <w:ind w:left="480"/>
        <w:rPr>
          <w:rFonts w:ascii="宋体" w:hAnsi="宋体"/>
          <w:color w:val="auto"/>
          <w:highlight w:val="none"/>
        </w:rPr>
      </w:pPr>
      <w:r>
        <w:rPr>
          <w:rFonts w:hint="eastAsia" w:ascii="宋体" w:hAnsi="宋体"/>
          <w:color w:val="auto"/>
          <w:highlight w:val="none"/>
        </w:rPr>
        <w:t>12.1.1资格审查部分</w:t>
      </w:r>
      <w:r>
        <w:rPr>
          <w:rFonts w:hint="eastAsia" w:ascii="宋体" w:hAnsi="宋体"/>
          <w:b/>
          <w:color w:val="auto"/>
          <w:highlight w:val="none"/>
        </w:rPr>
        <w:t>（以下必须提供，并加盖单位公章）</w:t>
      </w:r>
    </w:p>
    <w:p>
      <w:pPr>
        <w:spacing w:line="360" w:lineRule="auto"/>
        <w:ind w:firstLine="478" w:firstLineChars="228"/>
        <w:rPr>
          <w:rFonts w:ascii="宋体" w:hAnsi="宋体"/>
          <w:color w:val="auto"/>
          <w:highlight w:val="none"/>
        </w:rPr>
      </w:pPr>
      <w:r>
        <w:rPr>
          <w:rFonts w:hint="eastAsia"/>
          <w:color w:val="auto"/>
          <w:highlight w:val="none"/>
        </w:rPr>
        <w:t>（1）</w:t>
      </w:r>
      <w:r>
        <w:rPr>
          <w:rFonts w:hint="eastAsia" w:ascii="宋体" w:hAnsi="宋体"/>
          <w:color w:val="auto"/>
          <w:highlight w:val="none"/>
        </w:rPr>
        <w:t>法定代表人身份证明书及法定代表人有效的身份证正反面复印件；（法定代表人参加时必须提供)</w:t>
      </w:r>
    </w:p>
    <w:p>
      <w:pPr>
        <w:spacing w:line="360" w:lineRule="auto"/>
        <w:ind w:firstLine="478" w:firstLineChars="228"/>
        <w:rPr>
          <w:rFonts w:ascii="宋体" w:hAnsi="宋体"/>
          <w:color w:val="auto"/>
          <w:highlight w:val="none"/>
        </w:rPr>
      </w:pPr>
      <w:r>
        <w:rPr>
          <w:rFonts w:hint="eastAsia" w:ascii="宋体" w:hAnsi="宋体"/>
          <w:color w:val="auto"/>
          <w:highlight w:val="none"/>
        </w:rPr>
        <w:t>（2）授权委托书原件及委托代理人有效的身份证正反面复印件；</w:t>
      </w:r>
      <w:r>
        <w:rPr>
          <w:rFonts w:hint="eastAsia"/>
          <w:color w:val="auto"/>
          <w:highlight w:val="none"/>
        </w:rPr>
        <w:t>（委托代理时必须提供</w:t>
      </w:r>
      <w:r>
        <w:rPr>
          <w:rFonts w:hint="eastAsia" w:ascii="宋体" w:hAnsi="宋体"/>
          <w:color w:val="auto"/>
          <w:highlight w:val="none"/>
        </w:rPr>
        <w:t>)</w:t>
      </w:r>
    </w:p>
    <w:p>
      <w:pPr>
        <w:spacing w:line="360" w:lineRule="auto"/>
        <w:ind w:firstLine="478" w:firstLineChars="228"/>
        <w:rPr>
          <w:rFonts w:ascii="宋体" w:hAnsi="宋体"/>
          <w:color w:val="auto"/>
          <w:highlight w:val="none"/>
        </w:rPr>
      </w:pPr>
      <w:r>
        <w:rPr>
          <w:rFonts w:hint="eastAsia" w:ascii="宋体" w:hAnsi="宋体"/>
          <w:color w:val="auto"/>
          <w:highlight w:val="none"/>
        </w:rPr>
        <w:t>（3）磋商人基本情况表；</w:t>
      </w:r>
    </w:p>
    <w:p>
      <w:pPr>
        <w:spacing w:line="360" w:lineRule="auto"/>
        <w:ind w:firstLine="478" w:firstLineChars="228"/>
        <w:rPr>
          <w:rFonts w:ascii="宋体" w:hAnsi="宋体"/>
          <w:color w:val="auto"/>
          <w:highlight w:val="none"/>
        </w:rPr>
      </w:pPr>
      <w:r>
        <w:rPr>
          <w:rFonts w:hint="eastAsia" w:ascii="宋体" w:hAnsi="宋体"/>
          <w:color w:val="auto"/>
          <w:highlight w:val="none"/>
        </w:rPr>
        <w:t>附有效的营业执照副本、有效的资质证书副本、有效的组织机构代码证副本（如按国家规定三证合一的，不用提供）、有效的企业安全生产许可证副本复印件；</w:t>
      </w:r>
    </w:p>
    <w:p>
      <w:pPr>
        <w:spacing w:line="360" w:lineRule="auto"/>
        <w:ind w:firstLine="478" w:firstLineChars="228"/>
        <w:rPr>
          <w:rFonts w:ascii="宋体" w:hAnsi="宋体"/>
          <w:color w:val="auto"/>
          <w:highlight w:val="none"/>
        </w:rPr>
      </w:pPr>
      <w:r>
        <w:rPr>
          <w:rFonts w:hint="eastAsia" w:ascii="宋体" w:hAnsi="宋体"/>
          <w:color w:val="auto"/>
          <w:highlight w:val="none"/>
        </w:rPr>
        <w:t>（4）拟担任本工程项目负责人（注册建造师）简历表；</w:t>
      </w:r>
    </w:p>
    <w:p>
      <w:pPr>
        <w:spacing w:line="360" w:lineRule="auto"/>
        <w:ind w:firstLine="478" w:firstLineChars="228"/>
        <w:rPr>
          <w:rFonts w:ascii="宋体" w:hAnsi="宋体"/>
          <w:color w:val="auto"/>
          <w:highlight w:val="none"/>
        </w:rPr>
      </w:pPr>
      <w:r>
        <w:rPr>
          <w:rFonts w:hint="eastAsia" w:ascii="宋体" w:hAnsi="宋体"/>
          <w:color w:val="auto"/>
          <w:highlight w:val="none"/>
        </w:rPr>
        <w:t>附拟担任本工程项目负责人（注册建造师）有效的</w:t>
      </w:r>
      <w:r>
        <w:rPr>
          <w:rFonts w:hint="eastAsia" w:ascii="宋体" w:hAnsi="宋体" w:cs="宋体"/>
          <w:color w:val="auto"/>
          <w:highlight w:val="none"/>
          <w:lang w:eastAsia="zh-CN"/>
        </w:rPr>
        <w:t>机电工程</w:t>
      </w:r>
      <w:r>
        <w:rPr>
          <w:rFonts w:hint="eastAsia" w:ascii="宋体" w:hAnsi="宋体" w:cs="宋体"/>
          <w:color w:val="auto"/>
          <w:highlight w:val="none"/>
        </w:rPr>
        <w:t>专业</w:t>
      </w:r>
      <w:r>
        <w:rPr>
          <w:rFonts w:hint="eastAsia" w:ascii="宋体" w:hAnsi="宋体"/>
          <w:color w:val="auto"/>
          <w:highlight w:val="none"/>
        </w:rPr>
        <w:t>二级注册建造师资质证书及其安全生产考核合格证复印件；</w:t>
      </w:r>
    </w:p>
    <w:p>
      <w:pPr>
        <w:numPr>
          <w:ilvl w:val="0"/>
          <w:numId w:val="2"/>
        </w:numPr>
        <w:spacing w:line="360" w:lineRule="auto"/>
        <w:ind w:firstLine="478" w:firstLineChars="228"/>
        <w:rPr>
          <w:rFonts w:hint="eastAsia" w:ascii="宋体" w:hAnsi="宋体"/>
          <w:color w:val="auto"/>
          <w:highlight w:val="none"/>
        </w:rPr>
      </w:pPr>
      <w:r>
        <w:rPr>
          <w:rFonts w:hint="eastAsia" w:ascii="宋体" w:hAnsi="宋体"/>
          <w:color w:val="auto"/>
          <w:highlight w:val="none"/>
        </w:rPr>
        <w:t>农民工工资保障金的交纳与使用承诺书（按桂劳社发[2009]50号文的规定执行）执行；</w:t>
      </w:r>
    </w:p>
    <w:p>
      <w:pPr>
        <w:pStyle w:val="2"/>
        <w:numPr>
          <w:ilvl w:val="0"/>
          <w:numId w:val="0"/>
        </w:numPr>
        <w:ind w:firstLine="420" w:firstLineChars="200"/>
        <w:rPr>
          <w:rFonts w:hint="eastAsia" w:ascii="宋体" w:hAnsi="宋体" w:eastAsia="宋体" w:cs="Times New Roman"/>
          <w:b w:val="0"/>
          <w:bCs w:val="0"/>
          <w:color w:val="auto"/>
          <w:kern w:val="2"/>
          <w:sz w:val="21"/>
          <w:szCs w:val="24"/>
          <w:highlight w:val="none"/>
          <w:lang w:val="en-US" w:eastAsia="zh-CN" w:bidi="ar-SA"/>
        </w:rPr>
      </w:pPr>
      <w:r>
        <w:rPr>
          <w:rFonts w:hint="eastAsia" w:cs="Times New Roman"/>
          <w:b w:val="0"/>
          <w:bCs w:val="0"/>
          <w:color w:val="auto"/>
          <w:kern w:val="2"/>
          <w:sz w:val="21"/>
          <w:szCs w:val="24"/>
          <w:highlight w:val="none"/>
          <w:lang w:val="en-US" w:eastAsia="zh-CN" w:bidi="ar-SA"/>
        </w:rPr>
        <w:t>（6）</w:t>
      </w:r>
      <w:r>
        <w:rPr>
          <w:rFonts w:hint="eastAsia" w:ascii="宋体" w:hAnsi="宋体" w:eastAsia="宋体" w:cs="Times New Roman"/>
          <w:b w:val="0"/>
          <w:bCs w:val="0"/>
          <w:color w:val="auto"/>
          <w:kern w:val="2"/>
          <w:sz w:val="21"/>
          <w:szCs w:val="24"/>
          <w:highlight w:val="none"/>
          <w:lang w:val="en-US" w:eastAsia="zh-CN" w:bidi="ar-SA"/>
        </w:rPr>
        <w:t>贵港市政府采购项目投标人资格承诺函；</w:t>
      </w:r>
    </w:p>
    <w:p>
      <w:pPr>
        <w:ind w:firstLine="420" w:firstLineChars="200"/>
        <w:rPr>
          <w:color w:val="auto"/>
          <w:highlight w:val="none"/>
        </w:rPr>
      </w:pPr>
      <w:r>
        <w:rPr>
          <w:rFonts w:hint="eastAsia" w:ascii="宋体" w:hAnsi="宋体" w:cs="Times New Roman"/>
          <w:b w:val="0"/>
          <w:bCs w:val="0"/>
          <w:color w:val="auto"/>
          <w:kern w:val="2"/>
          <w:sz w:val="21"/>
          <w:szCs w:val="24"/>
          <w:highlight w:val="none"/>
          <w:lang w:val="en-US" w:eastAsia="zh-CN" w:bidi="ar-SA"/>
        </w:rPr>
        <w:t>（7）2017年至今企业完成类似工程情况表(如有情提供)</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）按本竞争性磋商条件书规定提交的其它资料。</w:t>
      </w:r>
    </w:p>
    <w:p>
      <w:pPr>
        <w:spacing w:line="360" w:lineRule="auto"/>
        <w:ind w:firstLine="480"/>
        <w:rPr>
          <w:rFonts w:hint="eastAsia" w:ascii="宋体" w:hAnsi="宋体"/>
          <w:color w:val="auto"/>
          <w:highlight w:val="none"/>
        </w:rPr>
      </w:pPr>
    </w:p>
    <w:p>
      <w:pPr>
        <w:spacing w:line="360" w:lineRule="auto"/>
        <w:ind w:firstLine="480"/>
        <w:rPr>
          <w:rFonts w:hint="eastAsia" w:ascii="宋体" w:hAnsi="宋体"/>
          <w:color w:val="auto"/>
          <w:highlight w:val="none"/>
        </w:rPr>
      </w:pPr>
    </w:p>
    <w:p>
      <w:pPr>
        <w:spacing w:line="360" w:lineRule="auto"/>
        <w:ind w:firstLine="480"/>
        <w:rPr>
          <w:rFonts w:ascii="宋体" w:hAnsi="宋体"/>
          <w:color w:val="auto"/>
          <w:highlight w:val="none"/>
        </w:rPr>
      </w:pPr>
      <w:r>
        <w:rPr>
          <w:rFonts w:hint="eastAsia" w:ascii="宋体" w:hAnsi="宋体"/>
          <w:color w:val="auto"/>
          <w:highlight w:val="none"/>
        </w:rPr>
        <w:t>12.1.</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商务标部分</w:t>
      </w:r>
      <w:r>
        <w:rPr>
          <w:rFonts w:hint="eastAsia" w:ascii="宋体" w:hAnsi="宋体"/>
          <w:b/>
          <w:color w:val="auto"/>
          <w:highlight w:val="none"/>
        </w:rPr>
        <w:t>（以下必须提供，并加盖单位公章）</w:t>
      </w:r>
    </w:p>
    <w:p>
      <w:pPr>
        <w:spacing w:line="360" w:lineRule="auto"/>
        <w:ind w:firstLine="420" w:firstLineChars="200"/>
        <w:rPr>
          <w:rFonts w:ascii="宋体" w:hAnsi="宋体"/>
          <w:color w:val="auto"/>
          <w:highlight w:val="none"/>
        </w:rPr>
      </w:pPr>
      <w:r>
        <w:rPr>
          <w:rFonts w:hint="eastAsia" w:ascii="宋体" w:hAnsi="宋体"/>
          <w:color w:val="auto"/>
          <w:highlight w:val="none"/>
        </w:rPr>
        <w:t>（1）磋商函；</w:t>
      </w:r>
    </w:p>
    <w:p>
      <w:pPr>
        <w:spacing w:line="360" w:lineRule="auto"/>
        <w:ind w:firstLine="478" w:firstLineChars="228"/>
        <w:rPr>
          <w:rFonts w:ascii="宋体" w:hAnsi="宋体"/>
          <w:color w:val="auto"/>
          <w:highlight w:val="none"/>
        </w:rPr>
      </w:pPr>
      <w:r>
        <w:rPr>
          <w:rFonts w:hint="eastAsia" w:ascii="宋体" w:hAnsi="宋体"/>
          <w:color w:val="auto"/>
          <w:highlight w:val="none"/>
        </w:rPr>
        <w:t>（2）磋商函附录；</w:t>
      </w:r>
    </w:p>
    <w:p>
      <w:pPr>
        <w:spacing w:line="360" w:lineRule="auto"/>
        <w:ind w:firstLine="478" w:firstLineChars="228"/>
        <w:rPr>
          <w:rFonts w:ascii="宋体" w:hAnsi="宋体"/>
          <w:color w:val="auto"/>
          <w:highlight w:val="none"/>
        </w:rPr>
      </w:pPr>
      <w:r>
        <w:rPr>
          <w:rFonts w:hint="eastAsia" w:ascii="宋体" w:hAnsi="宋体"/>
          <w:color w:val="auto"/>
          <w:highlight w:val="none"/>
        </w:rPr>
        <w:t>（3）磋商报价总表；</w:t>
      </w:r>
    </w:p>
    <w:p>
      <w:pPr>
        <w:spacing w:line="360" w:lineRule="auto"/>
        <w:ind w:firstLine="478" w:firstLineChars="228"/>
        <w:rPr>
          <w:rFonts w:hint="eastAsia" w:ascii="宋体" w:hAnsi="宋体"/>
          <w:color w:val="auto"/>
          <w:highlight w:val="none"/>
        </w:rPr>
      </w:pPr>
      <w:r>
        <w:rPr>
          <w:rFonts w:hint="eastAsia" w:ascii="宋体" w:hAnsi="宋体"/>
          <w:color w:val="auto"/>
          <w:highlight w:val="none"/>
        </w:rPr>
        <w:t>（4）工程预算书。</w:t>
      </w:r>
    </w:p>
    <w:p>
      <w:pPr>
        <w:spacing w:line="360" w:lineRule="auto"/>
        <w:ind w:firstLine="478" w:firstLineChars="228"/>
        <w:rPr>
          <w:rFonts w:ascii="宋体" w:hAnsi="宋体"/>
          <w:color w:val="auto"/>
          <w:highlight w:val="none"/>
        </w:rPr>
      </w:pPr>
      <w:r>
        <w:rPr>
          <w:rFonts w:hint="eastAsia" w:ascii="宋体" w:hAnsi="宋体"/>
          <w:color w:val="auto"/>
          <w:highlight w:val="none"/>
        </w:rPr>
        <w:t>12.1.</w:t>
      </w:r>
      <w:r>
        <w:rPr>
          <w:rFonts w:hint="eastAsia" w:ascii="宋体" w:hAnsi="宋体"/>
          <w:color w:val="auto"/>
          <w:highlight w:val="none"/>
          <w:lang w:val="en-US" w:eastAsia="zh-CN"/>
        </w:rPr>
        <w:t>3</w:t>
      </w:r>
      <w:r>
        <w:rPr>
          <w:rFonts w:hint="eastAsia" w:ascii="宋体" w:hAnsi="宋体"/>
          <w:color w:val="auto"/>
          <w:highlight w:val="none"/>
        </w:rPr>
        <w:t>技术标部分</w:t>
      </w:r>
    </w:p>
    <w:p>
      <w:pPr>
        <w:spacing w:line="360" w:lineRule="auto"/>
        <w:ind w:firstLine="478" w:firstLineChars="228"/>
        <w:rPr>
          <w:rFonts w:ascii="宋体" w:hAnsi="宋体"/>
          <w:color w:val="auto"/>
          <w:highlight w:val="none"/>
        </w:rPr>
      </w:pPr>
      <w:r>
        <w:rPr>
          <w:rFonts w:hint="eastAsia" w:ascii="宋体" w:hAnsi="宋体"/>
          <w:color w:val="auto"/>
          <w:highlight w:val="none"/>
        </w:rPr>
        <w:t>(1)施工组织设计；</w:t>
      </w:r>
      <w:r>
        <w:rPr>
          <w:rFonts w:hint="eastAsia" w:ascii="宋体" w:hAnsi="宋体"/>
          <w:b/>
          <w:color w:val="auto"/>
          <w:highlight w:val="none"/>
        </w:rPr>
        <w:t>（必须提供，并加盖单位公章）</w:t>
      </w:r>
    </w:p>
    <w:p>
      <w:pPr>
        <w:spacing w:line="360" w:lineRule="auto"/>
        <w:ind w:firstLine="478" w:firstLineChars="228"/>
        <w:rPr>
          <w:rFonts w:ascii="宋体" w:hAnsi="宋体"/>
          <w:color w:val="auto"/>
          <w:highlight w:val="none"/>
        </w:rPr>
      </w:pPr>
      <w:r>
        <w:rPr>
          <w:rFonts w:hint="eastAsia" w:ascii="宋体" w:hAnsi="宋体"/>
          <w:color w:val="auto"/>
          <w:highlight w:val="none"/>
        </w:rPr>
        <w:t>(2) 项目管理机构配备情况表；</w:t>
      </w:r>
      <w:r>
        <w:rPr>
          <w:rFonts w:hint="eastAsia" w:ascii="宋体" w:hAnsi="宋体"/>
          <w:b/>
          <w:color w:val="auto"/>
          <w:highlight w:val="none"/>
        </w:rPr>
        <w:t>（必须提供，并加盖单位公章）</w:t>
      </w:r>
    </w:p>
    <w:p>
      <w:pPr>
        <w:spacing w:line="360" w:lineRule="auto"/>
        <w:ind w:firstLine="478" w:firstLineChars="228"/>
        <w:rPr>
          <w:rFonts w:ascii="宋体" w:hAnsi="宋体"/>
          <w:color w:val="auto"/>
          <w:highlight w:val="none"/>
        </w:rPr>
      </w:pPr>
      <w:r>
        <w:rPr>
          <w:rFonts w:hint="eastAsia" w:ascii="宋体" w:hAnsi="宋体"/>
          <w:color w:val="auto"/>
          <w:highlight w:val="none"/>
        </w:rPr>
        <w:t>附安全员、施工员、预算员等其他相关人员的上岗证和安全员安全生产考核合格证复印件；</w:t>
      </w:r>
    </w:p>
    <w:p>
      <w:pPr>
        <w:spacing w:line="360" w:lineRule="auto"/>
        <w:ind w:firstLine="478" w:firstLineChars="228"/>
        <w:rPr>
          <w:rFonts w:ascii="宋体" w:hAnsi="宋体"/>
          <w:color w:val="auto"/>
          <w:highlight w:val="none"/>
        </w:rPr>
      </w:pPr>
      <w:r>
        <w:rPr>
          <w:rFonts w:hint="eastAsia" w:ascii="宋体" w:hAnsi="宋体"/>
          <w:color w:val="auto"/>
          <w:highlight w:val="none"/>
        </w:rPr>
        <w:t>（3）按本竞争性磋商文件规定提交的其它资料。</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12</w:t>
      </w:r>
      <w:r>
        <w:rPr>
          <w:rFonts w:ascii="宋体" w:hAnsi="宋体" w:cs="Courier New"/>
          <w:color w:val="auto"/>
          <w:spacing w:val="2"/>
          <w:highlight w:val="none"/>
        </w:rPr>
        <w:t>.</w:t>
      </w:r>
      <w:r>
        <w:rPr>
          <w:rFonts w:hint="eastAsia" w:ascii="宋体" w:hAnsi="宋体" w:cs="Courier New"/>
          <w:color w:val="auto"/>
          <w:spacing w:val="2"/>
          <w:highlight w:val="none"/>
        </w:rPr>
        <w:t>2磋商人必须使用竞争性磋商条件书第三卷提供的磋商文件格式和顺序另行编制磋商文件，但表格可以按同样格式扩展。</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13.磋商有效期</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13</w:t>
      </w:r>
      <w:r>
        <w:rPr>
          <w:rFonts w:ascii="宋体" w:hAnsi="宋体" w:cs="Courier New"/>
          <w:color w:val="auto"/>
          <w:spacing w:val="2"/>
          <w:highlight w:val="none"/>
        </w:rPr>
        <w:t>.</w:t>
      </w:r>
      <w:r>
        <w:rPr>
          <w:rFonts w:hint="eastAsia" w:ascii="宋体" w:hAnsi="宋体" w:cs="Courier New"/>
          <w:color w:val="auto"/>
          <w:spacing w:val="2"/>
          <w:highlight w:val="none"/>
        </w:rPr>
        <w:t>l</w:t>
      </w:r>
      <w:r>
        <w:rPr>
          <w:rFonts w:hint="eastAsia" w:ascii="宋体" w:hAnsi="宋体"/>
          <w:color w:val="auto"/>
          <w:highlight w:val="none"/>
        </w:rPr>
        <w:t>磋商文件有效期详见本须知</w:t>
      </w:r>
      <w:r>
        <w:rPr>
          <w:rFonts w:hint="eastAsia" w:ascii="宋体" w:hAnsi="宋体"/>
          <w:color w:val="auto"/>
          <w:highlight w:val="none"/>
          <w:u w:val="single"/>
        </w:rPr>
        <w:t>前附表第4项</w:t>
      </w:r>
      <w:r>
        <w:rPr>
          <w:rFonts w:hint="eastAsia" w:ascii="宋体" w:hAnsi="宋体"/>
          <w:color w:val="auto"/>
          <w:highlight w:val="none"/>
        </w:rPr>
        <w:t>规定。</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13</w:t>
      </w:r>
      <w:r>
        <w:rPr>
          <w:rFonts w:ascii="宋体" w:hAnsi="宋体" w:cs="Courier New"/>
          <w:color w:val="auto"/>
          <w:spacing w:val="2"/>
          <w:highlight w:val="none"/>
        </w:rPr>
        <w:t>.</w:t>
      </w:r>
      <w:r>
        <w:rPr>
          <w:rFonts w:hint="eastAsia" w:ascii="宋体" w:hAnsi="宋体" w:cs="Courier New"/>
          <w:color w:val="auto"/>
          <w:spacing w:val="2"/>
          <w:highlight w:val="none"/>
        </w:rPr>
        <w:t>2在原定磋商有效期满之前，如果出现特殊情况，采购人可以书面形式向磋商人提出延长磋商有效期的要求。磋商人须以书面形式予以答复，磋商人可以拒绝这种要求。同意延长磋商有效期的磋商人不允许修改其磋商文件，在延长期内本须知第14条的规定仍然适用。</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14.磋商保证金:</w:t>
      </w:r>
      <w:r>
        <w:rPr>
          <w:rFonts w:hint="eastAsia" w:ascii="宋体" w:hAnsi="宋体" w:cs="Courier New"/>
          <w:color w:val="auto"/>
          <w:spacing w:val="2"/>
          <w:highlight w:val="none"/>
        </w:rPr>
        <w:t>无</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15.勘察现场和磋商答疑</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15.1 建议磋商人自行考虑对本工程现场和其周围环境进行考察和检查，以获取有关编制磋商文件和签署实施工程合同所需的各种资料。磋商人应承担现场考察的责任和风险。考察现场的费用由磋商人自己承担。</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15.2采购人向磋商人提供的有关施工现场的资料和数据，是采购人现有的能使磋商人利用的资料。采购人对磋商人由此而作出的推论、理解和结论概不负责。</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15</w:t>
      </w:r>
      <w:r>
        <w:rPr>
          <w:rFonts w:ascii="宋体" w:hAnsi="宋体" w:cs="Courier New"/>
          <w:color w:val="auto"/>
          <w:spacing w:val="2"/>
          <w:highlight w:val="none"/>
        </w:rPr>
        <w:t>.</w:t>
      </w:r>
      <w:r>
        <w:rPr>
          <w:rFonts w:hint="eastAsia" w:ascii="宋体" w:hAnsi="宋体" w:cs="Courier New"/>
          <w:color w:val="auto"/>
          <w:spacing w:val="2"/>
          <w:highlight w:val="none"/>
        </w:rPr>
        <w:t>3磋商人提出的与磋商有关的任何问题须在收到竞争性磋商条件书和施工图纸后2天内，以书面形式送达采购代理机构，采购代理机构将通过“补遗文件”的形式予以答复。如果磋商人在规定的时间内提出的问题未得到采购代理机构的书面解答的，应立即以书面形式报告相关管理部门，否则，将视为提出的问题不再需要答复。</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15</w:t>
      </w:r>
      <w:r>
        <w:rPr>
          <w:rFonts w:ascii="宋体" w:hAnsi="宋体" w:cs="Courier New"/>
          <w:color w:val="auto"/>
          <w:spacing w:val="2"/>
          <w:highlight w:val="none"/>
        </w:rPr>
        <w:t>.</w:t>
      </w:r>
      <w:r>
        <w:rPr>
          <w:rFonts w:hint="eastAsia" w:ascii="宋体" w:hAnsi="宋体" w:cs="Courier New"/>
          <w:color w:val="auto"/>
          <w:spacing w:val="2"/>
          <w:highlight w:val="none"/>
        </w:rPr>
        <w:t>4采购补遗文件包括所有问题和答复，将迅速提供给所有获得竞争性磋商条件书的磋商人。磋商人须在前附表第6项所列的时间和地点领取采购补遗文件。</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16.磋商文件的份数和签署</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16</w:t>
      </w:r>
      <w:r>
        <w:rPr>
          <w:rFonts w:ascii="宋体" w:hAnsi="宋体" w:cs="Courier New"/>
          <w:color w:val="auto"/>
          <w:spacing w:val="2"/>
          <w:highlight w:val="none"/>
        </w:rPr>
        <w:t>.</w:t>
      </w:r>
      <w:r>
        <w:rPr>
          <w:rFonts w:hint="eastAsia" w:ascii="宋体" w:hAnsi="宋体" w:cs="Courier New"/>
          <w:color w:val="auto"/>
          <w:spacing w:val="2"/>
          <w:highlight w:val="none"/>
        </w:rPr>
        <w:t>l磋商人按本须知第12条的规定，编制一份磋商文件“</w:t>
      </w:r>
      <w:r>
        <w:rPr>
          <w:rFonts w:hint="eastAsia" w:ascii="宋体" w:hAnsi="宋体" w:cs="Courier New"/>
          <w:b/>
          <w:bCs/>
          <w:color w:val="auto"/>
          <w:spacing w:val="2"/>
          <w:highlight w:val="none"/>
        </w:rPr>
        <w:t>正本</w:t>
      </w:r>
      <w:r>
        <w:rPr>
          <w:rFonts w:hint="eastAsia" w:ascii="宋体" w:hAnsi="宋体" w:cs="Courier New"/>
          <w:color w:val="auto"/>
          <w:spacing w:val="2"/>
          <w:highlight w:val="none"/>
        </w:rPr>
        <w:t>”和前附表第7项所述份数的“</w:t>
      </w:r>
      <w:r>
        <w:rPr>
          <w:rFonts w:hint="eastAsia" w:ascii="宋体" w:hAnsi="宋体" w:cs="Courier New"/>
          <w:b/>
          <w:bCs/>
          <w:color w:val="auto"/>
          <w:spacing w:val="2"/>
          <w:highlight w:val="none"/>
        </w:rPr>
        <w:t>副本</w:t>
      </w:r>
      <w:r>
        <w:rPr>
          <w:rFonts w:hint="eastAsia" w:ascii="宋体" w:hAnsi="宋体" w:cs="Courier New"/>
          <w:color w:val="auto"/>
          <w:spacing w:val="2"/>
          <w:highlight w:val="none"/>
        </w:rPr>
        <w:t>”。磋商文件正本和副本如有不一致之处，以正本为准。</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16.2磋商文件正本与副本均应使用不能擦去的墨水打印或书写，由磋商人法定代表人或其授权委托人亲自签署并加盖单位公章或法定代表人印鉴。</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16.3全套磋商文件应无涂改和行间插字，除非这些删改是根据采购人指示进行的，或者是磋商人造成的必须修改的错误，但修改处应由磋商文件签字人签字证明并加盖印鉴，否则修改无效。</w:t>
      </w:r>
    </w:p>
    <w:p>
      <w:pPr>
        <w:spacing w:line="460" w:lineRule="exact"/>
        <w:ind w:firstLine="478" w:firstLineChars="195"/>
        <w:jc w:val="center"/>
        <w:outlineLvl w:val="2"/>
        <w:rPr>
          <w:rFonts w:ascii="宋体" w:hAnsi="宋体" w:cs="Courier New"/>
          <w:b/>
          <w:bCs/>
          <w:color w:val="auto"/>
          <w:spacing w:val="2"/>
          <w:sz w:val="24"/>
          <w:highlight w:val="none"/>
        </w:rPr>
      </w:pPr>
      <w:bookmarkStart w:id="42" w:name="_Toc29044"/>
      <w:r>
        <w:rPr>
          <w:rFonts w:hint="eastAsia" w:ascii="宋体" w:hAnsi="宋体" w:cs="Courier New"/>
          <w:b/>
          <w:bCs/>
          <w:color w:val="auto"/>
          <w:spacing w:val="2"/>
          <w:sz w:val="24"/>
          <w:highlight w:val="none"/>
        </w:rPr>
        <w:t>五、磋商文件的递交</w:t>
      </w:r>
      <w:bookmarkEnd w:id="42"/>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17.磋商文件的密封、装订与标志</w:t>
      </w:r>
    </w:p>
    <w:p>
      <w:pPr>
        <w:spacing w:line="460" w:lineRule="exact"/>
        <w:ind w:firstLine="420"/>
        <w:rPr>
          <w:rFonts w:ascii="宋体" w:hAnsi="宋体"/>
          <w:color w:val="auto"/>
          <w:spacing w:val="2"/>
          <w:highlight w:val="none"/>
        </w:rPr>
      </w:pPr>
      <w:r>
        <w:rPr>
          <w:rFonts w:hint="eastAsia" w:ascii="宋体"/>
          <w:color w:val="auto"/>
          <w:highlight w:val="none"/>
        </w:rPr>
        <w:t>17</w:t>
      </w:r>
      <w:r>
        <w:rPr>
          <w:rFonts w:ascii="宋体"/>
          <w:color w:val="auto"/>
          <w:highlight w:val="none"/>
        </w:rPr>
        <w:t xml:space="preserve">.1 </w:t>
      </w:r>
      <w:r>
        <w:rPr>
          <w:rFonts w:hint="eastAsia" w:ascii="宋体"/>
          <w:color w:val="auto"/>
          <w:highlight w:val="none"/>
        </w:rPr>
        <w:t>磋商文件装</w:t>
      </w:r>
      <w:r>
        <w:rPr>
          <w:rFonts w:hint="eastAsia" w:ascii="宋体" w:hAnsi="宋体"/>
          <w:color w:val="auto"/>
          <w:spacing w:val="2"/>
          <w:highlight w:val="none"/>
        </w:rPr>
        <w:t>订要求：</w:t>
      </w:r>
      <w:r>
        <w:rPr>
          <w:rFonts w:hint="eastAsia" w:ascii="宋体" w:hAnsi="宋体"/>
          <w:color w:val="auto"/>
          <w:szCs w:val="21"/>
          <w:highlight w:val="none"/>
        </w:rPr>
        <w:t>磋商</w:t>
      </w:r>
      <w:r>
        <w:rPr>
          <w:rFonts w:hint="eastAsia" w:ascii="宋体"/>
          <w:color w:val="auto"/>
          <w:szCs w:val="21"/>
          <w:highlight w:val="none"/>
        </w:rPr>
        <w:t>人应将磋商文件装订成册并在磋商文件目录里面显示页码，</w:t>
      </w:r>
      <w:r>
        <w:rPr>
          <w:rFonts w:hint="eastAsia" w:ascii="宋体" w:hAnsi="宋体"/>
          <w:color w:val="auto"/>
          <w:szCs w:val="21"/>
          <w:highlight w:val="none"/>
        </w:rPr>
        <w:t>应</w:t>
      </w:r>
      <w:r>
        <w:rPr>
          <w:rFonts w:hint="eastAsia" w:ascii="宋体" w:hAnsi="宋体"/>
          <w:color w:val="auto"/>
          <w:spacing w:val="2"/>
          <w:szCs w:val="21"/>
          <w:highlight w:val="none"/>
        </w:rPr>
        <w:t>将磋商文件“正本”和“副本”共同密封在一个包封袋中。包封上必须加盖磋商单位法人公章，并</w:t>
      </w:r>
      <w:r>
        <w:rPr>
          <w:rFonts w:hint="eastAsia" w:ascii="宋体" w:hAnsi="宋体"/>
          <w:color w:val="auto"/>
          <w:spacing w:val="2"/>
          <w:highlight w:val="none"/>
        </w:rPr>
        <w:t xml:space="preserve">由法定代表人或其授权委托代理人签字或盖章（印鉴）。 </w:t>
      </w:r>
    </w:p>
    <w:p>
      <w:pPr>
        <w:spacing w:line="460" w:lineRule="exact"/>
        <w:ind w:firstLine="420"/>
        <w:rPr>
          <w:rFonts w:ascii="宋体" w:hAnsi="宋体"/>
          <w:color w:val="auto"/>
          <w:spacing w:val="2"/>
          <w:highlight w:val="none"/>
        </w:rPr>
      </w:pPr>
      <w:r>
        <w:rPr>
          <w:rFonts w:hint="eastAsia" w:ascii="宋体" w:hAnsi="宋体"/>
          <w:color w:val="auto"/>
          <w:spacing w:val="2"/>
          <w:highlight w:val="none"/>
        </w:rPr>
        <w:t>17.2 磋商人应按磋商须知前附表中规定的正本和副本的数量提交磋商文件。</w:t>
      </w:r>
    </w:p>
    <w:p>
      <w:pPr>
        <w:spacing w:line="460" w:lineRule="exact"/>
        <w:ind w:firstLine="420"/>
        <w:rPr>
          <w:rFonts w:ascii="宋体" w:hAnsi="宋体"/>
          <w:color w:val="auto"/>
          <w:spacing w:val="2"/>
          <w:highlight w:val="none"/>
        </w:rPr>
      </w:pPr>
      <w:r>
        <w:rPr>
          <w:rFonts w:ascii="宋体" w:hAnsi="宋体"/>
          <w:color w:val="auto"/>
          <w:spacing w:val="2"/>
          <w:highlight w:val="none"/>
        </w:rPr>
        <w:t>1</w:t>
      </w:r>
      <w:r>
        <w:rPr>
          <w:rFonts w:hint="eastAsia" w:ascii="宋体" w:hAnsi="宋体"/>
          <w:color w:val="auto"/>
          <w:spacing w:val="2"/>
          <w:highlight w:val="none"/>
        </w:rPr>
        <w:t>7</w:t>
      </w:r>
      <w:r>
        <w:rPr>
          <w:rFonts w:ascii="宋体" w:hAnsi="宋体"/>
          <w:color w:val="auto"/>
          <w:spacing w:val="2"/>
          <w:highlight w:val="none"/>
        </w:rPr>
        <w:t>.</w:t>
      </w:r>
      <w:r>
        <w:rPr>
          <w:rFonts w:hint="eastAsia" w:ascii="宋体" w:hAnsi="宋体"/>
          <w:color w:val="auto"/>
          <w:spacing w:val="2"/>
          <w:highlight w:val="none"/>
        </w:rPr>
        <w:t>3 外层磋商文件密封袋上注明：</w:t>
      </w:r>
    </w:p>
    <w:p>
      <w:pPr>
        <w:numPr>
          <w:ilvl w:val="0"/>
          <w:numId w:val="3"/>
        </w:numPr>
        <w:spacing w:line="400" w:lineRule="exact"/>
        <w:rPr>
          <w:rFonts w:ascii="宋体"/>
          <w:color w:val="auto"/>
          <w:highlight w:val="none"/>
        </w:rPr>
      </w:pPr>
      <w:r>
        <w:rPr>
          <w:rFonts w:hint="eastAsia" w:ascii="宋体"/>
          <w:color w:val="auto"/>
          <w:highlight w:val="none"/>
        </w:rPr>
        <w:t>项目名称；</w:t>
      </w:r>
    </w:p>
    <w:p>
      <w:pPr>
        <w:numPr>
          <w:ilvl w:val="0"/>
          <w:numId w:val="3"/>
        </w:numPr>
        <w:spacing w:line="400" w:lineRule="exact"/>
        <w:rPr>
          <w:rFonts w:ascii="宋体"/>
          <w:color w:val="auto"/>
          <w:highlight w:val="none"/>
        </w:rPr>
      </w:pPr>
      <w:r>
        <w:rPr>
          <w:rFonts w:hint="eastAsia" w:ascii="宋体"/>
          <w:color w:val="auto"/>
          <w:highlight w:val="none"/>
        </w:rPr>
        <w:t>项目编号；</w:t>
      </w:r>
    </w:p>
    <w:p>
      <w:pPr>
        <w:numPr>
          <w:ilvl w:val="0"/>
          <w:numId w:val="3"/>
        </w:numPr>
        <w:spacing w:line="400" w:lineRule="exact"/>
        <w:rPr>
          <w:rFonts w:ascii="宋体"/>
          <w:color w:val="auto"/>
          <w:highlight w:val="none"/>
        </w:rPr>
      </w:pPr>
      <w:r>
        <w:rPr>
          <w:rFonts w:hint="eastAsia" w:ascii="宋体"/>
          <w:color w:val="auto"/>
          <w:highlight w:val="none"/>
        </w:rPr>
        <w:t>磋商人名称；</w:t>
      </w:r>
    </w:p>
    <w:p>
      <w:pPr>
        <w:numPr>
          <w:ilvl w:val="0"/>
          <w:numId w:val="3"/>
        </w:numPr>
        <w:spacing w:line="400" w:lineRule="exact"/>
        <w:rPr>
          <w:rFonts w:ascii="宋体"/>
          <w:color w:val="auto"/>
          <w:highlight w:val="none"/>
        </w:rPr>
      </w:pPr>
      <w:r>
        <w:rPr>
          <w:rFonts w:hint="eastAsia" w:ascii="宋体"/>
          <w:color w:val="auto"/>
          <w:highlight w:val="none"/>
        </w:rPr>
        <w:t>法定代表人或委托代理人名称；</w:t>
      </w:r>
    </w:p>
    <w:p>
      <w:pPr>
        <w:numPr>
          <w:ilvl w:val="0"/>
          <w:numId w:val="3"/>
        </w:numPr>
        <w:spacing w:line="440" w:lineRule="exact"/>
        <w:rPr>
          <w:rFonts w:ascii="宋体"/>
          <w:color w:val="auto"/>
          <w:highlight w:val="none"/>
        </w:rPr>
      </w:pPr>
      <w:r>
        <w:rPr>
          <w:rFonts w:hint="eastAsia" w:ascii="宋体"/>
          <w:color w:val="auto"/>
          <w:highlight w:val="none"/>
        </w:rPr>
        <w:t>年月日时分开标，此时间以前不得开封。</w:t>
      </w:r>
    </w:p>
    <w:p>
      <w:pPr>
        <w:spacing w:line="440" w:lineRule="exact"/>
        <w:ind w:firstLine="420"/>
        <w:rPr>
          <w:rFonts w:ascii="宋体" w:hAnsi="宋体"/>
          <w:color w:val="auto"/>
          <w:spacing w:val="2"/>
          <w:highlight w:val="none"/>
        </w:rPr>
      </w:pPr>
      <w:r>
        <w:rPr>
          <w:rFonts w:ascii="宋体"/>
          <w:color w:val="auto"/>
          <w:highlight w:val="none"/>
        </w:rPr>
        <w:t>1</w:t>
      </w:r>
      <w:r>
        <w:rPr>
          <w:rFonts w:hint="eastAsia" w:ascii="宋体"/>
          <w:color w:val="auto"/>
          <w:highlight w:val="none"/>
        </w:rPr>
        <w:t>7</w:t>
      </w:r>
      <w:r>
        <w:rPr>
          <w:rFonts w:ascii="宋体"/>
          <w:color w:val="auto"/>
          <w:highlight w:val="none"/>
        </w:rPr>
        <w:t>.</w:t>
      </w:r>
      <w:r>
        <w:rPr>
          <w:rFonts w:hint="eastAsia" w:ascii="宋体"/>
          <w:color w:val="auto"/>
          <w:highlight w:val="none"/>
        </w:rPr>
        <w:t>4  如果磋商人提交的磋商</w:t>
      </w:r>
      <w:r>
        <w:rPr>
          <w:rFonts w:hint="eastAsia" w:ascii="宋体" w:hAnsi="宋体"/>
          <w:color w:val="auto"/>
          <w:spacing w:val="2"/>
          <w:highlight w:val="none"/>
        </w:rPr>
        <w:t>文件没有按上述第17</w:t>
      </w:r>
      <w:r>
        <w:rPr>
          <w:rFonts w:ascii="宋体" w:hAnsi="宋体"/>
          <w:color w:val="auto"/>
          <w:spacing w:val="2"/>
          <w:highlight w:val="none"/>
        </w:rPr>
        <w:t>.1</w:t>
      </w:r>
      <w:r>
        <w:rPr>
          <w:rFonts w:hint="eastAsia" w:ascii="宋体" w:hAnsi="宋体"/>
          <w:color w:val="auto"/>
          <w:spacing w:val="2"/>
          <w:highlight w:val="none"/>
        </w:rPr>
        <w:t>、17</w:t>
      </w:r>
      <w:r>
        <w:rPr>
          <w:rFonts w:ascii="宋体" w:hAnsi="宋体"/>
          <w:color w:val="auto"/>
          <w:spacing w:val="2"/>
          <w:highlight w:val="none"/>
        </w:rPr>
        <w:t>.2</w:t>
      </w:r>
      <w:r>
        <w:rPr>
          <w:rFonts w:hint="eastAsia" w:ascii="宋体" w:hAnsi="宋体"/>
          <w:color w:val="auto"/>
          <w:spacing w:val="2"/>
          <w:highlight w:val="none"/>
        </w:rPr>
        <w:t>、17.3的规定装订和加写标记及密封，采购代理机构将不承担磋商文件提前开封的责任。对由此造成提前开封的磋商文件将予以拒绝，并退还给磋商人。</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17.5磋商文件递交至</w:t>
      </w:r>
      <w:r>
        <w:rPr>
          <w:rFonts w:hint="eastAsia" w:ascii="宋体" w:hAnsi="宋体" w:cs="Courier New"/>
          <w:color w:val="auto"/>
          <w:spacing w:val="2"/>
          <w:highlight w:val="none"/>
          <w:u w:val="single"/>
        </w:rPr>
        <w:t>前附表第8项</w:t>
      </w:r>
      <w:r>
        <w:rPr>
          <w:rFonts w:hint="eastAsia" w:ascii="宋体" w:hAnsi="宋体" w:cs="Courier New"/>
          <w:color w:val="auto"/>
          <w:spacing w:val="2"/>
          <w:highlight w:val="none"/>
        </w:rPr>
        <w:t>所述的单位和地址。</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18.磋商截止期</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18.1磋商人应在前附表第9项规定的日期和时间之前将磋商文件递交至贵港市公共资源交易中心，由</w:t>
      </w:r>
      <w:r>
        <w:rPr>
          <w:rFonts w:hint="eastAsia" w:ascii="宋体" w:hAnsi="宋体" w:cs="Courier New"/>
          <w:color w:val="auto"/>
          <w:spacing w:val="2"/>
          <w:highlight w:val="none"/>
          <w:u w:val="single"/>
        </w:rPr>
        <w:t>工作人员</w:t>
      </w:r>
      <w:r>
        <w:rPr>
          <w:rFonts w:hint="eastAsia" w:ascii="宋体" w:hAnsi="宋体" w:cs="Courier New"/>
          <w:color w:val="auto"/>
          <w:spacing w:val="2"/>
          <w:highlight w:val="none"/>
        </w:rPr>
        <w:t>签收</w:t>
      </w:r>
      <w:r>
        <w:rPr>
          <w:rFonts w:hint="eastAsia" w:ascii="宋体" w:hAnsi="宋体" w:cs="Courier New"/>
          <w:b/>
          <w:color w:val="auto"/>
          <w:spacing w:val="2"/>
          <w:highlight w:val="none"/>
        </w:rPr>
        <w:t>，</w:t>
      </w:r>
      <w:r>
        <w:rPr>
          <w:rFonts w:hint="eastAsia" w:ascii="宋体" w:hAnsi="宋体" w:cs="Courier New"/>
          <w:color w:val="auto"/>
          <w:spacing w:val="2"/>
          <w:highlight w:val="none"/>
        </w:rPr>
        <w:t>凡逾期送达的磋商文件将视为无效磋商文件处理。</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18</w:t>
      </w:r>
      <w:r>
        <w:rPr>
          <w:rFonts w:ascii="宋体" w:hAnsi="宋体" w:cs="Courier New"/>
          <w:color w:val="auto"/>
          <w:spacing w:val="2"/>
          <w:highlight w:val="none"/>
        </w:rPr>
        <w:t>.</w:t>
      </w:r>
      <w:r>
        <w:rPr>
          <w:rFonts w:hint="eastAsia" w:ascii="宋体" w:hAnsi="宋体" w:cs="Courier New"/>
          <w:color w:val="auto"/>
          <w:spacing w:val="2"/>
          <w:highlight w:val="none"/>
        </w:rPr>
        <w:t>2采购代理机构可以按本须知第9条规定以补充通知方式，酌情延长递交磋商文件的截止日期。在上述情况下，采购代理机构与磋商人在磋商截止期以前拥有的全部权力、责任和义务，将适用于延长后新的磋商截止期。</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18</w:t>
      </w:r>
      <w:r>
        <w:rPr>
          <w:rFonts w:ascii="宋体" w:hAnsi="宋体" w:cs="Courier New"/>
          <w:color w:val="auto"/>
          <w:spacing w:val="2"/>
          <w:highlight w:val="none"/>
        </w:rPr>
        <w:t>.</w:t>
      </w:r>
      <w:r>
        <w:rPr>
          <w:rFonts w:hint="eastAsia" w:ascii="宋体" w:hAnsi="宋体" w:cs="Courier New"/>
          <w:color w:val="auto"/>
          <w:spacing w:val="2"/>
          <w:highlight w:val="none"/>
        </w:rPr>
        <w:t>3 采购代理机构在磋商截止期以后收到的磋商文件将予以拒绝，并原封退给磋商人。</w:t>
      </w:r>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19.磋商文件的撤回</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19.1 磋商人可以在递交磋商文件以后，在规定的磋商截止时间之前，以书面形式向采购代理机构递交撤回其磋商文件的通知。</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19.2根据本须知第13.1条的规定，在磋商有效期内，磋商人不能撤回磋商文件。</w:t>
      </w:r>
    </w:p>
    <w:p>
      <w:pPr>
        <w:spacing w:line="460" w:lineRule="exact"/>
        <w:ind w:firstLine="478" w:firstLineChars="195"/>
        <w:jc w:val="center"/>
        <w:outlineLvl w:val="2"/>
        <w:rPr>
          <w:rFonts w:ascii="宋体" w:hAnsi="宋体" w:cs="Courier New"/>
          <w:b/>
          <w:bCs/>
          <w:color w:val="auto"/>
          <w:spacing w:val="2"/>
          <w:sz w:val="24"/>
          <w:highlight w:val="none"/>
        </w:rPr>
      </w:pPr>
      <w:bookmarkStart w:id="43" w:name="_Toc14796"/>
      <w:r>
        <w:rPr>
          <w:rFonts w:hint="eastAsia" w:ascii="宋体" w:hAnsi="宋体" w:cs="Courier New"/>
          <w:b/>
          <w:bCs/>
          <w:color w:val="auto"/>
          <w:spacing w:val="2"/>
          <w:sz w:val="24"/>
          <w:highlight w:val="none"/>
        </w:rPr>
        <w:t>六、开标</w:t>
      </w:r>
      <w:bookmarkEnd w:id="43"/>
    </w:p>
    <w:p>
      <w:pPr>
        <w:spacing w:line="460" w:lineRule="exact"/>
        <w:rPr>
          <w:rFonts w:ascii="宋体" w:hAnsi="宋体" w:cs="Courier New"/>
          <w:b/>
          <w:bCs/>
          <w:color w:val="auto"/>
          <w:spacing w:val="2"/>
          <w:highlight w:val="none"/>
        </w:rPr>
      </w:pPr>
      <w:r>
        <w:rPr>
          <w:rFonts w:hint="eastAsia" w:ascii="宋体" w:hAnsi="宋体" w:cs="Courier New"/>
          <w:b/>
          <w:bCs/>
          <w:color w:val="auto"/>
          <w:spacing w:val="2"/>
          <w:highlight w:val="none"/>
        </w:rPr>
        <w:t>20.开标</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20.l采购代理机构将于前附表第10项规定的时间和地点举行开标会议，参加开标的磋商人法定代表人或授权委托代理人应签名报到，以证明其出席开标会议，并携带有效证明材料[法定代表人出席须携带法定代表人身份证明书、法人代表身份证原件、</w:t>
      </w:r>
      <w:r>
        <w:rPr>
          <w:rFonts w:hint="eastAsia"/>
          <w:color w:val="auto"/>
          <w:highlight w:val="none"/>
          <w:shd w:val="clear" w:color="auto" w:fill="FFFFFF"/>
        </w:rPr>
        <w:t>有效的营业执照副本复印件</w:t>
      </w:r>
      <w:r>
        <w:rPr>
          <w:rFonts w:hint="eastAsia" w:ascii="宋体" w:hAnsi="宋体" w:cs="Courier New"/>
          <w:color w:val="auto"/>
          <w:spacing w:val="2"/>
          <w:highlight w:val="none"/>
        </w:rPr>
        <w:t>；被授权人出席须携带</w:t>
      </w:r>
      <w:r>
        <w:rPr>
          <w:rFonts w:hint="eastAsia"/>
          <w:color w:val="auto"/>
          <w:highlight w:val="none"/>
          <w:shd w:val="clear" w:color="auto" w:fill="FFFFFF"/>
        </w:rPr>
        <w:t>有效的营业执照副本复印件、</w:t>
      </w:r>
      <w:r>
        <w:rPr>
          <w:rFonts w:hint="eastAsia" w:ascii="宋体" w:hAnsi="宋体" w:cs="Courier New"/>
          <w:color w:val="auto"/>
          <w:spacing w:val="2"/>
          <w:highlight w:val="none"/>
        </w:rPr>
        <w:t>授权委托书原件、委托代理人身份证原件前往，以证实其资格。</w:t>
      </w:r>
    </w:p>
    <w:p>
      <w:pPr>
        <w:spacing w:line="46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20</w:t>
      </w:r>
      <w:r>
        <w:rPr>
          <w:rFonts w:ascii="宋体" w:hAnsi="宋体" w:cs="Courier New"/>
          <w:color w:val="auto"/>
          <w:spacing w:val="2"/>
          <w:highlight w:val="none"/>
        </w:rPr>
        <w:t>.</w:t>
      </w:r>
      <w:r>
        <w:rPr>
          <w:rFonts w:hint="eastAsia" w:ascii="宋体" w:hAnsi="宋体" w:cs="Courier New"/>
          <w:color w:val="auto"/>
          <w:spacing w:val="2"/>
          <w:highlight w:val="none"/>
        </w:rPr>
        <w:t>2开标会议由采购代理机构组织并主持，在采购人代表及监督人员监督下，对磋商文件进行检查，确认它们是否完整，文件签署是否正确，以及是否按本须知编制。但按规定提交了合格撤回通知的磋商文件不予开封。</w:t>
      </w:r>
    </w:p>
    <w:p>
      <w:pPr>
        <w:spacing w:line="460" w:lineRule="exact"/>
        <w:ind w:firstLine="419" w:firstLineChars="196"/>
        <w:rPr>
          <w:rFonts w:ascii="宋体" w:hAnsi="宋体" w:cs="Courier New"/>
          <w:bCs/>
          <w:color w:val="auto"/>
          <w:spacing w:val="2"/>
          <w:highlight w:val="none"/>
        </w:rPr>
      </w:pPr>
      <w:r>
        <w:rPr>
          <w:rFonts w:hint="eastAsia" w:ascii="宋体" w:hAnsi="宋体" w:cs="Courier New"/>
          <w:bCs/>
          <w:color w:val="auto"/>
          <w:spacing w:val="2"/>
          <w:highlight w:val="none"/>
        </w:rPr>
        <w:t>20.3开标程序</w:t>
      </w:r>
    </w:p>
    <w:p>
      <w:pPr>
        <w:spacing w:line="400" w:lineRule="exact"/>
        <w:ind w:firstLine="428" w:firstLineChars="200"/>
        <w:rPr>
          <w:rFonts w:ascii="宋体" w:hAnsi="宋体" w:cs="Courier New"/>
          <w:bCs/>
          <w:color w:val="auto"/>
          <w:spacing w:val="2"/>
          <w:highlight w:val="none"/>
        </w:rPr>
      </w:pPr>
      <w:r>
        <w:rPr>
          <w:rFonts w:ascii="宋体" w:hAnsi="宋体" w:cs="Courier New"/>
          <w:bCs/>
          <w:color w:val="auto"/>
          <w:spacing w:val="2"/>
          <w:highlight w:val="none"/>
        </w:rPr>
        <w:t>(</w:t>
      </w:r>
      <w:r>
        <w:rPr>
          <w:rFonts w:hint="eastAsia" w:ascii="宋体" w:hAnsi="宋体" w:cs="Courier New"/>
          <w:bCs/>
          <w:color w:val="auto"/>
          <w:spacing w:val="2"/>
          <w:highlight w:val="none"/>
        </w:rPr>
        <w:t>1</w:t>
      </w:r>
      <w:r>
        <w:rPr>
          <w:rFonts w:ascii="宋体" w:hAnsi="宋体" w:cs="Courier New"/>
          <w:bCs/>
          <w:color w:val="auto"/>
          <w:spacing w:val="2"/>
          <w:highlight w:val="none"/>
        </w:rPr>
        <w:t xml:space="preserve">) </w:t>
      </w:r>
      <w:r>
        <w:rPr>
          <w:rFonts w:hint="eastAsia" w:ascii="宋体" w:hAnsi="宋体" w:cs="Courier New"/>
          <w:bCs/>
          <w:color w:val="auto"/>
          <w:spacing w:val="2"/>
          <w:highlight w:val="none"/>
        </w:rPr>
        <w:t>采购代理机构</w:t>
      </w:r>
      <w:r>
        <w:rPr>
          <w:rFonts w:ascii="宋体" w:hAnsi="宋体" w:cs="Courier New"/>
          <w:bCs/>
          <w:color w:val="auto"/>
          <w:spacing w:val="2"/>
          <w:highlight w:val="none"/>
        </w:rPr>
        <w:t>主持人宣布开标会议开始；</w:t>
      </w:r>
    </w:p>
    <w:p>
      <w:pPr>
        <w:spacing w:line="400" w:lineRule="exact"/>
        <w:ind w:firstLine="417" w:firstLineChars="195"/>
        <w:rPr>
          <w:rFonts w:ascii="宋体" w:hAnsi="宋体" w:cs="Courier New"/>
          <w:bCs/>
          <w:color w:val="auto"/>
          <w:spacing w:val="2"/>
          <w:highlight w:val="none"/>
        </w:rPr>
      </w:pPr>
      <w:r>
        <w:rPr>
          <w:rFonts w:ascii="宋体" w:hAnsi="宋体" w:cs="Courier New"/>
          <w:bCs/>
          <w:color w:val="auto"/>
          <w:spacing w:val="2"/>
          <w:highlight w:val="none"/>
        </w:rPr>
        <w:t>(2) 介绍参加开标会议人员名单；</w:t>
      </w:r>
    </w:p>
    <w:p>
      <w:pPr>
        <w:spacing w:line="400" w:lineRule="exact"/>
        <w:ind w:firstLine="417" w:firstLineChars="195"/>
        <w:rPr>
          <w:rFonts w:ascii="宋体" w:hAnsi="宋体" w:cs="Courier New"/>
          <w:bCs/>
          <w:color w:val="auto"/>
          <w:spacing w:val="2"/>
          <w:highlight w:val="none"/>
        </w:rPr>
      </w:pPr>
      <w:r>
        <w:rPr>
          <w:rFonts w:ascii="宋体" w:hAnsi="宋体" w:cs="Courier New"/>
          <w:bCs/>
          <w:color w:val="auto"/>
          <w:spacing w:val="2"/>
          <w:highlight w:val="none"/>
        </w:rPr>
        <w:t>(3)</w:t>
      </w:r>
      <w:r>
        <w:rPr>
          <w:rFonts w:hint="eastAsia" w:ascii="宋体" w:hAnsi="宋体" w:cs="Courier New"/>
          <w:bCs/>
          <w:color w:val="auto"/>
          <w:spacing w:val="2"/>
          <w:highlight w:val="none"/>
        </w:rPr>
        <w:t xml:space="preserve"> 检验参加开</w:t>
      </w:r>
      <w:r>
        <w:rPr>
          <w:rFonts w:hint="eastAsia" w:ascii="宋体" w:hAnsi="宋体" w:cs="Courier New"/>
          <w:color w:val="auto"/>
          <w:spacing w:val="2"/>
          <w:highlight w:val="none"/>
        </w:rPr>
        <w:t>标会议</w:t>
      </w:r>
      <w:r>
        <w:rPr>
          <w:rFonts w:hint="eastAsia" w:ascii="宋体" w:hAnsi="宋体" w:cs="Courier New"/>
          <w:bCs/>
          <w:color w:val="auto"/>
          <w:spacing w:val="2"/>
          <w:highlight w:val="none"/>
        </w:rPr>
        <w:t>的各磋商人的材料</w:t>
      </w:r>
      <w:r>
        <w:rPr>
          <w:rFonts w:hint="eastAsia" w:ascii="宋体" w:hAnsi="宋体" w:cs="Courier New"/>
          <w:color w:val="auto"/>
          <w:spacing w:val="2"/>
          <w:highlight w:val="none"/>
        </w:rPr>
        <w:t>[</w:t>
      </w:r>
      <w:r>
        <w:rPr>
          <w:rFonts w:hint="eastAsia" w:ascii="宋体" w:hAnsi="宋体" w:cs="Courier New"/>
          <w:bCs/>
          <w:color w:val="auto"/>
          <w:spacing w:val="2"/>
          <w:highlight w:val="none"/>
        </w:rPr>
        <w:t>法定代表人出席须携带法定代表人身份证明书、法人代表身份证原件、</w:t>
      </w:r>
      <w:r>
        <w:rPr>
          <w:rFonts w:hint="eastAsia"/>
          <w:color w:val="auto"/>
          <w:highlight w:val="none"/>
          <w:shd w:val="clear" w:color="auto" w:fill="FFFFFF"/>
        </w:rPr>
        <w:t>有效的营业执照副本复印件</w:t>
      </w:r>
      <w:r>
        <w:rPr>
          <w:rFonts w:hint="eastAsia" w:ascii="宋体" w:hAnsi="宋体" w:cs="Courier New"/>
          <w:bCs/>
          <w:color w:val="auto"/>
          <w:spacing w:val="2"/>
          <w:highlight w:val="none"/>
        </w:rPr>
        <w:t>；被授权人出席须携带</w:t>
      </w:r>
      <w:r>
        <w:rPr>
          <w:rFonts w:hint="eastAsia"/>
          <w:color w:val="auto"/>
          <w:highlight w:val="none"/>
          <w:shd w:val="clear" w:color="auto" w:fill="FFFFFF"/>
        </w:rPr>
        <w:t>有效的营业执照副本复印件、</w:t>
      </w:r>
      <w:r>
        <w:rPr>
          <w:rFonts w:hint="eastAsia" w:ascii="宋体" w:hAnsi="宋体" w:cs="Courier New"/>
          <w:bCs/>
          <w:color w:val="auto"/>
          <w:spacing w:val="2"/>
          <w:highlight w:val="none"/>
        </w:rPr>
        <w:t>授权委托书原件、委托代理人身份证原件，若上述材料未提供或提供不全或无效的竞争性磋商响应文件按无效标处理，开标后退回其竞争性磋商响应文件，并当众宣布核查结果。</w:t>
      </w:r>
    </w:p>
    <w:p>
      <w:pPr>
        <w:spacing w:line="440" w:lineRule="exact"/>
        <w:ind w:firstLine="428" w:firstLineChars="200"/>
        <w:rPr>
          <w:rFonts w:ascii="宋体" w:hAnsi="宋体" w:cs="Courier New"/>
          <w:color w:val="auto"/>
          <w:spacing w:val="2"/>
          <w:highlight w:val="none"/>
        </w:rPr>
      </w:pPr>
      <w:r>
        <w:rPr>
          <w:rFonts w:hint="eastAsia" w:ascii="宋体" w:hAnsi="宋体" w:cs="Courier New"/>
          <w:bCs/>
          <w:color w:val="auto"/>
          <w:spacing w:val="2"/>
          <w:highlight w:val="none"/>
        </w:rPr>
        <w:t>(4)</w:t>
      </w:r>
      <w:r>
        <w:rPr>
          <w:rFonts w:hint="eastAsia" w:ascii="宋体" w:hAnsi="宋体" w:cs="Courier New"/>
          <w:color w:val="auto"/>
          <w:spacing w:val="2"/>
          <w:highlight w:val="none"/>
        </w:rPr>
        <w:t>采购人当众宣布核查结果，并宣读有效磋商的磋商人名称以及采购人认为需要宣布的其他内容；</w:t>
      </w:r>
    </w:p>
    <w:p>
      <w:pPr>
        <w:spacing w:line="400" w:lineRule="exact"/>
        <w:ind w:firstLine="417" w:firstLineChars="195"/>
        <w:rPr>
          <w:rFonts w:ascii="宋体" w:hAnsi="宋体" w:cs="Courier New"/>
          <w:bCs/>
          <w:color w:val="auto"/>
          <w:spacing w:val="2"/>
          <w:highlight w:val="none"/>
        </w:rPr>
      </w:pPr>
      <w:r>
        <w:rPr>
          <w:rFonts w:ascii="宋体" w:hAnsi="宋体" w:cs="Courier New"/>
          <w:bCs/>
          <w:color w:val="auto"/>
          <w:spacing w:val="2"/>
          <w:highlight w:val="none"/>
        </w:rPr>
        <w:t>(</w:t>
      </w:r>
      <w:r>
        <w:rPr>
          <w:rFonts w:hint="eastAsia" w:ascii="宋体" w:hAnsi="宋体" w:cs="Courier New"/>
          <w:bCs/>
          <w:color w:val="auto"/>
          <w:spacing w:val="2"/>
          <w:highlight w:val="none"/>
        </w:rPr>
        <w:t>5</w:t>
      </w:r>
      <w:r>
        <w:rPr>
          <w:rFonts w:ascii="宋体" w:hAnsi="宋体" w:cs="Courier New"/>
          <w:bCs/>
          <w:color w:val="auto"/>
          <w:spacing w:val="2"/>
          <w:highlight w:val="none"/>
        </w:rPr>
        <w:t>) 由各</w:t>
      </w:r>
      <w:r>
        <w:rPr>
          <w:rFonts w:hint="eastAsia" w:ascii="宋体" w:hAnsi="宋体" w:cs="Courier New"/>
          <w:bCs/>
          <w:color w:val="auto"/>
          <w:spacing w:val="2"/>
          <w:highlight w:val="none"/>
        </w:rPr>
        <w:t>磋商</w:t>
      </w:r>
      <w:r>
        <w:rPr>
          <w:rFonts w:ascii="宋体" w:hAnsi="宋体" w:cs="Courier New"/>
          <w:bCs/>
          <w:color w:val="auto"/>
          <w:spacing w:val="2"/>
          <w:highlight w:val="none"/>
        </w:rPr>
        <w:t>单位代表交叉检验各</w:t>
      </w:r>
      <w:r>
        <w:rPr>
          <w:rFonts w:hint="eastAsia" w:ascii="宋体" w:hAnsi="宋体" w:cs="Courier New"/>
          <w:bCs/>
          <w:color w:val="auto"/>
          <w:spacing w:val="2"/>
          <w:highlight w:val="none"/>
        </w:rPr>
        <w:t>磋商</w:t>
      </w:r>
      <w:r>
        <w:rPr>
          <w:rFonts w:ascii="宋体" w:hAnsi="宋体" w:cs="Courier New"/>
          <w:bCs/>
          <w:color w:val="auto"/>
          <w:spacing w:val="2"/>
          <w:highlight w:val="none"/>
        </w:rPr>
        <w:t>文件密封的完整性；</w:t>
      </w:r>
    </w:p>
    <w:p>
      <w:pPr>
        <w:spacing w:line="400" w:lineRule="exact"/>
        <w:ind w:firstLine="417" w:firstLineChars="195"/>
        <w:rPr>
          <w:rFonts w:ascii="宋体" w:hAnsi="宋体" w:cs="Courier New"/>
          <w:bCs/>
          <w:color w:val="auto"/>
          <w:spacing w:val="2"/>
          <w:highlight w:val="none"/>
        </w:rPr>
      </w:pPr>
      <w:r>
        <w:rPr>
          <w:rFonts w:ascii="宋体" w:hAnsi="宋体" w:cs="Courier New"/>
          <w:bCs/>
          <w:color w:val="auto"/>
          <w:spacing w:val="2"/>
          <w:highlight w:val="none"/>
        </w:rPr>
        <w:t>(</w:t>
      </w:r>
      <w:r>
        <w:rPr>
          <w:rFonts w:hint="eastAsia" w:ascii="宋体" w:hAnsi="宋体" w:cs="Courier New"/>
          <w:bCs/>
          <w:color w:val="auto"/>
          <w:spacing w:val="2"/>
          <w:highlight w:val="none"/>
        </w:rPr>
        <w:t>6</w:t>
      </w:r>
      <w:r>
        <w:rPr>
          <w:rFonts w:ascii="宋体" w:hAnsi="宋体" w:cs="Courier New"/>
          <w:bCs/>
          <w:color w:val="auto"/>
          <w:spacing w:val="2"/>
          <w:highlight w:val="none"/>
        </w:rPr>
        <w:t>) 宣布磋商与评标期间的有关事项；</w:t>
      </w:r>
    </w:p>
    <w:p>
      <w:pPr>
        <w:spacing w:line="400" w:lineRule="exact"/>
        <w:ind w:firstLine="417" w:firstLineChars="195"/>
        <w:rPr>
          <w:rFonts w:ascii="宋体" w:hAnsi="宋体"/>
          <w:b/>
          <w:bCs/>
          <w:color w:val="auto"/>
          <w:sz w:val="24"/>
          <w:highlight w:val="none"/>
        </w:rPr>
      </w:pPr>
      <w:r>
        <w:rPr>
          <w:rFonts w:ascii="宋体" w:hAnsi="宋体" w:cs="Courier New"/>
          <w:bCs/>
          <w:color w:val="auto"/>
          <w:spacing w:val="2"/>
          <w:highlight w:val="none"/>
        </w:rPr>
        <w:t>(</w:t>
      </w:r>
      <w:r>
        <w:rPr>
          <w:rFonts w:hint="eastAsia" w:ascii="宋体" w:hAnsi="宋体" w:cs="Courier New"/>
          <w:bCs/>
          <w:color w:val="auto"/>
          <w:spacing w:val="2"/>
          <w:highlight w:val="none"/>
        </w:rPr>
        <w:t>7</w:t>
      </w:r>
      <w:r>
        <w:rPr>
          <w:rFonts w:ascii="宋体" w:hAnsi="宋体" w:cs="Courier New"/>
          <w:bCs/>
          <w:color w:val="auto"/>
          <w:spacing w:val="2"/>
          <w:highlight w:val="none"/>
        </w:rPr>
        <w:t>)开标会议结束</w:t>
      </w:r>
      <w:r>
        <w:rPr>
          <w:rFonts w:hint="eastAsia" w:ascii="宋体" w:hAnsi="宋体" w:cs="Courier New"/>
          <w:bCs/>
          <w:color w:val="auto"/>
          <w:spacing w:val="2"/>
          <w:highlight w:val="none"/>
        </w:rPr>
        <w:t>；</w:t>
      </w:r>
    </w:p>
    <w:p>
      <w:pPr>
        <w:spacing w:line="400" w:lineRule="exact"/>
        <w:ind w:firstLine="470" w:firstLineChars="195"/>
        <w:jc w:val="center"/>
        <w:outlineLvl w:val="2"/>
        <w:rPr>
          <w:rFonts w:ascii="宋体" w:hAnsi="宋体"/>
          <w:b/>
          <w:bCs/>
          <w:color w:val="auto"/>
          <w:sz w:val="24"/>
          <w:highlight w:val="none"/>
        </w:rPr>
      </w:pPr>
      <w:bookmarkStart w:id="44" w:name="_Toc14297"/>
      <w:r>
        <w:rPr>
          <w:rFonts w:hint="eastAsia" w:ascii="宋体" w:hAnsi="宋体"/>
          <w:b/>
          <w:bCs/>
          <w:color w:val="auto"/>
          <w:sz w:val="24"/>
          <w:highlight w:val="none"/>
        </w:rPr>
        <w:t>七、评标</w:t>
      </w:r>
      <w:bookmarkEnd w:id="44"/>
    </w:p>
    <w:p>
      <w:pPr>
        <w:spacing w:line="400" w:lineRule="exact"/>
        <w:rPr>
          <w:rFonts w:ascii="宋体" w:hAnsi="宋体"/>
          <w:b/>
          <w:bCs/>
          <w:color w:val="auto"/>
          <w:highlight w:val="none"/>
        </w:rPr>
      </w:pPr>
      <w:r>
        <w:rPr>
          <w:rFonts w:hint="eastAsia" w:ascii="宋体" w:hAnsi="宋体"/>
          <w:b/>
          <w:bCs/>
          <w:color w:val="auto"/>
          <w:highlight w:val="none"/>
        </w:rPr>
        <w:t>21.评标内容的保密</w:t>
      </w:r>
    </w:p>
    <w:p>
      <w:pPr>
        <w:spacing w:line="400" w:lineRule="exact"/>
        <w:ind w:firstLine="409" w:firstLineChars="195"/>
        <w:rPr>
          <w:rFonts w:ascii="宋体" w:hAnsi="宋体"/>
          <w:color w:val="auto"/>
          <w:highlight w:val="none"/>
        </w:rPr>
      </w:pPr>
      <w:r>
        <w:rPr>
          <w:rFonts w:hint="eastAsia" w:ascii="宋体" w:hAnsi="宋体"/>
          <w:color w:val="auto"/>
          <w:highlight w:val="none"/>
        </w:rPr>
        <w:t>21</w:t>
      </w:r>
      <w:r>
        <w:rPr>
          <w:rFonts w:ascii="宋体" w:hAnsi="宋体"/>
          <w:color w:val="auto"/>
          <w:highlight w:val="none"/>
        </w:rPr>
        <w:t>.</w:t>
      </w:r>
      <w:r>
        <w:rPr>
          <w:rFonts w:hint="eastAsia" w:ascii="宋体" w:hAnsi="宋体"/>
          <w:color w:val="auto"/>
          <w:highlight w:val="none"/>
        </w:rPr>
        <w:t>1公开开标后，直到宣布授予成交人合同为止，凡属于审查、澄清、评价和比较磋商的有关资料及有关授予合同的信息，都不应向磋商人或与评标无关的其他人泄露。</w:t>
      </w:r>
    </w:p>
    <w:p>
      <w:pPr>
        <w:spacing w:line="400" w:lineRule="exact"/>
        <w:ind w:firstLine="409" w:firstLineChars="195"/>
        <w:rPr>
          <w:rFonts w:ascii="宋体" w:hAnsi="宋体"/>
          <w:color w:val="auto"/>
          <w:highlight w:val="none"/>
        </w:rPr>
      </w:pPr>
      <w:r>
        <w:rPr>
          <w:rFonts w:hint="eastAsia" w:ascii="宋体" w:hAnsi="宋体"/>
          <w:color w:val="auto"/>
          <w:highlight w:val="none"/>
        </w:rPr>
        <w:t>21.2在磋商文件的审查、澄清、评价和比较以及授予合同的过程中，磋商人对采购人和评标委员会或磋商小组成员施加影响的任何行为，都将导致被取消磋商资格。</w:t>
      </w:r>
    </w:p>
    <w:p>
      <w:pPr>
        <w:spacing w:line="400" w:lineRule="exact"/>
        <w:rPr>
          <w:rFonts w:ascii="宋体" w:hAnsi="宋体"/>
          <w:b/>
          <w:bCs/>
          <w:color w:val="auto"/>
          <w:highlight w:val="none"/>
        </w:rPr>
      </w:pPr>
      <w:r>
        <w:rPr>
          <w:rFonts w:hint="eastAsia" w:ascii="宋体" w:hAnsi="宋体"/>
          <w:b/>
          <w:bCs/>
          <w:color w:val="auto"/>
          <w:highlight w:val="none"/>
        </w:rPr>
        <w:t>22.资格审查</w:t>
      </w:r>
    </w:p>
    <w:p>
      <w:pPr>
        <w:spacing w:line="400" w:lineRule="exact"/>
        <w:ind w:firstLine="409" w:firstLineChars="195"/>
        <w:rPr>
          <w:rFonts w:ascii="宋体" w:hAnsi="宋体"/>
          <w:color w:val="auto"/>
          <w:highlight w:val="none"/>
        </w:rPr>
      </w:pPr>
      <w:r>
        <w:rPr>
          <w:rFonts w:hint="eastAsia" w:ascii="宋体" w:hAnsi="宋体"/>
          <w:color w:val="auto"/>
          <w:highlight w:val="none"/>
        </w:rPr>
        <w:t>22.1本工程采用资格后审的方式进行资格审查，参加本次磋商的单位均要通过资格后审才能获得磋商资格，资格审查的要求如下：</w:t>
      </w:r>
    </w:p>
    <w:p>
      <w:pPr>
        <w:spacing w:line="400" w:lineRule="exact"/>
        <w:ind w:firstLine="409" w:firstLineChars="195"/>
        <w:rPr>
          <w:rFonts w:ascii="宋体" w:hAnsi="宋体"/>
          <w:color w:val="auto"/>
          <w:highlight w:val="none"/>
        </w:rPr>
      </w:pPr>
      <w:r>
        <w:rPr>
          <w:rFonts w:hint="eastAsia"/>
          <w:color w:val="auto"/>
          <w:highlight w:val="none"/>
        </w:rPr>
        <w:t>按</w:t>
      </w:r>
      <w:r>
        <w:rPr>
          <w:rFonts w:hint="eastAsia" w:ascii="宋体" w:hAnsi="宋体" w:cs="Courier New"/>
          <w:color w:val="auto"/>
          <w:spacing w:val="2"/>
          <w:highlight w:val="none"/>
        </w:rPr>
        <w:t>本须知第</w:t>
      </w:r>
      <w:r>
        <w:rPr>
          <w:rFonts w:hint="eastAsia"/>
          <w:color w:val="auto"/>
          <w:highlight w:val="none"/>
        </w:rPr>
        <w:t>12.1.1</w:t>
      </w:r>
      <w:r>
        <w:rPr>
          <w:rFonts w:hint="eastAsia" w:ascii="宋体" w:hAnsi="宋体" w:cs="Courier New"/>
          <w:color w:val="auto"/>
          <w:spacing w:val="2"/>
          <w:highlight w:val="none"/>
        </w:rPr>
        <w:t>条规定</w:t>
      </w:r>
      <w:r>
        <w:rPr>
          <w:rFonts w:hint="eastAsia"/>
          <w:color w:val="auto"/>
          <w:highlight w:val="none"/>
        </w:rPr>
        <w:t>的资格审查内容</w:t>
      </w:r>
      <w:r>
        <w:rPr>
          <w:rFonts w:hint="eastAsia" w:ascii="宋体" w:hAnsi="宋体" w:cs="Courier New"/>
          <w:color w:val="auto"/>
          <w:spacing w:val="2"/>
          <w:highlight w:val="none"/>
        </w:rPr>
        <w:t>，任何一项无效或</w:t>
      </w:r>
      <w:r>
        <w:rPr>
          <w:rFonts w:hint="eastAsia" w:ascii="宋体" w:hAnsi="宋体"/>
          <w:color w:val="auto"/>
          <w:highlight w:val="none"/>
        </w:rPr>
        <w:t>缺任何一项均会被视为资格审查不合格。</w:t>
      </w:r>
    </w:p>
    <w:p>
      <w:pPr>
        <w:spacing w:line="400" w:lineRule="exact"/>
        <w:ind w:firstLine="424" w:firstLineChars="201"/>
        <w:rPr>
          <w:rFonts w:ascii="宋体" w:hAnsi="宋体"/>
          <w:color w:val="auto"/>
          <w:highlight w:val="none"/>
        </w:rPr>
      </w:pPr>
      <w:r>
        <w:rPr>
          <w:rFonts w:hint="eastAsia" w:ascii="宋体" w:hAnsi="宋体"/>
          <w:b/>
          <w:bCs/>
          <w:color w:val="auto"/>
          <w:highlight w:val="none"/>
        </w:rPr>
        <w:t>22.2</w:t>
      </w:r>
      <w:r>
        <w:rPr>
          <w:rFonts w:hint="eastAsia" w:ascii="宋体" w:hAnsi="宋体"/>
          <w:color w:val="auto"/>
          <w:highlight w:val="none"/>
        </w:rPr>
        <w:t>上述资格审查所要求提交的文件均必须于本项目截标前与磋商文件同时提交完备（加盖公章），如提供的材料不完备或未按规定加盖单位公章的，将被当作资格审查不合格而取消磋商资格。资格审查过程中，磋商小组对磋商人资格有疑问的，有权要求磋商人提供有关证件的原件核对，如磋商人无法在规定时间内（不超过30分钟）提供原件核对或原件与复印件不一致的，将判定为资格审查不合格，作无效磋商处理。</w:t>
      </w:r>
    </w:p>
    <w:p>
      <w:pPr>
        <w:spacing w:line="400" w:lineRule="exact"/>
        <w:rPr>
          <w:rFonts w:ascii="宋体" w:hAnsi="宋体"/>
          <w:b/>
          <w:bCs/>
          <w:color w:val="auto"/>
          <w:highlight w:val="none"/>
        </w:rPr>
      </w:pPr>
      <w:r>
        <w:rPr>
          <w:rFonts w:hint="eastAsia" w:ascii="宋体" w:hAnsi="宋体"/>
          <w:b/>
          <w:bCs/>
          <w:color w:val="auto"/>
          <w:highlight w:val="none"/>
        </w:rPr>
        <w:t>23.</w:t>
      </w:r>
      <w:r>
        <w:rPr>
          <w:rFonts w:ascii="宋体" w:hAnsi="宋体"/>
          <w:b/>
          <w:bCs/>
          <w:color w:val="auto"/>
          <w:highlight w:val="none"/>
        </w:rPr>
        <w:t>磋商</w:t>
      </w:r>
      <w:r>
        <w:rPr>
          <w:rFonts w:hint="eastAsia" w:ascii="宋体" w:hAnsi="宋体"/>
          <w:b/>
          <w:bCs/>
          <w:color w:val="auto"/>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23．1</w:t>
      </w:r>
      <w:r>
        <w:rPr>
          <w:rFonts w:ascii="宋体" w:hAnsi="宋体"/>
          <w:color w:val="auto"/>
          <w:szCs w:val="21"/>
          <w:highlight w:val="none"/>
        </w:rPr>
        <w:t>出席评审的有关人员</w:t>
      </w:r>
      <w:r>
        <w:rPr>
          <w:rFonts w:hint="eastAsia" w:ascii="宋体" w:hAnsi="宋体"/>
          <w:color w:val="auto"/>
          <w:szCs w:val="21"/>
          <w:highlight w:val="none"/>
        </w:rPr>
        <w:t>为磋商小</w:t>
      </w:r>
      <w:r>
        <w:rPr>
          <w:rFonts w:ascii="宋体" w:hAnsi="宋体"/>
          <w:color w:val="auto"/>
          <w:szCs w:val="21"/>
          <w:highlight w:val="none"/>
        </w:rPr>
        <w:t>组成员。</w:t>
      </w:r>
      <w:r>
        <w:rPr>
          <w:rFonts w:hint="eastAsia" w:ascii="宋体" w:hAnsi="宋体"/>
          <w:color w:val="auto"/>
          <w:szCs w:val="21"/>
          <w:highlight w:val="none"/>
        </w:rPr>
        <w:t>磋商</w:t>
      </w:r>
      <w:r>
        <w:rPr>
          <w:rFonts w:ascii="宋体" w:hAnsi="宋体"/>
          <w:color w:val="auto"/>
          <w:szCs w:val="21"/>
          <w:highlight w:val="none"/>
        </w:rPr>
        <w:t>单位的</w:t>
      </w:r>
      <w:r>
        <w:rPr>
          <w:rFonts w:hint="eastAsia" w:ascii="宋体" w:hAnsi="宋体" w:cs="Courier New"/>
          <w:bCs/>
          <w:color w:val="auto"/>
          <w:spacing w:val="2"/>
          <w:highlight w:val="none"/>
        </w:rPr>
        <w:t>磋商</w:t>
      </w:r>
      <w:r>
        <w:rPr>
          <w:rFonts w:ascii="宋体" w:hAnsi="宋体" w:cs="Courier New"/>
          <w:bCs/>
          <w:color w:val="auto"/>
          <w:spacing w:val="2"/>
          <w:highlight w:val="none"/>
        </w:rPr>
        <w:t>文件</w:t>
      </w:r>
      <w:r>
        <w:rPr>
          <w:rFonts w:hint="eastAsia" w:ascii="宋体" w:hAnsi="宋体" w:cs="Courier New"/>
          <w:bCs/>
          <w:color w:val="auto"/>
          <w:spacing w:val="2"/>
          <w:highlight w:val="none"/>
        </w:rPr>
        <w:t>及</w:t>
      </w:r>
      <w:r>
        <w:rPr>
          <w:rFonts w:ascii="宋体" w:hAnsi="宋体"/>
          <w:color w:val="auto"/>
          <w:szCs w:val="21"/>
          <w:highlight w:val="none"/>
        </w:rPr>
        <w:t>所有</w:t>
      </w:r>
      <w:r>
        <w:rPr>
          <w:rFonts w:hint="eastAsia" w:ascii="宋体" w:hAnsi="宋体"/>
          <w:color w:val="auto"/>
          <w:szCs w:val="21"/>
          <w:highlight w:val="none"/>
        </w:rPr>
        <w:t>应答文件</w:t>
      </w:r>
      <w:r>
        <w:rPr>
          <w:rFonts w:ascii="宋体" w:hAnsi="宋体"/>
          <w:color w:val="auto"/>
          <w:szCs w:val="21"/>
          <w:highlight w:val="none"/>
        </w:rPr>
        <w:t>须经磋商小组成员和监督人员同时验证后方能拆封，任何个人不得私自拆封</w:t>
      </w:r>
      <w:r>
        <w:rPr>
          <w:rFonts w:hint="eastAsia" w:ascii="宋体" w:hAnsi="宋体"/>
          <w:color w:val="auto"/>
          <w:szCs w:val="21"/>
          <w:highlight w:val="none"/>
        </w:rPr>
        <w:t>，</w:t>
      </w:r>
      <w:r>
        <w:rPr>
          <w:rFonts w:ascii="宋体" w:hAnsi="宋体" w:cs="Courier New"/>
          <w:bCs/>
          <w:color w:val="auto"/>
          <w:spacing w:val="2"/>
          <w:highlight w:val="none"/>
        </w:rPr>
        <w:t>对未按规定密封和逾期送达的</w:t>
      </w:r>
      <w:r>
        <w:rPr>
          <w:rFonts w:hint="eastAsia" w:ascii="宋体" w:hAnsi="宋体" w:cs="Courier New"/>
          <w:bCs/>
          <w:color w:val="auto"/>
          <w:spacing w:val="2"/>
          <w:highlight w:val="none"/>
        </w:rPr>
        <w:t>磋商</w:t>
      </w:r>
      <w:r>
        <w:rPr>
          <w:rFonts w:ascii="宋体" w:hAnsi="宋体" w:cs="Courier New"/>
          <w:bCs/>
          <w:color w:val="auto"/>
          <w:spacing w:val="2"/>
          <w:highlight w:val="none"/>
        </w:rPr>
        <w:t>文件不予启封</w:t>
      </w:r>
      <w:r>
        <w:rPr>
          <w:rFonts w:hint="eastAsia" w:ascii="宋体" w:hAnsi="宋体" w:cs="Courier New"/>
          <w:bCs/>
          <w:color w:val="auto"/>
          <w:spacing w:val="2"/>
          <w:highlight w:val="none"/>
        </w:rPr>
        <w:t>。</w:t>
      </w:r>
      <w:r>
        <w:rPr>
          <w:rFonts w:ascii="宋体" w:hAnsi="宋体" w:cs="Courier New"/>
          <w:bCs/>
          <w:color w:val="auto"/>
          <w:spacing w:val="2"/>
          <w:highlight w:val="none"/>
        </w:rPr>
        <w:t>采购代理机构和</w:t>
      </w:r>
      <w:r>
        <w:rPr>
          <w:rFonts w:hint="eastAsia" w:ascii="宋体" w:hAnsi="宋体" w:cs="Courier New"/>
          <w:bCs/>
          <w:color w:val="auto"/>
          <w:spacing w:val="2"/>
          <w:highlight w:val="none"/>
        </w:rPr>
        <w:t>采购人代表</w:t>
      </w:r>
      <w:r>
        <w:rPr>
          <w:rFonts w:ascii="宋体" w:hAnsi="宋体" w:cs="Courier New"/>
          <w:bCs/>
          <w:color w:val="auto"/>
          <w:spacing w:val="2"/>
          <w:highlight w:val="none"/>
        </w:rPr>
        <w:t>一同检验已开封的</w:t>
      </w:r>
      <w:r>
        <w:rPr>
          <w:rFonts w:hint="eastAsia" w:ascii="宋体" w:hAnsi="宋体" w:cs="Courier New"/>
          <w:bCs/>
          <w:color w:val="auto"/>
          <w:spacing w:val="2"/>
          <w:highlight w:val="none"/>
        </w:rPr>
        <w:t>磋商</w:t>
      </w:r>
      <w:r>
        <w:rPr>
          <w:rFonts w:ascii="宋体" w:hAnsi="宋体" w:cs="Courier New"/>
          <w:bCs/>
          <w:color w:val="auto"/>
          <w:spacing w:val="2"/>
          <w:highlight w:val="none"/>
        </w:rPr>
        <w:t>文件是否符合竞争性磋商条件书有关规定，是否完整，文件签署是否正确</w:t>
      </w:r>
      <w:r>
        <w:rPr>
          <w:rFonts w:hint="eastAsia" w:ascii="宋体" w:hAnsi="宋体" w:cs="Courier New"/>
          <w:bCs/>
          <w:color w:val="auto"/>
          <w:spacing w:val="2"/>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23．2</w:t>
      </w:r>
      <w:r>
        <w:rPr>
          <w:rFonts w:ascii="宋体" w:hAnsi="宋体"/>
          <w:color w:val="auto"/>
          <w:szCs w:val="21"/>
          <w:highlight w:val="none"/>
        </w:rPr>
        <w:t>磋商时，</w:t>
      </w:r>
      <w:r>
        <w:rPr>
          <w:rFonts w:hint="eastAsia" w:ascii="宋体" w:hAnsi="宋体"/>
          <w:color w:val="auto"/>
          <w:szCs w:val="21"/>
          <w:highlight w:val="none"/>
        </w:rPr>
        <w:t>磋商</w:t>
      </w:r>
      <w:r>
        <w:rPr>
          <w:rFonts w:ascii="宋体" w:hAnsi="宋体"/>
          <w:color w:val="auto"/>
          <w:szCs w:val="21"/>
          <w:highlight w:val="none"/>
        </w:rPr>
        <w:t>单位的法人代表或委托代理人必须参加磋商。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23．3</w:t>
      </w:r>
      <w:r>
        <w:rPr>
          <w:rFonts w:ascii="宋体" w:hAnsi="宋体"/>
          <w:color w:val="auto"/>
          <w:szCs w:val="21"/>
          <w:highlight w:val="none"/>
        </w:rPr>
        <w:t>磋商小组通过</w:t>
      </w:r>
      <w:r>
        <w:rPr>
          <w:rFonts w:hint="eastAsia" w:ascii="宋体" w:hAnsi="宋体"/>
          <w:color w:val="auto"/>
          <w:szCs w:val="21"/>
          <w:highlight w:val="none"/>
        </w:rPr>
        <w:t>对各磋商单位的磋商文件进行</w:t>
      </w:r>
      <w:r>
        <w:rPr>
          <w:rFonts w:ascii="宋体" w:hAnsi="宋体"/>
          <w:color w:val="auto"/>
          <w:szCs w:val="21"/>
          <w:highlight w:val="none"/>
        </w:rPr>
        <w:t>审查后，列出与各</w:t>
      </w:r>
      <w:r>
        <w:rPr>
          <w:rFonts w:hint="eastAsia" w:ascii="宋体" w:hAnsi="宋体"/>
          <w:color w:val="auto"/>
          <w:szCs w:val="21"/>
          <w:highlight w:val="none"/>
        </w:rPr>
        <w:t>磋商</w:t>
      </w:r>
      <w:r>
        <w:rPr>
          <w:rFonts w:ascii="宋体" w:hAnsi="宋体"/>
          <w:color w:val="auto"/>
          <w:szCs w:val="21"/>
          <w:highlight w:val="none"/>
        </w:rPr>
        <w:t>单位磋商的提纲，依次与</w:t>
      </w:r>
      <w:r>
        <w:rPr>
          <w:rFonts w:hint="eastAsia" w:ascii="宋体" w:hAnsi="宋体"/>
          <w:color w:val="auto"/>
          <w:szCs w:val="21"/>
          <w:highlight w:val="none"/>
        </w:rPr>
        <w:t>磋商</w:t>
      </w:r>
      <w:r>
        <w:rPr>
          <w:rFonts w:ascii="宋体" w:hAnsi="宋体"/>
          <w:color w:val="auto"/>
          <w:szCs w:val="21"/>
          <w:highlight w:val="none"/>
        </w:rPr>
        <w:t>单位进行磋商。磋商小组对</w:t>
      </w:r>
      <w:r>
        <w:rPr>
          <w:rFonts w:hint="eastAsia" w:ascii="宋体" w:hAnsi="宋体"/>
          <w:color w:val="auto"/>
          <w:szCs w:val="21"/>
          <w:highlight w:val="none"/>
        </w:rPr>
        <w:t>磋商</w:t>
      </w:r>
      <w:r>
        <w:rPr>
          <w:rFonts w:ascii="宋体" w:hAnsi="宋体"/>
          <w:color w:val="auto"/>
          <w:szCs w:val="21"/>
          <w:highlight w:val="none"/>
        </w:rPr>
        <w:t>单位提出疑问，</w:t>
      </w:r>
      <w:r>
        <w:rPr>
          <w:rFonts w:hint="eastAsia" w:ascii="宋体" w:hAnsi="宋体"/>
          <w:color w:val="auto"/>
          <w:szCs w:val="21"/>
          <w:highlight w:val="none"/>
        </w:rPr>
        <w:t>磋商文件有实质性变动的，磋商小组应当以书面形式通知所有参加磋商的磋商</w:t>
      </w:r>
      <w:r>
        <w:rPr>
          <w:rFonts w:ascii="宋体" w:hAnsi="宋体"/>
          <w:color w:val="auto"/>
          <w:szCs w:val="21"/>
          <w:highlight w:val="none"/>
        </w:rPr>
        <w:t>单位</w:t>
      </w:r>
      <w:r>
        <w:rPr>
          <w:rFonts w:hint="eastAsia" w:ascii="宋体" w:hAnsi="宋体"/>
          <w:color w:val="auto"/>
          <w:szCs w:val="21"/>
          <w:highlight w:val="none"/>
        </w:rPr>
        <w:t>。磋商</w:t>
      </w:r>
      <w:r>
        <w:rPr>
          <w:rFonts w:ascii="宋体" w:hAnsi="宋体"/>
          <w:color w:val="auto"/>
          <w:szCs w:val="21"/>
          <w:highlight w:val="none"/>
        </w:rPr>
        <w:t>单位做出答复，并提交书面应答文件（将作为合同的组成部分）。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23．4</w:t>
      </w:r>
      <w:r>
        <w:rPr>
          <w:rFonts w:ascii="宋体" w:hAnsi="宋体"/>
          <w:color w:val="auto"/>
          <w:szCs w:val="21"/>
          <w:highlight w:val="none"/>
        </w:rPr>
        <w:t>磋商小组将根据</w:t>
      </w:r>
      <w:r>
        <w:rPr>
          <w:rFonts w:hint="eastAsia" w:ascii="宋体" w:hAnsi="宋体"/>
          <w:color w:val="auto"/>
          <w:szCs w:val="21"/>
          <w:highlight w:val="none"/>
        </w:rPr>
        <w:t>磋商</w:t>
      </w:r>
      <w:r>
        <w:rPr>
          <w:rFonts w:ascii="宋体" w:hAnsi="宋体"/>
          <w:color w:val="auto"/>
          <w:szCs w:val="21"/>
          <w:highlight w:val="none"/>
        </w:rPr>
        <w:t>单位的</w:t>
      </w:r>
      <w:r>
        <w:rPr>
          <w:rFonts w:hint="eastAsia" w:ascii="宋体" w:hAnsi="宋体"/>
          <w:color w:val="auto"/>
          <w:szCs w:val="21"/>
          <w:highlight w:val="none"/>
        </w:rPr>
        <w:t>磋商</w:t>
      </w:r>
      <w:r>
        <w:rPr>
          <w:rFonts w:ascii="宋体" w:hAnsi="宋体"/>
          <w:color w:val="auto"/>
          <w:szCs w:val="21"/>
          <w:highlight w:val="none"/>
        </w:rPr>
        <w:t>文件、</w:t>
      </w:r>
      <w:r>
        <w:rPr>
          <w:rFonts w:hint="eastAsia" w:ascii="宋体" w:hAnsi="宋体"/>
          <w:color w:val="auto"/>
          <w:szCs w:val="21"/>
          <w:highlight w:val="none"/>
        </w:rPr>
        <w:t>磋商应答文件</w:t>
      </w:r>
      <w:r>
        <w:rPr>
          <w:rFonts w:ascii="宋体" w:hAnsi="宋体"/>
          <w:color w:val="auto"/>
          <w:szCs w:val="21"/>
          <w:highlight w:val="none"/>
        </w:rPr>
        <w:t>尚未明晰或需要进一步了解的细节向</w:t>
      </w:r>
      <w:r>
        <w:rPr>
          <w:rFonts w:hint="eastAsia" w:ascii="宋体" w:hAnsi="宋体"/>
          <w:color w:val="auto"/>
          <w:szCs w:val="21"/>
          <w:highlight w:val="none"/>
        </w:rPr>
        <w:t>磋商</w:t>
      </w:r>
      <w:r>
        <w:rPr>
          <w:rFonts w:ascii="宋体" w:hAnsi="宋体"/>
          <w:color w:val="auto"/>
          <w:szCs w:val="21"/>
          <w:highlight w:val="none"/>
        </w:rPr>
        <w:t>单位询问，必要时要求</w:t>
      </w:r>
      <w:r>
        <w:rPr>
          <w:rFonts w:hint="eastAsia" w:ascii="宋体" w:hAnsi="宋体"/>
          <w:color w:val="auto"/>
          <w:szCs w:val="21"/>
          <w:highlight w:val="none"/>
        </w:rPr>
        <w:t>磋商</w:t>
      </w:r>
      <w:r>
        <w:rPr>
          <w:rFonts w:ascii="宋体" w:hAnsi="宋体"/>
          <w:color w:val="auto"/>
          <w:szCs w:val="21"/>
          <w:highlight w:val="none"/>
        </w:rPr>
        <w:t>单位对其</w:t>
      </w:r>
      <w:r>
        <w:rPr>
          <w:rFonts w:hint="eastAsia" w:ascii="宋体" w:hAnsi="宋体"/>
          <w:color w:val="auto"/>
          <w:szCs w:val="21"/>
          <w:highlight w:val="none"/>
        </w:rPr>
        <w:t>磋商</w:t>
      </w:r>
      <w:r>
        <w:rPr>
          <w:rFonts w:ascii="宋体" w:hAnsi="宋体"/>
          <w:color w:val="auto"/>
          <w:szCs w:val="21"/>
          <w:highlight w:val="none"/>
        </w:rPr>
        <w:t>内容、补充方案或修改意见做出书面澄清。</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23．5</w:t>
      </w:r>
      <w:r>
        <w:rPr>
          <w:rFonts w:ascii="宋体" w:hAnsi="宋体"/>
          <w:color w:val="auto"/>
          <w:szCs w:val="21"/>
          <w:highlight w:val="none"/>
        </w:rPr>
        <w:t>重</w:t>
      </w:r>
      <w:r>
        <w:rPr>
          <w:rFonts w:hint="eastAsia" w:ascii="宋体" w:hAnsi="宋体"/>
          <w:color w:val="auto"/>
          <w:szCs w:val="21"/>
          <w:highlight w:val="none"/>
        </w:rPr>
        <w:t>新</w:t>
      </w:r>
      <w:r>
        <w:rPr>
          <w:rFonts w:ascii="宋体" w:hAnsi="宋体"/>
          <w:color w:val="auto"/>
          <w:szCs w:val="21"/>
          <w:highlight w:val="none"/>
        </w:rPr>
        <w:t>磋商：双方对修改后的应答文件进行磋商。如需要该程序可循环，直至达成磋商结果。</w:t>
      </w:r>
    </w:p>
    <w:p>
      <w:pPr>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 xml:space="preserve">23．6 </w:t>
      </w:r>
      <w:r>
        <w:rPr>
          <w:rFonts w:ascii="宋体" w:hAnsi="宋体"/>
          <w:color w:val="auto"/>
          <w:szCs w:val="21"/>
          <w:highlight w:val="none"/>
        </w:rPr>
        <w:t>磋商原则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23．6</w:t>
      </w:r>
      <w:r>
        <w:rPr>
          <w:rFonts w:ascii="宋体" w:hAnsi="宋体"/>
          <w:color w:val="auto"/>
          <w:szCs w:val="21"/>
          <w:highlight w:val="none"/>
        </w:rPr>
        <w:t>.1、必须公平、公正、客观，不带任何倾向性和启发性；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23．6</w:t>
      </w:r>
      <w:r>
        <w:rPr>
          <w:rFonts w:ascii="宋体" w:hAnsi="宋体"/>
          <w:color w:val="auto"/>
          <w:szCs w:val="21"/>
          <w:highlight w:val="none"/>
        </w:rPr>
        <w:t xml:space="preserve">.2、磋商人员不得向外界透露任何与磋商有关的内容；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23．6</w:t>
      </w:r>
      <w:r>
        <w:rPr>
          <w:rFonts w:ascii="宋体" w:hAnsi="宋体"/>
          <w:color w:val="auto"/>
          <w:szCs w:val="21"/>
          <w:highlight w:val="none"/>
        </w:rPr>
        <w:t>.3、任何单位和个人不得干扰、影响磋商的正常进行；</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23．6</w:t>
      </w:r>
      <w:r>
        <w:rPr>
          <w:rFonts w:ascii="宋体" w:hAnsi="宋体"/>
          <w:color w:val="auto"/>
          <w:szCs w:val="21"/>
          <w:highlight w:val="none"/>
        </w:rPr>
        <w:t>.4、磋商人员不得私下与</w:t>
      </w:r>
      <w:r>
        <w:rPr>
          <w:rFonts w:hint="eastAsia" w:ascii="宋体" w:hAnsi="宋体"/>
          <w:color w:val="auto"/>
          <w:szCs w:val="21"/>
          <w:highlight w:val="none"/>
        </w:rPr>
        <w:t>磋商</w:t>
      </w:r>
      <w:r>
        <w:rPr>
          <w:rFonts w:ascii="宋体" w:hAnsi="宋体"/>
          <w:color w:val="auto"/>
          <w:szCs w:val="21"/>
          <w:highlight w:val="none"/>
        </w:rPr>
        <w:t>单位接触。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23．7磋商文件有下列情况之一者将视为磋商无效：</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23．7.1 磋商文件未按条件书的规定进行装订、密封；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ascii="宋体" w:hAnsi="宋体"/>
          <w:color w:val="auto"/>
          <w:szCs w:val="21"/>
          <w:highlight w:val="none"/>
        </w:rPr>
        <w:t>.</w:t>
      </w:r>
      <w:r>
        <w:rPr>
          <w:rFonts w:hint="eastAsia" w:ascii="宋体" w:hAnsi="宋体"/>
          <w:color w:val="auto"/>
          <w:szCs w:val="21"/>
          <w:highlight w:val="none"/>
        </w:rPr>
        <w:t>2磋商单位法定代表人或其委托代理人未签字；</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23．7.3 磋商单位未加盖单位公章；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23．7.4未按规定的格式填写或者字迹模糊、辨认不清；</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23．7.5磋商人法定代表人或授权代表未按时参加开标会议的；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23．7.6开标会上磋商人未能按采购文件要求提交资格证件的；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23．7.7磋商截止时间以后送达的磋商文件；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23．7.8磋商文件内容不真实；</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w:t>
      </w:r>
      <w:r>
        <w:rPr>
          <w:rFonts w:ascii="宋体" w:hAnsi="宋体"/>
          <w:color w:val="auto"/>
          <w:szCs w:val="21"/>
          <w:highlight w:val="none"/>
        </w:rPr>
        <w:t>.</w:t>
      </w:r>
      <w:r>
        <w:rPr>
          <w:rFonts w:hint="eastAsia" w:ascii="宋体" w:hAnsi="宋体"/>
          <w:color w:val="auto"/>
          <w:szCs w:val="21"/>
          <w:highlight w:val="none"/>
        </w:rPr>
        <w:t>9磋商文件不满足磋商人最低资质等级、营业执照和项目经理要求；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23．7.10磋商人不按要求对农民工工资保证金的交纳与使用承诺的；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23.7.11不符合法律法规规定及竞争性磋商文件其他实质性要求的。</w:t>
      </w:r>
    </w:p>
    <w:p>
      <w:pPr>
        <w:spacing w:line="400" w:lineRule="exact"/>
        <w:rPr>
          <w:rFonts w:ascii="宋体" w:hAnsi="宋体"/>
          <w:b/>
          <w:bCs/>
          <w:color w:val="auto"/>
          <w:highlight w:val="none"/>
        </w:rPr>
      </w:pPr>
      <w:r>
        <w:rPr>
          <w:rFonts w:hint="eastAsia" w:ascii="宋体" w:hAnsi="宋体"/>
          <w:b/>
          <w:bCs/>
          <w:color w:val="auto"/>
          <w:highlight w:val="none"/>
        </w:rPr>
        <w:t>24.磋商文件的符合性鉴定</w:t>
      </w:r>
    </w:p>
    <w:p>
      <w:pPr>
        <w:spacing w:line="400" w:lineRule="exact"/>
        <w:ind w:firstLine="409" w:firstLineChars="195"/>
        <w:rPr>
          <w:rFonts w:ascii="宋体" w:hAnsi="宋体"/>
          <w:color w:val="auto"/>
          <w:highlight w:val="none"/>
        </w:rPr>
      </w:pPr>
      <w:r>
        <w:rPr>
          <w:rFonts w:hint="eastAsia" w:ascii="宋体" w:hAnsi="宋体"/>
          <w:color w:val="auto"/>
          <w:highlight w:val="none"/>
        </w:rPr>
        <w:t>24</w:t>
      </w:r>
      <w:r>
        <w:rPr>
          <w:rFonts w:ascii="宋体" w:hAnsi="宋体"/>
          <w:color w:val="auto"/>
          <w:highlight w:val="none"/>
        </w:rPr>
        <w:t>.</w:t>
      </w:r>
      <w:r>
        <w:rPr>
          <w:rFonts w:hint="eastAsia" w:ascii="宋体" w:hAnsi="宋体"/>
          <w:color w:val="auto"/>
          <w:highlight w:val="none"/>
        </w:rPr>
        <w:t>1在磋商之后详细评标之前，磋商小组将首先审定每份磋商文件是否在实质上响应了竞争性磋商条件书的要求。</w:t>
      </w:r>
    </w:p>
    <w:p>
      <w:pPr>
        <w:spacing w:line="400" w:lineRule="exact"/>
        <w:ind w:firstLine="409" w:firstLineChars="195"/>
        <w:rPr>
          <w:rFonts w:ascii="宋体" w:hAnsi="宋体"/>
          <w:color w:val="auto"/>
          <w:highlight w:val="none"/>
        </w:rPr>
      </w:pPr>
      <w:r>
        <w:rPr>
          <w:rFonts w:hint="eastAsia" w:ascii="宋体" w:hAnsi="宋体"/>
          <w:color w:val="auto"/>
          <w:highlight w:val="none"/>
        </w:rPr>
        <w:t>24.2就本条款而言，实质上响应要求的磋商文件，应该与竞争性磋商条件书的所规定的工程发包范围、质量标准及运用产生实质性影响；或者对合同中规定的采购人的权利及磋商人的责任造成实质性限制。</w:t>
      </w:r>
    </w:p>
    <w:p>
      <w:pPr>
        <w:spacing w:line="400" w:lineRule="exact"/>
        <w:rPr>
          <w:rFonts w:ascii="宋体" w:hAnsi="宋体"/>
          <w:b/>
          <w:bCs/>
          <w:color w:val="auto"/>
          <w:highlight w:val="none"/>
        </w:rPr>
      </w:pPr>
      <w:r>
        <w:rPr>
          <w:rFonts w:hint="eastAsia" w:ascii="宋体" w:hAnsi="宋体"/>
          <w:b/>
          <w:bCs/>
          <w:color w:val="auto"/>
          <w:highlight w:val="none"/>
        </w:rPr>
        <w:t>25.磋商文件的澄清</w:t>
      </w:r>
    </w:p>
    <w:p>
      <w:pPr>
        <w:spacing w:line="400" w:lineRule="exact"/>
        <w:ind w:firstLine="409" w:firstLineChars="195"/>
        <w:rPr>
          <w:rFonts w:ascii="宋体" w:hAnsi="宋体"/>
          <w:color w:val="auto"/>
          <w:highlight w:val="none"/>
        </w:rPr>
      </w:pPr>
      <w:r>
        <w:rPr>
          <w:rFonts w:hint="eastAsia" w:ascii="宋体" w:hAnsi="宋体"/>
          <w:color w:val="auto"/>
          <w:highlight w:val="none"/>
        </w:rPr>
        <w:t>为了有助于磋商文件的审查、评价和比较，磋商小组可以个别地要求磋商人澄清其磋商文件。有关澄清的要求与答复，应以书面形式进行。</w:t>
      </w:r>
    </w:p>
    <w:p>
      <w:pPr>
        <w:spacing w:line="400" w:lineRule="exact"/>
        <w:rPr>
          <w:rFonts w:ascii="宋体" w:hAnsi="宋体"/>
          <w:b/>
          <w:bCs/>
          <w:color w:val="auto"/>
          <w:highlight w:val="none"/>
        </w:rPr>
      </w:pPr>
      <w:r>
        <w:rPr>
          <w:rFonts w:hint="eastAsia" w:ascii="宋体" w:hAnsi="宋体"/>
          <w:b/>
          <w:bCs/>
          <w:color w:val="auto"/>
          <w:highlight w:val="none"/>
        </w:rPr>
        <w:t>26.错误的修正</w:t>
      </w:r>
    </w:p>
    <w:p>
      <w:pPr>
        <w:spacing w:line="400" w:lineRule="exact"/>
        <w:ind w:firstLine="409" w:firstLineChars="195"/>
        <w:rPr>
          <w:rFonts w:ascii="宋体" w:hAnsi="宋体"/>
          <w:color w:val="auto"/>
          <w:highlight w:val="none"/>
        </w:rPr>
      </w:pPr>
      <w:r>
        <w:rPr>
          <w:rFonts w:hint="eastAsia" w:ascii="宋体" w:hAnsi="宋体"/>
          <w:color w:val="auto"/>
          <w:highlight w:val="none"/>
        </w:rPr>
        <w:t>26.1磋商小组将对确定为实质上响应竞争性磋商条件书要求的磋商文件进行校核，看其是否有计算上或累计上的算术错误，修正错误的原则如下：</w:t>
      </w:r>
    </w:p>
    <w:p>
      <w:pPr>
        <w:spacing w:line="400" w:lineRule="exact"/>
        <w:ind w:firstLine="409" w:firstLineChars="195"/>
        <w:rPr>
          <w:rFonts w:ascii="宋体" w:hAnsi="宋体"/>
          <w:color w:val="auto"/>
          <w:highlight w:val="none"/>
        </w:rPr>
      </w:pPr>
      <w:r>
        <w:rPr>
          <w:rFonts w:hint="eastAsia" w:ascii="宋体" w:hAnsi="宋体"/>
          <w:color w:val="auto"/>
          <w:highlight w:val="none"/>
        </w:rPr>
        <w:t>26.1</w:t>
      </w:r>
      <w:r>
        <w:rPr>
          <w:rFonts w:ascii="宋体" w:hAnsi="宋体"/>
          <w:color w:val="auto"/>
          <w:highlight w:val="none"/>
        </w:rPr>
        <w:t>.</w:t>
      </w:r>
      <w:r>
        <w:rPr>
          <w:rFonts w:hint="eastAsia" w:ascii="宋体" w:hAnsi="宋体"/>
          <w:color w:val="auto"/>
          <w:highlight w:val="none"/>
        </w:rPr>
        <w:t>1如果用阿拉伯数字表示的数额与用汉语文字表示的数额（人民币大写）不一致时，以汉语文字数额（人民币大写）为准。</w:t>
      </w:r>
    </w:p>
    <w:p>
      <w:pPr>
        <w:spacing w:line="400" w:lineRule="exact"/>
        <w:ind w:firstLine="409" w:firstLineChars="195"/>
        <w:rPr>
          <w:rFonts w:ascii="宋体" w:hAnsi="宋体"/>
          <w:color w:val="auto"/>
          <w:highlight w:val="none"/>
        </w:rPr>
      </w:pPr>
      <w:r>
        <w:rPr>
          <w:rFonts w:hint="eastAsia" w:ascii="宋体" w:hAnsi="宋体"/>
          <w:color w:val="auto"/>
          <w:highlight w:val="none"/>
        </w:rPr>
        <w:t>26</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2 当单价与工程量的乘积与合价之间不一致时，以标出的单价为准。除非评标委员会或磋商小组认为有明显的小数点错位，此时应以标出的合价为准，并修改单价。</w:t>
      </w:r>
    </w:p>
    <w:p>
      <w:pPr>
        <w:spacing w:line="460" w:lineRule="exact"/>
        <w:ind w:firstLine="409" w:firstLineChars="195"/>
        <w:rPr>
          <w:rFonts w:ascii="宋体" w:hAnsi="宋体"/>
          <w:color w:val="auto"/>
          <w:highlight w:val="none"/>
        </w:rPr>
      </w:pPr>
      <w:r>
        <w:rPr>
          <w:rFonts w:hint="eastAsia" w:ascii="宋体" w:hAnsi="宋体"/>
          <w:color w:val="auto"/>
          <w:highlight w:val="none"/>
        </w:rPr>
        <w:t>26.2按上述修改错误的方法，调整磋商书中的磋商报价。经磋商人确认同意后，调整后的报价对磋商人起约束作用。如果磋商人不接受修正后的磋商报价则其磋商将被拒绝，视为无效磋商。</w:t>
      </w:r>
    </w:p>
    <w:p>
      <w:pPr>
        <w:spacing w:line="460" w:lineRule="exact"/>
        <w:ind w:firstLine="409" w:firstLineChars="195"/>
        <w:rPr>
          <w:rFonts w:ascii="宋体" w:hAnsi="宋体"/>
          <w:color w:val="auto"/>
          <w:highlight w:val="none"/>
        </w:rPr>
      </w:pPr>
      <w:r>
        <w:rPr>
          <w:rFonts w:hint="eastAsia" w:ascii="宋体" w:hAnsi="宋体"/>
          <w:color w:val="auto"/>
          <w:highlight w:val="none"/>
        </w:rPr>
        <w:t>26.3 磋商文件正本与磋商文件副本不符的以正本为准。</w:t>
      </w:r>
    </w:p>
    <w:p>
      <w:pPr>
        <w:spacing w:line="460" w:lineRule="exact"/>
        <w:rPr>
          <w:rFonts w:ascii="宋体" w:hAnsi="宋体"/>
          <w:b/>
          <w:bCs/>
          <w:color w:val="auto"/>
          <w:highlight w:val="none"/>
        </w:rPr>
      </w:pPr>
      <w:r>
        <w:rPr>
          <w:rFonts w:hint="eastAsia" w:ascii="宋体" w:hAnsi="宋体"/>
          <w:b/>
          <w:bCs/>
          <w:color w:val="auto"/>
          <w:highlight w:val="none"/>
        </w:rPr>
        <w:t>27.磋商文件的评价与比较</w:t>
      </w:r>
    </w:p>
    <w:p>
      <w:pPr>
        <w:spacing w:line="460" w:lineRule="exact"/>
        <w:ind w:firstLine="409" w:firstLineChars="195"/>
        <w:rPr>
          <w:rFonts w:ascii="宋体" w:hAnsi="宋体"/>
          <w:color w:val="auto"/>
          <w:highlight w:val="none"/>
        </w:rPr>
      </w:pPr>
      <w:r>
        <w:rPr>
          <w:rFonts w:hint="eastAsia" w:ascii="宋体" w:hAnsi="宋体"/>
          <w:color w:val="auto"/>
          <w:highlight w:val="none"/>
        </w:rPr>
        <w:t>27.1磋商小组将仅对依照本须知</w:t>
      </w:r>
      <w:r>
        <w:rPr>
          <w:rFonts w:hint="eastAsia"/>
          <w:color w:val="auto"/>
          <w:highlight w:val="none"/>
        </w:rPr>
        <w:t>第22条及第24条</w:t>
      </w:r>
      <w:r>
        <w:rPr>
          <w:rFonts w:hint="eastAsia" w:ascii="宋体" w:hAnsi="宋体"/>
          <w:color w:val="auto"/>
          <w:highlight w:val="none"/>
        </w:rPr>
        <w:t>确定为实质上响应竞争性磋商条件书要求（即符合性鉴定合格）的磋商文件进行评价与比较。</w:t>
      </w:r>
    </w:p>
    <w:p>
      <w:pPr>
        <w:spacing w:line="460" w:lineRule="exact"/>
        <w:ind w:firstLine="409" w:firstLineChars="195"/>
        <w:rPr>
          <w:rFonts w:ascii="宋体" w:hAnsi="宋体"/>
          <w:color w:val="auto"/>
          <w:highlight w:val="none"/>
        </w:rPr>
      </w:pPr>
      <w:r>
        <w:rPr>
          <w:rFonts w:hint="eastAsia" w:ascii="宋体" w:hAnsi="宋体"/>
          <w:color w:val="auto"/>
          <w:highlight w:val="none"/>
        </w:rPr>
        <w:t>27.2 磋商小组将依照本须知第26条对通过符合性鉴定的磋商文件的磋商报价进行校核与修正。</w:t>
      </w:r>
    </w:p>
    <w:p>
      <w:pPr>
        <w:spacing w:line="460" w:lineRule="exact"/>
        <w:ind w:firstLine="409" w:firstLineChars="195"/>
        <w:rPr>
          <w:rFonts w:hAnsi="宋体"/>
          <w:bCs/>
          <w:color w:val="auto"/>
          <w:szCs w:val="21"/>
          <w:highlight w:val="none"/>
        </w:rPr>
      </w:pPr>
      <w:r>
        <w:rPr>
          <w:rFonts w:hint="eastAsia" w:ascii="宋体" w:hAnsi="宋体"/>
          <w:color w:val="auto"/>
          <w:highlight w:val="none"/>
        </w:rPr>
        <w:t xml:space="preserve">27.3 </w:t>
      </w:r>
      <w:r>
        <w:rPr>
          <w:rFonts w:hint="eastAsia" w:hAnsi="宋体"/>
          <w:bCs/>
          <w:color w:val="auto"/>
          <w:szCs w:val="21"/>
          <w:highlight w:val="none"/>
        </w:rPr>
        <w:t>确定磋商采购结果的原则：</w:t>
      </w:r>
      <w:r>
        <w:rPr>
          <w:rFonts w:hint="eastAsia" w:hAnsi="宋体"/>
          <w:color w:val="auto"/>
          <w:szCs w:val="21"/>
          <w:highlight w:val="none"/>
        </w:rPr>
        <w:t>采用综合评分法</w:t>
      </w:r>
      <w:r>
        <w:rPr>
          <w:rFonts w:hint="eastAsia" w:hAnsi="宋体"/>
          <w:bCs/>
          <w:color w:val="auto"/>
          <w:szCs w:val="21"/>
          <w:highlight w:val="none"/>
        </w:rPr>
        <w:t>。</w:t>
      </w:r>
    </w:p>
    <w:p>
      <w:pPr>
        <w:spacing w:line="460" w:lineRule="exact"/>
        <w:jc w:val="center"/>
        <w:outlineLvl w:val="2"/>
        <w:rPr>
          <w:rFonts w:ascii="宋体" w:hAnsi="宋体"/>
          <w:b/>
          <w:bCs/>
          <w:color w:val="auto"/>
          <w:sz w:val="24"/>
          <w:highlight w:val="none"/>
        </w:rPr>
      </w:pPr>
      <w:bookmarkStart w:id="45" w:name="_Toc8166"/>
      <w:r>
        <w:rPr>
          <w:rFonts w:hint="eastAsia" w:ascii="宋体" w:hAnsi="宋体"/>
          <w:b/>
          <w:bCs/>
          <w:color w:val="auto"/>
          <w:sz w:val="24"/>
          <w:highlight w:val="none"/>
        </w:rPr>
        <w:t>八、授予合同</w:t>
      </w:r>
      <w:bookmarkEnd w:id="45"/>
    </w:p>
    <w:p>
      <w:pPr>
        <w:spacing w:line="460" w:lineRule="exact"/>
        <w:rPr>
          <w:rFonts w:ascii="宋体" w:hAnsi="宋体"/>
          <w:b/>
          <w:bCs/>
          <w:color w:val="auto"/>
          <w:highlight w:val="none"/>
        </w:rPr>
      </w:pPr>
      <w:r>
        <w:rPr>
          <w:rFonts w:hint="eastAsia" w:ascii="宋体" w:hAnsi="宋体"/>
          <w:b/>
          <w:bCs/>
          <w:color w:val="auto"/>
          <w:highlight w:val="none"/>
        </w:rPr>
        <w:t>29.合同授予标准</w:t>
      </w:r>
    </w:p>
    <w:p>
      <w:pPr>
        <w:spacing w:line="460" w:lineRule="exact"/>
        <w:ind w:firstLine="409" w:firstLineChars="195"/>
        <w:rPr>
          <w:rFonts w:ascii="宋体" w:hAnsi="宋体"/>
          <w:color w:val="auto"/>
          <w:highlight w:val="none"/>
        </w:rPr>
      </w:pPr>
      <w:r>
        <w:rPr>
          <w:rFonts w:hint="eastAsia" w:ascii="宋体" w:hAnsi="宋体"/>
          <w:color w:val="auto"/>
          <w:highlight w:val="none"/>
        </w:rPr>
        <w:t>采购人将把本合同授予其磋商文件实质上响应竞争性磋商条件书要求和按本须知第27条规定评选出的磋商人，确定为成交的成交人必须具有实施本工程合同的能力和资源。</w:t>
      </w:r>
    </w:p>
    <w:p>
      <w:pPr>
        <w:pStyle w:val="12"/>
        <w:spacing w:line="360" w:lineRule="auto"/>
        <w:rPr>
          <w:rFonts w:hAnsi="宋体"/>
          <w:b/>
          <w:bCs/>
          <w:color w:val="auto"/>
          <w:highlight w:val="none"/>
        </w:rPr>
      </w:pPr>
      <w:r>
        <w:rPr>
          <w:rFonts w:hint="eastAsia" w:hAnsi="宋体"/>
          <w:b/>
          <w:bCs/>
          <w:color w:val="auto"/>
          <w:highlight w:val="none"/>
        </w:rPr>
        <w:t>30.评标结果公示</w:t>
      </w:r>
    </w:p>
    <w:p>
      <w:pPr>
        <w:pStyle w:val="12"/>
        <w:spacing w:line="360" w:lineRule="auto"/>
        <w:ind w:firstLine="424" w:firstLineChars="202"/>
        <w:rPr>
          <w:rFonts w:hAnsi="宋体"/>
          <w:color w:val="auto"/>
          <w:highlight w:val="none"/>
        </w:rPr>
      </w:pPr>
      <w:r>
        <w:rPr>
          <w:rFonts w:hint="eastAsia" w:hAnsi="宋体"/>
          <w:color w:val="auto"/>
          <w:highlight w:val="none"/>
        </w:rPr>
        <w:t>30.1采购代理机构在评标工作完成后2个工作日内将评标结果送采购人,采购人应当在收到评审报告后2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2"/>
        <w:spacing w:line="360" w:lineRule="auto"/>
        <w:ind w:firstLine="424" w:firstLineChars="202"/>
        <w:rPr>
          <w:rFonts w:hAnsi="宋体"/>
          <w:color w:val="auto"/>
          <w:highlight w:val="none"/>
        </w:rPr>
      </w:pPr>
      <w:r>
        <w:rPr>
          <w:rFonts w:hint="eastAsia" w:hAnsi="宋体"/>
          <w:color w:val="auto"/>
          <w:highlight w:val="none"/>
        </w:rPr>
        <w:t>30.2采购代理机构应当在成交供应商确定后2个工作日内，在竞争性磋商公告发布媒体上公告成交结果，同时向成交供应商发出成交通知书。</w:t>
      </w:r>
    </w:p>
    <w:p>
      <w:pPr>
        <w:pStyle w:val="12"/>
        <w:spacing w:line="360" w:lineRule="auto"/>
        <w:ind w:firstLine="424" w:firstLineChars="202"/>
        <w:rPr>
          <w:rFonts w:hAnsi="宋体"/>
          <w:bCs/>
          <w:color w:val="auto"/>
          <w:highlight w:val="none"/>
        </w:rPr>
      </w:pPr>
      <w:r>
        <w:rPr>
          <w:rFonts w:hint="eastAsia" w:hAnsi="宋体"/>
          <w:color w:val="auto"/>
          <w:highlight w:val="none"/>
        </w:rPr>
        <w:t>30.3磋商人如对评标结果有异议，在公示期可</w:t>
      </w:r>
      <w:r>
        <w:rPr>
          <w:rFonts w:hint="eastAsia" w:hAnsi="宋体"/>
          <w:bCs/>
          <w:color w:val="auto"/>
          <w:highlight w:val="none"/>
        </w:rPr>
        <w:t>以书面形式向采购代理机构提出质疑。采购代理机构应当在收到磋商人的书面质疑后七个工作日内做出答复，但答复的内容不得涉及商业秘密。</w:t>
      </w:r>
    </w:p>
    <w:p>
      <w:pPr>
        <w:pStyle w:val="12"/>
        <w:spacing w:line="360" w:lineRule="auto"/>
        <w:ind w:firstLine="424" w:firstLineChars="202"/>
        <w:rPr>
          <w:rFonts w:hAnsi="宋体"/>
          <w:color w:val="auto"/>
          <w:highlight w:val="none"/>
        </w:rPr>
      </w:pPr>
      <w:r>
        <w:rPr>
          <w:rFonts w:hint="eastAsia" w:hAnsi="宋体"/>
          <w:color w:val="auto"/>
          <w:highlight w:val="none"/>
        </w:rPr>
        <w:t>30.4质疑磋商人必须首先经过质疑程序，在对采购代理机构的答复不满意或者采购代理机构未在规定的时间内做出答复的，可以在答复期满后十五个工作日内书面向相关部门投诉。</w:t>
      </w:r>
    </w:p>
    <w:p>
      <w:pPr>
        <w:spacing w:line="460" w:lineRule="exact"/>
        <w:rPr>
          <w:rFonts w:ascii="宋体" w:hAnsi="宋体"/>
          <w:b/>
          <w:bCs/>
          <w:color w:val="auto"/>
          <w:highlight w:val="none"/>
        </w:rPr>
      </w:pPr>
      <w:r>
        <w:rPr>
          <w:rFonts w:hint="eastAsia" w:ascii="宋体" w:hAnsi="宋体"/>
          <w:b/>
          <w:bCs/>
          <w:color w:val="auto"/>
          <w:highlight w:val="none"/>
        </w:rPr>
        <w:t>31.成交通知书</w:t>
      </w:r>
    </w:p>
    <w:p>
      <w:pPr>
        <w:adjustRightInd w:val="0"/>
        <w:spacing w:line="360" w:lineRule="auto"/>
        <w:ind w:firstLine="424" w:firstLineChars="202"/>
        <w:rPr>
          <w:rFonts w:ascii="宋体" w:hAnsi="宋体"/>
          <w:color w:val="auto"/>
          <w:szCs w:val="20"/>
          <w:highlight w:val="none"/>
        </w:rPr>
      </w:pPr>
      <w:r>
        <w:rPr>
          <w:rFonts w:ascii="宋体" w:hAnsi="宋体"/>
          <w:color w:val="auto"/>
          <w:highlight w:val="none"/>
        </w:rPr>
        <w:t>3</w:t>
      </w:r>
      <w:r>
        <w:rPr>
          <w:rFonts w:hint="eastAsia" w:ascii="宋体" w:hAnsi="宋体"/>
          <w:color w:val="auto"/>
          <w:highlight w:val="none"/>
        </w:rPr>
        <w:t>1</w:t>
      </w:r>
      <w:r>
        <w:rPr>
          <w:rFonts w:ascii="宋体" w:hAnsi="宋体"/>
          <w:color w:val="auto"/>
          <w:highlight w:val="none"/>
        </w:rPr>
        <w:t>.1采购代理机构和采购人在公示期</w:t>
      </w:r>
      <w:r>
        <w:rPr>
          <w:rFonts w:hint="eastAsia" w:ascii="宋体" w:hAnsi="宋体"/>
          <w:color w:val="auto"/>
          <w:highlight w:val="none"/>
        </w:rPr>
        <w:t>同时</w:t>
      </w:r>
      <w:r>
        <w:rPr>
          <w:rFonts w:ascii="宋体" w:hAnsi="宋体"/>
          <w:color w:val="auto"/>
          <w:highlight w:val="none"/>
        </w:rPr>
        <w:t>可向成交人发出成交通知。</w:t>
      </w:r>
    </w:p>
    <w:p>
      <w:pPr>
        <w:spacing w:line="460" w:lineRule="exact"/>
        <w:ind w:firstLine="424" w:firstLineChars="202"/>
        <w:rPr>
          <w:rFonts w:ascii="宋体" w:hAnsi="宋体"/>
          <w:color w:val="auto"/>
          <w:highlight w:val="none"/>
        </w:rPr>
      </w:pPr>
      <w:r>
        <w:rPr>
          <w:rFonts w:ascii="宋体" w:hAnsi="宋体"/>
          <w:color w:val="auto"/>
          <w:highlight w:val="none"/>
        </w:rPr>
        <w:t>3</w:t>
      </w:r>
      <w:r>
        <w:rPr>
          <w:rFonts w:hint="eastAsia" w:ascii="宋体" w:hAnsi="宋体"/>
          <w:color w:val="auto"/>
          <w:highlight w:val="none"/>
        </w:rPr>
        <w:t>1</w:t>
      </w:r>
      <w:r>
        <w:rPr>
          <w:rFonts w:ascii="宋体" w:hAnsi="宋体"/>
          <w:color w:val="auto"/>
          <w:highlight w:val="none"/>
        </w:rPr>
        <w:t xml:space="preserve">.2 </w:t>
      </w:r>
      <w:r>
        <w:rPr>
          <w:rFonts w:hint="eastAsia" w:ascii="宋体" w:hAnsi="宋体"/>
          <w:color w:val="auto"/>
          <w:highlight w:val="none"/>
        </w:rPr>
        <w:t>确定出成交的磋商人后，在磋商有效期截止前，采购人将以书面形式通知成交的磋商人其磋商被接受。在该通知书（以下合同条件中称“成交通知书”）中给出采购人对成交的磋商人按本合同施工、竣工和保修工程的成交标价（以下合同条件中称为“合同价格”），以及工期、质量和有关合同签订的日期、地点。</w:t>
      </w:r>
    </w:p>
    <w:p>
      <w:pPr>
        <w:spacing w:line="460" w:lineRule="exact"/>
        <w:ind w:firstLine="424" w:firstLineChars="202"/>
        <w:rPr>
          <w:rFonts w:ascii="宋体" w:hAnsi="宋体"/>
          <w:color w:val="auto"/>
          <w:highlight w:val="none"/>
        </w:rPr>
      </w:pPr>
      <w:r>
        <w:rPr>
          <w:rFonts w:ascii="宋体" w:hAnsi="宋体"/>
          <w:color w:val="auto"/>
          <w:highlight w:val="none"/>
        </w:rPr>
        <w:t>3</w:t>
      </w:r>
      <w:r>
        <w:rPr>
          <w:rFonts w:hint="eastAsia" w:ascii="宋体" w:hAnsi="宋体"/>
          <w:color w:val="auto"/>
          <w:highlight w:val="none"/>
        </w:rPr>
        <w:t>1</w:t>
      </w:r>
      <w:r>
        <w:rPr>
          <w:rFonts w:ascii="宋体" w:hAnsi="宋体"/>
          <w:color w:val="auto"/>
          <w:highlight w:val="none"/>
        </w:rPr>
        <w:t>.3</w:t>
      </w:r>
      <w:r>
        <w:rPr>
          <w:rFonts w:hint="eastAsia" w:ascii="宋体" w:hAnsi="宋体"/>
          <w:color w:val="auto"/>
          <w:highlight w:val="none"/>
        </w:rPr>
        <w:t xml:space="preserve"> 成交通知书为合同的组成部分。</w:t>
      </w:r>
    </w:p>
    <w:p>
      <w:pPr>
        <w:spacing w:line="460" w:lineRule="exact"/>
        <w:ind w:firstLine="424" w:firstLineChars="202"/>
        <w:rPr>
          <w:rFonts w:ascii="宋体" w:hAnsi="宋体"/>
          <w:color w:val="auto"/>
          <w:highlight w:val="none"/>
        </w:rPr>
      </w:pPr>
      <w:r>
        <w:rPr>
          <w:rFonts w:ascii="宋体" w:hAnsi="宋体"/>
          <w:color w:val="auto"/>
          <w:highlight w:val="none"/>
        </w:rPr>
        <w:t>3</w:t>
      </w:r>
      <w:r>
        <w:rPr>
          <w:rFonts w:hint="eastAsia" w:ascii="宋体" w:hAnsi="宋体"/>
          <w:color w:val="auto"/>
          <w:highlight w:val="none"/>
        </w:rPr>
        <w:t>1</w:t>
      </w:r>
      <w:r>
        <w:rPr>
          <w:rFonts w:ascii="宋体" w:hAnsi="宋体"/>
          <w:color w:val="auto"/>
          <w:highlight w:val="none"/>
        </w:rPr>
        <w:t xml:space="preserve">.4 </w:t>
      </w:r>
      <w:r>
        <w:rPr>
          <w:rFonts w:hint="eastAsia" w:ascii="宋体" w:hAnsi="宋体"/>
          <w:color w:val="auto"/>
          <w:highlight w:val="none"/>
        </w:rPr>
        <w:t>采购代理机构应及时将未成交的结果通知其他磋商人。</w:t>
      </w:r>
    </w:p>
    <w:p>
      <w:pPr>
        <w:spacing w:line="460" w:lineRule="exact"/>
        <w:rPr>
          <w:rFonts w:ascii="宋体" w:hAnsi="宋体"/>
          <w:b/>
          <w:bCs/>
          <w:color w:val="auto"/>
          <w:highlight w:val="none"/>
        </w:rPr>
      </w:pPr>
      <w:r>
        <w:rPr>
          <w:rFonts w:hint="eastAsia" w:ascii="宋体" w:hAnsi="宋体"/>
          <w:b/>
          <w:bCs/>
          <w:color w:val="auto"/>
          <w:highlight w:val="none"/>
        </w:rPr>
        <w:t>32.合同协议书的签署</w:t>
      </w:r>
    </w:p>
    <w:p>
      <w:pPr>
        <w:spacing w:line="460" w:lineRule="exact"/>
        <w:ind w:firstLine="424" w:firstLineChars="202"/>
        <w:rPr>
          <w:rFonts w:ascii="宋体" w:hAnsi="宋体"/>
          <w:color w:val="auto"/>
          <w:highlight w:val="none"/>
        </w:rPr>
      </w:pPr>
      <w:r>
        <w:rPr>
          <w:rFonts w:hint="eastAsia" w:ascii="宋体" w:hAnsi="宋体"/>
          <w:color w:val="auto"/>
          <w:highlight w:val="none"/>
        </w:rPr>
        <w:t>32.1成交供应商应在成交通知书发出之日起</w:t>
      </w:r>
      <w:r>
        <w:rPr>
          <w:rFonts w:hint="eastAsia" w:ascii="宋体" w:hAnsi="宋体"/>
          <w:color w:val="auto"/>
          <w:highlight w:val="none"/>
          <w:lang w:val="en-US" w:eastAsia="zh-CN"/>
        </w:rPr>
        <w:t>7个工作日</w:t>
      </w:r>
      <w:r>
        <w:rPr>
          <w:rFonts w:hint="eastAsia" w:ascii="宋体" w:hAnsi="宋体"/>
          <w:color w:val="auto"/>
          <w:highlight w:val="none"/>
        </w:rPr>
        <w:t>内，由法定代表人或授权代表前往与采购人进行签订合同。</w:t>
      </w:r>
    </w:p>
    <w:p>
      <w:pPr>
        <w:spacing w:line="360" w:lineRule="auto"/>
        <w:rPr>
          <w:rFonts w:ascii="宋体" w:hAnsi="宋体"/>
          <w:color w:val="auto"/>
          <w:highlight w:val="none"/>
        </w:rPr>
      </w:pPr>
      <w:r>
        <w:rPr>
          <w:rFonts w:hint="eastAsia" w:ascii="宋体" w:hAnsi="宋体"/>
          <w:b/>
          <w:bCs/>
          <w:color w:val="auto"/>
          <w:highlight w:val="none"/>
        </w:rPr>
        <w:t>33</w:t>
      </w:r>
      <w:r>
        <w:rPr>
          <w:rFonts w:hint="eastAsia" w:ascii="宋体" w:hAnsi="宋体"/>
          <w:color w:val="auto"/>
          <w:highlight w:val="none"/>
        </w:rPr>
        <w:t>.如果成交人不按本须知第31</w:t>
      </w:r>
      <w:r>
        <w:rPr>
          <w:rFonts w:ascii="宋体" w:hAnsi="宋体"/>
          <w:color w:val="auto"/>
          <w:highlight w:val="none"/>
        </w:rPr>
        <w:t>.1</w:t>
      </w:r>
      <w:r>
        <w:rPr>
          <w:rFonts w:hint="eastAsia" w:ascii="宋体" w:hAnsi="宋体"/>
          <w:color w:val="auto"/>
          <w:highlight w:val="none"/>
        </w:rPr>
        <w:t>条的规定执行，采购人将有充分的理由废除授标。</w:t>
      </w:r>
    </w:p>
    <w:p>
      <w:pPr>
        <w:spacing w:line="360" w:lineRule="auto"/>
        <w:rPr>
          <w:rFonts w:ascii="宋体" w:hAnsi="宋体"/>
          <w:color w:val="auto"/>
          <w:highlight w:val="none"/>
        </w:rPr>
      </w:pPr>
      <w:r>
        <w:rPr>
          <w:rFonts w:hint="eastAsia" w:ascii="宋体" w:hAnsi="宋体"/>
          <w:b/>
          <w:bCs/>
          <w:color w:val="auto"/>
          <w:highlight w:val="none"/>
        </w:rPr>
        <w:t>34</w:t>
      </w:r>
      <w:r>
        <w:rPr>
          <w:rFonts w:hint="eastAsia" w:ascii="宋体" w:hAnsi="宋体"/>
          <w:color w:val="auto"/>
          <w:highlight w:val="none"/>
        </w:rPr>
        <w:t>.如磋商人成交后不按时、足额将农民工工资保证金存入指定账户的，采购人将取消其成交资格。</w:t>
      </w:r>
    </w:p>
    <w:p>
      <w:pPr>
        <w:pStyle w:val="2"/>
        <w:jc w:val="center"/>
        <w:rPr>
          <w:rFonts w:hint="default"/>
          <w:b w:val="0"/>
          <w:color w:val="auto"/>
          <w:highlight w:val="none"/>
        </w:rPr>
      </w:pPr>
      <w:bookmarkStart w:id="46" w:name="_Toc143566676"/>
      <w:bookmarkStart w:id="47" w:name="_Toc19147"/>
      <w:r>
        <w:rPr>
          <w:color w:val="auto"/>
          <w:sz w:val="21"/>
          <w:highlight w:val="none"/>
        </w:rPr>
        <w:t>九、其他事项</w:t>
      </w:r>
      <w:bookmarkEnd w:id="46"/>
      <w:bookmarkEnd w:id="47"/>
    </w:p>
    <w:p>
      <w:pPr>
        <w:pStyle w:val="12"/>
        <w:spacing w:line="440" w:lineRule="exact"/>
        <w:rPr>
          <w:rFonts w:hAnsi="宋体"/>
          <w:b/>
          <w:color w:val="auto"/>
          <w:highlight w:val="none"/>
        </w:rPr>
      </w:pPr>
      <w:r>
        <w:rPr>
          <w:rFonts w:hint="eastAsia" w:hAnsi="宋体"/>
          <w:b/>
          <w:color w:val="auto"/>
          <w:highlight w:val="none"/>
        </w:rPr>
        <w:t>35.代理服务费</w:t>
      </w:r>
    </w:p>
    <w:p>
      <w:pPr>
        <w:pStyle w:val="12"/>
        <w:spacing w:line="440" w:lineRule="exact"/>
        <w:ind w:firstLine="420"/>
        <w:rPr>
          <w:rFonts w:hAnsi="宋体"/>
          <w:color w:val="auto"/>
          <w:szCs w:val="21"/>
          <w:highlight w:val="none"/>
        </w:rPr>
      </w:pPr>
      <w:r>
        <w:rPr>
          <w:rFonts w:hint="eastAsia" w:hAnsi="宋体"/>
          <w:color w:val="auto"/>
          <w:szCs w:val="21"/>
          <w:highlight w:val="none"/>
        </w:rPr>
        <w:t>35.1签订合同前，成交人向广西新宇建设项目管理有限公司一次付清代理服务费，其金额详见本须知前附表第15项规定。否则，将视之为违约。</w:t>
      </w:r>
    </w:p>
    <w:p>
      <w:pPr>
        <w:pStyle w:val="12"/>
        <w:spacing w:line="440" w:lineRule="exact"/>
        <w:rPr>
          <w:rFonts w:hAnsi="宋体"/>
          <w:b/>
          <w:color w:val="auto"/>
          <w:szCs w:val="21"/>
          <w:highlight w:val="none"/>
        </w:rPr>
      </w:pPr>
      <w:r>
        <w:rPr>
          <w:rFonts w:hint="eastAsia" w:hAnsi="宋体"/>
          <w:b/>
          <w:color w:val="auto"/>
          <w:szCs w:val="21"/>
          <w:highlight w:val="none"/>
        </w:rPr>
        <w:t>36.解释权</w:t>
      </w:r>
    </w:p>
    <w:p>
      <w:pPr>
        <w:pStyle w:val="12"/>
        <w:spacing w:line="440" w:lineRule="exact"/>
        <w:ind w:firstLine="420"/>
        <w:rPr>
          <w:rFonts w:hAnsi="宋体"/>
          <w:color w:val="auto"/>
          <w:highlight w:val="none"/>
        </w:rPr>
      </w:pPr>
      <w:r>
        <w:rPr>
          <w:rFonts w:hint="eastAsia" w:hAnsi="宋体"/>
          <w:color w:val="auto"/>
          <w:highlight w:val="none"/>
        </w:rPr>
        <w:t>36.1本条件书是根据国家有关法律、法规以及政府采购管理有关规定和参照国际惯例编制，解释权属本采购代理机构。</w:t>
      </w:r>
      <w:r>
        <w:rPr>
          <w:rFonts w:hAnsi="宋体"/>
          <w:color w:val="auto"/>
          <w:highlight w:val="none"/>
        </w:rPr>
        <w:br w:type="page"/>
      </w:r>
    </w:p>
    <w:p>
      <w:pPr>
        <w:spacing w:line="420" w:lineRule="exact"/>
        <w:ind w:firstLine="2891" w:firstLineChars="800"/>
        <w:outlineLvl w:val="1"/>
        <w:rPr>
          <w:rFonts w:ascii="宋体" w:hAnsi="宋体" w:cs="Courier New"/>
          <w:b/>
          <w:bCs/>
          <w:color w:val="auto"/>
          <w:sz w:val="36"/>
          <w:highlight w:val="none"/>
        </w:rPr>
      </w:pPr>
      <w:bookmarkStart w:id="48" w:name="_Toc17384"/>
      <w:r>
        <w:rPr>
          <w:rFonts w:hint="eastAsia" w:hAnsi="宋体" w:cs="Courier New"/>
          <w:b/>
          <w:bCs/>
          <w:color w:val="auto"/>
          <w:sz w:val="36"/>
          <w:highlight w:val="none"/>
        </w:rPr>
        <w:t>第</w:t>
      </w:r>
      <w:r>
        <w:rPr>
          <w:rFonts w:hint="eastAsia" w:hAnsi="宋体" w:cs="Courier New"/>
          <w:b/>
          <w:bCs/>
          <w:color w:val="auto"/>
          <w:sz w:val="36"/>
          <w:highlight w:val="none"/>
          <w:lang w:eastAsia="zh-CN"/>
        </w:rPr>
        <w:t>二</w:t>
      </w:r>
      <w:r>
        <w:rPr>
          <w:rFonts w:hint="eastAsia" w:hAnsi="宋体" w:cs="Courier New"/>
          <w:b/>
          <w:bCs/>
          <w:color w:val="auto"/>
          <w:sz w:val="36"/>
          <w:highlight w:val="none"/>
        </w:rPr>
        <w:t xml:space="preserve">章   </w:t>
      </w:r>
      <w:r>
        <w:rPr>
          <w:rFonts w:hint="eastAsia" w:ascii="宋体" w:hAnsi="宋体" w:cs="Courier New"/>
          <w:b/>
          <w:bCs/>
          <w:color w:val="auto"/>
          <w:sz w:val="36"/>
          <w:highlight w:val="none"/>
        </w:rPr>
        <w:t>合同格式</w:t>
      </w:r>
      <w:bookmarkEnd w:id="48"/>
    </w:p>
    <w:p>
      <w:pPr>
        <w:pStyle w:val="12"/>
        <w:ind w:firstLine="420" w:firstLineChars="200"/>
        <w:rPr>
          <w:rFonts w:hAnsi="宋体"/>
          <w:color w:val="auto"/>
          <w:highlight w:val="none"/>
        </w:rPr>
      </w:pPr>
    </w:p>
    <w:p>
      <w:pPr>
        <w:jc w:val="left"/>
        <w:rPr>
          <w:rFonts w:ascii="宋体" w:hAnsi="宋体"/>
          <w:bCs/>
          <w:color w:val="auto"/>
          <w:sz w:val="32"/>
          <w:szCs w:val="32"/>
          <w:highlight w:val="none"/>
        </w:rPr>
      </w:pPr>
      <w:r>
        <w:rPr>
          <w:rFonts w:ascii="宋体" w:hAnsi="宋体"/>
          <w:bCs/>
          <w:color w:val="auto"/>
          <w:sz w:val="32"/>
          <w:szCs w:val="32"/>
          <w:highlight w:val="none"/>
        </w:rPr>
        <w:t>（GF—201</w:t>
      </w:r>
      <w:r>
        <w:rPr>
          <w:rFonts w:hint="eastAsia" w:ascii="宋体" w:hAnsi="宋体"/>
          <w:bCs/>
          <w:color w:val="auto"/>
          <w:sz w:val="32"/>
          <w:szCs w:val="32"/>
          <w:highlight w:val="none"/>
          <w:lang w:val="en-US" w:eastAsia="zh-CN"/>
        </w:rPr>
        <w:t>7</w:t>
      </w:r>
      <w:r>
        <w:rPr>
          <w:rFonts w:ascii="宋体" w:hAnsi="宋体"/>
          <w:bCs/>
          <w:color w:val="auto"/>
          <w:sz w:val="32"/>
          <w:szCs w:val="32"/>
          <w:highlight w:val="none"/>
        </w:rPr>
        <w:t>—</w:t>
      </w:r>
      <w:r>
        <w:rPr>
          <w:rFonts w:hint="eastAsia" w:ascii="宋体" w:hAnsi="宋体"/>
          <w:bCs/>
          <w:color w:val="auto"/>
          <w:sz w:val="32"/>
          <w:szCs w:val="32"/>
          <w:highlight w:val="none"/>
        </w:rPr>
        <w:t>0201）</w:t>
      </w:r>
    </w:p>
    <w:p>
      <w:pPr>
        <w:jc w:val="center"/>
        <w:rPr>
          <w:rFonts w:ascii="宋体" w:hAnsi="宋体"/>
          <w:b/>
          <w:color w:val="auto"/>
          <w:sz w:val="52"/>
          <w:szCs w:val="52"/>
          <w:highlight w:val="none"/>
        </w:rPr>
      </w:pPr>
    </w:p>
    <w:p>
      <w:pPr>
        <w:jc w:val="center"/>
        <w:rPr>
          <w:rFonts w:ascii="宋体" w:hAnsi="宋体"/>
          <w:b/>
          <w:color w:val="auto"/>
          <w:sz w:val="52"/>
          <w:szCs w:val="52"/>
          <w:highlight w:val="none"/>
        </w:rPr>
      </w:pPr>
    </w:p>
    <w:p>
      <w:pPr>
        <w:jc w:val="center"/>
        <w:rPr>
          <w:rFonts w:ascii="宋体" w:hAnsi="宋体"/>
          <w:b/>
          <w:color w:val="auto"/>
          <w:sz w:val="52"/>
          <w:szCs w:val="52"/>
          <w:highlight w:val="none"/>
        </w:rPr>
      </w:pPr>
    </w:p>
    <w:p>
      <w:pPr>
        <w:jc w:val="center"/>
        <w:rPr>
          <w:rFonts w:ascii="宋体" w:hAnsi="宋体"/>
          <w:b/>
          <w:color w:val="auto"/>
          <w:sz w:val="52"/>
          <w:szCs w:val="52"/>
          <w:highlight w:val="none"/>
        </w:rPr>
      </w:pPr>
    </w:p>
    <w:p>
      <w:pPr>
        <w:jc w:val="center"/>
        <w:rPr>
          <w:rFonts w:ascii="宋体" w:hAnsi="宋体"/>
          <w:b/>
          <w:color w:val="auto"/>
          <w:sz w:val="52"/>
          <w:szCs w:val="52"/>
          <w:highlight w:val="none"/>
        </w:rPr>
      </w:pPr>
      <w:r>
        <w:rPr>
          <w:rFonts w:ascii="宋体" w:hAnsi="宋体"/>
          <w:b/>
          <w:color w:val="auto"/>
          <w:sz w:val="72"/>
          <w:szCs w:val="52"/>
          <w:highlight w:val="none"/>
        </w:rPr>
        <w:t>建设工程施工合同</w:t>
      </w:r>
      <w:r>
        <w:rPr>
          <w:rFonts w:ascii="宋体" w:hAnsi="宋体"/>
          <w:b/>
          <w:color w:val="auto"/>
          <w:sz w:val="52"/>
          <w:szCs w:val="52"/>
          <w:highlight w:val="none"/>
        </w:rPr>
        <w:br w:type="textWrapping"/>
      </w:r>
      <w:r>
        <w:rPr>
          <w:rFonts w:ascii="宋体" w:hAnsi="宋体"/>
          <w:b/>
          <w:color w:val="auto"/>
          <w:sz w:val="52"/>
          <w:szCs w:val="52"/>
          <w:highlight w:val="none"/>
        </w:rPr>
        <w:t>（示范文本）</w:t>
      </w:r>
    </w:p>
    <w:p>
      <w:pPr>
        <w:jc w:val="center"/>
        <w:rPr>
          <w:rFonts w:ascii="宋体" w:hAnsi="宋体"/>
          <w:b/>
          <w:color w:val="auto"/>
          <w:sz w:val="52"/>
          <w:szCs w:val="52"/>
          <w:highlight w:val="none"/>
        </w:rPr>
      </w:pPr>
    </w:p>
    <w:p>
      <w:pPr>
        <w:jc w:val="center"/>
        <w:rPr>
          <w:rFonts w:ascii="宋体" w:hAnsi="宋体"/>
          <w:b/>
          <w:color w:val="auto"/>
          <w:sz w:val="72"/>
          <w:szCs w:val="72"/>
          <w:highlight w:val="none"/>
        </w:rPr>
      </w:pPr>
    </w:p>
    <w:p>
      <w:pPr>
        <w:rPr>
          <w:rFonts w:ascii="宋体" w:hAnsi="宋体"/>
          <w:b/>
          <w:color w:val="auto"/>
          <w:szCs w:val="28"/>
          <w:highlight w:val="none"/>
        </w:rPr>
      </w:pPr>
    </w:p>
    <w:p>
      <w:pPr>
        <w:rPr>
          <w:rFonts w:ascii="宋体" w:hAnsi="宋体"/>
          <w:b/>
          <w:color w:val="auto"/>
          <w:szCs w:val="28"/>
          <w:highlight w:val="none"/>
        </w:rPr>
      </w:pPr>
    </w:p>
    <w:p>
      <w:pPr>
        <w:rPr>
          <w:rFonts w:ascii="宋体" w:hAnsi="宋体"/>
          <w:b/>
          <w:color w:val="auto"/>
          <w:szCs w:val="28"/>
          <w:highlight w:val="none"/>
        </w:rPr>
      </w:pPr>
    </w:p>
    <w:p>
      <w:pPr>
        <w:ind w:right="2719" w:rightChars="1295" w:firstLine="1890" w:firstLineChars="900"/>
        <w:rPr>
          <w:rFonts w:ascii="宋体" w:hAnsi="宋体"/>
          <w:b/>
          <w:color w:val="auto"/>
          <w:sz w:val="32"/>
          <w:szCs w:val="28"/>
          <w:highlight w:val="none"/>
        </w:rPr>
      </w:pPr>
      <w:r>
        <w:rPr>
          <w:rFonts w:ascii="宋体" w:hAnsi="宋体"/>
          <w:color w:val="auto"/>
          <w:highlight w:val="none"/>
        </w:rPr>
        <w:pict>
          <v:shape id="Text Box 2" o:spid="_x0000_s1027" o:spt="202" type="#_x0000_t202" style="position:absolute;left:0pt;margin-left:312.6pt;margin-top:9.45pt;height:36pt;width:57pt;z-index:102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c0tcdgAAAAJAQAADwAAAAAA&#10;AAABACAAAAAiAAAAZHJzL2Rvd25yZXYueG1sUEsBAhQAFAAAAAgAh07iQE/3fmbaAQAAvQMAAA4A&#10;AAAAAAAAAQAgAAAAJwEAAGRycy9lMm9Eb2MueG1sUEsFBgAAAAAGAAYAWQEAAHMFA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宋体" w:hAnsi="宋体"/>
          <w:b/>
          <w:color w:val="auto"/>
          <w:sz w:val="32"/>
          <w:szCs w:val="28"/>
          <w:highlight w:val="none"/>
        </w:rPr>
        <w:t>住房和城乡建设部</w:t>
      </w:r>
    </w:p>
    <w:p>
      <w:pPr>
        <w:ind w:right="2719" w:rightChars="1295" w:firstLine="1911" w:firstLineChars="595"/>
        <w:rPr>
          <w:rFonts w:ascii="宋体" w:hAnsi="宋体"/>
          <w:b/>
          <w:color w:val="auto"/>
          <w:sz w:val="32"/>
          <w:szCs w:val="28"/>
          <w:highlight w:val="none"/>
        </w:rPr>
      </w:pPr>
      <w:r>
        <w:rPr>
          <w:rFonts w:ascii="宋体" w:hAnsi="宋体"/>
          <w:b/>
          <w:color w:val="auto"/>
          <w:sz w:val="32"/>
          <w:szCs w:val="28"/>
          <w:highlight w:val="none"/>
        </w:rPr>
        <w:t>国家工商行政管理总局</w:t>
      </w:r>
    </w:p>
    <w:p>
      <w:pPr>
        <w:rPr>
          <w:rFonts w:ascii="宋体" w:hAnsi="宋体"/>
          <w:b/>
          <w:color w:val="auto"/>
          <w:highlight w:val="none"/>
        </w:rPr>
      </w:pPr>
    </w:p>
    <w:p>
      <w:pPr>
        <w:pStyle w:val="27"/>
        <w:spacing w:before="0" w:after="0"/>
        <w:jc w:val="center"/>
        <w:rPr>
          <w:rFonts w:ascii="宋体" w:hAnsi="宋体"/>
          <w:color w:val="auto"/>
          <w:highlight w:val="none"/>
        </w:rPr>
      </w:pPr>
      <w:r>
        <w:rPr>
          <w:rFonts w:ascii="宋体" w:hAnsi="宋体"/>
          <w:b w:val="0"/>
          <w:color w:val="auto"/>
          <w:highlight w:val="none"/>
        </w:rPr>
        <w:br w:type="page"/>
      </w:r>
      <w:bookmarkStart w:id="49" w:name="_Toc17419"/>
      <w:bookmarkStart w:id="50" w:name="_Toc296503025"/>
      <w:bookmarkStart w:id="51" w:name="_Toc296890982"/>
      <w:r>
        <w:rPr>
          <w:rFonts w:ascii="宋体" w:hAnsi="宋体"/>
          <w:color w:val="auto"/>
          <w:highlight w:val="none"/>
          <w:lang w:val="zh-CN"/>
        </w:rPr>
        <w:t>目录</w:t>
      </w:r>
      <w:bookmarkEnd w:id="49"/>
    </w:p>
    <w:p>
      <w:pPr>
        <w:pStyle w:val="11"/>
        <w:tabs>
          <w:tab w:val="right" w:leader="dot" w:pos="8810"/>
        </w:tabs>
        <w:ind w:firstLine="366" w:firstLineChars="150"/>
        <w:rPr>
          <w:b/>
          <w:i w:val="0"/>
          <w:iCs w:val="0"/>
          <w:color w:val="auto"/>
          <w:szCs w:val="21"/>
          <w:highlight w:val="none"/>
        </w:rPr>
      </w:pPr>
      <w:r>
        <w:rPr>
          <w:rFonts w:hint="eastAsia"/>
          <w:i w:val="0"/>
          <w:iCs w:val="0"/>
          <w:color w:val="auto"/>
          <w:szCs w:val="21"/>
          <w:highlight w:val="none"/>
        </w:rPr>
        <w:fldChar w:fldCharType="begin"/>
      </w:r>
      <w:r>
        <w:rPr>
          <w:i w:val="0"/>
          <w:iCs w:val="0"/>
          <w:color w:val="auto"/>
          <w:szCs w:val="21"/>
          <w:highlight w:val="none"/>
        </w:rPr>
        <w:instrText xml:space="preserve"> TOC \o "1-5" \h \z \u </w:instrText>
      </w:r>
      <w:r>
        <w:rPr>
          <w:rFonts w:hint="eastAsia"/>
          <w:i w:val="0"/>
          <w:iCs w:val="0"/>
          <w:color w:val="auto"/>
          <w:szCs w:val="21"/>
          <w:highlight w:val="none"/>
        </w:rPr>
        <w:fldChar w:fldCharType="separate"/>
      </w:r>
      <w:r>
        <w:rPr>
          <w:color w:val="auto"/>
          <w:highlight w:val="none"/>
        </w:rPr>
        <w:fldChar w:fldCharType="begin"/>
      </w:r>
      <w:r>
        <w:rPr>
          <w:color w:val="auto"/>
          <w:highlight w:val="none"/>
        </w:rPr>
        <w:instrText xml:space="preserve"> HYPERLINK \l "_Toc351203480" </w:instrText>
      </w:r>
      <w:r>
        <w:rPr>
          <w:color w:val="auto"/>
          <w:highlight w:val="none"/>
        </w:rPr>
        <w:fldChar w:fldCharType="separate"/>
      </w:r>
      <w:r>
        <w:rPr>
          <w:rStyle w:val="25"/>
          <w:b/>
          <w:i w:val="0"/>
          <w:iCs w:val="0"/>
          <w:color w:val="auto"/>
          <w:highlight w:val="none"/>
        </w:rPr>
        <w:t>第一部分 合同协议书</w:t>
      </w:r>
      <w:r>
        <w:rPr>
          <w:rStyle w:val="25"/>
          <w:b/>
          <w:i w:val="0"/>
          <w:iCs w:val="0"/>
          <w:color w:val="auto"/>
          <w:highlight w:val="none"/>
        </w:rPr>
        <w:fldChar w:fldCharType="end"/>
      </w:r>
    </w:p>
    <w:p>
      <w:pPr>
        <w:pStyle w:val="11"/>
        <w:tabs>
          <w:tab w:val="right" w:leader="dot" w:pos="8810"/>
        </w:tabs>
        <w:ind w:firstLine="241" w:firstLineChars="99"/>
        <w:rPr>
          <w:b/>
          <w:i w:val="0"/>
          <w:iCs w:val="0"/>
          <w:color w:val="auto"/>
          <w:szCs w:val="21"/>
          <w:highlight w:val="none"/>
        </w:rPr>
      </w:pPr>
      <w:r>
        <w:rPr>
          <w:color w:val="auto"/>
          <w:highlight w:val="none"/>
        </w:rPr>
        <w:fldChar w:fldCharType="begin"/>
      </w:r>
      <w:r>
        <w:rPr>
          <w:color w:val="auto"/>
          <w:highlight w:val="none"/>
        </w:rPr>
        <w:instrText xml:space="preserve"> HYPERLINK \l "_Toc351203494" </w:instrText>
      </w:r>
      <w:r>
        <w:rPr>
          <w:color w:val="auto"/>
          <w:highlight w:val="none"/>
        </w:rPr>
        <w:fldChar w:fldCharType="separate"/>
      </w:r>
      <w:r>
        <w:rPr>
          <w:rStyle w:val="25"/>
          <w:b/>
          <w:i w:val="0"/>
          <w:iCs w:val="0"/>
          <w:color w:val="auto"/>
          <w:highlight w:val="none"/>
        </w:rPr>
        <w:t>第二部分 通用合同条款</w:t>
      </w:r>
      <w:r>
        <w:rPr>
          <w:rStyle w:val="25"/>
          <w:b/>
          <w:i w:val="0"/>
          <w:iCs w:val="0"/>
          <w:color w:val="auto"/>
          <w:highlight w:val="none"/>
        </w:rPr>
        <w:fldChar w:fldCharType="end"/>
      </w:r>
    </w:p>
    <w:p>
      <w:pPr>
        <w:pStyle w:val="11"/>
        <w:tabs>
          <w:tab w:val="right" w:leader="dot" w:pos="8810"/>
        </w:tabs>
        <w:ind w:firstLine="244" w:firstLineChars="100"/>
        <w:rPr>
          <w:i w:val="0"/>
          <w:iCs w:val="0"/>
          <w:color w:val="auto"/>
          <w:szCs w:val="21"/>
          <w:highlight w:val="none"/>
        </w:rPr>
      </w:pPr>
      <w:r>
        <w:rPr>
          <w:color w:val="auto"/>
          <w:highlight w:val="none"/>
        </w:rPr>
        <w:fldChar w:fldCharType="begin"/>
      </w:r>
      <w:r>
        <w:rPr>
          <w:color w:val="auto"/>
          <w:highlight w:val="none"/>
        </w:rPr>
        <w:instrText xml:space="preserve"> HYPERLINK \l "_Toc351203632" </w:instrText>
      </w:r>
      <w:r>
        <w:rPr>
          <w:color w:val="auto"/>
          <w:highlight w:val="none"/>
        </w:rPr>
        <w:fldChar w:fldCharType="separate"/>
      </w:r>
      <w:r>
        <w:rPr>
          <w:rStyle w:val="25"/>
          <w:b/>
          <w:i w:val="0"/>
          <w:iCs w:val="0"/>
          <w:color w:val="auto"/>
          <w:highlight w:val="none"/>
        </w:rPr>
        <w:t>第三部分 专用合同条款</w:t>
      </w:r>
      <w:r>
        <w:rPr>
          <w:rStyle w:val="25"/>
          <w:b/>
          <w:i w:val="0"/>
          <w:iCs w:val="0"/>
          <w:color w:val="auto"/>
          <w:highlight w:val="none"/>
        </w:rPr>
        <w:fldChar w:fldCharType="end"/>
      </w:r>
    </w:p>
    <w:p>
      <w:pPr>
        <w:pStyle w:val="2"/>
        <w:jc w:val="center"/>
        <w:rPr>
          <w:rFonts w:hint="default"/>
          <w:color w:val="auto"/>
          <w:sz w:val="28"/>
          <w:szCs w:val="28"/>
          <w:highlight w:val="none"/>
        </w:rPr>
        <w:sectPr>
          <w:headerReference r:id="rId3" w:type="first"/>
          <w:footerReference r:id="rId5" w:type="first"/>
          <w:footerReference r:id="rId4" w:type="default"/>
          <w:pgSz w:w="11906" w:h="16838"/>
          <w:pgMar w:top="1134" w:right="1247" w:bottom="1134" w:left="1418" w:header="851" w:footer="992" w:gutter="0"/>
          <w:pgNumType w:start="0"/>
          <w:cols w:space="720" w:num="1"/>
          <w:titlePg/>
          <w:docGrid w:type="lines" w:linePitch="312" w:charSpace="0"/>
        </w:sectPr>
      </w:pPr>
      <w:r>
        <w:rPr>
          <w:color w:val="auto"/>
          <w:sz w:val="21"/>
          <w:szCs w:val="21"/>
          <w:highlight w:val="none"/>
        </w:rPr>
        <w:fldChar w:fldCharType="end"/>
      </w:r>
      <w:bookmarkStart w:id="52" w:name="_Toc351203480"/>
    </w:p>
    <w:p>
      <w:pPr>
        <w:pStyle w:val="3"/>
        <w:jc w:val="center"/>
        <w:rPr>
          <w:color w:val="auto"/>
          <w:highlight w:val="none"/>
        </w:rPr>
      </w:pPr>
      <w:bookmarkStart w:id="53" w:name="_Toc34809891"/>
      <w:bookmarkStart w:id="54" w:name="_Toc407135191"/>
      <w:bookmarkStart w:id="55" w:name="_Toc389065255"/>
      <w:bookmarkStart w:id="56" w:name="_Toc373227552"/>
      <w:bookmarkStart w:id="57" w:name="_Toc373478199"/>
      <w:bookmarkStart w:id="58" w:name="_Toc374949334"/>
      <w:bookmarkStart w:id="59" w:name="_Toc369269530"/>
      <w:bookmarkStart w:id="60" w:name="_Toc23635"/>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53"/>
      <w:bookmarkEnd w:id="54"/>
      <w:bookmarkEnd w:id="55"/>
      <w:bookmarkEnd w:id="56"/>
      <w:bookmarkEnd w:id="57"/>
    </w:p>
    <w:p>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pPr>
        <w:spacing w:line="360" w:lineRule="auto"/>
        <w:ind w:firstLine="420" w:firstLineChars="200"/>
        <w:rPr>
          <w:rFonts w:hAnsi="宋体"/>
          <w:color w:val="auto"/>
          <w:highlight w:val="none"/>
        </w:rPr>
      </w:pPr>
      <w:r>
        <w:rPr>
          <w:rFonts w:hint="eastAsia" w:hAnsi="宋体" w:cs="宋体"/>
          <w:color w:val="auto"/>
          <w:highlight w:val="none"/>
        </w:rPr>
        <w:t>根据《中华人民共和国合同法》、《中华人民共和国建筑法》及有关法律规定，遵循平等、自愿、公平和诚实信用的原则，双方就</w:t>
      </w:r>
      <w:r>
        <w:rPr>
          <w:color w:val="auto"/>
          <w:highlight w:val="none"/>
          <w:u w:val="single"/>
        </w:rPr>
        <w:t xml:space="preserve">                       </w:t>
      </w:r>
      <w:r>
        <w:rPr>
          <w:rFonts w:hint="eastAsia" w:hAnsi="宋体" w:cs="宋体"/>
          <w:color w:val="auto"/>
          <w:highlight w:val="none"/>
        </w:rPr>
        <w:t>工程施工及有关事项协商一致，共同达成如下协议：</w:t>
      </w:r>
    </w:p>
    <w:p>
      <w:pPr>
        <w:spacing w:line="360" w:lineRule="auto"/>
        <w:ind w:firstLine="422" w:firstLineChars="200"/>
        <w:outlineLvl w:val="0"/>
        <w:rPr>
          <w:b/>
          <w:bCs/>
          <w:color w:val="auto"/>
          <w:highlight w:val="none"/>
        </w:rPr>
      </w:pPr>
      <w:r>
        <w:rPr>
          <w:rFonts w:hint="eastAsia" w:hAnsi="宋体" w:cs="宋体"/>
          <w:b/>
          <w:bCs/>
          <w:color w:val="auto"/>
          <w:highlight w:val="none"/>
        </w:rPr>
        <w:t>一、工程概况</w:t>
      </w:r>
    </w:p>
    <w:p>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rFonts w:hint="eastAsia" w:hAnsi="宋体" w:cs="宋体"/>
          <w:color w:val="auto"/>
          <w:highlight w:val="none"/>
        </w:rPr>
        <w:t>群体工程应附《承包人承揽工程项目一览表》（附件</w:t>
      </w:r>
      <w:r>
        <w:rPr>
          <w:color w:val="auto"/>
          <w:highlight w:val="none"/>
        </w:rPr>
        <w:t>1</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6. </w:t>
      </w:r>
      <w:r>
        <w:rPr>
          <w:rFonts w:hint="eastAsia" w:hAnsi="宋体" w:cs="宋体"/>
          <w:color w:val="auto"/>
          <w:highlight w:val="none"/>
        </w:rPr>
        <w:t>工程承包范围：</w:t>
      </w:r>
    </w:p>
    <w:p>
      <w:pPr>
        <w:spacing w:line="360" w:lineRule="auto"/>
        <w:ind w:firstLine="405" w:firstLineChars="193"/>
        <w:rPr>
          <w:rFonts w:hAnsi="宋体"/>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07" w:firstLineChars="193"/>
        <w:outlineLvl w:val="0"/>
        <w:rPr>
          <w:b/>
          <w:bCs/>
          <w:color w:val="auto"/>
          <w:highlight w:val="none"/>
        </w:rPr>
      </w:pPr>
      <w:r>
        <w:rPr>
          <w:rFonts w:hint="eastAsia" w:hAnsi="宋体" w:cs="宋体"/>
          <w:b/>
          <w:bCs/>
          <w:color w:val="auto"/>
          <w:highlight w:val="none"/>
        </w:rPr>
        <w:t>二、合同工期</w:t>
      </w:r>
    </w:p>
    <w:p>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pPr>
        <w:spacing w:line="360" w:lineRule="auto"/>
        <w:ind w:firstLine="459"/>
        <w:outlineLvl w:val="0"/>
        <w:rPr>
          <w:b/>
          <w:bCs/>
          <w:color w:val="auto"/>
          <w:highlight w:val="none"/>
        </w:rPr>
      </w:pPr>
      <w:r>
        <w:rPr>
          <w:rFonts w:hint="eastAsia" w:hAnsi="宋体" w:cs="宋体"/>
          <w:b/>
          <w:bCs/>
          <w:color w:val="auto"/>
          <w:highlight w:val="none"/>
        </w:rPr>
        <w:t>三、质量标准</w:t>
      </w:r>
    </w:p>
    <w:p>
      <w:pPr>
        <w:spacing w:line="360" w:lineRule="auto"/>
        <w:ind w:firstLine="459"/>
        <w:rPr>
          <w:rFonts w:hAnsi="宋体"/>
          <w:color w:val="auto"/>
          <w:highlight w:val="none"/>
        </w:rPr>
      </w:pPr>
      <w:r>
        <w:rPr>
          <w:rFonts w:hint="eastAsia" w:hAnsi="宋体" w:cs="宋体"/>
          <w:color w:val="auto"/>
          <w:highlight w:val="none"/>
        </w:rPr>
        <w:t>工程质量</w:t>
      </w:r>
      <w:r>
        <w:rPr>
          <w:rFonts w:hint="eastAsia" w:ascii="宋体" w:hAnsi="宋体" w:cs="Courier New"/>
          <w:color w:val="auto"/>
          <w:spacing w:val="2"/>
          <w:szCs w:val="21"/>
          <w:highlight w:val="none"/>
          <w:u w:val="single"/>
        </w:rPr>
        <w:t>达到国家施工验收规范合格标准</w:t>
      </w:r>
      <w:r>
        <w:rPr>
          <w:rFonts w:hint="eastAsia" w:hAnsi="宋体" w:cs="宋体"/>
          <w:color w:val="auto"/>
          <w:highlight w:val="none"/>
        </w:rPr>
        <w:t>。</w:t>
      </w:r>
    </w:p>
    <w:p>
      <w:pPr>
        <w:spacing w:line="360" w:lineRule="auto"/>
        <w:ind w:firstLine="459"/>
        <w:outlineLvl w:val="0"/>
        <w:rPr>
          <w:rFonts w:hAnsi="宋体"/>
          <w:b/>
          <w:bCs/>
          <w:color w:val="auto"/>
          <w:highlight w:val="none"/>
        </w:rPr>
      </w:pPr>
      <w:r>
        <w:rPr>
          <w:rFonts w:hint="eastAsia" w:hAnsi="宋体" w:cs="宋体"/>
          <w:b/>
          <w:bCs/>
          <w:color w:val="auto"/>
          <w:highlight w:val="none"/>
        </w:rPr>
        <w:t>四、签约合同价与合同价格形式</w:t>
      </w:r>
    </w:p>
    <w:p>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525" w:firstLineChars="250"/>
        <w:rPr>
          <w:rFonts w:hAnsi="宋体"/>
          <w:color w:val="auto"/>
          <w:highlight w:val="none"/>
        </w:rPr>
      </w:pPr>
      <w:r>
        <w:rPr>
          <w:rFonts w:hint="eastAsia" w:hAnsi="宋体" w:cs="宋体"/>
          <w:color w:val="auto"/>
          <w:highlight w:val="none"/>
        </w:rPr>
        <w:t>其中：</w:t>
      </w:r>
    </w:p>
    <w:p>
      <w:pPr>
        <w:spacing w:line="360" w:lineRule="auto"/>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pPr>
        <w:spacing w:line="360" w:lineRule="auto"/>
        <w:ind w:firstLine="945" w:firstLineChars="450"/>
        <w:rPr>
          <w:rFonts w:hint="eastAsia" w:hAnsi="宋体" w:cs="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numPr>
          <w:ilvl w:val="0"/>
          <w:numId w:val="4"/>
        </w:numPr>
        <w:spacing w:line="360" w:lineRule="auto"/>
        <w:ind w:firstLine="420" w:firstLineChars="200"/>
        <w:rPr>
          <w:rFonts w:hint="eastAsia" w:hAnsi="宋体" w:cs="宋体"/>
          <w:color w:val="auto"/>
          <w:highlight w:val="none"/>
        </w:rPr>
      </w:pPr>
      <w:r>
        <w:rPr>
          <w:rFonts w:hint="eastAsia" w:hAnsi="宋体" w:cs="宋体"/>
          <w:color w:val="auto"/>
          <w:highlight w:val="none"/>
        </w:rPr>
        <w:t>合同价格形式：</w:t>
      </w:r>
      <w:r>
        <w:rPr>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3.（1）其它工程款支付账户：</w:t>
      </w:r>
      <w:r>
        <w:rPr>
          <w:rFonts w:hint="eastAsia" w:ascii="宋体" w:hAnsi="宋体" w:cs="宋体"/>
          <w:color w:val="auto"/>
          <w:highlight w:val="none"/>
          <w:u w:val="single"/>
        </w:rPr>
        <w:t xml:space="preserve">                      </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开户银行：</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945" w:firstLineChars="450"/>
        <w:rPr>
          <w:rFonts w:hint="eastAsia" w:ascii="宋体" w:hAnsi="宋体" w:cs="宋体"/>
          <w:color w:val="auto"/>
          <w:highlight w:val="none"/>
          <w:u w:val="single"/>
        </w:rPr>
      </w:pPr>
      <w:r>
        <w:rPr>
          <w:rFonts w:hint="eastAsia" w:ascii="宋体" w:hAnsi="宋体" w:cs="宋体"/>
          <w:color w:val="auto"/>
          <w:highlight w:val="none"/>
        </w:rPr>
        <w:t xml:space="preserve"> 账号：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5"/>
        </w:numPr>
        <w:spacing w:line="360" w:lineRule="auto"/>
        <w:ind w:left="420" w:leftChars="200" w:firstLine="210" w:firstLineChars="100"/>
        <w:jc w:val="left"/>
        <w:rPr>
          <w:rFonts w:hint="eastAsia" w:ascii="宋体" w:hAnsi="宋体" w:cs="宋体"/>
          <w:color w:val="auto"/>
          <w:highlight w:val="none"/>
        </w:rPr>
      </w:pPr>
      <w:r>
        <w:rPr>
          <w:rFonts w:hint="eastAsia" w:ascii="宋体" w:hAnsi="宋体" w:cs="宋体"/>
          <w:color w:val="auto"/>
          <w:highlight w:val="none"/>
        </w:rPr>
        <w:t>安全生产费支付专用账户：</w:t>
      </w:r>
      <w:r>
        <w:rPr>
          <w:rFonts w:hint="eastAsia" w:ascii="宋体" w:hAnsi="宋体" w:cs="宋体"/>
          <w:color w:val="auto"/>
          <w:highlight w:val="none"/>
          <w:u w:val="single"/>
        </w:rPr>
        <w:t xml:space="preserve">××××公司安全生产费专用账户 </w:t>
      </w:r>
      <w:r>
        <w:rPr>
          <w:rFonts w:hint="eastAsia" w:ascii="宋体" w:hAnsi="宋体" w:cs="宋体"/>
          <w:color w:val="auto"/>
          <w:highlight w:val="none"/>
        </w:rPr>
        <w:t xml:space="preserve">。 </w:t>
      </w:r>
    </w:p>
    <w:p>
      <w:pPr>
        <w:spacing w:line="360" w:lineRule="auto"/>
        <w:ind w:left="420" w:leftChars="200" w:firstLine="630" w:firstLineChars="300"/>
        <w:jc w:val="left"/>
        <w:rPr>
          <w:rFonts w:hint="eastAsia"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left="420" w:leftChars="200" w:firstLine="630" w:firstLineChars="300"/>
        <w:jc w:val="left"/>
        <w:rPr>
          <w:rFonts w:hint="eastAsia" w:ascii="宋体" w:hAnsi="宋体" w:cs="宋体"/>
          <w:color w:val="auto"/>
          <w:highlight w:val="none"/>
          <w:u w:val="single"/>
        </w:rPr>
      </w:pPr>
      <w:r>
        <w:rPr>
          <w:rFonts w:hint="eastAsia" w:ascii="宋体" w:hAnsi="宋体" w:cs="宋体"/>
          <w:color w:val="auto"/>
          <w:highlight w:val="none"/>
        </w:rPr>
        <w:t>账号:</w:t>
      </w:r>
      <w:r>
        <w:rPr>
          <w:rFonts w:hint="eastAsia" w:ascii="宋体" w:hAnsi="宋体" w:cs="宋体"/>
          <w:color w:val="auto"/>
          <w:highlight w:val="none"/>
          <w:u w:val="single"/>
        </w:rPr>
        <w:t xml:space="preserve">                        </w:t>
      </w:r>
    </w:p>
    <w:p>
      <w:pPr>
        <w:numPr>
          <w:ilvl w:val="0"/>
          <w:numId w:val="5"/>
        </w:numPr>
        <w:spacing w:line="360" w:lineRule="auto"/>
        <w:ind w:left="420" w:leftChars="200" w:firstLine="210" w:firstLineChars="100"/>
        <w:rPr>
          <w:rFonts w:hint="eastAsia" w:ascii="宋体" w:hAnsi="宋体" w:cs="宋体"/>
          <w:color w:val="auto"/>
          <w:highlight w:val="none"/>
        </w:rPr>
      </w:pPr>
      <w:r>
        <w:rPr>
          <w:rFonts w:hint="eastAsia" w:ascii="宋体" w:hAnsi="宋体" w:cs="宋体"/>
          <w:color w:val="auto"/>
          <w:highlight w:val="none"/>
        </w:rPr>
        <w:t>农民工工资支付专用账户：</w:t>
      </w:r>
      <w:r>
        <w:rPr>
          <w:rFonts w:hint="eastAsia" w:ascii="宋体" w:hAnsi="宋体" w:cs="宋体"/>
          <w:color w:val="auto"/>
          <w:highlight w:val="none"/>
          <w:u w:val="single"/>
        </w:rPr>
        <w:t>××××公司农民工工资支付专用账户</w:t>
      </w:r>
      <w:r>
        <w:rPr>
          <w:rFonts w:hint="eastAsia" w:ascii="宋体" w:hAnsi="宋体" w:cs="宋体"/>
          <w:color w:val="auto"/>
          <w:highlight w:val="none"/>
        </w:rPr>
        <w:t xml:space="preserve"> 。</w:t>
      </w:r>
    </w:p>
    <w:p>
      <w:pPr>
        <w:spacing w:line="360" w:lineRule="auto"/>
        <w:ind w:left="420"/>
        <w:rPr>
          <w:rFonts w:hint="eastAsia" w:ascii="宋体" w:hAnsi="宋体" w:cs="宋体"/>
          <w:color w:val="auto"/>
          <w:highlight w:val="none"/>
        </w:rPr>
      </w:pPr>
      <w:r>
        <w:rPr>
          <w:rFonts w:hint="eastAsia" w:ascii="宋体" w:hAnsi="宋体" w:cs="宋体"/>
          <w:color w:val="auto"/>
          <w:highlight w:val="none"/>
        </w:rPr>
        <w:t xml:space="preserve">     开户银行：</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1050" w:firstLineChars="500"/>
        <w:rPr>
          <w:rFonts w:hint="eastAsia" w:eastAsia="仿宋_GB2312"/>
          <w:color w:val="auto"/>
          <w:sz w:val="30"/>
          <w:szCs w:val="30"/>
          <w:highlight w:val="none"/>
        </w:rPr>
      </w:pPr>
      <w:r>
        <w:rPr>
          <w:rFonts w:hint="eastAsia" w:ascii="宋体" w:hAnsi="宋体" w:cs="宋体"/>
          <w:color w:val="auto"/>
          <w:highlight w:val="none"/>
        </w:rPr>
        <w:t>账号：</w:t>
      </w:r>
      <w:r>
        <w:rPr>
          <w:rFonts w:hint="eastAsia" w:ascii="宋体" w:hAnsi="宋体" w:cs="宋体"/>
          <w:color w:val="auto"/>
          <w:highlight w:val="none"/>
          <w:u w:val="single"/>
        </w:rPr>
        <w:t xml:space="preserve">                   </w:t>
      </w:r>
    </w:p>
    <w:p>
      <w:pPr>
        <w:spacing w:line="360" w:lineRule="auto"/>
        <w:rPr>
          <w:rFonts w:hint="eastAsia" w:hAnsi="宋体" w:cs="宋体"/>
          <w:color w:val="auto"/>
          <w:highlight w:val="none"/>
        </w:rPr>
      </w:pPr>
    </w:p>
    <w:p>
      <w:pPr>
        <w:spacing w:line="360" w:lineRule="auto"/>
        <w:ind w:firstLine="422" w:firstLineChars="200"/>
        <w:outlineLvl w:val="0"/>
        <w:rPr>
          <w:b/>
          <w:bCs/>
          <w:color w:val="auto"/>
          <w:highlight w:val="none"/>
        </w:rPr>
      </w:pPr>
      <w:r>
        <w:rPr>
          <w:rFonts w:hint="eastAsia" w:hAnsi="宋体" w:cs="宋体"/>
          <w:b/>
          <w:bCs/>
          <w:color w:val="auto"/>
          <w:highlight w:val="none"/>
        </w:rPr>
        <w:t>五、项目经理</w:t>
      </w:r>
    </w:p>
    <w:p>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pPr>
        <w:spacing w:line="360" w:lineRule="auto"/>
        <w:ind w:firstLine="422" w:firstLineChars="200"/>
        <w:outlineLvl w:val="0"/>
        <w:rPr>
          <w:b/>
          <w:bCs/>
          <w:color w:val="auto"/>
          <w:highlight w:val="none"/>
        </w:rPr>
      </w:pPr>
      <w:r>
        <w:rPr>
          <w:rFonts w:hint="eastAsia" w:hAnsi="宋体" w:cs="宋体"/>
          <w:b/>
          <w:bCs/>
          <w:color w:val="auto"/>
          <w:highlight w:val="none"/>
        </w:rPr>
        <w:t>六、合同文件构成</w:t>
      </w:r>
    </w:p>
    <w:p>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rFonts w:hint="eastAsia"/>
          <w:color w:val="auto"/>
          <w:highlight w:val="none"/>
        </w:rPr>
        <w:t>5</w:t>
      </w:r>
      <w:r>
        <w:rPr>
          <w:rFonts w:hint="eastAsia" w:hAnsi="宋体" w:cs="宋体"/>
          <w:color w:val="auto"/>
          <w:highlight w:val="none"/>
        </w:rPr>
        <w:t>）其他合同文件：</w:t>
      </w:r>
    </w:p>
    <w:p>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autoSpaceDE w:val="0"/>
        <w:autoSpaceDN w:val="0"/>
        <w:adjustRightInd w:val="0"/>
        <w:spacing w:line="360" w:lineRule="auto"/>
        <w:ind w:firstLine="422" w:firstLineChars="200"/>
        <w:jc w:val="left"/>
        <w:outlineLvl w:val="0"/>
        <w:rPr>
          <w:b/>
          <w:bCs/>
          <w:color w:val="auto"/>
          <w:highlight w:val="none"/>
        </w:rPr>
      </w:pPr>
      <w:r>
        <w:rPr>
          <w:rFonts w:hint="eastAsia" w:hAnsi="宋体" w:cs="宋体"/>
          <w:b/>
          <w:bCs/>
          <w:color w:val="auto"/>
          <w:highlight w:val="none"/>
        </w:rPr>
        <w:t>七、承诺</w:t>
      </w:r>
    </w:p>
    <w:p>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p>
    <w:p>
      <w:pPr>
        <w:spacing w:line="360" w:lineRule="auto"/>
        <w:ind w:firstLine="422" w:firstLineChars="200"/>
        <w:outlineLvl w:val="0"/>
        <w:rPr>
          <w:b/>
          <w:bCs/>
          <w:color w:val="auto"/>
          <w:highlight w:val="none"/>
        </w:rPr>
      </w:pPr>
      <w:r>
        <w:rPr>
          <w:rFonts w:hint="eastAsia" w:hAnsi="宋体" w:cs="宋体"/>
          <w:b/>
          <w:bCs/>
          <w:color w:val="auto"/>
          <w:highlight w:val="none"/>
        </w:rPr>
        <w:t>八、词语含义</w:t>
      </w:r>
    </w:p>
    <w:p>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pPr>
        <w:spacing w:line="360" w:lineRule="auto"/>
        <w:ind w:firstLine="422" w:firstLineChars="200"/>
        <w:outlineLvl w:val="0"/>
        <w:rPr>
          <w:b/>
          <w:bCs/>
          <w:color w:val="auto"/>
          <w:highlight w:val="none"/>
        </w:rPr>
      </w:pPr>
      <w:r>
        <w:rPr>
          <w:rFonts w:hint="eastAsia" w:hAnsi="宋体" w:cs="宋体"/>
          <w:b/>
          <w:bCs/>
          <w:color w:val="auto"/>
          <w:highlight w:val="none"/>
        </w:rPr>
        <w:t>九、签订时间</w:t>
      </w:r>
    </w:p>
    <w:p>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pPr>
        <w:spacing w:line="360" w:lineRule="auto"/>
        <w:ind w:firstLine="422" w:firstLineChars="200"/>
        <w:outlineLvl w:val="0"/>
        <w:rPr>
          <w:b/>
          <w:bCs/>
          <w:color w:val="auto"/>
          <w:highlight w:val="none"/>
        </w:rPr>
      </w:pPr>
      <w:r>
        <w:rPr>
          <w:rFonts w:hint="eastAsia" w:hAnsi="宋体" w:cs="宋体"/>
          <w:b/>
          <w:bCs/>
          <w:color w:val="auto"/>
          <w:highlight w:val="none"/>
        </w:rPr>
        <w:t>十、签订地点</w:t>
      </w:r>
    </w:p>
    <w:p>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hAnsi="宋体" w:cs="宋体"/>
          <w:color w:val="auto"/>
          <w:highlight w:val="none"/>
        </w:rPr>
        <w:t>签订。</w:t>
      </w:r>
    </w:p>
    <w:p>
      <w:pPr>
        <w:spacing w:line="360" w:lineRule="auto"/>
        <w:ind w:firstLine="422" w:firstLineChars="200"/>
        <w:outlineLvl w:val="0"/>
        <w:rPr>
          <w:b/>
          <w:bCs/>
          <w:color w:val="auto"/>
          <w:highlight w:val="none"/>
        </w:rPr>
      </w:pPr>
      <w:r>
        <w:rPr>
          <w:rFonts w:hint="eastAsia" w:hAnsi="宋体" w:cs="宋体"/>
          <w:b/>
          <w:bCs/>
          <w:color w:val="auto"/>
          <w:highlight w:val="none"/>
        </w:rPr>
        <w:t>十一、补充协议</w:t>
      </w:r>
    </w:p>
    <w:p>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pPr>
        <w:spacing w:line="360" w:lineRule="auto"/>
        <w:ind w:firstLine="422" w:firstLineChars="200"/>
        <w:outlineLvl w:val="0"/>
        <w:rPr>
          <w:b/>
          <w:bCs/>
          <w:color w:val="auto"/>
          <w:highlight w:val="none"/>
        </w:rPr>
      </w:pPr>
      <w:r>
        <w:rPr>
          <w:rFonts w:hint="eastAsia" w:hAnsi="宋体" w:cs="宋体"/>
          <w:b/>
          <w:bCs/>
          <w:color w:val="auto"/>
          <w:highlight w:val="none"/>
        </w:rPr>
        <w:t>十二、合同生效</w:t>
      </w:r>
    </w:p>
    <w:p>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hAnsi="宋体" w:cs="宋体"/>
          <w:color w:val="auto"/>
          <w:highlight w:val="none"/>
        </w:rPr>
        <w:t>生效。</w:t>
      </w:r>
    </w:p>
    <w:p>
      <w:pPr>
        <w:spacing w:line="360" w:lineRule="auto"/>
        <w:ind w:firstLine="422" w:firstLineChars="200"/>
        <w:outlineLvl w:val="0"/>
        <w:rPr>
          <w:b/>
          <w:bCs/>
          <w:color w:val="auto"/>
          <w:highlight w:val="none"/>
        </w:rPr>
      </w:pPr>
      <w:r>
        <w:rPr>
          <w:rFonts w:hint="eastAsia" w:hAnsi="宋体" w:cs="宋体"/>
          <w:b/>
          <w:bCs/>
          <w:color w:val="auto"/>
          <w:highlight w:val="none"/>
        </w:rPr>
        <w:t>十三、合同份数</w:t>
      </w:r>
    </w:p>
    <w:p>
      <w:pPr>
        <w:spacing w:line="360" w:lineRule="auto"/>
        <w:ind w:firstLine="42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hAnsi="宋体" w:cs="宋体"/>
          <w:color w:val="auto"/>
          <w:highlight w:val="none"/>
        </w:rPr>
        <w:t>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pPr>
        <w:spacing w:line="360" w:lineRule="auto"/>
        <w:rPr>
          <w:color w:val="auto"/>
          <w:highlight w:val="none"/>
          <w:u w:val="single"/>
        </w:rPr>
      </w:pPr>
      <w:r>
        <w:rPr>
          <w:color w:val="auto"/>
          <w:highlight w:val="none"/>
        </w:rPr>
        <w:t xml:space="preserve">                                 </w:t>
      </w:r>
    </w:p>
    <w:p>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pPr>
        <w:spacing w:line="360" w:lineRule="auto"/>
        <w:rPr>
          <w:color w:val="auto"/>
          <w:highlight w:val="none"/>
          <w:u w:val="single"/>
        </w:rPr>
      </w:pPr>
    </w:p>
    <w:p>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widowControl/>
        <w:jc w:val="left"/>
        <w:rPr>
          <w:color w:val="auto"/>
          <w:highlight w:val="none"/>
          <w:u w:val="single"/>
        </w:rPr>
      </w:pPr>
      <w:r>
        <w:rPr>
          <w:color w:val="auto"/>
          <w:highlight w:val="none"/>
        </w:rPr>
        <w:br w:type="page"/>
      </w:r>
    </w:p>
    <w:p>
      <w:pPr>
        <w:pStyle w:val="3"/>
        <w:jc w:val="center"/>
        <w:rPr>
          <w:color w:val="auto"/>
          <w:highlight w:val="none"/>
        </w:rPr>
      </w:pPr>
      <w:bookmarkStart w:id="61" w:name="_Toc389065256"/>
      <w:bookmarkStart w:id="62" w:name="_Toc34809892"/>
      <w:bookmarkStart w:id="63" w:name="_Toc407135192"/>
      <w:bookmarkStart w:id="64" w:name="_Toc373478338"/>
      <w:bookmarkStart w:id="65" w:name="_Toc373227691"/>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61"/>
      <w:bookmarkEnd w:id="62"/>
      <w:bookmarkEnd w:id="63"/>
    </w:p>
    <w:p>
      <w:pPr>
        <w:spacing w:line="360" w:lineRule="auto"/>
        <w:ind w:firstLine="420" w:firstLineChars="200"/>
        <w:rPr>
          <w:rFonts w:hAnsi="宋体"/>
          <w:color w:val="auto"/>
          <w:kern w:val="0"/>
          <w:highlight w:val="none"/>
        </w:rPr>
      </w:pPr>
    </w:p>
    <w:p>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pStyle w:val="3"/>
        <w:keepNext w:val="0"/>
        <w:keepLines w:val="0"/>
        <w:jc w:val="center"/>
        <w:rPr>
          <w:rFonts w:hAnsi="宋体"/>
          <w:color w:val="auto"/>
          <w:sz w:val="30"/>
          <w:szCs w:val="30"/>
          <w:highlight w:val="none"/>
        </w:rPr>
      </w:pPr>
      <w:bookmarkStart w:id="66" w:name="_Toc34809893"/>
      <w:bookmarkStart w:id="67" w:name="_Toc407135193"/>
      <w:bookmarkStart w:id="68" w:name="_Toc389065257"/>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64"/>
      <w:bookmarkEnd w:id="65"/>
      <w:bookmarkEnd w:id="66"/>
      <w:bookmarkEnd w:id="67"/>
      <w:bookmarkEnd w:id="68"/>
    </w:p>
    <w:p>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pPr>
        <w:pStyle w:val="4"/>
        <w:rPr>
          <w:color w:val="auto"/>
          <w:highlight w:val="none"/>
        </w:rPr>
      </w:pPr>
      <w:bookmarkStart w:id="69" w:name="_Toc373478339"/>
      <w:bookmarkStart w:id="70" w:name="_Toc373227692"/>
      <w:bookmarkStart w:id="71" w:name="_Toc389065258"/>
      <w:bookmarkStart w:id="72" w:name="_Toc34809894"/>
      <w:bookmarkStart w:id="73" w:name="_Toc407135194"/>
      <w:r>
        <w:rPr>
          <w:color w:val="auto"/>
          <w:highlight w:val="none"/>
        </w:rPr>
        <w:t xml:space="preserve">1. </w:t>
      </w:r>
      <w:r>
        <w:rPr>
          <w:rFonts w:hint="eastAsia" w:hAnsi="宋体" w:cs="黑体"/>
          <w:color w:val="auto"/>
          <w:highlight w:val="none"/>
        </w:rPr>
        <w:t>一般约定</w:t>
      </w:r>
      <w:bookmarkEnd w:id="69"/>
      <w:bookmarkEnd w:id="70"/>
      <w:bookmarkEnd w:id="71"/>
      <w:bookmarkEnd w:id="72"/>
      <w:bookmarkEnd w:id="73"/>
    </w:p>
    <w:p>
      <w:pPr>
        <w:pStyle w:val="2"/>
        <w:rPr>
          <w:color w:val="auto"/>
          <w:highlight w:val="none"/>
        </w:rPr>
      </w:pPr>
      <w:bookmarkStart w:id="74" w:name="_Toc34809895"/>
      <w:bookmarkStart w:id="75" w:name="_Toc373227693"/>
      <w:bookmarkStart w:id="76" w:name="_Toc373478340"/>
      <w:bookmarkStart w:id="77" w:name="_Toc389065259"/>
      <w:bookmarkStart w:id="78" w:name="_Toc407135195"/>
      <w:r>
        <w:rPr>
          <w:color w:val="auto"/>
          <w:highlight w:val="none"/>
        </w:rPr>
        <w:t xml:space="preserve">1.1 </w:t>
      </w:r>
      <w:r>
        <w:rPr>
          <w:rFonts w:hint="eastAsia" w:hAnsi="宋体" w:cs="黑体"/>
          <w:color w:val="auto"/>
          <w:highlight w:val="none"/>
        </w:rPr>
        <w:t>词语定义</w:t>
      </w:r>
      <w:bookmarkEnd w:id="74"/>
      <w:bookmarkEnd w:id="75"/>
      <w:bookmarkEnd w:id="76"/>
      <w:bookmarkEnd w:id="77"/>
      <w:bookmarkEnd w:id="78"/>
    </w:p>
    <w:p>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spacing w:line="360" w:lineRule="auto"/>
        <w:ind w:firstLine="420" w:firstLineChars="200"/>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ascii="宋体" w:hAnsi="宋体"/>
          <w:color w:val="auto"/>
          <w:highlight w:val="none"/>
          <w:u w:val="single"/>
        </w:rPr>
        <w:t>履行合同过程中双方总经理以上管理者（或双方工地代表人）书面确认的对合同内容有实质性影响的会议纪要、签证、设计变更等资料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pPr>
        <w:spacing w:line="360" w:lineRule="auto"/>
        <w:ind w:firstLine="420" w:firstLineChars="200"/>
        <w:jc w:val="left"/>
        <w:rPr>
          <w:rFonts w:hint="eastAsia"/>
          <w:color w:val="auto"/>
          <w:highlight w:val="none"/>
        </w:rPr>
      </w:pPr>
      <w:r>
        <w:rPr>
          <w:rFonts w:hint="eastAsia"/>
          <w:color w:val="auto"/>
          <w:highlight w:val="none"/>
        </w:rPr>
        <w:t>1.1.3.7 作为施工现场组成部分的其他场所包括：</w:t>
      </w:r>
      <w:r>
        <w:rPr>
          <w:rFonts w:hint="eastAsia"/>
          <w:color w:val="auto"/>
          <w:highlight w:val="none"/>
          <w:u w:val="single"/>
        </w:rPr>
        <w:t>符合通用条款规定的发包方提供的施工场地。</w:t>
      </w:r>
    </w:p>
    <w:p>
      <w:pPr>
        <w:spacing w:line="360" w:lineRule="auto"/>
        <w:ind w:firstLine="420" w:firstLineChars="200"/>
        <w:jc w:val="left"/>
        <w:rPr>
          <w:rFonts w:hint="eastAsia"/>
          <w:color w:val="auto"/>
          <w:highlight w:val="none"/>
          <w:u w:val="single"/>
        </w:rPr>
      </w:pPr>
      <w:r>
        <w:rPr>
          <w:rFonts w:hint="eastAsia"/>
          <w:color w:val="auto"/>
          <w:highlight w:val="none"/>
        </w:rPr>
        <w:t>1.1.3.9 永久占地包括：</w:t>
      </w:r>
      <w:r>
        <w:rPr>
          <w:rFonts w:hint="eastAsia"/>
          <w:color w:val="auto"/>
          <w:highlight w:val="none"/>
          <w:u w:val="single"/>
        </w:rPr>
        <w:t>建筑占地、道路用地、绿化用地</w:t>
      </w:r>
    </w:p>
    <w:p>
      <w:pPr>
        <w:spacing w:line="360" w:lineRule="auto"/>
        <w:ind w:firstLine="420" w:firstLineChars="200"/>
        <w:jc w:val="left"/>
        <w:rPr>
          <w:color w:val="auto"/>
          <w:highlight w:val="none"/>
        </w:rPr>
      </w:pPr>
      <w:r>
        <w:rPr>
          <w:rFonts w:hint="eastAsia"/>
          <w:color w:val="auto"/>
          <w:highlight w:val="none"/>
        </w:rPr>
        <w:t>1.1.3.10 临时占地包括</w:t>
      </w:r>
      <w:r>
        <w:rPr>
          <w:rFonts w:hint="eastAsia"/>
          <w:color w:val="auto"/>
          <w:highlight w:val="none"/>
          <w:u w:val="single"/>
        </w:rPr>
        <w:t>：临时工人宿舍、实验室、材料堆放场、材料加工场及施工便道用地等。</w:t>
      </w:r>
    </w:p>
    <w:p>
      <w:pPr>
        <w:pStyle w:val="2"/>
        <w:rPr>
          <w:color w:val="auto"/>
          <w:highlight w:val="none"/>
        </w:rPr>
      </w:pPr>
      <w:bookmarkStart w:id="79" w:name="_Toc34809896"/>
      <w:bookmarkStart w:id="80" w:name="_Toc373227694"/>
      <w:bookmarkStart w:id="81" w:name="_Toc389065260"/>
      <w:bookmarkStart w:id="82" w:name="_Toc373478341"/>
      <w:bookmarkStart w:id="83" w:name="_Toc407135196"/>
      <w:r>
        <w:rPr>
          <w:color w:val="auto"/>
          <w:highlight w:val="none"/>
        </w:rPr>
        <w:t xml:space="preserve">1.3 </w:t>
      </w:r>
      <w:r>
        <w:rPr>
          <w:rFonts w:hint="eastAsia" w:hAnsi="宋体" w:cs="黑体"/>
          <w:color w:val="auto"/>
          <w:highlight w:val="none"/>
        </w:rPr>
        <w:t>法律</w:t>
      </w:r>
      <w:bookmarkEnd w:id="79"/>
      <w:bookmarkEnd w:id="80"/>
      <w:bookmarkEnd w:id="81"/>
      <w:bookmarkEnd w:id="82"/>
      <w:bookmarkEnd w:id="83"/>
    </w:p>
    <w:p>
      <w:pPr>
        <w:spacing w:line="360" w:lineRule="auto"/>
        <w:ind w:firstLine="420" w:firstLineChars="200"/>
        <w:rPr>
          <w:color w:val="auto"/>
          <w:highlight w:val="none"/>
        </w:rPr>
      </w:pPr>
      <w:r>
        <w:rPr>
          <w:rFonts w:hint="eastAsia" w:hAnsi="宋体" w:cs="宋体"/>
          <w:color w:val="auto"/>
          <w:highlight w:val="none"/>
        </w:rPr>
        <w:t>适用于合同的其他规范性文件：</w:t>
      </w:r>
      <w:r>
        <w:rPr>
          <w:rFonts w:hint="eastAsia" w:ascii="宋体" w:hAnsi="宋体"/>
          <w:color w:val="auto"/>
          <w:highlight w:val="none"/>
          <w:u w:val="single"/>
        </w:rPr>
        <w:t>现行《中华人民共和国建筑法》、《中华人民共和国合同法》、《中华人民共和国招标投标法》、《建筑施工合同管理办法》及省市地方建设工程的法律、法规等。</w:t>
      </w:r>
    </w:p>
    <w:p>
      <w:pPr>
        <w:pStyle w:val="2"/>
        <w:rPr>
          <w:color w:val="auto"/>
          <w:highlight w:val="none"/>
        </w:rPr>
      </w:pPr>
      <w:bookmarkStart w:id="84" w:name="_Toc407135197"/>
      <w:bookmarkStart w:id="85" w:name="_Toc34809897"/>
      <w:bookmarkStart w:id="86" w:name="_Toc389065261"/>
      <w:bookmarkStart w:id="87" w:name="_Toc373227695"/>
      <w:bookmarkStart w:id="88" w:name="_Toc373478342"/>
      <w:r>
        <w:rPr>
          <w:color w:val="auto"/>
          <w:highlight w:val="none"/>
        </w:rPr>
        <w:t xml:space="preserve">1.4 </w:t>
      </w:r>
      <w:r>
        <w:rPr>
          <w:rFonts w:hint="eastAsia" w:hAnsi="宋体" w:cs="黑体"/>
          <w:color w:val="auto"/>
          <w:highlight w:val="none"/>
        </w:rPr>
        <w:t>标准和规范</w:t>
      </w:r>
      <w:bookmarkEnd w:id="84"/>
      <w:bookmarkEnd w:id="85"/>
      <w:bookmarkEnd w:id="86"/>
      <w:bookmarkEnd w:id="87"/>
      <w:bookmarkEnd w:id="88"/>
    </w:p>
    <w:p>
      <w:pPr>
        <w:spacing w:line="360" w:lineRule="auto"/>
        <w:ind w:firstLine="420" w:firstLineChars="200"/>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w:t>
      </w:r>
      <w:r>
        <w:rPr>
          <w:rFonts w:hint="eastAsia" w:ascii="宋体" w:hAnsi="宋体"/>
          <w:color w:val="auto"/>
          <w:highlight w:val="none"/>
          <w:u w:val="single"/>
        </w:rPr>
        <w:t>国家及省市现行施工验收规范及强制性条文和有关规定，现行颁布实施的建设工程标准规范</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Ansi="宋体"/>
          <w:color w:val="auto"/>
          <w:highlight w:val="none"/>
          <w:u w:val="single"/>
        </w:rPr>
        <w:t xml:space="preserve">    </w:t>
      </w:r>
      <w:r>
        <w:rPr>
          <w:rFonts w:hint="eastAsia" w:hAnsi="宋体"/>
          <w:color w:val="auto"/>
          <w:highlight w:val="none"/>
          <w:u w:val="single"/>
        </w:rPr>
        <w:t>无</w:t>
      </w:r>
      <w:r>
        <w:rPr>
          <w:rFonts w:hAnsi="宋体"/>
          <w:color w:val="auto"/>
          <w:highlight w:val="none"/>
          <w:u w:val="single"/>
        </w:rPr>
        <w:t xml:space="preserve">  </w:t>
      </w:r>
      <w:r>
        <w:rPr>
          <w:rFonts w:hint="eastAsia" w:hAnsi="宋体" w:cs="宋体"/>
          <w:color w:val="auto"/>
          <w:highlight w:val="none"/>
        </w:rPr>
        <w:t>。</w:t>
      </w:r>
    </w:p>
    <w:p>
      <w:pPr>
        <w:pStyle w:val="2"/>
        <w:rPr>
          <w:color w:val="auto"/>
          <w:highlight w:val="none"/>
        </w:rPr>
      </w:pPr>
      <w:bookmarkStart w:id="89" w:name="_Toc34809898"/>
      <w:bookmarkStart w:id="90" w:name="_Toc389065262"/>
      <w:bookmarkStart w:id="91" w:name="_Toc373227696"/>
      <w:bookmarkStart w:id="92" w:name="_Toc373478343"/>
      <w:bookmarkStart w:id="93" w:name="_Toc407135198"/>
      <w:r>
        <w:rPr>
          <w:color w:val="auto"/>
          <w:highlight w:val="none"/>
        </w:rPr>
        <w:t xml:space="preserve">1.5 </w:t>
      </w:r>
      <w:r>
        <w:rPr>
          <w:rFonts w:hint="eastAsia" w:cs="黑体"/>
          <w:color w:val="auto"/>
          <w:highlight w:val="none"/>
        </w:rPr>
        <w:t>合同文件的优先顺序</w:t>
      </w:r>
      <w:bookmarkEnd w:id="89"/>
      <w:bookmarkEnd w:id="90"/>
      <w:bookmarkEnd w:id="91"/>
      <w:bookmarkEnd w:id="92"/>
      <w:bookmarkEnd w:id="93"/>
    </w:p>
    <w:p>
      <w:pPr>
        <w:spacing w:line="360" w:lineRule="auto"/>
        <w:ind w:firstLine="420" w:firstLineChars="200"/>
        <w:rPr>
          <w:rFonts w:hAnsi="宋体"/>
          <w:color w:val="auto"/>
          <w:highlight w:val="none"/>
        </w:rPr>
      </w:pPr>
      <w:r>
        <w:rPr>
          <w:rFonts w:hint="eastAsia" w:hAnsi="宋体" w:cs="宋体"/>
          <w:color w:val="auto"/>
          <w:highlight w:val="none"/>
        </w:rPr>
        <w:t>合同文件组成及优先顺序为：</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）中标通知书（如有）；</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6</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7</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8</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9</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rPr>
        <w:t>其他合同文件</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rPr>
          <w:rFonts w:hint="eastAsia" w:hAnsi="宋体"/>
          <w:color w:val="auto"/>
          <w:kern w:val="0"/>
          <w:highlight w:val="none"/>
        </w:rPr>
      </w:pPr>
      <w:r>
        <w:rPr>
          <w:rFonts w:hint="eastAsia" w:hAnsi="宋体" w:cs="宋体"/>
          <w:color w:val="auto"/>
          <w:kern w:val="0"/>
          <w:highlight w:val="none"/>
        </w:rPr>
        <w:t>说明：</w:t>
      </w:r>
      <w:r>
        <w:rPr>
          <w:rFonts w:hint="eastAsia" w:ascii="宋体" w:hAnsi="宋体" w:cs="宋体"/>
          <w:color w:val="auto"/>
          <w:sz w:val="18"/>
          <w:szCs w:val="18"/>
          <w:highlight w:val="none"/>
        </w:rPr>
        <w:t>：</w:t>
      </w:r>
      <w:r>
        <w:rPr>
          <w:rFonts w:hint="eastAsia" w:hAnsi="宋体"/>
          <w:color w:val="auto"/>
          <w:kern w:val="0"/>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pStyle w:val="2"/>
        <w:rPr>
          <w:color w:val="auto"/>
          <w:highlight w:val="none"/>
        </w:rPr>
      </w:pPr>
      <w:bookmarkStart w:id="94" w:name="_Toc407135199"/>
      <w:bookmarkStart w:id="95" w:name="_Toc373227697"/>
      <w:bookmarkStart w:id="96" w:name="_Toc34809899"/>
      <w:bookmarkStart w:id="97" w:name="_Toc373478344"/>
      <w:bookmarkStart w:id="98" w:name="_Toc389065263"/>
      <w:r>
        <w:rPr>
          <w:color w:val="auto"/>
          <w:highlight w:val="none"/>
        </w:rPr>
        <w:t xml:space="preserve">1.6 </w:t>
      </w:r>
      <w:r>
        <w:rPr>
          <w:rFonts w:hint="eastAsia" w:cs="黑体"/>
          <w:color w:val="auto"/>
          <w:highlight w:val="none"/>
        </w:rPr>
        <w:t>图纸和承包人文件</w:t>
      </w:r>
      <w:bookmarkEnd w:id="94"/>
      <w:bookmarkEnd w:id="95"/>
      <w:bookmarkEnd w:id="96"/>
      <w:bookmarkEnd w:id="97"/>
      <w:bookmarkEnd w:id="98"/>
      <w:r>
        <w:rPr>
          <w:color w:val="auto"/>
          <w:highlight w:val="none"/>
        </w:rPr>
        <w:tab/>
      </w:r>
    </w:p>
    <w:p>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color w:val="auto"/>
          <w:highlight w:val="none"/>
          <w:u w:val="single"/>
        </w:rPr>
        <w:t xml:space="preserve"> </w:t>
      </w:r>
      <w:r>
        <w:rPr>
          <w:rFonts w:hint="eastAsia" w:ascii="宋体" w:hAnsi="宋体"/>
          <w:color w:val="auto"/>
          <w:highlight w:val="none"/>
          <w:u w:val="single"/>
        </w:rPr>
        <w:t>合同生效后15天内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肆 </w:t>
      </w:r>
      <w:r>
        <w:rPr>
          <w:rFonts w:hint="eastAsia" w:hAnsi="宋体" w:cs="宋体"/>
          <w:color w:val="auto"/>
          <w:highlight w:val="none"/>
        </w:rPr>
        <w:t>套（承包人需要增加图纸套数的，发包人应代为复制，复制费用由承包人承担）；</w:t>
      </w:r>
    </w:p>
    <w:p>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color w:val="auto"/>
          <w:highlight w:val="none"/>
          <w:u w:val="single"/>
        </w:rPr>
        <w:t xml:space="preserve">   </w:t>
      </w:r>
      <w:r>
        <w:rPr>
          <w:rFonts w:hint="eastAsia" w:ascii="宋体" w:hAnsi="宋体" w:cs="宋体"/>
          <w:color w:val="auto"/>
          <w:highlight w:val="none"/>
          <w:u w:val="single"/>
        </w:rPr>
        <w:t>按通条款执行</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color w:val="auto"/>
          <w:highlight w:val="none"/>
          <w:u w:val="single"/>
        </w:rPr>
        <w:t xml:space="preserve">  </w:t>
      </w:r>
      <w:r>
        <w:rPr>
          <w:rFonts w:hint="eastAsia" w:ascii="宋体" w:hAnsi="宋体"/>
          <w:color w:val="auto"/>
          <w:highlight w:val="none"/>
          <w:u w:val="single"/>
        </w:rPr>
        <w:t>施工组织设计、进度计划书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ascii="宋体" w:hAnsi="宋体"/>
          <w:bCs/>
          <w:color w:val="auto"/>
          <w:highlight w:val="none"/>
          <w:u w:val="single"/>
        </w:rPr>
        <w:t>构件开始施工前14天内</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承包人提供的文件的数量为：</w:t>
      </w:r>
      <w:r>
        <w:rPr>
          <w:color w:val="auto"/>
          <w:highlight w:val="none"/>
          <w:u w:val="single"/>
        </w:rPr>
        <w:t xml:space="preserve">         3</w:t>
      </w:r>
      <w:r>
        <w:rPr>
          <w:rFonts w:hint="eastAsia"/>
          <w:color w:val="auto"/>
          <w:highlight w:val="none"/>
          <w:u w:val="single"/>
        </w:rPr>
        <w:t>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ascii="宋体" w:hAnsi="宋体"/>
          <w:color w:val="auto"/>
          <w:highlight w:val="none"/>
          <w:u w:val="single"/>
        </w:rPr>
        <w:t>书面形式</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ascii="宋体" w:hAnsi="宋体"/>
          <w:color w:val="auto"/>
          <w:highlight w:val="none"/>
          <w:u w:val="single"/>
        </w:rPr>
        <w:t>收到文件后7天内</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pPr>
        <w:spacing w:line="360" w:lineRule="auto"/>
        <w:ind w:firstLine="420" w:firstLineChars="200"/>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int="eastAsia" w:ascii="宋体" w:hAnsi="宋体"/>
          <w:color w:val="auto"/>
          <w:highlight w:val="none"/>
          <w:u w:val="single"/>
        </w:rPr>
        <w:t>承包人应在施工现场另外保存一套完整的图纸和承包人文件，供发包人、监理人及有关人员进行工程检查时使用</w:t>
      </w:r>
      <w:r>
        <w:rPr>
          <w:rFonts w:hAnsi="宋体"/>
          <w:color w:val="auto"/>
          <w:highlight w:val="none"/>
          <w:u w:val="single"/>
        </w:rPr>
        <w:t xml:space="preserve"> </w:t>
      </w:r>
      <w:r>
        <w:rPr>
          <w:rFonts w:hint="eastAsia" w:hAnsi="宋体" w:cs="宋体"/>
          <w:color w:val="auto"/>
          <w:highlight w:val="none"/>
        </w:rPr>
        <w:t>。</w:t>
      </w:r>
    </w:p>
    <w:p>
      <w:pPr>
        <w:pStyle w:val="2"/>
        <w:rPr>
          <w:color w:val="auto"/>
          <w:highlight w:val="none"/>
        </w:rPr>
      </w:pPr>
      <w:bookmarkStart w:id="99" w:name="_Toc407135200"/>
      <w:bookmarkStart w:id="100" w:name="_Toc373227698"/>
      <w:bookmarkStart w:id="101" w:name="_Toc389065264"/>
      <w:bookmarkStart w:id="102" w:name="_Toc373478345"/>
      <w:bookmarkStart w:id="103" w:name="_Toc34809900"/>
      <w:r>
        <w:rPr>
          <w:color w:val="auto"/>
          <w:highlight w:val="none"/>
        </w:rPr>
        <w:t xml:space="preserve">1.7 </w:t>
      </w:r>
      <w:r>
        <w:rPr>
          <w:rFonts w:hint="eastAsia" w:hAnsi="宋体" w:cs="黑体"/>
          <w:color w:val="auto"/>
          <w:highlight w:val="none"/>
        </w:rPr>
        <w:t>联络</w:t>
      </w:r>
      <w:bookmarkEnd w:id="99"/>
      <w:bookmarkEnd w:id="100"/>
      <w:bookmarkEnd w:id="101"/>
      <w:bookmarkEnd w:id="102"/>
      <w:bookmarkEnd w:id="103"/>
    </w:p>
    <w:p>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7  </w:t>
      </w:r>
      <w:r>
        <w:rPr>
          <w:rFonts w:hint="eastAsia" w:hAnsi="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rFonts w:hint="eastAsia" w:ascii="宋体" w:hAnsi="宋体" w:cs="宋体"/>
          <w:color w:val="auto"/>
          <w:highlight w:val="none"/>
          <w:u w:val="single"/>
        </w:rPr>
        <w:t>现场业主工程部</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ascii="宋体" w:hAnsi="宋体" w:cs="宋体"/>
          <w:color w:val="auto"/>
          <w:highlight w:val="none"/>
          <w:u w:val="single"/>
        </w:rPr>
        <w:t>业主派驻现场代表</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ascii="宋体" w:hAnsi="宋体" w:cs="宋体"/>
          <w:color w:val="auto"/>
          <w:highlight w:val="none"/>
          <w:u w:val="single"/>
        </w:rPr>
        <w:t>现场施工单位项目部</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ascii="宋体" w:hAnsi="宋体" w:cs="宋体"/>
          <w:color w:val="auto"/>
          <w:highlight w:val="none"/>
          <w:u w:val="single"/>
        </w:rPr>
        <w:t>项目经理、技术负责人</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ascii="宋体" w:hAnsi="宋体" w:cs="宋体"/>
          <w:color w:val="auto"/>
          <w:highlight w:val="none"/>
          <w:u w:val="single"/>
        </w:rPr>
        <w:t>监理人施工现场监理办公室</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ascii="宋体" w:hAnsi="宋体" w:cs="宋体"/>
          <w:color w:val="auto"/>
          <w:highlight w:val="none"/>
          <w:u w:val="single"/>
        </w:rPr>
        <w:t>总监或总监代表</w:t>
      </w:r>
      <w:r>
        <w:rPr>
          <w:color w:val="auto"/>
          <w:highlight w:val="none"/>
          <w:u w:val="single"/>
        </w:rPr>
        <w:t xml:space="preserve"> </w:t>
      </w:r>
      <w:r>
        <w:rPr>
          <w:rFonts w:hint="eastAsia" w:hAnsi="宋体" w:cs="宋体"/>
          <w:color w:val="auto"/>
          <w:kern w:val="0"/>
          <w:highlight w:val="none"/>
        </w:rPr>
        <w:t>。</w:t>
      </w:r>
    </w:p>
    <w:p>
      <w:pPr>
        <w:pStyle w:val="2"/>
        <w:rPr>
          <w:color w:val="auto"/>
          <w:highlight w:val="none"/>
        </w:rPr>
      </w:pPr>
      <w:bookmarkStart w:id="104" w:name="_Toc389065265"/>
      <w:bookmarkStart w:id="105" w:name="_Toc34809901"/>
      <w:bookmarkStart w:id="106" w:name="_Toc407135201"/>
      <w:bookmarkStart w:id="107" w:name="_Toc373227699"/>
      <w:bookmarkStart w:id="108" w:name="_Toc373478346"/>
      <w:r>
        <w:rPr>
          <w:color w:val="auto"/>
          <w:highlight w:val="none"/>
        </w:rPr>
        <w:t xml:space="preserve">1.10 </w:t>
      </w:r>
      <w:r>
        <w:rPr>
          <w:rFonts w:hint="eastAsia" w:hAnsi="宋体" w:cs="黑体"/>
          <w:color w:val="auto"/>
          <w:highlight w:val="none"/>
        </w:rPr>
        <w:t>交通运输</w:t>
      </w:r>
      <w:bookmarkEnd w:id="104"/>
      <w:bookmarkEnd w:id="105"/>
      <w:bookmarkEnd w:id="106"/>
      <w:bookmarkEnd w:id="107"/>
      <w:bookmarkEnd w:id="108"/>
    </w:p>
    <w:p>
      <w:pPr>
        <w:spacing w:line="360" w:lineRule="auto"/>
        <w:ind w:firstLine="420" w:firstLineChars="200"/>
        <w:rPr>
          <w:color w:val="auto"/>
          <w:highlight w:val="none"/>
        </w:rPr>
      </w:pPr>
      <w:r>
        <w:rPr>
          <w:color w:val="auto"/>
          <w:highlight w:val="none"/>
        </w:rPr>
        <w:t xml:space="preserve">1.10.1 </w:t>
      </w:r>
      <w:r>
        <w:rPr>
          <w:rFonts w:hint="eastAsia" w:hAnsi="宋体" w:cs="宋体"/>
          <w:color w:val="auto"/>
          <w:highlight w:val="none"/>
        </w:rPr>
        <w:t>出入现场的权利</w:t>
      </w:r>
    </w:p>
    <w:p>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ascii="宋体" w:hAnsi="宋体"/>
          <w:color w:val="auto"/>
          <w:highlight w:val="none"/>
          <w:u w:val="single"/>
        </w:rPr>
        <w:t>按《通用合同条款》1.10.1条执行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1.10.3 </w:t>
      </w:r>
      <w:r>
        <w:rPr>
          <w:rFonts w:hint="eastAsia" w:hAnsi="宋体" w:cs="宋体"/>
          <w:color w:val="auto"/>
          <w:highlight w:val="none"/>
        </w:rPr>
        <w:t>场内交通</w:t>
      </w:r>
    </w:p>
    <w:p>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ascii="宋体" w:hAnsi="宋体"/>
          <w:color w:val="auto"/>
          <w:highlight w:val="none"/>
          <w:u w:val="single"/>
        </w:rPr>
        <w:t>施工</w:t>
      </w:r>
      <w:r>
        <w:rPr>
          <w:rFonts w:hint="eastAsia"/>
          <w:color w:val="auto"/>
          <w:highlight w:val="none"/>
        </w:rPr>
        <w:t>围挡</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int="eastAsia" w:ascii="宋体" w:hAnsi="宋体"/>
          <w:color w:val="auto"/>
          <w:highlight w:val="none"/>
          <w:u w:val="single"/>
        </w:rPr>
        <w:t>由承包人负责并承担相应费用</w:t>
      </w:r>
      <w:r>
        <w:rPr>
          <w:color w:val="auto"/>
          <w:highlight w:val="none"/>
          <w:u w:val="single"/>
        </w:rPr>
        <w:t xml:space="preserve"> </w:t>
      </w:r>
      <w:r>
        <w:rPr>
          <w:rFonts w:hAnsi="宋体"/>
          <w:color w:val="auto"/>
          <w:highlight w:val="none"/>
        </w:rPr>
        <w:t>。</w:t>
      </w:r>
    </w:p>
    <w:p>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ascii="宋体" w:hAnsi="宋体"/>
          <w:color w:val="auto"/>
          <w:highlight w:val="none"/>
          <w:u w:val="single"/>
        </w:rPr>
        <w:t>承包人</w:t>
      </w:r>
      <w:r>
        <w:rPr>
          <w:color w:val="auto"/>
          <w:highlight w:val="none"/>
          <w:u w:val="single"/>
        </w:rPr>
        <w:t xml:space="preserve"> </w:t>
      </w:r>
      <w:r>
        <w:rPr>
          <w:rFonts w:hint="eastAsia" w:hAnsi="宋体" w:cs="宋体"/>
          <w:color w:val="auto"/>
          <w:highlight w:val="none"/>
        </w:rPr>
        <w:t>承担。</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1.10.5 场外交通</w:t>
      </w:r>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关于场外交通的约定：</w:t>
      </w:r>
      <w:r>
        <w:rPr>
          <w:rFonts w:hint="eastAsia" w:hAnsi="宋体" w:cs="宋体"/>
          <w:color w:val="auto"/>
          <w:highlight w:val="none"/>
          <w:u w:val="single"/>
        </w:rPr>
        <w:t>如该工程项目属于重点整治范围内的散货运输必须委托经贵港市城市管理监督局核准的企业进行运输，并加强工地管理，对工地出入口道路硬化及保洁，对不按规定落实大气污染防尘治理的工地进行查处。</w:t>
      </w:r>
    </w:p>
    <w:p>
      <w:pPr>
        <w:pStyle w:val="2"/>
        <w:rPr>
          <w:color w:val="auto"/>
          <w:highlight w:val="none"/>
        </w:rPr>
      </w:pPr>
      <w:bookmarkStart w:id="109" w:name="_Toc389065266"/>
      <w:bookmarkStart w:id="110" w:name="_Toc373227700"/>
      <w:bookmarkStart w:id="111" w:name="_Toc34809902"/>
      <w:bookmarkStart w:id="112" w:name="_Toc407135202"/>
      <w:bookmarkStart w:id="113" w:name="_Toc373478347"/>
      <w:r>
        <w:rPr>
          <w:color w:val="auto"/>
          <w:highlight w:val="none"/>
        </w:rPr>
        <w:t xml:space="preserve">1.11 </w:t>
      </w:r>
      <w:r>
        <w:rPr>
          <w:rFonts w:hint="eastAsia" w:hAnsi="宋体" w:cs="黑体"/>
          <w:color w:val="auto"/>
          <w:highlight w:val="none"/>
        </w:rPr>
        <w:t>知识产权</w:t>
      </w:r>
      <w:bookmarkEnd w:id="109"/>
      <w:bookmarkEnd w:id="110"/>
      <w:bookmarkEnd w:id="111"/>
      <w:bookmarkEnd w:id="112"/>
      <w:bookmarkEnd w:id="113"/>
    </w:p>
    <w:p>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ascii="宋体" w:hAnsi="宋体" w:cs="宋体"/>
          <w:color w:val="auto"/>
          <w:highlight w:val="none"/>
          <w:u w:val="single"/>
        </w:rPr>
        <w:t>按《通用</w:t>
      </w:r>
      <w:r>
        <w:rPr>
          <w:rFonts w:hint="eastAsia" w:ascii="宋体" w:hAnsi="宋体"/>
          <w:color w:val="auto"/>
          <w:highlight w:val="none"/>
          <w:u w:val="single"/>
        </w:rPr>
        <w:t>合同条款》1.11.1条执行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w:t>
      </w:r>
      <w:r>
        <w:rPr>
          <w:rFonts w:hint="eastAsia" w:ascii="宋体" w:hAnsi="宋体" w:cs="宋体"/>
          <w:color w:val="auto"/>
          <w:highlight w:val="none"/>
          <w:u w:val="single"/>
        </w:rPr>
        <w:t>按《通用</w:t>
      </w:r>
      <w:r>
        <w:rPr>
          <w:rFonts w:hint="eastAsia" w:ascii="宋体" w:hAnsi="宋体"/>
          <w:color w:val="auto"/>
          <w:highlight w:val="none"/>
          <w:u w:val="single"/>
        </w:rPr>
        <w:t>合同条款》1.11.1条执行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color w:val="auto"/>
          <w:highlight w:val="none"/>
          <w:u w:val="single"/>
        </w:rPr>
        <w:t xml:space="preserve"> </w:t>
      </w:r>
      <w:r>
        <w:rPr>
          <w:rFonts w:hint="eastAsia" w:ascii="宋体" w:hAnsi="宋体" w:cs="宋体"/>
          <w:color w:val="auto"/>
          <w:highlight w:val="none"/>
          <w:u w:val="single"/>
        </w:rPr>
        <w:t>按《通用</w:t>
      </w:r>
      <w:r>
        <w:rPr>
          <w:rFonts w:hint="eastAsia" w:ascii="宋体" w:hAnsi="宋体"/>
          <w:color w:val="auto"/>
          <w:highlight w:val="none"/>
          <w:u w:val="single"/>
        </w:rPr>
        <w:t>合同条款》执行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w:t>
      </w:r>
      <w:r>
        <w:rPr>
          <w:rFonts w:hint="eastAsia" w:ascii="宋体" w:hAnsi="宋体" w:cs="宋体"/>
          <w:color w:val="auto"/>
          <w:highlight w:val="none"/>
          <w:u w:val="single"/>
        </w:rPr>
        <w:t>按《通用</w:t>
      </w:r>
      <w:r>
        <w:rPr>
          <w:rFonts w:hint="eastAsia" w:ascii="宋体" w:hAnsi="宋体"/>
          <w:color w:val="auto"/>
          <w:highlight w:val="none"/>
          <w:u w:val="single"/>
        </w:rPr>
        <w:t>合同条款》执行</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hint="eastAsia" w:ascii="宋体" w:hAnsi="宋体"/>
          <w:color w:val="auto"/>
          <w:highlight w:val="none"/>
          <w:u w:val="single"/>
        </w:rPr>
        <w:t>承包人在合同签订前和签订时已确定采用的专利、专有技术、技术秘密的使用费已包含在签约合同价中</w:t>
      </w:r>
      <w:r>
        <w:rPr>
          <w:color w:val="auto"/>
          <w:highlight w:val="none"/>
          <w:u w:val="single"/>
        </w:rPr>
        <w:t xml:space="preserve"> </w:t>
      </w:r>
      <w:r>
        <w:rPr>
          <w:rFonts w:hint="eastAsia" w:hAnsi="宋体" w:cs="宋体"/>
          <w:color w:val="auto"/>
          <w:kern w:val="0"/>
          <w:highlight w:val="none"/>
        </w:rPr>
        <w:t>。</w:t>
      </w:r>
    </w:p>
    <w:p>
      <w:pPr>
        <w:pStyle w:val="2"/>
        <w:rPr>
          <w:color w:val="auto"/>
          <w:highlight w:val="none"/>
        </w:rPr>
      </w:pPr>
      <w:bookmarkStart w:id="114" w:name="_Toc389065267"/>
      <w:bookmarkStart w:id="115" w:name="_Toc373478348"/>
      <w:bookmarkStart w:id="116" w:name="_Toc407135203"/>
      <w:bookmarkStart w:id="117" w:name="_Toc373227701"/>
      <w:bookmarkStart w:id="118" w:name="_Toc34809903"/>
      <w:r>
        <w:rPr>
          <w:color w:val="auto"/>
          <w:highlight w:val="none"/>
        </w:rPr>
        <w:t>1.13</w:t>
      </w:r>
      <w:r>
        <w:rPr>
          <w:rFonts w:hint="eastAsia" w:cs="黑体"/>
          <w:color w:val="auto"/>
          <w:highlight w:val="none"/>
        </w:rPr>
        <w:t>工程量清单错误的修正</w:t>
      </w:r>
      <w:bookmarkEnd w:id="114"/>
      <w:bookmarkEnd w:id="115"/>
      <w:bookmarkEnd w:id="116"/>
      <w:bookmarkEnd w:id="117"/>
      <w:bookmarkEnd w:id="118"/>
    </w:p>
    <w:p>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ascii="Segoe UI Symbol" w:hAnsi="Segoe UI Symbol" w:cs="Segoe UI Symbol"/>
          <w:color w:val="auto"/>
          <w:highlight w:val="none"/>
          <w:u w:val="single"/>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rFonts w:hint="eastAsia" w:hAnsi="宋体" w:cs="宋体"/>
          <w:color w:val="auto"/>
          <w:highlight w:val="none"/>
        </w:rPr>
      </w:pPr>
      <w:r>
        <w:rPr>
          <w:rFonts w:hint="eastAsia" w:hAnsi="宋体" w:cs="宋体"/>
          <w:color w:val="auto"/>
          <w:highlight w:val="none"/>
        </w:rPr>
        <w:t>允许调整合同价格的工程量偏差范围及其调整办法：</w:t>
      </w:r>
    </w:p>
    <w:p>
      <w:pPr>
        <w:spacing w:line="360" w:lineRule="auto"/>
        <w:ind w:firstLine="422" w:firstLineChars="200"/>
        <w:rPr>
          <w:rFonts w:hint="eastAsia" w:hAnsi="宋体" w:cs="宋体"/>
          <w:color w:val="auto"/>
          <w:highlight w:val="none"/>
          <w:u w:val="single"/>
        </w:rPr>
      </w:pPr>
      <w:r>
        <w:rPr>
          <w:rFonts w:hint="eastAsia" w:ascii="宋体" w:hAnsi="宋体"/>
          <w:b/>
          <w:color w:val="auto"/>
          <w:highlight w:val="none"/>
          <w:u w:val="single"/>
        </w:rPr>
        <w:t>工程量按实际工程量，材料价格按施工期间贵港的信息价格</w:t>
      </w:r>
      <w:r>
        <w:rPr>
          <w:rFonts w:hint="eastAsia" w:ascii="Calibri" w:hAnsi="宋体" w:cs="宋体"/>
          <w:color w:val="auto"/>
          <w:highlight w:val="none"/>
          <w:u w:val="single"/>
        </w:rPr>
        <w:t xml:space="preserve"> 。</w:t>
      </w:r>
    </w:p>
    <w:p>
      <w:pPr>
        <w:pStyle w:val="4"/>
        <w:rPr>
          <w:color w:val="auto"/>
          <w:highlight w:val="none"/>
        </w:rPr>
      </w:pPr>
      <w:bookmarkStart w:id="119" w:name="_Toc407135204"/>
      <w:bookmarkStart w:id="120" w:name="_Toc34809904"/>
      <w:bookmarkStart w:id="121" w:name="_Toc373227702"/>
      <w:bookmarkStart w:id="122" w:name="_Toc389065268"/>
      <w:bookmarkStart w:id="123" w:name="_Toc373478349"/>
      <w:r>
        <w:rPr>
          <w:color w:val="auto"/>
          <w:highlight w:val="none"/>
        </w:rPr>
        <w:t xml:space="preserve">2. </w:t>
      </w:r>
      <w:r>
        <w:rPr>
          <w:rFonts w:hint="eastAsia" w:hAnsi="宋体" w:cs="黑体"/>
          <w:color w:val="auto"/>
          <w:highlight w:val="none"/>
        </w:rPr>
        <w:t>发包人</w:t>
      </w:r>
      <w:bookmarkEnd w:id="119"/>
      <w:bookmarkEnd w:id="120"/>
      <w:bookmarkEnd w:id="121"/>
      <w:bookmarkEnd w:id="122"/>
      <w:bookmarkEnd w:id="123"/>
    </w:p>
    <w:p>
      <w:pPr>
        <w:pStyle w:val="2"/>
        <w:rPr>
          <w:color w:val="auto"/>
          <w:highlight w:val="none"/>
        </w:rPr>
      </w:pPr>
      <w:bookmarkStart w:id="124" w:name="_Toc407135205"/>
      <w:bookmarkStart w:id="125" w:name="_Toc373478350"/>
      <w:bookmarkStart w:id="126" w:name="_Toc389065269"/>
      <w:bookmarkStart w:id="127" w:name="_Toc373227703"/>
      <w:bookmarkStart w:id="128" w:name="_Toc34809905"/>
      <w:r>
        <w:rPr>
          <w:color w:val="auto"/>
          <w:highlight w:val="none"/>
        </w:rPr>
        <w:t xml:space="preserve">2.2 </w:t>
      </w:r>
      <w:r>
        <w:rPr>
          <w:rFonts w:hint="eastAsia" w:hAnsi="宋体" w:cs="黑体"/>
          <w:color w:val="auto"/>
          <w:highlight w:val="none"/>
        </w:rPr>
        <w:t>发包人代表</w:t>
      </w:r>
      <w:bookmarkEnd w:id="124"/>
      <w:bookmarkEnd w:id="125"/>
      <w:bookmarkEnd w:id="126"/>
      <w:bookmarkEnd w:id="127"/>
      <w:bookmarkEnd w:id="128"/>
    </w:p>
    <w:p>
      <w:pPr>
        <w:spacing w:line="360" w:lineRule="auto"/>
        <w:ind w:firstLine="420" w:firstLineChars="200"/>
        <w:rPr>
          <w:color w:val="auto"/>
          <w:highlight w:val="none"/>
        </w:rPr>
      </w:pPr>
      <w:r>
        <w:rPr>
          <w:rFonts w:hint="eastAsia" w:hAnsi="宋体" w:cs="宋体"/>
          <w:color w:val="auto"/>
          <w:highlight w:val="none"/>
        </w:rPr>
        <w:t>发包人代表：</w:t>
      </w:r>
    </w:p>
    <w:p>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发包人对发包人代表的授权范围如下：</w:t>
      </w:r>
      <w:r>
        <w:rPr>
          <w:rFonts w:hint="eastAsia" w:ascii="宋体" w:hAnsi="宋体" w:cs="宋体"/>
          <w:color w:val="auto"/>
          <w:highlight w:val="none"/>
          <w:u w:val="single"/>
        </w:rPr>
        <w:t>（</w:t>
      </w:r>
      <w:r>
        <w:rPr>
          <w:rFonts w:ascii="宋体" w:hAnsi="宋体" w:cs="宋体"/>
          <w:color w:val="auto"/>
          <w:highlight w:val="none"/>
          <w:u w:val="single"/>
        </w:rPr>
        <w:t>1</w:t>
      </w:r>
      <w:r>
        <w:rPr>
          <w:rFonts w:hint="eastAsia" w:ascii="宋体" w:hAnsi="宋体" w:cs="宋体"/>
          <w:color w:val="auto"/>
          <w:highlight w:val="none"/>
          <w:u w:val="single"/>
        </w:rPr>
        <w:t>）对工程监理方和承包方的工作进行监督、检查；（</w:t>
      </w:r>
      <w:r>
        <w:rPr>
          <w:rFonts w:ascii="宋体" w:hAnsi="宋体" w:cs="宋体"/>
          <w:color w:val="auto"/>
          <w:highlight w:val="none"/>
          <w:u w:val="single"/>
        </w:rPr>
        <w:t>2</w:t>
      </w:r>
      <w:r>
        <w:rPr>
          <w:rFonts w:hint="eastAsia" w:ascii="宋体" w:hAnsi="宋体" w:cs="宋体"/>
          <w:color w:val="auto"/>
          <w:highlight w:val="none"/>
          <w:u w:val="single"/>
        </w:rPr>
        <w:t>）按照合同约定，代表发包人履行其权利和义务；（</w:t>
      </w:r>
      <w:r>
        <w:rPr>
          <w:rFonts w:ascii="宋体" w:hAnsi="宋体" w:cs="宋体"/>
          <w:color w:val="auto"/>
          <w:highlight w:val="none"/>
          <w:u w:val="single"/>
        </w:rPr>
        <w:t>3</w:t>
      </w:r>
      <w:r>
        <w:rPr>
          <w:rFonts w:hint="eastAsia" w:ascii="宋体" w:hAnsi="宋体" w:cs="宋体"/>
          <w:color w:val="auto"/>
          <w:highlight w:val="none"/>
          <w:u w:val="single"/>
        </w:rPr>
        <w:t>）协调有关政府主管部门；（</w:t>
      </w:r>
      <w:r>
        <w:rPr>
          <w:rFonts w:ascii="宋体" w:hAnsi="宋体" w:cs="宋体"/>
          <w:color w:val="auto"/>
          <w:highlight w:val="none"/>
          <w:u w:val="single"/>
        </w:rPr>
        <w:t>4</w:t>
      </w:r>
      <w:r>
        <w:rPr>
          <w:rFonts w:hint="eastAsia" w:ascii="宋体" w:hAnsi="宋体" w:cs="宋体"/>
          <w:color w:val="auto"/>
          <w:highlight w:val="none"/>
          <w:u w:val="single"/>
        </w:rPr>
        <w:t>）负责质量、进度、安全、现场签证及协调工作；</w:t>
      </w:r>
    </w:p>
    <w:p>
      <w:pPr>
        <w:pStyle w:val="2"/>
        <w:rPr>
          <w:color w:val="auto"/>
          <w:highlight w:val="none"/>
        </w:rPr>
      </w:pPr>
      <w:bookmarkStart w:id="129" w:name="_Toc373227704"/>
      <w:bookmarkStart w:id="130" w:name="_Toc389065270"/>
      <w:bookmarkStart w:id="131" w:name="_Toc34809906"/>
      <w:bookmarkStart w:id="132" w:name="_Toc373478351"/>
      <w:bookmarkStart w:id="133" w:name="_Toc407135206"/>
      <w:r>
        <w:rPr>
          <w:color w:val="auto"/>
          <w:highlight w:val="none"/>
        </w:rPr>
        <w:t xml:space="preserve">2.4 </w:t>
      </w:r>
      <w:r>
        <w:rPr>
          <w:rFonts w:hint="eastAsia" w:cs="黑体"/>
          <w:color w:val="auto"/>
          <w:highlight w:val="none"/>
        </w:rPr>
        <w:t>施工现场、施工条件和基础资料的提供</w:t>
      </w:r>
      <w:bookmarkEnd w:id="129"/>
      <w:bookmarkEnd w:id="130"/>
      <w:bookmarkEnd w:id="131"/>
      <w:bookmarkEnd w:id="132"/>
      <w:bookmarkEnd w:id="133"/>
    </w:p>
    <w:p>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pPr>
        <w:spacing w:line="360" w:lineRule="auto"/>
        <w:ind w:firstLine="420" w:firstLineChars="200"/>
        <w:jc w:val="left"/>
        <w:rPr>
          <w:rFonts w:hAnsi="宋体" w:cs="宋体"/>
          <w:color w:val="auto"/>
          <w:highlight w:val="none"/>
        </w:rPr>
      </w:pPr>
      <w:r>
        <w:rPr>
          <w:rFonts w:hint="eastAsia" w:hAnsi="宋体" w:cs="宋体"/>
          <w:color w:val="auto"/>
          <w:highlight w:val="none"/>
        </w:rPr>
        <w:t>关于发包人移交施工现场的期限要求：</w:t>
      </w:r>
      <w:r>
        <w:rPr>
          <w:color w:val="auto"/>
          <w:highlight w:val="none"/>
          <w:u w:val="single"/>
        </w:rPr>
        <w:t xml:space="preserve">  </w:t>
      </w:r>
      <w:r>
        <w:rPr>
          <w:rFonts w:hint="eastAsia" w:ascii="宋体" w:hAnsi="宋体" w:cs="宋体"/>
          <w:color w:val="auto"/>
          <w:highlight w:val="none"/>
          <w:u w:val="single"/>
        </w:rPr>
        <w:t>开工前7天</w:t>
      </w:r>
      <w:r>
        <w:rPr>
          <w:color w:val="auto"/>
          <w:highlight w:val="none"/>
          <w:u w:val="single"/>
        </w:rPr>
        <w:t xml:space="preserve"> </w:t>
      </w:r>
      <w:r>
        <w:rPr>
          <w:rFonts w:hint="eastAsia" w:hAnsi="宋体" w:cs="宋体"/>
          <w:color w:val="auto"/>
          <w:highlight w:val="none"/>
        </w:rPr>
        <w:t>。</w:t>
      </w:r>
    </w:p>
    <w:p>
      <w:pPr>
        <w:pStyle w:val="33"/>
        <w:snapToGrid w:val="0"/>
        <w:spacing w:line="440" w:lineRule="exact"/>
        <w:ind w:firstLine="420" w:firstLineChars="200"/>
        <w:rPr>
          <w:rFonts w:ascii="宋体"/>
          <w:color w:val="auto"/>
          <w:highlight w:val="none"/>
          <w:u w:val="singl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）施工场地具备施工条件的要求及完成的时间：</w:t>
      </w:r>
      <w:r>
        <w:rPr>
          <w:rFonts w:hint="eastAsia" w:ascii="宋体" w:hAnsi="宋体"/>
          <w:color w:val="auto"/>
          <w:highlight w:val="none"/>
          <w:u w:val="single"/>
        </w:rPr>
        <w:t>施工场地应当在监理人发出的开工通知中载明的开工日期前</w:t>
      </w:r>
      <w:r>
        <w:rPr>
          <w:rFonts w:ascii="宋体" w:hAnsi="宋体"/>
          <w:color w:val="auto"/>
          <w:highlight w:val="none"/>
          <w:u w:val="single"/>
        </w:rPr>
        <w:t xml:space="preserve"> </w:t>
      </w:r>
      <w:r>
        <w:rPr>
          <w:rFonts w:hint="eastAsia" w:ascii="宋体" w:hAnsi="宋体"/>
          <w:color w:val="auto"/>
          <w:highlight w:val="none"/>
          <w:u w:val="single"/>
        </w:rPr>
        <w:t>7天具备施工条件并移交给承包人。发包人最迟应当在移交施工场地的同时向承包人提供施工场地内地下管线和地下设施等有关资料，并保证资料的真实、准确和完整，并对所提供的工程地质和地下管线资料及地下设施等的真实准确性负责。</w:t>
      </w:r>
    </w:p>
    <w:p>
      <w:pPr>
        <w:pStyle w:val="34"/>
        <w:snapToGrid w:val="0"/>
        <w:spacing w:line="440" w:lineRule="exact"/>
        <w:rPr>
          <w:rFonts w:ascii="宋体"/>
          <w:color w:val="auto"/>
          <w:szCs w:val="21"/>
          <w:highlight w:val="none"/>
          <w:u w:val="single"/>
        </w:rPr>
      </w:pPr>
      <w:r>
        <w:rPr>
          <w:rFonts w:asci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）将施工所需的水、电接至施工场地的时间、地点和供应要求：</w:t>
      </w:r>
      <w:r>
        <w:rPr>
          <w:rFonts w:hint="eastAsia" w:ascii="宋体" w:hAnsi="宋体" w:cs="宋体"/>
          <w:color w:val="auto"/>
          <w:szCs w:val="21"/>
          <w:highlight w:val="none"/>
          <w:u w:val="single"/>
        </w:rPr>
        <w:t>水、电总表前（含总表）由发包人负责，总表后由承包人负责，费用包含在承包报价中。由承包人自行与供水、供电公司结算付款，获取相应发票。若供电部门的原因造成停电，工期</w:t>
      </w:r>
      <w:r>
        <w:rPr>
          <w:rFonts w:hint="eastAsia" w:ascii="宋体" w:hAnsi="宋体"/>
          <w:color w:val="auto"/>
          <w:szCs w:val="21"/>
          <w:highlight w:val="none"/>
          <w:u w:val="single"/>
        </w:rPr>
        <w:t>顺延，若需承包人自行发电，费用由承包人负责。</w:t>
      </w:r>
    </w:p>
    <w:p>
      <w:pPr>
        <w:pStyle w:val="35"/>
        <w:snapToGrid w:val="0"/>
        <w:spacing w:line="440" w:lineRule="exact"/>
        <w:ind w:firstLine="525" w:firstLineChars="250"/>
        <w:jc w:val="left"/>
        <w:rPr>
          <w:rFonts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）施工场地与公共道路的通道开通时间和要求：</w:t>
      </w:r>
      <w:r>
        <w:rPr>
          <w:rFonts w:hint="eastAsia" w:ascii="宋体" w:hAnsi="宋体" w:cs="宋体"/>
          <w:color w:val="auto"/>
          <w:szCs w:val="21"/>
          <w:highlight w:val="none"/>
          <w:u w:val="single"/>
        </w:rPr>
        <w:t>围墙外公共道路由发包人负责，围墙内施工场地及道路由承包人负责，费用包含在承包报价中。</w:t>
      </w:r>
    </w:p>
    <w:p>
      <w:pPr>
        <w:pStyle w:val="35"/>
        <w:snapToGrid w:val="0"/>
        <w:spacing w:line="440" w:lineRule="exact"/>
        <w:ind w:firstLine="525" w:firstLineChars="250"/>
        <w:jc w:val="left"/>
        <w:rPr>
          <w:rFonts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）发包人在开工前负责提供工程地质资料。</w:t>
      </w:r>
    </w:p>
    <w:p>
      <w:pPr>
        <w:pStyle w:val="35"/>
        <w:snapToGrid w:val="0"/>
        <w:spacing w:line="440" w:lineRule="exact"/>
        <w:ind w:firstLine="525" w:firstLineChars="250"/>
        <w:jc w:val="left"/>
        <w:rPr>
          <w:rFonts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）由发包人办理的施工所需证件、批件的名称和完成时间：</w:t>
      </w:r>
      <w:r>
        <w:rPr>
          <w:rFonts w:hint="eastAsia" w:ascii="宋体" w:hAnsi="宋体" w:cs="宋体"/>
          <w:color w:val="auto"/>
          <w:szCs w:val="21"/>
          <w:highlight w:val="none"/>
          <w:u w:val="single"/>
        </w:rPr>
        <w:t>〈规划许可证〉，〈施工许可证〉</w:t>
      </w:r>
      <w:r>
        <w:rPr>
          <w:rFonts w:ascii="宋体" w:cs="宋体"/>
          <w:color w:val="auto"/>
          <w:szCs w:val="21"/>
          <w:highlight w:val="none"/>
          <w:u w:val="single"/>
        </w:rPr>
        <w:t>,</w:t>
      </w:r>
      <w:r>
        <w:rPr>
          <w:rFonts w:hint="eastAsia" w:ascii="宋体" w:hAnsi="宋体" w:cs="宋体"/>
          <w:color w:val="auto"/>
          <w:szCs w:val="21"/>
          <w:highlight w:val="none"/>
          <w:u w:val="single"/>
        </w:rPr>
        <w:t>正式开工日期前</w:t>
      </w:r>
      <w:r>
        <w:rPr>
          <w:rFonts w:ascii="宋体" w:hAnsi="宋体" w:cs="宋体"/>
          <w:color w:val="auto"/>
          <w:szCs w:val="21"/>
          <w:highlight w:val="none"/>
          <w:u w:val="single"/>
        </w:rPr>
        <w:t>7</w:t>
      </w:r>
      <w:r>
        <w:rPr>
          <w:rFonts w:hint="eastAsia" w:ascii="宋体" w:hAnsi="宋体" w:cs="宋体"/>
          <w:color w:val="auto"/>
          <w:szCs w:val="21"/>
          <w:highlight w:val="none"/>
          <w:u w:val="single"/>
        </w:rPr>
        <w:t>日办理完成</w:t>
      </w:r>
      <w:r>
        <w:rPr>
          <w:rFonts w:hint="eastAsia" w:ascii="宋体" w:hAnsi="宋体" w:cs="宋体"/>
          <w:color w:val="auto"/>
          <w:szCs w:val="21"/>
          <w:highlight w:val="none"/>
        </w:rPr>
        <w:t>。</w:t>
      </w:r>
    </w:p>
    <w:p>
      <w:pPr>
        <w:pStyle w:val="35"/>
        <w:snapToGrid w:val="0"/>
        <w:spacing w:line="440" w:lineRule="exact"/>
        <w:ind w:firstLine="525" w:firstLineChars="250"/>
        <w:jc w:val="left"/>
        <w:rPr>
          <w:rFonts w:hint="eastAsia"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w:t>
      </w:r>
      <w:r>
        <w:rPr>
          <w:rFonts w:hint="eastAsia" w:ascii="宋体" w:hAnsi="宋体" w:cs="宋体"/>
          <w:color w:val="auto"/>
          <w:szCs w:val="21"/>
          <w:highlight w:val="none"/>
        </w:rPr>
        <w:t>协调处理施工场地周围地下管线和邻近建筑物</w:t>
      </w:r>
      <w:r>
        <w:rPr>
          <w:rFonts w:hint="eastAsia" w:ascii="宋体" w:hAnsi="宋体" w:cs="宋体"/>
          <w:color w:val="auto"/>
          <w:highlight w:val="none"/>
        </w:rPr>
        <w:t>、构筑物（含文物保护建筑）、古树名木的保护工作：</w:t>
      </w:r>
      <w:r>
        <w:rPr>
          <w:rFonts w:hint="eastAsia" w:ascii="宋体" w:hAnsi="宋体" w:cs="宋体"/>
          <w:color w:val="auto"/>
          <w:highlight w:val="none"/>
          <w:u w:val="single"/>
        </w:rPr>
        <w:t>发包人负责有关外部协调工作，承包人负责处理施工中保护工作，保护要达到有关部门的要求和满足工程施工的需要，费用由发包人承担，工期顺延。</w:t>
      </w:r>
    </w:p>
    <w:p>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r>
        <w:rPr>
          <w:color w:val="auto"/>
          <w:highlight w:val="none"/>
          <w:u w:val="single"/>
        </w:rPr>
        <w:t xml:space="preserve">  </w:t>
      </w:r>
      <w:r>
        <w:rPr>
          <w:rFonts w:hint="eastAsia" w:ascii="宋体" w:hAnsi="宋体" w:cs="宋体"/>
          <w:color w:val="auto"/>
          <w:highlight w:val="none"/>
          <w:u w:val="single"/>
        </w:rPr>
        <w:t>本工程发包人不提供任何工程材料和工程设备</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134" w:name="_Toc373478352"/>
      <w:bookmarkStart w:id="135" w:name="_Toc389065271"/>
      <w:bookmarkStart w:id="136" w:name="_Toc407135207"/>
      <w:bookmarkStart w:id="137" w:name="_Toc373227705"/>
      <w:bookmarkStart w:id="138" w:name="_Toc34809907"/>
      <w:r>
        <w:rPr>
          <w:color w:val="auto"/>
          <w:highlight w:val="none"/>
        </w:rPr>
        <w:t xml:space="preserve">2.5 </w:t>
      </w:r>
      <w:r>
        <w:rPr>
          <w:rFonts w:hint="eastAsia" w:cs="黑体"/>
          <w:color w:val="auto"/>
          <w:highlight w:val="none"/>
        </w:rPr>
        <w:t>资金来源证明及支付担保</w:t>
      </w:r>
      <w:bookmarkEnd w:id="134"/>
      <w:bookmarkEnd w:id="135"/>
      <w:bookmarkEnd w:id="136"/>
      <w:bookmarkEnd w:id="137"/>
      <w:bookmarkEnd w:id="138"/>
    </w:p>
    <w:p>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rPr>
        <w:t>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pPr>
        <w:pStyle w:val="4"/>
        <w:rPr>
          <w:color w:val="auto"/>
          <w:highlight w:val="none"/>
        </w:rPr>
      </w:pPr>
      <w:bookmarkStart w:id="139" w:name="_Toc407135208"/>
      <w:bookmarkStart w:id="140" w:name="_Toc389065272"/>
      <w:bookmarkStart w:id="141" w:name="_Toc373227706"/>
      <w:bookmarkStart w:id="142" w:name="_Toc373478353"/>
      <w:bookmarkStart w:id="143" w:name="_Toc34809908"/>
      <w:r>
        <w:rPr>
          <w:color w:val="auto"/>
          <w:highlight w:val="none"/>
        </w:rPr>
        <w:t xml:space="preserve">3. </w:t>
      </w:r>
      <w:r>
        <w:rPr>
          <w:rFonts w:hint="eastAsia" w:hAnsi="宋体" w:cs="黑体"/>
          <w:color w:val="auto"/>
          <w:highlight w:val="none"/>
        </w:rPr>
        <w:t>承包人</w:t>
      </w:r>
      <w:bookmarkEnd w:id="139"/>
      <w:bookmarkEnd w:id="140"/>
      <w:bookmarkEnd w:id="141"/>
      <w:bookmarkEnd w:id="142"/>
      <w:bookmarkEnd w:id="143"/>
    </w:p>
    <w:p>
      <w:pPr>
        <w:pStyle w:val="2"/>
        <w:rPr>
          <w:color w:val="auto"/>
          <w:highlight w:val="none"/>
        </w:rPr>
      </w:pPr>
      <w:bookmarkStart w:id="144" w:name="_Toc34809909"/>
      <w:bookmarkStart w:id="145" w:name="_Toc407135209"/>
      <w:bookmarkStart w:id="146" w:name="_Toc389065273"/>
      <w:bookmarkStart w:id="147" w:name="_Toc373478354"/>
      <w:bookmarkStart w:id="148" w:name="_Toc373227707"/>
      <w:r>
        <w:rPr>
          <w:color w:val="auto"/>
          <w:highlight w:val="none"/>
        </w:rPr>
        <w:t xml:space="preserve">3.1 </w:t>
      </w:r>
      <w:r>
        <w:rPr>
          <w:rFonts w:hint="eastAsia" w:cs="黑体"/>
          <w:color w:val="auto"/>
          <w:highlight w:val="none"/>
        </w:rPr>
        <w:t>承包人的一般义务</w:t>
      </w:r>
      <w:bookmarkEnd w:id="144"/>
      <w:bookmarkEnd w:id="145"/>
      <w:bookmarkEnd w:id="146"/>
      <w:bookmarkEnd w:id="147"/>
      <w:bookmarkEnd w:id="148"/>
    </w:p>
    <w:p>
      <w:pPr>
        <w:spacing w:line="360" w:lineRule="auto"/>
        <w:ind w:firstLine="420" w:firstLineChars="200"/>
        <w:jc w:val="left"/>
        <w:rPr>
          <w:rFonts w:ascii="宋体" w:hAnsi="宋体"/>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ascii="宋体" w:hAnsi="宋体"/>
          <w:color w:val="auto"/>
          <w:highlight w:val="none"/>
          <w:u w:val="single"/>
        </w:rPr>
        <w:t>当全部工程完工，准备竣工验收前，承包人应提供全套竣工资料。</w:t>
      </w:r>
    </w:p>
    <w:p>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ascii="宋体" w:hAnsi="宋体"/>
          <w:color w:val="auto"/>
          <w:highlight w:val="none"/>
          <w:u w:val="single"/>
        </w:rPr>
        <w:t>6套竣工图、6套竣工资料</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color w:val="auto"/>
          <w:highlight w:val="none"/>
          <w:u w:val="single"/>
        </w:rPr>
        <w:t xml:space="preserve"> </w:t>
      </w:r>
      <w:r>
        <w:rPr>
          <w:rFonts w:hint="eastAsia" w:ascii="宋体" w:hAnsi="宋体"/>
          <w:color w:val="auto"/>
          <w:highlight w:val="none"/>
          <w:u w:val="single"/>
        </w:rPr>
        <w:t>由承包人承担</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color w:val="auto"/>
          <w:highlight w:val="none"/>
          <w:u w:val="single"/>
        </w:rPr>
        <w:t xml:space="preserve"> </w:t>
      </w:r>
      <w:r>
        <w:rPr>
          <w:rFonts w:hint="eastAsia" w:ascii="宋体" w:hAnsi="宋体"/>
          <w:color w:val="auto"/>
          <w:highlight w:val="none"/>
          <w:u w:val="single"/>
        </w:rPr>
        <w:t>竣工验收合格后28天内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color w:val="auto"/>
          <w:highlight w:val="none"/>
          <w:u w:val="single"/>
        </w:rPr>
        <w:t xml:space="preserve">  </w:t>
      </w:r>
      <w:r>
        <w:rPr>
          <w:rFonts w:hint="eastAsia" w:ascii="宋体" w:hAnsi="宋体"/>
          <w:color w:val="auto"/>
          <w:highlight w:val="none"/>
          <w:u w:val="single"/>
        </w:rPr>
        <w:t>书面形式</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r>
        <w:rPr>
          <w:rFonts w:hint="eastAsia" w:ascii="宋体" w:hAnsi="宋体"/>
          <w:color w:val="auto"/>
          <w:highlight w:val="none"/>
          <w:u w:val="single"/>
        </w:rPr>
        <w:t>发包人委托办理施工许可证等开工前的各项手续，其余事项按《通用合同条款》3.1条执行</w:t>
      </w:r>
      <w:r>
        <w:rPr>
          <w:color w:val="auto"/>
          <w:kern w:val="0"/>
          <w:highlight w:val="none"/>
          <w:u w:val="single"/>
        </w:rPr>
        <w:t xml:space="preserve">  </w:t>
      </w:r>
      <w:r>
        <w:rPr>
          <w:rFonts w:hint="eastAsia" w:hAnsi="宋体" w:cs="宋体"/>
          <w:color w:val="auto"/>
          <w:kern w:val="0"/>
          <w:highlight w:val="none"/>
        </w:rPr>
        <w:t>。</w:t>
      </w:r>
    </w:p>
    <w:p>
      <w:pPr>
        <w:pStyle w:val="2"/>
        <w:rPr>
          <w:color w:val="auto"/>
          <w:highlight w:val="none"/>
        </w:rPr>
      </w:pPr>
      <w:bookmarkStart w:id="149" w:name="_Toc373478355"/>
      <w:bookmarkStart w:id="150" w:name="_Toc389065274"/>
      <w:bookmarkStart w:id="151" w:name="_Toc373227708"/>
      <w:bookmarkStart w:id="152" w:name="_Toc407135210"/>
      <w:bookmarkStart w:id="153" w:name="_Toc34809910"/>
      <w:r>
        <w:rPr>
          <w:color w:val="auto"/>
          <w:highlight w:val="none"/>
        </w:rPr>
        <w:t xml:space="preserve">3.2 </w:t>
      </w:r>
      <w:r>
        <w:rPr>
          <w:rFonts w:hint="eastAsia" w:hAnsi="宋体" w:cs="黑体"/>
          <w:color w:val="auto"/>
          <w:highlight w:val="none"/>
        </w:rPr>
        <w:t>项目经理</w:t>
      </w:r>
      <w:bookmarkEnd w:id="149"/>
      <w:bookmarkEnd w:id="150"/>
      <w:bookmarkEnd w:id="151"/>
      <w:bookmarkEnd w:id="152"/>
      <w:bookmarkEnd w:id="153"/>
    </w:p>
    <w:p>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建造师执业印章号：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ascii="宋体" w:hAnsi="宋体"/>
          <w:color w:val="auto"/>
          <w:highlight w:val="none"/>
          <w:u w:val="single"/>
        </w:rPr>
        <w:t>项目经理为承包人法定代表人在该项目上的代表人，负责本工程施工过程的一切事务</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关于项目经理每月在施工现场的时间要求：</w:t>
      </w:r>
      <w:r>
        <w:rPr>
          <w:rFonts w:hint="eastAsia" w:ascii="宋体" w:hAnsi="宋体"/>
          <w:color w:val="auto"/>
          <w:highlight w:val="none"/>
          <w:u w:val="single"/>
        </w:rPr>
        <w:t>项目经理不少于24日历天，未达到的每少一天罚100元，按月考核，项目经理不到位累计达5天的，发包人及监理人给予警告，累计达10天及以上的，发包人有权终止合同，由此引起的损失由承包人承担</w:t>
      </w:r>
      <w:r>
        <w:rPr>
          <w:rFonts w:hint="eastAsia" w:hAnsi="宋体" w:cs="宋体"/>
          <w:color w:val="auto"/>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承包人未提交劳动合同，以及没有为项目经理缴纳社会保险证明的违约责任：</w:t>
      </w:r>
      <w:r>
        <w:rPr>
          <w:rFonts w:hint="eastAsia" w:ascii="宋体" w:hAnsi="宋体"/>
          <w:color w:val="auto"/>
          <w:highlight w:val="none"/>
          <w:u w:val="single"/>
        </w:rPr>
        <w:t>由承包人自行承担相关责任</w:t>
      </w:r>
      <w:r>
        <w:rPr>
          <w:rFonts w:hint="eastAsia" w:hAnsi="宋体"/>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color w:val="auto"/>
          <w:highlight w:val="none"/>
          <w:u w:val="single"/>
        </w:rPr>
        <w:t>200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rFonts w:hAnsi="宋体"/>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承包人项目经理必须与承包人投标时所承诺的人员一致，并在开工前到任。在监理人向承包人颁发竣工验收意见书前，项目经理不得同时兼任其他任何项目的项目经理</w:t>
      </w:r>
      <w:r>
        <w:rPr>
          <w:rFonts w:hint="eastAsia" w:hAnsi="宋体" w:cs="宋体"/>
          <w:color w:val="auto"/>
          <w:kern w:val="0"/>
          <w:highlight w:val="none"/>
          <w:u w:val="single"/>
        </w:rPr>
        <w:t>（符合桂建管</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color w:val="auto"/>
          <w:kern w:val="0"/>
          <w:highlight w:val="none"/>
          <w:u w:val="single"/>
        </w:rPr>
        <w:t>17</w:t>
      </w:r>
      <w:r>
        <w:rPr>
          <w:rFonts w:hint="eastAsia" w:hAnsi="宋体" w:cs="宋体"/>
          <w:color w:val="auto"/>
          <w:kern w:val="0"/>
          <w:highlight w:val="none"/>
          <w:u w:val="single"/>
        </w:rPr>
        <w:t>号和</w:t>
      </w:r>
      <w:r>
        <w:rPr>
          <w:rFonts w:hint="eastAsia" w:hAnsi="宋体" w:cs="宋体"/>
          <w:color w:val="auto"/>
          <w:highlight w:val="none"/>
          <w:u w:val="single"/>
        </w:rPr>
        <w:t>桂建管﹝</w:t>
      </w:r>
      <w:r>
        <w:rPr>
          <w:color w:val="auto"/>
          <w:highlight w:val="none"/>
          <w:u w:val="single"/>
        </w:rPr>
        <w:t>2014</w:t>
      </w:r>
      <w:r>
        <w:rPr>
          <w:rFonts w:hint="eastAsia" w:hAnsi="宋体" w:cs="宋体"/>
          <w:color w:val="auto"/>
          <w:highlight w:val="none"/>
          <w:u w:val="single"/>
        </w:rPr>
        <w:t>﹞</w:t>
      </w:r>
      <w:r>
        <w:rPr>
          <w:color w:val="auto"/>
          <w:highlight w:val="none"/>
          <w:u w:val="single"/>
        </w:rPr>
        <w:t>25</w:t>
      </w:r>
      <w:r>
        <w:rPr>
          <w:rFonts w:hint="eastAsia" w:hAnsi="宋体" w:cs="宋体"/>
          <w:color w:val="auto"/>
          <w:highlight w:val="none"/>
          <w:u w:val="single"/>
        </w:rPr>
        <w:t>号</w:t>
      </w:r>
      <w:r>
        <w:rPr>
          <w:rFonts w:hint="eastAsia" w:hAnsi="宋体" w:cs="宋体"/>
          <w:color w:val="auto"/>
          <w:kern w:val="0"/>
          <w:highlight w:val="none"/>
          <w:u w:val="single"/>
        </w:rPr>
        <w:t>文除外）</w:t>
      </w:r>
      <w:r>
        <w:rPr>
          <w:rFonts w:hint="eastAsia" w:hAnsi="宋体" w:cs="宋体"/>
          <w:color w:val="auto"/>
          <w:highlight w:val="none"/>
          <w:u w:val="single"/>
        </w:rPr>
        <w:t>。未经发包人书面同意，承包人擅自更换项目经理的视为违约，违约金处</w:t>
      </w:r>
      <w:r>
        <w:rPr>
          <w:color w:val="auto"/>
          <w:highlight w:val="none"/>
          <w:u w:val="single"/>
        </w:rPr>
        <w:t>10000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color w:val="auto"/>
          <w:highlight w:val="none"/>
          <w:u w:val="single"/>
        </w:rPr>
        <w:t>10000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2"/>
        <w:rPr>
          <w:color w:val="auto"/>
          <w:highlight w:val="none"/>
        </w:rPr>
      </w:pPr>
      <w:bookmarkStart w:id="154" w:name="_Toc373227709"/>
      <w:bookmarkStart w:id="155" w:name="_Toc34809911"/>
      <w:bookmarkStart w:id="156" w:name="_Toc373478356"/>
      <w:bookmarkStart w:id="157" w:name="_Toc389065275"/>
      <w:bookmarkStart w:id="158" w:name="_Toc407135211"/>
      <w:r>
        <w:rPr>
          <w:color w:val="auto"/>
          <w:highlight w:val="none"/>
        </w:rPr>
        <w:t xml:space="preserve">3.3 </w:t>
      </w:r>
      <w:r>
        <w:rPr>
          <w:rFonts w:hint="eastAsia" w:hAnsi="宋体" w:cs="黑体"/>
          <w:color w:val="auto"/>
          <w:highlight w:val="none"/>
        </w:rPr>
        <w:t>承包人人员</w:t>
      </w:r>
      <w:bookmarkEnd w:id="154"/>
      <w:bookmarkEnd w:id="155"/>
      <w:bookmarkEnd w:id="156"/>
      <w:bookmarkEnd w:id="157"/>
      <w:bookmarkEnd w:id="158"/>
    </w:p>
    <w:p>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pPr>
        <w:spacing w:line="360" w:lineRule="auto"/>
        <w:rPr>
          <w:color w:val="auto"/>
          <w:highlight w:val="none"/>
        </w:rPr>
      </w:pPr>
      <w:r>
        <w:rPr>
          <w:color w:val="auto"/>
          <w:highlight w:val="none"/>
          <w:u w:val="single"/>
        </w:rPr>
        <w:t xml:space="preserve">  </w:t>
      </w:r>
      <w:r>
        <w:rPr>
          <w:rFonts w:hint="eastAsia" w:ascii="宋体" w:hAnsi="宋体"/>
          <w:color w:val="auto"/>
          <w:highlight w:val="none"/>
          <w:u w:val="single"/>
        </w:rPr>
        <w:t>开工日期前7天</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color w:val="auto"/>
          <w:highlight w:val="none"/>
          <w:u w:val="single"/>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rFonts w:hint="eastAsia"/>
          <w:color w:val="auto"/>
          <w:highlight w:val="none"/>
          <w:u w:val="single"/>
        </w:rPr>
        <w:t>1</w:t>
      </w:r>
      <w:r>
        <w:rPr>
          <w:color w:val="auto"/>
          <w:highlight w:val="none"/>
          <w:u w:val="single"/>
        </w:rPr>
        <w:t>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ascii="宋体" w:hAnsi="宋体"/>
          <w:color w:val="auto"/>
          <w:highlight w:val="none"/>
          <w:u w:val="single"/>
        </w:rPr>
        <w:t>承包人的主要施工管理人员每人每月到位率不少于24日历天，</w:t>
      </w:r>
      <w:r>
        <w:rPr>
          <w:rFonts w:ascii="宋体" w:hAnsi="宋体"/>
          <w:color w:val="auto"/>
          <w:highlight w:val="none"/>
          <w:u w:val="single"/>
        </w:rPr>
        <w:t>未经发包人同意或正当理由，</w:t>
      </w:r>
      <w:r>
        <w:rPr>
          <w:rFonts w:hint="eastAsia" w:ascii="宋体" w:hAnsi="宋体"/>
          <w:color w:val="auto"/>
          <w:highlight w:val="none"/>
          <w:u w:val="single"/>
        </w:rPr>
        <w:t>少在岗一天</w:t>
      </w:r>
      <w:r>
        <w:rPr>
          <w:rFonts w:ascii="宋体" w:hAnsi="宋体"/>
          <w:color w:val="auto"/>
          <w:highlight w:val="none"/>
          <w:u w:val="single"/>
        </w:rPr>
        <w:t>，发包人有权处违约金</w:t>
      </w:r>
      <w:r>
        <w:rPr>
          <w:rFonts w:hint="eastAsia" w:ascii="宋体" w:hAnsi="宋体"/>
          <w:color w:val="auto"/>
          <w:highlight w:val="none"/>
          <w:u w:val="single"/>
        </w:rPr>
        <w:t>100</w:t>
      </w:r>
      <w:r>
        <w:rPr>
          <w:rFonts w:ascii="宋体" w:hAnsi="宋体"/>
          <w:color w:val="auto"/>
          <w:highlight w:val="none"/>
          <w:u w:val="single"/>
        </w:rPr>
        <w:t>元/</w:t>
      </w:r>
      <w:r>
        <w:rPr>
          <w:rFonts w:hint="eastAsia" w:ascii="宋体" w:hAnsi="宋体"/>
          <w:color w:val="auto"/>
          <w:highlight w:val="none"/>
          <w:u w:val="single"/>
        </w:rPr>
        <w:t>日（</w:t>
      </w:r>
      <w:r>
        <w:rPr>
          <w:rFonts w:ascii="宋体" w:hAnsi="宋体"/>
          <w:color w:val="auto"/>
          <w:highlight w:val="none"/>
          <w:u w:val="single"/>
        </w:rPr>
        <w:t>人民币</w:t>
      </w:r>
      <w:r>
        <w:rPr>
          <w:rFonts w:hint="eastAsia" w:ascii="宋体" w:hAnsi="宋体"/>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项目技术负责人、专职安全生产管理人员及其承诺的其它在场管理人员未经发包人书面同意不准擅自更换，擅自更换项目技术负责人处</w:t>
      </w:r>
      <w:r>
        <w:rPr>
          <w:color w:val="auto"/>
          <w:highlight w:val="none"/>
          <w:u w:val="single"/>
        </w:rPr>
        <w:t xml:space="preserve"> 5000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违约金；擅自更换专职安全生产管理人员处</w:t>
      </w:r>
      <w:r>
        <w:rPr>
          <w:color w:val="auto"/>
          <w:highlight w:val="none"/>
          <w:u w:val="single"/>
        </w:rPr>
        <w:t>5000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color w:val="auto"/>
          <w:highlight w:val="none"/>
          <w:u w:val="single"/>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color w:val="auto"/>
          <w:highlight w:val="none"/>
          <w:u w:val="single"/>
        </w:rPr>
        <w:t>2</w:t>
      </w:r>
      <w:r>
        <w:rPr>
          <w:color w:val="auto"/>
          <w:highlight w:val="none"/>
          <w:u w:val="single"/>
        </w:rPr>
        <w:t>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；未经发包人同意，专职安全生产管理人员擅自离岗的，视为承包人违约，发包人有权处违约金2</w:t>
      </w:r>
      <w:r>
        <w:rPr>
          <w:color w:val="auto"/>
          <w:highlight w:val="none"/>
          <w:u w:val="single"/>
        </w:rPr>
        <w:t>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color w:val="auto"/>
          <w:highlight w:val="none"/>
          <w:u w:val="single"/>
        </w:rPr>
        <w:t>100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2"/>
        <w:rPr>
          <w:color w:val="auto"/>
          <w:highlight w:val="none"/>
        </w:rPr>
      </w:pPr>
      <w:bookmarkStart w:id="159" w:name="_Toc407135212"/>
      <w:bookmarkStart w:id="160" w:name="_Toc373227710"/>
      <w:bookmarkStart w:id="161" w:name="_Toc34809912"/>
      <w:bookmarkStart w:id="162" w:name="_Toc389065276"/>
      <w:bookmarkStart w:id="163" w:name="_Toc373478357"/>
      <w:r>
        <w:rPr>
          <w:color w:val="auto"/>
          <w:highlight w:val="none"/>
        </w:rPr>
        <w:t xml:space="preserve">3.5 </w:t>
      </w:r>
      <w:r>
        <w:rPr>
          <w:rFonts w:hint="eastAsia" w:hAnsi="宋体" w:cs="黑体"/>
          <w:color w:val="auto"/>
          <w:highlight w:val="none"/>
        </w:rPr>
        <w:t>分包</w:t>
      </w:r>
      <w:bookmarkEnd w:id="159"/>
      <w:bookmarkEnd w:id="160"/>
      <w:bookmarkEnd w:id="161"/>
      <w:bookmarkEnd w:id="162"/>
      <w:bookmarkEnd w:id="163"/>
    </w:p>
    <w:p>
      <w:pPr>
        <w:spacing w:line="360" w:lineRule="auto"/>
        <w:ind w:firstLine="420" w:firstLineChars="200"/>
        <w:rPr>
          <w:color w:val="auto"/>
          <w:highlight w:val="none"/>
        </w:rPr>
      </w:pPr>
      <w:r>
        <w:rPr>
          <w:color w:val="auto"/>
          <w:highlight w:val="none"/>
        </w:rPr>
        <w:t xml:space="preserve">3.5.1 </w:t>
      </w:r>
      <w:r>
        <w:rPr>
          <w:rFonts w:hint="eastAsia" w:hAnsi="宋体" w:cs="宋体"/>
          <w:color w:val="auto"/>
          <w:highlight w:val="none"/>
        </w:rPr>
        <w:t>分包的一般约定</w:t>
      </w:r>
    </w:p>
    <w:p>
      <w:pPr>
        <w:spacing w:line="360" w:lineRule="auto"/>
        <w:ind w:firstLine="420" w:firstLineChars="200"/>
        <w:jc w:val="left"/>
        <w:rPr>
          <w:color w:val="auto"/>
          <w:highlight w:val="none"/>
        </w:rPr>
      </w:pPr>
      <w:r>
        <w:rPr>
          <w:rFonts w:hint="eastAsia" w:hAnsi="宋体" w:cs="宋体"/>
          <w:color w:val="auto"/>
          <w:highlight w:val="none"/>
        </w:rPr>
        <w:t>禁止分包的工程包括：</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3.5.1</w:t>
      </w:r>
      <w:r>
        <w:rPr>
          <w:rFonts w:hint="eastAsia" w:ascii="宋体" w:hAnsi="宋体"/>
          <w:color w:val="auto"/>
          <w:highlight w:val="none"/>
          <w:u w:val="single"/>
        </w:rPr>
        <w:t>条</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ascii="宋体" w:hAnsi="宋体"/>
          <w:color w:val="auto"/>
          <w:highlight w:val="none"/>
          <w:u w:val="single"/>
        </w:rPr>
        <w:t>详见施工图</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3.5.2 </w:t>
      </w:r>
      <w:r>
        <w:rPr>
          <w:rFonts w:hint="eastAsia" w:hAnsi="宋体" w:cs="宋体"/>
          <w:color w:val="auto"/>
          <w:highlight w:val="none"/>
        </w:rPr>
        <w:t>分包的确定</w:t>
      </w:r>
    </w:p>
    <w:p>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color w:val="auto"/>
          <w:highlight w:val="none"/>
          <w:u w:val="single"/>
        </w:rPr>
        <w:t xml:space="preserve">无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其他关于分包的约定：</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pStyle w:val="12"/>
        <w:spacing w:line="360" w:lineRule="auto"/>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pPr>
        <w:pStyle w:val="1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pPr>
        <w:pStyle w:val="1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pPr>
        <w:pStyle w:val="1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p>
      <w:pPr>
        <w:spacing w:line="360" w:lineRule="auto"/>
        <w:ind w:firstLine="420" w:firstLineChars="200"/>
        <w:rPr>
          <w:color w:val="auto"/>
          <w:highlight w:val="none"/>
        </w:rPr>
      </w:pPr>
      <w:bookmarkStart w:id="164" w:name="_Toc389065277"/>
      <w:bookmarkStart w:id="165" w:name="_Toc373478358"/>
      <w:bookmarkStart w:id="166" w:name="_Toc373227711"/>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2"/>
        <w:rPr>
          <w:color w:val="auto"/>
          <w:highlight w:val="none"/>
        </w:rPr>
      </w:pPr>
      <w:bookmarkStart w:id="167" w:name="_Toc407135213"/>
      <w:bookmarkStart w:id="168" w:name="_Toc34809913"/>
      <w:r>
        <w:rPr>
          <w:color w:val="auto"/>
          <w:highlight w:val="none"/>
        </w:rPr>
        <w:t xml:space="preserve">3.6 </w:t>
      </w:r>
      <w:r>
        <w:rPr>
          <w:rFonts w:hint="eastAsia" w:cs="黑体"/>
          <w:color w:val="auto"/>
          <w:highlight w:val="none"/>
        </w:rPr>
        <w:t>工程照管与成品、半成品保护</w:t>
      </w:r>
      <w:bookmarkEnd w:id="164"/>
      <w:bookmarkEnd w:id="165"/>
      <w:bookmarkEnd w:id="166"/>
      <w:bookmarkEnd w:id="167"/>
      <w:bookmarkEnd w:id="168"/>
    </w:p>
    <w:p>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rFonts w:hint="eastAsia" w:ascii="宋体" w:hAnsi="宋体"/>
          <w:color w:val="auto"/>
          <w:kern w:val="0"/>
          <w:highlight w:val="none"/>
          <w:u w:val="single"/>
        </w:rPr>
        <w:t>由发包人提供的材料和工程设备验收后开始</w:t>
      </w:r>
      <w:r>
        <w:rPr>
          <w:color w:val="auto"/>
          <w:kern w:val="0"/>
          <w:highlight w:val="none"/>
          <w:u w:val="single"/>
        </w:rPr>
        <w:t xml:space="preserve"> </w:t>
      </w:r>
      <w:r>
        <w:rPr>
          <w:rFonts w:hint="eastAsia" w:hAnsi="宋体" w:cs="宋体"/>
          <w:color w:val="auto"/>
          <w:kern w:val="0"/>
          <w:highlight w:val="none"/>
        </w:rPr>
        <w:t>。</w:t>
      </w:r>
    </w:p>
    <w:p>
      <w:pPr>
        <w:pStyle w:val="2"/>
        <w:rPr>
          <w:color w:val="auto"/>
          <w:highlight w:val="none"/>
        </w:rPr>
      </w:pPr>
      <w:bookmarkStart w:id="169" w:name="_Toc373478359"/>
      <w:bookmarkStart w:id="170" w:name="_Toc389065278"/>
      <w:bookmarkStart w:id="171" w:name="_Toc373227712"/>
      <w:bookmarkStart w:id="172" w:name="_Toc407135214"/>
      <w:bookmarkStart w:id="173" w:name="_Toc34809914"/>
      <w:r>
        <w:rPr>
          <w:color w:val="auto"/>
          <w:highlight w:val="none"/>
        </w:rPr>
        <w:t xml:space="preserve">3.7 </w:t>
      </w:r>
      <w:r>
        <w:rPr>
          <w:rFonts w:hint="eastAsia" w:hAnsi="宋体" w:cs="黑体"/>
          <w:color w:val="auto"/>
          <w:highlight w:val="none"/>
        </w:rPr>
        <w:t>履约</w:t>
      </w:r>
      <w:bookmarkEnd w:id="169"/>
      <w:bookmarkEnd w:id="170"/>
      <w:bookmarkEnd w:id="171"/>
      <w:r>
        <w:rPr>
          <w:rFonts w:hint="eastAsia" w:hAnsi="宋体" w:cs="黑体"/>
          <w:color w:val="auto"/>
          <w:highlight w:val="none"/>
        </w:rPr>
        <w:t>保证金</w:t>
      </w:r>
      <w:bookmarkEnd w:id="172"/>
      <w:bookmarkEnd w:id="173"/>
    </w:p>
    <w:p>
      <w:pPr>
        <w:spacing w:line="360" w:lineRule="auto"/>
        <w:ind w:firstLine="420" w:firstLineChars="200"/>
        <w:rPr>
          <w:rFonts w:hint="default" w:hAnsi="宋体" w:eastAsia="宋体"/>
          <w:color w:val="auto"/>
          <w:highlight w:val="none"/>
          <w:u w:val="none"/>
          <w:lang w:val="en-US" w:eastAsia="zh-CN"/>
        </w:rPr>
      </w:pPr>
      <w:bookmarkStart w:id="174" w:name="_Toc373227713"/>
      <w:bookmarkStart w:id="175" w:name="_Toc389065279"/>
      <w:bookmarkStart w:id="176" w:name="_Toc373478360"/>
      <w:r>
        <w:rPr>
          <w:rFonts w:hint="eastAsia" w:hAnsi="宋体" w:cs="宋体"/>
          <w:color w:val="auto"/>
          <w:highlight w:val="none"/>
        </w:rPr>
        <w:t>承包人提供履约担保的形式、金额及期限的：</w:t>
      </w:r>
      <w:r>
        <w:rPr>
          <w:rFonts w:hint="eastAsia" w:hAnsi="宋体" w:cs="宋体"/>
          <w:color w:val="auto"/>
          <w:highlight w:val="none"/>
          <w:u w:val="single"/>
          <w:lang w:eastAsia="zh-CN"/>
        </w:rPr>
        <w:t>无</w:t>
      </w:r>
      <w:r>
        <w:rPr>
          <w:rFonts w:hint="eastAsia" w:hAnsi="宋体" w:cs="宋体"/>
          <w:color w:val="auto"/>
          <w:highlight w:val="none"/>
          <w:u w:val="single"/>
          <w:lang w:val="en-US" w:eastAsia="zh-CN"/>
        </w:rPr>
        <w:t xml:space="preserve"> </w:t>
      </w:r>
      <w:r>
        <w:rPr>
          <w:rFonts w:hint="eastAsia" w:hAnsi="宋体" w:cs="宋体"/>
          <w:color w:val="auto"/>
          <w:highlight w:val="none"/>
          <w:u w:val="none"/>
          <w:lang w:val="en-US" w:eastAsia="zh-CN"/>
        </w:rPr>
        <w:t>。</w:t>
      </w:r>
    </w:p>
    <w:p>
      <w:pPr>
        <w:pStyle w:val="4"/>
        <w:rPr>
          <w:color w:val="auto"/>
          <w:highlight w:val="none"/>
        </w:rPr>
      </w:pPr>
      <w:bookmarkStart w:id="177" w:name="_Toc34809915"/>
      <w:bookmarkStart w:id="178" w:name="_Toc407135215"/>
      <w:r>
        <w:rPr>
          <w:color w:val="auto"/>
          <w:highlight w:val="none"/>
        </w:rPr>
        <w:t xml:space="preserve">4. </w:t>
      </w:r>
      <w:r>
        <w:rPr>
          <w:rFonts w:hint="eastAsia" w:hAnsi="宋体" w:cs="黑体"/>
          <w:color w:val="auto"/>
          <w:highlight w:val="none"/>
        </w:rPr>
        <w:t>监理人</w:t>
      </w:r>
      <w:bookmarkEnd w:id="174"/>
      <w:bookmarkEnd w:id="175"/>
      <w:bookmarkEnd w:id="176"/>
      <w:bookmarkEnd w:id="177"/>
      <w:bookmarkEnd w:id="178"/>
    </w:p>
    <w:p>
      <w:pPr>
        <w:pStyle w:val="2"/>
        <w:rPr>
          <w:color w:val="auto"/>
          <w:highlight w:val="none"/>
        </w:rPr>
      </w:pPr>
      <w:bookmarkStart w:id="179" w:name="_Toc407135216"/>
      <w:bookmarkStart w:id="180" w:name="_Toc373227714"/>
      <w:bookmarkStart w:id="181" w:name="_Toc34809916"/>
      <w:bookmarkStart w:id="182" w:name="_Toc373478361"/>
      <w:bookmarkStart w:id="183" w:name="_Toc389065280"/>
      <w:r>
        <w:rPr>
          <w:color w:val="auto"/>
          <w:highlight w:val="none"/>
        </w:rPr>
        <w:t xml:space="preserve">4.1 </w:t>
      </w:r>
      <w:r>
        <w:rPr>
          <w:rFonts w:hint="eastAsia" w:cs="黑体"/>
          <w:color w:val="auto"/>
          <w:highlight w:val="none"/>
        </w:rPr>
        <w:t>监理人的一般规定</w:t>
      </w:r>
      <w:bookmarkEnd w:id="179"/>
      <w:bookmarkEnd w:id="180"/>
      <w:bookmarkEnd w:id="181"/>
      <w:bookmarkEnd w:id="182"/>
      <w:bookmarkEnd w:id="183"/>
    </w:p>
    <w:p>
      <w:pPr>
        <w:pStyle w:val="36"/>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根据发包人与监理人签订的《监理合同》及工程实际需要确定</w:t>
      </w:r>
      <w:r>
        <w:rPr>
          <w:rFonts w:hint="eastAsia" w:ascii="宋体" w:hAnsi="宋体" w:cs="宋体"/>
          <w:color w:val="auto"/>
          <w:szCs w:val="21"/>
          <w:highlight w:val="none"/>
        </w:rPr>
        <w:t>。</w:t>
      </w:r>
    </w:p>
    <w:p>
      <w:pPr>
        <w:pStyle w:val="36"/>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根据监理合同、施工承包合同和法律法规规定的事项代表发包人进行工程前期协调、施工现场协调、工程施工监理</w:t>
      </w:r>
      <w:r>
        <w:rPr>
          <w:rFonts w:hint="eastAsia" w:ascii="宋体" w:hAnsi="宋体" w:cs="宋体"/>
          <w:color w:val="auto"/>
          <w:szCs w:val="21"/>
          <w:highlight w:val="none"/>
        </w:rPr>
        <w:t>。</w:t>
      </w:r>
      <w:r>
        <w:rPr>
          <w:rFonts w:ascii="宋体" w:hAnsi="宋体" w:cs="宋体"/>
          <w:color w:val="auto"/>
          <w:szCs w:val="21"/>
          <w:highlight w:val="none"/>
        </w:rPr>
        <w:t xml:space="preserve"> </w:t>
      </w:r>
    </w:p>
    <w:p>
      <w:pPr>
        <w:pStyle w:val="36"/>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olor w:val="auto"/>
          <w:highlight w:val="none"/>
          <w:u w:val="single"/>
        </w:rPr>
        <w:t>由承包人提供一间共</w:t>
      </w:r>
      <w:r>
        <w:rPr>
          <w:rFonts w:ascii="宋体" w:hAnsi="宋体"/>
          <w:color w:val="auto"/>
          <w:highlight w:val="none"/>
          <w:u w:val="single"/>
        </w:rPr>
        <w:t>15</w:t>
      </w:r>
      <w:r>
        <w:rPr>
          <w:rFonts w:hint="eastAsia" w:ascii="宋体" w:hAnsi="宋体"/>
          <w:color w:val="auto"/>
          <w:highlight w:val="none"/>
          <w:u w:val="single"/>
        </w:rPr>
        <w:t>平方米的施工现场办公室</w:t>
      </w:r>
      <w:r>
        <w:rPr>
          <w:rFonts w:hint="eastAsia" w:ascii="宋体" w:hAnsi="宋体" w:cs="宋体"/>
          <w:color w:val="auto"/>
          <w:szCs w:val="21"/>
          <w:highlight w:val="none"/>
        </w:rPr>
        <w:t>。</w:t>
      </w:r>
    </w:p>
    <w:p>
      <w:pPr>
        <w:pStyle w:val="2"/>
        <w:rPr>
          <w:color w:val="auto"/>
          <w:highlight w:val="none"/>
        </w:rPr>
      </w:pPr>
      <w:bookmarkStart w:id="184" w:name="_Toc34809917"/>
      <w:bookmarkStart w:id="185" w:name="_Toc373478362"/>
      <w:bookmarkStart w:id="186" w:name="_Toc407135217"/>
      <w:bookmarkStart w:id="187" w:name="_Toc389065281"/>
      <w:bookmarkStart w:id="188" w:name="_Toc373227715"/>
      <w:r>
        <w:rPr>
          <w:color w:val="auto"/>
          <w:highlight w:val="none"/>
        </w:rPr>
        <w:t xml:space="preserve">4.2 </w:t>
      </w:r>
      <w:r>
        <w:rPr>
          <w:rFonts w:hint="eastAsia" w:hAnsi="宋体" w:cs="黑体"/>
          <w:color w:val="auto"/>
          <w:highlight w:val="none"/>
        </w:rPr>
        <w:t>监理人员</w:t>
      </w:r>
      <w:bookmarkEnd w:id="184"/>
      <w:bookmarkEnd w:id="185"/>
      <w:bookmarkEnd w:id="186"/>
      <w:bookmarkEnd w:id="187"/>
      <w:bookmarkEnd w:id="188"/>
    </w:p>
    <w:p>
      <w:pPr>
        <w:spacing w:line="360" w:lineRule="auto"/>
        <w:ind w:firstLine="420" w:firstLineChars="200"/>
        <w:rPr>
          <w:color w:val="auto"/>
          <w:highlight w:val="none"/>
        </w:rPr>
      </w:pPr>
      <w:r>
        <w:rPr>
          <w:rFonts w:hint="eastAsia" w:hAnsi="宋体" w:cs="宋体"/>
          <w:color w:val="auto"/>
          <w:highlight w:val="none"/>
        </w:rPr>
        <w:t>总监理工程师：</w:t>
      </w:r>
    </w:p>
    <w:p>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rFonts w:hAnsi="宋体"/>
          <w:color w:val="auto"/>
          <w:highlight w:val="none"/>
        </w:rPr>
      </w:pPr>
      <w:r>
        <w:rPr>
          <w:rFonts w:hAnsi="宋体"/>
          <w:color w:val="auto"/>
          <w:highlight w:val="none"/>
        </w:rPr>
        <w:t>监理工程师</w:t>
      </w:r>
      <w:r>
        <w:rPr>
          <w:rFonts w:hint="eastAsia" w:hAnsi="宋体"/>
          <w:color w:val="auto"/>
          <w:highlight w:val="none"/>
        </w:rPr>
        <w:t>注册</w:t>
      </w:r>
      <w:r>
        <w:rPr>
          <w:rFonts w:hAnsi="宋体"/>
          <w:color w:val="auto"/>
          <w:highlight w:val="none"/>
        </w:rPr>
        <w:t>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pStyle w:val="2"/>
        <w:rPr>
          <w:color w:val="auto"/>
          <w:highlight w:val="none"/>
        </w:rPr>
      </w:pPr>
      <w:bookmarkStart w:id="189" w:name="_Toc34809918"/>
      <w:bookmarkStart w:id="190" w:name="_Toc373478363"/>
      <w:bookmarkStart w:id="191" w:name="_Toc373227716"/>
      <w:bookmarkStart w:id="192" w:name="_Toc389065282"/>
      <w:bookmarkStart w:id="193" w:name="_Toc407135218"/>
      <w:r>
        <w:rPr>
          <w:color w:val="auto"/>
          <w:highlight w:val="none"/>
        </w:rPr>
        <w:t xml:space="preserve">4.4 </w:t>
      </w:r>
      <w:r>
        <w:rPr>
          <w:rFonts w:hint="eastAsia" w:hAnsi="宋体" w:cs="黑体"/>
          <w:color w:val="auto"/>
          <w:highlight w:val="none"/>
        </w:rPr>
        <w:t>商定或确定</w:t>
      </w:r>
      <w:bookmarkEnd w:id="189"/>
      <w:bookmarkEnd w:id="190"/>
      <w:bookmarkEnd w:id="191"/>
      <w:bookmarkEnd w:id="192"/>
      <w:bookmarkEnd w:id="193"/>
    </w:p>
    <w:p>
      <w:pPr>
        <w:spacing w:line="360" w:lineRule="auto"/>
        <w:ind w:firstLine="420" w:firstLineChars="200"/>
        <w:rPr>
          <w:color w:val="auto"/>
          <w:highlight w:val="none"/>
        </w:rPr>
      </w:pPr>
      <w:r>
        <w:rPr>
          <w:rFonts w:hint="eastAsia" w:hAnsi="宋体" w:cs="宋体"/>
          <w:color w:val="auto"/>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ascii="宋体" w:hAnsi="宋体"/>
          <w:color w:val="auto"/>
          <w:kern w:val="0"/>
          <w:highlight w:val="none"/>
          <w:u w:val="single"/>
        </w:rPr>
        <w:t>由总监理工程师对双方异议按照合同约定审定做出公正的确定</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ascii="宋体" w:hAnsi="宋体"/>
          <w:color w:val="auto"/>
          <w:kern w:val="0"/>
          <w:highlight w:val="none"/>
          <w:u w:val="single"/>
        </w:rPr>
        <w:t>总监理工程师应将确定以书面形式通知发包人和承包人，并附详细依据</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ascii="宋体" w:hAnsi="宋体"/>
          <w:b/>
          <w:color w:val="auto"/>
          <w:kern w:val="0"/>
          <w:highlight w:val="none"/>
          <w:u w:val="single"/>
        </w:rPr>
        <w:t>合同当事人对总监理工程师的确定没有异议的，按照总监理工程师的确定执行</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194" w:name="_Toc34809919"/>
      <w:bookmarkStart w:id="195" w:name="_Toc407135219"/>
      <w:bookmarkStart w:id="196" w:name="_Toc373227717"/>
      <w:bookmarkStart w:id="197" w:name="_Toc373478364"/>
      <w:bookmarkStart w:id="198" w:name="_Toc389065283"/>
      <w:r>
        <w:rPr>
          <w:color w:val="auto"/>
          <w:highlight w:val="none"/>
        </w:rPr>
        <w:t xml:space="preserve">5. </w:t>
      </w:r>
      <w:r>
        <w:rPr>
          <w:rFonts w:hint="eastAsia" w:hAnsi="宋体" w:cs="黑体"/>
          <w:color w:val="auto"/>
          <w:highlight w:val="none"/>
        </w:rPr>
        <w:t>工程质量</w:t>
      </w:r>
      <w:bookmarkEnd w:id="194"/>
      <w:bookmarkEnd w:id="195"/>
      <w:bookmarkEnd w:id="196"/>
      <w:bookmarkEnd w:id="197"/>
      <w:bookmarkEnd w:id="198"/>
    </w:p>
    <w:p>
      <w:pPr>
        <w:pStyle w:val="2"/>
        <w:rPr>
          <w:color w:val="auto"/>
          <w:highlight w:val="none"/>
        </w:rPr>
      </w:pPr>
      <w:bookmarkStart w:id="199" w:name="_Toc373227718"/>
      <w:bookmarkStart w:id="200" w:name="_Toc34809920"/>
      <w:bookmarkStart w:id="201" w:name="_Toc407135220"/>
      <w:bookmarkStart w:id="202" w:name="_Toc389065284"/>
      <w:bookmarkStart w:id="203" w:name="_Toc373478365"/>
      <w:r>
        <w:rPr>
          <w:color w:val="auto"/>
          <w:highlight w:val="none"/>
        </w:rPr>
        <w:t xml:space="preserve">5.1 </w:t>
      </w:r>
      <w:r>
        <w:rPr>
          <w:rFonts w:hint="eastAsia" w:hAnsi="宋体" w:cs="黑体"/>
          <w:color w:val="auto"/>
          <w:highlight w:val="none"/>
        </w:rPr>
        <w:t>质量要求</w:t>
      </w:r>
      <w:bookmarkEnd w:id="199"/>
      <w:bookmarkEnd w:id="200"/>
      <w:bookmarkEnd w:id="201"/>
      <w:bookmarkEnd w:id="202"/>
      <w:bookmarkEnd w:id="203"/>
    </w:p>
    <w:p>
      <w:pPr>
        <w:spacing w:line="360" w:lineRule="auto"/>
        <w:ind w:firstLine="420" w:firstLineChars="200"/>
        <w:jc w:val="left"/>
        <w:rPr>
          <w:color w:val="auto"/>
          <w:highlight w:val="none"/>
          <w:u w:val="single"/>
        </w:rPr>
      </w:pPr>
      <w:r>
        <w:rPr>
          <w:color w:val="auto"/>
          <w:highlight w:val="none"/>
        </w:rPr>
        <w:t xml:space="preserve">5.1.1 </w:t>
      </w:r>
      <w:r>
        <w:rPr>
          <w:rFonts w:hint="eastAsia" w:hAnsi="宋体" w:cs="宋体"/>
          <w:color w:val="auto"/>
          <w:highlight w:val="none"/>
        </w:rPr>
        <w:t>特殊质量标准和要求：</w:t>
      </w:r>
      <w:r>
        <w:rPr>
          <w:color w:val="auto"/>
          <w:highlight w:val="none"/>
          <w:u w:val="single"/>
        </w:rPr>
        <w:t xml:space="preserve">   </w:t>
      </w:r>
      <w:r>
        <w:rPr>
          <w:rFonts w:ascii="Calibri" w:hAnsi="Calibri"/>
          <w:color w:val="auto"/>
          <w:highlight w:val="none"/>
          <w:u w:val="single"/>
        </w:rPr>
        <w:t xml:space="preserve"> </w:t>
      </w:r>
      <w:r>
        <w:rPr>
          <w:rFonts w:ascii="宋体" w:hAnsi="宋体" w:cs="宋体"/>
          <w:color w:val="auto"/>
          <w:highlight w:val="none"/>
          <w:u w:val="single"/>
        </w:rPr>
        <w:t xml:space="preserve"> 按照施工图纸要求</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无</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w:t>
      </w:r>
      <w:r>
        <w:rPr>
          <w:color w:val="auto"/>
          <w:highlight w:val="none"/>
        </w:rPr>
        <w:t>%的奖励</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24 </w:t>
      </w:r>
      <w:r>
        <w:rPr>
          <w:rFonts w:hint="eastAsia" w:hAnsi="宋体" w:cs="宋体"/>
          <w:color w:val="auto"/>
          <w:highlight w:val="none"/>
        </w:rPr>
        <w:t>小时提交书面延期要求。</w:t>
      </w:r>
    </w:p>
    <w:p>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48  </w:t>
      </w:r>
      <w:r>
        <w:rPr>
          <w:rFonts w:hint="eastAsia" w:hAnsi="宋体" w:cs="宋体"/>
          <w:color w:val="auto"/>
          <w:highlight w:val="none"/>
        </w:rPr>
        <w:t>小时。</w:t>
      </w:r>
    </w:p>
    <w:p>
      <w:pPr>
        <w:pStyle w:val="4"/>
        <w:rPr>
          <w:color w:val="auto"/>
          <w:highlight w:val="none"/>
        </w:rPr>
      </w:pPr>
      <w:bookmarkStart w:id="204" w:name="_Toc373478366"/>
      <w:bookmarkStart w:id="205" w:name="_Toc373227719"/>
      <w:bookmarkStart w:id="206" w:name="_Toc34809921"/>
      <w:bookmarkStart w:id="207" w:name="_Toc407135221"/>
      <w:bookmarkStart w:id="208" w:name="_Toc389065285"/>
      <w:r>
        <w:rPr>
          <w:color w:val="auto"/>
          <w:highlight w:val="none"/>
        </w:rPr>
        <w:t xml:space="preserve">6. </w:t>
      </w:r>
      <w:r>
        <w:rPr>
          <w:rFonts w:hint="eastAsia" w:cs="黑体"/>
          <w:color w:val="auto"/>
          <w:highlight w:val="none"/>
        </w:rPr>
        <w:t>安全文明施工与环境保护</w:t>
      </w:r>
      <w:bookmarkEnd w:id="204"/>
      <w:bookmarkEnd w:id="205"/>
      <w:bookmarkEnd w:id="206"/>
      <w:bookmarkEnd w:id="207"/>
      <w:bookmarkEnd w:id="208"/>
    </w:p>
    <w:p>
      <w:pPr>
        <w:pStyle w:val="2"/>
        <w:rPr>
          <w:color w:val="auto"/>
          <w:highlight w:val="none"/>
        </w:rPr>
      </w:pPr>
      <w:bookmarkStart w:id="209" w:name="_Toc407135222"/>
      <w:bookmarkStart w:id="210" w:name="_Toc389065286"/>
      <w:bookmarkStart w:id="211" w:name="_Toc373478367"/>
      <w:bookmarkStart w:id="212" w:name="_Toc34809922"/>
      <w:bookmarkStart w:id="213" w:name="_Toc373227720"/>
      <w:r>
        <w:rPr>
          <w:color w:val="auto"/>
          <w:highlight w:val="none"/>
        </w:rPr>
        <w:t xml:space="preserve">6.1 </w:t>
      </w:r>
      <w:r>
        <w:rPr>
          <w:rFonts w:hint="eastAsia" w:cs="黑体"/>
          <w:color w:val="auto"/>
          <w:highlight w:val="none"/>
        </w:rPr>
        <w:t>安全文明施工</w:t>
      </w:r>
      <w:bookmarkEnd w:id="209"/>
      <w:bookmarkEnd w:id="210"/>
      <w:bookmarkEnd w:id="211"/>
      <w:bookmarkEnd w:id="212"/>
      <w:bookmarkEnd w:id="213"/>
    </w:p>
    <w:p>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color w:val="auto"/>
          <w:highlight w:val="none"/>
          <w:u w:val="single"/>
        </w:rPr>
        <w:t xml:space="preserve"> </w:t>
      </w:r>
      <w:r>
        <w:rPr>
          <w:rFonts w:hint="eastAsia" w:ascii="宋体" w:hAnsi="宋体"/>
          <w:color w:val="auto"/>
          <w:highlight w:val="none"/>
          <w:u w:val="single"/>
        </w:rPr>
        <w:t>承包人应遵守安全生产法律、法规的规定及国家和工程所在地工程建设安全生产有关管理规定，严格按现行安全标准组织施工，并随时接受行业安全检查人员依法实施的监督检查，采取必要的安全防护措施，消除事故隐患。其安全施工防护费用已经含在合同价款内。本工程在整个施工期间杜绝一切人身伤亡和重大质量安全事故，如发生上述事故，则发包人视为承包人违约,若承包人违约，则发包人可要求承包人支付违约金10万元/次。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如经政府相关部门调查发现因承包人过失造成事故的发生，发包人有权解除合同，由此造成的一切经济损失和法律责任由承包人承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rFonts w:hint="eastAsia" w:ascii="宋体" w:hAnsi="宋体" w:cs="宋体"/>
          <w:b/>
          <w:color w:val="auto"/>
          <w:highlight w:val="none"/>
          <w:u w:val="single"/>
        </w:rPr>
        <w:t>承</w:t>
      </w:r>
      <w:r>
        <w:rPr>
          <w:rFonts w:hint="eastAsia" w:ascii="宋体" w:hAnsi="宋体" w:cs="宋体"/>
          <w:color w:val="auto"/>
          <w:highlight w:val="none"/>
          <w:u w:val="single"/>
        </w:rPr>
        <w:t>包人应在工程开工后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color w:val="auto"/>
          <w:highlight w:val="none"/>
        </w:rPr>
        <w:t>。</w:t>
      </w:r>
    </w:p>
    <w:p>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color w:val="auto"/>
          <w:highlight w:val="none"/>
          <w:u w:val="single"/>
        </w:rPr>
        <w:t xml:space="preserve"> </w:t>
      </w:r>
      <w:r>
        <w:rPr>
          <w:rFonts w:hint="eastAsia" w:ascii="宋体" w:hAnsi="宋体"/>
          <w:color w:val="auto"/>
          <w:highlight w:val="none"/>
          <w:u w:val="single"/>
        </w:rPr>
        <w:t>承包人应在工程开工后</w:t>
      </w:r>
      <w:r>
        <w:rPr>
          <w:rFonts w:ascii="宋体" w:hAnsi="宋体"/>
          <w:color w:val="auto"/>
          <w:highlight w:val="none"/>
          <w:u w:val="single"/>
        </w:rPr>
        <w:t>7</w:t>
      </w:r>
      <w:r>
        <w:rPr>
          <w:rFonts w:hint="eastAsia" w:ascii="宋体" w:hAnsi="宋体"/>
          <w:color w:val="auto"/>
          <w:highlight w:val="none"/>
          <w:u w:val="single"/>
        </w:rPr>
        <w:t>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pPr>
        <w:spacing w:line="360" w:lineRule="auto"/>
        <w:ind w:firstLine="420" w:firstLineChars="200"/>
        <w:jc w:val="left"/>
        <w:rPr>
          <w:color w:val="auto"/>
          <w:highlight w:val="none"/>
        </w:rPr>
      </w:pPr>
      <w:r>
        <w:rPr>
          <w:rFonts w:hint="eastAsia" w:hAnsi="宋体" w:cs="宋体"/>
          <w:color w:val="auto"/>
          <w:highlight w:val="none"/>
        </w:rPr>
        <w:t>合同当事人对文明施工的要求：</w:t>
      </w:r>
      <w:r>
        <w:rPr>
          <w:rFonts w:ascii="宋体" w:hAnsi="宋体" w:cs="宋体"/>
          <w:color w:val="auto"/>
          <w:highlight w:val="none"/>
          <w:u w:val="single"/>
        </w:rPr>
        <w:t>符合法律规定和工程所在地建设行政主管部门的要求</w:t>
      </w:r>
      <w:r>
        <w:rPr>
          <w:rFonts w:hint="eastAsia" w:cs="宋体"/>
          <w:color w:val="auto"/>
          <w:highlight w:val="none"/>
        </w:rPr>
        <w:t>。</w:t>
      </w:r>
    </w:p>
    <w:p>
      <w:pPr>
        <w:spacing w:line="360" w:lineRule="auto"/>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s="宋体"/>
          <w:color w:val="auto"/>
          <w:kern w:val="0"/>
          <w:highlight w:val="none"/>
        </w:rPr>
        <w:t>元。</w:t>
      </w:r>
    </w:p>
    <w:p>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rPr>
        <w:t>贵港</w:t>
      </w:r>
      <w:r>
        <w:rPr>
          <w:rFonts w:hAnsi="宋体"/>
          <w:color w:val="auto"/>
          <w:kern w:val="0"/>
          <w:highlight w:val="none"/>
          <w:u w:val="single"/>
        </w:rPr>
        <w:t xml:space="preserve">  </w:t>
      </w:r>
      <w:r>
        <w:rPr>
          <w:rFonts w:hint="eastAsia" w:hAnsi="宋体" w:cs="宋体"/>
          <w:color w:val="auto"/>
          <w:kern w:val="0"/>
          <w:highlight w:val="none"/>
        </w:rPr>
        <w:t>市相关规定执行。</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color w:val="auto"/>
          <w:kern w:val="0"/>
          <w:highlight w:val="none"/>
        </w:rPr>
        <w:t xml:space="preserve">14 </w:t>
      </w:r>
      <w:r>
        <w:rPr>
          <w:rFonts w:hint="eastAsia" w:cs="宋体"/>
          <w:color w:val="auto"/>
          <w:kern w:val="0"/>
          <w:highlight w:val="none"/>
        </w:rPr>
        <w:t xml:space="preserve">个工作日内，预付安全文明施工费总额的 </w:t>
      </w:r>
      <w:r>
        <w:rPr>
          <w:rFonts w:cs="宋体"/>
          <w:color w:val="auto"/>
          <w:kern w:val="0"/>
          <w:highlight w:val="none"/>
        </w:rPr>
        <w:t>30</w:t>
      </w:r>
      <w:r>
        <w:rPr>
          <w:rFonts w:hint="eastAsia" w:cs="宋体"/>
          <w:color w:val="auto"/>
          <w:kern w:val="0"/>
          <w:highlight w:val="none"/>
        </w:rPr>
        <w:t>%，其余部分与进度款同期支付，安全文明施工费预付款在工程进度款累计金额超过合同价的   %时开始起扣，每月从支付给承包商的工程款内按安全文明预付款占合同总价的同一百分比扣回</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pPr>
        <w:pStyle w:val="33"/>
        <w:autoSpaceDE w:val="0"/>
        <w:autoSpaceDN w:val="0"/>
        <w:adjustRightInd w:val="0"/>
        <w:spacing w:line="360" w:lineRule="auto"/>
        <w:ind w:firstLine="420" w:firstLineChars="200"/>
        <w:jc w:val="left"/>
        <w:rPr>
          <w:rFonts w:hint="eastAsia" w:hAnsi="宋体" w:cs="宋体"/>
          <w:color w:val="auto"/>
          <w:kern w:val="0"/>
          <w:highlight w:val="none"/>
        </w:rPr>
      </w:pPr>
      <w:bookmarkStart w:id="214" w:name="_Toc34809923"/>
      <w:bookmarkStart w:id="215" w:name="_Toc407135223"/>
      <w:bookmarkStart w:id="216" w:name="_Toc373227721"/>
      <w:bookmarkStart w:id="217" w:name="_Toc373478368"/>
      <w:bookmarkStart w:id="218" w:name="_Toc389065287"/>
      <w:r>
        <w:rPr>
          <w:rFonts w:hint="eastAsia" w:hAnsi="宋体" w:cs="宋体"/>
          <w:color w:val="auto"/>
          <w:kern w:val="0"/>
          <w:highlight w:val="none"/>
        </w:rPr>
        <w:t>（7）安全生产费用专户：</w:t>
      </w:r>
      <w:r>
        <w:rPr>
          <w:rFonts w:hAnsi="宋体" w:cs="宋体"/>
          <w:color w:val="auto"/>
          <w:kern w:val="0"/>
          <w:highlight w:val="none"/>
        </w:rPr>
        <w:t>××××</w:t>
      </w:r>
      <w:r>
        <w:rPr>
          <w:rFonts w:hint="eastAsia" w:hAnsi="宋体" w:cs="宋体"/>
          <w:color w:val="auto"/>
          <w:kern w:val="0"/>
          <w:highlight w:val="none"/>
        </w:rPr>
        <w:t>公司安全生产费用专户。</w:t>
      </w:r>
    </w:p>
    <w:p>
      <w:pPr>
        <w:pStyle w:val="33"/>
        <w:autoSpaceDE w:val="0"/>
        <w:autoSpaceDN w:val="0"/>
        <w:adjustRightInd w:val="0"/>
        <w:spacing w:line="360" w:lineRule="auto"/>
        <w:ind w:firstLine="420" w:firstLineChars="200"/>
        <w:jc w:val="left"/>
        <w:rPr>
          <w:rFonts w:hint="eastAsia"/>
          <w:color w:val="auto"/>
          <w:highlight w:val="none"/>
          <w:u w:val="single"/>
        </w:rPr>
      </w:pPr>
      <w:r>
        <w:rPr>
          <w:rFonts w:hint="eastAsia"/>
          <w:color w:val="auto"/>
          <w:highlight w:val="none"/>
        </w:rPr>
        <w:t>开户银行：</w:t>
      </w:r>
      <w:r>
        <w:rPr>
          <w:rFonts w:hint="eastAsia"/>
          <w:color w:val="auto"/>
          <w:highlight w:val="none"/>
          <w:u w:val="single"/>
        </w:rPr>
        <w:t xml:space="preserve">                    </w:t>
      </w:r>
    </w:p>
    <w:p>
      <w:pPr>
        <w:pStyle w:val="33"/>
        <w:autoSpaceDE w:val="0"/>
        <w:autoSpaceDN w:val="0"/>
        <w:adjustRightInd w:val="0"/>
        <w:spacing w:line="360" w:lineRule="auto"/>
        <w:ind w:firstLine="420" w:firstLineChars="200"/>
        <w:jc w:val="left"/>
        <w:rPr>
          <w:rFonts w:hint="eastAsia" w:hAnsi="宋体"/>
          <w:color w:val="auto"/>
          <w:kern w:val="0"/>
          <w:highlight w:val="none"/>
        </w:rPr>
      </w:pPr>
      <w:r>
        <w:rPr>
          <w:rFonts w:hint="eastAsia" w:hAnsi="宋体" w:cs="宋体"/>
          <w:color w:val="auto"/>
          <w:kern w:val="0"/>
          <w:highlight w:val="none"/>
        </w:rPr>
        <w:t>账号：</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int="eastAsia" w:hAnsi="宋体" w:cs="宋体"/>
          <w:color w:val="auto"/>
          <w:kern w:val="0"/>
          <w:highlight w:val="none"/>
        </w:rPr>
        <w:t xml:space="preserve"> 。</w:t>
      </w:r>
    </w:p>
    <w:p>
      <w:pPr>
        <w:pStyle w:val="2"/>
        <w:rPr>
          <w:color w:val="auto"/>
          <w:highlight w:val="none"/>
        </w:rPr>
      </w:pPr>
      <w:r>
        <w:rPr>
          <w:color w:val="auto"/>
          <w:highlight w:val="none"/>
        </w:rPr>
        <w:t xml:space="preserve">6.3 </w:t>
      </w:r>
      <w:r>
        <w:rPr>
          <w:rFonts w:hint="eastAsia" w:hAnsi="宋体" w:cs="黑体"/>
          <w:color w:val="auto"/>
          <w:highlight w:val="none"/>
        </w:rPr>
        <w:t>环境保护</w:t>
      </w:r>
      <w:bookmarkEnd w:id="214"/>
      <w:bookmarkEnd w:id="215"/>
      <w:bookmarkEnd w:id="216"/>
      <w:bookmarkEnd w:id="217"/>
      <w:bookmarkEnd w:id="218"/>
    </w:p>
    <w:p>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p>
      <w:pPr>
        <w:pStyle w:val="4"/>
        <w:rPr>
          <w:color w:val="auto"/>
          <w:highlight w:val="none"/>
        </w:rPr>
      </w:pPr>
      <w:bookmarkStart w:id="219" w:name="_Toc373227722"/>
      <w:bookmarkStart w:id="220" w:name="_Toc389065288"/>
      <w:bookmarkStart w:id="221" w:name="_Toc407135224"/>
      <w:bookmarkStart w:id="222" w:name="_Toc34809924"/>
      <w:bookmarkStart w:id="223" w:name="_Toc373478369"/>
      <w:r>
        <w:rPr>
          <w:color w:val="auto"/>
          <w:highlight w:val="none"/>
        </w:rPr>
        <w:t xml:space="preserve">7. </w:t>
      </w:r>
      <w:r>
        <w:rPr>
          <w:rFonts w:hint="eastAsia" w:cs="黑体"/>
          <w:color w:val="auto"/>
          <w:highlight w:val="none"/>
        </w:rPr>
        <w:t>工期和进度</w:t>
      </w:r>
      <w:bookmarkEnd w:id="219"/>
      <w:bookmarkEnd w:id="220"/>
      <w:bookmarkEnd w:id="221"/>
      <w:bookmarkEnd w:id="222"/>
      <w:bookmarkEnd w:id="223"/>
    </w:p>
    <w:p>
      <w:pPr>
        <w:pStyle w:val="2"/>
        <w:rPr>
          <w:color w:val="auto"/>
          <w:highlight w:val="none"/>
        </w:rPr>
      </w:pPr>
      <w:bookmarkStart w:id="224" w:name="_Toc373478370"/>
      <w:bookmarkStart w:id="225" w:name="_Toc407135225"/>
      <w:bookmarkStart w:id="226" w:name="_Toc389065289"/>
      <w:bookmarkStart w:id="227" w:name="_Toc34809925"/>
      <w:bookmarkStart w:id="228" w:name="_Toc373227723"/>
      <w:r>
        <w:rPr>
          <w:color w:val="auto"/>
          <w:highlight w:val="none"/>
        </w:rPr>
        <w:t xml:space="preserve">7.1 </w:t>
      </w:r>
      <w:r>
        <w:rPr>
          <w:rFonts w:hint="eastAsia" w:cs="黑体"/>
          <w:color w:val="auto"/>
          <w:highlight w:val="none"/>
        </w:rPr>
        <w:t>施工组织设计</w:t>
      </w:r>
      <w:bookmarkEnd w:id="224"/>
      <w:bookmarkEnd w:id="225"/>
      <w:bookmarkEnd w:id="226"/>
      <w:bookmarkEnd w:id="227"/>
      <w:bookmarkEnd w:id="228"/>
    </w:p>
    <w:p>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hint="eastAsia" w:ascii="宋体" w:hAnsi="宋体"/>
          <w:color w:val="auto"/>
          <w:highlight w:val="none"/>
          <w:u w:val="single"/>
        </w:rPr>
        <w:t>按《通用合同条款》</w:t>
      </w:r>
      <w:r>
        <w:rPr>
          <w:rFonts w:ascii="宋体" w:hAnsi="宋体"/>
          <w:color w:val="auto"/>
          <w:highlight w:val="none"/>
          <w:u w:val="single"/>
        </w:rPr>
        <w:t>7.1.1</w:t>
      </w:r>
      <w:r>
        <w:rPr>
          <w:rFonts w:hint="eastAsia" w:ascii="宋体" w:hAnsi="宋体"/>
          <w:color w:val="auto"/>
          <w:highlight w:val="none"/>
          <w:u w:val="single"/>
        </w:rPr>
        <w:t>条执行</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color w:val="auto"/>
          <w:highlight w:val="none"/>
          <w:u w:val="single"/>
        </w:rPr>
        <w:t xml:space="preserve">   </w:t>
      </w:r>
      <w:r>
        <w:rPr>
          <w:rFonts w:hint="eastAsia" w:ascii="宋体" w:hAnsi="宋体"/>
          <w:color w:val="auto"/>
          <w:highlight w:val="none"/>
          <w:u w:val="single"/>
        </w:rPr>
        <w:t>承包人应在合同签订后7天内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hint="eastAsia" w:ascii="宋体" w:hAnsi="宋体"/>
          <w:color w:val="auto"/>
          <w:highlight w:val="none"/>
          <w:u w:val="single"/>
        </w:rPr>
        <w:t>收到施工组织设计后</w:t>
      </w:r>
      <w:r>
        <w:rPr>
          <w:rFonts w:ascii="宋体" w:hAnsi="宋体"/>
          <w:color w:val="auto"/>
          <w:highlight w:val="none"/>
          <w:u w:val="single"/>
        </w:rPr>
        <w:t>2</w:t>
      </w:r>
      <w:r>
        <w:rPr>
          <w:rFonts w:hint="eastAsia" w:ascii="宋体" w:hAnsi="宋体"/>
          <w:color w:val="auto"/>
          <w:highlight w:val="none"/>
          <w:u w:val="single"/>
        </w:rPr>
        <w:t>天内确认或提出修改意见</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229" w:name="_Toc373227724"/>
      <w:bookmarkStart w:id="230" w:name="_Toc389065290"/>
      <w:bookmarkStart w:id="231" w:name="_Toc407135226"/>
      <w:bookmarkStart w:id="232" w:name="_Toc373478371"/>
      <w:bookmarkStart w:id="233" w:name="_Toc34809926"/>
      <w:r>
        <w:rPr>
          <w:color w:val="auto"/>
          <w:highlight w:val="none"/>
        </w:rPr>
        <w:t xml:space="preserve">7.2 </w:t>
      </w:r>
      <w:r>
        <w:rPr>
          <w:rFonts w:hint="eastAsia" w:cs="黑体"/>
          <w:color w:val="auto"/>
          <w:highlight w:val="none"/>
        </w:rPr>
        <w:t>施工进度计划</w:t>
      </w:r>
      <w:bookmarkEnd w:id="229"/>
      <w:bookmarkEnd w:id="230"/>
      <w:bookmarkEnd w:id="231"/>
      <w:bookmarkEnd w:id="232"/>
      <w:bookmarkEnd w:id="233"/>
    </w:p>
    <w:p>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rFonts w:hint="eastAsia" w:ascii="宋体" w:hAnsi="宋体"/>
          <w:color w:val="auto"/>
          <w:highlight w:val="none"/>
          <w:u w:val="single"/>
        </w:rPr>
        <w:t>收到修订的施工进度计划后</w:t>
      </w:r>
      <w:r>
        <w:rPr>
          <w:rFonts w:ascii="宋体" w:hAnsi="宋体"/>
          <w:color w:val="auto"/>
          <w:highlight w:val="none"/>
          <w:u w:val="single"/>
        </w:rPr>
        <w:t>2</w:t>
      </w:r>
      <w:r>
        <w:rPr>
          <w:rFonts w:hint="eastAsia" w:ascii="宋体" w:hAnsi="宋体"/>
          <w:color w:val="auto"/>
          <w:highlight w:val="none"/>
          <w:u w:val="single"/>
        </w:rPr>
        <w:t>天内确认或提出修改意见</w:t>
      </w:r>
      <w:r>
        <w:rPr>
          <w:rFonts w:hint="eastAsia" w:hAnsi="宋体" w:cs="宋体"/>
          <w:color w:val="auto"/>
          <w:highlight w:val="none"/>
        </w:rPr>
        <w:t>。</w:t>
      </w:r>
    </w:p>
    <w:p>
      <w:pPr>
        <w:pStyle w:val="2"/>
        <w:rPr>
          <w:color w:val="auto"/>
          <w:highlight w:val="none"/>
        </w:rPr>
      </w:pPr>
      <w:bookmarkStart w:id="234" w:name="_Toc34809927"/>
      <w:bookmarkStart w:id="235" w:name="_Toc407135227"/>
      <w:bookmarkStart w:id="236" w:name="_Toc373227725"/>
      <w:bookmarkStart w:id="237" w:name="_Toc389065291"/>
      <w:bookmarkStart w:id="238" w:name="_Toc373478372"/>
      <w:r>
        <w:rPr>
          <w:color w:val="auto"/>
          <w:highlight w:val="none"/>
        </w:rPr>
        <w:t xml:space="preserve">7.3 </w:t>
      </w:r>
      <w:r>
        <w:rPr>
          <w:rFonts w:hint="eastAsia" w:cs="黑体"/>
          <w:color w:val="auto"/>
          <w:highlight w:val="none"/>
        </w:rPr>
        <w:t>开工</w:t>
      </w:r>
      <w:bookmarkEnd w:id="234"/>
      <w:bookmarkEnd w:id="235"/>
      <w:bookmarkEnd w:id="236"/>
      <w:bookmarkEnd w:id="237"/>
      <w:bookmarkEnd w:id="238"/>
    </w:p>
    <w:p>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Fonts w:hint="eastAsia" w:ascii="宋体" w:hAnsi="宋体"/>
          <w:color w:val="auto"/>
          <w:highlight w:val="none"/>
          <w:u w:val="single"/>
        </w:rPr>
        <w:t>开工日期前</w:t>
      </w:r>
      <w:r>
        <w:rPr>
          <w:rFonts w:ascii="宋体" w:hAnsi="宋体"/>
          <w:color w:val="auto"/>
          <w:highlight w:val="none"/>
          <w:u w:val="single"/>
        </w:rPr>
        <w:t>7</w:t>
      </w:r>
      <w:r>
        <w:rPr>
          <w:rFonts w:hint="eastAsia" w:ascii="宋体" w:hAnsi="宋体"/>
          <w:color w:val="auto"/>
          <w:highlight w:val="none"/>
          <w:u w:val="single"/>
        </w:rPr>
        <w:t>天</w:t>
      </w:r>
      <w:r>
        <w:rPr>
          <w:color w:val="auto"/>
          <w:highlight w:val="none"/>
          <w:u w:val="single"/>
        </w:rPr>
        <w:t xml:space="preserve"> </w:t>
      </w:r>
      <w:r>
        <w:rPr>
          <w:rFonts w:hint="eastAsia" w:hAnsi="宋体" w:cs="宋体"/>
          <w:color w:val="auto"/>
          <w:highlight w:val="none"/>
        </w:rPr>
        <w:t>。</w:t>
      </w:r>
    </w:p>
    <w:p>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7.3.1</w:t>
      </w:r>
      <w:r>
        <w:rPr>
          <w:rFonts w:hint="eastAsia" w:ascii="宋体" w:hAnsi="宋体"/>
          <w:color w:val="auto"/>
          <w:highlight w:val="none"/>
          <w:u w:val="single"/>
        </w:rPr>
        <w:t>条执行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color w:val="auto"/>
          <w:highlight w:val="none"/>
          <w:u w:val="single"/>
        </w:rPr>
        <w:t xml:space="preserve"> </w:t>
      </w:r>
      <w:r>
        <w:rPr>
          <w:rFonts w:hint="eastAsia" w:ascii="宋体" w:hAnsi="宋体"/>
          <w:color w:val="auto"/>
          <w:highlight w:val="none"/>
          <w:u w:val="single"/>
        </w:rPr>
        <w:t>开工日期前</w:t>
      </w:r>
      <w:r>
        <w:rPr>
          <w:rFonts w:ascii="宋体" w:hAnsi="宋体"/>
          <w:color w:val="auto"/>
          <w:highlight w:val="none"/>
          <w:u w:val="single"/>
        </w:rPr>
        <w:t>7</w:t>
      </w:r>
      <w:r>
        <w:rPr>
          <w:rFonts w:hint="eastAsia" w:ascii="宋体" w:hAnsi="宋体"/>
          <w:color w:val="auto"/>
          <w:highlight w:val="none"/>
          <w:u w:val="single"/>
        </w:rPr>
        <w:t>天</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90  </w:t>
      </w:r>
      <w:r>
        <w:rPr>
          <w:rFonts w:hint="eastAsia" w:hAnsi="宋体" w:cs="宋体"/>
          <w:color w:val="auto"/>
          <w:highlight w:val="none"/>
        </w:rPr>
        <w:t>天内发出开工通知的，承包人有权提出价格调整要求，或者解除合同。</w:t>
      </w:r>
    </w:p>
    <w:p>
      <w:pPr>
        <w:pStyle w:val="2"/>
        <w:rPr>
          <w:color w:val="auto"/>
          <w:highlight w:val="none"/>
        </w:rPr>
      </w:pPr>
      <w:bookmarkStart w:id="239" w:name="_Toc34809928"/>
      <w:bookmarkStart w:id="240" w:name="_Toc389065292"/>
      <w:bookmarkStart w:id="241" w:name="_Toc373227726"/>
      <w:bookmarkStart w:id="242" w:name="_Toc407135228"/>
      <w:bookmarkStart w:id="243" w:name="_Toc373478373"/>
      <w:r>
        <w:rPr>
          <w:color w:val="auto"/>
          <w:highlight w:val="none"/>
        </w:rPr>
        <w:t xml:space="preserve">7.4 </w:t>
      </w:r>
      <w:r>
        <w:rPr>
          <w:rFonts w:hint="eastAsia" w:hAnsi="宋体" w:cs="黑体"/>
          <w:color w:val="auto"/>
          <w:highlight w:val="none"/>
        </w:rPr>
        <w:t>测量放线</w:t>
      </w:r>
      <w:bookmarkEnd w:id="239"/>
      <w:bookmarkEnd w:id="240"/>
      <w:bookmarkEnd w:id="241"/>
      <w:bookmarkEnd w:id="242"/>
      <w:bookmarkEnd w:id="243"/>
    </w:p>
    <w:p>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pPr>
        <w:spacing w:line="360" w:lineRule="auto"/>
        <w:jc w:val="left"/>
        <w:rPr>
          <w:color w:val="auto"/>
          <w:highlight w:val="none"/>
          <w:u w:val="single"/>
        </w:rPr>
      </w:pPr>
      <w:r>
        <w:rPr>
          <w:color w:val="auto"/>
          <w:highlight w:val="none"/>
          <w:u w:val="single"/>
        </w:rPr>
        <w:t xml:space="preserve">   </w:t>
      </w:r>
      <w:r>
        <w:rPr>
          <w:rFonts w:hint="eastAsia" w:ascii="宋体" w:hAnsi="宋体"/>
          <w:color w:val="auto"/>
          <w:highlight w:val="none"/>
          <w:u w:val="single"/>
        </w:rPr>
        <w:t>开工日期前</w:t>
      </w:r>
      <w:r>
        <w:rPr>
          <w:rFonts w:ascii="宋体" w:hAnsi="宋体"/>
          <w:color w:val="auto"/>
          <w:highlight w:val="none"/>
          <w:u w:val="single"/>
        </w:rPr>
        <w:t>7</w:t>
      </w:r>
      <w:r>
        <w:rPr>
          <w:rFonts w:hint="eastAsia" w:ascii="宋体" w:hAnsi="宋体"/>
          <w:color w:val="auto"/>
          <w:highlight w:val="none"/>
          <w:u w:val="single"/>
        </w:rPr>
        <w:t>天</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244" w:name="_Toc389065293"/>
      <w:bookmarkStart w:id="245" w:name="_Toc34809929"/>
      <w:bookmarkStart w:id="246" w:name="_Toc407135229"/>
      <w:bookmarkStart w:id="247" w:name="_Toc373478374"/>
      <w:bookmarkStart w:id="248" w:name="_Toc373227727"/>
      <w:r>
        <w:rPr>
          <w:color w:val="auto"/>
          <w:highlight w:val="none"/>
        </w:rPr>
        <w:t xml:space="preserve">7.5 </w:t>
      </w:r>
      <w:r>
        <w:rPr>
          <w:rFonts w:hint="eastAsia" w:hAnsi="宋体" w:cs="黑体"/>
          <w:color w:val="auto"/>
          <w:highlight w:val="none"/>
        </w:rPr>
        <w:t>工期延误</w:t>
      </w:r>
      <w:bookmarkEnd w:id="244"/>
      <w:bookmarkEnd w:id="245"/>
      <w:bookmarkEnd w:id="246"/>
      <w:bookmarkEnd w:id="247"/>
      <w:bookmarkEnd w:id="248"/>
    </w:p>
    <w:p>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7.5.2 </w:t>
      </w:r>
      <w:r>
        <w:rPr>
          <w:rFonts w:hint="eastAsia" w:hAnsi="宋体" w:cs="宋体"/>
          <w:color w:val="auto"/>
          <w:highlight w:val="none"/>
        </w:rPr>
        <w:t>因承包人原因导致工期延误</w:t>
      </w:r>
    </w:p>
    <w:p>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按单项工程应支付给承包人的结算造价的万分之一</w:t>
      </w:r>
      <w:r>
        <w:rPr>
          <w:rFonts w:ascii="宋体" w:hAnsi="宋体" w:cs="宋体"/>
          <w:color w:val="auto"/>
          <w:highlight w:val="none"/>
          <w:u w:val="single"/>
        </w:rPr>
        <w:t xml:space="preserve"> </w:t>
      </w:r>
      <w:r>
        <w:rPr>
          <w:rFonts w:hint="eastAsia" w:ascii="宋体" w:hAnsi="宋体" w:cs="宋体"/>
          <w:color w:val="auto"/>
          <w:highlight w:val="none"/>
          <w:u w:val="single"/>
        </w:rPr>
        <w:t>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r>
        <w:rPr>
          <w:rFonts w:hint="eastAsia" w:hAnsi="宋体" w:cs="宋体"/>
          <w:color w:val="auto"/>
          <w:highlight w:val="none"/>
        </w:rPr>
        <w:t>因承包人原因造成工期延误，逾期竣工违约金的上限：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color w:val="auto"/>
          <w:highlight w:val="none"/>
          <w:u w:val="single"/>
        </w:rPr>
        <w:t xml:space="preserve"> 1  %</w:t>
      </w:r>
      <w:r>
        <w:rPr>
          <w:rFonts w:hint="eastAsia" w:hAnsi="宋体" w:cs="宋体"/>
          <w:color w:val="auto"/>
          <w:highlight w:val="none"/>
        </w:rPr>
        <w:t>。</w:t>
      </w:r>
    </w:p>
    <w:p>
      <w:pPr>
        <w:pStyle w:val="2"/>
        <w:rPr>
          <w:color w:val="auto"/>
          <w:highlight w:val="none"/>
        </w:rPr>
      </w:pPr>
      <w:bookmarkStart w:id="249" w:name="_Toc407135230"/>
      <w:bookmarkStart w:id="250" w:name="_Toc373227728"/>
      <w:bookmarkStart w:id="251" w:name="_Toc373478375"/>
      <w:bookmarkStart w:id="252" w:name="_Toc389065294"/>
      <w:bookmarkStart w:id="253" w:name="_Toc34809930"/>
      <w:r>
        <w:rPr>
          <w:color w:val="auto"/>
          <w:highlight w:val="none"/>
        </w:rPr>
        <w:t xml:space="preserve">7.6 </w:t>
      </w:r>
      <w:r>
        <w:rPr>
          <w:rFonts w:hint="eastAsia" w:cs="黑体"/>
          <w:color w:val="auto"/>
          <w:highlight w:val="none"/>
        </w:rPr>
        <w:t>不利物质条件</w:t>
      </w:r>
      <w:bookmarkEnd w:id="249"/>
      <w:bookmarkEnd w:id="250"/>
      <w:bookmarkEnd w:id="251"/>
      <w:bookmarkEnd w:id="252"/>
      <w:bookmarkEnd w:id="253"/>
    </w:p>
    <w:p>
      <w:pPr>
        <w:spacing w:line="360" w:lineRule="auto"/>
        <w:ind w:firstLine="420" w:firstLineChars="200"/>
        <w:jc w:val="left"/>
        <w:rPr>
          <w:color w:val="auto"/>
          <w:highlight w:val="none"/>
          <w:u w:val="single"/>
        </w:rPr>
      </w:pPr>
      <w:r>
        <w:rPr>
          <w:rFonts w:hint="eastAsia" w:hAnsi="宋体" w:cs="宋体"/>
          <w:color w:val="auto"/>
          <w:highlight w:val="none"/>
        </w:rPr>
        <w:t>不利物质条件的其他情形和有关约定：</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7.6</w:t>
      </w:r>
      <w:r>
        <w:rPr>
          <w:rFonts w:hint="eastAsia" w:ascii="宋体" w:hAnsi="宋体"/>
          <w:color w:val="auto"/>
          <w:highlight w:val="none"/>
          <w:u w:val="single"/>
        </w:rPr>
        <w:t>条执行</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254" w:name="_Toc34809931"/>
      <w:bookmarkStart w:id="255" w:name="_Toc389065295"/>
      <w:bookmarkStart w:id="256" w:name="_Toc373227729"/>
      <w:bookmarkStart w:id="257" w:name="_Toc373478376"/>
      <w:bookmarkStart w:id="258" w:name="_Toc407135231"/>
      <w:r>
        <w:rPr>
          <w:color w:val="auto"/>
          <w:highlight w:val="none"/>
        </w:rPr>
        <w:t xml:space="preserve">7.7 </w:t>
      </w:r>
      <w:r>
        <w:rPr>
          <w:rFonts w:hint="eastAsia" w:cs="黑体"/>
          <w:color w:val="auto"/>
          <w:highlight w:val="none"/>
        </w:rPr>
        <w:t>异常恶劣的气候条件</w:t>
      </w:r>
      <w:bookmarkEnd w:id="254"/>
      <w:bookmarkEnd w:id="255"/>
      <w:bookmarkEnd w:id="256"/>
      <w:bookmarkEnd w:id="257"/>
      <w:bookmarkEnd w:id="258"/>
    </w:p>
    <w:p>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ascii="宋体" w:hAnsi="宋体"/>
          <w:color w:val="auto"/>
          <w:highlight w:val="none"/>
          <w:u w:val="single"/>
        </w:rPr>
        <w:t>6</w:t>
      </w:r>
      <w:r>
        <w:rPr>
          <w:rFonts w:hint="eastAsia" w:ascii="宋体" w:hAnsi="宋体"/>
          <w:color w:val="auto"/>
          <w:highlight w:val="none"/>
          <w:u w:val="single"/>
        </w:rPr>
        <w:t>级及以上的大风</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hint="eastAsia" w:ascii="宋体" w:hAnsi="宋体"/>
          <w:color w:val="auto"/>
          <w:highlight w:val="none"/>
          <w:u w:val="single"/>
        </w:rPr>
        <w:t>日降雨量大于</w:t>
      </w:r>
      <w:r>
        <w:rPr>
          <w:rFonts w:ascii="宋体" w:hAnsi="宋体"/>
          <w:color w:val="auto"/>
          <w:highlight w:val="none"/>
          <w:u w:val="single"/>
        </w:rPr>
        <w:t>100</w:t>
      </w:r>
      <w:r>
        <w:rPr>
          <w:rFonts w:hint="eastAsia" w:ascii="宋体" w:hAnsi="宋体"/>
          <w:color w:val="auto"/>
          <w:highlight w:val="none"/>
          <w:u w:val="single"/>
        </w:rPr>
        <w:t>㎜的雨日；</w:t>
      </w:r>
      <w:r>
        <w:rPr>
          <w:rFonts w:ascii="宋体" w:hAnsi="宋体"/>
          <w:color w:val="auto"/>
          <w:highlight w:val="none"/>
          <w:u w:val="single"/>
        </w:rPr>
        <w:t>20</w:t>
      </w:r>
      <w:r>
        <w:rPr>
          <w:rFonts w:hint="eastAsia" w:ascii="宋体" w:hAnsi="宋体"/>
          <w:color w:val="auto"/>
          <w:highlight w:val="none"/>
          <w:u w:val="single"/>
        </w:rPr>
        <w:t>年以上未发生过的洪水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w:t>
      </w:r>
      <w:r>
        <w:rPr>
          <w:color w:val="auto"/>
          <w:highlight w:val="none"/>
          <w:u w:val="single"/>
        </w:rPr>
        <w:t xml:space="preserve">  </w:t>
      </w:r>
      <w:r>
        <w:rPr>
          <w:rFonts w:ascii="宋体" w:hAnsi="宋体"/>
          <w:color w:val="auto"/>
          <w:highlight w:val="none"/>
          <w:u w:val="single"/>
        </w:rPr>
        <w:t>20</w:t>
      </w:r>
      <w:r>
        <w:rPr>
          <w:rFonts w:hint="eastAsia" w:ascii="宋体" w:hAnsi="宋体"/>
          <w:color w:val="auto"/>
          <w:highlight w:val="none"/>
          <w:u w:val="single"/>
        </w:rPr>
        <w:t>年以上未发生过，持续</w:t>
      </w:r>
      <w:r>
        <w:rPr>
          <w:rFonts w:ascii="宋体" w:hAnsi="宋体"/>
          <w:color w:val="auto"/>
          <w:highlight w:val="none"/>
          <w:u w:val="single"/>
        </w:rPr>
        <w:t>3</w:t>
      </w:r>
      <w:r>
        <w:rPr>
          <w:rFonts w:hint="eastAsia" w:ascii="宋体" w:hAnsi="宋体"/>
          <w:color w:val="auto"/>
          <w:highlight w:val="none"/>
          <w:u w:val="single"/>
        </w:rPr>
        <w:t>天的高温天气；</w:t>
      </w:r>
      <w:r>
        <w:rPr>
          <w:rFonts w:ascii="宋体" w:hAnsi="宋体"/>
          <w:color w:val="auto"/>
          <w:highlight w:val="none"/>
          <w:u w:val="single"/>
        </w:rPr>
        <w:t>20</w:t>
      </w:r>
      <w:r>
        <w:rPr>
          <w:rFonts w:hint="eastAsia" w:ascii="宋体" w:hAnsi="宋体"/>
          <w:color w:val="auto"/>
          <w:highlight w:val="none"/>
          <w:u w:val="single"/>
        </w:rPr>
        <w:t>年以上未发生过，持续</w:t>
      </w:r>
      <w:r>
        <w:rPr>
          <w:rFonts w:ascii="宋体" w:hAnsi="宋体"/>
          <w:color w:val="auto"/>
          <w:highlight w:val="none"/>
          <w:u w:val="single"/>
        </w:rPr>
        <w:t>3</w:t>
      </w:r>
      <w:r>
        <w:rPr>
          <w:rFonts w:hint="eastAsia" w:ascii="宋体" w:hAnsi="宋体"/>
          <w:color w:val="auto"/>
          <w:highlight w:val="none"/>
          <w:u w:val="single"/>
        </w:rPr>
        <w:t>天的严寒天气</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rPr>
      </w:pPr>
      <w:r>
        <w:rPr>
          <w:rFonts w:hint="eastAsia" w:ascii="宋体" w:hAnsi="宋体"/>
          <w:color w:val="auto"/>
          <w:highlight w:val="none"/>
          <w:u w:val="single"/>
        </w:rPr>
        <w:t>以上异常恶劣的气候的认定以当地气象部门出具的材料为准</w:t>
      </w:r>
      <w:r>
        <w:rPr>
          <w:rFonts w:hint="eastAsia" w:ascii="宋体" w:hAnsi="宋体"/>
          <w:color w:val="auto"/>
          <w:highlight w:val="none"/>
        </w:rPr>
        <w:t>。</w:t>
      </w:r>
    </w:p>
    <w:p>
      <w:pPr>
        <w:pStyle w:val="2"/>
        <w:rPr>
          <w:color w:val="auto"/>
          <w:highlight w:val="none"/>
          <w:lang w:val="en-US"/>
        </w:rPr>
      </w:pPr>
      <w:bookmarkStart w:id="259" w:name="_Toc373227730"/>
      <w:bookmarkStart w:id="260" w:name="_Toc373478377"/>
      <w:bookmarkStart w:id="261" w:name="_Toc34809932"/>
      <w:bookmarkStart w:id="262" w:name="_Toc407135232"/>
      <w:bookmarkStart w:id="263" w:name="_Toc389065296"/>
      <w:r>
        <w:rPr>
          <w:color w:val="auto"/>
          <w:highlight w:val="none"/>
          <w:lang w:val="en-US"/>
        </w:rPr>
        <w:t xml:space="preserve">7.9 </w:t>
      </w:r>
      <w:r>
        <w:rPr>
          <w:rFonts w:hint="eastAsia" w:hAnsi="宋体" w:cs="黑体"/>
          <w:color w:val="auto"/>
          <w:highlight w:val="none"/>
        </w:rPr>
        <w:t>提前竣工</w:t>
      </w:r>
      <w:bookmarkEnd w:id="259"/>
      <w:bookmarkEnd w:id="260"/>
      <w:bookmarkEnd w:id="261"/>
      <w:bookmarkEnd w:id="262"/>
      <w:bookmarkEnd w:id="263"/>
    </w:p>
    <w:p>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ascii="宋体" w:hAnsi="宋体"/>
          <w:color w:val="auto"/>
          <w:highlight w:val="none"/>
          <w:u w:val="single"/>
        </w:rPr>
        <w:t>双方另议</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264" w:name="_Toc389065297"/>
      <w:bookmarkStart w:id="265" w:name="_Toc407135233"/>
      <w:bookmarkStart w:id="266" w:name="_Toc34809933"/>
      <w:bookmarkStart w:id="267" w:name="_Toc373227731"/>
      <w:bookmarkStart w:id="268" w:name="_Toc373478378"/>
      <w:r>
        <w:rPr>
          <w:color w:val="auto"/>
          <w:highlight w:val="none"/>
        </w:rPr>
        <w:t xml:space="preserve">8. </w:t>
      </w:r>
      <w:r>
        <w:rPr>
          <w:rFonts w:hint="eastAsia" w:cs="黑体"/>
          <w:color w:val="auto"/>
          <w:highlight w:val="none"/>
        </w:rPr>
        <w:t>材料与设备</w:t>
      </w:r>
      <w:bookmarkEnd w:id="264"/>
      <w:bookmarkEnd w:id="265"/>
      <w:bookmarkEnd w:id="266"/>
      <w:bookmarkEnd w:id="267"/>
      <w:bookmarkEnd w:id="268"/>
    </w:p>
    <w:p>
      <w:pPr>
        <w:pStyle w:val="2"/>
        <w:rPr>
          <w:color w:val="auto"/>
          <w:highlight w:val="none"/>
        </w:rPr>
      </w:pPr>
      <w:bookmarkStart w:id="269" w:name="_Toc389065298"/>
      <w:bookmarkStart w:id="270" w:name="_Toc34809934"/>
      <w:bookmarkStart w:id="271" w:name="_Toc407135234"/>
      <w:bookmarkStart w:id="272" w:name="_Toc373227732"/>
      <w:bookmarkStart w:id="273" w:name="_Toc373478379"/>
      <w:r>
        <w:rPr>
          <w:color w:val="auto"/>
          <w:highlight w:val="none"/>
        </w:rPr>
        <w:t xml:space="preserve">8.2 </w:t>
      </w:r>
      <w:r>
        <w:rPr>
          <w:rFonts w:hint="eastAsia" w:cs="黑体"/>
          <w:color w:val="auto"/>
          <w:highlight w:val="none"/>
        </w:rPr>
        <w:t>承包人采购材料与工程设备</w:t>
      </w:r>
      <w:bookmarkEnd w:id="269"/>
      <w:bookmarkEnd w:id="270"/>
      <w:bookmarkEnd w:id="271"/>
      <w:bookmarkEnd w:id="272"/>
      <w:bookmarkEnd w:id="273"/>
    </w:p>
    <w:p>
      <w:pPr>
        <w:autoSpaceDE w:val="0"/>
        <w:autoSpaceDN w:val="0"/>
        <w:adjustRightInd w:val="0"/>
        <w:spacing w:line="360" w:lineRule="auto"/>
        <w:ind w:firstLine="420" w:firstLineChars="200"/>
        <w:jc w:val="left"/>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pPr>
        <w:autoSpaceDE w:val="0"/>
        <w:autoSpaceDN w:val="0"/>
        <w:adjustRightInd w:val="0"/>
        <w:spacing w:line="360" w:lineRule="auto"/>
        <w:ind w:firstLine="420" w:firstLineChars="200"/>
        <w:jc w:val="left"/>
        <w:rPr>
          <w:color w:val="auto"/>
          <w:highlight w:val="none"/>
        </w:rPr>
      </w:pPr>
      <w:bookmarkStart w:id="274" w:name="_Toc373227733"/>
      <w:bookmarkStart w:id="275" w:name="_Toc389065299"/>
      <w:bookmarkStart w:id="276" w:name="_Toc373478380"/>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2"/>
        <w:rPr>
          <w:color w:val="auto"/>
          <w:highlight w:val="none"/>
        </w:rPr>
      </w:pPr>
      <w:bookmarkStart w:id="277" w:name="_Toc407135235"/>
      <w:bookmarkStart w:id="278" w:name="_Toc34809935"/>
      <w:r>
        <w:rPr>
          <w:color w:val="auto"/>
          <w:highlight w:val="none"/>
        </w:rPr>
        <w:t xml:space="preserve">8.4 </w:t>
      </w:r>
      <w:r>
        <w:rPr>
          <w:rFonts w:hint="eastAsia" w:cs="黑体"/>
          <w:color w:val="auto"/>
          <w:highlight w:val="none"/>
        </w:rPr>
        <w:t>材料与工程设备的保管与使用</w:t>
      </w:r>
      <w:bookmarkEnd w:id="274"/>
      <w:bookmarkEnd w:id="275"/>
      <w:bookmarkEnd w:id="276"/>
      <w:bookmarkEnd w:id="277"/>
      <w:bookmarkEnd w:id="278"/>
    </w:p>
    <w:p>
      <w:pPr>
        <w:spacing w:line="360" w:lineRule="auto"/>
        <w:ind w:firstLine="420" w:firstLineChars="200"/>
        <w:jc w:val="left"/>
        <w:rPr>
          <w:rFonts w:hAnsi="宋体" w:cs="宋体"/>
          <w:color w:val="auto"/>
          <w:highlight w:val="none"/>
        </w:rPr>
      </w:pPr>
      <w:r>
        <w:rPr>
          <w:color w:val="auto"/>
          <w:highlight w:val="none"/>
        </w:rPr>
        <w:t>8.4.1</w:t>
      </w:r>
      <w:r>
        <w:rPr>
          <w:rFonts w:hint="eastAsia" w:hAnsi="宋体" w:cs="宋体"/>
          <w:color w:val="auto"/>
          <w:highlight w:val="none"/>
        </w:rPr>
        <w:t>发包人供应的材料设备的保管费用的承担：</w:t>
      </w:r>
      <w:r>
        <w:rPr>
          <w:color w:val="auto"/>
          <w:highlight w:val="none"/>
          <w:u w:val="single"/>
        </w:rPr>
        <w:t xml:space="preserve"> </w:t>
      </w:r>
      <w:r>
        <w:rPr>
          <w:rFonts w:hint="eastAsia" w:ascii="宋体" w:hAnsi="宋体"/>
          <w:color w:val="auto"/>
          <w:highlight w:val="none"/>
          <w:u w:val="single"/>
        </w:rPr>
        <w:t>如有发包人供应的材料和工程设备，如须承包人代为保管的，承包人清点后由承包人妥善保管，保管期间产生的费用由发包人承担。监理人未通知承包人清点的，承包人不负责材料和工程设备的保管，由此导致丢失毁损的由发包人负责。发包人供应的材料和工程设备使用前，由承包人负责检验，检验费用由发包人承担，不合格的不得使用</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ascii="宋体" w:hAnsi="宋体"/>
          <w:color w:val="auto"/>
          <w:highlight w:val="none"/>
        </w:rPr>
        <w:t xml:space="preserve">8.4.2 </w:t>
      </w:r>
      <w:r>
        <w:rPr>
          <w:rFonts w:hint="eastAsia" w:ascii="宋体" w:hAnsi="宋体"/>
          <w:color w:val="auto"/>
          <w:highlight w:val="none"/>
          <w:u w:val="single"/>
        </w:rPr>
        <w:t>本工程施工用水用电由发包人提供，用水用电费用按实际支出经双方核定确认后由发包人在工程结算中直接扣除，此部分增值税发票由发包人自行取得。</w:t>
      </w:r>
    </w:p>
    <w:p>
      <w:pPr>
        <w:pStyle w:val="2"/>
        <w:rPr>
          <w:color w:val="auto"/>
          <w:highlight w:val="none"/>
        </w:rPr>
      </w:pPr>
      <w:bookmarkStart w:id="279" w:name="_Toc373478381"/>
      <w:bookmarkStart w:id="280" w:name="_Toc373227734"/>
      <w:bookmarkStart w:id="281" w:name="_Toc407135236"/>
      <w:bookmarkStart w:id="282" w:name="_Toc389065300"/>
      <w:bookmarkStart w:id="283" w:name="_Toc34809936"/>
      <w:r>
        <w:rPr>
          <w:color w:val="auto"/>
          <w:highlight w:val="none"/>
        </w:rPr>
        <w:t xml:space="preserve">8.6 </w:t>
      </w:r>
      <w:r>
        <w:rPr>
          <w:rFonts w:hint="eastAsia" w:hAnsi="宋体" w:cs="黑体"/>
          <w:color w:val="auto"/>
          <w:highlight w:val="none"/>
        </w:rPr>
        <w:t>样品</w:t>
      </w:r>
      <w:bookmarkEnd w:id="279"/>
      <w:bookmarkEnd w:id="280"/>
      <w:bookmarkEnd w:id="281"/>
      <w:bookmarkEnd w:id="282"/>
      <w:bookmarkEnd w:id="283"/>
    </w:p>
    <w:p>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pStyle w:val="2"/>
        <w:rPr>
          <w:color w:val="auto"/>
          <w:highlight w:val="none"/>
        </w:rPr>
      </w:pPr>
      <w:bookmarkStart w:id="284" w:name="_Toc389065301"/>
      <w:bookmarkStart w:id="285" w:name="_Toc373478382"/>
      <w:bookmarkStart w:id="286" w:name="_Toc407135237"/>
      <w:bookmarkStart w:id="287" w:name="_Toc34809937"/>
      <w:bookmarkStart w:id="288" w:name="_Toc373227735"/>
      <w:r>
        <w:rPr>
          <w:color w:val="auto"/>
          <w:highlight w:val="none"/>
        </w:rPr>
        <w:t xml:space="preserve">8.8 </w:t>
      </w:r>
      <w:r>
        <w:rPr>
          <w:rFonts w:hint="eastAsia" w:cs="黑体"/>
          <w:color w:val="auto"/>
          <w:highlight w:val="none"/>
        </w:rPr>
        <w:t>施工设备和临时设施</w:t>
      </w:r>
      <w:bookmarkEnd w:id="284"/>
      <w:bookmarkEnd w:id="285"/>
      <w:bookmarkEnd w:id="286"/>
      <w:bookmarkEnd w:id="287"/>
      <w:bookmarkEnd w:id="288"/>
    </w:p>
    <w:p>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pPr>
        <w:autoSpaceDE w:val="0"/>
        <w:autoSpaceDN w:val="0"/>
        <w:adjustRightInd w:val="0"/>
        <w:spacing w:line="360" w:lineRule="auto"/>
        <w:ind w:firstLine="420" w:firstLineChars="200"/>
        <w:jc w:val="left"/>
        <w:rPr>
          <w:rFonts w:ascii="宋体" w:hAnsi="宋体"/>
          <w:color w:val="auto"/>
          <w:highlight w:val="none"/>
          <w:u w:val="single"/>
        </w:rPr>
      </w:pPr>
      <w:r>
        <w:rPr>
          <w:rFonts w:hAnsi="宋体"/>
          <w:color w:val="auto"/>
          <w:highlight w:val="none"/>
          <w:u w:val="single"/>
        </w:rPr>
        <w:t xml:space="preserve">   </w:t>
      </w:r>
      <w:r>
        <w:rPr>
          <w:rFonts w:hint="eastAsia" w:ascii="宋体" w:hAnsi="宋体"/>
          <w:color w:val="auto"/>
          <w:highlight w:val="none"/>
          <w:u w:val="single"/>
        </w:rPr>
        <w:t>①</w:t>
      </w:r>
      <w:r>
        <w:rPr>
          <w:rFonts w:hint="eastAsia"/>
          <w:color w:val="auto"/>
          <w:highlight w:val="none"/>
          <w:u w:val="single"/>
        </w:rPr>
        <w:t>承包人的临时用地</w:t>
      </w:r>
      <w:r>
        <w:rPr>
          <w:rFonts w:hint="eastAsia" w:ascii="宋体" w:hAnsi="宋体"/>
          <w:color w:val="auto"/>
          <w:highlight w:val="none"/>
          <w:u w:val="single"/>
        </w:rPr>
        <w:t>（含项目部驻地等）租用费（含拆迁补偿）、临时用地的环保、恢复、临时用地的青苗补偿及地面附着物拆除等费用均由承包人负责，以上费用在投标报价中综合考虑。需要临时占地的，应由承包人办理申请手续并承担相应费用。</w:t>
      </w:r>
    </w:p>
    <w:p>
      <w:pPr>
        <w:autoSpaceDE w:val="0"/>
        <w:autoSpaceDN w:val="0"/>
        <w:adjustRightInd w:val="0"/>
        <w:spacing w:line="360" w:lineRule="auto"/>
        <w:ind w:firstLine="420" w:firstLineChars="200"/>
        <w:jc w:val="left"/>
        <w:rPr>
          <w:rFonts w:ascii="宋体" w:hAnsi="宋体"/>
          <w:color w:val="auto"/>
          <w:highlight w:val="none"/>
          <w:u w:val="single"/>
        </w:rPr>
      </w:pPr>
      <w:r>
        <w:rPr>
          <w:rFonts w:hint="eastAsia" w:ascii="宋体" w:hAnsi="宋体"/>
          <w:color w:val="auto"/>
          <w:highlight w:val="none"/>
          <w:u w:val="single"/>
        </w:rPr>
        <w:t>②</w:t>
      </w:r>
      <w:r>
        <w:rPr>
          <w:rFonts w:hint="eastAsia"/>
          <w:color w:val="auto"/>
          <w:highlight w:val="none"/>
          <w:u w:val="single"/>
        </w:rPr>
        <w:t>承包人负责合同实施期间其合同段内临时交通道路</w:t>
      </w:r>
      <w:r>
        <w:rPr>
          <w:rFonts w:hint="eastAsia" w:ascii="宋体" w:hAnsi="宋体"/>
          <w:color w:val="auto"/>
          <w:highlight w:val="none"/>
          <w:u w:val="single"/>
        </w:rPr>
        <w:t>（含场内外连接公共交通道路）和交通设施的修建、维修、养护和交通管理工作，并承担一切费用。</w:t>
      </w:r>
    </w:p>
    <w:p>
      <w:pPr>
        <w:autoSpaceDE w:val="0"/>
        <w:autoSpaceDN w:val="0"/>
        <w:adjustRightInd w:val="0"/>
        <w:spacing w:line="360" w:lineRule="auto"/>
        <w:ind w:firstLine="420" w:firstLineChars="200"/>
        <w:jc w:val="left"/>
        <w:rPr>
          <w:rFonts w:ascii="宋体" w:hAnsi="宋体"/>
          <w:color w:val="auto"/>
          <w:highlight w:val="none"/>
          <w:u w:val="single"/>
        </w:rPr>
      </w:pPr>
      <w:r>
        <w:rPr>
          <w:rFonts w:hint="eastAsia" w:ascii="宋体" w:hAnsi="宋体"/>
          <w:color w:val="auto"/>
          <w:highlight w:val="none"/>
          <w:u w:val="single"/>
        </w:rPr>
        <w:t>③</w:t>
      </w:r>
      <w:r>
        <w:rPr>
          <w:rFonts w:hint="eastAsia"/>
          <w:color w:val="auto"/>
          <w:highlight w:val="none"/>
          <w:u w:val="single"/>
        </w:rPr>
        <w:t>承包人修建的临时道路和交通设施</w:t>
      </w:r>
      <w:r>
        <w:rPr>
          <w:rFonts w:hint="eastAsia" w:ascii="宋体" w:hAnsi="宋体"/>
          <w:color w:val="auto"/>
          <w:highlight w:val="none"/>
          <w:u w:val="single"/>
        </w:rPr>
        <w:t>，应免费提供给发包人、监理工程师和其他合同段的承包人使用，如共同使用的路基损坏严重，发包人或监理工程师将负责通知有关承包人共同出资修复，若使用频率相差悬殊，则按比例分摊。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289" w:name="_Toc373227736"/>
      <w:bookmarkStart w:id="290" w:name="_Toc389065302"/>
      <w:bookmarkStart w:id="291" w:name="_Toc34809938"/>
      <w:bookmarkStart w:id="292" w:name="_Toc407135238"/>
      <w:bookmarkStart w:id="293" w:name="_Toc373478383"/>
      <w:r>
        <w:rPr>
          <w:color w:val="auto"/>
          <w:highlight w:val="none"/>
        </w:rPr>
        <w:t xml:space="preserve">9. </w:t>
      </w:r>
      <w:r>
        <w:rPr>
          <w:rFonts w:hint="eastAsia" w:cs="黑体"/>
          <w:color w:val="auto"/>
          <w:highlight w:val="none"/>
        </w:rPr>
        <w:t>试验与检验</w:t>
      </w:r>
      <w:bookmarkEnd w:id="289"/>
      <w:bookmarkEnd w:id="290"/>
      <w:bookmarkEnd w:id="291"/>
      <w:bookmarkEnd w:id="292"/>
      <w:bookmarkEnd w:id="293"/>
    </w:p>
    <w:p>
      <w:pPr>
        <w:pStyle w:val="2"/>
        <w:rPr>
          <w:color w:val="auto"/>
          <w:highlight w:val="none"/>
        </w:rPr>
      </w:pPr>
      <w:bookmarkStart w:id="294" w:name="_Toc34809939"/>
      <w:bookmarkStart w:id="295" w:name="_Toc389065303"/>
      <w:bookmarkStart w:id="296" w:name="_Toc407135239"/>
      <w:bookmarkStart w:id="297" w:name="_Toc373227737"/>
      <w:bookmarkStart w:id="298" w:name="_Toc373478384"/>
      <w:r>
        <w:rPr>
          <w:color w:val="auto"/>
          <w:highlight w:val="none"/>
        </w:rPr>
        <w:t xml:space="preserve">9.1 </w:t>
      </w:r>
      <w:r>
        <w:rPr>
          <w:rFonts w:hint="eastAsia" w:cs="黑体"/>
          <w:color w:val="auto"/>
          <w:highlight w:val="none"/>
        </w:rPr>
        <w:t>试验设备与试验人员</w:t>
      </w:r>
      <w:bookmarkEnd w:id="294"/>
      <w:bookmarkEnd w:id="295"/>
      <w:bookmarkEnd w:id="296"/>
      <w:bookmarkEnd w:id="297"/>
      <w:bookmarkEnd w:id="298"/>
    </w:p>
    <w:p>
      <w:pPr>
        <w:spacing w:line="360" w:lineRule="auto"/>
        <w:ind w:firstLine="420" w:firstLineChars="200"/>
        <w:jc w:val="left"/>
        <w:rPr>
          <w:color w:val="auto"/>
          <w:highlight w:val="none"/>
        </w:rPr>
      </w:pPr>
      <w:r>
        <w:rPr>
          <w:color w:val="auto"/>
          <w:highlight w:val="none"/>
        </w:rPr>
        <w:t xml:space="preserve">9.1.2 </w:t>
      </w:r>
      <w:r>
        <w:rPr>
          <w:rFonts w:hint="eastAsia" w:hAnsi="宋体" w:cs="宋体"/>
          <w:color w:val="auto"/>
          <w:highlight w:val="none"/>
        </w:rPr>
        <w:t>试验设备</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9.1.2</w:t>
      </w:r>
      <w:r>
        <w:rPr>
          <w:rFonts w:hint="eastAsia" w:ascii="宋体" w:hAnsi="宋体"/>
          <w:color w:val="auto"/>
          <w:highlight w:val="none"/>
          <w:u w:val="single"/>
        </w:rPr>
        <w:t>条执行，由承包人提供</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9.1.2</w:t>
      </w:r>
      <w:r>
        <w:rPr>
          <w:rFonts w:hint="eastAsia" w:ascii="宋体" w:hAnsi="宋体"/>
          <w:color w:val="auto"/>
          <w:highlight w:val="none"/>
          <w:u w:val="single"/>
        </w:rPr>
        <w:t>条执行，由承包人提供</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9.1.2</w:t>
      </w:r>
      <w:r>
        <w:rPr>
          <w:rFonts w:hint="eastAsia" w:ascii="宋体" w:hAnsi="宋体"/>
          <w:color w:val="auto"/>
          <w:highlight w:val="none"/>
          <w:u w:val="single"/>
        </w:rPr>
        <w:t>条执行，由承包人提供</w:t>
      </w:r>
      <w:r>
        <w:rPr>
          <w:rFonts w:hint="eastAsia" w:hAnsi="宋体" w:cs="宋体"/>
          <w:color w:val="auto"/>
          <w:highlight w:val="none"/>
        </w:rPr>
        <w:t>。</w:t>
      </w:r>
    </w:p>
    <w:p>
      <w:pPr>
        <w:pStyle w:val="2"/>
        <w:rPr>
          <w:color w:val="auto"/>
          <w:highlight w:val="none"/>
        </w:rPr>
      </w:pPr>
      <w:bookmarkStart w:id="299" w:name="_Toc373478385"/>
      <w:bookmarkStart w:id="300" w:name="_Toc373227738"/>
      <w:bookmarkStart w:id="301" w:name="_Toc389065304"/>
      <w:bookmarkStart w:id="302" w:name="_Toc407135240"/>
      <w:bookmarkStart w:id="303" w:name="_Toc34809940"/>
      <w:r>
        <w:rPr>
          <w:color w:val="auto"/>
          <w:highlight w:val="none"/>
        </w:rPr>
        <w:t xml:space="preserve">9.4 </w:t>
      </w:r>
      <w:r>
        <w:rPr>
          <w:rFonts w:hint="eastAsia" w:hAnsi="宋体" w:cs="黑体"/>
          <w:color w:val="auto"/>
          <w:highlight w:val="none"/>
        </w:rPr>
        <w:t>现场工艺试验</w:t>
      </w:r>
      <w:bookmarkEnd w:id="299"/>
      <w:bookmarkEnd w:id="300"/>
      <w:bookmarkEnd w:id="301"/>
      <w:bookmarkEnd w:id="302"/>
      <w:bookmarkEnd w:id="303"/>
      <w:r>
        <w:rPr>
          <w:color w:val="auto"/>
          <w:highlight w:val="none"/>
        </w:rPr>
        <w:t xml:space="preserve"> </w:t>
      </w:r>
    </w:p>
    <w:p>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ascii="宋体" w:hAnsi="宋体"/>
          <w:color w:val="auto"/>
          <w:highlight w:val="none"/>
          <w:u w:val="single"/>
        </w:rPr>
        <w:t>按《通用合同条款》9.4执行</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304" w:name="_Toc407135241"/>
      <w:bookmarkStart w:id="305" w:name="_Toc34809941"/>
      <w:bookmarkStart w:id="306" w:name="OLE_LINK1"/>
      <w:r>
        <w:rPr>
          <w:color w:val="auto"/>
          <w:highlight w:val="none"/>
        </w:rPr>
        <w:t xml:space="preserve">9.5 </w:t>
      </w:r>
      <w:r>
        <w:rPr>
          <w:rFonts w:hint="eastAsia" w:hAnsi="宋体" w:cs="黑体"/>
          <w:color w:val="auto"/>
          <w:highlight w:val="none"/>
        </w:rPr>
        <w:t>检验费用</w:t>
      </w:r>
      <w:bookmarkEnd w:id="304"/>
      <w:bookmarkEnd w:id="305"/>
    </w:p>
    <w:p>
      <w:pPr>
        <w:spacing w:line="360" w:lineRule="auto"/>
        <w:ind w:firstLine="411" w:firstLineChars="196"/>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306"/>
    <w:p>
      <w:pPr>
        <w:pStyle w:val="4"/>
        <w:rPr>
          <w:color w:val="auto"/>
          <w:highlight w:val="none"/>
        </w:rPr>
      </w:pPr>
      <w:bookmarkStart w:id="307" w:name="_Toc373227739"/>
      <w:bookmarkStart w:id="308" w:name="_Toc34809942"/>
      <w:bookmarkStart w:id="309" w:name="_Toc407135242"/>
      <w:bookmarkStart w:id="310" w:name="_Toc373478386"/>
      <w:bookmarkStart w:id="311" w:name="_Toc389065305"/>
      <w:r>
        <w:rPr>
          <w:color w:val="auto"/>
          <w:highlight w:val="none"/>
        </w:rPr>
        <w:t xml:space="preserve">10. </w:t>
      </w:r>
      <w:r>
        <w:rPr>
          <w:rFonts w:hint="eastAsia" w:hAnsi="宋体" w:cs="黑体"/>
          <w:color w:val="auto"/>
          <w:highlight w:val="none"/>
        </w:rPr>
        <w:t>变更</w:t>
      </w:r>
      <w:bookmarkEnd w:id="307"/>
      <w:bookmarkEnd w:id="308"/>
      <w:bookmarkEnd w:id="309"/>
      <w:bookmarkEnd w:id="310"/>
      <w:bookmarkEnd w:id="311"/>
    </w:p>
    <w:p>
      <w:pPr>
        <w:pStyle w:val="2"/>
        <w:rPr>
          <w:color w:val="auto"/>
          <w:highlight w:val="none"/>
        </w:rPr>
      </w:pPr>
      <w:bookmarkStart w:id="312" w:name="_Toc373227740"/>
      <w:bookmarkStart w:id="313" w:name="_Toc389065306"/>
      <w:bookmarkStart w:id="314" w:name="_Toc373478387"/>
      <w:bookmarkStart w:id="315" w:name="_Toc407135243"/>
      <w:bookmarkStart w:id="316" w:name="_Toc34809943"/>
      <w:r>
        <w:rPr>
          <w:color w:val="auto"/>
          <w:highlight w:val="none"/>
        </w:rPr>
        <w:t xml:space="preserve">10.1 </w:t>
      </w:r>
      <w:r>
        <w:rPr>
          <w:rFonts w:hint="eastAsia" w:hAnsi="宋体" w:cs="黑体"/>
          <w:color w:val="auto"/>
          <w:highlight w:val="none"/>
        </w:rPr>
        <w:t>变更的范围</w:t>
      </w:r>
      <w:bookmarkEnd w:id="312"/>
      <w:bookmarkEnd w:id="313"/>
      <w:bookmarkEnd w:id="314"/>
      <w:bookmarkEnd w:id="315"/>
      <w:bookmarkEnd w:id="316"/>
    </w:p>
    <w:p>
      <w:pPr>
        <w:spacing w:line="360" w:lineRule="auto"/>
        <w:ind w:firstLine="426"/>
        <w:jc w:val="left"/>
        <w:rPr>
          <w:color w:val="auto"/>
          <w:highlight w:val="none"/>
        </w:rPr>
      </w:pPr>
      <w:r>
        <w:rPr>
          <w:rFonts w:hint="eastAsia" w:hAnsi="宋体" w:cs="宋体"/>
          <w:color w:val="auto"/>
          <w:highlight w:val="none"/>
        </w:rPr>
        <w:t>关于变更的范围的约定：</w:t>
      </w:r>
      <w:r>
        <w:rPr>
          <w:color w:val="auto"/>
          <w:highlight w:val="none"/>
          <w:u w:val="single"/>
        </w:rPr>
        <w:t xml:space="preserve">  </w:t>
      </w:r>
      <w:r>
        <w:rPr>
          <w:rFonts w:hint="eastAsia" w:ascii="宋体" w:hAnsi="宋体"/>
          <w:bCs/>
          <w:color w:val="auto"/>
          <w:highlight w:val="none"/>
          <w:u w:val="single"/>
        </w:rPr>
        <w:t>设计变更、</w:t>
      </w:r>
      <w:r>
        <w:rPr>
          <w:rFonts w:ascii="宋体" w:hAnsi="宋体"/>
          <w:bCs/>
          <w:color w:val="auto"/>
          <w:highlight w:val="none"/>
          <w:u w:val="single"/>
        </w:rPr>
        <w:t>相关签证</w:t>
      </w:r>
      <w:r>
        <w:rPr>
          <w:rFonts w:hint="eastAsia" w:ascii="宋体" w:hAnsi="宋体"/>
          <w:bCs/>
          <w:color w:val="auto"/>
          <w:highlight w:val="none"/>
          <w:u w:val="single"/>
        </w:rPr>
        <w:t>、发包人或监理指令、审批后的施工方案及联系单（函）、工程量清单漏缺项、工程量偏差、物价变化、法律法规变化等</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317" w:name="_Toc373478388"/>
      <w:bookmarkStart w:id="318" w:name="_Toc407135244"/>
      <w:bookmarkStart w:id="319" w:name="_Toc373227741"/>
      <w:bookmarkStart w:id="320" w:name="_Toc34809944"/>
      <w:bookmarkStart w:id="321" w:name="_Toc389065307"/>
      <w:r>
        <w:rPr>
          <w:color w:val="auto"/>
          <w:highlight w:val="none"/>
        </w:rPr>
        <w:t xml:space="preserve">10.3 </w:t>
      </w:r>
      <w:r>
        <w:rPr>
          <w:rFonts w:hint="eastAsia" w:hAnsi="宋体" w:cs="黑体"/>
          <w:color w:val="auto"/>
          <w:highlight w:val="none"/>
        </w:rPr>
        <w:t>变更程序</w:t>
      </w:r>
      <w:bookmarkEnd w:id="317"/>
      <w:bookmarkEnd w:id="318"/>
      <w:bookmarkEnd w:id="319"/>
      <w:bookmarkEnd w:id="320"/>
      <w:bookmarkEnd w:id="321"/>
    </w:p>
    <w:p>
      <w:pPr>
        <w:pStyle w:val="12"/>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pPr>
        <w:pStyle w:val="1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pPr>
        <w:pStyle w:val="1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pPr>
        <w:pStyle w:val="1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color w:val="auto"/>
          <w:highlight w:val="none"/>
        </w:rPr>
        <w:t xml:space="preserve"> </w:t>
      </w:r>
    </w:p>
    <w:p>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322" w:name="_Toc407135245"/>
      <w:bookmarkStart w:id="323" w:name="_Toc389065308"/>
      <w:bookmarkStart w:id="324" w:name="_Toc373227742"/>
      <w:bookmarkStart w:id="325" w:name="_Toc373478389"/>
      <w:bookmarkStart w:id="326" w:name="_Toc34809945"/>
      <w:r>
        <w:rPr>
          <w:color w:val="auto"/>
          <w:highlight w:val="none"/>
        </w:rPr>
        <w:t xml:space="preserve">10.4 </w:t>
      </w:r>
      <w:r>
        <w:rPr>
          <w:rFonts w:hint="eastAsia" w:hAnsi="宋体" w:cs="黑体"/>
          <w:color w:val="auto"/>
          <w:highlight w:val="none"/>
        </w:rPr>
        <w:t>变更估价</w:t>
      </w:r>
      <w:bookmarkEnd w:id="322"/>
      <w:bookmarkEnd w:id="323"/>
      <w:bookmarkEnd w:id="324"/>
      <w:bookmarkEnd w:id="325"/>
      <w:bookmarkEnd w:id="326"/>
    </w:p>
    <w:p>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327"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ascii="Segoe UI Symbol" w:hAnsi="Segoe UI Symbol" w:cs="Segoe UI Symbol"/>
          <w:b/>
          <w:color w:val="auto"/>
          <w:highlight w:val="none"/>
        </w:rPr>
        <w:t>☑</w:t>
      </w:r>
      <w:r>
        <w:rPr>
          <w:rFonts w:hint="eastAsia" w:hAnsi="宋体" w:cs="宋体"/>
          <w:color w:val="auto"/>
          <w:highlight w:val="none"/>
          <w:u w:val="single"/>
        </w:rPr>
        <w:t>乘以下浮系数</w:t>
      </w:r>
      <w:r>
        <w:rPr>
          <w:rFonts w:hint="eastAsia"/>
          <w:color w:val="auto"/>
          <w:highlight w:val="none"/>
          <w:u w:val="single"/>
        </w:rPr>
        <w:t>（中标价除以控制价乘以100）</w:t>
      </w:r>
      <w:r>
        <w:rPr>
          <w:color w:val="auto"/>
          <w:highlight w:val="none"/>
          <w:u w:val="single"/>
        </w:rPr>
        <w:t>%</w:t>
      </w:r>
      <w:r>
        <w:rPr>
          <w:rFonts w:hint="eastAsia" w:cs="宋体"/>
          <w:color w:val="auto"/>
          <w:highlight w:val="none"/>
          <w:u w:val="single"/>
        </w:rPr>
        <w:t>，</w:t>
      </w:r>
      <w:r>
        <w:rPr>
          <w:rFonts w:hint="eastAsia" w:cs="宋体"/>
          <w:b/>
          <w:bCs/>
          <w:color w:val="auto"/>
          <w:highlight w:val="none"/>
        </w:rPr>
        <w:t>□</w:t>
      </w:r>
      <w:r>
        <w:rPr>
          <w:rFonts w:hint="eastAsia" w:hAnsi="宋体" w:cs="宋体"/>
          <w:color w:val="auto"/>
          <w:highlight w:val="none"/>
          <w:u w:val="single"/>
        </w:rPr>
        <w:t>不乘下浮系数）计算，其中：材料设备价格按施工期间的《</w:t>
      </w:r>
      <w:r>
        <w:rPr>
          <w:rFonts w:hint="eastAsia"/>
          <w:color w:val="auto"/>
          <w:highlight w:val="none"/>
          <w:u w:val="single"/>
        </w:rPr>
        <w:t>贵港</w:t>
      </w:r>
      <w:r>
        <w:rPr>
          <w:color w:val="auto"/>
          <w:highlight w:val="none"/>
          <w:u w:val="single"/>
        </w:rPr>
        <w:t xml:space="preserve"> </w:t>
      </w:r>
      <w:r>
        <w:rPr>
          <w:rFonts w:hint="eastAsia" w:hAnsi="宋体" w:cs="宋体"/>
          <w:color w:val="auto"/>
          <w:highlight w:val="none"/>
          <w:u w:val="single"/>
        </w:rPr>
        <w:t>市建设工程造价信息》相应信息价的加权平均值计算，《</w:t>
      </w:r>
      <w:r>
        <w:rPr>
          <w:rFonts w:hint="eastAsia"/>
          <w:color w:val="auto"/>
          <w:highlight w:val="none"/>
          <w:u w:val="single"/>
        </w:rPr>
        <w:t>贵港</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327"/>
      <w:r>
        <w:rPr>
          <w:rFonts w:hint="eastAsia" w:hAnsi="宋体" w:cs="宋体"/>
          <w:color w:val="auto"/>
          <w:highlight w:val="none"/>
        </w:rPr>
        <w:t>。以上约定同时适用于招标工程量清单缺项以及工程量清单项目特征与图纸不符时的价款确定。</w:t>
      </w:r>
    </w:p>
    <w:p>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pPr>
        <w:pStyle w:val="2"/>
        <w:rPr>
          <w:color w:val="auto"/>
          <w:highlight w:val="none"/>
        </w:rPr>
      </w:pPr>
      <w:bookmarkStart w:id="328" w:name="_Toc407135246"/>
      <w:bookmarkStart w:id="329" w:name="_Toc34809946"/>
      <w:bookmarkStart w:id="330" w:name="_Toc389065309"/>
      <w:bookmarkStart w:id="331" w:name="_Toc373478390"/>
      <w:bookmarkStart w:id="332" w:name="_Toc373227743"/>
      <w:r>
        <w:rPr>
          <w:color w:val="auto"/>
          <w:highlight w:val="none"/>
        </w:rPr>
        <w:t xml:space="preserve">10.5 </w:t>
      </w:r>
      <w:r>
        <w:rPr>
          <w:rFonts w:hint="eastAsia" w:cs="黑体"/>
          <w:color w:val="auto"/>
          <w:highlight w:val="none"/>
        </w:rPr>
        <w:t>承包人的合理化建议</w:t>
      </w:r>
      <w:bookmarkEnd w:id="328"/>
      <w:bookmarkEnd w:id="329"/>
      <w:bookmarkEnd w:id="330"/>
      <w:bookmarkEnd w:id="331"/>
      <w:bookmarkEnd w:id="332"/>
    </w:p>
    <w:p>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color w:val="auto"/>
          <w:highlight w:val="none"/>
          <w:u w:val="single"/>
        </w:rPr>
        <w:t xml:space="preserve"> </w:t>
      </w:r>
      <w:r>
        <w:rPr>
          <w:rFonts w:ascii="宋体" w:hAnsi="宋体"/>
          <w:color w:val="auto"/>
          <w:highlight w:val="none"/>
          <w:u w:val="single"/>
        </w:rPr>
        <w:t>3</w:t>
      </w:r>
      <w:r>
        <w:rPr>
          <w:rFonts w:hint="eastAsia" w:ascii="宋体" w:hAnsi="宋体"/>
          <w:color w:val="auto"/>
          <w:highlight w:val="none"/>
          <w:u w:val="single"/>
        </w:rPr>
        <w:t>天内审查完毕并报发包人</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color w:val="auto"/>
          <w:highlight w:val="none"/>
          <w:u w:val="single"/>
        </w:rPr>
        <w:t xml:space="preserve"> </w:t>
      </w:r>
      <w:r>
        <w:rPr>
          <w:rFonts w:hint="eastAsia" w:ascii="宋体" w:hAnsi="宋体"/>
          <w:color w:val="auto"/>
          <w:highlight w:val="none"/>
          <w:u w:val="single"/>
        </w:rPr>
        <w:t>收到监理人报送的合理化建议后</w:t>
      </w:r>
      <w:r>
        <w:rPr>
          <w:rFonts w:ascii="宋体" w:hAnsi="宋体"/>
          <w:color w:val="auto"/>
          <w:highlight w:val="none"/>
          <w:u w:val="single"/>
        </w:rPr>
        <w:t>3</w:t>
      </w:r>
      <w:r>
        <w:rPr>
          <w:rFonts w:hint="eastAsia" w:ascii="宋体" w:hAnsi="宋体"/>
          <w:color w:val="auto"/>
          <w:highlight w:val="none"/>
          <w:u w:val="single"/>
        </w:rPr>
        <w:t>天内审批完毕</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333" w:name="_Toc34809947"/>
      <w:bookmarkStart w:id="334" w:name="_Toc373478391"/>
      <w:bookmarkStart w:id="335" w:name="_Toc373227744"/>
      <w:bookmarkStart w:id="336" w:name="_Toc389065310"/>
      <w:bookmarkStart w:id="337" w:name="_Toc407135247"/>
      <w:r>
        <w:rPr>
          <w:color w:val="auto"/>
          <w:highlight w:val="none"/>
        </w:rPr>
        <w:t xml:space="preserve">10.7 </w:t>
      </w:r>
      <w:r>
        <w:rPr>
          <w:rFonts w:hint="eastAsia" w:hAnsi="宋体" w:cs="黑体"/>
          <w:color w:val="auto"/>
          <w:highlight w:val="none"/>
        </w:rPr>
        <w:t>暂估价</w:t>
      </w:r>
      <w:bookmarkEnd w:id="333"/>
      <w:bookmarkEnd w:id="334"/>
      <w:bookmarkEnd w:id="335"/>
      <w:bookmarkEnd w:id="336"/>
      <w:bookmarkEnd w:id="337"/>
    </w:p>
    <w:p>
      <w:pPr>
        <w:spacing w:line="360" w:lineRule="auto"/>
        <w:ind w:firstLine="420" w:firstLineChars="200"/>
        <w:jc w:val="left"/>
        <w:rPr>
          <w:color w:val="auto"/>
          <w:highlight w:val="none"/>
        </w:rPr>
      </w:pPr>
      <w:r>
        <w:rPr>
          <w:rFonts w:hint="eastAsia" w:hAnsi="宋体" w:cs="宋体"/>
          <w:color w:val="auto"/>
          <w:kern w:val="0"/>
          <w:highlight w:val="none"/>
        </w:rPr>
        <w:t>暂估价材料和工程设备的明细详见已标价工程量清单《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highlight w:val="none"/>
        </w:rPr>
        <w:t xml:space="preserve">10.7.1 </w:t>
      </w:r>
      <w:r>
        <w:rPr>
          <w:rFonts w:hint="eastAsia" w:hAnsi="宋体" w:cs="宋体"/>
          <w:color w:val="auto"/>
          <w:highlight w:val="none"/>
        </w:rPr>
        <w:t>依法必须招标的暂估价项目</w:t>
      </w:r>
    </w:p>
    <w:p>
      <w:pPr>
        <w:spacing w:line="360" w:lineRule="auto"/>
        <w:ind w:firstLine="420" w:firstLineChars="200"/>
        <w:jc w:val="left"/>
        <w:rPr>
          <w:rFonts w:hAnsi="宋体" w:cs="宋体"/>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1  </w:t>
      </w:r>
      <w:r>
        <w:rPr>
          <w:rFonts w:hint="eastAsia" w:hAnsi="宋体" w:cs="宋体"/>
          <w:color w:val="auto"/>
          <w:highlight w:val="none"/>
        </w:rPr>
        <w:t>种方式确定。</w:t>
      </w:r>
    </w:p>
    <w:p>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（1）</w:t>
      </w:r>
      <w:r>
        <w:rPr>
          <w:rFonts w:hAnsi="宋体" w:cs="宋体"/>
          <w:color w:val="auto"/>
          <w:highlight w:val="none"/>
        </w:rPr>
        <w:t>承包人应当根据施工进度计划</w:t>
      </w:r>
      <w:r>
        <w:rPr>
          <w:rFonts w:ascii="宋体" w:hAnsi="宋体"/>
          <w:color w:val="auto"/>
          <w:kern w:val="0"/>
          <w:highlight w:val="none"/>
        </w:rPr>
        <w:t>，在招标工作启动前14天将招标方案通过监理人报送发包人审查，发包人应当在收到承包人报送的招标方案后7天内批准或提出修改意见。承包人应当按照经过发包人批准的招标方案开展招标工作；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（2）</w:t>
      </w:r>
      <w:r>
        <w:rPr>
          <w:rFonts w:hAnsi="宋体" w:cs="宋体"/>
          <w:color w:val="auto"/>
          <w:highlight w:val="none"/>
        </w:rPr>
        <w:t>承包人应当根据施工进度计划</w:t>
      </w:r>
      <w:r>
        <w:rPr>
          <w:rFonts w:ascii="宋体" w:hAnsi="宋体"/>
          <w:color w:val="auto"/>
          <w:kern w:val="0"/>
          <w:highlight w:val="none"/>
        </w:rPr>
        <w:t>，提前14天将招标文件通过监理人报送发包人审批，发包人应当在收到承包人报送的相关文件后7天内完成审批或提出修改意见；发包人有权确定招标控制价并委派评标委员会成员；</w:t>
      </w:r>
    </w:p>
    <w:p>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（3）</w:t>
      </w:r>
      <w:r>
        <w:rPr>
          <w:rFonts w:hAnsi="宋体" w:cs="宋体"/>
          <w:color w:val="auto"/>
          <w:highlight w:val="none"/>
        </w:rPr>
        <w:t>承包人与供应商</w:t>
      </w:r>
      <w:r>
        <w:rPr>
          <w:rFonts w:ascii="宋体" w:hAnsi="宋体"/>
          <w:color w:val="auto"/>
          <w:kern w:val="0"/>
          <w:highlight w:val="none"/>
        </w:rPr>
        <w:t>、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hint="eastAsia"/>
          <w:color w:val="auto"/>
          <w:highlight w:val="none"/>
        </w:rPr>
      </w:pPr>
      <w:r>
        <w:rPr>
          <w:rFonts w:ascii="宋体" w:hAnsi="宋体"/>
          <w:color w:val="auto"/>
          <w:kern w:val="0"/>
          <w:highlight w:val="none"/>
        </w:rPr>
        <w:t>第2种方式：</w:t>
      </w:r>
      <w:r>
        <w:rPr>
          <w:rFonts w:hAnsi="宋体" w:cs="宋体"/>
          <w:color w:val="auto"/>
          <w:highlight w:val="none"/>
        </w:rPr>
        <w:t>对于依法必须招标的暂估价项目</w:t>
      </w:r>
      <w:r>
        <w:rPr>
          <w:rFonts w:ascii="宋体" w:hAnsi="宋体"/>
          <w:color w:val="auto"/>
          <w:kern w:val="0"/>
          <w:highlight w:val="none"/>
        </w:rPr>
        <w:t>，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spacing w:line="360" w:lineRule="auto"/>
        <w:ind w:firstLine="420" w:firstLineChars="200"/>
        <w:jc w:val="left"/>
        <w:rPr>
          <w:rFonts w:hAnsi="宋体" w:cs="宋体"/>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1  </w:t>
      </w:r>
      <w:r>
        <w:rPr>
          <w:color w:val="auto"/>
          <w:highlight w:val="none"/>
        </w:rPr>
        <w:t xml:space="preserve"> </w:t>
      </w:r>
      <w:r>
        <w:rPr>
          <w:rFonts w:hint="eastAsia" w:hAnsi="宋体" w:cs="宋体"/>
          <w:color w:val="auto"/>
          <w:highlight w:val="none"/>
        </w:rPr>
        <w:t>种方式确定。</w:t>
      </w:r>
    </w:p>
    <w:p>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第1种方式：</w:t>
      </w:r>
      <w:r>
        <w:rPr>
          <w:rFonts w:hAnsi="宋体" w:cs="宋体"/>
          <w:color w:val="auto"/>
          <w:highlight w:val="none"/>
        </w:rPr>
        <w:t>对于不属于依法必须招标的暂估价项目</w:t>
      </w:r>
      <w:r>
        <w:rPr>
          <w:rFonts w:ascii="宋体" w:hAnsi="宋体"/>
          <w:color w:val="auto"/>
          <w:kern w:val="0"/>
          <w:highlight w:val="none"/>
        </w:rPr>
        <w:t>，按本项约定确认和批准：</w:t>
      </w:r>
    </w:p>
    <w:p>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（1）承包人应根据施工进度计划，在签订暂估价项目的采购合同、分包合同前28</w:t>
      </w:r>
      <w:r>
        <w:rPr>
          <w:rFonts w:hAnsi="宋体" w:cs="宋体"/>
          <w:color w:val="auto"/>
          <w:highlight w:val="none"/>
        </w:rPr>
        <w:t>天向监理人提出书面申请</w:t>
      </w:r>
      <w:r>
        <w:rPr>
          <w:rFonts w:ascii="宋体" w:hAnsi="宋体"/>
          <w:color w:val="auto"/>
          <w:kern w:val="0"/>
          <w:highlight w:val="none"/>
        </w:rPr>
        <w:t>。监理人应当在收到申请后3天内报送发包人，发包人应当在收到申请后14天内给予批准或提出修改意见，发包人逾期未予批准或提出修改意见的，视为该书面申请已获得同意；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（2）</w:t>
      </w:r>
      <w:r>
        <w:rPr>
          <w:rFonts w:hAnsi="宋体" w:cs="宋体"/>
          <w:color w:val="auto"/>
          <w:highlight w:val="none"/>
        </w:rPr>
        <w:t>发包人认为承包人确定的供应商</w:t>
      </w:r>
      <w:r>
        <w:rPr>
          <w:rFonts w:ascii="宋体" w:hAnsi="宋体"/>
          <w:color w:val="auto"/>
          <w:kern w:val="0"/>
          <w:highlight w:val="none"/>
        </w:rPr>
        <w:t>、分包人无法满足工程质量或合同要求的，发包人可以要求承包人重新确定暂估价项目的供应商、分包人</w:t>
      </w:r>
      <w:r>
        <w:rPr>
          <w:rFonts w:hint="eastAsia" w:ascii="宋体" w:hAnsi="宋体"/>
          <w:color w:val="auto"/>
          <w:kern w:val="0"/>
          <w:highlight w:val="none"/>
        </w:rPr>
        <w:t>；</w:t>
      </w:r>
      <w:r>
        <w:rPr>
          <w:rFonts w:ascii="宋体" w:hAnsi="宋体"/>
          <w:color w:val="auto"/>
          <w:kern w:val="0"/>
          <w:highlight w:val="none"/>
        </w:rPr>
        <w:t>（3）承包人应当在签订暂估价合同后7天内，将暂估价合同副本报送发包人留存。</w:t>
      </w:r>
    </w:p>
    <w:p>
      <w:pPr>
        <w:spacing w:line="360" w:lineRule="auto"/>
        <w:ind w:firstLine="420" w:firstLineChars="200"/>
        <w:jc w:val="left"/>
        <w:rPr>
          <w:rFonts w:hint="eastAsia"/>
          <w:color w:val="auto"/>
          <w:highlight w:val="none"/>
        </w:rPr>
      </w:pPr>
      <w:r>
        <w:rPr>
          <w:rFonts w:ascii="宋体" w:hAnsi="宋体"/>
          <w:color w:val="auto"/>
          <w:kern w:val="0"/>
          <w:highlight w:val="none"/>
        </w:rPr>
        <w:t>第2种方式：承包人按照第1</w:t>
      </w:r>
      <w:r>
        <w:rPr>
          <w:rFonts w:hint="eastAsia" w:ascii="宋体" w:hAnsi="宋体"/>
          <w:color w:val="auto"/>
          <w:kern w:val="0"/>
          <w:highlight w:val="none"/>
        </w:rPr>
        <w:t>5</w:t>
      </w:r>
      <w:r>
        <w:rPr>
          <w:rFonts w:ascii="宋体" w:hAnsi="宋体"/>
          <w:color w:val="auto"/>
          <w:kern w:val="0"/>
          <w:highlight w:val="none"/>
        </w:rPr>
        <w:t>.</w:t>
      </w:r>
      <w:r>
        <w:rPr>
          <w:rFonts w:hint="eastAsia" w:ascii="宋体" w:hAnsi="宋体"/>
          <w:color w:val="auto"/>
          <w:kern w:val="0"/>
          <w:highlight w:val="none"/>
        </w:rPr>
        <w:t>8</w:t>
      </w:r>
      <w:r>
        <w:rPr>
          <w:rFonts w:ascii="宋体" w:hAnsi="宋体"/>
          <w:color w:val="auto"/>
          <w:kern w:val="0"/>
          <w:highlight w:val="none"/>
        </w:rPr>
        <w:t>.1项【依法必须招标的暂估价项目】约定的第1种方式确定暂估价项目。</w:t>
      </w:r>
    </w:p>
    <w:p>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ascii="宋体" w:hAnsi="宋体"/>
          <w:color w:val="auto"/>
          <w:highlight w:val="none"/>
          <w:u w:val="single"/>
        </w:rPr>
        <w:t>承包人具备实施暂估价项目的资格和条件的，经发包人和承包人协商一致后，可由承包人自行实施暂估价项目，合同当事人可以在合同条款约定具体事项</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338" w:name="_Toc373227745"/>
      <w:bookmarkStart w:id="339" w:name="_Toc407135248"/>
      <w:bookmarkStart w:id="340" w:name="_Toc34809948"/>
      <w:bookmarkStart w:id="341" w:name="_Toc389065311"/>
      <w:bookmarkStart w:id="342" w:name="_Toc373478392"/>
      <w:r>
        <w:rPr>
          <w:color w:val="auto"/>
          <w:highlight w:val="none"/>
        </w:rPr>
        <w:t xml:space="preserve">10.8 </w:t>
      </w:r>
      <w:r>
        <w:rPr>
          <w:rFonts w:hint="eastAsia" w:hAnsi="宋体" w:cs="黑体"/>
          <w:color w:val="auto"/>
          <w:highlight w:val="none"/>
        </w:rPr>
        <w:t>暂列金额</w:t>
      </w:r>
      <w:bookmarkEnd w:id="338"/>
      <w:bookmarkEnd w:id="339"/>
      <w:bookmarkEnd w:id="340"/>
      <w:bookmarkEnd w:id="341"/>
      <w:bookmarkEnd w:id="342"/>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Fonts w:hint="eastAsia" w:ascii="宋体" w:hAnsi="宋体"/>
          <w:color w:val="auto"/>
          <w:kern w:val="0"/>
          <w:highlight w:val="none"/>
          <w:u w:val="single"/>
        </w:rPr>
        <w:t>已签约合同价中的暂列金额由发包人掌握使用。发包人按照规定所作支付后，暂列金额如有余额归发包人</w:t>
      </w:r>
      <w:r>
        <w:rPr>
          <w:color w:val="auto"/>
          <w:highlight w:val="none"/>
          <w:u w:val="single"/>
        </w:rPr>
        <w:t xml:space="preserve">  </w:t>
      </w:r>
      <w:r>
        <w:rPr>
          <w:rFonts w:hint="eastAsia" w:hAnsi="宋体" w:cs="宋体"/>
          <w:color w:val="auto"/>
          <w:kern w:val="0"/>
          <w:highlight w:val="none"/>
        </w:rPr>
        <w:t>。</w:t>
      </w:r>
    </w:p>
    <w:p>
      <w:pPr>
        <w:pStyle w:val="4"/>
        <w:numPr>
          <w:ilvl w:val="0"/>
          <w:numId w:val="6"/>
        </w:numPr>
        <w:rPr>
          <w:color w:val="auto"/>
          <w:highlight w:val="none"/>
        </w:rPr>
      </w:pPr>
      <w:bookmarkStart w:id="343" w:name="_Toc373227746"/>
      <w:bookmarkStart w:id="344" w:name="_Toc373478393"/>
      <w:bookmarkStart w:id="345" w:name="_Toc34809949"/>
      <w:bookmarkStart w:id="346" w:name="_Toc407135249"/>
      <w:bookmarkStart w:id="347" w:name="_Toc389065312"/>
      <w:r>
        <w:rPr>
          <w:rFonts w:hint="eastAsia" w:hAnsi="宋体" w:cs="黑体"/>
          <w:color w:val="auto"/>
          <w:highlight w:val="none"/>
        </w:rPr>
        <w:t>价格调整</w:t>
      </w:r>
      <w:bookmarkEnd w:id="343"/>
      <w:bookmarkEnd w:id="344"/>
      <w:bookmarkEnd w:id="345"/>
      <w:bookmarkEnd w:id="346"/>
      <w:bookmarkEnd w:id="347"/>
    </w:p>
    <w:p>
      <w:pPr>
        <w:pStyle w:val="2"/>
        <w:rPr>
          <w:color w:val="auto"/>
          <w:highlight w:val="none"/>
        </w:rPr>
      </w:pPr>
      <w:bookmarkStart w:id="348" w:name="_Toc389065313"/>
      <w:bookmarkStart w:id="349" w:name="_Toc34809950"/>
      <w:bookmarkStart w:id="350" w:name="_Toc373478394"/>
      <w:bookmarkStart w:id="351" w:name="_Toc407135250"/>
      <w:bookmarkStart w:id="352" w:name="_Toc373227747"/>
      <w:r>
        <w:rPr>
          <w:color w:val="auto"/>
          <w:highlight w:val="none"/>
        </w:rPr>
        <w:t xml:space="preserve">11.1 </w:t>
      </w:r>
      <w:r>
        <w:rPr>
          <w:rFonts w:hint="eastAsia" w:cs="黑体"/>
          <w:color w:val="auto"/>
          <w:highlight w:val="none"/>
        </w:rPr>
        <w:t>市场价格波动引起的调整</w:t>
      </w:r>
      <w:bookmarkEnd w:id="348"/>
      <w:bookmarkEnd w:id="349"/>
      <w:bookmarkEnd w:id="350"/>
      <w:bookmarkEnd w:id="351"/>
      <w:bookmarkEnd w:id="352"/>
    </w:p>
    <w:p>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Fonts w:hint="eastAsia"/>
          <w:color w:val="auto"/>
          <w:highlight w:val="none"/>
          <w:u w:val="single"/>
        </w:rPr>
        <w:t>调整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2  </w:t>
      </w:r>
      <w:r>
        <w:rPr>
          <w:rFonts w:hint="eastAsia" w:hAnsi="宋体" w:cs="宋体"/>
          <w:color w:val="auto"/>
          <w:highlight w:val="none"/>
        </w:rPr>
        <w:t>种方式对合同价格进行调整：</w:t>
      </w:r>
    </w:p>
    <w:p>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）允许调整的主要材料和设备、基期价格、风险系数、投标报价详见《承包人提供主要材料和设备一览表》（表-22）,价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rPr>
        <w:t>贵港</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spacing w:line="360" w:lineRule="auto"/>
        <w:ind w:firstLine="420" w:firstLineChars="200"/>
        <w:jc w:val="left"/>
        <w:rPr>
          <w:rFonts w:hAnsi="宋体"/>
          <w:color w:val="auto"/>
          <w:highlight w:val="none"/>
        </w:rPr>
      </w:pPr>
      <w:r>
        <w:rPr>
          <w:rFonts w:hint="eastAsia" w:hAnsi="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highlight w:val="none"/>
        </w:rPr>
      </w:pPr>
      <w:r>
        <w:rPr>
          <w:rFonts w:hint="eastAsia" w:hAnsi="宋体" w:cs="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highlight w:val="none"/>
        </w:rPr>
      </w:pPr>
      <w:r>
        <w:rPr>
          <w:rFonts w:hint="eastAsia" w:hAnsi="宋体" w:cs="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color w:val="auto"/>
          <w:highlight w:val="none"/>
        </w:rPr>
        <w:t xml:space="preserve"> </w:t>
      </w:r>
      <w:r>
        <w:rPr>
          <w:rFonts w:hint="eastAsia" w:cs="宋体"/>
          <w:color w:val="auto"/>
          <w:highlight w:val="none"/>
        </w:rPr>
        <w:t>。</w:t>
      </w:r>
    </w:p>
    <w:p>
      <w:pPr>
        <w:pStyle w:val="4"/>
        <w:rPr>
          <w:color w:val="auto"/>
          <w:highlight w:val="none"/>
        </w:rPr>
      </w:pPr>
      <w:bookmarkStart w:id="353" w:name="_Toc373227748"/>
      <w:bookmarkStart w:id="354" w:name="_Toc373478395"/>
      <w:bookmarkStart w:id="355" w:name="_Toc407135251"/>
      <w:bookmarkStart w:id="356" w:name="_Toc34809951"/>
      <w:r>
        <w:rPr>
          <w:color w:val="auto"/>
          <w:highlight w:val="none"/>
        </w:rPr>
        <w:t xml:space="preserve">12. </w:t>
      </w:r>
      <w:r>
        <w:rPr>
          <w:rFonts w:hint="eastAsia" w:cs="黑体"/>
          <w:color w:val="auto"/>
          <w:highlight w:val="none"/>
        </w:rPr>
        <w:t>合同价格、计量与支付</w:t>
      </w:r>
      <w:bookmarkEnd w:id="353"/>
      <w:bookmarkEnd w:id="354"/>
      <w:bookmarkEnd w:id="355"/>
      <w:bookmarkEnd w:id="356"/>
    </w:p>
    <w:p>
      <w:pPr>
        <w:pStyle w:val="2"/>
        <w:rPr>
          <w:color w:val="auto"/>
          <w:highlight w:val="none"/>
        </w:rPr>
      </w:pPr>
      <w:bookmarkStart w:id="357" w:name="_Toc34809952"/>
      <w:bookmarkStart w:id="358" w:name="_Toc407135252"/>
      <w:bookmarkStart w:id="359" w:name="_Toc389065314"/>
      <w:bookmarkStart w:id="360" w:name="_Toc373227749"/>
      <w:bookmarkStart w:id="361" w:name="_Toc373478396"/>
      <w:r>
        <w:rPr>
          <w:color w:val="auto"/>
          <w:highlight w:val="none"/>
        </w:rPr>
        <w:t xml:space="preserve">12.1 </w:t>
      </w:r>
      <w:r>
        <w:rPr>
          <w:rFonts w:hint="eastAsia" w:hAnsi="宋体" w:cs="黑体"/>
          <w:color w:val="auto"/>
          <w:highlight w:val="none"/>
        </w:rPr>
        <w:t>合同价格形式</w:t>
      </w:r>
      <w:bookmarkEnd w:id="357"/>
      <w:bookmarkEnd w:id="358"/>
      <w:bookmarkEnd w:id="359"/>
      <w:bookmarkEnd w:id="360"/>
      <w:bookmarkEnd w:id="361"/>
    </w:p>
    <w:p>
      <w:pPr>
        <w:spacing w:line="360" w:lineRule="auto"/>
        <w:ind w:firstLine="420" w:firstLineChars="200"/>
        <w:jc w:val="left"/>
        <w:rPr>
          <w:rFonts w:hAnsi="宋体"/>
          <w:color w:val="auto"/>
          <w:highlight w:val="none"/>
        </w:rPr>
      </w:pPr>
      <w:bookmarkStart w:id="362" w:name="_Toc373478397"/>
      <w:bookmarkStart w:id="363" w:name="_Toc373227750"/>
      <w:bookmarkStart w:id="364" w:name="_Toc389065315"/>
      <w:r>
        <w:rPr>
          <w:rFonts w:hint="eastAsia" w:hAnsi="宋体" w:cs="宋体"/>
          <w:color w:val="auto"/>
          <w:highlight w:val="none"/>
        </w:rPr>
        <w:t>本工程采用</w:t>
      </w:r>
      <w:r>
        <w:rPr>
          <w:rFonts w:hAnsi="宋体"/>
          <w:color w:val="auto"/>
          <w:highlight w:val="none"/>
          <w:u w:val="single"/>
        </w:rPr>
        <w:t xml:space="preserve">   </w:t>
      </w:r>
      <w:r>
        <w:rPr>
          <w:rFonts w:hint="eastAsia" w:ascii="宋体" w:hAnsi="宋体"/>
          <w:b/>
          <w:color w:val="auto"/>
          <w:highlight w:val="none"/>
          <w:u w:val="single"/>
          <w:lang w:val="en-US" w:eastAsia="zh-CN"/>
        </w:rPr>
        <w:t>单价</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ascii="Segoe UI Symbol" w:hAnsi="Segoe UI Symbol" w:cs="Segoe UI Symbol"/>
          <w:color w:val="auto"/>
          <w:highlight w:val="none"/>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⑤其它：</w:t>
      </w:r>
      <w:r>
        <w:rPr>
          <w:rFonts w:hint="eastAsia" w:ascii="宋体" w:hAnsi="宋体" w:cs="宋体"/>
          <w:color w:val="auto"/>
          <w:highlight w:val="none"/>
          <w:u w:val="single"/>
        </w:rPr>
        <w:t>价格调整需符合《贵港市市本级政府投资项目管理暂行办法》即贵政办（</w:t>
      </w:r>
      <w:r>
        <w:rPr>
          <w:rFonts w:ascii="宋体" w:hAnsi="宋体" w:cs="宋体"/>
          <w:color w:val="auto"/>
          <w:highlight w:val="none"/>
          <w:u w:val="single"/>
        </w:rPr>
        <w:t>2014</w:t>
      </w:r>
      <w:r>
        <w:rPr>
          <w:rFonts w:hint="eastAsia" w:ascii="宋体" w:hAnsi="宋体" w:cs="宋体"/>
          <w:color w:val="auto"/>
          <w:highlight w:val="none"/>
          <w:u w:val="single"/>
        </w:rPr>
        <w:t>）</w:t>
      </w:r>
      <w:r>
        <w:rPr>
          <w:rFonts w:ascii="宋体" w:hAnsi="宋体" w:cs="宋体"/>
          <w:color w:val="auto"/>
          <w:highlight w:val="none"/>
          <w:u w:val="single"/>
        </w:rPr>
        <w:t>3</w:t>
      </w:r>
      <w:r>
        <w:rPr>
          <w:rFonts w:hint="eastAsia" w:ascii="宋体" w:hAnsi="宋体" w:cs="宋体"/>
          <w:color w:val="auto"/>
          <w:highlight w:val="none"/>
          <w:u w:val="single"/>
        </w:rPr>
        <w:t>号文规定。</w:t>
      </w:r>
      <w:r>
        <w:rPr>
          <w:rFonts w:ascii="宋体" w:hAnsi="宋体" w:cs="宋体"/>
          <w:color w:val="auto"/>
          <w:highlight w:val="none"/>
          <w:u w:val="single"/>
        </w:rPr>
        <w:t>A</w:t>
      </w:r>
      <w:r>
        <w:rPr>
          <w:rFonts w:hint="eastAsia" w:ascii="宋体" w:hAnsi="宋体" w:cs="宋体"/>
          <w:color w:val="auto"/>
          <w:highlight w:val="none"/>
          <w:u w:val="single"/>
        </w:rPr>
        <w:t>、需变更设计或者因特殊情况造成工程内容和工程量变化需现场签证的，应当履行审批手续并经建设单位、设计单位、监理单位和施工单位等共同确认，若工程内容和工程量变化较大的，应邀请贵港市行业行政主管部门、市发改、财政、审计机关、勘察单位和造价咨询单位参加。</w:t>
      </w:r>
      <w:r>
        <w:rPr>
          <w:rFonts w:ascii="宋体" w:hAnsi="宋体" w:cs="宋体"/>
          <w:color w:val="auto"/>
          <w:highlight w:val="none"/>
          <w:u w:val="single"/>
        </w:rPr>
        <w:t>B</w:t>
      </w:r>
      <w:r>
        <w:rPr>
          <w:rFonts w:hint="eastAsia" w:ascii="宋体" w:hAnsi="宋体" w:cs="宋体"/>
          <w:color w:val="auto"/>
          <w:highlight w:val="none"/>
          <w:u w:val="single"/>
        </w:rPr>
        <w:t>、根据投标人的中标综合单价及施工实际工程量进行结算。在施工过程中，若《贵港市建设工程造价信息》上发布的市场价格幅度超过基准材料价格的±</w:t>
      </w:r>
      <w:r>
        <w:rPr>
          <w:rFonts w:ascii="宋体" w:hAnsi="宋体" w:cs="宋体"/>
          <w:color w:val="auto"/>
          <w:highlight w:val="none"/>
          <w:u w:val="single"/>
        </w:rPr>
        <w:t>5%</w:t>
      </w:r>
      <w:r>
        <w:rPr>
          <w:rFonts w:hint="eastAsia" w:ascii="宋体" w:hAnsi="宋体" w:cs="宋体"/>
          <w:color w:val="auto"/>
          <w:highlight w:val="none"/>
          <w:u w:val="single"/>
        </w:rPr>
        <w:t>时，工程所用的主要材料（指：钢筋、水泥、沙、碎石、给排水管、块料、水电、装饰、商品混凝土、砖、通风、空调）可以调整价格。具体调整办法为：即（施工期《贵港市建设工程造价信息》发布的材料价格－投标期预算控制价套用的材料价格）×发包人确认材料数量）及相应的税金。</w:t>
      </w:r>
      <w:r>
        <w:rPr>
          <w:rFonts w:ascii="宋体" w:hAnsi="宋体" w:cs="宋体"/>
          <w:color w:val="auto"/>
          <w:highlight w:val="none"/>
          <w:u w:val="single"/>
        </w:rPr>
        <w:t>C</w:t>
      </w:r>
      <w:r>
        <w:rPr>
          <w:rFonts w:hint="eastAsia" w:ascii="宋体" w:hAnsi="宋体" w:cs="宋体"/>
          <w:color w:val="auto"/>
          <w:highlight w:val="none"/>
          <w:u w:val="single"/>
        </w:rPr>
        <w:t>、对于法律、法规、规章或有关政策出台导致工程税金、规费、人工费发生变化，并由自治区建设行政主管部门或其授权的自治区工程造价管理机构根据上述变化发布的政策性调整，承包人不应承担风险，应按照有关调整规定执行。</w:t>
      </w:r>
      <w:r>
        <w:rPr>
          <w:rFonts w:ascii="宋体" w:hAnsi="宋体" w:cs="宋体"/>
          <w:color w:val="auto"/>
          <w:highlight w:val="none"/>
          <w:u w:val="single"/>
        </w:rPr>
        <w:t xml:space="preserve"> D</w:t>
      </w:r>
      <w:r>
        <w:rPr>
          <w:rFonts w:hint="eastAsia" w:ascii="宋体" w:hAnsi="宋体" w:cs="宋体"/>
          <w:color w:val="auto"/>
          <w:highlight w:val="none"/>
          <w:u w:val="single"/>
        </w:rPr>
        <w:t>、设计变更引起的调整方法:</w:t>
      </w:r>
      <w:r>
        <w:rPr>
          <w:rFonts w:ascii="宋体" w:hAnsi="宋体" w:cs="宋体"/>
          <w:color w:val="auto"/>
          <w:highlight w:val="none"/>
          <w:u w:val="single"/>
        </w:rPr>
        <w:t>a</w:t>
      </w:r>
      <w:r>
        <w:rPr>
          <w:rFonts w:hint="eastAsia" w:ascii="宋体" w:hAnsi="宋体" w:cs="宋体"/>
          <w:color w:val="auto"/>
          <w:highlight w:val="none"/>
          <w:u w:val="single"/>
        </w:rPr>
        <w:t>、合同中已有适用的综合单价，按合同中已有的综合单价确定。</w:t>
      </w:r>
      <w:r>
        <w:rPr>
          <w:rFonts w:ascii="宋体" w:hAnsi="宋体" w:cs="宋体"/>
          <w:color w:val="auto"/>
          <w:highlight w:val="none"/>
          <w:u w:val="single"/>
        </w:rPr>
        <w:t>b</w:t>
      </w:r>
      <w:r>
        <w:rPr>
          <w:rFonts w:hint="eastAsia" w:ascii="宋体" w:hAnsi="宋体" w:cs="宋体"/>
          <w:color w:val="auto"/>
          <w:highlight w:val="none"/>
          <w:u w:val="single"/>
        </w:rPr>
        <w:t>、合同中有类似的综合单价，参照类似的综合单价确定。</w:t>
      </w:r>
      <w:r>
        <w:rPr>
          <w:rFonts w:ascii="宋体" w:hAnsi="宋体" w:cs="宋体"/>
          <w:color w:val="auto"/>
          <w:highlight w:val="none"/>
          <w:u w:val="single"/>
        </w:rPr>
        <w:t>c</w:t>
      </w:r>
      <w:r>
        <w:rPr>
          <w:rFonts w:hint="eastAsia" w:ascii="宋体" w:hAnsi="宋体" w:cs="宋体"/>
          <w:color w:val="auto"/>
          <w:highlight w:val="none"/>
          <w:u w:val="single"/>
        </w:rPr>
        <w:t>、合同中没有适用或类似的综合单价，由承包人提出新的综合单价，经发包人及有关部门审核确认并乘以下浮系数（中标价</w:t>
      </w:r>
      <w:r>
        <w:rPr>
          <w:rFonts w:ascii="宋体" w:hAnsi="宋体" w:cs="宋体"/>
          <w:color w:val="auto"/>
          <w:highlight w:val="none"/>
          <w:u w:val="single"/>
        </w:rPr>
        <w:t>/</w:t>
      </w:r>
      <w:r>
        <w:rPr>
          <w:rFonts w:hint="eastAsia" w:ascii="宋体" w:hAnsi="宋体" w:cs="宋体"/>
          <w:color w:val="auto"/>
          <w:highlight w:val="none"/>
          <w:u w:val="single"/>
        </w:rPr>
        <w:t>工程预算控制价）后执行。</w:t>
      </w:r>
      <w:r>
        <w:rPr>
          <w:rFonts w:ascii="宋体" w:hAnsi="宋体" w:cs="宋体"/>
          <w:color w:val="auto"/>
          <w:highlight w:val="none"/>
          <w:u w:val="single"/>
        </w:rPr>
        <w:t>E</w:t>
      </w:r>
      <w:r>
        <w:rPr>
          <w:rFonts w:hint="eastAsia" w:ascii="宋体" w:hAnsi="宋体" w:cs="宋体"/>
          <w:color w:val="auto"/>
          <w:highlight w:val="none"/>
          <w:u w:val="single"/>
        </w:rPr>
        <w:t>、由以上原因引起的工程措施项目费和其他项目费等按</w:t>
      </w:r>
      <w:r>
        <w:rPr>
          <w:rFonts w:ascii="宋体" w:hAnsi="宋体" w:cs="宋体"/>
          <w:color w:val="auto"/>
          <w:highlight w:val="none"/>
          <w:u w:val="single"/>
        </w:rPr>
        <w:t>GB50500</w:t>
      </w:r>
      <w:r>
        <w:rPr>
          <w:rFonts w:hint="eastAsia" w:ascii="宋体" w:hAnsi="宋体" w:cs="宋体"/>
          <w:color w:val="auto"/>
          <w:highlight w:val="none"/>
          <w:u w:val="single"/>
        </w:rPr>
        <w:t>－</w:t>
      </w:r>
      <w:r>
        <w:rPr>
          <w:rFonts w:ascii="宋体" w:hAnsi="宋体" w:cs="宋体"/>
          <w:color w:val="auto"/>
          <w:highlight w:val="none"/>
          <w:u w:val="single"/>
        </w:rPr>
        <w:t>2013</w:t>
      </w:r>
      <w:r>
        <w:rPr>
          <w:rFonts w:hint="eastAsia" w:ascii="宋体" w:hAnsi="宋体" w:cs="宋体"/>
          <w:color w:val="auto"/>
          <w:highlight w:val="none"/>
          <w:u w:val="single"/>
        </w:rPr>
        <w:t>《建设工程工程量清单计价规范广西壮族自治区实施细则》规定进行调整</w:t>
      </w:r>
      <w:r>
        <w:rPr>
          <w:rFonts w:hint="eastAsia" w:hAnsi="宋体" w:cs="宋体"/>
          <w:color w:val="auto"/>
          <w:highlight w:val="none"/>
        </w:rPr>
        <w:t>。</w:t>
      </w:r>
    </w:p>
    <w:p>
      <w:pPr>
        <w:pStyle w:val="36"/>
        <w:spacing w:line="360" w:lineRule="auto"/>
        <w:ind w:firstLine="420"/>
        <w:jc w:val="left"/>
        <w:rPr>
          <w:rFonts w:hint="eastAsia" w:hAnsi="宋体"/>
          <w:color w:val="auto"/>
          <w:highlight w:val="none"/>
        </w:rPr>
      </w:pPr>
      <w:r>
        <w:rPr>
          <w:rFonts w:hint="eastAsia"/>
          <w:color w:val="auto"/>
          <w:highlight w:val="none"/>
        </w:rPr>
        <w:t>风险范围以外合同价格的调整方法：</w:t>
      </w:r>
      <w:r>
        <w:rPr>
          <w:rFonts w:hint="eastAsia"/>
          <w:bCs/>
          <w:color w:val="auto"/>
          <w:highlight w:val="none"/>
        </w:rPr>
        <w:t xml:space="preserve">  </w:t>
      </w:r>
      <w:r>
        <w:rPr>
          <w:rFonts w:hint="eastAsia"/>
          <w:color w:val="auto"/>
          <w:highlight w:val="none"/>
          <w:u w:val="single"/>
        </w:rPr>
        <w:t>工程量按实际工程量，材料价格按施工期间贵港的信息价格，新增单价以市财政评审核定为准</w:t>
      </w:r>
      <w:r>
        <w:rPr>
          <w:rFonts w:hint="eastAsia"/>
          <w:bCs/>
          <w:color w:val="auto"/>
          <w:highlight w:val="none"/>
          <w:u w:val="single"/>
        </w:rPr>
        <w:t xml:space="preserve"> </w:t>
      </w:r>
      <w:r>
        <w:rPr>
          <w:rFonts w:hint="eastAsia"/>
          <w:bCs/>
          <w:color w:val="auto"/>
          <w:highlight w:val="none"/>
        </w:rPr>
        <w:t xml:space="preserve">  </w:t>
      </w:r>
      <w:r>
        <w:rPr>
          <w:rFonts w:hint="eastAsia"/>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本工程《承包人提供主要材料和设备一览表》中约定的材料和设备价格变动风险以外的其他风险。除工程变更外，结算时不再对招标施工图对应的工程量重新计量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             </w:t>
      </w:r>
      <w:r>
        <w:rPr>
          <w:rFonts w:hint="eastAsia" w:cs="宋体"/>
          <w:color w:val="auto"/>
          <w:highlight w:val="none"/>
        </w:rPr>
        <w:t>。</w:t>
      </w:r>
    </w:p>
    <w:p>
      <w:pPr>
        <w:pStyle w:val="2"/>
        <w:rPr>
          <w:color w:val="auto"/>
          <w:highlight w:val="none"/>
        </w:rPr>
      </w:pPr>
      <w:bookmarkStart w:id="365" w:name="_Toc34809953"/>
      <w:bookmarkStart w:id="366" w:name="_Toc407135253"/>
      <w:r>
        <w:rPr>
          <w:color w:val="auto"/>
          <w:highlight w:val="none"/>
        </w:rPr>
        <w:t xml:space="preserve">12.2 </w:t>
      </w:r>
      <w:r>
        <w:rPr>
          <w:rFonts w:hint="eastAsia" w:hAnsi="宋体" w:cs="黑体"/>
          <w:color w:val="auto"/>
          <w:highlight w:val="none"/>
        </w:rPr>
        <w:t>预付款</w:t>
      </w:r>
      <w:bookmarkEnd w:id="362"/>
      <w:bookmarkEnd w:id="363"/>
      <w:bookmarkEnd w:id="364"/>
      <w:bookmarkEnd w:id="365"/>
      <w:bookmarkEnd w:id="366"/>
    </w:p>
    <w:p>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color w:val="auto"/>
          <w:highlight w:val="none"/>
          <w:u w:val="single"/>
        </w:rPr>
        <w:t xml:space="preserve">   </w:t>
      </w:r>
      <w:r>
        <w:rPr>
          <w:rFonts w:hint="eastAsia"/>
          <w:color w:val="auto"/>
          <w:highlight w:val="none"/>
          <w:u w:val="single"/>
        </w:rPr>
        <w:t>预付款支付工程总造价的30%</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ascii="宋体" w:hAnsi="宋体"/>
          <w:color w:val="auto"/>
          <w:highlight w:val="none"/>
          <w:u w:val="single"/>
        </w:rPr>
        <w:t>合同签订后、发包人具备支付条件且发包人通知承包人进场后一个月内支付到发包人与承包人开设的共管账户上，预付款为合同款的</w:t>
      </w:r>
      <w:r>
        <w:rPr>
          <w:rFonts w:hint="eastAsia" w:ascii="宋体" w:hAnsi="宋体"/>
          <w:color w:val="auto"/>
          <w:highlight w:val="none"/>
          <w:u w:val="single"/>
          <w:lang w:val="en-US" w:eastAsia="zh-CN"/>
        </w:rPr>
        <w:t>3</w:t>
      </w:r>
      <w:r>
        <w:rPr>
          <w:rFonts w:hint="eastAsia" w:ascii="宋体" w:hAnsi="宋体"/>
          <w:color w:val="auto"/>
          <w:highlight w:val="none"/>
          <w:u w:val="single"/>
        </w:rPr>
        <w:t>0%。预付款在承包人人员以及主要施工设备进场后，承包人向发包人提交资金使用计划，经批准后在发包人的监督下支付使用，并确保该款项用于本项目工程</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预付款扣回的方式：</w:t>
      </w:r>
      <w:r>
        <w:rPr>
          <w:rFonts w:hint="eastAsia" w:ascii="宋体" w:hAnsi="宋体"/>
          <w:color w:val="auto"/>
          <w:highlight w:val="none"/>
          <w:u w:val="single"/>
        </w:rPr>
        <w:t>按每次进度款的20% 扣回，直到扣完为止</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预付款担保的形式为：</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ascii="宋体" w:hAnsi="宋体" w:cs="宋体"/>
          <w:color w:val="auto"/>
          <w:highlight w:val="none"/>
        </w:rPr>
        <w:t>预付款担保格式见合同附件8。预付款支付申请（核准）表见合同附件10</w:t>
      </w:r>
    </w:p>
    <w:p>
      <w:pPr>
        <w:pStyle w:val="2"/>
        <w:rPr>
          <w:color w:val="auto"/>
          <w:highlight w:val="none"/>
        </w:rPr>
      </w:pPr>
      <w:bookmarkStart w:id="367" w:name="_Toc407135254"/>
      <w:bookmarkStart w:id="368" w:name="_Toc389065316"/>
      <w:bookmarkStart w:id="369" w:name="_Toc373227751"/>
      <w:bookmarkStart w:id="370" w:name="_Toc34809954"/>
      <w:bookmarkStart w:id="371" w:name="_Toc373478398"/>
      <w:r>
        <w:rPr>
          <w:color w:val="auto"/>
          <w:highlight w:val="none"/>
        </w:rPr>
        <w:t xml:space="preserve">12.3 </w:t>
      </w:r>
      <w:r>
        <w:rPr>
          <w:rFonts w:hint="eastAsia" w:hAnsi="宋体" w:cs="黑体"/>
          <w:color w:val="auto"/>
          <w:highlight w:val="none"/>
        </w:rPr>
        <w:t>计量</w:t>
      </w:r>
      <w:bookmarkEnd w:id="367"/>
      <w:bookmarkEnd w:id="368"/>
      <w:bookmarkEnd w:id="369"/>
      <w:bookmarkEnd w:id="370"/>
      <w:bookmarkEnd w:id="371"/>
    </w:p>
    <w:p>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）和及其广西壮族自治区实施细则、《建设工程工程量清单计算规范》（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pPr>
        <w:spacing w:line="360" w:lineRule="auto"/>
        <w:ind w:firstLine="420" w:firstLineChars="200"/>
        <w:jc w:val="left"/>
        <w:outlineLvl w:val="0"/>
        <w:rPr>
          <w:color w:val="auto"/>
          <w:highlight w:val="none"/>
        </w:rPr>
      </w:pPr>
      <w:r>
        <w:rPr>
          <w:color w:val="auto"/>
          <w:highlight w:val="none"/>
        </w:rPr>
        <w:t xml:space="preserve">12.3.3 </w:t>
      </w:r>
      <w:r>
        <w:rPr>
          <w:rFonts w:hint="eastAsia" w:hAnsi="宋体" w:cs="宋体"/>
          <w:color w:val="auto"/>
          <w:highlight w:val="none"/>
        </w:rPr>
        <w:t>单价合同的计量</w:t>
      </w:r>
    </w:p>
    <w:p>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pPr>
        <w:spacing w:line="360" w:lineRule="auto"/>
        <w:ind w:firstLine="441" w:firstLineChars="210"/>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ascii="宋体" w:hAnsi="宋体"/>
          <w:color w:val="auto"/>
          <w:highlight w:val="none"/>
          <w:u w:val="single"/>
        </w:rPr>
        <w:t>本合同价款采用</w:t>
      </w:r>
      <w:r>
        <w:rPr>
          <w:rFonts w:hint="eastAsia" w:ascii="宋体" w:hAnsi="宋体"/>
          <w:color w:val="auto"/>
          <w:highlight w:val="none"/>
          <w:u w:val="single"/>
          <w:lang w:eastAsia="zh-CN"/>
        </w:rPr>
        <w:t>综合单价</w:t>
      </w:r>
      <w:r>
        <w:rPr>
          <w:rFonts w:hint="eastAsia" w:ascii="宋体" w:hAnsi="宋体"/>
          <w:color w:val="auto"/>
          <w:highlight w:val="none"/>
          <w:u w:val="single"/>
        </w:rPr>
        <w:t>方式确定</w:t>
      </w:r>
      <w:r>
        <w:rPr>
          <w:rFonts w:hint="eastAsia" w:hAnsi="宋体" w:cs="宋体"/>
          <w:color w:val="auto"/>
          <w:highlight w:val="none"/>
        </w:rPr>
        <w:t>。</w:t>
      </w:r>
    </w:p>
    <w:p>
      <w:pPr>
        <w:pStyle w:val="2"/>
        <w:rPr>
          <w:color w:val="auto"/>
          <w:highlight w:val="none"/>
        </w:rPr>
      </w:pPr>
      <w:bookmarkStart w:id="372" w:name="_Toc389065317"/>
      <w:bookmarkStart w:id="373" w:name="_Toc373227752"/>
      <w:bookmarkStart w:id="374" w:name="_Toc407135255"/>
      <w:bookmarkStart w:id="375" w:name="_Toc34809955"/>
      <w:bookmarkStart w:id="376" w:name="_Toc373478399"/>
      <w:r>
        <w:rPr>
          <w:color w:val="auto"/>
          <w:highlight w:val="none"/>
        </w:rPr>
        <w:t xml:space="preserve">12.4 </w:t>
      </w:r>
      <w:r>
        <w:rPr>
          <w:rFonts w:hint="eastAsia" w:cs="黑体"/>
          <w:color w:val="auto"/>
          <w:highlight w:val="none"/>
        </w:rPr>
        <w:t>工程进度款支付</w:t>
      </w:r>
      <w:bookmarkEnd w:id="372"/>
      <w:bookmarkEnd w:id="373"/>
      <w:bookmarkEnd w:id="374"/>
      <w:bookmarkEnd w:id="375"/>
      <w:bookmarkEnd w:id="376"/>
    </w:p>
    <w:p>
      <w:pPr>
        <w:spacing w:line="360" w:lineRule="auto"/>
        <w:ind w:firstLine="420" w:firstLineChars="200"/>
        <w:jc w:val="left"/>
        <w:rPr>
          <w:color w:val="auto"/>
          <w:highlight w:val="none"/>
        </w:rPr>
      </w:pPr>
      <w:r>
        <w:rPr>
          <w:color w:val="auto"/>
          <w:highlight w:val="none"/>
        </w:rPr>
        <w:t xml:space="preserve">12.4.1 </w:t>
      </w:r>
      <w:r>
        <w:rPr>
          <w:rFonts w:hint="eastAsia" w:hAnsi="宋体" w:cs="宋体"/>
          <w:color w:val="auto"/>
          <w:highlight w:val="none"/>
        </w:rPr>
        <w:t>付款周期</w:t>
      </w:r>
    </w:p>
    <w:p>
      <w:pPr>
        <w:pStyle w:val="36"/>
        <w:spacing w:line="360" w:lineRule="auto"/>
        <w:ind w:firstLine="420"/>
        <w:rPr>
          <w:rFonts w:ascii="宋体" w:hAnsi="宋体" w:cs="宋体"/>
          <w:color w:val="auto"/>
          <w:szCs w:val="21"/>
          <w:highlight w:val="none"/>
          <w:u w:val="single"/>
        </w:rPr>
      </w:pPr>
      <w:r>
        <w:rPr>
          <w:rFonts w:ascii="宋体" w:hAnsi="宋体" w:cs="宋体"/>
          <w:color w:val="auto"/>
          <w:szCs w:val="21"/>
          <w:highlight w:val="none"/>
          <w:u w:val="single"/>
        </w:rPr>
        <w:t>工程款原则上按月支付，在安全、质量、进度、资料进行完善后方可申请进度款（当月无进度的，不可申请），</w:t>
      </w:r>
      <w:r>
        <w:rPr>
          <w:rFonts w:hint="eastAsia" w:ascii="宋体" w:hAnsi="宋体" w:cs="宋体"/>
          <w:color w:val="auto"/>
          <w:szCs w:val="21"/>
          <w:highlight w:val="none"/>
          <w:u w:val="single"/>
        </w:rPr>
        <w:t>按工程进度分期付款，付款比例为按工程计量同期内完成工程量的80%支付，工程竣工验收后工程进度款支付至合同价的80%，剩下的20%作为工程尾款，待工程竣工结算审计完成后再予清算，并按规定预留合同价3%的质量保证金，质保期满确认无质量问题后付清。</w:t>
      </w:r>
    </w:p>
    <w:p>
      <w:pPr>
        <w:pStyle w:val="36"/>
        <w:spacing w:line="360" w:lineRule="auto"/>
        <w:ind w:firstLine="420"/>
        <w:jc w:val="left"/>
        <w:rPr>
          <w:rFonts w:ascii="宋体" w:hAnsi="宋体" w:cs="宋体"/>
          <w:color w:val="auto"/>
          <w:szCs w:val="21"/>
          <w:highlight w:val="none"/>
        </w:rPr>
      </w:pPr>
      <w:r>
        <w:rPr>
          <w:rFonts w:ascii="宋体" w:hAnsi="宋体" w:cs="宋体"/>
          <w:color w:val="auto"/>
          <w:szCs w:val="21"/>
          <w:highlight w:val="none"/>
          <w:u w:val="single"/>
        </w:rPr>
        <w:t>支付方式：</w:t>
      </w:r>
      <w:r>
        <w:rPr>
          <w:rFonts w:hint="eastAsia" w:ascii="宋体" w:hAnsi="宋体" w:cs="宋体"/>
          <w:color w:val="auto"/>
          <w:szCs w:val="21"/>
          <w:highlight w:val="none"/>
          <w:u w:val="single"/>
        </w:rPr>
        <w:t>采用银行转账方式。施工单位必须就核准的工程进度款提供工程所在地税务机关开出的完税发票</w:t>
      </w:r>
      <w:r>
        <w:rPr>
          <w:rFonts w:hint="eastAsia" w:ascii="宋体" w:hAnsi="宋体" w:cs="宋体"/>
          <w:color w:val="auto"/>
          <w:szCs w:val="21"/>
          <w:highlight w:val="none"/>
        </w:rPr>
        <w:t>。</w:t>
      </w:r>
    </w:p>
    <w:p>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rFonts w:hint="eastAsia" w:ascii="宋体" w:hAnsi="宋体"/>
          <w:color w:val="auto"/>
          <w:highlight w:val="none"/>
          <w:u w:val="single"/>
        </w:rPr>
        <w:t>每月</w:t>
      </w:r>
      <w:r>
        <w:rPr>
          <w:rFonts w:ascii="宋体" w:hAnsi="宋体"/>
          <w:color w:val="auto"/>
          <w:highlight w:val="none"/>
          <w:u w:val="single"/>
        </w:rPr>
        <w:t>25</w:t>
      </w:r>
      <w:r>
        <w:rPr>
          <w:rFonts w:hint="eastAsia" w:ascii="宋体" w:hAnsi="宋体"/>
          <w:color w:val="auto"/>
          <w:highlight w:val="none"/>
          <w:u w:val="single"/>
        </w:rPr>
        <w:t>日前</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12.4.3 </w:t>
      </w:r>
      <w:r>
        <w:rPr>
          <w:rFonts w:hint="eastAsia" w:hAnsi="宋体" w:cs="宋体"/>
          <w:color w:val="auto"/>
          <w:highlight w:val="none"/>
        </w:rPr>
        <w:t>进度付款申请单的提交</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color w:val="auto"/>
          <w:highlight w:val="none"/>
          <w:u w:val="single"/>
        </w:rPr>
        <w:t xml:space="preserve"> </w:t>
      </w:r>
      <w:r>
        <w:rPr>
          <w:rFonts w:hint="eastAsia" w:ascii="宋体" w:hAnsi="宋体"/>
          <w:bCs/>
          <w:color w:val="auto"/>
          <w:highlight w:val="none"/>
          <w:u w:val="single"/>
        </w:rPr>
        <w:t>承包人每月</w:t>
      </w:r>
      <w:r>
        <w:rPr>
          <w:rFonts w:ascii="宋体" w:hAnsi="宋体"/>
          <w:bCs/>
          <w:color w:val="auto"/>
          <w:highlight w:val="none"/>
          <w:u w:val="single"/>
        </w:rPr>
        <w:t>25</w:t>
      </w:r>
      <w:r>
        <w:rPr>
          <w:rFonts w:hint="eastAsia" w:ascii="宋体" w:hAnsi="宋体"/>
          <w:bCs/>
          <w:color w:val="auto"/>
          <w:highlight w:val="none"/>
          <w:u w:val="single"/>
        </w:rPr>
        <w:t>日，向发包人递交当月已完工程量工程进度款申请，并附已完成工程量报表</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ascii="宋体" w:hAnsi="宋体"/>
          <w:color w:val="auto"/>
          <w:highlight w:val="none"/>
          <w:u w:val="single"/>
        </w:rPr>
        <w:t>承包人应在每个计量周期到期后的</w:t>
      </w:r>
      <w:r>
        <w:rPr>
          <w:rFonts w:ascii="宋体" w:hAnsi="宋体"/>
          <w:color w:val="auto"/>
          <w:highlight w:val="none"/>
          <w:u w:val="single"/>
        </w:rPr>
        <w:t>7</w:t>
      </w:r>
      <w:r>
        <w:rPr>
          <w:rFonts w:hint="eastAsia" w:ascii="宋体" w:hAnsi="宋体"/>
          <w:color w:val="auto"/>
          <w:highlight w:val="none"/>
          <w:u w:val="single"/>
        </w:rPr>
        <w:t>天内向发包人提交已完工程进度款支付申请一式四份，详细说明此周期自己认为有权得到的款额，包括分包人已完工程的价款</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ascii="宋体" w:hAnsi="宋体"/>
          <w:color w:val="auto"/>
          <w:highlight w:val="none"/>
          <w:u w:val="single"/>
        </w:rPr>
        <w:t>每月</w:t>
      </w:r>
      <w:r>
        <w:rPr>
          <w:rFonts w:ascii="宋体" w:hAnsi="宋体"/>
          <w:color w:val="auto"/>
          <w:highlight w:val="none"/>
          <w:u w:val="single"/>
        </w:rPr>
        <w:t>25</w:t>
      </w:r>
      <w:r>
        <w:rPr>
          <w:rFonts w:hint="eastAsia" w:ascii="宋体" w:hAnsi="宋体"/>
          <w:color w:val="auto"/>
          <w:highlight w:val="none"/>
          <w:u w:val="single"/>
        </w:rPr>
        <w:t>日前</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ascii="宋体" w:hAnsi="宋体"/>
          <w:color w:val="auto"/>
          <w:highlight w:val="none"/>
          <w:u w:val="single"/>
        </w:rPr>
        <w:t>监理人应在收到承包人进度付款申请单以及相关资料后</w:t>
      </w:r>
      <w:r>
        <w:rPr>
          <w:rFonts w:ascii="宋体" w:hAnsi="宋体"/>
          <w:color w:val="auto"/>
          <w:highlight w:val="none"/>
          <w:u w:val="single"/>
        </w:rPr>
        <w:t>7</w:t>
      </w:r>
      <w:r>
        <w:rPr>
          <w:rFonts w:hint="eastAsia" w:ascii="宋体" w:hAnsi="宋体"/>
          <w:color w:val="auto"/>
          <w:highlight w:val="none"/>
          <w:u w:val="single"/>
        </w:rPr>
        <w:t>天内完成审查并报送发包人</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ascii="宋体" w:hAnsi="宋体"/>
          <w:color w:val="auto"/>
          <w:highlight w:val="none"/>
          <w:u w:val="single"/>
        </w:rPr>
        <w:t>发包人应在收到后</w:t>
      </w:r>
      <w:r>
        <w:rPr>
          <w:rFonts w:ascii="宋体" w:hAnsi="宋体"/>
          <w:color w:val="auto"/>
          <w:highlight w:val="none"/>
          <w:u w:val="single"/>
        </w:rPr>
        <w:t>7</w:t>
      </w:r>
      <w:r>
        <w:rPr>
          <w:rFonts w:hint="eastAsia" w:ascii="宋体" w:hAnsi="宋体"/>
          <w:color w:val="auto"/>
          <w:highlight w:val="none"/>
          <w:u w:val="single"/>
        </w:rPr>
        <w:t>天内完成审批并签发进度款支付证书，发包人逾期未完成审批且未提出异议的，视为已签发进度款支付证书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ascii="宋体" w:hAnsi="宋体"/>
          <w:color w:val="auto"/>
          <w:highlight w:val="none"/>
          <w:u w:val="single"/>
        </w:rPr>
        <w:t>收到承包人进度付款申请单以及相关资料后</w:t>
      </w:r>
      <w:r>
        <w:rPr>
          <w:rFonts w:ascii="宋体" w:hAnsi="宋体"/>
          <w:color w:val="auto"/>
          <w:highlight w:val="none"/>
          <w:u w:val="single"/>
        </w:rPr>
        <w:t>7</w:t>
      </w:r>
      <w:r>
        <w:rPr>
          <w:rFonts w:hint="eastAsia" w:ascii="宋体" w:hAnsi="宋体"/>
          <w:color w:val="auto"/>
          <w:highlight w:val="none"/>
          <w:u w:val="single"/>
        </w:rPr>
        <w:t>天内</w:t>
      </w:r>
      <w:r>
        <w:rPr>
          <w:rFonts w:hint="eastAsia" w:hAnsi="宋体" w:cs="宋体"/>
          <w:color w:val="auto"/>
          <w:highlight w:val="none"/>
        </w:rPr>
        <w:t>。</w:t>
      </w:r>
    </w:p>
    <w:p>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hint="eastAsia" w:ascii="宋体" w:hAnsi="宋体"/>
          <w:color w:val="auto"/>
          <w:highlight w:val="none"/>
          <w:u w:val="single"/>
        </w:rPr>
        <w:t>按《通用合同条款》执行</w:t>
      </w:r>
      <w:r>
        <w:rPr>
          <w:color w:val="auto"/>
          <w:highlight w:val="none"/>
          <w:u w:val="single"/>
        </w:rPr>
        <w:t xml:space="preserve"> </w:t>
      </w:r>
      <w:r>
        <w:rPr>
          <w:rFonts w:hint="eastAsia" w:hAnsi="宋体" w:cs="宋体"/>
          <w:color w:val="auto"/>
          <w:highlight w:val="none"/>
        </w:rPr>
        <w:t>。</w:t>
      </w:r>
    </w:p>
    <w:p>
      <w:pPr>
        <w:spacing w:line="360" w:lineRule="auto"/>
        <w:ind w:firstLine="630" w:firstLineChars="300"/>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pPr>
        <w:autoSpaceDE w:val="0"/>
        <w:autoSpaceDN w:val="0"/>
        <w:adjustRightInd w:val="0"/>
        <w:spacing w:line="360" w:lineRule="auto"/>
        <w:ind w:firstLine="420" w:firstLineChars="200"/>
        <w:jc w:val="left"/>
        <w:rPr>
          <w:rFonts w:hint="eastAsia" w:hAnsi="宋体"/>
          <w:color w:val="auto"/>
          <w:highlight w:val="none"/>
        </w:rPr>
      </w:pPr>
      <w:r>
        <w:rPr>
          <w:rFonts w:hint="eastAsia" w:hAnsi="宋体" w:cs="宋体"/>
          <w:color w:val="auto"/>
          <w:kern w:val="0"/>
          <w:highlight w:val="none"/>
        </w:rPr>
        <w:t>1）农民工工资应与其它工程进度款分帐管理。农民工工资必须按时足额支付，农民工费用拨付周期不得超过1个月，最</w:t>
      </w:r>
      <w:r>
        <w:rPr>
          <w:rFonts w:hAnsi="宋体" w:cs="宋体"/>
          <w:color w:val="auto"/>
          <w:kern w:val="0"/>
          <w:highlight w:val="none"/>
        </w:rPr>
        <w:t>少每月支付一次</w:t>
      </w:r>
      <w:r>
        <w:rPr>
          <w:rFonts w:hint="eastAsia" w:hAnsi="宋体" w:cs="宋体"/>
          <w:color w:val="auto"/>
          <w:kern w:val="0"/>
          <w:highlight w:val="none"/>
        </w:rPr>
        <w:t>，</w:t>
      </w:r>
      <w:r>
        <w:rPr>
          <w:rFonts w:hAnsi="宋体" w:cs="宋体"/>
          <w:color w:val="auto"/>
          <w:kern w:val="0"/>
          <w:highlight w:val="none"/>
        </w:rPr>
        <w:t>无工程款申请的月份</w:t>
      </w:r>
      <w:r>
        <w:rPr>
          <w:rFonts w:hint="eastAsia" w:hAnsi="宋体" w:cs="宋体"/>
          <w:color w:val="auto"/>
          <w:kern w:val="0"/>
          <w:highlight w:val="none"/>
        </w:rPr>
        <w:t>，</w:t>
      </w:r>
      <w:r>
        <w:rPr>
          <w:rFonts w:hAnsi="宋体" w:cs="宋体"/>
          <w:color w:val="auto"/>
          <w:kern w:val="0"/>
          <w:highlight w:val="none"/>
        </w:rPr>
        <w:t>承包人单独上</w:t>
      </w:r>
      <w:r>
        <w:rPr>
          <w:rFonts w:hint="eastAsia" w:hAnsi="宋体" w:cs="宋体"/>
          <w:color w:val="auto"/>
          <w:kern w:val="0"/>
          <w:highlight w:val="none"/>
        </w:rPr>
        <w:t>报</w:t>
      </w:r>
      <w:r>
        <w:rPr>
          <w:rFonts w:hAnsi="宋体" w:cs="宋体"/>
          <w:color w:val="auto"/>
          <w:kern w:val="0"/>
          <w:highlight w:val="none"/>
        </w:rPr>
        <w:t>农</w:t>
      </w:r>
      <w:r>
        <w:rPr>
          <w:rFonts w:hint="eastAsia" w:hAnsi="宋体" w:cs="宋体"/>
          <w:color w:val="auto"/>
          <w:kern w:val="0"/>
          <w:highlight w:val="none"/>
        </w:rPr>
        <w:t>民</w:t>
      </w:r>
      <w:r>
        <w:rPr>
          <w:rFonts w:hAnsi="宋体" w:cs="宋体"/>
          <w:color w:val="auto"/>
          <w:kern w:val="0"/>
          <w:highlight w:val="none"/>
        </w:rPr>
        <w:t>工工资</w:t>
      </w:r>
      <w:r>
        <w:rPr>
          <w:rFonts w:hint="eastAsia" w:hAnsi="宋体" w:cs="宋体"/>
          <w:color w:val="auto"/>
          <w:kern w:val="0"/>
          <w:highlight w:val="none"/>
        </w:rPr>
        <w:t>申请；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spacing w:line="360" w:lineRule="auto"/>
        <w:ind w:firstLine="525" w:firstLineChars="250"/>
        <w:jc w:val="left"/>
        <w:rPr>
          <w:rFonts w:hint="eastAsia" w:hAnsi="宋体"/>
          <w:color w:val="auto"/>
          <w:highlight w:val="none"/>
        </w:rPr>
      </w:pPr>
      <w:r>
        <w:rPr>
          <w:rFonts w:hint="eastAsia" w:hAnsi="宋体"/>
          <w:color w:val="auto"/>
          <w:highlight w:val="none"/>
        </w:rPr>
        <w:t xml:space="preserve">2）发包人依据工程进度，按与承包人约定的农民工支付比例，将工程人工费分账支付到承包人的农民工工资专户，工程完工时发包人向承包人农民工工资专户支付的完工工程量的人工费支付比例不低于 </w:t>
      </w:r>
      <w:r>
        <w:rPr>
          <w:rFonts w:hAnsi="宋体"/>
          <w:color w:val="auto"/>
          <w:highlight w:val="none"/>
        </w:rPr>
        <w:t xml:space="preserve"> </w:t>
      </w:r>
      <w:r>
        <w:rPr>
          <w:rFonts w:hint="eastAsia" w:hAnsi="宋体"/>
          <w:color w:val="auto"/>
          <w:highlight w:val="none"/>
        </w:rPr>
        <w:t xml:space="preserve">  %，其余工程进度款项由发包人支付到承包人的单位基本户。</w:t>
      </w:r>
    </w:p>
    <w:p>
      <w:pPr>
        <w:spacing w:line="360" w:lineRule="auto"/>
        <w:ind w:firstLine="525" w:firstLineChars="250"/>
        <w:jc w:val="left"/>
        <w:rPr>
          <w:rFonts w:hint="eastAsia" w:hAnsi="宋体"/>
          <w:color w:val="auto"/>
          <w:highlight w:val="none"/>
        </w:rPr>
      </w:pPr>
      <w:r>
        <w:rPr>
          <w:rFonts w:hint="eastAsia" w:hAnsi="宋体"/>
          <w:color w:val="auto"/>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pPr>
        <w:spacing w:line="360" w:lineRule="auto"/>
        <w:ind w:firstLine="525" w:firstLineChars="250"/>
        <w:jc w:val="left"/>
        <w:rPr>
          <w:rFonts w:hint="eastAsia" w:hAnsi="宋体"/>
          <w:color w:val="auto"/>
          <w:highlight w:val="none"/>
        </w:rPr>
      </w:pPr>
      <w:r>
        <w:rPr>
          <w:rFonts w:hint="eastAsia" w:hAnsi="宋体"/>
          <w:color w:val="auto"/>
          <w:highlight w:val="none"/>
        </w:rPr>
        <w:t>4）凡未向付款单位提供农民工工资专户的，或者请款单位在申请工程进度款时未将人工费单列的，付款单位有权拒绝支付工程进度款。</w:t>
      </w:r>
    </w:p>
    <w:p>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5）农民工工资使用要求：专款专用，除发放工人工资外，不得用于其他用途。</w:t>
      </w:r>
    </w:p>
    <w:p>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6）承包人将农民工工资</w:t>
      </w:r>
      <w:r>
        <w:rPr>
          <w:rFonts w:hAnsi="宋体" w:cs="宋体"/>
          <w:color w:val="auto"/>
          <w:kern w:val="0"/>
          <w:highlight w:val="none"/>
        </w:rPr>
        <w:t>支付</w:t>
      </w:r>
      <w:r>
        <w:rPr>
          <w:rFonts w:hint="eastAsia" w:hAnsi="宋体" w:cs="宋体"/>
          <w:color w:val="auto"/>
          <w:kern w:val="0"/>
          <w:highlight w:val="none"/>
        </w:rPr>
        <w:t>情况定期报告发包人和监理单位，并提供相应的材料接受建设行政主管部门和劳动保障行政主管部门对此事项监管。</w:t>
      </w:r>
    </w:p>
    <w:p>
      <w:pPr>
        <w:autoSpaceDE w:val="0"/>
        <w:autoSpaceDN w:val="0"/>
        <w:adjustRightInd w:val="0"/>
        <w:spacing w:line="360" w:lineRule="auto"/>
        <w:jc w:val="left"/>
        <w:rPr>
          <w:rFonts w:hint="eastAsia" w:hAnsi="宋体" w:cs="宋体"/>
          <w:color w:val="auto"/>
          <w:kern w:val="0"/>
          <w:highlight w:val="none"/>
        </w:rPr>
      </w:pPr>
      <w:r>
        <w:rPr>
          <w:rFonts w:hint="eastAsia" w:hAnsi="宋体" w:cs="宋体"/>
          <w:color w:val="auto"/>
          <w:kern w:val="0"/>
          <w:highlight w:val="none"/>
        </w:rPr>
        <w:t>（4）农民工工资支付专用账户：</w:t>
      </w:r>
      <w:r>
        <w:rPr>
          <w:rFonts w:hAnsi="宋体" w:cs="宋体"/>
          <w:color w:val="auto"/>
          <w:kern w:val="0"/>
          <w:highlight w:val="none"/>
        </w:rPr>
        <w:t>××××</w:t>
      </w:r>
      <w:r>
        <w:rPr>
          <w:rFonts w:hint="eastAsia" w:hAnsi="宋体" w:cs="宋体"/>
          <w:color w:val="auto"/>
          <w:kern w:val="0"/>
          <w:highlight w:val="none"/>
        </w:rPr>
        <w:t>公司农民工工资支付专用账户</w:t>
      </w:r>
      <w:r>
        <w:rPr>
          <w:rFonts w:hAnsi="宋体" w:cs="宋体"/>
          <w:color w:val="auto"/>
          <w:kern w:val="0"/>
          <w:highlight w:val="none"/>
        </w:rPr>
        <w:t xml:space="preserve"> </w:t>
      </w:r>
      <w:r>
        <w:rPr>
          <w:rFonts w:hint="eastAsia" w:hAnsi="宋体" w:cs="宋体"/>
          <w:color w:val="auto"/>
          <w:kern w:val="0"/>
          <w:highlight w:val="none"/>
        </w:rPr>
        <w:t>。</w:t>
      </w:r>
    </w:p>
    <w:p>
      <w:pPr>
        <w:autoSpaceDE w:val="0"/>
        <w:autoSpaceDN w:val="0"/>
        <w:adjustRightInd w:val="0"/>
        <w:spacing w:line="360" w:lineRule="auto"/>
        <w:jc w:val="left"/>
        <w:rPr>
          <w:rFonts w:hint="eastAsia" w:hAnsi="宋体" w:cs="宋体"/>
          <w:color w:val="auto"/>
          <w:kern w:val="0"/>
          <w:highlight w:val="none"/>
        </w:rPr>
      </w:pPr>
      <w:r>
        <w:rPr>
          <w:rFonts w:hint="eastAsia" w:hAnsi="宋体" w:cs="宋体"/>
          <w:color w:val="auto"/>
          <w:kern w:val="0"/>
          <w:highlight w:val="none"/>
        </w:rPr>
        <w:t>开户银行：</w:t>
      </w:r>
      <w:r>
        <w:rPr>
          <w:rFonts w:hint="eastAsia" w:hAnsi="宋体" w:cs="宋体"/>
          <w:color w:val="auto"/>
          <w:kern w:val="0"/>
          <w:highlight w:val="none"/>
          <w:u w:val="single"/>
        </w:rPr>
        <w:t xml:space="preserve">           </w:t>
      </w:r>
      <w:r>
        <w:rPr>
          <w:rFonts w:hint="eastAsia" w:hAnsi="宋体" w:cs="宋体"/>
          <w:color w:val="auto"/>
          <w:kern w:val="0"/>
          <w:highlight w:val="none"/>
        </w:rPr>
        <w:t>账号：</w:t>
      </w:r>
      <w:r>
        <w:rPr>
          <w:rFonts w:hint="eastAsia" w:hAnsi="宋体" w:cs="宋体"/>
          <w:color w:val="auto"/>
          <w:kern w:val="0"/>
          <w:highlight w:val="none"/>
          <w:u w:val="single"/>
        </w:rPr>
        <w:t xml:space="preserve">      。</w:t>
      </w:r>
      <w:r>
        <w:rPr>
          <w:rFonts w:hAnsi="宋体" w:cs="宋体"/>
          <w:color w:val="auto"/>
          <w:kern w:val="0"/>
          <w:highlight w:val="none"/>
        </w:rPr>
        <w:t xml:space="preserve"> </w:t>
      </w:r>
      <w:r>
        <w:rPr>
          <w:rFonts w:hint="eastAsia" w:hAnsi="宋体" w:cs="宋体"/>
          <w:color w:val="auto"/>
          <w:kern w:val="0"/>
          <w:highlight w:val="none"/>
        </w:rPr>
        <w:t xml:space="preserve">  </w:t>
      </w:r>
      <w:r>
        <w:rPr>
          <w:rFonts w:hAnsi="宋体" w:cs="宋体"/>
          <w:color w:val="auto"/>
          <w:kern w:val="0"/>
          <w:highlight w:val="none"/>
        </w:rPr>
        <w:t xml:space="preserve"> </w:t>
      </w:r>
      <w:r>
        <w:rPr>
          <w:rFonts w:hint="eastAsia" w:hAnsi="宋体" w:cs="宋体"/>
          <w:color w:val="auto"/>
          <w:kern w:val="0"/>
          <w:highlight w:val="none"/>
        </w:rPr>
        <w:t xml:space="preserve"> </w:t>
      </w:r>
      <w:r>
        <w:rPr>
          <w:rFonts w:hAnsi="宋体" w:cs="宋体"/>
          <w:color w:val="auto"/>
          <w:kern w:val="0"/>
          <w:highlight w:val="none"/>
        </w:rPr>
        <w:t xml:space="preserve">  </w:t>
      </w:r>
      <w:r>
        <w:rPr>
          <w:rFonts w:hint="eastAsia" w:hAnsi="宋体" w:cs="宋体"/>
          <w:color w:val="auto"/>
          <w:kern w:val="0"/>
          <w:highlight w:val="none"/>
        </w:rPr>
        <w:t xml:space="preserve">          </w:t>
      </w:r>
      <w:r>
        <w:rPr>
          <w:rFonts w:hAnsi="宋体" w:cs="宋体"/>
          <w:color w:val="auto"/>
          <w:kern w:val="0"/>
          <w:highlight w:val="none"/>
        </w:rPr>
        <w:t></w:t>
      </w:r>
    </w:p>
    <w:p>
      <w:pPr>
        <w:spacing w:line="360" w:lineRule="auto"/>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p>
      <w:pPr>
        <w:pStyle w:val="4"/>
        <w:rPr>
          <w:color w:val="auto"/>
          <w:highlight w:val="none"/>
        </w:rPr>
      </w:pPr>
      <w:bookmarkStart w:id="377" w:name="_Toc389065318"/>
      <w:bookmarkStart w:id="378" w:name="_Toc407135256"/>
      <w:bookmarkStart w:id="379" w:name="_Toc373227753"/>
      <w:bookmarkStart w:id="380" w:name="_Toc34809956"/>
      <w:bookmarkStart w:id="381" w:name="_Toc373478400"/>
      <w:r>
        <w:rPr>
          <w:color w:val="auto"/>
          <w:highlight w:val="none"/>
        </w:rPr>
        <w:t xml:space="preserve">13. </w:t>
      </w:r>
      <w:r>
        <w:rPr>
          <w:rFonts w:hint="eastAsia" w:cs="黑体"/>
          <w:color w:val="auto"/>
          <w:highlight w:val="none"/>
        </w:rPr>
        <w:t>验收和工程试车</w:t>
      </w:r>
      <w:bookmarkEnd w:id="377"/>
      <w:bookmarkEnd w:id="378"/>
      <w:bookmarkEnd w:id="379"/>
      <w:bookmarkEnd w:id="380"/>
      <w:bookmarkEnd w:id="381"/>
    </w:p>
    <w:p>
      <w:pPr>
        <w:pStyle w:val="2"/>
        <w:rPr>
          <w:color w:val="auto"/>
          <w:highlight w:val="none"/>
        </w:rPr>
      </w:pPr>
      <w:bookmarkStart w:id="382" w:name="_Toc373478401"/>
      <w:bookmarkStart w:id="383" w:name="_Toc373227754"/>
      <w:bookmarkStart w:id="384" w:name="_Toc389065319"/>
      <w:bookmarkStart w:id="385" w:name="_Toc407135257"/>
      <w:bookmarkStart w:id="386" w:name="_Toc34809957"/>
      <w:r>
        <w:rPr>
          <w:color w:val="auto"/>
          <w:highlight w:val="none"/>
        </w:rPr>
        <w:t xml:space="preserve">13.1 </w:t>
      </w:r>
      <w:r>
        <w:rPr>
          <w:rFonts w:hint="eastAsia" w:cs="黑体"/>
          <w:color w:val="auto"/>
          <w:highlight w:val="none"/>
        </w:rPr>
        <w:t>分部分项工程验收</w:t>
      </w:r>
      <w:bookmarkEnd w:id="382"/>
      <w:bookmarkEnd w:id="383"/>
      <w:bookmarkEnd w:id="384"/>
      <w:bookmarkEnd w:id="385"/>
      <w:bookmarkEnd w:id="386"/>
    </w:p>
    <w:p>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24 </w:t>
      </w:r>
      <w:r>
        <w:rPr>
          <w:rFonts w:hint="eastAsia" w:hAnsi="宋体" w:cs="宋体"/>
          <w:color w:val="auto"/>
          <w:highlight w:val="none"/>
        </w:rPr>
        <w:t>小时提交书面延期要求。</w:t>
      </w:r>
    </w:p>
    <w:p>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24   </w:t>
      </w:r>
      <w:r>
        <w:rPr>
          <w:rFonts w:hint="eastAsia" w:hAnsi="宋体" w:cs="宋体"/>
          <w:color w:val="auto"/>
          <w:highlight w:val="none"/>
        </w:rPr>
        <w:t>小时。</w:t>
      </w:r>
    </w:p>
    <w:p>
      <w:pPr>
        <w:pStyle w:val="2"/>
        <w:rPr>
          <w:color w:val="auto"/>
          <w:highlight w:val="none"/>
        </w:rPr>
      </w:pPr>
      <w:bookmarkStart w:id="387" w:name="_Toc407135258"/>
      <w:bookmarkStart w:id="388" w:name="_Toc373478402"/>
      <w:bookmarkStart w:id="389" w:name="_Toc34809958"/>
      <w:bookmarkStart w:id="390" w:name="_Toc389065320"/>
      <w:bookmarkStart w:id="391" w:name="_Toc373227755"/>
      <w:r>
        <w:rPr>
          <w:color w:val="auto"/>
          <w:highlight w:val="none"/>
        </w:rPr>
        <w:t xml:space="preserve">13.2 </w:t>
      </w:r>
      <w:r>
        <w:rPr>
          <w:rFonts w:hint="eastAsia" w:hAnsi="宋体" w:cs="黑体"/>
          <w:color w:val="auto"/>
          <w:highlight w:val="none"/>
        </w:rPr>
        <w:t>竣工验收</w:t>
      </w:r>
      <w:bookmarkEnd w:id="387"/>
      <w:bookmarkEnd w:id="388"/>
      <w:bookmarkEnd w:id="389"/>
      <w:bookmarkEnd w:id="390"/>
      <w:bookmarkEnd w:id="391"/>
    </w:p>
    <w:p>
      <w:pPr>
        <w:spacing w:line="360" w:lineRule="auto"/>
        <w:ind w:firstLine="420" w:firstLineChars="200"/>
        <w:jc w:val="left"/>
        <w:rPr>
          <w:color w:val="auto"/>
          <w:highlight w:val="none"/>
        </w:rPr>
      </w:pPr>
      <w:r>
        <w:rPr>
          <w:color w:val="auto"/>
          <w:highlight w:val="none"/>
        </w:rPr>
        <w:t>13.2.1</w:t>
      </w:r>
      <w:r>
        <w:rPr>
          <w:rFonts w:hint="eastAsia" w:hAnsi="宋体" w:cs="宋体"/>
          <w:color w:val="auto"/>
          <w:highlight w:val="none"/>
        </w:rPr>
        <w:t>竣工验收条件</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竣工验收资料的份数：</w:t>
      </w:r>
      <w:r>
        <w:rPr>
          <w:color w:val="auto"/>
          <w:highlight w:val="none"/>
          <w:u w:val="single"/>
        </w:rPr>
        <w:t xml:space="preserve">  6</w:t>
      </w:r>
      <w:r>
        <w:rPr>
          <w:rFonts w:hint="eastAsia"/>
          <w:color w:val="auto"/>
          <w:highlight w:val="none"/>
          <w:u w:val="single"/>
        </w:rPr>
        <w:t>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w:t>
      </w:r>
      <w:r>
        <w:rPr>
          <w:rFonts w:hint="eastAsia" w:ascii="宋体" w:hAnsi="宋体"/>
          <w:color w:val="auto"/>
          <w:highlight w:val="none"/>
          <w:u w:val="single"/>
        </w:rPr>
        <w:t>按《通用合同条款》执行</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hint="eastAsia" w:ascii="宋体" w:hAnsi="宋体"/>
          <w:color w:val="auto"/>
          <w:highlight w:val="none"/>
          <w:u w:val="single"/>
        </w:rPr>
        <w:t>按工程所在地建设行政主管部门和城市建设档案管理机构有关验收程序的要求进行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ascii="宋体" w:hAnsi="宋体"/>
          <w:color w:val="auto"/>
          <w:kern w:val="0"/>
          <w:highlight w:val="none"/>
          <w:u w:val="single"/>
        </w:rPr>
        <w:t>颁发工程接收证书后</w:t>
      </w:r>
      <w:r>
        <w:rPr>
          <w:rFonts w:ascii="宋体" w:hAnsi="宋体"/>
          <w:color w:val="auto"/>
          <w:kern w:val="0"/>
          <w:highlight w:val="none"/>
          <w:u w:val="single"/>
        </w:rPr>
        <w:t>7</w:t>
      </w:r>
      <w:r>
        <w:rPr>
          <w:rFonts w:hint="eastAsia" w:ascii="宋体" w:hAnsi="宋体"/>
          <w:color w:val="auto"/>
          <w:kern w:val="0"/>
          <w:highlight w:val="none"/>
          <w:u w:val="single"/>
        </w:rPr>
        <w:t>天内完成工程的移交</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hint="eastAsia" w:ascii="宋体" w:hAnsi="宋体"/>
          <w:color w:val="auto"/>
          <w:highlight w:val="none"/>
          <w:u w:val="single"/>
        </w:rPr>
        <w:t>按《通用合同条款》执行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ascii="宋体" w:hAnsi="宋体"/>
          <w:color w:val="auto"/>
          <w:highlight w:val="none"/>
          <w:u w:val="single"/>
        </w:rPr>
        <w:t>因承包人原因未按时移交工程的，</w:t>
      </w:r>
      <w:r>
        <w:rPr>
          <w:rFonts w:hint="eastAsia" w:ascii="宋体" w:hAnsi="宋体"/>
          <w:color w:val="auto"/>
          <w:kern w:val="0"/>
          <w:highlight w:val="none"/>
          <w:u w:val="single"/>
        </w:rPr>
        <w:t>承包人应采取措施确保相关工程的正常使用，承包人应承担工程照管、成品保护、保管等与工程有关的各项费用，且</w:t>
      </w:r>
      <w:r>
        <w:rPr>
          <w:rFonts w:hint="eastAsia" w:ascii="宋体" w:hAnsi="宋体"/>
          <w:color w:val="auto"/>
          <w:highlight w:val="none"/>
          <w:u w:val="single"/>
        </w:rPr>
        <w:t>每延误一天，扣除</w:t>
      </w:r>
      <w:r>
        <w:rPr>
          <w:rFonts w:ascii="宋体" w:hAnsi="宋体"/>
          <w:color w:val="auto"/>
          <w:highlight w:val="none"/>
          <w:u w:val="single"/>
        </w:rPr>
        <w:t>150</w:t>
      </w:r>
      <w:r>
        <w:rPr>
          <w:rFonts w:hint="eastAsia" w:ascii="宋体" w:hAnsi="宋体"/>
          <w:color w:val="auto"/>
          <w:highlight w:val="none"/>
          <w:u w:val="single"/>
        </w:rPr>
        <w:t>元</w:t>
      </w:r>
      <w:r>
        <w:rPr>
          <w:rFonts w:ascii="宋体" w:hAnsi="宋体"/>
          <w:color w:val="auto"/>
          <w:highlight w:val="none"/>
          <w:u w:val="single"/>
        </w:rPr>
        <w:t>/</w:t>
      </w:r>
      <w:r>
        <w:rPr>
          <w:rFonts w:hint="eastAsia" w:ascii="宋体" w:hAnsi="宋体"/>
          <w:color w:val="auto"/>
          <w:highlight w:val="none"/>
          <w:u w:val="single"/>
        </w:rPr>
        <w:t xml:space="preserve">天的质保金 </w:t>
      </w:r>
      <w:r>
        <w:rPr>
          <w:rFonts w:hint="eastAsia" w:hAnsi="宋体" w:cs="宋体"/>
          <w:color w:val="auto"/>
          <w:highlight w:val="none"/>
        </w:rPr>
        <w:t>。</w:t>
      </w:r>
    </w:p>
    <w:p>
      <w:pPr>
        <w:pStyle w:val="2"/>
        <w:rPr>
          <w:color w:val="auto"/>
          <w:highlight w:val="none"/>
        </w:rPr>
      </w:pPr>
      <w:bookmarkStart w:id="392" w:name="_Toc373227756"/>
      <w:bookmarkStart w:id="393" w:name="_Toc389065321"/>
      <w:bookmarkStart w:id="394" w:name="_Toc407135259"/>
      <w:bookmarkStart w:id="395" w:name="_Toc373478403"/>
      <w:bookmarkStart w:id="396" w:name="_Toc34809959"/>
      <w:r>
        <w:rPr>
          <w:color w:val="auto"/>
          <w:highlight w:val="none"/>
        </w:rPr>
        <w:t xml:space="preserve">13.3 </w:t>
      </w:r>
      <w:r>
        <w:rPr>
          <w:rFonts w:hint="eastAsia" w:hAnsi="宋体" w:cs="黑体"/>
          <w:color w:val="auto"/>
          <w:highlight w:val="none"/>
        </w:rPr>
        <w:t>工程试车</w:t>
      </w:r>
      <w:bookmarkEnd w:id="392"/>
      <w:bookmarkEnd w:id="393"/>
      <w:bookmarkEnd w:id="394"/>
      <w:bookmarkEnd w:id="395"/>
      <w:bookmarkEnd w:id="396"/>
    </w:p>
    <w:p>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13.3.1</w:t>
      </w:r>
      <w:r>
        <w:rPr>
          <w:rFonts w:hint="eastAsia" w:ascii="宋体" w:hAnsi="宋体"/>
          <w:color w:val="auto"/>
          <w:highlight w:val="none"/>
          <w:u w:val="single"/>
        </w:rPr>
        <w:t>条执行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13.3.1</w:t>
      </w:r>
      <w:r>
        <w:rPr>
          <w:rFonts w:hint="eastAsia" w:ascii="宋体" w:hAnsi="宋体"/>
          <w:color w:val="auto"/>
          <w:highlight w:val="none"/>
          <w:u w:val="single"/>
        </w:rPr>
        <w:t>条执行</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13.3.1</w:t>
      </w:r>
      <w:r>
        <w:rPr>
          <w:rFonts w:hint="eastAsia" w:ascii="宋体" w:hAnsi="宋体"/>
          <w:color w:val="auto"/>
          <w:highlight w:val="none"/>
          <w:u w:val="single"/>
        </w:rPr>
        <w:t>条执行</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13.3.3</w:t>
      </w:r>
      <w:r>
        <w:rPr>
          <w:rFonts w:hint="eastAsia" w:ascii="宋体" w:hAnsi="宋体"/>
          <w:color w:val="auto"/>
          <w:highlight w:val="none"/>
          <w:u w:val="single"/>
        </w:rPr>
        <w:t>条执行</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397" w:name="_Toc34809960"/>
      <w:bookmarkStart w:id="398" w:name="_Toc373478404"/>
      <w:bookmarkStart w:id="399" w:name="_Toc389065322"/>
      <w:bookmarkStart w:id="400" w:name="_Toc407135260"/>
      <w:bookmarkStart w:id="401" w:name="_Toc373227757"/>
      <w:r>
        <w:rPr>
          <w:color w:val="auto"/>
          <w:highlight w:val="none"/>
        </w:rPr>
        <w:t xml:space="preserve">13.6 </w:t>
      </w:r>
      <w:r>
        <w:rPr>
          <w:rFonts w:hint="eastAsia" w:hAnsi="宋体" w:cs="黑体"/>
          <w:color w:val="auto"/>
          <w:highlight w:val="none"/>
        </w:rPr>
        <w:t>竣工退场</w:t>
      </w:r>
      <w:bookmarkEnd w:id="397"/>
      <w:bookmarkEnd w:id="398"/>
      <w:bookmarkEnd w:id="399"/>
      <w:bookmarkEnd w:id="400"/>
      <w:bookmarkEnd w:id="401"/>
    </w:p>
    <w:p>
      <w:pPr>
        <w:spacing w:line="360" w:lineRule="auto"/>
        <w:ind w:firstLine="420" w:firstLineChars="200"/>
        <w:jc w:val="left"/>
        <w:outlineLvl w:val="0"/>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w:t>
      </w:r>
      <w:r>
        <w:rPr>
          <w:rFonts w:hint="eastAsia" w:ascii="宋体" w:hAnsi="宋体"/>
          <w:b/>
          <w:color w:val="auto"/>
          <w:kern w:val="0"/>
          <w:highlight w:val="none"/>
          <w:u w:val="single"/>
        </w:rPr>
        <w:t>颁发工程接收证书后</w:t>
      </w:r>
      <w:r>
        <w:rPr>
          <w:rFonts w:ascii="宋体" w:hAnsi="宋体"/>
          <w:b/>
          <w:color w:val="auto"/>
          <w:kern w:val="0"/>
          <w:highlight w:val="none"/>
          <w:u w:val="single"/>
        </w:rPr>
        <w:t>7</w:t>
      </w:r>
      <w:r>
        <w:rPr>
          <w:rFonts w:hint="eastAsia" w:ascii="宋体" w:hAnsi="宋体"/>
          <w:b/>
          <w:color w:val="auto"/>
          <w:kern w:val="0"/>
          <w:highlight w:val="none"/>
          <w:u w:val="single"/>
        </w:rPr>
        <w:t>天内完成工程的移交</w:t>
      </w:r>
      <w:r>
        <w:rPr>
          <w:color w:val="auto"/>
          <w:highlight w:val="none"/>
          <w:u w:val="single"/>
        </w:rPr>
        <w:t xml:space="preserve">  </w:t>
      </w:r>
      <w:r>
        <w:rPr>
          <w:rFonts w:hint="eastAsia" w:hAnsi="宋体" w:cs="宋体"/>
          <w:color w:val="auto"/>
          <w:kern w:val="0"/>
          <w:highlight w:val="none"/>
        </w:rPr>
        <w:t>。</w:t>
      </w:r>
    </w:p>
    <w:p>
      <w:pPr>
        <w:pStyle w:val="4"/>
        <w:rPr>
          <w:color w:val="auto"/>
          <w:highlight w:val="none"/>
        </w:rPr>
      </w:pPr>
      <w:bookmarkStart w:id="402" w:name="_Toc34809961"/>
      <w:bookmarkStart w:id="403" w:name="_Toc389065323"/>
      <w:bookmarkStart w:id="404" w:name="_Toc407135261"/>
      <w:bookmarkStart w:id="405" w:name="_Toc373227758"/>
      <w:bookmarkStart w:id="406" w:name="_Toc373478405"/>
      <w:r>
        <w:rPr>
          <w:color w:val="auto"/>
          <w:highlight w:val="none"/>
        </w:rPr>
        <w:t xml:space="preserve">14. </w:t>
      </w:r>
      <w:r>
        <w:rPr>
          <w:rFonts w:hint="eastAsia" w:hAnsi="宋体" w:cs="黑体"/>
          <w:color w:val="auto"/>
          <w:highlight w:val="none"/>
        </w:rPr>
        <w:t>竣工结算</w:t>
      </w:r>
      <w:bookmarkEnd w:id="402"/>
      <w:bookmarkEnd w:id="403"/>
      <w:bookmarkEnd w:id="404"/>
      <w:bookmarkEnd w:id="405"/>
      <w:bookmarkEnd w:id="406"/>
    </w:p>
    <w:p>
      <w:pPr>
        <w:pStyle w:val="2"/>
        <w:rPr>
          <w:color w:val="auto"/>
          <w:highlight w:val="none"/>
        </w:rPr>
      </w:pPr>
      <w:bookmarkStart w:id="407" w:name="_Toc373478406"/>
      <w:bookmarkStart w:id="408" w:name="_Toc407135262"/>
      <w:bookmarkStart w:id="409" w:name="_Toc389065324"/>
      <w:bookmarkStart w:id="410" w:name="_Toc373227759"/>
      <w:bookmarkStart w:id="411" w:name="_Toc34809962"/>
      <w:r>
        <w:rPr>
          <w:color w:val="auto"/>
          <w:highlight w:val="none"/>
        </w:rPr>
        <w:t xml:space="preserve">14.1 </w:t>
      </w:r>
      <w:r>
        <w:rPr>
          <w:rFonts w:hint="eastAsia" w:hAnsi="宋体" w:cs="黑体"/>
          <w:color w:val="auto"/>
          <w:highlight w:val="none"/>
        </w:rPr>
        <w:t>竣工付款申请</w:t>
      </w:r>
      <w:bookmarkEnd w:id="407"/>
      <w:bookmarkEnd w:id="408"/>
      <w:bookmarkEnd w:id="409"/>
      <w:bookmarkEnd w:id="410"/>
      <w:bookmarkEnd w:id="411"/>
    </w:p>
    <w:p>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ascii="宋体" w:hAnsi="宋体"/>
          <w:color w:val="auto"/>
          <w:highlight w:val="none"/>
          <w:u w:val="single"/>
        </w:rPr>
        <w:t>在工程竣工验收合格后90天内向发包人和监理人提交竣工结算申请单。无正当理由延期或经发包人催促</w:t>
      </w:r>
      <w:r>
        <w:rPr>
          <w:rFonts w:ascii="宋体" w:hAnsi="宋体"/>
          <w:color w:val="auto"/>
          <w:highlight w:val="none"/>
          <w:u w:val="single"/>
        </w:rPr>
        <w:t>14</w:t>
      </w:r>
      <w:r>
        <w:rPr>
          <w:rFonts w:hint="eastAsia" w:ascii="宋体" w:hAnsi="宋体"/>
          <w:color w:val="auto"/>
          <w:highlight w:val="none"/>
          <w:u w:val="single"/>
        </w:rPr>
        <w:t>日内仍未提供或明确答复的，发包人有权根据已有资料进行结算审核，责任由承包人自负。承包人应及时提供竣工结算过程中所需补充的资料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14.1</w:t>
      </w:r>
      <w:r>
        <w:rPr>
          <w:rFonts w:hint="eastAsia" w:ascii="宋体" w:hAnsi="宋体"/>
          <w:color w:val="auto"/>
          <w:highlight w:val="none"/>
          <w:u w:val="single"/>
        </w:rPr>
        <w:t>条执行</w:t>
      </w:r>
      <w:r>
        <w:rPr>
          <w:color w:val="auto"/>
          <w:highlight w:val="none"/>
          <w:u w:val="single"/>
        </w:rPr>
        <w:t xml:space="preserve"> </w:t>
      </w:r>
      <w:r>
        <w:rPr>
          <w:rFonts w:hint="eastAsia" w:hAnsi="宋体" w:cs="宋体"/>
          <w:color w:val="auto"/>
          <w:highlight w:val="none"/>
        </w:rPr>
        <w:t>。竣工结算款支付申请（核准）表见合同附件12。</w:t>
      </w:r>
    </w:p>
    <w:p>
      <w:pPr>
        <w:pStyle w:val="2"/>
        <w:rPr>
          <w:color w:val="auto"/>
          <w:highlight w:val="none"/>
        </w:rPr>
      </w:pPr>
      <w:bookmarkStart w:id="412" w:name="_Toc373227760"/>
      <w:bookmarkStart w:id="413" w:name="_Toc407135263"/>
      <w:bookmarkStart w:id="414" w:name="_Toc34809963"/>
      <w:bookmarkStart w:id="415" w:name="_Toc389065325"/>
      <w:bookmarkStart w:id="416" w:name="_Toc373478407"/>
      <w:r>
        <w:rPr>
          <w:color w:val="auto"/>
          <w:highlight w:val="none"/>
        </w:rPr>
        <w:t xml:space="preserve">14.2 </w:t>
      </w:r>
      <w:r>
        <w:rPr>
          <w:rFonts w:hint="eastAsia" w:hAnsi="宋体" w:cs="黑体"/>
          <w:color w:val="auto"/>
          <w:highlight w:val="none"/>
        </w:rPr>
        <w:t>竣工结算审核</w:t>
      </w:r>
      <w:bookmarkEnd w:id="412"/>
      <w:bookmarkEnd w:id="413"/>
      <w:bookmarkEnd w:id="414"/>
      <w:bookmarkEnd w:id="415"/>
      <w:bookmarkEnd w:id="416"/>
    </w:p>
    <w:p>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rPr>
                <w:color w:val="auto"/>
                <w:highlight w:val="none"/>
              </w:rPr>
            </w:pPr>
          </w:p>
        </w:tc>
        <w:tc>
          <w:tcPr>
            <w:tcW w:w="2466" w:type="dxa"/>
            <w:noWrap w:val="0"/>
            <w:vAlign w:val="center"/>
          </w:tcPr>
          <w:p>
            <w:pPr>
              <w:spacing w:line="360" w:lineRule="auto"/>
              <w:ind w:firstLine="27" w:firstLineChars="13"/>
              <w:jc w:val="center"/>
              <w:rPr>
                <w:color w:val="auto"/>
                <w:highlight w:val="none"/>
              </w:rPr>
            </w:pPr>
            <w:r>
              <w:rPr>
                <w:rFonts w:hint="eastAsia" w:hAnsi="宋体" w:cs="宋体"/>
                <w:color w:val="auto"/>
                <w:highlight w:val="none"/>
              </w:rPr>
              <w:t>工程竣工结算报告金额</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color w:val="auto"/>
                <w:highlight w:val="none"/>
              </w:rPr>
              <w:t>1</w:t>
            </w:r>
          </w:p>
        </w:tc>
        <w:tc>
          <w:tcPr>
            <w:tcW w:w="2466" w:type="dxa"/>
            <w:noWrap w:val="0"/>
            <w:vAlign w:val="center"/>
          </w:tcPr>
          <w:p>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color w:val="auto"/>
                <w:highlight w:val="none"/>
              </w:rPr>
              <w:t>2</w:t>
            </w:r>
          </w:p>
        </w:tc>
        <w:tc>
          <w:tcPr>
            <w:tcW w:w="2466" w:type="dxa"/>
            <w:noWrap w:val="0"/>
            <w:vAlign w:val="center"/>
          </w:tcPr>
          <w:p>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color w:val="auto"/>
                <w:highlight w:val="none"/>
              </w:rPr>
              <w:t>3</w:t>
            </w:r>
          </w:p>
        </w:tc>
        <w:tc>
          <w:tcPr>
            <w:tcW w:w="2466" w:type="dxa"/>
            <w:noWrap w:val="0"/>
            <w:vAlign w:val="center"/>
          </w:tcPr>
          <w:p>
            <w:pPr>
              <w:spacing w:line="360" w:lineRule="auto"/>
              <w:ind w:firstLine="27" w:firstLineChars="13"/>
              <w:jc w:val="center"/>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color w:val="auto"/>
                <w:highlight w:val="none"/>
              </w:rPr>
              <w:t>4</w:t>
            </w:r>
          </w:p>
        </w:tc>
        <w:tc>
          <w:tcPr>
            <w:tcW w:w="2466" w:type="dxa"/>
            <w:noWrap w:val="0"/>
            <w:vAlign w:val="center"/>
          </w:tcPr>
          <w:p>
            <w:pPr>
              <w:spacing w:line="360" w:lineRule="auto"/>
              <w:ind w:firstLine="27" w:firstLineChars="13"/>
              <w:jc w:val="center"/>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rFonts w:hint="eastAsia"/>
                <w:color w:val="auto"/>
                <w:highlight w:val="none"/>
              </w:rPr>
              <w:t>5</w:t>
            </w:r>
          </w:p>
        </w:tc>
        <w:tc>
          <w:tcPr>
            <w:tcW w:w="2466" w:type="dxa"/>
            <w:noWrap w:val="0"/>
            <w:vAlign w:val="center"/>
          </w:tcPr>
          <w:p>
            <w:pPr>
              <w:spacing w:line="360" w:lineRule="auto"/>
              <w:ind w:firstLine="27" w:firstLineChars="13"/>
              <w:jc w:val="center"/>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pPr>
              <w:spacing w:line="360" w:lineRule="auto"/>
              <w:ind w:firstLine="441" w:firstLineChars="210"/>
              <w:jc w:val="center"/>
              <w:rPr>
                <w:rFonts w:hint="eastAsia" w:hAnsi="宋体" w:cs="宋体"/>
                <w:color w:val="auto"/>
                <w:highlight w:val="none"/>
              </w:rPr>
            </w:pPr>
            <w:r>
              <w:rPr>
                <w:rFonts w:hint="eastAsia" w:hAnsi="宋体" w:cs="宋体"/>
                <w:color w:val="auto"/>
                <w:highlight w:val="none"/>
              </w:rPr>
              <w:t>增加10天</w:t>
            </w:r>
          </w:p>
        </w:tc>
      </w:tr>
    </w:tbl>
    <w:p>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spacing w:line="400" w:lineRule="exact"/>
        <w:ind w:firstLine="411" w:firstLineChars="196"/>
        <w:rPr>
          <w:rFonts w:hAnsi="宋体"/>
          <w:color w:val="auto"/>
          <w:highlight w:val="none"/>
        </w:rPr>
      </w:pPr>
      <w:r>
        <w:rPr>
          <w:rFonts w:hint="eastAsia" w:hAnsi="宋体" w:cs="宋体"/>
          <w:color w:val="auto"/>
          <w:highlight w:val="none"/>
        </w:rPr>
        <w:t>竣工结算审核约定：</w:t>
      </w:r>
    </w:p>
    <w:p>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30</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hAnsi="宋体"/>
          <w:color w:val="auto"/>
          <w:highlight w:val="none"/>
          <w:u w:val="single"/>
        </w:rPr>
        <w:t>30</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30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Ansi="宋体"/>
          <w:color w:val="auto"/>
          <w:highlight w:val="none"/>
          <w:u w:val="single"/>
        </w:rPr>
        <w:t>28</w:t>
      </w:r>
      <w:r>
        <w:rPr>
          <w:rFonts w:hint="eastAsia" w:hAnsi="宋体" w:cs="宋体"/>
          <w:color w:val="auto"/>
          <w:highlight w:val="none"/>
          <w:u w:val="single"/>
        </w:rPr>
        <w:t>天内，发包人按审定后的竣工结算价款，通知经办银行向承包人支付结算价款。</w:t>
      </w:r>
    </w:p>
    <w:p>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pPr>
        <w:pStyle w:val="2"/>
        <w:rPr>
          <w:color w:val="auto"/>
          <w:highlight w:val="none"/>
        </w:rPr>
      </w:pPr>
      <w:bookmarkStart w:id="417" w:name="_Toc389065326"/>
      <w:bookmarkStart w:id="418" w:name="_Toc373227761"/>
      <w:bookmarkStart w:id="419" w:name="_Toc407135264"/>
      <w:bookmarkStart w:id="420" w:name="_Toc34809964"/>
      <w:bookmarkStart w:id="421" w:name="_Toc373478408"/>
      <w:r>
        <w:rPr>
          <w:color w:val="auto"/>
          <w:highlight w:val="none"/>
        </w:rPr>
        <w:t xml:space="preserve">14.4 </w:t>
      </w:r>
      <w:r>
        <w:rPr>
          <w:rFonts w:hint="eastAsia" w:hAnsi="宋体" w:cs="黑体"/>
          <w:color w:val="auto"/>
          <w:highlight w:val="none"/>
        </w:rPr>
        <w:t>最终结清</w:t>
      </w:r>
      <w:bookmarkEnd w:id="417"/>
      <w:bookmarkEnd w:id="418"/>
      <w:bookmarkEnd w:id="419"/>
      <w:bookmarkEnd w:id="420"/>
      <w:bookmarkEnd w:id="421"/>
    </w:p>
    <w:p>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color w:val="auto"/>
          <w:highlight w:val="none"/>
          <w:u w:val="single"/>
        </w:rPr>
        <w:t xml:space="preserve">  </w:t>
      </w:r>
      <w:r>
        <w:rPr>
          <w:rFonts w:hint="eastAsia" w:ascii="宋体" w:hAnsi="宋体"/>
          <w:color w:val="auto"/>
          <w:kern w:val="0"/>
          <w:highlight w:val="none"/>
          <w:u w:val="single"/>
        </w:rPr>
        <w:t>最终结清申请单须符合工程所在地相关文件规定，提交份数按发包人工程款支付管理规定执行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ascii="宋体" w:hAnsi="宋体"/>
          <w:color w:val="auto"/>
          <w:highlight w:val="none"/>
          <w:u w:val="single"/>
        </w:rPr>
        <w:t>保修期满后</w:t>
      </w:r>
      <w:r>
        <w:rPr>
          <w:rFonts w:ascii="宋体" w:hAnsi="宋体"/>
          <w:color w:val="auto"/>
          <w:highlight w:val="none"/>
          <w:u w:val="single"/>
        </w:rPr>
        <w:t>7</w:t>
      </w:r>
      <w:r>
        <w:rPr>
          <w:rFonts w:hint="eastAsia" w:ascii="宋体" w:hAnsi="宋体"/>
          <w:color w:val="auto"/>
          <w:highlight w:val="none"/>
          <w:u w:val="single"/>
        </w:rPr>
        <w:t>天内</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最终结算款支付申请（核准）表见合同附件13。</w:t>
      </w:r>
    </w:p>
    <w:p>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ascii="宋体" w:hAnsi="宋体"/>
          <w:color w:val="auto"/>
          <w:highlight w:val="none"/>
          <w:u w:val="single"/>
        </w:rPr>
        <w:t>收到最终结清申请单后</w:t>
      </w:r>
      <w:r>
        <w:rPr>
          <w:rFonts w:ascii="宋体" w:hAnsi="宋体"/>
          <w:color w:val="auto"/>
          <w:highlight w:val="none"/>
          <w:u w:val="single"/>
        </w:rPr>
        <w:t>30</w:t>
      </w:r>
      <w:r>
        <w:rPr>
          <w:rFonts w:hint="eastAsia" w:ascii="宋体" w:hAnsi="宋体"/>
          <w:color w:val="auto"/>
          <w:highlight w:val="none"/>
          <w:u w:val="single"/>
        </w:rPr>
        <w:t>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color w:val="auto"/>
          <w:highlight w:val="none"/>
          <w:u w:val="single"/>
        </w:rPr>
        <w:t xml:space="preserve"> </w:t>
      </w:r>
      <w:r>
        <w:rPr>
          <w:rFonts w:hint="eastAsia" w:ascii="宋体" w:hAnsi="宋体"/>
          <w:color w:val="auto"/>
          <w:highlight w:val="none"/>
          <w:u w:val="single"/>
        </w:rPr>
        <w:t>发包人签发颁发最终结清证书后</w:t>
      </w:r>
      <w:r>
        <w:rPr>
          <w:rFonts w:ascii="宋体" w:hAnsi="宋体"/>
          <w:color w:val="auto"/>
          <w:highlight w:val="none"/>
          <w:u w:val="single"/>
        </w:rPr>
        <w:t>28</w:t>
      </w:r>
      <w:r>
        <w:rPr>
          <w:rFonts w:hint="eastAsia" w:ascii="宋体" w:hAnsi="宋体"/>
          <w:color w:val="auto"/>
          <w:highlight w:val="none"/>
          <w:u w:val="single"/>
        </w:rPr>
        <w:t>天内</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422" w:name="_Toc389065327"/>
      <w:bookmarkStart w:id="423" w:name="_Toc373227762"/>
      <w:bookmarkStart w:id="424" w:name="_Toc373478409"/>
      <w:bookmarkStart w:id="425" w:name="_Toc407135265"/>
      <w:bookmarkStart w:id="426" w:name="_Toc34809965"/>
      <w:r>
        <w:rPr>
          <w:color w:val="auto"/>
          <w:highlight w:val="none"/>
        </w:rPr>
        <w:t xml:space="preserve">15. </w:t>
      </w:r>
      <w:r>
        <w:rPr>
          <w:rFonts w:hint="eastAsia" w:cs="黑体"/>
          <w:color w:val="auto"/>
          <w:highlight w:val="none"/>
        </w:rPr>
        <w:t>缺陷责任期与保修</w:t>
      </w:r>
      <w:bookmarkEnd w:id="422"/>
      <w:bookmarkEnd w:id="423"/>
      <w:bookmarkEnd w:id="424"/>
      <w:bookmarkEnd w:id="425"/>
      <w:bookmarkEnd w:id="426"/>
    </w:p>
    <w:p>
      <w:pPr>
        <w:pStyle w:val="2"/>
        <w:rPr>
          <w:color w:val="auto"/>
          <w:highlight w:val="none"/>
        </w:rPr>
      </w:pPr>
      <w:bookmarkStart w:id="427" w:name="_Toc407135266"/>
      <w:bookmarkStart w:id="428" w:name="_Toc373478410"/>
      <w:bookmarkStart w:id="429" w:name="_Toc34809966"/>
      <w:bookmarkStart w:id="430" w:name="_Toc373227763"/>
      <w:bookmarkStart w:id="431" w:name="_Toc389065328"/>
      <w:r>
        <w:rPr>
          <w:color w:val="auto"/>
          <w:highlight w:val="none"/>
        </w:rPr>
        <w:t xml:space="preserve">15.2 </w:t>
      </w:r>
      <w:r>
        <w:rPr>
          <w:rFonts w:hint="eastAsia" w:hAnsi="宋体" w:cs="黑体"/>
          <w:color w:val="auto"/>
          <w:highlight w:val="none"/>
        </w:rPr>
        <w:t>缺陷责任期</w:t>
      </w:r>
      <w:bookmarkEnd w:id="427"/>
      <w:bookmarkEnd w:id="428"/>
      <w:bookmarkEnd w:id="429"/>
      <w:bookmarkEnd w:id="430"/>
      <w:bookmarkEnd w:id="431"/>
    </w:p>
    <w:p>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color w:val="auto"/>
          <w:highlight w:val="none"/>
          <w:u w:val="single"/>
        </w:rPr>
        <w:t xml:space="preserve">   </w:t>
      </w:r>
      <w:r>
        <w:rPr>
          <w:rFonts w:hint="eastAsia" w:ascii="宋体" w:hAnsi="宋体" w:cs="宋体"/>
          <w:color w:val="auto"/>
          <w:highlight w:val="none"/>
          <w:u w:val="single"/>
        </w:rPr>
        <w:t>自竣工验收合格之日起</w:t>
      </w:r>
      <w:r>
        <w:rPr>
          <w:rFonts w:ascii="宋体" w:hAnsi="宋体" w:cs="宋体"/>
          <w:color w:val="auto"/>
          <w:highlight w:val="none"/>
          <w:u w:val="single"/>
        </w:rPr>
        <w:t>24</w:t>
      </w:r>
      <w:r>
        <w:rPr>
          <w:rFonts w:hint="eastAsia" w:ascii="宋体" w:hAnsi="宋体" w:cs="宋体"/>
          <w:color w:val="auto"/>
          <w:highlight w:val="none"/>
          <w:u w:val="single"/>
        </w:rPr>
        <w:t>个月</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432" w:name="_Toc34809967"/>
      <w:bookmarkStart w:id="433" w:name="_Toc373227764"/>
      <w:bookmarkStart w:id="434" w:name="_Toc373478411"/>
      <w:bookmarkStart w:id="435" w:name="_Toc389065329"/>
      <w:bookmarkStart w:id="436" w:name="_Toc407135267"/>
      <w:r>
        <w:rPr>
          <w:color w:val="auto"/>
          <w:highlight w:val="none"/>
        </w:rPr>
        <w:t xml:space="preserve">15.3 </w:t>
      </w:r>
      <w:r>
        <w:rPr>
          <w:rFonts w:hint="eastAsia" w:hAnsi="宋体" w:cs="黑体"/>
          <w:color w:val="auto"/>
          <w:highlight w:val="none"/>
        </w:rPr>
        <w:t>质量保证金</w:t>
      </w:r>
      <w:bookmarkEnd w:id="432"/>
      <w:bookmarkEnd w:id="433"/>
      <w:bookmarkEnd w:id="434"/>
      <w:bookmarkEnd w:id="435"/>
      <w:bookmarkEnd w:id="436"/>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pPr>
        <w:spacing w:line="360" w:lineRule="auto"/>
        <w:ind w:firstLine="420" w:firstLineChars="200"/>
        <w:jc w:val="left"/>
        <w:outlineLvl w:val="0"/>
        <w:rPr>
          <w:color w:val="auto"/>
          <w:highlight w:val="none"/>
        </w:rPr>
      </w:pPr>
      <w:r>
        <w:rPr>
          <w:color w:val="auto"/>
          <w:highlight w:val="none"/>
        </w:rPr>
        <w:t xml:space="preserve">15.3.1 </w:t>
      </w:r>
      <w:r>
        <w:rPr>
          <w:rFonts w:hint="eastAsia" w:hAnsi="宋体" w:cs="宋体"/>
          <w:color w:val="auto"/>
          <w:highlight w:val="none"/>
        </w:rPr>
        <w:t>承包人提供质量保证金的方式</w:t>
      </w:r>
    </w:p>
    <w:p>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）质量保证金保函，保证金额为：</w:t>
      </w:r>
      <w:r>
        <w:rPr>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15.3.2 </w:t>
      </w:r>
      <w:r>
        <w:rPr>
          <w:rFonts w:hint="eastAsia" w:hAnsi="宋体" w:cs="宋体"/>
          <w:color w:val="auto"/>
          <w:highlight w:val="none"/>
        </w:rPr>
        <w:t>质量保证金的扣留</w:t>
      </w:r>
    </w:p>
    <w:p>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hAnsi="宋体" w:cs="宋体"/>
          <w:color w:val="auto"/>
          <w:kern w:val="0"/>
          <w:highlight w:val="none"/>
        </w:rPr>
        <w:t>。</w:t>
      </w:r>
    </w:p>
    <w:p>
      <w:pPr>
        <w:pStyle w:val="2"/>
        <w:rPr>
          <w:color w:val="auto"/>
          <w:highlight w:val="none"/>
        </w:rPr>
      </w:pPr>
      <w:bookmarkStart w:id="437" w:name="_Toc373478412"/>
      <w:bookmarkStart w:id="438" w:name="_Toc389065330"/>
      <w:bookmarkStart w:id="439" w:name="_Toc373227765"/>
      <w:bookmarkStart w:id="440" w:name="_Toc34809968"/>
      <w:bookmarkStart w:id="441" w:name="_Toc407135268"/>
      <w:r>
        <w:rPr>
          <w:color w:val="auto"/>
          <w:highlight w:val="none"/>
        </w:rPr>
        <w:t xml:space="preserve">15.4 </w:t>
      </w:r>
      <w:r>
        <w:rPr>
          <w:rFonts w:hint="eastAsia" w:hAnsi="宋体" w:cs="黑体"/>
          <w:color w:val="auto"/>
          <w:highlight w:val="none"/>
        </w:rPr>
        <w:t>保修</w:t>
      </w:r>
      <w:bookmarkEnd w:id="437"/>
      <w:bookmarkEnd w:id="438"/>
      <w:bookmarkEnd w:id="439"/>
      <w:bookmarkEnd w:id="440"/>
      <w:bookmarkEnd w:id="441"/>
    </w:p>
    <w:p>
      <w:pPr>
        <w:spacing w:line="360" w:lineRule="auto"/>
        <w:ind w:firstLine="409" w:firstLineChars="195"/>
        <w:jc w:val="left"/>
        <w:outlineLvl w:val="0"/>
        <w:rPr>
          <w:color w:val="auto"/>
          <w:highlight w:val="none"/>
        </w:rPr>
      </w:pPr>
      <w:r>
        <w:rPr>
          <w:color w:val="auto"/>
          <w:highlight w:val="none"/>
        </w:rPr>
        <w:t xml:space="preserve">15.4.1 </w:t>
      </w:r>
      <w:r>
        <w:rPr>
          <w:rFonts w:hint="eastAsia" w:hAnsi="宋体" w:cs="宋体"/>
          <w:color w:val="auto"/>
          <w:highlight w:val="none"/>
        </w:rPr>
        <w:t>保修责任</w:t>
      </w:r>
    </w:p>
    <w:p>
      <w:pPr>
        <w:spacing w:line="360" w:lineRule="auto"/>
        <w:ind w:firstLine="409" w:firstLineChars="195"/>
        <w:jc w:val="left"/>
        <w:rPr>
          <w:rFonts w:hAnsi="宋体"/>
          <w:color w:val="auto"/>
          <w:kern w:val="0"/>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ascii="宋体" w:hAnsi="宋体"/>
          <w:color w:val="auto"/>
          <w:kern w:val="0"/>
          <w:highlight w:val="none"/>
          <w:u w:val="single"/>
        </w:rPr>
        <w:t>见附件：工程质量保修书</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工程保修书具体内容见合同附件2。</w:t>
      </w:r>
    </w:p>
    <w:p>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ascii="宋体" w:hAnsi="宋体"/>
          <w:color w:val="auto"/>
          <w:kern w:val="0"/>
          <w:highlight w:val="none"/>
          <w:u w:val="single"/>
        </w:rPr>
        <w:t>48</w:t>
      </w:r>
      <w:r>
        <w:rPr>
          <w:rFonts w:hint="eastAsia" w:ascii="宋体" w:hAnsi="宋体"/>
          <w:color w:val="auto"/>
          <w:kern w:val="0"/>
          <w:highlight w:val="none"/>
          <w:u w:val="single"/>
        </w:rPr>
        <w:t>小时内</w:t>
      </w:r>
      <w:r>
        <w:rPr>
          <w:color w:val="auto"/>
          <w:kern w:val="0"/>
          <w:highlight w:val="none"/>
          <w:u w:val="single"/>
        </w:rPr>
        <w:t xml:space="preserve"> </w:t>
      </w:r>
      <w:r>
        <w:rPr>
          <w:rFonts w:hint="eastAsia" w:hAnsi="宋体" w:cs="宋体"/>
          <w:color w:val="auto"/>
          <w:kern w:val="0"/>
          <w:highlight w:val="none"/>
        </w:rPr>
        <w:t>。</w:t>
      </w:r>
    </w:p>
    <w:p>
      <w:pPr>
        <w:pStyle w:val="4"/>
        <w:rPr>
          <w:color w:val="auto"/>
          <w:highlight w:val="none"/>
        </w:rPr>
      </w:pPr>
      <w:bookmarkStart w:id="442" w:name="_Toc389065331"/>
      <w:bookmarkStart w:id="443" w:name="_Toc407135269"/>
      <w:bookmarkStart w:id="444" w:name="_Toc373478413"/>
      <w:bookmarkStart w:id="445" w:name="_Toc373227766"/>
      <w:bookmarkStart w:id="446" w:name="_Toc34809969"/>
      <w:r>
        <w:rPr>
          <w:color w:val="auto"/>
          <w:highlight w:val="none"/>
        </w:rPr>
        <w:t xml:space="preserve">16. </w:t>
      </w:r>
      <w:r>
        <w:rPr>
          <w:rFonts w:hint="eastAsia" w:hAnsi="宋体" w:cs="黑体"/>
          <w:color w:val="auto"/>
          <w:highlight w:val="none"/>
        </w:rPr>
        <w:t>违约</w:t>
      </w:r>
      <w:bookmarkEnd w:id="442"/>
      <w:bookmarkEnd w:id="443"/>
      <w:bookmarkEnd w:id="444"/>
      <w:bookmarkEnd w:id="445"/>
      <w:bookmarkEnd w:id="446"/>
    </w:p>
    <w:p>
      <w:pPr>
        <w:pStyle w:val="2"/>
        <w:rPr>
          <w:color w:val="auto"/>
          <w:highlight w:val="none"/>
        </w:rPr>
      </w:pPr>
      <w:bookmarkStart w:id="447" w:name="_Toc373227767"/>
      <w:bookmarkStart w:id="448" w:name="_Toc373478414"/>
      <w:bookmarkStart w:id="449" w:name="_Toc407135270"/>
      <w:bookmarkStart w:id="450" w:name="_Toc389065332"/>
      <w:bookmarkStart w:id="451" w:name="_Toc34809970"/>
      <w:r>
        <w:rPr>
          <w:color w:val="auto"/>
          <w:highlight w:val="none"/>
        </w:rPr>
        <w:t xml:space="preserve">16.1 </w:t>
      </w:r>
      <w:r>
        <w:rPr>
          <w:rFonts w:hint="eastAsia" w:hAnsi="宋体" w:cs="黑体"/>
          <w:color w:val="auto"/>
          <w:highlight w:val="none"/>
        </w:rPr>
        <w:t>发包人违约</w:t>
      </w:r>
      <w:bookmarkEnd w:id="447"/>
      <w:bookmarkEnd w:id="448"/>
      <w:bookmarkEnd w:id="449"/>
      <w:bookmarkEnd w:id="450"/>
      <w:bookmarkEnd w:id="451"/>
    </w:p>
    <w:p>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16.1.1</w:t>
      </w:r>
      <w:r>
        <w:rPr>
          <w:rFonts w:hint="eastAsia" w:ascii="宋体" w:hAnsi="宋体"/>
          <w:color w:val="auto"/>
          <w:highlight w:val="none"/>
          <w:u w:val="single"/>
        </w:rPr>
        <w:t>条执行</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0"/>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ascii="宋体" w:hAnsi="宋体"/>
          <w:color w:val="auto"/>
          <w:highlight w:val="none"/>
          <w:u w:val="single"/>
        </w:rPr>
        <w:t>承包人可以顺延工程日期</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ascii="宋体" w:hAnsi="宋体" w:cs="宋体"/>
          <w:color w:val="auto"/>
          <w:highlight w:val="none"/>
          <w:u w:val="single"/>
        </w:rPr>
        <w:t>/</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ascii="宋体" w:hAnsi="宋体"/>
          <w:color w:val="auto"/>
          <w:kern w:val="0"/>
          <w:highlight w:val="none"/>
          <w:u w:val="single"/>
        </w:rPr>
        <w:t>发包人按变更工程造价的5</w:t>
      </w:r>
      <w:r>
        <w:rPr>
          <w:rFonts w:ascii="宋体" w:hAnsi="宋体"/>
          <w:color w:val="auto"/>
          <w:kern w:val="0"/>
          <w:highlight w:val="none"/>
          <w:u w:val="single"/>
        </w:rPr>
        <w:t>%</w:t>
      </w:r>
      <w:r>
        <w:rPr>
          <w:rFonts w:hint="eastAsia" w:ascii="宋体" w:hAnsi="宋体"/>
          <w:color w:val="auto"/>
          <w:kern w:val="0"/>
          <w:highlight w:val="none"/>
          <w:u w:val="single"/>
        </w:rPr>
        <w:t>赔偿承包人的经济损失，发包人自行实施的工作或转由他人实施的工作不符合国家合格质量标准的，由发包人承担因此造成的经济损失</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ascii="宋体" w:hAnsi="宋体"/>
          <w:color w:val="auto"/>
          <w:highlight w:val="none"/>
          <w:u w:val="single"/>
        </w:rPr>
        <w:t>承包人可以顺延工程日期，并有权要求赔偿停工、窝工等损失</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ascii="宋体" w:hAnsi="宋体"/>
          <w:color w:val="auto"/>
          <w:highlight w:val="none"/>
          <w:u w:val="single"/>
        </w:rPr>
        <w:t>承包人可以顺延工程日期，并有权要求赔偿停工、窝工等损失</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ascii="宋体" w:hAnsi="宋体"/>
          <w:color w:val="auto"/>
          <w:highlight w:val="none"/>
          <w:u w:val="single"/>
        </w:rPr>
        <w:t>承包人可以顺延工程日期</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ascii="宋体" w:hAnsi="宋体"/>
          <w:color w:val="auto"/>
          <w:kern w:val="0"/>
          <w:highlight w:val="none"/>
          <w:u w:val="single"/>
        </w:rPr>
        <w:t>按《通用合同条款》执行</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90  </w:t>
      </w:r>
      <w:r>
        <w:rPr>
          <w:rFonts w:hint="eastAsia" w:hAnsi="宋体" w:cs="宋体"/>
          <w:color w:val="auto"/>
          <w:kern w:val="0"/>
          <w:highlight w:val="none"/>
        </w:rPr>
        <w:t>天后发包人仍不纠正其违约行为并致使合同目的不能实现的，承包人有权解除合同。</w:t>
      </w:r>
    </w:p>
    <w:p>
      <w:pPr>
        <w:pStyle w:val="2"/>
        <w:rPr>
          <w:color w:val="auto"/>
          <w:highlight w:val="none"/>
        </w:rPr>
      </w:pPr>
      <w:bookmarkStart w:id="452" w:name="_Toc389065333"/>
      <w:bookmarkStart w:id="453" w:name="_Toc373227768"/>
      <w:bookmarkStart w:id="454" w:name="_Toc34809971"/>
      <w:bookmarkStart w:id="455" w:name="_Toc407135271"/>
      <w:bookmarkStart w:id="456" w:name="_Toc373478415"/>
      <w:r>
        <w:rPr>
          <w:color w:val="auto"/>
          <w:highlight w:val="none"/>
        </w:rPr>
        <w:t xml:space="preserve">16.2 </w:t>
      </w:r>
      <w:r>
        <w:rPr>
          <w:rFonts w:hint="eastAsia" w:hAnsi="宋体" w:cs="黑体"/>
          <w:color w:val="auto"/>
          <w:highlight w:val="none"/>
        </w:rPr>
        <w:t>承包人违约</w:t>
      </w:r>
      <w:bookmarkEnd w:id="452"/>
      <w:bookmarkEnd w:id="453"/>
      <w:bookmarkEnd w:id="454"/>
      <w:bookmarkEnd w:id="455"/>
      <w:bookmarkEnd w:id="456"/>
    </w:p>
    <w:p>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ascii="宋体" w:hAnsi="宋体"/>
          <w:color w:val="auto"/>
          <w:kern w:val="0"/>
          <w:highlight w:val="none"/>
          <w:u w:val="single"/>
        </w:rPr>
        <w:t>按《通用合同条款》</w:t>
      </w:r>
      <w:r>
        <w:rPr>
          <w:rFonts w:ascii="宋体" w:hAnsi="宋体"/>
          <w:color w:val="auto"/>
          <w:kern w:val="0"/>
          <w:highlight w:val="none"/>
          <w:u w:val="single"/>
        </w:rPr>
        <w:t>16.2.1</w:t>
      </w:r>
      <w:r>
        <w:rPr>
          <w:rFonts w:hint="eastAsia" w:ascii="宋体" w:hAnsi="宋体"/>
          <w:color w:val="auto"/>
          <w:kern w:val="0"/>
          <w:highlight w:val="none"/>
          <w:u w:val="single"/>
        </w:rPr>
        <w:t>条执行</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0"/>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pPr>
        <w:spacing w:line="360" w:lineRule="auto"/>
        <w:ind w:firstLine="420" w:firstLineChars="200"/>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pPr>
        <w:spacing w:line="360" w:lineRule="auto"/>
        <w:ind w:firstLine="420" w:firstLineChars="200"/>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ascii="宋体" w:hAnsi="宋体"/>
          <w:color w:val="auto"/>
          <w:kern w:val="0"/>
          <w:highlight w:val="none"/>
          <w:u w:val="single"/>
        </w:rPr>
        <w:t>由承包人承担相应费用</w:t>
      </w:r>
      <w:r>
        <w:rPr>
          <w:color w:val="auto"/>
          <w:kern w:val="0"/>
          <w:highlight w:val="none"/>
          <w:u w:val="single"/>
        </w:rPr>
        <w:t xml:space="preserve">     </w:t>
      </w:r>
      <w:r>
        <w:rPr>
          <w:rFonts w:hint="eastAsia" w:hAnsi="宋体" w:cs="宋体"/>
          <w:color w:val="auto"/>
          <w:kern w:val="0"/>
          <w:highlight w:val="none"/>
        </w:rPr>
        <w:t>。</w:t>
      </w:r>
    </w:p>
    <w:p>
      <w:pPr>
        <w:pStyle w:val="4"/>
        <w:rPr>
          <w:color w:val="auto"/>
          <w:highlight w:val="none"/>
        </w:rPr>
      </w:pPr>
      <w:bookmarkStart w:id="457" w:name="_Toc407135272"/>
      <w:bookmarkStart w:id="458" w:name="_Toc373478416"/>
      <w:bookmarkStart w:id="459" w:name="_Toc34809972"/>
      <w:bookmarkStart w:id="460" w:name="_Toc389065334"/>
      <w:bookmarkStart w:id="461" w:name="_Toc373227769"/>
      <w:r>
        <w:rPr>
          <w:color w:val="auto"/>
          <w:highlight w:val="none"/>
        </w:rPr>
        <w:t xml:space="preserve">17. </w:t>
      </w:r>
      <w:r>
        <w:rPr>
          <w:rFonts w:hint="eastAsia" w:hAnsi="宋体" w:cs="黑体"/>
          <w:color w:val="auto"/>
          <w:highlight w:val="none"/>
        </w:rPr>
        <w:t>不可抗力</w:t>
      </w:r>
      <w:bookmarkEnd w:id="457"/>
      <w:bookmarkEnd w:id="458"/>
      <w:bookmarkEnd w:id="459"/>
      <w:bookmarkEnd w:id="460"/>
      <w:bookmarkEnd w:id="461"/>
      <w:r>
        <w:rPr>
          <w:color w:val="auto"/>
          <w:highlight w:val="none"/>
        </w:rPr>
        <w:t xml:space="preserve"> </w:t>
      </w:r>
    </w:p>
    <w:p>
      <w:pPr>
        <w:pStyle w:val="2"/>
        <w:rPr>
          <w:color w:val="auto"/>
          <w:highlight w:val="none"/>
        </w:rPr>
      </w:pPr>
      <w:bookmarkStart w:id="462" w:name="_Toc389065335"/>
      <w:bookmarkStart w:id="463" w:name="_Toc373227770"/>
      <w:bookmarkStart w:id="464" w:name="_Toc373478417"/>
      <w:bookmarkStart w:id="465" w:name="_Toc407135273"/>
      <w:bookmarkStart w:id="466" w:name="_Toc34809973"/>
      <w:r>
        <w:rPr>
          <w:color w:val="auto"/>
          <w:highlight w:val="none"/>
        </w:rPr>
        <w:t xml:space="preserve">17.1 </w:t>
      </w:r>
      <w:r>
        <w:rPr>
          <w:rFonts w:hint="eastAsia" w:cs="黑体"/>
          <w:color w:val="auto"/>
          <w:highlight w:val="none"/>
        </w:rPr>
        <w:t>不可抗力的确认</w:t>
      </w:r>
      <w:bookmarkEnd w:id="462"/>
      <w:bookmarkEnd w:id="463"/>
      <w:bookmarkEnd w:id="464"/>
      <w:bookmarkEnd w:id="465"/>
      <w:bookmarkEnd w:id="466"/>
    </w:p>
    <w:p>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ascii="宋体" w:hAnsi="宋体"/>
          <w:color w:val="auto"/>
          <w:kern w:val="0"/>
          <w:highlight w:val="none"/>
          <w:u w:val="single"/>
        </w:rPr>
        <w:t>按《通用合同条款》</w:t>
      </w:r>
      <w:r>
        <w:rPr>
          <w:rFonts w:ascii="宋体" w:hAnsi="宋体"/>
          <w:color w:val="auto"/>
          <w:kern w:val="0"/>
          <w:highlight w:val="none"/>
          <w:u w:val="single"/>
        </w:rPr>
        <w:t>17.1</w:t>
      </w:r>
      <w:r>
        <w:rPr>
          <w:rFonts w:hint="eastAsia" w:ascii="宋体" w:hAnsi="宋体"/>
          <w:color w:val="auto"/>
          <w:kern w:val="0"/>
          <w:highlight w:val="none"/>
          <w:u w:val="single"/>
        </w:rPr>
        <w:t>条执行</w:t>
      </w:r>
      <w:r>
        <w:rPr>
          <w:color w:val="auto"/>
          <w:kern w:val="0"/>
          <w:highlight w:val="none"/>
          <w:u w:val="single"/>
        </w:rPr>
        <w:t xml:space="preserve"> </w:t>
      </w:r>
      <w:r>
        <w:rPr>
          <w:rFonts w:hint="eastAsia" w:hAnsi="宋体" w:cs="宋体"/>
          <w:color w:val="auto"/>
          <w:kern w:val="0"/>
          <w:highlight w:val="none"/>
        </w:rPr>
        <w:t>。</w:t>
      </w:r>
    </w:p>
    <w:p>
      <w:pPr>
        <w:pStyle w:val="2"/>
        <w:rPr>
          <w:color w:val="auto"/>
          <w:highlight w:val="none"/>
        </w:rPr>
      </w:pPr>
      <w:bookmarkStart w:id="467" w:name="_Toc389065336"/>
      <w:bookmarkStart w:id="468" w:name="_Toc373227771"/>
      <w:bookmarkStart w:id="469" w:name="_Toc34809974"/>
      <w:bookmarkStart w:id="470" w:name="_Toc407135274"/>
      <w:bookmarkStart w:id="471" w:name="_Toc373478418"/>
      <w:r>
        <w:rPr>
          <w:color w:val="auto"/>
          <w:highlight w:val="none"/>
        </w:rPr>
        <w:t xml:space="preserve">17.4 </w:t>
      </w:r>
      <w:r>
        <w:rPr>
          <w:rFonts w:hint="eastAsia" w:cs="黑体"/>
          <w:color w:val="auto"/>
          <w:highlight w:val="none"/>
        </w:rPr>
        <w:t>因不可抗力解除合同</w:t>
      </w:r>
      <w:bookmarkEnd w:id="467"/>
      <w:bookmarkEnd w:id="468"/>
      <w:bookmarkEnd w:id="469"/>
      <w:bookmarkEnd w:id="470"/>
      <w:bookmarkEnd w:id="471"/>
    </w:p>
    <w:p>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28  </w:t>
      </w:r>
      <w:r>
        <w:rPr>
          <w:rFonts w:hint="eastAsia" w:hAnsi="宋体" w:cs="宋体"/>
          <w:color w:val="auto"/>
          <w:highlight w:val="none"/>
        </w:rPr>
        <w:t>天内完成款项的支付。</w:t>
      </w:r>
    </w:p>
    <w:p>
      <w:pPr>
        <w:pStyle w:val="4"/>
        <w:rPr>
          <w:color w:val="auto"/>
          <w:highlight w:val="none"/>
        </w:rPr>
      </w:pPr>
      <w:bookmarkStart w:id="472" w:name="_Toc373478419"/>
      <w:bookmarkStart w:id="473" w:name="_Toc407135275"/>
      <w:bookmarkStart w:id="474" w:name="_Toc373227772"/>
      <w:bookmarkStart w:id="475" w:name="_Toc389065337"/>
      <w:bookmarkStart w:id="476" w:name="_Toc34809975"/>
      <w:r>
        <w:rPr>
          <w:color w:val="auto"/>
          <w:highlight w:val="none"/>
        </w:rPr>
        <w:t xml:space="preserve">18. </w:t>
      </w:r>
      <w:r>
        <w:rPr>
          <w:rFonts w:hint="eastAsia" w:hAnsi="宋体" w:cs="黑体"/>
          <w:color w:val="auto"/>
          <w:highlight w:val="none"/>
        </w:rPr>
        <w:t>保险</w:t>
      </w:r>
      <w:bookmarkEnd w:id="472"/>
      <w:bookmarkEnd w:id="473"/>
      <w:bookmarkEnd w:id="474"/>
      <w:bookmarkEnd w:id="475"/>
      <w:bookmarkEnd w:id="476"/>
    </w:p>
    <w:p>
      <w:pPr>
        <w:pStyle w:val="2"/>
        <w:rPr>
          <w:color w:val="auto"/>
          <w:highlight w:val="none"/>
        </w:rPr>
      </w:pPr>
      <w:bookmarkStart w:id="477" w:name="_Toc373478420"/>
      <w:bookmarkStart w:id="478" w:name="_Toc407135276"/>
      <w:bookmarkStart w:id="479" w:name="_Toc373227773"/>
      <w:bookmarkStart w:id="480" w:name="_Toc34809976"/>
      <w:bookmarkStart w:id="481" w:name="_Toc389065338"/>
      <w:r>
        <w:rPr>
          <w:color w:val="auto"/>
          <w:highlight w:val="none"/>
        </w:rPr>
        <w:t xml:space="preserve">18.1 </w:t>
      </w:r>
      <w:r>
        <w:rPr>
          <w:rFonts w:hint="eastAsia" w:hAnsi="宋体" w:cs="黑体"/>
          <w:color w:val="auto"/>
          <w:highlight w:val="none"/>
        </w:rPr>
        <w:t>工程保险</w:t>
      </w:r>
      <w:bookmarkEnd w:id="477"/>
      <w:bookmarkEnd w:id="478"/>
      <w:bookmarkEnd w:id="479"/>
      <w:bookmarkEnd w:id="480"/>
      <w:bookmarkEnd w:id="481"/>
    </w:p>
    <w:p>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hint="eastAsia" w:ascii="宋体" w:hAnsi="宋体"/>
          <w:color w:val="auto"/>
          <w:kern w:val="0"/>
          <w:highlight w:val="none"/>
          <w:u w:val="single"/>
        </w:rPr>
        <w:t>由发包人投保建筑工程一切险或安装工程一切险并承担相应费用</w:t>
      </w:r>
      <w:r>
        <w:rPr>
          <w:color w:val="auto"/>
          <w:kern w:val="0"/>
          <w:highlight w:val="none"/>
          <w:u w:val="single"/>
        </w:rPr>
        <w:t xml:space="preserve"> </w:t>
      </w:r>
      <w:r>
        <w:rPr>
          <w:rFonts w:hint="eastAsia" w:hAnsi="宋体" w:cs="宋体"/>
          <w:color w:val="auto"/>
          <w:kern w:val="0"/>
          <w:highlight w:val="none"/>
        </w:rPr>
        <w:t>。</w:t>
      </w:r>
    </w:p>
    <w:p>
      <w:pPr>
        <w:pStyle w:val="2"/>
        <w:rPr>
          <w:color w:val="auto"/>
          <w:highlight w:val="none"/>
        </w:rPr>
      </w:pPr>
      <w:bookmarkStart w:id="482" w:name="_Toc407135277"/>
      <w:bookmarkStart w:id="483" w:name="_Toc389065339"/>
      <w:bookmarkStart w:id="484" w:name="_Toc373478421"/>
      <w:bookmarkStart w:id="485" w:name="_Toc34809977"/>
      <w:bookmarkStart w:id="486" w:name="_Toc373227774"/>
      <w:r>
        <w:rPr>
          <w:color w:val="auto"/>
          <w:highlight w:val="none"/>
        </w:rPr>
        <w:t xml:space="preserve">18.3 </w:t>
      </w:r>
      <w:r>
        <w:rPr>
          <w:rFonts w:hint="eastAsia" w:hAnsi="宋体" w:cs="黑体"/>
          <w:color w:val="auto"/>
          <w:highlight w:val="none"/>
        </w:rPr>
        <w:t>其他保险</w:t>
      </w:r>
      <w:bookmarkEnd w:id="482"/>
      <w:bookmarkEnd w:id="483"/>
      <w:bookmarkEnd w:id="484"/>
      <w:bookmarkEnd w:id="485"/>
      <w:bookmarkEnd w:id="486"/>
    </w:p>
    <w:p>
      <w:pPr>
        <w:spacing w:line="360" w:lineRule="auto"/>
        <w:ind w:firstLine="420" w:firstLineChars="200"/>
        <w:jc w:val="left"/>
        <w:rPr>
          <w:color w:val="auto"/>
          <w:kern w:val="0"/>
          <w:highlight w:val="none"/>
        </w:rPr>
      </w:pPr>
      <w:r>
        <w:rPr>
          <w:rFonts w:hint="eastAsia" w:hAnsi="宋体" w:cs="宋体"/>
          <w:color w:val="auto"/>
          <w:highlight w:val="none"/>
        </w:rPr>
        <w:t>关于其他保险的约定：</w:t>
      </w:r>
      <w:r>
        <w:rPr>
          <w:rFonts w:hAnsi="宋体"/>
          <w:color w:val="auto"/>
          <w:highlight w:val="none"/>
          <w:u w:val="single"/>
        </w:rPr>
        <w:t xml:space="preserve">  </w:t>
      </w:r>
      <w:r>
        <w:rPr>
          <w:rFonts w:hint="eastAsia" w:ascii="宋体" w:hAnsi="宋体"/>
          <w:bCs/>
          <w:color w:val="auto"/>
          <w:highlight w:val="none"/>
          <w:u w:val="single"/>
        </w:rPr>
        <w:t>发包人和承包人各自为其施工现场的全部人员办理意外伤害保险并支付保险费，包括其员工及为履行合同聘请的第三方的人员</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color w:val="auto"/>
          <w:highlight w:val="none"/>
          <w:u w:val="single"/>
        </w:rPr>
        <w:t xml:space="preserve">     </w:t>
      </w:r>
      <w:r>
        <w:rPr>
          <w:rFonts w:hint="eastAsia" w:ascii="宋体" w:hAnsi="宋体" w:cs="宋体"/>
          <w:color w:val="auto"/>
          <w:highlight w:val="none"/>
          <w:u w:val="single"/>
        </w:rPr>
        <w:t>按通用条款执行</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487" w:name="_Toc389065340"/>
      <w:bookmarkStart w:id="488" w:name="_Toc373227775"/>
      <w:bookmarkStart w:id="489" w:name="_Toc34809978"/>
      <w:bookmarkStart w:id="490" w:name="_Toc407135278"/>
      <w:bookmarkStart w:id="491" w:name="_Toc373478422"/>
      <w:r>
        <w:rPr>
          <w:color w:val="auto"/>
          <w:highlight w:val="none"/>
        </w:rPr>
        <w:t xml:space="preserve">18.7 </w:t>
      </w:r>
      <w:r>
        <w:rPr>
          <w:rFonts w:hint="eastAsia" w:hAnsi="宋体" w:cs="黑体"/>
          <w:color w:val="auto"/>
          <w:highlight w:val="none"/>
        </w:rPr>
        <w:t>通知义务</w:t>
      </w:r>
      <w:bookmarkEnd w:id="487"/>
      <w:bookmarkEnd w:id="488"/>
      <w:bookmarkEnd w:id="489"/>
      <w:bookmarkEnd w:id="490"/>
      <w:bookmarkEnd w:id="491"/>
    </w:p>
    <w:p>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hint="eastAsia" w:ascii="宋体" w:hAnsi="宋体"/>
          <w:color w:val="auto"/>
          <w:highlight w:val="none"/>
          <w:u w:val="single"/>
        </w:rPr>
        <w:t>由承包人通知发包人和监理人</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492" w:name="_Toc373227776"/>
      <w:bookmarkStart w:id="493" w:name="_Toc407135279"/>
      <w:bookmarkStart w:id="494" w:name="_Toc34809979"/>
      <w:bookmarkStart w:id="495" w:name="_Toc389065341"/>
      <w:bookmarkStart w:id="496" w:name="_Toc373478423"/>
      <w:r>
        <w:rPr>
          <w:color w:val="auto"/>
          <w:highlight w:val="none"/>
        </w:rPr>
        <w:t xml:space="preserve">20. </w:t>
      </w:r>
      <w:r>
        <w:rPr>
          <w:rFonts w:hint="eastAsia" w:hAnsi="宋体" w:cs="黑体"/>
          <w:color w:val="auto"/>
          <w:highlight w:val="none"/>
        </w:rPr>
        <w:t>争议解决</w:t>
      </w:r>
      <w:bookmarkEnd w:id="492"/>
      <w:bookmarkEnd w:id="493"/>
      <w:bookmarkEnd w:id="494"/>
      <w:bookmarkEnd w:id="495"/>
      <w:bookmarkEnd w:id="496"/>
    </w:p>
    <w:p>
      <w:pPr>
        <w:pStyle w:val="2"/>
        <w:rPr>
          <w:color w:val="auto"/>
          <w:highlight w:val="none"/>
        </w:rPr>
      </w:pPr>
      <w:bookmarkStart w:id="497" w:name="_Toc389065342"/>
      <w:bookmarkStart w:id="498" w:name="_Toc373227777"/>
      <w:bookmarkStart w:id="499" w:name="_Toc34809980"/>
      <w:bookmarkStart w:id="500" w:name="_Toc373478424"/>
      <w:bookmarkStart w:id="501" w:name="_Toc407135280"/>
      <w:r>
        <w:rPr>
          <w:color w:val="auto"/>
          <w:highlight w:val="none"/>
        </w:rPr>
        <w:t xml:space="preserve">20.3 </w:t>
      </w:r>
      <w:r>
        <w:rPr>
          <w:rFonts w:hint="eastAsia" w:hAnsi="宋体" w:cs="黑体"/>
          <w:color w:val="auto"/>
          <w:highlight w:val="none"/>
        </w:rPr>
        <w:t>争议评审</w:t>
      </w:r>
      <w:bookmarkEnd w:id="497"/>
      <w:bookmarkEnd w:id="498"/>
      <w:bookmarkEnd w:id="499"/>
      <w:bookmarkEnd w:id="500"/>
      <w:bookmarkEnd w:id="501"/>
    </w:p>
    <w:p>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rPr>
        <w:t>同意</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0"/>
        <w:rPr>
          <w:color w:val="auto"/>
          <w:highlight w:val="none"/>
        </w:rPr>
      </w:pPr>
      <w:r>
        <w:rPr>
          <w:color w:val="auto"/>
          <w:highlight w:val="none"/>
        </w:rPr>
        <w:t xml:space="preserve">20.3.1 </w:t>
      </w:r>
      <w:r>
        <w:rPr>
          <w:rFonts w:hint="eastAsia" w:hAnsi="宋体" w:cs="宋体"/>
          <w:color w:val="auto"/>
          <w:highlight w:val="none"/>
        </w:rPr>
        <w:t>争议评审小组的确定</w:t>
      </w:r>
    </w:p>
    <w:p>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ascii="宋体" w:hAnsi="宋体"/>
          <w:color w:val="auto"/>
          <w:highlight w:val="none"/>
          <w:u w:val="single"/>
        </w:rPr>
        <w:t>根据实际情况双方再确定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ascii="宋体" w:hAnsi="宋体"/>
          <w:color w:val="auto"/>
          <w:highlight w:val="none"/>
          <w:u w:val="single"/>
        </w:rPr>
        <w:t>本工程全建设期</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ascii="宋体" w:hAnsi="宋体"/>
          <w:color w:val="auto"/>
          <w:highlight w:val="none"/>
          <w:u w:val="single"/>
        </w:rPr>
        <w:t>双方协商确定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20.3</w:t>
      </w:r>
      <w:r>
        <w:rPr>
          <w:rFonts w:hint="eastAsia" w:ascii="宋体" w:hAnsi="宋体"/>
          <w:color w:val="auto"/>
          <w:highlight w:val="none"/>
          <w:u w:val="single"/>
        </w:rPr>
        <w:t>条执行</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ascii="宋体" w:hAnsi="宋体"/>
          <w:color w:val="auto"/>
          <w:highlight w:val="none"/>
          <w:u w:val="single"/>
        </w:rPr>
        <w:t>按《通用合同条款》</w:t>
      </w:r>
      <w:r>
        <w:rPr>
          <w:rFonts w:ascii="宋体" w:hAnsi="宋体"/>
          <w:color w:val="auto"/>
          <w:highlight w:val="none"/>
          <w:u w:val="single"/>
        </w:rPr>
        <w:t>20.3</w:t>
      </w:r>
      <w:r>
        <w:rPr>
          <w:rFonts w:hint="eastAsia" w:ascii="宋体" w:hAnsi="宋体"/>
          <w:color w:val="auto"/>
          <w:highlight w:val="none"/>
          <w:u w:val="single"/>
        </w:rPr>
        <w:t>条执行</w:t>
      </w:r>
      <w:r>
        <w:rPr>
          <w:color w:val="auto"/>
          <w:highlight w:val="none"/>
          <w:u w:val="single"/>
        </w:rPr>
        <w:t xml:space="preserve">   </w:t>
      </w:r>
      <w:r>
        <w:rPr>
          <w:rFonts w:hint="eastAsia" w:hAnsi="宋体" w:cs="宋体"/>
          <w:color w:val="auto"/>
          <w:highlight w:val="none"/>
        </w:rPr>
        <w:t>。</w:t>
      </w:r>
    </w:p>
    <w:p>
      <w:pPr>
        <w:pStyle w:val="2"/>
        <w:rPr>
          <w:color w:val="auto"/>
          <w:highlight w:val="none"/>
        </w:rPr>
      </w:pPr>
      <w:bookmarkStart w:id="502" w:name="_Toc373227778"/>
      <w:bookmarkStart w:id="503" w:name="_Toc389065343"/>
      <w:bookmarkStart w:id="504" w:name="_Toc407135281"/>
      <w:bookmarkStart w:id="505" w:name="_Toc373478425"/>
      <w:bookmarkStart w:id="506" w:name="_Toc34809981"/>
      <w:r>
        <w:rPr>
          <w:color w:val="auto"/>
          <w:highlight w:val="none"/>
        </w:rPr>
        <w:t xml:space="preserve">20.4 </w:t>
      </w:r>
      <w:r>
        <w:rPr>
          <w:rFonts w:hint="eastAsia" w:hAnsi="宋体" w:cs="黑体"/>
          <w:color w:val="auto"/>
          <w:highlight w:val="none"/>
        </w:rPr>
        <w:t>仲裁或诉讼</w:t>
      </w:r>
      <w:bookmarkEnd w:id="502"/>
      <w:bookmarkEnd w:id="503"/>
      <w:bookmarkEnd w:id="504"/>
      <w:bookmarkEnd w:id="505"/>
      <w:bookmarkEnd w:id="506"/>
    </w:p>
    <w:p>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2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color w:val="auto"/>
          <w:highlight w:val="none"/>
          <w:u w:val="single"/>
        </w:rPr>
        <w:t>贵港市</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pPr>
        <w:spacing w:line="360" w:lineRule="auto"/>
        <w:ind w:firstLine="420" w:firstLineChars="200"/>
        <w:jc w:val="left"/>
        <w:rPr>
          <w:rFonts w:hAnsi="宋体" w:cs="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ascii="宋体" w:hAnsi="宋体"/>
          <w:color w:val="auto"/>
          <w:highlight w:val="none"/>
          <w:u w:val="single"/>
        </w:rPr>
        <w:t xml:space="preserve">项目所在地有管辖权的  </w:t>
      </w:r>
      <w:r>
        <w:rPr>
          <w:rFonts w:hint="eastAsia" w:hAnsi="宋体" w:cs="宋体"/>
          <w:color w:val="auto"/>
          <w:highlight w:val="none"/>
        </w:rPr>
        <w:t>人民法院起诉。</w:t>
      </w:r>
    </w:p>
    <w:p>
      <w:pPr>
        <w:pStyle w:val="2"/>
        <w:rPr>
          <w:color w:val="auto"/>
          <w:highlight w:val="none"/>
        </w:rPr>
      </w:pPr>
      <w:bookmarkStart w:id="507" w:name="_Toc373227779"/>
      <w:bookmarkStart w:id="508" w:name="_Toc405791846"/>
      <w:bookmarkStart w:id="509" w:name="_Toc432406751"/>
      <w:bookmarkStart w:id="510" w:name="_Toc389065344"/>
      <w:bookmarkStart w:id="511" w:name="_Toc373478426"/>
      <w:bookmarkStart w:id="512" w:name="_Toc16067020"/>
      <w:r>
        <w:rPr>
          <w:color w:val="auto"/>
          <w:highlight w:val="none"/>
        </w:rPr>
        <w:t xml:space="preserve">21. </w:t>
      </w:r>
      <w:r>
        <w:rPr>
          <w:rFonts w:hint="eastAsia"/>
          <w:color w:val="auto"/>
          <w:highlight w:val="none"/>
        </w:rPr>
        <w:t>补充条款</w:t>
      </w:r>
      <w:bookmarkEnd w:id="507"/>
      <w:bookmarkEnd w:id="508"/>
      <w:bookmarkEnd w:id="509"/>
      <w:bookmarkEnd w:id="510"/>
      <w:bookmarkEnd w:id="511"/>
      <w:bookmarkEnd w:id="512"/>
    </w:p>
    <w:p>
      <w:pPr>
        <w:pStyle w:val="33"/>
        <w:autoSpaceDE w:val="0"/>
        <w:autoSpaceDN w:val="0"/>
        <w:adjustRightInd w:val="0"/>
        <w:spacing w:line="360" w:lineRule="auto"/>
        <w:ind w:firstLine="420" w:firstLineChars="200"/>
        <w:jc w:val="left"/>
        <w:outlineLvl w:val="0"/>
        <w:rPr>
          <w:rFonts w:ascii="宋体"/>
          <w:color w:val="auto"/>
          <w:kern w:val="0"/>
          <w:highlight w:val="none"/>
        </w:rPr>
      </w:pPr>
      <w:bookmarkStart w:id="513" w:name="_Toc16067021"/>
      <w:r>
        <w:rPr>
          <w:rFonts w:ascii="宋体" w:hAnsi="宋体"/>
          <w:color w:val="auto"/>
          <w:kern w:val="0"/>
          <w:highlight w:val="none"/>
        </w:rPr>
        <w:t xml:space="preserve">21.1 </w:t>
      </w:r>
      <w:r>
        <w:rPr>
          <w:rFonts w:hint="eastAsia" w:ascii="宋体" w:hAnsi="宋体"/>
          <w:color w:val="auto"/>
          <w:kern w:val="0"/>
          <w:highlight w:val="none"/>
        </w:rPr>
        <w:t>凡进入本工程工作的妇女应持有计生证、否则不准安排工作，禁止使用童工。</w:t>
      </w:r>
      <w:bookmarkEnd w:id="513"/>
    </w:p>
    <w:p>
      <w:pPr>
        <w:pStyle w:val="36"/>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21.2 </w:t>
      </w:r>
      <w:r>
        <w:rPr>
          <w:rFonts w:hint="eastAsia" w:ascii="宋体" w:hAnsi="宋体"/>
          <w:color w:val="auto"/>
          <w:kern w:val="0"/>
          <w:szCs w:val="21"/>
          <w:highlight w:val="none"/>
        </w:rPr>
        <w:t>本工程施工用水用电均</w:t>
      </w:r>
      <w:r>
        <w:rPr>
          <w:rFonts w:hint="eastAsia" w:ascii="宋体" w:hAnsi="宋体"/>
          <w:color w:val="auto"/>
          <w:szCs w:val="21"/>
          <w:highlight w:val="none"/>
        </w:rPr>
        <w:t>由承包人自主联系提供水源电源，施工过程中发生的所有水费电费，无论承包人是否在</w:t>
      </w:r>
      <w:r>
        <w:rPr>
          <w:rFonts w:ascii="宋体" w:hAnsi="宋体"/>
          <w:color w:val="auto"/>
          <w:szCs w:val="21"/>
          <w:highlight w:val="none"/>
        </w:rPr>
        <w:fldChar w:fldCharType="begin"/>
      </w:r>
      <w:r>
        <w:rPr>
          <w:rFonts w:ascii="宋体" w:hAnsi="宋体"/>
          <w:color w:val="auto"/>
          <w:szCs w:val="21"/>
          <w:highlight w:val="none"/>
        </w:rPr>
        <w:instrText xml:space="preserve"> HYPERLINK "http://cpro.baidu.com/cpro/ui/uijs.php?adclass=0&amp;app_id=0&amp;c=news&amp;cf=1001&amp;ch=0&amp;di=128&amp;fv=0&amp;is_app=0&amp;jk=223a062651fedfa6&amp;k=%CD%B6%B1%EA&amp;k0=%CD%B6%B1%EA&amp;kdi0=0&amp;luki=2&amp;n=10&amp;p=baidu&amp;q=baidusiteerror_cpr&amp;rb=1&amp;rs=1&amp;seller_id=1&amp;sid=a6dffe5126063a22&amp;ssp2=1&amp;stid=0&amp;t=tpclicked3_hc&amp;tu=u1698901&amp;u=http://3y.uu456.com/bp-21a52c575f0e7cd1842536f1-1.html&amp;urlid=0" </w:instrText>
      </w:r>
      <w:r>
        <w:rPr>
          <w:rFonts w:ascii="宋体" w:hAnsi="宋体"/>
          <w:color w:val="auto"/>
          <w:szCs w:val="21"/>
          <w:highlight w:val="none"/>
        </w:rPr>
        <w:fldChar w:fldCharType="separate"/>
      </w:r>
      <w:r>
        <w:rPr>
          <w:rFonts w:hint="eastAsia"/>
          <w:color w:val="auto"/>
          <w:highlight w:val="none"/>
        </w:rPr>
        <w:t>投标</w:t>
      </w:r>
      <w:r>
        <w:rPr>
          <w:rFonts w:ascii="宋体" w:hAnsi="宋体"/>
          <w:color w:val="auto"/>
          <w:szCs w:val="21"/>
          <w:highlight w:val="none"/>
        </w:rPr>
        <w:fldChar w:fldCharType="end"/>
      </w:r>
      <w:r>
        <w:rPr>
          <w:rFonts w:hint="eastAsia" w:ascii="宋体" w:hAnsi="宋体"/>
          <w:color w:val="auto"/>
          <w:szCs w:val="21"/>
          <w:highlight w:val="none"/>
        </w:rPr>
        <w:t>报价中单独列支，发包人均认为此项费用包含在投标报价中,由承包人承担所有费用。</w:t>
      </w:r>
    </w:p>
    <w:p>
      <w:pPr>
        <w:pStyle w:val="33"/>
        <w:autoSpaceDE w:val="0"/>
        <w:autoSpaceDN w:val="0"/>
        <w:adjustRightInd w:val="0"/>
        <w:spacing w:line="360" w:lineRule="auto"/>
        <w:ind w:firstLine="420" w:firstLineChars="200"/>
        <w:jc w:val="left"/>
        <w:outlineLvl w:val="0"/>
        <w:rPr>
          <w:rFonts w:hint="eastAsia" w:ascii="宋体" w:hAnsi="宋体"/>
          <w:color w:val="auto"/>
          <w:kern w:val="0"/>
          <w:highlight w:val="none"/>
        </w:rPr>
      </w:pPr>
      <w:bookmarkStart w:id="514" w:name="_Toc16067022"/>
      <w:r>
        <w:rPr>
          <w:rFonts w:hint="eastAsia" w:ascii="宋体" w:hAnsi="宋体"/>
          <w:color w:val="auto"/>
          <w:kern w:val="0"/>
          <w:highlight w:val="none"/>
        </w:rPr>
        <w:t>21.3 建筑材料管理:</w:t>
      </w:r>
      <w:bookmarkEnd w:id="514"/>
    </w:p>
    <w:p>
      <w:pPr>
        <w:pStyle w:val="36"/>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w:t>
      </w:r>
      <w:r>
        <w:rPr>
          <w:rFonts w:hint="eastAsia" w:ascii="宋体" w:hAnsi="宋体"/>
          <w:color w:val="auto"/>
          <w:kern w:val="0"/>
          <w:szCs w:val="21"/>
          <w:highlight w:val="none"/>
        </w:rPr>
        <w:t>建筑材料采购制度</w:t>
      </w:r>
      <w:r>
        <w:rPr>
          <w:rFonts w:hint="eastAsia" w:ascii="宋体" w:hAnsi="宋体"/>
          <w:color w:val="auto"/>
          <w:kern w:val="0"/>
          <w:highlight w:val="none"/>
        </w:rPr>
        <w:t>：主要的建筑材料采购由施工单位筛选（3家以上合格厂家）-施工单位组织建设单位及监理单位实地考察-施工单位上报监理单位及建设单位业主审批。即中标单位选择三家以上满足设计要求的合格产品、厂家上报监理和业主审查，同时组织业主、监理等相关单位进行实地考察。中标单位在经考察审批合格的厂家中选择采购。</w:t>
      </w:r>
    </w:p>
    <w:p>
      <w:pPr>
        <w:spacing w:line="360" w:lineRule="auto"/>
        <w:ind w:firstLine="420" w:firstLineChars="200"/>
        <w:jc w:val="left"/>
        <w:rPr>
          <w:rFonts w:hint="eastAsia"/>
          <w:color w:val="auto"/>
          <w:highlight w:val="none"/>
        </w:rPr>
      </w:pPr>
      <w:bookmarkStart w:id="515" w:name="_Toc16060029"/>
      <w:r>
        <w:rPr>
          <w:rFonts w:hint="eastAsia" w:ascii="宋体" w:hAnsi="宋体"/>
          <w:color w:val="auto"/>
          <w:kern w:val="0"/>
          <w:highlight w:val="none"/>
        </w:rPr>
        <w:t>（2）回访制度：对于部分施工现场无法辨别真伪的建筑材料如:防水卷材、门窗、玻璃、腻子、外墙涂料等（详见附件一《房屋建筑及市政工程主要材料设备清单》中的材料名称），要求厂家实行采购后回访制度,由厂家派员对本项目使用的材料做书面评定，提交建设单位作为结算依据。</w:t>
      </w:r>
      <w:bookmarkEnd w:id="515"/>
    </w:p>
    <w:p>
      <w:pPr>
        <w:pStyle w:val="2"/>
        <w:jc w:val="center"/>
        <w:rPr>
          <w:color w:val="auto"/>
          <w:sz w:val="21"/>
          <w:szCs w:val="21"/>
          <w:highlight w:val="none"/>
        </w:rPr>
      </w:pPr>
    </w:p>
    <w:p>
      <w:pPr>
        <w:rPr>
          <w:color w:val="auto"/>
          <w:sz w:val="21"/>
          <w:szCs w:val="21"/>
          <w:highlight w:val="none"/>
        </w:rPr>
      </w:pPr>
    </w:p>
    <w:p>
      <w:pPr>
        <w:pStyle w:val="2"/>
        <w:rPr>
          <w:color w:val="auto"/>
          <w:sz w:val="21"/>
          <w:szCs w:val="21"/>
          <w:highlight w:val="none"/>
        </w:rPr>
      </w:pPr>
    </w:p>
    <w:p>
      <w:pPr>
        <w:rPr>
          <w:color w:val="auto"/>
          <w:sz w:val="21"/>
          <w:szCs w:val="21"/>
          <w:highlight w:val="none"/>
        </w:rPr>
      </w:pPr>
    </w:p>
    <w:p>
      <w:pPr>
        <w:pStyle w:val="2"/>
        <w:rPr>
          <w:color w:val="auto"/>
          <w:sz w:val="21"/>
          <w:szCs w:val="21"/>
          <w:highlight w:val="none"/>
        </w:rPr>
      </w:pPr>
    </w:p>
    <w:p>
      <w:pPr>
        <w:rPr>
          <w:color w:val="auto"/>
          <w:sz w:val="21"/>
          <w:szCs w:val="21"/>
          <w:highlight w:val="none"/>
        </w:rPr>
      </w:pPr>
    </w:p>
    <w:p>
      <w:pPr>
        <w:pStyle w:val="2"/>
        <w:rPr>
          <w:color w:val="auto"/>
          <w:sz w:val="21"/>
          <w:szCs w:val="21"/>
          <w:highlight w:val="none"/>
        </w:rPr>
      </w:pPr>
    </w:p>
    <w:p>
      <w:pPr>
        <w:rPr>
          <w:color w:val="auto"/>
          <w:sz w:val="21"/>
          <w:szCs w:val="21"/>
          <w:highlight w:val="none"/>
        </w:rPr>
      </w:pPr>
    </w:p>
    <w:p>
      <w:pPr>
        <w:pStyle w:val="2"/>
        <w:rPr>
          <w:color w:val="auto"/>
          <w:sz w:val="21"/>
          <w:szCs w:val="21"/>
          <w:highlight w:val="none"/>
        </w:rPr>
      </w:pPr>
    </w:p>
    <w:p>
      <w:pPr>
        <w:pStyle w:val="2"/>
        <w:rPr>
          <w:color w:val="auto"/>
          <w:highlight w:val="none"/>
        </w:rPr>
      </w:pPr>
    </w:p>
    <w:bookmarkEnd w:id="50"/>
    <w:bookmarkEnd w:id="51"/>
    <w:bookmarkEnd w:id="52"/>
    <w:bookmarkEnd w:id="58"/>
    <w:bookmarkEnd w:id="59"/>
    <w:bookmarkEnd w:id="60"/>
    <w:p>
      <w:pPr>
        <w:spacing w:line="360" w:lineRule="auto"/>
        <w:jc w:val="left"/>
        <w:rPr>
          <w:rFonts w:ascii="宋体" w:hAnsi="宋体"/>
          <w:b/>
          <w:color w:val="auto"/>
          <w:szCs w:val="21"/>
          <w:highlight w:val="none"/>
        </w:rPr>
      </w:pPr>
      <w:bookmarkStart w:id="516" w:name="_Toc351203652"/>
      <w:r>
        <w:rPr>
          <w:rFonts w:ascii="宋体" w:hAnsi="宋体"/>
          <w:b/>
          <w:color w:val="auto"/>
          <w:szCs w:val="21"/>
          <w:highlight w:val="none"/>
        </w:rPr>
        <w:t>附件</w:t>
      </w:r>
      <w:bookmarkEnd w:id="516"/>
    </w:p>
    <w:p>
      <w:pPr>
        <w:spacing w:line="360" w:lineRule="auto"/>
        <w:jc w:val="left"/>
        <w:rPr>
          <w:rFonts w:ascii="宋体" w:hAnsi="宋体"/>
          <w:color w:val="auto"/>
          <w:szCs w:val="21"/>
          <w:highlight w:val="none"/>
        </w:rPr>
      </w:pPr>
      <w:r>
        <w:rPr>
          <w:rFonts w:ascii="宋体" w:hAnsi="宋体"/>
          <w:color w:val="auto"/>
          <w:szCs w:val="21"/>
          <w:highlight w:val="none"/>
        </w:rPr>
        <w:t>附件1：承包人承揽工程项目一览表</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2</w:t>
      </w:r>
      <w:r>
        <w:rPr>
          <w:rFonts w:ascii="宋体" w:hAnsi="宋体"/>
          <w:color w:val="auto"/>
          <w:szCs w:val="21"/>
          <w:highlight w:val="none"/>
        </w:rPr>
        <w:t>：工程质量保修书</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：主要建设工程文件目录</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4</w:t>
      </w:r>
      <w:r>
        <w:rPr>
          <w:rFonts w:ascii="宋体" w:hAnsi="宋体"/>
          <w:color w:val="auto"/>
          <w:szCs w:val="21"/>
          <w:highlight w:val="none"/>
        </w:rPr>
        <w:t>：承包人用于本工程施工的机械设备表</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5</w:t>
      </w:r>
      <w:r>
        <w:rPr>
          <w:rFonts w:ascii="宋体" w:hAnsi="宋体"/>
          <w:color w:val="auto"/>
          <w:szCs w:val="21"/>
          <w:highlight w:val="none"/>
        </w:rPr>
        <w:t>：承包人主要施工管理人员表</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6</w:t>
      </w:r>
      <w:r>
        <w:rPr>
          <w:rFonts w:ascii="宋体" w:hAnsi="宋体"/>
          <w:color w:val="auto"/>
          <w:szCs w:val="21"/>
          <w:highlight w:val="none"/>
        </w:rPr>
        <w:t>：分包人主要施工管理人员表</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7</w:t>
      </w:r>
      <w:r>
        <w:rPr>
          <w:rFonts w:ascii="宋体" w:hAnsi="宋体"/>
          <w:color w:val="auto"/>
          <w:szCs w:val="21"/>
          <w:highlight w:val="none"/>
        </w:rPr>
        <w:t>：履约担保格式</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8</w:t>
      </w:r>
      <w:r>
        <w:rPr>
          <w:rFonts w:ascii="宋体" w:hAnsi="宋体"/>
          <w:color w:val="auto"/>
          <w:szCs w:val="21"/>
          <w:highlight w:val="none"/>
        </w:rPr>
        <w:t>：预付款担保格式</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9</w:t>
      </w:r>
      <w:r>
        <w:rPr>
          <w:rFonts w:ascii="宋体" w:hAnsi="宋体"/>
          <w:color w:val="auto"/>
          <w:szCs w:val="21"/>
          <w:highlight w:val="none"/>
        </w:rPr>
        <w:t>：支付担保格式</w:t>
      </w:r>
    </w:p>
    <w:p>
      <w:pPr>
        <w:spacing w:line="360" w:lineRule="auto"/>
        <w:jc w:val="left"/>
        <w:rPr>
          <w:rFonts w:ascii="宋体" w:hAnsi="宋体"/>
          <w:color w:val="auto"/>
          <w:szCs w:val="21"/>
          <w:highlight w:val="none"/>
        </w:rPr>
      </w:pPr>
      <w:r>
        <w:rPr>
          <w:rFonts w:hint="eastAsia" w:ascii="宋体" w:hAnsi="宋体" w:cs="宋体"/>
          <w:color w:val="auto"/>
          <w:highlight w:val="none"/>
        </w:rPr>
        <w:t>附件10：预付款</w:t>
      </w:r>
      <w:r>
        <w:rPr>
          <w:rFonts w:hint="eastAsia"/>
          <w:color w:val="auto"/>
          <w:highlight w:val="none"/>
        </w:rPr>
        <w:t>支付申请（核准）</w:t>
      </w:r>
    </w:p>
    <w:p>
      <w:pPr>
        <w:spacing w:line="360" w:lineRule="auto"/>
        <w:jc w:val="left"/>
        <w:rPr>
          <w:rFonts w:hint="eastAsia"/>
          <w:color w:val="auto"/>
          <w:highlight w:val="none"/>
        </w:rPr>
      </w:pPr>
      <w:r>
        <w:rPr>
          <w:rFonts w:hint="eastAsia" w:ascii="宋体" w:hAnsi="宋体" w:cs="宋体"/>
          <w:color w:val="auto"/>
          <w:highlight w:val="none"/>
        </w:rPr>
        <w:t>附件11：</w:t>
      </w:r>
      <w:r>
        <w:rPr>
          <w:rFonts w:hint="eastAsia"/>
          <w:color w:val="auto"/>
          <w:highlight w:val="none"/>
        </w:rPr>
        <w:t>进度款支付申请（核准）表</w:t>
      </w:r>
    </w:p>
    <w:p>
      <w:pPr>
        <w:spacing w:line="360" w:lineRule="auto"/>
        <w:jc w:val="left"/>
        <w:rPr>
          <w:rFonts w:hint="eastAsia"/>
          <w:color w:val="auto"/>
          <w:highlight w:val="none"/>
        </w:rPr>
      </w:pPr>
      <w:r>
        <w:rPr>
          <w:rFonts w:hint="eastAsia" w:ascii="宋体" w:hAnsi="宋体" w:cs="宋体"/>
          <w:color w:val="auto"/>
          <w:highlight w:val="none"/>
        </w:rPr>
        <w:t>附件12：竣工结算</w:t>
      </w:r>
      <w:r>
        <w:rPr>
          <w:rFonts w:hint="eastAsia"/>
          <w:color w:val="auto"/>
          <w:highlight w:val="none"/>
        </w:rPr>
        <w:t>款支付申请（核准）表</w:t>
      </w:r>
    </w:p>
    <w:p>
      <w:pPr>
        <w:spacing w:line="360" w:lineRule="auto"/>
        <w:jc w:val="left"/>
        <w:rPr>
          <w:rFonts w:hint="eastAsia"/>
          <w:color w:val="auto"/>
          <w:highlight w:val="none"/>
        </w:rPr>
      </w:pPr>
      <w:r>
        <w:rPr>
          <w:rFonts w:hint="eastAsia" w:ascii="宋体" w:hAnsi="宋体" w:cs="宋体"/>
          <w:color w:val="auto"/>
          <w:highlight w:val="none"/>
        </w:rPr>
        <w:t>附件13：最终结算</w:t>
      </w:r>
      <w:r>
        <w:rPr>
          <w:rFonts w:hint="eastAsia"/>
          <w:color w:val="auto"/>
          <w:highlight w:val="none"/>
        </w:rPr>
        <w:t>款支付申请（核准）表</w:t>
      </w:r>
    </w:p>
    <w:p>
      <w:pPr>
        <w:spacing w:line="360" w:lineRule="auto"/>
        <w:jc w:val="left"/>
        <w:rPr>
          <w:rFonts w:hint="eastAsia"/>
          <w:color w:val="auto"/>
          <w:highlight w:val="none"/>
        </w:rPr>
      </w:pPr>
      <w:r>
        <w:rPr>
          <w:rFonts w:hint="eastAsia"/>
          <w:color w:val="auto"/>
          <w:highlight w:val="none"/>
        </w:rPr>
        <w:t>附件14：总价合同进度款支付分解表</w:t>
      </w:r>
    </w:p>
    <w:p>
      <w:pPr>
        <w:pStyle w:val="2"/>
        <w:rPr>
          <w:color w:val="auto"/>
          <w:highlight w:val="none"/>
        </w:rPr>
        <w:sectPr>
          <w:pgSz w:w="11906" w:h="16838"/>
          <w:pgMar w:top="1418" w:right="1555" w:bottom="1418" w:left="1531" w:header="851" w:footer="992" w:gutter="0"/>
          <w:cols w:space="720" w:num="1"/>
          <w:titlePg/>
          <w:docGrid w:type="lines" w:linePitch="312" w:charSpace="0"/>
        </w:sectPr>
      </w:pPr>
    </w:p>
    <w:p>
      <w:pPr>
        <w:spacing w:before="156" w:beforeLines="50" w:after="156" w:afterLines="50" w:line="440" w:lineRule="exact"/>
        <w:jc w:val="left"/>
        <w:rPr>
          <w:rFonts w:ascii="宋体" w:hAnsi="宋体"/>
          <w:color w:val="auto"/>
          <w:szCs w:val="21"/>
          <w:highlight w:val="none"/>
        </w:rPr>
      </w:pPr>
      <w:r>
        <w:rPr>
          <w:rFonts w:hint="eastAsia" w:ascii="宋体" w:hAnsi="宋体"/>
          <w:color w:val="auto"/>
          <w:szCs w:val="21"/>
          <w:highlight w:val="none"/>
        </w:rPr>
        <w:t>附件1：</w:t>
      </w:r>
    </w:p>
    <w:p>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承包人承揽工程项目一览表</w:t>
      </w:r>
    </w:p>
    <w:tbl>
      <w:tblPr>
        <w:tblStyle w:val="2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单位工程名称</w:t>
            </w:r>
          </w:p>
        </w:tc>
        <w:tc>
          <w:tcPr>
            <w:tcW w:w="1843"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建设规模</w:t>
            </w:r>
          </w:p>
        </w:tc>
        <w:tc>
          <w:tcPr>
            <w:tcW w:w="1417"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建筑面积(平方米)</w:t>
            </w:r>
          </w:p>
        </w:tc>
        <w:tc>
          <w:tcPr>
            <w:tcW w:w="2410"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结构</w:t>
            </w:r>
            <w:r>
              <w:rPr>
                <w:rFonts w:hint="eastAsia" w:ascii="宋体" w:hAnsi="宋体"/>
                <w:color w:val="auto"/>
                <w:sz w:val="24"/>
                <w:highlight w:val="none"/>
              </w:rPr>
              <w:t>形式</w:t>
            </w:r>
          </w:p>
        </w:tc>
        <w:tc>
          <w:tcPr>
            <w:tcW w:w="850"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层数</w:t>
            </w:r>
          </w:p>
        </w:tc>
        <w:tc>
          <w:tcPr>
            <w:tcW w:w="1560"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生产能力</w:t>
            </w:r>
          </w:p>
        </w:tc>
        <w:tc>
          <w:tcPr>
            <w:tcW w:w="2126"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设备安装内容</w:t>
            </w:r>
          </w:p>
        </w:tc>
        <w:tc>
          <w:tcPr>
            <w:tcW w:w="1417"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合同价格（元）</w:t>
            </w:r>
          </w:p>
        </w:tc>
        <w:tc>
          <w:tcPr>
            <w:tcW w:w="851"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开工日期</w:t>
            </w:r>
          </w:p>
        </w:tc>
        <w:tc>
          <w:tcPr>
            <w:tcW w:w="850" w:type="dxa"/>
            <w:tcBorders>
              <w:top w:val="single" w:color="auto" w:sz="12" w:space="0"/>
              <w:bottom w:val="double" w:color="auto" w:sz="6" w:space="0"/>
            </w:tcBorders>
            <w:vAlign w:val="center"/>
          </w:tcPr>
          <w:p>
            <w:pPr>
              <w:pStyle w:val="8"/>
              <w:keepNext/>
              <w:spacing w:line="440" w:lineRule="exact"/>
              <w:ind w:left="63" w:right="63"/>
              <w:rPr>
                <w:rFonts w:ascii="宋体" w:hAnsi="宋体"/>
                <w:color w:val="auto"/>
                <w:sz w:val="24"/>
                <w:highlight w:val="none"/>
              </w:rPr>
            </w:pPr>
            <w:r>
              <w:rPr>
                <w:rFonts w:ascii="宋体" w:hAnsi="宋体"/>
                <w:color w:val="auto"/>
                <w:sz w:val="24"/>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843"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241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85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56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2126"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851"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85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843"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41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56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126"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1"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843"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41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56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126"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1"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line="440" w:lineRule="exact"/>
              <w:ind w:left="63" w:right="63"/>
              <w:rPr>
                <w:rFonts w:ascii="宋体" w:hAnsi="宋体"/>
                <w:color w:val="auto"/>
                <w:szCs w:val="21"/>
                <w:highlight w:val="none"/>
              </w:rPr>
            </w:pPr>
          </w:p>
        </w:tc>
        <w:tc>
          <w:tcPr>
            <w:tcW w:w="1843" w:type="dxa"/>
            <w:vAlign w:val="center"/>
          </w:tcPr>
          <w:p>
            <w:pPr>
              <w:pStyle w:val="8"/>
              <w:keepNext/>
              <w:spacing w:line="440" w:lineRule="exact"/>
              <w:ind w:left="63" w:right="63"/>
              <w:rPr>
                <w:rFonts w:ascii="宋体" w:hAnsi="宋体"/>
                <w:color w:val="auto"/>
                <w:szCs w:val="21"/>
                <w:highlight w:val="none"/>
              </w:rPr>
            </w:pPr>
          </w:p>
        </w:tc>
        <w:tc>
          <w:tcPr>
            <w:tcW w:w="1417" w:type="dxa"/>
            <w:vAlign w:val="center"/>
          </w:tcPr>
          <w:p>
            <w:pPr>
              <w:pStyle w:val="8"/>
              <w:keepNext/>
              <w:spacing w:line="440" w:lineRule="exact"/>
              <w:ind w:left="63" w:right="63"/>
              <w:rPr>
                <w:rFonts w:ascii="宋体" w:hAnsi="宋体"/>
                <w:color w:val="auto"/>
                <w:szCs w:val="21"/>
                <w:highlight w:val="none"/>
              </w:rPr>
            </w:pPr>
          </w:p>
        </w:tc>
        <w:tc>
          <w:tcPr>
            <w:tcW w:w="2410"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560" w:type="dxa"/>
            <w:vAlign w:val="center"/>
          </w:tcPr>
          <w:p>
            <w:pPr>
              <w:pStyle w:val="8"/>
              <w:keepNext/>
              <w:spacing w:line="440" w:lineRule="exact"/>
              <w:ind w:left="63" w:right="63"/>
              <w:rPr>
                <w:rFonts w:ascii="宋体" w:hAnsi="宋体"/>
                <w:color w:val="auto"/>
                <w:szCs w:val="21"/>
                <w:highlight w:val="none"/>
              </w:rPr>
            </w:pPr>
          </w:p>
        </w:tc>
        <w:tc>
          <w:tcPr>
            <w:tcW w:w="2126" w:type="dxa"/>
            <w:vAlign w:val="center"/>
          </w:tcPr>
          <w:p>
            <w:pPr>
              <w:pStyle w:val="8"/>
              <w:keepNext/>
              <w:spacing w:line="440" w:lineRule="exact"/>
              <w:ind w:left="63" w:right="63"/>
              <w:rPr>
                <w:rFonts w:ascii="宋体" w:hAnsi="宋体"/>
                <w:color w:val="auto"/>
                <w:szCs w:val="21"/>
                <w:highlight w:val="none"/>
              </w:rPr>
            </w:pPr>
          </w:p>
        </w:tc>
        <w:tc>
          <w:tcPr>
            <w:tcW w:w="1417" w:type="dxa"/>
            <w:vAlign w:val="center"/>
          </w:tcPr>
          <w:p>
            <w:pPr>
              <w:pStyle w:val="8"/>
              <w:keepNext/>
              <w:spacing w:line="440" w:lineRule="exact"/>
              <w:ind w:left="63" w:right="63"/>
              <w:rPr>
                <w:rFonts w:ascii="宋体" w:hAnsi="宋体"/>
                <w:color w:val="auto"/>
                <w:szCs w:val="21"/>
                <w:highlight w:val="none"/>
              </w:rPr>
            </w:pPr>
          </w:p>
        </w:tc>
        <w:tc>
          <w:tcPr>
            <w:tcW w:w="851"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843"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41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56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126"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1"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line="440" w:lineRule="exact"/>
              <w:ind w:left="63" w:right="63"/>
              <w:rPr>
                <w:rFonts w:ascii="宋体" w:hAnsi="宋体"/>
                <w:color w:val="auto"/>
                <w:szCs w:val="21"/>
                <w:highlight w:val="none"/>
              </w:rPr>
            </w:pPr>
          </w:p>
        </w:tc>
        <w:tc>
          <w:tcPr>
            <w:tcW w:w="1843" w:type="dxa"/>
            <w:vAlign w:val="center"/>
          </w:tcPr>
          <w:p>
            <w:pPr>
              <w:pStyle w:val="8"/>
              <w:keepNext/>
              <w:spacing w:line="440" w:lineRule="exact"/>
              <w:ind w:left="63" w:right="63"/>
              <w:rPr>
                <w:rFonts w:ascii="宋体" w:hAnsi="宋体"/>
                <w:color w:val="auto"/>
                <w:szCs w:val="21"/>
                <w:highlight w:val="none"/>
              </w:rPr>
            </w:pPr>
          </w:p>
        </w:tc>
        <w:tc>
          <w:tcPr>
            <w:tcW w:w="1417" w:type="dxa"/>
            <w:vAlign w:val="center"/>
          </w:tcPr>
          <w:p>
            <w:pPr>
              <w:pStyle w:val="8"/>
              <w:keepNext/>
              <w:spacing w:line="440" w:lineRule="exact"/>
              <w:ind w:left="63" w:right="63"/>
              <w:rPr>
                <w:rFonts w:ascii="宋体" w:hAnsi="宋体"/>
                <w:color w:val="auto"/>
                <w:szCs w:val="21"/>
                <w:highlight w:val="none"/>
              </w:rPr>
            </w:pPr>
          </w:p>
        </w:tc>
        <w:tc>
          <w:tcPr>
            <w:tcW w:w="2410"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560" w:type="dxa"/>
            <w:vAlign w:val="center"/>
          </w:tcPr>
          <w:p>
            <w:pPr>
              <w:pStyle w:val="8"/>
              <w:keepNext/>
              <w:spacing w:line="440" w:lineRule="exact"/>
              <w:ind w:left="63" w:right="63"/>
              <w:rPr>
                <w:rFonts w:ascii="宋体" w:hAnsi="宋体"/>
                <w:color w:val="auto"/>
                <w:szCs w:val="21"/>
                <w:highlight w:val="none"/>
              </w:rPr>
            </w:pPr>
          </w:p>
        </w:tc>
        <w:tc>
          <w:tcPr>
            <w:tcW w:w="2126" w:type="dxa"/>
            <w:vAlign w:val="center"/>
          </w:tcPr>
          <w:p>
            <w:pPr>
              <w:pStyle w:val="8"/>
              <w:keepNext/>
              <w:spacing w:line="440" w:lineRule="exact"/>
              <w:ind w:left="63" w:right="63"/>
              <w:rPr>
                <w:rFonts w:ascii="宋体" w:hAnsi="宋体"/>
                <w:color w:val="auto"/>
                <w:szCs w:val="21"/>
                <w:highlight w:val="none"/>
              </w:rPr>
            </w:pPr>
          </w:p>
        </w:tc>
        <w:tc>
          <w:tcPr>
            <w:tcW w:w="1417" w:type="dxa"/>
            <w:vAlign w:val="center"/>
          </w:tcPr>
          <w:p>
            <w:pPr>
              <w:pStyle w:val="8"/>
              <w:keepNext/>
              <w:spacing w:line="440" w:lineRule="exact"/>
              <w:ind w:left="63" w:right="63"/>
              <w:rPr>
                <w:rFonts w:ascii="宋体" w:hAnsi="宋体"/>
                <w:color w:val="auto"/>
                <w:szCs w:val="21"/>
                <w:highlight w:val="none"/>
              </w:rPr>
            </w:pPr>
          </w:p>
        </w:tc>
        <w:tc>
          <w:tcPr>
            <w:tcW w:w="851"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843"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41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56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126"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1"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843"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41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56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126"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1"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line="440" w:lineRule="exact"/>
              <w:ind w:left="63" w:right="63"/>
              <w:rPr>
                <w:rFonts w:ascii="宋体" w:hAnsi="宋体"/>
                <w:color w:val="auto"/>
                <w:szCs w:val="21"/>
                <w:highlight w:val="none"/>
              </w:rPr>
            </w:pPr>
          </w:p>
        </w:tc>
        <w:tc>
          <w:tcPr>
            <w:tcW w:w="1843" w:type="dxa"/>
            <w:vAlign w:val="center"/>
          </w:tcPr>
          <w:p>
            <w:pPr>
              <w:pStyle w:val="8"/>
              <w:keepNext/>
              <w:spacing w:line="440" w:lineRule="exact"/>
              <w:ind w:left="63" w:right="63"/>
              <w:rPr>
                <w:rFonts w:ascii="宋体" w:hAnsi="宋体"/>
                <w:color w:val="auto"/>
                <w:szCs w:val="21"/>
                <w:highlight w:val="none"/>
              </w:rPr>
            </w:pPr>
          </w:p>
        </w:tc>
        <w:tc>
          <w:tcPr>
            <w:tcW w:w="1417" w:type="dxa"/>
            <w:vAlign w:val="center"/>
          </w:tcPr>
          <w:p>
            <w:pPr>
              <w:pStyle w:val="8"/>
              <w:keepNext/>
              <w:spacing w:line="440" w:lineRule="exact"/>
              <w:ind w:left="63" w:right="63"/>
              <w:rPr>
                <w:rFonts w:ascii="宋体" w:hAnsi="宋体"/>
                <w:color w:val="auto"/>
                <w:szCs w:val="21"/>
                <w:highlight w:val="none"/>
              </w:rPr>
            </w:pPr>
          </w:p>
        </w:tc>
        <w:tc>
          <w:tcPr>
            <w:tcW w:w="2410"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560" w:type="dxa"/>
            <w:vAlign w:val="center"/>
          </w:tcPr>
          <w:p>
            <w:pPr>
              <w:pStyle w:val="8"/>
              <w:keepNext/>
              <w:spacing w:line="440" w:lineRule="exact"/>
              <w:ind w:left="63" w:right="63"/>
              <w:rPr>
                <w:rFonts w:ascii="宋体" w:hAnsi="宋体"/>
                <w:color w:val="auto"/>
                <w:szCs w:val="21"/>
                <w:highlight w:val="none"/>
              </w:rPr>
            </w:pPr>
          </w:p>
        </w:tc>
        <w:tc>
          <w:tcPr>
            <w:tcW w:w="2126" w:type="dxa"/>
            <w:vAlign w:val="center"/>
          </w:tcPr>
          <w:p>
            <w:pPr>
              <w:pStyle w:val="8"/>
              <w:keepNext/>
              <w:spacing w:line="440" w:lineRule="exact"/>
              <w:ind w:left="63" w:right="63"/>
              <w:rPr>
                <w:rFonts w:ascii="宋体" w:hAnsi="宋体"/>
                <w:color w:val="auto"/>
                <w:szCs w:val="21"/>
                <w:highlight w:val="none"/>
              </w:rPr>
            </w:pPr>
          </w:p>
        </w:tc>
        <w:tc>
          <w:tcPr>
            <w:tcW w:w="1417" w:type="dxa"/>
            <w:vAlign w:val="center"/>
          </w:tcPr>
          <w:p>
            <w:pPr>
              <w:pStyle w:val="8"/>
              <w:keepNext/>
              <w:spacing w:line="440" w:lineRule="exact"/>
              <w:ind w:left="63" w:right="63"/>
              <w:rPr>
                <w:rFonts w:ascii="宋体" w:hAnsi="宋体"/>
                <w:color w:val="auto"/>
                <w:szCs w:val="21"/>
                <w:highlight w:val="none"/>
              </w:rPr>
            </w:pPr>
          </w:p>
        </w:tc>
        <w:tc>
          <w:tcPr>
            <w:tcW w:w="851"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843"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41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56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2126"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7"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1"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line="440" w:lineRule="exact"/>
              <w:ind w:left="63" w:right="63"/>
              <w:rPr>
                <w:rFonts w:ascii="宋体" w:hAnsi="宋体"/>
                <w:color w:val="auto"/>
                <w:szCs w:val="21"/>
                <w:highlight w:val="none"/>
              </w:rPr>
            </w:pPr>
          </w:p>
        </w:tc>
        <w:tc>
          <w:tcPr>
            <w:tcW w:w="1843" w:type="dxa"/>
            <w:vAlign w:val="center"/>
          </w:tcPr>
          <w:p>
            <w:pPr>
              <w:pStyle w:val="8"/>
              <w:keepNext/>
              <w:spacing w:line="440" w:lineRule="exact"/>
              <w:ind w:left="63" w:right="63"/>
              <w:rPr>
                <w:rFonts w:ascii="宋体" w:hAnsi="宋体"/>
                <w:color w:val="auto"/>
                <w:szCs w:val="21"/>
                <w:highlight w:val="none"/>
              </w:rPr>
            </w:pPr>
          </w:p>
        </w:tc>
        <w:tc>
          <w:tcPr>
            <w:tcW w:w="1417" w:type="dxa"/>
            <w:vAlign w:val="center"/>
          </w:tcPr>
          <w:p>
            <w:pPr>
              <w:pStyle w:val="8"/>
              <w:keepNext/>
              <w:spacing w:line="440" w:lineRule="exact"/>
              <w:ind w:left="63" w:right="63"/>
              <w:rPr>
                <w:rFonts w:ascii="宋体" w:hAnsi="宋体"/>
                <w:color w:val="auto"/>
                <w:szCs w:val="21"/>
                <w:highlight w:val="none"/>
              </w:rPr>
            </w:pPr>
          </w:p>
        </w:tc>
        <w:tc>
          <w:tcPr>
            <w:tcW w:w="2410"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560" w:type="dxa"/>
            <w:vAlign w:val="center"/>
          </w:tcPr>
          <w:p>
            <w:pPr>
              <w:pStyle w:val="8"/>
              <w:keepNext/>
              <w:spacing w:line="440" w:lineRule="exact"/>
              <w:ind w:left="63" w:right="63"/>
              <w:rPr>
                <w:rFonts w:ascii="宋体" w:hAnsi="宋体"/>
                <w:color w:val="auto"/>
                <w:szCs w:val="21"/>
                <w:highlight w:val="none"/>
              </w:rPr>
            </w:pPr>
          </w:p>
        </w:tc>
        <w:tc>
          <w:tcPr>
            <w:tcW w:w="2126" w:type="dxa"/>
            <w:vAlign w:val="center"/>
          </w:tcPr>
          <w:p>
            <w:pPr>
              <w:pStyle w:val="8"/>
              <w:keepNext/>
              <w:spacing w:line="440" w:lineRule="exact"/>
              <w:ind w:left="63" w:right="63"/>
              <w:rPr>
                <w:rFonts w:ascii="宋体" w:hAnsi="宋体"/>
                <w:color w:val="auto"/>
                <w:szCs w:val="21"/>
                <w:highlight w:val="none"/>
              </w:rPr>
            </w:pPr>
          </w:p>
        </w:tc>
        <w:tc>
          <w:tcPr>
            <w:tcW w:w="1417" w:type="dxa"/>
            <w:vAlign w:val="center"/>
          </w:tcPr>
          <w:p>
            <w:pPr>
              <w:pStyle w:val="8"/>
              <w:keepNext/>
              <w:spacing w:line="440" w:lineRule="exact"/>
              <w:ind w:left="63" w:right="63"/>
              <w:rPr>
                <w:rFonts w:ascii="宋体" w:hAnsi="宋体"/>
                <w:color w:val="auto"/>
                <w:szCs w:val="21"/>
                <w:highlight w:val="none"/>
              </w:rPr>
            </w:pPr>
          </w:p>
        </w:tc>
        <w:tc>
          <w:tcPr>
            <w:tcW w:w="851"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r>
    </w:tbl>
    <w:p>
      <w:pPr>
        <w:spacing w:line="440" w:lineRule="exact"/>
        <w:rPr>
          <w:rFonts w:ascii="宋体" w:hAnsi="宋体"/>
          <w:b/>
          <w:color w:val="auto"/>
          <w:szCs w:val="21"/>
          <w:highlight w:val="none"/>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附</w:t>
      </w:r>
      <w:bookmarkStart w:id="517" w:name="_Toc267261693"/>
      <w:bookmarkStart w:id="518" w:name="_Toc296346727"/>
      <w:bookmarkStart w:id="519" w:name="_Toc296347225"/>
      <w:bookmarkStart w:id="520" w:name="_Toc296891054"/>
      <w:bookmarkStart w:id="521" w:name="_Toc296891266"/>
      <w:bookmarkStart w:id="522" w:name="_Toc296944565"/>
      <w:bookmarkStart w:id="523" w:name="_Toc296503226"/>
      <w:r>
        <w:rPr>
          <w:rFonts w:ascii="宋体" w:hAnsi="宋体"/>
          <w:color w:val="auto"/>
          <w:szCs w:val="21"/>
          <w:highlight w:val="none"/>
        </w:rPr>
        <w:t>件</w:t>
      </w:r>
      <w:r>
        <w:rPr>
          <w:rFonts w:hint="eastAsia" w:ascii="宋体" w:hAnsi="宋体"/>
          <w:color w:val="auto"/>
          <w:szCs w:val="21"/>
          <w:highlight w:val="none"/>
          <w:lang w:val="en-US" w:eastAsia="zh-CN"/>
        </w:rPr>
        <w:t>2</w:t>
      </w:r>
      <w:r>
        <w:rPr>
          <w:rFonts w:ascii="宋体" w:hAnsi="宋体"/>
          <w:color w:val="auto"/>
          <w:szCs w:val="21"/>
          <w:highlight w:val="none"/>
        </w:rPr>
        <w:t>：</w:t>
      </w:r>
      <w:bookmarkEnd w:id="517"/>
      <w:bookmarkEnd w:id="518"/>
      <w:bookmarkEnd w:id="519"/>
      <w:bookmarkEnd w:id="520"/>
      <w:bookmarkEnd w:id="521"/>
      <w:bookmarkEnd w:id="522"/>
      <w:bookmarkEnd w:id="523"/>
    </w:p>
    <w:p>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工程质量保修书</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发包人（全称）：</w:t>
      </w:r>
    </w:p>
    <w:p>
      <w:pPr>
        <w:spacing w:line="440" w:lineRule="exact"/>
        <w:rPr>
          <w:rFonts w:ascii="宋体" w:hAnsi="宋体"/>
          <w:color w:val="auto"/>
          <w:szCs w:val="21"/>
          <w:highlight w:val="none"/>
        </w:rPr>
      </w:pPr>
      <w:r>
        <w:rPr>
          <w:rFonts w:ascii="宋体" w:hAnsi="宋体"/>
          <w:color w:val="auto"/>
          <w:szCs w:val="21"/>
          <w:highlight w:val="none"/>
        </w:rPr>
        <w:t>　　承包人（全称）：</w:t>
      </w:r>
    </w:p>
    <w:p>
      <w:pPr>
        <w:spacing w:line="440" w:lineRule="exact"/>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发包人和承包人根据《中华人民共和国建筑法》和《建设工程质量管理条例》，经协商一致就（工程全称）签订工程质量保修书。</w:t>
      </w:r>
    </w:p>
    <w:p>
      <w:pPr>
        <w:spacing w:line="360" w:lineRule="auto"/>
        <w:rPr>
          <w:rFonts w:ascii="宋体" w:hAnsi="宋体"/>
          <w:color w:val="auto"/>
          <w:szCs w:val="21"/>
          <w:highlight w:val="none"/>
        </w:rPr>
      </w:pPr>
      <w:r>
        <w:rPr>
          <w:rFonts w:ascii="宋体" w:hAnsi="宋体"/>
          <w:color w:val="auto"/>
          <w:szCs w:val="21"/>
          <w:highlight w:val="none"/>
        </w:rPr>
        <w:t>　　一、工程质量保修范围和内容</w:t>
      </w:r>
    </w:p>
    <w:p>
      <w:pPr>
        <w:spacing w:line="360" w:lineRule="auto"/>
        <w:rPr>
          <w:rFonts w:ascii="宋体" w:hAnsi="宋体"/>
          <w:color w:val="auto"/>
          <w:szCs w:val="21"/>
          <w:highlight w:val="none"/>
        </w:rPr>
      </w:pPr>
      <w:r>
        <w:rPr>
          <w:rFonts w:ascii="宋体" w:hAnsi="宋体"/>
          <w:color w:val="auto"/>
          <w:szCs w:val="21"/>
          <w:highlight w:val="none"/>
        </w:rPr>
        <w:t>　　承包人在质量保修期内，按照有关法律规定和合同约定，承担工程质量保修责任。</w:t>
      </w:r>
    </w:p>
    <w:p>
      <w:pPr>
        <w:spacing w:line="360" w:lineRule="auto"/>
        <w:rPr>
          <w:rFonts w:ascii="宋体" w:hAnsi="宋体"/>
          <w:color w:val="auto"/>
          <w:szCs w:val="21"/>
          <w:highlight w:val="none"/>
        </w:rPr>
      </w:pPr>
      <w:r>
        <w:rPr>
          <w:rFonts w:ascii="宋体" w:hAnsi="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color w:val="auto"/>
          <w:szCs w:val="21"/>
          <w:highlight w:val="none"/>
        </w:rPr>
      </w:pPr>
      <w:r>
        <w:rPr>
          <w:rFonts w:ascii="宋体" w:hAnsi="宋体"/>
          <w:b/>
          <w:color w:val="auto"/>
          <w:szCs w:val="21"/>
          <w:highlight w:val="none"/>
        </w:rPr>
        <w:t>　　</w:t>
      </w:r>
      <w:r>
        <w:rPr>
          <w:rFonts w:ascii="宋体" w:hAnsi="宋体"/>
          <w:color w:val="auto"/>
          <w:szCs w:val="21"/>
          <w:highlight w:val="none"/>
        </w:rPr>
        <w:t>二、质量保修期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根据《建设工程质量管理条例》及有关规定，工程的质量保修期如下：</w:t>
      </w:r>
    </w:p>
    <w:p>
      <w:pPr>
        <w:spacing w:line="360" w:lineRule="auto"/>
        <w:rPr>
          <w:rFonts w:ascii="宋体" w:hAnsi="宋体"/>
          <w:color w:val="auto"/>
          <w:szCs w:val="21"/>
          <w:highlight w:val="none"/>
        </w:rPr>
      </w:pPr>
      <w:r>
        <w:rPr>
          <w:rFonts w:hint="eastAsia" w:ascii="宋体" w:hAnsi="宋体"/>
          <w:color w:val="auto"/>
          <w:szCs w:val="21"/>
          <w:highlight w:val="none"/>
        </w:rPr>
        <w:t>（1）地基基础工程、主体结构工程为设计文件规定的合理使用年限；</w:t>
      </w:r>
    </w:p>
    <w:p>
      <w:pPr>
        <w:spacing w:line="360" w:lineRule="auto"/>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pPr>
        <w:spacing w:line="360" w:lineRule="auto"/>
        <w:rPr>
          <w:rFonts w:ascii="宋体" w:hAnsi="宋体"/>
          <w:color w:val="auto"/>
          <w:szCs w:val="21"/>
          <w:highlight w:val="none"/>
        </w:rPr>
      </w:pPr>
      <w:r>
        <w:rPr>
          <w:rFonts w:hint="eastAsia" w:ascii="宋体" w:hAnsi="宋体"/>
          <w:color w:val="auto"/>
          <w:szCs w:val="21"/>
          <w:highlight w:val="none"/>
        </w:rPr>
        <w:t>（3）供热及供冷系统为2个采暖期及供冷期；</w:t>
      </w:r>
    </w:p>
    <w:p>
      <w:pPr>
        <w:spacing w:line="360" w:lineRule="auto"/>
        <w:rPr>
          <w:rFonts w:ascii="宋体" w:hAnsi="宋体"/>
          <w:color w:val="auto"/>
          <w:szCs w:val="21"/>
          <w:highlight w:val="none"/>
        </w:rPr>
      </w:pPr>
      <w:r>
        <w:rPr>
          <w:rFonts w:hint="eastAsia" w:ascii="宋体" w:hAnsi="宋体"/>
          <w:color w:val="auto"/>
          <w:szCs w:val="21"/>
          <w:highlight w:val="none"/>
        </w:rPr>
        <w:t>（4）电气管线、给排水管道、设备安装为2年；</w:t>
      </w:r>
    </w:p>
    <w:p>
      <w:pPr>
        <w:spacing w:line="360" w:lineRule="auto"/>
        <w:rPr>
          <w:rFonts w:ascii="宋体" w:hAnsi="宋体"/>
          <w:color w:val="auto"/>
          <w:szCs w:val="21"/>
          <w:highlight w:val="none"/>
        </w:rPr>
      </w:pPr>
      <w:r>
        <w:rPr>
          <w:rFonts w:hint="eastAsia" w:ascii="宋体" w:hAnsi="宋体"/>
          <w:color w:val="auto"/>
          <w:szCs w:val="21"/>
          <w:highlight w:val="none"/>
        </w:rPr>
        <w:t>（5）装修工程为2年；</w:t>
      </w:r>
    </w:p>
    <w:p>
      <w:pPr>
        <w:spacing w:line="360" w:lineRule="auto"/>
        <w:rPr>
          <w:rFonts w:ascii="宋体" w:hAnsi="宋体"/>
          <w:color w:val="auto"/>
          <w:szCs w:val="21"/>
          <w:highlight w:val="none"/>
        </w:rPr>
      </w:pPr>
      <w:r>
        <w:rPr>
          <w:rFonts w:hint="eastAsia" w:ascii="宋体" w:hAnsi="宋体"/>
          <w:color w:val="auto"/>
          <w:szCs w:val="21"/>
          <w:highlight w:val="none"/>
        </w:rPr>
        <w:t>（6）室外的上下水和小区道路等市政公用工程为2年；</w:t>
      </w:r>
    </w:p>
    <w:p>
      <w:pPr>
        <w:spacing w:line="360" w:lineRule="auto"/>
        <w:rPr>
          <w:rFonts w:ascii="宋体" w:hAnsi="宋体"/>
          <w:color w:val="auto"/>
          <w:szCs w:val="21"/>
          <w:highlight w:val="none"/>
        </w:rPr>
      </w:pPr>
      <w:r>
        <w:rPr>
          <w:rFonts w:hint="eastAsia" w:ascii="宋体" w:hAnsi="宋体"/>
          <w:color w:val="auto"/>
          <w:szCs w:val="21"/>
          <w:highlight w:val="none"/>
        </w:rPr>
        <w:t>（7）所有项目工程的质量保修期不少于1年；</w:t>
      </w:r>
    </w:p>
    <w:p>
      <w:pPr>
        <w:spacing w:line="360" w:lineRule="auto"/>
        <w:rPr>
          <w:rFonts w:ascii="宋体" w:hAnsi="宋体"/>
          <w:color w:val="auto"/>
          <w:szCs w:val="21"/>
          <w:highlight w:val="none"/>
        </w:rPr>
      </w:pPr>
      <w:r>
        <w:rPr>
          <w:rFonts w:hint="eastAsia" w:ascii="宋体" w:hAnsi="宋体"/>
          <w:color w:val="auto"/>
          <w:szCs w:val="21"/>
          <w:highlight w:val="none"/>
        </w:rPr>
        <w:t>（8）桥梁工程为2年;</w:t>
      </w:r>
    </w:p>
    <w:p>
      <w:pPr>
        <w:spacing w:line="360" w:lineRule="auto"/>
        <w:rPr>
          <w:rFonts w:ascii="宋体" w:hAnsi="宋体"/>
          <w:color w:val="auto"/>
          <w:szCs w:val="21"/>
          <w:highlight w:val="none"/>
        </w:rPr>
      </w:pPr>
      <w:r>
        <w:rPr>
          <w:rFonts w:hint="eastAsia" w:ascii="宋体" w:hAnsi="宋体"/>
          <w:color w:val="auto"/>
          <w:szCs w:val="21"/>
          <w:highlight w:val="none"/>
        </w:rPr>
        <w:t>（9）道路工程为2年；</w:t>
      </w:r>
    </w:p>
    <w:p>
      <w:pPr>
        <w:spacing w:line="360" w:lineRule="auto"/>
        <w:rPr>
          <w:rFonts w:ascii="宋体" w:hAnsi="宋体"/>
          <w:color w:val="auto"/>
          <w:szCs w:val="21"/>
          <w:highlight w:val="none"/>
        </w:rPr>
      </w:pPr>
      <w:r>
        <w:rPr>
          <w:rFonts w:hint="eastAsia" w:ascii="宋体" w:hAnsi="宋体"/>
          <w:color w:val="auto"/>
          <w:szCs w:val="21"/>
          <w:highlight w:val="none"/>
        </w:rPr>
        <w:t>（10）排水（雨水）工程为2年；</w:t>
      </w:r>
    </w:p>
    <w:p>
      <w:pPr>
        <w:spacing w:line="360" w:lineRule="auto"/>
        <w:rPr>
          <w:rFonts w:ascii="宋体" w:hAnsi="宋体"/>
          <w:color w:val="auto"/>
          <w:szCs w:val="21"/>
          <w:highlight w:val="none"/>
        </w:rPr>
      </w:pPr>
      <w:r>
        <w:rPr>
          <w:rFonts w:hint="eastAsia" w:ascii="宋体" w:hAnsi="宋体"/>
          <w:color w:val="auto"/>
          <w:szCs w:val="21"/>
          <w:highlight w:val="none"/>
        </w:rPr>
        <w:t>（11）绿化工程为工程竣工综合验收合格后12个月；</w:t>
      </w:r>
    </w:p>
    <w:p>
      <w:pPr>
        <w:spacing w:line="360" w:lineRule="auto"/>
        <w:rPr>
          <w:rFonts w:ascii="宋体" w:hAnsi="宋体"/>
          <w:color w:val="auto"/>
          <w:szCs w:val="21"/>
          <w:highlight w:val="none"/>
        </w:rPr>
      </w:pPr>
      <w:r>
        <w:rPr>
          <w:rFonts w:hint="eastAsia" w:ascii="宋体" w:hAnsi="宋体"/>
          <w:color w:val="auto"/>
          <w:szCs w:val="21"/>
          <w:highlight w:val="none"/>
        </w:rPr>
        <w:t>（12）在没有明文规定下，参照建设工程质量保修条例，双方协商为设计文件规定的该工程的合理使用年限内保修；</w:t>
      </w:r>
    </w:p>
    <w:p>
      <w:pPr>
        <w:spacing w:line="360" w:lineRule="auto"/>
        <w:rPr>
          <w:rFonts w:ascii="宋体" w:hAnsi="宋体"/>
          <w:color w:val="auto"/>
          <w:szCs w:val="21"/>
          <w:highlight w:val="none"/>
        </w:rPr>
      </w:pPr>
      <w:r>
        <w:rPr>
          <w:rFonts w:hint="eastAsia" w:ascii="宋体" w:hAnsi="宋体"/>
          <w:color w:val="auto"/>
          <w:szCs w:val="21"/>
          <w:highlight w:val="none"/>
        </w:rPr>
        <w:t xml:space="preserve">（13）其他约定：                                                    </w:t>
      </w:r>
    </w:p>
    <w:p>
      <w:pPr>
        <w:spacing w:line="360" w:lineRule="auto"/>
        <w:rPr>
          <w:rFonts w:ascii="宋体" w:hAnsi="宋体"/>
          <w:color w:val="auto"/>
          <w:szCs w:val="21"/>
          <w:highlight w:val="none"/>
        </w:rPr>
      </w:pPr>
      <w:r>
        <w:rPr>
          <w:rFonts w:ascii="宋体" w:hAnsi="宋体"/>
          <w:color w:val="auto"/>
          <w:szCs w:val="21"/>
          <w:highlight w:val="none"/>
        </w:rPr>
        <w:t>　　三、缺陷责任期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hint="eastAsia" w:ascii="宋体" w:hAnsi="宋体"/>
          <w:color w:val="auto"/>
          <w:szCs w:val="21"/>
          <w:highlight w:val="none"/>
          <w:u w:val="single"/>
        </w:rPr>
        <w:t>24</w:t>
      </w:r>
      <w:r>
        <w:rPr>
          <w:rFonts w:ascii="宋体" w:hAnsi="宋体"/>
          <w:color w:val="auto"/>
          <w:szCs w:val="21"/>
          <w:highlight w:val="none"/>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pPr>
        <w:spacing w:line="360" w:lineRule="auto"/>
        <w:rPr>
          <w:rFonts w:ascii="宋体" w:hAnsi="宋体"/>
          <w:color w:val="auto"/>
          <w:szCs w:val="21"/>
          <w:highlight w:val="none"/>
        </w:rPr>
      </w:pPr>
      <w:r>
        <w:rPr>
          <w:rFonts w:ascii="宋体" w:hAnsi="宋体"/>
          <w:color w:val="auto"/>
          <w:szCs w:val="21"/>
          <w:highlight w:val="none"/>
        </w:rPr>
        <w:t xml:space="preserve">    四、质量保修责任</w:t>
      </w:r>
    </w:p>
    <w:p>
      <w:pPr>
        <w:spacing w:line="360" w:lineRule="auto"/>
        <w:ind w:left="105" w:leftChars="50" w:firstLine="430" w:firstLineChars="205"/>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发生紧急事故需抢修的，承包人在接到事故通知后，应当立即到达事故现场抢修。</w:t>
      </w:r>
    </w:p>
    <w:p>
      <w:pPr>
        <w:spacing w:line="360" w:lineRule="auto"/>
        <w:ind w:left="105" w:leftChars="50" w:firstLine="430" w:firstLineChars="205"/>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质量保修完成后，由发包人组织验收。</w:t>
      </w:r>
    </w:p>
    <w:p>
      <w:pPr>
        <w:spacing w:line="360" w:lineRule="auto"/>
        <w:rPr>
          <w:rFonts w:ascii="宋体" w:hAnsi="宋体"/>
          <w:color w:val="auto"/>
          <w:szCs w:val="21"/>
          <w:highlight w:val="none"/>
        </w:rPr>
      </w:pPr>
      <w:r>
        <w:rPr>
          <w:rFonts w:ascii="宋体" w:hAnsi="宋体"/>
          <w:color w:val="auto"/>
          <w:szCs w:val="21"/>
          <w:highlight w:val="none"/>
        </w:rPr>
        <w:t>　　五、保修费用</w:t>
      </w:r>
    </w:p>
    <w:p>
      <w:pPr>
        <w:spacing w:line="360" w:lineRule="auto"/>
        <w:rPr>
          <w:rFonts w:ascii="宋体" w:hAnsi="宋体"/>
          <w:color w:val="auto"/>
          <w:szCs w:val="21"/>
          <w:highlight w:val="none"/>
        </w:rPr>
      </w:pPr>
      <w:r>
        <w:rPr>
          <w:rFonts w:ascii="宋体" w:hAnsi="宋体"/>
          <w:color w:val="auto"/>
          <w:szCs w:val="21"/>
          <w:highlight w:val="none"/>
        </w:rPr>
        <w:t>　　保修费用由造成质量缺陷的责任方承担。</w:t>
      </w:r>
    </w:p>
    <w:p>
      <w:pPr>
        <w:spacing w:line="360" w:lineRule="auto"/>
        <w:ind w:firstLine="600"/>
        <w:jc w:val="left"/>
        <w:rPr>
          <w:rFonts w:ascii="宋体" w:hAnsi="宋体"/>
          <w:color w:val="auto"/>
          <w:szCs w:val="21"/>
          <w:highlight w:val="none"/>
        </w:rPr>
      </w:pPr>
      <w:r>
        <w:rPr>
          <w:rFonts w:ascii="宋体" w:hAnsi="宋体"/>
          <w:b/>
          <w:color w:val="auto"/>
          <w:szCs w:val="21"/>
          <w:highlight w:val="none"/>
        </w:rPr>
        <w:t>六</w:t>
      </w:r>
      <w:r>
        <w:rPr>
          <w:rFonts w:ascii="宋体" w:hAnsi="宋体"/>
          <w:color w:val="auto"/>
          <w:szCs w:val="21"/>
          <w:highlight w:val="none"/>
        </w:rPr>
        <w:t>、双方约定的其他工程质量保修事项：。</w:t>
      </w:r>
    </w:p>
    <w:p>
      <w:pPr>
        <w:spacing w:line="360" w:lineRule="auto"/>
        <w:ind w:firstLine="399" w:firstLineChars="190"/>
        <w:rPr>
          <w:rFonts w:ascii="宋体" w:hAnsi="宋体"/>
          <w:color w:val="auto"/>
          <w:szCs w:val="21"/>
          <w:highlight w:val="none"/>
        </w:rPr>
      </w:pPr>
      <w:r>
        <w:rPr>
          <w:rFonts w:ascii="宋体" w:hAnsi="宋体"/>
          <w:color w:val="auto"/>
          <w:szCs w:val="21"/>
          <w:highlight w:val="none"/>
        </w:rPr>
        <w:t>工程质量保修书由发包人、承包人在工程竣工验收前共同签署，作为施工合同附件，其有效期限至保修期满。</w:t>
      </w:r>
    </w:p>
    <w:p>
      <w:pPr>
        <w:spacing w:line="360" w:lineRule="auto"/>
        <w:ind w:firstLine="420"/>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发包人(公章)：</w:t>
      </w:r>
      <w:r>
        <w:rPr>
          <w:rFonts w:ascii="宋体" w:hAnsi="宋体"/>
          <w:color w:val="auto"/>
          <w:szCs w:val="21"/>
          <w:highlight w:val="none"/>
          <w:u w:val="single"/>
        </w:rPr>
        <w:t xml:space="preserve">        </w:t>
      </w:r>
      <w:r>
        <w:rPr>
          <w:rFonts w:ascii="宋体" w:hAnsi="宋体"/>
          <w:color w:val="auto"/>
          <w:szCs w:val="21"/>
          <w:highlight w:val="none"/>
        </w:rPr>
        <w:t xml:space="preserve"> 承包人(公章)：</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    </w:t>
      </w:r>
      <w:r>
        <w:rPr>
          <w:rFonts w:ascii="宋体" w:hAnsi="宋体"/>
          <w:color w:val="auto"/>
          <w:szCs w:val="21"/>
          <w:highlight w:val="none"/>
        </w:rPr>
        <w:t>地  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法定代表人(签字)：</w:t>
      </w:r>
      <w:r>
        <w:rPr>
          <w:rFonts w:ascii="宋体" w:hAnsi="宋体"/>
          <w:color w:val="auto"/>
          <w:szCs w:val="21"/>
          <w:highlight w:val="none"/>
          <w:u w:val="single"/>
        </w:rPr>
        <w:t></w:t>
      </w:r>
      <w:r>
        <w:rPr>
          <w:rFonts w:ascii="宋体" w:hAnsi="宋体"/>
          <w:color w:val="auto"/>
          <w:szCs w:val="21"/>
          <w:highlight w:val="none"/>
        </w:rPr>
        <w:t xml:space="preserve"> 法定代表人(签字)：</w:t>
      </w:r>
      <w:r>
        <w:rPr>
          <w:rFonts w:ascii="宋体" w:hAnsi="宋体"/>
          <w:color w:val="auto"/>
          <w:szCs w:val="21"/>
          <w:highlight w:val="none"/>
          <w:u w:val="single"/>
        </w:rPr>
        <w:t></w:t>
      </w:r>
    </w:p>
    <w:p>
      <w:pPr>
        <w:spacing w:line="360" w:lineRule="auto"/>
        <w:rPr>
          <w:rFonts w:ascii="宋体" w:hAnsi="宋体"/>
          <w:color w:val="auto"/>
          <w:szCs w:val="21"/>
          <w:highlight w:val="none"/>
        </w:rPr>
      </w:pPr>
      <w:r>
        <w:rPr>
          <w:rFonts w:ascii="宋体" w:hAnsi="宋体"/>
          <w:color w:val="auto"/>
          <w:szCs w:val="21"/>
          <w:highlight w:val="none"/>
        </w:rPr>
        <w:t>委托代理人(签字)：</w:t>
      </w:r>
      <w:r>
        <w:rPr>
          <w:rFonts w:ascii="宋体" w:hAnsi="宋体"/>
          <w:color w:val="auto"/>
          <w:szCs w:val="21"/>
          <w:highlight w:val="none"/>
          <w:u w:val="single"/>
        </w:rPr>
        <w:t xml:space="preserve">      </w:t>
      </w:r>
      <w:r>
        <w:rPr>
          <w:rFonts w:ascii="宋体" w:hAnsi="宋体"/>
          <w:color w:val="auto"/>
          <w:szCs w:val="21"/>
          <w:highlight w:val="none"/>
        </w:rPr>
        <w:t xml:space="preserve"> 委托代理人(签字)：</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ascii="宋体" w:hAnsi="宋体"/>
          <w:color w:val="auto"/>
          <w:szCs w:val="21"/>
          <w:highlight w:val="none"/>
        </w:rPr>
        <w:t xml:space="preserve"> 电  话：</w:t>
      </w:r>
      <w:r>
        <w:rPr>
          <w:rFonts w:ascii="宋体" w:hAnsi="宋体"/>
          <w:color w:val="auto"/>
          <w:szCs w:val="21"/>
          <w:highlight w:val="none"/>
          <w:u w:val="single"/>
        </w:rPr>
        <w:t></w:t>
      </w:r>
    </w:p>
    <w:p>
      <w:pPr>
        <w:spacing w:line="360" w:lineRule="auto"/>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r>
        <w:rPr>
          <w:rFonts w:ascii="宋体" w:hAnsi="宋体"/>
          <w:color w:val="auto"/>
          <w:szCs w:val="21"/>
          <w:highlight w:val="none"/>
        </w:rPr>
        <w:t xml:space="preserve"> 传  真：</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开户银行：</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账  号：</w:t>
      </w:r>
      <w:r>
        <w:rPr>
          <w:rFonts w:ascii="宋体" w:hAnsi="宋体"/>
          <w:color w:val="auto"/>
          <w:szCs w:val="21"/>
          <w:highlight w:val="none"/>
          <w:u w:val="single"/>
        </w:rPr>
        <w:t xml:space="preserve">       </w:t>
      </w:r>
      <w:r>
        <w:rPr>
          <w:rFonts w:ascii="宋体" w:hAnsi="宋体"/>
          <w:color w:val="auto"/>
          <w:szCs w:val="21"/>
          <w:highlight w:val="none"/>
        </w:rPr>
        <w:t>账 号：</w:t>
      </w:r>
      <w:r>
        <w:rPr>
          <w:rFonts w:ascii="宋体" w:hAnsi="宋体"/>
          <w:color w:val="auto"/>
          <w:szCs w:val="21"/>
          <w:highlight w:val="none"/>
          <w:u w:val="single"/>
        </w:rPr>
        <w:t></w:t>
      </w:r>
    </w:p>
    <w:p>
      <w:pPr>
        <w:spacing w:line="360" w:lineRule="auto"/>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    </w:t>
      </w:r>
      <w:r>
        <w:rPr>
          <w:rFonts w:ascii="宋体" w:hAnsi="宋体"/>
          <w:color w:val="auto"/>
          <w:szCs w:val="21"/>
          <w:highlight w:val="none"/>
        </w:rPr>
        <w:t xml:space="preserve"> 邮政编码：</w:t>
      </w:r>
      <w:r>
        <w:rPr>
          <w:rFonts w:ascii="宋体" w:hAnsi="宋体"/>
          <w:color w:val="auto"/>
          <w:szCs w:val="21"/>
          <w:highlight w:val="none"/>
          <w:u w:val="single"/>
        </w:rPr>
        <w:t xml:space="preserve">   </w:t>
      </w:r>
    </w:p>
    <w:p>
      <w:pPr>
        <w:spacing w:line="440" w:lineRule="exact"/>
        <w:rPr>
          <w:rFonts w:ascii="宋体" w:hAnsi="宋体"/>
          <w:color w:val="auto"/>
          <w:szCs w:val="21"/>
          <w:highlight w:val="none"/>
        </w:rPr>
      </w:pPr>
      <w:r>
        <w:rPr>
          <w:rFonts w:ascii="宋体" w:hAnsi="宋体"/>
          <w:b/>
          <w:color w:val="auto"/>
          <w:szCs w:val="21"/>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主要建设工程文件目录</w:t>
      </w:r>
    </w:p>
    <w:tbl>
      <w:tblPr>
        <w:tblStyle w:val="21"/>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文件名称</w:t>
            </w:r>
          </w:p>
        </w:tc>
        <w:tc>
          <w:tcPr>
            <w:tcW w:w="1276"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套数</w:t>
            </w:r>
          </w:p>
        </w:tc>
        <w:tc>
          <w:tcPr>
            <w:tcW w:w="1450"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费用</w:t>
            </w:r>
            <w:r>
              <w:rPr>
                <w:rFonts w:hint="eastAsia" w:ascii="宋体" w:hAnsi="宋体"/>
                <w:color w:val="auto"/>
                <w:szCs w:val="21"/>
                <w:highlight w:val="none"/>
              </w:rPr>
              <w:t>（元）</w:t>
            </w:r>
          </w:p>
        </w:tc>
        <w:tc>
          <w:tcPr>
            <w:tcW w:w="1243"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质量</w:t>
            </w:r>
          </w:p>
        </w:tc>
        <w:tc>
          <w:tcPr>
            <w:tcW w:w="1450" w:type="dxa"/>
            <w:tcBorders>
              <w:top w:val="single" w:color="auto" w:sz="12" w:space="0"/>
              <w:bottom w:val="double" w:color="auto" w:sz="6" w:space="0"/>
            </w:tcBorders>
          </w:tcPr>
          <w:p>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op w:val="single" w:color="auto" w:sz="12" w:space="0"/>
              <w:bottom w:val="double" w:color="auto" w:sz="6" w:space="0"/>
            </w:tcBorders>
          </w:tcPr>
          <w:p>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276"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45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243"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45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667"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276"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5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243"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5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667" w:type="dxa"/>
            <w:tcBorders>
              <w:top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color w:val="auto"/>
                <w:szCs w:val="21"/>
                <w:highlight w:val="none"/>
              </w:rPr>
            </w:pPr>
          </w:p>
        </w:tc>
        <w:tc>
          <w:tcPr>
            <w:tcW w:w="1276"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243"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667"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color w:val="auto"/>
                <w:szCs w:val="21"/>
                <w:highlight w:val="none"/>
              </w:rPr>
            </w:pPr>
          </w:p>
        </w:tc>
        <w:tc>
          <w:tcPr>
            <w:tcW w:w="1276"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243"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667"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color w:val="auto"/>
                <w:szCs w:val="21"/>
                <w:highlight w:val="none"/>
              </w:rPr>
            </w:pPr>
          </w:p>
        </w:tc>
        <w:tc>
          <w:tcPr>
            <w:tcW w:w="1276"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243"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667"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color w:val="auto"/>
                <w:szCs w:val="21"/>
                <w:highlight w:val="none"/>
              </w:rPr>
            </w:pPr>
          </w:p>
        </w:tc>
        <w:tc>
          <w:tcPr>
            <w:tcW w:w="1276"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243"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667"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color w:val="auto"/>
                <w:szCs w:val="21"/>
                <w:highlight w:val="none"/>
              </w:rPr>
            </w:pPr>
          </w:p>
        </w:tc>
        <w:tc>
          <w:tcPr>
            <w:tcW w:w="1276"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243"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667"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color w:val="auto"/>
                <w:szCs w:val="21"/>
                <w:highlight w:val="none"/>
              </w:rPr>
            </w:pPr>
          </w:p>
        </w:tc>
        <w:tc>
          <w:tcPr>
            <w:tcW w:w="1276"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243"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667"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Cs w:val="21"/>
                <w:highlight w:val="none"/>
              </w:rPr>
            </w:pPr>
          </w:p>
        </w:tc>
        <w:tc>
          <w:tcPr>
            <w:tcW w:w="1276"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243"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667" w:type="dxa"/>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color w:val="auto"/>
                <w:szCs w:val="21"/>
                <w:highlight w:val="none"/>
              </w:rPr>
            </w:pPr>
          </w:p>
        </w:tc>
        <w:tc>
          <w:tcPr>
            <w:tcW w:w="1276"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243" w:type="dxa"/>
            <w:vAlign w:val="center"/>
          </w:tcPr>
          <w:p>
            <w:pPr>
              <w:pStyle w:val="8"/>
              <w:keepNext/>
              <w:spacing w:line="440" w:lineRule="exact"/>
              <w:ind w:left="63" w:right="63"/>
              <w:rPr>
                <w:rFonts w:ascii="宋体" w:hAnsi="宋体"/>
                <w:color w:val="auto"/>
                <w:szCs w:val="21"/>
                <w:highlight w:val="none"/>
              </w:rPr>
            </w:pPr>
          </w:p>
        </w:tc>
        <w:tc>
          <w:tcPr>
            <w:tcW w:w="1450" w:type="dxa"/>
            <w:vAlign w:val="center"/>
          </w:tcPr>
          <w:p>
            <w:pPr>
              <w:pStyle w:val="8"/>
              <w:keepNext/>
              <w:spacing w:line="440" w:lineRule="exact"/>
              <w:ind w:left="63" w:right="63"/>
              <w:rPr>
                <w:rFonts w:ascii="宋体" w:hAnsi="宋体"/>
                <w:color w:val="auto"/>
                <w:szCs w:val="21"/>
                <w:highlight w:val="none"/>
              </w:rPr>
            </w:pPr>
          </w:p>
        </w:tc>
        <w:tc>
          <w:tcPr>
            <w:tcW w:w="1667"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Cs w:val="21"/>
                <w:highlight w:val="none"/>
              </w:rPr>
            </w:pPr>
          </w:p>
        </w:tc>
        <w:tc>
          <w:tcPr>
            <w:tcW w:w="1276"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243"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667" w:type="dxa"/>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Cs w:val="21"/>
                <w:highlight w:val="none"/>
              </w:rPr>
            </w:pPr>
          </w:p>
        </w:tc>
        <w:tc>
          <w:tcPr>
            <w:tcW w:w="1276"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243"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667" w:type="dxa"/>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Cs w:val="21"/>
                <w:highlight w:val="none"/>
              </w:rPr>
            </w:pPr>
          </w:p>
        </w:tc>
        <w:tc>
          <w:tcPr>
            <w:tcW w:w="1276"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243"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667" w:type="dxa"/>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Cs w:val="21"/>
                <w:highlight w:val="none"/>
              </w:rPr>
            </w:pPr>
          </w:p>
        </w:tc>
        <w:tc>
          <w:tcPr>
            <w:tcW w:w="1276"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243"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667" w:type="dxa"/>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Cs w:val="21"/>
                <w:highlight w:val="none"/>
              </w:rPr>
            </w:pPr>
          </w:p>
        </w:tc>
        <w:tc>
          <w:tcPr>
            <w:tcW w:w="1276"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243" w:type="dxa"/>
          </w:tcPr>
          <w:p>
            <w:pPr>
              <w:rPr>
                <w:rFonts w:ascii="宋体" w:hAnsi="宋体"/>
                <w:color w:val="auto"/>
                <w:szCs w:val="21"/>
                <w:highlight w:val="none"/>
              </w:rPr>
            </w:pPr>
          </w:p>
        </w:tc>
        <w:tc>
          <w:tcPr>
            <w:tcW w:w="1450" w:type="dxa"/>
          </w:tcPr>
          <w:p>
            <w:pPr>
              <w:rPr>
                <w:rFonts w:ascii="宋体" w:hAnsi="宋体"/>
                <w:color w:val="auto"/>
                <w:szCs w:val="21"/>
                <w:highlight w:val="none"/>
              </w:rPr>
            </w:pPr>
          </w:p>
        </w:tc>
        <w:tc>
          <w:tcPr>
            <w:tcW w:w="1667" w:type="dxa"/>
          </w:tcPr>
          <w:p>
            <w:pPr>
              <w:rPr>
                <w:rFonts w:ascii="宋体" w:hAnsi="宋体"/>
                <w:color w:val="auto"/>
                <w:szCs w:val="21"/>
                <w:highlight w:val="none"/>
              </w:rPr>
            </w:pPr>
          </w:p>
        </w:tc>
      </w:tr>
    </w:tbl>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524" w:name="_Toc267261698"/>
      <w:bookmarkStart w:id="525" w:name="_Toc296347226"/>
      <w:bookmarkStart w:id="526" w:name="_Toc296891267"/>
      <w:bookmarkStart w:id="527" w:name="_Toc296891055"/>
      <w:bookmarkStart w:id="528" w:name="_Toc296503227"/>
      <w:bookmarkStart w:id="529" w:name="_Toc296346728"/>
      <w:bookmarkStart w:id="530" w:name="_Toc296944566"/>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524"/>
    <w:bookmarkEnd w:id="525"/>
    <w:bookmarkEnd w:id="526"/>
    <w:bookmarkEnd w:id="527"/>
    <w:bookmarkEnd w:id="528"/>
    <w:bookmarkEnd w:id="529"/>
    <w:bookmarkEnd w:id="530"/>
    <w:p>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序号</w:t>
            </w:r>
          </w:p>
        </w:tc>
        <w:tc>
          <w:tcPr>
            <w:tcW w:w="1418"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机械或设备名称</w:t>
            </w:r>
          </w:p>
        </w:tc>
        <w:tc>
          <w:tcPr>
            <w:tcW w:w="850"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规格型号</w:t>
            </w:r>
          </w:p>
        </w:tc>
        <w:tc>
          <w:tcPr>
            <w:tcW w:w="1058"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数量</w:t>
            </w:r>
          </w:p>
        </w:tc>
        <w:tc>
          <w:tcPr>
            <w:tcW w:w="880"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产地</w:t>
            </w:r>
          </w:p>
        </w:tc>
        <w:tc>
          <w:tcPr>
            <w:tcW w:w="1020"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制造年份</w:t>
            </w:r>
          </w:p>
        </w:tc>
        <w:tc>
          <w:tcPr>
            <w:tcW w:w="1480"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额定功率(kW)</w:t>
            </w:r>
          </w:p>
        </w:tc>
        <w:tc>
          <w:tcPr>
            <w:tcW w:w="1020"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生产能力</w:t>
            </w:r>
          </w:p>
        </w:tc>
        <w:tc>
          <w:tcPr>
            <w:tcW w:w="921"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418"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85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058"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88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02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48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1020"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c>
          <w:tcPr>
            <w:tcW w:w="921" w:type="dxa"/>
            <w:tcBorders>
              <w:top w:val="double" w:color="auto" w:sz="6" w:space="0"/>
              <w:bottom w:val="single" w:color="auto" w:sz="6" w:space="0"/>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18"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5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058" w:type="dxa"/>
            <w:tcBorders>
              <w:top w:val="nil"/>
            </w:tcBorders>
            <w:vAlign w:val="center"/>
          </w:tcPr>
          <w:p>
            <w:pPr>
              <w:pStyle w:val="8"/>
              <w:keepNext/>
              <w:spacing w:line="440" w:lineRule="exact"/>
              <w:ind w:left="63" w:right="63"/>
              <w:rPr>
                <w:rFonts w:ascii="宋体" w:hAnsi="宋体"/>
                <w:color w:val="auto"/>
                <w:szCs w:val="21"/>
                <w:highlight w:val="none"/>
              </w:rPr>
            </w:pPr>
          </w:p>
        </w:tc>
        <w:tc>
          <w:tcPr>
            <w:tcW w:w="88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02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48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1020" w:type="dxa"/>
            <w:tcBorders>
              <w:top w:val="nil"/>
            </w:tcBorders>
            <w:vAlign w:val="center"/>
          </w:tcPr>
          <w:p>
            <w:pPr>
              <w:pStyle w:val="8"/>
              <w:keepNext/>
              <w:spacing w:line="440" w:lineRule="exact"/>
              <w:ind w:left="63" w:right="63"/>
              <w:rPr>
                <w:rFonts w:ascii="宋体" w:hAnsi="宋体"/>
                <w:color w:val="auto"/>
                <w:szCs w:val="21"/>
                <w:highlight w:val="none"/>
              </w:rPr>
            </w:pPr>
          </w:p>
        </w:tc>
        <w:tc>
          <w:tcPr>
            <w:tcW w:w="921" w:type="dxa"/>
            <w:tcBorders>
              <w:top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color w:val="auto"/>
                <w:szCs w:val="21"/>
                <w:highlight w:val="none"/>
              </w:rPr>
            </w:pPr>
          </w:p>
        </w:tc>
        <w:tc>
          <w:tcPr>
            <w:tcW w:w="1418"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058" w:type="dxa"/>
            <w:vAlign w:val="center"/>
          </w:tcPr>
          <w:p>
            <w:pPr>
              <w:pStyle w:val="8"/>
              <w:keepNext/>
              <w:spacing w:line="440" w:lineRule="exact"/>
              <w:ind w:left="63" w:right="63"/>
              <w:rPr>
                <w:rFonts w:ascii="宋体" w:hAnsi="宋体"/>
                <w:color w:val="auto"/>
                <w:szCs w:val="21"/>
                <w:highlight w:val="none"/>
              </w:rPr>
            </w:pPr>
          </w:p>
        </w:tc>
        <w:tc>
          <w:tcPr>
            <w:tcW w:w="8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14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921"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color w:val="auto"/>
                <w:szCs w:val="21"/>
                <w:highlight w:val="none"/>
              </w:rPr>
            </w:pPr>
          </w:p>
        </w:tc>
        <w:tc>
          <w:tcPr>
            <w:tcW w:w="1418"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058" w:type="dxa"/>
            <w:vAlign w:val="center"/>
          </w:tcPr>
          <w:p>
            <w:pPr>
              <w:pStyle w:val="8"/>
              <w:keepNext/>
              <w:spacing w:line="440" w:lineRule="exact"/>
              <w:ind w:left="63" w:right="63"/>
              <w:rPr>
                <w:rFonts w:ascii="宋体" w:hAnsi="宋体"/>
                <w:color w:val="auto"/>
                <w:szCs w:val="21"/>
                <w:highlight w:val="none"/>
              </w:rPr>
            </w:pPr>
          </w:p>
        </w:tc>
        <w:tc>
          <w:tcPr>
            <w:tcW w:w="8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14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921"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color w:val="auto"/>
                <w:szCs w:val="21"/>
                <w:highlight w:val="none"/>
              </w:rPr>
            </w:pPr>
          </w:p>
        </w:tc>
        <w:tc>
          <w:tcPr>
            <w:tcW w:w="1418"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058" w:type="dxa"/>
            <w:vAlign w:val="center"/>
          </w:tcPr>
          <w:p>
            <w:pPr>
              <w:pStyle w:val="8"/>
              <w:keepNext/>
              <w:spacing w:line="440" w:lineRule="exact"/>
              <w:ind w:left="63" w:right="63"/>
              <w:rPr>
                <w:rFonts w:ascii="宋体" w:hAnsi="宋体"/>
                <w:color w:val="auto"/>
                <w:szCs w:val="21"/>
                <w:highlight w:val="none"/>
              </w:rPr>
            </w:pPr>
          </w:p>
        </w:tc>
        <w:tc>
          <w:tcPr>
            <w:tcW w:w="8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14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921"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color w:val="auto"/>
                <w:szCs w:val="21"/>
                <w:highlight w:val="none"/>
              </w:rPr>
            </w:pPr>
          </w:p>
        </w:tc>
        <w:tc>
          <w:tcPr>
            <w:tcW w:w="1418"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058" w:type="dxa"/>
            <w:vAlign w:val="center"/>
          </w:tcPr>
          <w:p>
            <w:pPr>
              <w:pStyle w:val="8"/>
              <w:keepNext/>
              <w:spacing w:line="440" w:lineRule="exact"/>
              <w:ind w:left="63" w:right="63"/>
              <w:rPr>
                <w:rFonts w:ascii="宋体" w:hAnsi="宋体"/>
                <w:color w:val="auto"/>
                <w:szCs w:val="21"/>
                <w:highlight w:val="none"/>
              </w:rPr>
            </w:pPr>
          </w:p>
        </w:tc>
        <w:tc>
          <w:tcPr>
            <w:tcW w:w="8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14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921"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color w:val="auto"/>
                <w:szCs w:val="21"/>
                <w:highlight w:val="none"/>
              </w:rPr>
            </w:pPr>
          </w:p>
        </w:tc>
        <w:tc>
          <w:tcPr>
            <w:tcW w:w="1418"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058" w:type="dxa"/>
            <w:vAlign w:val="center"/>
          </w:tcPr>
          <w:p>
            <w:pPr>
              <w:pStyle w:val="8"/>
              <w:keepNext/>
              <w:spacing w:line="440" w:lineRule="exact"/>
              <w:ind w:left="63" w:right="63"/>
              <w:rPr>
                <w:rFonts w:ascii="宋体" w:hAnsi="宋体"/>
                <w:color w:val="auto"/>
                <w:szCs w:val="21"/>
                <w:highlight w:val="none"/>
              </w:rPr>
            </w:pPr>
          </w:p>
        </w:tc>
        <w:tc>
          <w:tcPr>
            <w:tcW w:w="8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14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921"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color w:val="auto"/>
                <w:szCs w:val="21"/>
                <w:highlight w:val="none"/>
              </w:rPr>
            </w:pPr>
          </w:p>
        </w:tc>
        <w:tc>
          <w:tcPr>
            <w:tcW w:w="1418"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058" w:type="dxa"/>
            <w:vAlign w:val="center"/>
          </w:tcPr>
          <w:p>
            <w:pPr>
              <w:pStyle w:val="8"/>
              <w:keepNext/>
              <w:spacing w:line="440" w:lineRule="exact"/>
              <w:ind w:left="63" w:right="63"/>
              <w:rPr>
                <w:rFonts w:ascii="宋体" w:hAnsi="宋体"/>
                <w:color w:val="auto"/>
                <w:szCs w:val="21"/>
                <w:highlight w:val="none"/>
              </w:rPr>
            </w:pPr>
          </w:p>
        </w:tc>
        <w:tc>
          <w:tcPr>
            <w:tcW w:w="8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14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921"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Cs w:val="21"/>
                <w:highlight w:val="none"/>
              </w:rPr>
            </w:pPr>
          </w:p>
        </w:tc>
        <w:tc>
          <w:tcPr>
            <w:tcW w:w="1418" w:type="dxa"/>
          </w:tcPr>
          <w:p>
            <w:pPr>
              <w:rPr>
                <w:rFonts w:ascii="宋体" w:hAnsi="宋体"/>
                <w:color w:val="auto"/>
                <w:szCs w:val="21"/>
                <w:highlight w:val="none"/>
              </w:rPr>
            </w:pPr>
          </w:p>
        </w:tc>
        <w:tc>
          <w:tcPr>
            <w:tcW w:w="850" w:type="dxa"/>
          </w:tcPr>
          <w:p>
            <w:pPr>
              <w:rPr>
                <w:rFonts w:ascii="宋体" w:hAnsi="宋体"/>
                <w:color w:val="auto"/>
                <w:szCs w:val="21"/>
                <w:highlight w:val="none"/>
              </w:rPr>
            </w:pPr>
          </w:p>
        </w:tc>
        <w:tc>
          <w:tcPr>
            <w:tcW w:w="1058" w:type="dxa"/>
          </w:tcPr>
          <w:p>
            <w:pPr>
              <w:rPr>
                <w:rFonts w:ascii="宋体" w:hAnsi="宋体"/>
                <w:color w:val="auto"/>
                <w:szCs w:val="21"/>
                <w:highlight w:val="none"/>
              </w:rPr>
            </w:pPr>
          </w:p>
        </w:tc>
        <w:tc>
          <w:tcPr>
            <w:tcW w:w="8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14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921" w:type="dxa"/>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color w:val="auto"/>
                <w:szCs w:val="21"/>
                <w:highlight w:val="none"/>
              </w:rPr>
            </w:pPr>
          </w:p>
        </w:tc>
        <w:tc>
          <w:tcPr>
            <w:tcW w:w="1418" w:type="dxa"/>
            <w:vAlign w:val="center"/>
          </w:tcPr>
          <w:p>
            <w:pPr>
              <w:pStyle w:val="8"/>
              <w:keepNext/>
              <w:spacing w:line="440" w:lineRule="exact"/>
              <w:ind w:left="63" w:right="63"/>
              <w:rPr>
                <w:rFonts w:ascii="宋体" w:hAnsi="宋体"/>
                <w:color w:val="auto"/>
                <w:szCs w:val="21"/>
                <w:highlight w:val="none"/>
              </w:rPr>
            </w:pPr>
          </w:p>
        </w:tc>
        <w:tc>
          <w:tcPr>
            <w:tcW w:w="850" w:type="dxa"/>
            <w:vAlign w:val="center"/>
          </w:tcPr>
          <w:p>
            <w:pPr>
              <w:pStyle w:val="8"/>
              <w:keepNext/>
              <w:spacing w:line="440" w:lineRule="exact"/>
              <w:ind w:left="63" w:right="63"/>
              <w:rPr>
                <w:rFonts w:ascii="宋体" w:hAnsi="宋体"/>
                <w:color w:val="auto"/>
                <w:szCs w:val="21"/>
                <w:highlight w:val="none"/>
              </w:rPr>
            </w:pPr>
          </w:p>
        </w:tc>
        <w:tc>
          <w:tcPr>
            <w:tcW w:w="1058" w:type="dxa"/>
            <w:vAlign w:val="center"/>
          </w:tcPr>
          <w:p>
            <w:pPr>
              <w:pStyle w:val="8"/>
              <w:keepNext/>
              <w:spacing w:line="440" w:lineRule="exact"/>
              <w:ind w:left="63" w:right="63"/>
              <w:rPr>
                <w:rFonts w:ascii="宋体" w:hAnsi="宋体"/>
                <w:color w:val="auto"/>
                <w:szCs w:val="21"/>
                <w:highlight w:val="none"/>
              </w:rPr>
            </w:pPr>
          </w:p>
        </w:tc>
        <w:tc>
          <w:tcPr>
            <w:tcW w:w="8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1480" w:type="dxa"/>
            <w:vAlign w:val="center"/>
          </w:tcPr>
          <w:p>
            <w:pPr>
              <w:pStyle w:val="8"/>
              <w:keepNext/>
              <w:spacing w:line="440" w:lineRule="exact"/>
              <w:ind w:left="63" w:right="63"/>
              <w:rPr>
                <w:rFonts w:ascii="宋体" w:hAnsi="宋体"/>
                <w:color w:val="auto"/>
                <w:szCs w:val="21"/>
                <w:highlight w:val="none"/>
              </w:rPr>
            </w:pPr>
          </w:p>
        </w:tc>
        <w:tc>
          <w:tcPr>
            <w:tcW w:w="1020" w:type="dxa"/>
            <w:vAlign w:val="center"/>
          </w:tcPr>
          <w:p>
            <w:pPr>
              <w:pStyle w:val="8"/>
              <w:keepNext/>
              <w:spacing w:line="440" w:lineRule="exact"/>
              <w:ind w:left="63" w:right="63"/>
              <w:rPr>
                <w:rFonts w:ascii="宋体" w:hAnsi="宋体"/>
                <w:color w:val="auto"/>
                <w:szCs w:val="21"/>
                <w:highlight w:val="none"/>
              </w:rPr>
            </w:pPr>
          </w:p>
        </w:tc>
        <w:tc>
          <w:tcPr>
            <w:tcW w:w="921"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Cs w:val="21"/>
                <w:highlight w:val="none"/>
              </w:rPr>
            </w:pPr>
          </w:p>
        </w:tc>
        <w:tc>
          <w:tcPr>
            <w:tcW w:w="1418" w:type="dxa"/>
          </w:tcPr>
          <w:p>
            <w:pPr>
              <w:rPr>
                <w:rFonts w:ascii="宋体" w:hAnsi="宋体"/>
                <w:color w:val="auto"/>
                <w:szCs w:val="21"/>
                <w:highlight w:val="none"/>
              </w:rPr>
            </w:pPr>
          </w:p>
        </w:tc>
        <w:tc>
          <w:tcPr>
            <w:tcW w:w="850" w:type="dxa"/>
          </w:tcPr>
          <w:p>
            <w:pPr>
              <w:rPr>
                <w:rFonts w:ascii="宋体" w:hAnsi="宋体"/>
                <w:color w:val="auto"/>
                <w:szCs w:val="21"/>
                <w:highlight w:val="none"/>
              </w:rPr>
            </w:pPr>
          </w:p>
        </w:tc>
        <w:tc>
          <w:tcPr>
            <w:tcW w:w="1058" w:type="dxa"/>
          </w:tcPr>
          <w:p>
            <w:pPr>
              <w:rPr>
                <w:rFonts w:ascii="宋体" w:hAnsi="宋体"/>
                <w:color w:val="auto"/>
                <w:szCs w:val="21"/>
                <w:highlight w:val="none"/>
              </w:rPr>
            </w:pPr>
          </w:p>
        </w:tc>
        <w:tc>
          <w:tcPr>
            <w:tcW w:w="8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14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921" w:type="dxa"/>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Cs w:val="21"/>
                <w:highlight w:val="none"/>
              </w:rPr>
            </w:pPr>
          </w:p>
        </w:tc>
        <w:tc>
          <w:tcPr>
            <w:tcW w:w="1418" w:type="dxa"/>
          </w:tcPr>
          <w:p>
            <w:pPr>
              <w:rPr>
                <w:rFonts w:ascii="宋体" w:hAnsi="宋体"/>
                <w:color w:val="auto"/>
                <w:szCs w:val="21"/>
                <w:highlight w:val="none"/>
              </w:rPr>
            </w:pPr>
          </w:p>
        </w:tc>
        <w:tc>
          <w:tcPr>
            <w:tcW w:w="850" w:type="dxa"/>
          </w:tcPr>
          <w:p>
            <w:pPr>
              <w:rPr>
                <w:rFonts w:ascii="宋体" w:hAnsi="宋体"/>
                <w:color w:val="auto"/>
                <w:szCs w:val="21"/>
                <w:highlight w:val="none"/>
              </w:rPr>
            </w:pPr>
          </w:p>
        </w:tc>
        <w:tc>
          <w:tcPr>
            <w:tcW w:w="1058" w:type="dxa"/>
          </w:tcPr>
          <w:p>
            <w:pPr>
              <w:rPr>
                <w:rFonts w:ascii="宋体" w:hAnsi="宋体"/>
                <w:color w:val="auto"/>
                <w:szCs w:val="21"/>
                <w:highlight w:val="none"/>
              </w:rPr>
            </w:pPr>
          </w:p>
        </w:tc>
        <w:tc>
          <w:tcPr>
            <w:tcW w:w="8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14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921" w:type="dxa"/>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Cs w:val="21"/>
                <w:highlight w:val="none"/>
              </w:rPr>
            </w:pPr>
          </w:p>
        </w:tc>
        <w:tc>
          <w:tcPr>
            <w:tcW w:w="1418" w:type="dxa"/>
          </w:tcPr>
          <w:p>
            <w:pPr>
              <w:rPr>
                <w:rFonts w:ascii="宋体" w:hAnsi="宋体"/>
                <w:color w:val="auto"/>
                <w:szCs w:val="21"/>
                <w:highlight w:val="none"/>
              </w:rPr>
            </w:pPr>
          </w:p>
        </w:tc>
        <w:tc>
          <w:tcPr>
            <w:tcW w:w="850" w:type="dxa"/>
          </w:tcPr>
          <w:p>
            <w:pPr>
              <w:rPr>
                <w:rFonts w:ascii="宋体" w:hAnsi="宋体"/>
                <w:color w:val="auto"/>
                <w:szCs w:val="21"/>
                <w:highlight w:val="none"/>
              </w:rPr>
            </w:pPr>
          </w:p>
        </w:tc>
        <w:tc>
          <w:tcPr>
            <w:tcW w:w="1058" w:type="dxa"/>
          </w:tcPr>
          <w:p>
            <w:pPr>
              <w:rPr>
                <w:rFonts w:ascii="宋体" w:hAnsi="宋体"/>
                <w:color w:val="auto"/>
                <w:szCs w:val="21"/>
                <w:highlight w:val="none"/>
              </w:rPr>
            </w:pPr>
          </w:p>
        </w:tc>
        <w:tc>
          <w:tcPr>
            <w:tcW w:w="8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14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921" w:type="dxa"/>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Cs w:val="21"/>
                <w:highlight w:val="none"/>
              </w:rPr>
            </w:pPr>
          </w:p>
        </w:tc>
        <w:tc>
          <w:tcPr>
            <w:tcW w:w="1418" w:type="dxa"/>
          </w:tcPr>
          <w:p>
            <w:pPr>
              <w:rPr>
                <w:rFonts w:ascii="宋体" w:hAnsi="宋体"/>
                <w:color w:val="auto"/>
                <w:szCs w:val="21"/>
                <w:highlight w:val="none"/>
              </w:rPr>
            </w:pPr>
          </w:p>
        </w:tc>
        <w:tc>
          <w:tcPr>
            <w:tcW w:w="850" w:type="dxa"/>
          </w:tcPr>
          <w:p>
            <w:pPr>
              <w:rPr>
                <w:rFonts w:ascii="宋体" w:hAnsi="宋体"/>
                <w:color w:val="auto"/>
                <w:szCs w:val="21"/>
                <w:highlight w:val="none"/>
              </w:rPr>
            </w:pPr>
          </w:p>
        </w:tc>
        <w:tc>
          <w:tcPr>
            <w:tcW w:w="1058" w:type="dxa"/>
          </w:tcPr>
          <w:p>
            <w:pPr>
              <w:rPr>
                <w:rFonts w:ascii="宋体" w:hAnsi="宋体"/>
                <w:color w:val="auto"/>
                <w:szCs w:val="21"/>
                <w:highlight w:val="none"/>
              </w:rPr>
            </w:pPr>
          </w:p>
        </w:tc>
        <w:tc>
          <w:tcPr>
            <w:tcW w:w="8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1480" w:type="dxa"/>
          </w:tcPr>
          <w:p>
            <w:pPr>
              <w:rPr>
                <w:rFonts w:ascii="宋体" w:hAnsi="宋体"/>
                <w:color w:val="auto"/>
                <w:szCs w:val="21"/>
                <w:highlight w:val="none"/>
              </w:rPr>
            </w:pPr>
          </w:p>
        </w:tc>
        <w:tc>
          <w:tcPr>
            <w:tcW w:w="1020" w:type="dxa"/>
          </w:tcPr>
          <w:p>
            <w:pPr>
              <w:rPr>
                <w:rFonts w:ascii="宋体" w:hAnsi="宋体"/>
                <w:color w:val="auto"/>
                <w:szCs w:val="21"/>
                <w:highlight w:val="none"/>
              </w:rPr>
            </w:pPr>
          </w:p>
        </w:tc>
        <w:tc>
          <w:tcPr>
            <w:tcW w:w="921" w:type="dxa"/>
          </w:tcPr>
          <w:p>
            <w:pPr>
              <w:rPr>
                <w:rFonts w:ascii="宋体" w:hAnsi="宋体"/>
                <w:color w:val="auto"/>
                <w:szCs w:val="21"/>
                <w:highlight w:val="none"/>
              </w:rPr>
            </w:pPr>
          </w:p>
        </w:tc>
      </w:tr>
    </w:tbl>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附</w:t>
      </w:r>
      <w:bookmarkStart w:id="531" w:name="_Toc296503228"/>
      <w:bookmarkStart w:id="532" w:name="_Toc296347227"/>
      <w:bookmarkStart w:id="533" w:name="_Toc267261699"/>
      <w:bookmarkStart w:id="534" w:name="_Toc296346729"/>
      <w:bookmarkStart w:id="535" w:name="_Toc296891268"/>
      <w:bookmarkStart w:id="536" w:name="_Toc296944567"/>
      <w:bookmarkStart w:id="537" w:name="_Toc296891056"/>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531"/>
    <w:bookmarkEnd w:id="532"/>
    <w:bookmarkEnd w:id="533"/>
    <w:bookmarkEnd w:id="534"/>
    <w:bookmarkEnd w:id="535"/>
    <w:bookmarkEnd w:id="536"/>
    <w:bookmarkEnd w:id="537"/>
    <w:p>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名    称</w:t>
            </w:r>
          </w:p>
        </w:tc>
        <w:tc>
          <w:tcPr>
            <w:tcW w:w="1418"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姓名</w:t>
            </w:r>
          </w:p>
        </w:tc>
        <w:tc>
          <w:tcPr>
            <w:tcW w:w="1134"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职务</w:t>
            </w:r>
          </w:p>
        </w:tc>
        <w:tc>
          <w:tcPr>
            <w:tcW w:w="1134"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职称</w:t>
            </w:r>
          </w:p>
        </w:tc>
        <w:tc>
          <w:tcPr>
            <w:tcW w:w="4252"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项目主管</w:t>
            </w:r>
          </w:p>
        </w:tc>
        <w:tc>
          <w:tcPr>
            <w:tcW w:w="1418" w:type="dxa"/>
            <w:tcBorders>
              <w:top w:val="nil"/>
            </w:tcBorders>
            <w:vAlign w:val="center"/>
          </w:tcPr>
          <w:p>
            <w:pPr>
              <w:spacing w:line="440" w:lineRule="exact"/>
              <w:jc w:val="center"/>
              <w:rPr>
                <w:rFonts w:ascii="宋体" w:hAnsi="宋体"/>
                <w:color w:val="auto"/>
                <w:szCs w:val="21"/>
                <w:highlight w:val="none"/>
              </w:rPr>
            </w:pPr>
          </w:p>
        </w:tc>
        <w:tc>
          <w:tcPr>
            <w:tcW w:w="1134" w:type="dxa"/>
            <w:tcBorders>
              <w:top w:val="nil"/>
            </w:tcBorders>
            <w:vAlign w:val="center"/>
          </w:tcPr>
          <w:p>
            <w:pPr>
              <w:spacing w:line="440" w:lineRule="exact"/>
              <w:jc w:val="center"/>
              <w:rPr>
                <w:rFonts w:ascii="宋体" w:hAnsi="宋体"/>
                <w:color w:val="auto"/>
                <w:szCs w:val="21"/>
                <w:highlight w:val="none"/>
              </w:rPr>
            </w:pPr>
          </w:p>
        </w:tc>
        <w:tc>
          <w:tcPr>
            <w:tcW w:w="1134" w:type="dxa"/>
            <w:tcBorders>
              <w:top w:val="nil"/>
            </w:tcBorders>
            <w:vAlign w:val="center"/>
          </w:tcPr>
          <w:p>
            <w:pPr>
              <w:pStyle w:val="8"/>
              <w:keepNext/>
              <w:spacing w:line="440" w:lineRule="exact"/>
              <w:ind w:left="63" w:right="63"/>
              <w:rPr>
                <w:rFonts w:ascii="宋体" w:hAnsi="宋体"/>
                <w:color w:val="auto"/>
                <w:szCs w:val="21"/>
                <w:highlight w:val="none"/>
              </w:rPr>
            </w:pPr>
          </w:p>
        </w:tc>
        <w:tc>
          <w:tcPr>
            <w:tcW w:w="4252" w:type="dxa"/>
            <w:tcBorders>
              <w:top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其他人员</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项目经理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项目副经理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技术负责人</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造价管理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质量管理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材料管理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计划管理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安全管理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其他人员</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color w:val="auto"/>
                <w:szCs w:val="21"/>
                <w:highlight w:val="none"/>
              </w:rPr>
            </w:pPr>
          </w:p>
        </w:tc>
        <w:tc>
          <w:tcPr>
            <w:tcW w:w="1418" w:type="dxa"/>
            <w:tcBorders>
              <w:bottom w:val="nil"/>
            </w:tcBorders>
            <w:vAlign w:val="center"/>
          </w:tcPr>
          <w:p>
            <w:pPr>
              <w:spacing w:line="440" w:lineRule="exact"/>
              <w:jc w:val="center"/>
              <w:rPr>
                <w:rFonts w:ascii="宋体" w:hAnsi="宋体"/>
                <w:color w:val="auto"/>
                <w:szCs w:val="21"/>
                <w:highlight w:val="none"/>
              </w:rPr>
            </w:pPr>
          </w:p>
        </w:tc>
        <w:tc>
          <w:tcPr>
            <w:tcW w:w="1134" w:type="dxa"/>
            <w:tcBorders>
              <w:bottom w:val="nil"/>
            </w:tcBorders>
            <w:vAlign w:val="center"/>
          </w:tcPr>
          <w:p>
            <w:pPr>
              <w:spacing w:line="440" w:lineRule="exact"/>
              <w:jc w:val="center"/>
              <w:rPr>
                <w:rFonts w:ascii="宋体" w:hAnsi="宋体"/>
                <w:color w:val="auto"/>
                <w:szCs w:val="21"/>
                <w:highlight w:val="none"/>
              </w:rPr>
            </w:pPr>
          </w:p>
        </w:tc>
        <w:tc>
          <w:tcPr>
            <w:tcW w:w="1134" w:type="dxa"/>
            <w:tcBorders>
              <w:bottom w:val="nil"/>
            </w:tcBorders>
            <w:vAlign w:val="center"/>
          </w:tcPr>
          <w:p>
            <w:pPr>
              <w:pStyle w:val="8"/>
              <w:keepNext/>
              <w:spacing w:line="440" w:lineRule="exact"/>
              <w:ind w:left="63" w:right="63"/>
              <w:rPr>
                <w:rFonts w:ascii="宋体" w:hAnsi="宋体"/>
                <w:color w:val="auto"/>
                <w:szCs w:val="21"/>
                <w:highlight w:val="none"/>
              </w:rPr>
            </w:pPr>
          </w:p>
        </w:tc>
        <w:tc>
          <w:tcPr>
            <w:tcW w:w="4252" w:type="dxa"/>
            <w:tcBorders>
              <w:bottom w:val="nil"/>
            </w:tcBorders>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pStyle w:val="8"/>
              <w:keepNext/>
              <w:spacing w:line="440" w:lineRule="exact"/>
              <w:ind w:left="63" w:right="63"/>
              <w:rPr>
                <w:rFonts w:ascii="宋体" w:hAnsi="宋体"/>
                <w:color w:val="auto"/>
                <w:szCs w:val="21"/>
                <w:highlight w:val="none"/>
              </w:rPr>
            </w:pPr>
          </w:p>
        </w:tc>
        <w:tc>
          <w:tcPr>
            <w:tcW w:w="4252" w:type="dxa"/>
            <w:vAlign w:val="center"/>
          </w:tcPr>
          <w:p>
            <w:pPr>
              <w:pStyle w:val="8"/>
              <w:keepNext/>
              <w:spacing w:line="440" w:lineRule="exact"/>
              <w:ind w:left="63" w:right="63"/>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440" w:lineRule="exact"/>
              <w:jc w:val="center"/>
              <w:rPr>
                <w:rFonts w:ascii="宋体" w:hAnsi="宋体"/>
                <w:color w:val="auto"/>
                <w:szCs w:val="21"/>
                <w:highlight w:val="none"/>
              </w:rPr>
            </w:pPr>
          </w:p>
        </w:tc>
        <w:tc>
          <w:tcPr>
            <w:tcW w:w="1418" w:type="dxa"/>
            <w:tcBorders>
              <w:bottom w:val="single" w:color="auto" w:sz="12" w:space="0"/>
            </w:tcBorders>
            <w:vAlign w:val="center"/>
          </w:tcPr>
          <w:p>
            <w:pPr>
              <w:spacing w:line="440" w:lineRule="exact"/>
              <w:jc w:val="center"/>
              <w:rPr>
                <w:rFonts w:ascii="宋体" w:hAnsi="宋体"/>
                <w:color w:val="auto"/>
                <w:szCs w:val="21"/>
                <w:highlight w:val="none"/>
              </w:rPr>
            </w:pPr>
          </w:p>
        </w:tc>
        <w:tc>
          <w:tcPr>
            <w:tcW w:w="1134" w:type="dxa"/>
            <w:tcBorders>
              <w:bottom w:val="single" w:color="auto" w:sz="12" w:space="0"/>
            </w:tcBorders>
            <w:vAlign w:val="center"/>
          </w:tcPr>
          <w:p>
            <w:pPr>
              <w:spacing w:line="440" w:lineRule="exact"/>
              <w:jc w:val="center"/>
              <w:rPr>
                <w:rFonts w:ascii="宋体" w:hAnsi="宋体"/>
                <w:color w:val="auto"/>
                <w:szCs w:val="21"/>
                <w:highlight w:val="none"/>
              </w:rPr>
            </w:pPr>
          </w:p>
        </w:tc>
        <w:tc>
          <w:tcPr>
            <w:tcW w:w="1134" w:type="dxa"/>
            <w:tcBorders>
              <w:bottom w:val="single" w:color="auto" w:sz="12" w:space="0"/>
            </w:tcBorders>
            <w:vAlign w:val="center"/>
          </w:tcPr>
          <w:p>
            <w:pPr>
              <w:pStyle w:val="8"/>
              <w:keepNext/>
              <w:spacing w:line="440" w:lineRule="exact"/>
              <w:ind w:left="63" w:right="63"/>
              <w:rPr>
                <w:rFonts w:ascii="宋体" w:hAnsi="宋体"/>
                <w:color w:val="auto"/>
                <w:szCs w:val="21"/>
                <w:highlight w:val="none"/>
              </w:rPr>
            </w:pPr>
          </w:p>
        </w:tc>
        <w:tc>
          <w:tcPr>
            <w:tcW w:w="4252" w:type="dxa"/>
            <w:tcBorders>
              <w:bottom w:val="single" w:color="auto" w:sz="12" w:space="0"/>
            </w:tcBorders>
            <w:vAlign w:val="center"/>
          </w:tcPr>
          <w:p>
            <w:pPr>
              <w:pStyle w:val="8"/>
              <w:keepNext/>
              <w:spacing w:line="440" w:lineRule="exact"/>
              <w:ind w:left="63" w:right="63"/>
              <w:rPr>
                <w:rFonts w:ascii="宋体" w:hAnsi="宋体"/>
                <w:color w:val="auto"/>
                <w:szCs w:val="21"/>
                <w:highlight w:val="none"/>
              </w:rPr>
            </w:pPr>
          </w:p>
        </w:tc>
      </w:tr>
    </w:tbl>
    <w:p>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538" w:name="_Toc296891057"/>
      <w:bookmarkStart w:id="539" w:name="_Toc296347228"/>
      <w:bookmarkStart w:id="540" w:name="_Toc296346730"/>
      <w:bookmarkStart w:id="541" w:name="_Toc296891269"/>
      <w:bookmarkStart w:id="542" w:name="_Toc296944568"/>
      <w:bookmarkStart w:id="543" w:name="_Toc296503229"/>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538"/>
    <w:bookmarkEnd w:id="539"/>
    <w:bookmarkEnd w:id="540"/>
    <w:bookmarkEnd w:id="541"/>
    <w:bookmarkEnd w:id="542"/>
    <w:bookmarkEnd w:id="543"/>
    <w:p>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名    称</w:t>
            </w:r>
          </w:p>
        </w:tc>
        <w:tc>
          <w:tcPr>
            <w:tcW w:w="1418"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姓名</w:t>
            </w:r>
          </w:p>
        </w:tc>
        <w:tc>
          <w:tcPr>
            <w:tcW w:w="1134"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职务</w:t>
            </w:r>
          </w:p>
        </w:tc>
        <w:tc>
          <w:tcPr>
            <w:tcW w:w="1134"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职称</w:t>
            </w:r>
          </w:p>
        </w:tc>
        <w:tc>
          <w:tcPr>
            <w:tcW w:w="4252" w:type="dxa"/>
            <w:tcBorders>
              <w:top w:val="single" w:color="auto" w:sz="12" w:space="0"/>
              <w:bottom w:val="doub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项目主管</w:t>
            </w:r>
          </w:p>
        </w:tc>
        <w:tc>
          <w:tcPr>
            <w:tcW w:w="1418" w:type="dxa"/>
            <w:tcBorders>
              <w:top w:val="nil"/>
            </w:tcBorders>
            <w:vAlign w:val="center"/>
          </w:tcPr>
          <w:p>
            <w:pPr>
              <w:spacing w:line="440" w:lineRule="exact"/>
              <w:jc w:val="center"/>
              <w:rPr>
                <w:rFonts w:ascii="宋体" w:hAnsi="宋体"/>
                <w:color w:val="auto"/>
                <w:szCs w:val="21"/>
                <w:highlight w:val="none"/>
              </w:rPr>
            </w:pPr>
          </w:p>
        </w:tc>
        <w:tc>
          <w:tcPr>
            <w:tcW w:w="1134" w:type="dxa"/>
            <w:tcBorders>
              <w:top w:val="nil"/>
            </w:tcBorders>
            <w:vAlign w:val="center"/>
          </w:tcPr>
          <w:p>
            <w:pPr>
              <w:spacing w:line="440" w:lineRule="exact"/>
              <w:jc w:val="center"/>
              <w:rPr>
                <w:rFonts w:ascii="宋体" w:hAnsi="宋体"/>
                <w:color w:val="auto"/>
                <w:szCs w:val="21"/>
                <w:highlight w:val="none"/>
              </w:rPr>
            </w:pPr>
          </w:p>
        </w:tc>
        <w:tc>
          <w:tcPr>
            <w:tcW w:w="1134" w:type="dxa"/>
            <w:tcBorders>
              <w:top w:val="nil"/>
            </w:tcBorders>
            <w:vAlign w:val="center"/>
          </w:tcPr>
          <w:p>
            <w:pPr>
              <w:spacing w:line="440" w:lineRule="exact"/>
              <w:jc w:val="center"/>
              <w:rPr>
                <w:rFonts w:ascii="宋体" w:hAnsi="宋体"/>
                <w:color w:val="auto"/>
                <w:szCs w:val="21"/>
                <w:highlight w:val="none"/>
              </w:rPr>
            </w:pPr>
          </w:p>
        </w:tc>
        <w:tc>
          <w:tcPr>
            <w:tcW w:w="4252" w:type="dxa"/>
            <w:tcBorders>
              <w:top w:val="nil"/>
            </w:tcBorders>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其他人员</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项目经理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项目副经理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技术负责人</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造价管理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质量管理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材料管理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计划管理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安全管理</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440" w:lineRule="exact"/>
              <w:jc w:val="center"/>
              <w:rPr>
                <w:rFonts w:ascii="宋体" w:hAnsi="宋体"/>
                <w:color w:val="auto"/>
                <w:szCs w:val="21"/>
                <w:highlight w:val="none"/>
              </w:rPr>
            </w:pPr>
            <w:r>
              <w:rPr>
                <w:rFonts w:ascii="宋体" w:hAnsi="宋体"/>
                <w:color w:val="auto"/>
                <w:szCs w:val="21"/>
                <w:highlight w:val="none"/>
              </w:rPr>
              <w:t>其他人员</w:t>
            </w: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color w:val="auto"/>
                <w:szCs w:val="21"/>
                <w:highlight w:val="none"/>
              </w:rPr>
            </w:pPr>
          </w:p>
        </w:tc>
        <w:tc>
          <w:tcPr>
            <w:tcW w:w="1418" w:type="dxa"/>
            <w:tcBorders>
              <w:bottom w:val="nil"/>
            </w:tcBorders>
            <w:vAlign w:val="center"/>
          </w:tcPr>
          <w:p>
            <w:pPr>
              <w:spacing w:line="440" w:lineRule="exact"/>
              <w:jc w:val="center"/>
              <w:rPr>
                <w:rFonts w:ascii="宋体" w:hAnsi="宋体"/>
                <w:color w:val="auto"/>
                <w:szCs w:val="21"/>
                <w:highlight w:val="none"/>
              </w:rPr>
            </w:pPr>
          </w:p>
        </w:tc>
        <w:tc>
          <w:tcPr>
            <w:tcW w:w="1134" w:type="dxa"/>
            <w:tcBorders>
              <w:bottom w:val="nil"/>
            </w:tcBorders>
            <w:vAlign w:val="center"/>
          </w:tcPr>
          <w:p>
            <w:pPr>
              <w:spacing w:line="440" w:lineRule="exact"/>
              <w:jc w:val="center"/>
              <w:rPr>
                <w:rFonts w:ascii="宋体" w:hAnsi="宋体"/>
                <w:color w:val="auto"/>
                <w:szCs w:val="21"/>
                <w:highlight w:val="none"/>
              </w:rPr>
            </w:pPr>
          </w:p>
        </w:tc>
        <w:tc>
          <w:tcPr>
            <w:tcW w:w="1134" w:type="dxa"/>
            <w:tcBorders>
              <w:bottom w:val="nil"/>
            </w:tcBorders>
            <w:vAlign w:val="center"/>
          </w:tcPr>
          <w:p>
            <w:pPr>
              <w:spacing w:line="440" w:lineRule="exact"/>
              <w:jc w:val="center"/>
              <w:rPr>
                <w:rFonts w:ascii="宋体" w:hAnsi="宋体"/>
                <w:color w:val="auto"/>
                <w:szCs w:val="21"/>
                <w:highlight w:val="none"/>
              </w:rPr>
            </w:pPr>
          </w:p>
        </w:tc>
        <w:tc>
          <w:tcPr>
            <w:tcW w:w="4252" w:type="dxa"/>
            <w:tcBorders>
              <w:bottom w:val="nil"/>
            </w:tcBorders>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color w:val="auto"/>
                <w:szCs w:val="21"/>
                <w:highlight w:val="none"/>
              </w:rPr>
            </w:pPr>
          </w:p>
        </w:tc>
        <w:tc>
          <w:tcPr>
            <w:tcW w:w="1418"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1134" w:type="dxa"/>
            <w:vAlign w:val="center"/>
          </w:tcPr>
          <w:p>
            <w:pPr>
              <w:spacing w:line="440" w:lineRule="exact"/>
              <w:jc w:val="center"/>
              <w:rPr>
                <w:rFonts w:ascii="宋体" w:hAnsi="宋体"/>
                <w:color w:val="auto"/>
                <w:szCs w:val="21"/>
                <w:highlight w:val="none"/>
              </w:rPr>
            </w:pPr>
          </w:p>
        </w:tc>
        <w:tc>
          <w:tcPr>
            <w:tcW w:w="4252" w:type="dxa"/>
            <w:vAlign w:val="center"/>
          </w:tcPr>
          <w:p>
            <w:pPr>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440" w:lineRule="exact"/>
              <w:jc w:val="center"/>
              <w:rPr>
                <w:rFonts w:ascii="宋体" w:hAnsi="宋体"/>
                <w:color w:val="auto"/>
                <w:szCs w:val="21"/>
                <w:highlight w:val="none"/>
              </w:rPr>
            </w:pPr>
          </w:p>
        </w:tc>
        <w:tc>
          <w:tcPr>
            <w:tcW w:w="1418" w:type="dxa"/>
            <w:tcBorders>
              <w:bottom w:val="single" w:color="auto" w:sz="12" w:space="0"/>
            </w:tcBorders>
            <w:vAlign w:val="center"/>
          </w:tcPr>
          <w:p>
            <w:pPr>
              <w:spacing w:line="440" w:lineRule="exact"/>
              <w:jc w:val="center"/>
              <w:rPr>
                <w:rFonts w:ascii="宋体" w:hAnsi="宋体"/>
                <w:color w:val="auto"/>
                <w:szCs w:val="21"/>
                <w:highlight w:val="none"/>
              </w:rPr>
            </w:pPr>
          </w:p>
        </w:tc>
        <w:tc>
          <w:tcPr>
            <w:tcW w:w="1134" w:type="dxa"/>
            <w:tcBorders>
              <w:bottom w:val="single" w:color="auto" w:sz="12" w:space="0"/>
            </w:tcBorders>
            <w:vAlign w:val="center"/>
          </w:tcPr>
          <w:p>
            <w:pPr>
              <w:spacing w:line="440" w:lineRule="exact"/>
              <w:jc w:val="center"/>
              <w:rPr>
                <w:rFonts w:ascii="宋体" w:hAnsi="宋体"/>
                <w:color w:val="auto"/>
                <w:szCs w:val="21"/>
                <w:highlight w:val="none"/>
              </w:rPr>
            </w:pPr>
          </w:p>
        </w:tc>
        <w:tc>
          <w:tcPr>
            <w:tcW w:w="1134" w:type="dxa"/>
            <w:tcBorders>
              <w:bottom w:val="single" w:color="auto" w:sz="12" w:space="0"/>
            </w:tcBorders>
            <w:vAlign w:val="center"/>
          </w:tcPr>
          <w:p>
            <w:pPr>
              <w:spacing w:line="440" w:lineRule="exact"/>
              <w:jc w:val="center"/>
              <w:rPr>
                <w:rFonts w:ascii="宋体" w:hAnsi="宋体"/>
                <w:color w:val="auto"/>
                <w:szCs w:val="21"/>
                <w:highlight w:val="none"/>
              </w:rPr>
            </w:pPr>
          </w:p>
        </w:tc>
        <w:tc>
          <w:tcPr>
            <w:tcW w:w="4252" w:type="dxa"/>
            <w:tcBorders>
              <w:bottom w:val="single" w:color="auto" w:sz="12" w:space="0"/>
            </w:tcBorders>
            <w:vAlign w:val="center"/>
          </w:tcPr>
          <w:p>
            <w:pPr>
              <w:spacing w:line="440" w:lineRule="exact"/>
              <w:jc w:val="center"/>
              <w:rPr>
                <w:rFonts w:ascii="宋体" w:hAnsi="宋体"/>
                <w:color w:val="auto"/>
                <w:szCs w:val="21"/>
                <w:highlight w:val="none"/>
              </w:rPr>
            </w:pPr>
          </w:p>
        </w:tc>
      </w:tr>
    </w:tbl>
    <w:p>
      <w:pPr>
        <w:spacing w:line="440" w:lineRule="exact"/>
        <w:rPr>
          <w:rFonts w:ascii="宋体" w:hAnsi="宋体"/>
          <w:color w:val="auto"/>
          <w:szCs w:val="21"/>
          <w:highlight w:val="none"/>
        </w:rPr>
      </w:pPr>
      <w:r>
        <w:rPr>
          <w:rFonts w:ascii="宋体" w:hAnsi="宋体"/>
          <w:color w:val="auto"/>
          <w:szCs w:val="21"/>
          <w:highlight w:val="none"/>
        </w:rPr>
        <w:br w:type="page"/>
      </w:r>
      <w:bookmarkStart w:id="544" w:name="_Toc267261701"/>
      <w:r>
        <w:rPr>
          <w:rFonts w:ascii="宋体" w:hAnsi="宋体"/>
          <w:color w:val="auto"/>
          <w:szCs w:val="21"/>
          <w:highlight w:val="none"/>
        </w:rPr>
        <w:t>附</w:t>
      </w:r>
      <w:bookmarkStart w:id="545" w:name="_Toc296944570"/>
      <w:bookmarkStart w:id="546" w:name="_Toc296346732"/>
      <w:bookmarkStart w:id="547" w:name="_Toc296891271"/>
      <w:bookmarkStart w:id="548" w:name="_Toc296891059"/>
      <w:bookmarkStart w:id="549" w:name="_Toc296503231"/>
      <w:bookmarkStart w:id="550" w:name="_Toc296347230"/>
      <w:r>
        <w:rPr>
          <w:rFonts w:ascii="宋体" w:hAnsi="宋体"/>
          <w:color w:val="auto"/>
          <w:szCs w:val="21"/>
          <w:highlight w:val="none"/>
        </w:rPr>
        <w:t>件</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（如有）</w:t>
      </w:r>
    </w:p>
    <w:bookmarkEnd w:id="544"/>
    <w:bookmarkEnd w:id="545"/>
    <w:bookmarkEnd w:id="546"/>
    <w:bookmarkEnd w:id="547"/>
    <w:bookmarkEnd w:id="548"/>
    <w:bookmarkEnd w:id="549"/>
    <w:bookmarkEnd w:id="550"/>
    <w:p>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履约担保</w:t>
      </w:r>
    </w:p>
    <w:p>
      <w:pPr>
        <w:spacing w:line="440" w:lineRule="exact"/>
        <w:rPr>
          <w:rFonts w:ascii="宋体" w:hAnsi="宋体"/>
          <w:color w:val="auto"/>
          <w:szCs w:val="21"/>
          <w:highlight w:val="none"/>
        </w:rPr>
      </w:pPr>
      <w:r>
        <w:rPr>
          <w:rFonts w:ascii="宋体" w:hAnsi="宋体"/>
          <w:color w:val="auto"/>
          <w:szCs w:val="21"/>
          <w:highlight w:val="none"/>
          <w:u w:val="single"/>
        </w:rPr>
        <w:tab/>
      </w:r>
      <w:r>
        <w:rPr>
          <w:rFonts w:ascii="宋体" w:hAnsi="宋体"/>
          <w:color w:val="auto"/>
          <w:szCs w:val="21"/>
          <w:highlight w:val="none"/>
        </w:rPr>
        <w:t>（发包人名称）：</w:t>
      </w:r>
    </w:p>
    <w:p>
      <w:pPr>
        <w:spacing w:line="440" w:lineRule="exact"/>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鉴于（发包人名称，以下简称“发包人”）与</w:t>
      </w:r>
    </w:p>
    <w:p>
      <w:pPr>
        <w:spacing w:line="360" w:lineRule="auto"/>
        <w:rPr>
          <w:rFonts w:ascii="宋体" w:hAnsi="宋体"/>
          <w:color w:val="auto"/>
          <w:szCs w:val="21"/>
          <w:highlight w:val="none"/>
        </w:rPr>
      </w:pPr>
      <w:r>
        <w:rPr>
          <w:rFonts w:ascii="宋体" w:hAnsi="宋体"/>
          <w:color w:val="auto"/>
          <w:szCs w:val="21"/>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 担保金额人民币（大写）元（¥）。</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 担保有效期自你方与承包人签订的合同生效之日起至你方签发或应签发工程接收证书之日止。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 你方和承包人按合同约定变更合同时，我方承担本担保规定的义务不变。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 因本保函发生的纠纷，可由双方协商解决，协商不成的，任何一方均可提请仲裁委员会仲裁。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 本保函自我方法定代表人（或其授权代理人）签字并加盖公章之日起生效。</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担 保 人：（盖单位章）</w:t>
      </w:r>
    </w:p>
    <w:p>
      <w:pPr>
        <w:spacing w:line="360" w:lineRule="auto"/>
        <w:rPr>
          <w:rFonts w:ascii="宋体" w:hAnsi="宋体"/>
          <w:color w:val="auto"/>
          <w:szCs w:val="21"/>
          <w:highlight w:val="none"/>
        </w:rPr>
      </w:pPr>
      <w:r>
        <w:rPr>
          <w:rFonts w:ascii="宋体" w:hAnsi="宋体"/>
          <w:color w:val="auto"/>
          <w:szCs w:val="21"/>
          <w:highlight w:val="none"/>
        </w:rPr>
        <w:t>法定代表人或其委托代理人：（签字）</w:t>
      </w:r>
    </w:p>
    <w:p>
      <w:pPr>
        <w:spacing w:line="360" w:lineRule="auto"/>
        <w:rPr>
          <w:rFonts w:ascii="宋体" w:hAnsi="宋体"/>
          <w:color w:val="auto"/>
          <w:szCs w:val="21"/>
          <w:highlight w:val="none"/>
        </w:rPr>
      </w:pPr>
      <w:r>
        <w:rPr>
          <w:rFonts w:ascii="宋体" w:hAnsi="宋体"/>
          <w:color w:val="auto"/>
          <w:szCs w:val="21"/>
          <w:highlight w:val="none"/>
        </w:rPr>
        <w:t>地    址：</w:t>
      </w:r>
    </w:p>
    <w:p>
      <w:pPr>
        <w:spacing w:line="360" w:lineRule="auto"/>
        <w:rPr>
          <w:rFonts w:ascii="宋体" w:hAnsi="宋体"/>
          <w:color w:val="auto"/>
          <w:szCs w:val="21"/>
          <w:highlight w:val="none"/>
        </w:rPr>
      </w:pPr>
      <w:r>
        <w:rPr>
          <w:rFonts w:ascii="宋体" w:hAnsi="宋体"/>
          <w:color w:val="auto"/>
          <w:szCs w:val="21"/>
          <w:highlight w:val="none"/>
        </w:rPr>
        <w:t>邮政编码：</w:t>
      </w:r>
    </w:p>
    <w:p>
      <w:pPr>
        <w:spacing w:line="360" w:lineRule="auto"/>
        <w:rPr>
          <w:rFonts w:ascii="宋体" w:hAnsi="宋体"/>
          <w:color w:val="auto"/>
          <w:szCs w:val="21"/>
          <w:highlight w:val="none"/>
          <w:u w:val="single"/>
        </w:rPr>
      </w:pPr>
      <w:r>
        <w:rPr>
          <w:rFonts w:ascii="宋体" w:hAnsi="宋体"/>
          <w:color w:val="auto"/>
          <w:szCs w:val="21"/>
          <w:highlight w:val="none"/>
        </w:rPr>
        <w:t>电    话：</w:t>
      </w:r>
    </w:p>
    <w:p>
      <w:pPr>
        <w:spacing w:line="360" w:lineRule="auto"/>
        <w:rPr>
          <w:rFonts w:ascii="宋体" w:hAnsi="宋体"/>
          <w:color w:val="auto"/>
          <w:szCs w:val="21"/>
          <w:highlight w:val="none"/>
        </w:rPr>
      </w:pPr>
      <w:r>
        <w:rPr>
          <w:rFonts w:ascii="宋体" w:hAnsi="宋体"/>
          <w:color w:val="auto"/>
          <w:szCs w:val="21"/>
          <w:highlight w:val="none"/>
        </w:rPr>
        <w:t>传    真：</w:t>
      </w:r>
    </w:p>
    <w:p>
      <w:pPr>
        <w:spacing w:line="360" w:lineRule="auto"/>
        <w:jc w:val="left"/>
        <w:rPr>
          <w:rFonts w:ascii="宋体" w:hAnsi="宋体"/>
          <w:color w:val="auto"/>
          <w:szCs w:val="21"/>
          <w:highlight w:val="none"/>
          <w:u w:val="single"/>
        </w:rPr>
      </w:pPr>
    </w:p>
    <w:p>
      <w:pPr>
        <w:spacing w:line="360" w:lineRule="auto"/>
        <w:ind w:left="1329" w:hanging="1329" w:hangingChars="633"/>
        <w:rPr>
          <w:rFonts w:ascii="宋体" w:hAnsi="宋体"/>
          <w:color w:val="auto"/>
          <w:szCs w:val="21"/>
          <w:highlight w:val="none"/>
        </w:rPr>
      </w:pPr>
      <w:r>
        <w:rPr>
          <w:rFonts w:ascii="宋体" w:hAnsi="宋体"/>
          <w:color w:val="auto"/>
          <w:szCs w:val="21"/>
          <w:highlight w:val="none"/>
        </w:rPr>
        <w:t>年月日</w:t>
      </w:r>
    </w:p>
    <w:p>
      <w:pPr>
        <w:spacing w:line="360" w:lineRule="auto"/>
        <w:ind w:left="1329" w:hanging="1329" w:hangingChars="633"/>
        <w:rPr>
          <w:rFonts w:ascii="宋体" w:hAnsi="宋体"/>
          <w:color w:val="auto"/>
          <w:szCs w:val="21"/>
          <w:highlight w:val="none"/>
        </w:rPr>
      </w:pPr>
    </w:p>
    <w:p>
      <w:pPr>
        <w:spacing w:line="360" w:lineRule="auto"/>
        <w:ind w:left="1329" w:hanging="1329" w:hangingChars="633"/>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附</w:t>
      </w:r>
      <w:bookmarkStart w:id="551" w:name="_Toc296347231"/>
      <w:bookmarkStart w:id="552" w:name="_Toc296346733"/>
      <w:bookmarkStart w:id="553" w:name="_Toc296891272"/>
      <w:bookmarkStart w:id="554" w:name="_Toc296944571"/>
      <w:bookmarkStart w:id="555" w:name="_Toc267261702"/>
      <w:bookmarkStart w:id="556" w:name="_Toc296503232"/>
      <w:bookmarkStart w:id="557" w:name="_Toc296891060"/>
      <w:r>
        <w:rPr>
          <w:rFonts w:ascii="宋体" w:hAnsi="宋体"/>
          <w:color w:val="auto"/>
          <w:szCs w:val="21"/>
          <w:highlight w:val="none"/>
        </w:rPr>
        <w:t>件</w:t>
      </w:r>
      <w:r>
        <w:rPr>
          <w:rFonts w:hint="eastAsia" w:ascii="宋体" w:hAnsi="宋体"/>
          <w:color w:val="auto"/>
          <w:szCs w:val="21"/>
          <w:highlight w:val="none"/>
          <w:lang w:val="en-US" w:eastAsia="zh-CN"/>
        </w:rPr>
        <w:t>8</w:t>
      </w:r>
      <w:r>
        <w:rPr>
          <w:rFonts w:ascii="宋体" w:hAnsi="宋体"/>
          <w:color w:val="auto"/>
          <w:szCs w:val="21"/>
          <w:highlight w:val="none"/>
        </w:rPr>
        <w:t xml:space="preserve"> ：</w:t>
      </w:r>
    </w:p>
    <w:bookmarkEnd w:id="551"/>
    <w:bookmarkEnd w:id="552"/>
    <w:bookmarkEnd w:id="553"/>
    <w:bookmarkEnd w:id="554"/>
    <w:bookmarkEnd w:id="555"/>
    <w:bookmarkEnd w:id="556"/>
    <w:bookmarkEnd w:id="557"/>
    <w:p>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预付款担保</w:t>
      </w:r>
    </w:p>
    <w:p>
      <w:pPr>
        <w:spacing w:line="360" w:lineRule="auto"/>
        <w:rPr>
          <w:rFonts w:ascii="宋体" w:hAnsi="宋体"/>
          <w:color w:val="auto"/>
          <w:szCs w:val="21"/>
          <w:highlight w:val="none"/>
        </w:rPr>
      </w:pP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rPr>
        <w:t xml:space="preserve"> （发包人名称）：</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根据（承包人名称）（以下称</w:t>
      </w:r>
      <w:r>
        <w:rPr>
          <w:rFonts w:hint="eastAsia" w:ascii="宋体" w:hAnsi="宋体"/>
          <w:color w:val="auto"/>
          <w:szCs w:val="21"/>
          <w:highlight w:val="none"/>
        </w:rPr>
        <w:t>“</w:t>
      </w:r>
      <w:r>
        <w:rPr>
          <w:rFonts w:ascii="宋体" w:hAnsi="宋体"/>
          <w:color w:val="auto"/>
          <w:szCs w:val="21"/>
          <w:highlight w:val="none"/>
        </w:rPr>
        <w:t>承包人</w:t>
      </w:r>
      <w:r>
        <w:rPr>
          <w:rFonts w:hint="eastAsia" w:ascii="宋体" w:hAnsi="宋体"/>
          <w:color w:val="auto"/>
          <w:szCs w:val="21"/>
          <w:highlight w:val="none"/>
        </w:rPr>
        <w:t>”</w:t>
      </w:r>
      <w:r>
        <w:rPr>
          <w:rFonts w:ascii="宋体" w:hAnsi="宋体"/>
          <w:color w:val="auto"/>
          <w:szCs w:val="21"/>
          <w:highlight w:val="none"/>
        </w:rPr>
        <w:t>）与</w:t>
      </w:r>
    </w:p>
    <w:p>
      <w:pPr>
        <w:spacing w:line="360" w:lineRule="auto"/>
        <w:rPr>
          <w:rFonts w:ascii="宋体" w:hAnsi="宋体"/>
          <w:color w:val="auto"/>
          <w:szCs w:val="21"/>
          <w:highlight w:val="none"/>
        </w:rPr>
      </w:pPr>
      <w:r>
        <w:rPr>
          <w:rFonts w:ascii="宋体" w:hAnsi="宋体"/>
          <w:color w:val="auto"/>
          <w:szCs w:val="21"/>
          <w:highlight w:val="none"/>
        </w:rPr>
        <w:t>（发包人名称）（以下简称</w:t>
      </w:r>
      <w:r>
        <w:rPr>
          <w:rFonts w:hint="eastAsia" w:ascii="宋体" w:hAnsi="宋体"/>
          <w:color w:val="auto"/>
          <w:szCs w:val="21"/>
          <w:highlight w:val="none"/>
        </w:rPr>
        <w:t>“</w:t>
      </w:r>
      <w:r>
        <w:rPr>
          <w:rFonts w:ascii="宋体" w:hAnsi="宋体"/>
          <w:color w:val="auto"/>
          <w:szCs w:val="21"/>
          <w:highlight w:val="none"/>
        </w:rPr>
        <w:t>发包人</w:t>
      </w:r>
      <w:r>
        <w:rPr>
          <w:rFonts w:hint="eastAsia" w:ascii="宋体" w:hAnsi="宋体"/>
          <w:color w:val="auto"/>
          <w:szCs w:val="21"/>
          <w:highlight w:val="none"/>
        </w:rPr>
        <w:t>”</w:t>
      </w:r>
      <w:r>
        <w:rPr>
          <w:rFonts w:ascii="宋体" w:hAnsi="宋体"/>
          <w:color w:val="auto"/>
          <w:szCs w:val="21"/>
          <w:highlight w:val="none"/>
        </w:rPr>
        <w:t>）</w:t>
      </w:r>
    </w:p>
    <w:p>
      <w:pPr>
        <w:spacing w:line="360" w:lineRule="auto"/>
        <w:rPr>
          <w:rFonts w:ascii="宋体" w:hAnsi="宋体"/>
          <w:color w:val="auto"/>
          <w:szCs w:val="21"/>
          <w:highlight w:val="none"/>
        </w:rPr>
      </w:pPr>
      <w:r>
        <w:rPr>
          <w:rFonts w:ascii="宋体" w:hAnsi="宋体"/>
          <w:color w:val="auto"/>
          <w:szCs w:val="21"/>
          <w:highlight w:val="none"/>
        </w:rPr>
        <w:t>于年月日签订的（工程名称）《建设工程施工合同》，承包人按约定的金额向</w:t>
      </w:r>
      <w:r>
        <w:rPr>
          <w:rFonts w:hint="eastAsia" w:ascii="宋体" w:hAnsi="宋体"/>
          <w:color w:val="auto"/>
          <w:szCs w:val="21"/>
          <w:highlight w:val="none"/>
        </w:rPr>
        <w:t>你方</w:t>
      </w:r>
      <w:r>
        <w:rPr>
          <w:rFonts w:ascii="宋体" w:hAnsi="宋体"/>
          <w:color w:val="auto"/>
          <w:szCs w:val="21"/>
          <w:highlight w:val="none"/>
        </w:rPr>
        <w:t>提交一份预付款担保，即有权得到</w:t>
      </w:r>
      <w:r>
        <w:rPr>
          <w:rFonts w:hint="eastAsia" w:ascii="宋体" w:hAnsi="宋体"/>
          <w:color w:val="auto"/>
          <w:szCs w:val="21"/>
          <w:highlight w:val="none"/>
        </w:rPr>
        <w:t>你方</w:t>
      </w:r>
      <w:r>
        <w:rPr>
          <w:rFonts w:ascii="宋体" w:hAnsi="宋体"/>
          <w:color w:val="auto"/>
          <w:szCs w:val="21"/>
          <w:highlight w:val="none"/>
        </w:rPr>
        <w:t>支付相等金额的预付款。我方愿意就你方提供给承包人的预付款</w:t>
      </w:r>
      <w:r>
        <w:rPr>
          <w:rFonts w:hint="eastAsia" w:ascii="宋体" w:hAnsi="宋体"/>
          <w:color w:val="auto"/>
          <w:szCs w:val="21"/>
          <w:highlight w:val="none"/>
        </w:rPr>
        <w:t>为承包人</w:t>
      </w:r>
      <w:r>
        <w:rPr>
          <w:rFonts w:ascii="宋体" w:hAnsi="宋体"/>
          <w:color w:val="auto"/>
          <w:szCs w:val="21"/>
          <w:highlight w:val="none"/>
        </w:rPr>
        <w:t>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ascii="宋体" w:hAnsi="宋体"/>
          <w:color w:val="auto"/>
          <w:szCs w:val="21"/>
          <w:highlight w:val="none"/>
        </w:rPr>
        <w:t>担保金额人民币（大写）</w:t>
      </w:r>
      <w:r>
        <w:rPr>
          <w:rFonts w:hint="eastAsia" w:ascii="宋体" w:hAnsi="宋体"/>
          <w:color w:val="auto"/>
          <w:szCs w:val="21"/>
          <w:highlight w:val="none"/>
        </w:rPr>
        <w:t>元</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 </w:t>
      </w:r>
      <w:r>
        <w:rPr>
          <w:rFonts w:ascii="宋体" w:hAnsi="宋体"/>
          <w:color w:val="auto"/>
          <w:szCs w:val="21"/>
          <w:highlight w:val="none"/>
        </w:rPr>
        <w:t>担保有效期自预付款支付给承包人起生效，至</w:t>
      </w:r>
      <w:r>
        <w:rPr>
          <w:rFonts w:hint="eastAsia" w:ascii="宋体" w:hAnsi="宋体"/>
          <w:color w:val="auto"/>
          <w:szCs w:val="21"/>
          <w:highlight w:val="none"/>
        </w:rPr>
        <w:t>你方</w:t>
      </w:r>
      <w:r>
        <w:rPr>
          <w:rFonts w:ascii="宋体" w:hAnsi="宋体"/>
          <w:color w:val="auto"/>
          <w:szCs w:val="21"/>
          <w:highlight w:val="none"/>
        </w:rPr>
        <w:t>签发的</w:t>
      </w:r>
      <w:r>
        <w:rPr>
          <w:rFonts w:hint="eastAsia" w:ascii="宋体" w:hAnsi="宋体"/>
          <w:color w:val="auto"/>
          <w:szCs w:val="21"/>
          <w:highlight w:val="none"/>
        </w:rPr>
        <w:t>进</w:t>
      </w:r>
      <w:r>
        <w:rPr>
          <w:rFonts w:ascii="宋体" w:hAnsi="宋体"/>
          <w:color w:val="auto"/>
          <w:szCs w:val="21"/>
          <w:highlight w:val="none"/>
        </w:rPr>
        <w:t>度款支付证书说明已完全扣清止。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 </w:t>
      </w:r>
      <w:r>
        <w:rPr>
          <w:rFonts w:ascii="宋体" w:hAnsi="宋体"/>
          <w:color w:val="auto"/>
          <w:szCs w:val="21"/>
          <w:highlight w:val="none"/>
        </w:rPr>
        <w:t>在本保函有效期内，因承包人违反合同约定的义务而要求</w:t>
      </w:r>
      <w:r>
        <w:rPr>
          <w:rFonts w:hint="eastAsia" w:ascii="宋体" w:hAnsi="宋体"/>
          <w:color w:val="auto"/>
          <w:szCs w:val="21"/>
          <w:highlight w:val="none"/>
        </w:rPr>
        <w:t>收</w:t>
      </w:r>
      <w:r>
        <w:rPr>
          <w:rFonts w:ascii="宋体" w:hAnsi="宋体"/>
          <w:color w:val="auto"/>
          <w:szCs w:val="21"/>
          <w:highlight w:val="none"/>
        </w:rPr>
        <w:t>回预付款时，我方在收到你方的书面通知后，在７天内无条件支付。但本保函的担保金额，在任何时候不应超过预付款金额减去</w:t>
      </w:r>
      <w:r>
        <w:rPr>
          <w:rFonts w:hint="eastAsia" w:ascii="宋体" w:hAnsi="宋体"/>
          <w:color w:val="auto"/>
          <w:szCs w:val="21"/>
          <w:highlight w:val="none"/>
        </w:rPr>
        <w:t>你方</w:t>
      </w:r>
      <w:r>
        <w:rPr>
          <w:rFonts w:ascii="宋体" w:hAnsi="宋体"/>
          <w:color w:val="auto"/>
          <w:szCs w:val="21"/>
          <w:highlight w:val="none"/>
        </w:rPr>
        <w:t>按合同约定在向承包人签发的进度款支付证书中扣除的金额。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w:t>
      </w:r>
      <w:r>
        <w:rPr>
          <w:rFonts w:ascii="宋体" w:hAnsi="宋体"/>
          <w:color w:val="auto"/>
          <w:szCs w:val="21"/>
          <w:highlight w:val="none"/>
        </w:rPr>
        <w:t>和承包人按合同约定变更合同时，我方承担本保函规定的义务不变。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 </w:t>
      </w:r>
      <w:r>
        <w:rPr>
          <w:rFonts w:ascii="宋体" w:hAnsi="宋体"/>
          <w:color w:val="auto"/>
          <w:szCs w:val="21"/>
          <w:highlight w:val="none"/>
        </w:rPr>
        <w:t>因本保函发生的纠纷，可由双方协商解决，协商不成的，任何一方均可提请仲裁委员会仲裁。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 </w:t>
      </w:r>
      <w:r>
        <w:rPr>
          <w:rFonts w:ascii="宋体" w:hAnsi="宋体"/>
          <w:color w:val="auto"/>
          <w:szCs w:val="21"/>
          <w:highlight w:val="none"/>
        </w:rPr>
        <w:t>本保函自我方法定代表人（或其授权代理人）签字并加盖公章之日起生效。</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担保人：（盖单位章）</w:t>
      </w:r>
    </w:p>
    <w:p>
      <w:pPr>
        <w:spacing w:line="360" w:lineRule="auto"/>
        <w:rPr>
          <w:rFonts w:ascii="宋体" w:hAnsi="宋体"/>
          <w:color w:val="auto"/>
          <w:szCs w:val="21"/>
          <w:highlight w:val="none"/>
        </w:rPr>
      </w:pPr>
      <w:r>
        <w:rPr>
          <w:rFonts w:ascii="宋体" w:hAnsi="宋体"/>
          <w:color w:val="auto"/>
          <w:szCs w:val="21"/>
          <w:highlight w:val="none"/>
        </w:rPr>
        <w:t>法定代表人或其委托代理人：（签字）</w:t>
      </w:r>
    </w:p>
    <w:p>
      <w:pPr>
        <w:spacing w:line="360" w:lineRule="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p>
    <w:p>
      <w:pPr>
        <w:spacing w:line="360" w:lineRule="auto"/>
        <w:rPr>
          <w:rFonts w:ascii="宋体" w:hAnsi="宋体"/>
          <w:color w:val="auto"/>
          <w:szCs w:val="21"/>
          <w:highlight w:val="none"/>
          <w:u w:val="single"/>
        </w:rPr>
      </w:pPr>
      <w:r>
        <w:rPr>
          <w:rFonts w:ascii="宋体" w:hAnsi="宋体"/>
          <w:color w:val="auto"/>
          <w:szCs w:val="21"/>
          <w:highlight w:val="none"/>
        </w:rPr>
        <w:t>邮政编码：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p>
    <w:p>
      <w:pPr>
        <w:spacing w:line="360" w:lineRule="auto"/>
        <w:rPr>
          <w:rFonts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p>
    <w:p>
      <w:pPr>
        <w:spacing w:line="360" w:lineRule="auto"/>
        <w:rPr>
          <w:rFonts w:ascii="宋体" w:hAnsi="宋体"/>
          <w:color w:val="auto"/>
          <w:szCs w:val="21"/>
          <w:highlight w:val="none"/>
          <w:u w:val="single"/>
        </w:rPr>
      </w:pPr>
      <w:r>
        <w:rPr>
          <w:rFonts w:ascii="宋体" w:hAnsi="宋体"/>
          <w:color w:val="auto"/>
          <w:szCs w:val="21"/>
          <w:highlight w:val="none"/>
        </w:rPr>
        <w:t>传    真：</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rPr>
      </w:pPr>
      <w:r>
        <w:rPr>
          <w:rFonts w:ascii="宋体" w:hAnsi="宋体"/>
          <w:color w:val="auto"/>
          <w:szCs w:val="21"/>
          <w:highlight w:val="none"/>
        </w:rPr>
        <w:t>年月日</w:t>
      </w:r>
    </w:p>
    <w:p>
      <w:pPr>
        <w:spacing w:line="440" w:lineRule="exact"/>
        <w:rPr>
          <w:rFonts w:ascii="宋体" w:hAnsi="宋体"/>
          <w:color w:val="auto"/>
          <w:szCs w:val="21"/>
          <w:highlight w:val="none"/>
        </w:rPr>
      </w:pPr>
      <w:r>
        <w:rPr>
          <w:rFonts w:ascii="宋体" w:hAnsi="宋体"/>
          <w:b/>
          <w:color w:val="auto"/>
          <w:szCs w:val="21"/>
          <w:highlight w:val="none"/>
        </w:rPr>
        <w:br w:type="page"/>
      </w:r>
      <w:r>
        <w:rPr>
          <w:rFonts w:ascii="宋体" w:hAnsi="宋体"/>
          <w:color w:val="auto"/>
          <w:szCs w:val="21"/>
          <w:highlight w:val="none"/>
        </w:rPr>
        <w:t>附</w:t>
      </w:r>
      <w:bookmarkStart w:id="558" w:name="_Toc296891273"/>
      <w:bookmarkStart w:id="559" w:name="_Toc296347232"/>
      <w:bookmarkStart w:id="560" w:name="_Toc296891061"/>
      <w:bookmarkStart w:id="561" w:name="_Toc296346734"/>
      <w:bookmarkStart w:id="562" w:name="_Toc296503233"/>
      <w:bookmarkStart w:id="563" w:name="_Toc296944572"/>
      <w:r>
        <w:rPr>
          <w:rFonts w:ascii="宋体" w:hAnsi="宋体"/>
          <w:color w:val="auto"/>
          <w:szCs w:val="21"/>
          <w:highlight w:val="none"/>
        </w:rPr>
        <w:t>件</w:t>
      </w:r>
      <w:r>
        <w:rPr>
          <w:rFonts w:hint="eastAsia" w:ascii="宋体" w:hAnsi="宋体"/>
          <w:color w:val="auto"/>
          <w:szCs w:val="21"/>
          <w:highlight w:val="none"/>
          <w:lang w:val="en-US" w:eastAsia="zh-CN"/>
        </w:rPr>
        <w:t>9</w:t>
      </w:r>
      <w:r>
        <w:rPr>
          <w:rFonts w:ascii="宋体" w:hAnsi="宋体"/>
          <w:color w:val="auto"/>
          <w:szCs w:val="21"/>
          <w:highlight w:val="none"/>
        </w:rPr>
        <w:t xml:space="preserve">:  </w:t>
      </w:r>
    </w:p>
    <w:bookmarkEnd w:id="558"/>
    <w:bookmarkEnd w:id="559"/>
    <w:bookmarkEnd w:id="560"/>
    <w:bookmarkEnd w:id="561"/>
    <w:bookmarkEnd w:id="562"/>
    <w:bookmarkEnd w:id="563"/>
    <w:p>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支付担保</w:t>
      </w:r>
    </w:p>
    <w:p>
      <w:pPr>
        <w:spacing w:line="440" w:lineRule="exact"/>
        <w:jc w:val="left"/>
        <w:rPr>
          <w:rFonts w:ascii="宋体" w:hAnsi="宋体"/>
          <w:color w:val="auto"/>
          <w:szCs w:val="21"/>
          <w:highlight w:val="none"/>
        </w:rPr>
      </w:pPr>
      <w:r>
        <w:rPr>
          <w:rFonts w:ascii="宋体" w:hAnsi="宋体"/>
          <w:color w:val="auto"/>
          <w:szCs w:val="21"/>
          <w:highlight w:val="none"/>
        </w:rPr>
        <w:t>（承包人）：</w:t>
      </w:r>
    </w:p>
    <w:p>
      <w:pPr>
        <w:spacing w:line="440" w:lineRule="exact"/>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鉴于你方作为承包人已经与（发包人名称）（以下称</w:t>
      </w:r>
      <w:r>
        <w:rPr>
          <w:rFonts w:hint="eastAsia" w:ascii="宋体" w:hAnsi="宋体"/>
          <w:color w:val="auto"/>
          <w:szCs w:val="21"/>
          <w:highlight w:val="none"/>
        </w:rPr>
        <w:t>“</w:t>
      </w:r>
      <w:r>
        <w:rPr>
          <w:rFonts w:ascii="宋体" w:hAnsi="宋体"/>
          <w:color w:val="auto"/>
          <w:szCs w:val="21"/>
          <w:highlight w:val="none"/>
        </w:rPr>
        <w:t>发包人</w:t>
      </w:r>
      <w:r>
        <w:rPr>
          <w:rFonts w:hint="eastAsia" w:ascii="宋体" w:hAnsi="宋体"/>
          <w:color w:val="auto"/>
          <w:szCs w:val="21"/>
          <w:highlight w:val="none"/>
        </w:rPr>
        <w:t>”</w:t>
      </w:r>
      <w:r>
        <w:rPr>
          <w:rFonts w:ascii="宋体" w:hAnsi="宋体"/>
          <w:color w:val="auto"/>
          <w:szCs w:val="21"/>
          <w:highlight w:val="none"/>
        </w:rPr>
        <w:t>）于年月日签订了（工程名称）《建设工程施工合同》（以下称</w:t>
      </w:r>
      <w:r>
        <w:rPr>
          <w:rFonts w:hint="eastAsia" w:ascii="宋体" w:hAnsi="宋体"/>
          <w:color w:val="auto"/>
          <w:szCs w:val="21"/>
          <w:highlight w:val="none"/>
        </w:rPr>
        <w:t>“</w:t>
      </w:r>
      <w:r>
        <w:rPr>
          <w:rFonts w:ascii="宋体" w:hAnsi="宋体"/>
          <w:color w:val="auto"/>
          <w:szCs w:val="21"/>
          <w:highlight w:val="none"/>
        </w:rPr>
        <w:t>主合同</w:t>
      </w:r>
      <w:r>
        <w:rPr>
          <w:rFonts w:hint="eastAsia" w:ascii="宋体" w:hAnsi="宋体"/>
          <w:color w:val="auto"/>
          <w:szCs w:val="21"/>
          <w:highlight w:val="none"/>
        </w:rPr>
        <w:t>”</w:t>
      </w:r>
      <w:r>
        <w:rPr>
          <w:rFonts w:ascii="宋体" w:hAnsi="宋体"/>
          <w:color w:val="auto"/>
          <w:szCs w:val="21"/>
          <w:highlight w:val="none"/>
        </w:rPr>
        <w:t>），应发包人的申请，我方愿就发包人履行主合同约定的工程款支付义务以保证的方式向你方提供如下担保：</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一、保证的范围及保证金额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 </w:t>
      </w:r>
      <w:r>
        <w:rPr>
          <w:rFonts w:ascii="宋体" w:hAnsi="宋体"/>
          <w:color w:val="auto"/>
          <w:szCs w:val="21"/>
          <w:highlight w:val="none"/>
        </w:rPr>
        <w:t>我方的保证范围是主合同约定的工程款。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 </w:t>
      </w:r>
      <w:r>
        <w:rPr>
          <w:rFonts w:ascii="宋体" w:hAnsi="宋体"/>
          <w:color w:val="auto"/>
          <w:szCs w:val="21"/>
          <w:highlight w:val="none"/>
        </w:rPr>
        <w:t>本保函所称主合同约定的工程款是指主合同约定的除工程质量保证金以外的合同价款。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 </w:t>
      </w:r>
      <w:r>
        <w:rPr>
          <w:rFonts w:ascii="宋体" w:hAnsi="宋体"/>
          <w:color w:val="auto"/>
          <w:szCs w:val="21"/>
          <w:highlight w:val="none"/>
        </w:rPr>
        <w:t>我方保证的金额是主合同约定的工程款的%，数额最高不超过人民币元（大写：）。</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二、保证的方式及保证期间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 </w:t>
      </w:r>
      <w:r>
        <w:rPr>
          <w:rFonts w:ascii="宋体" w:hAnsi="宋体"/>
          <w:color w:val="auto"/>
          <w:szCs w:val="21"/>
          <w:highlight w:val="none"/>
        </w:rPr>
        <w:t>我方保证的方式为：连带责任保证。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 </w:t>
      </w:r>
      <w:r>
        <w:rPr>
          <w:rFonts w:ascii="宋体" w:hAnsi="宋体"/>
          <w:color w:val="auto"/>
          <w:szCs w:val="21"/>
          <w:highlight w:val="none"/>
        </w:rPr>
        <w:t>我方保证的期间为：自本合同生效之日起至主合同约定的工程款支付完毕之日后日内。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 </w:t>
      </w:r>
      <w:r>
        <w:rPr>
          <w:rFonts w:ascii="宋体" w:hAnsi="宋体"/>
          <w:color w:val="auto"/>
          <w:szCs w:val="21"/>
          <w:highlight w:val="none"/>
        </w:rPr>
        <w:t>你方与发包人协议变更工程款支付日期的，经我方书面同意后，保证期间按照变更后的支付日期做相应调整。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三、承担保证责任的形式</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四、代偿的安排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 </w:t>
      </w:r>
      <w:r>
        <w:rPr>
          <w:rFonts w:ascii="宋体" w:hAnsi="宋体"/>
          <w:color w:val="auto"/>
          <w:szCs w:val="21"/>
          <w:highlight w:val="none"/>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 </w:t>
      </w:r>
      <w:r>
        <w:rPr>
          <w:rFonts w:ascii="宋体" w:hAnsi="宋体"/>
          <w:color w:val="auto"/>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 </w:t>
      </w:r>
      <w:r>
        <w:rPr>
          <w:rFonts w:ascii="宋体" w:hAnsi="宋体"/>
          <w:color w:val="auto"/>
          <w:szCs w:val="21"/>
          <w:highlight w:val="none"/>
        </w:rPr>
        <w:t>我方收到你方的书面索赔通知及相应的证明材料后７天内无条件支付。</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五、保证责任的解除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 </w:t>
      </w:r>
      <w:r>
        <w:rPr>
          <w:rFonts w:ascii="宋体" w:hAnsi="宋体"/>
          <w:color w:val="auto"/>
          <w:szCs w:val="21"/>
          <w:highlight w:val="none"/>
        </w:rPr>
        <w:t>在本保函承诺的保证期间内，你方未书面向我方主张保证责任的，自保证期间届满次日起，我方保证责任解除。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 </w:t>
      </w:r>
      <w:r>
        <w:rPr>
          <w:rFonts w:ascii="宋体" w:hAnsi="宋体"/>
          <w:color w:val="auto"/>
          <w:szCs w:val="21"/>
          <w:highlight w:val="none"/>
        </w:rPr>
        <w:t>发包人按主合同约定履行了工程款的全部支付义务的，自本保函承诺的保证期间届满次日起，我方保证责任解除。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 </w:t>
      </w:r>
      <w:r>
        <w:rPr>
          <w:rFonts w:ascii="宋体" w:hAnsi="宋体"/>
          <w:color w:val="auto"/>
          <w:szCs w:val="21"/>
          <w:highlight w:val="none"/>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 </w:t>
      </w:r>
      <w:r>
        <w:rPr>
          <w:rFonts w:ascii="宋体" w:hAnsi="宋体"/>
          <w:color w:val="auto"/>
          <w:szCs w:val="21"/>
          <w:highlight w:val="none"/>
        </w:rPr>
        <w:t>按照法律法规的规定或出现应解除我方保证责任的其他情形的，我方在本保函项下的保证责任亦解除。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 </w:t>
      </w:r>
      <w:r>
        <w:rPr>
          <w:rFonts w:ascii="宋体" w:hAnsi="宋体"/>
          <w:color w:val="auto"/>
          <w:szCs w:val="21"/>
          <w:highlight w:val="none"/>
        </w:rPr>
        <w:t>我方解除保证责任后，你方应自我方保证责任解除之日起个工作日内，将本保函原件返还我方。</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六、免责条款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 </w:t>
      </w:r>
      <w:r>
        <w:rPr>
          <w:rFonts w:ascii="宋体" w:hAnsi="宋体"/>
          <w:color w:val="auto"/>
          <w:szCs w:val="21"/>
          <w:highlight w:val="none"/>
        </w:rPr>
        <w:t>因你方违约致使发包人不能履行义务的，我方不承担保证责任。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 </w:t>
      </w:r>
      <w:r>
        <w:rPr>
          <w:rFonts w:ascii="宋体" w:hAnsi="宋体"/>
          <w:color w:val="auto"/>
          <w:szCs w:val="21"/>
          <w:highlight w:val="none"/>
        </w:rPr>
        <w:t>依照法律法规的规定或你方与发包人的另行约定，免除发包人部分或全部义务的，我方亦免除其相应的保证责任。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 </w:t>
      </w:r>
      <w:r>
        <w:rPr>
          <w:rFonts w:ascii="宋体" w:hAnsi="宋体"/>
          <w:color w:val="auto"/>
          <w:szCs w:val="21"/>
          <w:highlight w:val="none"/>
        </w:rPr>
        <w:t>你方与发包人协议变更主合同的，如加重发包人责任致使我方保证责任加重的，需征得我方书面同意，否则我方不再承担因此而加重部分的保证责任，但主合同第10条</w:t>
      </w:r>
      <w:r>
        <w:rPr>
          <w:rFonts w:hint="eastAsia" w:ascii="宋体" w:hAnsi="宋体"/>
          <w:color w:val="auto"/>
          <w:szCs w:val="21"/>
          <w:highlight w:val="none"/>
        </w:rPr>
        <w:t>〔</w:t>
      </w:r>
      <w:r>
        <w:rPr>
          <w:rFonts w:ascii="宋体" w:hAnsi="宋体"/>
          <w:color w:val="auto"/>
          <w:szCs w:val="21"/>
          <w:highlight w:val="none"/>
        </w:rPr>
        <w:t>变更</w:t>
      </w:r>
      <w:r>
        <w:rPr>
          <w:rFonts w:hint="eastAsia" w:ascii="宋体" w:hAnsi="宋体"/>
          <w:color w:val="auto"/>
          <w:szCs w:val="21"/>
          <w:highlight w:val="none"/>
        </w:rPr>
        <w:t>〕</w:t>
      </w:r>
      <w:r>
        <w:rPr>
          <w:rFonts w:ascii="宋体" w:hAnsi="宋体"/>
          <w:color w:val="auto"/>
          <w:szCs w:val="21"/>
          <w:highlight w:val="none"/>
        </w:rPr>
        <w:t>约定的变更不受本款限制。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 </w:t>
      </w:r>
      <w:r>
        <w:rPr>
          <w:rFonts w:ascii="宋体" w:hAnsi="宋体"/>
          <w:color w:val="auto"/>
          <w:szCs w:val="21"/>
          <w:highlight w:val="none"/>
        </w:rPr>
        <w:t>因不可抗力造成发包人不能履行义务的，我方不承担保证责任。</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七、争议解决</w:t>
      </w:r>
    </w:p>
    <w:p>
      <w:pPr>
        <w:spacing w:after="120" w:line="360" w:lineRule="auto"/>
        <w:ind w:firstLine="420" w:firstLineChars="200"/>
        <w:rPr>
          <w:rFonts w:ascii="宋体" w:hAnsi="宋体"/>
          <w:color w:val="auto"/>
          <w:szCs w:val="21"/>
          <w:highlight w:val="none"/>
        </w:rPr>
      </w:pPr>
      <w:r>
        <w:rPr>
          <w:rFonts w:ascii="宋体" w:hAnsi="宋体"/>
          <w:color w:val="auto"/>
          <w:szCs w:val="21"/>
          <w:highlight w:val="none"/>
        </w:rPr>
        <w:t>因本保函</w:t>
      </w:r>
      <w:r>
        <w:rPr>
          <w:rFonts w:hint="eastAsia" w:ascii="宋体" w:hAnsi="宋体"/>
          <w:color w:val="auto"/>
          <w:szCs w:val="21"/>
          <w:highlight w:val="none"/>
        </w:rPr>
        <w:t>或本保函相关事项</w:t>
      </w:r>
      <w:r>
        <w:rPr>
          <w:rFonts w:ascii="宋体" w:hAnsi="宋体"/>
          <w:color w:val="auto"/>
          <w:szCs w:val="21"/>
          <w:highlight w:val="none"/>
        </w:rPr>
        <w:t>发生的纠纷，可由双方协商解决，协商不成的，按下列第种方式</w:t>
      </w:r>
      <w:r>
        <w:rPr>
          <w:rFonts w:hint="eastAsia" w:ascii="宋体" w:hAnsi="宋体"/>
          <w:color w:val="auto"/>
          <w:szCs w:val="21"/>
          <w:highlight w:val="none"/>
        </w:rPr>
        <w:t>解</w:t>
      </w:r>
      <w:r>
        <w:rPr>
          <w:rFonts w:ascii="宋体" w:hAnsi="宋体"/>
          <w:color w:val="auto"/>
          <w:szCs w:val="21"/>
          <w:highlight w:val="none"/>
        </w:rPr>
        <w:t>决：</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（1）向仲裁委员会申请仲裁；</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（2）向人民法院起诉。</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八、保函的生效</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本保函自我方法定代表人（或其授权代理人）签字并加盖公章之日起生效。</w:t>
      </w:r>
    </w:p>
    <w:p>
      <w:pPr>
        <w:spacing w:line="360" w:lineRule="auto"/>
        <w:ind w:right="600"/>
        <w:jc w:val="left"/>
        <w:rPr>
          <w:rFonts w:ascii="宋体" w:hAnsi="宋体"/>
          <w:color w:val="auto"/>
          <w:szCs w:val="21"/>
          <w:highlight w:val="none"/>
        </w:rPr>
      </w:pPr>
    </w:p>
    <w:p>
      <w:pPr>
        <w:spacing w:line="360" w:lineRule="auto"/>
        <w:ind w:right="600"/>
        <w:jc w:val="left"/>
        <w:rPr>
          <w:rFonts w:ascii="宋体" w:hAnsi="宋体"/>
          <w:color w:val="auto"/>
          <w:szCs w:val="21"/>
          <w:highlight w:val="none"/>
        </w:rPr>
      </w:pPr>
      <w:r>
        <w:rPr>
          <w:rFonts w:ascii="宋体" w:hAnsi="宋体"/>
          <w:color w:val="auto"/>
          <w:szCs w:val="21"/>
          <w:highlight w:val="none"/>
        </w:rPr>
        <w:t>担保人：（盖章）</w:t>
      </w:r>
    </w:p>
    <w:p>
      <w:pPr>
        <w:spacing w:line="360" w:lineRule="auto"/>
        <w:ind w:right="1200"/>
        <w:rPr>
          <w:rFonts w:ascii="宋体" w:hAnsi="宋体"/>
          <w:color w:val="auto"/>
          <w:szCs w:val="21"/>
          <w:highlight w:val="none"/>
        </w:rPr>
      </w:pPr>
      <w:r>
        <w:rPr>
          <w:rFonts w:ascii="宋体" w:hAnsi="宋体"/>
          <w:color w:val="auto"/>
          <w:szCs w:val="21"/>
          <w:highlight w:val="none"/>
        </w:rPr>
        <w:t>法定代表人或委托代理人：（签字）</w:t>
      </w:r>
    </w:p>
    <w:p>
      <w:pPr>
        <w:spacing w:line="360" w:lineRule="auto"/>
        <w:jc w:val="left"/>
        <w:rPr>
          <w:rFonts w:ascii="宋体" w:hAnsi="宋体"/>
          <w:color w:val="auto"/>
          <w:szCs w:val="21"/>
          <w:highlight w:val="none"/>
        </w:rPr>
      </w:pPr>
      <w:r>
        <w:rPr>
          <w:rFonts w:ascii="宋体" w:hAnsi="宋体"/>
          <w:color w:val="auto"/>
          <w:szCs w:val="21"/>
          <w:highlight w:val="none"/>
        </w:rPr>
        <w:t>地    址：</w:t>
      </w:r>
    </w:p>
    <w:p>
      <w:pPr>
        <w:spacing w:line="360" w:lineRule="auto"/>
        <w:jc w:val="left"/>
        <w:rPr>
          <w:rFonts w:ascii="宋体" w:hAnsi="宋体"/>
          <w:color w:val="auto"/>
          <w:szCs w:val="21"/>
          <w:highlight w:val="none"/>
        </w:rPr>
      </w:pPr>
      <w:r>
        <w:rPr>
          <w:rFonts w:ascii="宋体" w:hAnsi="宋体"/>
          <w:color w:val="auto"/>
          <w:szCs w:val="21"/>
          <w:highlight w:val="none"/>
        </w:rPr>
        <w:t>邮政编码：</w:t>
      </w:r>
    </w:p>
    <w:p>
      <w:pPr>
        <w:spacing w:line="360" w:lineRule="auto"/>
        <w:jc w:val="left"/>
        <w:rPr>
          <w:rFonts w:ascii="宋体" w:hAnsi="宋体"/>
          <w:color w:val="auto"/>
          <w:szCs w:val="21"/>
          <w:highlight w:val="none"/>
        </w:rPr>
      </w:pPr>
      <w:r>
        <w:rPr>
          <w:rFonts w:ascii="宋体" w:hAnsi="宋体"/>
          <w:color w:val="auto"/>
          <w:szCs w:val="21"/>
          <w:highlight w:val="none"/>
        </w:rPr>
        <w:t>传    真：</w:t>
      </w:r>
    </w:p>
    <w:p>
      <w:pPr>
        <w:spacing w:line="360" w:lineRule="auto"/>
        <w:ind w:right="150" w:firstLine="420" w:firstLineChars="200"/>
        <w:jc w:val="left"/>
        <w:rPr>
          <w:rFonts w:ascii="宋体" w:hAnsi="宋体"/>
          <w:color w:val="auto"/>
          <w:szCs w:val="21"/>
          <w:highlight w:val="none"/>
          <w:u w:val="single"/>
        </w:rPr>
      </w:pPr>
    </w:p>
    <w:p>
      <w:pPr>
        <w:jc w:val="left"/>
        <w:rPr>
          <w:rFonts w:hint="eastAsia" w:hAnsi="宋体" w:cs="宋体"/>
          <w:color w:val="auto"/>
          <w:sz w:val="30"/>
          <w:szCs w:val="30"/>
          <w:highlight w:val="none"/>
        </w:rPr>
      </w:pPr>
      <w:r>
        <w:rPr>
          <w:rFonts w:ascii="宋体" w:hAnsi="宋体"/>
          <w:color w:val="auto"/>
          <w:szCs w:val="21"/>
          <w:highlight w:val="none"/>
        </w:rPr>
        <w:t>年月日</w:t>
      </w:r>
      <w:r>
        <w:rPr>
          <w:rFonts w:ascii="宋体" w:hAnsi="宋体"/>
          <w:color w:val="auto"/>
          <w:szCs w:val="21"/>
          <w:highlight w:val="none"/>
        </w:rPr>
        <w:br w:type="page"/>
      </w:r>
      <w:r>
        <w:rPr>
          <w:rFonts w:eastAsia="仿宋_GB2312"/>
          <w:color w:val="auto"/>
          <w:sz w:val="30"/>
          <w:szCs w:val="30"/>
          <w:highlight w:val="none"/>
        </w:rPr>
        <w:t xml:space="preserve"> </w:t>
      </w:r>
      <w:r>
        <w:rPr>
          <w:rFonts w:hint="eastAsia" w:hAnsi="宋体" w:cs="宋体"/>
          <w:color w:val="auto"/>
          <w:sz w:val="30"/>
          <w:szCs w:val="30"/>
          <w:highlight w:val="none"/>
        </w:rPr>
        <w:t>附件10：</w:t>
      </w:r>
    </w:p>
    <w:p>
      <w:pPr>
        <w:jc w:val="center"/>
        <w:rPr>
          <w:rFonts w:hint="eastAsia"/>
          <w:b/>
          <w:color w:val="auto"/>
          <w:sz w:val="36"/>
          <w:szCs w:val="36"/>
          <w:highlight w:val="none"/>
        </w:rPr>
      </w:pPr>
      <w:r>
        <w:rPr>
          <w:rFonts w:hint="eastAsia"/>
          <w:b/>
          <w:color w:val="auto"/>
          <w:sz w:val="36"/>
          <w:szCs w:val="36"/>
          <w:highlight w:val="none"/>
        </w:rPr>
        <w:t>预付款支付申请（核准）表</w:t>
      </w:r>
    </w:p>
    <w:p>
      <w:pPr>
        <w:rPr>
          <w:rFonts w:hint="eastAsia"/>
          <w:color w:val="auto"/>
          <w:sz w:val="24"/>
          <w:szCs w:val="24"/>
          <w:highlight w:val="none"/>
        </w:rPr>
      </w:pPr>
      <w:r>
        <w:rPr>
          <w:rFonts w:hint="eastAsia"/>
          <w:color w:val="auto"/>
          <w:sz w:val="24"/>
          <w:szCs w:val="24"/>
          <w:highlight w:val="none"/>
        </w:rPr>
        <w:t>工程名称：                                             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9"/>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185" w:type="dxa"/>
            <w:gridSpan w:val="2"/>
            <w:noWrap w:val="0"/>
            <w:vAlign w:val="top"/>
          </w:tcPr>
          <w:p>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rFonts w:hint="eastAsia"/>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2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spacing w:line="280" w:lineRule="exact"/>
                    <w:jc w:val="center"/>
                    <w:rPr>
                      <w:rFonts w:hint="eastAsia"/>
                      <w:color w:val="auto"/>
                      <w:highlight w:val="none"/>
                    </w:rPr>
                  </w:pPr>
                  <w:r>
                    <w:rPr>
                      <w:rFonts w:hint="eastAsia"/>
                      <w:color w:val="auto"/>
                      <w:highlight w:val="none"/>
                    </w:rPr>
                    <w:t>序号</w:t>
                  </w:r>
                </w:p>
              </w:tc>
              <w:tc>
                <w:tcPr>
                  <w:tcW w:w="3340" w:type="dxa"/>
                  <w:noWrap w:val="0"/>
                  <w:vAlign w:val="center"/>
                </w:tcPr>
                <w:p>
                  <w:pPr>
                    <w:spacing w:line="280" w:lineRule="exact"/>
                    <w:jc w:val="center"/>
                    <w:rPr>
                      <w:rFonts w:hint="eastAsia"/>
                      <w:color w:val="auto"/>
                      <w:highlight w:val="none"/>
                    </w:rPr>
                  </w:pPr>
                  <w:r>
                    <w:rPr>
                      <w:rFonts w:hint="eastAsia"/>
                      <w:color w:val="auto"/>
                      <w:highlight w:val="none"/>
                    </w:rPr>
                    <w:t>名      称</w:t>
                  </w:r>
                </w:p>
              </w:tc>
              <w:tc>
                <w:tcPr>
                  <w:tcW w:w="1764" w:type="dxa"/>
                  <w:noWrap w:val="0"/>
                  <w:vAlign w:val="center"/>
                </w:tcPr>
                <w:p>
                  <w:pPr>
                    <w:spacing w:line="280" w:lineRule="exact"/>
                    <w:jc w:val="center"/>
                    <w:rPr>
                      <w:rFonts w:hint="eastAsia"/>
                      <w:color w:val="auto"/>
                      <w:highlight w:val="none"/>
                    </w:rPr>
                  </w:pPr>
                  <w:r>
                    <w:rPr>
                      <w:rFonts w:hint="eastAsia"/>
                      <w:color w:val="auto"/>
                      <w:highlight w:val="none"/>
                    </w:rPr>
                    <w:t>申请金额（元）</w:t>
                  </w:r>
                </w:p>
              </w:tc>
              <w:tc>
                <w:tcPr>
                  <w:tcW w:w="2240" w:type="dxa"/>
                  <w:noWrap w:val="0"/>
                  <w:vAlign w:val="center"/>
                </w:tcPr>
                <w:p>
                  <w:pPr>
                    <w:spacing w:line="280" w:lineRule="exact"/>
                    <w:jc w:val="center"/>
                    <w:rPr>
                      <w:rFonts w:hint="eastAsia"/>
                      <w:color w:val="auto"/>
                      <w:highlight w:val="none"/>
                    </w:rPr>
                  </w:pPr>
                  <w:r>
                    <w:rPr>
                      <w:rFonts w:hint="eastAsia"/>
                      <w:color w:val="auto"/>
                      <w:highlight w:val="none"/>
                    </w:rPr>
                    <w:t>复核金额（元）</w:t>
                  </w:r>
                </w:p>
              </w:tc>
              <w:tc>
                <w:tcPr>
                  <w:tcW w:w="1080" w:type="dxa"/>
                  <w:noWrap w:val="0"/>
                  <w:vAlign w:val="center"/>
                </w:tcPr>
                <w:p>
                  <w:pPr>
                    <w:spacing w:line="280" w:lineRule="exact"/>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1</w:t>
                  </w:r>
                </w:p>
              </w:tc>
              <w:tc>
                <w:tcPr>
                  <w:tcW w:w="3340" w:type="dxa"/>
                  <w:noWrap w:val="0"/>
                  <w:vAlign w:val="top"/>
                </w:tcPr>
                <w:p>
                  <w:pPr>
                    <w:spacing w:line="280" w:lineRule="exact"/>
                    <w:rPr>
                      <w:rFonts w:hint="eastAsia"/>
                      <w:color w:val="auto"/>
                      <w:highlight w:val="none"/>
                    </w:rPr>
                  </w:pPr>
                  <w:r>
                    <w:rPr>
                      <w:rFonts w:hint="eastAsia"/>
                      <w:color w:val="auto"/>
                      <w:highlight w:val="none"/>
                    </w:rPr>
                    <w:t>已签约合同价款金额</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2</w:t>
                  </w:r>
                </w:p>
              </w:tc>
              <w:tc>
                <w:tcPr>
                  <w:tcW w:w="3340" w:type="dxa"/>
                  <w:noWrap w:val="0"/>
                  <w:vAlign w:val="top"/>
                </w:tcPr>
                <w:p>
                  <w:pPr>
                    <w:spacing w:line="280" w:lineRule="exact"/>
                    <w:rPr>
                      <w:rFonts w:hint="eastAsia"/>
                      <w:color w:val="auto"/>
                      <w:highlight w:val="none"/>
                    </w:rPr>
                  </w:pPr>
                  <w:r>
                    <w:rPr>
                      <w:rFonts w:hint="eastAsia"/>
                      <w:color w:val="auto"/>
                      <w:highlight w:val="none"/>
                    </w:rPr>
                    <w:t>其中：安全文明施工费</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3</w:t>
                  </w:r>
                </w:p>
              </w:tc>
              <w:tc>
                <w:tcPr>
                  <w:tcW w:w="3340" w:type="dxa"/>
                  <w:noWrap w:val="0"/>
                  <w:vAlign w:val="top"/>
                </w:tcPr>
                <w:p>
                  <w:pPr>
                    <w:spacing w:line="280" w:lineRule="exact"/>
                    <w:rPr>
                      <w:rFonts w:hint="eastAsia"/>
                      <w:color w:val="auto"/>
                      <w:highlight w:val="none"/>
                    </w:rPr>
                  </w:pPr>
                  <w:r>
                    <w:rPr>
                      <w:rFonts w:hint="eastAsia"/>
                      <w:color w:val="auto"/>
                      <w:highlight w:val="none"/>
                    </w:rPr>
                    <w:t>应支付的预付款</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w:t>
                  </w:r>
                </w:p>
              </w:tc>
              <w:tc>
                <w:tcPr>
                  <w:tcW w:w="3340" w:type="dxa"/>
                  <w:noWrap w:val="0"/>
                  <w:vAlign w:val="top"/>
                </w:tcPr>
                <w:p>
                  <w:pPr>
                    <w:spacing w:line="280" w:lineRule="exact"/>
                    <w:rPr>
                      <w:rFonts w:hint="eastAsia"/>
                      <w:color w:val="auto"/>
                      <w:highlight w:val="none"/>
                    </w:rPr>
                  </w:pPr>
                  <w:r>
                    <w:rPr>
                      <w:rFonts w:hint="eastAsia"/>
                      <w:color w:val="auto"/>
                      <w:highlight w:val="none"/>
                    </w:rPr>
                    <w:t>应支付的安全文明施工费预付款</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5</w:t>
                  </w:r>
                </w:p>
              </w:tc>
              <w:tc>
                <w:tcPr>
                  <w:tcW w:w="3340" w:type="dxa"/>
                  <w:noWrap w:val="0"/>
                  <w:vAlign w:val="top"/>
                </w:tcPr>
                <w:p>
                  <w:pPr>
                    <w:spacing w:line="280" w:lineRule="exact"/>
                    <w:rPr>
                      <w:rFonts w:hint="eastAsia"/>
                      <w:color w:val="auto"/>
                      <w:highlight w:val="none"/>
                    </w:rPr>
                  </w:pPr>
                  <w:r>
                    <w:rPr>
                      <w:rFonts w:hint="eastAsia"/>
                      <w:color w:val="auto"/>
                      <w:highlight w:val="none"/>
                    </w:rPr>
                    <w:t>合计应支付的预付款</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bl>
          <w:p>
            <w:pPr>
              <w:wordWrap w:val="0"/>
              <w:spacing w:line="400" w:lineRule="exact"/>
              <w:ind w:right="420"/>
              <w:rPr>
                <w:rFonts w:hint="eastAsia"/>
                <w:color w:val="auto"/>
                <w:highlight w:val="none"/>
              </w:rPr>
            </w:pPr>
          </w:p>
          <w:p>
            <w:pPr>
              <w:wordWrap w:val="0"/>
              <w:spacing w:line="400" w:lineRule="exact"/>
              <w:ind w:right="420"/>
              <w:rPr>
                <w:rFonts w:hint="eastAsia"/>
                <w:color w:val="auto"/>
                <w:highlight w:val="none"/>
              </w:rPr>
            </w:pPr>
            <w:r>
              <w:rPr>
                <w:rFonts w:hint="eastAsia"/>
                <w:color w:val="auto"/>
                <w:highlight w:val="none"/>
              </w:rPr>
              <w:t xml:space="preserve">                                            承包人（章）             </w:t>
            </w:r>
          </w:p>
          <w:p>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79"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312"/>
              <w:rPr>
                <w:rFonts w:hint="eastAsia"/>
                <w:color w:val="auto"/>
                <w:highlight w:val="none"/>
              </w:rPr>
            </w:pPr>
            <w:r>
              <w:rPr>
                <w:rFonts w:hint="eastAsia"/>
                <w:color w:val="auto"/>
                <w:highlight w:val="none"/>
              </w:rPr>
              <w:t>□与合同约定不相符，修改意见见附件。</w:t>
            </w:r>
          </w:p>
          <w:p>
            <w:pPr>
              <w:spacing w:line="360" w:lineRule="exact"/>
              <w:ind w:firstLine="312"/>
              <w:rPr>
                <w:rFonts w:hint="eastAsia"/>
                <w:color w:val="auto"/>
                <w:highlight w:val="none"/>
              </w:rPr>
            </w:pPr>
            <w:r>
              <w:rPr>
                <w:rFonts w:hint="eastAsia"/>
                <w:color w:val="auto"/>
                <w:highlight w:val="none"/>
              </w:rPr>
              <w:t>□与合同约定相符，具体金额由造价工程师复核。</w:t>
            </w:r>
          </w:p>
          <w:p>
            <w:pPr>
              <w:spacing w:line="360" w:lineRule="exact"/>
              <w:ind w:firstLine="435"/>
              <w:jc w:val="right"/>
              <w:rPr>
                <w:rFonts w:hint="eastAsia"/>
                <w:color w:val="auto"/>
                <w:highlight w:val="none"/>
              </w:rPr>
            </w:pP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606"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435"/>
              <w:rPr>
                <w:rFonts w:hint="eastAsia"/>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pPr>
              <w:spacing w:line="360" w:lineRule="exact"/>
              <w:rPr>
                <w:rFonts w:hint="eastAsia"/>
                <w:color w:val="auto"/>
                <w:highlight w:val="none"/>
                <w:u w:val="single"/>
              </w:rPr>
            </w:pP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pPr>
              <w:spacing w:line="400" w:lineRule="exact"/>
              <w:rPr>
                <w:rFonts w:hint="eastAsia"/>
                <w:color w:val="auto"/>
                <w:highlight w:val="none"/>
              </w:rPr>
            </w:pPr>
            <w:r>
              <w:rPr>
                <w:rFonts w:hint="eastAsia"/>
                <w:color w:val="auto"/>
                <w:highlight w:val="none"/>
              </w:rPr>
              <w:t>审核意见：</w:t>
            </w:r>
          </w:p>
          <w:p>
            <w:pPr>
              <w:spacing w:line="400" w:lineRule="exact"/>
              <w:ind w:firstLine="435"/>
              <w:rPr>
                <w:rFonts w:hint="eastAsia"/>
                <w:color w:val="auto"/>
                <w:highlight w:val="none"/>
              </w:rPr>
            </w:pPr>
            <w:r>
              <w:rPr>
                <w:rFonts w:hint="eastAsia"/>
                <w:color w:val="auto"/>
                <w:highlight w:val="none"/>
              </w:rPr>
              <w:t>□不同意。</w:t>
            </w:r>
          </w:p>
          <w:p>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spacing w:before="120" w:beforeLines="50"/>
        <w:ind w:left="1200" w:hanging="1200" w:hangingChars="400"/>
        <w:rPr>
          <w:rFonts w:hint="eastAsia" w:eastAsia="仿宋_GB2312"/>
          <w:color w:val="auto"/>
          <w:sz w:val="30"/>
          <w:szCs w:val="30"/>
          <w:highlight w:val="none"/>
        </w:rPr>
      </w:pPr>
    </w:p>
    <w:p>
      <w:pPr>
        <w:spacing w:before="120" w:beforeLines="50"/>
        <w:ind w:left="1200" w:hanging="1200" w:hangingChars="400"/>
        <w:rPr>
          <w:rFonts w:hint="eastAsia" w:eastAsia="仿宋_GB2312"/>
          <w:color w:val="auto"/>
          <w:sz w:val="30"/>
          <w:szCs w:val="30"/>
          <w:highlight w:val="none"/>
        </w:rPr>
      </w:pPr>
      <w:r>
        <w:rPr>
          <w:rFonts w:hint="eastAsia" w:eastAsia="仿宋_GB2312"/>
          <w:color w:val="auto"/>
          <w:sz w:val="30"/>
          <w:szCs w:val="30"/>
          <w:highlight w:val="none"/>
        </w:rPr>
        <w:t>附件11：</w:t>
      </w:r>
    </w:p>
    <w:p>
      <w:pPr>
        <w:jc w:val="center"/>
        <w:rPr>
          <w:rFonts w:hint="eastAsia"/>
          <w:b/>
          <w:color w:val="auto"/>
          <w:sz w:val="36"/>
          <w:szCs w:val="36"/>
          <w:highlight w:val="none"/>
        </w:rPr>
      </w:pPr>
      <w:r>
        <w:rPr>
          <w:rFonts w:hint="eastAsia"/>
          <w:b/>
          <w:color w:val="auto"/>
          <w:sz w:val="36"/>
          <w:szCs w:val="36"/>
          <w:highlight w:val="none"/>
        </w:rPr>
        <w:t>进度款支付申请（核准）表</w:t>
      </w:r>
    </w:p>
    <w:p>
      <w:pPr>
        <w:rPr>
          <w:rFonts w:hint="eastAsia"/>
          <w:color w:val="auto"/>
          <w:sz w:val="24"/>
          <w:szCs w:val="24"/>
          <w:highlight w:val="none"/>
        </w:rPr>
      </w:pPr>
      <w:r>
        <w:rPr>
          <w:rFonts w:hint="eastAsia"/>
          <w:color w:val="auto"/>
          <w:sz w:val="24"/>
          <w:szCs w:val="24"/>
          <w:highlight w:val="none"/>
        </w:rPr>
        <w:t>工程名称：                                             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spacing w:line="280" w:lineRule="exact"/>
                    <w:jc w:val="center"/>
                    <w:rPr>
                      <w:rFonts w:hint="eastAsia"/>
                      <w:color w:val="auto"/>
                      <w:highlight w:val="none"/>
                    </w:rPr>
                  </w:pPr>
                  <w:r>
                    <w:rPr>
                      <w:rFonts w:hint="eastAsia"/>
                      <w:color w:val="auto"/>
                      <w:highlight w:val="none"/>
                    </w:rPr>
                    <w:t>序号</w:t>
                  </w:r>
                </w:p>
              </w:tc>
              <w:tc>
                <w:tcPr>
                  <w:tcW w:w="3340" w:type="dxa"/>
                  <w:noWrap w:val="0"/>
                  <w:vAlign w:val="center"/>
                </w:tcPr>
                <w:p>
                  <w:pPr>
                    <w:spacing w:line="280" w:lineRule="exact"/>
                    <w:jc w:val="center"/>
                    <w:rPr>
                      <w:rFonts w:hint="eastAsia"/>
                      <w:color w:val="auto"/>
                      <w:highlight w:val="none"/>
                    </w:rPr>
                  </w:pPr>
                  <w:r>
                    <w:rPr>
                      <w:rFonts w:hint="eastAsia"/>
                      <w:color w:val="auto"/>
                      <w:highlight w:val="none"/>
                    </w:rPr>
                    <w:t>名      称</w:t>
                  </w:r>
                </w:p>
              </w:tc>
              <w:tc>
                <w:tcPr>
                  <w:tcW w:w="1340" w:type="dxa"/>
                  <w:noWrap w:val="0"/>
                  <w:vAlign w:val="center"/>
                </w:tcPr>
                <w:p>
                  <w:pPr>
                    <w:spacing w:line="280" w:lineRule="exact"/>
                    <w:jc w:val="center"/>
                    <w:rPr>
                      <w:rFonts w:hint="eastAsia"/>
                      <w:color w:val="auto"/>
                      <w:highlight w:val="none"/>
                    </w:rPr>
                  </w:pPr>
                  <w:r>
                    <w:rPr>
                      <w:rFonts w:hint="eastAsia"/>
                      <w:color w:val="auto"/>
                      <w:highlight w:val="none"/>
                    </w:rPr>
                    <w:t>实际金额（元）</w:t>
                  </w:r>
                </w:p>
              </w:tc>
              <w:tc>
                <w:tcPr>
                  <w:tcW w:w="1440" w:type="dxa"/>
                  <w:noWrap w:val="0"/>
                  <w:vAlign w:val="center"/>
                </w:tcPr>
                <w:p>
                  <w:pPr>
                    <w:spacing w:line="280" w:lineRule="exact"/>
                    <w:jc w:val="center"/>
                    <w:rPr>
                      <w:rFonts w:hint="eastAsia"/>
                      <w:color w:val="auto"/>
                      <w:highlight w:val="none"/>
                    </w:rPr>
                  </w:pPr>
                  <w:r>
                    <w:rPr>
                      <w:rFonts w:hint="eastAsia"/>
                      <w:color w:val="auto"/>
                      <w:highlight w:val="none"/>
                    </w:rPr>
                    <w:t>申请金额（元）</w:t>
                  </w:r>
                </w:p>
              </w:tc>
              <w:tc>
                <w:tcPr>
                  <w:tcW w:w="1260" w:type="dxa"/>
                  <w:noWrap w:val="0"/>
                  <w:vAlign w:val="center"/>
                </w:tcPr>
                <w:p>
                  <w:pPr>
                    <w:spacing w:line="280" w:lineRule="exact"/>
                    <w:jc w:val="center"/>
                    <w:rPr>
                      <w:rFonts w:hint="eastAsia"/>
                      <w:color w:val="auto"/>
                      <w:highlight w:val="none"/>
                    </w:rPr>
                  </w:pPr>
                  <w:r>
                    <w:rPr>
                      <w:rFonts w:hint="eastAsia"/>
                      <w:color w:val="auto"/>
                      <w:highlight w:val="none"/>
                    </w:rPr>
                    <w:t>复核金额（元）</w:t>
                  </w:r>
                </w:p>
              </w:tc>
              <w:tc>
                <w:tcPr>
                  <w:tcW w:w="931" w:type="dxa"/>
                  <w:noWrap w:val="0"/>
                  <w:vAlign w:val="center"/>
                </w:tcPr>
                <w:p>
                  <w:pPr>
                    <w:spacing w:line="280" w:lineRule="exact"/>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1</w:t>
                  </w:r>
                </w:p>
              </w:tc>
              <w:tc>
                <w:tcPr>
                  <w:tcW w:w="3340" w:type="dxa"/>
                  <w:noWrap w:val="0"/>
                  <w:vAlign w:val="top"/>
                </w:tcPr>
                <w:p>
                  <w:pPr>
                    <w:spacing w:line="280" w:lineRule="exact"/>
                    <w:rPr>
                      <w:rFonts w:hint="eastAsia"/>
                      <w:color w:val="auto"/>
                      <w:highlight w:val="none"/>
                    </w:rPr>
                  </w:pPr>
                  <w:r>
                    <w:rPr>
                      <w:rFonts w:hint="eastAsia"/>
                      <w:color w:val="auto"/>
                      <w:highlight w:val="none"/>
                    </w:rPr>
                    <w:t>累计已完成的工程价款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2</w:t>
                  </w:r>
                </w:p>
              </w:tc>
              <w:tc>
                <w:tcPr>
                  <w:tcW w:w="3340" w:type="dxa"/>
                  <w:noWrap w:val="0"/>
                  <w:vAlign w:val="top"/>
                </w:tcPr>
                <w:p>
                  <w:pPr>
                    <w:spacing w:line="280" w:lineRule="exact"/>
                    <w:rPr>
                      <w:rFonts w:hint="eastAsia"/>
                      <w:color w:val="auto"/>
                      <w:highlight w:val="none"/>
                    </w:rPr>
                  </w:pPr>
                  <w:r>
                    <w:rPr>
                      <w:rFonts w:hint="eastAsia"/>
                      <w:color w:val="auto"/>
                      <w:highlight w:val="none"/>
                    </w:rPr>
                    <w:t>累计已实际支付的工程价款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3</w:t>
                  </w:r>
                </w:p>
              </w:tc>
              <w:tc>
                <w:tcPr>
                  <w:tcW w:w="3340" w:type="dxa"/>
                  <w:noWrap w:val="0"/>
                  <w:vAlign w:val="top"/>
                </w:tcPr>
                <w:p>
                  <w:pPr>
                    <w:spacing w:line="280" w:lineRule="exact"/>
                    <w:rPr>
                      <w:rFonts w:hint="eastAsia"/>
                      <w:color w:val="auto"/>
                      <w:highlight w:val="none"/>
                    </w:rPr>
                  </w:pPr>
                  <w:r>
                    <w:rPr>
                      <w:rFonts w:hint="eastAsia"/>
                      <w:color w:val="auto"/>
                      <w:highlight w:val="none"/>
                    </w:rPr>
                    <w:t>本周期已完成的工程价款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w:t>
                  </w:r>
                </w:p>
              </w:tc>
              <w:tc>
                <w:tcPr>
                  <w:tcW w:w="3340" w:type="dxa"/>
                  <w:noWrap w:val="0"/>
                  <w:vAlign w:val="top"/>
                </w:tcPr>
                <w:p>
                  <w:pPr>
                    <w:spacing w:line="280" w:lineRule="exact"/>
                    <w:rPr>
                      <w:rFonts w:hint="eastAsia"/>
                      <w:color w:val="auto"/>
                      <w:highlight w:val="none"/>
                    </w:rPr>
                  </w:pPr>
                  <w:r>
                    <w:rPr>
                      <w:rFonts w:hint="eastAsia"/>
                      <w:color w:val="auto"/>
                      <w:highlight w:val="none"/>
                    </w:rPr>
                    <w:t>本周期应扣减的金额</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4.1</w:t>
                  </w:r>
                </w:p>
              </w:tc>
              <w:tc>
                <w:tcPr>
                  <w:tcW w:w="3340" w:type="dxa"/>
                  <w:noWrap w:val="0"/>
                  <w:vAlign w:val="top"/>
                </w:tcPr>
                <w:p>
                  <w:pPr>
                    <w:spacing w:line="280" w:lineRule="exact"/>
                    <w:rPr>
                      <w:rFonts w:hint="eastAsia"/>
                      <w:color w:val="auto"/>
                      <w:highlight w:val="none"/>
                    </w:rPr>
                  </w:pPr>
                  <w:r>
                    <w:rPr>
                      <w:rFonts w:hint="eastAsia"/>
                      <w:color w:val="auto"/>
                      <w:highlight w:val="none"/>
                    </w:rPr>
                    <w:t>本周期实际应抵扣的预付款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4.2</w:t>
                  </w:r>
                </w:p>
              </w:tc>
              <w:tc>
                <w:tcPr>
                  <w:tcW w:w="3340" w:type="dxa"/>
                  <w:noWrap w:val="0"/>
                  <w:vAlign w:val="top"/>
                </w:tcPr>
                <w:p>
                  <w:pPr>
                    <w:spacing w:line="280" w:lineRule="exact"/>
                    <w:rPr>
                      <w:rFonts w:hint="eastAsia"/>
                      <w:color w:val="auto"/>
                      <w:highlight w:val="none"/>
                    </w:rPr>
                  </w:pPr>
                  <w:r>
                    <w:rPr>
                      <w:rFonts w:hint="eastAsia"/>
                      <w:color w:val="auto"/>
                      <w:highlight w:val="none"/>
                    </w:rPr>
                    <w:t>本周期应扣减的金额</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5</w:t>
                  </w:r>
                </w:p>
              </w:tc>
              <w:tc>
                <w:tcPr>
                  <w:tcW w:w="3340" w:type="dxa"/>
                  <w:noWrap w:val="0"/>
                  <w:vAlign w:val="top"/>
                </w:tcPr>
                <w:p>
                  <w:pPr>
                    <w:spacing w:line="280" w:lineRule="exact"/>
                    <w:rPr>
                      <w:rFonts w:hint="eastAsia"/>
                      <w:color w:val="auto"/>
                      <w:highlight w:val="none"/>
                    </w:rPr>
                  </w:pPr>
                  <w:r>
                    <w:rPr>
                      <w:rFonts w:hint="eastAsia"/>
                      <w:color w:val="auto"/>
                      <w:highlight w:val="none"/>
                    </w:rPr>
                    <w:t>本周期应支付的合同价款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bl>
          <w:p>
            <w:pPr>
              <w:wordWrap w:val="0"/>
              <w:spacing w:line="400" w:lineRule="exact"/>
              <w:ind w:right="420"/>
              <w:rPr>
                <w:rFonts w:hint="eastAsia"/>
                <w:color w:val="auto"/>
                <w:highlight w:val="none"/>
              </w:rPr>
            </w:pPr>
            <w:r>
              <w:rPr>
                <w:rFonts w:hint="eastAsia"/>
                <w:color w:val="auto"/>
                <w:highlight w:val="none"/>
              </w:rPr>
              <w:t>附：上述3、4详见附件清单。</w:t>
            </w:r>
          </w:p>
          <w:p>
            <w:pPr>
              <w:wordWrap w:val="0"/>
              <w:spacing w:line="400" w:lineRule="exact"/>
              <w:ind w:right="420"/>
              <w:rPr>
                <w:rFonts w:hint="eastAsia"/>
                <w:color w:val="auto"/>
                <w:highlight w:val="none"/>
              </w:rPr>
            </w:pPr>
            <w:r>
              <w:rPr>
                <w:rFonts w:hint="eastAsia"/>
                <w:color w:val="auto"/>
                <w:highlight w:val="none"/>
              </w:rPr>
              <w:t xml:space="preserve">                                            承包人（章）             </w:t>
            </w:r>
          </w:p>
          <w:p>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312"/>
              <w:rPr>
                <w:rFonts w:hint="eastAsia"/>
                <w:color w:val="auto"/>
                <w:highlight w:val="none"/>
              </w:rPr>
            </w:pPr>
            <w:r>
              <w:rPr>
                <w:rFonts w:hint="eastAsia"/>
                <w:color w:val="auto"/>
                <w:highlight w:val="none"/>
              </w:rPr>
              <w:t>□与实际施工情况不相符，修改意见见附件。</w:t>
            </w:r>
          </w:p>
          <w:p>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pPr>
              <w:spacing w:line="360" w:lineRule="exact"/>
              <w:ind w:firstLine="435"/>
              <w:jc w:val="right"/>
              <w:rPr>
                <w:rFonts w:hint="eastAsia"/>
                <w:color w:val="auto"/>
                <w:highlight w:val="none"/>
              </w:rPr>
            </w:pP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435"/>
              <w:rPr>
                <w:rFonts w:hint="eastAsia"/>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pPr>
              <w:spacing w:line="360" w:lineRule="exact"/>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pPr>
              <w:spacing w:line="400" w:lineRule="exact"/>
              <w:rPr>
                <w:rFonts w:hint="eastAsia"/>
                <w:color w:val="auto"/>
                <w:highlight w:val="none"/>
              </w:rPr>
            </w:pPr>
            <w:r>
              <w:rPr>
                <w:rFonts w:hint="eastAsia"/>
                <w:color w:val="auto"/>
                <w:highlight w:val="none"/>
              </w:rPr>
              <w:t>审核意见：</w:t>
            </w:r>
          </w:p>
          <w:p>
            <w:pPr>
              <w:spacing w:line="400" w:lineRule="exact"/>
              <w:ind w:firstLine="435"/>
              <w:rPr>
                <w:rFonts w:hint="eastAsia"/>
                <w:color w:val="auto"/>
                <w:highlight w:val="none"/>
              </w:rPr>
            </w:pPr>
            <w:r>
              <w:rPr>
                <w:rFonts w:hint="eastAsia"/>
                <w:color w:val="auto"/>
                <w:highlight w:val="none"/>
              </w:rPr>
              <w:t>□不同意。</w:t>
            </w:r>
          </w:p>
          <w:p>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spacing w:before="120" w:beforeLines="50"/>
        <w:ind w:left="840" w:hanging="840" w:hangingChars="400"/>
        <w:rPr>
          <w:rFonts w:hint="eastAsia" w:ascii="宋体"/>
          <w:color w:val="auto"/>
          <w:highlight w:val="none"/>
        </w:rPr>
      </w:pPr>
    </w:p>
    <w:p>
      <w:pPr>
        <w:jc w:val="left"/>
        <w:rPr>
          <w:rFonts w:hint="eastAsia"/>
          <w:color w:val="auto"/>
          <w:sz w:val="30"/>
          <w:szCs w:val="30"/>
          <w:highlight w:val="none"/>
        </w:rPr>
      </w:pPr>
      <w:r>
        <w:rPr>
          <w:rFonts w:hint="eastAsia"/>
          <w:color w:val="auto"/>
          <w:sz w:val="30"/>
          <w:szCs w:val="30"/>
          <w:highlight w:val="none"/>
        </w:rPr>
        <w:t>附件12</w:t>
      </w:r>
    </w:p>
    <w:p>
      <w:pPr>
        <w:jc w:val="center"/>
        <w:rPr>
          <w:rFonts w:hint="eastAsia"/>
          <w:b/>
          <w:color w:val="auto"/>
          <w:sz w:val="36"/>
          <w:szCs w:val="36"/>
          <w:highlight w:val="none"/>
        </w:rPr>
      </w:pPr>
      <w:r>
        <w:rPr>
          <w:rFonts w:hint="eastAsia"/>
          <w:b/>
          <w:color w:val="auto"/>
          <w:sz w:val="36"/>
          <w:szCs w:val="36"/>
          <w:highlight w:val="none"/>
        </w:rPr>
        <w:t>竣工结算款支付申请（核准）表</w:t>
      </w:r>
    </w:p>
    <w:p>
      <w:pPr>
        <w:rPr>
          <w:rFonts w:hint="eastAsia"/>
          <w:color w:val="auto"/>
          <w:sz w:val="24"/>
          <w:szCs w:val="24"/>
          <w:highlight w:val="none"/>
        </w:rPr>
      </w:pPr>
      <w:r>
        <w:rPr>
          <w:rFonts w:hint="eastAsia"/>
          <w:color w:val="auto"/>
          <w:sz w:val="24"/>
          <w:szCs w:val="24"/>
          <w:highlight w:val="none"/>
        </w:rPr>
        <w:t>工程名称：                                              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spacing w:line="280" w:lineRule="exact"/>
                    <w:jc w:val="center"/>
                    <w:rPr>
                      <w:rFonts w:hint="eastAsia"/>
                      <w:color w:val="auto"/>
                      <w:highlight w:val="none"/>
                    </w:rPr>
                  </w:pPr>
                  <w:r>
                    <w:rPr>
                      <w:rFonts w:hint="eastAsia"/>
                      <w:color w:val="auto"/>
                      <w:highlight w:val="none"/>
                    </w:rPr>
                    <w:t>序号</w:t>
                  </w:r>
                </w:p>
              </w:tc>
              <w:tc>
                <w:tcPr>
                  <w:tcW w:w="3420" w:type="dxa"/>
                  <w:noWrap w:val="0"/>
                  <w:vAlign w:val="center"/>
                </w:tcPr>
                <w:p>
                  <w:pPr>
                    <w:spacing w:line="280" w:lineRule="exact"/>
                    <w:jc w:val="center"/>
                    <w:rPr>
                      <w:rFonts w:hint="eastAsia"/>
                      <w:color w:val="auto"/>
                      <w:highlight w:val="none"/>
                    </w:rPr>
                  </w:pPr>
                  <w:r>
                    <w:rPr>
                      <w:rFonts w:hint="eastAsia"/>
                      <w:color w:val="auto"/>
                      <w:highlight w:val="none"/>
                    </w:rPr>
                    <w:t>名      称</w:t>
                  </w:r>
                </w:p>
              </w:tc>
              <w:tc>
                <w:tcPr>
                  <w:tcW w:w="1620" w:type="dxa"/>
                  <w:noWrap w:val="0"/>
                  <w:vAlign w:val="center"/>
                </w:tcPr>
                <w:p>
                  <w:pPr>
                    <w:spacing w:line="280" w:lineRule="exact"/>
                    <w:jc w:val="center"/>
                    <w:rPr>
                      <w:rFonts w:hint="eastAsia"/>
                      <w:color w:val="auto"/>
                      <w:highlight w:val="none"/>
                    </w:rPr>
                  </w:pPr>
                  <w:r>
                    <w:rPr>
                      <w:rFonts w:hint="eastAsia"/>
                      <w:color w:val="auto"/>
                      <w:highlight w:val="none"/>
                    </w:rPr>
                    <w:t>申请金额（元）</w:t>
                  </w:r>
                </w:p>
              </w:tc>
              <w:tc>
                <w:tcPr>
                  <w:tcW w:w="1620" w:type="dxa"/>
                  <w:noWrap w:val="0"/>
                  <w:vAlign w:val="center"/>
                </w:tcPr>
                <w:p>
                  <w:pPr>
                    <w:spacing w:line="280" w:lineRule="exact"/>
                    <w:jc w:val="center"/>
                    <w:rPr>
                      <w:rFonts w:hint="eastAsia"/>
                      <w:color w:val="auto"/>
                      <w:highlight w:val="none"/>
                    </w:rPr>
                  </w:pPr>
                  <w:r>
                    <w:rPr>
                      <w:rFonts w:hint="eastAsia"/>
                      <w:color w:val="auto"/>
                      <w:highlight w:val="none"/>
                    </w:rPr>
                    <w:t>复核金额（元）</w:t>
                  </w:r>
                </w:p>
              </w:tc>
              <w:tc>
                <w:tcPr>
                  <w:tcW w:w="1651" w:type="dxa"/>
                  <w:noWrap w:val="0"/>
                  <w:vAlign w:val="center"/>
                </w:tcPr>
                <w:p>
                  <w:pPr>
                    <w:spacing w:line="280" w:lineRule="exact"/>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1</w:t>
                  </w:r>
                </w:p>
              </w:tc>
              <w:tc>
                <w:tcPr>
                  <w:tcW w:w="3420" w:type="dxa"/>
                  <w:noWrap w:val="0"/>
                  <w:vAlign w:val="top"/>
                </w:tcPr>
                <w:p>
                  <w:pPr>
                    <w:spacing w:line="280" w:lineRule="exact"/>
                    <w:rPr>
                      <w:rFonts w:hint="eastAsia"/>
                      <w:color w:val="auto"/>
                      <w:highlight w:val="none"/>
                    </w:rPr>
                  </w:pPr>
                  <w:r>
                    <w:rPr>
                      <w:rFonts w:hint="eastAsia"/>
                      <w:color w:val="auto"/>
                      <w:highlight w:val="none"/>
                    </w:rPr>
                    <w:t>竣工结算合同价款总额</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2</w:t>
                  </w:r>
                </w:p>
              </w:tc>
              <w:tc>
                <w:tcPr>
                  <w:tcW w:w="3420" w:type="dxa"/>
                  <w:noWrap w:val="0"/>
                  <w:vAlign w:val="top"/>
                </w:tcPr>
                <w:p>
                  <w:pPr>
                    <w:spacing w:line="280" w:lineRule="exact"/>
                    <w:rPr>
                      <w:rFonts w:hint="eastAsia"/>
                      <w:color w:val="auto"/>
                      <w:highlight w:val="none"/>
                    </w:rPr>
                  </w:pPr>
                  <w:r>
                    <w:rPr>
                      <w:rFonts w:hint="eastAsia"/>
                      <w:color w:val="auto"/>
                      <w:highlight w:val="none"/>
                    </w:rPr>
                    <w:t>累计已实际支付的合同价款</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3</w:t>
                  </w:r>
                </w:p>
              </w:tc>
              <w:tc>
                <w:tcPr>
                  <w:tcW w:w="3420" w:type="dxa"/>
                  <w:noWrap w:val="0"/>
                  <w:vAlign w:val="top"/>
                </w:tcPr>
                <w:p>
                  <w:pPr>
                    <w:spacing w:line="280" w:lineRule="exact"/>
                    <w:rPr>
                      <w:rFonts w:hint="eastAsia"/>
                      <w:color w:val="auto"/>
                      <w:highlight w:val="none"/>
                    </w:rPr>
                  </w:pPr>
                  <w:r>
                    <w:rPr>
                      <w:rFonts w:hint="eastAsia"/>
                      <w:color w:val="auto"/>
                      <w:highlight w:val="none"/>
                    </w:rPr>
                    <w:t>应预留的质量保证金</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w:t>
                  </w:r>
                </w:p>
              </w:tc>
              <w:tc>
                <w:tcPr>
                  <w:tcW w:w="3420" w:type="dxa"/>
                  <w:noWrap w:val="0"/>
                  <w:vAlign w:val="top"/>
                </w:tcPr>
                <w:p>
                  <w:pPr>
                    <w:spacing w:line="280" w:lineRule="exact"/>
                    <w:rPr>
                      <w:rFonts w:hint="eastAsia"/>
                      <w:color w:val="auto"/>
                      <w:highlight w:val="none"/>
                    </w:rPr>
                  </w:pPr>
                  <w:r>
                    <w:rPr>
                      <w:rFonts w:hint="eastAsia"/>
                      <w:color w:val="auto"/>
                      <w:highlight w:val="none"/>
                    </w:rPr>
                    <w:t>应支付的竣工结算款金额</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bl>
          <w:p>
            <w:pPr>
              <w:spacing w:line="400" w:lineRule="exact"/>
              <w:ind w:right="420" w:firstLine="435"/>
              <w:jc w:val="center"/>
              <w:rPr>
                <w:rFonts w:hint="eastAsia"/>
                <w:color w:val="auto"/>
                <w:highlight w:val="none"/>
              </w:rPr>
            </w:pPr>
          </w:p>
          <w:p>
            <w:pPr>
              <w:spacing w:line="400" w:lineRule="exact"/>
              <w:ind w:right="420" w:firstLine="435"/>
              <w:jc w:val="center"/>
              <w:rPr>
                <w:rFonts w:hint="eastAsia"/>
                <w:color w:val="auto"/>
                <w:highlight w:val="none"/>
              </w:rPr>
            </w:pPr>
            <w:r>
              <w:rPr>
                <w:rFonts w:hint="eastAsia"/>
                <w:color w:val="auto"/>
                <w:highlight w:val="none"/>
              </w:rPr>
              <w:t xml:space="preserve">                                            承包人（章）             </w:t>
            </w:r>
          </w:p>
          <w:p>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6"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312"/>
              <w:rPr>
                <w:rFonts w:hint="eastAsia"/>
                <w:color w:val="auto"/>
                <w:highlight w:val="none"/>
              </w:rPr>
            </w:pPr>
            <w:r>
              <w:rPr>
                <w:rFonts w:hint="eastAsia"/>
                <w:color w:val="auto"/>
                <w:highlight w:val="none"/>
              </w:rPr>
              <w:t>□与实际施工情况不相符，修改意见见附件。</w:t>
            </w:r>
          </w:p>
          <w:p>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pPr>
              <w:spacing w:line="360" w:lineRule="exact"/>
              <w:ind w:firstLine="435"/>
              <w:jc w:val="right"/>
              <w:rPr>
                <w:rFonts w:hint="eastAsia"/>
                <w:color w:val="auto"/>
                <w:highlight w:val="none"/>
              </w:rPr>
            </w:pPr>
          </w:p>
          <w:p>
            <w:pPr>
              <w:spacing w:line="360" w:lineRule="exact"/>
              <w:ind w:firstLine="435"/>
              <w:jc w:val="right"/>
              <w:rPr>
                <w:rFonts w:hint="eastAsia"/>
                <w:color w:val="auto"/>
                <w:highlight w:val="none"/>
              </w:rPr>
            </w:pPr>
          </w:p>
          <w:p>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6"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435"/>
              <w:rPr>
                <w:rFonts w:hint="eastAsia"/>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rFonts w:hint="eastAsia"/>
                <w:color w:val="auto"/>
                <w:highlight w:val="none"/>
              </w:rPr>
            </w:pPr>
            <w:r>
              <w:rPr>
                <w:color w:val="auto"/>
                <w:highlight w:val="none"/>
              </w:rPr>
              <w:t xml:space="preserve">    </w:t>
            </w:r>
          </w:p>
          <w:p>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pPr>
              <w:spacing w:line="400" w:lineRule="exact"/>
              <w:rPr>
                <w:rFonts w:hint="eastAsia"/>
                <w:color w:val="auto"/>
                <w:highlight w:val="none"/>
              </w:rPr>
            </w:pPr>
            <w:r>
              <w:rPr>
                <w:rFonts w:hint="eastAsia"/>
                <w:color w:val="auto"/>
                <w:highlight w:val="none"/>
              </w:rPr>
              <w:t>审核意见：</w:t>
            </w:r>
          </w:p>
          <w:p>
            <w:pPr>
              <w:spacing w:line="400" w:lineRule="exact"/>
              <w:ind w:firstLine="435"/>
              <w:rPr>
                <w:rFonts w:hint="eastAsia"/>
                <w:color w:val="auto"/>
                <w:highlight w:val="none"/>
              </w:rPr>
            </w:pPr>
            <w:r>
              <w:rPr>
                <w:rFonts w:hint="eastAsia"/>
                <w:color w:val="auto"/>
                <w:highlight w:val="none"/>
              </w:rPr>
              <w:t>□不同意。</w:t>
            </w:r>
          </w:p>
          <w:p>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ind w:right="360"/>
        <w:rPr>
          <w:rFonts w:hint="eastAsia"/>
          <w:color w:val="auto"/>
          <w:sz w:val="18"/>
          <w:szCs w:val="18"/>
          <w:highlight w:val="none"/>
        </w:rPr>
      </w:pPr>
      <w:r>
        <w:rPr>
          <w:rFonts w:hint="eastAsia"/>
          <w:color w:val="auto"/>
          <w:sz w:val="18"/>
          <w:szCs w:val="18"/>
          <w:highlight w:val="none"/>
        </w:rPr>
        <w:t xml:space="preserve">                                                                                            </w:t>
      </w:r>
    </w:p>
    <w:p>
      <w:pPr>
        <w:jc w:val="center"/>
        <w:rPr>
          <w:rFonts w:hint="eastAsia" w:hAnsi="宋体" w:cs="宋体"/>
          <w:color w:val="auto"/>
          <w:highlight w:val="none"/>
        </w:rPr>
      </w:pPr>
    </w:p>
    <w:p>
      <w:pPr>
        <w:jc w:val="left"/>
        <w:rPr>
          <w:rFonts w:hint="eastAsia"/>
          <w:b/>
          <w:color w:val="auto"/>
          <w:sz w:val="30"/>
          <w:szCs w:val="30"/>
          <w:highlight w:val="none"/>
        </w:rPr>
      </w:pPr>
      <w:r>
        <w:rPr>
          <w:rFonts w:hint="eastAsia" w:hAnsi="宋体" w:cs="宋体"/>
          <w:color w:val="auto"/>
          <w:sz w:val="30"/>
          <w:szCs w:val="30"/>
          <w:highlight w:val="none"/>
        </w:rPr>
        <w:t>附件13：</w:t>
      </w:r>
    </w:p>
    <w:p>
      <w:pPr>
        <w:jc w:val="center"/>
        <w:rPr>
          <w:rFonts w:hint="eastAsia"/>
          <w:b/>
          <w:color w:val="auto"/>
          <w:sz w:val="36"/>
          <w:szCs w:val="36"/>
          <w:highlight w:val="none"/>
        </w:rPr>
      </w:pPr>
      <w:r>
        <w:rPr>
          <w:rFonts w:hint="eastAsia"/>
          <w:b/>
          <w:color w:val="auto"/>
          <w:sz w:val="36"/>
          <w:szCs w:val="36"/>
          <w:highlight w:val="none"/>
        </w:rPr>
        <w:t>最终结算款支付申请（核准）表</w:t>
      </w:r>
    </w:p>
    <w:p>
      <w:pPr>
        <w:rPr>
          <w:rFonts w:hint="eastAsia"/>
          <w:color w:val="auto"/>
          <w:sz w:val="24"/>
          <w:szCs w:val="24"/>
          <w:highlight w:val="none"/>
        </w:rPr>
      </w:pPr>
      <w:r>
        <w:rPr>
          <w:rFonts w:hint="eastAsia"/>
          <w:color w:val="auto"/>
          <w:sz w:val="24"/>
          <w:szCs w:val="24"/>
          <w:highlight w:val="none"/>
        </w:rPr>
        <w:t>工程名称：                                             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spacing w:line="280" w:lineRule="exact"/>
                    <w:jc w:val="center"/>
                    <w:rPr>
                      <w:rFonts w:hint="eastAsia"/>
                      <w:color w:val="auto"/>
                      <w:highlight w:val="none"/>
                    </w:rPr>
                  </w:pPr>
                  <w:r>
                    <w:rPr>
                      <w:rFonts w:hint="eastAsia"/>
                      <w:color w:val="auto"/>
                      <w:highlight w:val="none"/>
                    </w:rPr>
                    <w:t>序号</w:t>
                  </w:r>
                </w:p>
              </w:tc>
              <w:tc>
                <w:tcPr>
                  <w:tcW w:w="3420" w:type="dxa"/>
                  <w:noWrap w:val="0"/>
                  <w:vAlign w:val="center"/>
                </w:tcPr>
                <w:p>
                  <w:pPr>
                    <w:spacing w:line="280" w:lineRule="exact"/>
                    <w:jc w:val="center"/>
                    <w:rPr>
                      <w:rFonts w:hint="eastAsia"/>
                      <w:color w:val="auto"/>
                      <w:highlight w:val="none"/>
                    </w:rPr>
                  </w:pPr>
                  <w:r>
                    <w:rPr>
                      <w:rFonts w:hint="eastAsia"/>
                      <w:color w:val="auto"/>
                      <w:highlight w:val="none"/>
                    </w:rPr>
                    <w:t>名      称</w:t>
                  </w:r>
                </w:p>
              </w:tc>
              <w:tc>
                <w:tcPr>
                  <w:tcW w:w="1620" w:type="dxa"/>
                  <w:noWrap w:val="0"/>
                  <w:vAlign w:val="center"/>
                </w:tcPr>
                <w:p>
                  <w:pPr>
                    <w:spacing w:line="280" w:lineRule="exact"/>
                    <w:jc w:val="center"/>
                    <w:rPr>
                      <w:rFonts w:hint="eastAsia"/>
                      <w:color w:val="auto"/>
                      <w:highlight w:val="none"/>
                    </w:rPr>
                  </w:pPr>
                  <w:r>
                    <w:rPr>
                      <w:rFonts w:hint="eastAsia"/>
                      <w:color w:val="auto"/>
                      <w:highlight w:val="none"/>
                    </w:rPr>
                    <w:t>申请金额（元）</w:t>
                  </w:r>
                </w:p>
              </w:tc>
              <w:tc>
                <w:tcPr>
                  <w:tcW w:w="1620" w:type="dxa"/>
                  <w:noWrap w:val="0"/>
                  <w:vAlign w:val="center"/>
                </w:tcPr>
                <w:p>
                  <w:pPr>
                    <w:spacing w:line="280" w:lineRule="exact"/>
                    <w:jc w:val="center"/>
                    <w:rPr>
                      <w:rFonts w:hint="eastAsia"/>
                      <w:color w:val="auto"/>
                      <w:highlight w:val="none"/>
                    </w:rPr>
                  </w:pPr>
                  <w:r>
                    <w:rPr>
                      <w:rFonts w:hint="eastAsia"/>
                      <w:color w:val="auto"/>
                      <w:highlight w:val="none"/>
                    </w:rPr>
                    <w:t>复核金额（元）</w:t>
                  </w:r>
                </w:p>
              </w:tc>
              <w:tc>
                <w:tcPr>
                  <w:tcW w:w="1651" w:type="dxa"/>
                  <w:noWrap w:val="0"/>
                  <w:vAlign w:val="center"/>
                </w:tcPr>
                <w:p>
                  <w:pPr>
                    <w:spacing w:line="280" w:lineRule="exact"/>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1</w:t>
                  </w:r>
                </w:p>
              </w:tc>
              <w:tc>
                <w:tcPr>
                  <w:tcW w:w="3420" w:type="dxa"/>
                  <w:noWrap w:val="0"/>
                  <w:vAlign w:val="top"/>
                </w:tcPr>
                <w:p>
                  <w:pPr>
                    <w:spacing w:line="280" w:lineRule="exact"/>
                    <w:rPr>
                      <w:rFonts w:hint="eastAsia"/>
                      <w:color w:val="auto"/>
                      <w:highlight w:val="none"/>
                    </w:rPr>
                  </w:pPr>
                  <w:r>
                    <w:rPr>
                      <w:rFonts w:hint="eastAsia"/>
                      <w:color w:val="auto"/>
                      <w:highlight w:val="none"/>
                    </w:rPr>
                    <w:t>已预留的质量保证金</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2</w:t>
                  </w:r>
                </w:p>
              </w:tc>
              <w:tc>
                <w:tcPr>
                  <w:tcW w:w="3420" w:type="dxa"/>
                  <w:noWrap w:val="0"/>
                  <w:vAlign w:val="top"/>
                </w:tcPr>
                <w:p>
                  <w:pPr>
                    <w:spacing w:line="280" w:lineRule="exact"/>
                    <w:rPr>
                      <w:rFonts w:hint="eastAsia"/>
                      <w:color w:val="auto"/>
                      <w:highlight w:val="none"/>
                    </w:rPr>
                  </w:pPr>
                  <w:r>
                    <w:rPr>
                      <w:rFonts w:hint="eastAsia"/>
                      <w:color w:val="auto"/>
                      <w:highlight w:val="none"/>
                    </w:rPr>
                    <w:t>应增加因发包人原因造成缺陷的修复金额</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3</w:t>
                  </w:r>
                </w:p>
              </w:tc>
              <w:tc>
                <w:tcPr>
                  <w:tcW w:w="3420" w:type="dxa"/>
                  <w:noWrap w:val="0"/>
                  <w:vAlign w:val="top"/>
                </w:tcPr>
                <w:p>
                  <w:pPr>
                    <w:spacing w:line="280" w:lineRule="exact"/>
                    <w:rPr>
                      <w:rFonts w:hint="eastAsia"/>
                      <w:color w:val="auto"/>
                      <w:highlight w:val="none"/>
                    </w:rPr>
                  </w:pPr>
                  <w:r>
                    <w:rPr>
                      <w:rFonts w:hint="eastAsia"/>
                      <w:color w:val="auto"/>
                      <w:highlight w:val="none"/>
                    </w:rPr>
                    <w:t>应扣减承包人不修复缺陷、发包人组织修复的金额</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w:t>
                  </w:r>
                </w:p>
              </w:tc>
              <w:tc>
                <w:tcPr>
                  <w:tcW w:w="3420" w:type="dxa"/>
                  <w:noWrap w:val="0"/>
                  <w:vAlign w:val="top"/>
                </w:tcPr>
                <w:p>
                  <w:pPr>
                    <w:spacing w:line="280" w:lineRule="exact"/>
                    <w:rPr>
                      <w:rFonts w:hint="eastAsia"/>
                      <w:color w:val="auto"/>
                      <w:highlight w:val="none"/>
                    </w:rPr>
                  </w:pPr>
                  <w:r>
                    <w:rPr>
                      <w:rFonts w:hint="eastAsia"/>
                      <w:color w:val="auto"/>
                      <w:highlight w:val="none"/>
                    </w:rPr>
                    <w:t>最终应支付的合同价款</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bl>
          <w:p>
            <w:pPr>
              <w:spacing w:line="400" w:lineRule="exact"/>
              <w:ind w:right="420" w:firstLine="435"/>
              <w:jc w:val="center"/>
              <w:rPr>
                <w:rFonts w:hint="eastAsia"/>
                <w:color w:val="auto"/>
                <w:highlight w:val="none"/>
              </w:rPr>
            </w:pPr>
            <w:r>
              <w:rPr>
                <w:rFonts w:hint="eastAsia"/>
                <w:color w:val="auto"/>
                <w:highlight w:val="none"/>
              </w:rPr>
              <w:t xml:space="preserve">                                            承包人（章）             </w:t>
            </w:r>
          </w:p>
          <w:p>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6"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312"/>
              <w:rPr>
                <w:rFonts w:hint="eastAsia"/>
                <w:color w:val="auto"/>
                <w:highlight w:val="none"/>
              </w:rPr>
            </w:pPr>
            <w:r>
              <w:rPr>
                <w:rFonts w:hint="eastAsia"/>
                <w:color w:val="auto"/>
                <w:highlight w:val="none"/>
              </w:rPr>
              <w:t>□与实际施工情况不相符，修改意见见附件。</w:t>
            </w:r>
          </w:p>
          <w:p>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pPr>
              <w:spacing w:line="360" w:lineRule="exact"/>
              <w:ind w:firstLine="435"/>
              <w:jc w:val="right"/>
              <w:rPr>
                <w:rFonts w:hint="eastAsia"/>
                <w:color w:val="auto"/>
                <w:highlight w:val="none"/>
              </w:rPr>
            </w:pPr>
          </w:p>
          <w:p>
            <w:pPr>
              <w:spacing w:line="360" w:lineRule="exact"/>
              <w:ind w:firstLine="435"/>
              <w:jc w:val="right"/>
              <w:rPr>
                <w:rFonts w:hint="eastAsia"/>
                <w:color w:val="auto"/>
                <w:highlight w:val="none"/>
              </w:rPr>
            </w:pPr>
          </w:p>
          <w:p>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6"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435"/>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rFonts w:hint="eastAsia"/>
                <w:color w:val="auto"/>
                <w:highlight w:val="none"/>
              </w:rPr>
            </w:pPr>
            <w:r>
              <w:rPr>
                <w:color w:val="auto"/>
                <w:highlight w:val="none"/>
              </w:rPr>
              <w:t xml:space="preserve">    </w:t>
            </w: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pPr>
              <w:spacing w:line="400" w:lineRule="exact"/>
              <w:rPr>
                <w:rFonts w:hint="eastAsia"/>
                <w:color w:val="auto"/>
                <w:highlight w:val="none"/>
              </w:rPr>
            </w:pPr>
            <w:r>
              <w:rPr>
                <w:rFonts w:hint="eastAsia"/>
                <w:color w:val="auto"/>
                <w:highlight w:val="none"/>
              </w:rPr>
              <w:t>审核意见：</w:t>
            </w:r>
          </w:p>
          <w:p>
            <w:pPr>
              <w:spacing w:line="400" w:lineRule="exact"/>
              <w:ind w:firstLine="435"/>
              <w:rPr>
                <w:rFonts w:hint="eastAsia"/>
                <w:color w:val="auto"/>
                <w:highlight w:val="none"/>
              </w:rPr>
            </w:pPr>
            <w:r>
              <w:rPr>
                <w:rFonts w:hint="eastAsia"/>
                <w:color w:val="auto"/>
                <w:highlight w:val="none"/>
              </w:rPr>
              <w:t>□不同意。</w:t>
            </w:r>
          </w:p>
          <w:p>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rFonts w:hint="eastAsia"/>
          <w:color w:val="auto"/>
          <w:sz w:val="18"/>
          <w:szCs w:val="18"/>
          <w:highlight w:val="none"/>
        </w:rPr>
      </w:pPr>
      <w:r>
        <w:rPr>
          <w:rFonts w:hint="eastAsia"/>
          <w:color w:val="auto"/>
          <w:sz w:val="18"/>
          <w:szCs w:val="18"/>
          <w:highlight w:val="none"/>
        </w:rPr>
        <w:t>注：1.在选择栏中的“□”内作标识“√”。 如监理人已退场，监理工程师栏可空缺。</w:t>
      </w:r>
    </w:p>
    <w:p>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spacing w:line="360" w:lineRule="auto"/>
        <w:ind w:firstLine="420" w:firstLineChars="200"/>
        <w:jc w:val="left"/>
        <w:rPr>
          <w:color w:val="auto"/>
          <w:highlight w:val="none"/>
          <w:u w:val="single"/>
        </w:rPr>
      </w:pPr>
    </w:p>
    <w:p>
      <w:pPr>
        <w:spacing w:before="120" w:beforeLines="50"/>
        <w:ind w:left="1200" w:hanging="1200" w:hangingChars="400"/>
        <w:rPr>
          <w:rFonts w:ascii="宋体"/>
          <w:color w:val="auto"/>
          <w:sz w:val="30"/>
          <w:szCs w:val="30"/>
          <w:highlight w:val="none"/>
        </w:rPr>
      </w:pPr>
    </w:p>
    <w:p>
      <w:pPr>
        <w:spacing w:line="360" w:lineRule="auto"/>
        <w:jc w:val="left"/>
        <w:rPr>
          <w:rFonts w:hint="eastAsia" w:hAnsi="宋体" w:cs="宋体"/>
          <w:color w:val="auto"/>
          <w:sz w:val="30"/>
          <w:szCs w:val="30"/>
          <w:highlight w:val="none"/>
        </w:rPr>
      </w:pPr>
      <w:r>
        <w:rPr>
          <w:rFonts w:hint="eastAsia"/>
          <w:color w:val="auto"/>
          <w:sz w:val="30"/>
          <w:szCs w:val="30"/>
          <w:highlight w:val="none"/>
        </w:rPr>
        <w:t>附件14：</w:t>
      </w:r>
    </w:p>
    <w:p>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2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
        <w:gridCol w:w="1417"/>
        <w:gridCol w:w="3119"/>
        <w:gridCol w:w="675"/>
        <w:gridCol w:w="2268"/>
        <w:gridCol w:w="1155"/>
        <w:gridCol w:w="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3794" w:type="dxa"/>
            <w:gridSpan w:val="2"/>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2268" w:type="dxa"/>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1276" w:type="dxa"/>
            <w:gridSpan w:val="2"/>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3794" w:type="dxa"/>
            <w:gridSpan w:val="2"/>
            <w:noWrap w:val="0"/>
            <w:vAlign w:val="top"/>
          </w:tcPr>
          <w:p>
            <w:pPr>
              <w:spacing w:line="360" w:lineRule="auto"/>
              <w:jc w:val="center"/>
              <w:rPr>
                <w:rFonts w:hint="eastAsia" w:ascii="宋体" w:hAnsi="宋体" w:cs="宋体"/>
                <w:color w:val="auto"/>
                <w:kern w:val="0"/>
                <w:highlight w:val="none"/>
              </w:rPr>
            </w:pPr>
          </w:p>
        </w:tc>
        <w:tc>
          <w:tcPr>
            <w:tcW w:w="2268" w:type="dxa"/>
            <w:noWrap w:val="0"/>
            <w:vAlign w:val="top"/>
          </w:tcPr>
          <w:p>
            <w:pPr>
              <w:spacing w:line="360" w:lineRule="auto"/>
              <w:jc w:val="center"/>
              <w:rPr>
                <w:rFonts w:hint="eastAsia" w:ascii="宋体" w:hAnsi="宋体" w:cs="宋体"/>
                <w:color w:val="auto"/>
                <w:kern w:val="0"/>
                <w:highlight w:val="none"/>
              </w:rPr>
            </w:pPr>
          </w:p>
        </w:tc>
        <w:tc>
          <w:tcPr>
            <w:tcW w:w="1276" w:type="dxa"/>
            <w:gridSpan w:val="2"/>
            <w:noWrap w:val="0"/>
            <w:vAlign w:val="top"/>
          </w:tcPr>
          <w:p>
            <w:pPr>
              <w:spacing w:line="360" w:lineRule="auto"/>
              <w:jc w:val="center"/>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3794" w:type="dxa"/>
            <w:gridSpan w:val="2"/>
            <w:noWrap w:val="0"/>
            <w:vAlign w:val="top"/>
          </w:tcPr>
          <w:p>
            <w:pPr>
              <w:spacing w:line="360" w:lineRule="auto"/>
              <w:jc w:val="center"/>
              <w:rPr>
                <w:rFonts w:hint="eastAsia" w:ascii="宋体" w:hAnsi="宋体" w:cs="宋体"/>
                <w:color w:val="auto"/>
                <w:kern w:val="0"/>
                <w:highlight w:val="none"/>
              </w:rPr>
            </w:pPr>
          </w:p>
        </w:tc>
        <w:tc>
          <w:tcPr>
            <w:tcW w:w="2268" w:type="dxa"/>
            <w:noWrap w:val="0"/>
            <w:vAlign w:val="top"/>
          </w:tcPr>
          <w:p>
            <w:pPr>
              <w:spacing w:line="360" w:lineRule="auto"/>
              <w:jc w:val="center"/>
              <w:rPr>
                <w:rFonts w:hint="eastAsia" w:ascii="宋体" w:hAnsi="宋体" w:cs="宋体"/>
                <w:color w:val="auto"/>
                <w:kern w:val="0"/>
                <w:highlight w:val="none"/>
              </w:rPr>
            </w:pPr>
          </w:p>
        </w:tc>
        <w:tc>
          <w:tcPr>
            <w:tcW w:w="1276" w:type="dxa"/>
            <w:gridSpan w:val="2"/>
            <w:noWrap w:val="0"/>
            <w:vAlign w:val="top"/>
          </w:tcPr>
          <w:p>
            <w:pPr>
              <w:spacing w:line="360" w:lineRule="auto"/>
              <w:jc w:val="center"/>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3794" w:type="dxa"/>
            <w:gridSpan w:val="2"/>
            <w:noWrap w:val="0"/>
            <w:vAlign w:val="top"/>
          </w:tcPr>
          <w:p>
            <w:pPr>
              <w:spacing w:line="360" w:lineRule="auto"/>
              <w:jc w:val="center"/>
              <w:rPr>
                <w:rFonts w:hint="eastAsia" w:ascii="宋体" w:hAnsi="宋体" w:cs="宋体"/>
                <w:color w:val="auto"/>
                <w:kern w:val="0"/>
                <w:highlight w:val="none"/>
              </w:rPr>
            </w:pPr>
          </w:p>
        </w:tc>
        <w:tc>
          <w:tcPr>
            <w:tcW w:w="2268" w:type="dxa"/>
            <w:noWrap w:val="0"/>
            <w:vAlign w:val="top"/>
          </w:tcPr>
          <w:p>
            <w:pPr>
              <w:spacing w:line="360" w:lineRule="auto"/>
              <w:jc w:val="center"/>
              <w:rPr>
                <w:rFonts w:hint="eastAsia" w:ascii="宋体" w:hAnsi="宋体" w:cs="宋体"/>
                <w:color w:val="auto"/>
                <w:kern w:val="0"/>
                <w:highlight w:val="none"/>
              </w:rPr>
            </w:pPr>
          </w:p>
        </w:tc>
        <w:tc>
          <w:tcPr>
            <w:tcW w:w="1276" w:type="dxa"/>
            <w:gridSpan w:val="2"/>
            <w:noWrap w:val="0"/>
            <w:vAlign w:val="top"/>
          </w:tcPr>
          <w:p>
            <w:pPr>
              <w:spacing w:line="360" w:lineRule="auto"/>
              <w:jc w:val="center"/>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pPr>
              <w:spacing w:line="360" w:lineRule="auto"/>
              <w:jc w:val="center"/>
              <w:rPr>
                <w:rFonts w:hint="eastAsia" w:ascii="宋体" w:hAnsi="宋体" w:cs="宋体"/>
                <w:color w:val="auto"/>
                <w:kern w:val="0"/>
                <w:highlight w:val="none"/>
              </w:rPr>
            </w:pPr>
            <w:r>
              <w:rPr>
                <w:rFonts w:ascii="宋体" w:hAnsi="宋体" w:cs="宋体"/>
                <w:color w:val="auto"/>
                <w:kern w:val="0"/>
                <w:highlight w:val="none"/>
              </w:rPr>
              <w:t>……</w:t>
            </w:r>
          </w:p>
        </w:tc>
        <w:tc>
          <w:tcPr>
            <w:tcW w:w="3794" w:type="dxa"/>
            <w:gridSpan w:val="2"/>
            <w:noWrap w:val="0"/>
            <w:vAlign w:val="top"/>
          </w:tcPr>
          <w:p>
            <w:pPr>
              <w:spacing w:line="360" w:lineRule="auto"/>
              <w:jc w:val="center"/>
              <w:rPr>
                <w:rFonts w:hint="eastAsia" w:ascii="宋体" w:hAnsi="宋体" w:cs="宋体"/>
                <w:color w:val="auto"/>
                <w:kern w:val="0"/>
                <w:highlight w:val="none"/>
              </w:rPr>
            </w:pPr>
          </w:p>
        </w:tc>
        <w:tc>
          <w:tcPr>
            <w:tcW w:w="2268" w:type="dxa"/>
            <w:noWrap w:val="0"/>
            <w:vAlign w:val="top"/>
          </w:tcPr>
          <w:p>
            <w:pPr>
              <w:spacing w:line="360" w:lineRule="auto"/>
              <w:jc w:val="center"/>
              <w:rPr>
                <w:rFonts w:hint="eastAsia" w:ascii="宋体" w:hAnsi="宋体" w:cs="宋体"/>
                <w:color w:val="auto"/>
                <w:kern w:val="0"/>
                <w:highlight w:val="none"/>
              </w:rPr>
            </w:pPr>
          </w:p>
        </w:tc>
        <w:tc>
          <w:tcPr>
            <w:tcW w:w="1276" w:type="dxa"/>
            <w:gridSpan w:val="2"/>
            <w:noWrap w:val="0"/>
            <w:vAlign w:val="top"/>
          </w:tcPr>
          <w:p>
            <w:pPr>
              <w:spacing w:line="360" w:lineRule="auto"/>
              <w:jc w:val="center"/>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1" w:type="dxa"/>
          <w:trHeight w:val="2960" w:hRule="atLeast"/>
        </w:trPr>
        <w:tc>
          <w:tcPr>
            <w:tcW w:w="4648" w:type="dxa"/>
            <w:gridSpan w:val="3"/>
            <w:noWrap w:val="0"/>
            <w:vAlign w:val="top"/>
          </w:tcPr>
          <w:p>
            <w:pPr>
              <w:spacing w:line="360" w:lineRule="exact"/>
              <w:ind w:firstLine="435"/>
              <w:jc w:val="right"/>
              <w:rPr>
                <w:rFonts w:hint="eastAsia"/>
                <w:color w:val="auto"/>
                <w:highlight w:val="none"/>
              </w:rPr>
            </w:pP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rPr>
            </w:pPr>
            <w:r>
              <w:rPr>
                <w:rFonts w:hint="eastAsia"/>
                <w:color w:val="auto"/>
                <w:highlight w:val="none"/>
              </w:rPr>
              <w:t>发包人代表签字：</w:t>
            </w: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rPr>
            </w:pPr>
            <w:r>
              <w:rPr>
                <w:rFonts w:hint="eastAsia"/>
                <w:color w:val="auto"/>
                <w:highlight w:val="none"/>
              </w:rPr>
              <w:t>发包人（盖公章）</w:t>
            </w: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4098" w:type="dxa"/>
            <w:gridSpan w:val="3"/>
            <w:noWrap w:val="0"/>
            <w:vAlign w:val="top"/>
          </w:tcPr>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u w:val="single"/>
              </w:rPr>
            </w:pPr>
          </w:p>
          <w:p>
            <w:pPr>
              <w:spacing w:line="360" w:lineRule="exact"/>
              <w:ind w:firstLine="435"/>
              <w:jc w:val="center"/>
              <w:rPr>
                <w:rFonts w:hint="eastAsia"/>
                <w:color w:val="auto"/>
                <w:highlight w:val="none"/>
              </w:rPr>
            </w:pPr>
            <w:r>
              <w:rPr>
                <w:rFonts w:hint="eastAsia"/>
                <w:color w:val="auto"/>
                <w:highlight w:val="none"/>
              </w:rPr>
              <w:t>承包人代表签字：</w:t>
            </w: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rPr>
            </w:pPr>
            <w:r>
              <w:rPr>
                <w:rFonts w:hint="eastAsia"/>
                <w:color w:val="auto"/>
                <w:highlight w:val="none"/>
              </w:rPr>
              <w:t>承包人（盖公章）</w:t>
            </w: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pPr>
        <w:pStyle w:val="12"/>
        <w:spacing w:line="360" w:lineRule="auto"/>
        <w:ind w:firstLine="723"/>
        <w:jc w:val="center"/>
        <w:rPr>
          <w:rFonts w:hAnsi="宋体" w:cs="Courier New"/>
          <w:b/>
          <w:color w:val="auto"/>
          <w:sz w:val="44"/>
          <w:highlight w:val="none"/>
        </w:rPr>
      </w:pPr>
    </w:p>
    <w:p>
      <w:pPr>
        <w:spacing w:line="480" w:lineRule="exact"/>
        <w:jc w:val="center"/>
        <w:rPr>
          <w:rFonts w:ascii="宋体" w:hAnsi="宋体" w:cs="Courier New"/>
          <w:b/>
          <w:color w:val="auto"/>
          <w:sz w:val="44"/>
          <w:highlight w:val="none"/>
        </w:rPr>
      </w:pPr>
    </w:p>
    <w:p>
      <w:pPr>
        <w:spacing w:line="480" w:lineRule="exact"/>
        <w:jc w:val="center"/>
        <w:rPr>
          <w:rFonts w:ascii="宋体" w:hAnsi="宋体" w:cs="Courier New"/>
          <w:b/>
          <w:color w:val="auto"/>
          <w:sz w:val="44"/>
          <w:highlight w:val="none"/>
        </w:rPr>
      </w:pPr>
    </w:p>
    <w:p>
      <w:pPr>
        <w:spacing w:line="480" w:lineRule="exact"/>
        <w:jc w:val="center"/>
        <w:rPr>
          <w:rFonts w:ascii="宋体" w:hAnsi="宋体" w:cs="Courier New"/>
          <w:b/>
          <w:color w:val="auto"/>
          <w:sz w:val="44"/>
          <w:highlight w:val="none"/>
        </w:rPr>
      </w:pPr>
    </w:p>
    <w:p>
      <w:pPr>
        <w:spacing w:line="480" w:lineRule="exact"/>
        <w:jc w:val="center"/>
        <w:rPr>
          <w:rFonts w:ascii="宋体" w:hAnsi="宋体" w:cs="Courier New"/>
          <w:b/>
          <w:color w:val="auto"/>
          <w:sz w:val="44"/>
          <w:highlight w:val="none"/>
        </w:rPr>
      </w:pPr>
    </w:p>
    <w:p>
      <w:pPr>
        <w:spacing w:line="440" w:lineRule="exact"/>
        <w:ind w:left="298"/>
        <w:rPr>
          <w:rFonts w:ascii="宋体" w:hAnsi="宋体" w:cs="Courier New"/>
          <w:color w:val="auto"/>
          <w:sz w:val="44"/>
          <w:highlight w:val="none"/>
        </w:rPr>
      </w:pPr>
    </w:p>
    <w:p>
      <w:pPr>
        <w:pStyle w:val="2"/>
        <w:rPr>
          <w:rFonts w:ascii="宋体" w:hAnsi="宋体" w:cs="Courier New"/>
          <w:color w:val="auto"/>
          <w:sz w:val="44"/>
          <w:highlight w:val="none"/>
        </w:rPr>
      </w:pPr>
    </w:p>
    <w:p>
      <w:pPr>
        <w:rPr>
          <w:rFonts w:ascii="宋体" w:hAnsi="宋体" w:cs="Courier New"/>
          <w:color w:val="auto"/>
          <w:sz w:val="44"/>
          <w:highlight w:val="none"/>
        </w:rPr>
      </w:pPr>
    </w:p>
    <w:p>
      <w:pPr>
        <w:pStyle w:val="2"/>
        <w:rPr>
          <w:rFonts w:ascii="宋体" w:hAnsi="宋体" w:cs="Courier New"/>
          <w:color w:val="auto"/>
          <w:sz w:val="44"/>
          <w:highlight w:val="none"/>
        </w:rPr>
      </w:pPr>
    </w:p>
    <w:p>
      <w:pPr>
        <w:rPr>
          <w:rFonts w:ascii="宋体" w:hAnsi="宋体" w:cs="Courier New"/>
          <w:color w:val="auto"/>
          <w:sz w:val="44"/>
          <w:highlight w:val="none"/>
        </w:rPr>
      </w:pPr>
    </w:p>
    <w:p>
      <w:pPr>
        <w:pStyle w:val="2"/>
        <w:rPr>
          <w:color w:val="auto"/>
          <w:highlight w:val="none"/>
        </w:rPr>
      </w:pPr>
    </w:p>
    <w:p>
      <w:pPr>
        <w:spacing w:line="480" w:lineRule="exact"/>
        <w:jc w:val="center"/>
        <w:outlineLvl w:val="0"/>
        <w:rPr>
          <w:rFonts w:ascii="宋体" w:hAnsi="宋体" w:cs="Courier New"/>
          <w:color w:val="auto"/>
          <w:sz w:val="44"/>
          <w:highlight w:val="none"/>
        </w:rPr>
      </w:pPr>
    </w:p>
    <w:p>
      <w:pPr>
        <w:spacing w:line="420" w:lineRule="exact"/>
        <w:ind w:firstLine="354" w:firstLineChars="98"/>
        <w:jc w:val="center"/>
        <w:outlineLvl w:val="1"/>
        <w:rPr>
          <w:rFonts w:ascii="宋体" w:hAnsi="宋体" w:cs="Courier New"/>
          <w:b/>
          <w:bCs/>
          <w:color w:val="auto"/>
          <w:sz w:val="36"/>
          <w:highlight w:val="none"/>
        </w:rPr>
      </w:pPr>
      <w:bookmarkStart w:id="564" w:name="_Toc31737"/>
      <w:r>
        <w:rPr>
          <w:rFonts w:hint="eastAsia" w:ascii="宋体" w:hAnsi="宋体" w:cs="Courier New"/>
          <w:b/>
          <w:bCs/>
          <w:color w:val="auto"/>
          <w:sz w:val="36"/>
          <w:highlight w:val="none"/>
        </w:rPr>
        <w:t>第</w:t>
      </w:r>
      <w:r>
        <w:rPr>
          <w:rFonts w:hint="eastAsia" w:ascii="宋体" w:hAnsi="宋体" w:cs="Courier New"/>
          <w:b/>
          <w:bCs/>
          <w:color w:val="auto"/>
          <w:sz w:val="36"/>
          <w:highlight w:val="none"/>
          <w:lang w:eastAsia="zh-CN"/>
        </w:rPr>
        <w:t>三</w:t>
      </w:r>
      <w:r>
        <w:rPr>
          <w:rFonts w:hint="eastAsia" w:ascii="宋体" w:hAnsi="宋体" w:cs="Courier New"/>
          <w:b/>
          <w:bCs/>
          <w:color w:val="auto"/>
          <w:sz w:val="36"/>
          <w:highlight w:val="none"/>
        </w:rPr>
        <w:t>章 磋商文件格式</w:t>
      </w:r>
      <w:bookmarkEnd w:id="564"/>
    </w:p>
    <w:p>
      <w:pPr>
        <w:pStyle w:val="12"/>
        <w:jc w:val="center"/>
        <w:rPr>
          <w:rFonts w:hAnsi="宋体"/>
          <w:b/>
          <w:color w:val="auto"/>
          <w:sz w:val="30"/>
          <w:szCs w:val="30"/>
          <w:highlight w:val="none"/>
        </w:rPr>
      </w:pPr>
    </w:p>
    <w:p>
      <w:pPr>
        <w:pStyle w:val="12"/>
        <w:jc w:val="center"/>
        <w:rPr>
          <w:rFonts w:hAnsi="宋体"/>
          <w:b/>
          <w:color w:val="auto"/>
          <w:sz w:val="30"/>
          <w:szCs w:val="30"/>
          <w:highlight w:val="none"/>
        </w:rPr>
      </w:pPr>
    </w:p>
    <w:p>
      <w:pPr>
        <w:pStyle w:val="12"/>
        <w:jc w:val="center"/>
        <w:rPr>
          <w:rFonts w:hAnsi="宋体"/>
          <w:b/>
          <w:color w:val="auto"/>
          <w:sz w:val="30"/>
          <w:szCs w:val="30"/>
          <w:highlight w:val="none"/>
        </w:rPr>
      </w:pPr>
    </w:p>
    <w:p>
      <w:pPr>
        <w:pStyle w:val="12"/>
        <w:jc w:val="center"/>
        <w:rPr>
          <w:rFonts w:hAnsi="宋体"/>
          <w:b/>
          <w:color w:val="auto"/>
          <w:sz w:val="72"/>
          <w:szCs w:val="72"/>
          <w:highlight w:val="none"/>
        </w:rPr>
      </w:pPr>
      <w:r>
        <w:rPr>
          <w:rFonts w:hint="eastAsia" w:hAnsi="宋体"/>
          <w:b/>
          <w:color w:val="auto"/>
          <w:sz w:val="72"/>
          <w:szCs w:val="72"/>
          <w:highlight w:val="none"/>
        </w:rPr>
        <w:t>磋商文件</w:t>
      </w:r>
    </w:p>
    <w:p>
      <w:pPr>
        <w:pStyle w:val="12"/>
        <w:jc w:val="center"/>
        <w:rPr>
          <w:rFonts w:hAnsi="宋体"/>
          <w:b/>
          <w:color w:val="auto"/>
          <w:sz w:val="32"/>
          <w:szCs w:val="32"/>
          <w:highlight w:val="none"/>
        </w:rPr>
      </w:pPr>
    </w:p>
    <w:p>
      <w:pPr>
        <w:pStyle w:val="12"/>
        <w:jc w:val="center"/>
        <w:rPr>
          <w:rFonts w:hAnsi="宋体"/>
          <w:b/>
          <w:color w:val="auto"/>
          <w:sz w:val="30"/>
          <w:szCs w:val="30"/>
          <w:highlight w:val="none"/>
        </w:rPr>
      </w:pPr>
    </w:p>
    <w:p>
      <w:pPr>
        <w:pStyle w:val="12"/>
        <w:jc w:val="center"/>
        <w:rPr>
          <w:rFonts w:hAnsi="宋体"/>
          <w:b/>
          <w:color w:val="auto"/>
          <w:sz w:val="30"/>
          <w:szCs w:val="30"/>
          <w:highlight w:val="none"/>
        </w:rPr>
      </w:pPr>
    </w:p>
    <w:p>
      <w:pPr>
        <w:pStyle w:val="12"/>
        <w:jc w:val="center"/>
        <w:rPr>
          <w:rFonts w:hAnsi="宋体"/>
          <w:b/>
          <w:color w:val="auto"/>
          <w:sz w:val="30"/>
          <w:szCs w:val="30"/>
          <w:highlight w:val="none"/>
        </w:rPr>
      </w:pPr>
    </w:p>
    <w:p>
      <w:pPr>
        <w:pStyle w:val="12"/>
        <w:spacing w:line="460" w:lineRule="exact"/>
        <w:ind w:firstLine="1807" w:firstLineChars="600"/>
        <w:rPr>
          <w:rFonts w:hAnsi="宋体"/>
          <w:b/>
          <w:color w:val="auto"/>
          <w:sz w:val="30"/>
          <w:szCs w:val="30"/>
          <w:highlight w:val="none"/>
        </w:rPr>
      </w:pPr>
      <w:r>
        <w:rPr>
          <w:rFonts w:hint="eastAsia" w:hAnsi="宋体"/>
          <w:b/>
          <w:color w:val="auto"/>
          <w:sz w:val="30"/>
          <w:szCs w:val="30"/>
          <w:highlight w:val="none"/>
        </w:rPr>
        <w:t>工程名称：</w:t>
      </w:r>
    </w:p>
    <w:p>
      <w:pPr>
        <w:pStyle w:val="12"/>
        <w:spacing w:line="460" w:lineRule="exact"/>
        <w:jc w:val="center"/>
        <w:rPr>
          <w:rFonts w:hAnsi="宋体"/>
          <w:b/>
          <w:color w:val="auto"/>
          <w:sz w:val="30"/>
          <w:szCs w:val="30"/>
          <w:highlight w:val="none"/>
        </w:rPr>
      </w:pPr>
    </w:p>
    <w:p>
      <w:pPr>
        <w:pStyle w:val="12"/>
        <w:spacing w:line="460" w:lineRule="exact"/>
        <w:ind w:firstLine="1807" w:firstLineChars="600"/>
        <w:rPr>
          <w:rFonts w:hAnsi="宋体"/>
          <w:b/>
          <w:color w:val="auto"/>
          <w:sz w:val="30"/>
          <w:szCs w:val="30"/>
          <w:highlight w:val="none"/>
        </w:rPr>
      </w:pPr>
      <w:r>
        <w:rPr>
          <w:rFonts w:hint="eastAsia" w:hAnsi="宋体"/>
          <w:b/>
          <w:color w:val="auto"/>
          <w:sz w:val="30"/>
          <w:szCs w:val="30"/>
          <w:highlight w:val="none"/>
        </w:rPr>
        <w:t>项目编号：</w:t>
      </w:r>
    </w:p>
    <w:p>
      <w:pPr>
        <w:pStyle w:val="12"/>
        <w:spacing w:line="460" w:lineRule="exact"/>
        <w:jc w:val="center"/>
        <w:rPr>
          <w:rFonts w:hAnsi="宋体"/>
          <w:b/>
          <w:color w:val="auto"/>
          <w:sz w:val="30"/>
          <w:szCs w:val="30"/>
          <w:highlight w:val="none"/>
        </w:rPr>
      </w:pPr>
    </w:p>
    <w:p>
      <w:pPr>
        <w:pStyle w:val="12"/>
        <w:spacing w:line="460" w:lineRule="exact"/>
        <w:ind w:firstLine="1807" w:firstLineChars="600"/>
        <w:rPr>
          <w:rFonts w:hAnsi="宋体"/>
          <w:b/>
          <w:color w:val="auto"/>
          <w:sz w:val="30"/>
          <w:szCs w:val="30"/>
          <w:highlight w:val="none"/>
        </w:rPr>
      </w:pPr>
      <w:r>
        <w:rPr>
          <w:rFonts w:hint="eastAsia" w:hAnsi="宋体"/>
          <w:b/>
          <w:color w:val="auto"/>
          <w:sz w:val="30"/>
          <w:szCs w:val="30"/>
          <w:highlight w:val="none"/>
        </w:rPr>
        <w:t>磋商人名称：</w:t>
      </w:r>
    </w:p>
    <w:p>
      <w:pPr>
        <w:pStyle w:val="12"/>
        <w:spacing w:line="460" w:lineRule="exact"/>
        <w:jc w:val="center"/>
        <w:rPr>
          <w:rFonts w:hAnsi="宋体"/>
          <w:b/>
          <w:color w:val="auto"/>
          <w:sz w:val="30"/>
          <w:szCs w:val="30"/>
          <w:highlight w:val="none"/>
        </w:rPr>
      </w:pPr>
    </w:p>
    <w:p>
      <w:pPr>
        <w:pStyle w:val="12"/>
        <w:spacing w:line="460" w:lineRule="exact"/>
        <w:ind w:firstLine="1807" w:firstLineChars="600"/>
        <w:rPr>
          <w:rFonts w:hAnsi="宋体"/>
          <w:b/>
          <w:color w:val="auto"/>
          <w:sz w:val="30"/>
          <w:szCs w:val="30"/>
          <w:highlight w:val="none"/>
        </w:rPr>
      </w:pPr>
      <w:r>
        <w:rPr>
          <w:rFonts w:hint="eastAsia" w:hAnsi="宋体"/>
          <w:b/>
          <w:color w:val="auto"/>
          <w:sz w:val="30"/>
          <w:szCs w:val="30"/>
          <w:highlight w:val="none"/>
        </w:rPr>
        <w:t>法定代表人或授权委托代理人：</w:t>
      </w:r>
    </w:p>
    <w:p>
      <w:pPr>
        <w:pStyle w:val="12"/>
        <w:spacing w:line="460" w:lineRule="exact"/>
        <w:rPr>
          <w:rFonts w:hAnsi="宋体"/>
          <w:b/>
          <w:color w:val="auto"/>
          <w:sz w:val="30"/>
          <w:szCs w:val="30"/>
          <w:highlight w:val="none"/>
        </w:rPr>
      </w:pPr>
    </w:p>
    <w:p>
      <w:pPr>
        <w:pStyle w:val="12"/>
        <w:spacing w:line="460" w:lineRule="exact"/>
        <w:ind w:firstLine="1807" w:firstLineChars="600"/>
        <w:rPr>
          <w:rFonts w:hAnsi="宋体"/>
          <w:b/>
          <w:color w:val="auto"/>
          <w:sz w:val="30"/>
          <w:szCs w:val="30"/>
          <w:highlight w:val="none"/>
        </w:rPr>
      </w:pPr>
      <w:r>
        <w:rPr>
          <w:rFonts w:hint="eastAsia" w:hAnsi="宋体"/>
          <w:b/>
          <w:color w:val="auto"/>
          <w:sz w:val="30"/>
          <w:szCs w:val="30"/>
          <w:highlight w:val="none"/>
        </w:rPr>
        <w:t>磋商人地址：</w:t>
      </w:r>
    </w:p>
    <w:p>
      <w:pPr>
        <w:pStyle w:val="12"/>
        <w:spacing w:line="460" w:lineRule="exact"/>
        <w:jc w:val="center"/>
        <w:rPr>
          <w:rFonts w:hAnsi="宋体"/>
          <w:b/>
          <w:color w:val="auto"/>
          <w:sz w:val="30"/>
          <w:szCs w:val="30"/>
          <w:highlight w:val="none"/>
        </w:rPr>
      </w:pPr>
    </w:p>
    <w:p>
      <w:pPr>
        <w:pStyle w:val="12"/>
        <w:spacing w:line="460" w:lineRule="exact"/>
        <w:ind w:firstLine="1807" w:firstLineChars="600"/>
        <w:rPr>
          <w:rFonts w:hAnsi="宋体"/>
          <w:b/>
          <w:color w:val="auto"/>
          <w:sz w:val="30"/>
          <w:szCs w:val="30"/>
          <w:highlight w:val="none"/>
        </w:rPr>
      </w:pPr>
      <w:r>
        <w:rPr>
          <w:rFonts w:hint="eastAsia" w:hAnsi="宋体"/>
          <w:b/>
          <w:color w:val="auto"/>
          <w:sz w:val="30"/>
          <w:szCs w:val="30"/>
          <w:highlight w:val="none"/>
        </w:rPr>
        <w:t>日     期：      年   月   日</w:t>
      </w:r>
    </w:p>
    <w:p>
      <w:pPr>
        <w:pStyle w:val="12"/>
        <w:rPr>
          <w:rFonts w:hAnsi="宋体"/>
          <w:b/>
          <w:color w:val="auto"/>
          <w:sz w:val="36"/>
          <w:szCs w:val="36"/>
          <w:highlight w:val="none"/>
        </w:rPr>
      </w:pPr>
    </w:p>
    <w:p>
      <w:pPr>
        <w:pStyle w:val="12"/>
        <w:rPr>
          <w:rFonts w:hAnsi="宋体"/>
          <w:b/>
          <w:color w:val="auto"/>
          <w:sz w:val="36"/>
          <w:szCs w:val="36"/>
          <w:highlight w:val="none"/>
        </w:rPr>
      </w:pPr>
    </w:p>
    <w:p>
      <w:pPr>
        <w:pStyle w:val="12"/>
        <w:rPr>
          <w:rFonts w:hAnsi="宋体"/>
          <w:b/>
          <w:color w:val="auto"/>
          <w:sz w:val="36"/>
          <w:szCs w:val="36"/>
          <w:highlight w:val="none"/>
        </w:rPr>
      </w:pPr>
    </w:p>
    <w:p>
      <w:pPr>
        <w:pStyle w:val="12"/>
        <w:rPr>
          <w:rFonts w:hAnsi="宋体"/>
          <w:b/>
          <w:color w:val="auto"/>
          <w:sz w:val="36"/>
          <w:szCs w:val="36"/>
          <w:highlight w:val="none"/>
        </w:rPr>
      </w:pPr>
    </w:p>
    <w:p>
      <w:pPr>
        <w:pStyle w:val="12"/>
        <w:jc w:val="center"/>
        <w:rPr>
          <w:rFonts w:hAnsi="宋体"/>
          <w:b/>
          <w:color w:val="auto"/>
          <w:sz w:val="52"/>
          <w:szCs w:val="52"/>
          <w:highlight w:val="none"/>
        </w:rPr>
      </w:pPr>
      <w:r>
        <w:rPr>
          <w:rFonts w:hint="eastAsia" w:hAnsi="宋体"/>
          <w:b/>
          <w:color w:val="auto"/>
          <w:sz w:val="52"/>
          <w:szCs w:val="52"/>
          <w:highlight w:val="none"/>
        </w:rPr>
        <w:t>目录</w:t>
      </w:r>
    </w:p>
    <w:p>
      <w:pPr>
        <w:spacing w:line="440" w:lineRule="exact"/>
        <w:ind w:firstLine="318" w:firstLineChars="151"/>
        <w:rPr>
          <w:rFonts w:ascii="宋体" w:hAnsi="宋体"/>
          <w:b/>
          <w:color w:val="auto"/>
          <w:szCs w:val="21"/>
          <w:highlight w:val="none"/>
        </w:rPr>
      </w:pPr>
      <w:r>
        <w:rPr>
          <w:rFonts w:hint="eastAsia" w:ascii="宋体" w:hAnsi="宋体"/>
          <w:b/>
          <w:color w:val="auto"/>
          <w:szCs w:val="21"/>
          <w:highlight w:val="none"/>
        </w:rPr>
        <w:t>资格审查部分（以下必须提供，并加盖单位公章）</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（1）法定代表人身份证明书及法定代表人有效的身份证正反面复印件；</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（2）授权委托书原件及委托代理人有效的身份证正反面复印件；（委托代理时必须提供)</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（3）磋商人基本情况表；</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附有效的营业执照副本、资质证书副本、组织机构代码证副本（如按国家规定三证合一的，不用提供）、企业安全生产许可证副本复印件；</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（4）拟担任本工程项目负责人（注册建造师）简历表；</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附拟担任本工程项目负责人有效的</w:t>
      </w:r>
      <w:r>
        <w:rPr>
          <w:rFonts w:hint="eastAsia" w:ascii="宋体" w:hAnsi="宋体" w:cs="宋体"/>
          <w:color w:val="auto"/>
          <w:highlight w:val="none"/>
          <w:lang w:eastAsia="zh-CN"/>
        </w:rPr>
        <w:t>机电工程</w:t>
      </w:r>
      <w:r>
        <w:rPr>
          <w:rFonts w:hint="eastAsia" w:ascii="宋体" w:hAnsi="宋体" w:cs="宋体"/>
          <w:color w:val="auto"/>
          <w:highlight w:val="none"/>
        </w:rPr>
        <w:t>专业</w:t>
      </w:r>
      <w:r>
        <w:rPr>
          <w:rFonts w:hint="eastAsia" w:ascii="宋体" w:hAnsi="宋体"/>
          <w:color w:val="auto"/>
          <w:szCs w:val="21"/>
          <w:highlight w:val="none"/>
        </w:rPr>
        <w:t>二级注册建造师资质证书、安全生产考核合格证复印件；</w:t>
      </w:r>
    </w:p>
    <w:p>
      <w:pPr>
        <w:spacing w:line="440" w:lineRule="exact"/>
        <w:ind w:firstLine="317" w:firstLineChars="151"/>
        <w:jc w:val="left"/>
        <w:rPr>
          <w:rFonts w:hint="eastAsia" w:ascii="宋体" w:hAnsi="宋体"/>
          <w:color w:val="auto"/>
          <w:szCs w:val="21"/>
          <w:highlight w:val="none"/>
        </w:rPr>
      </w:pPr>
      <w:r>
        <w:rPr>
          <w:rFonts w:hint="eastAsia" w:ascii="宋体" w:hAnsi="宋体"/>
          <w:color w:val="auto"/>
          <w:szCs w:val="21"/>
          <w:highlight w:val="none"/>
        </w:rPr>
        <w:t>（5）农民工工资保障金的交纳与使用承诺书（按桂劳社发[2009]50号文的规定执行）执行</w:t>
      </w:r>
    </w:p>
    <w:p>
      <w:pPr>
        <w:pStyle w:val="2"/>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（6）贵港市政府采购项目投标人资格承诺函；</w:t>
      </w:r>
    </w:p>
    <w:p>
      <w:pPr>
        <w:ind w:firstLine="420" w:firstLineChars="200"/>
        <w:rPr>
          <w:color w:val="auto"/>
          <w:highlight w:val="none"/>
        </w:rPr>
      </w:pPr>
      <w:r>
        <w:rPr>
          <w:rFonts w:hint="eastAsia" w:ascii="宋体" w:hAnsi="宋体" w:cs="Times New Roman"/>
          <w:b w:val="0"/>
          <w:bCs w:val="0"/>
          <w:color w:val="auto"/>
          <w:kern w:val="2"/>
          <w:sz w:val="21"/>
          <w:szCs w:val="24"/>
          <w:highlight w:val="none"/>
          <w:lang w:val="en-US" w:eastAsia="zh-CN" w:bidi="ar-SA"/>
        </w:rPr>
        <w:t>（7）2017年至今企业完成类似工程情况表(如有情提供)</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）按本竞争性磋商条件书规定提交的其它资料。</w:t>
      </w:r>
    </w:p>
    <w:p>
      <w:pPr>
        <w:spacing w:line="440" w:lineRule="exact"/>
        <w:ind w:firstLine="318" w:firstLineChars="151"/>
        <w:rPr>
          <w:rFonts w:ascii="宋体" w:hAnsi="宋体"/>
          <w:b/>
          <w:color w:val="auto"/>
          <w:szCs w:val="21"/>
          <w:highlight w:val="none"/>
        </w:rPr>
      </w:pPr>
      <w:r>
        <w:rPr>
          <w:rFonts w:hint="eastAsia" w:ascii="宋体" w:hAnsi="宋体"/>
          <w:b/>
          <w:color w:val="auto"/>
          <w:szCs w:val="21"/>
          <w:highlight w:val="none"/>
        </w:rPr>
        <w:t>商务标部分（以下必须提供，并加盖单位公章）</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（1）磋商函；</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（2）磋商函附录；</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（3）磋商报价总表；</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（4）工程预算书。</w:t>
      </w:r>
    </w:p>
    <w:p>
      <w:pPr>
        <w:spacing w:line="440" w:lineRule="exact"/>
        <w:ind w:firstLine="318" w:firstLineChars="151"/>
        <w:rPr>
          <w:rFonts w:ascii="宋体" w:hAnsi="宋体"/>
          <w:b/>
          <w:color w:val="auto"/>
          <w:szCs w:val="21"/>
          <w:highlight w:val="none"/>
        </w:rPr>
      </w:pPr>
      <w:r>
        <w:rPr>
          <w:rFonts w:hint="eastAsia" w:ascii="宋体" w:hAnsi="宋体"/>
          <w:b/>
          <w:color w:val="auto"/>
          <w:szCs w:val="21"/>
          <w:highlight w:val="none"/>
        </w:rPr>
        <w:t>技术标部分</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(1)施工组织设计；</w:t>
      </w:r>
      <w:r>
        <w:rPr>
          <w:rFonts w:hint="eastAsia" w:ascii="宋体" w:hAnsi="宋体"/>
          <w:b/>
          <w:color w:val="auto"/>
          <w:szCs w:val="21"/>
          <w:highlight w:val="none"/>
        </w:rPr>
        <w:t>（必须提供，并加盖单位公章）</w:t>
      </w:r>
    </w:p>
    <w:p>
      <w:pPr>
        <w:spacing w:line="440" w:lineRule="exact"/>
        <w:ind w:firstLine="317" w:firstLineChars="151"/>
        <w:rPr>
          <w:rFonts w:ascii="宋体" w:hAnsi="宋体"/>
          <w:color w:val="auto"/>
          <w:szCs w:val="21"/>
          <w:highlight w:val="none"/>
        </w:rPr>
      </w:pPr>
      <w:r>
        <w:rPr>
          <w:rFonts w:hint="eastAsia" w:ascii="宋体" w:hAnsi="宋体"/>
          <w:color w:val="auto"/>
          <w:szCs w:val="21"/>
          <w:highlight w:val="none"/>
        </w:rPr>
        <w:t>(2) 项目管理机构配备情况表；附安全员、施工员、预算员等其他相关人员的上岗证和安全员安全生产考核合格证复印件；</w:t>
      </w:r>
      <w:r>
        <w:rPr>
          <w:rFonts w:hint="eastAsia" w:ascii="宋体" w:hAnsi="宋体"/>
          <w:b/>
          <w:color w:val="auto"/>
          <w:szCs w:val="21"/>
          <w:highlight w:val="none"/>
        </w:rPr>
        <w:t>（必须提供，并加盖单位公章）</w:t>
      </w:r>
    </w:p>
    <w:p>
      <w:pPr>
        <w:spacing w:line="440" w:lineRule="exact"/>
        <w:ind w:firstLine="317" w:firstLineChars="151"/>
        <w:rPr>
          <w:rFonts w:hAnsi="宋体"/>
          <w:b/>
          <w:color w:val="auto"/>
          <w:sz w:val="52"/>
          <w:szCs w:val="52"/>
          <w:highlight w:val="none"/>
        </w:rPr>
      </w:pPr>
      <w:r>
        <w:rPr>
          <w:rFonts w:hint="eastAsia" w:ascii="宋体" w:hAnsi="宋体"/>
          <w:color w:val="auto"/>
          <w:szCs w:val="21"/>
          <w:highlight w:val="none"/>
        </w:rPr>
        <w:t>（3）按本竞争性磋商文件规定提交的其它资料。</w:t>
      </w:r>
      <w:r>
        <w:rPr>
          <w:rFonts w:hAnsi="宋体"/>
          <w:b/>
          <w:color w:val="auto"/>
          <w:sz w:val="52"/>
          <w:szCs w:val="52"/>
          <w:highlight w:val="none"/>
        </w:rPr>
        <w:br w:type="page"/>
      </w:r>
    </w:p>
    <w:p>
      <w:pPr>
        <w:pStyle w:val="12"/>
        <w:jc w:val="center"/>
        <w:rPr>
          <w:rFonts w:hAnsi="宋体"/>
          <w:b/>
          <w:color w:val="auto"/>
          <w:sz w:val="52"/>
          <w:szCs w:val="52"/>
          <w:highlight w:val="none"/>
        </w:rPr>
      </w:pPr>
      <w:r>
        <w:rPr>
          <w:rFonts w:hint="eastAsia" w:hAnsi="宋体"/>
          <w:b/>
          <w:color w:val="auto"/>
          <w:sz w:val="52"/>
          <w:szCs w:val="52"/>
          <w:highlight w:val="none"/>
        </w:rPr>
        <w:t>资格审查部分</w:t>
      </w:r>
    </w:p>
    <w:p>
      <w:pPr>
        <w:pStyle w:val="12"/>
        <w:jc w:val="center"/>
        <w:rPr>
          <w:rFonts w:hAnsi="宋体"/>
          <w:b/>
          <w:color w:val="auto"/>
          <w:sz w:val="30"/>
          <w:szCs w:val="30"/>
          <w:highlight w:val="none"/>
        </w:rPr>
      </w:pPr>
    </w:p>
    <w:p>
      <w:pPr>
        <w:pStyle w:val="12"/>
        <w:spacing w:line="440" w:lineRule="exact"/>
        <w:jc w:val="center"/>
        <w:outlineLvl w:val="2"/>
        <w:rPr>
          <w:rFonts w:hAnsi="宋体"/>
          <w:b/>
          <w:color w:val="auto"/>
          <w:sz w:val="36"/>
          <w:szCs w:val="36"/>
          <w:highlight w:val="none"/>
        </w:rPr>
      </w:pPr>
      <w:bookmarkStart w:id="565" w:name="_Toc22123"/>
      <w:r>
        <w:rPr>
          <w:rFonts w:hint="eastAsia" w:hAnsi="宋体"/>
          <w:b/>
          <w:color w:val="auto"/>
          <w:sz w:val="36"/>
          <w:szCs w:val="36"/>
          <w:highlight w:val="none"/>
        </w:rPr>
        <w:t>一、</w:t>
      </w:r>
      <w:r>
        <w:rPr>
          <w:rFonts w:hint="eastAsia" w:hAnsi="宋体"/>
          <w:b/>
          <w:color w:val="auto"/>
          <w:sz w:val="30"/>
          <w:szCs w:val="30"/>
          <w:highlight w:val="none"/>
        </w:rPr>
        <w:t>法定代表人身份证明书及法定代表人有效的身份证正反面复印件</w:t>
      </w:r>
      <w:bookmarkEnd w:id="565"/>
    </w:p>
    <w:p>
      <w:pPr>
        <w:pStyle w:val="12"/>
        <w:spacing w:line="440" w:lineRule="exact"/>
        <w:ind w:firstLine="929" w:firstLineChars="257"/>
        <w:jc w:val="center"/>
        <w:rPr>
          <w:rFonts w:hAnsi="宋体"/>
          <w:b/>
          <w:color w:val="auto"/>
          <w:sz w:val="36"/>
          <w:szCs w:val="36"/>
          <w:highlight w:val="none"/>
        </w:rPr>
      </w:pPr>
    </w:p>
    <w:p>
      <w:pPr>
        <w:pStyle w:val="12"/>
        <w:spacing w:line="440" w:lineRule="exact"/>
        <w:jc w:val="center"/>
        <w:rPr>
          <w:rFonts w:hAnsi="宋体"/>
          <w:b/>
          <w:color w:val="auto"/>
          <w:sz w:val="32"/>
          <w:szCs w:val="32"/>
          <w:highlight w:val="none"/>
        </w:rPr>
      </w:pPr>
      <w:r>
        <w:rPr>
          <w:rFonts w:hint="eastAsia" w:hAnsi="宋体"/>
          <w:b/>
          <w:color w:val="auto"/>
          <w:sz w:val="32"/>
          <w:szCs w:val="32"/>
          <w:highlight w:val="none"/>
        </w:rPr>
        <w:t>法定代表人身份证明书（格式）</w:t>
      </w:r>
    </w:p>
    <w:p>
      <w:pPr>
        <w:pStyle w:val="12"/>
        <w:spacing w:line="460" w:lineRule="exact"/>
        <w:ind w:firstLine="929" w:firstLineChars="257"/>
        <w:jc w:val="center"/>
        <w:rPr>
          <w:rFonts w:hAnsi="宋体"/>
          <w:b/>
          <w:color w:val="auto"/>
          <w:sz w:val="36"/>
          <w:szCs w:val="36"/>
          <w:highlight w:val="none"/>
        </w:rPr>
      </w:pPr>
    </w:p>
    <w:p>
      <w:pPr>
        <w:pStyle w:val="12"/>
        <w:spacing w:line="460" w:lineRule="exact"/>
        <w:ind w:firstLine="420" w:firstLineChars="200"/>
        <w:rPr>
          <w:rFonts w:hAnsi="宋体"/>
          <w:color w:val="auto"/>
          <w:szCs w:val="21"/>
          <w:highlight w:val="none"/>
          <w:u w:val="single"/>
        </w:rPr>
      </w:pPr>
      <w:r>
        <w:rPr>
          <w:rFonts w:hint="eastAsia" w:hAnsi="宋体"/>
          <w:color w:val="auto"/>
          <w:szCs w:val="21"/>
          <w:highlight w:val="none"/>
        </w:rPr>
        <w:t>单位名称：</w:t>
      </w:r>
    </w:p>
    <w:p>
      <w:pPr>
        <w:pStyle w:val="12"/>
        <w:spacing w:line="460" w:lineRule="exact"/>
        <w:ind w:firstLine="420" w:firstLineChars="200"/>
        <w:rPr>
          <w:rFonts w:hAnsi="宋体"/>
          <w:color w:val="auto"/>
          <w:szCs w:val="21"/>
          <w:highlight w:val="none"/>
        </w:rPr>
      </w:pPr>
      <w:r>
        <w:rPr>
          <w:rFonts w:hint="eastAsia" w:hAnsi="宋体"/>
          <w:color w:val="auto"/>
          <w:szCs w:val="21"/>
          <w:highlight w:val="none"/>
        </w:rPr>
        <w:t>地    址：</w:t>
      </w:r>
    </w:p>
    <w:p>
      <w:pPr>
        <w:pStyle w:val="12"/>
        <w:spacing w:line="460" w:lineRule="exact"/>
        <w:ind w:firstLine="420" w:firstLineChars="200"/>
        <w:rPr>
          <w:rFonts w:hAnsi="宋体"/>
          <w:color w:val="auto"/>
          <w:szCs w:val="21"/>
          <w:highlight w:val="none"/>
        </w:rPr>
      </w:pPr>
      <w:r>
        <w:rPr>
          <w:rFonts w:hint="eastAsia" w:hAnsi="宋体"/>
          <w:color w:val="auto"/>
          <w:szCs w:val="21"/>
          <w:highlight w:val="none"/>
        </w:rPr>
        <w:t>姓    名：性别：年龄：职务：</w:t>
      </w:r>
    </w:p>
    <w:p>
      <w:pPr>
        <w:pStyle w:val="12"/>
        <w:spacing w:line="460" w:lineRule="exact"/>
        <w:ind w:firstLine="420" w:firstLineChars="200"/>
        <w:rPr>
          <w:rFonts w:hAnsi="宋体"/>
          <w:color w:val="auto"/>
          <w:szCs w:val="21"/>
          <w:highlight w:val="none"/>
        </w:rPr>
      </w:pPr>
    </w:p>
    <w:p>
      <w:pPr>
        <w:pStyle w:val="12"/>
        <w:spacing w:line="460" w:lineRule="exact"/>
        <w:ind w:firstLine="420" w:firstLineChars="200"/>
        <w:rPr>
          <w:rFonts w:hAnsi="宋体"/>
          <w:color w:val="auto"/>
          <w:szCs w:val="21"/>
          <w:highlight w:val="none"/>
          <w:u w:val="single"/>
        </w:rPr>
      </w:pPr>
      <w:r>
        <w:rPr>
          <w:rFonts w:hint="eastAsia" w:hAnsi="宋体"/>
          <w:color w:val="auto"/>
          <w:szCs w:val="21"/>
          <w:highlight w:val="none"/>
        </w:rPr>
        <w:t>系（磋商人名称）的法定代表人，以本单位的名义参加</w:t>
      </w:r>
    </w:p>
    <w:p>
      <w:pPr>
        <w:pStyle w:val="12"/>
        <w:spacing w:line="460" w:lineRule="exact"/>
        <w:rPr>
          <w:rFonts w:hAnsi="宋体"/>
          <w:color w:val="auto"/>
          <w:szCs w:val="21"/>
          <w:highlight w:val="none"/>
        </w:rPr>
      </w:pPr>
      <w:r>
        <w:rPr>
          <w:rFonts w:hint="eastAsia" w:hAnsi="宋体"/>
          <w:color w:val="auto"/>
          <w:szCs w:val="21"/>
          <w:highlight w:val="none"/>
        </w:rPr>
        <w:t>工程的磋商活动。为施工业务，签署上述工程的磋商文件、进行合同磋商、签署合同和处理与之有关的一切事务。</w:t>
      </w:r>
    </w:p>
    <w:p>
      <w:pPr>
        <w:pStyle w:val="12"/>
        <w:spacing w:line="460" w:lineRule="exact"/>
        <w:ind w:firstLine="539" w:firstLineChars="257"/>
        <w:rPr>
          <w:rFonts w:hAnsi="宋体"/>
          <w:color w:val="auto"/>
          <w:szCs w:val="21"/>
          <w:highlight w:val="none"/>
        </w:rPr>
      </w:pPr>
      <w:r>
        <w:rPr>
          <w:rFonts w:hint="eastAsia" w:hAnsi="宋体"/>
          <w:color w:val="auto"/>
          <w:szCs w:val="21"/>
          <w:highlight w:val="none"/>
        </w:rPr>
        <w:t>特此证明。</w:t>
      </w:r>
    </w:p>
    <w:p>
      <w:pPr>
        <w:pStyle w:val="12"/>
        <w:spacing w:line="460" w:lineRule="exact"/>
        <w:ind w:firstLine="539" w:firstLineChars="257"/>
        <w:rPr>
          <w:rFonts w:hAnsi="宋体"/>
          <w:color w:val="auto"/>
          <w:szCs w:val="21"/>
          <w:highlight w:val="none"/>
        </w:rPr>
      </w:pPr>
      <w:r>
        <w:rPr>
          <w:rFonts w:hint="eastAsia" w:hAnsi="宋体"/>
          <w:color w:val="auto"/>
          <w:szCs w:val="21"/>
          <w:highlight w:val="none"/>
        </w:rPr>
        <w:t>磋商人：（盖章）</w:t>
      </w:r>
    </w:p>
    <w:p>
      <w:pPr>
        <w:pStyle w:val="12"/>
        <w:spacing w:line="460" w:lineRule="exact"/>
        <w:ind w:firstLine="539" w:firstLineChars="257"/>
        <w:rPr>
          <w:rFonts w:hAnsi="宋体"/>
          <w:color w:val="auto"/>
          <w:szCs w:val="21"/>
          <w:highlight w:val="none"/>
        </w:rPr>
      </w:pPr>
    </w:p>
    <w:p>
      <w:pPr>
        <w:pStyle w:val="12"/>
        <w:spacing w:line="460" w:lineRule="exact"/>
        <w:ind w:firstLine="525" w:firstLineChars="250"/>
        <w:rPr>
          <w:rFonts w:hAnsi="宋体"/>
          <w:color w:val="auto"/>
          <w:szCs w:val="21"/>
          <w:highlight w:val="none"/>
        </w:rPr>
      </w:pPr>
      <w:r>
        <w:rPr>
          <w:rFonts w:hint="eastAsia" w:hAnsi="宋体"/>
          <w:color w:val="auto"/>
          <w:szCs w:val="21"/>
          <w:highlight w:val="none"/>
        </w:rPr>
        <w:t>日期：   年    月    日</w:t>
      </w:r>
    </w:p>
    <w:p>
      <w:pPr>
        <w:pStyle w:val="12"/>
        <w:spacing w:line="460" w:lineRule="exact"/>
        <w:rPr>
          <w:rFonts w:hAnsi="宋体"/>
          <w:color w:val="auto"/>
          <w:szCs w:val="21"/>
          <w:highlight w:val="none"/>
        </w:rPr>
      </w:pPr>
    </w:p>
    <w:p>
      <w:pPr>
        <w:pStyle w:val="12"/>
        <w:spacing w:line="460" w:lineRule="exact"/>
        <w:rPr>
          <w:rFonts w:hAnsi="宋体"/>
          <w:color w:val="auto"/>
          <w:szCs w:val="21"/>
          <w:highlight w:val="none"/>
        </w:rPr>
      </w:pPr>
    </w:p>
    <w:p>
      <w:pPr>
        <w:pStyle w:val="12"/>
        <w:jc w:val="center"/>
        <w:rPr>
          <w:rFonts w:hAnsi="宋体"/>
          <w:b/>
          <w:color w:val="auto"/>
          <w:sz w:val="36"/>
          <w:szCs w:val="36"/>
          <w:highlight w:val="none"/>
        </w:rPr>
      </w:pPr>
      <w:r>
        <w:rPr>
          <w:rFonts w:hAnsi="宋体"/>
          <w:b/>
          <w:color w:val="auto"/>
          <w:sz w:val="36"/>
          <w:szCs w:val="36"/>
          <w:highlight w:val="none"/>
        </w:rPr>
        <w:br w:type="page"/>
      </w:r>
    </w:p>
    <w:p>
      <w:pPr>
        <w:pStyle w:val="12"/>
        <w:jc w:val="center"/>
        <w:outlineLvl w:val="3"/>
        <w:rPr>
          <w:rFonts w:hAnsi="宋体"/>
          <w:b/>
          <w:color w:val="auto"/>
          <w:sz w:val="36"/>
          <w:szCs w:val="36"/>
          <w:highlight w:val="none"/>
        </w:rPr>
      </w:pPr>
      <w:r>
        <w:rPr>
          <w:rFonts w:hint="eastAsia" w:hAnsi="宋体"/>
          <w:b/>
          <w:color w:val="auto"/>
          <w:sz w:val="36"/>
          <w:szCs w:val="36"/>
          <w:highlight w:val="none"/>
        </w:rPr>
        <w:t>二、授权委托书及代理人有效的身份证正反面复印件</w:t>
      </w:r>
    </w:p>
    <w:p>
      <w:pPr>
        <w:pStyle w:val="12"/>
        <w:jc w:val="center"/>
        <w:rPr>
          <w:rFonts w:hAnsi="宋体"/>
          <w:b/>
          <w:color w:val="auto"/>
          <w:sz w:val="30"/>
          <w:szCs w:val="36"/>
          <w:highlight w:val="none"/>
        </w:rPr>
      </w:pPr>
      <w:r>
        <w:rPr>
          <w:rFonts w:hint="eastAsia" w:hAnsi="宋体"/>
          <w:b/>
          <w:color w:val="auto"/>
          <w:sz w:val="30"/>
          <w:szCs w:val="36"/>
          <w:highlight w:val="none"/>
        </w:rPr>
        <w:t>（委托代理必须提供）</w:t>
      </w:r>
    </w:p>
    <w:p>
      <w:pPr>
        <w:pStyle w:val="12"/>
        <w:spacing w:line="440" w:lineRule="exact"/>
        <w:jc w:val="center"/>
        <w:rPr>
          <w:rFonts w:hAnsi="宋体"/>
          <w:b/>
          <w:color w:val="auto"/>
          <w:sz w:val="32"/>
          <w:szCs w:val="32"/>
          <w:highlight w:val="none"/>
        </w:rPr>
      </w:pPr>
    </w:p>
    <w:p>
      <w:pPr>
        <w:pStyle w:val="12"/>
        <w:spacing w:line="440" w:lineRule="exact"/>
        <w:jc w:val="center"/>
        <w:rPr>
          <w:rFonts w:hAnsi="宋体"/>
          <w:b/>
          <w:color w:val="auto"/>
          <w:sz w:val="32"/>
          <w:szCs w:val="32"/>
          <w:highlight w:val="none"/>
        </w:rPr>
      </w:pPr>
      <w:r>
        <w:rPr>
          <w:rFonts w:hint="eastAsia" w:hAnsi="宋体"/>
          <w:b/>
          <w:color w:val="auto"/>
          <w:sz w:val="32"/>
          <w:szCs w:val="32"/>
          <w:highlight w:val="none"/>
        </w:rPr>
        <w:t>授权委托书（格式）</w:t>
      </w:r>
    </w:p>
    <w:p>
      <w:pPr>
        <w:pStyle w:val="12"/>
        <w:rPr>
          <w:rFonts w:hAnsi="宋体"/>
          <w:color w:val="auto"/>
          <w:highlight w:val="none"/>
        </w:rPr>
      </w:pPr>
    </w:p>
    <w:p>
      <w:pPr>
        <w:pStyle w:val="12"/>
        <w:rPr>
          <w:rFonts w:hAnsi="宋体"/>
          <w:color w:val="auto"/>
          <w:highlight w:val="none"/>
        </w:rPr>
      </w:pPr>
    </w:p>
    <w:p>
      <w:pPr>
        <w:pStyle w:val="12"/>
        <w:spacing w:line="500" w:lineRule="exact"/>
        <w:ind w:firstLine="420"/>
        <w:rPr>
          <w:rFonts w:hAnsi="宋体"/>
          <w:color w:val="auto"/>
          <w:highlight w:val="none"/>
        </w:rPr>
      </w:pPr>
      <w:r>
        <w:rPr>
          <w:rFonts w:hint="eastAsia" w:hAnsi="宋体"/>
          <w:color w:val="auto"/>
          <w:highlight w:val="none"/>
        </w:rPr>
        <w:t>本授权委托书声明：我(姓名)系(磋商人名称)的法定代表人，现授权委托(姓名)为我单位代理人，以本单位的名义参加 代理的的磋商活动，代理人在磋商过程中所签署的一切文件和处理与之有关的一切事务，我均予以承认。</w:t>
      </w:r>
    </w:p>
    <w:p>
      <w:pPr>
        <w:pStyle w:val="12"/>
        <w:spacing w:line="500" w:lineRule="exact"/>
        <w:ind w:firstLine="420"/>
        <w:rPr>
          <w:rFonts w:hAnsi="宋体"/>
          <w:color w:val="auto"/>
          <w:highlight w:val="none"/>
        </w:rPr>
      </w:pPr>
      <w:r>
        <w:rPr>
          <w:rFonts w:hint="eastAsia" w:hAnsi="宋体"/>
          <w:color w:val="auto"/>
          <w:highlight w:val="none"/>
        </w:rPr>
        <w:t>代理人无转委权。特此委托。</w:t>
      </w:r>
    </w:p>
    <w:p>
      <w:pPr>
        <w:pStyle w:val="12"/>
        <w:spacing w:line="500" w:lineRule="exact"/>
        <w:ind w:firstLine="420"/>
        <w:rPr>
          <w:rFonts w:hAnsi="宋体"/>
          <w:color w:val="auto"/>
          <w:highlight w:val="none"/>
        </w:rPr>
      </w:pPr>
      <w:r>
        <w:rPr>
          <w:rFonts w:hint="eastAsia" w:hAnsi="宋体"/>
          <w:color w:val="auto"/>
          <w:highlight w:val="none"/>
        </w:rPr>
        <w:t>代理人：              性别：               年龄：</w:t>
      </w:r>
    </w:p>
    <w:p>
      <w:pPr>
        <w:pStyle w:val="12"/>
        <w:spacing w:line="500" w:lineRule="exact"/>
        <w:ind w:firstLine="420"/>
        <w:rPr>
          <w:rFonts w:hAnsi="宋体"/>
          <w:color w:val="auto"/>
          <w:highlight w:val="none"/>
        </w:rPr>
      </w:pPr>
      <w:r>
        <w:rPr>
          <w:rFonts w:hint="eastAsia" w:hAnsi="宋体"/>
          <w:color w:val="auto"/>
          <w:highlight w:val="none"/>
        </w:rPr>
        <w:t>单位：                部门：               职务：</w:t>
      </w:r>
    </w:p>
    <w:p>
      <w:pPr>
        <w:pStyle w:val="12"/>
        <w:spacing w:line="500" w:lineRule="exact"/>
        <w:ind w:firstLine="420"/>
        <w:rPr>
          <w:rFonts w:hAnsi="宋体"/>
          <w:color w:val="auto"/>
          <w:highlight w:val="none"/>
        </w:rPr>
      </w:pPr>
      <w:r>
        <w:rPr>
          <w:rFonts w:hint="eastAsia" w:hAnsi="宋体"/>
          <w:color w:val="auto"/>
          <w:highlight w:val="none"/>
        </w:rPr>
        <w:t>身份证号码：</w:t>
      </w:r>
    </w:p>
    <w:p>
      <w:pPr>
        <w:pStyle w:val="12"/>
        <w:spacing w:line="500" w:lineRule="exact"/>
        <w:ind w:firstLine="420"/>
        <w:rPr>
          <w:rFonts w:hAnsi="宋体"/>
          <w:color w:val="auto"/>
          <w:highlight w:val="none"/>
        </w:rPr>
      </w:pPr>
      <w:r>
        <w:rPr>
          <w:rFonts w:hint="eastAsia" w:hAnsi="宋体"/>
          <w:color w:val="auto"/>
          <w:highlight w:val="none"/>
        </w:rPr>
        <w:t>磋商人：(盖章)</w:t>
      </w:r>
    </w:p>
    <w:p>
      <w:pPr>
        <w:pStyle w:val="12"/>
        <w:spacing w:line="500" w:lineRule="exact"/>
        <w:ind w:firstLine="420"/>
        <w:rPr>
          <w:rFonts w:hAnsi="宋体"/>
          <w:color w:val="auto"/>
          <w:highlight w:val="none"/>
        </w:rPr>
      </w:pPr>
    </w:p>
    <w:p>
      <w:pPr>
        <w:pStyle w:val="12"/>
        <w:spacing w:line="500" w:lineRule="exact"/>
        <w:ind w:firstLine="420"/>
        <w:rPr>
          <w:rFonts w:hAnsi="宋体"/>
          <w:color w:val="auto"/>
          <w:highlight w:val="none"/>
        </w:rPr>
      </w:pPr>
      <w:r>
        <w:rPr>
          <w:rFonts w:hint="eastAsia" w:hAnsi="宋体"/>
          <w:color w:val="auto"/>
          <w:highlight w:val="none"/>
        </w:rPr>
        <w:t>法定代表人：(签字或盖章)</w:t>
      </w:r>
    </w:p>
    <w:p>
      <w:pPr>
        <w:pStyle w:val="12"/>
        <w:spacing w:line="500" w:lineRule="exact"/>
        <w:ind w:firstLine="420"/>
        <w:rPr>
          <w:rFonts w:hAnsi="宋体"/>
          <w:color w:val="auto"/>
          <w:highlight w:val="none"/>
        </w:rPr>
      </w:pPr>
    </w:p>
    <w:p>
      <w:pPr>
        <w:pStyle w:val="12"/>
        <w:spacing w:line="500" w:lineRule="exact"/>
        <w:ind w:firstLine="420"/>
        <w:jc w:val="left"/>
        <w:rPr>
          <w:rFonts w:hAnsi="宋体"/>
          <w:color w:val="auto"/>
          <w:highlight w:val="none"/>
        </w:rPr>
      </w:pPr>
      <w:r>
        <w:rPr>
          <w:rFonts w:hint="eastAsia" w:hAnsi="宋体"/>
          <w:color w:val="auto"/>
          <w:highlight w:val="none"/>
        </w:rPr>
        <w:t>日期：         年        月        日</w:t>
      </w:r>
    </w:p>
    <w:p>
      <w:pPr>
        <w:pStyle w:val="12"/>
        <w:spacing w:line="500" w:lineRule="exact"/>
        <w:ind w:firstLine="420"/>
        <w:rPr>
          <w:rFonts w:hAnsi="宋体"/>
          <w:color w:val="auto"/>
          <w:highlight w:val="none"/>
        </w:rPr>
      </w:pPr>
    </w:p>
    <w:p>
      <w:pPr>
        <w:pStyle w:val="12"/>
        <w:jc w:val="center"/>
        <w:rPr>
          <w:rFonts w:hAnsi="宋体"/>
          <w:color w:val="auto"/>
          <w:highlight w:val="none"/>
        </w:rPr>
      </w:pPr>
    </w:p>
    <w:p>
      <w:pPr>
        <w:pStyle w:val="12"/>
        <w:spacing w:line="440" w:lineRule="exact"/>
        <w:jc w:val="center"/>
        <w:outlineLvl w:val="2"/>
        <w:rPr>
          <w:rFonts w:hAnsi="宋体"/>
          <w:b/>
          <w:color w:val="auto"/>
          <w:sz w:val="36"/>
          <w:szCs w:val="36"/>
          <w:highlight w:val="none"/>
        </w:rPr>
      </w:pPr>
      <w:r>
        <w:rPr>
          <w:rFonts w:hAnsi="宋体"/>
          <w:color w:val="auto"/>
          <w:sz w:val="32"/>
          <w:szCs w:val="32"/>
          <w:highlight w:val="none"/>
        </w:rPr>
        <w:br w:type="page"/>
      </w:r>
      <w:bookmarkStart w:id="566" w:name="_Toc293903929"/>
      <w:bookmarkStart w:id="567" w:name="_Toc232250444"/>
      <w:bookmarkStart w:id="568" w:name="_Toc23582822"/>
      <w:bookmarkStart w:id="569" w:name="_Toc144547330"/>
      <w:bookmarkStart w:id="570" w:name="_Toc300661860"/>
    </w:p>
    <w:bookmarkEnd w:id="566"/>
    <w:bookmarkEnd w:id="567"/>
    <w:bookmarkEnd w:id="568"/>
    <w:bookmarkEnd w:id="569"/>
    <w:bookmarkEnd w:id="570"/>
    <w:p>
      <w:pPr>
        <w:pStyle w:val="12"/>
        <w:spacing w:line="440" w:lineRule="exact"/>
        <w:jc w:val="center"/>
        <w:outlineLvl w:val="2"/>
        <w:rPr>
          <w:rFonts w:hAnsi="宋体"/>
          <w:b/>
          <w:color w:val="auto"/>
          <w:kern w:val="56"/>
          <w:sz w:val="36"/>
          <w:highlight w:val="none"/>
        </w:rPr>
      </w:pPr>
      <w:bookmarkStart w:id="571" w:name="_Toc23582823"/>
      <w:bookmarkEnd w:id="571"/>
      <w:bookmarkStart w:id="572" w:name="_Hlt75709374"/>
      <w:bookmarkEnd w:id="572"/>
      <w:bookmarkStart w:id="573" w:name="_Toc29300"/>
      <w:bookmarkStart w:id="574" w:name="_Toc73180566"/>
      <w:bookmarkStart w:id="575" w:name="_Toc300661861"/>
      <w:bookmarkStart w:id="576" w:name="_Toc293903930"/>
      <w:bookmarkStart w:id="577" w:name="_Toc144547331"/>
      <w:bookmarkStart w:id="578" w:name="_Toc72920888"/>
      <w:bookmarkStart w:id="579" w:name="_Toc232250445"/>
      <w:r>
        <w:rPr>
          <w:rFonts w:hint="eastAsia" w:hAnsi="宋体"/>
          <w:b/>
          <w:color w:val="auto"/>
          <w:sz w:val="36"/>
          <w:szCs w:val="36"/>
          <w:highlight w:val="none"/>
        </w:rPr>
        <w:t>三、磋商人基本情况表</w:t>
      </w:r>
      <w:bookmarkEnd w:id="573"/>
    </w:p>
    <w:tbl>
      <w:tblPr>
        <w:tblStyle w:val="21"/>
        <w:tblpPr w:leftFromText="180" w:rightFromText="180" w:vertAnchor="text" w:horzAnchor="margin" w:tblpY="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1358"/>
        <w:gridCol w:w="484"/>
        <w:gridCol w:w="709"/>
        <w:gridCol w:w="992"/>
        <w:gridCol w:w="284"/>
        <w:gridCol w:w="70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申请人名称</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注册地址</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邮政编码</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7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联系方式</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联系人</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电话</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传真</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网址</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组织结构代码证号</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法定代表人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技术负责人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成立时间</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56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企业资质等级</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项目建造师</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营业执照号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高级职称人员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注册资金</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中级职称人员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开户银行</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初级职称人员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基本账号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56"/>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技工</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经营范围备注</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p>
        </w:tc>
      </w:tr>
    </w:tbl>
    <w:p>
      <w:pPr>
        <w:rPr>
          <w:rFonts w:ascii="宋体" w:hAnsi="宋体"/>
          <w:color w:val="auto"/>
          <w:kern w:val="56"/>
          <w:sz w:val="24"/>
          <w:highlight w:val="none"/>
        </w:rPr>
      </w:pPr>
      <w:r>
        <w:rPr>
          <w:rFonts w:hint="eastAsia" w:ascii="宋体" w:hAnsi="宋体"/>
          <w:color w:val="auto"/>
          <w:kern w:val="56"/>
          <w:sz w:val="24"/>
          <w:highlight w:val="none"/>
        </w:rPr>
        <w:t>附：附有效的营业执照副本、资质证书副本、组织机构代码证副本（如按国家规定三证合一的，不用提供）、企业安全生产许可证副本复印件；</w:t>
      </w:r>
    </w:p>
    <w:p>
      <w:pPr>
        <w:ind w:firstLine="432" w:firstLineChars="180"/>
        <w:rPr>
          <w:rFonts w:ascii="宋体" w:hAnsi="宋体"/>
          <w:color w:val="auto"/>
          <w:kern w:val="56"/>
          <w:sz w:val="24"/>
          <w:highlight w:val="none"/>
        </w:rPr>
      </w:pPr>
    </w:p>
    <w:p>
      <w:pPr>
        <w:pStyle w:val="12"/>
        <w:spacing w:line="440" w:lineRule="exact"/>
        <w:jc w:val="center"/>
        <w:outlineLvl w:val="2"/>
        <w:rPr>
          <w:rFonts w:hAnsi="宋体"/>
          <w:b/>
          <w:color w:val="auto"/>
          <w:sz w:val="36"/>
          <w:szCs w:val="36"/>
          <w:highlight w:val="none"/>
        </w:rPr>
      </w:pPr>
    </w:p>
    <w:p>
      <w:pPr>
        <w:pStyle w:val="12"/>
        <w:spacing w:line="440" w:lineRule="exact"/>
        <w:jc w:val="center"/>
        <w:outlineLvl w:val="2"/>
        <w:rPr>
          <w:rFonts w:hAnsi="宋体"/>
          <w:b/>
          <w:color w:val="auto"/>
          <w:sz w:val="36"/>
          <w:szCs w:val="36"/>
          <w:highlight w:val="none"/>
        </w:rPr>
      </w:pPr>
    </w:p>
    <w:p>
      <w:pPr>
        <w:pStyle w:val="12"/>
        <w:spacing w:line="440" w:lineRule="exact"/>
        <w:jc w:val="center"/>
        <w:outlineLvl w:val="2"/>
        <w:rPr>
          <w:rFonts w:hAnsi="宋体"/>
          <w:b/>
          <w:color w:val="auto"/>
          <w:sz w:val="36"/>
          <w:szCs w:val="36"/>
          <w:highlight w:val="none"/>
        </w:rPr>
      </w:pPr>
    </w:p>
    <w:p>
      <w:pPr>
        <w:pStyle w:val="12"/>
        <w:spacing w:line="440" w:lineRule="exact"/>
        <w:jc w:val="center"/>
        <w:outlineLvl w:val="2"/>
        <w:rPr>
          <w:rFonts w:hAnsi="宋体"/>
          <w:b/>
          <w:color w:val="auto"/>
          <w:sz w:val="36"/>
          <w:szCs w:val="36"/>
          <w:highlight w:val="none"/>
        </w:rPr>
      </w:pPr>
    </w:p>
    <w:p>
      <w:pPr>
        <w:pStyle w:val="12"/>
        <w:spacing w:line="440" w:lineRule="exact"/>
        <w:jc w:val="center"/>
        <w:outlineLvl w:val="2"/>
        <w:rPr>
          <w:rFonts w:hAnsi="宋体"/>
          <w:b/>
          <w:color w:val="auto"/>
          <w:sz w:val="36"/>
          <w:szCs w:val="36"/>
          <w:highlight w:val="none"/>
        </w:rPr>
      </w:pPr>
    </w:p>
    <w:p>
      <w:pPr>
        <w:pStyle w:val="12"/>
        <w:spacing w:line="440" w:lineRule="exact"/>
        <w:jc w:val="center"/>
        <w:outlineLvl w:val="2"/>
        <w:rPr>
          <w:rFonts w:hAnsi="宋体"/>
          <w:b/>
          <w:color w:val="auto"/>
          <w:sz w:val="36"/>
          <w:szCs w:val="36"/>
          <w:highlight w:val="none"/>
        </w:rPr>
      </w:pPr>
    </w:p>
    <w:bookmarkEnd w:id="574"/>
    <w:bookmarkEnd w:id="575"/>
    <w:bookmarkEnd w:id="576"/>
    <w:bookmarkEnd w:id="577"/>
    <w:bookmarkEnd w:id="578"/>
    <w:bookmarkEnd w:id="579"/>
    <w:p>
      <w:pPr>
        <w:pStyle w:val="12"/>
        <w:spacing w:line="440" w:lineRule="exact"/>
        <w:jc w:val="center"/>
        <w:outlineLvl w:val="2"/>
        <w:rPr>
          <w:rFonts w:hAnsi="宋体"/>
          <w:b/>
          <w:color w:val="auto"/>
          <w:sz w:val="36"/>
          <w:szCs w:val="36"/>
          <w:highlight w:val="none"/>
        </w:rPr>
      </w:pPr>
      <w:bookmarkStart w:id="580" w:name="_Toc293903933"/>
      <w:bookmarkStart w:id="581" w:name="_Toc300661864"/>
      <w:bookmarkStart w:id="582" w:name="_Toc232250446"/>
      <w:bookmarkStart w:id="583" w:name="_Toc195761613"/>
      <w:bookmarkStart w:id="584" w:name="_Toc196822518"/>
    </w:p>
    <w:p>
      <w:pPr>
        <w:pStyle w:val="12"/>
        <w:spacing w:line="440" w:lineRule="exact"/>
        <w:jc w:val="center"/>
        <w:outlineLvl w:val="2"/>
        <w:rPr>
          <w:rFonts w:hAnsi="宋体"/>
          <w:b/>
          <w:color w:val="auto"/>
          <w:kern w:val="56"/>
          <w:sz w:val="36"/>
          <w:highlight w:val="none"/>
        </w:rPr>
      </w:pPr>
      <w:bookmarkStart w:id="585" w:name="_Toc28590"/>
      <w:r>
        <w:rPr>
          <w:rFonts w:hint="eastAsia" w:hAnsi="宋体"/>
          <w:b/>
          <w:color w:val="auto"/>
          <w:sz w:val="36"/>
          <w:szCs w:val="36"/>
          <w:highlight w:val="none"/>
        </w:rPr>
        <w:t>四、拟担任本工程负责人（注册建造师）简历表</w:t>
      </w:r>
      <w:bookmarkEnd w:id="580"/>
      <w:bookmarkEnd w:id="581"/>
      <w:bookmarkEnd w:id="585"/>
    </w:p>
    <w:tbl>
      <w:tblPr>
        <w:tblStyle w:val="21"/>
        <w:tblpPr w:leftFromText="180" w:rightFromText="180" w:vertAnchor="text" w:horzAnchor="margin" w:tblpY="56"/>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54"/>
        <w:gridCol w:w="1623"/>
        <w:gridCol w:w="1079"/>
        <w:gridCol w:w="899"/>
        <w:gridCol w:w="360"/>
        <w:gridCol w:w="1430"/>
        <w:gridCol w:w="101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年龄</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学 历</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职称</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职务</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注册建造师证号</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毕业学校</w:t>
            </w:r>
          </w:p>
        </w:tc>
        <w:tc>
          <w:tcPr>
            <w:tcW w:w="7905" w:type="dxa"/>
            <w:gridSpan w:val="7"/>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18" w:type="dxa"/>
            <w:gridSpan w:val="9"/>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时间</w:t>
            </w:r>
          </w:p>
        </w:tc>
        <w:tc>
          <w:tcPr>
            <w:tcW w:w="39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完成过的类似项目</w:t>
            </w:r>
          </w:p>
        </w:tc>
        <w:tc>
          <w:tcPr>
            <w:tcW w:w="179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结构类型</w:t>
            </w:r>
          </w:p>
        </w:tc>
        <w:tc>
          <w:tcPr>
            <w:tcW w:w="2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p>
        </w:tc>
      </w:tr>
    </w:tbl>
    <w:p>
      <w:pPr>
        <w:ind w:firstLine="432" w:firstLineChars="180"/>
        <w:rPr>
          <w:rFonts w:ascii="宋体" w:hAnsi="宋体"/>
          <w:color w:val="auto"/>
          <w:kern w:val="56"/>
          <w:sz w:val="24"/>
          <w:highlight w:val="none"/>
        </w:rPr>
      </w:pPr>
      <w:r>
        <w:rPr>
          <w:rFonts w:hint="eastAsia" w:ascii="宋体" w:hAnsi="宋体"/>
          <w:color w:val="auto"/>
          <w:kern w:val="56"/>
          <w:sz w:val="24"/>
          <w:highlight w:val="none"/>
        </w:rPr>
        <w:t>注：附注册建造师资格证及其安全生产考核合格证加盖公章复印件；</w:t>
      </w:r>
    </w:p>
    <w:p>
      <w:pPr>
        <w:pStyle w:val="12"/>
        <w:spacing w:line="440" w:lineRule="exact"/>
        <w:jc w:val="center"/>
        <w:outlineLvl w:val="2"/>
        <w:rPr>
          <w:rFonts w:hAnsi="宋体"/>
          <w:b/>
          <w:color w:val="auto"/>
          <w:sz w:val="36"/>
          <w:szCs w:val="36"/>
          <w:highlight w:val="none"/>
        </w:rPr>
      </w:pPr>
      <w:bookmarkStart w:id="586" w:name="_Toc300661866"/>
    </w:p>
    <w:p>
      <w:pPr>
        <w:pStyle w:val="12"/>
        <w:spacing w:line="440" w:lineRule="exact"/>
        <w:jc w:val="center"/>
        <w:outlineLvl w:val="2"/>
        <w:rPr>
          <w:rFonts w:hAnsi="宋体"/>
          <w:b/>
          <w:color w:val="auto"/>
          <w:kern w:val="56"/>
          <w:sz w:val="36"/>
          <w:highlight w:val="none"/>
        </w:rPr>
      </w:pPr>
      <w:bookmarkStart w:id="587" w:name="_Toc18862"/>
      <w:r>
        <w:rPr>
          <w:rFonts w:hint="eastAsia" w:hAnsi="宋体"/>
          <w:b/>
          <w:color w:val="auto"/>
          <w:sz w:val="36"/>
          <w:szCs w:val="36"/>
          <w:highlight w:val="none"/>
        </w:rPr>
        <w:t>五、农民工工资保证金的交纳与使用承诺书</w:t>
      </w:r>
      <w:bookmarkEnd w:id="586"/>
      <w:bookmarkEnd w:id="587"/>
    </w:p>
    <w:p>
      <w:pPr>
        <w:ind w:firstLine="432" w:firstLineChars="180"/>
        <w:jc w:val="center"/>
        <w:rPr>
          <w:rFonts w:ascii="宋体" w:hAnsi="宋体"/>
          <w:color w:val="auto"/>
          <w:kern w:val="56"/>
          <w:sz w:val="24"/>
          <w:highlight w:val="none"/>
        </w:rPr>
      </w:pPr>
    </w:p>
    <w:p>
      <w:pPr>
        <w:spacing w:line="360" w:lineRule="auto"/>
        <w:jc w:val="center"/>
        <w:rPr>
          <w:b/>
          <w:bCs/>
          <w:color w:val="auto"/>
          <w:sz w:val="28"/>
          <w:highlight w:val="none"/>
        </w:rPr>
      </w:pPr>
      <w:bookmarkStart w:id="588" w:name="_Toc300661867"/>
      <w:bookmarkStart w:id="589" w:name="_Toc293903936"/>
      <w:r>
        <w:rPr>
          <w:rFonts w:hint="eastAsia"/>
          <w:b/>
          <w:bCs/>
          <w:color w:val="auto"/>
          <w:sz w:val="28"/>
          <w:highlight w:val="none"/>
        </w:rPr>
        <w:t>（</w:t>
      </w:r>
      <w:r>
        <w:rPr>
          <w:rFonts w:hint="eastAsia"/>
          <w:color w:val="auto"/>
          <w:highlight w:val="none"/>
        </w:rPr>
        <w:t>按</w:t>
      </w:r>
      <w:r>
        <w:rPr>
          <w:rFonts w:hint="eastAsia" w:ascii="宋体" w:hAnsi="宋体"/>
          <w:color w:val="auto"/>
          <w:highlight w:val="none"/>
          <w:u w:val="single"/>
        </w:rPr>
        <w:t>桂劳社发[2009]50号</w:t>
      </w:r>
      <w:r>
        <w:rPr>
          <w:rFonts w:hint="eastAsia"/>
          <w:color w:val="auto"/>
          <w:highlight w:val="none"/>
          <w:u w:val="single"/>
        </w:rPr>
        <w:t>文</w:t>
      </w:r>
      <w:r>
        <w:rPr>
          <w:rFonts w:hint="eastAsia"/>
          <w:color w:val="auto"/>
          <w:highlight w:val="none"/>
        </w:rPr>
        <w:t>的规定执行</w:t>
      </w:r>
      <w:r>
        <w:rPr>
          <w:rFonts w:hint="eastAsia"/>
          <w:b/>
          <w:bCs/>
          <w:color w:val="auto"/>
          <w:sz w:val="28"/>
          <w:highlight w:val="none"/>
        </w:rPr>
        <w:t>）</w:t>
      </w:r>
    </w:p>
    <w:p>
      <w:pPr>
        <w:spacing w:line="600" w:lineRule="exact"/>
        <w:ind w:firstLine="420" w:firstLineChars="200"/>
        <w:rPr>
          <w:rFonts w:ascii="宋体" w:hAnsi="宋体"/>
          <w:color w:val="auto"/>
          <w:highlight w:val="none"/>
        </w:rPr>
      </w:pPr>
      <w:r>
        <w:rPr>
          <w:rFonts w:hint="eastAsia" w:ascii="宋体" w:hAnsi="宋体"/>
          <w:color w:val="auto"/>
          <w:highlight w:val="none"/>
        </w:rPr>
        <w:t>如我公司在贵单位的 </w:t>
      </w:r>
      <w:r>
        <w:rPr>
          <w:rFonts w:hint="eastAsia" w:ascii="宋体" w:hAnsi="宋体"/>
          <w:color w:val="auto"/>
          <w:highlight w:val="none"/>
          <w:u w:val="single"/>
        </w:rPr>
        <w:t>             项目</w:t>
      </w:r>
      <w:r>
        <w:rPr>
          <w:rFonts w:hint="eastAsia" w:ascii="宋体" w:hAnsi="宋体"/>
          <w:color w:val="auto"/>
          <w:highlight w:val="none"/>
        </w:rPr>
        <w:t>成交，根据广西壮族自治区劳动和社会保障厅、广西壮族自治区建设厅桂劳社发[2009] 50号规定，我方在此向采购人承诺：</w:t>
      </w:r>
      <w:r>
        <w:rPr>
          <w:rFonts w:hint="eastAsia" w:ascii="宋体" w:hAnsi="宋体"/>
          <w:color w:val="auto"/>
          <w:highlight w:val="none"/>
        </w:rPr>
        <w:br w:type="textWrapping"/>
      </w:r>
      <w:r>
        <w:rPr>
          <w:rFonts w:hint="eastAsia" w:ascii="宋体" w:hAnsi="宋体"/>
          <w:color w:val="auto"/>
          <w:highlight w:val="none"/>
        </w:rPr>
        <w:t>1、我方保证在</w:t>
      </w:r>
      <w:r>
        <w:rPr>
          <w:rFonts w:hint="eastAsia" w:ascii="宋体" w:hAnsi="宋体"/>
          <w:color w:val="auto"/>
          <w:highlight w:val="none"/>
          <w:u w:val="single"/>
        </w:rPr>
        <w:t>       </w:t>
      </w:r>
      <w:r>
        <w:rPr>
          <w:rFonts w:hint="eastAsia" w:ascii="宋体" w:hAnsi="宋体"/>
          <w:color w:val="auto"/>
          <w:highlight w:val="none"/>
        </w:rPr>
        <w:t>项目的竞争性磋商响应文件中，如实反映我方以前所承建工程中工资支付的情况，并特别注明至提交竞争性磋商响应文件截止之日止，不存在拖欠或克扣农民工工资的行为。</w:t>
      </w:r>
      <w:r>
        <w:rPr>
          <w:rFonts w:hint="eastAsia" w:ascii="宋体" w:hAnsi="宋体"/>
          <w:color w:val="auto"/>
          <w:highlight w:val="none"/>
        </w:rPr>
        <w:br w:type="textWrapping"/>
      </w:r>
      <w:r>
        <w:rPr>
          <w:rFonts w:hint="eastAsia" w:ascii="宋体" w:hAnsi="宋体"/>
          <w:color w:val="auto"/>
          <w:highlight w:val="none"/>
        </w:rPr>
        <w:t>2.我方参与磋商的</w:t>
      </w:r>
      <w:r>
        <w:rPr>
          <w:rFonts w:hint="eastAsia" w:ascii="宋体" w:hAnsi="宋体"/>
          <w:color w:val="auto"/>
          <w:highlight w:val="none"/>
          <w:u w:val="single"/>
        </w:rPr>
        <w:t>       </w:t>
      </w:r>
      <w:r>
        <w:rPr>
          <w:rFonts w:hint="eastAsia" w:ascii="宋体" w:hAnsi="宋体"/>
          <w:color w:val="auto"/>
          <w:highlight w:val="none"/>
        </w:rPr>
        <w:t>项目，一旦成交，我方保证在收到成交通知书之日起20个工作日内，及时并足额将农民工工资保证金存入指定帐户，作为本项目农民工工资保证金。</w:t>
      </w:r>
      <w:r>
        <w:rPr>
          <w:rFonts w:hint="eastAsia" w:ascii="宋体" w:hAnsi="宋体"/>
          <w:color w:val="auto"/>
          <w:highlight w:val="none"/>
        </w:rPr>
        <w:br w:type="textWrapping"/>
      </w:r>
      <w:r>
        <w:rPr>
          <w:rFonts w:hint="eastAsia" w:ascii="宋体" w:hAnsi="宋体"/>
          <w:color w:val="auto"/>
          <w:highlight w:val="none"/>
        </w:rPr>
        <w:t>3.如我方在承包 </w:t>
      </w:r>
      <w:r>
        <w:rPr>
          <w:rFonts w:hint="eastAsia" w:ascii="宋体" w:hAnsi="宋体"/>
          <w:color w:val="auto"/>
          <w:highlight w:val="none"/>
          <w:u w:val="single"/>
        </w:rPr>
        <w:t>        </w:t>
      </w:r>
      <w:r>
        <w:rPr>
          <w:rFonts w:hint="eastAsia" w:ascii="宋体" w:hAnsi="宋体"/>
          <w:color w:val="auto"/>
          <w:highlight w:val="none"/>
        </w:rPr>
        <w:t>项目中出现欠或克扣农民工工资和其它职工工资情况的，由建设行政主管部门从本企业缴纳的农民工工资保证金中先予划支。</w:t>
      </w:r>
      <w:r>
        <w:rPr>
          <w:rFonts w:hint="eastAsia" w:ascii="宋体" w:hAnsi="宋体"/>
          <w:color w:val="auto"/>
          <w:highlight w:val="none"/>
        </w:rPr>
        <w:br w:type="textWrapping"/>
      </w:r>
      <w:r>
        <w:rPr>
          <w:rFonts w:hint="eastAsia" w:ascii="宋体" w:hAnsi="宋体"/>
          <w:color w:val="auto"/>
          <w:highlight w:val="none"/>
        </w:rPr>
        <w:t>4.如我方不按时、足额存入农民工工资保证金，采购人有权取消我方成交资格。。</w:t>
      </w:r>
    </w:p>
    <w:p>
      <w:pPr>
        <w:spacing w:line="600" w:lineRule="exact"/>
        <w:ind w:firstLine="420" w:firstLineChars="200"/>
        <w:rPr>
          <w:rFonts w:ascii="宋体" w:hAnsi="宋体"/>
          <w:color w:val="auto"/>
          <w:highlight w:val="none"/>
        </w:rPr>
      </w:pPr>
      <w:r>
        <w:rPr>
          <w:rFonts w:hint="eastAsia" w:ascii="宋体" w:hAnsi="宋体"/>
          <w:color w:val="auto"/>
          <w:highlight w:val="none"/>
        </w:rPr>
        <w:t>磋商人：（盖单位公章）</w:t>
      </w:r>
    </w:p>
    <w:p>
      <w:pPr>
        <w:spacing w:line="600" w:lineRule="exact"/>
        <w:ind w:firstLine="420" w:firstLineChars="200"/>
        <w:rPr>
          <w:rFonts w:ascii="宋体" w:hAnsi="宋体"/>
          <w:color w:val="auto"/>
          <w:highlight w:val="none"/>
        </w:rPr>
      </w:pPr>
      <w:r>
        <w:rPr>
          <w:rFonts w:hint="eastAsia" w:ascii="宋体" w:hAnsi="宋体"/>
          <w:color w:val="auto"/>
          <w:highlight w:val="none"/>
        </w:rPr>
        <w:t>法定代表人或其委托代理人： （签字）</w:t>
      </w:r>
    </w:p>
    <w:p>
      <w:pPr>
        <w:spacing w:line="600" w:lineRule="exact"/>
        <w:ind w:firstLine="420" w:firstLineChars="200"/>
        <w:rPr>
          <w:rFonts w:ascii="宋体" w:hAnsi="宋体"/>
          <w:color w:val="auto"/>
          <w:highlight w:val="none"/>
          <w:u w:val="single"/>
        </w:rPr>
      </w:pPr>
      <w:r>
        <w:rPr>
          <w:rFonts w:hint="eastAsia" w:ascii="宋体" w:hAnsi="宋体"/>
          <w:color w:val="auto"/>
          <w:highlight w:val="none"/>
        </w:rPr>
        <w:t>年月日</w:t>
      </w:r>
    </w:p>
    <w:p>
      <w:pPr>
        <w:spacing w:line="400" w:lineRule="exact"/>
        <w:rPr>
          <w:b/>
          <w:color w:val="auto"/>
          <w:highlight w:val="none"/>
        </w:rPr>
      </w:pPr>
    </w:p>
    <w:bookmarkEnd w:id="588"/>
    <w:bookmarkEnd w:id="589"/>
    <w:p>
      <w:pPr>
        <w:pStyle w:val="12"/>
        <w:spacing w:line="520" w:lineRule="exact"/>
        <w:ind w:firstLine="723" w:firstLineChars="200"/>
        <w:outlineLvl w:val="2"/>
        <w:rPr>
          <w:rFonts w:hint="eastAsia" w:hAnsi="宋体"/>
          <w:b/>
          <w:color w:val="auto"/>
          <w:sz w:val="36"/>
          <w:szCs w:val="36"/>
          <w:highlight w:val="none"/>
        </w:rPr>
      </w:pPr>
      <w:bookmarkStart w:id="590" w:name="_Toc1966"/>
    </w:p>
    <w:bookmarkEnd w:id="590"/>
    <w:p>
      <w:pPr>
        <w:pStyle w:val="12"/>
        <w:spacing w:line="520" w:lineRule="exact"/>
        <w:jc w:val="both"/>
        <w:outlineLvl w:val="2"/>
        <w:rPr>
          <w:rFonts w:hAnsi="宋体"/>
          <w:b/>
          <w:color w:val="auto"/>
          <w:sz w:val="36"/>
          <w:szCs w:val="36"/>
          <w:highlight w:val="none"/>
        </w:rPr>
      </w:pPr>
    </w:p>
    <w:p>
      <w:pPr>
        <w:pStyle w:val="12"/>
        <w:spacing w:line="520" w:lineRule="exact"/>
        <w:jc w:val="center"/>
        <w:outlineLvl w:val="2"/>
        <w:rPr>
          <w:rFonts w:hAnsi="宋体"/>
          <w:b/>
          <w:color w:val="auto"/>
          <w:sz w:val="36"/>
          <w:szCs w:val="36"/>
          <w:highlight w:val="none"/>
        </w:rPr>
      </w:pPr>
      <w:bookmarkStart w:id="591" w:name="_Toc19328"/>
    </w:p>
    <w:bookmarkEnd w:id="591"/>
    <w:p>
      <w:pPr>
        <w:pStyle w:val="12"/>
        <w:numPr>
          <w:ilvl w:val="0"/>
          <w:numId w:val="7"/>
        </w:numPr>
        <w:spacing w:line="520" w:lineRule="exact"/>
        <w:ind w:firstLine="723" w:firstLineChars="200"/>
        <w:outlineLvl w:val="2"/>
        <w:rPr>
          <w:rFonts w:hint="eastAsia" w:hAnsi="宋体"/>
          <w:b/>
          <w:color w:val="auto"/>
          <w:sz w:val="36"/>
          <w:szCs w:val="36"/>
          <w:highlight w:val="none"/>
          <w:lang w:eastAsia="zh-CN"/>
        </w:rPr>
      </w:pPr>
      <w:r>
        <w:rPr>
          <w:rFonts w:hint="eastAsia" w:hAnsi="宋体"/>
          <w:b/>
          <w:color w:val="auto"/>
          <w:sz w:val="36"/>
          <w:szCs w:val="36"/>
          <w:highlight w:val="none"/>
          <w:lang w:eastAsia="zh-CN"/>
        </w:rPr>
        <w:t>贵港市政府采购项目投标人资格承诺函</w:t>
      </w:r>
    </w:p>
    <w:p>
      <w:pPr>
        <w:pStyle w:val="12"/>
        <w:numPr>
          <w:ilvl w:val="0"/>
          <w:numId w:val="0"/>
        </w:numPr>
        <w:spacing w:line="520" w:lineRule="exact"/>
        <w:outlineLvl w:val="2"/>
        <w:rPr>
          <w:rFonts w:hint="eastAsia" w:hAnsi="宋体"/>
          <w:b/>
          <w:color w:val="auto"/>
          <w:sz w:val="36"/>
          <w:szCs w:val="36"/>
          <w:highlight w:val="none"/>
          <w:lang w:eastAsia="zh-CN"/>
        </w:rPr>
      </w:pPr>
    </w:p>
    <w:p>
      <w:pPr>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auto"/>
          <w:highlight w:val="none"/>
        </w:rPr>
      </w:pPr>
      <w:r>
        <w:rPr>
          <w:rFonts w:hint="eastAsia" w:ascii="宋体" w:hAnsi="宋体"/>
          <w:color w:val="auto"/>
          <w:highlight w:val="none"/>
        </w:rPr>
        <w:t>本公司郑重承诺，根据《中华人民共和国政府采购法》第</w:t>
      </w:r>
      <w:r>
        <w:rPr>
          <w:rFonts w:hint="eastAsia" w:ascii="宋体" w:hAnsi="宋体"/>
          <w:color w:val="auto"/>
          <w:highlight w:val="none"/>
          <w:lang w:eastAsia="zh-CN"/>
        </w:rPr>
        <w:t>二</w:t>
      </w:r>
      <w:r>
        <w:rPr>
          <w:rFonts w:hint="eastAsia" w:ascii="宋体" w:hAnsi="宋体"/>
          <w:color w:val="auto"/>
          <w:highlight w:val="none"/>
        </w:rPr>
        <w:t>十二条的规定，本公司为参加政府采购活动的合格供应商。即本公司同时满足以下条件:</w:t>
      </w:r>
    </w:p>
    <w:p>
      <w:pPr>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.具有独立承担民事责任的能力。</w:t>
      </w:r>
    </w:p>
    <w:p>
      <w:pPr>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auto"/>
          <w:highlight w:val="none"/>
        </w:rPr>
      </w:pPr>
      <w:r>
        <w:rPr>
          <w:rFonts w:hint="eastAsia" w:ascii="宋体" w:hAnsi="宋体"/>
          <w:color w:val="auto"/>
          <w:highlight w:val="none"/>
        </w:rPr>
        <w:t>2.具有良好的商业信誉和健全的财务会计制度。</w:t>
      </w:r>
    </w:p>
    <w:p>
      <w:pPr>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auto"/>
          <w:highlight w:val="none"/>
        </w:rPr>
      </w:pPr>
      <w:r>
        <w:rPr>
          <w:rFonts w:hint="eastAsia" w:ascii="宋体" w:hAnsi="宋体"/>
          <w:color w:val="auto"/>
          <w:highlight w:val="none"/>
        </w:rPr>
        <w:t>3.具有履行合同所必需的设备和专业技术能力。</w:t>
      </w:r>
    </w:p>
    <w:p>
      <w:pPr>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auto"/>
          <w:highlight w:val="none"/>
        </w:rPr>
      </w:pPr>
      <w:r>
        <w:rPr>
          <w:rFonts w:hint="eastAsia" w:ascii="宋体" w:hAnsi="宋体"/>
          <w:color w:val="auto"/>
          <w:highlight w:val="none"/>
        </w:rPr>
        <w:t>4.有依法缴纳税收和社会保障资金的良好记录。</w:t>
      </w:r>
    </w:p>
    <w:p>
      <w:pPr>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auto"/>
          <w:highlight w:val="none"/>
        </w:rPr>
      </w:pPr>
      <w:r>
        <w:rPr>
          <w:rFonts w:hint="eastAsia" w:ascii="宋体" w:hAnsi="宋体"/>
          <w:color w:val="auto"/>
          <w:highlight w:val="none"/>
        </w:rPr>
        <w:t>5.提交投标文件截止日期前三年内，在经营活动中没有重大违法记录。</w:t>
      </w:r>
    </w:p>
    <w:p>
      <w:pPr>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auto"/>
          <w:highlight w:val="none"/>
        </w:rPr>
      </w:pPr>
      <w:r>
        <w:rPr>
          <w:rFonts w:hint="eastAsia" w:ascii="宋体" w:hAnsi="宋体"/>
          <w:color w:val="auto"/>
          <w:highlight w:val="none"/>
        </w:rPr>
        <w:t>本公司对上述承诺的真实性负责，并接受政府采购、税务社会保障等监督管理部门、采购文件规定的资格审查机构、社会公众的监督和检査。如有虚假，将依法承担相应责任。</w:t>
      </w:r>
    </w:p>
    <w:p>
      <w:pPr>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auto"/>
          <w:highlight w:val="none"/>
        </w:rPr>
      </w:pPr>
    </w:p>
    <w:p>
      <w:pPr>
        <w:pStyle w:val="2"/>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rPr>
      </w:pPr>
    </w:p>
    <w:p>
      <w:pPr>
        <w:pageBreakBefore w:val="0"/>
        <w:widowControl w:val="0"/>
        <w:kinsoku/>
        <w:wordWrap/>
        <w:overflowPunct/>
        <w:topLinePunct w:val="0"/>
        <w:autoSpaceDE/>
        <w:autoSpaceDN/>
        <w:bidi w:val="0"/>
        <w:adjustRightInd/>
        <w:snapToGrid/>
        <w:spacing w:line="600" w:lineRule="exact"/>
        <w:ind w:firstLine="3360" w:firstLineChars="1600"/>
        <w:textAlignment w:val="auto"/>
        <w:rPr>
          <w:rFonts w:hint="eastAsia" w:ascii="宋体" w:hAnsi="宋体" w:eastAsia="宋体"/>
          <w:color w:val="auto"/>
          <w:highlight w:val="none"/>
          <w:lang w:eastAsia="zh-CN"/>
        </w:rPr>
      </w:pPr>
      <w:r>
        <w:rPr>
          <w:rFonts w:hint="eastAsia" w:ascii="宋体" w:hAnsi="宋体"/>
          <w:color w:val="auto"/>
          <w:highlight w:val="none"/>
        </w:rPr>
        <w:t>企业名称(盖章)</w:t>
      </w:r>
      <w:r>
        <w:rPr>
          <w:rFonts w:hint="eastAsia" w:ascii="宋体" w:hAnsi="宋体"/>
          <w:color w:val="auto"/>
          <w:highlight w:val="none"/>
          <w:lang w:eastAsia="zh-CN"/>
        </w:rPr>
        <w:t>：</w:t>
      </w:r>
    </w:p>
    <w:p>
      <w:pPr>
        <w:pageBreakBefore w:val="0"/>
        <w:widowControl w:val="0"/>
        <w:kinsoku/>
        <w:wordWrap/>
        <w:overflowPunct/>
        <w:topLinePunct w:val="0"/>
        <w:autoSpaceDE/>
        <w:autoSpaceDN/>
        <w:bidi w:val="0"/>
        <w:adjustRightInd/>
        <w:snapToGrid/>
        <w:spacing w:line="600" w:lineRule="exact"/>
        <w:ind w:firstLine="3360" w:firstLineChars="1600"/>
        <w:textAlignment w:val="auto"/>
        <w:rPr>
          <w:rFonts w:hint="eastAsia" w:ascii="宋体" w:hAnsi="宋体"/>
          <w:color w:val="auto"/>
          <w:highlight w:val="none"/>
        </w:rPr>
      </w:pPr>
      <w:r>
        <w:rPr>
          <w:rFonts w:hint="eastAsia" w:ascii="宋体" w:hAnsi="宋体"/>
          <w:color w:val="auto"/>
          <w:highlight w:val="none"/>
        </w:rPr>
        <w:t>法定代表人(签名):</w:t>
      </w:r>
    </w:p>
    <w:p>
      <w:pPr>
        <w:pageBreakBefore w:val="0"/>
        <w:widowControl w:val="0"/>
        <w:kinsoku/>
        <w:wordWrap/>
        <w:overflowPunct/>
        <w:topLinePunct w:val="0"/>
        <w:autoSpaceDE/>
        <w:autoSpaceDN/>
        <w:bidi w:val="0"/>
        <w:adjustRightInd/>
        <w:snapToGrid/>
        <w:spacing w:line="600" w:lineRule="exact"/>
        <w:ind w:firstLine="3360" w:firstLineChars="1600"/>
        <w:textAlignment w:val="auto"/>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lang w:eastAsia="zh-CN"/>
        </w:rPr>
        <w:t>：</w:t>
      </w: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pPr>
        <w:pStyle w:val="12"/>
        <w:spacing w:line="440" w:lineRule="exact"/>
        <w:jc w:val="center"/>
        <w:outlineLvl w:val="2"/>
        <w:rPr>
          <w:rFonts w:hAnsi="宋体"/>
          <w:b/>
          <w:color w:val="auto"/>
          <w:sz w:val="36"/>
          <w:szCs w:val="36"/>
          <w:highlight w:val="none"/>
        </w:rPr>
      </w:pPr>
      <w:r>
        <w:rPr>
          <w:rFonts w:hint="eastAsia" w:ascii="宋体" w:hAnsi="宋体"/>
          <w:color w:val="auto"/>
          <w:highlight w:val="none"/>
        </w:rPr>
        <w:br w:type="page"/>
      </w:r>
    </w:p>
    <w:p>
      <w:pPr>
        <w:pStyle w:val="12"/>
        <w:spacing w:line="440" w:lineRule="exact"/>
        <w:jc w:val="center"/>
        <w:outlineLvl w:val="2"/>
        <w:rPr>
          <w:rFonts w:hAnsi="宋体"/>
          <w:b/>
          <w:color w:val="auto"/>
          <w:sz w:val="36"/>
          <w:szCs w:val="36"/>
          <w:highlight w:val="none"/>
        </w:rPr>
      </w:pPr>
      <w:bookmarkStart w:id="592" w:name="_Toc27023"/>
      <w:r>
        <w:rPr>
          <w:rFonts w:hint="eastAsia" w:hAnsi="宋体"/>
          <w:b/>
          <w:color w:val="auto"/>
          <w:sz w:val="36"/>
          <w:szCs w:val="36"/>
          <w:highlight w:val="none"/>
          <w:lang w:eastAsia="zh-CN"/>
        </w:rPr>
        <w:t>七</w:t>
      </w:r>
      <w:r>
        <w:rPr>
          <w:rFonts w:hint="eastAsia" w:hAnsi="宋体"/>
          <w:b/>
          <w:color w:val="auto"/>
          <w:sz w:val="36"/>
          <w:szCs w:val="36"/>
          <w:highlight w:val="none"/>
        </w:rPr>
        <w:t>、2017年至今企业完成类似工程情况表(如有情提供)</w:t>
      </w:r>
      <w:bookmarkEnd w:id="592"/>
    </w:p>
    <w:tbl>
      <w:tblPr>
        <w:tblStyle w:val="21"/>
        <w:tblW w:w="931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95"/>
        <w:gridCol w:w="870"/>
        <w:gridCol w:w="1110"/>
        <w:gridCol w:w="136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建设单位</w:t>
            </w:r>
          </w:p>
        </w:tc>
        <w:tc>
          <w:tcPr>
            <w:tcW w:w="1695" w:type="dxa"/>
            <w:tcBorders>
              <w:top w:val="doub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项目名称及建设地点</w:t>
            </w:r>
          </w:p>
        </w:tc>
        <w:tc>
          <w:tcPr>
            <w:tcW w:w="870"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建设</w:t>
            </w:r>
          </w:p>
          <w:p>
            <w:pPr>
              <w:rPr>
                <w:rFonts w:ascii="宋体" w:hAnsi="宋体"/>
                <w:color w:val="auto"/>
                <w:kern w:val="56"/>
                <w:sz w:val="24"/>
                <w:highlight w:val="none"/>
              </w:rPr>
            </w:pPr>
            <w:r>
              <w:rPr>
                <w:rFonts w:hint="eastAsia" w:ascii="宋体" w:hAnsi="宋体"/>
                <w:color w:val="auto"/>
                <w:kern w:val="56"/>
                <w:sz w:val="24"/>
                <w:highlight w:val="none"/>
              </w:rPr>
              <w:t>规模</w:t>
            </w:r>
          </w:p>
        </w:tc>
        <w:tc>
          <w:tcPr>
            <w:tcW w:w="1110" w:type="dxa"/>
            <w:tcBorders>
              <w:top w:val="doub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开竣工日 期</w:t>
            </w:r>
          </w:p>
        </w:tc>
        <w:tc>
          <w:tcPr>
            <w:tcW w:w="1365" w:type="dxa"/>
            <w:tcBorders>
              <w:top w:val="doub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合同价格（万元）</w:t>
            </w:r>
          </w:p>
        </w:tc>
        <w:tc>
          <w:tcPr>
            <w:tcW w:w="1155" w:type="dxa"/>
            <w:tcBorders>
              <w:top w:val="doub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质量达到标准</w:t>
            </w:r>
          </w:p>
        </w:tc>
        <w:tc>
          <w:tcPr>
            <w:tcW w:w="1155" w:type="dxa"/>
            <w:tcBorders>
              <w:top w:val="double" w:color="auto" w:sz="4" w:space="0"/>
              <w:left w:val="single" w:color="auto" w:sz="4" w:space="0"/>
              <w:bottom w:val="single" w:color="auto" w:sz="4" w:space="0"/>
              <w:right w:val="doub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合同履约情况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69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87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1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single" w:color="auto" w:sz="4" w:space="0"/>
              <w:right w:val="doub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695"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870"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110"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365"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nil"/>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nil"/>
              <w:right w:val="doub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69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87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11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36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color w:val="auto"/>
                <w:kern w:val="56"/>
                <w:sz w:val="24"/>
                <w:highlight w:val="none"/>
              </w:rPr>
            </w:pPr>
          </w:p>
        </w:tc>
        <w:tc>
          <w:tcPr>
            <w:tcW w:w="1155" w:type="dxa"/>
            <w:tcBorders>
              <w:top w:val="single" w:color="auto" w:sz="4" w:space="0"/>
              <w:left w:val="single" w:color="auto" w:sz="4" w:space="0"/>
              <w:bottom w:val="double" w:color="auto" w:sz="4" w:space="0"/>
              <w:right w:val="double" w:color="auto" w:sz="4" w:space="0"/>
            </w:tcBorders>
          </w:tcPr>
          <w:p>
            <w:pPr>
              <w:ind w:firstLine="432" w:firstLineChars="180"/>
              <w:rPr>
                <w:rFonts w:ascii="宋体" w:hAnsi="宋体"/>
                <w:color w:val="auto"/>
                <w:kern w:val="56"/>
                <w:sz w:val="24"/>
                <w:highlight w:val="none"/>
              </w:rPr>
            </w:pPr>
          </w:p>
        </w:tc>
      </w:tr>
    </w:tbl>
    <w:p>
      <w:pPr>
        <w:ind w:firstLine="432" w:firstLineChars="180"/>
        <w:rPr>
          <w:rFonts w:ascii="宋体" w:hAnsi="宋体"/>
          <w:color w:val="auto"/>
          <w:kern w:val="56"/>
          <w:sz w:val="24"/>
          <w:highlight w:val="none"/>
        </w:rPr>
      </w:pPr>
      <w:r>
        <w:rPr>
          <w:rFonts w:hint="eastAsia" w:ascii="宋体" w:hAnsi="宋体"/>
          <w:color w:val="auto"/>
          <w:kern w:val="56"/>
          <w:sz w:val="24"/>
          <w:highlight w:val="none"/>
        </w:rPr>
        <w:t>附：中标（成交）通知书或合同复印件并加盖单位公章。</w:t>
      </w:r>
    </w:p>
    <w:p>
      <w:pPr>
        <w:ind w:firstLine="432" w:firstLineChars="180"/>
        <w:rPr>
          <w:rFonts w:ascii="宋体" w:hAnsi="宋体"/>
          <w:color w:val="auto"/>
          <w:kern w:val="56"/>
          <w:sz w:val="24"/>
          <w:highlight w:val="none"/>
        </w:rPr>
      </w:pPr>
    </w:p>
    <w:p>
      <w:pPr>
        <w:spacing w:line="440" w:lineRule="exact"/>
        <w:ind w:firstLine="298" w:firstLineChars="142"/>
        <w:rPr>
          <w:rFonts w:ascii="宋体" w:hAnsi="宋体"/>
          <w:color w:val="auto"/>
          <w:highlight w:val="none"/>
        </w:rPr>
      </w:pPr>
    </w:p>
    <w:p>
      <w:pPr>
        <w:pageBreakBefore w:val="0"/>
        <w:widowControl w:val="0"/>
        <w:kinsoku/>
        <w:wordWrap/>
        <w:overflowPunct/>
        <w:topLinePunct w:val="0"/>
        <w:autoSpaceDE/>
        <w:autoSpaceDN/>
        <w:bidi w:val="0"/>
        <w:adjustRightInd/>
        <w:snapToGrid/>
        <w:spacing w:line="600" w:lineRule="exact"/>
        <w:ind w:firstLine="3373" w:firstLineChars="1600"/>
        <w:textAlignment w:val="auto"/>
        <w:rPr>
          <w:rFonts w:hAnsi="宋体"/>
          <w:b/>
          <w:color w:val="auto"/>
          <w:sz w:val="21"/>
          <w:szCs w:val="21"/>
          <w:highlight w:val="none"/>
        </w:rPr>
      </w:pPr>
    </w:p>
    <w:p>
      <w:pPr>
        <w:pStyle w:val="12"/>
        <w:spacing w:line="520" w:lineRule="exact"/>
        <w:jc w:val="both"/>
        <w:outlineLvl w:val="2"/>
        <w:rPr>
          <w:rFonts w:hAnsi="宋体"/>
          <w:b/>
          <w:color w:val="auto"/>
          <w:sz w:val="36"/>
          <w:szCs w:val="36"/>
          <w:highlight w:val="none"/>
        </w:rPr>
      </w:pPr>
    </w:p>
    <w:p>
      <w:pPr>
        <w:pStyle w:val="12"/>
        <w:spacing w:line="440" w:lineRule="exact"/>
        <w:jc w:val="center"/>
        <w:outlineLvl w:val="2"/>
        <w:rPr>
          <w:rFonts w:hAnsi="宋体"/>
          <w:b/>
          <w:color w:val="auto"/>
          <w:sz w:val="36"/>
          <w:szCs w:val="36"/>
          <w:highlight w:val="none"/>
        </w:rPr>
      </w:pPr>
    </w:p>
    <w:p>
      <w:pPr>
        <w:pStyle w:val="12"/>
        <w:spacing w:line="440" w:lineRule="exact"/>
        <w:jc w:val="center"/>
        <w:outlineLvl w:val="2"/>
        <w:rPr>
          <w:rFonts w:hAnsi="宋体"/>
          <w:b/>
          <w:color w:val="auto"/>
          <w:sz w:val="36"/>
          <w:szCs w:val="36"/>
          <w:highlight w:val="none"/>
        </w:rPr>
      </w:pPr>
    </w:p>
    <w:p>
      <w:pPr>
        <w:pStyle w:val="12"/>
        <w:spacing w:line="440" w:lineRule="exact"/>
        <w:jc w:val="center"/>
        <w:outlineLvl w:val="2"/>
        <w:rPr>
          <w:rFonts w:hAnsi="宋体"/>
          <w:b/>
          <w:color w:val="auto"/>
          <w:sz w:val="36"/>
          <w:szCs w:val="36"/>
          <w:highlight w:val="none"/>
        </w:rPr>
      </w:pPr>
    </w:p>
    <w:p>
      <w:pPr>
        <w:ind w:firstLine="651" w:firstLineChars="180"/>
        <w:rPr>
          <w:rFonts w:hint="eastAsia" w:hAnsi="宋体"/>
          <w:b/>
          <w:color w:val="auto"/>
          <w:sz w:val="36"/>
          <w:szCs w:val="36"/>
          <w:highlight w:val="none"/>
        </w:rPr>
      </w:pPr>
      <w:r>
        <w:rPr>
          <w:rFonts w:hint="eastAsia" w:hAnsi="宋体"/>
          <w:b/>
          <w:color w:val="auto"/>
          <w:sz w:val="36"/>
          <w:szCs w:val="36"/>
          <w:highlight w:val="none"/>
        </w:rPr>
        <w:t xml:space="preserve"> </w:t>
      </w:r>
    </w:p>
    <w:p>
      <w:pPr>
        <w:ind w:firstLine="651" w:firstLineChars="180"/>
        <w:rPr>
          <w:rFonts w:hint="eastAsia" w:hAnsi="宋体"/>
          <w:b/>
          <w:color w:val="auto"/>
          <w:sz w:val="36"/>
          <w:szCs w:val="36"/>
          <w:highlight w:val="none"/>
        </w:rPr>
      </w:pPr>
    </w:p>
    <w:p>
      <w:pPr>
        <w:ind w:firstLine="651" w:firstLineChars="180"/>
        <w:rPr>
          <w:rFonts w:hint="eastAsia" w:hAnsi="宋体"/>
          <w:b/>
          <w:color w:val="auto"/>
          <w:sz w:val="36"/>
          <w:szCs w:val="36"/>
          <w:highlight w:val="none"/>
        </w:rPr>
      </w:pPr>
    </w:p>
    <w:p>
      <w:pPr>
        <w:ind w:firstLine="651" w:firstLineChars="180"/>
        <w:rPr>
          <w:rFonts w:hAnsi="宋体"/>
          <w:b/>
          <w:color w:val="auto"/>
          <w:sz w:val="36"/>
          <w:szCs w:val="36"/>
          <w:highlight w:val="none"/>
        </w:rPr>
      </w:pPr>
      <w:r>
        <w:rPr>
          <w:rFonts w:hint="eastAsia" w:hAnsi="宋体"/>
          <w:b/>
          <w:color w:val="auto"/>
          <w:sz w:val="36"/>
          <w:szCs w:val="36"/>
          <w:highlight w:val="none"/>
          <w:lang w:eastAsia="zh-CN"/>
        </w:rPr>
        <w:t>八</w:t>
      </w:r>
      <w:r>
        <w:rPr>
          <w:rFonts w:hint="eastAsia" w:hAnsi="宋体"/>
          <w:b/>
          <w:color w:val="auto"/>
          <w:sz w:val="36"/>
          <w:szCs w:val="36"/>
          <w:highlight w:val="none"/>
        </w:rPr>
        <w:t>、按竞争性磋商条件书规定提交的其他资料</w:t>
      </w:r>
    </w:p>
    <w:p>
      <w:pPr>
        <w:spacing w:line="420" w:lineRule="exact"/>
        <w:ind w:firstLine="565" w:firstLineChars="250"/>
        <w:jc w:val="center"/>
        <w:rPr>
          <w:rFonts w:ascii="宋体" w:hAnsi="宋体"/>
          <w:color w:val="auto"/>
          <w:spacing w:val="8"/>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3811" w:firstLineChars="730"/>
        <w:rPr>
          <w:rFonts w:ascii="宋体" w:hAnsi="宋体"/>
          <w:b/>
          <w:color w:val="auto"/>
          <w:kern w:val="56"/>
          <w:sz w:val="52"/>
          <w:szCs w:val="52"/>
          <w:highlight w:val="none"/>
        </w:rPr>
      </w:pPr>
    </w:p>
    <w:bookmarkEnd w:id="582"/>
    <w:p>
      <w:pPr>
        <w:pStyle w:val="12"/>
        <w:spacing w:line="440" w:lineRule="exact"/>
        <w:jc w:val="both"/>
        <w:outlineLvl w:val="2"/>
        <w:rPr>
          <w:rFonts w:hint="eastAsia" w:hAnsi="宋体"/>
          <w:b/>
          <w:color w:val="auto"/>
          <w:sz w:val="36"/>
          <w:szCs w:val="36"/>
          <w:highlight w:val="none"/>
        </w:rPr>
      </w:pPr>
    </w:p>
    <w:p>
      <w:pPr>
        <w:ind w:firstLine="2638" w:firstLineChars="730"/>
        <w:rPr>
          <w:rFonts w:ascii="宋体" w:hAnsi="宋体"/>
          <w:b/>
          <w:color w:val="auto"/>
          <w:kern w:val="56"/>
          <w:sz w:val="52"/>
          <w:szCs w:val="52"/>
          <w:highlight w:val="none"/>
        </w:rPr>
      </w:pPr>
      <w:r>
        <w:rPr>
          <w:rFonts w:hint="eastAsia" w:hAnsi="宋体"/>
          <w:b/>
          <w:color w:val="auto"/>
          <w:sz w:val="36"/>
          <w:szCs w:val="36"/>
          <w:highlight w:val="none"/>
        </w:rPr>
        <w:br w:type="page"/>
      </w:r>
      <w:r>
        <w:rPr>
          <w:rFonts w:hint="eastAsia" w:hAnsi="宋体"/>
          <w:b/>
          <w:color w:val="auto"/>
          <w:sz w:val="36"/>
          <w:szCs w:val="36"/>
          <w:highlight w:val="none"/>
          <w:lang w:val="en-US" w:eastAsia="zh-CN"/>
        </w:rPr>
        <w:t xml:space="preserve">   </w:t>
      </w:r>
      <w:r>
        <w:rPr>
          <w:rFonts w:hint="eastAsia" w:ascii="宋体" w:hAnsi="宋体"/>
          <w:b/>
          <w:color w:val="auto"/>
          <w:kern w:val="56"/>
          <w:sz w:val="52"/>
          <w:szCs w:val="52"/>
          <w:highlight w:val="none"/>
        </w:rPr>
        <w:t>商务部分</w:t>
      </w:r>
    </w:p>
    <w:p>
      <w:pPr>
        <w:pStyle w:val="12"/>
        <w:spacing w:line="440" w:lineRule="exact"/>
        <w:jc w:val="center"/>
        <w:outlineLvl w:val="2"/>
        <w:rPr>
          <w:rFonts w:hAnsi="宋体"/>
          <w:b/>
          <w:color w:val="auto"/>
          <w:sz w:val="36"/>
          <w:szCs w:val="36"/>
          <w:highlight w:val="none"/>
        </w:rPr>
      </w:pPr>
    </w:p>
    <w:p>
      <w:pPr>
        <w:pStyle w:val="12"/>
        <w:spacing w:line="440" w:lineRule="exact"/>
        <w:jc w:val="center"/>
        <w:outlineLvl w:val="2"/>
        <w:rPr>
          <w:rFonts w:hAnsi="宋体"/>
          <w:b/>
          <w:color w:val="auto"/>
          <w:kern w:val="56"/>
          <w:sz w:val="36"/>
          <w:highlight w:val="none"/>
        </w:rPr>
      </w:pPr>
      <w:bookmarkStart w:id="593" w:name="_Toc6048"/>
      <w:r>
        <w:rPr>
          <w:rFonts w:hint="eastAsia" w:hAnsi="宋体"/>
          <w:b/>
          <w:color w:val="auto"/>
          <w:sz w:val="36"/>
          <w:szCs w:val="36"/>
          <w:highlight w:val="none"/>
        </w:rPr>
        <w:t>一、磋商函</w:t>
      </w:r>
      <w:bookmarkEnd w:id="593"/>
    </w:p>
    <w:p>
      <w:pPr>
        <w:ind w:firstLine="432" w:firstLineChars="180"/>
        <w:rPr>
          <w:rFonts w:ascii="宋体" w:hAnsi="宋体"/>
          <w:color w:val="auto"/>
          <w:kern w:val="56"/>
          <w:sz w:val="24"/>
          <w:highlight w:val="none"/>
        </w:rPr>
      </w:pP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致：（采购代理机构名称）：</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1.我方已仔细研究了竞争性磋商文件的全部内容，愿意以</w:t>
      </w:r>
      <w:r>
        <w:rPr>
          <w:rFonts w:hint="eastAsia" w:ascii="宋体" w:hAnsi="宋体"/>
          <w:color w:val="auto"/>
          <w:kern w:val="56"/>
          <w:sz w:val="24"/>
          <w:highlight w:val="none"/>
          <w:u w:val="single"/>
        </w:rPr>
        <w:t>人民币(大写)</w:t>
      </w:r>
      <w:r>
        <w:rPr>
          <w:rFonts w:ascii="宋体" w:hAnsi="宋体"/>
          <w:color w:val="auto"/>
          <w:kern w:val="56"/>
          <w:sz w:val="24"/>
          <w:highlight w:val="none"/>
          <w:u w:val="single"/>
        </w:rPr>
        <w:t xml:space="preserve">    </w:t>
      </w:r>
      <w:r>
        <w:rPr>
          <w:rFonts w:hint="eastAsia" w:ascii="宋体" w:hAnsi="宋体"/>
          <w:color w:val="auto"/>
          <w:kern w:val="56"/>
          <w:sz w:val="24"/>
          <w:highlight w:val="none"/>
          <w:u w:val="single"/>
        </w:rPr>
        <w:t>元（¥</w:t>
      </w:r>
      <w:r>
        <w:rPr>
          <w:rFonts w:ascii="宋体" w:hAnsi="宋体"/>
          <w:color w:val="auto"/>
          <w:kern w:val="56"/>
          <w:sz w:val="24"/>
          <w:highlight w:val="none"/>
          <w:u w:val="single"/>
        </w:rPr>
        <w:t xml:space="preserve">   </w:t>
      </w:r>
      <w:r>
        <w:rPr>
          <w:rFonts w:hint="eastAsia" w:ascii="宋体" w:hAnsi="宋体"/>
          <w:color w:val="auto"/>
          <w:kern w:val="56"/>
          <w:sz w:val="24"/>
          <w:highlight w:val="none"/>
          <w:u w:val="single"/>
        </w:rPr>
        <w:t>）</w:t>
      </w:r>
      <w:r>
        <w:rPr>
          <w:rFonts w:hint="eastAsia" w:ascii="宋体" w:hAnsi="宋体"/>
          <w:color w:val="auto"/>
          <w:kern w:val="56"/>
          <w:sz w:val="24"/>
          <w:highlight w:val="none"/>
        </w:rPr>
        <w:t>的磋商总报价，工期</w:t>
      </w:r>
      <w:r>
        <w:rPr>
          <w:rFonts w:hint="eastAsia" w:ascii="宋体" w:hAnsi="宋体"/>
          <w:color w:val="auto"/>
          <w:kern w:val="56"/>
          <w:sz w:val="24"/>
          <w:highlight w:val="none"/>
          <w:u w:val="single"/>
        </w:rPr>
        <w:t xml:space="preserve">  </w:t>
      </w:r>
      <w:r>
        <w:rPr>
          <w:rFonts w:ascii="宋体" w:hAnsi="宋体"/>
          <w:color w:val="auto"/>
          <w:kern w:val="56"/>
          <w:sz w:val="24"/>
          <w:highlight w:val="none"/>
          <w:u w:val="single"/>
        </w:rPr>
        <w:t xml:space="preserve">     </w:t>
      </w:r>
      <w:r>
        <w:rPr>
          <w:rFonts w:hint="eastAsia" w:ascii="宋体" w:hAnsi="宋体"/>
          <w:color w:val="auto"/>
          <w:kern w:val="56"/>
          <w:sz w:val="24"/>
          <w:highlight w:val="none"/>
        </w:rPr>
        <w:t>日历天，按图纸、工程建设标准、合同约定实施和完成承包</w:t>
      </w:r>
      <w:r>
        <w:rPr>
          <w:rFonts w:hint="eastAsia" w:ascii="宋体" w:hAnsi="宋体"/>
          <w:color w:val="auto"/>
          <w:kern w:val="56"/>
          <w:sz w:val="24"/>
          <w:highlight w:val="none"/>
          <w:u w:val="single"/>
        </w:rPr>
        <w:t>（                        （工程名称）</w:t>
      </w:r>
      <w:r>
        <w:rPr>
          <w:rFonts w:hint="eastAsia" w:ascii="宋体" w:hAnsi="宋体"/>
          <w:color w:val="auto"/>
          <w:kern w:val="56"/>
          <w:sz w:val="24"/>
          <w:highlight w:val="none"/>
        </w:rPr>
        <w:t>，修补该工程中任何缺陷，工程质量</w:t>
      </w:r>
      <w:r>
        <w:rPr>
          <w:rFonts w:hint="eastAsia" w:ascii="宋体" w:hAnsi="宋体"/>
          <w:color w:val="auto"/>
          <w:kern w:val="56"/>
          <w:sz w:val="24"/>
          <w:highlight w:val="none"/>
          <w:u w:val="none"/>
        </w:rPr>
        <w:t>达到</w:t>
      </w:r>
      <w:r>
        <w:rPr>
          <w:rFonts w:hint="eastAsia" w:ascii="宋体" w:hAnsi="宋体"/>
          <w:color w:val="auto"/>
          <w:kern w:val="56"/>
          <w:sz w:val="24"/>
          <w:highlight w:val="none"/>
          <w:u w:val="single"/>
          <w:lang w:val="en-US" w:eastAsia="zh-CN"/>
        </w:rPr>
        <w:t xml:space="preserve">      </w:t>
      </w:r>
      <w:r>
        <w:rPr>
          <w:rFonts w:hint="eastAsia" w:ascii="宋体" w:hAnsi="宋体"/>
          <w:color w:val="auto"/>
          <w:kern w:val="56"/>
          <w:sz w:val="24"/>
          <w:highlight w:val="none"/>
        </w:rPr>
        <w:t>。</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2.我方承诺在磋商有效期内不修改、撤销磋商文件。</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3.如我方成交：</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（1）我方承诺在收到成交通知书后，在成交通知书规定的期限内与你方签订合同。</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（2）随同本磋商函递交的磋商函附录属于合同文件的组成部分</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（3）我方承诺在合同约定的期限内完成并移交全部合同工程。</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4.我方在此声明，所递交磋商文件及有关资料内容完整、真实和准确，且不存在与本采购项目的各方主体有任何利害关系。</w:t>
      </w:r>
    </w:p>
    <w:p>
      <w:pPr>
        <w:spacing w:line="360" w:lineRule="auto"/>
        <w:ind w:firstLine="432" w:firstLineChars="180"/>
        <w:rPr>
          <w:rFonts w:ascii="宋体" w:hAnsi="宋体"/>
          <w:color w:val="auto"/>
          <w:kern w:val="56"/>
          <w:sz w:val="24"/>
          <w:highlight w:val="none"/>
        </w:rPr>
      </w:pP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磋商人：                    （盖章）     　　　 单 位 地 址：</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 xml:space="preserve">法定代表人或其委托代理人：   （签字） </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邮 政 编 码：              电 话：　　　　　　传真：</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 xml:space="preserve">开户行名称 ：              </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 xml:space="preserve">银 行 帐 号：              </w:t>
      </w: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 xml:space="preserve">开户行地址 ：              </w:t>
      </w:r>
    </w:p>
    <w:p>
      <w:pPr>
        <w:spacing w:line="360" w:lineRule="auto"/>
        <w:ind w:firstLine="432" w:firstLineChars="180"/>
        <w:rPr>
          <w:rFonts w:ascii="宋体" w:hAnsi="宋体"/>
          <w:color w:val="auto"/>
          <w:kern w:val="56"/>
          <w:sz w:val="24"/>
          <w:highlight w:val="none"/>
        </w:rPr>
      </w:pPr>
    </w:p>
    <w:p>
      <w:pPr>
        <w:spacing w:line="360" w:lineRule="auto"/>
        <w:ind w:firstLine="432" w:firstLineChars="180"/>
        <w:rPr>
          <w:rFonts w:ascii="宋体" w:hAnsi="宋体"/>
          <w:color w:val="auto"/>
          <w:kern w:val="56"/>
          <w:sz w:val="24"/>
          <w:highlight w:val="none"/>
        </w:rPr>
      </w:pPr>
      <w:r>
        <w:rPr>
          <w:rFonts w:hint="eastAsia" w:ascii="宋体" w:hAnsi="宋体"/>
          <w:color w:val="auto"/>
          <w:kern w:val="56"/>
          <w:sz w:val="24"/>
          <w:highlight w:val="none"/>
        </w:rPr>
        <w:t xml:space="preserve">日   期 ：   </w:t>
      </w:r>
      <w:bookmarkStart w:id="594" w:name="_Hlt76275027"/>
      <w:bookmarkEnd w:id="594"/>
      <w:r>
        <w:rPr>
          <w:rFonts w:hint="eastAsia" w:ascii="宋体" w:hAnsi="宋体"/>
          <w:color w:val="auto"/>
          <w:kern w:val="56"/>
          <w:sz w:val="24"/>
          <w:highlight w:val="none"/>
        </w:rPr>
        <w:t xml:space="preserve">  年    月    日</w:t>
      </w:r>
    </w:p>
    <w:p>
      <w:pPr>
        <w:pStyle w:val="12"/>
        <w:spacing w:line="440" w:lineRule="exact"/>
        <w:jc w:val="center"/>
        <w:outlineLvl w:val="2"/>
        <w:rPr>
          <w:rFonts w:hAnsi="宋体"/>
          <w:b/>
          <w:color w:val="auto"/>
          <w:sz w:val="36"/>
          <w:szCs w:val="36"/>
          <w:highlight w:val="none"/>
        </w:rPr>
      </w:pPr>
      <w:r>
        <w:rPr>
          <w:rFonts w:hint="eastAsia" w:hAnsi="宋体"/>
          <w:color w:val="auto"/>
          <w:kern w:val="56"/>
          <w:sz w:val="24"/>
          <w:highlight w:val="none"/>
        </w:rPr>
        <w:br w:type="page"/>
      </w:r>
    </w:p>
    <w:p>
      <w:pPr>
        <w:pStyle w:val="12"/>
        <w:spacing w:line="440" w:lineRule="exact"/>
        <w:jc w:val="center"/>
        <w:outlineLvl w:val="2"/>
        <w:rPr>
          <w:rFonts w:hAnsi="宋体"/>
          <w:color w:val="auto"/>
          <w:kern w:val="56"/>
          <w:sz w:val="24"/>
          <w:highlight w:val="none"/>
        </w:rPr>
      </w:pPr>
      <w:bookmarkStart w:id="595" w:name="_Toc877"/>
      <w:r>
        <w:rPr>
          <w:rFonts w:hint="eastAsia" w:hAnsi="宋体"/>
          <w:b/>
          <w:color w:val="auto"/>
          <w:sz w:val="36"/>
          <w:szCs w:val="36"/>
          <w:highlight w:val="none"/>
        </w:rPr>
        <w:t>二、磋商函附录</w:t>
      </w:r>
      <w:bookmarkEnd w:id="595"/>
    </w:p>
    <w:p>
      <w:pPr>
        <w:ind w:firstLine="432" w:firstLineChars="180"/>
        <w:jc w:val="center"/>
        <w:rPr>
          <w:rFonts w:ascii="宋体" w:hAnsi="宋体"/>
          <w:color w:val="auto"/>
          <w:kern w:val="56"/>
          <w:sz w:val="24"/>
          <w:highlight w:val="none"/>
        </w:rPr>
      </w:pPr>
    </w:p>
    <w:tbl>
      <w:tblPr>
        <w:tblStyle w:val="21"/>
        <w:tblW w:w="956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2910"/>
        <w:gridCol w:w="1725"/>
        <w:gridCol w:w="40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序号</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项 目 内 容</w:t>
            </w:r>
          </w:p>
        </w:tc>
        <w:tc>
          <w:tcPr>
            <w:tcW w:w="1725" w:type="dxa"/>
            <w:tcBorders>
              <w:top w:val="single" w:color="auto" w:sz="4"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专用条款号</w:t>
            </w: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1</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项目负责人（建造师）</w:t>
            </w:r>
          </w:p>
        </w:tc>
        <w:tc>
          <w:tcPr>
            <w:tcW w:w="1725"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2</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安全员</w:t>
            </w:r>
          </w:p>
        </w:tc>
        <w:tc>
          <w:tcPr>
            <w:tcW w:w="1725" w:type="dxa"/>
            <w:tcBorders>
              <w:top w:val="single" w:color="auto" w:sz="6" w:space="0"/>
              <w:left w:val="single" w:color="auto" w:sz="6" w:space="0"/>
              <w:bottom w:val="single" w:color="auto" w:sz="6" w:space="0"/>
              <w:right w:val="single" w:color="auto" w:sz="6" w:space="0"/>
            </w:tcBorders>
            <w:vAlign w:val="center"/>
          </w:tcPr>
          <w:p>
            <w:pPr>
              <w:ind w:firstLine="432" w:firstLineChars="180"/>
              <w:jc w:val="center"/>
              <w:rPr>
                <w:rFonts w:ascii="宋体" w:hAnsi="宋体"/>
                <w:color w:val="auto"/>
                <w:kern w:val="56"/>
                <w:sz w:val="24"/>
                <w:highlight w:val="none"/>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exact"/>
        </w:trPr>
        <w:tc>
          <w:tcPr>
            <w:tcW w:w="843" w:type="dxa"/>
            <w:tcBorders>
              <w:top w:val="single" w:color="auto" w:sz="6" w:space="0"/>
              <w:left w:val="single" w:color="auto" w:sz="4" w:space="0"/>
              <w:bottom w:val="single" w:color="auto" w:sz="4"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3</w:t>
            </w:r>
          </w:p>
        </w:tc>
        <w:tc>
          <w:tcPr>
            <w:tcW w:w="2910" w:type="dxa"/>
            <w:tcBorders>
              <w:top w:val="single" w:color="auto" w:sz="6" w:space="0"/>
              <w:left w:val="single" w:color="auto" w:sz="6" w:space="0"/>
              <w:bottom w:val="single" w:color="auto" w:sz="4" w:space="0"/>
              <w:right w:val="single" w:color="auto" w:sz="6" w:space="0"/>
            </w:tcBorders>
            <w:vAlign w:val="center"/>
          </w:tcPr>
          <w:p>
            <w:pPr>
              <w:rPr>
                <w:rFonts w:ascii="宋体" w:hAnsi="宋体"/>
                <w:color w:val="auto"/>
                <w:sz w:val="24"/>
                <w:highlight w:val="none"/>
              </w:rPr>
            </w:pPr>
            <w:r>
              <w:rPr>
                <w:rFonts w:hint="eastAsia" w:ascii="宋体" w:hAnsi="宋体"/>
                <w:color w:val="auto"/>
                <w:kern w:val="56"/>
                <w:sz w:val="24"/>
                <w:highlight w:val="none"/>
              </w:rPr>
              <w:t>质量保证金</w:t>
            </w:r>
          </w:p>
        </w:tc>
        <w:tc>
          <w:tcPr>
            <w:tcW w:w="1725" w:type="dxa"/>
            <w:tcBorders>
              <w:top w:val="single" w:color="auto" w:sz="6" w:space="0"/>
              <w:left w:val="single" w:color="auto" w:sz="6" w:space="0"/>
              <w:bottom w:val="single" w:color="auto" w:sz="4" w:space="0"/>
              <w:right w:val="single" w:color="auto" w:sz="6" w:space="0"/>
            </w:tcBorders>
            <w:vAlign w:val="center"/>
          </w:tcPr>
          <w:p>
            <w:pPr>
              <w:rPr>
                <w:rFonts w:ascii="宋体" w:hAnsi="宋体"/>
                <w:color w:val="auto"/>
                <w:sz w:val="24"/>
                <w:highlight w:val="none"/>
              </w:rPr>
            </w:pPr>
          </w:p>
        </w:tc>
        <w:tc>
          <w:tcPr>
            <w:tcW w:w="4088" w:type="dxa"/>
            <w:tcBorders>
              <w:top w:val="single" w:color="auto" w:sz="6" w:space="0"/>
              <w:left w:val="single" w:color="auto" w:sz="6"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结算价的</w:t>
            </w:r>
            <w:r>
              <w:rPr>
                <w:rFonts w:hint="eastAsia" w:ascii="宋体" w:hAnsi="宋体"/>
                <w:color w:val="auto"/>
                <w:sz w:val="24"/>
                <w:highlight w:val="none"/>
                <w:u w:val="single"/>
              </w:rPr>
              <w:t>　3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4</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工期</w:t>
            </w:r>
          </w:p>
        </w:tc>
        <w:tc>
          <w:tcPr>
            <w:tcW w:w="1725" w:type="dxa"/>
            <w:tcBorders>
              <w:top w:val="single" w:color="auto" w:sz="4" w:space="0"/>
              <w:left w:val="single" w:color="auto" w:sz="6" w:space="0"/>
              <w:bottom w:val="single" w:color="auto" w:sz="6" w:space="0"/>
              <w:right w:val="single" w:color="auto" w:sz="6" w:space="0"/>
            </w:tcBorders>
            <w:vAlign w:val="center"/>
          </w:tcPr>
          <w:p>
            <w:pPr>
              <w:ind w:firstLine="432" w:firstLineChars="180"/>
              <w:jc w:val="center"/>
              <w:rPr>
                <w:rFonts w:ascii="宋体" w:hAnsi="宋体"/>
                <w:color w:val="auto"/>
                <w:kern w:val="56"/>
                <w:sz w:val="24"/>
                <w:highlight w:val="none"/>
              </w:rPr>
            </w:pP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天数：</w:t>
            </w:r>
            <w:r>
              <w:rPr>
                <w:rFonts w:hint="eastAsia" w:ascii="宋体" w:hAnsi="宋体"/>
                <w:color w:val="auto"/>
                <w:kern w:val="56"/>
                <w:sz w:val="24"/>
                <w:highlight w:val="none"/>
                <w:u w:val="single"/>
              </w:rPr>
              <w:t xml:space="preserve">   </w:t>
            </w:r>
            <w:r>
              <w:rPr>
                <w:rFonts w:ascii="宋体" w:hAnsi="宋体"/>
                <w:color w:val="auto"/>
                <w:kern w:val="56"/>
                <w:sz w:val="24"/>
                <w:highlight w:val="none"/>
                <w:u w:val="single"/>
              </w:rPr>
              <w:t xml:space="preserve">   </w:t>
            </w:r>
            <w:r>
              <w:rPr>
                <w:rFonts w:hint="eastAsia" w:ascii="宋体" w:hAnsi="宋体"/>
                <w:color w:val="auto"/>
                <w:kern w:val="56"/>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5</w:t>
            </w:r>
          </w:p>
        </w:tc>
        <w:tc>
          <w:tcPr>
            <w:tcW w:w="2910" w:type="dxa"/>
            <w:tcBorders>
              <w:top w:val="single" w:color="auto" w:sz="6" w:space="0"/>
              <w:left w:val="single" w:color="auto" w:sz="4"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工程质量</w:t>
            </w:r>
          </w:p>
        </w:tc>
        <w:tc>
          <w:tcPr>
            <w:tcW w:w="1725" w:type="dxa"/>
            <w:tcBorders>
              <w:top w:val="single" w:color="auto" w:sz="6" w:space="0"/>
              <w:left w:val="single" w:color="auto" w:sz="4" w:space="0"/>
              <w:bottom w:val="single" w:color="auto" w:sz="6" w:space="0"/>
              <w:right w:val="single" w:color="auto" w:sz="4" w:space="0"/>
            </w:tcBorders>
            <w:vAlign w:val="center"/>
          </w:tcPr>
          <w:p>
            <w:pPr>
              <w:ind w:firstLine="432" w:firstLineChars="180"/>
              <w:jc w:val="center"/>
              <w:rPr>
                <w:rFonts w:ascii="宋体" w:hAnsi="宋体"/>
                <w:color w:val="auto"/>
                <w:kern w:val="56"/>
                <w:sz w:val="24"/>
                <w:highlight w:val="none"/>
              </w:rPr>
            </w:pPr>
          </w:p>
        </w:tc>
        <w:tc>
          <w:tcPr>
            <w:tcW w:w="4088" w:type="dxa"/>
            <w:tcBorders>
              <w:top w:val="single" w:color="auto" w:sz="6" w:space="0"/>
              <w:left w:val="single" w:color="auto" w:sz="4" w:space="0"/>
              <w:bottom w:val="single" w:color="auto" w:sz="6"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达到国家施工验收规范合格标准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43" w:type="dxa"/>
            <w:tcBorders>
              <w:top w:val="single" w:color="auto" w:sz="4" w:space="0"/>
              <w:left w:val="single" w:color="auto" w:sz="4" w:space="0"/>
              <w:bottom w:val="single" w:color="auto" w:sz="4" w:space="0"/>
              <w:right w:val="single" w:color="auto" w:sz="6" w:space="0"/>
            </w:tcBorders>
            <w:vAlign w:val="center"/>
          </w:tcPr>
          <w:p>
            <w:pPr>
              <w:ind w:firstLine="432" w:firstLineChars="180"/>
              <w:rPr>
                <w:rFonts w:ascii="宋体" w:hAnsi="宋体"/>
                <w:color w:val="auto"/>
                <w:kern w:val="56"/>
                <w:sz w:val="24"/>
                <w:highlight w:val="none"/>
              </w:rPr>
            </w:pPr>
          </w:p>
        </w:tc>
        <w:tc>
          <w:tcPr>
            <w:tcW w:w="2910" w:type="dxa"/>
            <w:tcBorders>
              <w:top w:val="single" w:color="auto" w:sz="4" w:space="0"/>
              <w:left w:val="single" w:color="auto" w:sz="6" w:space="0"/>
              <w:bottom w:val="single" w:color="auto" w:sz="4" w:space="0"/>
              <w:right w:val="single" w:color="auto" w:sz="6"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备注</w:t>
            </w:r>
          </w:p>
        </w:tc>
        <w:tc>
          <w:tcPr>
            <w:tcW w:w="1725" w:type="dxa"/>
            <w:tcBorders>
              <w:top w:val="single" w:color="auto" w:sz="4" w:space="0"/>
              <w:left w:val="single" w:color="auto" w:sz="6" w:space="0"/>
              <w:bottom w:val="single" w:color="auto" w:sz="4" w:space="0"/>
              <w:right w:val="single" w:color="auto" w:sz="6" w:space="0"/>
            </w:tcBorders>
          </w:tcPr>
          <w:p>
            <w:pPr>
              <w:ind w:firstLine="432" w:firstLineChars="180"/>
              <w:rPr>
                <w:rFonts w:ascii="宋体" w:hAnsi="宋体"/>
                <w:color w:val="auto"/>
                <w:kern w:val="56"/>
                <w:sz w:val="24"/>
                <w:highlight w:val="none"/>
              </w:rPr>
            </w:pPr>
          </w:p>
        </w:tc>
        <w:tc>
          <w:tcPr>
            <w:tcW w:w="4088" w:type="dxa"/>
            <w:tcBorders>
              <w:top w:val="single" w:color="auto" w:sz="4" w:space="0"/>
              <w:left w:val="single" w:color="auto" w:sz="6" w:space="0"/>
              <w:bottom w:val="single" w:color="auto" w:sz="4" w:space="0"/>
              <w:right w:val="single" w:color="auto" w:sz="4" w:space="0"/>
            </w:tcBorders>
          </w:tcPr>
          <w:p>
            <w:pPr>
              <w:ind w:firstLine="432" w:firstLineChars="180"/>
              <w:rPr>
                <w:rFonts w:ascii="宋体" w:hAnsi="宋体"/>
                <w:color w:val="auto"/>
                <w:kern w:val="56"/>
                <w:sz w:val="24"/>
                <w:highlight w:val="none"/>
              </w:rPr>
            </w:pPr>
          </w:p>
        </w:tc>
      </w:tr>
    </w:tbl>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rPr>
        <w:t>竞  标  人：</w:t>
      </w:r>
      <w:r>
        <w:rPr>
          <w:rFonts w:hint="eastAsia" w:ascii="宋体" w:hAnsi="宋体"/>
          <w:color w:val="auto"/>
          <w:kern w:val="56"/>
          <w:sz w:val="24"/>
          <w:highlight w:val="none"/>
        </w:rPr>
        <w:tab/>
      </w:r>
      <w:r>
        <w:rPr>
          <w:rFonts w:hint="eastAsia" w:ascii="宋体" w:hAnsi="宋体"/>
          <w:color w:val="auto"/>
          <w:kern w:val="56"/>
          <w:sz w:val="24"/>
          <w:highlight w:val="none"/>
        </w:rPr>
        <w:t xml:space="preserve">        （盖章）</w:t>
      </w: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rPr>
        <w:t>法定代表人或其委托代理人：      （签字或盖章）</w:t>
      </w:r>
    </w:p>
    <w:p>
      <w:pPr>
        <w:ind w:firstLine="432" w:firstLineChars="180"/>
        <w:rPr>
          <w:rFonts w:ascii="宋体" w:hAnsi="宋体"/>
          <w:color w:val="auto"/>
          <w:kern w:val="56"/>
          <w:sz w:val="24"/>
          <w:highlight w:val="none"/>
        </w:rPr>
      </w:pPr>
    </w:p>
    <w:p>
      <w:pPr>
        <w:ind w:firstLine="432" w:firstLineChars="180"/>
        <w:jc w:val="both"/>
        <w:rPr>
          <w:rFonts w:ascii="宋体" w:hAnsi="宋体"/>
          <w:color w:val="auto"/>
          <w:kern w:val="56"/>
          <w:sz w:val="24"/>
          <w:highlight w:val="none"/>
        </w:rPr>
      </w:pPr>
      <w:r>
        <w:rPr>
          <w:rFonts w:hint="eastAsia" w:ascii="宋体" w:hAnsi="宋体"/>
          <w:color w:val="auto"/>
          <w:kern w:val="56"/>
          <w:sz w:val="24"/>
          <w:highlight w:val="none"/>
        </w:rPr>
        <w:t>日 期：      年    月    日</w:t>
      </w:r>
    </w:p>
    <w:p>
      <w:pPr>
        <w:pStyle w:val="12"/>
        <w:spacing w:line="440" w:lineRule="exact"/>
        <w:jc w:val="center"/>
        <w:outlineLvl w:val="2"/>
        <w:rPr>
          <w:rFonts w:hAnsi="宋体"/>
          <w:color w:val="auto"/>
          <w:kern w:val="56"/>
          <w:sz w:val="24"/>
          <w:highlight w:val="none"/>
        </w:rPr>
      </w:pPr>
      <w:r>
        <w:rPr>
          <w:rFonts w:hint="eastAsia" w:hAnsi="宋体"/>
          <w:color w:val="auto"/>
          <w:kern w:val="56"/>
          <w:sz w:val="24"/>
          <w:highlight w:val="none"/>
        </w:rPr>
        <w:br w:type="page"/>
      </w:r>
      <w:bookmarkStart w:id="596" w:name="_Toc300661862"/>
      <w:bookmarkStart w:id="597" w:name="_Toc21293"/>
      <w:bookmarkStart w:id="598" w:name="_Toc293903931"/>
      <w:r>
        <w:rPr>
          <w:rFonts w:hint="eastAsia" w:hAnsi="宋体"/>
          <w:b/>
          <w:color w:val="auto"/>
          <w:sz w:val="36"/>
          <w:szCs w:val="36"/>
          <w:highlight w:val="none"/>
        </w:rPr>
        <w:t>三、磋商报价表</w:t>
      </w:r>
      <w:bookmarkEnd w:id="596"/>
      <w:bookmarkEnd w:id="597"/>
      <w:bookmarkEnd w:id="598"/>
    </w:p>
    <w:p>
      <w:pPr>
        <w:ind w:firstLine="432" w:firstLineChars="180"/>
        <w:rPr>
          <w:rFonts w:ascii="宋体" w:hAnsi="宋体"/>
          <w:color w:val="auto"/>
          <w:kern w:val="56"/>
          <w:sz w:val="24"/>
          <w:highlight w:val="none"/>
        </w:rPr>
      </w:pPr>
    </w:p>
    <w:p>
      <w:pPr>
        <w:ind w:left="-178" w:leftChars="-85" w:right="-512" w:rightChars="-244" w:firstLine="7770" w:firstLineChars="3700"/>
        <w:jc w:val="left"/>
        <w:rPr>
          <w:rFonts w:ascii="宋体" w:hAnsi="宋体" w:cs="宋体"/>
          <w:color w:val="auto"/>
          <w:highlight w:val="none"/>
        </w:rPr>
      </w:pPr>
      <w:r>
        <w:rPr>
          <w:rFonts w:hint="eastAsia" w:ascii="宋体" w:hAnsi="宋体" w:cs="宋体"/>
          <w:color w:val="auto"/>
          <w:highlight w:val="none"/>
        </w:rPr>
        <w:t>币种：人民币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588"/>
        <w:gridCol w:w="1287"/>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36" w:type="dxa"/>
            <w:noWrap w:val="0"/>
            <w:vAlign w:val="center"/>
          </w:tcPr>
          <w:p>
            <w:pPr>
              <w:ind w:firstLine="105" w:firstLineChars="50"/>
              <w:jc w:val="center"/>
              <w:rPr>
                <w:rFonts w:hint="eastAsia" w:ascii="宋体" w:hAnsi="宋体" w:cs="宋体-18030"/>
                <w:color w:val="auto"/>
                <w:szCs w:val="21"/>
                <w:highlight w:val="none"/>
              </w:rPr>
            </w:pPr>
            <w:r>
              <w:rPr>
                <w:rFonts w:hint="eastAsia" w:ascii="宋体" w:hAnsi="宋体" w:cs="宋体-18030"/>
                <w:color w:val="auto"/>
                <w:szCs w:val="21"/>
                <w:highlight w:val="none"/>
              </w:rPr>
              <w:t>序号</w:t>
            </w:r>
          </w:p>
        </w:tc>
        <w:tc>
          <w:tcPr>
            <w:tcW w:w="4588" w:type="dxa"/>
            <w:noWrap w:val="0"/>
            <w:vAlign w:val="center"/>
          </w:tcPr>
          <w:p>
            <w:pPr>
              <w:jc w:val="center"/>
              <w:rPr>
                <w:rFonts w:hint="eastAsia" w:ascii="宋体" w:hAnsi="宋体" w:cs="宋体-18030"/>
                <w:color w:val="auto"/>
                <w:szCs w:val="21"/>
                <w:highlight w:val="none"/>
              </w:rPr>
            </w:pPr>
            <w:r>
              <w:rPr>
                <w:rFonts w:hint="eastAsia" w:ascii="宋体" w:hAnsi="宋体" w:cs="宋体-18030"/>
                <w:color w:val="auto"/>
                <w:szCs w:val="21"/>
                <w:highlight w:val="none"/>
              </w:rPr>
              <w:t>项目内容</w:t>
            </w:r>
          </w:p>
        </w:tc>
        <w:tc>
          <w:tcPr>
            <w:tcW w:w="1287" w:type="dxa"/>
            <w:noWrap w:val="0"/>
            <w:vAlign w:val="center"/>
          </w:tcPr>
          <w:p>
            <w:pPr>
              <w:ind w:firstLine="105" w:firstLineChars="50"/>
              <w:jc w:val="center"/>
              <w:rPr>
                <w:rFonts w:hint="eastAsia" w:ascii="宋体" w:hAnsi="宋体" w:cs="宋体-18030"/>
                <w:color w:val="auto"/>
                <w:szCs w:val="21"/>
                <w:highlight w:val="none"/>
              </w:rPr>
            </w:pPr>
            <w:r>
              <w:rPr>
                <w:rFonts w:hint="eastAsia" w:ascii="宋体" w:hAnsi="宋体" w:cs="宋体-18030"/>
                <w:color w:val="auto"/>
                <w:szCs w:val="21"/>
                <w:highlight w:val="none"/>
              </w:rPr>
              <w:t>金额（元）</w:t>
            </w:r>
          </w:p>
        </w:tc>
        <w:tc>
          <w:tcPr>
            <w:tcW w:w="1968" w:type="dxa"/>
            <w:noWrap w:val="0"/>
            <w:vAlign w:val="center"/>
          </w:tcPr>
          <w:p>
            <w:pPr>
              <w:jc w:val="center"/>
              <w:rPr>
                <w:rFonts w:hint="eastAsia" w:ascii="宋体" w:hAnsi="宋体" w:cs="宋体-18030"/>
                <w:color w:val="auto"/>
                <w:szCs w:val="21"/>
                <w:highlight w:val="none"/>
              </w:rPr>
            </w:pPr>
            <w:r>
              <w:rPr>
                <w:rFonts w:hint="eastAsia" w:ascii="宋体" w:hAnsi="宋体" w:cs="宋体-18030"/>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36" w:type="dxa"/>
            <w:noWrap w:val="0"/>
            <w:vAlign w:val="center"/>
          </w:tcPr>
          <w:p>
            <w:pPr>
              <w:jc w:val="center"/>
              <w:rPr>
                <w:rFonts w:hint="eastAsia" w:ascii="宋体" w:hAnsi="宋体" w:cs="宋体-18030"/>
                <w:color w:val="auto"/>
                <w:szCs w:val="21"/>
                <w:highlight w:val="none"/>
              </w:rPr>
            </w:pPr>
          </w:p>
        </w:tc>
        <w:tc>
          <w:tcPr>
            <w:tcW w:w="4588" w:type="dxa"/>
            <w:noWrap w:val="0"/>
            <w:vAlign w:val="center"/>
          </w:tcPr>
          <w:p>
            <w:pPr>
              <w:jc w:val="center"/>
              <w:rPr>
                <w:rFonts w:hint="eastAsia" w:ascii="宋体" w:hAnsi="宋体" w:cs="宋体-18030"/>
                <w:color w:val="auto"/>
                <w:sz w:val="24"/>
                <w:highlight w:val="none"/>
              </w:rPr>
            </w:pPr>
            <w:r>
              <w:rPr>
                <w:rFonts w:hint="eastAsia" w:ascii="宋体" w:hAnsi="宋体" w:cs="宋体-18030"/>
                <w:color w:val="auto"/>
                <w:sz w:val="24"/>
                <w:highlight w:val="none"/>
              </w:rPr>
              <w:t>竞争性磋商报价</w:t>
            </w:r>
          </w:p>
        </w:tc>
        <w:tc>
          <w:tcPr>
            <w:tcW w:w="1287" w:type="dxa"/>
            <w:noWrap w:val="0"/>
            <w:vAlign w:val="center"/>
          </w:tcPr>
          <w:p>
            <w:pPr>
              <w:jc w:val="center"/>
              <w:rPr>
                <w:rFonts w:hint="eastAsia" w:ascii="宋体" w:hAnsi="宋体" w:cs="宋体-18030"/>
                <w:color w:val="auto"/>
                <w:szCs w:val="21"/>
                <w:highlight w:val="none"/>
              </w:rPr>
            </w:pPr>
          </w:p>
        </w:tc>
        <w:tc>
          <w:tcPr>
            <w:tcW w:w="1968" w:type="dxa"/>
            <w:noWrap w:val="0"/>
            <w:vAlign w:val="center"/>
          </w:tcPr>
          <w:p>
            <w:pPr>
              <w:rPr>
                <w:rFonts w:hint="eastAsia" w:ascii="宋体" w:hAnsi="宋体" w:cs="宋体-1803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36" w:type="dxa"/>
            <w:noWrap w:val="0"/>
            <w:vAlign w:val="center"/>
          </w:tcPr>
          <w:p>
            <w:pPr>
              <w:jc w:val="center"/>
              <w:rPr>
                <w:rFonts w:hint="eastAsia" w:ascii="宋体" w:hAnsi="宋体" w:cs="宋体-18030"/>
                <w:color w:val="auto"/>
                <w:sz w:val="24"/>
                <w:highlight w:val="none"/>
              </w:rPr>
            </w:pPr>
            <w:r>
              <w:rPr>
                <w:rFonts w:hint="eastAsia" w:ascii="宋体" w:hAnsi="宋体" w:cs="宋体-18030"/>
                <w:color w:val="auto"/>
                <w:sz w:val="24"/>
                <w:highlight w:val="none"/>
              </w:rPr>
              <w:t>(一)</w:t>
            </w:r>
          </w:p>
        </w:tc>
        <w:tc>
          <w:tcPr>
            <w:tcW w:w="4588" w:type="dxa"/>
            <w:noWrap w:val="0"/>
            <w:vAlign w:val="bottom"/>
          </w:tcPr>
          <w:p>
            <w:pPr>
              <w:ind w:firstLine="600"/>
              <w:rPr>
                <w:rFonts w:hint="eastAsia" w:ascii="宋体" w:hAnsi="宋体" w:cs="宋体-18030"/>
                <w:color w:val="auto"/>
                <w:sz w:val="24"/>
                <w:highlight w:val="none"/>
              </w:rPr>
            </w:pPr>
            <w:r>
              <w:rPr>
                <w:rFonts w:hint="eastAsia" w:ascii="宋体" w:hAnsi="宋体" w:cs="宋体-18030"/>
                <w:color w:val="auto"/>
                <w:sz w:val="24"/>
                <w:highlight w:val="none"/>
              </w:rPr>
              <w:t>建筑工程</w:t>
            </w:r>
          </w:p>
        </w:tc>
        <w:tc>
          <w:tcPr>
            <w:tcW w:w="1287" w:type="dxa"/>
            <w:noWrap w:val="0"/>
            <w:vAlign w:val="center"/>
          </w:tcPr>
          <w:p>
            <w:pPr>
              <w:jc w:val="center"/>
              <w:rPr>
                <w:rFonts w:hint="eastAsia" w:ascii="宋体" w:hAnsi="宋体" w:cs="宋体-18030"/>
                <w:color w:val="auto"/>
                <w:szCs w:val="21"/>
                <w:highlight w:val="none"/>
              </w:rPr>
            </w:pPr>
          </w:p>
        </w:tc>
        <w:tc>
          <w:tcPr>
            <w:tcW w:w="1968" w:type="dxa"/>
            <w:noWrap w:val="0"/>
            <w:vAlign w:val="center"/>
          </w:tcPr>
          <w:p>
            <w:pPr>
              <w:jc w:val="center"/>
              <w:rPr>
                <w:rFonts w:hint="eastAsia" w:ascii="宋体" w:hAnsi="宋体" w:cs="宋体-1803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36" w:type="dxa"/>
            <w:noWrap w:val="0"/>
            <w:vAlign w:val="center"/>
          </w:tcPr>
          <w:p>
            <w:pPr>
              <w:jc w:val="center"/>
              <w:rPr>
                <w:rFonts w:hint="eastAsia" w:ascii="宋体" w:hAnsi="宋体" w:cs="宋体-18030"/>
                <w:color w:val="auto"/>
                <w:sz w:val="24"/>
                <w:highlight w:val="none"/>
              </w:rPr>
            </w:pPr>
            <w:r>
              <w:rPr>
                <w:rFonts w:hint="eastAsia" w:ascii="宋体" w:hAnsi="宋体" w:cs="宋体-18030"/>
                <w:color w:val="auto"/>
                <w:sz w:val="24"/>
                <w:highlight w:val="none"/>
              </w:rPr>
              <w:t>（二）</w:t>
            </w:r>
          </w:p>
        </w:tc>
        <w:tc>
          <w:tcPr>
            <w:tcW w:w="4588" w:type="dxa"/>
            <w:noWrap w:val="0"/>
            <w:vAlign w:val="bottom"/>
          </w:tcPr>
          <w:p>
            <w:pPr>
              <w:ind w:firstLine="600"/>
              <w:rPr>
                <w:rFonts w:hint="eastAsia" w:ascii="宋体" w:hAnsi="宋体" w:cs="宋体-18030"/>
                <w:color w:val="auto"/>
                <w:sz w:val="24"/>
                <w:highlight w:val="none"/>
              </w:rPr>
            </w:pPr>
            <w:r>
              <w:rPr>
                <w:rFonts w:hint="eastAsia" w:ascii="宋体" w:hAnsi="宋体" w:cs="宋体-18030"/>
                <w:color w:val="auto"/>
                <w:sz w:val="24"/>
                <w:highlight w:val="none"/>
              </w:rPr>
              <w:t>安装工程</w:t>
            </w:r>
          </w:p>
        </w:tc>
        <w:tc>
          <w:tcPr>
            <w:tcW w:w="1287" w:type="dxa"/>
            <w:noWrap w:val="0"/>
            <w:vAlign w:val="center"/>
          </w:tcPr>
          <w:p>
            <w:pPr>
              <w:rPr>
                <w:rFonts w:hint="eastAsia" w:ascii="宋体" w:hAnsi="宋体" w:cs="宋体-18030"/>
                <w:color w:val="auto"/>
                <w:szCs w:val="21"/>
                <w:highlight w:val="none"/>
              </w:rPr>
            </w:pPr>
          </w:p>
        </w:tc>
        <w:tc>
          <w:tcPr>
            <w:tcW w:w="1968" w:type="dxa"/>
            <w:noWrap w:val="0"/>
            <w:vAlign w:val="center"/>
          </w:tcPr>
          <w:p>
            <w:pPr>
              <w:jc w:val="center"/>
              <w:rPr>
                <w:rFonts w:hint="eastAsia" w:ascii="宋体" w:hAnsi="宋体" w:cs="宋体-1803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36" w:type="dxa"/>
            <w:noWrap w:val="0"/>
            <w:vAlign w:val="center"/>
          </w:tcPr>
          <w:p>
            <w:pPr>
              <w:jc w:val="center"/>
              <w:rPr>
                <w:rFonts w:hint="eastAsia" w:ascii="宋体" w:hAnsi="宋体" w:cs="宋体-18030"/>
                <w:color w:val="auto"/>
                <w:sz w:val="24"/>
                <w:highlight w:val="none"/>
              </w:rPr>
            </w:pPr>
          </w:p>
        </w:tc>
        <w:tc>
          <w:tcPr>
            <w:tcW w:w="4588" w:type="dxa"/>
            <w:noWrap w:val="0"/>
            <w:vAlign w:val="bottom"/>
          </w:tcPr>
          <w:p>
            <w:pPr>
              <w:ind w:firstLine="600"/>
              <w:rPr>
                <w:rFonts w:hint="eastAsia" w:ascii="宋体" w:hAnsi="宋体" w:cs="宋体-18030"/>
                <w:color w:val="auto"/>
                <w:sz w:val="24"/>
                <w:highlight w:val="none"/>
              </w:rPr>
            </w:pPr>
            <w:r>
              <w:rPr>
                <w:rFonts w:hint="eastAsia" w:ascii="宋体" w:hAnsi="宋体" w:cs="宋体-18030"/>
                <w:color w:val="auto"/>
                <w:sz w:val="24"/>
                <w:highlight w:val="none"/>
              </w:rPr>
              <w:t>........</w:t>
            </w:r>
          </w:p>
        </w:tc>
        <w:tc>
          <w:tcPr>
            <w:tcW w:w="1287" w:type="dxa"/>
            <w:noWrap w:val="0"/>
            <w:vAlign w:val="center"/>
          </w:tcPr>
          <w:p>
            <w:pPr>
              <w:rPr>
                <w:rFonts w:hint="eastAsia" w:ascii="宋体" w:hAnsi="宋体" w:cs="宋体-18030"/>
                <w:color w:val="auto"/>
                <w:szCs w:val="21"/>
                <w:highlight w:val="none"/>
              </w:rPr>
            </w:pPr>
          </w:p>
        </w:tc>
        <w:tc>
          <w:tcPr>
            <w:tcW w:w="1968" w:type="dxa"/>
            <w:noWrap w:val="0"/>
            <w:vAlign w:val="center"/>
          </w:tcPr>
          <w:p>
            <w:pPr>
              <w:jc w:val="center"/>
              <w:rPr>
                <w:rFonts w:hint="eastAsia" w:ascii="宋体" w:hAnsi="宋体" w:cs="宋体-1803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6" w:type="dxa"/>
            <w:noWrap w:val="0"/>
            <w:vAlign w:val="center"/>
          </w:tcPr>
          <w:p>
            <w:pPr>
              <w:jc w:val="center"/>
              <w:rPr>
                <w:rFonts w:hint="eastAsia" w:ascii="宋体" w:hAnsi="宋体" w:cs="宋体-18030"/>
                <w:color w:val="auto"/>
                <w:sz w:val="24"/>
                <w:highlight w:val="none"/>
              </w:rPr>
            </w:pPr>
            <w:r>
              <w:rPr>
                <w:rFonts w:hint="eastAsia" w:ascii="宋体" w:hAnsi="宋体" w:cs="宋体-18030"/>
                <w:color w:val="auto"/>
                <w:sz w:val="24"/>
                <w:highlight w:val="none"/>
              </w:rPr>
              <w:t>其中</w:t>
            </w:r>
          </w:p>
        </w:tc>
        <w:tc>
          <w:tcPr>
            <w:tcW w:w="4588" w:type="dxa"/>
            <w:noWrap w:val="0"/>
            <w:vAlign w:val="bottom"/>
          </w:tcPr>
          <w:p>
            <w:pPr>
              <w:ind w:firstLine="600"/>
              <w:rPr>
                <w:rFonts w:hint="eastAsia" w:ascii="宋体" w:hAnsi="宋体" w:cs="宋体-18030"/>
                <w:color w:val="auto"/>
                <w:sz w:val="24"/>
                <w:highlight w:val="none"/>
              </w:rPr>
            </w:pPr>
            <w:r>
              <w:rPr>
                <w:rFonts w:hint="eastAsia" w:ascii="宋体" w:hAnsi="宋体" w:cs="宋体-18030"/>
                <w:color w:val="auto"/>
                <w:sz w:val="24"/>
                <w:highlight w:val="none"/>
              </w:rPr>
              <w:t>安全文明施工费</w:t>
            </w:r>
          </w:p>
        </w:tc>
        <w:tc>
          <w:tcPr>
            <w:tcW w:w="1287" w:type="dxa"/>
            <w:noWrap w:val="0"/>
            <w:vAlign w:val="center"/>
          </w:tcPr>
          <w:p>
            <w:pPr>
              <w:rPr>
                <w:rFonts w:hint="eastAsia" w:ascii="宋体" w:hAnsi="宋体" w:cs="宋体-18030"/>
                <w:color w:val="auto"/>
                <w:szCs w:val="21"/>
                <w:highlight w:val="none"/>
              </w:rPr>
            </w:pPr>
          </w:p>
        </w:tc>
        <w:tc>
          <w:tcPr>
            <w:tcW w:w="1968" w:type="dxa"/>
            <w:noWrap w:val="0"/>
            <w:vAlign w:val="center"/>
          </w:tcPr>
          <w:p>
            <w:pPr>
              <w:rPr>
                <w:rFonts w:hint="eastAsia" w:ascii="宋体" w:hAnsi="宋体" w:cs="宋体-1803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6" w:type="dxa"/>
            <w:noWrap w:val="0"/>
            <w:vAlign w:val="center"/>
          </w:tcPr>
          <w:p>
            <w:pPr>
              <w:jc w:val="center"/>
              <w:rPr>
                <w:rFonts w:hint="eastAsia" w:ascii="宋体" w:hAnsi="宋体" w:cs="宋体-18030"/>
                <w:color w:val="auto"/>
                <w:sz w:val="24"/>
                <w:highlight w:val="none"/>
              </w:rPr>
            </w:pPr>
            <w:r>
              <w:rPr>
                <w:rFonts w:hint="eastAsia" w:ascii="宋体" w:hAnsi="宋体" w:cs="宋体-18030"/>
                <w:color w:val="auto"/>
                <w:sz w:val="24"/>
                <w:highlight w:val="none"/>
              </w:rPr>
              <w:t>其中</w:t>
            </w:r>
          </w:p>
        </w:tc>
        <w:tc>
          <w:tcPr>
            <w:tcW w:w="4588" w:type="dxa"/>
            <w:noWrap w:val="0"/>
            <w:vAlign w:val="center"/>
          </w:tcPr>
          <w:p>
            <w:pPr>
              <w:ind w:firstLine="600" w:firstLineChars="250"/>
              <w:rPr>
                <w:rFonts w:hint="eastAsia" w:ascii="宋体" w:hAnsi="宋体" w:cs="宋体-18030"/>
                <w:color w:val="auto"/>
                <w:sz w:val="24"/>
                <w:highlight w:val="none"/>
              </w:rPr>
            </w:pPr>
            <w:r>
              <w:rPr>
                <w:rFonts w:hint="eastAsia" w:ascii="宋体" w:hAnsi="宋体" w:cs="宋体-18030"/>
                <w:color w:val="auto"/>
                <w:sz w:val="24"/>
                <w:highlight w:val="none"/>
              </w:rPr>
              <w:t>建安劳保费：</w:t>
            </w:r>
          </w:p>
        </w:tc>
        <w:tc>
          <w:tcPr>
            <w:tcW w:w="1287" w:type="dxa"/>
            <w:noWrap w:val="0"/>
            <w:vAlign w:val="top"/>
          </w:tcPr>
          <w:p>
            <w:pPr>
              <w:rPr>
                <w:rFonts w:hint="eastAsia" w:ascii="宋体" w:hAnsi="宋体" w:cs="宋体-18030"/>
                <w:color w:val="auto"/>
                <w:szCs w:val="21"/>
                <w:highlight w:val="none"/>
              </w:rPr>
            </w:pPr>
          </w:p>
        </w:tc>
        <w:tc>
          <w:tcPr>
            <w:tcW w:w="1968" w:type="dxa"/>
            <w:noWrap w:val="0"/>
            <w:vAlign w:val="top"/>
          </w:tcPr>
          <w:p>
            <w:pPr>
              <w:rPr>
                <w:rFonts w:hint="eastAsia" w:ascii="宋体" w:hAnsi="宋体" w:cs="宋体-1803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79" w:type="dxa"/>
            <w:gridSpan w:val="4"/>
            <w:noWrap w:val="0"/>
            <w:vAlign w:val="center"/>
          </w:tcPr>
          <w:p>
            <w:pPr>
              <w:rPr>
                <w:rFonts w:hint="eastAsia" w:ascii="宋体" w:hAnsi="宋体"/>
                <w:b/>
                <w:bCs/>
                <w:color w:val="auto"/>
                <w:highlight w:val="none"/>
              </w:rPr>
            </w:pPr>
            <w:r>
              <w:rPr>
                <w:rFonts w:hint="eastAsia" w:ascii="宋体" w:hAnsi="宋体" w:cs="宋体-18030"/>
                <w:color w:val="auto"/>
                <w:szCs w:val="21"/>
                <w:highlight w:val="none"/>
              </w:rPr>
              <w:t>备注：1、</w:t>
            </w:r>
            <w:r>
              <w:rPr>
                <w:rFonts w:hint="eastAsia" w:ascii="宋体" w:hAnsi="宋体"/>
                <w:b/>
                <w:bCs/>
                <w:color w:val="auto"/>
                <w:highlight w:val="none"/>
              </w:rPr>
              <w:t>磋商供应商在报价中所报的价格应包含检测、检验和验收等有关费用。</w:t>
            </w:r>
          </w:p>
          <w:p>
            <w:pPr>
              <w:rPr>
                <w:rFonts w:hint="eastAsia" w:ascii="宋体" w:hAnsi="宋体"/>
                <w:b/>
                <w:bCs/>
                <w:color w:val="auto"/>
                <w:highlight w:val="none"/>
              </w:rPr>
            </w:pPr>
            <w:r>
              <w:rPr>
                <w:rFonts w:hint="eastAsia" w:ascii="宋体" w:hAnsi="宋体"/>
                <w:b/>
                <w:bCs/>
                <w:color w:val="auto"/>
                <w:highlight w:val="none"/>
              </w:rPr>
              <w:t xml:space="preserve">      </w:t>
            </w:r>
            <w:r>
              <w:rPr>
                <w:rFonts w:hint="eastAsia" w:ascii="宋体" w:hAnsi="宋体"/>
                <w:color w:val="auto"/>
                <w:highlight w:val="none"/>
              </w:rPr>
              <w:t>2、磋商报价应与已标价工程量清单总合价一致。</w:t>
            </w:r>
          </w:p>
        </w:tc>
      </w:tr>
    </w:tbl>
    <w:p>
      <w:pPr>
        <w:ind w:left="-178" w:leftChars="-85" w:firstLine="177" w:firstLineChars="74"/>
        <w:rPr>
          <w:rFonts w:ascii="宋体" w:hAnsi="宋体" w:cs="宋体"/>
          <w:color w:val="auto"/>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rPr>
        <w:t>磋商人：　　　　　　（公章）</w:t>
      </w: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rPr>
        <w:t>法定代表人或其委托代理人：　　　　（签字）</w:t>
      </w: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r>
        <w:rPr>
          <w:rFonts w:hint="eastAsia" w:ascii="宋体" w:hAnsi="宋体"/>
          <w:color w:val="auto"/>
          <w:kern w:val="56"/>
          <w:sz w:val="24"/>
          <w:highlight w:val="none"/>
        </w:rPr>
        <w:t>日期：    年     月    日</w:t>
      </w:r>
    </w:p>
    <w:p>
      <w:pPr>
        <w:ind w:firstLine="432" w:firstLineChars="180"/>
        <w:rPr>
          <w:rFonts w:ascii="宋体" w:hAnsi="宋体"/>
          <w:color w:val="auto"/>
          <w:kern w:val="56"/>
          <w:sz w:val="24"/>
          <w:highlight w:val="none"/>
        </w:rPr>
      </w:pPr>
    </w:p>
    <w:p>
      <w:pPr>
        <w:ind w:firstLine="432" w:firstLineChars="180"/>
        <w:rPr>
          <w:rFonts w:ascii="宋体" w:hAnsi="宋体"/>
          <w:color w:val="auto"/>
          <w:kern w:val="56"/>
          <w:sz w:val="24"/>
          <w:highlight w:val="none"/>
        </w:rPr>
      </w:pPr>
    </w:p>
    <w:p>
      <w:pPr>
        <w:pStyle w:val="12"/>
        <w:spacing w:line="440" w:lineRule="exact"/>
        <w:outlineLvl w:val="2"/>
        <w:rPr>
          <w:rFonts w:hAnsi="宋体"/>
          <w:b/>
          <w:color w:val="auto"/>
          <w:kern w:val="56"/>
          <w:sz w:val="36"/>
          <w:highlight w:val="none"/>
        </w:rPr>
      </w:pPr>
    </w:p>
    <w:p>
      <w:pPr>
        <w:pStyle w:val="12"/>
        <w:spacing w:line="440" w:lineRule="exact"/>
        <w:outlineLvl w:val="2"/>
        <w:rPr>
          <w:rFonts w:hAnsi="宋体"/>
          <w:color w:val="auto"/>
          <w:kern w:val="56"/>
          <w:sz w:val="24"/>
          <w:highlight w:val="none"/>
        </w:rPr>
      </w:pPr>
    </w:p>
    <w:p>
      <w:pPr>
        <w:pStyle w:val="12"/>
        <w:jc w:val="center"/>
        <w:outlineLvl w:val="2"/>
        <w:rPr>
          <w:rFonts w:hAnsi="宋体"/>
          <w:b/>
          <w:color w:val="auto"/>
          <w:sz w:val="36"/>
          <w:szCs w:val="36"/>
          <w:highlight w:val="none"/>
        </w:rPr>
      </w:pPr>
      <w:r>
        <w:rPr>
          <w:rFonts w:hAnsi="宋体"/>
          <w:b/>
          <w:color w:val="auto"/>
          <w:kern w:val="56"/>
          <w:sz w:val="36"/>
          <w:highlight w:val="none"/>
        </w:rPr>
        <w:br w:type="page"/>
      </w:r>
      <w:bookmarkStart w:id="599" w:name="_Toc24419"/>
      <w:r>
        <w:rPr>
          <w:rFonts w:hint="eastAsia" w:hAnsi="宋体"/>
          <w:b/>
          <w:color w:val="auto"/>
          <w:sz w:val="36"/>
          <w:szCs w:val="36"/>
          <w:highlight w:val="none"/>
        </w:rPr>
        <w:t>四、工程预算书</w:t>
      </w:r>
      <w:bookmarkEnd w:id="599"/>
    </w:p>
    <w:p>
      <w:pPr>
        <w:pStyle w:val="12"/>
        <w:jc w:val="center"/>
        <w:rPr>
          <w:rFonts w:hAnsi="宋体"/>
          <w:color w:val="auto"/>
          <w:highlight w:val="none"/>
        </w:rPr>
      </w:pPr>
    </w:p>
    <w:p>
      <w:pPr>
        <w:spacing w:line="360" w:lineRule="auto"/>
        <w:ind w:left="840" w:leftChars="400" w:firstLine="2310" w:firstLineChars="1100"/>
        <w:rPr>
          <w:rFonts w:ascii="宋体" w:hAnsi="宋体"/>
          <w:color w:val="auto"/>
          <w:szCs w:val="21"/>
          <w:highlight w:val="none"/>
        </w:rPr>
      </w:pPr>
      <w:r>
        <w:rPr>
          <w:rFonts w:hint="eastAsia" w:ascii="宋体" w:hAnsi="宋体"/>
          <w:color w:val="auto"/>
          <w:szCs w:val="21"/>
          <w:highlight w:val="none"/>
        </w:rPr>
        <w:t>（以上由磋商人自行编制）</w:t>
      </w:r>
    </w:p>
    <w:p>
      <w:pPr>
        <w:pStyle w:val="12"/>
        <w:spacing w:line="440" w:lineRule="exact"/>
        <w:jc w:val="center"/>
        <w:outlineLvl w:val="2"/>
        <w:rPr>
          <w:rFonts w:hAnsi="宋体"/>
          <w:b/>
          <w:color w:val="auto"/>
          <w:sz w:val="36"/>
          <w:szCs w:val="36"/>
          <w:highlight w:val="none"/>
        </w:rPr>
      </w:pPr>
      <w:bookmarkStart w:id="600" w:name="_Toc300661869"/>
      <w:bookmarkStart w:id="601" w:name="_Toc293903938"/>
    </w:p>
    <w:p>
      <w:pPr>
        <w:pStyle w:val="12"/>
        <w:spacing w:line="440" w:lineRule="exact"/>
        <w:jc w:val="center"/>
        <w:outlineLvl w:val="2"/>
        <w:rPr>
          <w:rFonts w:hAnsi="宋体"/>
          <w:b/>
          <w:color w:val="auto"/>
          <w:sz w:val="36"/>
          <w:szCs w:val="36"/>
          <w:highlight w:val="none"/>
        </w:rPr>
      </w:pPr>
    </w:p>
    <w:bookmarkEnd w:id="600"/>
    <w:bookmarkEnd w:id="601"/>
    <w:p>
      <w:pPr>
        <w:ind w:firstLine="940" w:firstLineChars="180"/>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r>
        <w:rPr>
          <w:rFonts w:ascii="宋体" w:hAnsi="宋体"/>
          <w:b/>
          <w:color w:val="auto"/>
          <w:kern w:val="56"/>
          <w:sz w:val="52"/>
          <w:szCs w:val="52"/>
          <w:highlight w:val="none"/>
        </w:rPr>
        <w:br w:type="page"/>
      </w:r>
      <w:bookmarkEnd w:id="583"/>
      <w:bookmarkEnd w:id="584"/>
    </w:p>
    <w:p>
      <w:pPr>
        <w:ind w:firstLine="940" w:firstLineChars="180"/>
        <w:jc w:val="center"/>
        <w:rPr>
          <w:rFonts w:ascii="宋体" w:hAnsi="宋体"/>
          <w:b/>
          <w:color w:val="auto"/>
          <w:kern w:val="56"/>
          <w:sz w:val="52"/>
          <w:szCs w:val="52"/>
          <w:highlight w:val="none"/>
        </w:rPr>
      </w:pPr>
      <w:r>
        <w:rPr>
          <w:rFonts w:hint="eastAsia" w:ascii="宋体" w:hAnsi="宋体"/>
          <w:b/>
          <w:color w:val="auto"/>
          <w:kern w:val="56"/>
          <w:sz w:val="52"/>
          <w:szCs w:val="52"/>
          <w:highlight w:val="none"/>
        </w:rPr>
        <w:t>技术标部分</w:t>
      </w:r>
    </w:p>
    <w:p>
      <w:pPr>
        <w:ind w:firstLine="940" w:firstLineChars="180"/>
        <w:rPr>
          <w:rFonts w:ascii="宋体" w:hAnsi="宋体"/>
          <w:b/>
          <w:color w:val="auto"/>
          <w:kern w:val="56"/>
          <w:sz w:val="52"/>
          <w:szCs w:val="52"/>
          <w:highlight w:val="none"/>
        </w:rPr>
      </w:pPr>
    </w:p>
    <w:p>
      <w:pPr>
        <w:pStyle w:val="12"/>
        <w:numPr>
          <w:ilvl w:val="0"/>
          <w:numId w:val="8"/>
        </w:numPr>
        <w:jc w:val="center"/>
        <w:outlineLvl w:val="2"/>
        <w:rPr>
          <w:rFonts w:hAnsi="宋体"/>
          <w:b/>
          <w:color w:val="auto"/>
          <w:sz w:val="36"/>
          <w:szCs w:val="36"/>
          <w:highlight w:val="none"/>
        </w:rPr>
      </w:pPr>
      <w:r>
        <w:rPr>
          <w:rFonts w:hint="eastAsia" w:hAnsi="宋体"/>
          <w:b/>
          <w:color w:val="auto"/>
          <w:sz w:val="36"/>
          <w:szCs w:val="36"/>
          <w:highlight w:val="none"/>
        </w:rPr>
        <w:t>施工组织设计</w:t>
      </w:r>
    </w:p>
    <w:p>
      <w:pPr>
        <w:pStyle w:val="12"/>
        <w:jc w:val="center"/>
        <w:outlineLvl w:val="2"/>
        <w:rPr>
          <w:rFonts w:hAnsi="宋体"/>
          <w:b/>
          <w:color w:val="auto"/>
          <w:sz w:val="36"/>
          <w:szCs w:val="36"/>
          <w:highlight w:val="none"/>
        </w:rPr>
      </w:pPr>
    </w:p>
    <w:p>
      <w:pPr>
        <w:numPr>
          <w:ilvl w:val="0"/>
          <w:numId w:val="9"/>
        </w:numPr>
        <w:ind w:firstLine="434" w:firstLineChars="180"/>
        <w:jc w:val="center"/>
        <w:rPr>
          <w:rFonts w:ascii="宋体" w:hAnsi="宋体"/>
          <w:b/>
          <w:bCs/>
          <w:color w:val="auto"/>
          <w:kern w:val="56"/>
          <w:sz w:val="24"/>
          <w:highlight w:val="none"/>
        </w:rPr>
      </w:pPr>
      <w:r>
        <w:rPr>
          <w:rFonts w:hint="eastAsia" w:ascii="宋体" w:hAnsi="宋体"/>
          <w:b/>
          <w:bCs/>
          <w:color w:val="auto"/>
          <w:kern w:val="56"/>
          <w:sz w:val="24"/>
          <w:highlight w:val="none"/>
        </w:rPr>
        <w:t>施工方案或施工组织设计</w:t>
      </w:r>
    </w:p>
    <w:p>
      <w:pPr>
        <w:spacing w:line="700" w:lineRule="exact"/>
        <w:ind w:firstLine="480"/>
        <w:rPr>
          <w:rFonts w:ascii="宋体" w:hAnsi="宋体"/>
          <w:color w:val="auto"/>
          <w:kern w:val="56"/>
          <w:sz w:val="24"/>
          <w:highlight w:val="none"/>
        </w:rPr>
      </w:pPr>
      <w:r>
        <w:rPr>
          <w:rFonts w:hint="eastAsia" w:ascii="宋体" w:hAnsi="宋体"/>
          <w:color w:val="auto"/>
          <w:kern w:val="56"/>
          <w:sz w:val="24"/>
          <w:highlight w:val="none"/>
        </w:rPr>
        <w:t>磋商单位应递交完整的施工方案或施工组织设计，说明各分部分项工程的施工方法和布置，提交包括临时设施和施工道路的施工总布置图及其他必须的图表、文字说明书等资料，至少要包括：a、施工组织机构；b、完整的施工方案，保证施工进度、工期和质量的措施；c、进入该工程的施工机械设备及计划；d、施工现场平面布置图（应有施工总平面布置图，标明方向针，安排科学合理，施工平面图要与采购人提供的总平图相结合）e、保证安全、文明施工的措施；f、计划开、竣工日期和施工进度表；</w:t>
      </w:r>
    </w:p>
    <w:p>
      <w:pPr>
        <w:spacing w:line="700" w:lineRule="exact"/>
        <w:ind w:firstLine="432" w:firstLineChars="180"/>
        <w:rPr>
          <w:rFonts w:ascii="宋体" w:hAnsi="宋体"/>
          <w:color w:val="auto"/>
          <w:kern w:val="56"/>
          <w:sz w:val="24"/>
          <w:highlight w:val="none"/>
        </w:rPr>
      </w:pPr>
    </w:p>
    <w:p>
      <w:pPr>
        <w:numPr>
          <w:ilvl w:val="0"/>
          <w:numId w:val="9"/>
        </w:numPr>
        <w:spacing w:line="700" w:lineRule="exact"/>
        <w:ind w:firstLine="434" w:firstLineChars="180"/>
        <w:jc w:val="center"/>
        <w:rPr>
          <w:rFonts w:ascii="宋体" w:hAnsi="宋体"/>
          <w:b/>
          <w:bCs/>
          <w:color w:val="auto"/>
          <w:kern w:val="56"/>
          <w:sz w:val="24"/>
          <w:highlight w:val="none"/>
        </w:rPr>
      </w:pPr>
      <w:r>
        <w:rPr>
          <w:rFonts w:hint="eastAsia" w:ascii="宋体" w:hAnsi="宋体"/>
          <w:b/>
          <w:bCs/>
          <w:color w:val="auto"/>
          <w:kern w:val="56"/>
          <w:sz w:val="24"/>
          <w:highlight w:val="none"/>
        </w:rPr>
        <w:t>计划开、竣工日期和施工进度表</w:t>
      </w:r>
    </w:p>
    <w:p>
      <w:pPr>
        <w:spacing w:line="700" w:lineRule="exact"/>
        <w:rPr>
          <w:rFonts w:ascii="宋体" w:hAnsi="宋体"/>
          <w:color w:val="auto"/>
          <w:kern w:val="56"/>
          <w:sz w:val="24"/>
          <w:highlight w:val="none"/>
        </w:rPr>
      </w:pPr>
      <w:r>
        <w:rPr>
          <w:rFonts w:hint="eastAsia" w:ascii="宋体" w:hAnsi="宋体"/>
          <w:color w:val="auto"/>
          <w:kern w:val="56"/>
          <w:sz w:val="24"/>
          <w:highlight w:val="none"/>
        </w:rPr>
        <w:t xml:space="preserve">    磋商单位应提交初步的施工进度表，说明按招标文件要求的工期进行施工的各个关键日期。磋商单位还要按合同条件有关条款的要求提交详细的施工进度计划。初步施工进度表可采用横道图（或关键线路网络图）表示，说明计划开工日期和各分项工程各阶段的完工日期和分包合同签订的日期。施工进度计划应与施工方案或施工组织设计相适应。</w:t>
      </w:r>
    </w:p>
    <w:p>
      <w:pPr>
        <w:pStyle w:val="12"/>
        <w:jc w:val="center"/>
        <w:outlineLvl w:val="2"/>
        <w:rPr>
          <w:rFonts w:hAnsi="宋体"/>
          <w:b/>
          <w:color w:val="auto"/>
          <w:sz w:val="36"/>
          <w:szCs w:val="36"/>
          <w:highlight w:val="none"/>
        </w:rPr>
      </w:pPr>
    </w:p>
    <w:p>
      <w:pPr>
        <w:pStyle w:val="12"/>
        <w:jc w:val="center"/>
        <w:outlineLvl w:val="2"/>
        <w:rPr>
          <w:rFonts w:hAnsi="宋体"/>
          <w:b/>
          <w:color w:val="auto"/>
          <w:sz w:val="36"/>
          <w:szCs w:val="36"/>
          <w:highlight w:val="none"/>
        </w:rPr>
      </w:pPr>
      <w:r>
        <w:rPr>
          <w:rFonts w:hAnsi="宋体"/>
          <w:b/>
          <w:color w:val="auto"/>
          <w:sz w:val="36"/>
          <w:szCs w:val="36"/>
          <w:highlight w:val="none"/>
        </w:rPr>
        <w:br w:type="page"/>
      </w:r>
      <w:r>
        <w:rPr>
          <w:rFonts w:hint="eastAsia" w:hAnsi="宋体"/>
          <w:b/>
          <w:color w:val="auto"/>
          <w:sz w:val="36"/>
          <w:szCs w:val="36"/>
          <w:highlight w:val="none"/>
        </w:rPr>
        <w:t>二、项目管理机构配备情况表；附安全员、施工员、预算员等其他相关人员的上岗证和安全员安全生产考核合格证复印件</w:t>
      </w:r>
    </w:p>
    <w:p>
      <w:pPr>
        <w:ind w:firstLine="432" w:firstLineChars="180"/>
        <w:rPr>
          <w:rFonts w:ascii="宋体" w:hAnsi="宋体"/>
          <w:color w:val="auto"/>
          <w:kern w:val="56"/>
          <w:sz w:val="24"/>
          <w:highlight w:val="none"/>
        </w:rPr>
      </w:pPr>
    </w:p>
    <w:p>
      <w:pPr>
        <w:pStyle w:val="12"/>
        <w:spacing w:line="440" w:lineRule="exact"/>
        <w:jc w:val="center"/>
        <w:outlineLvl w:val="2"/>
        <w:rPr>
          <w:rFonts w:hAnsi="宋体"/>
          <w:b/>
          <w:color w:val="auto"/>
          <w:sz w:val="36"/>
          <w:szCs w:val="36"/>
          <w:highlight w:val="none"/>
        </w:rPr>
      </w:pPr>
      <w:r>
        <w:rPr>
          <w:rFonts w:hint="eastAsia" w:hAnsi="宋体"/>
          <w:b/>
          <w:color w:val="auto"/>
          <w:sz w:val="36"/>
          <w:szCs w:val="36"/>
          <w:highlight w:val="none"/>
        </w:rPr>
        <w:t>项目管理机构配备情况表</w:t>
      </w:r>
    </w:p>
    <w:tbl>
      <w:tblPr>
        <w:tblStyle w:val="21"/>
        <w:tblW w:w="9570"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843"/>
        <w:gridCol w:w="1134"/>
        <w:gridCol w:w="127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8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名    称</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bCs/>
                <w:color w:val="auto"/>
                <w:kern w:val="56"/>
                <w:sz w:val="24"/>
                <w:highlight w:val="none"/>
              </w:rPr>
              <w:t xml:space="preserve">职 </w:t>
            </w:r>
            <w:r>
              <w:rPr>
                <w:rFonts w:hint="eastAsia" w:ascii="宋体" w:hAnsi="宋体"/>
                <w:color w:val="auto"/>
                <w:kern w:val="56"/>
                <w:sz w:val="24"/>
                <w:highlight w:val="none"/>
              </w:rPr>
              <w:t>务</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职   称</w:t>
            </w:r>
          </w:p>
        </w:tc>
        <w:tc>
          <w:tcPr>
            <w:tcW w:w="33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56"/>
                <w:sz w:val="24"/>
                <w:highlight w:val="none"/>
              </w:rPr>
            </w:pPr>
            <w:r>
              <w:rPr>
                <w:rFonts w:hint="eastAsia" w:ascii="宋体" w:hAnsi="宋体"/>
                <w:color w:val="auto"/>
                <w:kern w:val="56"/>
                <w:sz w:val="24"/>
                <w:highlight w:val="none"/>
              </w:rPr>
              <w:t>任职务及资格经历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1、项目负责人</w:t>
            </w:r>
          </w:p>
          <w:p>
            <w:pPr>
              <w:rPr>
                <w:rFonts w:ascii="宋体" w:hAnsi="宋体"/>
                <w:color w:val="auto"/>
                <w:kern w:val="56"/>
                <w:sz w:val="24"/>
                <w:highlight w:val="none"/>
              </w:rPr>
            </w:pPr>
            <w:r>
              <w:rPr>
                <w:rFonts w:hint="eastAsia" w:ascii="宋体" w:hAnsi="宋体"/>
                <w:color w:val="auto"/>
                <w:kern w:val="56"/>
                <w:sz w:val="24"/>
                <w:highlight w:val="none"/>
              </w:rPr>
              <w:t>（建造师）</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2、技术负责人</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3、安全员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4、材料员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5、质检员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6、预算员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color w:val="auto"/>
                <w:kern w:val="56"/>
                <w:sz w:val="24"/>
                <w:highlight w:val="none"/>
              </w:rPr>
            </w:pPr>
            <w:r>
              <w:rPr>
                <w:rFonts w:hint="eastAsia" w:ascii="宋体" w:hAnsi="宋体"/>
                <w:color w:val="auto"/>
                <w:kern w:val="56"/>
                <w:sz w:val="24"/>
                <w:highlight w:val="none"/>
              </w:rPr>
              <w:t>7、施工员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ind w:firstLine="432" w:firstLineChars="180"/>
              <w:jc w:val="center"/>
              <w:rPr>
                <w:rFonts w:ascii="宋体" w:hAnsi="宋体"/>
                <w:color w:val="auto"/>
                <w:kern w:val="56"/>
                <w:sz w:val="24"/>
                <w:highlight w:val="none"/>
              </w:rPr>
            </w:pP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color w:val="auto"/>
                <w:kern w:val="56"/>
                <w:sz w:val="24"/>
                <w:highlight w:val="none"/>
              </w:rPr>
            </w:pPr>
          </w:p>
        </w:tc>
      </w:tr>
    </w:tbl>
    <w:p>
      <w:pPr>
        <w:ind w:firstLine="434" w:firstLineChars="180"/>
        <w:rPr>
          <w:rFonts w:ascii="宋体" w:hAnsi="宋体"/>
          <w:color w:val="auto"/>
          <w:kern w:val="56"/>
          <w:sz w:val="24"/>
          <w:highlight w:val="none"/>
        </w:rPr>
      </w:pPr>
      <w:r>
        <w:rPr>
          <w:rFonts w:hint="eastAsia" w:ascii="宋体" w:hAnsi="宋体"/>
          <w:b/>
          <w:bCs/>
          <w:color w:val="auto"/>
          <w:kern w:val="56"/>
          <w:sz w:val="24"/>
          <w:highlight w:val="none"/>
        </w:rPr>
        <w:t>注：</w:t>
      </w:r>
      <w:r>
        <w:rPr>
          <w:rFonts w:hint="eastAsia" w:ascii="宋体" w:hAnsi="宋体"/>
          <w:color w:val="auto"/>
          <w:kern w:val="56"/>
          <w:sz w:val="24"/>
          <w:highlight w:val="none"/>
        </w:rPr>
        <w:t xml:space="preserve">附上岗证和安全员安全考核合格证复印件。 </w:t>
      </w:r>
    </w:p>
    <w:p>
      <w:pPr>
        <w:ind w:firstLine="432" w:firstLineChars="180"/>
        <w:jc w:val="center"/>
        <w:rPr>
          <w:rFonts w:ascii="宋体" w:hAnsi="宋体"/>
          <w:color w:val="auto"/>
          <w:kern w:val="56"/>
          <w:sz w:val="24"/>
          <w:highlight w:val="none"/>
        </w:rPr>
      </w:pPr>
    </w:p>
    <w:p>
      <w:pPr>
        <w:pStyle w:val="12"/>
        <w:spacing w:line="440" w:lineRule="exact"/>
        <w:jc w:val="both"/>
        <w:outlineLvl w:val="2"/>
        <w:rPr>
          <w:rFonts w:hint="eastAsia" w:hAnsi="宋体"/>
          <w:b/>
          <w:color w:val="auto"/>
          <w:sz w:val="36"/>
          <w:szCs w:val="36"/>
          <w:highlight w:val="none"/>
        </w:rPr>
      </w:pPr>
    </w:p>
    <w:p>
      <w:pPr>
        <w:pStyle w:val="12"/>
        <w:spacing w:line="440" w:lineRule="exact"/>
        <w:jc w:val="both"/>
        <w:outlineLvl w:val="2"/>
        <w:rPr>
          <w:rFonts w:hint="eastAsia" w:hAnsi="宋体"/>
          <w:b/>
          <w:color w:val="auto"/>
          <w:sz w:val="36"/>
          <w:szCs w:val="36"/>
          <w:highlight w:val="none"/>
        </w:rPr>
      </w:pPr>
    </w:p>
    <w:p>
      <w:pPr>
        <w:pStyle w:val="12"/>
        <w:spacing w:line="440" w:lineRule="exact"/>
        <w:jc w:val="both"/>
        <w:outlineLvl w:val="2"/>
        <w:rPr>
          <w:rFonts w:hint="eastAsia" w:hAnsi="宋体"/>
          <w:b/>
          <w:color w:val="auto"/>
          <w:sz w:val="36"/>
          <w:szCs w:val="36"/>
          <w:highlight w:val="none"/>
        </w:rPr>
      </w:pPr>
    </w:p>
    <w:p>
      <w:pPr>
        <w:pStyle w:val="12"/>
        <w:spacing w:line="440" w:lineRule="exact"/>
        <w:jc w:val="both"/>
        <w:outlineLvl w:val="2"/>
        <w:rPr>
          <w:rFonts w:hint="eastAsia" w:hAnsi="宋体"/>
          <w:b/>
          <w:color w:val="auto"/>
          <w:sz w:val="36"/>
          <w:szCs w:val="36"/>
          <w:highlight w:val="none"/>
        </w:rPr>
      </w:pPr>
      <w:r>
        <w:rPr>
          <w:rFonts w:hint="eastAsia" w:hAnsi="宋体"/>
          <w:b/>
          <w:color w:val="auto"/>
          <w:sz w:val="36"/>
          <w:szCs w:val="36"/>
          <w:highlight w:val="none"/>
        </w:rPr>
        <w:t>三、竞争性磋商文件要求的其他材料</w:t>
      </w: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center"/>
        <w:outlineLvl w:val="2"/>
        <w:rPr>
          <w:rFonts w:ascii="宋体" w:hAnsi="宋体"/>
          <w:b/>
          <w:color w:val="auto"/>
          <w:kern w:val="56"/>
          <w:sz w:val="52"/>
          <w:szCs w:val="52"/>
          <w:highlight w:val="none"/>
        </w:rPr>
      </w:pPr>
    </w:p>
    <w:p>
      <w:pPr>
        <w:pStyle w:val="12"/>
        <w:spacing w:line="440" w:lineRule="exact"/>
        <w:jc w:val="both"/>
        <w:outlineLvl w:val="2"/>
        <w:rPr>
          <w:rFonts w:ascii="宋体" w:hAnsi="宋体"/>
          <w:b/>
          <w:color w:val="auto"/>
          <w:kern w:val="56"/>
          <w:sz w:val="52"/>
          <w:szCs w:val="52"/>
          <w:highlight w:val="none"/>
        </w:rPr>
      </w:pPr>
    </w:p>
    <w:p>
      <w:pPr>
        <w:pStyle w:val="12"/>
        <w:spacing w:line="440" w:lineRule="exact"/>
        <w:jc w:val="center"/>
        <w:outlineLvl w:val="2"/>
        <w:rPr>
          <w:rFonts w:hAnsi="宋体"/>
          <w:b/>
          <w:color w:val="auto"/>
          <w:sz w:val="24"/>
          <w:highlight w:val="none"/>
        </w:rPr>
      </w:pPr>
      <w:r>
        <w:rPr>
          <w:rFonts w:hint="eastAsia" w:ascii="宋体" w:hAnsi="宋体" w:cs="Courier New"/>
          <w:b/>
          <w:bCs/>
          <w:iCs/>
          <w:color w:val="auto"/>
          <w:sz w:val="36"/>
          <w:highlight w:val="none"/>
        </w:rPr>
        <w:t>第</w:t>
      </w:r>
      <w:r>
        <w:rPr>
          <w:rFonts w:hint="eastAsia" w:ascii="宋体" w:hAnsi="宋体" w:cs="Courier New"/>
          <w:b/>
          <w:bCs/>
          <w:iCs/>
          <w:color w:val="auto"/>
          <w:sz w:val="36"/>
          <w:highlight w:val="none"/>
          <w:lang w:eastAsia="zh-CN"/>
        </w:rPr>
        <w:t>四</w:t>
      </w:r>
      <w:r>
        <w:rPr>
          <w:rFonts w:hint="eastAsia" w:ascii="宋体" w:hAnsi="宋体" w:cs="Courier New"/>
          <w:b/>
          <w:bCs/>
          <w:iCs/>
          <w:color w:val="auto"/>
          <w:sz w:val="36"/>
          <w:highlight w:val="none"/>
        </w:rPr>
        <w:t>章：技术规范</w:t>
      </w:r>
    </w:p>
    <w:p>
      <w:pPr>
        <w:rPr>
          <w:color w:val="auto"/>
          <w:highlight w:val="none"/>
        </w:rPr>
      </w:pPr>
    </w:p>
    <w:p>
      <w:pPr>
        <w:rPr>
          <w:color w:val="auto"/>
          <w:highlight w:val="none"/>
        </w:rPr>
      </w:pPr>
    </w:p>
    <w:p>
      <w:pPr>
        <w:ind w:firstLine="630" w:firstLineChars="300"/>
        <w:rPr>
          <w:color w:val="auto"/>
          <w:highlight w:val="none"/>
        </w:rPr>
      </w:pPr>
      <w:r>
        <w:rPr>
          <w:rFonts w:hint="eastAsia"/>
          <w:color w:val="auto"/>
          <w:highlight w:val="none"/>
        </w:rPr>
        <w:t>本磋商工程，按照设计施工图纸的要求进行施工，同时也要严格执行工业与民用建筑工程、水电工程和安装工程等各专业有关的现行标准和技术规范。</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20" w:lineRule="exact"/>
        <w:jc w:val="center"/>
        <w:rPr>
          <w:color w:val="auto"/>
          <w:highlight w:val="none"/>
        </w:rPr>
      </w:pPr>
      <w:r>
        <w:rPr>
          <w:color w:val="auto"/>
          <w:highlight w:val="none"/>
        </w:rPr>
        <w:br w:type="page"/>
      </w:r>
    </w:p>
    <w:p>
      <w:pPr>
        <w:spacing w:line="520" w:lineRule="exact"/>
        <w:jc w:val="center"/>
        <w:rPr>
          <w:rFonts w:hint="eastAsia" w:ascii="宋体" w:hAnsi="宋体" w:cs="Courier New"/>
          <w:b/>
          <w:bCs/>
          <w:iCs/>
          <w:color w:val="auto"/>
          <w:sz w:val="36"/>
          <w:highlight w:val="none"/>
          <w:lang w:eastAsia="zh-CN"/>
        </w:rPr>
      </w:pPr>
      <w:r>
        <w:rPr>
          <w:rFonts w:hint="eastAsia" w:ascii="宋体" w:hAnsi="宋体" w:cs="Courier New"/>
          <w:b/>
          <w:bCs/>
          <w:iCs/>
          <w:color w:val="auto"/>
          <w:sz w:val="36"/>
          <w:highlight w:val="none"/>
        </w:rPr>
        <w:t>第</w:t>
      </w:r>
      <w:r>
        <w:rPr>
          <w:rFonts w:hint="eastAsia" w:ascii="宋体" w:hAnsi="宋体" w:cs="Courier New"/>
          <w:b/>
          <w:bCs/>
          <w:iCs/>
          <w:color w:val="auto"/>
          <w:sz w:val="36"/>
          <w:highlight w:val="none"/>
          <w:lang w:eastAsia="zh-CN"/>
        </w:rPr>
        <w:t>五</w:t>
      </w:r>
      <w:r>
        <w:rPr>
          <w:rFonts w:hint="eastAsia" w:ascii="宋体" w:hAnsi="宋体" w:cs="Courier New"/>
          <w:b/>
          <w:bCs/>
          <w:iCs/>
          <w:color w:val="auto"/>
          <w:sz w:val="36"/>
          <w:highlight w:val="none"/>
        </w:rPr>
        <w:t>章：</w:t>
      </w:r>
      <w:r>
        <w:rPr>
          <w:rFonts w:hint="eastAsia" w:ascii="宋体" w:hAnsi="宋体" w:cs="Courier New"/>
          <w:b/>
          <w:bCs/>
          <w:iCs/>
          <w:color w:val="auto"/>
          <w:sz w:val="36"/>
          <w:highlight w:val="none"/>
          <w:lang w:eastAsia="zh-CN"/>
        </w:rPr>
        <w:t>施工图纸</w:t>
      </w:r>
    </w:p>
    <w:p>
      <w:pPr>
        <w:pStyle w:val="2"/>
        <w:rPr>
          <w:rFonts w:hint="eastAsia" w:cs="Courier New"/>
          <w:b/>
          <w:bCs/>
          <w:iCs/>
          <w:color w:val="auto"/>
          <w:sz w:val="36"/>
          <w:highlight w:val="none"/>
          <w:lang w:val="en-US" w:eastAsia="zh-CN"/>
        </w:rPr>
      </w:pPr>
      <w:r>
        <w:rPr>
          <w:rFonts w:hint="eastAsia" w:cs="Courier New"/>
          <w:b/>
          <w:bCs/>
          <w:iCs/>
          <w:color w:val="auto"/>
          <w:sz w:val="36"/>
          <w:highlight w:val="none"/>
          <w:lang w:val="en-US" w:eastAsia="zh-CN"/>
        </w:rPr>
        <w:t xml:space="preserve">                       （另附）</w:t>
      </w:r>
    </w:p>
    <w:p>
      <w:pPr>
        <w:jc w:val="center"/>
        <w:rPr>
          <w:rFonts w:hint="default"/>
          <w:b/>
          <w:bCs/>
          <w:sz w:val="28"/>
          <w:szCs w:val="28"/>
          <w:lang w:val="en-US" w:eastAsia="zh-CN"/>
        </w:rPr>
      </w:pPr>
      <w:r>
        <w:rPr>
          <w:rFonts w:hint="eastAsia" w:cs="Courier New"/>
          <w:b/>
          <w:bCs/>
          <w:iCs/>
          <w:color w:val="auto"/>
          <w:sz w:val="28"/>
          <w:szCs w:val="28"/>
          <w:highlight w:val="none"/>
          <w:lang w:val="en-US" w:eastAsia="zh-CN"/>
        </w:rPr>
        <w:t>(由于图纸过大，贵港市政府采购网（http://zfcg.czj.gxgg.gov.cn/）无法上传图纸，供应商可以在下载标书</w:t>
      </w:r>
      <w:bookmarkStart w:id="602" w:name="_GoBack"/>
      <w:bookmarkEnd w:id="602"/>
      <w:r>
        <w:rPr>
          <w:rFonts w:hint="eastAsia" w:cs="Courier New"/>
          <w:b/>
          <w:bCs/>
          <w:iCs/>
          <w:color w:val="auto"/>
          <w:sz w:val="28"/>
          <w:szCs w:val="28"/>
          <w:highlight w:val="none"/>
          <w:lang w:val="en-US" w:eastAsia="zh-CN"/>
        </w:rPr>
        <w:t>成功后联系代理机构要施工图纸)</w:t>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28"/>
        <w:jc w:val="center"/>
        <w:rPr>
          <w:rFonts w:ascii="宋体" w:hAnsi="宋体" w:eastAsia="宋体" w:cs="宋体"/>
          <w:color w:val="auto"/>
          <w:szCs w:val="21"/>
          <w:highlight w:val="none"/>
        </w:rPr>
      </w:pPr>
      <w:r>
        <w:rPr>
          <w:rFonts w:hint="eastAsia" w:ascii="宋体" w:hAnsi="宋体" w:eastAsia="宋体" w:cs="宋体"/>
          <w:b/>
          <w:bCs/>
          <w:color w:val="auto"/>
          <w:kern w:val="44"/>
          <w:sz w:val="32"/>
          <w:szCs w:val="32"/>
          <w:highlight w:val="none"/>
        </w:rPr>
        <w:t>第六章  评标办法（综合评标法）</w:t>
      </w:r>
    </w:p>
    <w:p>
      <w:pPr>
        <w:pStyle w:val="12"/>
        <w:spacing w:line="420" w:lineRule="exact"/>
        <w:ind w:firstLine="417" w:firstLineChars="199"/>
        <w:rPr>
          <w:rFonts w:hAnsi="宋体" w:cs="宋体"/>
          <w:color w:val="auto"/>
          <w:szCs w:val="21"/>
          <w:highlight w:val="none"/>
        </w:rPr>
      </w:pPr>
      <w:r>
        <w:rPr>
          <w:rFonts w:hint="eastAsia" w:hAnsi="宋体" w:cs="宋体"/>
          <w:color w:val="auto"/>
          <w:szCs w:val="21"/>
          <w:highlight w:val="none"/>
        </w:rPr>
        <w:t>一、评标原则</w:t>
      </w:r>
    </w:p>
    <w:p>
      <w:pPr>
        <w:pStyle w:val="12"/>
        <w:spacing w:line="420" w:lineRule="exact"/>
        <w:ind w:firstLine="417" w:firstLineChars="199"/>
        <w:rPr>
          <w:rFonts w:hAnsi="宋体" w:cs="宋体"/>
          <w:color w:val="auto"/>
          <w:szCs w:val="21"/>
          <w:highlight w:val="none"/>
        </w:rPr>
      </w:pPr>
      <w:r>
        <w:rPr>
          <w:rFonts w:hint="eastAsia" w:hAnsi="宋体" w:cs="宋体"/>
          <w:color w:val="auto"/>
          <w:szCs w:val="21"/>
          <w:highlight w:val="none"/>
        </w:rPr>
        <w:t>(一) 竞争性磋商小组构成：本采购项目的竞争性磋商小组由依法组成的业主代表、专家共三</w:t>
      </w:r>
    </w:p>
    <w:p>
      <w:pPr>
        <w:pStyle w:val="12"/>
        <w:spacing w:line="420" w:lineRule="exact"/>
        <w:ind w:firstLine="417" w:firstLineChars="199"/>
        <w:rPr>
          <w:rFonts w:hAnsi="宋体" w:cs="宋体"/>
          <w:color w:val="auto"/>
          <w:szCs w:val="21"/>
          <w:highlight w:val="none"/>
        </w:rPr>
      </w:pPr>
      <w:r>
        <w:rPr>
          <w:rFonts w:hint="eastAsia" w:hAnsi="宋体" w:cs="宋体"/>
          <w:color w:val="auto"/>
          <w:szCs w:val="21"/>
          <w:highlight w:val="none"/>
        </w:rPr>
        <w:t>人以上单数构成，其中专家人数不少于成员总数的三分之二。</w:t>
      </w:r>
    </w:p>
    <w:p>
      <w:pPr>
        <w:pStyle w:val="12"/>
        <w:spacing w:line="420" w:lineRule="exact"/>
        <w:ind w:firstLine="417" w:firstLineChars="199"/>
        <w:rPr>
          <w:rFonts w:hAnsi="宋体" w:cs="宋体"/>
          <w:color w:val="auto"/>
          <w:szCs w:val="21"/>
          <w:highlight w:val="none"/>
        </w:rPr>
      </w:pPr>
      <w:r>
        <w:rPr>
          <w:rFonts w:hint="eastAsia" w:hAnsi="宋体" w:cs="宋体"/>
          <w:color w:val="auto"/>
          <w:szCs w:val="21"/>
          <w:highlight w:val="none"/>
        </w:rPr>
        <w:t>(二)评标依据：竞争性磋商小组将以竞争性磋商采购文件、磋商响应文件为评标依据，对供应</w:t>
      </w:r>
    </w:p>
    <w:p>
      <w:pPr>
        <w:pStyle w:val="12"/>
        <w:spacing w:line="420" w:lineRule="exact"/>
        <w:ind w:firstLine="417" w:firstLineChars="199"/>
        <w:rPr>
          <w:rFonts w:hAnsi="宋体" w:cs="宋体"/>
          <w:color w:val="auto"/>
          <w:szCs w:val="21"/>
          <w:highlight w:val="none"/>
        </w:rPr>
      </w:pPr>
      <w:r>
        <w:rPr>
          <w:rFonts w:hint="eastAsia" w:hAnsi="宋体" w:cs="宋体"/>
          <w:color w:val="auto"/>
          <w:szCs w:val="21"/>
          <w:highlight w:val="none"/>
        </w:rPr>
        <w:t>商的各项因素进行打分。</w:t>
      </w:r>
    </w:p>
    <w:p>
      <w:pPr>
        <w:pStyle w:val="12"/>
        <w:spacing w:line="420" w:lineRule="exact"/>
        <w:ind w:firstLine="420" w:firstLineChars="200"/>
        <w:rPr>
          <w:rFonts w:hAnsi="宋体" w:cs="宋体"/>
          <w:color w:val="auto"/>
          <w:szCs w:val="21"/>
          <w:highlight w:val="none"/>
        </w:rPr>
      </w:pPr>
      <w:r>
        <w:rPr>
          <w:rFonts w:hint="eastAsia" w:hAnsi="宋体" w:cs="宋体"/>
          <w:color w:val="auto"/>
          <w:szCs w:val="21"/>
          <w:highlight w:val="none"/>
        </w:rPr>
        <w:t>(三)评标方式：以封闭方式进行</w:t>
      </w:r>
    </w:p>
    <w:p>
      <w:pPr>
        <w:pStyle w:val="12"/>
        <w:spacing w:line="420" w:lineRule="exact"/>
        <w:rPr>
          <w:rFonts w:hAnsi="宋体" w:cs="宋体"/>
          <w:color w:val="auto"/>
          <w:szCs w:val="21"/>
          <w:highlight w:val="none"/>
        </w:rPr>
      </w:pPr>
      <w:r>
        <w:rPr>
          <w:rFonts w:hint="eastAsia" w:hAnsi="宋体" w:cs="宋体"/>
          <w:color w:val="auto"/>
          <w:szCs w:val="21"/>
          <w:highlight w:val="none"/>
        </w:rPr>
        <w:t>二、评审办法</w:t>
      </w:r>
    </w:p>
    <w:p>
      <w:pPr>
        <w:pStyle w:val="12"/>
        <w:spacing w:line="420" w:lineRule="exact"/>
        <w:rPr>
          <w:rFonts w:hAnsi="宋体" w:cs="宋体"/>
          <w:color w:val="auto"/>
          <w:szCs w:val="21"/>
          <w:highlight w:val="none"/>
        </w:rPr>
      </w:pPr>
      <w:r>
        <w:rPr>
          <w:rFonts w:hint="eastAsia" w:hAnsi="宋体" w:cs="宋体"/>
          <w:color w:val="auto"/>
          <w:szCs w:val="21"/>
          <w:highlight w:val="none"/>
        </w:rPr>
        <w:t>（一）对进入详评的，采用综合评分法。</w:t>
      </w:r>
    </w:p>
    <w:p>
      <w:pPr>
        <w:pStyle w:val="12"/>
        <w:spacing w:line="420" w:lineRule="exact"/>
        <w:rPr>
          <w:rFonts w:hAnsi="宋体" w:cs="宋体"/>
          <w:color w:val="auto"/>
          <w:szCs w:val="21"/>
          <w:highlight w:val="none"/>
        </w:rPr>
      </w:pPr>
      <w:r>
        <w:rPr>
          <w:rFonts w:hint="eastAsia" w:hAnsi="宋体" w:cs="宋体"/>
          <w:color w:val="auto"/>
          <w:szCs w:val="21"/>
          <w:highlight w:val="none"/>
        </w:rPr>
        <w:t>（二）计分办法（按四舍五入取至小数点后二位）</w:t>
      </w:r>
    </w:p>
    <w:p>
      <w:pPr>
        <w:pStyle w:val="12"/>
        <w:spacing w:line="420" w:lineRule="exact"/>
        <w:rPr>
          <w:rFonts w:hAnsi="宋体" w:cs="宋体"/>
          <w:b/>
          <w:bCs/>
          <w:color w:val="auto"/>
          <w:szCs w:val="21"/>
          <w:highlight w:val="none"/>
        </w:rPr>
      </w:pPr>
      <w:r>
        <w:rPr>
          <w:rFonts w:hint="eastAsia" w:hAnsi="宋体" w:cs="宋体"/>
          <w:b/>
          <w:bCs/>
          <w:color w:val="auto"/>
          <w:szCs w:val="21"/>
          <w:highlight w:val="none"/>
        </w:rPr>
        <w:t>1.价格分………………………………………………………………………………………</w:t>
      </w:r>
      <w:r>
        <w:rPr>
          <w:rFonts w:hint="eastAsia" w:hAnsi="宋体" w:cs="宋体"/>
          <w:b/>
          <w:bCs/>
          <w:color w:val="auto"/>
          <w:szCs w:val="21"/>
          <w:highlight w:val="none"/>
          <w:lang w:val="en-US" w:eastAsia="zh-CN"/>
        </w:rPr>
        <w:t>45</w:t>
      </w:r>
      <w:r>
        <w:rPr>
          <w:rFonts w:hint="eastAsia" w:hAnsi="宋体" w:cs="宋体"/>
          <w:b/>
          <w:bCs/>
          <w:color w:val="auto"/>
          <w:szCs w:val="21"/>
          <w:highlight w:val="none"/>
        </w:rPr>
        <w:t xml:space="preserve"> 分</w:t>
      </w:r>
    </w:p>
    <w:p>
      <w:pPr>
        <w:pStyle w:val="12"/>
        <w:spacing w:line="420" w:lineRule="exact"/>
        <w:ind w:firstLine="420" w:firstLineChars="200"/>
        <w:rPr>
          <w:rFonts w:hAnsi="宋体" w:cs="宋体"/>
          <w:color w:val="auto"/>
          <w:szCs w:val="21"/>
          <w:highlight w:val="none"/>
        </w:rPr>
      </w:pPr>
      <w:r>
        <w:rPr>
          <w:rFonts w:hint="eastAsia" w:hAnsi="宋体" w:cs="宋体"/>
          <w:color w:val="auto"/>
          <w:szCs w:val="21"/>
          <w:highlight w:val="none"/>
        </w:rPr>
        <w:t>（1）按照《政府采购促进中小企业发展暂行办法》（财库[2011]181号），竞标单位认定为小型和微型企业（以竞标文件提供的符合规定的有关证明材料为准）且所投产品均为小型和微型企业产品的，以及《关于政府采购支持监狱企业发展有关问题的通知》(财库[2014]68号)认定为监狱企业的，视同小型、微型企业。对竞标价给予</w:t>
      </w:r>
      <w:r>
        <w:rPr>
          <w:rFonts w:hAnsi="宋体" w:cs="宋体"/>
          <w:color w:val="auto"/>
          <w:szCs w:val="21"/>
          <w:highlight w:val="none"/>
        </w:rPr>
        <w:t>10</w:t>
      </w:r>
      <w:r>
        <w:rPr>
          <w:rFonts w:hint="eastAsia" w:hAnsi="宋体" w:cs="宋体"/>
          <w:color w:val="auto"/>
          <w:szCs w:val="21"/>
          <w:highlight w:val="none"/>
        </w:rPr>
        <w:t>%的扣除，扣除后的价格为评标报价，即评标报价=磋商报价×（1-</w:t>
      </w:r>
      <w:r>
        <w:rPr>
          <w:rFonts w:hAnsi="宋体" w:cs="宋体"/>
          <w:color w:val="auto"/>
          <w:szCs w:val="21"/>
          <w:highlight w:val="none"/>
        </w:rPr>
        <w:t>10</w:t>
      </w:r>
      <w:r>
        <w:rPr>
          <w:rFonts w:hint="eastAsia" w:hAnsi="宋体" w:cs="宋体"/>
          <w:color w:val="auto"/>
          <w:szCs w:val="21"/>
          <w:highlight w:val="none"/>
        </w:rPr>
        <w:t>%）；除上述情况外，评标报价=磋商报价。</w:t>
      </w:r>
    </w:p>
    <w:p>
      <w:pPr>
        <w:pStyle w:val="12"/>
        <w:spacing w:line="420" w:lineRule="exact"/>
        <w:ind w:firstLine="420" w:firstLineChars="200"/>
        <w:rPr>
          <w:rFonts w:hAnsi="宋体" w:cs="宋体"/>
          <w:color w:val="auto"/>
          <w:szCs w:val="21"/>
          <w:highlight w:val="none"/>
        </w:rPr>
      </w:pPr>
      <w:r>
        <w:rPr>
          <w:rFonts w:hint="eastAsia" w:hAnsi="宋体" w:cs="宋体"/>
          <w:color w:val="auto"/>
          <w:szCs w:val="21"/>
          <w:highlight w:val="none"/>
        </w:rPr>
        <w:t>（2）根据财政部、司法部关于政府采购支持监狱企业发展有关问题的通知（财库[2014]68号），监狱企业视同小型、微型企业，享受小型、微型企业评审中价格扣除的政府采购政策。根据《财政部 民政部 中国残疾人联合会关于促进残疾人就业政府采购政策的通知》（财库[2017]141 号），供应商认定为残疾人福利性单位的，视同小型、微型企业；残疾人福利性单位。</w:t>
      </w:r>
    </w:p>
    <w:p>
      <w:pPr>
        <w:pStyle w:val="12"/>
        <w:spacing w:line="420" w:lineRule="exact"/>
        <w:ind w:firstLine="420" w:firstLineChars="200"/>
        <w:rPr>
          <w:rFonts w:hAnsi="宋体" w:cs="宋体"/>
          <w:color w:val="auto"/>
          <w:szCs w:val="21"/>
          <w:highlight w:val="none"/>
        </w:rPr>
      </w:pPr>
      <w:r>
        <w:rPr>
          <w:rFonts w:hint="eastAsia" w:hAnsi="宋体" w:cs="宋体"/>
          <w:color w:val="auto"/>
          <w:szCs w:val="21"/>
          <w:highlight w:val="none"/>
        </w:rPr>
        <w:t>参加政府采购活动时，应当提供《残疾人福利性单位声明函》，否则不予价格扣除。残疾人福利性单位属于小型、微型企业的，不重复享受政策。</w:t>
      </w:r>
    </w:p>
    <w:p>
      <w:pPr>
        <w:pStyle w:val="12"/>
        <w:spacing w:line="420" w:lineRule="exact"/>
        <w:ind w:firstLine="420" w:firstLineChars="200"/>
        <w:rPr>
          <w:rFonts w:hAnsi="宋体" w:cs="宋体"/>
          <w:color w:val="auto"/>
          <w:szCs w:val="21"/>
          <w:highlight w:val="none"/>
        </w:rPr>
      </w:pPr>
      <w:r>
        <w:rPr>
          <w:rFonts w:hint="eastAsia" w:hAnsi="宋体" w:cs="宋体"/>
          <w:color w:val="auto"/>
          <w:szCs w:val="21"/>
          <w:highlight w:val="none"/>
        </w:rPr>
        <w:t xml:space="preserve">（3）以进入详评的且最后报价最低的供应商的价格为磋商基准价，其价格分为 </w:t>
      </w:r>
      <w:r>
        <w:rPr>
          <w:rFonts w:hint="eastAsia" w:hAnsi="宋体" w:cs="宋体"/>
          <w:color w:val="auto"/>
          <w:szCs w:val="21"/>
          <w:highlight w:val="none"/>
          <w:lang w:val="en-US" w:eastAsia="zh-CN"/>
        </w:rPr>
        <w:t>45</w:t>
      </w:r>
      <w:r>
        <w:rPr>
          <w:rFonts w:hint="eastAsia" w:hAnsi="宋体" w:cs="宋体"/>
          <w:color w:val="auto"/>
          <w:szCs w:val="21"/>
          <w:highlight w:val="none"/>
        </w:rPr>
        <w:t xml:space="preserve"> 分。</w:t>
      </w:r>
    </w:p>
    <w:p>
      <w:pPr>
        <w:pStyle w:val="12"/>
        <w:spacing w:line="420" w:lineRule="exact"/>
        <w:ind w:firstLine="420" w:firstLineChars="200"/>
        <w:rPr>
          <w:rFonts w:hAnsi="宋体" w:cs="宋体"/>
          <w:color w:val="auto"/>
          <w:szCs w:val="21"/>
          <w:highlight w:val="none"/>
        </w:rPr>
      </w:pPr>
      <w:r>
        <w:rPr>
          <w:rFonts w:hint="eastAsia" w:hAnsi="宋体" w:cs="宋体"/>
          <w:color w:val="auto"/>
          <w:szCs w:val="21"/>
          <w:highlight w:val="none"/>
        </w:rPr>
        <w:t>（4）磋商报价得分=（磋商基准价/最后磋商报价）×</w:t>
      </w:r>
      <w:r>
        <w:rPr>
          <w:rFonts w:hint="eastAsia" w:hAnsi="宋体" w:cs="宋体"/>
          <w:color w:val="auto"/>
          <w:szCs w:val="21"/>
          <w:highlight w:val="none"/>
          <w:lang w:val="en-US" w:eastAsia="zh-CN"/>
        </w:rPr>
        <w:t>45</w:t>
      </w:r>
      <w:r>
        <w:rPr>
          <w:rFonts w:hint="eastAsia" w:hAnsi="宋体" w:cs="宋体"/>
          <w:color w:val="auto"/>
          <w:szCs w:val="21"/>
          <w:highlight w:val="none"/>
        </w:rPr>
        <w:t xml:space="preserve"> 分</w:t>
      </w:r>
    </w:p>
    <w:p>
      <w:pPr>
        <w:adjustRightInd w:val="0"/>
        <w:spacing w:line="500" w:lineRule="exact"/>
        <w:ind w:firstLine="310" w:firstLineChars="147"/>
        <w:textAlignment w:val="baseline"/>
        <w:rPr>
          <w:b/>
          <w:color w:val="auto"/>
          <w:kern w:val="0"/>
          <w:szCs w:val="21"/>
          <w:highlight w:val="none"/>
        </w:rPr>
      </w:pPr>
      <w:r>
        <w:rPr>
          <w:rFonts w:hint="eastAsia"/>
          <w:b/>
          <w:color w:val="auto"/>
          <w:kern w:val="0"/>
          <w:szCs w:val="21"/>
          <w:highlight w:val="none"/>
        </w:rPr>
        <w:t>2</w:t>
      </w:r>
      <w:r>
        <w:rPr>
          <w:b/>
          <w:color w:val="auto"/>
          <w:kern w:val="0"/>
          <w:szCs w:val="21"/>
          <w:highlight w:val="none"/>
        </w:rPr>
        <w:t>、</w:t>
      </w:r>
      <w:r>
        <w:rPr>
          <w:rFonts w:hint="eastAsia" w:ascii="宋体" w:hAnsi="宋体"/>
          <w:b/>
          <w:color w:val="auto"/>
          <w:szCs w:val="21"/>
          <w:highlight w:val="none"/>
        </w:rPr>
        <w:t>施工组织设计方案分</w:t>
      </w:r>
      <w:r>
        <w:rPr>
          <w:b/>
          <w:color w:val="auto"/>
          <w:kern w:val="0"/>
          <w:szCs w:val="21"/>
          <w:highlight w:val="none"/>
        </w:rPr>
        <w:t>………………………………………………………………………………</w:t>
      </w:r>
      <w:r>
        <w:rPr>
          <w:rFonts w:hint="eastAsia"/>
          <w:b/>
          <w:color w:val="auto"/>
          <w:kern w:val="0"/>
          <w:szCs w:val="21"/>
          <w:highlight w:val="none"/>
        </w:rPr>
        <w:t>25</w:t>
      </w:r>
      <w:r>
        <w:rPr>
          <w:b/>
          <w:color w:val="auto"/>
          <w:kern w:val="0"/>
          <w:szCs w:val="21"/>
          <w:highlight w:val="none"/>
        </w:rPr>
        <w:t>分</w:t>
      </w:r>
    </w:p>
    <w:p>
      <w:pPr>
        <w:pStyle w:val="37"/>
        <w:spacing w:line="460" w:lineRule="exact"/>
        <w:ind w:left="101" w:leftChars="48" w:firstLine="315" w:firstLineChars="150"/>
        <w:rPr>
          <w:rFonts w:hint="eastAsia" w:hAnsi="宋体"/>
          <w:color w:val="auto"/>
          <w:sz w:val="21"/>
          <w:highlight w:val="none"/>
          <w:lang w:eastAsia="zh-CN"/>
        </w:rPr>
      </w:pPr>
      <w:r>
        <w:rPr>
          <w:rFonts w:hint="eastAsia" w:hAnsi="宋体"/>
          <w:color w:val="auto"/>
          <w:sz w:val="21"/>
          <w:highlight w:val="none"/>
          <w:lang w:eastAsia="zh-CN"/>
        </w:rPr>
        <w:t>由评委在打分前根据各供应商的项目施工组织设计方案集体讨论确定各供应商所属档次，然后评委在各档次内独立打分。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2.1主要施工方法（满分5分）</w:t>
      </w: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kern w:val="0"/>
          <w:szCs w:val="21"/>
          <w:highlight w:val="none"/>
        </w:rPr>
        <w:t>各主要分部施工方法基本符合项目实际，施工技术方案基本齐全，方法基本合理、基本可行，基本能指导具体施工并确保安全</w:t>
      </w:r>
      <w:r>
        <w:rPr>
          <w:rFonts w:hint="eastAsia" w:ascii="宋体" w:hAnsi="宋体" w:cs="宋体"/>
          <w:color w:val="auto"/>
          <w:szCs w:val="21"/>
          <w:highlight w:val="none"/>
        </w:rPr>
        <w:t>；</w:t>
      </w: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分）：各主要分部施工方法符合项目实际，施工技术方案齐全，工艺成熟、方法合理、可行，能指导具体施工并确保安全。 </w:t>
      </w:r>
    </w:p>
    <w:p>
      <w:pPr>
        <w:snapToGrid w:val="0"/>
        <w:spacing w:line="460" w:lineRule="exact"/>
        <w:ind w:firstLine="420" w:firstLineChars="200"/>
        <w:rPr>
          <w:rFonts w:hint="eastAsia" w:ascii="宋体" w:hAnsi="宋体" w:cs="宋体"/>
          <w:color w:val="auto"/>
          <w:kern w:val="0"/>
          <w:szCs w:val="21"/>
          <w:highlight w:val="none"/>
        </w:rPr>
      </w:pP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～5分）：各主要分部施工方法针对性强，施工技术方案详尽周密，工艺先进、方法科学、可行，能很好的指导具体施工并确保安全。</w:t>
      </w:r>
    </w:p>
    <w:p>
      <w:pPr>
        <w:snapToGrid w:val="0"/>
        <w:spacing w:line="46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2.2拟投入的主要施工机械、人力计划（满分5分）</w:t>
      </w: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一档（0.1～2分）：</w:t>
      </w:r>
      <w:r>
        <w:rPr>
          <w:rFonts w:hint="eastAsia" w:ascii="宋体" w:hAnsi="宋体" w:cs="宋体"/>
          <w:color w:val="auto"/>
          <w:kern w:val="0"/>
          <w:szCs w:val="21"/>
          <w:highlight w:val="none"/>
        </w:rPr>
        <w:t>投入的施工机械、设备、机具组织计划差，</w:t>
      </w:r>
      <w:r>
        <w:rPr>
          <w:rFonts w:hint="eastAsia" w:ascii="宋体" w:hAnsi="宋体" w:cs="宋体"/>
          <w:color w:val="auto"/>
          <w:szCs w:val="21"/>
          <w:highlight w:val="none"/>
        </w:rPr>
        <w:t>投入计划与进度计划不呼应，不能满足施工需要；</w:t>
      </w:r>
      <w:r>
        <w:rPr>
          <w:rFonts w:hint="eastAsia" w:ascii="宋体" w:hAnsi="宋体" w:cs="宋体"/>
          <w:color w:val="auto"/>
          <w:kern w:val="0"/>
          <w:szCs w:val="21"/>
          <w:highlight w:val="none"/>
        </w:rPr>
        <w:t>劳动力安排计划不全，无各工种劳动力安排计划或计划不全，劳动力投入不合理，不能满足施工需要。</w:t>
      </w:r>
      <w:r>
        <w:rPr>
          <w:rFonts w:hint="eastAsia" w:ascii="宋体" w:hAnsi="宋体" w:cs="宋体"/>
          <w:color w:val="auto"/>
          <w:szCs w:val="21"/>
          <w:highlight w:val="none"/>
        </w:rPr>
        <w:t xml:space="preserve"> </w:t>
      </w: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二档（2.1～3.5分）：</w:t>
      </w:r>
      <w:r>
        <w:rPr>
          <w:rFonts w:hint="eastAsia" w:ascii="宋体" w:hAnsi="宋体" w:cs="宋体"/>
          <w:color w:val="auto"/>
          <w:kern w:val="0"/>
          <w:szCs w:val="21"/>
          <w:highlight w:val="none"/>
        </w:rPr>
        <w:t>投入的施工机械、设备、机具有组织计划，设备数量、选型配置、进场</w:t>
      </w:r>
      <w:r>
        <w:rPr>
          <w:rFonts w:hint="eastAsia" w:ascii="宋体" w:hAnsi="宋体" w:cs="宋体"/>
          <w:color w:val="auto"/>
          <w:szCs w:val="21"/>
          <w:highlight w:val="none"/>
        </w:rPr>
        <w:t>投入计划与进度计划呼应，基本</w:t>
      </w:r>
      <w:r>
        <w:rPr>
          <w:rFonts w:hint="eastAsia" w:ascii="宋体" w:hAnsi="宋体" w:cs="宋体"/>
          <w:color w:val="auto"/>
          <w:kern w:val="0"/>
          <w:szCs w:val="21"/>
          <w:highlight w:val="none"/>
        </w:rPr>
        <w:t>满足施工需要；劳动力安排计划，有各工种劳动力安排计划，劳动力投入基本合理，基本满足施工需要。</w:t>
      </w:r>
      <w:r>
        <w:rPr>
          <w:rFonts w:hint="eastAsia" w:ascii="宋体" w:hAnsi="宋体" w:cs="宋体"/>
          <w:color w:val="auto"/>
          <w:szCs w:val="21"/>
          <w:highlight w:val="none"/>
        </w:rPr>
        <w:t xml:space="preserve"> </w:t>
      </w: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三档（3.6～5分）：</w:t>
      </w:r>
      <w:r>
        <w:rPr>
          <w:rFonts w:hint="eastAsia" w:ascii="宋体" w:hAnsi="宋体" w:cs="宋体"/>
          <w:color w:val="auto"/>
          <w:kern w:val="0"/>
          <w:szCs w:val="21"/>
          <w:highlight w:val="none"/>
        </w:rPr>
        <w:t>投入的施工机械、设备、机具有详细的组织计划且计划周密，设备数量、选型配置、进场时间安排合理，满足施工需要；有详细周密的劳动力安排计划，各工种劳动力安排计划齐全，劳动力投入与进度</w:t>
      </w:r>
      <w:r>
        <w:rPr>
          <w:rFonts w:hint="eastAsia" w:ascii="宋体" w:hAnsi="宋体" w:cs="宋体"/>
          <w:color w:val="auto"/>
          <w:szCs w:val="21"/>
          <w:highlight w:val="none"/>
        </w:rPr>
        <w:t>计划呼应合理</w:t>
      </w:r>
      <w:r>
        <w:rPr>
          <w:rFonts w:hint="eastAsia" w:ascii="宋体" w:hAnsi="宋体" w:cs="宋体"/>
          <w:color w:val="auto"/>
          <w:kern w:val="0"/>
          <w:szCs w:val="21"/>
          <w:highlight w:val="none"/>
        </w:rPr>
        <w:t>，满足施工需要。</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2.3  </w:t>
      </w:r>
      <w:r>
        <w:rPr>
          <w:rFonts w:hint="eastAsia" w:ascii="宋体" w:hAnsi="宋体" w:cs="宋体"/>
          <w:color w:val="auto"/>
          <w:kern w:val="0"/>
          <w:szCs w:val="21"/>
          <w:highlight w:val="none"/>
        </w:rPr>
        <w:t>确保工程质量的技术组织措施分</w:t>
      </w:r>
      <w:r>
        <w:rPr>
          <w:rFonts w:hint="eastAsia" w:ascii="宋体" w:hAnsi="宋体" w:cs="宋体"/>
          <w:color w:val="auto"/>
          <w:szCs w:val="21"/>
          <w:highlight w:val="none"/>
        </w:rPr>
        <w:t>（满分5分）</w:t>
      </w: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一档（0.1～2分）：</w:t>
      </w:r>
      <w:r>
        <w:rPr>
          <w:rFonts w:hint="eastAsia" w:ascii="宋体" w:hAnsi="宋体" w:cs="宋体"/>
          <w:color w:val="auto"/>
          <w:kern w:val="0"/>
          <w:szCs w:val="21"/>
          <w:highlight w:val="none"/>
        </w:rPr>
        <w:t>有保证质量的具体措施，各项质量管理制度不完善，质量管理人员安排不合理，不能有效保证工程质量。</w:t>
      </w: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二档（2.1～3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kern w:val="0"/>
          <w:szCs w:val="21"/>
          <w:highlight w:val="none"/>
        </w:rPr>
        <w:t>有保证质量的具体措施，各项质量管理制度基本完善，质量管理人员安排基本合理，基本能保证工程质量。</w:t>
      </w:r>
    </w:p>
    <w:p>
      <w:pPr>
        <w:widowControl/>
        <w:spacing w:line="360" w:lineRule="auto"/>
        <w:ind w:firstLine="411" w:firstLineChars="196"/>
        <w:rPr>
          <w:rFonts w:hint="eastAsia" w:ascii="宋体" w:hAnsi="宋体" w:cs="宋体"/>
          <w:color w:val="auto"/>
          <w:kern w:val="0"/>
          <w:szCs w:val="21"/>
          <w:highlight w:val="none"/>
        </w:rPr>
      </w:pPr>
      <w:r>
        <w:rPr>
          <w:rFonts w:hint="eastAsia" w:ascii="宋体" w:hAnsi="宋体" w:cs="宋体"/>
          <w:color w:val="auto"/>
          <w:szCs w:val="21"/>
          <w:highlight w:val="none"/>
        </w:rPr>
        <w:t>三档（3.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～5分）：</w:t>
      </w:r>
      <w:r>
        <w:rPr>
          <w:rFonts w:hint="eastAsia" w:ascii="宋体" w:hAnsi="宋体" w:cs="宋体"/>
          <w:color w:val="auto"/>
          <w:kern w:val="0"/>
          <w:szCs w:val="21"/>
          <w:highlight w:val="none"/>
        </w:rPr>
        <w:t>有保证质量的具体措施而且措施得力，各项质量管理制度完善，质量管理人员安排合理，主要工序应有质量技术保证措施和手段，自控体系完整，能有效保证技术质量，达到承诺的质量标准。</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2.4  确保安全生产的技术组织措施分（满分5分）</w:t>
      </w:r>
    </w:p>
    <w:p>
      <w:pPr>
        <w:snapToGrid w:val="0"/>
        <w:spacing w:line="46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一档（0.1～2分）：</w:t>
      </w:r>
      <w:r>
        <w:rPr>
          <w:rFonts w:hint="eastAsia" w:ascii="宋体" w:hAnsi="宋体" w:cs="宋体"/>
          <w:color w:val="auto"/>
          <w:kern w:val="0"/>
          <w:szCs w:val="21"/>
          <w:highlight w:val="none"/>
        </w:rPr>
        <w:t>安全</w:t>
      </w:r>
      <w:r>
        <w:rPr>
          <w:rFonts w:hint="eastAsia" w:ascii="宋体" w:hAnsi="宋体" w:cs="宋体"/>
          <w:color w:val="auto"/>
          <w:szCs w:val="21"/>
          <w:highlight w:val="none"/>
        </w:rPr>
        <w:t>人员配备不合理，安全管理制度不健全，</w:t>
      </w:r>
      <w:r>
        <w:rPr>
          <w:rFonts w:hint="eastAsia" w:ascii="宋体" w:hAnsi="宋体" w:cs="宋体"/>
          <w:color w:val="auto"/>
          <w:kern w:val="0"/>
          <w:szCs w:val="21"/>
          <w:highlight w:val="none"/>
        </w:rPr>
        <w:t>各道工序安全技术措施基本符合实际，不能满足有关安全技术标准要求。现场防火、应急救援、社会治安安全措施不合理。</w:t>
      </w: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二档（2.1～3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kern w:val="0"/>
          <w:szCs w:val="21"/>
          <w:highlight w:val="none"/>
        </w:rPr>
        <w:t>安全</w:t>
      </w:r>
      <w:r>
        <w:rPr>
          <w:rFonts w:hint="eastAsia" w:ascii="宋体" w:hAnsi="宋体" w:cs="宋体"/>
          <w:color w:val="auto"/>
          <w:szCs w:val="21"/>
          <w:highlight w:val="none"/>
        </w:rPr>
        <w:t>人员配备基本合理，安全管理制度基本健全，</w:t>
      </w:r>
      <w:r>
        <w:rPr>
          <w:rFonts w:hint="eastAsia" w:ascii="宋体" w:hAnsi="宋体" w:cs="宋体"/>
          <w:color w:val="auto"/>
          <w:kern w:val="0"/>
          <w:szCs w:val="21"/>
          <w:highlight w:val="none"/>
        </w:rPr>
        <w:t>各道工序安全技术措施基本符合实际，基本满足有关安全技术标准要求。现场防火、应急救援、社会治安安全措施基本合理。</w:t>
      </w:r>
    </w:p>
    <w:p>
      <w:pPr>
        <w:widowControl/>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三档（3.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～5分）：</w:t>
      </w:r>
      <w:r>
        <w:rPr>
          <w:rFonts w:hint="eastAsia" w:ascii="宋体" w:hAnsi="宋体" w:cs="宋体"/>
          <w:color w:val="auto"/>
          <w:kern w:val="0"/>
          <w:szCs w:val="21"/>
          <w:highlight w:val="none"/>
        </w:rPr>
        <w:t>安全人员配备合理；有健全的安全管理制度，各道工序安全技术措施针对性强，符合实际且高于国家有关安全技术标准要求。现场防火、应急救援、社会治安安全措施得力。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2.5  确保工期的技术组织措施分（满分5分）</w:t>
      </w:r>
    </w:p>
    <w:p>
      <w:pPr>
        <w:snapToGrid w:val="0"/>
        <w:spacing w:line="46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一档（0.1～2分）：</w:t>
      </w:r>
      <w:r>
        <w:rPr>
          <w:rFonts w:hint="eastAsia" w:ascii="宋体" w:hAnsi="宋体" w:cs="宋体"/>
          <w:color w:val="auto"/>
          <w:kern w:val="0"/>
          <w:szCs w:val="21"/>
          <w:highlight w:val="none"/>
        </w:rPr>
        <w:t>有保证工期的具体措施。各项计划图表编制不完善，安排不合理，不能满足本项目施工实际要求。</w:t>
      </w:r>
    </w:p>
    <w:p>
      <w:pPr>
        <w:widowControl/>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二档（2.1～3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kern w:val="0"/>
          <w:szCs w:val="21"/>
          <w:highlight w:val="none"/>
        </w:rPr>
        <w:t>有保证工期的具体措施，措施基本得当。各项计划图表编制基本齐全，安排基本合理，基本符合本项目施工实际要求。</w:t>
      </w:r>
    </w:p>
    <w:p>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～5分）：</w:t>
      </w:r>
      <w:r>
        <w:rPr>
          <w:rFonts w:hint="eastAsia" w:ascii="宋体" w:hAnsi="宋体" w:cs="宋体"/>
          <w:color w:val="auto"/>
          <w:kern w:val="0"/>
          <w:szCs w:val="21"/>
          <w:highlight w:val="none"/>
        </w:rPr>
        <w:t>有保证工期的具体措施且措施得力。各项计划图表编制详尽周密，安排科学合理，符合本项目施工实际要求。</w:t>
      </w:r>
    </w:p>
    <w:p>
      <w:pPr>
        <w:pStyle w:val="37"/>
        <w:spacing w:line="460" w:lineRule="exact"/>
        <w:ind w:firstLine="207" w:firstLineChars="98"/>
        <w:rPr>
          <w:rFonts w:hint="eastAsia" w:hAnsi="宋体"/>
          <w:color w:val="auto"/>
          <w:sz w:val="21"/>
          <w:highlight w:val="none"/>
          <w:lang w:eastAsia="zh-CN"/>
        </w:rPr>
      </w:pPr>
      <w:r>
        <w:rPr>
          <w:rFonts w:hint="eastAsia" w:hAnsi="宋体"/>
          <w:b/>
          <w:color w:val="auto"/>
          <w:sz w:val="21"/>
          <w:highlight w:val="none"/>
          <w:lang w:eastAsia="zh-CN"/>
        </w:rPr>
        <w:t>3、项目管理机构分…………………………………………15分</w:t>
      </w:r>
      <w:r>
        <w:rPr>
          <w:rFonts w:hint="eastAsia" w:hAnsi="宋体"/>
          <w:color w:val="auto"/>
          <w:sz w:val="21"/>
          <w:highlight w:val="none"/>
          <w:lang w:eastAsia="zh-CN"/>
        </w:rPr>
        <w:t xml:space="preserve"> </w:t>
      </w:r>
    </w:p>
    <w:p>
      <w:pPr>
        <w:pStyle w:val="37"/>
        <w:spacing w:line="460" w:lineRule="exact"/>
        <w:ind w:left="101" w:leftChars="48" w:firstLine="315" w:firstLineChars="150"/>
        <w:rPr>
          <w:rFonts w:hint="eastAsia" w:hAnsi="宋体"/>
          <w:color w:val="auto"/>
          <w:sz w:val="21"/>
          <w:highlight w:val="none"/>
          <w:lang w:eastAsia="zh-CN"/>
        </w:rPr>
      </w:pPr>
      <w:r>
        <w:rPr>
          <w:rFonts w:hint="eastAsia" w:hAnsi="宋体"/>
          <w:color w:val="auto"/>
          <w:sz w:val="21"/>
          <w:highlight w:val="none"/>
          <w:lang w:eastAsia="zh-CN"/>
        </w:rPr>
        <w:t>由评委在打分前根据各供应商的项目管理机构所属档次，然后评委在各档次内独立打分。</w:t>
      </w:r>
    </w:p>
    <w:p>
      <w:pPr>
        <w:pStyle w:val="37"/>
        <w:spacing w:line="460" w:lineRule="exact"/>
        <w:ind w:firstLine="315" w:firstLineChars="150"/>
        <w:rPr>
          <w:rFonts w:hint="eastAsia" w:hAnsi="宋体"/>
          <w:color w:val="auto"/>
          <w:sz w:val="21"/>
          <w:highlight w:val="none"/>
          <w:lang w:eastAsia="zh-CN"/>
        </w:rPr>
      </w:pPr>
      <w:r>
        <w:rPr>
          <w:rFonts w:hint="eastAsia" w:hAnsi="宋体"/>
          <w:color w:val="auto"/>
          <w:sz w:val="21"/>
          <w:highlight w:val="none"/>
          <w:lang w:eastAsia="zh-CN"/>
        </w:rPr>
        <w:t xml:space="preserve">3.1 </w:t>
      </w:r>
      <w:r>
        <w:rPr>
          <w:rFonts w:hint="eastAsia" w:hAnsi="宋体"/>
          <w:color w:val="auto"/>
          <w:sz w:val="21"/>
          <w:highlight w:val="none"/>
        </w:rPr>
        <w:t>项目经理任职资格与业绩、工作经历等</w:t>
      </w:r>
      <w:r>
        <w:rPr>
          <w:rFonts w:hint="eastAsia" w:hAnsi="宋体"/>
          <w:color w:val="auto"/>
          <w:sz w:val="21"/>
          <w:highlight w:val="none"/>
          <w:lang w:eastAsia="zh-CN"/>
        </w:rPr>
        <w:t>（满分</w:t>
      </w:r>
      <w:r>
        <w:rPr>
          <w:rFonts w:hint="eastAsia" w:hAnsi="宋体"/>
          <w:color w:val="auto"/>
          <w:sz w:val="21"/>
          <w:highlight w:val="none"/>
          <w:lang w:val="en-US" w:eastAsia="zh-CN"/>
        </w:rPr>
        <w:t>6</w:t>
      </w:r>
      <w:r>
        <w:rPr>
          <w:rFonts w:hint="eastAsia" w:hAnsi="宋体"/>
          <w:color w:val="auto"/>
          <w:sz w:val="21"/>
          <w:highlight w:val="none"/>
          <w:lang w:eastAsia="zh-CN"/>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（1）项目经理注册资格：满足招标文件要求具备机电工程专业,贰级及贰级以上注册建造师的得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分，壹级注册建造师执业资得3分，此项满分3分。</w:t>
      </w:r>
    </w:p>
    <w:p>
      <w:pPr>
        <w:pStyle w:val="37"/>
        <w:spacing w:line="460" w:lineRule="exact"/>
        <w:ind w:firstLine="420" w:firstLineChars="200"/>
        <w:rPr>
          <w:rFonts w:hint="eastAsia" w:hAnsi="宋体"/>
          <w:color w:val="auto"/>
          <w:sz w:val="21"/>
          <w:highlight w:val="none"/>
          <w:lang w:eastAsia="zh-CN"/>
        </w:rPr>
      </w:pPr>
      <w:r>
        <w:rPr>
          <w:rFonts w:hint="eastAsia" w:hAnsi="宋体"/>
          <w:color w:val="auto"/>
          <w:sz w:val="21"/>
          <w:highlight w:val="none"/>
        </w:rPr>
        <w:t>（2）项目经理职称：</w:t>
      </w:r>
      <w:r>
        <w:rPr>
          <w:rFonts w:hint="eastAsia" w:hAnsi="宋体"/>
          <w:color w:val="auto"/>
          <w:sz w:val="21"/>
          <w:highlight w:val="none"/>
          <w:lang w:eastAsia="zh-CN"/>
        </w:rPr>
        <w:t>具备机电工程专业</w:t>
      </w:r>
      <w:r>
        <w:rPr>
          <w:rFonts w:hint="eastAsia" w:hAnsi="宋体"/>
          <w:color w:val="auto"/>
          <w:sz w:val="21"/>
          <w:highlight w:val="none"/>
        </w:rPr>
        <w:t>助理工程师得</w:t>
      </w:r>
      <w:r>
        <w:rPr>
          <w:rFonts w:hint="eastAsia" w:hAnsi="宋体"/>
          <w:color w:val="auto"/>
          <w:sz w:val="21"/>
          <w:highlight w:val="none"/>
          <w:lang w:val="en-US" w:eastAsia="zh-CN"/>
        </w:rPr>
        <w:t>1</w:t>
      </w:r>
      <w:r>
        <w:rPr>
          <w:rFonts w:hint="eastAsia" w:hAnsi="宋体"/>
          <w:color w:val="auto"/>
          <w:sz w:val="21"/>
          <w:highlight w:val="none"/>
        </w:rPr>
        <w:t>分</w:t>
      </w:r>
      <w:r>
        <w:rPr>
          <w:rFonts w:hint="eastAsia" w:hAnsi="宋体"/>
          <w:color w:val="auto"/>
          <w:sz w:val="21"/>
          <w:highlight w:val="none"/>
          <w:lang w:eastAsia="zh-CN"/>
        </w:rPr>
        <w:t>，</w:t>
      </w:r>
      <w:r>
        <w:rPr>
          <w:rFonts w:hint="eastAsia" w:hAnsi="宋体"/>
          <w:color w:val="auto"/>
          <w:sz w:val="21"/>
          <w:highlight w:val="none"/>
        </w:rPr>
        <w:t>工程师</w:t>
      </w:r>
      <w:r>
        <w:rPr>
          <w:rFonts w:hint="eastAsia" w:hAnsi="宋体"/>
          <w:color w:val="auto"/>
          <w:sz w:val="21"/>
          <w:highlight w:val="none"/>
          <w:lang w:eastAsia="zh-CN"/>
        </w:rPr>
        <w:t>的</w:t>
      </w:r>
      <w:r>
        <w:rPr>
          <w:rFonts w:hint="eastAsia" w:hAnsi="宋体"/>
          <w:color w:val="auto"/>
          <w:sz w:val="21"/>
          <w:highlight w:val="none"/>
        </w:rPr>
        <w:t>得</w:t>
      </w:r>
      <w:r>
        <w:rPr>
          <w:rFonts w:hint="eastAsia" w:hAnsi="宋体"/>
          <w:color w:val="auto"/>
          <w:sz w:val="21"/>
          <w:highlight w:val="none"/>
          <w:lang w:eastAsia="zh-CN"/>
        </w:rPr>
        <w:t>2</w:t>
      </w:r>
      <w:r>
        <w:rPr>
          <w:rFonts w:hint="eastAsia" w:hAnsi="宋体"/>
          <w:color w:val="auto"/>
          <w:sz w:val="21"/>
          <w:highlight w:val="none"/>
        </w:rPr>
        <w:t>分；</w:t>
      </w:r>
      <w:r>
        <w:rPr>
          <w:rFonts w:hint="eastAsia" w:hAnsi="宋体"/>
          <w:color w:val="auto"/>
          <w:sz w:val="21"/>
          <w:highlight w:val="none"/>
          <w:lang w:eastAsia="zh-CN"/>
        </w:rPr>
        <w:t>高级工程师职称或以上职称</w:t>
      </w:r>
      <w:r>
        <w:rPr>
          <w:rFonts w:hint="eastAsia" w:hAnsi="宋体"/>
          <w:color w:val="auto"/>
          <w:sz w:val="21"/>
          <w:highlight w:val="none"/>
        </w:rPr>
        <w:t>得</w:t>
      </w:r>
      <w:r>
        <w:rPr>
          <w:rFonts w:hint="eastAsia" w:hAnsi="宋体"/>
          <w:color w:val="auto"/>
          <w:sz w:val="21"/>
          <w:highlight w:val="none"/>
          <w:lang w:val="en-US" w:eastAsia="zh-CN"/>
        </w:rPr>
        <w:t>3</w:t>
      </w:r>
      <w:r>
        <w:rPr>
          <w:rFonts w:hint="eastAsia" w:hAnsi="宋体"/>
          <w:color w:val="auto"/>
          <w:sz w:val="21"/>
          <w:highlight w:val="none"/>
        </w:rPr>
        <w:t>分，此项满分</w:t>
      </w:r>
      <w:r>
        <w:rPr>
          <w:rFonts w:hint="eastAsia" w:hAnsi="宋体"/>
          <w:color w:val="auto"/>
          <w:sz w:val="21"/>
          <w:highlight w:val="none"/>
          <w:lang w:val="en-US" w:eastAsia="zh-CN"/>
        </w:rPr>
        <w:t>3</w:t>
      </w:r>
      <w:r>
        <w:rPr>
          <w:rFonts w:hint="eastAsia" w:hAnsi="宋体"/>
          <w:color w:val="auto"/>
          <w:sz w:val="21"/>
          <w:highlight w:val="none"/>
        </w:rPr>
        <w:t>分。</w:t>
      </w:r>
    </w:p>
    <w:p>
      <w:pPr>
        <w:pStyle w:val="37"/>
        <w:spacing w:line="460" w:lineRule="exact"/>
        <w:ind w:firstLine="315" w:firstLineChars="150"/>
        <w:rPr>
          <w:rFonts w:hint="eastAsia" w:hAnsi="宋体"/>
          <w:color w:val="auto"/>
          <w:sz w:val="21"/>
          <w:highlight w:val="none"/>
          <w:lang w:eastAsia="zh-CN"/>
        </w:rPr>
      </w:pPr>
      <w:r>
        <w:rPr>
          <w:rFonts w:hint="eastAsia" w:hAnsi="宋体"/>
          <w:color w:val="auto"/>
          <w:sz w:val="21"/>
          <w:highlight w:val="none"/>
          <w:lang w:eastAsia="zh-CN"/>
        </w:rPr>
        <w:t>3.2 主要管理人员配置分（满分</w:t>
      </w:r>
      <w:r>
        <w:rPr>
          <w:rFonts w:hint="eastAsia" w:hAnsi="宋体"/>
          <w:color w:val="auto"/>
          <w:sz w:val="21"/>
          <w:highlight w:val="none"/>
          <w:lang w:val="en-US" w:eastAsia="zh-CN"/>
        </w:rPr>
        <w:t>9</w:t>
      </w:r>
      <w:r>
        <w:rPr>
          <w:rFonts w:hint="eastAsia" w:hAnsi="宋体"/>
          <w:color w:val="auto"/>
          <w:sz w:val="21"/>
          <w:highlight w:val="none"/>
          <w:lang w:eastAsia="zh-CN"/>
        </w:rPr>
        <w:t>分）。</w:t>
      </w:r>
    </w:p>
    <w:p>
      <w:pPr>
        <w:pStyle w:val="37"/>
        <w:spacing w:line="460" w:lineRule="exact"/>
        <w:ind w:firstLine="420" w:firstLineChars="200"/>
        <w:rPr>
          <w:rFonts w:hint="eastAsia" w:hAnsi="宋体"/>
          <w:color w:val="auto"/>
          <w:sz w:val="21"/>
          <w:highlight w:val="none"/>
          <w:lang w:eastAsia="zh-CN"/>
        </w:rPr>
      </w:pPr>
      <w:r>
        <w:rPr>
          <w:rFonts w:hint="eastAsia" w:hAnsi="宋体"/>
          <w:color w:val="auto"/>
          <w:sz w:val="21"/>
          <w:highlight w:val="none"/>
          <w:lang w:eastAsia="zh-CN"/>
        </w:rPr>
        <w:t>一档（0.1～3分）：</w:t>
      </w:r>
      <w:r>
        <w:rPr>
          <w:rFonts w:hint="eastAsia" w:hAnsi="宋体"/>
          <w:color w:val="auto"/>
          <w:sz w:val="21"/>
          <w:highlight w:val="none"/>
        </w:rPr>
        <w:t>持证专职安全员满足项目要求，其他项目班子人员</w:t>
      </w:r>
      <w:r>
        <w:rPr>
          <w:rFonts w:hint="eastAsia" w:hAnsi="宋体"/>
          <w:color w:val="auto"/>
          <w:sz w:val="21"/>
          <w:highlight w:val="none"/>
          <w:lang w:eastAsia="zh-CN"/>
        </w:rPr>
        <w:t>如</w:t>
      </w:r>
      <w:r>
        <w:rPr>
          <w:rFonts w:hint="eastAsia" w:hAnsi="宋体"/>
          <w:color w:val="auto"/>
          <w:sz w:val="21"/>
          <w:highlight w:val="none"/>
        </w:rPr>
        <w:t>施工员、质检员、材料员</w:t>
      </w:r>
      <w:r>
        <w:rPr>
          <w:rFonts w:hint="eastAsia" w:hAnsi="宋体"/>
          <w:color w:val="auto"/>
          <w:sz w:val="21"/>
          <w:highlight w:val="none"/>
          <w:lang w:eastAsia="zh-CN"/>
        </w:rPr>
        <w:t>等配备不齐全、资格证件不齐全、专业与项目需求不对应等。</w:t>
      </w:r>
    </w:p>
    <w:p>
      <w:pPr>
        <w:autoSpaceDE w:val="0"/>
        <w:autoSpaceDN w:val="0"/>
        <w:adjustRightIn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二档（3.1～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分）：技术负责人有中级及以上职称；持证专职安全员满足项目要求，其他项目班子人员（如</w:t>
      </w:r>
      <w:r>
        <w:rPr>
          <w:rFonts w:hint="eastAsia" w:ascii="宋体" w:hAnsi="宋体" w:cs="宋体"/>
          <w:color w:val="auto"/>
          <w:kern w:val="0"/>
          <w:szCs w:val="21"/>
          <w:highlight w:val="none"/>
        </w:rPr>
        <w:t>施工员、质检员、材料员、资料员等</w:t>
      </w:r>
      <w:r>
        <w:rPr>
          <w:rFonts w:hint="eastAsia" w:ascii="宋体" w:hAnsi="宋体" w:cs="宋体"/>
          <w:color w:val="auto"/>
          <w:szCs w:val="21"/>
          <w:highlight w:val="none"/>
        </w:rPr>
        <w:t>）齐备、搭配基本合理，都有岗位证书，40%及以上的人员都具备中级及以上职称。</w:t>
      </w:r>
    </w:p>
    <w:p>
      <w:pPr>
        <w:autoSpaceDE w:val="0"/>
        <w:autoSpaceDN w:val="0"/>
        <w:adjustRightIn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分）：技术负责人有高级职称；持证专职安全员满足项目要求，其他项目班子人员（如</w:t>
      </w:r>
      <w:r>
        <w:rPr>
          <w:rFonts w:hint="eastAsia" w:ascii="宋体" w:hAnsi="宋体" w:cs="宋体"/>
          <w:color w:val="auto"/>
          <w:kern w:val="0"/>
          <w:szCs w:val="21"/>
          <w:highlight w:val="none"/>
        </w:rPr>
        <w:t>施工员、质检员、材料员、资料员等</w:t>
      </w:r>
      <w:r>
        <w:rPr>
          <w:rFonts w:hint="eastAsia" w:ascii="宋体" w:hAnsi="宋体" w:cs="宋体"/>
          <w:color w:val="auto"/>
          <w:szCs w:val="21"/>
          <w:highlight w:val="none"/>
        </w:rPr>
        <w:t>）齐备、搭配合理，都有岗位证书，60%及以上的人员都具备中级及以上职称。</w:t>
      </w:r>
    </w:p>
    <w:p>
      <w:pPr>
        <w:pStyle w:val="37"/>
        <w:spacing w:line="460" w:lineRule="exact"/>
        <w:ind w:left="10" w:leftChars="5" w:firstLine="527" w:firstLineChars="250"/>
        <w:rPr>
          <w:rFonts w:hint="eastAsia" w:hAnsi="宋体"/>
          <w:b/>
          <w:bCs/>
          <w:color w:val="auto"/>
          <w:sz w:val="21"/>
          <w:highlight w:val="none"/>
          <w:lang w:eastAsia="zh-CN"/>
        </w:rPr>
      </w:pPr>
      <w:r>
        <w:rPr>
          <w:rFonts w:hint="eastAsia" w:hAnsi="宋体"/>
          <w:b/>
          <w:bCs/>
          <w:color w:val="auto"/>
          <w:sz w:val="21"/>
          <w:highlight w:val="none"/>
          <w:lang w:eastAsia="zh-CN"/>
        </w:rPr>
        <w:t>4、信誉业绩分…………………………………………………………………………15分</w:t>
      </w:r>
    </w:p>
    <w:p>
      <w:pPr>
        <w:pStyle w:val="37"/>
        <w:spacing w:line="460" w:lineRule="exact"/>
        <w:ind w:left="10" w:leftChars="5" w:firstLine="630" w:firstLineChars="300"/>
        <w:rPr>
          <w:rFonts w:hint="eastAsia" w:hAnsi="宋体"/>
          <w:color w:val="auto"/>
          <w:sz w:val="21"/>
          <w:highlight w:val="none"/>
          <w:lang w:eastAsia="zh-CN"/>
        </w:rPr>
      </w:pPr>
      <w:r>
        <w:rPr>
          <w:rFonts w:hint="eastAsia" w:hAnsi="宋体"/>
          <w:color w:val="auto"/>
          <w:sz w:val="21"/>
          <w:highlight w:val="none"/>
          <w:lang w:eastAsia="zh-CN"/>
        </w:rPr>
        <w:t>（1）供应商“广西壮族自治区主席质量奖、中国建设工程鲁班奖、市政金杯示范工程奖、詹天佑土木工程大奖”，从获奖证书颁发之日起至投标截止之日止不超过三年的，每个得</w:t>
      </w:r>
      <w:r>
        <w:rPr>
          <w:rFonts w:hint="eastAsia" w:hAnsi="宋体"/>
          <w:color w:val="auto"/>
          <w:sz w:val="21"/>
          <w:highlight w:val="none"/>
          <w:lang w:val="en-US" w:eastAsia="zh-CN"/>
        </w:rPr>
        <w:t>0.5</w:t>
      </w:r>
      <w:r>
        <w:rPr>
          <w:rFonts w:hint="eastAsia" w:hAnsi="宋体"/>
          <w:color w:val="auto"/>
          <w:sz w:val="21"/>
          <w:highlight w:val="none"/>
          <w:lang w:eastAsia="zh-CN"/>
        </w:rPr>
        <w:t>分，满分</w:t>
      </w:r>
      <w:r>
        <w:rPr>
          <w:rFonts w:hint="eastAsia" w:hAnsi="宋体"/>
          <w:color w:val="auto"/>
          <w:sz w:val="21"/>
          <w:highlight w:val="none"/>
          <w:lang w:val="en-US" w:eastAsia="zh-CN"/>
        </w:rPr>
        <w:t>2</w:t>
      </w:r>
      <w:r>
        <w:rPr>
          <w:rFonts w:hint="eastAsia" w:hAnsi="宋体"/>
          <w:color w:val="auto"/>
          <w:sz w:val="21"/>
          <w:highlight w:val="none"/>
          <w:lang w:eastAsia="zh-CN"/>
        </w:rPr>
        <w:t>分。</w:t>
      </w:r>
    </w:p>
    <w:p>
      <w:pPr>
        <w:pStyle w:val="37"/>
        <w:spacing w:line="460" w:lineRule="exact"/>
        <w:ind w:left="10" w:leftChars="5" w:firstLine="630" w:firstLineChars="300"/>
        <w:rPr>
          <w:rFonts w:hint="eastAsia" w:hAnsi="宋体"/>
          <w:color w:val="auto"/>
          <w:sz w:val="21"/>
          <w:highlight w:val="none"/>
          <w:lang w:eastAsia="zh-CN"/>
        </w:rPr>
      </w:pPr>
      <w:r>
        <w:rPr>
          <w:rFonts w:hint="eastAsia" w:hAnsi="宋体"/>
          <w:color w:val="auto"/>
          <w:sz w:val="21"/>
          <w:highlight w:val="none"/>
          <w:lang w:eastAsia="zh-CN"/>
        </w:rPr>
        <w:t>（2）供应商具有有效的“AAA级质量服务信誉单位、AAA级重合同守信用单位、资信等级证书AAA级、信用等级证书AAA级、AAA级诚信经营示范单位“”每个得</w:t>
      </w:r>
      <w:r>
        <w:rPr>
          <w:rFonts w:hint="eastAsia" w:hAnsi="宋体"/>
          <w:color w:val="auto"/>
          <w:sz w:val="21"/>
          <w:highlight w:val="none"/>
          <w:lang w:val="en-US" w:eastAsia="zh-CN"/>
        </w:rPr>
        <w:t>1.6</w:t>
      </w:r>
      <w:r>
        <w:rPr>
          <w:rFonts w:hint="eastAsia" w:hAnsi="宋体"/>
          <w:color w:val="auto"/>
          <w:sz w:val="21"/>
          <w:highlight w:val="none"/>
          <w:lang w:eastAsia="zh-CN"/>
        </w:rPr>
        <w:t>分，满分</w:t>
      </w:r>
      <w:r>
        <w:rPr>
          <w:rFonts w:hint="eastAsia" w:hAnsi="宋体"/>
          <w:color w:val="auto"/>
          <w:sz w:val="21"/>
          <w:highlight w:val="none"/>
          <w:lang w:val="en-US" w:eastAsia="zh-CN"/>
        </w:rPr>
        <w:t>8</w:t>
      </w:r>
      <w:r>
        <w:rPr>
          <w:rFonts w:hint="eastAsia" w:hAnsi="宋体"/>
          <w:color w:val="auto"/>
          <w:sz w:val="21"/>
          <w:highlight w:val="none"/>
          <w:lang w:eastAsia="zh-CN"/>
        </w:rPr>
        <w:t>分。</w:t>
      </w:r>
    </w:p>
    <w:p>
      <w:pPr>
        <w:pStyle w:val="37"/>
        <w:spacing w:line="460" w:lineRule="exact"/>
        <w:ind w:left="10" w:leftChars="5" w:firstLine="630" w:firstLineChars="300"/>
        <w:rPr>
          <w:rFonts w:hint="eastAsia" w:hAnsi="宋体"/>
          <w:color w:val="auto"/>
          <w:sz w:val="21"/>
          <w:highlight w:val="none"/>
          <w:lang w:eastAsia="zh-CN"/>
        </w:rPr>
      </w:pPr>
      <w:r>
        <w:rPr>
          <w:rFonts w:hint="eastAsia" w:hAnsi="宋体"/>
          <w:color w:val="auto"/>
          <w:sz w:val="21"/>
          <w:highlight w:val="none"/>
          <w:lang w:eastAsia="zh-CN"/>
        </w:rPr>
        <w:t>（3）供应商自201</w:t>
      </w:r>
      <w:r>
        <w:rPr>
          <w:rFonts w:hint="eastAsia" w:hAnsi="宋体"/>
          <w:color w:val="auto"/>
          <w:sz w:val="21"/>
          <w:highlight w:val="none"/>
          <w:lang w:val="en-US" w:eastAsia="zh-CN"/>
        </w:rPr>
        <w:t>7</w:t>
      </w:r>
      <w:r>
        <w:rPr>
          <w:rFonts w:hint="eastAsia" w:hAnsi="宋体"/>
          <w:color w:val="auto"/>
          <w:sz w:val="21"/>
          <w:highlight w:val="none"/>
          <w:lang w:eastAsia="zh-CN"/>
        </w:rPr>
        <w:t>年以来单位做过类似配电工程项目的，每提供1个得1分，满分</w:t>
      </w:r>
      <w:r>
        <w:rPr>
          <w:rFonts w:hint="eastAsia" w:hAnsi="宋体"/>
          <w:color w:val="auto"/>
          <w:sz w:val="21"/>
          <w:highlight w:val="none"/>
          <w:lang w:val="en-US" w:eastAsia="zh-CN"/>
        </w:rPr>
        <w:t>2</w:t>
      </w:r>
      <w:r>
        <w:rPr>
          <w:rFonts w:hint="eastAsia" w:hAnsi="宋体"/>
          <w:color w:val="auto"/>
          <w:sz w:val="21"/>
          <w:highlight w:val="none"/>
          <w:lang w:eastAsia="zh-CN"/>
        </w:rPr>
        <w:t>分。</w:t>
      </w:r>
    </w:p>
    <w:p>
      <w:pPr>
        <w:pStyle w:val="37"/>
        <w:spacing w:line="460" w:lineRule="exact"/>
        <w:ind w:left="10" w:leftChars="5" w:firstLine="630" w:firstLineChars="300"/>
        <w:rPr>
          <w:rFonts w:hint="eastAsia" w:hAnsi="宋体" w:cs="宋体"/>
          <w:color w:val="auto"/>
          <w:szCs w:val="21"/>
          <w:highlight w:val="none"/>
        </w:rPr>
      </w:pPr>
      <w:r>
        <w:rPr>
          <w:rFonts w:hint="eastAsia" w:hAnsi="宋体"/>
          <w:color w:val="auto"/>
          <w:sz w:val="21"/>
          <w:highlight w:val="none"/>
          <w:lang w:eastAsia="zh-CN"/>
        </w:rPr>
        <w:t>（4）供应商获得质量认证、健康认证、环保认证的，每个得1分，满分3分。</w:t>
      </w:r>
    </w:p>
    <w:p>
      <w:pPr>
        <w:pStyle w:val="12"/>
        <w:numPr>
          <w:ilvl w:val="0"/>
          <w:numId w:val="10"/>
        </w:numPr>
        <w:spacing w:line="420" w:lineRule="exact"/>
        <w:ind w:firstLine="420" w:firstLineChars="200"/>
        <w:rPr>
          <w:rFonts w:hAnsi="宋体" w:cs="宋体"/>
          <w:color w:val="auto"/>
          <w:szCs w:val="21"/>
          <w:highlight w:val="none"/>
        </w:rPr>
      </w:pPr>
      <w:r>
        <w:rPr>
          <w:rFonts w:hint="eastAsia" w:hAnsi="宋体" w:cs="宋体"/>
          <w:color w:val="auto"/>
          <w:szCs w:val="21"/>
          <w:highlight w:val="none"/>
        </w:rPr>
        <w:t>总得分 =1 + 2 +</w:t>
      </w:r>
      <w:r>
        <w:rPr>
          <w:rFonts w:hint="eastAsia" w:hAnsi="宋体" w:cs="宋体"/>
          <w:color w:val="auto"/>
          <w:szCs w:val="21"/>
          <w:highlight w:val="none"/>
          <w:lang w:val="en-US" w:eastAsia="zh-CN"/>
        </w:rPr>
        <w:t xml:space="preserve"> </w:t>
      </w:r>
      <w:r>
        <w:rPr>
          <w:rFonts w:hint="eastAsia" w:hAnsi="宋体" w:cs="宋体"/>
          <w:color w:val="auto"/>
          <w:szCs w:val="21"/>
          <w:highlight w:val="none"/>
        </w:rPr>
        <w:t>3</w:t>
      </w:r>
      <w:r>
        <w:rPr>
          <w:rFonts w:hint="eastAsia" w:hAnsi="宋体" w:cs="宋体"/>
          <w:color w:val="auto"/>
          <w:szCs w:val="21"/>
          <w:highlight w:val="none"/>
          <w:lang w:val="en-US" w:eastAsia="zh-CN"/>
        </w:rPr>
        <w:t xml:space="preserve"> + 4</w:t>
      </w:r>
    </w:p>
    <w:p>
      <w:pPr>
        <w:pStyle w:val="12"/>
        <w:spacing w:line="420" w:lineRule="exact"/>
        <w:ind w:firstLine="420" w:firstLineChars="200"/>
        <w:rPr>
          <w:rFonts w:hAnsi="宋体" w:cs="宋体"/>
          <w:color w:val="auto"/>
          <w:szCs w:val="21"/>
          <w:highlight w:val="none"/>
        </w:rPr>
      </w:pPr>
      <w:r>
        <w:rPr>
          <w:rFonts w:hint="eastAsia" w:hAnsi="宋体" w:cs="宋体"/>
          <w:color w:val="auto"/>
          <w:szCs w:val="21"/>
          <w:highlight w:val="none"/>
        </w:rPr>
        <w:t>五、成交候选人推荐原则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成交候选供应商推荐：根据采购需求、质量和服务相等时，磋商小组将按综合评分由由高到低的顺序提出3名成交候选人（最终综合评审得分相同的，按照最后报价由低到高的顺序推荐；评审得分且最后报价相同的，则按照项目实施方案优劣顺序推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成交供应商确定：采购人应当确定磋商小组推荐的排名第一的成交候选供应商为成交供应商。排名第一的成交候选供应商放弃成交、未在规定时间内签订合同、因不可抗力提出不能履行合同的，或者成交供应商拒绝与采购人签订合同的，采购人可以按照评审报告推荐的成交候选人名单排序，确定下一候选人为者成交供应商，也可以重新开展政府采购活动。</w:t>
      </w:r>
    </w:p>
    <w:p>
      <w:pPr>
        <w:pStyle w:val="12"/>
        <w:spacing w:line="420" w:lineRule="exact"/>
        <w:rPr>
          <w:rFonts w:hint="eastAsia" w:hAnsi="宋体" w:cs="宋体"/>
          <w:b/>
          <w:bCs/>
          <w:color w:val="auto"/>
          <w:szCs w:val="21"/>
          <w:highlight w:val="none"/>
        </w:rPr>
      </w:pPr>
      <w:r>
        <w:rPr>
          <w:rFonts w:hint="eastAsia" w:hAnsi="宋体" w:cs="宋体"/>
          <w:b/>
          <w:bCs/>
          <w:color w:val="auto"/>
          <w:szCs w:val="21"/>
          <w:highlight w:val="none"/>
        </w:rPr>
        <w:t>注：成交价=成交供应商最后报价。</w:t>
      </w:r>
    </w:p>
    <w:p>
      <w:pPr>
        <w:spacing w:line="400" w:lineRule="exact"/>
        <w:ind w:left="420" w:leftChars="200"/>
        <w:rPr>
          <w:rFonts w:hint="eastAsia" w:ascii="宋体" w:hAnsi="宋体" w:cs="宋体"/>
          <w:b/>
          <w:color w:val="auto"/>
          <w:szCs w:val="21"/>
          <w:highlight w:val="none"/>
        </w:rPr>
      </w:pPr>
      <w:r>
        <w:rPr>
          <w:rFonts w:hint="eastAsia" w:ascii="宋体" w:hAnsi="宋体" w:cs="宋体"/>
          <w:b/>
          <w:color w:val="auto"/>
          <w:szCs w:val="21"/>
          <w:highlight w:val="none"/>
        </w:rPr>
        <w:t>四、本项目报价为二次报价，第二次报价为最后报价。</w:t>
      </w:r>
    </w:p>
    <w:p>
      <w:pPr>
        <w:pStyle w:val="12"/>
        <w:spacing w:line="500" w:lineRule="exact"/>
        <w:rPr>
          <w:rFonts w:hAnsi="宋体"/>
          <w:color w:val="auto"/>
          <w:sz w:val="28"/>
          <w:szCs w:val="28"/>
          <w:highlight w:val="none"/>
        </w:rPr>
      </w:pPr>
    </w:p>
    <w:p>
      <w:pPr>
        <w:pStyle w:val="12"/>
        <w:spacing w:line="500" w:lineRule="exact"/>
        <w:rPr>
          <w:rFonts w:hAnsi="宋体"/>
          <w:color w:val="auto"/>
          <w:sz w:val="28"/>
          <w:szCs w:val="28"/>
          <w:highlight w:val="none"/>
        </w:rPr>
      </w:pPr>
    </w:p>
    <w:p>
      <w:pPr>
        <w:pStyle w:val="12"/>
        <w:spacing w:line="500" w:lineRule="exact"/>
        <w:rPr>
          <w:rFonts w:hAnsi="宋体"/>
          <w:color w:val="auto"/>
          <w:sz w:val="28"/>
          <w:szCs w:val="28"/>
          <w:highlight w:val="none"/>
        </w:rPr>
      </w:pPr>
    </w:p>
    <w:p>
      <w:pPr>
        <w:pStyle w:val="12"/>
        <w:spacing w:line="500" w:lineRule="exact"/>
        <w:rPr>
          <w:rFonts w:hAnsi="宋体"/>
          <w:color w:val="auto"/>
          <w:sz w:val="28"/>
          <w:szCs w:val="28"/>
          <w:highlight w:val="none"/>
        </w:rPr>
      </w:pPr>
    </w:p>
    <w:sectPr>
      <w:headerReference r:id="rId6" w:type="first"/>
      <w:pgSz w:w="11906" w:h="16838"/>
      <w:pgMar w:top="1134" w:right="1134" w:bottom="1134" w:left="1186" w:header="851" w:footer="737" w:gutter="284"/>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宋体-18030">
    <w:altName w:val="宋体"/>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tabs>
        <w:tab w:val="left" w:pos="9214"/>
      </w:tabs>
      <w:ind w:right="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5A5D5"/>
    <w:multiLevelType w:val="singleLevel"/>
    <w:tmpl w:val="8F15A5D5"/>
    <w:lvl w:ilvl="0" w:tentative="0">
      <w:start w:val="6"/>
      <w:numFmt w:val="chineseCounting"/>
      <w:suff w:val="nothing"/>
      <w:lvlText w:val="%1、"/>
      <w:lvlJc w:val="left"/>
      <w:rPr>
        <w:rFonts w:hint="eastAsia"/>
      </w:rPr>
    </w:lvl>
  </w:abstractNum>
  <w:abstractNum w:abstractNumId="1">
    <w:nsid w:val="B674FA64"/>
    <w:multiLevelType w:val="singleLevel"/>
    <w:tmpl w:val="B674FA64"/>
    <w:lvl w:ilvl="0" w:tentative="0">
      <w:start w:val="4"/>
      <w:numFmt w:val="chineseCounting"/>
      <w:suff w:val="nothing"/>
      <w:lvlText w:val="%1、"/>
      <w:lvlJc w:val="left"/>
      <w:rPr>
        <w:rFonts w:hint="eastAsia"/>
      </w:rPr>
    </w:lvl>
  </w:abstractNum>
  <w:abstractNum w:abstractNumId="2">
    <w:nsid w:val="F3FE37F5"/>
    <w:multiLevelType w:val="singleLevel"/>
    <w:tmpl w:val="F3FE37F5"/>
    <w:lvl w:ilvl="0" w:tentative="0">
      <w:start w:val="2"/>
      <w:numFmt w:val="decimal"/>
      <w:suff w:val="space"/>
      <w:lvlText w:val="%1."/>
      <w:lvlJc w:val="left"/>
    </w:lvl>
  </w:abstractNum>
  <w:abstractNum w:abstractNumId="3">
    <w:nsid w:val="FB417B04"/>
    <w:multiLevelType w:val="singleLevel"/>
    <w:tmpl w:val="FB417B04"/>
    <w:lvl w:ilvl="0" w:tentative="0">
      <w:start w:val="5"/>
      <w:numFmt w:val="decimal"/>
      <w:suff w:val="nothing"/>
      <w:lvlText w:val="（%1）"/>
      <w:lvlJc w:val="left"/>
    </w:lvl>
  </w:abstractNum>
  <w:abstractNum w:abstractNumId="4">
    <w:nsid w:val="15DB34C1"/>
    <w:multiLevelType w:val="multilevel"/>
    <w:tmpl w:val="15DB34C1"/>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5FDF136"/>
    <w:multiLevelType w:val="singleLevel"/>
    <w:tmpl w:val="45FDF136"/>
    <w:lvl w:ilvl="0" w:tentative="0">
      <w:start w:val="7"/>
      <w:numFmt w:val="chineseCounting"/>
      <w:suff w:val="nothing"/>
      <w:lvlText w:val="%1、"/>
      <w:lvlJc w:val="left"/>
      <w:rPr>
        <w:rFonts w:hint="eastAsia"/>
      </w:rPr>
    </w:lvl>
  </w:abstractNum>
  <w:abstractNum w:abstractNumId="6">
    <w:nsid w:val="548B0E56"/>
    <w:multiLevelType w:val="multilevel"/>
    <w:tmpl w:val="548B0E56"/>
    <w:lvl w:ilvl="0" w:tentative="0">
      <w:start w:val="1"/>
      <w:numFmt w:val="none"/>
      <w:lvlText w:val="一、"/>
      <w:lvlJc w:val="left"/>
      <w:pPr>
        <w:ind w:left="1205" w:hanging="795"/>
      </w:pPr>
      <w:rPr>
        <w:rFonts w:hint="default" w:ascii="宋体" w:hAnsi="宋体"/>
        <w:b/>
      </w:r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7">
    <w:nsid w:val="5498E193"/>
    <w:multiLevelType w:val="singleLevel"/>
    <w:tmpl w:val="5498E193"/>
    <w:lvl w:ilvl="0" w:tentative="0">
      <w:start w:val="11"/>
      <w:numFmt w:val="decimal"/>
      <w:suff w:val="space"/>
      <w:lvlText w:val="%1."/>
      <w:lvlJc w:val="left"/>
    </w:lvl>
  </w:abstractNum>
  <w:abstractNum w:abstractNumId="8">
    <w:nsid w:val="5542176E"/>
    <w:multiLevelType w:val="singleLevel"/>
    <w:tmpl w:val="5542176E"/>
    <w:lvl w:ilvl="0" w:tentative="0">
      <w:start w:val="2"/>
      <w:numFmt w:val="decimal"/>
      <w:suff w:val="space"/>
      <w:lvlText w:val="(%1)"/>
      <w:lvlJc w:val="left"/>
    </w:lvl>
  </w:abstractNum>
  <w:abstractNum w:abstractNumId="9">
    <w:nsid w:val="587E037D"/>
    <w:multiLevelType w:val="singleLevel"/>
    <w:tmpl w:val="587E037D"/>
    <w:lvl w:ilvl="0" w:tentative="0">
      <w:start w:val="1"/>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8"/>
  </w:num>
  <w:num w:numId="6">
    <w:abstractNumId w:val="7"/>
  </w:num>
  <w:num w:numId="7">
    <w:abstractNumId w:val="0"/>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F1A"/>
    <w:rsid w:val="00036028"/>
    <w:rsid w:val="00094809"/>
    <w:rsid w:val="000A158D"/>
    <w:rsid w:val="000C4C82"/>
    <w:rsid w:val="000C61DC"/>
    <w:rsid w:val="000D63B0"/>
    <w:rsid w:val="000E1DE0"/>
    <w:rsid w:val="000F4478"/>
    <w:rsid w:val="00161C6C"/>
    <w:rsid w:val="00183BD7"/>
    <w:rsid w:val="001961BC"/>
    <w:rsid w:val="002165E8"/>
    <w:rsid w:val="002351ED"/>
    <w:rsid w:val="002361D0"/>
    <w:rsid w:val="002574E2"/>
    <w:rsid w:val="00271683"/>
    <w:rsid w:val="002C4D6E"/>
    <w:rsid w:val="002E592F"/>
    <w:rsid w:val="003A6DF0"/>
    <w:rsid w:val="003B23EF"/>
    <w:rsid w:val="004029CD"/>
    <w:rsid w:val="0041336C"/>
    <w:rsid w:val="00420408"/>
    <w:rsid w:val="004265D6"/>
    <w:rsid w:val="00432427"/>
    <w:rsid w:val="004D3CDD"/>
    <w:rsid w:val="0051496D"/>
    <w:rsid w:val="005160FF"/>
    <w:rsid w:val="005654AF"/>
    <w:rsid w:val="005732CB"/>
    <w:rsid w:val="00577899"/>
    <w:rsid w:val="00585571"/>
    <w:rsid w:val="005961C5"/>
    <w:rsid w:val="005D2AAC"/>
    <w:rsid w:val="00611BFD"/>
    <w:rsid w:val="00634AFC"/>
    <w:rsid w:val="00647681"/>
    <w:rsid w:val="00664DE2"/>
    <w:rsid w:val="0068088B"/>
    <w:rsid w:val="0068442F"/>
    <w:rsid w:val="00687275"/>
    <w:rsid w:val="006B07DA"/>
    <w:rsid w:val="006F65FC"/>
    <w:rsid w:val="00705732"/>
    <w:rsid w:val="0075026D"/>
    <w:rsid w:val="00791928"/>
    <w:rsid w:val="00794F6F"/>
    <w:rsid w:val="007A3FFB"/>
    <w:rsid w:val="007C157A"/>
    <w:rsid w:val="007C2F84"/>
    <w:rsid w:val="008B388A"/>
    <w:rsid w:val="0091697B"/>
    <w:rsid w:val="009254B5"/>
    <w:rsid w:val="00931B33"/>
    <w:rsid w:val="009509D1"/>
    <w:rsid w:val="00960036"/>
    <w:rsid w:val="00977600"/>
    <w:rsid w:val="00992CA1"/>
    <w:rsid w:val="00A141A2"/>
    <w:rsid w:val="00A40B10"/>
    <w:rsid w:val="00A8222F"/>
    <w:rsid w:val="00A82573"/>
    <w:rsid w:val="00AC2988"/>
    <w:rsid w:val="00AD1AC2"/>
    <w:rsid w:val="00B063EE"/>
    <w:rsid w:val="00B14D00"/>
    <w:rsid w:val="00B805DA"/>
    <w:rsid w:val="00B96956"/>
    <w:rsid w:val="00BB2373"/>
    <w:rsid w:val="00BD704D"/>
    <w:rsid w:val="00C31BBB"/>
    <w:rsid w:val="00C37E9D"/>
    <w:rsid w:val="00C45047"/>
    <w:rsid w:val="00C81EFE"/>
    <w:rsid w:val="00CE782D"/>
    <w:rsid w:val="00D0385F"/>
    <w:rsid w:val="00D65C6A"/>
    <w:rsid w:val="00D821D7"/>
    <w:rsid w:val="00D935A6"/>
    <w:rsid w:val="00DB5F5F"/>
    <w:rsid w:val="00DC781C"/>
    <w:rsid w:val="00E24F1A"/>
    <w:rsid w:val="00E70C5B"/>
    <w:rsid w:val="00E82922"/>
    <w:rsid w:val="00E8701F"/>
    <w:rsid w:val="00EA68D3"/>
    <w:rsid w:val="00EA733E"/>
    <w:rsid w:val="00F30912"/>
    <w:rsid w:val="00F6048C"/>
    <w:rsid w:val="00FA5E5A"/>
    <w:rsid w:val="00FA7967"/>
    <w:rsid w:val="00FB2A93"/>
    <w:rsid w:val="00FD5178"/>
    <w:rsid w:val="00FF6F0B"/>
    <w:rsid w:val="02E72F4E"/>
    <w:rsid w:val="049E489B"/>
    <w:rsid w:val="06B1102F"/>
    <w:rsid w:val="072F7A4C"/>
    <w:rsid w:val="07F6396B"/>
    <w:rsid w:val="08B31418"/>
    <w:rsid w:val="08D305F9"/>
    <w:rsid w:val="0A1C2E0E"/>
    <w:rsid w:val="0B6367E4"/>
    <w:rsid w:val="0E3800F4"/>
    <w:rsid w:val="0F6808D8"/>
    <w:rsid w:val="10927F56"/>
    <w:rsid w:val="10D6395D"/>
    <w:rsid w:val="11196EE5"/>
    <w:rsid w:val="16C80E55"/>
    <w:rsid w:val="17575036"/>
    <w:rsid w:val="1DC261F0"/>
    <w:rsid w:val="1EC97DA7"/>
    <w:rsid w:val="25B1214B"/>
    <w:rsid w:val="25DF0259"/>
    <w:rsid w:val="262015D4"/>
    <w:rsid w:val="26614454"/>
    <w:rsid w:val="27A90408"/>
    <w:rsid w:val="28201B0E"/>
    <w:rsid w:val="2B9820D2"/>
    <w:rsid w:val="2BC6527A"/>
    <w:rsid w:val="2C3E77B7"/>
    <w:rsid w:val="2CCB09BF"/>
    <w:rsid w:val="2DBD7229"/>
    <w:rsid w:val="2EC114DC"/>
    <w:rsid w:val="2F063E4A"/>
    <w:rsid w:val="305335A4"/>
    <w:rsid w:val="31034A15"/>
    <w:rsid w:val="34361AA9"/>
    <w:rsid w:val="34CD1AC6"/>
    <w:rsid w:val="351E51A9"/>
    <w:rsid w:val="388C6348"/>
    <w:rsid w:val="38CA4711"/>
    <w:rsid w:val="3ABA1165"/>
    <w:rsid w:val="3C7855DF"/>
    <w:rsid w:val="3D454DC5"/>
    <w:rsid w:val="3DD3135F"/>
    <w:rsid w:val="40B27483"/>
    <w:rsid w:val="430C08DA"/>
    <w:rsid w:val="46191E4A"/>
    <w:rsid w:val="46E40C96"/>
    <w:rsid w:val="4BC460D2"/>
    <w:rsid w:val="4BFE60B9"/>
    <w:rsid w:val="4E26035E"/>
    <w:rsid w:val="500337CD"/>
    <w:rsid w:val="501113A2"/>
    <w:rsid w:val="50A165FC"/>
    <w:rsid w:val="51F65FD8"/>
    <w:rsid w:val="561C3130"/>
    <w:rsid w:val="562747F2"/>
    <w:rsid w:val="57592D11"/>
    <w:rsid w:val="5B6D47F6"/>
    <w:rsid w:val="5C887D8C"/>
    <w:rsid w:val="5D245648"/>
    <w:rsid w:val="5FCD0CFF"/>
    <w:rsid w:val="605F254B"/>
    <w:rsid w:val="618425B3"/>
    <w:rsid w:val="64E3243B"/>
    <w:rsid w:val="65997832"/>
    <w:rsid w:val="665C1888"/>
    <w:rsid w:val="66F64B8E"/>
    <w:rsid w:val="671B1ABB"/>
    <w:rsid w:val="6AAC7B33"/>
    <w:rsid w:val="6DCC16F0"/>
    <w:rsid w:val="6F3C35AD"/>
    <w:rsid w:val="6F514BA6"/>
    <w:rsid w:val="757D1069"/>
    <w:rsid w:val="75E44AF5"/>
    <w:rsid w:val="785E24D9"/>
    <w:rsid w:val="7A512E60"/>
    <w:rsid w:val="7AC97F3F"/>
    <w:rsid w:val="7E5130E4"/>
    <w:rsid w:val="7E794AD4"/>
    <w:rsid w:val="7F4258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widowControl/>
      <w:jc w:val="center"/>
      <w:outlineLvl w:val="0"/>
    </w:pPr>
    <w:rPr>
      <w:rFonts w:ascii="黑体" w:eastAsia="黑体"/>
      <w:kern w:val="0"/>
      <w:sz w:val="52"/>
      <w:szCs w:val="20"/>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9"/>
    <w:pPr>
      <w:keepNext/>
      <w:keepLines/>
      <w:spacing w:before="260" w:after="260" w:line="24" w:lineRule="auto"/>
      <w:outlineLvl w:val="2"/>
    </w:pPr>
    <w:rPr>
      <w:rFonts w:hint="eastAsia" w:ascii="宋体" w:hAnsi="宋体"/>
      <w:b/>
      <w:bCs/>
      <w:kern w:val="0"/>
      <w:sz w:val="24"/>
      <w:szCs w:val="32"/>
    </w:rPr>
  </w:style>
  <w:style w:type="paragraph" w:styleId="5">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qFormat/>
    <w:uiPriority w:val="9"/>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unhideWhenUsed/>
    <w:qFormat/>
    <w:uiPriority w:val="99"/>
    <w:pPr>
      <w:adjustRightInd w:val="0"/>
      <w:spacing w:line="312" w:lineRule="atLeast"/>
      <w:jc w:val="left"/>
      <w:textAlignment w:val="baseline"/>
    </w:pPr>
    <w:rPr>
      <w:kern w:val="0"/>
      <w:szCs w:val="20"/>
    </w:rPr>
  </w:style>
  <w:style w:type="paragraph" w:styleId="8">
    <w:name w:val="Body Text"/>
    <w:basedOn w:val="1"/>
    <w:unhideWhenUsed/>
    <w:qFormat/>
    <w:uiPriority w:val="99"/>
    <w:pPr>
      <w:jc w:val="center"/>
    </w:pPr>
    <w:rPr>
      <w:sz w:val="52"/>
    </w:rPr>
  </w:style>
  <w:style w:type="paragraph" w:styleId="9">
    <w:name w:val="Body Text Indent"/>
    <w:basedOn w:val="1"/>
    <w:unhideWhenUsed/>
    <w:qFormat/>
    <w:uiPriority w:val="99"/>
    <w:pPr>
      <w:spacing w:line="440" w:lineRule="exact"/>
      <w:ind w:firstLine="419" w:firstLineChars="196"/>
    </w:pPr>
    <w:rPr>
      <w:rFonts w:ascii="宋体" w:hAnsi="宋体" w:cs="Courier New"/>
      <w:spacing w:val="2"/>
    </w:rPr>
  </w:style>
  <w:style w:type="paragraph" w:styleId="10">
    <w:name w:val="toc 5"/>
    <w:basedOn w:val="1"/>
    <w:next w:val="1"/>
    <w:unhideWhenUsed/>
    <w:qFormat/>
    <w:uiPriority w:val="39"/>
    <w:pPr>
      <w:ind w:left="840"/>
      <w:jc w:val="left"/>
    </w:pPr>
    <w:rPr>
      <w:sz w:val="18"/>
      <w:szCs w:val="18"/>
    </w:rPr>
  </w:style>
  <w:style w:type="paragraph" w:styleId="11">
    <w:name w:val="toc 3"/>
    <w:basedOn w:val="1"/>
    <w:next w:val="1"/>
    <w:unhideWhenUsed/>
    <w:qFormat/>
    <w:uiPriority w:val="39"/>
    <w:pPr>
      <w:tabs>
        <w:tab w:val="right" w:leader="dot" w:pos="9292"/>
      </w:tabs>
      <w:spacing w:line="400" w:lineRule="exact"/>
      <w:ind w:left="420"/>
      <w:jc w:val="left"/>
    </w:pPr>
    <w:rPr>
      <w:rFonts w:ascii="宋体" w:hAnsi="宋体" w:cs="Courier New"/>
      <w:bCs/>
      <w:i/>
      <w:iCs/>
      <w:spacing w:val="2"/>
      <w:sz w:val="24"/>
    </w:rPr>
  </w:style>
  <w:style w:type="paragraph" w:styleId="12">
    <w:name w:val="Plain Text"/>
    <w:basedOn w:val="1"/>
    <w:link w:val="31"/>
    <w:unhideWhenUsed/>
    <w:qFormat/>
    <w:uiPriority w:val="0"/>
    <w:rPr>
      <w:rFonts w:ascii="宋体" w:hAnsi="Courier New"/>
      <w:szCs w:val="20"/>
    </w:rPr>
  </w:style>
  <w:style w:type="paragraph" w:styleId="13">
    <w:name w:val="Date"/>
    <w:basedOn w:val="1"/>
    <w:next w:val="1"/>
    <w:link w:val="30"/>
    <w:qFormat/>
    <w:uiPriority w:val="99"/>
    <w:pPr>
      <w:ind w:left="100" w:leftChars="2500"/>
    </w:pPr>
    <w:rPr>
      <w:rFonts w:ascii="Calibri" w:hAnsi="Calibri"/>
    </w:rPr>
  </w:style>
  <w:style w:type="paragraph" w:styleId="14">
    <w:name w:val="Balloon Text"/>
    <w:basedOn w:val="1"/>
    <w:semiHidden/>
    <w:qFormat/>
    <w:uiPriority w:val="0"/>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292"/>
      </w:tabs>
      <w:spacing w:before="120" w:after="120" w:line="400" w:lineRule="exact"/>
      <w:jc w:val="center"/>
    </w:pPr>
    <w:rPr>
      <w:rFonts w:ascii="宋体" w:hAnsi="宋体" w:cs="Courier New"/>
      <w:b/>
      <w:bCs/>
      <w:caps/>
      <w:sz w:val="24"/>
    </w:rPr>
  </w:style>
  <w:style w:type="paragraph" w:styleId="18">
    <w:name w:val="toc 4"/>
    <w:basedOn w:val="1"/>
    <w:next w:val="1"/>
    <w:unhideWhenUsed/>
    <w:qFormat/>
    <w:uiPriority w:val="39"/>
    <w:pPr>
      <w:ind w:left="630"/>
      <w:jc w:val="left"/>
    </w:pPr>
    <w:rPr>
      <w:sz w:val="18"/>
      <w:szCs w:val="18"/>
    </w:rPr>
  </w:style>
  <w:style w:type="paragraph" w:styleId="19">
    <w:name w:val="toc 2"/>
    <w:basedOn w:val="1"/>
    <w:next w:val="1"/>
    <w:unhideWhenUsed/>
    <w:qFormat/>
    <w:uiPriority w:val="39"/>
    <w:pPr>
      <w:ind w:left="420" w:leftChars="200"/>
    </w:pPr>
  </w:style>
  <w:style w:type="paragraph" w:styleId="20">
    <w:name w:val="Normal (Web)"/>
    <w:basedOn w:val="1"/>
    <w:semiHidden/>
    <w:unhideWhenUsed/>
    <w:qFormat/>
    <w:uiPriority w:val="0"/>
    <w:pPr>
      <w:spacing w:before="75" w:after="75"/>
      <w:jc w:val="left"/>
    </w:pPr>
    <w:rPr>
      <w:kern w:val="0"/>
      <w:sz w:val="24"/>
    </w:rPr>
  </w:style>
  <w:style w:type="character" w:styleId="23">
    <w:name w:val="Strong"/>
    <w:qFormat/>
    <w:uiPriority w:val="22"/>
    <w:rPr>
      <w:b/>
    </w:rPr>
  </w:style>
  <w:style w:type="character" w:styleId="24">
    <w:name w:val="page number"/>
    <w:basedOn w:val="22"/>
    <w:unhideWhenUsed/>
    <w:qFormat/>
    <w:uiPriority w:val="99"/>
  </w:style>
  <w:style w:type="character" w:styleId="25">
    <w:name w:val="Hyperlink"/>
    <w:unhideWhenUsed/>
    <w:qFormat/>
    <w:uiPriority w:val="99"/>
    <w:rPr>
      <w:color w:val="0000FF"/>
      <w:u w:val="single"/>
    </w:rPr>
  </w:style>
  <w:style w:type="paragraph" w:customStyle="1" w:styleId="26">
    <w:name w:val="1"/>
    <w:basedOn w:val="1"/>
    <w:next w:val="12"/>
    <w:qFormat/>
    <w:uiPriority w:val="0"/>
    <w:rPr>
      <w:rFonts w:ascii="宋体" w:hAnsi="Courier New"/>
      <w:szCs w:val="20"/>
    </w:rPr>
  </w:style>
  <w:style w:type="paragraph" w:customStyle="1" w:styleId="27">
    <w:name w:val="TOC 标题1"/>
    <w:basedOn w:val="3"/>
    <w:next w:val="1"/>
    <w:qFormat/>
    <w:uiPriority w:val="39"/>
    <w:pPr>
      <w:keepLines/>
      <w:widowControl w:val="0"/>
      <w:spacing w:before="340" w:after="330" w:line="578" w:lineRule="auto"/>
      <w:jc w:val="both"/>
      <w:outlineLvl w:val="9"/>
    </w:pPr>
    <w:rPr>
      <w:rFonts w:ascii="Times New Roman" w:eastAsia="宋体"/>
      <w:b/>
      <w:bCs/>
      <w:kern w:val="44"/>
      <w:sz w:val="44"/>
      <w:szCs w:val="44"/>
    </w:rPr>
  </w:style>
  <w:style w:type="paragraph" w:customStyle="1" w:styleId="2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9">
    <w:name w:val="纯文本 Char2"/>
    <w:qFormat/>
    <w:uiPriority w:val="0"/>
    <w:rPr>
      <w:rFonts w:ascii="宋体" w:hAnsi="Courier New"/>
      <w:kern w:val="2"/>
      <w:sz w:val="21"/>
    </w:rPr>
  </w:style>
  <w:style w:type="character" w:customStyle="1" w:styleId="30">
    <w:name w:val="日期 字符"/>
    <w:link w:val="13"/>
    <w:qFormat/>
    <w:uiPriority w:val="99"/>
    <w:rPr>
      <w:kern w:val="2"/>
      <w:sz w:val="21"/>
      <w:szCs w:val="24"/>
    </w:rPr>
  </w:style>
  <w:style w:type="character" w:customStyle="1" w:styleId="31">
    <w:name w:val="纯文本 字符"/>
    <w:link w:val="12"/>
    <w:qFormat/>
    <w:locked/>
    <w:uiPriority w:val="0"/>
    <w:rPr>
      <w:rFonts w:ascii="宋体" w:hAnsi="Courier New"/>
      <w:kern w:val="2"/>
      <w:sz w:val="21"/>
    </w:rPr>
  </w:style>
  <w:style w:type="character" w:customStyle="1" w:styleId="32">
    <w:name w:val="页脚 字符"/>
    <w:link w:val="15"/>
    <w:qFormat/>
    <w:uiPriority w:val="99"/>
    <w:rPr>
      <w:kern w:val="2"/>
      <w:sz w:val="18"/>
      <w:szCs w:val="18"/>
    </w:rPr>
  </w:style>
  <w:style w:type="paragraph" w:customStyle="1" w:styleId="3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批注文字_0"/>
    <w:basedOn w:val="33"/>
    <w:unhideWhenUsed/>
    <w:qFormat/>
    <w:uiPriority w:val="99"/>
    <w:pPr>
      <w:jc w:val="left"/>
    </w:pPr>
  </w:style>
  <w:style w:type="paragraph" w:customStyle="1" w:styleId="35">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2_0"/>
    <w:basedOn w:val="1"/>
    <w:qFormat/>
    <w:uiPriority w:val="0"/>
    <w:rPr>
      <w:rFonts w:ascii="Calibri" w:hAnsi="Calibri"/>
      <w:szCs w:val="22"/>
    </w:rPr>
  </w:style>
  <w:style w:type="paragraph" w:customStyle="1" w:styleId="37">
    <w:name w:val="p18"/>
    <w:basedOn w:val="1"/>
    <w:qFormat/>
    <w:uiPriority w:val="0"/>
    <w:pPr>
      <w:widowControl/>
    </w:pPr>
    <w:rPr>
      <w:rFonts w:ascii="宋体" w:cs="宋体"/>
      <w:kern w:val="0"/>
      <w:sz w:val="2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5750</Words>
  <Characters>32779</Characters>
  <Lines>273</Lines>
  <Paragraphs>76</Paragraphs>
  <TotalTime>4</TotalTime>
  <ScaleCrop>false</ScaleCrop>
  <LinksUpToDate>false</LinksUpToDate>
  <CharactersWithSpaces>38453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2015-03-20T08:00:00Z</dcterms:created>
  <dc:creator>Administrator</dc:creator>
  <cp:lastModifiedBy>Administrator</cp:lastModifiedBy>
  <cp:lastPrinted>2020-12-21T08:46:00Z</cp:lastPrinted>
  <dcterms:modified xsi:type="dcterms:W3CDTF">2020-12-22T09:03:39Z</dcterms:modified>
  <dc:title>_x000d_桂平市蒙圩镇保障房小区用地规划红线以外基础设施项目（一期）</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