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ind w:firstLine="0" w:firstLineChars="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drawing>
          <wp:inline distT="0" distB="0" distL="114300" distR="114300">
            <wp:extent cx="5673090" cy="8023860"/>
            <wp:effectExtent l="0" t="0" r="3810" b="15240"/>
            <wp:docPr id="1" name="图片 1"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
                    <pic:cNvPicPr>
                      <a:picLocks noChangeAspect="1"/>
                    </pic:cNvPicPr>
                  </pic:nvPicPr>
                  <pic:blipFill>
                    <a:blip r:embed="rId7"/>
                    <a:stretch>
                      <a:fillRect/>
                    </a:stretch>
                  </pic:blipFill>
                  <pic:spPr>
                    <a:xfrm>
                      <a:off x="0" y="0"/>
                      <a:ext cx="5673090" cy="8023860"/>
                    </a:xfrm>
                    <a:prstGeom prst="rect">
                      <a:avLst/>
                    </a:prstGeom>
                  </pic:spPr>
                </pic:pic>
              </a:graphicData>
            </a:graphic>
          </wp:inline>
        </w:drawing>
      </w:r>
    </w:p>
    <w:p>
      <w:pPr>
        <w:spacing w:line="560" w:lineRule="exact"/>
        <w:rPr>
          <w:rFonts w:asciiTheme="minorEastAsia" w:hAnsiTheme="minorEastAsia" w:eastAsiaTheme="minorEastAsia"/>
          <w:b/>
          <w:sz w:val="52"/>
          <w:szCs w:val="52"/>
        </w:rPr>
      </w:pPr>
    </w:p>
    <w:p>
      <w:pPr>
        <w:spacing w:afterLines="-2147483648" w:line="240" w:lineRule="auto"/>
        <w:jc w:val="left"/>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pPr>
        <w:spacing w:afterLines="100" w:line="56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pStyle w:val="28"/>
        <w:tabs>
          <w:tab w:val="right" w:leader="dot" w:pos="8659"/>
        </w:tabs>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"1-1" \h \z \t "标题 2,2,标题 3,3" </w:instrText>
      </w:r>
      <w:r>
        <w:rPr>
          <w:rFonts w:hint="eastAsia" w:asciiTheme="minorEastAsia" w:hAnsiTheme="minorEastAsia" w:eastAsiaTheme="minorEastAsia" w:cstheme="minorEastAsia"/>
          <w:sz w:val="24"/>
        </w:rPr>
        <w:fldChar w:fldCharType="separate"/>
      </w:r>
      <w:r>
        <w:fldChar w:fldCharType="begin"/>
      </w:r>
      <w:r>
        <w:instrText xml:space="preserve"> HYPERLINK \l "_Toc493793341" </w:instrText>
      </w:r>
      <w:r>
        <w:fldChar w:fldCharType="separate"/>
      </w:r>
      <w:r>
        <w:rPr>
          <w:rStyle w:val="49"/>
          <w:rFonts w:hint="eastAsia" w:asciiTheme="minorEastAsia" w:hAnsiTheme="minorEastAsia" w:eastAsiaTheme="minorEastAsia" w:cstheme="minorEastAsia"/>
          <w:color w:val="auto"/>
          <w:sz w:val="24"/>
        </w:rPr>
        <w:t>第一章  招标公告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"_Toc493793352" </w:instrText>
      </w:r>
      <w:r>
        <w:fldChar w:fldCharType="separate"/>
      </w:r>
      <w:r>
        <w:rPr>
          <w:rStyle w:val="49"/>
          <w:rFonts w:hint="eastAsia" w:asciiTheme="minorEastAsia" w:hAnsiTheme="minorEastAsia" w:eastAsiaTheme="minorEastAsia" w:cstheme="minorEastAsia"/>
          <w:color w:val="auto"/>
          <w:sz w:val="24"/>
        </w:rPr>
        <w:t>第二章  投标人须知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5</w:t>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"_Toc493793421" </w:instrText>
      </w:r>
      <w:r>
        <w:fldChar w:fldCharType="separate"/>
      </w:r>
      <w:r>
        <w:rPr>
          <w:rStyle w:val="49"/>
          <w:rFonts w:hint="eastAsia" w:asciiTheme="minorEastAsia" w:hAnsiTheme="minorEastAsia" w:eastAsiaTheme="minorEastAsia" w:cstheme="minorEastAsia"/>
          <w:color w:val="auto"/>
          <w:sz w:val="24"/>
        </w:rPr>
        <w:t>第三章  评标办法（综合评估法）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_Toc493793421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"_Toc493793422" </w:instrText>
      </w:r>
      <w:r>
        <w:fldChar w:fldCharType="separate"/>
      </w:r>
      <w:r>
        <w:rPr>
          <w:rStyle w:val="49"/>
          <w:rFonts w:hint="eastAsia" w:asciiTheme="minorEastAsia" w:hAnsiTheme="minorEastAsia" w:eastAsiaTheme="minorEastAsia" w:cstheme="minorEastAsia"/>
          <w:color w:val="auto"/>
          <w:sz w:val="24"/>
        </w:rPr>
        <w:t>评标办法前附表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_Toc493793422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"_Toc493793423" </w:instrText>
      </w:r>
      <w:r>
        <w:fldChar w:fldCharType="separate"/>
      </w:r>
      <w:r>
        <w:rPr>
          <w:rStyle w:val="49"/>
          <w:rFonts w:hint="eastAsia" w:asciiTheme="minorEastAsia" w:hAnsiTheme="minorEastAsia" w:eastAsiaTheme="minorEastAsia" w:cstheme="minorEastAsia"/>
          <w:color w:val="auto"/>
          <w:sz w:val="24"/>
        </w:rPr>
        <w:t>评标办法（综合评估法）正文部分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_Toc493793423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40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"_Toc493793445" </w:instrText>
      </w:r>
      <w:r>
        <w:fldChar w:fldCharType="separate"/>
      </w:r>
      <w:r>
        <w:rPr>
          <w:rStyle w:val="49"/>
          <w:rFonts w:hint="eastAsia" w:asciiTheme="minorEastAsia" w:hAnsiTheme="minorEastAsia" w:eastAsiaTheme="minorEastAsia" w:cstheme="minorEastAsia"/>
          <w:color w:val="auto"/>
          <w:sz w:val="24"/>
        </w:rPr>
        <w:t>第四章  合同条款及格式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_Toc493793445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"_Toc493793536" </w:instrText>
      </w:r>
      <w:r>
        <w:fldChar w:fldCharType="separate"/>
      </w:r>
      <w:r>
        <w:rPr>
          <w:rStyle w:val="49"/>
          <w:rFonts w:hint="eastAsia" w:asciiTheme="minorEastAsia" w:hAnsiTheme="minorEastAsia" w:eastAsiaTheme="minorEastAsia" w:cstheme="minorEastAsia"/>
          <w:color w:val="auto"/>
          <w:sz w:val="24"/>
        </w:rPr>
        <w:t>第五章 工程量清单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75</w:t>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"_Toc493793541" </w:instrText>
      </w:r>
      <w:r>
        <w:fldChar w:fldCharType="separate"/>
      </w:r>
      <w:r>
        <w:rPr>
          <w:rStyle w:val="49"/>
          <w:rFonts w:hint="eastAsia" w:asciiTheme="minorEastAsia" w:hAnsiTheme="minorEastAsia" w:eastAsiaTheme="minorEastAsia" w:cstheme="minorEastAsia"/>
          <w:color w:val="auto"/>
          <w:sz w:val="24"/>
        </w:rPr>
        <w:t>第六章 图  纸</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76</w:t>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"_Toc493793543" </w:instrText>
      </w:r>
      <w:r>
        <w:fldChar w:fldCharType="separate"/>
      </w:r>
      <w:r>
        <w:rPr>
          <w:rStyle w:val="49"/>
          <w:rFonts w:hint="eastAsia" w:asciiTheme="minorEastAsia" w:hAnsiTheme="minorEastAsia" w:eastAsiaTheme="minorEastAsia" w:cstheme="minorEastAsia"/>
          <w:color w:val="auto"/>
          <w:sz w:val="24"/>
        </w:rPr>
        <w:t>第七章 技术标</w:t>
      </w:r>
      <w:bookmarkStart w:id="0" w:name="_Hlt8120215"/>
      <w:bookmarkStart w:id="1" w:name="_Hlt8120214"/>
      <w:r>
        <w:rPr>
          <w:rStyle w:val="49"/>
          <w:rFonts w:hint="eastAsia" w:asciiTheme="minorEastAsia" w:hAnsiTheme="minorEastAsia" w:eastAsiaTheme="minorEastAsia" w:cstheme="minorEastAsia"/>
          <w:color w:val="auto"/>
          <w:sz w:val="24"/>
        </w:rPr>
        <w:t>准</w:t>
      </w:r>
      <w:bookmarkEnd w:id="0"/>
      <w:bookmarkEnd w:id="1"/>
      <w:r>
        <w:rPr>
          <w:rStyle w:val="49"/>
          <w:rFonts w:hint="eastAsia" w:asciiTheme="minorEastAsia" w:hAnsiTheme="minorEastAsia" w:eastAsiaTheme="minorEastAsia" w:cstheme="minorEastAsia"/>
          <w:color w:val="auto"/>
          <w:sz w:val="24"/>
        </w:rPr>
        <w:t>和要求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77</w:t>
      </w:r>
    </w:p>
    <w:p>
      <w:pPr>
        <w:pStyle w:val="28"/>
        <w:tabs>
          <w:tab w:val="right" w:leader="dot" w:pos="8659"/>
        </w:tabs>
        <w:spacing w:line="560" w:lineRule="exact"/>
        <w:rPr>
          <w:rFonts w:asciiTheme="minorEastAsia" w:hAnsiTheme="minorEastAsia" w:eastAsiaTheme="minorEastAsia" w:cstheme="minorEastAsia"/>
          <w:sz w:val="24"/>
        </w:rPr>
      </w:pPr>
      <w:r>
        <w:fldChar w:fldCharType="begin"/>
      </w:r>
      <w:r>
        <w:instrText xml:space="preserve"> HYPERLINK \l "_Toc493793545" </w:instrText>
      </w:r>
      <w:r>
        <w:fldChar w:fldCharType="separate"/>
      </w:r>
      <w:r>
        <w:rPr>
          <w:rStyle w:val="49"/>
          <w:rFonts w:hint="eastAsia" w:asciiTheme="minorEastAsia" w:hAnsiTheme="minorEastAsia" w:eastAsiaTheme="minorEastAsia" w:cstheme="minorEastAsia"/>
          <w:color w:val="auto"/>
          <w:sz w:val="24"/>
        </w:rPr>
        <w:t>第八章 投标文件格式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78</w:t>
      </w:r>
    </w:p>
    <w:p>
      <w:pPr>
        <w:spacing w:line="560" w:lineRule="exact"/>
        <w:rPr>
          <w:rFonts w:asciiTheme="minorEastAsia" w:hAnsiTheme="minorEastAsia" w:eastAsiaTheme="minorEastAsia"/>
        </w:rPr>
      </w:pPr>
      <w:r>
        <w:rPr>
          <w:rFonts w:hint="eastAsia" w:asciiTheme="minorEastAsia" w:hAnsiTheme="minorEastAsia" w:eastAsiaTheme="minorEastAsia" w:cstheme="minorEastAsia"/>
          <w:sz w:val="24"/>
        </w:rPr>
        <w:fldChar w:fldCharType="end"/>
      </w:r>
    </w:p>
    <w:p>
      <w:pPr>
        <w:spacing w:line="560" w:lineRule="exact"/>
        <w:ind w:firstLine="420" w:firstLineChars="200"/>
        <w:rPr>
          <w:rFonts w:asciiTheme="minorEastAsia" w:hAnsiTheme="minorEastAsia" w:eastAsiaTheme="minorEastAsia"/>
        </w:rPr>
        <w:sectPr>
          <w:headerReference r:id="rId3" w:type="default"/>
          <w:footerReference r:id="rId4" w:type="default"/>
          <w:pgSz w:w="11906" w:h="16838"/>
          <w:pgMar w:top="1440" w:right="1440" w:bottom="1440" w:left="1797" w:header="720" w:footer="720" w:gutter="0"/>
          <w:pgNumType w:start="1"/>
          <w:cols w:space="720" w:num="1"/>
          <w:docGrid w:linePitch="312" w:charSpace="0"/>
        </w:sectPr>
      </w:pPr>
      <w:r>
        <w:rPr>
          <w:rFonts w:asciiTheme="minorEastAsia" w:hAnsiTheme="minorEastAsia" w:eastAsiaTheme="minorEastAsia"/>
        </w:rPr>
        <w:t xml:space="preserve">   </w:t>
      </w:r>
    </w:p>
    <w:p>
      <w:pPr>
        <w:pStyle w:val="3"/>
        <w:spacing w:line="560" w:lineRule="exact"/>
        <w:ind w:firstLine="883" w:firstLineChars="200"/>
        <w:jc w:val="center"/>
        <w:rPr>
          <w:rFonts w:asciiTheme="minorEastAsia" w:hAnsiTheme="minorEastAsia" w:eastAsiaTheme="minorEastAsia"/>
        </w:rPr>
      </w:pPr>
      <w:bookmarkStart w:id="2" w:name="_Toc389065119"/>
      <w:bookmarkStart w:id="3" w:name="_Toc493793340"/>
      <w:r>
        <w:rPr>
          <w:rFonts w:hint="eastAsia" w:asciiTheme="minorEastAsia" w:hAnsiTheme="minorEastAsia" w:eastAsiaTheme="minorEastAsia"/>
        </w:rPr>
        <w:t>第一卷</w:t>
      </w:r>
      <w:bookmarkEnd w:id="2"/>
      <w:bookmarkEnd w:id="3"/>
    </w:p>
    <w:p>
      <w:pPr>
        <w:pStyle w:val="3"/>
        <w:spacing w:line="560" w:lineRule="exact"/>
        <w:ind w:firstLine="883" w:firstLineChars="200"/>
        <w:jc w:val="center"/>
        <w:rPr>
          <w:rFonts w:asciiTheme="minorEastAsia" w:hAnsiTheme="minorEastAsia" w:eastAsiaTheme="minorEastAsia"/>
        </w:rPr>
      </w:pPr>
      <w:bookmarkStart w:id="4" w:name="_Toc493793341"/>
      <w:bookmarkStart w:id="5" w:name="_Toc389065120"/>
      <w:r>
        <w:rPr>
          <w:rFonts w:hint="eastAsia" w:asciiTheme="minorEastAsia" w:hAnsiTheme="minorEastAsia" w:eastAsiaTheme="minorEastAsia"/>
        </w:rPr>
        <w:t>第一章</w:t>
      </w:r>
      <w:r>
        <w:rPr>
          <w:rFonts w:asciiTheme="minorEastAsia" w:hAnsiTheme="minorEastAsia" w:eastAsiaTheme="minorEastAsia"/>
        </w:rPr>
        <w:t xml:space="preserve">  </w:t>
      </w:r>
      <w:r>
        <w:rPr>
          <w:rFonts w:hint="eastAsia" w:asciiTheme="minorEastAsia" w:hAnsiTheme="minorEastAsia" w:eastAsiaTheme="minorEastAsia"/>
        </w:rPr>
        <w:t>招标公告</w:t>
      </w:r>
      <w:bookmarkEnd w:id="4"/>
      <w:bookmarkEnd w:id="5"/>
    </w:p>
    <w:p>
      <w:pPr>
        <w:jc w:val="left"/>
      </w:pPr>
      <w:bookmarkStart w:id="6" w:name="_Toc389065121"/>
    </w:p>
    <w:p>
      <w:pPr>
        <w:spacing w:line="560" w:lineRule="exact"/>
        <w:ind w:firstLine="643" w:firstLineChars="200"/>
        <w:jc w:val="center"/>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广西中医药大学附属瑞康医院B座七层楼关节与运动医学科与修复重建显微外科病房改造装修工程招标公告</w:t>
      </w:r>
      <w:bookmarkEnd w:id="6"/>
    </w:p>
    <w:p>
      <w:pPr>
        <w:spacing w:line="560" w:lineRule="exact"/>
        <w:ind w:firstLine="420" w:firstLineChars="200"/>
        <w:rPr>
          <w:rFonts w:asciiTheme="minorEastAsia" w:hAnsiTheme="minorEastAsia" w:eastAsiaTheme="minorEastAsia"/>
        </w:rPr>
      </w:pPr>
    </w:p>
    <w:p>
      <w:pPr>
        <w:pStyle w:val="4"/>
        <w:spacing w:line="560" w:lineRule="exact"/>
        <w:ind w:firstLine="643" w:firstLineChars="200"/>
        <w:rPr>
          <w:rFonts w:asciiTheme="minorEastAsia" w:hAnsiTheme="minorEastAsia" w:eastAsiaTheme="minorEastAsia"/>
        </w:rPr>
      </w:pPr>
      <w:bookmarkStart w:id="7" w:name="_Toc389065122"/>
      <w:bookmarkStart w:id="8" w:name="_Toc493793342"/>
      <w:r>
        <w:rPr>
          <w:rFonts w:asciiTheme="minorEastAsia" w:hAnsiTheme="minorEastAsia" w:eastAsiaTheme="minorEastAsia"/>
        </w:rPr>
        <w:t xml:space="preserve">1. </w:t>
      </w:r>
      <w:r>
        <w:rPr>
          <w:rFonts w:hint="eastAsia" w:asciiTheme="minorEastAsia" w:hAnsiTheme="minorEastAsia" w:eastAsiaTheme="minorEastAsia"/>
        </w:rPr>
        <w:t>招标条件</w:t>
      </w:r>
      <w:bookmarkEnd w:id="7"/>
      <w:bookmarkEnd w:id="8"/>
    </w:p>
    <w:p>
      <w:pPr>
        <w:spacing w:line="5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rPr>
        <w:t>本招标项目</w:t>
      </w:r>
      <w:r>
        <w:rPr>
          <w:rFonts w:hint="eastAsia" w:asciiTheme="minorEastAsia" w:hAnsiTheme="minorEastAsia" w:eastAsiaTheme="minorEastAsia"/>
          <w:u w:val="single"/>
        </w:rPr>
        <w:t>广西中医药大学附属</w:t>
      </w:r>
      <w:r>
        <w:rPr>
          <w:rFonts w:hint="eastAsia" w:asciiTheme="minorEastAsia" w:hAnsiTheme="minorEastAsia" w:eastAsiaTheme="minorEastAsia"/>
          <w:color w:val="auto"/>
          <w:u w:val="single"/>
        </w:rPr>
        <w:t>瑞康医院B座七层楼关节与运动医学科与修复重建显微外科病房改造装修工程</w:t>
      </w:r>
      <w:r>
        <w:rPr>
          <w:rFonts w:hint="eastAsia" w:asciiTheme="minorEastAsia" w:hAnsiTheme="minorEastAsia" w:eastAsiaTheme="minorEastAsia"/>
          <w:color w:val="auto"/>
        </w:rPr>
        <w:t>（项目名称），招标人为</w:t>
      </w:r>
      <w:r>
        <w:rPr>
          <w:rFonts w:hint="eastAsia" w:asciiTheme="minorEastAsia" w:hAnsiTheme="minorEastAsia" w:eastAsiaTheme="minorEastAsia"/>
          <w:color w:val="auto"/>
          <w:u w:val="single"/>
        </w:rPr>
        <w:t>广西中医药大学附属瑞康医院</w:t>
      </w:r>
      <w:r>
        <w:rPr>
          <w:rFonts w:hint="eastAsia" w:asciiTheme="minorEastAsia" w:hAnsiTheme="minorEastAsia" w:eastAsiaTheme="minorEastAsia"/>
          <w:color w:val="auto"/>
        </w:rPr>
        <w:t>，资金来自</w:t>
      </w:r>
      <w:r>
        <w:rPr>
          <w:rFonts w:hint="eastAsia" w:asciiTheme="minorEastAsia" w:hAnsiTheme="minorEastAsia" w:eastAsiaTheme="minorEastAsia"/>
          <w:color w:val="auto"/>
          <w:u w:val="single"/>
        </w:rPr>
        <w:t xml:space="preserve"> 财政资金</w:t>
      </w:r>
      <w:r>
        <w:rPr>
          <w:rFonts w:hint="eastAsia" w:asciiTheme="minorEastAsia" w:hAnsiTheme="minorEastAsia" w:eastAsiaTheme="minorEastAsia"/>
          <w:color w:val="auto"/>
        </w:rPr>
        <w:t>，项目出资比例为</w:t>
      </w:r>
      <w:r>
        <w:rPr>
          <w:rFonts w:asciiTheme="minorEastAsia" w:hAnsiTheme="minorEastAsia" w:eastAsiaTheme="minorEastAsia"/>
          <w:color w:val="auto"/>
          <w:u w:val="single"/>
        </w:rPr>
        <w:t xml:space="preserve">100% </w:t>
      </w:r>
      <w:r>
        <w:rPr>
          <w:rFonts w:hint="eastAsia" w:asciiTheme="minorEastAsia" w:hAnsiTheme="minorEastAsia" w:eastAsiaTheme="minorEastAsia"/>
          <w:color w:val="auto"/>
        </w:rPr>
        <w:t>。项目已具备招标条件，现对该项目的施工进行公开招标。</w:t>
      </w:r>
    </w:p>
    <w:p>
      <w:pPr>
        <w:pStyle w:val="4"/>
        <w:spacing w:line="560" w:lineRule="exact"/>
        <w:ind w:firstLine="643" w:firstLineChars="200"/>
        <w:rPr>
          <w:rFonts w:asciiTheme="minorEastAsia" w:hAnsiTheme="minorEastAsia" w:eastAsiaTheme="minorEastAsia"/>
          <w:color w:val="auto"/>
        </w:rPr>
      </w:pPr>
      <w:bookmarkStart w:id="9" w:name="_Toc389065123"/>
      <w:bookmarkStart w:id="10" w:name="_Toc493793343"/>
      <w:r>
        <w:rPr>
          <w:rFonts w:asciiTheme="minorEastAsia" w:hAnsiTheme="minorEastAsia" w:eastAsiaTheme="minorEastAsia"/>
          <w:color w:val="auto"/>
        </w:rPr>
        <w:t xml:space="preserve">2. </w:t>
      </w:r>
      <w:r>
        <w:rPr>
          <w:rFonts w:hint="eastAsia" w:asciiTheme="minorEastAsia" w:hAnsiTheme="minorEastAsia" w:eastAsiaTheme="minorEastAsia"/>
          <w:color w:val="auto"/>
        </w:rPr>
        <w:t>项目概况与招标范围</w:t>
      </w:r>
      <w:bookmarkEnd w:id="9"/>
      <w:bookmarkEnd w:id="10"/>
    </w:p>
    <w:p>
      <w:pPr>
        <w:spacing w:line="560" w:lineRule="exact"/>
        <w:ind w:firstLine="420" w:firstLineChars="200"/>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项目招标编号：</w:t>
      </w:r>
      <w:r>
        <w:rPr>
          <w:rFonts w:hint="eastAsia" w:asciiTheme="minorEastAsia" w:hAnsiTheme="minorEastAsia" w:eastAsiaTheme="minorEastAsia"/>
          <w:color w:val="auto"/>
          <w:u w:val="single"/>
          <w:lang w:eastAsia="zh-CN"/>
        </w:rPr>
        <w:t>GXZC2020-G2-001424-GXJX</w:t>
      </w:r>
    </w:p>
    <w:p>
      <w:pPr>
        <w:spacing w:line="560" w:lineRule="exact"/>
        <w:ind w:firstLine="420" w:firstLineChars="200"/>
        <w:rPr>
          <w:rFonts w:asciiTheme="minorEastAsia" w:hAnsiTheme="minorEastAsia" w:eastAsiaTheme="minorEastAsia"/>
          <w:color w:val="auto"/>
          <w:u w:val="single"/>
        </w:rPr>
      </w:pPr>
      <w:r>
        <w:rPr>
          <w:rFonts w:hint="eastAsia" w:asciiTheme="minorEastAsia" w:hAnsiTheme="minorEastAsia" w:eastAsiaTheme="minorEastAsia"/>
          <w:color w:val="auto"/>
        </w:rPr>
        <w:t>建设地点：广西中医药大学附属瑞康医院</w:t>
      </w:r>
    </w:p>
    <w:p>
      <w:pPr>
        <w:spacing w:line="5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建设规模：项目位于广西南宁市兴宁区华东路10号B座7楼，建筑面积（含楼梯电梯）为2092.55平方米，此次改造面积（除去不在本次图纸设计范围内的楼梯电梯）约为1902.51平方米，拟设立中医外治室、单人套间等及其它住院病房和辅助用房。</w:t>
      </w:r>
    </w:p>
    <w:p>
      <w:pPr>
        <w:spacing w:line="5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合同估算价：433</w:t>
      </w:r>
      <w:r>
        <w:rPr>
          <w:rFonts w:hint="eastAsia" w:asciiTheme="minorEastAsia" w:hAnsiTheme="minorEastAsia" w:eastAsiaTheme="minorEastAsia"/>
          <w:color w:val="auto"/>
          <w:lang w:val="en-US" w:eastAsia="zh-CN"/>
        </w:rPr>
        <w:t>0392.06</w:t>
      </w:r>
      <w:r>
        <w:rPr>
          <w:rFonts w:hint="eastAsia" w:asciiTheme="minorEastAsia" w:hAnsiTheme="minorEastAsia" w:eastAsiaTheme="minorEastAsia"/>
          <w:color w:val="auto"/>
        </w:rPr>
        <w:t>元</w:t>
      </w:r>
    </w:p>
    <w:p>
      <w:pPr>
        <w:spacing w:line="560" w:lineRule="exact"/>
        <w:ind w:firstLine="420" w:firstLineChars="200"/>
        <w:rPr>
          <w:rFonts w:asciiTheme="minorEastAsia" w:hAnsiTheme="minorEastAsia" w:eastAsiaTheme="minorEastAsia"/>
          <w:b/>
          <w:color w:val="auto"/>
        </w:rPr>
      </w:pPr>
      <w:r>
        <w:rPr>
          <w:rFonts w:hint="eastAsia" w:asciiTheme="minorEastAsia" w:hAnsiTheme="minorEastAsia" w:eastAsiaTheme="minorEastAsia"/>
          <w:color w:val="auto"/>
        </w:rPr>
        <w:t>要求工期：</w:t>
      </w:r>
      <w:r>
        <w:rPr>
          <w:rFonts w:asciiTheme="minorEastAsia" w:hAnsiTheme="minorEastAsia" w:eastAsiaTheme="minorEastAsia"/>
          <w:color w:val="auto"/>
        </w:rPr>
        <w:t>90</w:t>
      </w:r>
      <w:r>
        <w:rPr>
          <w:rFonts w:hint="eastAsia" w:asciiTheme="minorEastAsia" w:hAnsiTheme="minorEastAsia" w:eastAsiaTheme="minorEastAsia"/>
          <w:color w:val="auto"/>
        </w:rPr>
        <w:t>日历天。</w:t>
      </w:r>
    </w:p>
    <w:p>
      <w:pPr>
        <w:spacing w:line="5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招标范围：广西中医药大学附属瑞康医院B座七层楼关节与运动医学科与修复重建显微外科病房改造装修工程施工图范围内的拆除、装饰、给排水、强电气等施工图范围内包含的施工内容，具体详见工程量清单及图纸。</w:t>
      </w:r>
    </w:p>
    <w:p>
      <w:pPr>
        <w:pStyle w:val="4"/>
        <w:spacing w:line="560" w:lineRule="exact"/>
        <w:ind w:firstLine="643" w:firstLineChars="200"/>
        <w:rPr>
          <w:rFonts w:asciiTheme="minorEastAsia" w:hAnsiTheme="minorEastAsia" w:eastAsiaTheme="minorEastAsia"/>
          <w:color w:val="auto"/>
        </w:rPr>
      </w:pPr>
      <w:bookmarkStart w:id="11" w:name="_Toc493793344"/>
      <w:bookmarkStart w:id="12" w:name="_Toc389065124"/>
      <w:r>
        <w:rPr>
          <w:rFonts w:asciiTheme="minorEastAsia" w:hAnsiTheme="minorEastAsia" w:eastAsiaTheme="minorEastAsia"/>
          <w:color w:val="auto"/>
        </w:rPr>
        <w:t xml:space="preserve">3. </w:t>
      </w:r>
      <w:r>
        <w:rPr>
          <w:rFonts w:hint="eastAsia" w:asciiTheme="minorEastAsia" w:hAnsiTheme="minorEastAsia" w:eastAsiaTheme="minorEastAsia"/>
          <w:color w:val="auto"/>
        </w:rPr>
        <w:t>投标人资格要求</w:t>
      </w:r>
      <w:bookmarkEnd w:id="11"/>
      <w:bookmarkEnd w:id="12"/>
    </w:p>
    <w:p>
      <w:pPr>
        <w:spacing w:line="560" w:lineRule="exact"/>
        <w:ind w:firstLine="630" w:firstLineChars="300"/>
        <w:rPr>
          <w:rFonts w:asciiTheme="minorEastAsia" w:hAnsiTheme="minorEastAsia" w:eastAsiaTheme="minorEastAsia"/>
          <w:color w:val="auto"/>
        </w:rPr>
      </w:pPr>
      <w:r>
        <w:rPr>
          <w:rFonts w:asciiTheme="minorEastAsia" w:hAnsiTheme="minorEastAsia" w:eastAsiaTheme="minorEastAsia"/>
          <w:color w:val="auto"/>
        </w:rPr>
        <w:t xml:space="preserve">3.1 </w:t>
      </w:r>
      <w:r>
        <w:rPr>
          <w:rFonts w:hint="eastAsia" w:asciiTheme="minorEastAsia" w:hAnsiTheme="minorEastAsia" w:eastAsiaTheme="minorEastAsia"/>
          <w:color w:val="auto"/>
        </w:rPr>
        <w:t>本次招标要求投标人须符合《广西壮族自治区建筑市场诚信卡管理暂行办法》（桂建管﹝2013﹞17号）、《关于加强广西建筑业企业诚信信息库日常维护管理的通知》（桂建管﹝2014﹞25号）规定，具备</w:t>
      </w:r>
      <w:r>
        <w:rPr>
          <w:rFonts w:hint="eastAsia" w:asciiTheme="minorEastAsia" w:hAnsiTheme="minorEastAsia" w:eastAsiaTheme="minorEastAsia"/>
          <w:b/>
          <w:bCs/>
          <w:color w:val="auto"/>
          <w:u w:val="single"/>
        </w:rPr>
        <w:t>[建筑工程施工总承包三级](含)以上或[建筑装修装饰工程专业承包二级](含)以上</w:t>
      </w:r>
      <w:r>
        <w:rPr>
          <w:rFonts w:hint="eastAsia" w:asciiTheme="minorEastAsia" w:hAnsiTheme="minorEastAsia" w:eastAsiaTheme="minorEastAsia"/>
          <w:color w:val="auto"/>
        </w:rPr>
        <w:t>资质，并在人员、设备、资金等方面具备相应的施工能力。其中，投标人拟派项目经理须具备</w:t>
      </w:r>
      <w:r>
        <w:rPr>
          <w:rFonts w:hint="eastAsia" w:asciiTheme="minorEastAsia" w:hAnsiTheme="minorEastAsia" w:eastAsiaTheme="minorEastAsia"/>
          <w:b/>
          <w:bCs/>
          <w:color w:val="auto"/>
          <w:u w:val="single"/>
        </w:rPr>
        <w:t>[建筑工程二级] (含)以上</w:t>
      </w:r>
      <w:r>
        <w:rPr>
          <w:rFonts w:hint="eastAsia" w:asciiTheme="minorEastAsia" w:hAnsiTheme="minorEastAsia" w:eastAsiaTheme="minorEastAsia"/>
          <w:color w:val="auto"/>
        </w:rPr>
        <w:t>注册建造师执业资格，具备有效的安全生产考核合格证书（B类）。本项目不接受有在建、已中标未开工或已列为其他项目中标候选人第一名的建造师作为项目经理，投标人请提供拟派项目经理无在建项目承诺书。</w:t>
      </w:r>
    </w:p>
    <w:p>
      <w:pPr>
        <w:spacing w:line="56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2本次招标</w:t>
      </w:r>
      <w:r>
        <w:rPr>
          <w:rFonts w:hint="eastAsia" w:asciiTheme="minorEastAsia" w:hAnsiTheme="minorEastAsia" w:eastAsiaTheme="minorEastAsia"/>
          <w:b/>
          <w:bCs/>
          <w:color w:val="auto"/>
          <w:u w:val="single"/>
        </w:rPr>
        <w:t>不接受</w:t>
      </w:r>
      <w:r>
        <w:rPr>
          <w:rFonts w:hint="eastAsia" w:asciiTheme="minorEastAsia" w:hAnsiTheme="minorEastAsia" w:eastAsiaTheme="minorEastAsia"/>
          <w:color w:val="auto"/>
        </w:rPr>
        <w:t>联合体投标。</w:t>
      </w:r>
    </w:p>
    <w:p>
      <w:pPr>
        <w:spacing w:line="56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3.3</w:t>
      </w:r>
      <w:r>
        <w:rPr>
          <w:rFonts w:hint="eastAsia" w:asciiTheme="minorEastAsia" w:hAnsiTheme="minorEastAsia" w:eastAsiaTheme="minorEastAsia"/>
          <w:color w:val="auto"/>
        </w:rPr>
        <w:t>在经营活动中没有重大违法记录和不良信用记录；（对在“信用中国”网站(www.creditchina.gov.cn)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560" w:lineRule="exact"/>
        <w:ind w:firstLine="643" w:firstLineChars="200"/>
        <w:rPr>
          <w:rFonts w:asciiTheme="minorEastAsia" w:hAnsiTheme="minorEastAsia" w:eastAsiaTheme="minorEastAsia"/>
          <w:b/>
          <w:bCs/>
          <w:color w:val="auto"/>
          <w:sz w:val="32"/>
          <w:szCs w:val="32"/>
        </w:rPr>
      </w:pPr>
      <w:r>
        <w:rPr>
          <w:rFonts w:asciiTheme="minorEastAsia" w:hAnsiTheme="minorEastAsia" w:eastAsiaTheme="minorEastAsia"/>
          <w:b/>
          <w:bCs/>
          <w:color w:val="auto"/>
          <w:sz w:val="32"/>
          <w:szCs w:val="32"/>
        </w:rPr>
        <w:t>4.招标文件的获取</w:t>
      </w:r>
    </w:p>
    <w:p>
      <w:pPr>
        <w:spacing w:line="560" w:lineRule="exact"/>
        <w:ind w:firstLine="420" w:firstLineChars="200"/>
        <w:rPr>
          <w:rFonts w:asciiTheme="minorEastAsia" w:hAnsiTheme="minorEastAsia" w:eastAsiaTheme="minorEastAsia"/>
          <w:color w:val="auto"/>
        </w:rPr>
      </w:pPr>
      <w:bookmarkStart w:id="13" w:name="_Toc493793346"/>
      <w:bookmarkStart w:id="14" w:name="_Toc389065127"/>
      <w:r>
        <w:rPr>
          <w:rFonts w:hint="eastAsia" w:asciiTheme="minorEastAsia" w:hAnsiTheme="minorEastAsia" w:eastAsiaTheme="minorEastAsia"/>
          <w:color w:val="auto"/>
        </w:rPr>
        <w:t>4.1本项目招标文件为网上免费下载。</w:t>
      </w:r>
      <w:r>
        <w:rPr>
          <w:rFonts w:hint="eastAsia" w:asciiTheme="minorEastAsia" w:hAnsiTheme="minorEastAsia" w:eastAsiaTheme="minorEastAsia"/>
          <w:color w:val="auto"/>
          <w:lang w:val="en-US" w:eastAsia="zh-CN"/>
        </w:rPr>
        <w:t>2020</w:t>
      </w:r>
      <w:r>
        <w:rPr>
          <w:rFonts w:hint="eastAsia" w:asciiTheme="minorEastAsia" w:hAnsiTheme="minorEastAsia" w:eastAsiaTheme="minorEastAsia"/>
          <w:color w:val="auto"/>
        </w:rPr>
        <w:t xml:space="preserve">年 </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 xml:space="preserve">月 </w:t>
      </w:r>
      <w:r>
        <w:rPr>
          <w:rFonts w:hint="eastAsia" w:asciiTheme="minorEastAsia" w:hAnsiTheme="minorEastAsia" w:eastAsiaTheme="minorEastAsia"/>
          <w:color w:val="auto"/>
          <w:lang w:val="en-US" w:eastAsia="zh-CN"/>
        </w:rPr>
        <w:t>28</w:t>
      </w:r>
      <w:r>
        <w:rPr>
          <w:rFonts w:hint="eastAsia" w:asciiTheme="minorEastAsia" w:hAnsiTheme="minorEastAsia" w:eastAsiaTheme="minorEastAsia"/>
          <w:color w:val="auto"/>
        </w:rPr>
        <w:t xml:space="preserve"> 日至 </w:t>
      </w:r>
      <w:r>
        <w:rPr>
          <w:rFonts w:hint="eastAsia" w:asciiTheme="minorEastAsia" w:hAnsiTheme="minorEastAsia" w:eastAsiaTheme="minorEastAsia"/>
          <w:color w:val="auto"/>
          <w:lang w:val="en-US" w:eastAsia="zh-CN"/>
        </w:rPr>
        <w:t>2020</w:t>
      </w:r>
      <w:r>
        <w:rPr>
          <w:rFonts w:hint="eastAsia" w:asciiTheme="minorEastAsia" w:hAnsiTheme="minorEastAsia" w:eastAsiaTheme="minorEastAsia"/>
          <w:color w:val="auto"/>
        </w:rPr>
        <w:t xml:space="preserve"> 年 </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 xml:space="preserve">月 </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 xml:space="preserve"> 日</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潜在投标人可以登陆广西壮族自治区公共资源交易中心网站(网址：htp://gxgzy. gxzf. gov. cn)，完成投标单位账号注册即可下载招标文件。</w:t>
      </w:r>
    </w:p>
    <w:p>
      <w:pPr>
        <w:spacing w:line="5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4.2本项目有图纸或其他技术资料。</w:t>
      </w:r>
    </w:p>
    <w:p>
      <w:pPr>
        <w:spacing w:line="56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 2.1项目的图纸、技术资料按以下方式获取：登陆广西壮族自治区公共资源交易中心网站免费下载(网址: http://gxggzy. gxzf. gov. cn),操作流程与下载招标文件相同。</w:t>
      </w:r>
    </w:p>
    <w:p>
      <w:pPr>
        <w:spacing w:line="560" w:lineRule="exact"/>
        <w:ind w:firstLine="643" w:firstLineChars="200"/>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5. 投标文件的递交</w:t>
      </w:r>
      <w:bookmarkEnd w:id="13"/>
      <w:bookmarkEnd w:id="14"/>
    </w:p>
    <w:p>
      <w:pPr>
        <w:spacing w:line="540" w:lineRule="exact"/>
        <w:ind w:firstLine="420" w:firstLineChars="200"/>
        <w:rPr>
          <w:rFonts w:asciiTheme="minorEastAsia" w:hAnsiTheme="minorEastAsia" w:eastAsiaTheme="minorEastAsia"/>
          <w:color w:val="auto"/>
        </w:rPr>
      </w:pPr>
      <w:bookmarkStart w:id="15" w:name="_Toc389065128"/>
      <w:bookmarkStart w:id="16" w:name="_Toc493793347"/>
      <w:r>
        <w:rPr>
          <w:rFonts w:hint="eastAsia" w:asciiTheme="minorEastAsia" w:hAnsiTheme="minorEastAsia" w:eastAsiaTheme="minorEastAsia"/>
          <w:color w:val="auto"/>
        </w:rPr>
        <w:t>5.1 投标文件递交的截止时间（投标截止时间，下同）为</w:t>
      </w:r>
      <w:r>
        <w:rPr>
          <w:rFonts w:hint="eastAsia" w:ascii="宋体" w:hAnsi="宋体" w:eastAsia="宋体" w:cs="Times New Roman"/>
          <w:color w:val="auto"/>
        </w:rPr>
        <w:t xml:space="preserve">2020年 </w:t>
      </w:r>
      <w:r>
        <w:rPr>
          <w:rFonts w:hint="eastAsia" w:ascii="宋体" w:hAnsi="宋体" w:eastAsia="宋体" w:cs="Times New Roman"/>
          <w:color w:val="auto"/>
          <w:lang w:val="en-US" w:eastAsia="zh-CN"/>
        </w:rPr>
        <w:t>6</w:t>
      </w:r>
      <w:r>
        <w:rPr>
          <w:rFonts w:hint="eastAsia" w:ascii="宋体" w:hAnsi="宋体" w:eastAsia="宋体" w:cs="Times New Roman"/>
          <w:color w:val="auto"/>
        </w:rPr>
        <w:t xml:space="preserve"> 月 </w:t>
      </w:r>
      <w:r>
        <w:rPr>
          <w:rFonts w:hint="eastAsia" w:ascii="宋体" w:hAnsi="宋体" w:eastAsia="宋体" w:cs="Times New Roman"/>
          <w:color w:val="auto"/>
          <w:lang w:val="en-US" w:eastAsia="zh-CN"/>
        </w:rPr>
        <w:t>19</w:t>
      </w:r>
      <w:r>
        <w:rPr>
          <w:rFonts w:hint="eastAsia" w:ascii="宋体" w:hAnsi="宋体" w:eastAsia="宋体" w:cs="Times New Roman"/>
          <w:color w:val="auto"/>
        </w:rPr>
        <w:t xml:space="preserve"> 日10时00分</w:t>
      </w:r>
      <w:r>
        <w:rPr>
          <w:rFonts w:hint="eastAsia" w:asciiTheme="minorEastAsia" w:hAnsiTheme="minorEastAsia" w:eastAsiaTheme="minorEastAsia"/>
          <w:color w:val="auto"/>
        </w:rPr>
        <w:t>，地点为:广西壮族自治区政务服务中心4楼广西壮族自治区公共资源交易中心（南宁市青秀区怡宾路6号）公开开标（具体开标室根据电子屏幕显示的安排）。</w:t>
      </w:r>
    </w:p>
    <w:p>
      <w:pPr>
        <w:spacing w:line="540" w:lineRule="exact"/>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5.2 逾期送达的或者未送达指定地点的投标文件，招标人不予受理。</w:t>
      </w:r>
    </w:p>
    <w:p>
      <w:pPr>
        <w:spacing w:line="540" w:lineRule="exact"/>
        <w:ind w:firstLine="420" w:firstLineChars="200"/>
        <w:outlineLvl w:val="9"/>
        <w:rPr>
          <w:rFonts w:hint="eastAsia" w:asciiTheme="minorEastAsia" w:hAnsiTheme="minorEastAsia" w:eastAsiaTheme="minorEastAsia"/>
          <w:b w:val="0"/>
          <w:color w:val="auto"/>
          <w:sz w:val="21"/>
          <w:szCs w:val="24"/>
        </w:rPr>
      </w:pPr>
      <w:r>
        <w:rPr>
          <w:rFonts w:hint="eastAsia" w:asciiTheme="minorEastAsia" w:hAnsiTheme="minorEastAsia" w:eastAsiaTheme="minorEastAsia"/>
          <w:color w:val="auto"/>
        </w:rPr>
        <w:t>5.3</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rPr>
        <w:t>投标文件必须由企业法定代表人或其授权的专职投标员本人递交，并持专职投标员本人的身份证原件（如为法定代表人递交时可持本企业任一专职投标员的身份证）、拟投入的项目经理和专职安全员的身份证复印件，否则招标人不予受理。</w:t>
      </w:r>
    </w:p>
    <w:p>
      <w:pPr>
        <w:pStyle w:val="4"/>
        <w:spacing w:line="560" w:lineRule="exact"/>
        <w:ind w:firstLine="643" w:firstLineChars="200"/>
        <w:rPr>
          <w:rFonts w:asciiTheme="minorEastAsia" w:hAnsiTheme="minorEastAsia" w:eastAsiaTheme="minorEastAsia"/>
          <w:color w:val="auto"/>
        </w:rPr>
      </w:pPr>
      <w:r>
        <w:rPr>
          <w:rFonts w:asciiTheme="minorEastAsia" w:hAnsiTheme="minorEastAsia" w:eastAsiaTheme="minorEastAsia"/>
          <w:color w:val="auto"/>
        </w:rPr>
        <w:t xml:space="preserve">6. </w:t>
      </w:r>
      <w:r>
        <w:rPr>
          <w:rFonts w:hint="eastAsia" w:asciiTheme="minorEastAsia" w:hAnsiTheme="minorEastAsia" w:eastAsiaTheme="minorEastAsia"/>
          <w:color w:val="auto"/>
        </w:rPr>
        <w:t>评标方式</w:t>
      </w:r>
      <w:bookmarkEnd w:id="15"/>
      <w:bookmarkEnd w:id="16"/>
    </w:p>
    <w:p>
      <w:pPr>
        <w:spacing w:line="560" w:lineRule="exact"/>
        <w:ind w:firstLine="420" w:firstLineChars="200"/>
        <w:rPr>
          <w:rFonts w:asciiTheme="minorEastAsia" w:hAnsiTheme="minorEastAsia" w:eastAsiaTheme="minorEastAsia"/>
          <w:color w:val="auto"/>
          <w:szCs w:val="32"/>
        </w:rPr>
      </w:pPr>
      <w:r>
        <w:rPr>
          <w:rFonts w:hint="eastAsia" w:hAnsi="MS Mincho" w:eastAsia="MS Mincho" w:cs="MS Mincho" w:asciiTheme="minorEastAsia"/>
          <w:color w:val="auto"/>
        </w:rPr>
        <w:t>☑</w:t>
      </w:r>
      <w:r>
        <w:rPr>
          <w:rFonts w:hint="eastAsia" w:asciiTheme="minorEastAsia" w:hAnsiTheme="minorEastAsia" w:eastAsiaTheme="minorEastAsia"/>
          <w:color w:val="auto"/>
          <w:szCs w:val="32"/>
        </w:rPr>
        <w:t>综合评估法</w:t>
      </w:r>
    </w:p>
    <w:p>
      <w:pPr>
        <w:spacing w:line="560" w:lineRule="exact"/>
        <w:ind w:firstLine="643" w:firstLineChars="200"/>
        <w:rPr>
          <w:rFonts w:asciiTheme="minorEastAsia" w:hAnsiTheme="minorEastAsia" w:eastAsiaTheme="minorEastAsia"/>
          <w:b/>
          <w:color w:val="auto"/>
          <w:sz w:val="32"/>
          <w:szCs w:val="20"/>
        </w:rPr>
      </w:pPr>
      <w:bookmarkStart w:id="17" w:name="_Toc493793348"/>
      <w:bookmarkStart w:id="18" w:name="_Toc389065130"/>
      <w:r>
        <w:rPr>
          <w:rFonts w:hint="eastAsia" w:asciiTheme="minorEastAsia" w:hAnsiTheme="minorEastAsia" w:eastAsiaTheme="minorEastAsia"/>
          <w:b/>
          <w:color w:val="auto"/>
          <w:sz w:val="32"/>
          <w:szCs w:val="20"/>
        </w:rPr>
        <w:t xml:space="preserve">7. </w:t>
      </w:r>
      <w:bookmarkEnd w:id="17"/>
      <w:bookmarkEnd w:id="18"/>
      <w:r>
        <w:rPr>
          <w:rFonts w:hint="eastAsia" w:asciiTheme="minorEastAsia" w:hAnsiTheme="minorEastAsia" w:eastAsiaTheme="minorEastAsia"/>
          <w:b/>
          <w:color w:val="auto"/>
          <w:sz w:val="32"/>
          <w:szCs w:val="20"/>
        </w:rPr>
        <w:t>发布公告的媒介</w:t>
      </w:r>
    </w:p>
    <w:p>
      <w:pPr>
        <w:spacing w:line="560" w:lineRule="exact"/>
        <w:ind w:firstLine="420" w:firstLineChars="200"/>
        <w:rPr>
          <w:rFonts w:ascii="宋体" w:hAnsi="宋体" w:cs="宋体"/>
          <w:color w:val="auto"/>
          <w:lang w:val="en-US"/>
        </w:rPr>
      </w:pPr>
      <w:r>
        <w:rPr>
          <w:rFonts w:ascii="宋体" w:hAnsi="宋体" w:cs="宋体"/>
          <w:color w:val="auto"/>
          <w:lang w:val="zh-CN"/>
        </w:rPr>
        <w:t>本次招标公告同时在</w:t>
      </w:r>
      <w:r>
        <w:rPr>
          <w:rFonts w:hint="eastAsia" w:ascii="宋体" w:hAnsi="宋体" w:cs="宋体"/>
          <w:color w:val="auto"/>
          <w:lang w:val="zh-CN"/>
        </w:rPr>
        <w:t>中国政府采购网</w:t>
      </w:r>
      <w:r>
        <w:rPr>
          <w:rFonts w:hint="eastAsia" w:ascii="宋体" w:hAnsi="宋体" w:cs="宋体"/>
          <w:color w:val="auto"/>
          <w:lang w:val="en-US"/>
        </w:rPr>
        <w:t>（</w:t>
      </w:r>
      <w:r>
        <w:rPr>
          <w:rFonts w:ascii="宋体" w:hAnsi="宋体" w:cs="宋体"/>
          <w:color w:val="auto"/>
          <w:lang w:val="en-US"/>
        </w:rPr>
        <w:t>http://www.ccgp.gov.cn）</w:t>
      </w:r>
      <w:r>
        <w:rPr>
          <w:rFonts w:hint="eastAsia" w:ascii="宋体" w:hAnsi="宋体" w:cs="宋体"/>
          <w:color w:val="auto"/>
          <w:lang w:val="zh-CN"/>
        </w:rPr>
        <w:t>、广西壮族自治区政府采购网</w:t>
      </w:r>
      <w:r>
        <w:rPr>
          <w:rFonts w:hint="eastAsia" w:ascii="宋体" w:hAnsi="宋体" w:cs="宋体"/>
          <w:color w:val="auto"/>
          <w:lang w:val="en-US"/>
        </w:rPr>
        <w:t>（</w:t>
      </w:r>
      <w:r>
        <w:rPr>
          <w:rFonts w:ascii="宋体" w:hAnsi="宋体" w:cs="宋体"/>
          <w:color w:val="auto"/>
          <w:lang w:val="en-US"/>
        </w:rPr>
        <w:t>http:// zfcg.gxzf.gov.cn）</w:t>
      </w:r>
      <w:r>
        <w:rPr>
          <w:rFonts w:hint="eastAsia" w:ascii="宋体" w:hAnsi="宋体" w:cs="宋体"/>
          <w:color w:val="auto"/>
          <w:lang w:val="zh-CN"/>
        </w:rPr>
        <w:t>、广西壮族自治区公共资源交易中心</w:t>
      </w:r>
      <w:r>
        <w:rPr>
          <w:rFonts w:ascii="宋体" w:hAnsi="宋体" w:cs="宋体"/>
          <w:color w:val="auto"/>
          <w:lang w:val="en-US"/>
        </w:rPr>
        <w:t>( http://gxggzy. gxzf. gov. cn)</w:t>
      </w:r>
      <w:r>
        <w:rPr>
          <w:rFonts w:hint="eastAsia" w:ascii="宋体" w:hAnsi="宋体" w:cs="宋体"/>
          <w:color w:val="auto"/>
          <w:lang w:val="zh-CN"/>
        </w:rPr>
        <w:t>、广西壮族自治区招标投标公共服务平台</w:t>
      </w:r>
      <w:r>
        <w:rPr>
          <w:rFonts w:hint="eastAsia" w:ascii="宋体" w:hAnsi="宋体" w:cs="宋体"/>
          <w:color w:val="auto"/>
          <w:lang w:val="en-US"/>
        </w:rPr>
        <w:t>（</w:t>
      </w:r>
      <w:r>
        <w:rPr>
          <w:rFonts w:ascii="宋体" w:hAnsi="宋体" w:cs="宋体"/>
          <w:color w:val="auto"/>
          <w:lang w:val="en-US"/>
        </w:rPr>
        <w:t>http://ztb.gxi.gov.cn）</w:t>
      </w:r>
      <w:r>
        <w:rPr>
          <w:rFonts w:ascii="宋体" w:hAnsi="宋体" w:cs="宋体"/>
          <w:color w:val="auto"/>
          <w:lang w:val="zh-CN"/>
        </w:rPr>
        <w:t>发布。</w:t>
      </w:r>
    </w:p>
    <w:p>
      <w:pPr>
        <w:pStyle w:val="4"/>
        <w:spacing w:line="560" w:lineRule="exact"/>
        <w:ind w:firstLine="643" w:firstLineChars="200"/>
        <w:rPr>
          <w:rFonts w:asciiTheme="minorEastAsia" w:hAnsiTheme="minorEastAsia" w:eastAsiaTheme="minorEastAsia"/>
          <w:color w:val="auto"/>
          <w:sz w:val="36"/>
          <w:szCs w:val="36"/>
        </w:rPr>
      </w:pPr>
      <w:bookmarkStart w:id="19" w:name="_Toc389065131"/>
      <w:bookmarkStart w:id="20" w:name="_Toc493793351"/>
      <w:r>
        <w:rPr>
          <w:rFonts w:asciiTheme="minorEastAsia" w:hAnsiTheme="minorEastAsia" w:eastAsiaTheme="minorEastAsia"/>
          <w:color w:val="auto"/>
        </w:rPr>
        <w:t xml:space="preserve">8. </w:t>
      </w:r>
      <w:r>
        <w:rPr>
          <w:rFonts w:hint="eastAsia" w:asciiTheme="minorEastAsia" w:hAnsiTheme="minorEastAsia" w:eastAsiaTheme="minorEastAsia"/>
          <w:color w:val="auto"/>
        </w:rPr>
        <w:t>联系方式</w:t>
      </w:r>
      <w:bookmarkEnd w:id="19"/>
      <w:bookmarkEnd w:id="20"/>
    </w:p>
    <w:tbl>
      <w:tblPr>
        <w:tblStyle w:val="3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2"/>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2" w:type="dxa"/>
          </w:tcPr>
          <w:p>
            <w:pPr>
              <w:spacing w:line="560" w:lineRule="exact"/>
              <w:rPr>
                <w:rFonts w:ascii="宋体" w:hAnsi="宋体" w:cs="宋体"/>
                <w:color w:val="auto"/>
                <w:szCs w:val="21"/>
              </w:rPr>
            </w:pPr>
            <w:r>
              <w:rPr>
                <w:rFonts w:hint="eastAsia" w:ascii="宋体" w:hAnsi="宋体" w:cs="宋体"/>
                <w:color w:val="auto"/>
                <w:szCs w:val="21"/>
              </w:rPr>
              <w:t xml:space="preserve">招 标 人：广西中医药大学附属瑞康医院     </w:t>
            </w:r>
          </w:p>
        </w:tc>
        <w:tc>
          <w:tcPr>
            <w:tcW w:w="4828" w:type="dxa"/>
          </w:tcPr>
          <w:p>
            <w:pPr>
              <w:spacing w:line="560" w:lineRule="exact"/>
              <w:rPr>
                <w:rFonts w:ascii="宋体" w:hAnsi="宋体" w:cs="宋体"/>
                <w:color w:val="auto"/>
                <w:szCs w:val="21"/>
              </w:rPr>
            </w:pPr>
            <w:r>
              <w:rPr>
                <w:rFonts w:hint="eastAsia" w:ascii="宋体" w:hAnsi="宋体" w:cs="宋体"/>
                <w:color w:val="auto"/>
                <w:szCs w:val="21"/>
              </w:rPr>
              <w:t>招标代理机构：广西建信建设项目管理有限公司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602" w:type="dxa"/>
            <w:vAlign w:val="center"/>
          </w:tcPr>
          <w:p>
            <w:pPr>
              <w:spacing w:line="560" w:lineRule="exact"/>
              <w:rPr>
                <w:rFonts w:ascii="宋体" w:hAnsi="宋体" w:cs="宋体"/>
                <w:color w:val="auto"/>
                <w:szCs w:val="21"/>
              </w:rPr>
            </w:pPr>
            <w:r>
              <w:rPr>
                <w:rFonts w:hint="eastAsia" w:ascii="宋体" w:hAnsi="宋体" w:cs="宋体"/>
                <w:color w:val="auto"/>
                <w:szCs w:val="21"/>
              </w:rPr>
              <w:t>地  址： 南宁市华东路10号</w:t>
            </w:r>
          </w:p>
        </w:tc>
        <w:tc>
          <w:tcPr>
            <w:tcW w:w="4828" w:type="dxa"/>
          </w:tcPr>
          <w:p>
            <w:pPr>
              <w:spacing w:line="560" w:lineRule="exact"/>
              <w:rPr>
                <w:rFonts w:ascii="宋体" w:hAnsi="宋体" w:cs="宋体"/>
                <w:color w:val="auto"/>
                <w:szCs w:val="21"/>
              </w:rPr>
            </w:pPr>
            <w:r>
              <w:rPr>
                <w:rFonts w:hint="eastAsia" w:ascii="宋体" w:hAnsi="宋体" w:cs="宋体"/>
                <w:color w:val="auto"/>
                <w:szCs w:val="21"/>
              </w:rPr>
              <w:t>地  址：广西建信建设项目管理有限公司南宁市青秀区万达公馆写字楼金座35层3523室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2" w:type="dxa"/>
          </w:tcPr>
          <w:p>
            <w:pPr>
              <w:spacing w:line="560" w:lineRule="exact"/>
              <w:rPr>
                <w:rFonts w:ascii="宋体" w:hAnsi="宋体" w:cs="宋体"/>
                <w:color w:val="auto"/>
                <w:szCs w:val="21"/>
              </w:rPr>
            </w:pPr>
            <w:r>
              <w:rPr>
                <w:rFonts w:hint="eastAsia" w:ascii="宋体" w:hAnsi="宋体" w:cs="宋体"/>
                <w:color w:val="auto"/>
                <w:szCs w:val="21"/>
              </w:rPr>
              <w:t>联 系 人：  韩工  唐工</w:t>
            </w:r>
          </w:p>
        </w:tc>
        <w:tc>
          <w:tcPr>
            <w:tcW w:w="4828" w:type="dxa"/>
          </w:tcPr>
          <w:p>
            <w:pPr>
              <w:spacing w:line="560" w:lineRule="exact"/>
              <w:rPr>
                <w:rFonts w:ascii="宋体" w:hAnsi="宋体" w:cs="宋体"/>
                <w:color w:val="auto"/>
                <w:szCs w:val="21"/>
              </w:rPr>
            </w:pPr>
            <w:r>
              <w:rPr>
                <w:rFonts w:hint="eastAsia" w:ascii="宋体" w:hAnsi="宋体" w:cs="宋体"/>
                <w:color w:val="auto"/>
                <w:szCs w:val="21"/>
              </w:rPr>
              <w:t>联 系 人：易小娟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2" w:type="dxa"/>
          </w:tcPr>
          <w:p>
            <w:pPr>
              <w:spacing w:line="560" w:lineRule="exact"/>
              <w:rPr>
                <w:rFonts w:ascii="宋体" w:hAnsi="宋体" w:cs="宋体"/>
                <w:color w:val="auto"/>
                <w:szCs w:val="21"/>
              </w:rPr>
            </w:pPr>
            <w:r>
              <w:rPr>
                <w:rFonts w:hint="eastAsia" w:ascii="宋体" w:hAnsi="宋体" w:cs="宋体"/>
                <w:color w:val="auto"/>
                <w:szCs w:val="21"/>
              </w:rPr>
              <w:t>电    话：0771-2238655</w:t>
            </w:r>
          </w:p>
        </w:tc>
        <w:tc>
          <w:tcPr>
            <w:tcW w:w="4828" w:type="dxa"/>
          </w:tcPr>
          <w:p>
            <w:pPr>
              <w:spacing w:line="560" w:lineRule="exact"/>
              <w:rPr>
                <w:rFonts w:ascii="宋体" w:hAnsi="宋体" w:cs="宋体"/>
                <w:color w:val="auto"/>
                <w:szCs w:val="21"/>
              </w:rPr>
            </w:pPr>
            <w:r>
              <w:rPr>
                <w:rFonts w:hint="eastAsia" w:ascii="宋体" w:hAnsi="宋体" w:cs="宋体"/>
                <w:color w:val="auto"/>
                <w:szCs w:val="21"/>
              </w:rPr>
              <w:t>电    话：0771-5558342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02" w:type="dxa"/>
          </w:tcPr>
          <w:p>
            <w:pPr>
              <w:spacing w:line="560" w:lineRule="exact"/>
              <w:rPr>
                <w:rFonts w:ascii="宋体" w:hAnsi="宋体" w:cs="宋体"/>
                <w:color w:val="auto"/>
                <w:szCs w:val="21"/>
              </w:rPr>
            </w:pPr>
            <w:r>
              <w:rPr>
                <w:rFonts w:hint="eastAsia" w:ascii="宋体" w:hAnsi="宋体" w:cs="宋体"/>
                <w:color w:val="auto"/>
                <w:szCs w:val="21"/>
              </w:rPr>
              <w:t>邮   箱：/</w:t>
            </w:r>
          </w:p>
        </w:tc>
        <w:tc>
          <w:tcPr>
            <w:tcW w:w="4828" w:type="dxa"/>
          </w:tcPr>
          <w:p>
            <w:pPr>
              <w:spacing w:line="560" w:lineRule="exact"/>
              <w:rPr>
                <w:rFonts w:ascii="宋体" w:hAnsi="宋体" w:cs="宋体"/>
                <w:color w:val="auto"/>
                <w:szCs w:val="21"/>
              </w:rPr>
            </w:pPr>
            <w:r>
              <w:rPr>
                <w:rFonts w:hint="eastAsia" w:ascii="宋体" w:hAnsi="宋体" w:cs="宋体"/>
                <w:color w:val="auto"/>
                <w:szCs w:val="21"/>
              </w:rPr>
              <w:t>邮   箱：</w:t>
            </w:r>
            <w:r>
              <w:rPr>
                <w:color w:val="auto"/>
              </w:rPr>
              <w:fldChar w:fldCharType="begin"/>
            </w:r>
            <w:r>
              <w:rPr>
                <w:color w:val="auto"/>
              </w:rPr>
              <w:instrText xml:space="preserve"> HYPERLINK "mailto:nnjxzbzx@163.com_x0005_" </w:instrText>
            </w:r>
            <w:r>
              <w:rPr>
                <w:color w:val="auto"/>
              </w:rPr>
              <w:fldChar w:fldCharType="separate"/>
            </w:r>
            <w:r>
              <w:rPr>
                <w:rStyle w:val="49"/>
                <w:rFonts w:hint="eastAsia" w:ascii="宋体" w:hAnsi="宋体" w:cs="宋体"/>
                <w:color w:val="auto"/>
                <w:szCs w:val="21"/>
              </w:rPr>
              <w:t>nnjxzbzx@163.com</w:t>
            </w:r>
            <w:r>
              <w:rPr>
                <w:rStyle w:val="49"/>
                <w:rFonts w:hint="eastAsia" w:ascii="宋体" w:hAnsi="宋体" w:cs="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02" w:type="dxa"/>
          </w:tcPr>
          <w:p>
            <w:pPr>
              <w:spacing w:line="560" w:lineRule="exact"/>
              <w:rPr>
                <w:rFonts w:ascii="宋体" w:hAnsi="宋体" w:cs="宋体"/>
                <w:color w:val="auto"/>
                <w:szCs w:val="21"/>
              </w:rPr>
            </w:pPr>
            <w:r>
              <w:rPr>
                <w:rFonts w:hint="eastAsia" w:ascii="宋体" w:hAnsi="宋体" w:cs="宋体"/>
                <w:color w:val="auto"/>
                <w:szCs w:val="21"/>
              </w:rPr>
              <w:t>交易服务单：广西壮族自治区公共资源交易中心</w:t>
            </w:r>
          </w:p>
        </w:tc>
        <w:tc>
          <w:tcPr>
            <w:tcW w:w="4828" w:type="dxa"/>
          </w:tcPr>
          <w:p>
            <w:pPr>
              <w:spacing w:line="560" w:lineRule="exact"/>
              <w:rPr>
                <w:rFonts w:ascii="宋体" w:hAnsi="宋体" w:cs="宋体"/>
                <w:color w:val="auto"/>
                <w:szCs w:val="21"/>
              </w:rPr>
            </w:pPr>
            <w:r>
              <w:rPr>
                <w:rFonts w:hint="eastAsia" w:ascii="宋体" w:hAnsi="宋体" w:cs="宋体"/>
                <w:color w:val="auto"/>
                <w:szCs w:val="21"/>
              </w:rPr>
              <w:t>监督部门：广西壮族自治区财政厅政府采购监督管理处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602" w:type="dxa"/>
          </w:tcPr>
          <w:p>
            <w:pPr>
              <w:spacing w:line="560" w:lineRule="exact"/>
              <w:rPr>
                <w:rFonts w:ascii="宋体" w:hAnsi="宋体" w:cs="宋体"/>
                <w:szCs w:val="21"/>
              </w:rPr>
            </w:pPr>
            <w:r>
              <w:rPr>
                <w:rFonts w:hint="eastAsia" w:ascii="宋体" w:hAnsi="宋体" w:cs="宋体"/>
                <w:szCs w:val="21"/>
              </w:rPr>
              <w:t>地 址:广西南宁市青秀区怡宾路6号自治区政务服务中心4楼</w:t>
            </w:r>
          </w:p>
        </w:tc>
        <w:tc>
          <w:tcPr>
            <w:tcW w:w="4828" w:type="dxa"/>
          </w:tcPr>
          <w:p>
            <w:pPr>
              <w:spacing w:line="560" w:lineRule="exact"/>
              <w:rPr>
                <w:rFonts w:ascii="宋体" w:hAnsi="宋体" w:cs="宋体"/>
                <w:szCs w:val="21"/>
              </w:rPr>
            </w:pPr>
            <w:r>
              <w:rPr>
                <w:rFonts w:hint="eastAsia" w:ascii="宋体" w:hAnsi="宋体" w:cs="宋体"/>
                <w:szCs w:val="21"/>
              </w:rPr>
              <w:t>地 址:南宁市桃源路69号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02" w:type="dxa"/>
            <w:vAlign w:val="center"/>
          </w:tcPr>
          <w:p>
            <w:pPr>
              <w:pStyle w:val="35"/>
              <w:spacing w:beforeAutospacing="0" w:afterAutospacing="0" w:line="560" w:lineRule="exact"/>
              <w:ind w:left="141" w:right="86"/>
              <w:rPr>
                <w:sz w:val="21"/>
                <w:szCs w:val="21"/>
              </w:rPr>
            </w:pPr>
            <w:r>
              <w:rPr>
                <w:rFonts w:hint="eastAsia"/>
                <w:color w:val="000000"/>
                <w:sz w:val="21"/>
                <w:szCs w:val="21"/>
              </w:rPr>
              <w:t>电  话: 0771-2610593</w:t>
            </w:r>
          </w:p>
        </w:tc>
        <w:tc>
          <w:tcPr>
            <w:tcW w:w="4828" w:type="dxa"/>
            <w:vAlign w:val="center"/>
          </w:tcPr>
          <w:p>
            <w:pPr>
              <w:pStyle w:val="35"/>
              <w:spacing w:beforeAutospacing="0" w:afterAutospacing="0" w:line="560" w:lineRule="exact"/>
              <w:ind w:left="141"/>
              <w:rPr>
                <w:sz w:val="21"/>
                <w:szCs w:val="21"/>
              </w:rPr>
            </w:pPr>
            <w:r>
              <w:rPr>
                <w:rFonts w:hint="eastAsia"/>
                <w:color w:val="000000"/>
                <w:sz w:val="21"/>
                <w:szCs w:val="21"/>
              </w:rPr>
              <w:t>电  话:0771-5331544</w:t>
            </w:r>
          </w:p>
        </w:tc>
      </w:tr>
    </w:tbl>
    <w:p>
      <w:pPr>
        <w:spacing w:line="560" w:lineRule="exact"/>
        <w:ind w:right="420" w:firstLine="420" w:firstLineChars="200"/>
        <w:rPr>
          <w:rFonts w:asciiTheme="minorEastAsia" w:hAnsiTheme="minorEastAsia" w:eastAsiaTheme="minorEastAsia"/>
          <w:szCs w:val="21"/>
          <w:u w:val="single"/>
        </w:rPr>
      </w:pPr>
    </w:p>
    <w:p>
      <w:pPr>
        <w:spacing w:line="560" w:lineRule="exact"/>
        <w:ind w:right="420" w:firstLine="420" w:firstLineChars="200"/>
        <w:rPr>
          <w:rFonts w:asciiTheme="minorEastAsia" w:hAnsiTheme="minorEastAsia" w:eastAsiaTheme="minorEastAsia"/>
          <w:szCs w:val="21"/>
          <w:u w:val="single"/>
        </w:rPr>
      </w:pPr>
    </w:p>
    <w:p>
      <w:pPr>
        <w:spacing w:line="560" w:lineRule="exact"/>
        <w:ind w:right="420" w:firstLine="420" w:firstLineChars="200"/>
        <w:jc w:val="center"/>
        <w:rPr>
          <w:rFonts w:ascii="宋体" w:hAnsi="宋体" w:cs="宋体"/>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广西建信建设项目管理有限公司</w:t>
      </w:r>
      <w:r>
        <w:rPr>
          <w:rFonts w:hint="eastAsia" w:asciiTheme="minorEastAsia" w:hAnsiTheme="minorEastAsia" w:eastAsiaTheme="minorEastAsia"/>
        </w:rPr>
        <w:t xml:space="preserve"> </w:t>
      </w:r>
      <w:r>
        <w:rPr>
          <w:rFonts w:hint="eastAsia" w:ascii="宋体" w:hAnsi="宋体" w:cs="宋体"/>
          <w:color w:val="0000FF"/>
          <w:szCs w:val="21"/>
        </w:rPr>
        <w:t xml:space="preserve">                                              </w:t>
      </w:r>
      <w:r>
        <w:rPr>
          <w:rFonts w:hint="eastAsia" w:ascii="宋体" w:hAnsi="宋体" w:cs="宋体"/>
          <w:szCs w:val="21"/>
        </w:rPr>
        <w:t xml:space="preserve">          </w:t>
      </w:r>
    </w:p>
    <w:p>
      <w:pPr>
        <w:spacing w:line="360" w:lineRule="auto"/>
        <w:ind w:right="420" w:firstLine="420" w:firstLineChars="200"/>
        <w:jc w:val="center"/>
        <w:rPr>
          <w:rFonts w:hint="eastAsia" w:ascii="宋体" w:hAnsi="宋体" w:cs="宋体"/>
          <w:szCs w:val="21"/>
        </w:rPr>
      </w:pPr>
      <w:r>
        <w:rPr>
          <w:rFonts w:hint="eastAsia" w:ascii="宋体" w:hAnsi="宋体" w:cs="宋体"/>
          <w:szCs w:val="21"/>
        </w:rPr>
        <w:t xml:space="preserve">                                                  </w:t>
      </w:r>
    </w:p>
    <w:p>
      <w:pPr>
        <w:spacing w:line="360" w:lineRule="auto"/>
        <w:ind w:right="420" w:firstLine="420" w:firstLineChars="200"/>
        <w:jc w:val="center"/>
        <w:rPr>
          <w:rStyle w:val="164"/>
          <w:rFonts w:asciiTheme="minorEastAsia" w:hAnsiTheme="minorEastAsia" w:eastAsiaTheme="minorEastAsia"/>
        </w:rPr>
      </w:pPr>
      <w:r>
        <w:rPr>
          <w:rFonts w:hint="eastAsia" w:ascii="宋体" w:hAnsi="宋体" w:cs="宋体"/>
          <w:szCs w:val="21"/>
          <w:lang w:val="en-US" w:eastAsia="zh-CN"/>
        </w:rPr>
        <w:t xml:space="preserve">                                            </w:t>
      </w:r>
      <w:r>
        <w:rPr>
          <w:rFonts w:hint="default" w:cs="Times New Roman" w:asciiTheme="minorEastAsia" w:hAnsiTheme="minorEastAsia" w:eastAsiaTheme="minorEastAsia"/>
          <w:szCs w:val="21"/>
          <w:lang w:val="en-US" w:eastAsia="zh-CN"/>
        </w:rPr>
        <w:t xml:space="preserve">        </w:t>
      </w:r>
      <w:r>
        <w:rPr>
          <w:rFonts w:hint="default" w:cs="Times New Roman" w:asciiTheme="minorEastAsia" w:hAnsiTheme="minorEastAsia" w:eastAsiaTheme="minorEastAsia"/>
          <w:szCs w:val="21"/>
        </w:rPr>
        <w:t xml:space="preserve"> 2020</w:t>
      </w:r>
      <w:r>
        <w:rPr>
          <w:rFonts w:cs="Times New Roman" w:asciiTheme="minorEastAsia" w:hAnsiTheme="minorEastAsia" w:eastAsiaTheme="minorEastAsia"/>
          <w:szCs w:val="21"/>
        </w:rPr>
        <w:t xml:space="preserve">年 </w:t>
      </w:r>
      <w:r>
        <w:rPr>
          <w:rFonts w:hint="default" w:cs="Times New Roman" w:asciiTheme="minorEastAsia" w:hAnsiTheme="minorEastAsia" w:eastAsiaTheme="minorEastAsia"/>
          <w:szCs w:val="21"/>
        </w:rPr>
        <w:t xml:space="preserve"> </w:t>
      </w:r>
      <w:r>
        <w:rPr>
          <w:rFonts w:hint="default" w:cs="Times New Roman" w:asciiTheme="minorEastAsia" w:hAnsiTheme="minorEastAsia" w:eastAsiaTheme="minorEastAsia"/>
          <w:szCs w:val="21"/>
          <w:lang w:val="en-US" w:eastAsia="zh-CN"/>
        </w:rPr>
        <w:t>5</w:t>
      </w:r>
      <w:r>
        <w:rPr>
          <w:rFonts w:cs="Times New Roman" w:asciiTheme="minorEastAsia" w:hAnsiTheme="minorEastAsia" w:eastAsiaTheme="minorEastAsia"/>
          <w:szCs w:val="21"/>
        </w:rPr>
        <w:t xml:space="preserve"> 月 </w:t>
      </w:r>
      <w:r>
        <w:rPr>
          <w:rFonts w:hint="default" w:cs="Times New Roman" w:asciiTheme="minorEastAsia" w:hAnsiTheme="minorEastAsia" w:eastAsiaTheme="minorEastAsia"/>
          <w:szCs w:val="21"/>
          <w:lang w:val="en-US" w:eastAsia="zh-CN"/>
        </w:rPr>
        <w:t>27</w:t>
      </w:r>
      <w:r>
        <w:rPr>
          <w:rFonts w:hint="default" w:cs="Times New Roman" w:asciiTheme="minorEastAsia" w:hAnsiTheme="minorEastAsia" w:eastAsiaTheme="minorEastAsia"/>
          <w:szCs w:val="21"/>
        </w:rPr>
        <w:t xml:space="preserve"> </w:t>
      </w:r>
      <w:r>
        <w:rPr>
          <w:rFonts w:cs="Times New Roman" w:asciiTheme="minorEastAsia" w:hAnsiTheme="minorEastAsia" w:eastAsiaTheme="minorEastAsia"/>
          <w:szCs w:val="21"/>
        </w:rPr>
        <w:t>日</w:t>
      </w:r>
      <w:bookmarkStart w:id="21" w:name="_Toc493793352"/>
      <w:bookmarkStart w:id="22" w:name="_Toc389065142"/>
      <w:r>
        <w:rPr>
          <w:rFonts w:hint="eastAsia" w:asciiTheme="minorEastAsia" w:hAnsiTheme="minorEastAsia" w:eastAsiaTheme="minorEastAsia"/>
        </w:rPr>
        <w:br w:type="page"/>
      </w:r>
      <w:r>
        <w:rPr>
          <w:rFonts w:hint="eastAsia" w:asciiTheme="minorEastAsia" w:hAnsiTheme="minorEastAsia" w:eastAsiaTheme="minorEastAsia"/>
        </w:rPr>
        <w:t xml:space="preserve">         </w:t>
      </w:r>
      <w:r>
        <w:rPr>
          <w:rStyle w:val="164"/>
          <w:rFonts w:hint="eastAsia" w:asciiTheme="minorEastAsia" w:hAnsiTheme="minorEastAsia" w:eastAsiaTheme="minorEastAsia"/>
        </w:rPr>
        <w:t>第二章</w:t>
      </w:r>
      <w:r>
        <w:rPr>
          <w:rStyle w:val="164"/>
          <w:rFonts w:asciiTheme="minorEastAsia" w:hAnsiTheme="minorEastAsia" w:eastAsiaTheme="minorEastAsia"/>
        </w:rPr>
        <w:t xml:space="preserve">  </w:t>
      </w:r>
      <w:r>
        <w:rPr>
          <w:rStyle w:val="164"/>
          <w:rFonts w:hint="eastAsia" w:asciiTheme="minorEastAsia" w:hAnsiTheme="minorEastAsia" w:eastAsiaTheme="minorEastAsia"/>
        </w:rPr>
        <w:t>投标人须知</w:t>
      </w:r>
      <w:bookmarkEnd w:id="21"/>
      <w:bookmarkEnd w:id="22"/>
    </w:p>
    <w:p>
      <w:pPr>
        <w:pStyle w:val="3"/>
        <w:ind w:firstLine="883" w:firstLineChars="200"/>
        <w:jc w:val="center"/>
        <w:rPr>
          <w:rFonts w:asciiTheme="minorEastAsia" w:hAnsiTheme="minorEastAsia" w:eastAsiaTheme="minorEastAsia"/>
        </w:rPr>
      </w:pPr>
      <w:bookmarkStart w:id="23" w:name="_Toc493793353"/>
      <w:bookmarkStart w:id="24" w:name="_Toc389065143"/>
      <w:r>
        <w:rPr>
          <w:rFonts w:hint="eastAsia" w:asciiTheme="minorEastAsia" w:hAnsiTheme="minorEastAsia" w:eastAsiaTheme="minorEastAsia"/>
        </w:rPr>
        <w:t>投标人须知前附表</w:t>
      </w:r>
      <w:bookmarkEnd w:id="23"/>
      <w:bookmarkEnd w:id="24"/>
    </w:p>
    <w:tbl>
      <w:tblPr>
        <w:tblStyle w:val="3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565"/>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gridSpan w:val="2"/>
            <w:shd w:val="clear" w:color="auto" w:fill="E6E6E6"/>
            <w:vAlign w:val="center"/>
          </w:tcPr>
          <w:p>
            <w:pPr>
              <w:spacing w:line="560" w:lineRule="exact"/>
              <w:jc w:val="center"/>
              <w:rPr>
                <w:rFonts w:ascii="宋体" w:hAnsi="宋体" w:cs="宋体"/>
                <w:b/>
                <w:szCs w:val="21"/>
              </w:rPr>
            </w:pPr>
            <w:r>
              <w:rPr>
                <w:rFonts w:hint="eastAsia" w:ascii="宋体" w:hAnsi="宋体" w:cs="宋体"/>
                <w:b/>
                <w:szCs w:val="21"/>
              </w:rPr>
              <w:t>条款号</w:t>
            </w:r>
          </w:p>
        </w:tc>
        <w:tc>
          <w:tcPr>
            <w:tcW w:w="3565" w:type="dxa"/>
            <w:shd w:val="clear" w:color="auto" w:fill="E6E6E6"/>
            <w:vAlign w:val="center"/>
          </w:tcPr>
          <w:p>
            <w:pPr>
              <w:spacing w:line="560" w:lineRule="exact"/>
              <w:jc w:val="center"/>
              <w:rPr>
                <w:rFonts w:ascii="宋体" w:hAnsi="宋体" w:cs="宋体"/>
                <w:b/>
                <w:szCs w:val="21"/>
              </w:rPr>
            </w:pPr>
            <w:r>
              <w:rPr>
                <w:rFonts w:hint="eastAsia" w:ascii="宋体" w:hAnsi="宋体" w:cs="宋体"/>
                <w:b/>
                <w:szCs w:val="21"/>
              </w:rPr>
              <w:t>条  款  名  称</w:t>
            </w:r>
          </w:p>
        </w:tc>
        <w:tc>
          <w:tcPr>
            <w:tcW w:w="4622" w:type="dxa"/>
            <w:shd w:val="clear" w:color="auto" w:fill="E6E6E6"/>
            <w:vAlign w:val="center"/>
          </w:tcPr>
          <w:p>
            <w:pPr>
              <w:spacing w:line="560" w:lineRule="exact"/>
              <w:jc w:val="center"/>
              <w:rPr>
                <w:rFonts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1.1.2</w:t>
            </w:r>
          </w:p>
        </w:tc>
        <w:tc>
          <w:tcPr>
            <w:tcW w:w="3565" w:type="dxa"/>
            <w:vAlign w:val="center"/>
          </w:tcPr>
          <w:p>
            <w:pPr>
              <w:spacing w:line="560" w:lineRule="exact"/>
              <w:rPr>
                <w:rFonts w:ascii="宋体" w:hAnsi="宋体" w:cs="宋体"/>
                <w:szCs w:val="21"/>
              </w:rPr>
            </w:pPr>
            <w:r>
              <w:rPr>
                <w:rFonts w:hint="eastAsia" w:ascii="宋体" w:hAnsi="宋体" w:cs="宋体"/>
                <w:szCs w:val="21"/>
              </w:rPr>
              <w:t>招标人</w:t>
            </w:r>
          </w:p>
        </w:tc>
        <w:tc>
          <w:tcPr>
            <w:tcW w:w="4622" w:type="dxa"/>
            <w:vAlign w:val="center"/>
          </w:tcPr>
          <w:p>
            <w:pPr>
              <w:spacing w:line="560" w:lineRule="exact"/>
              <w:rPr>
                <w:rFonts w:ascii="宋体" w:hAnsi="宋体" w:cs="宋体"/>
                <w:szCs w:val="21"/>
              </w:rPr>
            </w:pPr>
            <w:r>
              <w:rPr>
                <w:rFonts w:hint="eastAsia" w:ascii="宋体" w:hAnsi="宋体" w:cs="宋体"/>
                <w:szCs w:val="21"/>
              </w:rPr>
              <w:t>名称：广西中医药大学附属瑞康医院</w:t>
            </w:r>
          </w:p>
          <w:p>
            <w:pPr>
              <w:spacing w:line="560" w:lineRule="exact"/>
              <w:rPr>
                <w:rFonts w:ascii="宋体" w:hAnsi="宋体" w:cs="宋体"/>
                <w:color w:val="auto"/>
                <w:szCs w:val="21"/>
              </w:rPr>
            </w:pPr>
            <w:r>
              <w:rPr>
                <w:rFonts w:hint="eastAsia" w:ascii="宋体" w:hAnsi="宋体" w:cs="宋体"/>
                <w:szCs w:val="21"/>
              </w:rPr>
              <w:t>地址：南</w:t>
            </w:r>
            <w:r>
              <w:rPr>
                <w:rFonts w:hint="eastAsia" w:ascii="宋体" w:hAnsi="宋体" w:cs="宋体"/>
                <w:color w:val="auto"/>
                <w:szCs w:val="21"/>
              </w:rPr>
              <w:t>宁市华东路10号</w:t>
            </w:r>
          </w:p>
          <w:p>
            <w:pPr>
              <w:spacing w:line="560" w:lineRule="exact"/>
              <w:rPr>
                <w:rFonts w:ascii="宋体" w:hAnsi="宋体" w:cs="宋体"/>
                <w:color w:val="auto"/>
                <w:szCs w:val="21"/>
              </w:rPr>
            </w:pPr>
            <w:r>
              <w:rPr>
                <w:rFonts w:hint="eastAsia" w:ascii="宋体" w:hAnsi="宋体" w:cs="宋体"/>
                <w:color w:val="auto"/>
                <w:szCs w:val="21"/>
              </w:rPr>
              <w:t>联系人：韩工  唐工</w:t>
            </w:r>
          </w:p>
          <w:p>
            <w:pPr>
              <w:spacing w:line="560" w:lineRule="exact"/>
              <w:jc w:val="left"/>
              <w:rPr>
                <w:rFonts w:ascii="宋体" w:hAnsi="宋体" w:cs="宋体"/>
                <w:color w:val="auto"/>
                <w:szCs w:val="21"/>
              </w:rPr>
            </w:pPr>
            <w:r>
              <w:rPr>
                <w:rFonts w:hint="eastAsia" w:ascii="宋体" w:hAnsi="宋体" w:cs="宋体"/>
                <w:color w:val="auto"/>
                <w:szCs w:val="21"/>
              </w:rPr>
              <w:t xml:space="preserve">电  话：0771-2238655   </w:t>
            </w:r>
          </w:p>
          <w:p>
            <w:pPr>
              <w:spacing w:line="560" w:lineRule="exact"/>
              <w:rPr>
                <w:rFonts w:ascii="宋体" w:hAnsi="宋体" w:cs="宋体"/>
                <w:szCs w:val="21"/>
              </w:rPr>
            </w:pPr>
            <w:r>
              <w:rPr>
                <w:rFonts w:hint="eastAsia" w:ascii="宋体" w:hAnsi="宋体" w:cs="宋体"/>
                <w:color w:val="auto"/>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1.1.3</w:t>
            </w:r>
          </w:p>
        </w:tc>
        <w:tc>
          <w:tcPr>
            <w:tcW w:w="3565" w:type="dxa"/>
            <w:vAlign w:val="center"/>
          </w:tcPr>
          <w:p>
            <w:pPr>
              <w:spacing w:line="560" w:lineRule="exact"/>
              <w:rPr>
                <w:rFonts w:ascii="宋体" w:hAnsi="宋体" w:cs="宋体"/>
                <w:szCs w:val="21"/>
              </w:rPr>
            </w:pPr>
            <w:r>
              <w:rPr>
                <w:rFonts w:hint="eastAsia" w:ascii="宋体" w:hAnsi="宋体" w:cs="宋体"/>
                <w:szCs w:val="21"/>
              </w:rPr>
              <w:t>招标代理机构</w:t>
            </w:r>
          </w:p>
        </w:tc>
        <w:tc>
          <w:tcPr>
            <w:tcW w:w="4622" w:type="dxa"/>
            <w:vAlign w:val="center"/>
          </w:tcPr>
          <w:p>
            <w:pPr>
              <w:spacing w:line="560" w:lineRule="exact"/>
              <w:rPr>
                <w:rFonts w:ascii="宋体" w:hAnsi="宋体" w:cs="宋体"/>
                <w:szCs w:val="21"/>
              </w:rPr>
            </w:pPr>
            <w:r>
              <w:rPr>
                <w:rFonts w:hint="eastAsia" w:ascii="宋体" w:hAnsi="宋体" w:cs="宋体"/>
                <w:szCs w:val="21"/>
              </w:rPr>
              <w:t>名称：广西建信建设项目管理有限公司</w:t>
            </w:r>
          </w:p>
          <w:p>
            <w:pPr>
              <w:spacing w:line="560" w:lineRule="exact"/>
              <w:rPr>
                <w:rFonts w:ascii="宋体" w:hAnsi="宋体" w:cs="宋体"/>
                <w:szCs w:val="21"/>
              </w:rPr>
            </w:pPr>
            <w:r>
              <w:rPr>
                <w:rFonts w:hint="eastAsia" w:ascii="宋体" w:hAnsi="宋体" w:cs="宋体"/>
                <w:szCs w:val="21"/>
              </w:rPr>
              <w:t>地址：广西建信建设项目管理有限公司南宁市青秀区万达公馆写字楼金座35层3523室</w:t>
            </w:r>
          </w:p>
          <w:p>
            <w:pPr>
              <w:spacing w:line="560" w:lineRule="exact"/>
              <w:rPr>
                <w:rFonts w:ascii="宋体" w:hAnsi="宋体" w:cs="宋体"/>
                <w:szCs w:val="21"/>
              </w:rPr>
            </w:pPr>
            <w:r>
              <w:rPr>
                <w:rFonts w:hint="eastAsia" w:ascii="宋体" w:hAnsi="宋体" w:cs="宋体"/>
                <w:szCs w:val="21"/>
              </w:rPr>
              <w:t>联系人：易小娟</w:t>
            </w:r>
          </w:p>
          <w:p>
            <w:pPr>
              <w:spacing w:line="560" w:lineRule="exact"/>
              <w:rPr>
                <w:rFonts w:ascii="宋体" w:hAnsi="宋体" w:cs="宋体"/>
                <w:szCs w:val="21"/>
              </w:rPr>
            </w:pPr>
            <w:r>
              <w:rPr>
                <w:rFonts w:hint="eastAsia" w:ascii="宋体" w:hAnsi="宋体" w:cs="宋体"/>
                <w:szCs w:val="21"/>
              </w:rPr>
              <w:t>电话：0771-5558342</w:t>
            </w:r>
          </w:p>
          <w:p>
            <w:pPr>
              <w:spacing w:line="560" w:lineRule="exact"/>
              <w:rPr>
                <w:rFonts w:ascii="宋体" w:hAnsi="宋体" w:cs="宋体"/>
                <w:szCs w:val="21"/>
              </w:rPr>
            </w:pPr>
            <w:r>
              <w:rPr>
                <w:rFonts w:hint="eastAsia" w:ascii="宋体" w:hAnsi="宋体" w:cs="宋体"/>
                <w:szCs w:val="21"/>
              </w:rPr>
              <w:t>邮箱：nnjxzbzx@163.com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exac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1.1.4</w:t>
            </w:r>
          </w:p>
        </w:tc>
        <w:tc>
          <w:tcPr>
            <w:tcW w:w="3565" w:type="dxa"/>
            <w:vAlign w:val="center"/>
          </w:tcPr>
          <w:p>
            <w:pPr>
              <w:spacing w:line="560" w:lineRule="exact"/>
              <w:rPr>
                <w:rFonts w:ascii="宋体" w:hAnsi="宋体" w:cs="宋体"/>
                <w:szCs w:val="21"/>
              </w:rPr>
            </w:pPr>
            <w:r>
              <w:rPr>
                <w:rFonts w:hint="eastAsia" w:ascii="宋体" w:hAnsi="宋体" w:cs="宋体"/>
                <w:szCs w:val="21"/>
              </w:rPr>
              <w:t>项目名称及项目招标编号</w:t>
            </w:r>
          </w:p>
        </w:tc>
        <w:tc>
          <w:tcPr>
            <w:tcW w:w="4622" w:type="dxa"/>
            <w:vAlign w:val="center"/>
          </w:tcPr>
          <w:p>
            <w:pPr>
              <w:spacing w:line="560" w:lineRule="exact"/>
              <w:rPr>
                <w:rFonts w:ascii="宋体" w:hAnsi="宋体" w:cs="宋体"/>
                <w:szCs w:val="21"/>
              </w:rPr>
            </w:pPr>
            <w:r>
              <w:rPr>
                <w:rFonts w:hint="eastAsia" w:ascii="宋体" w:hAnsi="宋体" w:cs="宋体"/>
                <w:szCs w:val="21"/>
              </w:rPr>
              <w:t>项目名称：广西中医药大学附属瑞康医院B座七层楼关节与运动医学科与修复重建显微外科病房改造装修工程（项目编号：</w:t>
            </w:r>
            <w:r>
              <w:rPr>
                <w:rFonts w:hint="eastAsia" w:ascii="宋体" w:hAnsi="宋体" w:cs="宋体"/>
                <w:szCs w:val="21"/>
                <w:lang w:eastAsia="zh-CN"/>
              </w:rPr>
              <w:t>GXZC2020-G2-001424-GXJX</w:t>
            </w:r>
            <w:r>
              <w:rPr>
                <w:rFonts w:hint="eastAsia" w:ascii="宋体" w:hAnsi="宋体" w:cs="宋体"/>
                <w:szCs w:val="21"/>
              </w:rPr>
              <w:t>）</w:t>
            </w:r>
          </w:p>
          <w:p>
            <w:pPr>
              <w:spacing w:line="560" w:lineRule="exact"/>
              <w:rPr>
                <w:rFonts w:hint="eastAsia" w:ascii="宋体" w:hAnsi="宋体" w:eastAsia="宋体" w:cs="宋体"/>
                <w:szCs w:val="21"/>
                <w:lang w:eastAsia="zh-CN"/>
              </w:rPr>
            </w:pPr>
            <w:r>
              <w:rPr>
                <w:rFonts w:hint="eastAsia" w:ascii="宋体" w:hAnsi="宋体" w:cs="宋体"/>
                <w:color w:val="0000FF"/>
                <w:szCs w:val="21"/>
              </w:rPr>
              <w:t>项目招标编号：</w:t>
            </w:r>
            <w:r>
              <w:rPr>
                <w:rFonts w:hint="eastAsia" w:ascii="宋体" w:hAnsi="宋体" w:cs="宋体"/>
                <w:color w:val="0000FF"/>
                <w:szCs w:val="21"/>
                <w:lang w:eastAsia="zh-CN"/>
              </w:rPr>
              <w:t>GXZC2020-G2-001424-GXJX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1.1.5</w:t>
            </w:r>
          </w:p>
        </w:tc>
        <w:tc>
          <w:tcPr>
            <w:tcW w:w="3565" w:type="dxa"/>
            <w:vAlign w:val="center"/>
          </w:tcPr>
          <w:p>
            <w:pPr>
              <w:spacing w:line="560" w:lineRule="exact"/>
              <w:rPr>
                <w:rFonts w:ascii="宋体" w:hAnsi="宋体" w:cs="宋体"/>
                <w:szCs w:val="21"/>
              </w:rPr>
            </w:pPr>
            <w:r>
              <w:rPr>
                <w:rFonts w:hint="eastAsia" w:ascii="宋体" w:hAnsi="宋体" w:cs="宋体"/>
                <w:szCs w:val="21"/>
              </w:rPr>
              <w:t>建设地点</w:t>
            </w:r>
          </w:p>
        </w:tc>
        <w:tc>
          <w:tcPr>
            <w:tcW w:w="4622" w:type="dxa"/>
            <w:vAlign w:val="center"/>
          </w:tcPr>
          <w:p>
            <w:pPr>
              <w:spacing w:line="560" w:lineRule="exact"/>
              <w:rPr>
                <w:rFonts w:ascii="宋体" w:hAnsi="宋体" w:cs="宋体"/>
                <w:szCs w:val="21"/>
              </w:rPr>
            </w:pPr>
            <w:r>
              <w:rPr>
                <w:rFonts w:hint="eastAsia" w:ascii="宋体" w:hAnsi="宋体" w:cs="宋体"/>
                <w:szCs w:val="21"/>
              </w:rPr>
              <w:t>广西中医药大学附属瑞康医院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1.2.1</w:t>
            </w:r>
          </w:p>
        </w:tc>
        <w:tc>
          <w:tcPr>
            <w:tcW w:w="3565" w:type="dxa"/>
            <w:vAlign w:val="center"/>
          </w:tcPr>
          <w:p>
            <w:pPr>
              <w:spacing w:line="560" w:lineRule="exact"/>
              <w:rPr>
                <w:rFonts w:ascii="宋体" w:hAnsi="宋体" w:cs="宋体"/>
                <w:color w:val="auto"/>
                <w:szCs w:val="21"/>
              </w:rPr>
            </w:pPr>
            <w:r>
              <w:rPr>
                <w:rFonts w:hint="eastAsia" w:ascii="宋体" w:hAnsi="宋体" w:cs="宋体"/>
                <w:color w:val="auto"/>
                <w:szCs w:val="21"/>
              </w:rPr>
              <w:t>资金来源</w:t>
            </w:r>
          </w:p>
        </w:tc>
        <w:tc>
          <w:tcPr>
            <w:tcW w:w="4622" w:type="dxa"/>
            <w:vAlign w:val="center"/>
          </w:tcPr>
          <w:p>
            <w:pPr>
              <w:spacing w:line="560" w:lineRule="exact"/>
              <w:rPr>
                <w:rFonts w:ascii="宋体" w:hAnsi="宋体" w:cs="宋体"/>
                <w:color w:val="auto"/>
                <w:szCs w:val="21"/>
              </w:rPr>
            </w:pPr>
            <w:r>
              <w:rPr>
                <w:rFonts w:hint="eastAsia" w:ascii="宋体" w:hAnsi="宋体" w:cs="宋体"/>
                <w:color w:val="auto"/>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1.2.2</w:t>
            </w:r>
          </w:p>
        </w:tc>
        <w:tc>
          <w:tcPr>
            <w:tcW w:w="3565" w:type="dxa"/>
            <w:vAlign w:val="center"/>
          </w:tcPr>
          <w:p>
            <w:pPr>
              <w:spacing w:line="560" w:lineRule="exact"/>
              <w:rPr>
                <w:rFonts w:ascii="宋体" w:hAnsi="宋体" w:cs="宋体"/>
                <w:szCs w:val="21"/>
              </w:rPr>
            </w:pPr>
            <w:r>
              <w:rPr>
                <w:rFonts w:hint="eastAsia" w:ascii="宋体" w:hAnsi="宋体" w:cs="宋体"/>
                <w:szCs w:val="21"/>
              </w:rPr>
              <w:t>出资比例</w:t>
            </w:r>
          </w:p>
        </w:tc>
        <w:tc>
          <w:tcPr>
            <w:tcW w:w="4622" w:type="dxa"/>
            <w:vAlign w:val="center"/>
          </w:tcPr>
          <w:p>
            <w:pPr>
              <w:spacing w:line="560" w:lineRule="exact"/>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1.2.3</w:t>
            </w:r>
          </w:p>
        </w:tc>
        <w:tc>
          <w:tcPr>
            <w:tcW w:w="3565" w:type="dxa"/>
            <w:vAlign w:val="center"/>
          </w:tcPr>
          <w:p>
            <w:pPr>
              <w:spacing w:line="560" w:lineRule="exact"/>
              <w:rPr>
                <w:rFonts w:ascii="宋体" w:hAnsi="宋体" w:cs="宋体"/>
                <w:szCs w:val="21"/>
              </w:rPr>
            </w:pPr>
            <w:r>
              <w:rPr>
                <w:rFonts w:hint="eastAsia" w:ascii="宋体" w:hAnsi="宋体" w:cs="宋体"/>
                <w:szCs w:val="21"/>
              </w:rPr>
              <w:t>资金落实情况</w:t>
            </w:r>
          </w:p>
        </w:tc>
        <w:tc>
          <w:tcPr>
            <w:tcW w:w="4622" w:type="dxa"/>
            <w:vAlign w:val="center"/>
          </w:tcPr>
          <w:p>
            <w:pPr>
              <w:spacing w:line="560" w:lineRule="exact"/>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1.2.4</w:t>
            </w:r>
          </w:p>
        </w:tc>
        <w:tc>
          <w:tcPr>
            <w:tcW w:w="3565" w:type="dxa"/>
            <w:vAlign w:val="center"/>
          </w:tcPr>
          <w:p>
            <w:pPr>
              <w:spacing w:line="560" w:lineRule="exact"/>
              <w:rPr>
                <w:rFonts w:ascii="宋体" w:hAnsi="宋体" w:cs="宋体"/>
                <w:szCs w:val="21"/>
              </w:rPr>
            </w:pPr>
            <w:r>
              <w:rPr>
                <w:rFonts w:hint="eastAsia" w:ascii="宋体" w:hAnsi="宋体" w:cs="宋体"/>
                <w:szCs w:val="21"/>
              </w:rPr>
              <w:t>本工程增值税计税方法</w:t>
            </w:r>
          </w:p>
        </w:tc>
        <w:tc>
          <w:tcPr>
            <w:tcW w:w="4622" w:type="dxa"/>
            <w:vAlign w:val="center"/>
          </w:tcPr>
          <w:p>
            <w:pPr>
              <w:spacing w:line="560" w:lineRule="exact"/>
              <w:rPr>
                <w:rFonts w:ascii="宋体" w:hAnsi="宋体" w:cs="宋体"/>
                <w:szCs w:val="21"/>
              </w:rPr>
            </w:pPr>
            <w:r>
              <w:rPr>
                <w:rFonts w:hint="eastAsia" w:ascii="宋体" w:hAnsi="宋体" w:cs="宋体"/>
                <w:szCs w:val="21"/>
              </w:rPr>
              <w:t>☑一般计税法         □简易计税法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tcPr>
          <w:p>
            <w:pPr>
              <w:spacing w:line="560" w:lineRule="exact"/>
              <w:jc w:val="center"/>
              <w:rPr>
                <w:rFonts w:ascii="宋体" w:hAnsi="宋体" w:cs="宋体"/>
                <w:szCs w:val="21"/>
              </w:rPr>
            </w:pPr>
            <w:r>
              <w:rPr>
                <w:rFonts w:hint="eastAsia" w:ascii="宋体" w:hAnsi="宋体" w:cs="宋体"/>
                <w:szCs w:val="21"/>
              </w:rPr>
              <w:t>1.3.1</w:t>
            </w:r>
          </w:p>
        </w:tc>
        <w:tc>
          <w:tcPr>
            <w:tcW w:w="3565" w:type="dxa"/>
          </w:tcPr>
          <w:p>
            <w:pPr>
              <w:spacing w:line="560" w:lineRule="exact"/>
              <w:rPr>
                <w:rFonts w:ascii="宋体" w:hAnsi="宋体" w:cs="宋体"/>
                <w:szCs w:val="21"/>
              </w:rPr>
            </w:pPr>
            <w:r>
              <w:rPr>
                <w:rFonts w:hint="eastAsia" w:ascii="宋体" w:hAnsi="宋体" w:cs="宋体"/>
                <w:szCs w:val="21"/>
              </w:rPr>
              <w:t>招标范围</w:t>
            </w:r>
          </w:p>
        </w:tc>
        <w:tc>
          <w:tcPr>
            <w:tcW w:w="4622" w:type="dxa"/>
          </w:tcPr>
          <w:p>
            <w:pPr>
              <w:spacing w:line="560" w:lineRule="exact"/>
              <w:rPr>
                <w:rFonts w:ascii="宋体" w:hAnsi="宋体" w:cs="宋体"/>
                <w:szCs w:val="21"/>
              </w:rPr>
            </w:pPr>
            <w:r>
              <w:rPr>
                <w:rFonts w:hint="eastAsia" w:ascii="宋体" w:hAnsi="宋体" w:cs="宋体"/>
                <w:szCs w:val="21"/>
              </w:rPr>
              <w:t>广西中医药大学附属瑞康医院B座七层楼关节与运动医学科与修复重建显微外科病房改造装修工程施工图范围内的拆除、装饰、给排水、强电气等施工图范围内包含的施工内容，具体详见工程量清单及图纸。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1.3.2</w:t>
            </w:r>
          </w:p>
        </w:tc>
        <w:tc>
          <w:tcPr>
            <w:tcW w:w="3565" w:type="dxa"/>
            <w:vAlign w:val="center"/>
          </w:tcPr>
          <w:p>
            <w:pPr>
              <w:spacing w:line="560" w:lineRule="exact"/>
              <w:rPr>
                <w:rFonts w:ascii="宋体" w:hAnsi="宋体" w:cs="宋体"/>
                <w:szCs w:val="21"/>
              </w:rPr>
            </w:pPr>
            <w:r>
              <w:rPr>
                <w:rFonts w:hint="eastAsia" w:ascii="宋体" w:hAnsi="宋体" w:cs="宋体"/>
                <w:szCs w:val="21"/>
              </w:rPr>
              <w:t>要求工期</w:t>
            </w:r>
          </w:p>
        </w:tc>
        <w:tc>
          <w:tcPr>
            <w:tcW w:w="4622" w:type="dxa"/>
          </w:tcPr>
          <w:p>
            <w:pPr>
              <w:spacing w:line="560" w:lineRule="exact"/>
              <w:rPr>
                <w:rFonts w:ascii="宋体" w:hAnsi="宋体" w:cs="宋体"/>
                <w:b/>
                <w:szCs w:val="21"/>
              </w:rPr>
            </w:pPr>
            <w:r>
              <w:rPr>
                <w:rFonts w:hint="eastAsia" w:ascii="宋体" w:hAnsi="宋体" w:cs="宋体"/>
                <w:szCs w:val="21"/>
              </w:rPr>
              <w:t>要求工期：90日历天。</w:t>
            </w:r>
          </w:p>
          <w:p>
            <w:pPr>
              <w:spacing w:line="560" w:lineRule="exact"/>
              <w:rPr>
                <w:rFonts w:ascii="宋体" w:hAnsi="宋体" w:cs="宋体"/>
                <w:szCs w:val="21"/>
                <w:u w:val="single"/>
              </w:rPr>
            </w:pPr>
            <w:r>
              <w:rPr>
                <w:rFonts w:hint="eastAsia" w:ascii="宋体" w:hAnsi="宋体" w:cs="宋体"/>
                <w:szCs w:val="21"/>
              </w:rPr>
              <w:t>计划开工日期：</w:t>
            </w:r>
            <w:r>
              <w:rPr>
                <w:rFonts w:hint="eastAsia" w:ascii="宋体" w:hAnsi="宋体" w:cs="宋体"/>
                <w:szCs w:val="21"/>
                <w:u w:val="single"/>
              </w:rPr>
              <w:t>但实际开工日期应以本工程具备开工条件后，总监理工程师签发的正式开工报告（或者业主的开工通知）为准。</w:t>
            </w:r>
          </w:p>
          <w:p>
            <w:pPr>
              <w:spacing w:line="560" w:lineRule="exact"/>
              <w:rPr>
                <w:rFonts w:ascii="宋体" w:hAnsi="宋体" w:cs="宋体"/>
                <w:szCs w:val="21"/>
              </w:rPr>
            </w:pPr>
            <w:r>
              <w:rPr>
                <w:rFonts w:hint="eastAsia" w:ascii="宋体" w:hAnsi="宋体" w:cs="宋体"/>
                <w:szCs w:val="21"/>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tcPr>
          <w:p>
            <w:pPr>
              <w:spacing w:line="560" w:lineRule="exact"/>
              <w:jc w:val="center"/>
              <w:rPr>
                <w:rFonts w:ascii="宋体" w:hAnsi="宋体" w:cs="宋体"/>
                <w:szCs w:val="21"/>
              </w:rPr>
            </w:pPr>
            <w:r>
              <w:rPr>
                <w:rFonts w:hint="eastAsia" w:ascii="宋体" w:hAnsi="宋体" w:cs="宋体"/>
                <w:szCs w:val="21"/>
              </w:rPr>
              <w:t>1.3.3</w:t>
            </w:r>
          </w:p>
        </w:tc>
        <w:tc>
          <w:tcPr>
            <w:tcW w:w="3565" w:type="dxa"/>
          </w:tcPr>
          <w:p>
            <w:pPr>
              <w:spacing w:line="560" w:lineRule="exact"/>
              <w:rPr>
                <w:rFonts w:ascii="宋体" w:hAnsi="宋体" w:cs="宋体"/>
                <w:szCs w:val="21"/>
              </w:rPr>
            </w:pPr>
            <w:r>
              <w:rPr>
                <w:rFonts w:hint="eastAsia" w:ascii="宋体" w:hAnsi="宋体" w:cs="宋体"/>
                <w:szCs w:val="21"/>
              </w:rPr>
              <w:t>质量要求</w:t>
            </w:r>
          </w:p>
        </w:tc>
        <w:tc>
          <w:tcPr>
            <w:tcW w:w="4622" w:type="dxa"/>
          </w:tcPr>
          <w:p>
            <w:pPr>
              <w:spacing w:line="560" w:lineRule="exact"/>
              <w:rPr>
                <w:rFonts w:ascii="宋体" w:hAnsi="宋体" w:cs="宋体"/>
                <w:szCs w:val="21"/>
              </w:rPr>
            </w:pPr>
            <w:r>
              <w:rPr>
                <w:rFonts w:hint="eastAsia" w:ascii="宋体" w:hAnsi="宋体" w:cs="宋体"/>
                <w:szCs w:val="21"/>
              </w:rPr>
              <w:t>质量标准：现行国家施工验收规范合格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1.4.1</w:t>
            </w:r>
          </w:p>
        </w:tc>
        <w:tc>
          <w:tcPr>
            <w:tcW w:w="3565" w:type="dxa"/>
            <w:vAlign w:val="center"/>
          </w:tcPr>
          <w:p>
            <w:pPr>
              <w:spacing w:line="560" w:lineRule="exact"/>
              <w:rPr>
                <w:rFonts w:ascii="宋体" w:hAnsi="宋体" w:cs="宋体"/>
                <w:szCs w:val="21"/>
              </w:rPr>
            </w:pPr>
            <w:r>
              <w:rPr>
                <w:rFonts w:hint="eastAsia" w:ascii="宋体" w:hAnsi="宋体" w:cs="宋体"/>
                <w:szCs w:val="21"/>
              </w:rPr>
              <w:t>投标人资质条件、能力、诚信要求</w:t>
            </w:r>
          </w:p>
        </w:tc>
        <w:tc>
          <w:tcPr>
            <w:tcW w:w="4622" w:type="dxa"/>
          </w:tcPr>
          <w:p>
            <w:pPr>
              <w:spacing w:line="560" w:lineRule="exact"/>
              <w:rPr>
                <w:rFonts w:ascii="宋体" w:hAnsi="宋体" w:cs="宋体"/>
                <w:szCs w:val="21"/>
              </w:rPr>
            </w:pPr>
            <w:r>
              <w:rPr>
                <w:rFonts w:hint="eastAsia" w:ascii="宋体" w:hAnsi="宋体" w:cs="宋体"/>
                <w:b/>
                <w:bCs/>
                <w:szCs w:val="21"/>
              </w:rPr>
              <w:t>资质条件</w:t>
            </w:r>
            <w:r>
              <w:rPr>
                <w:rFonts w:hint="eastAsia" w:ascii="宋体" w:hAnsi="宋体" w:cs="宋体"/>
                <w:szCs w:val="21"/>
              </w:rPr>
              <w:t>：</w:t>
            </w:r>
          </w:p>
          <w:p>
            <w:pPr>
              <w:spacing w:line="560" w:lineRule="exact"/>
              <w:rPr>
                <w:rFonts w:ascii="宋体" w:hAnsi="宋体" w:cs="宋体"/>
                <w:szCs w:val="21"/>
              </w:rPr>
            </w:pPr>
            <w:r>
              <w:rPr>
                <w:rFonts w:hint="eastAsia" w:ascii="宋体" w:hAnsi="宋体" w:cs="宋体"/>
                <w:szCs w:val="21"/>
              </w:rPr>
              <w:t>1.本次招标要求投标人须符合《广西壮族自治区建筑市场诚信卡管理暂行办法》（桂建管﹝2013﹞17号）、《关于加强广西建筑业企业诚信信息库日常维护管理的通知》（桂建管﹝2014﹞25号）规定，具备</w:t>
            </w:r>
            <w:r>
              <w:rPr>
                <w:rFonts w:hint="eastAsia" w:ascii="宋体" w:hAnsi="宋体" w:cs="宋体"/>
                <w:b/>
                <w:bCs/>
                <w:szCs w:val="21"/>
                <w:u w:val="single"/>
              </w:rPr>
              <w:t>[建筑工程施工总承包三级](含)以上或[建筑装修装饰工程专业承包二级](含)以上</w:t>
            </w:r>
            <w:r>
              <w:rPr>
                <w:rFonts w:hint="eastAsia" w:ascii="宋体" w:hAnsi="宋体" w:cs="宋体"/>
                <w:szCs w:val="21"/>
              </w:rPr>
              <w:t>资质。</w:t>
            </w:r>
          </w:p>
          <w:p>
            <w:pPr>
              <w:spacing w:line="560" w:lineRule="exact"/>
              <w:rPr>
                <w:rFonts w:ascii="宋体" w:hAnsi="宋体" w:cs="宋体"/>
                <w:szCs w:val="21"/>
              </w:rPr>
            </w:pPr>
            <w:r>
              <w:rPr>
                <w:rFonts w:hint="eastAsia" w:ascii="宋体" w:hAnsi="宋体" w:cs="宋体"/>
                <w:szCs w:val="21"/>
              </w:rPr>
              <w:t>2.本次招标</w:t>
            </w:r>
            <w:r>
              <w:rPr>
                <w:rFonts w:hint="eastAsia" w:ascii="宋体" w:hAnsi="宋体" w:cs="宋体"/>
                <w:b/>
                <w:bCs/>
                <w:szCs w:val="21"/>
                <w:u w:val="single"/>
              </w:rPr>
              <w:t>不接受</w:t>
            </w:r>
            <w:r>
              <w:rPr>
                <w:rFonts w:hint="eastAsia" w:ascii="宋体" w:hAnsi="宋体" w:cs="宋体"/>
                <w:szCs w:val="21"/>
              </w:rPr>
              <w:t>联合体投标。</w:t>
            </w:r>
          </w:p>
          <w:p>
            <w:pPr>
              <w:spacing w:line="560" w:lineRule="exact"/>
              <w:rPr>
                <w:rFonts w:ascii="宋体" w:hAnsi="宋体" w:cs="宋体"/>
                <w:szCs w:val="21"/>
              </w:rPr>
            </w:pPr>
            <w:r>
              <w:rPr>
                <w:rFonts w:hint="eastAsia" w:ascii="宋体" w:hAnsi="宋体" w:cs="宋体"/>
                <w:szCs w:val="21"/>
              </w:rPr>
              <w:t>3.在经营活动中没有重大违法记录和不良信用记录；（对在“信用中国”网站(www.creditchina.gov.cn)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560" w:lineRule="exact"/>
              <w:rPr>
                <w:rFonts w:ascii="宋体" w:hAnsi="宋体" w:cs="宋体"/>
                <w:szCs w:val="21"/>
              </w:rPr>
            </w:pPr>
            <w:r>
              <w:rPr>
                <w:rFonts w:hint="eastAsia" w:ascii="宋体" w:hAnsi="宋体" w:cs="宋体"/>
                <w:szCs w:val="21"/>
              </w:rPr>
              <w:t>财务要求：</w:t>
            </w:r>
            <w:r>
              <w:rPr>
                <w:rFonts w:hint="eastAsia" w:ascii="宋体" w:hAnsi="宋体" w:cs="宋体"/>
                <w:b/>
                <w:bCs/>
                <w:szCs w:val="21"/>
                <w:u w:val="single"/>
              </w:rPr>
              <w:t>近三年</w:t>
            </w:r>
            <w:r>
              <w:rPr>
                <w:rFonts w:hint="eastAsia" w:ascii="宋体" w:hAnsi="宋体" w:cs="宋体"/>
                <w:b/>
                <w:bCs/>
                <w:szCs w:val="21"/>
                <w:u w:val="single"/>
                <w:lang w:eastAsia="zh-CN"/>
              </w:rPr>
              <w:t>（</w:t>
            </w:r>
            <w:r>
              <w:rPr>
                <w:rFonts w:hint="eastAsia" w:ascii="宋体" w:hAnsi="宋体" w:cs="宋体"/>
                <w:b/>
                <w:bCs/>
                <w:szCs w:val="21"/>
                <w:u w:val="single"/>
                <w:lang w:val="en-US" w:eastAsia="zh-CN"/>
              </w:rPr>
              <w:t>2017年度、2018年度、2019年度</w:t>
            </w:r>
            <w:r>
              <w:rPr>
                <w:rFonts w:hint="eastAsia" w:ascii="宋体" w:hAnsi="宋体" w:cs="宋体"/>
                <w:b/>
                <w:bCs/>
                <w:szCs w:val="21"/>
                <w:u w:val="single"/>
                <w:lang w:eastAsia="zh-CN"/>
              </w:rPr>
              <w:t>）</w:t>
            </w:r>
            <w:r>
              <w:rPr>
                <w:rFonts w:hint="eastAsia" w:ascii="宋体" w:hAnsi="宋体" w:cs="宋体"/>
                <w:szCs w:val="21"/>
              </w:rPr>
              <w:t>经审计的财务报表【备注：对于从取得营业执照时间起到投标截止时间为止不足要求年数的企业，只需提交企业取得营业执照年份至所要求最近年份经审计的财务报表】。</w:t>
            </w:r>
          </w:p>
          <w:p>
            <w:pPr>
              <w:spacing w:line="560" w:lineRule="exact"/>
              <w:rPr>
                <w:rFonts w:ascii="宋体" w:hAnsi="宋体" w:cs="宋体"/>
                <w:b/>
                <w:bCs/>
                <w:szCs w:val="21"/>
              </w:rPr>
            </w:pPr>
            <w:r>
              <w:rPr>
                <w:rFonts w:hint="eastAsia" w:ascii="宋体" w:hAnsi="宋体" w:cs="宋体"/>
                <w:szCs w:val="21"/>
              </w:rPr>
              <w:t>业绩要求：</w:t>
            </w:r>
            <w:r>
              <w:rPr>
                <w:rFonts w:hint="eastAsia" w:ascii="宋体" w:hAnsi="宋体" w:cs="宋体"/>
                <w:b/>
                <w:bCs/>
                <w:szCs w:val="21"/>
                <w:u w:val="single"/>
              </w:rPr>
              <w:t>无</w:t>
            </w:r>
            <w:r>
              <w:rPr>
                <w:rFonts w:hint="eastAsia" w:ascii="宋体" w:hAnsi="宋体" w:cs="宋体"/>
                <w:b/>
                <w:bCs/>
                <w:szCs w:val="21"/>
                <w:u w:val="single"/>
                <w:lang w:eastAsia="zh-CN"/>
              </w:rPr>
              <w:t>要求</w:t>
            </w:r>
            <w:r>
              <w:rPr>
                <w:rFonts w:hint="eastAsia" w:ascii="宋体" w:hAnsi="宋体" w:cs="宋体"/>
                <w:b/>
                <w:bCs/>
                <w:szCs w:val="21"/>
                <w:u w:val="single"/>
              </w:rPr>
              <w:t>。</w:t>
            </w:r>
          </w:p>
          <w:p>
            <w:pPr>
              <w:spacing w:line="560" w:lineRule="exact"/>
              <w:rPr>
                <w:rFonts w:ascii="宋体" w:hAnsi="宋体" w:cs="宋体"/>
                <w:szCs w:val="21"/>
              </w:rPr>
            </w:pPr>
            <w:r>
              <w:rPr>
                <w:rFonts w:hint="eastAsia" w:ascii="宋体" w:hAnsi="宋体" w:cs="宋体"/>
                <w:b/>
                <w:bCs/>
                <w:szCs w:val="21"/>
              </w:rPr>
              <w:t>项目经理资格：</w:t>
            </w:r>
            <w:r>
              <w:rPr>
                <w:rFonts w:hint="eastAsia" w:ascii="宋体" w:hAnsi="宋体" w:cs="宋体"/>
                <w:b/>
                <w:bCs/>
                <w:szCs w:val="21"/>
                <w:u w:val="single"/>
              </w:rPr>
              <w:t>建筑工程专业贰级（含以上级）</w:t>
            </w:r>
            <w:r>
              <w:rPr>
                <w:rFonts w:hint="eastAsia" w:ascii="宋体" w:hAnsi="宋体" w:cs="宋体"/>
                <w:szCs w:val="21"/>
              </w:rPr>
              <w:t>注册建造师执业资格，具备</w:t>
            </w:r>
            <w:r>
              <w:rPr>
                <w:rFonts w:hint="eastAsia" w:ascii="宋体" w:hAnsi="宋体" w:cs="宋体"/>
                <w:b/>
                <w:bCs/>
                <w:szCs w:val="21"/>
                <w:u w:val="single"/>
              </w:rPr>
              <w:t>有效的安全生产考核合格证书（B类）</w:t>
            </w:r>
            <w:r>
              <w:rPr>
                <w:rFonts w:hint="eastAsia" w:ascii="宋体" w:hAnsi="宋体" w:cs="宋体"/>
                <w:szCs w:val="21"/>
              </w:rPr>
              <w:t>。本项目不接受有在建、已中标未开工或已列为其他项目中标候选人第一名的建造师作为项目经理，投标人请提供拟派项目经理无在建项目承诺书。</w:t>
            </w:r>
          </w:p>
          <w:p>
            <w:pPr>
              <w:spacing w:line="560" w:lineRule="exact"/>
              <w:rPr>
                <w:rFonts w:ascii="宋体" w:hAnsi="宋体" w:cs="宋体"/>
                <w:szCs w:val="21"/>
              </w:rPr>
            </w:pPr>
            <w:r>
              <w:rPr>
                <w:rFonts w:hint="eastAsia" w:ascii="宋体" w:hAnsi="宋体" w:cs="宋体"/>
                <w:b/>
                <w:bCs/>
                <w:szCs w:val="21"/>
              </w:rPr>
              <w:t>专职安全员要求：</w:t>
            </w:r>
            <w:r>
              <w:rPr>
                <w:rFonts w:hint="eastAsia" w:ascii="宋体" w:hAnsi="宋体" w:cs="宋体"/>
                <w:szCs w:val="21"/>
              </w:rPr>
              <w:t>专职安全员须具备</w:t>
            </w:r>
            <w:r>
              <w:rPr>
                <w:rFonts w:hint="eastAsia" w:ascii="宋体" w:hAnsi="宋体" w:cs="宋体"/>
                <w:b/>
                <w:bCs/>
                <w:szCs w:val="21"/>
                <w:u w:val="single"/>
              </w:rPr>
              <w:t>有效的安全生产考核合格证书（C类）</w:t>
            </w:r>
            <w:r>
              <w:rPr>
                <w:rFonts w:hint="eastAsia" w:ascii="宋体" w:hAnsi="宋体" w:cs="宋体"/>
                <w:szCs w:val="21"/>
              </w:rPr>
              <w:t>。</w:t>
            </w:r>
          </w:p>
          <w:p>
            <w:pPr>
              <w:spacing w:line="560" w:lineRule="exact"/>
              <w:rPr>
                <w:rFonts w:ascii="宋体" w:hAnsi="宋体" w:cs="宋体"/>
                <w:b/>
                <w:bCs/>
                <w:szCs w:val="21"/>
                <w:u w:val="single"/>
              </w:rPr>
            </w:pPr>
            <w:r>
              <w:rPr>
                <w:rFonts w:hint="eastAsia" w:ascii="宋体" w:hAnsi="宋体" w:cs="宋体"/>
                <w:szCs w:val="21"/>
              </w:rPr>
              <w:t>诚信要求：</w:t>
            </w:r>
            <w:bookmarkStart w:id="25" w:name="EB30501523ed0947f091afa35c8b148cd8"/>
            <w:r>
              <w:rPr>
                <w:rFonts w:hint="eastAsia" w:ascii="宋体" w:hAnsi="宋体" w:cs="宋体"/>
                <w:b/>
                <w:bCs/>
                <w:szCs w:val="21"/>
                <w:u w:val="single"/>
              </w:rPr>
              <w:t>企业诚信库帐号未因处罚或失信行为处于禁止投标状态。</w:t>
            </w:r>
            <w:bookmarkEnd w:id="25"/>
          </w:p>
          <w:p>
            <w:pPr>
              <w:spacing w:line="560" w:lineRule="exact"/>
              <w:rPr>
                <w:rFonts w:ascii="宋体" w:hAnsi="宋体" w:cs="宋体"/>
                <w:szCs w:val="21"/>
              </w:rPr>
            </w:pPr>
            <w:r>
              <w:rPr>
                <w:rFonts w:hint="eastAsia" w:ascii="宋体" w:hAnsi="宋体" w:cs="宋体"/>
                <w:b/>
                <w:bCs/>
                <w:szCs w:val="21"/>
              </w:rPr>
              <w:t>其他要求：</w:t>
            </w:r>
            <w:r>
              <w:rPr>
                <w:rStyle w:val="51"/>
                <w:rFonts w:hint="eastAsia"/>
                <w:szCs w:val="20"/>
                <w:u w:val="single"/>
                <w:lang w:val="en-US" w:eastAsia="zh-CN"/>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1.4.2</w:t>
            </w:r>
          </w:p>
        </w:tc>
        <w:tc>
          <w:tcPr>
            <w:tcW w:w="3565" w:type="dxa"/>
            <w:vAlign w:val="center"/>
          </w:tcPr>
          <w:p>
            <w:pPr>
              <w:spacing w:line="560" w:lineRule="exact"/>
              <w:rPr>
                <w:rFonts w:ascii="宋体" w:hAnsi="宋体" w:cs="宋体"/>
                <w:szCs w:val="21"/>
              </w:rPr>
            </w:pPr>
            <w:r>
              <w:rPr>
                <w:rFonts w:hint="eastAsia" w:ascii="宋体" w:hAnsi="宋体" w:cs="宋体"/>
                <w:szCs w:val="21"/>
              </w:rPr>
              <w:t>是否接受联合体投标</w:t>
            </w:r>
          </w:p>
        </w:tc>
        <w:tc>
          <w:tcPr>
            <w:tcW w:w="4622" w:type="dxa"/>
            <w:vAlign w:val="center"/>
          </w:tcPr>
          <w:p>
            <w:pPr>
              <w:spacing w:line="560" w:lineRule="exact"/>
              <w:rPr>
                <w:rFonts w:ascii="宋体" w:hAnsi="宋体" w:cs="宋体"/>
                <w:szCs w:val="21"/>
              </w:rPr>
            </w:pPr>
            <w:r>
              <w:rPr>
                <w:rFonts w:hint="eastAsia" w:ascii="宋体" w:hAnsi="宋体" w:cs="宋体"/>
                <w:szCs w:val="21"/>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1.9.1</w:t>
            </w:r>
          </w:p>
        </w:tc>
        <w:tc>
          <w:tcPr>
            <w:tcW w:w="3565" w:type="dxa"/>
            <w:vAlign w:val="center"/>
          </w:tcPr>
          <w:p>
            <w:pPr>
              <w:spacing w:line="560" w:lineRule="exact"/>
              <w:rPr>
                <w:rFonts w:ascii="宋体" w:hAnsi="宋体" w:cs="宋体"/>
                <w:szCs w:val="21"/>
              </w:rPr>
            </w:pPr>
            <w:r>
              <w:rPr>
                <w:rFonts w:hint="eastAsia" w:ascii="宋体" w:hAnsi="宋体" w:cs="宋体"/>
                <w:szCs w:val="21"/>
              </w:rPr>
              <w:t>踏勘现场</w:t>
            </w:r>
          </w:p>
        </w:tc>
        <w:tc>
          <w:tcPr>
            <w:tcW w:w="4622" w:type="dxa"/>
            <w:vAlign w:val="center"/>
          </w:tcPr>
          <w:p>
            <w:pPr>
              <w:spacing w:line="560" w:lineRule="exact"/>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1.10</w:t>
            </w:r>
          </w:p>
        </w:tc>
        <w:tc>
          <w:tcPr>
            <w:tcW w:w="3565" w:type="dxa"/>
            <w:vAlign w:val="center"/>
          </w:tcPr>
          <w:p>
            <w:pPr>
              <w:spacing w:line="560" w:lineRule="exact"/>
              <w:rPr>
                <w:rFonts w:ascii="宋体" w:hAnsi="宋体" w:cs="宋体"/>
                <w:szCs w:val="21"/>
              </w:rPr>
            </w:pPr>
            <w:r>
              <w:rPr>
                <w:rFonts w:hint="eastAsia" w:ascii="宋体" w:hAnsi="宋体" w:cs="宋体"/>
                <w:szCs w:val="21"/>
              </w:rPr>
              <w:t>投标预备会</w:t>
            </w:r>
          </w:p>
        </w:tc>
        <w:tc>
          <w:tcPr>
            <w:tcW w:w="4622" w:type="dxa"/>
            <w:vAlign w:val="center"/>
          </w:tcPr>
          <w:p>
            <w:pPr>
              <w:spacing w:line="560" w:lineRule="exact"/>
              <w:rPr>
                <w:rFonts w:ascii="宋体" w:hAns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1.11</w:t>
            </w:r>
          </w:p>
        </w:tc>
        <w:tc>
          <w:tcPr>
            <w:tcW w:w="3565" w:type="dxa"/>
            <w:vAlign w:val="center"/>
          </w:tcPr>
          <w:p>
            <w:pPr>
              <w:spacing w:line="560" w:lineRule="exact"/>
              <w:rPr>
                <w:rFonts w:ascii="宋体" w:hAnsi="宋体" w:cs="宋体"/>
                <w:szCs w:val="21"/>
              </w:rPr>
            </w:pPr>
            <w:r>
              <w:rPr>
                <w:rFonts w:hint="eastAsia" w:ascii="宋体" w:hAnsi="宋体" w:cs="宋体"/>
                <w:szCs w:val="21"/>
              </w:rPr>
              <w:t>分  包</w:t>
            </w:r>
          </w:p>
        </w:tc>
        <w:tc>
          <w:tcPr>
            <w:tcW w:w="4622" w:type="dxa"/>
            <w:vAlign w:val="center"/>
          </w:tcPr>
          <w:p>
            <w:pPr>
              <w:spacing w:line="560" w:lineRule="exact"/>
              <w:rPr>
                <w:rFonts w:ascii="宋体" w:hAnsi="宋体" w:cs="宋体"/>
                <w:szCs w:val="21"/>
              </w:rPr>
            </w:pPr>
            <w:r>
              <w:rPr>
                <w:rFonts w:hint="eastAsia" w:ascii="宋体" w:hAnsi="宋体" w:cs="宋体"/>
                <w:szCs w:val="21"/>
              </w:rPr>
              <w:t>☑不允许</w:t>
            </w:r>
          </w:p>
          <w:p>
            <w:pPr>
              <w:spacing w:line="560" w:lineRule="exac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1.12</w:t>
            </w:r>
          </w:p>
        </w:tc>
        <w:tc>
          <w:tcPr>
            <w:tcW w:w="3565" w:type="dxa"/>
            <w:vAlign w:val="center"/>
          </w:tcPr>
          <w:p>
            <w:pPr>
              <w:spacing w:line="560" w:lineRule="exact"/>
              <w:rPr>
                <w:rFonts w:ascii="宋体" w:hAnsi="宋体" w:cs="宋体"/>
                <w:szCs w:val="21"/>
              </w:rPr>
            </w:pPr>
            <w:r>
              <w:rPr>
                <w:rFonts w:hint="eastAsia" w:ascii="宋体" w:hAnsi="宋体" w:cs="宋体"/>
                <w:szCs w:val="21"/>
              </w:rPr>
              <w:t>偏  离</w:t>
            </w:r>
          </w:p>
        </w:tc>
        <w:tc>
          <w:tcPr>
            <w:tcW w:w="4622" w:type="dxa"/>
            <w:vAlign w:val="center"/>
          </w:tcPr>
          <w:p>
            <w:pPr>
              <w:spacing w:line="560" w:lineRule="exact"/>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2.1.1（10）</w:t>
            </w:r>
          </w:p>
        </w:tc>
        <w:tc>
          <w:tcPr>
            <w:tcW w:w="3565" w:type="dxa"/>
            <w:vAlign w:val="center"/>
          </w:tcPr>
          <w:p>
            <w:pPr>
              <w:spacing w:line="560" w:lineRule="exact"/>
              <w:rPr>
                <w:rFonts w:ascii="宋体" w:hAnsi="宋体" w:cs="宋体"/>
                <w:szCs w:val="21"/>
              </w:rPr>
            </w:pPr>
            <w:r>
              <w:rPr>
                <w:rFonts w:hint="eastAsia" w:ascii="宋体" w:hAnsi="宋体" w:cs="宋体"/>
                <w:szCs w:val="21"/>
              </w:rPr>
              <w:t>构成招标文件的其他材料</w:t>
            </w:r>
          </w:p>
        </w:tc>
        <w:tc>
          <w:tcPr>
            <w:tcW w:w="4622" w:type="dxa"/>
            <w:vAlign w:val="center"/>
          </w:tcPr>
          <w:p>
            <w:pPr>
              <w:tabs>
                <w:tab w:val="left" w:pos="826"/>
              </w:tabs>
              <w:spacing w:line="560" w:lineRule="exact"/>
              <w:rPr>
                <w:rFonts w:ascii="宋体" w:hAnsi="宋体" w:cs="宋体"/>
                <w:szCs w:val="21"/>
              </w:rPr>
            </w:pPr>
            <w:r>
              <w:rPr>
                <w:rFonts w:hint="eastAsia" w:ascii="宋体" w:hAnsi="宋体" w:cs="宋体"/>
                <w:szCs w:val="21"/>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2.2.1</w:t>
            </w:r>
          </w:p>
        </w:tc>
        <w:tc>
          <w:tcPr>
            <w:tcW w:w="3565" w:type="dxa"/>
            <w:vAlign w:val="center"/>
          </w:tcPr>
          <w:p>
            <w:pPr>
              <w:spacing w:line="560" w:lineRule="exact"/>
              <w:rPr>
                <w:rFonts w:ascii="宋体" w:hAnsi="宋体" w:cs="宋体"/>
                <w:color w:val="auto"/>
                <w:szCs w:val="21"/>
              </w:rPr>
            </w:pPr>
            <w:r>
              <w:rPr>
                <w:rFonts w:hint="eastAsia" w:ascii="宋体" w:hAnsi="宋体" w:cs="宋体"/>
                <w:color w:val="auto"/>
                <w:szCs w:val="21"/>
              </w:rPr>
              <w:t>投标人要求澄清招标文件的截止时间</w:t>
            </w:r>
          </w:p>
        </w:tc>
        <w:tc>
          <w:tcPr>
            <w:tcW w:w="4622" w:type="dxa"/>
            <w:vAlign w:val="center"/>
          </w:tcPr>
          <w:p>
            <w:pPr>
              <w:spacing w:line="560" w:lineRule="exact"/>
              <w:rPr>
                <w:rFonts w:ascii="宋体" w:hAnsi="宋体" w:cs="宋体"/>
                <w:color w:val="auto"/>
                <w:szCs w:val="21"/>
              </w:rPr>
            </w:pPr>
            <w:r>
              <w:rPr>
                <w:rFonts w:hint="eastAsia" w:ascii="宋体" w:hAnsi="宋体" w:cs="宋体"/>
                <w:color w:val="auto"/>
                <w:szCs w:val="21"/>
              </w:rPr>
              <w:t>投标截止时间10日前。投标人不在规定期限内提出，招标人有权不予答复，或答复后投标截止时间由招标人确定是否顺延。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Merge w:val="restart"/>
            <w:vAlign w:val="center"/>
          </w:tcPr>
          <w:p>
            <w:pPr>
              <w:spacing w:line="560" w:lineRule="exact"/>
              <w:jc w:val="center"/>
              <w:rPr>
                <w:rFonts w:ascii="宋体" w:hAnsi="宋体" w:cs="宋体"/>
                <w:szCs w:val="21"/>
              </w:rPr>
            </w:pPr>
            <w:r>
              <w:rPr>
                <w:rFonts w:hint="eastAsia" w:ascii="宋体" w:hAnsi="宋体" w:cs="宋体"/>
                <w:szCs w:val="21"/>
              </w:rPr>
              <w:t>2.2.2</w:t>
            </w:r>
          </w:p>
        </w:tc>
        <w:tc>
          <w:tcPr>
            <w:tcW w:w="3565" w:type="dxa"/>
            <w:vAlign w:val="center"/>
          </w:tcPr>
          <w:p>
            <w:pPr>
              <w:spacing w:line="560" w:lineRule="exact"/>
              <w:rPr>
                <w:rFonts w:ascii="宋体" w:hAnsi="宋体" w:cs="宋体"/>
                <w:szCs w:val="21"/>
              </w:rPr>
            </w:pPr>
            <w:r>
              <w:rPr>
                <w:rFonts w:hint="eastAsia" w:ascii="宋体" w:hAnsi="宋体" w:cs="宋体"/>
                <w:szCs w:val="21"/>
              </w:rPr>
              <w:t>投标截止时间</w:t>
            </w:r>
          </w:p>
        </w:tc>
        <w:tc>
          <w:tcPr>
            <w:tcW w:w="4622" w:type="dxa"/>
            <w:vAlign w:val="center"/>
          </w:tcPr>
          <w:p>
            <w:pPr>
              <w:spacing w:line="560" w:lineRule="exact"/>
              <w:rPr>
                <w:rFonts w:ascii="宋体" w:hAnsi="宋体" w:cs="宋体"/>
                <w:szCs w:val="21"/>
              </w:rPr>
            </w:pPr>
            <w:r>
              <w:rPr>
                <w:rFonts w:hint="eastAsia" w:ascii="宋体" w:hAnsi="宋体" w:eastAsia="宋体" w:cs="Times New Roman"/>
                <w:color w:val="auto"/>
              </w:rPr>
              <w:t xml:space="preserve">2020年 </w:t>
            </w:r>
            <w:r>
              <w:rPr>
                <w:rFonts w:hint="eastAsia" w:ascii="宋体" w:hAnsi="宋体" w:eastAsia="宋体" w:cs="Times New Roman"/>
                <w:color w:val="auto"/>
                <w:lang w:val="en-US" w:eastAsia="zh-CN"/>
              </w:rPr>
              <w:t>6</w:t>
            </w:r>
            <w:r>
              <w:rPr>
                <w:rFonts w:hint="eastAsia" w:ascii="宋体" w:hAnsi="宋体" w:eastAsia="宋体" w:cs="Times New Roman"/>
                <w:color w:val="auto"/>
              </w:rPr>
              <w:t xml:space="preserve"> 月 </w:t>
            </w:r>
            <w:r>
              <w:rPr>
                <w:rFonts w:hint="eastAsia" w:ascii="宋体" w:hAnsi="宋体" w:eastAsia="宋体" w:cs="Times New Roman"/>
                <w:color w:val="auto"/>
                <w:lang w:val="en-US" w:eastAsia="zh-CN"/>
              </w:rPr>
              <w:t>19</w:t>
            </w:r>
            <w:r>
              <w:rPr>
                <w:rFonts w:hint="eastAsia" w:ascii="宋体" w:hAnsi="宋体" w:eastAsia="宋体" w:cs="Times New Roman"/>
                <w:color w:val="auto"/>
              </w:rPr>
              <w:t xml:space="preserve"> 日10时00分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07" w:type="dxa"/>
            <w:gridSpan w:val="2"/>
            <w:vMerge w:val="continue"/>
            <w:vAlign w:val="center"/>
          </w:tcPr>
          <w:p>
            <w:pPr>
              <w:spacing w:line="560" w:lineRule="exact"/>
              <w:jc w:val="center"/>
              <w:rPr>
                <w:rFonts w:ascii="宋体" w:hAnsi="宋体" w:cs="宋体"/>
                <w:szCs w:val="21"/>
              </w:rPr>
            </w:pPr>
          </w:p>
        </w:tc>
        <w:tc>
          <w:tcPr>
            <w:tcW w:w="3565" w:type="dxa"/>
            <w:vAlign w:val="center"/>
          </w:tcPr>
          <w:p>
            <w:pPr>
              <w:spacing w:line="560" w:lineRule="exact"/>
              <w:rPr>
                <w:rFonts w:ascii="宋体" w:hAnsi="宋体" w:cs="宋体"/>
                <w:color w:val="auto"/>
                <w:szCs w:val="21"/>
              </w:rPr>
            </w:pPr>
            <w:r>
              <w:rPr>
                <w:rFonts w:hint="eastAsia" w:ascii="宋体" w:hAnsi="宋体" w:cs="宋体"/>
                <w:color w:val="auto"/>
                <w:szCs w:val="21"/>
              </w:rPr>
              <w:t>招标文件澄清发布方式</w:t>
            </w:r>
          </w:p>
        </w:tc>
        <w:tc>
          <w:tcPr>
            <w:tcW w:w="4622" w:type="dxa"/>
          </w:tcPr>
          <w:p>
            <w:pPr>
              <w:spacing w:line="560" w:lineRule="exact"/>
              <w:rPr>
                <w:rFonts w:ascii="宋体" w:hAnsi="宋体" w:cs="宋体"/>
                <w:color w:val="auto"/>
                <w:szCs w:val="21"/>
              </w:rPr>
            </w:pPr>
            <w:r>
              <w:rPr>
                <w:rFonts w:hint="eastAsia" w:ascii="宋体" w:hAnsi="宋体" w:cs="宋体"/>
                <w:color w:val="auto"/>
                <w:szCs w:val="21"/>
              </w:rPr>
              <w:t>在</w:t>
            </w:r>
            <w:bookmarkStart w:id="26" w:name="EB2558afc3a7f248f5af3c91aeb4664e91"/>
            <w:r>
              <w:rPr>
                <w:rFonts w:hint="eastAsia" w:ascii="宋体" w:hAnsi="宋体" w:cs="宋体"/>
                <w:color w:val="auto"/>
                <w:szCs w:val="21"/>
              </w:rPr>
              <w:t>招标公告发布</w:t>
            </w:r>
            <w:bookmarkEnd w:id="26"/>
            <w:r>
              <w:rPr>
                <w:rFonts w:hint="eastAsia" w:ascii="宋体" w:hAnsi="宋体" w:cs="宋体"/>
                <w:color w:val="auto"/>
                <w:szCs w:val="21"/>
              </w:rPr>
              <w:t>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2.2.3</w:t>
            </w:r>
          </w:p>
        </w:tc>
        <w:tc>
          <w:tcPr>
            <w:tcW w:w="3565" w:type="dxa"/>
            <w:vAlign w:val="center"/>
          </w:tcPr>
          <w:p>
            <w:pPr>
              <w:spacing w:line="560" w:lineRule="exact"/>
              <w:rPr>
                <w:rFonts w:ascii="宋体" w:hAnsi="宋体" w:cs="宋体"/>
                <w:szCs w:val="21"/>
              </w:rPr>
            </w:pPr>
            <w:r>
              <w:rPr>
                <w:rFonts w:hint="eastAsia" w:ascii="宋体" w:hAnsi="宋体" w:cs="宋体"/>
                <w:szCs w:val="21"/>
              </w:rPr>
              <w:t>投标人确认收到澄清的方式</w:t>
            </w:r>
          </w:p>
        </w:tc>
        <w:tc>
          <w:tcPr>
            <w:tcW w:w="4622" w:type="dxa"/>
            <w:vAlign w:val="center"/>
          </w:tcPr>
          <w:p>
            <w:pPr>
              <w:spacing w:line="560" w:lineRule="exact"/>
              <w:rPr>
                <w:rFonts w:ascii="宋体" w:hAnsi="宋体" w:cs="宋体"/>
                <w:szCs w:val="21"/>
              </w:rPr>
            </w:pPr>
            <w:r>
              <w:rPr>
                <w:rFonts w:hint="eastAsia" w:ascii="宋体" w:hAnsi="宋体" w:cs="宋体"/>
                <w:szCs w:val="21"/>
              </w:rPr>
              <w:t>☑不需要确认。澄清文件在本章第2.2.2款规定的网站上发布之日起，视为投标人已收到该澄清。投标人未及时关注招标人在网站上发布的澄清文件造成的损失，由投标人自行负责。</w:t>
            </w:r>
          </w:p>
          <w:p>
            <w:pPr>
              <w:spacing w:line="560" w:lineRule="exact"/>
              <w:rPr>
                <w:rFonts w:ascii="宋体" w:hAnsi="宋体" w:cs="宋体"/>
                <w:szCs w:val="21"/>
              </w:rPr>
            </w:pPr>
            <w:r>
              <w:rPr>
                <w:rFonts w:hint="eastAsia" w:ascii="宋体" w:hAnsi="宋体" w:cs="宋体"/>
                <w:szCs w:val="21"/>
              </w:rPr>
              <w:t>□需要确认。投标人在收到澄清文件后24小时内以书面形式通知招标人，确认已收到该澄清。</w:t>
            </w:r>
          </w:p>
          <w:p>
            <w:pPr>
              <w:spacing w:line="560" w:lineRule="exact"/>
              <w:rPr>
                <w:rFonts w:ascii="宋体" w:hAnsi="宋体" w:cs="宋体"/>
                <w:szCs w:val="21"/>
              </w:rPr>
            </w:pPr>
            <w:r>
              <w:rPr>
                <w:rFonts w:hint="eastAsia" w:ascii="宋体" w:hAnsi="宋体" w:cs="宋体"/>
                <w:szCs w:val="21"/>
              </w:rPr>
              <w:t>书面形式确认可通过传真或者将扫描件发送到邮箱，传真号码：</w:t>
            </w:r>
            <w:r>
              <w:rPr>
                <w:rFonts w:hint="eastAsia" w:ascii="宋体" w:hAnsi="宋体" w:cs="宋体"/>
                <w:szCs w:val="21"/>
                <w:u w:val="single"/>
              </w:rPr>
              <w:t xml:space="preserve">  /    </w:t>
            </w:r>
            <w:r>
              <w:rPr>
                <w:rFonts w:hint="eastAsia" w:ascii="宋体" w:hAnsi="宋体" w:cs="宋体"/>
                <w:szCs w:val="21"/>
              </w:rPr>
              <w:t>，邮箱：</w:t>
            </w:r>
            <w:r>
              <w:rPr>
                <w:rFonts w:hint="eastAsia" w:ascii="宋体" w:hAnsi="宋体" w:cs="宋体"/>
                <w:szCs w:val="21"/>
                <w:u w:val="single"/>
              </w:rPr>
              <w:t xml:space="preserve">    /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3.1.1</w:t>
            </w:r>
          </w:p>
        </w:tc>
        <w:tc>
          <w:tcPr>
            <w:tcW w:w="3565" w:type="dxa"/>
            <w:vAlign w:val="center"/>
          </w:tcPr>
          <w:p>
            <w:pPr>
              <w:spacing w:line="560" w:lineRule="exact"/>
              <w:rPr>
                <w:rFonts w:ascii="宋体" w:hAnsi="宋体" w:cs="宋体"/>
                <w:szCs w:val="21"/>
              </w:rPr>
            </w:pPr>
            <w:r>
              <w:rPr>
                <w:rFonts w:hint="eastAsia" w:ascii="宋体" w:hAnsi="宋体" w:cs="宋体"/>
                <w:szCs w:val="21"/>
              </w:rPr>
              <w:t>构成投标文件的材料</w:t>
            </w:r>
          </w:p>
        </w:tc>
        <w:tc>
          <w:tcPr>
            <w:tcW w:w="4622" w:type="dxa"/>
            <w:vAlign w:val="center"/>
          </w:tcPr>
          <w:p>
            <w:pPr>
              <w:spacing w:line="540" w:lineRule="exact"/>
              <w:rPr>
                <w:rFonts w:ascii="宋体" w:hAnsi="宋体" w:cs="宋体"/>
                <w:szCs w:val="21"/>
              </w:rPr>
            </w:pPr>
            <w:r>
              <w:rPr>
                <w:rFonts w:hint="eastAsia" w:ascii="宋体" w:hAnsi="宋体" w:cs="宋体"/>
                <w:szCs w:val="21"/>
              </w:rPr>
              <w:t>投标文件的组成部分：资格审查部分、商务标部分、技术标部分、投标文件电子版组成</w:t>
            </w:r>
          </w:p>
          <w:p>
            <w:pPr>
              <w:spacing w:line="540" w:lineRule="exact"/>
              <w:rPr>
                <w:rFonts w:ascii="宋体" w:hAnsi="宋体" w:cs="宋体"/>
                <w:szCs w:val="21"/>
              </w:rPr>
            </w:pPr>
            <w:r>
              <w:rPr>
                <w:rFonts w:hint="eastAsia" w:ascii="宋体" w:hAnsi="宋体" w:cs="宋体"/>
                <w:b/>
                <w:bCs/>
                <w:szCs w:val="21"/>
              </w:rPr>
              <w:t>资格审查部分</w:t>
            </w:r>
            <w:r>
              <w:rPr>
                <w:rFonts w:hint="eastAsia" w:ascii="宋体" w:hAnsi="宋体" w:cs="宋体"/>
                <w:szCs w:val="21"/>
              </w:rPr>
              <w:t>：</w:t>
            </w:r>
          </w:p>
          <w:p>
            <w:pPr>
              <w:spacing w:line="540" w:lineRule="exact"/>
              <w:rPr>
                <w:rFonts w:ascii="宋体" w:hAnsi="宋体" w:cs="宋体"/>
                <w:szCs w:val="21"/>
              </w:rPr>
            </w:pPr>
            <w:r>
              <w:rPr>
                <w:rFonts w:hint="eastAsia" w:ascii="宋体" w:hAnsi="宋体" w:cs="宋体"/>
                <w:szCs w:val="21"/>
              </w:rPr>
              <w:t>（1）法定代表人身份证明原件及身份证复印件（法定代表人签署投标文件时提供）或者投标文件签署授权委托书（原件），附：法定代表人身份证明及身份证、委托代理的专职投标员身份证的复印件（委托代理人签署投标文件时提供）；</w:t>
            </w:r>
          </w:p>
          <w:p>
            <w:pPr>
              <w:spacing w:line="540" w:lineRule="exact"/>
              <w:rPr>
                <w:rFonts w:ascii="宋体" w:hAnsi="宋体" w:cs="宋体"/>
                <w:szCs w:val="21"/>
              </w:rPr>
            </w:pPr>
            <w:r>
              <w:rPr>
                <w:rFonts w:hint="eastAsia" w:ascii="宋体" w:hAnsi="宋体" w:cs="宋体"/>
                <w:szCs w:val="21"/>
              </w:rPr>
              <w:t>（2）投标人基本情况表（附已录入广西建筑业企业诚信信息库的有效的企业法人营业执照、企业资质证书副本和安全生产许可证副本等的诚信库页面打印文件）；</w:t>
            </w:r>
          </w:p>
          <w:p>
            <w:pPr>
              <w:spacing w:line="540" w:lineRule="exact"/>
              <w:rPr>
                <w:rFonts w:ascii="宋体" w:hAnsi="宋体" w:cs="宋体"/>
                <w:szCs w:val="21"/>
              </w:rPr>
            </w:pPr>
            <w:r>
              <w:rPr>
                <w:rFonts w:hint="eastAsia" w:ascii="宋体" w:hAnsi="宋体" w:cs="宋体"/>
                <w:szCs w:val="21"/>
              </w:rPr>
              <w:t>（3）投标保证金证明材料（采用银行转账或电汇方式的应附基本账户开户许可证）；</w:t>
            </w:r>
          </w:p>
          <w:p>
            <w:pPr>
              <w:spacing w:line="54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）建设工程项目管理承诺书；</w:t>
            </w:r>
          </w:p>
          <w:p>
            <w:pPr>
              <w:spacing w:line="54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）项目经理简历表；（附已录入广西建筑业企业诚信信息库的有效的证明材料（注册建造师执业资格证和安全生产考核合格证书在诚信库页面打印文件）；</w:t>
            </w:r>
          </w:p>
          <w:p>
            <w:pPr>
              <w:spacing w:line="54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）项目技术负责人简历表（附已录入广西建筑业企业诚信信息库的职称证书的扫描件）；</w:t>
            </w:r>
          </w:p>
          <w:p>
            <w:pPr>
              <w:spacing w:line="54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w:t>
            </w:r>
            <w:r>
              <w:rPr>
                <w:rFonts w:hint="eastAsia" w:cs="宋体"/>
                <w:color w:val="000000"/>
              </w:rPr>
              <w:t>已录入广西建筑业企业诚信信息库的安全</w:t>
            </w:r>
            <w:r>
              <w:rPr>
                <w:rFonts w:cs="宋体"/>
                <w:color w:val="000000"/>
              </w:rPr>
              <w:t>员</w:t>
            </w:r>
            <w:r>
              <w:rPr>
                <w:rFonts w:hint="eastAsia" w:cs="宋体"/>
                <w:color w:val="000000"/>
              </w:rPr>
              <w:t>的安全生产考核合格证书（</w:t>
            </w:r>
            <w:r>
              <w:rPr>
                <w:color w:val="000000"/>
              </w:rPr>
              <w:t>C</w:t>
            </w:r>
            <w:r>
              <w:rPr>
                <w:rFonts w:hint="eastAsia" w:cs="宋体"/>
                <w:color w:val="000000"/>
              </w:rPr>
              <w:t>类）的扫描件；</w:t>
            </w:r>
          </w:p>
          <w:p>
            <w:pPr>
              <w:spacing w:line="54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）专职投标员、项目经理、技术负责人和主要管理人员2020年1月-2020年3月在现任职单位依法缴纳社会保险的证明材料；</w:t>
            </w:r>
          </w:p>
          <w:p>
            <w:pPr>
              <w:spacing w:line="540" w:lineRule="exact"/>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）项目经理无在建项目承诺书</w:t>
            </w:r>
            <w:r>
              <w:rPr>
                <w:rFonts w:hint="eastAsia" w:ascii="宋体" w:hAnsi="宋体" w:cs="宋体"/>
                <w:szCs w:val="21"/>
                <w:lang w:eastAsia="zh-CN"/>
              </w:rPr>
              <w:t>；</w:t>
            </w:r>
          </w:p>
          <w:p>
            <w:pPr>
              <w:spacing w:line="54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rPr>
              <w:t>资格审查需要的其他材料：项目管理机构配备情况表、拟投入施工机械设备情况表、企业近年已完成类似项目一览表、企业近年财务状况表、近年发生的诉讼和仲裁情况等。</w:t>
            </w:r>
          </w:p>
          <w:p>
            <w:pPr>
              <w:spacing w:line="540" w:lineRule="exact"/>
              <w:rPr>
                <w:rFonts w:ascii="宋体" w:hAnsi="宋体" w:cs="宋体"/>
                <w:b/>
                <w:bCs/>
                <w:szCs w:val="21"/>
              </w:rPr>
            </w:pPr>
            <w:r>
              <w:rPr>
                <w:rFonts w:hint="eastAsia" w:ascii="宋体" w:hAnsi="宋体" w:cs="宋体"/>
                <w:b/>
                <w:bCs/>
                <w:szCs w:val="21"/>
              </w:rPr>
              <w:t>商务标部分：</w:t>
            </w:r>
          </w:p>
          <w:p>
            <w:pPr>
              <w:spacing w:line="540" w:lineRule="exact"/>
              <w:rPr>
                <w:rFonts w:ascii="宋体" w:hAnsi="宋体" w:cs="宋体"/>
                <w:szCs w:val="21"/>
              </w:rPr>
            </w:pPr>
            <w:r>
              <w:rPr>
                <w:rFonts w:hint="eastAsia" w:ascii="宋体" w:hAnsi="宋体" w:cs="宋体"/>
                <w:szCs w:val="21"/>
              </w:rPr>
              <w:t>（1）投标函；</w:t>
            </w:r>
          </w:p>
          <w:p>
            <w:pPr>
              <w:spacing w:line="540" w:lineRule="exact"/>
              <w:rPr>
                <w:rFonts w:ascii="宋体" w:hAnsi="宋体" w:cs="宋体"/>
                <w:szCs w:val="21"/>
              </w:rPr>
            </w:pPr>
            <w:r>
              <w:rPr>
                <w:rFonts w:hint="eastAsia" w:ascii="宋体" w:hAnsi="宋体" w:cs="宋体"/>
                <w:szCs w:val="21"/>
              </w:rPr>
              <w:t>（2）投标函附录；</w:t>
            </w:r>
          </w:p>
          <w:p>
            <w:pPr>
              <w:spacing w:line="540" w:lineRule="exact"/>
              <w:rPr>
                <w:rFonts w:ascii="宋体" w:hAnsi="宋体" w:cs="宋体"/>
                <w:szCs w:val="21"/>
              </w:rPr>
            </w:pPr>
            <w:r>
              <w:rPr>
                <w:rFonts w:hint="eastAsia" w:ascii="宋体" w:hAnsi="宋体" w:cs="宋体"/>
                <w:szCs w:val="21"/>
              </w:rPr>
              <w:t>（3）投标报价表；</w:t>
            </w:r>
          </w:p>
          <w:p>
            <w:pPr>
              <w:spacing w:line="540" w:lineRule="exact"/>
              <w:rPr>
                <w:rFonts w:ascii="宋体" w:hAnsi="宋体" w:cs="宋体"/>
                <w:szCs w:val="21"/>
              </w:rPr>
            </w:pPr>
            <w:r>
              <w:rPr>
                <w:rFonts w:hint="eastAsia" w:ascii="宋体" w:hAnsi="宋体" w:cs="宋体"/>
                <w:szCs w:val="21"/>
              </w:rPr>
              <w:t>（4）已标价工程量清单；</w:t>
            </w:r>
          </w:p>
          <w:p>
            <w:pPr>
              <w:spacing w:line="540" w:lineRule="exact"/>
              <w:rPr>
                <w:rFonts w:ascii="宋体" w:hAnsi="宋体" w:cs="宋体"/>
                <w:b/>
                <w:szCs w:val="21"/>
              </w:rPr>
            </w:pPr>
            <w:r>
              <w:rPr>
                <w:rFonts w:hint="eastAsia" w:ascii="宋体" w:hAnsi="宋体" w:cs="宋体"/>
                <w:b/>
                <w:bCs/>
                <w:szCs w:val="21"/>
              </w:rPr>
              <w:t>技术标部分：</w:t>
            </w:r>
          </w:p>
          <w:p>
            <w:pPr>
              <w:spacing w:line="540" w:lineRule="exact"/>
              <w:rPr>
                <w:rFonts w:ascii="宋体" w:hAnsi="宋体" w:cs="宋体"/>
                <w:szCs w:val="21"/>
              </w:rPr>
            </w:pPr>
            <w:r>
              <w:rPr>
                <w:rFonts w:hint="eastAsia" w:ascii="宋体" w:hAnsi="宋体" w:cs="宋体"/>
                <w:szCs w:val="21"/>
              </w:rPr>
              <w:t>（1）施工组织设计；</w:t>
            </w:r>
          </w:p>
          <w:p>
            <w:pPr>
              <w:spacing w:line="540" w:lineRule="exact"/>
              <w:rPr>
                <w:rFonts w:ascii="宋体" w:hAnsi="宋体" w:cs="宋体"/>
                <w:szCs w:val="21"/>
              </w:rPr>
            </w:pPr>
            <w:r>
              <w:rPr>
                <w:rFonts w:hint="eastAsia" w:ascii="宋体" w:hAnsi="宋体" w:cs="宋体"/>
                <w:szCs w:val="21"/>
              </w:rPr>
              <w:t>（2）项目管理机构。</w:t>
            </w:r>
          </w:p>
          <w:p>
            <w:pPr>
              <w:spacing w:line="540" w:lineRule="exact"/>
              <w:rPr>
                <w:rFonts w:ascii="宋体" w:hAnsi="宋体" w:cs="宋体"/>
                <w:b/>
                <w:szCs w:val="21"/>
              </w:rPr>
            </w:pPr>
            <w:r>
              <w:rPr>
                <w:rFonts w:hint="eastAsia" w:ascii="宋体" w:hAnsi="宋体" w:cs="宋体"/>
                <w:b/>
                <w:szCs w:val="21"/>
              </w:rPr>
              <w:t>投标文件电子版：</w:t>
            </w:r>
          </w:p>
          <w:p>
            <w:pPr>
              <w:spacing w:line="540" w:lineRule="exact"/>
              <w:rPr>
                <w:rFonts w:ascii="宋体" w:hAnsi="宋体" w:cs="宋体"/>
                <w:szCs w:val="21"/>
              </w:rPr>
            </w:pPr>
            <w:r>
              <w:rPr>
                <w:rFonts w:hint="eastAsia" w:ascii="宋体" w:hAnsi="宋体" w:cs="宋体"/>
                <w:szCs w:val="21"/>
              </w:rPr>
              <w:t>具体见“投标人须知前附表”10.4投标文件电子版。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07" w:type="dxa"/>
            <w:gridSpan w:val="2"/>
            <w:vMerge w:val="restart"/>
            <w:vAlign w:val="center"/>
          </w:tcPr>
          <w:p>
            <w:pPr>
              <w:spacing w:line="560" w:lineRule="exact"/>
              <w:jc w:val="center"/>
              <w:rPr>
                <w:rFonts w:ascii="宋体" w:hAnsi="宋体" w:cs="宋体"/>
                <w:szCs w:val="21"/>
              </w:rPr>
            </w:pPr>
            <w:r>
              <w:rPr>
                <w:rFonts w:hint="eastAsia" w:ascii="宋体" w:hAnsi="宋体" w:cs="宋体"/>
                <w:szCs w:val="21"/>
              </w:rPr>
              <w:t>3.1.4</w:t>
            </w:r>
          </w:p>
        </w:tc>
        <w:tc>
          <w:tcPr>
            <w:tcW w:w="3565" w:type="dxa"/>
            <w:vAlign w:val="center"/>
          </w:tcPr>
          <w:p>
            <w:pPr>
              <w:spacing w:line="560" w:lineRule="exact"/>
              <w:rPr>
                <w:rFonts w:ascii="宋体" w:hAnsi="宋体" w:cs="宋体"/>
                <w:szCs w:val="21"/>
              </w:rPr>
            </w:pPr>
            <w:r>
              <w:rPr>
                <w:rFonts w:hint="eastAsia" w:ascii="宋体" w:hAnsi="宋体" w:cs="宋体"/>
                <w:szCs w:val="21"/>
              </w:rPr>
              <w:t>近年财务状况的年份要求</w:t>
            </w:r>
          </w:p>
        </w:tc>
        <w:tc>
          <w:tcPr>
            <w:tcW w:w="4622" w:type="dxa"/>
            <w:vAlign w:val="center"/>
          </w:tcPr>
          <w:p>
            <w:pPr>
              <w:spacing w:line="560" w:lineRule="exact"/>
              <w:ind w:firstLine="210" w:firstLineChars="100"/>
              <w:rPr>
                <w:rFonts w:ascii="宋体" w:hAnsi="宋体" w:cs="宋体"/>
                <w:szCs w:val="21"/>
              </w:rPr>
            </w:pPr>
            <w:r>
              <w:rPr>
                <w:rFonts w:hint="eastAsia" w:ascii="宋体" w:hAnsi="宋体" w:cs="宋体"/>
                <w:szCs w:val="21"/>
                <w:u w:val="single"/>
              </w:rPr>
              <w:t xml:space="preserve">3 </w:t>
            </w:r>
            <w:r>
              <w:rPr>
                <w:rFonts w:hint="eastAsia" w:ascii="宋体" w:hAnsi="宋体" w:cs="宋体"/>
                <w:szCs w:val="21"/>
              </w:rPr>
              <w:t>年，指</w:t>
            </w:r>
            <w:r>
              <w:rPr>
                <w:rFonts w:hint="eastAsia" w:ascii="宋体" w:hAnsi="宋体" w:cs="宋体"/>
                <w:szCs w:val="21"/>
                <w:u w:val="single"/>
              </w:rPr>
              <w:t>201</w:t>
            </w:r>
            <w:r>
              <w:rPr>
                <w:rFonts w:hint="eastAsia" w:ascii="宋体" w:hAnsi="宋体" w:cs="宋体"/>
                <w:szCs w:val="21"/>
                <w:u w:val="single"/>
                <w:lang w:val="en-US" w:eastAsia="zh-CN"/>
              </w:rPr>
              <w:t>7</w:t>
            </w:r>
            <w:r>
              <w:rPr>
                <w:rFonts w:hint="eastAsia" w:ascii="宋体" w:hAnsi="宋体" w:cs="宋体"/>
                <w:szCs w:val="21"/>
              </w:rPr>
              <w:t>年度、</w:t>
            </w:r>
            <w:r>
              <w:rPr>
                <w:rFonts w:hint="eastAsia" w:ascii="宋体" w:hAnsi="宋体" w:cs="宋体"/>
                <w:szCs w:val="21"/>
                <w:u w:val="single"/>
              </w:rPr>
              <w:t>201</w:t>
            </w:r>
            <w:r>
              <w:rPr>
                <w:rFonts w:hint="eastAsia" w:ascii="宋体" w:hAnsi="宋体" w:cs="宋体"/>
                <w:szCs w:val="21"/>
                <w:u w:val="single"/>
                <w:lang w:val="en-US" w:eastAsia="zh-CN"/>
              </w:rPr>
              <w:t>8</w:t>
            </w:r>
            <w:r>
              <w:rPr>
                <w:rFonts w:hint="eastAsia" w:ascii="宋体" w:hAnsi="宋体" w:cs="宋体"/>
                <w:szCs w:val="21"/>
              </w:rPr>
              <w:t>年度和</w:t>
            </w:r>
            <w:r>
              <w:rPr>
                <w:rFonts w:hint="eastAsia" w:ascii="宋体" w:hAnsi="宋体" w:cs="宋体"/>
                <w:szCs w:val="21"/>
                <w:u w:val="single"/>
              </w:rPr>
              <w:t>201</w:t>
            </w:r>
            <w:r>
              <w:rPr>
                <w:rFonts w:hint="eastAsia" w:ascii="宋体" w:hAnsi="宋体" w:cs="宋体"/>
                <w:szCs w:val="21"/>
                <w:u w:val="single"/>
                <w:lang w:val="en-US" w:eastAsia="zh-CN"/>
              </w:rPr>
              <w:t>9</w:t>
            </w:r>
            <w:r>
              <w:rPr>
                <w:rFonts w:hint="eastAsia" w:ascii="宋体" w:hAnsi="宋体" w:cs="宋体"/>
                <w:szCs w:val="21"/>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7" w:type="dxa"/>
            <w:gridSpan w:val="2"/>
            <w:vMerge w:val="continue"/>
          </w:tcPr>
          <w:p>
            <w:pPr>
              <w:spacing w:line="560" w:lineRule="exact"/>
              <w:jc w:val="center"/>
              <w:rPr>
                <w:rFonts w:ascii="宋体" w:hAnsi="宋体" w:cs="宋体"/>
                <w:szCs w:val="21"/>
              </w:rPr>
            </w:pPr>
          </w:p>
        </w:tc>
        <w:tc>
          <w:tcPr>
            <w:tcW w:w="3565" w:type="dxa"/>
            <w:vAlign w:val="center"/>
          </w:tcPr>
          <w:p>
            <w:pPr>
              <w:spacing w:line="560" w:lineRule="exact"/>
              <w:rPr>
                <w:rFonts w:ascii="宋体" w:hAnsi="宋体" w:cs="宋体"/>
                <w:szCs w:val="21"/>
              </w:rPr>
            </w:pPr>
            <w:r>
              <w:rPr>
                <w:rFonts w:hint="eastAsia" w:ascii="宋体" w:hAnsi="宋体" w:cs="宋体"/>
                <w:szCs w:val="21"/>
              </w:rPr>
              <w:t>近年完成的类似项目的年份要求</w:t>
            </w:r>
          </w:p>
        </w:tc>
        <w:tc>
          <w:tcPr>
            <w:tcW w:w="4622" w:type="dxa"/>
            <w:vAlign w:val="center"/>
          </w:tcPr>
          <w:p>
            <w:pPr>
              <w:spacing w:line="560" w:lineRule="exact"/>
              <w:rPr>
                <w:rFonts w:ascii="宋体" w:hAnsi="宋体" w:cs="宋体"/>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07" w:type="dxa"/>
            <w:gridSpan w:val="2"/>
            <w:vMerge w:val="continue"/>
          </w:tcPr>
          <w:p>
            <w:pPr>
              <w:spacing w:line="560" w:lineRule="exact"/>
              <w:jc w:val="center"/>
              <w:rPr>
                <w:rFonts w:ascii="宋体" w:hAnsi="宋体" w:cs="宋体"/>
                <w:szCs w:val="21"/>
              </w:rPr>
            </w:pPr>
          </w:p>
        </w:tc>
        <w:tc>
          <w:tcPr>
            <w:tcW w:w="3565" w:type="dxa"/>
            <w:vAlign w:val="center"/>
          </w:tcPr>
          <w:p>
            <w:pPr>
              <w:spacing w:line="560" w:lineRule="exact"/>
              <w:rPr>
                <w:rFonts w:ascii="宋体" w:hAnsi="宋体" w:cs="宋体"/>
                <w:szCs w:val="21"/>
              </w:rPr>
            </w:pPr>
            <w:r>
              <w:rPr>
                <w:rFonts w:hint="eastAsia" w:ascii="宋体" w:hAnsi="宋体" w:cs="宋体"/>
                <w:szCs w:val="21"/>
              </w:rPr>
              <w:t>近年发生的诉讼及仲裁情况的年份要求</w:t>
            </w:r>
          </w:p>
        </w:tc>
        <w:tc>
          <w:tcPr>
            <w:tcW w:w="4622" w:type="dxa"/>
            <w:vAlign w:val="center"/>
          </w:tcPr>
          <w:p>
            <w:pPr>
              <w:spacing w:line="560" w:lineRule="exact"/>
              <w:rPr>
                <w:rFonts w:ascii="宋体" w:hAnsi="宋体" w:cs="宋体"/>
                <w:szCs w:val="21"/>
              </w:rPr>
            </w:pPr>
            <w:r>
              <w:rPr>
                <w:rFonts w:hint="eastAsia" w:ascii="宋体" w:hAnsi="宋体" w:cs="宋体"/>
                <w:szCs w:val="21"/>
                <w:u w:val="single"/>
              </w:rPr>
              <w:t>3</w:t>
            </w:r>
            <w:r>
              <w:rPr>
                <w:rFonts w:hint="eastAsia" w:ascii="宋体" w:hAnsi="宋体" w:cs="宋体"/>
                <w:szCs w:val="21"/>
              </w:rPr>
              <w:t>年，指诉讼及仲裁判决时间至投标截止时间止不超过</w:t>
            </w:r>
            <w:r>
              <w:rPr>
                <w:rFonts w:hint="eastAsia" w:ascii="宋体" w:hAnsi="宋体" w:cs="宋体"/>
                <w:szCs w:val="21"/>
                <w:u w:val="single"/>
              </w:rPr>
              <w:t>3</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3.3.1</w:t>
            </w:r>
          </w:p>
        </w:tc>
        <w:tc>
          <w:tcPr>
            <w:tcW w:w="3565" w:type="dxa"/>
            <w:vAlign w:val="center"/>
          </w:tcPr>
          <w:p>
            <w:pPr>
              <w:spacing w:line="560" w:lineRule="exact"/>
              <w:rPr>
                <w:rFonts w:ascii="宋体" w:hAnsi="宋体" w:cs="宋体"/>
                <w:szCs w:val="21"/>
              </w:rPr>
            </w:pPr>
            <w:r>
              <w:rPr>
                <w:rFonts w:hint="eastAsia" w:ascii="宋体" w:hAnsi="宋体" w:cs="宋体"/>
                <w:szCs w:val="21"/>
              </w:rPr>
              <w:t>投标有效期</w:t>
            </w:r>
          </w:p>
        </w:tc>
        <w:tc>
          <w:tcPr>
            <w:tcW w:w="4622" w:type="dxa"/>
            <w:vAlign w:val="center"/>
          </w:tcPr>
          <w:p>
            <w:pPr>
              <w:spacing w:line="560" w:lineRule="exact"/>
              <w:rPr>
                <w:rFonts w:ascii="宋体" w:hAnsi="宋体" w:cs="宋体"/>
                <w:szCs w:val="21"/>
              </w:rPr>
            </w:pPr>
            <w:r>
              <w:rPr>
                <w:rFonts w:hint="eastAsia" w:ascii="宋体" w:hAnsi="宋体" w:cs="宋体"/>
                <w:szCs w:val="21"/>
              </w:rPr>
              <w:t>□45天    □60天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3.4.1</w:t>
            </w:r>
          </w:p>
        </w:tc>
        <w:tc>
          <w:tcPr>
            <w:tcW w:w="3565" w:type="dxa"/>
            <w:vAlign w:val="center"/>
          </w:tcPr>
          <w:p>
            <w:pPr>
              <w:spacing w:line="560" w:lineRule="exact"/>
              <w:rPr>
                <w:rFonts w:ascii="宋体" w:hAnsi="宋体" w:cs="宋体"/>
                <w:szCs w:val="21"/>
              </w:rPr>
            </w:pPr>
            <w:r>
              <w:rPr>
                <w:rFonts w:hint="eastAsia" w:ascii="宋体" w:hAnsi="宋体" w:cs="宋体"/>
                <w:szCs w:val="21"/>
              </w:rPr>
              <w:t>投标保证金</w:t>
            </w:r>
          </w:p>
        </w:tc>
        <w:tc>
          <w:tcPr>
            <w:tcW w:w="4622" w:type="dxa"/>
            <w:vAlign w:val="center"/>
          </w:tcPr>
          <w:p>
            <w:pPr>
              <w:spacing w:line="560" w:lineRule="exact"/>
              <w:rPr>
                <w:rFonts w:ascii="宋体" w:hAnsi="宋体" w:cs="宋体"/>
                <w:szCs w:val="21"/>
                <w:highlight w:val="none"/>
              </w:rPr>
            </w:pPr>
            <w:r>
              <w:rPr>
                <w:rFonts w:hint="eastAsia" w:ascii="宋体" w:hAnsi="宋体" w:cs="宋体"/>
                <w:szCs w:val="21"/>
              </w:rPr>
              <w:t>投标保证金的提交方式：可以银行保函、银行转账、电汇、</w:t>
            </w:r>
            <w:r>
              <w:rPr>
                <w:rFonts w:hint="eastAsia" w:hAnsi="宋体"/>
                <w:szCs w:val="21"/>
              </w:rPr>
              <w:t>工程担保、工程保证保险</w:t>
            </w:r>
            <w:r>
              <w:rPr>
                <w:rFonts w:hint="eastAsia" w:ascii="宋体" w:hAnsi="宋体" w:cs="宋体"/>
                <w:szCs w:val="21"/>
              </w:rPr>
              <w:t>等方式提交。禁止采用现钞交纳方式。【备注：严禁要求投标人只能以现金方式</w:t>
            </w:r>
            <w:r>
              <w:rPr>
                <w:rFonts w:hint="eastAsia" w:ascii="宋体" w:hAnsi="宋体" w:cs="宋体"/>
                <w:szCs w:val="21"/>
                <w:highlight w:val="none"/>
              </w:rPr>
              <w:t>提交保证金的行为】</w:t>
            </w:r>
          </w:p>
          <w:p>
            <w:pPr>
              <w:spacing w:line="560" w:lineRule="exact"/>
              <w:rPr>
                <w:rFonts w:ascii="宋体" w:hAnsi="宋体" w:cs="宋体"/>
                <w:szCs w:val="21"/>
                <w:u w:val="single"/>
              </w:rPr>
            </w:pPr>
            <w:r>
              <w:rPr>
                <w:rFonts w:hint="eastAsia" w:ascii="宋体" w:hAnsi="宋体" w:cs="宋体"/>
                <w:szCs w:val="21"/>
                <w:highlight w:val="none"/>
              </w:rPr>
              <w:t>投标保证金的金额：</w:t>
            </w:r>
            <w:r>
              <w:rPr>
                <w:rFonts w:ascii="宋体" w:hAnsi="宋体" w:cs="宋体"/>
                <w:szCs w:val="21"/>
                <w:highlight w:val="none"/>
                <w:u w:val="single"/>
              </w:rPr>
              <w:t>45000.00元</w:t>
            </w:r>
            <w:r>
              <w:rPr>
                <w:rFonts w:hint="eastAsia" w:ascii="宋体" w:hAnsi="宋体" w:cs="宋体"/>
                <w:szCs w:val="21"/>
              </w:rPr>
              <w:t>（人民币：</w:t>
            </w:r>
            <w:r>
              <w:rPr>
                <w:rFonts w:hint="eastAsia" w:ascii="宋体" w:hAnsi="宋体" w:cs="宋体"/>
                <w:szCs w:val="21"/>
                <w:u w:val="single"/>
              </w:rPr>
              <w:t>肆万伍仟元整</w:t>
            </w:r>
            <w:r>
              <w:rPr>
                <w:rFonts w:hint="eastAsia" w:ascii="宋体" w:hAnsi="宋体" w:cs="宋体"/>
                <w:szCs w:val="21"/>
              </w:rPr>
              <w:t>）</w:t>
            </w:r>
            <w:r>
              <w:rPr>
                <w:rFonts w:hint="eastAsia" w:ascii="宋体" w:hAnsi="宋体" w:cs="宋体"/>
                <w:color w:val="0000FF"/>
                <w:szCs w:val="21"/>
              </w:rPr>
              <w:t>。</w:t>
            </w:r>
            <w:r>
              <w:rPr>
                <w:rFonts w:hint="eastAsia" w:ascii="宋体" w:hAnsi="宋体" w:cs="宋体"/>
                <w:szCs w:val="21"/>
              </w:rPr>
              <w:t>采用银行转账、电汇方式的，必须从投标人的基本账户转账或电汇到以下指定的投标保证金专用账户【备注：在投标截止时间前于开标现场查验投标保证金提交收据（如有）、银行转账（电汇）底单原件（电子转账的底单原件可采用彩色打印加盖转账单位公章）”。复印件加盖投标人单位公章装入投标文件】，否则做否决投标处理。</w:t>
            </w:r>
          </w:p>
          <w:p>
            <w:pPr>
              <w:spacing w:line="560" w:lineRule="exact"/>
              <w:rPr>
                <w:rFonts w:hint="eastAsia" w:ascii="宋体" w:hAnsi="宋体" w:cs="宋体"/>
                <w:szCs w:val="21"/>
              </w:rPr>
            </w:pPr>
            <w:r>
              <w:rPr>
                <w:rFonts w:hint="eastAsia" w:ascii="宋体" w:hAnsi="宋体" w:cs="宋体"/>
                <w:szCs w:val="21"/>
              </w:rPr>
              <w:t>单位名称：</w:t>
            </w:r>
            <w:r>
              <w:rPr>
                <w:rFonts w:hint="eastAsia" w:ascii="宋体" w:hAnsi="宋体" w:eastAsia="宋体" w:cs="宋体"/>
                <w:sz w:val="21"/>
                <w:szCs w:val="21"/>
              </w:rPr>
              <w:t>广西壮族自治区公共资源交易中心</w:t>
            </w:r>
          </w:p>
          <w:p>
            <w:pPr>
              <w:spacing w:line="560" w:lineRule="exact"/>
              <w:rPr>
                <w:rFonts w:hint="eastAsia" w:ascii="宋体" w:hAnsi="宋体" w:cs="宋体"/>
                <w:szCs w:val="21"/>
              </w:rPr>
            </w:pPr>
            <w:r>
              <w:rPr>
                <w:rFonts w:hint="eastAsia" w:ascii="宋体" w:hAnsi="宋体" w:cs="宋体"/>
                <w:szCs w:val="21"/>
              </w:rPr>
              <w:t>开户行：</w:t>
            </w:r>
            <w:r>
              <w:rPr>
                <w:rFonts w:hint="eastAsia" w:ascii="宋体" w:hAnsi="宋体" w:eastAsia="宋体" w:cs="宋体"/>
                <w:sz w:val="21"/>
                <w:szCs w:val="21"/>
              </w:rPr>
              <w:t>中国农业银行南宁市万象支行</w:t>
            </w:r>
          </w:p>
          <w:p>
            <w:pPr>
              <w:spacing w:line="560" w:lineRule="exact"/>
              <w:rPr>
                <w:rFonts w:hint="eastAsia" w:ascii="宋体" w:hAnsi="宋体" w:cs="宋体"/>
                <w:szCs w:val="21"/>
              </w:rPr>
            </w:pPr>
            <w:r>
              <w:rPr>
                <w:rFonts w:hint="eastAsia" w:ascii="宋体" w:hAnsi="宋体" w:cs="宋体"/>
                <w:szCs w:val="21"/>
              </w:rPr>
              <w:t>账号：</w:t>
            </w:r>
            <w:r>
              <w:rPr>
                <w:rFonts w:hint="eastAsia" w:ascii="宋体" w:hAnsi="宋体" w:eastAsia="宋体" w:cs="宋体"/>
                <w:sz w:val="21"/>
                <w:szCs w:val="21"/>
              </w:rPr>
              <w:t>200173010400147820000001061</w:t>
            </w:r>
          </w:p>
          <w:p>
            <w:pPr>
              <w:spacing w:line="560" w:lineRule="exact"/>
              <w:rPr>
                <w:rFonts w:ascii="宋体" w:hAnsi="宋体" w:cs="宋体"/>
                <w:szCs w:val="21"/>
                <w:u w:val="single"/>
              </w:rPr>
            </w:pPr>
            <w:r>
              <w:rPr>
                <w:rFonts w:hint="eastAsia" w:ascii="宋体" w:hAnsi="宋体" w:cs="宋体"/>
                <w:szCs w:val="21"/>
              </w:rPr>
              <w:t>注意：递交投标保证采用银行转账时必须从投标人基本帐户公对公转账，并注明所投项目名称、项目编号。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3.5</w:t>
            </w:r>
          </w:p>
        </w:tc>
        <w:tc>
          <w:tcPr>
            <w:tcW w:w="3565" w:type="dxa"/>
            <w:vAlign w:val="center"/>
          </w:tcPr>
          <w:p>
            <w:pPr>
              <w:spacing w:line="560" w:lineRule="exact"/>
              <w:rPr>
                <w:rFonts w:ascii="宋体" w:hAnsi="宋体" w:cs="宋体"/>
                <w:szCs w:val="21"/>
              </w:rPr>
            </w:pPr>
            <w:r>
              <w:rPr>
                <w:rFonts w:hint="eastAsia" w:ascii="宋体" w:hAnsi="宋体" w:cs="宋体"/>
                <w:szCs w:val="21"/>
              </w:rPr>
              <w:t>是否允许递交备选投标方案</w:t>
            </w:r>
          </w:p>
        </w:tc>
        <w:tc>
          <w:tcPr>
            <w:tcW w:w="4622" w:type="dxa"/>
            <w:vAlign w:val="center"/>
          </w:tcPr>
          <w:p>
            <w:pPr>
              <w:spacing w:line="560" w:lineRule="exact"/>
              <w:rPr>
                <w:rFonts w:ascii="宋体" w:hAnsi="宋体" w:cs="宋体"/>
                <w:szCs w:val="21"/>
                <w:u w:val="single"/>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3.6.3</w:t>
            </w:r>
          </w:p>
        </w:tc>
        <w:tc>
          <w:tcPr>
            <w:tcW w:w="3565" w:type="dxa"/>
            <w:vAlign w:val="center"/>
          </w:tcPr>
          <w:p>
            <w:pPr>
              <w:spacing w:line="560" w:lineRule="exact"/>
              <w:rPr>
                <w:rFonts w:ascii="宋体" w:hAnsi="宋体" w:cs="宋体"/>
                <w:szCs w:val="21"/>
              </w:rPr>
            </w:pPr>
            <w:r>
              <w:rPr>
                <w:rFonts w:hint="eastAsia" w:ascii="宋体" w:hAnsi="宋体" w:cs="宋体"/>
                <w:szCs w:val="21"/>
              </w:rPr>
              <w:t>签字和（或）盖章要求</w:t>
            </w:r>
          </w:p>
        </w:tc>
        <w:tc>
          <w:tcPr>
            <w:tcW w:w="4622" w:type="dxa"/>
            <w:vAlign w:val="center"/>
          </w:tcPr>
          <w:p>
            <w:pPr>
              <w:spacing w:line="560" w:lineRule="exact"/>
              <w:rPr>
                <w:rFonts w:ascii="宋体" w:hAnsi="宋体" w:cs="宋体"/>
                <w:szCs w:val="21"/>
              </w:rPr>
            </w:pPr>
            <w:r>
              <w:rPr>
                <w:rFonts w:hint="eastAsia" w:ascii="宋体" w:hAnsi="宋体" w:cs="宋体"/>
                <w:szCs w:val="21"/>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3.6.4</w:t>
            </w:r>
          </w:p>
        </w:tc>
        <w:tc>
          <w:tcPr>
            <w:tcW w:w="3565" w:type="dxa"/>
            <w:vAlign w:val="center"/>
          </w:tcPr>
          <w:p>
            <w:pPr>
              <w:spacing w:line="560" w:lineRule="exact"/>
              <w:rPr>
                <w:rFonts w:ascii="宋体" w:hAnsi="宋体" w:cs="宋体"/>
                <w:szCs w:val="21"/>
              </w:rPr>
            </w:pPr>
            <w:r>
              <w:rPr>
                <w:rFonts w:hint="eastAsia" w:ascii="宋体" w:hAnsi="宋体" w:cs="宋体"/>
                <w:szCs w:val="21"/>
              </w:rPr>
              <w:t>投标文件副本份数</w:t>
            </w:r>
          </w:p>
        </w:tc>
        <w:tc>
          <w:tcPr>
            <w:tcW w:w="4622" w:type="dxa"/>
            <w:vAlign w:val="center"/>
          </w:tcPr>
          <w:p>
            <w:pPr>
              <w:spacing w:line="560" w:lineRule="exact"/>
              <w:rPr>
                <w:rFonts w:ascii="宋体" w:hAnsi="宋体" w:cs="宋体"/>
                <w:szCs w:val="21"/>
              </w:rPr>
            </w:pPr>
            <w:r>
              <w:rPr>
                <w:rFonts w:hint="eastAsia" w:ascii="宋体" w:hAnsi="宋体" w:cs="宋体"/>
                <w:szCs w:val="21"/>
                <w:u w:val="single"/>
              </w:rPr>
              <w:t>一正三副，共四份。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3.6.5</w:t>
            </w:r>
          </w:p>
        </w:tc>
        <w:tc>
          <w:tcPr>
            <w:tcW w:w="3565" w:type="dxa"/>
            <w:vAlign w:val="center"/>
          </w:tcPr>
          <w:p>
            <w:pPr>
              <w:spacing w:line="560" w:lineRule="exact"/>
              <w:rPr>
                <w:rFonts w:ascii="宋体" w:hAnsi="宋体" w:cs="宋体"/>
                <w:szCs w:val="21"/>
              </w:rPr>
            </w:pPr>
            <w:r>
              <w:rPr>
                <w:rFonts w:hint="eastAsia" w:ascii="宋体" w:hAnsi="宋体" w:cs="宋体"/>
                <w:szCs w:val="21"/>
              </w:rPr>
              <w:t>装订要求</w:t>
            </w:r>
          </w:p>
        </w:tc>
        <w:tc>
          <w:tcPr>
            <w:tcW w:w="4622" w:type="dxa"/>
            <w:vAlign w:val="center"/>
          </w:tcPr>
          <w:p>
            <w:pPr>
              <w:spacing w:line="560" w:lineRule="exact"/>
              <w:rPr>
                <w:rFonts w:ascii="宋体" w:hAnsi="宋体" w:cs="宋体"/>
                <w:szCs w:val="21"/>
                <w:u w:val="single"/>
              </w:rPr>
            </w:pPr>
            <w:r>
              <w:rPr>
                <w:rFonts w:hint="eastAsia" w:ascii="宋体" w:hAnsi="宋体" w:cs="宋体"/>
                <w:szCs w:val="21"/>
              </w:rPr>
              <w:t>按照投标人须知第3.1.1项规定的投标文件组成内容，投标文件应按以下要求装订：</w:t>
            </w:r>
          </w:p>
          <w:p>
            <w:pPr>
              <w:spacing w:line="560" w:lineRule="exact"/>
              <w:rPr>
                <w:rFonts w:ascii="宋体" w:hAnsi="宋体" w:cs="宋体"/>
                <w:szCs w:val="21"/>
              </w:rPr>
            </w:pPr>
            <w:r>
              <w:rPr>
                <w:rFonts w:hint="eastAsia" w:ascii="宋体" w:hAnsi="宋体" w:cs="宋体"/>
                <w:szCs w:val="21"/>
              </w:rPr>
              <w:t>□不分册装订</w:t>
            </w:r>
          </w:p>
          <w:p>
            <w:pPr>
              <w:spacing w:line="560" w:lineRule="exact"/>
              <w:rPr>
                <w:rFonts w:ascii="宋体" w:hAnsi="宋体" w:cs="宋体"/>
                <w:szCs w:val="21"/>
                <w:u w:val="single"/>
              </w:rPr>
            </w:pPr>
            <w:r>
              <w:rPr>
                <w:rFonts w:hint="eastAsia" w:ascii="宋体" w:hAnsi="宋体" w:cs="宋体"/>
                <w:szCs w:val="21"/>
              </w:rPr>
              <w:t>☑分册装订，共分</w:t>
            </w:r>
            <w:r>
              <w:rPr>
                <w:rFonts w:hint="eastAsia" w:ascii="宋体" w:hAnsi="宋体" w:cs="宋体"/>
                <w:szCs w:val="21"/>
                <w:u w:val="single"/>
              </w:rPr>
              <w:t xml:space="preserve"> 3</w:t>
            </w:r>
            <w:r>
              <w:rPr>
                <w:rFonts w:hint="eastAsia" w:ascii="宋体" w:hAnsi="宋体" w:cs="宋体"/>
                <w:szCs w:val="21"/>
              </w:rPr>
              <w:t>册，分别为：</w:t>
            </w:r>
            <w:r>
              <w:rPr>
                <w:rFonts w:hint="eastAsia" w:ascii="宋体" w:hAnsi="宋体" w:cs="宋体"/>
                <w:szCs w:val="21"/>
                <w:u w:val="single"/>
              </w:rPr>
              <w:t>资格审查部分、商务标部分、技术标部分。</w:t>
            </w:r>
          </w:p>
          <w:p>
            <w:pPr>
              <w:spacing w:line="560" w:lineRule="exact"/>
              <w:rPr>
                <w:rFonts w:ascii="宋体" w:hAnsi="宋体" w:cs="宋体"/>
                <w:szCs w:val="21"/>
                <w:u w:val="single"/>
              </w:rPr>
            </w:pPr>
            <w:r>
              <w:rPr>
                <w:rFonts w:hint="eastAsia" w:ascii="宋体" w:hAnsi="宋体" w:cs="宋体"/>
                <w:szCs w:val="21"/>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4.1.1</w:t>
            </w:r>
          </w:p>
        </w:tc>
        <w:tc>
          <w:tcPr>
            <w:tcW w:w="3565" w:type="dxa"/>
            <w:vAlign w:val="center"/>
          </w:tcPr>
          <w:p>
            <w:pPr>
              <w:spacing w:line="560" w:lineRule="exact"/>
              <w:rPr>
                <w:rFonts w:ascii="宋体" w:hAnsi="宋体" w:cs="宋体"/>
                <w:szCs w:val="21"/>
              </w:rPr>
            </w:pPr>
            <w:r>
              <w:rPr>
                <w:rFonts w:hint="eastAsia" w:ascii="宋体" w:hAnsi="宋体" w:cs="宋体"/>
                <w:szCs w:val="21"/>
              </w:rPr>
              <w:t>包装、密封</w:t>
            </w:r>
          </w:p>
        </w:tc>
        <w:tc>
          <w:tcPr>
            <w:tcW w:w="4622" w:type="dxa"/>
          </w:tcPr>
          <w:p>
            <w:pPr>
              <w:spacing w:line="560" w:lineRule="exact"/>
              <w:rPr>
                <w:rFonts w:ascii="宋体" w:hAnsi="宋体" w:cs="宋体"/>
                <w:szCs w:val="21"/>
              </w:rPr>
            </w:pPr>
            <w:r>
              <w:rPr>
                <w:rFonts w:hint="eastAsia" w:ascii="宋体" w:hAnsi="宋体" w:cs="宋体"/>
                <w:szCs w:val="21"/>
              </w:rPr>
              <w:t>投标人应将所有投标文件的资格审查部分、商务标部分、技术标部分、投标文件电子版分别密封在</w:t>
            </w:r>
            <w:r>
              <w:rPr>
                <w:rFonts w:hint="eastAsia" w:ascii="宋体" w:hAnsi="宋体" w:cs="宋体"/>
                <w:szCs w:val="21"/>
                <w:u w:val="single"/>
              </w:rPr>
              <w:t>4</w:t>
            </w:r>
            <w:r>
              <w:rPr>
                <w:rFonts w:hint="eastAsia" w:ascii="宋体" w:hAnsi="宋体" w:cs="宋体"/>
                <w:szCs w:val="21"/>
              </w:rPr>
              <w:t>个密封袋内，密封袋上清楚地标明“资格审查部分”或“商务标部分”或“技术标部分”投标文件电子版。再合封在同一个密封袋中。</w:t>
            </w:r>
          </w:p>
          <w:p>
            <w:pPr>
              <w:spacing w:line="560" w:lineRule="exact"/>
              <w:rPr>
                <w:rFonts w:ascii="宋体" w:hAnsi="宋体" w:cs="宋体"/>
                <w:szCs w:val="21"/>
              </w:rPr>
            </w:pPr>
            <w:r>
              <w:rPr>
                <w:rFonts w:hint="eastAsia" w:ascii="宋体" w:hAnsi="宋体" w:cs="宋体"/>
                <w:szCs w:val="21"/>
              </w:rPr>
              <w:t>提交投标文件时应为1个密封袋。</w:t>
            </w:r>
          </w:p>
          <w:p>
            <w:pPr>
              <w:spacing w:line="560" w:lineRule="exact"/>
              <w:rPr>
                <w:rFonts w:ascii="宋体" w:hAnsi="宋体" w:cs="宋体"/>
                <w:szCs w:val="21"/>
              </w:rPr>
            </w:pPr>
            <w:r>
              <w:rPr>
                <w:rFonts w:hint="eastAsia" w:ascii="宋体" w:hAnsi="宋体" w:cs="宋体"/>
                <w:szCs w:val="21"/>
              </w:rPr>
              <w:t>投标文件密封袋的封口处应加贴封条并加盖投标人法人单位公章以示密封（暗标除外）。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4.1.2</w:t>
            </w:r>
          </w:p>
        </w:tc>
        <w:tc>
          <w:tcPr>
            <w:tcW w:w="3565" w:type="dxa"/>
            <w:vAlign w:val="center"/>
          </w:tcPr>
          <w:p>
            <w:pPr>
              <w:spacing w:line="560" w:lineRule="exact"/>
              <w:rPr>
                <w:rFonts w:ascii="宋体" w:hAnsi="宋体" w:cs="宋体"/>
                <w:szCs w:val="21"/>
              </w:rPr>
            </w:pPr>
            <w:r>
              <w:rPr>
                <w:rFonts w:hint="eastAsia" w:ascii="宋体" w:hAnsi="宋体" w:cs="宋体"/>
                <w:szCs w:val="21"/>
              </w:rPr>
              <w:t>封套上写明</w:t>
            </w:r>
          </w:p>
        </w:tc>
        <w:tc>
          <w:tcPr>
            <w:tcW w:w="4622" w:type="dxa"/>
            <w:vAlign w:val="center"/>
          </w:tcPr>
          <w:p>
            <w:pPr>
              <w:tabs>
                <w:tab w:val="left" w:pos="1012"/>
              </w:tabs>
              <w:spacing w:line="560" w:lineRule="exact"/>
              <w:ind w:left="479"/>
              <w:jc w:val="left"/>
              <w:rPr>
                <w:rFonts w:ascii="宋体" w:hAnsi="宋体" w:cs="宋体"/>
                <w:szCs w:val="21"/>
              </w:rPr>
            </w:pPr>
            <w:bookmarkStart w:id="27" w:name="_Toc251051521"/>
            <w:r>
              <w:rPr>
                <w:rFonts w:hint="eastAsia" w:ascii="宋体" w:hAnsi="宋体" w:cs="宋体"/>
                <w:szCs w:val="21"/>
              </w:rPr>
              <w:t>项目招标编号：</w:t>
            </w:r>
          </w:p>
          <w:p>
            <w:pPr>
              <w:tabs>
                <w:tab w:val="left" w:pos="1012"/>
              </w:tabs>
              <w:spacing w:line="560" w:lineRule="exact"/>
              <w:ind w:left="479"/>
              <w:jc w:val="left"/>
              <w:rPr>
                <w:rFonts w:ascii="宋体" w:hAnsi="宋体" w:cs="宋体"/>
                <w:szCs w:val="21"/>
              </w:rPr>
            </w:pPr>
            <w:r>
              <w:rPr>
                <w:rFonts w:hint="eastAsia" w:ascii="宋体" w:hAnsi="宋体" w:cs="宋体"/>
                <w:szCs w:val="21"/>
              </w:rPr>
              <w:t>招标人名称</w:t>
            </w:r>
            <w:bookmarkEnd w:id="27"/>
            <w:r>
              <w:rPr>
                <w:rFonts w:hint="eastAsia" w:ascii="宋体" w:hAnsi="宋体" w:cs="宋体"/>
                <w:szCs w:val="21"/>
              </w:rPr>
              <w:t>：</w:t>
            </w:r>
          </w:p>
          <w:p>
            <w:pPr>
              <w:tabs>
                <w:tab w:val="left" w:pos="1012"/>
              </w:tabs>
              <w:spacing w:line="560" w:lineRule="exact"/>
              <w:ind w:left="479"/>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（项目名称）投标文件</w:t>
            </w:r>
          </w:p>
          <w:p>
            <w:pPr>
              <w:spacing w:line="560" w:lineRule="exact"/>
              <w:rPr>
                <w:rFonts w:ascii="宋体" w:hAnsi="宋体" w:cs="宋体"/>
                <w:szCs w:val="21"/>
              </w:rPr>
            </w:pPr>
            <w:r>
              <w:rPr>
                <w:rFonts w:hint="eastAsia" w:ascii="宋体" w:hAnsi="宋体" w:cs="宋体"/>
                <w:szCs w:val="21"/>
              </w:rPr>
              <w:t>投标人地址：</w:t>
            </w:r>
          </w:p>
          <w:p>
            <w:pPr>
              <w:spacing w:line="560" w:lineRule="exact"/>
              <w:rPr>
                <w:rFonts w:ascii="宋体" w:hAnsi="宋体" w:cs="宋体"/>
                <w:szCs w:val="21"/>
              </w:rPr>
            </w:pPr>
            <w:r>
              <w:rPr>
                <w:rFonts w:hint="eastAsia" w:ascii="宋体" w:hAnsi="宋体" w:cs="宋体"/>
                <w:szCs w:val="21"/>
              </w:rPr>
              <w:t>投标人名称：</w:t>
            </w:r>
          </w:p>
          <w:p>
            <w:pPr>
              <w:spacing w:line="560" w:lineRule="exact"/>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4.2.2</w:t>
            </w:r>
          </w:p>
        </w:tc>
        <w:tc>
          <w:tcPr>
            <w:tcW w:w="3565" w:type="dxa"/>
            <w:vAlign w:val="center"/>
          </w:tcPr>
          <w:p>
            <w:pPr>
              <w:spacing w:line="560" w:lineRule="exact"/>
              <w:rPr>
                <w:rFonts w:ascii="宋体" w:hAnsi="宋体" w:cs="宋体"/>
                <w:szCs w:val="21"/>
              </w:rPr>
            </w:pPr>
            <w:r>
              <w:rPr>
                <w:rFonts w:hint="eastAsia" w:ascii="宋体" w:hAnsi="宋体" w:cs="宋体"/>
                <w:szCs w:val="21"/>
              </w:rPr>
              <w:t>递交投标文件地点</w:t>
            </w:r>
          </w:p>
        </w:tc>
        <w:tc>
          <w:tcPr>
            <w:tcW w:w="4622" w:type="dxa"/>
            <w:vAlign w:val="center"/>
          </w:tcPr>
          <w:p>
            <w:pPr>
              <w:spacing w:line="560" w:lineRule="exact"/>
              <w:rPr>
                <w:rFonts w:ascii="宋体" w:hAnsi="宋体" w:cs="宋体"/>
                <w:szCs w:val="21"/>
              </w:rPr>
            </w:pPr>
            <w:r>
              <w:rPr>
                <w:rFonts w:hint="eastAsia" w:ascii="宋体" w:hAnsi="宋体" w:cs="宋体"/>
                <w:szCs w:val="21"/>
              </w:rPr>
              <w:t>广西壮族自治区政务服务中心4楼广西壮族自治区公共资源交易中心（南宁市青秀区怡宾路6号）公开开标（具体开标室根据电子屏幕显示的安排）。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4.2.3</w:t>
            </w:r>
          </w:p>
        </w:tc>
        <w:tc>
          <w:tcPr>
            <w:tcW w:w="3565" w:type="dxa"/>
            <w:vAlign w:val="center"/>
          </w:tcPr>
          <w:p>
            <w:pPr>
              <w:spacing w:line="560" w:lineRule="exact"/>
              <w:rPr>
                <w:rFonts w:ascii="宋体" w:hAnsi="宋体" w:cs="宋体"/>
                <w:szCs w:val="21"/>
              </w:rPr>
            </w:pPr>
            <w:r>
              <w:rPr>
                <w:rFonts w:hint="eastAsia" w:ascii="宋体" w:hAnsi="宋体" w:cs="宋体"/>
                <w:szCs w:val="21"/>
              </w:rPr>
              <w:t>是否退还投标文件</w:t>
            </w:r>
          </w:p>
        </w:tc>
        <w:tc>
          <w:tcPr>
            <w:tcW w:w="4622" w:type="dxa"/>
            <w:vAlign w:val="center"/>
          </w:tcPr>
          <w:p>
            <w:pPr>
              <w:spacing w:line="560" w:lineRule="exact"/>
              <w:rPr>
                <w:rFonts w:ascii="宋体" w:hAnsi="宋体" w:cs="宋体"/>
                <w:szCs w:val="21"/>
                <w:u w:val="single"/>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5.1</w:t>
            </w:r>
          </w:p>
        </w:tc>
        <w:tc>
          <w:tcPr>
            <w:tcW w:w="3565" w:type="dxa"/>
            <w:vAlign w:val="center"/>
          </w:tcPr>
          <w:p>
            <w:pPr>
              <w:spacing w:line="560" w:lineRule="exact"/>
              <w:rPr>
                <w:rFonts w:ascii="宋体" w:hAnsi="宋体" w:cs="宋体"/>
                <w:szCs w:val="21"/>
              </w:rPr>
            </w:pPr>
            <w:r>
              <w:rPr>
                <w:rFonts w:hint="eastAsia" w:ascii="宋体" w:hAnsi="宋体" w:cs="宋体"/>
                <w:szCs w:val="21"/>
              </w:rPr>
              <w:t>开标时间和地点</w:t>
            </w:r>
          </w:p>
        </w:tc>
        <w:tc>
          <w:tcPr>
            <w:tcW w:w="4622" w:type="dxa"/>
            <w:vAlign w:val="center"/>
          </w:tcPr>
          <w:p>
            <w:pPr>
              <w:spacing w:line="560" w:lineRule="exact"/>
              <w:rPr>
                <w:rFonts w:ascii="宋体" w:hAnsi="宋体" w:cs="宋体"/>
                <w:szCs w:val="21"/>
              </w:rPr>
            </w:pPr>
            <w:r>
              <w:rPr>
                <w:rFonts w:hint="eastAsia" w:ascii="宋体" w:hAnsi="宋体" w:cs="宋体"/>
                <w:szCs w:val="21"/>
              </w:rPr>
              <w:t>开标时间：同投标截止时间</w:t>
            </w:r>
          </w:p>
          <w:p>
            <w:pPr>
              <w:spacing w:line="560" w:lineRule="exact"/>
              <w:rPr>
                <w:rFonts w:ascii="宋体" w:hAnsi="宋体" w:cs="宋体"/>
                <w:szCs w:val="21"/>
              </w:rPr>
            </w:pPr>
            <w:r>
              <w:rPr>
                <w:rFonts w:hint="eastAsia" w:ascii="宋体" w:hAnsi="宋体" w:cs="宋体"/>
                <w:szCs w:val="21"/>
              </w:rPr>
              <w:t>开标地点：</w:t>
            </w:r>
            <w:r>
              <w:rPr>
                <w:rFonts w:hint="eastAsia" w:asciiTheme="minorEastAsia" w:hAnsiTheme="minorEastAsia" w:eastAsiaTheme="minorEastAsia"/>
              </w:rPr>
              <w:t>广西壮族自治区政务服务中心4楼广西壮族自治区公共资源交易中心（南宁市青秀区怡宾路6号）公开开标（具体开标室根据电子屏幕显示的安排）</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5.2</w:t>
            </w:r>
          </w:p>
        </w:tc>
        <w:tc>
          <w:tcPr>
            <w:tcW w:w="3565" w:type="dxa"/>
            <w:vAlign w:val="center"/>
          </w:tcPr>
          <w:p>
            <w:pPr>
              <w:spacing w:line="560" w:lineRule="exact"/>
              <w:rPr>
                <w:rFonts w:ascii="宋体" w:hAnsi="宋体" w:cs="宋体"/>
                <w:szCs w:val="21"/>
              </w:rPr>
            </w:pPr>
            <w:r>
              <w:rPr>
                <w:rFonts w:hint="eastAsia" w:ascii="宋体" w:hAnsi="宋体" w:cs="宋体"/>
                <w:szCs w:val="21"/>
              </w:rPr>
              <w:t>开标程序</w:t>
            </w:r>
          </w:p>
        </w:tc>
        <w:tc>
          <w:tcPr>
            <w:tcW w:w="4622" w:type="dxa"/>
            <w:vAlign w:val="center"/>
          </w:tcPr>
          <w:p>
            <w:pPr>
              <w:spacing w:line="560" w:lineRule="exact"/>
              <w:rPr>
                <w:rFonts w:ascii="宋体" w:hAnsi="宋体" w:cs="宋体"/>
                <w:szCs w:val="21"/>
              </w:rPr>
            </w:pPr>
            <w:r>
              <w:rPr>
                <w:rFonts w:hint="eastAsia" w:ascii="宋体" w:hAnsi="宋体" w:cs="宋体"/>
                <w:szCs w:val="21"/>
              </w:rPr>
              <w:t>☑采用方式一：技术标明标开标程序</w:t>
            </w:r>
          </w:p>
          <w:p>
            <w:pPr>
              <w:spacing w:line="560" w:lineRule="exact"/>
              <w:rPr>
                <w:rFonts w:ascii="宋体" w:hAnsi="宋体" w:cs="宋体"/>
                <w:szCs w:val="21"/>
              </w:rPr>
            </w:pPr>
            <w:r>
              <w:rPr>
                <w:rFonts w:hint="eastAsia" w:ascii="宋体" w:hAnsi="宋体" w:cs="宋体"/>
                <w:szCs w:val="21"/>
              </w:rPr>
              <w:t>开标顺序：随机</w:t>
            </w:r>
          </w:p>
          <w:p>
            <w:pPr>
              <w:spacing w:line="560" w:lineRule="exact"/>
              <w:rPr>
                <w:rFonts w:ascii="宋体" w:hAnsi="宋体" w:cs="宋体"/>
                <w:szCs w:val="21"/>
              </w:rPr>
            </w:pPr>
            <w:r>
              <w:rPr>
                <w:rFonts w:hint="eastAsia" w:ascii="宋体" w:hAnsi="宋体" w:cs="宋体"/>
                <w:szCs w:val="21"/>
              </w:rPr>
              <w:t>□采用方式二：技术标暗标开标程序</w:t>
            </w:r>
          </w:p>
          <w:p>
            <w:pPr>
              <w:spacing w:line="560" w:lineRule="exact"/>
              <w:rPr>
                <w:rFonts w:ascii="宋体" w:hAnsi="宋体" w:cs="宋体"/>
                <w:szCs w:val="21"/>
              </w:rPr>
            </w:pPr>
            <w:r>
              <w:rPr>
                <w:rFonts w:hint="eastAsia" w:ascii="宋体" w:hAnsi="宋体" w:cs="宋体"/>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6.1.1</w:t>
            </w:r>
          </w:p>
        </w:tc>
        <w:tc>
          <w:tcPr>
            <w:tcW w:w="3565" w:type="dxa"/>
            <w:vAlign w:val="center"/>
          </w:tcPr>
          <w:p>
            <w:pPr>
              <w:spacing w:line="560" w:lineRule="exact"/>
              <w:rPr>
                <w:rFonts w:ascii="宋体" w:hAnsi="宋体" w:cs="宋体"/>
                <w:color w:val="auto"/>
                <w:szCs w:val="21"/>
              </w:rPr>
            </w:pPr>
            <w:r>
              <w:rPr>
                <w:rFonts w:hint="eastAsia" w:ascii="宋体" w:hAnsi="宋体" w:cs="宋体"/>
                <w:color w:val="auto"/>
                <w:szCs w:val="21"/>
              </w:rPr>
              <w:t>评标委员会的组建</w:t>
            </w:r>
          </w:p>
        </w:tc>
        <w:tc>
          <w:tcPr>
            <w:tcW w:w="4622" w:type="dxa"/>
            <w:vAlign w:val="center"/>
          </w:tcPr>
          <w:p>
            <w:pPr>
              <w:spacing w:line="560" w:lineRule="exact"/>
              <w:rPr>
                <w:rFonts w:ascii="宋体" w:hAnsi="宋体" w:cs="宋体"/>
                <w:color w:val="auto"/>
                <w:szCs w:val="21"/>
              </w:rPr>
            </w:pPr>
            <w:r>
              <w:rPr>
                <w:rFonts w:hint="eastAsia" w:ascii="宋体" w:hAnsi="宋体" w:cs="宋体"/>
                <w:color w:val="auto"/>
                <w:szCs w:val="21"/>
              </w:rPr>
              <w:t>评标委员会构成：</w:t>
            </w:r>
            <w:r>
              <w:rPr>
                <w:rFonts w:hint="eastAsia" w:ascii="宋体" w:hAnsi="宋体" w:cs="宋体"/>
                <w:color w:val="auto"/>
                <w:szCs w:val="21"/>
                <w:u w:val="single"/>
              </w:rPr>
              <w:t>5</w:t>
            </w:r>
            <w:r>
              <w:rPr>
                <w:rFonts w:hint="eastAsia" w:ascii="宋体" w:hAnsi="宋体" w:cs="宋体"/>
                <w:color w:val="auto"/>
                <w:szCs w:val="21"/>
              </w:rPr>
              <w:t>人，其中招标人代表</w:t>
            </w:r>
            <w:r>
              <w:rPr>
                <w:rFonts w:hint="eastAsia" w:ascii="宋体" w:hAnsi="宋体" w:cs="宋体"/>
                <w:color w:val="auto"/>
                <w:szCs w:val="21"/>
                <w:u w:val="single"/>
              </w:rPr>
              <w:t xml:space="preserve">         1</w:t>
            </w:r>
            <w:r>
              <w:rPr>
                <w:rFonts w:hint="eastAsia" w:ascii="宋体" w:hAnsi="宋体" w:cs="宋体"/>
                <w:color w:val="auto"/>
                <w:szCs w:val="21"/>
              </w:rPr>
              <w:t>人，专家</w:t>
            </w:r>
            <w:r>
              <w:rPr>
                <w:rFonts w:hint="eastAsia" w:ascii="宋体" w:hAnsi="宋体" w:cs="宋体"/>
                <w:color w:val="auto"/>
                <w:szCs w:val="21"/>
                <w:u w:val="single"/>
              </w:rPr>
              <w:t>4</w:t>
            </w:r>
            <w:r>
              <w:rPr>
                <w:rFonts w:hint="eastAsia" w:ascii="宋体" w:hAnsi="宋体" w:cs="宋体"/>
                <w:color w:val="auto"/>
                <w:szCs w:val="21"/>
              </w:rPr>
              <w:t>人。</w:t>
            </w:r>
          </w:p>
          <w:p>
            <w:pPr>
              <w:spacing w:line="560" w:lineRule="exact"/>
              <w:rPr>
                <w:rFonts w:ascii="宋体" w:hAnsi="宋体" w:cs="宋体"/>
                <w:color w:val="auto"/>
                <w:szCs w:val="21"/>
              </w:rPr>
            </w:pPr>
            <w:r>
              <w:rPr>
                <w:rFonts w:hint="eastAsia" w:ascii="宋体" w:hAnsi="宋体" w:cs="宋体"/>
                <w:color w:val="auto"/>
                <w:szCs w:val="21"/>
              </w:rPr>
              <w:t>评标专家分工：□不分技术、经济类。</w:t>
            </w:r>
          </w:p>
          <w:p>
            <w:pPr>
              <w:spacing w:line="560" w:lineRule="exact"/>
              <w:rPr>
                <w:rFonts w:ascii="宋体" w:hAnsi="宋体" w:cs="宋体"/>
                <w:color w:val="auto"/>
                <w:szCs w:val="21"/>
              </w:rPr>
            </w:pPr>
            <w:r>
              <w:rPr>
                <w:rFonts w:hint="eastAsia" w:ascii="宋体" w:hAnsi="宋体" w:cs="宋体"/>
                <w:color w:val="auto"/>
                <w:szCs w:val="21"/>
              </w:rPr>
              <w:t>☑分技术、经济类。</w:t>
            </w:r>
          </w:p>
          <w:p>
            <w:pPr>
              <w:spacing w:line="560" w:lineRule="exact"/>
              <w:rPr>
                <w:rFonts w:ascii="宋体" w:hAnsi="宋体" w:cs="宋体"/>
                <w:color w:val="auto"/>
                <w:szCs w:val="21"/>
              </w:rPr>
            </w:pPr>
            <w:r>
              <w:rPr>
                <w:rFonts w:hint="eastAsia" w:ascii="宋体" w:hAnsi="宋体" w:cs="宋体"/>
                <w:color w:val="auto"/>
                <w:szCs w:val="21"/>
              </w:rPr>
              <w:t>其中，招标人代表参加技术类</w:t>
            </w:r>
            <w:r>
              <w:rPr>
                <w:rFonts w:hint="eastAsia" w:ascii="宋体" w:hAnsi="宋体" w:cs="宋体"/>
                <w:color w:val="auto"/>
                <w:szCs w:val="21"/>
                <w:u w:val="single"/>
              </w:rPr>
              <w:t xml:space="preserve"> 1</w:t>
            </w:r>
            <w:r>
              <w:rPr>
                <w:rFonts w:hint="eastAsia" w:ascii="宋体" w:hAnsi="宋体" w:cs="宋体"/>
                <w:color w:val="auto"/>
                <w:szCs w:val="21"/>
              </w:rPr>
              <w:t>人、经济类</w:t>
            </w:r>
            <w:r>
              <w:rPr>
                <w:rFonts w:hint="eastAsia" w:ascii="宋体" w:hAnsi="宋体" w:cs="宋体"/>
                <w:color w:val="auto"/>
                <w:szCs w:val="21"/>
                <w:u w:val="single"/>
              </w:rPr>
              <w:t xml:space="preserve">      0</w:t>
            </w:r>
            <w:r>
              <w:rPr>
                <w:rFonts w:hint="eastAsia" w:ascii="宋体" w:hAnsi="宋体" w:cs="宋体"/>
                <w:color w:val="auto"/>
                <w:szCs w:val="21"/>
              </w:rPr>
              <w:t>人；技术类专家</w:t>
            </w:r>
            <w:r>
              <w:rPr>
                <w:rFonts w:hint="eastAsia" w:ascii="宋体" w:hAnsi="宋体" w:cs="宋体"/>
                <w:color w:val="auto"/>
                <w:szCs w:val="21"/>
                <w:u w:val="single"/>
              </w:rPr>
              <w:t>2</w:t>
            </w:r>
            <w:r>
              <w:rPr>
                <w:rFonts w:hint="eastAsia" w:ascii="宋体" w:hAnsi="宋体" w:cs="宋体"/>
                <w:color w:val="auto"/>
                <w:szCs w:val="21"/>
              </w:rPr>
              <w:t>人、经济类专家</w:t>
            </w:r>
            <w:r>
              <w:rPr>
                <w:rFonts w:hint="eastAsia" w:ascii="宋体" w:hAnsi="宋体" w:cs="宋体"/>
                <w:color w:val="auto"/>
                <w:szCs w:val="21"/>
                <w:u w:val="single"/>
              </w:rPr>
              <w:t>2</w:t>
            </w:r>
            <w:r>
              <w:rPr>
                <w:rFonts w:hint="eastAsia" w:ascii="宋体" w:hAnsi="宋体" w:cs="宋体"/>
                <w:color w:val="auto"/>
                <w:szCs w:val="21"/>
              </w:rPr>
              <w:t>人。</w:t>
            </w:r>
          </w:p>
          <w:p>
            <w:pPr>
              <w:spacing w:line="560" w:lineRule="exact"/>
              <w:rPr>
                <w:rFonts w:ascii="宋体" w:hAnsi="宋体" w:cs="宋体"/>
                <w:color w:val="auto"/>
                <w:szCs w:val="21"/>
              </w:rPr>
            </w:pPr>
            <w:r>
              <w:rPr>
                <w:rFonts w:hint="eastAsia" w:ascii="宋体" w:hAnsi="宋体" w:cs="宋体"/>
                <w:color w:val="auto"/>
                <w:szCs w:val="21"/>
              </w:rPr>
              <w:t>评标专家确定方式：</w:t>
            </w:r>
            <w:r>
              <w:rPr>
                <w:rFonts w:hint="eastAsia" w:ascii="宋体" w:hAnsi="宋体" w:cs="宋体"/>
                <w:color w:val="auto"/>
                <w:szCs w:val="21"/>
                <w:u w:val="single"/>
              </w:rPr>
              <w:t xml:space="preserve">  随机抽取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6.3</w:t>
            </w:r>
          </w:p>
        </w:tc>
        <w:tc>
          <w:tcPr>
            <w:tcW w:w="3565" w:type="dxa"/>
            <w:vAlign w:val="center"/>
          </w:tcPr>
          <w:p>
            <w:pPr>
              <w:spacing w:line="560" w:lineRule="exact"/>
              <w:rPr>
                <w:rFonts w:ascii="宋体" w:hAnsi="宋体" w:cs="宋体"/>
                <w:szCs w:val="21"/>
              </w:rPr>
            </w:pPr>
            <w:r>
              <w:rPr>
                <w:rFonts w:hint="eastAsia" w:ascii="宋体" w:hAnsi="宋体" w:cs="宋体"/>
                <w:szCs w:val="21"/>
              </w:rPr>
              <w:t>评标方式</w:t>
            </w:r>
          </w:p>
        </w:tc>
        <w:tc>
          <w:tcPr>
            <w:tcW w:w="4622" w:type="dxa"/>
            <w:vAlign w:val="center"/>
          </w:tcPr>
          <w:p>
            <w:pPr>
              <w:spacing w:line="560" w:lineRule="exact"/>
              <w:rPr>
                <w:rFonts w:ascii="宋体" w:hAnsi="宋体" w:cs="宋体"/>
                <w:szCs w:val="21"/>
              </w:rPr>
            </w:pPr>
            <w:r>
              <w:rPr>
                <w:rFonts w:hint="eastAsia" w:ascii="宋体" w:hAnsi="宋体" w:cs="宋体"/>
                <w:szCs w:val="21"/>
              </w:rPr>
              <w:t>□经评审的合理低价法</w:t>
            </w:r>
          </w:p>
          <w:p>
            <w:pPr>
              <w:spacing w:line="560" w:lineRule="exact"/>
              <w:rPr>
                <w:rFonts w:ascii="宋体" w:hAnsi="宋体" w:cs="宋体"/>
                <w:szCs w:val="21"/>
              </w:rPr>
            </w:pPr>
            <w:r>
              <w:rPr>
                <w:rFonts w:hint="eastAsia" w:ascii="宋体" w:hAnsi="宋体" w:cs="宋体"/>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6.5</w:t>
            </w:r>
          </w:p>
        </w:tc>
        <w:tc>
          <w:tcPr>
            <w:tcW w:w="3565" w:type="dxa"/>
            <w:vAlign w:val="center"/>
          </w:tcPr>
          <w:p>
            <w:pPr>
              <w:spacing w:line="560" w:lineRule="exact"/>
              <w:rPr>
                <w:rFonts w:ascii="宋体" w:hAnsi="宋体" w:cs="宋体"/>
                <w:szCs w:val="21"/>
              </w:rPr>
            </w:pPr>
            <w:r>
              <w:rPr>
                <w:rFonts w:hint="eastAsia" w:ascii="宋体" w:hAnsi="宋体" w:cs="宋体"/>
                <w:szCs w:val="21"/>
              </w:rPr>
              <w:t>评标资料封存方式</w:t>
            </w:r>
          </w:p>
        </w:tc>
        <w:tc>
          <w:tcPr>
            <w:tcW w:w="4622" w:type="dxa"/>
            <w:vAlign w:val="center"/>
          </w:tcPr>
          <w:p>
            <w:pPr>
              <w:spacing w:line="560" w:lineRule="exact"/>
              <w:rPr>
                <w:rFonts w:ascii="宋体" w:hAnsi="宋体" w:cs="宋体"/>
                <w:szCs w:val="21"/>
              </w:rPr>
            </w:pPr>
            <w:r>
              <w:rPr>
                <w:rFonts w:hint="eastAsia" w:ascii="宋体" w:hAnsi="宋体" w:cs="宋体"/>
                <w:szCs w:val="21"/>
              </w:rPr>
              <w:t>☑广西建信建设项目管理有限公司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6.5.1（3）</w:t>
            </w:r>
          </w:p>
        </w:tc>
        <w:tc>
          <w:tcPr>
            <w:tcW w:w="3565" w:type="dxa"/>
            <w:vAlign w:val="center"/>
          </w:tcPr>
          <w:p>
            <w:pPr>
              <w:spacing w:line="560" w:lineRule="exact"/>
              <w:rPr>
                <w:rFonts w:ascii="宋体" w:hAnsi="宋体" w:cs="宋体"/>
                <w:szCs w:val="21"/>
              </w:rPr>
            </w:pPr>
            <w:r>
              <w:rPr>
                <w:rFonts w:hint="eastAsia" w:ascii="宋体" w:hAnsi="宋体" w:cs="宋体"/>
                <w:szCs w:val="21"/>
              </w:rPr>
              <w:t>封存的其它材料</w:t>
            </w:r>
          </w:p>
        </w:tc>
        <w:tc>
          <w:tcPr>
            <w:tcW w:w="4622" w:type="dxa"/>
            <w:vAlign w:val="center"/>
          </w:tcPr>
          <w:p>
            <w:pPr>
              <w:spacing w:line="56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6.6.1</w:t>
            </w:r>
          </w:p>
        </w:tc>
        <w:tc>
          <w:tcPr>
            <w:tcW w:w="3565" w:type="dxa"/>
            <w:vAlign w:val="center"/>
          </w:tcPr>
          <w:p>
            <w:pPr>
              <w:spacing w:line="560" w:lineRule="exact"/>
              <w:rPr>
                <w:rFonts w:ascii="宋体" w:hAnsi="宋体" w:cs="宋体"/>
                <w:szCs w:val="21"/>
              </w:rPr>
            </w:pPr>
            <w:r>
              <w:rPr>
                <w:rFonts w:hint="eastAsia" w:ascii="宋体" w:hAnsi="宋体" w:cs="宋体"/>
                <w:szCs w:val="21"/>
              </w:rPr>
              <w:t>中标候选人公示及中标公告的媒介</w:t>
            </w:r>
          </w:p>
        </w:tc>
        <w:tc>
          <w:tcPr>
            <w:tcW w:w="4622" w:type="dxa"/>
            <w:vAlign w:val="center"/>
          </w:tcPr>
          <w:p>
            <w:pPr>
              <w:spacing w:line="560" w:lineRule="exact"/>
              <w:rPr>
                <w:rFonts w:ascii="宋体" w:hAnsi="宋体" w:cs="宋体"/>
                <w:szCs w:val="21"/>
              </w:rPr>
            </w:pPr>
            <w:r>
              <w:rPr>
                <w:rFonts w:hint="eastAsia" w:ascii="宋体" w:hAnsi="宋体" w:cs="宋体"/>
                <w:szCs w:val="21"/>
              </w:rPr>
              <w:t>☑在招标公告发布的同一媒介上公示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7.1</w:t>
            </w:r>
          </w:p>
        </w:tc>
        <w:tc>
          <w:tcPr>
            <w:tcW w:w="3565" w:type="dxa"/>
            <w:vAlign w:val="center"/>
          </w:tcPr>
          <w:p>
            <w:pPr>
              <w:spacing w:line="560" w:lineRule="exact"/>
              <w:rPr>
                <w:rFonts w:ascii="宋体" w:hAnsi="宋体" w:cs="宋体"/>
                <w:szCs w:val="21"/>
              </w:rPr>
            </w:pPr>
            <w:r>
              <w:rPr>
                <w:rFonts w:hint="eastAsia" w:ascii="宋体" w:hAnsi="宋体" w:cs="宋体"/>
                <w:szCs w:val="21"/>
              </w:rPr>
              <w:t>是否授权评标委员会确定中标人</w:t>
            </w:r>
          </w:p>
        </w:tc>
        <w:tc>
          <w:tcPr>
            <w:tcW w:w="4622" w:type="dxa"/>
            <w:vAlign w:val="center"/>
          </w:tcPr>
          <w:p>
            <w:pPr>
              <w:spacing w:line="560" w:lineRule="exact"/>
              <w:rPr>
                <w:rFonts w:ascii="宋体" w:hAnsi="宋体" w:cs="宋体"/>
                <w:szCs w:val="21"/>
              </w:rPr>
            </w:pPr>
            <w:r>
              <w:rPr>
                <w:rFonts w:hint="eastAsia" w:ascii="宋体" w:hAnsi="宋体" w:cs="宋体"/>
                <w:szCs w:val="21"/>
              </w:rPr>
              <w:t>□是</w:t>
            </w:r>
          </w:p>
          <w:p>
            <w:pPr>
              <w:spacing w:line="560" w:lineRule="exact"/>
              <w:rPr>
                <w:rFonts w:ascii="宋体" w:hAnsi="宋体" w:cs="宋体"/>
                <w:szCs w:val="21"/>
              </w:rPr>
            </w:pPr>
            <w:r>
              <w:rPr>
                <w:rFonts w:hint="eastAsia" w:ascii="宋体" w:hAnsi="宋体" w:cs="宋体"/>
                <w:szCs w:val="21"/>
              </w:rPr>
              <w:t>☑否，推荐的中标候选人数：</w:t>
            </w:r>
            <w:r>
              <w:rPr>
                <w:rFonts w:hint="eastAsia" w:ascii="宋体" w:hAnsi="宋体" w:cs="宋体"/>
                <w:szCs w:val="21"/>
                <w:u w:val="single"/>
              </w:rPr>
              <w:t>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07" w:type="dxa"/>
            <w:gridSpan w:val="2"/>
            <w:vAlign w:val="center"/>
          </w:tcPr>
          <w:p>
            <w:pPr>
              <w:spacing w:line="560" w:lineRule="exact"/>
              <w:jc w:val="center"/>
              <w:rPr>
                <w:rFonts w:ascii="宋体" w:hAnsi="宋体" w:cs="宋体"/>
                <w:szCs w:val="21"/>
              </w:rPr>
            </w:pPr>
            <w:r>
              <w:rPr>
                <w:rFonts w:hint="eastAsia" w:ascii="宋体" w:hAnsi="宋体" w:cs="宋体"/>
                <w:szCs w:val="21"/>
              </w:rPr>
              <w:t>7.3.1</w:t>
            </w:r>
          </w:p>
        </w:tc>
        <w:tc>
          <w:tcPr>
            <w:tcW w:w="3565" w:type="dxa"/>
            <w:vAlign w:val="center"/>
          </w:tcPr>
          <w:p>
            <w:pPr>
              <w:spacing w:line="560" w:lineRule="exact"/>
              <w:rPr>
                <w:rFonts w:ascii="宋体" w:hAnsi="宋体" w:cs="宋体"/>
                <w:szCs w:val="21"/>
              </w:rPr>
            </w:pPr>
            <w:r>
              <w:rPr>
                <w:rFonts w:hint="eastAsia" w:ascii="宋体" w:hAnsi="宋体" w:cs="宋体"/>
                <w:szCs w:val="21"/>
              </w:rPr>
              <w:t>履约保证金</w:t>
            </w:r>
          </w:p>
        </w:tc>
        <w:tc>
          <w:tcPr>
            <w:tcW w:w="4622" w:type="dxa"/>
            <w:vAlign w:val="center"/>
          </w:tcPr>
          <w:p>
            <w:pPr>
              <w:spacing w:line="560" w:lineRule="exact"/>
              <w:rPr>
                <w:rFonts w:ascii="宋体" w:hAnsi="宋体" w:cs="宋体"/>
                <w:szCs w:val="21"/>
              </w:rPr>
            </w:pPr>
            <w:r>
              <w:rPr>
                <w:rFonts w:hint="eastAsia" w:ascii="宋体" w:hAnsi="宋体" w:cs="宋体"/>
                <w:szCs w:val="21"/>
              </w:rPr>
              <w:t>☑是 □否 履约保证金的形式：可以银行保函、银行转账、电汇等形式。</w:t>
            </w:r>
          </w:p>
          <w:p>
            <w:pPr>
              <w:spacing w:line="560" w:lineRule="exact"/>
              <w:rPr>
                <w:rFonts w:ascii="宋体" w:hAnsi="宋体" w:cs="宋体"/>
                <w:color w:val="auto"/>
                <w:szCs w:val="21"/>
              </w:rPr>
            </w:pPr>
            <w:r>
              <w:rPr>
                <w:rFonts w:hint="eastAsia" w:ascii="宋体" w:hAnsi="宋体" w:cs="宋体"/>
                <w:szCs w:val="21"/>
              </w:rPr>
              <w:t>履约保证金的金</w:t>
            </w:r>
            <w:r>
              <w:rPr>
                <w:rFonts w:hint="eastAsia" w:ascii="宋体" w:hAnsi="宋体" w:cs="宋体"/>
                <w:color w:val="auto"/>
                <w:szCs w:val="21"/>
              </w:rPr>
              <w:t>额：</w:t>
            </w:r>
            <w:r>
              <w:rPr>
                <w:rFonts w:hint="eastAsia" w:ascii="宋体" w:hAnsi="宋体" w:cs="宋体"/>
                <w:color w:val="auto"/>
                <w:szCs w:val="21"/>
                <w:u w:val="single"/>
              </w:rPr>
              <w:t xml:space="preserve">中标金额5% </w:t>
            </w:r>
            <w:r>
              <w:rPr>
                <w:rFonts w:hint="eastAsia" w:ascii="宋体" w:hAnsi="宋体" w:cs="宋体"/>
                <w:color w:val="auto"/>
                <w:szCs w:val="21"/>
              </w:rPr>
              <w:t>。</w:t>
            </w:r>
          </w:p>
          <w:p>
            <w:pPr>
              <w:spacing w:line="560" w:lineRule="exact"/>
              <w:rPr>
                <w:rFonts w:ascii="宋体" w:hAnsi="宋体" w:cs="宋体"/>
                <w:szCs w:val="21"/>
              </w:rPr>
            </w:pPr>
            <w:r>
              <w:rPr>
                <w:rFonts w:hint="eastAsia" w:ascii="宋体" w:hAnsi="宋体" w:cs="宋体"/>
                <w:szCs w:val="21"/>
              </w:rPr>
              <w:t>投标人在收到中标通知书后，须在</w:t>
            </w:r>
            <w:r>
              <w:rPr>
                <w:rFonts w:hint="eastAsia" w:ascii="宋体" w:hAnsi="宋体" w:cs="宋体"/>
                <w:szCs w:val="21"/>
                <w:u w:val="single"/>
              </w:rPr>
              <w:t>15日历</w:t>
            </w:r>
            <w:r>
              <w:rPr>
                <w:rFonts w:hint="eastAsia" w:ascii="宋体" w:hAnsi="宋体" w:cs="宋体"/>
                <w:szCs w:val="21"/>
              </w:rPr>
              <w:t>日内向招标人足额提交履约保证金，否则招标人可以取消其中标资格。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7" w:type="dxa"/>
            <w:gridSpan w:val="2"/>
            <w:vAlign w:val="center"/>
          </w:tcPr>
          <w:p>
            <w:pPr>
              <w:spacing w:line="560" w:lineRule="exact"/>
              <w:rPr>
                <w:rFonts w:ascii="宋体" w:hAnsi="宋体" w:cs="宋体"/>
                <w:szCs w:val="21"/>
              </w:rPr>
            </w:pPr>
            <w:r>
              <w:rPr>
                <w:rFonts w:hint="eastAsia" w:ascii="宋体" w:hAnsi="宋体" w:cs="宋体"/>
                <w:szCs w:val="21"/>
              </w:rPr>
              <w:t>10.1.1</w:t>
            </w:r>
          </w:p>
        </w:tc>
        <w:tc>
          <w:tcPr>
            <w:tcW w:w="3565" w:type="dxa"/>
            <w:vAlign w:val="center"/>
          </w:tcPr>
          <w:p>
            <w:pPr>
              <w:spacing w:line="560" w:lineRule="exact"/>
              <w:rPr>
                <w:rFonts w:ascii="宋体" w:hAnsi="宋体" w:cs="宋体"/>
                <w:szCs w:val="21"/>
              </w:rPr>
            </w:pPr>
            <w:r>
              <w:rPr>
                <w:rFonts w:hint="eastAsia" w:ascii="宋体" w:hAnsi="宋体" w:cs="宋体"/>
                <w:szCs w:val="21"/>
              </w:rPr>
              <w:t>类似项目</w:t>
            </w:r>
          </w:p>
        </w:tc>
        <w:tc>
          <w:tcPr>
            <w:tcW w:w="4622" w:type="dxa"/>
            <w:vAlign w:val="center"/>
          </w:tcPr>
          <w:p>
            <w:pPr>
              <w:spacing w:line="560" w:lineRule="exact"/>
              <w:rPr>
                <w:rFonts w:ascii="宋体" w:hAnsi="宋体" w:cs="宋体"/>
                <w:szCs w:val="21"/>
              </w:rPr>
            </w:pPr>
            <w:r>
              <w:rPr>
                <w:rFonts w:hint="eastAsia" w:ascii="宋体" w:hAnsi="宋体" w:cs="宋体"/>
                <w:szCs w:val="21"/>
                <w:highlight w:val="none"/>
              </w:rPr>
              <w:t>类似项目是指：</w:t>
            </w:r>
            <w:r>
              <w:rPr>
                <w:rFonts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07" w:type="dxa"/>
            <w:gridSpan w:val="2"/>
            <w:vAlign w:val="center"/>
          </w:tcPr>
          <w:p>
            <w:pPr>
              <w:spacing w:line="560" w:lineRule="exact"/>
              <w:rPr>
                <w:rFonts w:ascii="宋体" w:hAnsi="宋体" w:cs="宋体"/>
                <w:szCs w:val="21"/>
              </w:rPr>
            </w:pPr>
          </w:p>
        </w:tc>
        <w:tc>
          <w:tcPr>
            <w:tcW w:w="3565" w:type="dxa"/>
            <w:vAlign w:val="center"/>
          </w:tcPr>
          <w:p>
            <w:pPr>
              <w:spacing w:line="560" w:lineRule="exact"/>
              <w:rPr>
                <w:rFonts w:ascii="宋体" w:hAnsi="宋体" w:cs="宋体"/>
                <w:szCs w:val="21"/>
              </w:rPr>
            </w:pPr>
            <w:r>
              <w:rPr>
                <w:rFonts w:hint="eastAsia" w:ascii="宋体" w:hAnsi="宋体" w:cs="宋体"/>
                <w:szCs w:val="21"/>
              </w:rPr>
              <w:t>招标控制价</w:t>
            </w:r>
          </w:p>
        </w:tc>
        <w:tc>
          <w:tcPr>
            <w:tcW w:w="4622" w:type="dxa"/>
            <w:vAlign w:val="center"/>
          </w:tcPr>
          <w:p>
            <w:pPr>
              <w:spacing w:line="560" w:lineRule="exact"/>
              <w:rPr>
                <w:rFonts w:ascii="宋体" w:hAnsi="宋体" w:cs="宋体"/>
                <w:b/>
                <w:bCs/>
                <w:szCs w:val="21"/>
                <w:u w:val="single"/>
              </w:rPr>
            </w:pPr>
            <w:r>
              <w:rPr>
                <w:rFonts w:hint="eastAsia" w:ascii="宋体" w:hAnsi="宋体" w:cs="宋体"/>
                <w:szCs w:val="21"/>
              </w:rPr>
              <w:t>☑设招标控制价：</w:t>
            </w:r>
            <w:r>
              <w:rPr>
                <w:rFonts w:hint="eastAsia" w:ascii="宋体" w:hAnsi="宋体" w:cs="宋体"/>
                <w:b/>
                <w:bCs/>
                <w:szCs w:val="21"/>
                <w:u w:val="single"/>
              </w:rPr>
              <w:t>肆佰叁拾叁万零叁佰玖拾贰元零陆分（￥4330392.06元）</w:t>
            </w:r>
          </w:p>
          <w:p>
            <w:pPr>
              <w:spacing w:line="560" w:lineRule="exact"/>
              <w:rPr>
                <w:rFonts w:ascii="宋体" w:hAnsi="宋体" w:cs="宋体"/>
                <w:szCs w:val="21"/>
              </w:rPr>
            </w:pPr>
            <w:r>
              <w:rPr>
                <w:rFonts w:hint="eastAsia" w:ascii="宋体" w:hAnsi="宋体" w:cs="宋体"/>
                <w:szCs w:val="21"/>
              </w:rPr>
              <w:t>□不设招标控制价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10.3技术标 “暗标”评审方式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560" w:lineRule="exact"/>
              <w:rPr>
                <w:rFonts w:ascii="宋体" w:hAnsi="宋体" w:cs="宋体"/>
                <w:szCs w:val="21"/>
              </w:rPr>
            </w:pPr>
          </w:p>
        </w:tc>
        <w:tc>
          <w:tcPr>
            <w:tcW w:w="3565" w:type="dxa"/>
            <w:vAlign w:val="center"/>
          </w:tcPr>
          <w:p>
            <w:pPr>
              <w:spacing w:line="560" w:lineRule="exact"/>
              <w:rPr>
                <w:rFonts w:ascii="宋体" w:hAnsi="宋体" w:cs="宋体"/>
                <w:szCs w:val="21"/>
              </w:rPr>
            </w:pPr>
            <w:r>
              <w:rPr>
                <w:rFonts w:hint="eastAsia" w:ascii="宋体" w:hAnsi="宋体" w:cs="宋体"/>
                <w:szCs w:val="21"/>
              </w:rPr>
              <w:t>施工组织设计是否采用“暗标”评审方式</w:t>
            </w:r>
          </w:p>
        </w:tc>
        <w:tc>
          <w:tcPr>
            <w:tcW w:w="4622" w:type="dxa"/>
            <w:vAlign w:val="center"/>
          </w:tcPr>
          <w:p>
            <w:pPr>
              <w:spacing w:line="560" w:lineRule="exact"/>
              <w:rPr>
                <w:rFonts w:ascii="宋体" w:hAnsi="宋体" w:cs="宋体"/>
                <w:szCs w:val="21"/>
              </w:rPr>
            </w:pPr>
            <w:r>
              <w:rPr>
                <w:rFonts w:hint="eastAsia" w:ascii="宋体" w:hAnsi="宋体" w:cs="宋体"/>
                <w:szCs w:val="21"/>
              </w:rPr>
              <w:t>☑不采用</w:t>
            </w:r>
          </w:p>
          <w:p>
            <w:pPr>
              <w:spacing w:line="560" w:lineRule="exact"/>
              <w:rPr>
                <w:rFonts w:ascii="宋体" w:hAnsi="宋体" w:cs="宋体"/>
                <w:szCs w:val="21"/>
              </w:rPr>
            </w:pPr>
            <w:r>
              <w:rPr>
                <w:rFonts w:hint="eastAsia" w:ascii="宋体" w:hAnsi="宋体" w:cs="宋体"/>
                <w:szCs w:val="21"/>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07" w:type="dxa"/>
            <w:gridSpan w:val="2"/>
            <w:vAlign w:val="center"/>
          </w:tcPr>
          <w:p>
            <w:pPr>
              <w:spacing w:line="560" w:lineRule="exact"/>
              <w:rPr>
                <w:rFonts w:ascii="宋体" w:hAnsi="宋体" w:cs="宋体"/>
                <w:szCs w:val="21"/>
              </w:rPr>
            </w:pPr>
          </w:p>
        </w:tc>
        <w:tc>
          <w:tcPr>
            <w:tcW w:w="3565" w:type="dxa"/>
            <w:vAlign w:val="center"/>
          </w:tcPr>
          <w:p>
            <w:pPr>
              <w:spacing w:line="560" w:lineRule="exact"/>
              <w:rPr>
                <w:rFonts w:ascii="宋体" w:hAnsi="宋体" w:cs="宋体"/>
                <w:szCs w:val="21"/>
              </w:rPr>
            </w:pPr>
            <w:r>
              <w:rPr>
                <w:rFonts w:hint="eastAsia" w:ascii="宋体" w:hAnsi="宋体" w:cs="宋体"/>
                <w:szCs w:val="21"/>
              </w:rPr>
              <w:t>投标人在递交投标文件时，同时递交投标文件电子版</w:t>
            </w:r>
          </w:p>
        </w:tc>
        <w:tc>
          <w:tcPr>
            <w:tcW w:w="4622" w:type="dxa"/>
            <w:vAlign w:val="center"/>
          </w:tcPr>
          <w:p>
            <w:pPr>
              <w:spacing w:line="560" w:lineRule="exact"/>
              <w:jc w:val="left"/>
              <w:rPr>
                <w:rFonts w:ascii="宋体" w:hAnsi="宋体" w:cs="宋体"/>
                <w:szCs w:val="21"/>
              </w:rPr>
            </w:pPr>
            <w:r>
              <w:rPr>
                <w:rFonts w:hint="eastAsia" w:ascii="宋体" w:hAnsi="宋体" w:cs="宋体"/>
                <w:szCs w:val="21"/>
              </w:rPr>
              <w:t>投标文件电子版内容：</w:t>
            </w:r>
            <w:r>
              <w:rPr>
                <w:rFonts w:hint="eastAsia" w:ascii="宋体" w:hAnsi="宋体" w:cs="宋体"/>
                <w:szCs w:val="21"/>
                <w:u w:val="single"/>
              </w:rPr>
              <w:t xml:space="preserve"> 全套投标文件及工程量清单报价部分 </w:t>
            </w:r>
            <w:r>
              <w:rPr>
                <w:rFonts w:hint="eastAsia" w:ascii="宋体" w:hAnsi="宋体" w:cs="宋体"/>
                <w:szCs w:val="21"/>
              </w:rPr>
              <w:t>。</w:t>
            </w:r>
          </w:p>
          <w:p>
            <w:pPr>
              <w:spacing w:line="560" w:lineRule="exact"/>
              <w:jc w:val="left"/>
              <w:rPr>
                <w:rFonts w:ascii="宋体" w:hAnsi="宋体" w:cs="宋体"/>
                <w:szCs w:val="21"/>
                <w:u w:val="single"/>
              </w:rPr>
            </w:pPr>
            <w:r>
              <w:rPr>
                <w:rFonts w:hint="eastAsia" w:ascii="宋体" w:hAnsi="宋体" w:cs="宋体"/>
                <w:szCs w:val="21"/>
              </w:rPr>
              <w:t>投标文件电子版份数：</w:t>
            </w:r>
            <w:r>
              <w:rPr>
                <w:rFonts w:hint="eastAsia" w:ascii="宋体" w:hAnsi="宋体" w:cs="宋体"/>
                <w:szCs w:val="21"/>
                <w:u w:val="single"/>
              </w:rPr>
              <w:t>1</w:t>
            </w:r>
            <w:r>
              <w:rPr>
                <w:rFonts w:hint="eastAsia" w:ascii="宋体" w:hAnsi="宋体" w:cs="宋体"/>
                <w:szCs w:val="21"/>
              </w:rPr>
              <w:t>份。</w:t>
            </w:r>
          </w:p>
          <w:p>
            <w:pPr>
              <w:spacing w:line="560" w:lineRule="exact"/>
              <w:jc w:val="left"/>
              <w:rPr>
                <w:rFonts w:ascii="宋体" w:hAnsi="宋体" w:cs="宋体"/>
                <w:szCs w:val="21"/>
                <w:u w:val="single"/>
              </w:rPr>
            </w:pPr>
            <w:r>
              <w:rPr>
                <w:rFonts w:hint="eastAsia" w:ascii="宋体" w:hAnsi="宋体" w:cs="宋体"/>
                <w:szCs w:val="21"/>
              </w:rPr>
              <w:t>投标文件电子版形式：</w:t>
            </w:r>
            <w:r>
              <w:rPr>
                <w:rFonts w:hint="eastAsia" w:ascii="宋体" w:hAnsi="宋体" w:cs="宋体"/>
                <w:szCs w:val="21"/>
                <w:u w:val="single"/>
              </w:rPr>
              <w:t xml:space="preserve"> 全套投标文件为 U盘、Word格式；工程量清单为计价软件格式</w:t>
            </w:r>
            <w:r>
              <w:rPr>
                <w:rFonts w:hint="eastAsia" w:ascii="宋体" w:hAnsi="宋体" w:cs="宋体"/>
                <w:szCs w:val="21"/>
              </w:rPr>
              <w:t>。</w:t>
            </w:r>
          </w:p>
          <w:p>
            <w:pPr>
              <w:spacing w:line="560" w:lineRule="exact"/>
              <w:jc w:val="left"/>
              <w:rPr>
                <w:rFonts w:ascii="宋体" w:hAnsi="宋体" w:cs="宋体"/>
                <w:szCs w:val="21"/>
              </w:rPr>
            </w:pPr>
            <w:r>
              <w:rPr>
                <w:rFonts w:hint="eastAsia" w:ascii="宋体" w:hAnsi="宋体" w:cs="宋体"/>
                <w:szCs w:val="21"/>
              </w:rPr>
              <w:t>投标文件电子版包封、密封、标识要求：同前述4.1.1款和4.1.2款要求。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560" w:lineRule="exact"/>
              <w:rPr>
                <w:rFonts w:ascii="宋体" w:hAnsi="宋体" w:cs="宋体"/>
                <w:szCs w:val="21"/>
              </w:rPr>
            </w:pPr>
          </w:p>
        </w:tc>
        <w:tc>
          <w:tcPr>
            <w:tcW w:w="8187" w:type="dxa"/>
            <w:gridSpan w:val="2"/>
          </w:tcPr>
          <w:p>
            <w:pPr>
              <w:spacing w:line="560" w:lineRule="exact"/>
              <w:rPr>
                <w:rFonts w:ascii="宋体" w:hAnsi="宋体" w:cs="宋体"/>
                <w:szCs w:val="21"/>
              </w:rPr>
            </w:pPr>
            <w:r>
              <w:rPr>
                <w:rFonts w:hint="eastAsia" w:ascii="宋体" w:hAnsi="宋体" w:cs="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560" w:lineRule="exact"/>
              <w:rPr>
                <w:rFonts w:ascii="宋体" w:hAnsi="宋体" w:cs="宋体"/>
                <w:szCs w:val="21"/>
              </w:rPr>
            </w:pPr>
            <w:r>
              <w:rPr>
                <w:rFonts w:hint="eastAsia" w:ascii="宋体" w:hAnsi="宋体" w:cs="宋体"/>
                <w:szCs w:val="21"/>
              </w:rPr>
              <w:t>10.6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560" w:lineRule="exact"/>
              <w:rPr>
                <w:rFonts w:ascii="宋体" w:hAnsi="宋体" w:cs="宋体"/>
                <w:szCs w:val="21"/>
              </w:rPr>
            </w:pPr>
          </w:p>
        </w:tc>
        <w:tc>
          <w:tcPr>
            <w:tcW w:w="8187" w:type="dxa"/>
            <w:gridSpan w:val="2"/>
          </w:tcPr>
          <w:p>
            <w:pPr>
              <w:spacing w:line="560" w:lineRule="exact"/>
              <w:rPr>
                <w:rFonts w:ascii="宋体" w:hAnsi="宋体" w:cs="宋体"/>
                <w:szCs w:val="21"/>
              </w:rPr>
            </w:pPr>
            <w:r>
              <w:rPr>
                <w:rFonts w:hint="eastAsia" w:ascii="宋体" w:hAnsi="宋体" w:cs="宋体"/>
                <w:szCs w:val="21"/>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spacing w:line="560" w:lineRule="exact"/>
              <w:ind w:left="210"/>
              <w:rPr>
                <w:rFonts w:ascii="宋体" w:hAnsi="宋体" w:cs="宋体"/>
                <w:szCs w:val="21"/>
              </w:rPr>
            </w:pPr>
            <w:r>
              <w:rPr>
                <w:rFonts w:hint="eastAsia" w:ascii="宋体" w:hAnsi="宋体" w:cs="宋体"/>
                <w:szCs w:val="21"/>
              </w:rP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96" w:type="dxa"/>
            <w:vAlign w:val="center"/>
          </w:tcPr>
          <w:p>
            <w:pPr>
              <w:spacing w:line="560" w:lineRule="exact"/>
              <w:rPr>
                <w:rFonts w:ascii="宋体" w:hAnsi="宋体" w:cs="宋体"/>
                <w:szCs w:val="21"/>
              </w:rPr>
            </w:pPr>
          </w:p>
        </w:tc>
        <w:tc>
          <w:tcPr>
            <w:tcW w:w="8198" w:type="dxa"/>
            <w:gridSpan w:val="3"/>
            <w:vAlign w:val="center"/>
          </w:tcPr>
          <w:p>
            <w:pPr>
              <w:spacing w:line="560" w:lineRule="exact"/>
              <w:rPr>
                <w:rFonts w:ascii="宋体" w:hAnsi="宋体" w:cs="宋体"/>
                <w:szCs w:val="21"/>
              </w:rPr>
            </w:pPr>
            <w:r>
              <w:rPr>
                <w:rFonts w:hint="eastAsia" w:ascii="宋体" w:hAnsi="宋体" w:cs="宋体"/>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94" w:type="dxa"/>
            <w:gridSpan w:val="4"/>
            <w:vAlign w:val="center"/>
          </w:tcPr>
          <w:p>
            <w:pPr>
              <w:spacing w:line="560" w:lineRule="exact"/>
              <w:ind w:left="210"/>
              <w:rPr>
                <w:rFonts w:ascii="宋体" w:hAnsi="宋体" w:cs="宋体"/>
                <w:szCs w:val="21"/>
              </w:rPr>
            </w:pPr>
            <w:r>
              <w:rPr>
                <w:rFonts w:hint="eastAsia" w:ascii="宋体" w:hAnsi="宋体" w:cs="宋体"/>
                <w:szCs w:val="21"/>
              </w:rP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6" w:type="dxa"/>
            <w:vAlign w:val="center"/>
          </w:tcPr>
          <w:p>
            <w:pPr>
              <w:spacing w:line="560" w:lineRule="exact"/>
              <w:rPr>
                <w:rFonts w:ascii="宋体" w:hAnsi="宋体" w:cs="宋体"/>
                <w:szCs w:val="21"/>
              </w:rPr>
            </w:pPr>
          </w:p>
        </w:tc>
        <w:tc>
          <w:tcPr>
            <w:tcW w:w="8198" w:type="dxa"/>
            <w:gridSpan w:val="3"/>
            <w:vAlign w:val="center"/>
          </w:tcPr>
          <w:p>
            <w:pPr>
              <w:spacing w:line="560" w:lineRule="exact"/>
              <w:rPr>
                <w:rFonts w:ascii="宋体" w:hAnsi="宋体" w:cs="宋体"/>
                <w:szCs w:val="21"/>
              </w:rPr>
            </w:pPr>
            <w:r>
              <w:rPr>
                <w:rFonts w:hint="eastAsia" w:ascii="宋体" w:hAnsi="宋体" w:cs="宋体"/>
                <w:szCs w:val="21"/>
              </w:rPr>
              <w:t>本项目的招标投标活动及其相关当事人应当接受有管辖权的建设工程招标投标行政监督部门依法实施的监督，如项目属于公共资源交易范围，应同时接受本级公共资源交易监督机构的监管。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spacing w:line="560" w:lineRule="exact"/>
              <w:ind w:left="210"/>
              <w:rPr>
                <w:rFonts w:ascii="宋体" w:hAnsi="宋体" w:cs="宋体"/>
                <w:szCs w:val="21"/>
              </w:rPr>
            </w:pPr>
            <w:r>
              <w:rPr>
                <w:rFonts w:hint="eastAsia" w:ascii="宋体" w:hAnsi="宋体" w:cs="宋体"/>
                <w:szCs w:val="21"/>
              </w:rP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196" w:type="dxa"/>
            <w:vAlign w:val="center"/>
          </w:tcPr>
          <w:p>
            <w:pPr>
              <w:spacing w:line="560" w:lineRule="exact"/>
              <w:rPr>
                <w:rFonts w:ascii="宋体" w:hAnsi="宋体" w:cs="宋体"/>
                <w:szCs w:val="21"/>
              </w:rPr>
            </w:pPr>
          </w:p>
        </w:tc>
        <w:tc>
          <w:tcPr>
            <w:tcW w:w="8198" w:type="dxa"/>
            <w:gridSpan w:val="3"/>
            <w:vAlign w:val="center"/>
          </w:tcPr>
          <w:p>
            <w:pPr>
              <w:spacing w:line="560" w:lineRule="exact"/>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394" w:type="dxa"/>
            <w:gridSpan w:val="4"/>
            <w:vAlign w:val="center"/>
          </w:tcPr>
          <w:p>
            <w:pPr>
              <w:spacing w:line="560" w:lineRule="exact"/>
              <w:rPr>
                <w:rFonts w:ascii="宋体" w:hAnsi="宋体" w:cs="宋体"/>
                <w:szCs w:val="21"/>
              </w:rPr>
            </w:pPr>
            <w:r>
              <w:rPr>
                <w:rFonts w:hint="eastAsia" w:ascii="宋体" w:hAnsi="宋体" w:cs="宋体"/>
                <w:szCs w:val="21"/>
              </w:rP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07" w:type="dxa"/>
            <w:gridSpan w:val="2"/>
            <w:vAlign w:val="center"/>
          </w:tcPr>
          <w:p>
            <w:pPr>
              <w:spacing w:line="560" w:lineRule="exact"/>
              <w:rPr>
                <w:rFonts w:ascii="宋体" w:hAnsi="宋体" w:cs="宋体"/>
                <w:szCs w:val="21"/>
              </w:rPr>
            </w:pPr>
            <w:r>
              <w:rPr>
                <w:rFonts w:hint="eastAsia" w:ascii="宋体" w:hAnsi="宋体" w:cs="宋体"/>
                <w:szCs w:val="21"/>
              </w:rPr>
              <w:t>10.10.1</w:t>
            </w:r>
          </w:p>
        </w:tc>
        <w:tc>
          <w:tcPr>
            <w:tcW w:w="3565" w:type="dxa"/>
            <w:vAlign w:val="center"/>
          </w:tcPr>
          <w:p>
            <w:pPr>
              <w:spacing w:line="560" w:lineRule="exact"/>
              <w:rPr>
                <w:rFonts w:ascii="宋体" w:hAnsi="宋体" w:cs="宋体"/>
                <w:szCs w:val="21"/>
              </w:rPr>
            </w:pPr>
            <w:r>
              <w:rPr>
                <w:rFonts w:hint="eastAsia" w:ascii="宋体" w:hAnsi="宋体" w:cs="宋体"/>
                <w:szCs w:val="21"/>
              </w:rPr>
              <w:t>招标代理服务费的计算与收取</w:t>
            </w:r>
          </w:p>
        </w:tc>
        <w:tc>
          <w:tcPr>
            <w:tcW w:w="4622" w:type="dxa"/>
            <w:vAlign w:val="center"/>
          </w:tcPr>
          <w:p>
            <w:pPr>
              <w:spacing w:line="500" w:lineRule="exact"/>
              <w:rPr>
                <w:rFonts w:ascii="宋体" w:hAnsi="宋体" w:cs="宋体"/>
                <w:szCs w:val="21"/>
              </w:rPr>
            </w:pPr>
            <w:r>
              <w:rPr>
                <w:rFonts w:hint="eastAsia" w:ascii="宋体" w:hAnsi="宋体" w:cs="宋体"/>
                <w:kern w:val="1"/>
                <w:szCs w:val="21"/>
              </w:rPr>
              <w:t>招标代理服务费由</w:t>
            </w:r>
            <w:r>
              <w:rPr>
                <w:rFonts w:hint="eastAsia" w:ascii="宋体" w:hAnsi="宋体" w:cs="宋体"/>
                <w:b/>
                <w:bCs/>
                <w:kern w:val="1"/>
                <w:szCs w:val="21"/>
              </w:rPr>
              <w:t>中标人</w:t>
            </w:r>
            <w:r>
              <w:rPr>
                <w:rFonts w:hint="eastAsia" w:ascii="宋体" w:hAnsi="宋体" w:cs="宋体"/>
                <w:kern w:val="1"/>
                <w:szCs w:val="21"/>
              </w:rPr>
              <w:t>支付。具体为：根据招标人与招标代理机构签订的《建设工程招标代理合同》，本项目委托招标代理服务费参照</w:t>
            </w:r>
            <w:r>
              <w:rPr>
                <w:rFonts w:hint="eastAsia" w:ascii="宋体" w:hAnsi="宋体" w:cs="宋体"/>
                <w:szCs w:val="21"/>
                <w:u w:val="single"/>
              </w:rPr>
              <w:t>按国家发展计划委员会计价格[2002]1980号《招标代理服务费管理暂行办法》收费标准（工程招标类型）及发改办价格[2011]534号文件规定的</w:t>
            </w:r>
            <w:r>
              <w:rPr>
                <w:rFonts w:hint="eastAsia" w:ascii="宋体" w:hAnsi="宋体" w:cs="宋体"/>
                <w:szCs w:val="21"/>
                <w:u w:val="single"/>
                <w:lang w:val="en-US" w:eastAsia="zh-CN"/>
              </w:rPr>
              <w:t>70%</w:t>
            </w:r>
            <w:r>
              <w:rPr>
                <w:rFonts w:hint="eastAsia" w:ascii="宋体" w:hAnsi="宋体" w:cs="宋体"/>
                <w:szCs w:val="21"/>
              </w:rPr>
              <w:t>计取</w:t>
            </w:r>
            <w:r>
              <w:rPr>
                <w:rFonts w:hint="eastAsia" w:ascii="宋体" w:hAnsi="宋体" w:cs="宋体"/>
                <w:kern w:val="1"/>
                <w:szCs w:val="21"/>
              </w:rPr>
              <w:t>。由中标人在领取中标通知书时，一次性向招标代理机构支付。</w:t>
            </w:r>
          </w:p>
        </w:tc>
      </w:tr>
    </w:tbl>
    <w:p>
      <w:pPr>
        <w:pStyle w:val="3"/>
        <w:spacing w:line="560" w:lineRule="exact"/>
        <w:jc w:val="center"/>
        <w:rPr>
          <w:rFonts w:asciiTheme="minorEastAsia" w:hAnsiTheme="minorEastAsia" w:eastAsiaTheme="minorEastAsia"/>
        </w:rPr>
      </w:pPr>
      <w:bookmarkStart w:id="28" w:name="_Toc493793354"/>
      <w:bookmarkStart w:id="29" w:name="_Toc389065144"/>
      <w:r>
        <w:rPr>
          <w:rFonts w:asciiTheme="minorEastAsia" w:hAnsiTheme="minorEastAsia" w:eastAsiaTheme="minorEastAsia"/>
        </w:rPr>
        <w:br w:type="page"/>
      </w:r>
      <w:r>
        <w:rPr>
          <w:rFonts w:hint="eastAsia" w:asciiTheme="minorEastAsia" w:hAnsiTheme="minorEastAsia" w:eastAsiaTheme="minorEastAsia"/>
        </w:rPr>
        <w:t>投标人须知正文部分</w:t>
      </w:r>
      <w:bookmarkEnd w:id="28"/>
      <w:bookmarkEnd w:id="29"/>
    </w:p>
    <w:p>
      <w:pPr>
        <w:keepNext w:val="0"/>
        <w:keepLines w:val="0"/>
        <w:spacing w:line="560" w:lineRule="exact"/>
        <w:ind w:firstLine="420" w:firstLineChars="200"/>
      </w:pPr>
    </w:p>
    <w:p>
      <w:pPr>
        <w:pStyle w:val="4"/>
        <w:spacing w:line="560" w:lineRule="exact"/>
        <w:ind w:firstLine="643" w:firstLineChars="200"/>
        <w:rPr>
          <w:rFonts w:asciiTheme="minorEastAsia" w:hAnsiTheme="minorEastAsia" w:eastAsiaTheme="minorEastAsia"/>
        </w:rPr>
      </w:pPr>
      <w:bookmarkStart w:id="30" w:name="_Toc389065145"/>
      <w:bookmarkStart w:id="31" w:name="_Toc493793355"/>
      <w:r>
        <w:rPr>
          <w:rFonts w:asciiTheme="minorEastAsia" w:hAnsiTheme="minorEastAsia" w:eastAsiaTheme="minorEastAsia"/>
        </w:rPr>
        <w:t xml:space="preserve">1 </w:t>
      </w:r>
      <w:r>
        <w:rPr>
          <w:rFonts w:hint="eastAsia" w:asciiTheme="minorEastAsia" w:hAnsiTheme="minorEastAsia" w:eastAsiaTheme="minorEastAsia"/>
        </w:rPr>
        <w:t>总则</w:t>
      </w:r>
      <w:bookmarkEnd w:id="30"/>
      <w:bookmarkEnd w:id="31"/>
    </w:p>
    <w:p>
      <w:pPr>
        <w:pStyle w:val="5"/>
        <w:spacing w:line="560" w:lineRule="exact"/>
        <w:ind w:firstLine="643" w:firstLineChars="200"/>
        <w:rPr>
          <w:rFonts w:asciiTheme="minorEastAsia" w:hAnsiTheme="minorEastAsia" w:eastAsiaTheme="minorEastAsia"/>
        </w:rPr>
      </w:pPr>
      <w:bookmarkStart w:id="32" w:name="_Toc389065146"/>
      <w:bookmarkStart w:id="33" w:name="_Toc493793356"/>
      <w:r>
        <w:rPr>
          <w:rFonts w:asciiTheme="minorEastAsia" w:hAnsiTheme="minorEastAsia" w:eastAsiaTheme="minorEastAsia"/>
        </w:rPr>
        <w:t xml:space="preserve">1.1 </w:t>
      </w:r>
      <w:r>
        <w:rPr>
          <w:rFonts w:hint="eastAsia" w:asciiTheme="minorEastAsia" w:hAnsiTheme="minorEastAsia" w:eastAsiaTheme="minorEastAsia"/>
        </w:rPr>
        <w:t>项目概况</w:t>
      </w:r>
      <w:bookmarkEnd w:id="32"/>
      <w:bookmarkEnd w:id="33"/>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1.1.1 </w:t>
      </w:r>
      <w:r>
        <w:rPr>
          <w:rFonts w:hint="eastAsia" w:asciiTheme="minorEastAsia" w:hAnsiTheme="minorEastAsia" w:eastAsiaTheme="minorEastAsia"/>
          <w:szCs w:val="21"/>
        </w:rPr>
        <w:t>根据《中华人民共和国招标投标法》等有关法律、法规和规章的规定，本招标项目已具备招标条件，现对本项目施工进行招标。</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1.1.2 </w:t>
      </w:r>
      <w:r>
        <w:rPr>
          <w:rFonts w:hint="eastAsia" w:asciiTheme="minorEastAsia" w:hAnsiTheme="minorEastAsia" w:eastAsiaTheme="minorEastAsia"/>
          <w:szCs w:val="21"/>
        </w:rPr>
        <w:t>本招标项目招标人：见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1.1.3 </w:t>
      </w:r>
      <w:r>
        <w:rPr>
          <w:rFonts w:hint="eastAsia" w:asciiTheme="minorEastAsia" w:hAnsiTheme="minorEastAsia" w:eastAsiaTheme="minorEastAsia"/>
          <w:szCs w:val="21"/>
        </w:rPr>
        <w:t>本项目招标代理机构：见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1.1.4 </w:t>
      </w:r>
      <w:r>
        <w:rPr>
          <w:rFonts w:hint="eastAsia" w:asciiTheme="minorEastAsia" w:hAnsiTheme="minorEastAsia" w:eastAsiaTheme="minorEastAsia"/>
          <w:szCs w:val="21"/>
        </w:rPr>
        <w:t>本招标项目名称及项目招标编号：见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1.1.5 </w:t>
      </w:r>
      <w:r>
        <w:rPr>
          <w:rFonts w:hint="eastAsia" w:asciiTheme="minorEastAsia" w:hAnsiTheme="minorEastAsia" w:eastAsiaTheme="minorEastAsia"/>
          <w:szCs w:val="21"/>
        </w:rPr>
        <w:t>本项目建设地点：见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34" w:name="_Toc389065147"/>
      <w:bookmarkStart w:id="35" w:name="_Toc493793357"/>
      <w:r>
        <w:rPr>
          <w:rFonts w:asciiTheme="minorEastAsia" w:hAnsiTheme="minorEastAsia" w:eastAsiaTheme="minorEastAsia"/>
        </w:rPr>
        <w:t xml:space="preserve">1.2 </w:t>
      </w:r>
      <w:r>
        <w:rPr>
          <w:rFonts w:hint="eastAsia" w:asciiTheme="minorEastAsia" w:hAnsiTheme="minorEastAsia" w:eastAsiaTheme="minorEastAsia"/>
        </w:rPr>
        <w:t>资金来源和落实及增值税计税方法情况</w:t>
      </w:r>
      <w:bookmarkEnd w:id="34"/>
      <w:bookmarkEnd w:id="35"/>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1.2.1 </w:t>
      </w:r>
      <w:r>
        <w:rPr>
          <w:rFonts w:hint="eastAsia" w:asciiTheme="minorEastAsia" w:hAnsiTheme="minorEastAsia" w:eastAsiaTheme="minorEastAsia"/>
          <w:szCs w:val="21"/>
        </w:rPr>
        <w:t>本招标项目的资金来源：见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1.2.2 </w:t>
      </w:r>
      <w:r>
        <w:rPr>
          <w:rFonts w:hint="eastAsia" w:asciiTheme="minorEastAsia" w:hAnsiTheme="minorEastAsia" w:eastAsiaTheme="minorEastAsia"/>
          <w:szCs w:val="21"/>
        </w:rPr>
        <w:t>本招标项目的出资比例：见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1.2.3 </w:t>
      </w:r>
      <w:r>
        <w:rPr>
          <w:rFonts w:hint="eastAsia" w:asciiTheme="minorEastAsia" w:hAnsiTheme="minorEastAsia" w:eastAsiaTheme="minorEastAsia"/>
          <w:szCs w:val="21"/>
        </w:rPr>
        <w:t>本招标项目的资金落实情况：见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1.2.4 </w:t>
      </w:r>
      <w:r>
        <w:rPr>
          <w:rFonts w:hint="eastAsia" w:asciiTheme="minorEastAsia" w:hAnsiTheme="minorEastAsia" w:eastAsiaTheme="minorEastAsia"/>
          <w:szCs w:val="21"/>
        </w:rPr>
        <w:t>本招标项目的增值税计税方法：见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36" w:name="_Toc389065148"/>
      <w:bookmarkStart w:id="37" w:name="_Toc493793358"/>
      <w:r>
        <w:rPr>
          <w:rFonts w:asciiTheme="minorEastAsia" w:hAnsiTheme="minorEastAsia" w:eastAsiaTheme="minorEastAsia"/>
        </w:rPr>
        <w:t xml:space="preserve">1.3 </w:t>
      </w:r>
      <w:r>
        <w:rPr>
          <w:rFonts w:hint="eastAsia" w:asciiTheme="minorEastAsia" w:hAnsiTheme="minorEastAsia" w:eastAsiaTheme="minorEastAsia"/>
        </w:rPr>
        <w:t>招标范围、计划工期和质量要求</w:t>
      </w:r>
      <w:bookmarkEnd w:id="36"/>
      <w:bookmarkEnd w:id="37"/>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1.3.1 </w:t>
      </w:r>
      <w:r>
        <w:rPr>
          <w:rFonts w:hint="eastAsia" w:asciiTheme="minorEastAsia" w:hAnsiTheme="minorEastAsia" w:eastAsiaTheme="minorEastAsia"/>
          <w:szCs w:val="21"/>
        </w:rPr>
        <w:t>本次招标范围：见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1.3.2 </w:t>
      </w:r>
      <w:r>
        <w:rPr>
          <w:rFonts w:hint="eastAsia" w:asciiTheme="minorEastAsia" w:hAnsiTheme="minorEastAsia" w:eastAsiaTheme="minorEastAsia"/>
          <w:szCs w:val="21"/>
        </w:rPr>
        <w:t>本项目的要求工期：见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1.3.3 </w:t>
      </w:r>
      <w:r>
        <w:rPr>
          <w:rFonts w:hint="eastAsia" w:asciiTheme="minorEastAsia" w:hAnsiTheme="minorEastAsia" w:eastAsiaTheme="minorEastAsia"/>
          <w:szCs w:val="21"/>
        </w:rPr>
        <w:t>本项目的质量要求：见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38" w:name="_Toc389065149"/>
      <w:bookmarkStart w:id="39" w:name="_Toc493793359"/>
      <w:r>
        <w:rPr>
          <w:rFonts w:asciiTheme="minorEastAsia" w:hAnsiTheme="minorEastAsia" w:eastAsiaTheme="minorEastAsia"/>
        </w:rPr>
        <w:t xml:space="preserve">1.4 </w:t>
      </w:r>
      <w:r>
        <w:rPr>
          <w:rFonts w:hint="eastAsia" w:asciiTheme="minorEastAsia" w:hAnsiTheme="minorEastAsia" w:eastAsiaTheme="minorEastAsia"/>
        </w:rPr>
        <w:t>投标人资格要求</w:t>
      </w:r>
      <w:bookmarkEnd w:id="38"/>
      <w:bookmarkEnd w:id="39"/>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1.4.1 </w:t>
      </w:r>
      <w:r>
        <w:rPr>
          <w:rFonts w:hint="eastAsia" w:asciiTheme="minorEastAsia" w:hAnsiTheme="minorEastAsia" w:eastAsiaTheme="minorEastAsia"/>
          <w:szCs w:val="21"/>
        </w:rPr>
        <w:t>投标人应具备承担本项目施工的资质条件、能力、诚信等要求。</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）资质条件：见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）财务要求：见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）业绩要求：见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）诚信要求：见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）项目经理资格：见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）专职安全员要求：见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）其他要求：见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1.4.2 “</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规定接受联合体投标的，除应符合本章第</w:t>
      </w:r>
      <w:r>
        <w:rPr>
          <w:rFonts w:asciiTheme="minorEastAsia" w:hAnsiTheme="minorEastAsia" w:eastAsiaTheme="minorEastAsia"/>
          <w:szCs w:val="21"/>
        </w:rPr>
        <w:t>1.4.1</w:t>
      </w:r>
      <w:r>
        <w:rPr>
          <w:rFonts w:hint="eastAsia" w:asciiTheme="minorEastAsia" w:hAnsiTheme="minorEastAsia" w:eastAsiaTheme="minorEastAsia"/>
          <w:szCs w:val="21"/>
        </w:rPr>
        <w:t>项和</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的要求外，还应遵守以下规定：</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）联合体各方应按招标文件提供的格式签订联合体协议书，明确联合体牵头人和各方权利义务；</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）由同一专业的单位组成的联合体，按照资质等级较低的单位确定资质等级；</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）联合体各方不得再以自己名义单独或参加其他联合体在同一标段中投标。</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1.4.3 </w:t>
      </w:r>
      <w:r>
        <w:rPr>
          <w:rFonts w:hint="eastAsia" w:asciiTheme="minorEastAsia" w:hAnsiTheme="minorEastAsia" w:eastAsiaTheme="minorEastAsia"/>
          <w:szCs w:val="21"/>
        </w:rPr>
        <w:t>投标人不得存在下列情形之一：</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）与招标人存在利害关系可能影响招标公正性的法人、其他组织；；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）为本项目前期准备提供设计或咨询服务的，但设计施工总承包的除外；</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）为本项目的监理人；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）为本项目的代建人；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）为本项目提供招标代理服务的；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）与本项目的监理人或代建人或招标代理机构同为一个法定代表人的；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）与本项目的监理人或代建人或招标代理机构相互控股或参股的；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）与本项目的监理人或代建人或招标代理机构相互任职或工作的；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）被责令停业整顿的；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）被暂停或取消投标资格的；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11</w:t>
      </w:r>
      <w:r>
        <w:rPr>
          <w:rFonts w:hint="eastAsia" w:asciiTheme="minorEastAsia" w:hAnsiTheme="minorEastAsia" w:eastAsiaTheme="minorEastAsia"/>
          <w:szCs w:val="21"/>
        </w:rPr>
        <w:t>）财产被接管或基本帐户被冻结的；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12</w:t>
      </w:r>
      <w:r>
        <w:rPr>
          <w:rFonts w:hint="eastAsia" w:asciiTheme="minorEastAsia" w:hAnsiTheme="minorEastAsia" w:eastAsiaTheme="minorEastAsia"/>
          <w:szCs w:val="21"/>
        </w:rPr>
        <w:t>）有骗取中标或严重违约或工程质量安全问题，正处在停业整顿或暂停投标期间的。</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1.4.4 </w:t>
      </w:r>
      <w:r>
        <w:rPr>
          <w:rFonts w:hint="eastAsia" w:asciiTheme="minorEastAsia" w:hAnsiTheme="minorEastAsia" w:eastAsiaTheme="minorEastAsia"/>
          <w:szCs w:val="21"/>
        </w:rPr>
        <w:t>单位负责人为同一人或者存在控股、管理关系的不同单位，不得参加同一标段投标或者未划分标段的同一招标项目投标，违反本规定的，相关投标均无效。</w:t>
      </w:r>
    </w:p>
    <w:p>
      <w:pPr>
        <w:pStyle w:val="5"/>
        <w:spacing w:line="560" w:lineRule="exact"/>
        <w:ind w:firstLine="643" w:firstLineChars="200"/>
        <w:rPr>
          <w:rFonts w:asciiTheme="minorEastAsia" w:hAnsiTheme="minorEastAsia" w:eastAsiaTheme="minorEastAsia"/>
        </w:rPr>
      </w:pPr>
      <w:bookmarkStart w:id="40" w:name="_Toc389065150"/>
      <w:bookmarkStart w:id="41" w:name="_Toc493793360"/>
      <w:r>
        <w:rPr>
          <w:rFonts w:asciiTheme="minorEastAsia" w:hAnsiTheme="minorEastAsia" w:eastAsiaTheme="minorEastAsia"/>
        </w:rPr>
        <w:t xml:space="preserve">1.5 </w:t>
      </w:r>
      <w:r>
        <w:rPr>
          <w:rFonts w:hint="eastAsia" w:asciiTheme="minorEastAsia" w:hAnsiTheme="minorEastAsia" w:eastAsiaTheme="minorEastAsia"/>
        </w:rPr>
        <w:t>费用承担</w:t>
      </w:r>
      <w:bookmarkEnd w:id="40"/>
      <w:bookmarkEnd w:id="41"/>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投标人准备和参加投标活动发生的费用自理。</w:t>
      </w:r>
    </w:p>
    <w:p>
      <w:pPr>
        <w:pStyle w:val="5"/>
        <w:spacing w:line="560" w:lineRule="exact"/>
        <w:ind w:firstLine="643" w:firstLineChars="200"/>
        <w:rPr>
          <w:rFonts w:asciiTheme="minorEastAsia" w:hAnsiTheme="minorEastAsia" w:eastAsiaTheme="minorEastAsia"/>
        </w:rPr>
      </w:pPr>
      <w:bookmarkStart w:id="42" w:name="_Toc493793361"/>
      <w:bookmarkStart w:id="43" w:name="_Toc389065151"/>
      <w:r>
        <w:rPr>
          <w:rFonts w:asciiTheme="minorEastAsia" w:hAnsiTheme="minorEastAsia" w:eastAsiaTheme="minorEastAsia"/>
        </w:rPr>
        <w:t xml:space="preserve">1.6 </w:t>
      </w:r>
      <w:r>
        <w:rPr>
          <w:rFonts w:hint="eastAsia" w:asciiTheme="minorEastAsia" w:hAnsiTheme="minorEastAsia" w:eastAsiaTheme="minorEastAsia"/>
        </w:rPr>
        <w:t>保密</w:t>
      </w:r>
      <w:bookmarkEnd w:id="42"/>
      <w:bookmarkEnd w:id="43"/>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参与招标投标活动的各方应对招标文件和投标文件中的商业和技术等秘密保密，违者应对由此造成的后果承担法律责任。</w:t>
      </w:r>
    </w:p>
    <w:p>
      <w:pPr>
        <w:pStyle w:val="5"/>
        <w:spacing w:line="560" w:lineRule="exact"/>
        <w:ind w:firstLine="643" w:firstLineChars="200"/>
        <w:rPr>
          <w:rFonts w:asciiTheme="minorEastAsia" w:hAnsiTheme="minorEastAsia" w:eastAsiaTheme="minorEastAsia"/>
        </w:rPr>
      </w:pPr>
      <w:bookmarkStart w:id="44" w:name="_Toc389065152"/>
      <w:bookmarkStart w:id="45" w:name="_Toc493793362"/>
      <w:r>
        <w:rPr>
          <w:rFonts w:asciiTheme="minorEastAsia" w:hAnsiTheme="minorEastAsia" w:eastAsiaTheme="minorEastAsia"/>
        </w:rPr>
        <w:t xml:space="preserve">1.7 </w:t>
      </w:r>
      <w:r>
        <w:rPr>
          <w:rFonts w:hint="eastAsia" w:asciiTheme="minorEastAsia" w:hAnsiTheme="minorEastAsia" w:eastAsiaTheme="minorEastAsia"/>
        </w:rPr>
        <w:t>语言文字</w:t>
      </w:r>
      <w:bookmarkEnd w:id="44"/>
      <w:bookmarkEnd w:id="45"/>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除专用术语外，与招标投标有关的语言均使用中文。必要时专用术语应附有中文注释。</w:t>
      </w:r>
    </w:p>
    <w:p>
      <w:pPr>
        <w:pStyle w:val="5"/>
        <w:spacing w:line="560" w:lineRule="exact"/>
        <w:ind w:firstLine="643" w:firstLineChars="200"/>
        <w:rPr>
          <w:rFonts w:asciiTheme="minorEastAsia" w:hAnsiTheme="minorEastAsia" w:eastAsiaTheme="minorEastAsia"/>
        </w:rPr>
      </w:pPr>
      <w:bookmarkStart w:id="46" w:name="_Toc389065153"/>
      <w:bookmarkStart w:id="47" w:name="_Toc493793363"/>
      <w:r>
        <w:rPr>
          <w:rFonts w:asciiTheme="minorEastAsia" w:hAnsiTheme="minorEastAsia" w:eastAsiaTheme="minorEastAsia"/>
        </w:rPr>
        <w:t xml:space="preserve">1.8 </w:t>
      </w:r>
      <w:r>
        <w:rPr>
          <w:rFonts w:hint="eastAsia" w:asciiTheme="minorEastAsia" w:hAnsiTheme="minorEastAsia" w:eastAsiaTheme="minorEastAsia"/>
        </w:rPr>
        <w:t>计量单位</w:t>
      </w:r>
      <w:bookmarkEnd w:id="46"/>
      <w:bookmarkEnd w:id="47"/>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所有计量均采用中华人民共和国法定计量单位。</w:t>
      </w:r>
    </w:p>
    <w:p>
      <w:pPr>
        <w:pStyle w:val="5"/>
        <w:spacing w:line="560" w:lineRule="exact"/>
        <w:ind w:firstLine="643" w:firstLineChars="200"/>
        <w:rPr>
          <w:rFonts w:asciiTheme="minorEastAsia" w:hAnsiTheme="minorEastAsia" w:eastAsiaTheme="minorEastAsia"/>
        </w:rPr>
      </w:pPr>
      <w:bookmarkStart w:id="48" w:name="_Toc389065154"/>
      <w:bookmarkStart w:id="49" w:name="_Toc493793364"/>
      <w:r>
        <w:rPr>
          <w:rFonts w:asciiTheme="minorEastAsia" w:hAnsiTheme="minorEastAsia" w:eastAsiaTheme="minorEastAsia"/>
        </w:rPr>
        <w:t xml:space="preserve">1.9 </w:t>
      </w:r>
      <w:r>
        <w:rPr>
          <w:rFonts w:hint="eastAsia" w:asciiTheme="minorEastAsia" w:hAnsiTheme="minorEastAsia" w:eastAsiaTheme="minorEastAsia"/>
        </w:rPr>
        <w:t>踏勘现场</w:t>
      </w:r>
      <w:bookmarkEnd w:id="48"/>
      <w:bookmarkEnd w:id="49"/>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1.9.1 </w:t>
      </w:r>
      <w:r>
        <w:rPr>
          <w:rFonts w:hint="eastAsia" w:asciiTheme="minorEastAsia" w:hAnsiTheme="minorEastAsia" w:eastAsiaTheme="minorEastAsia"/>
          <w:szCs w:val="21"/>
        </w:rPr>
        <w:t>投标人根据需要自行踏勘项目现场。</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1.9.2 </w:t>
      </w:r>
      <w:r>
        <w:rPr>
          <w:rFonts w:hint="eastAsia" w:asciiTheme="minorEastAsia" w:hAnsiTheme="minorEastAsia" w:eastAsiaTheme="minorEastAsia"/>
          <w:szCs w:val="21"/>
        </w:rPr>
        <w:t>投标人踏勘现场发生的费用自理。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1.9.3 </w:t>
      </w:r>
      <w:r>
        <w:rPr>
          <w:rFonts w:hint="eastAsia" w:asciiTheme="minorEastAsia" w:hAnsiTheme="minorEastAsia" w:eastAsiaTheme="minorEastAsia"/>
          <w:szCs w:val="21"/>
        </w:rPr>
        <w:t>投标人自行负责在踏勘现场中所发生的人员伤亡和财产损失。</w:t>
      </w:r>
    </w:p>
    <w:p>
      <w:pPr>
        <w:pStyle w:val="5"/>
        <w:spacing w:line="560" w:lineRule="exact"/>
        <w:ind w:firstLine="643" w:firstLineChars="200"/>
        <w:rPr>
          <w:rFonts w:asciiTheme="minorEastAsia" w:hAnsiTheme="minorEastAsia" w:eastAsiaTheme="minorEastAsia"/>
        </w:rPr>
      </w:pPr>
      <w:bookmarkStart w:id="50" w:name="_Toc389065155"/>
      <w:bookmarkStart w:id="51" w:name="_Toc493793365"/>
      <w:r>
        <w:rPr>
          <w:rFonts w:asciiTheme="minorEastAsia" w:hAnsiTheme="minorEastAsia" w:eastAsiaTheme="minorEastAsia"/>
        </w:rPr>
        <w:t xml:space="preserve">1.10 </w:t>
      </w:r>
      <w:r>
        <w:rPr>
          <w:rFonts w:hint="eastAsia" w:asciiTheme="minorEastAsia" w:hAnsiTheme="minorEastAsia" w:eastAsiaTheme="minorEastAsia"/>
        </w:rPr>
        <w:t>投标预备会</w:t>
      </w:r>
      <w:bookmarkEnd w:id="50"/>
      <w:bookmarkEnd w:id="51"/>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不召开。</w:t>
      </w:r>
    </w:p>
    <w:p>
      <w:pPr>
        <w:pStyle w:val="5"/>
        <w:spacing w:line="560" w:lineRule="exact"/>
        <w:ind w:firstLine="643" w:firstLineChars="200"/>
        <w:rPr>
          <w:rFonts w:asciiTheme="minorEastAsia" w:hAnsiTheme="minorEastAsia" w:eastAsiaTheme="minorEastAsia"/>
        </w:rPr>
      </w:pPr>
      <w:bookmarkStart w:id="52" w:name="_Toc493793366"/>
      <w:bookmarkStart w:id="53" w:name="_Toc389065156"/>
      <w:r>
        <w:rPr>
          <w:rFonts w:asciiTheme="minorEastAsia" w:hAnsiTheme="minorEastAsia" w:eastAsiaTheme="minorEastAsia"/>
        </w:rPr>
        <w:t xml:space="preserve">1.11 </w:t>
      </w:r>
      <w:r>
        <w:rPr>
          <w:rFonts w:hint="eastAsia" w:asciiTheme="minorEastAsia" w:hAnsiTheme="minorEastAsia" w:eastAsiaTheme="minorEastAsia"/>
        </w:rPr>
        <w:t>分包</w:t>
      </w:r>
      <w:bookmarkEnd w:id="52"/>
      <w:bookmarkEnd w:id="53"/>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投标人拟在中标后将中标项目的部分非主体、非关键性工作进行分包的，应符合</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规定的分包内容、分包金额和接受分包的第三人资质要求等限制性条件。</w:t>
      </w:r>
    </w:p>
    <w:p>
      <w:pPr>
        <w:pStyle w:val="5"/>
        <w:spacing w:line="560" w:lineRule="exact"/>
        <w:ind w:firstLine="643" w:firstLineChars="200"/>
        <w:rPr>
          <w:rFonts w:asciiTheme="minorEastAsia" w:hAnsiTheme="minorEastAsia" w:eastAsiaTheme="minorEastAsia"/>
        </w:rPr>
      </w:pPr>
      <w:bookmarkStart w:id="54" w:name="_Toc493793367"/>
      <w:bookmarkStart w:id="55" w:name="_Toc389065157"/>
      <w:r>
        <w:rPr>
          <w:rFonts w:asciiTheme="minorEastAsia" w:hAnsiTheme="minorEastAsia" w:eastAsiaTheme="minorEastAsia"/>
        </w:rPr>
        <w:t xml:space="preserve">1.12 </w:t>
      </w:r>
      <w:r>
        <w:rPr>
          <w:rFonts w:hint="eastAsia" w:asciiTheme="minorEastAsia" w:hAnsiTheme="minorEastAsia" w:eastAsiaTheme="minorEastAsia"/>
        </w:rPr>
        <w:t>偏离</w:t>
      </w:r>
      <w:bookmarkEnd w:id="54"/>
      <w:bookmarkEnd w:id="55"/>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不允许。</w:t>
      </w:r>
    </w:p>
    <w:p>
      <w:pPr>
        <w:pStyle w:val="4"/>
        <w:spacing w:line="560" w:lineRule="exact"/>
        <w:ind w:firstLine="643" w:firstLineChars="200"/>
        <w:rPr>
          <w:rFonts w:asciiTheme="minorEastAsia" w:hAnsiTheme="minorEastAsia" w:eastAsiaTheme="minorEastAsia"/>
        </w:rPr>
      </w:pPr>
      <w:bookmarkStart w:id="56" w:name="_Toc389065158"/>
      <w:bookmarkStart w:id="57" w:name="_Toc493793368"/>
      <w:r>
        <w:rPr>
          <w:rFonts w:asciiTheme="minorEastAsia" w:hAnsiTheme="minorEastAsia" w:eastAsiaTheme="minorEastAsia"/>
        </w:rPr>
        <w:t xml:space="preserve">2 </w:t>
      </w:r>
      <w:r>
        <w:rPr>
          <w:rFonts w:hint="eastAsia" w:asciiTheme="minorEastAsia" w:hAnsiTheme="minorEastAsia" w:eastAsiaTheme="minorEastAsia"/>
        </w:rPr>
        <w:t>招标文件</w:t>
      </w:r>
      <w:bookmarkEnd w:id="56"/>
      <w:bookmarkEnd w:id="57"/>
    </w:p>
    <w:p>
      <w:pPr>
        <w:pStyle w:val="5"/>
        <w:spacing w:line="560" w:lineRule="exact"/>
        <w:ind w:firstLine="643" w:firstLineChars="200"/>
        <w:rPr>
          <w:rFonts w:asciiTheme="minorEastAsia" w:hAnsiTheme="minorEastAsia" w:eastAsiaTheme="minorEastAsia"/>
        </w:rPr>
      </w:pPr>
      <w:bookmarkStart w:id="58" w:name="_Toc389065159"/>
      <w:bookmarkStart w:id="59" w:name="_Toc493793369"/>
      <w:r>
        <w:rPr>
          <w:rFonts w:asciiTheme="minorEastAsia" w:hAnsiTheme="minorEastAsia" w:eastAsiaTheme="minorEastAsia"/>
        </w:rPr>
        <w:t xml:space="preserve">2.1 </w:t>
      </w:r>
      <w:r>
        <w:rPr>
          <w:rFonts w:hint="eastAsia" w:asciiTheme="minorEastAsia" w:hAnsiTheme="minorEastAsia" w:eastAsiaTheme="minorEastAsia"/>
        </w:rPr>
        <w:t>招标文件的组成</w:t>
      </w:r>
      <w:bookmarkEnd w:id="58"/>
      <w:bookmarkEnd w:id="59"/>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2.1.1 </w:t>
      </w:r>
      <w:r>
        <w:rPr>
          <w:rFonts w:hint="eastAsia" w:asciiTheme="minorEastAsia" w:hAnsiTheme="minorEastAsia" w:eastAsiaTheme="minorEastAsia"/>
          <w:szCs w:val="21"/>
        </w:rPr>
        <w:t>本招标文件包括：</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）招标公告；</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）投标人须知；</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）评标办法；</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）合同条款及格式；</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）工程量清单和工程量清单电子版；</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）招标控制价；</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）图纸；</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）技术标准和要求；</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）投标文件格式；</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规定的其他材料。</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2.1.2 </w:t>
      </w:r>
      <w:r>
        <w:rPr>
          <w:rFonts w:hint="eastAsia" w:asciiTheme="minorEastAsia" w:hAnsiTheme="minorEastAsia" w:eastAsiaTheme="minorEastAsia"/>
          <w:szCs w:val="21"/>
        </w:rPr>
        <w:t>根据本章第</w:t>
      </w:r>
      <w:r>
        <w:rPr>
          <w:rFonts w:asciiTheme="minorEastAsia" w:hAnsiTheme="minorEastAsia" w:eastAsiaTheme="minorEastAsia"/>
          <w:szCs w:val="21"/>
        </w:rPr>
        <w:t>2.2</w:t>
      </w:r>
      <w:r>
        <w:rPr>
          <w:rFonts w:hint="eastAsia" w:asciiTheme="minorEastAsia" w:hAnsiTheme="minorEastAsia" w:eastAsiaTheme="minorEastAsia"/>
          <w:szCs w:val="21"/>
        </w:rPr>
        <w:t>款和第</w:t>
      </w:r>
      <w:r>
        <w:rPr>
          <w:rFonts w:asciiTheme="minorEastAsia" w:hAnsiTheme="minorEastAsia" w:eastAsiaTheme="minorEastAsia"/>
          <w:szCs w:val="21"/>
        </w:rPr>
        <w:t>2.3</w:t>
      </w:r>
      <w:r>
        <w:rPr>
          <w:rFonts w:hint="eastAsia" w:asciiTheme="minorEastAsia" w:hAnsiTheme="minorEastAsia" w:eastAsiaTheme="minorEastAsia"/>
          <w:szCs w:val="21"/>
        </w:rPr>
        <w:t>款对招标文件所作的澄清、修改，构成招标文件的组成部分。当招标文件及其澄清、修改或补充文件对于同一内容表述不一致时，以最后发出的书面文件为准。</w:t>
      </w:r>
    </w:p>
    <w:p>
      <w:pPr>
        <w:pStyle w:val="5"/>
        <w:spacing w:line="560" w:lineRule="exact"/>
        <w:ind w:firstLine="643" w:firstLineChars="200"/>
        <w:rPr>
          <w:rFonts w:asciiTheme="minorEastAsia" w:hAnsiTheme="minorEastAsia" w:eastAsiaTheme="minorEastAsia"/>
        </w:rPr>
      </w:pPr>
      <w:bookmarkStart w:id="60" w:name="_Toc389065160"/>
      <w:bookmarkStart w:id="61" w:name="_Toc493793370"/>
      <w:r>
        <w:rPr>
          <w:rFonts w:asciiTheme="minorEastAsia" w:hAnsiTheme="minorEastAsia" w:eastAsiaTheme="minorEastAsia"/>
        </w:rPr>
        <w:t xml:space="preserve">2.2 </w:t>
      </w:r>
      <w:r>
        <w:rPr>
          <w:rFonts w:hint="eastAsia" w:asciiTheme="minorEastAsia" w:hAnsiTheme="minorEastAsia" w:eastAsiaTheme="minorEastAsia"/>
        </w:rPr>
        <w:t>招标文件的澄清</w:t>
      </w:r>
      <w:bookmarkEnd w:id="60"/>
      <w:bookmarkEnd w:id="61"/>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2.2.1 </w:t>
      </w:r>
      <w:r>
        <w:rPr>
          <w:rFonts w:hint="eastAsia" w:asciiTheme="minorEastAsia" w:hAnsiTheme="minorEastAsia" w:eastAsiaTheme="minorEastAsia"/>
          <w:szCs w:val="21"/>
        </w:rPr>
        <w:t>投标人应仔细阅读和检查招标文件的全部内容。如发现缺页或附件不全，应及时向招标人提出，以便补齐。如有疑问或异议，应在</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规定的时间前书面要求（包括信函、电报、传真等可以有形地表现所载内容的形式，下同）招标人对招标文件予以澄清。</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2.2.2 </w:t>
      </w:r>
      <w:r>
        <w:rPr>
          <w:rFonts w:hint="eastAsia" w:asciiTheme="minorEastAsia" w:hAnsiTheme="minorEastAsia" w:eastAsiaTheme="minorEastAsia"/>
          <w:szCs w:val="21"/>
        </w:rPr>
        <w:t>招标文件的澄清应在</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规定的投标截止时间15日前，以</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”2.2.2</w:t>
      </w:r>
      <w:r>
        <w:rPr>
          <w:rFonts w:hint="eastAsia" w:asciiTheme="minorEastAsia" w:hAnsiTheme="minorEastAsia" w:eastAsiaTheme="minorEastAsia"/>
          <w:szCs w:val="21"/>
        </w:rPr>
        <w:t>规定的形式向所有购买招标文件的投标人发布，但不指明澄清问题的来源。如果澄清发出的时间距投标截止时间不足15日可能影响投标文件编制的，相应延长投标截止时间。</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2.2.3 </w:t>
      </w:r>
      <w:r>
        <w:rPr>
          <w:rFonts w:hint="eastAsia" w:asciiTheme="minorEastAsia" w:hAnsiTheme="minorEastAsia" w:eastAsiaTheme="minorEastAsia"/>
          <w:szCs w:val="21"/>
        </w:rPr>
        <w:t>投标人在收到澄清后，应按“投标人须知前附表”</w:t>
      </w:r>
      <w:r>
        <w:rPr>
          <w:rFonts w:asciiTheme="minorEastAsia" w:hAnsiTheme="minorEastAsia" w:eastAsiaTheme="minorEastAsia"/>
          <w:szCs w:val="21"/>
        </w:rPr>
        <w:t>2.2.3</w:t>
      </w:r>
      <w:r>
        <w:rPr>
          <w:rFonts w:hint="eastAsia" w:asciiTheme="minorEastAsia" w:hAnsiTheme="minorEastAsia" w:eastAsiaTheme="minorEastAsia"/>
          <w:szCs w:val="21"/>
        </w:rPr>
        <w:t>规定的形式确认已收到该澄清。</w:t>
      </w:r>
    </w:p>
    <w:p>
      <w:pPr>
        <w:pStyle w:val="5"/>
        <w:spacing w:line="560" w:lineRule="exact"/>
        <w:ind w:firstLine="643" w:firstLineChars="200"/>
        <w:rPr>
          <w:rFonts w:asciiTheme="minorEastAsia" w:hAnsiTheme="minorEastAsia" w:eastAsiaTheme="minorEastAsia"/>
        </w:rPr>
      </w:pPr>
      <w:bookmarkStart w:id="62" w:name="_Toc389065161"/>
      <w:bookmarkStart w:id="63" w:name="_Toc493793371"/>
      <w:r>
        <w:rPr>
          <w:rFonts w:asciiTheme="minorEastAsia" w:hAnsiTheme="minorEastAsia" w:eastAsiaTheme="minorEastAsia"/>
        </w:rPr>
        <w:t xml:space="preserve">2.3 </w:t>
      </w:r>
      <w:r>
        <w:rPr>
          <w:rFonts w:hint="eastAsia" w:asciiTheme="minorEastAsia" w:hAnsiTheme="minorEastAsia" w:eastAsiaTheme="minorEastAsia"/>
        </w:rPr>
        <w:t>招标文件的修改</w:t>
      </w:r>
      <w:bookmarkEnd w:id="62"/>
      <w:bookmarkEnd w:id="63"/>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2.3.1 </w:t>
      </w:r>
      <w:r>
        <w:rPr>
          <w:rFonts w:hint="eastAsia" w:asciiTheme="minorEastAsia" w:hAnsiTheme="minorEastAsia" w:eastAsiaTheme="minorEastAsia"/>
          <w:szCs w:val="21"/>
        </w:rPr>
        <w:t>在投标截止时间15日前，招标人可以书面形式修改招标文件，并以</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”2.2.2</w:t>
      </w:r>
      <w:r>
        <w:rPr>
          <w:rFonts w:hint="eastAsia" w:asciiTheme="minorEastAsia" w:hAnsiTheme="minorEastAsia" w:eastAsiaTheme="minorEastAsia"/>
          <w:szCs w:val="21"/>
        </w:rPr>
        <w:t>规定的澄清文件发布的相同形式，通知所有已购买招标文件的投标人。如果修改招标文件的时间距投标截止时间不足15日可能影响投标文件编制的，相应延长投标截止时间。</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2.3.2 </w:t>
      </w:r>
      <w:r>
        <w:rPr>
          <w:rFonts w:hint="eastAsia" w:asciiTheme="minorEastAsia" w:hAnsiTheme="minorEastAsia" w:eastAsiaTheme="minorEastAsia"/>
          <w:szCs w:val="21"/>
        </w:rPr>
        <w:t>投标人在收到招标文件的修改后，应按</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”2.2.3</w:t>
      </w:r>
      <w:r>
        <w:rPr>
          <w:rFonts w:hint="eastAsia" w:asciiTheme="minorEastAsia" w:hAnsiTheme="minorEastAsia" w:eastAsiaTheme="minorEastAsia"/>
          <w:szCs w:val="21"/>
        </w:rPr>
        <w:t>规定的澄清文件确认的相同形式，确认已收到该修改。</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2.3.3 </w:t>
      </w:r>
      <w:r>
        <w:rPr>
          <w:rFonts w:hint="eastAsia" w:asciiTheme="minorEastAsia" w:hAnsiTheme="minorEastAsia" w:eastAsiaTheme="minorEastAsia"/>
          <w:szCs w:val="21"/>
        </w:rPr>
        <w:t>为使投标人在编制投标文件时有充分的时间对招标文件的修改、补充等内容进行研究并做出响应，招标人可酌情延长提交投标文件的截止时间，具体时间在招标文件的修改、补充等通知中予以明确。</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2.3.4 </w:t>
      </w:r>
      <w:r>
        <w:rPr>
          <w:rFonts w:hint="eastAsia" w:asciiTheme="minorEastAsia" w:hAnsiTheme="minorEastAsia" w:eastAsiaTheme="minorEastAsia"/>
          <w:szCs w:val="21"/>
        </w:rPr>
        <w:t>招标文件的修改或补充报招投标监督管理部门备案后，发送给所有获得招标文件的投标人。招标文件的修改内容作为招标文件的组成部分，具有约束作用。</w:t>
      </w:r>
      <w:r>
        <w:rPr>
          <w:rFonts w:asciiTheme="minorEastAsia" w:hAnsiTheme="minorEastAsia" w:eastAsiaTheme="minorEastAsia"/>
          <w:szCs w:val="21"/>
        </w:rPr>
        <w:t xml:space="preserve"> </w:t>
      </w:r>
    </w:p>
    <w:p>
      <w:pPr>
        <w:pStyle w:val="4"/>
        <w:spacing w:line="560" w:lineRule="exact"/>
        <w:ind w:firstLine="643" w:firstLineChars="200"/>
        <w:rPr>
          <w:rFonts w:asciiTheme="minorEastAsia" w:hAnsiTheme="minorEastAsia" w:eastAsiaTheme="minorEastAsia"/>
        </w:rPr>
      </w:pPr>
      <w:bookmarkStart w:id="64" w:name="_Toc389065162"/>
      <w:bookmarkStart w:id="65" w:name="_Toc493793372"/>
      <w:r>
        <w:rPr>
          <w:rFonts w:asciiTheme="minorEastAsia" w:hAnsiTheme="minorEastAsia" w:eastAsiaTheme="minorEastAsia"/>
        </w:rPr>
        <w:t xml:space="preserve">3 </w:t>
      </w:r>
      <w:r>
        <w:rPr>
          <w:rFonts w:hint="eastAsia" w:asciiTheme="minorEastAsia" w:hAnsiTheme="minorEastAsia" w:eastAsiaTheme="minorEastAsia"/>
        </w:rPr>
        <w:t>投标文件</w:t>
      </w:r>
      <w:bookmarkEnd w:id="64"/>
      <w:bookmarkEnd w:id="65"/>
    </w:p>
    <w:p>
      <w:pPr>
        <w:pStyle w:val="5"/>
        <w:spacing w:line="560" w:lineRule="exact"/>
        <w:ind w:firstLine="643" w:firstLineChars="200"/>
        <w:rPr>
          <w:rFonts w:asciiTheme="minorEastAsia" w:hAnsiTheme="minorEastAsia" w:eastAsiaTheme="minorEastAsia"/>
        </w:rPr>
      </w:pPr>
      <w:bookmarkStart w:id="66" w:name="_Toc389065163"/>
      <w:bookmarkStart w:id="67" w:name="_Toc493793373"/>
      <w:r>
        <w:rPr>
          <w:rFonts w:asciiTheme="minorEastAsia" w:hAnsiTheme="minorEastAsia" w:eastAsiaTheme="minorEastAsia"/>
        </w:rPr>
        <w:t xml:space="preserve">3.1 </w:t>
      </w:r>
      <w:r>
        <w:rPr>
          <w:rFonts w:hint="eastAsia" w:asciiTheme="minorEastAsia" w:hAnsiTheme="minorEastAsia" w:eastAsiaTheme="minorEastAsia"/>
        </w:rPr>
        <w:t>投标文件的组成</w:t>
      </w:r>
      <w:bookmarkEnd w:id="66"/>
      <w:bookmarkEnd w:id="67"/>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3.1.1 </w:t>
      </w:r>
      <w:r>
        <w:rPr>
          <w:rFonts w:hint="eastAsia" w:asciiTheme="minorEastAsia" w:hAnsiTheme="minorEastAsia" w:eastAsiaTheme="minorEastAsia"/>
          <w:szCs w:val="21"/>
        </w:rPr>
        <w:t>投标文件应包括下列内容：</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）资格审查部分：具体材料见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）商务标部分：具体材料见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）技术标部分：具体材料见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（4）企业业绩实力部分（如有）：具体材料见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（5）投标文件电子版（如有）：具体材料见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3.1.2 </w:t>
      </w:r>
      <w:r>
        <w:rPr>
          <w:rFonts w:hint="eastAsia" w:asciiTheme="minorEastAsia" w:hAnsiTheme="minorEastAsia" w:eastAsiaTheme="minorEastAsia"/>
          <w:szCs w:val="21"/>
        </w:rPr>
        <w:t>招标文件</w:t>
      </w:r>
      <w:r>
        <w:rPr>
          <w:rFonts w:asciiTheme="minorEastAsia" w:hAnsiTheme="minorEastAsia" w:eastAsiaTheme="minorEastAsia"/>
          <w:szCs w:val="21"/>
        </w:rPr>
        <w:t>“</w:t>
      </w:r>
      <w:r>
        <w:rPr>
          <w:rFonts w:hint="eastAsia" w:asciiTheme="minorEastAsia" w:hAnsiTheme="minorEastAsia" w:eastAsiaTheme="minorEastAsia"/>
          <w:szCs w:val="21"/>
        </w:rPr>
        <w:t>第八章</w:t>
      </w:r>
      <w:r>
        <w:rPr>
          <w:rFonts w:asciiTheme="minorEastAsia" w:hAnsiTheme="minorEastAsia" w:eastAsiaTheme="minorEastAsia"/>
          <w:szCs w:val="21"/>
        </w:rPr>
        <w:t xml:space="preserve"> </w:t>
      </w:r>
      <w:r>
        <w:rPr>
          <w:rFonts w:hint="eastAsia" w:asciiTheme="minorEastAsia" w:hAnsiTheme="minorEastAsia" w:eastAsiaTheme="minorEastAsia"/>
          <w:szCs w:val="21"/>
        </w:rPr>
        <w:t>投标文件格式</w:t>
      </w:r>
      <w:r>
        <w:rPr>
          <w:rFonts w:asciiTheme="minorEastAsia" w:hAnsiTheme="minorEastAsia" w:eastAsiaTheme="minorEastAsia"/>
          <w:szCs w:val="21"/>
        </w:rPr>
        <w:t>”</w:t>
      </w:r>
      <w:r>
        <w:rPr>
          <w:rFonts w:hint="eastAsia" w:asciiTheme="minorEastAsia" w:hAnsiTheme="minorEastAsia" w:eastAsiaTheme="minorEastAsia"/>
          <w:szCs w:val="21"/>
        </w:rPr>
        <w:t>有规定格式要求的，投标人应按规定的格式填写并按要求提交相关的证明材料。</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3.1.3 “</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规定不接受联合体投标的，或投标人没有组成联合体的，投标文件不包括本章第</w:t>
      </w:r>
      <w:r>
        <w:rPr>
          <w:rFonts w:asciiTheme="minorEastAsia" w:hAnsiTheme="minorEastAsia" w:eastAsiaTheme="minorEastAsia"/>
          <w:szCs w:val="21"/>
        </w:rPr>
        <w:t>3.1.1</w:t>
      </w: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）中所指的联合体协议书。</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szCs w:val="21"/>
        </w:rPr>
        <w:t xml:space="preserve">3.1.4 </w:t>
      </w:r>
      <w:r>
        <w:rPr>
          <w:rFonts w:hint="eastAsia" w:asciiTheme="minorEastAsia" w:hAnsiTheme="minorEastAsia" w:eastAsiaTheme="minorEastAsia"/>
          <w:szCs w:val="21"/>
        </w:rPr>
        <w:t>近年财务状况、完成的类似项目、发生的诉讼及仲裁情况的年份要求：见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68" w:name="_Toc493793374"/>
      <w:bookmarkStart w:id="69" w:name="_Toc389065164"/>
      <w:r>
        <w:rPr>
          <w:rFonts w:asciiTheme="minorEastAsia" w:hAnsiTheme="minorEastAsia" w:eastAsiaTheme="minorEastAsia"/>
        </w:rPr>
        <w:t xml:space="preserve">3.2 </w:t>
      </w:r>
      <w:r>
        <w:rPr>
          <w:rFonts w:hint="eastAsia" w:asciiTheme="minorEastAsia" w:hAnsiTheme="minorEastAsia" w:eastAsiaTheme="minorEastAsia"/>
        </w:rPr>
        <w:t>投标报价</w:t>
      </w:r>
      <w:bookmarkEnd w:id="68"/>
      <w:bookmarkEnd w:id="69"/>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3.2.1 </w:t>
      </w:r>
      <w:r>
        <w:rPr>
          <w:rFonts w:hint="eastAsia" w:asciiTheme="minorEastAsia" w:hAnsiTheme="minorEastAsia" w:eastAsiaTheme="minorEastAsia"/>
          <w:szCs w:val="21"/>
        </w:rPr>
        <w:t>投标人应按第五章</w:t>
      </w:r>
      <w:r>
        <w:rPr>
          <w:rFonts w:asciiTheme="minorEastAsia" w:hAnsiTheme="minorEastAsia" w:eastAsiaTheme="minorEastAsia"/>
          <w:szCs w:val="21"/>
        </w:rPr>
        <w:t>“</w:t>
      </w:r>
      <w:r>
        <w:rPr>
          <w:rFonts w:hint="eastAsia" w:asciiTheme="minorEastAsia" w:hAnsiTheme="minorEastAsia" w:eastAsiaTheme="minorEastAsia"/>
          <w:szCs w:val="21"/>
        </w:rPr>
        <w:t>工程量清单</w:t>
      </w:r>
      <w:r>
        <w:rPr>
          <w:rFonts w:asciiTheme="minorEastAsia" w:hAnsiTheme="minorEastAsia" w:eastAsiaTheme="minorEastAsia"/>
          <w:szCs w:val="21"/>
        </w:rPr>
        <w:t>”</w:t>
      </w:r>
      <w:r>
        <w:rPr>
          <w:rFonts w:hint="eastAsia" w:asciiTheme="minorEastAsia" w:hAnsiTheme="minorEastAsia" w:eastAsiaTheme="minorEastAsia"/>
          <w:szCs w:val="21"/>
        </w:rPr>
        <w:t>的要求填写相应表格。</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szCs w:val="21"/>
        </w:rPr>
        <w:t>3.2.1.1</w:t>
      </w:r>
      <w:r>
        <w:rPr>
          <w:rFonts w:hint="eastAsia" w:asciiTheme="minorEastAsia" w:hAnsiTheme="minorEastAsia" w:eastAsiaTheme="minorEastAsia"/>
          <w:szCs w:val="21"/>
        </w:rPr>
        <w:t>本项目招标提供纸质形式工程量清单</w:t>
      </w:r>
      <w:r>
        <w:rPr>
          <w:rFonts w:asciiTheme="minorEastAsia" w:hAnsiTheme="minorEastAsia" w:eastAsiaTheme="minorEastAsia"/>
          <w:szCs w:val="21"/>
        </w:rPr>
        <w:t>,</w:t>
      </w:r>
      <w:r>
        <w:rPr>
          <w:rFonts w:hint="eastAsia" w:asciiTheme="minorEastAsia" w:hAnsiTheme="minorEastAsia" w:eastAsiaTheme="minorEastAsia"/>
          <w:szCs w:val="21"/>
        </w:rPr>
        <w:t>投标人</w:t>
      </w:r>
      <w:r>
        <w:rPr>
          <w:rFonts w:hint="eastAsia" w:asciiTheme="minorEastAsia" w:hAnsiTheme="minorEastAsia" w:eastAsiaTheme="minorEastAsia"/>
        </w:rPr>
        <w:t>完成已标价工程量清单的编制。严禁投标人修改工程量清单的项目结构、标段</w:t>
      </w:r>
      <w:r>
        <w:rPr>
          <w:rFonts w:hint="eastAsia" w:asciiTheme="minorEastAsia" w:hAnsiTheme="minorEastAsia" w:eastAsiaTheme="minorEastAsia"/>
          <w:szCs w:val="21"/>
        </w:rPr>
        <w:t>名称、单项工程名称、单位工程名称、项目编码、项目名称、项目特征、计量单位、工程量、清单顺序和序号。投标人不得对招标工程量清单项目进行增减调整。</w:t>
      </w:r>
    </w:p>
    <w:p>
      <w:pPr>
        <w:wordWrap w:val="0"/>
        <w:spacing w:line="560" w:lineRule="exact"/>
        <w:ind w:firstLine="420" w:firstLineChars="200"/>
        <w:rPr>
          <w:rFonts w:asciiTheme="minorEastAsia" w:hAnsiTheme="minorEastAsia" w:eastAsiaTheme="minorEastAsia"/>
        </w:rPr>
      </w:pPr>
      <w:r>
        <w:rPr>
          <w:rFonts w:asciiTheme="minorEastAsia" w:hAnsiTheme="minorEastAsia" w:eastAsiaTheme="minorEastAsia"/>
        </w:rPr>
        <w:t>3.2.1.2</w:t>
      </w:r>
      <w:r>
        <w:rPr>
          <w:color w:val="000000" w:themeColor="text1"/>
        </w:rPr>
        <w:t>投标人已标价工程量清单纸质投标文件应符合第八章“投标文件格式”的要求，电子文件应提供计价软件本身复制出的工程计价文件。</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3.2.1.3</w:t>
      </w:r>
      <w:r>
        <w:rPr>
          <w:rFonts w:hint="eastAsia" w:asciiTheme="minorEastAsia" w:hAnsiTheme="minorEastAsia" w:eastAsiaTheme="minorEastAsia"/>
        </w:rPr>
        <w:t>投标人提交的已标价工程量清单纸质文件应从已编制完成的电子文件中选择符合第八章“投标文件格式”格式要求的相应表格直接打印，纸质文件应当与电子文件一致，不得弄虚作假，如出现纸质文件与电子文件不一致时，无论在评标时或合同执行时，招标人均有权以最不利于投标人（或中标人和承包人）的处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3.2.1.4</w:t>
      </w:r>
      <w:r>
        <w:rPr>
          <w:rFonts w:hint="eastAsia" w:asciiTheme="minorEastAsia" w:hAnsiTheme="minorEastAsia" w:eastAsiaTheme="minorEastAsia"/>
        </w:rPr>
        <w:t>投标人已标价工程量清单电子文件应单独拷入光盘中，在光盘标签上标明工程名称和投标人名称。</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3.2.2 </w:t>
      </w:r>
      <w:r>
        <w:rPr>
          <w:rFonts w:hint="eastAsia" w:asciiTheme="minorEastAsia" w:hAnsiTheme="minorEastAsia" w:eastAsiaTheme="minorEastAsia"/>
          <w:szCs w:val="21"/>
        </w:rPr>
        <w:t>投标人在投标截止时间前修改投标函中的投标总报价，应同时修改第八章</w:t>
      </w:r>
      <w:r>
        <w:rPr>
          <w:rFonts w:asciiTheme="minorEastAsia" w:hAnsiTheme="minorEastAsia" w:eastAsiaTheme="minorEastAsia"/>
          <w:szCs w:val="21"/>
        </w:rPr>
        <w:t>“</w:t>
      </w:r>
      <w:r>
        <w:rPr>
          <w:rFonts w:hint="eastAsia" w:asciiTheme="minorEastAsia" w:hAnsiTheme="minorEastAsia" w:eastAsiaTheme="minorEastAsia"/>
          <w:szCs w:val="21"/>
        </w:rPr>
        <w:t>投标文件格式</w:t>
      </w:r>
      <w:r>
        <w:rPr>
          <w:rFonts w:asciiTheme="minorEastAsia" w:hAnsiTheme="minorEastAsia" w:eastAsiaTheme="minorEastAsia"/>
          <w:szCs w:val="21"/>
        </w:rPr>
        <w:t>”</w:t>
      </w:r>
      <w:r>
        <w:rPr>
          <w:rFonts w:hint="eastAsia" w:asciiTheme="minorEastAsia" w:hAnsiTheme="minorEastAsia" w:eastAsiaTheme="minorEastAsia"/>
          <w:szCs w:val="21"/>
        </w:rPr>
        <w:t>中的相应报价。此修改须符合本章第</w:t>
      </w:r>
      <w:r>
        <w:rPr>
          <w:rFonts w:asciiTheme="minorEastAsia" w:hAnsiTheme="minorEastAsia" w:eastAsiaTheme="minorEastAsia"/>
          <w:szCs w:val="21"/>
        </w:rPr>
        <w:t>4.3</w:t>
      </w:r>
      <w:r>
        <w:rPr>
          <w:rFonts w:hint="eastAsia" w:asciiTheme="minorEastAsia" w:hAnsiTheme="minorEastAsia" w:eastAsiaTheme="minorEastAsia"/>
          <w:szCs w:val="21"/>
        </w:rPr>
        <w:t>款的有关要求。</w:t>
      </w:r>
    </w:p>
    <w:p>
      <w:pPr>
        <w:pStyle w:val="5"/>
        <w:spacing w:line="560" w:lineRule="exact"/>
        <w:ind w:firstLine="643" w:firstLineChars="200"/>
        <w:rPr>
          <w:rFonts w:asciiTheme="minorEastAsia" w:hAnsiTheme="minorEastAsia" w:eastAsiaTheme="minorEastAsia"/>
        </w:rPr>
      </w:pPr>
      <w:bookmarkStart w:id="70" w:name="_Toc493793375"/>
      <w:bookmarkStart w:id="71" w:name="_Toc389065165"/>
      <w:r>
        <w:rPr>
          <w:rFonts w:asciiTheme="minorEastAsia" w:hAnsiTheme="minorEastAsia" w:eastAsiaTheme="minorEastAsia"/>
        </w:rPr>
        <w:t xml:space="preserve">3.3 </w:t>
      </w:r>
      <w:r>
        <w:rPr>
          <w:rFonts w:hint="eastAsia" w:asciiTheme="minorEastAsia" w:hAnsiTheme="minorEastAsia" w:eastAsiaTheme="minorEastAsia"/>
        </w:rPr>
        <w:t>投标有效期</w:t>
      </w:r>
      <w:bookmarkEnd w:id="70"/>
      <w:bookmarkEnd w:id="71"/>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3.3.1 </w:t>
      </w:r>
      <w:r>
        <w:rPr>
          <w:rFonts w:hint="eastAsia" w:asciiTheme="minorEastAsia" w:hAnsiTheme="minorEastAsia" w:eastAsiaTheme="minorEastAsia"/>
          <w:szCs w:val="21"/>
        </w:rPr>
        <w:t>在</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规定的投标有效期内，投标人不得要求撤销或修改其投标文件。</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3.3.2 </w:t>
      </w:r>
      <w:r>
        <w:rPr>
          <w:rFonts w:hint="eastAsia" w:asciiTheme="minorEastAsia" w:hAnsiTheme="minorEastAsia" w:eastAsiaTheme="minor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spacing w:line="560" w:lineRule="exact"/>
        <w:ind w:firstLine="643" w:firstLineChars="200"/>
        <w:rPr>
          <w:rFonts w:asciiTheme="minorEastAsia" w:hAnsiTheme="minorEastAsia" w:eastAsiaTheme="minorEastAsia"/>
        </w:rPr>
      </w:pPr>
      <w:bookmarkStart w:id="72" w:name="_Toc493793376"/>
      <w:bookmarkStart w:id="73" w:name="_Toc389065166"/>
      <w:r>
        <w:rPr>
          <w:rFonts w:asciiTheme="minorEastAsia" w:hAnsiTheme="minorEastAsia" w:eastAsiaTheme="minorEastAsia"/>
        </w:rPr>
        <w:t xml:space="preserve">3.4 </w:t>
      </w:r>
      <w:r>
        <w:rPr>
          <w:rFonts w:hint="eastAsia" w:asciiTheme="minorEastAsia" w:hAnsiTheme="minorEastAsia" w:eastAsiaTheme="minorEastAsia"/>
        </w:rPr>
        <w:t>投标保证金</w:t>
      </w:r>
      <w:bookmarkEnd w:id="72"/>
      <w:bookmarkEnd w:id="73"/>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3.4.1 </w:t>
      </w:r>
      <w:r>
        <w:rPr>
          <w:rFonts w:hint="eastAsia" w:asciiTheme="minorEastAsia" w:hAnsiTheme="minorEastAsia" w:eastAsiaTheme="minorEastAsia"/>
          <w:szCs w:val="21"/>
        </w:rPr>
        <w:t>投标人必须在投标截止时间前，按</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规定的金额、方式和第八章</w:t>
      </w:r>
      <w:r>
        <w:rPr>
          <w:rFonts w:asciiTheme="minorEastAsia" w:hAnsiTheme="minorEastAsia" w:eastAsiaTheme="minorEastAsia"/>
          <w:szCs w:val="21"/>
        </w:rPr>
        <w:t>“</w:t>
      </w:r>
      <w:r>
        <w:rPr>
          <w:rFonts w:hint="eastAsia" w:asciiTheme="minorEastAsia" w:hAnsiTheme="minorEastAsia" w:eastAsiaTheme="minorEastAsia"/>
          <w:szCs w:val="21"/>
        </w:rPr>
        <w:t>投标文件格式</w:t>
      </w:r>
      <w:r>
        <w:rPr>
          <w:rFonts w:asciiTheme="minorEastAsia" w:hAnsiTheme="minorEastAsia" w:eastAsiaTheme="minorEastAsia"/>
          <w:szCs w:val="21"/>
        </w:rPr>
        <w:t>”</w:t>
      </w:r>
      <w:r>
        <w:rPr>
          <w:rFonts w:hint="eastAsia" w:asciiTheme="minorEastAsia" w:hAnsiTheme="minorEastAsia" w:eastAsiaTheme="minorEastAsia"/>
          <w:szCs w:val="21"/>
        </w:rPr>
        <w:t>规定的投标保证金格式提交投标保证金。提交投标保证金的证明文件作为其投标文件的组成部分。联合体投标的，其投标保证金由牵头人递交，并应符合</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的规定。</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3.4.2 </w:t>
      </w:r>
      <w:r>
        <w:rPr>
          <w:rFonts w:hint="eastAsia" w:asciiTheme="minorEastAsia" w:hAnsiTheme="minorEastAsia" w:eastAsiaTheme="minorEastAsia"/>
          <w:szCs w:val="21"/>
        </w:rPr>
        <w:t>投标人不按本章第</w:t>
      </w:r>
      <w:r>
        <w:rPr>
          <w:rFonts w:asciiTheme="minorEastAsia" w:hAnsiTheme="minorEastAsia" w:eastAsiaTheme="minorEastAsia"/>
          <w:szCs w:val="21"/>
        </w:rPr>
        <w:t>3.4.1</w:t>
      </w:r>
      <w:r>
        <w:rPr>
          <w:rFonts w:hint="eastAsia" w:asciiTheme="minorEastAsia" w:hAnsiTheme="minorEastAsia" w:eastAsiaTheme="minorEastAsia"/>
          <w:szCs w:val="21"/>
        </w:rPr>
        <w:t>项要求提交投标保证金的，其投标文件作否决投标处理。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3.4.3 </w:t>
      </w:r>
      <w:r>
        <w:rPr>
          <w:rFonts w:hint="eastAsia" w:asciiTheme="minorEastAsia" w:hAnsiTheme="minorEastAsia" w:eastAsiaTheme="minorEastAsia"/>
          <w:szCs w:val="21"/>
        </w:rPr>
        <w:t>对未中标人交纳的投标保证金（保函原件）应当于中标通知书发出之日起</w:t>
      </w:r>
      <w:r>
        <w:rPr>
          <w:rFonts w:asciiTheme="minorEastAsia" w:hAnsiTheme="minorEastAsia" w:eastAsiaTheme="minorEastAsia"/>
          <w:szCs w:val="21"/>
        </w:rPr>
        <w:t>5</w:t>
      </w:r>
      <w:r>
        <w:rPr>
          <w:rFonts w:hint="eastAsia" w:asciiTheme="minorEastAsia" w:hAnsiTheme="minorEastAsia" w:eastAsiaTheme="minorEastAsia"/>
          <w:szCs w:val="21"/>
        </w:rPr>
        <w:t>日内退回；对中标人交纳的投标保证金（保函原件）应当于合同签订之日起</w:t>
      </w:r>
      <w:r>
        <w:rPr>
          <w:rFonts w:asciiTheme="minorEastAsia" w:hAnsiTheme="minorEastAsia" w:eastAsiaTheme="minorEastAsia"/>
          <w:szCs w:val="21"/>
        </w:rPr>
        <w:t>5</w:t>
      </w:r>
      <w:r>
        <w:rPr>
          <w:rFonts w:hint="eastAsia" w:asciiTheme="minorEastAsia" w:hAnsiTheme="minorEastAsia" w:eastAsiaTheme="minorEastAsia"/>
          <w:szCs w:val="21"/>
        </w:rPr>
        <w:t>日内退回。</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3.4.4 </w:t>
      </w:r>
      <w:r>
        <w:rPr>
          <w:rFonts w:hint="eastAsia" w:asciiTheme="minorEastAsia" w:hAnsiTheme="minorEastAsia" w:eastAsiaTheme="minorEastAsia"/>
          <w:szCs w:val="21"/>
        </w:rPr>
        <w:t>有下列情形之一的，投标保证金将不予退还：</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）投标人在规定的投标有效期内撤销或修改其投标文件；</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）中标人在收到中标通知书后，无正当理由拒签合同协议书或未按招标文件规定提交履约保证金。</w:t>
      </w:r>
    </w:p>
    <w:p>
      <w:pPr>
        <w:pStyle w:val="5"/>
        <w:spacing w:line="560" w:lineRule="exact"/>
        <w:ind w:firstLine="643" w:firstLineChars="200"/>
        <w:rPr>
          <w:rFonts w:asciiTheme="minorEastAsia" w:hAnsiTheme="minorEastAsia" w:eastAsiaTheme="minorEastAsia"/>
        </w:rPr>
      </w:pPr>
      <w:bookmarkStart w:id="74" w:name="_Toc493793377"/>
      <w:bookmarkStart w:id="75" w:name="_Toc389065167"/>
      <w:r>
        <w:rPr>
          <w:rFonts w:asciiTheme="minorEastAsia" w:hAnsiTheme="minorEastAsia" w:eastAsiaTheme="minorEastAsia"/>
        </w:rPr>
        <w:t xml:space="preserve">3.5 </w:t>
      </w:r>
      <w:r>
        <w:rPr>
          <w:rFonts w:hint="eastAsia" w:asciiTheme="minorEastAsia" w:hAnsiTheme="minorEastAsia" w:eastAsiaTheme="minorEastAsia"/>
        </w:rPr>
        <w:t>备选投标方案</w:t>
      </w:r>
      <w:bookmarkEnd w:id="74"/>
      <w:bookmarkEnd w:id="75"/>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line="560" w:lineRule="exact"/>
        <w:ind w:firstLine="643" w:firstLineChars="200"/>
        <w:rPr>
          <w:rFonts w:asciiTheme="minorEastAsia" w:hAnsiTheme="minorEastAsia" w:eastAsiaTheme="minorEastAsia"/>
        </w:rPr>
      </w:pPr>
      <w:bookmarkStart w:id="76" w:name="_Toc389065168"/>
      <w:bookmarkStart w:id="77" w:name="_Toc493793378"/>
      <w:r>
        <w:rPr>
          <w:rFonts w:asciiTheme="minorEastAsia" w:hAnsiTheme="minorEastAsia" w:eastAsiaTheme="minorEastAsia"/>
        </w:rPr>
        <w:t xml:space="preserve">3.6 </w:t>
      </w:r>
      <w:r>
        <w:rPr>
          <w:rFonts w:hint="eastAsia" w:asciiTheme="minorEastAsia" w:hAnsiTheme="minorEastAsia" w:eastAsiaTheme="minorEastAsia"/>
        </w:rPr>
        <w:t>投标文件的编制</w:t>
      </w:r>
      <w:bookmarkEnd w:id="76"/>
      <w:bookmarkEnd w:id="77"/>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3.6.1 </w:t>
      </w:r>
      <w:r>
        <w:rPr>
          <w:rFonts w:hint="eastAsia" w:asciiTheme="minorEastAsia" w:hAnsiTheme="minorEastAsia" w:eastAsiaTheme="minorEastAsia"/>
          <w:szCs w:val="21"/>
        </w:rPr>
        <w:t>投标文件应按第八章</w:t>
      </w:r>
      <w:r>
        <w:rPr>
          <w:rFonts w:asciiTheme="minorEastAsia" w:hAnsiTheme="minorEastAsia" w:eastAsiaTheme="minorEastAsia"/>
          <w:szCs w:val="21"/>
        </w:rPr>
        <w:t>“</w:t>
      </w:r>
      <w:r>
        <w:rPr>
          <w:rFonts w:hint="eastAsia" w:asciiTheme="minorEastAsia" w:hAnsiTheme="minorEastAsia" w:eastAsiaTheme="minorEastAsia"/>
          <w:szCs w:val="21"/>
        </w:rPr>
        <w:t>投标文件格式</w:t>
      </w:r>
      <w:r>
        <w:rPr>
          <w:rFonts w:asciiTheme="minorEastAsia" w:hAnsiTheme="minorEastAsia" w:eastAsiaTheme="minorEastAsia"/>
          <w:szCs w:val="21"/>
        </w:rPr>
        <w:t>”</w:t>
      </w:r>
      <w:r>
        <w:rPr>
          <w:rFonts w:hint="eastAsia" w:asciiTheme="minorEastAsia" w:hAnsiTheme="minorEastAsia" w:eastAsiaTheme="minorEastAsia"/>
          <w:szCs w:val="21"/>
        </w:rPr>
        <w:t>进行编写，如有必要，可以增加附页，作为投标文件的组成部分。其中，投标函附录在满足招标文件实质性要求的基础上，可以提出比招标文件要求更有利于招标人的承诺。</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3.6.2 </w:t>
      </w:r>
      <w:r>
        <w:rPr>
          <w:rFonts w:hint="eastAsia" w:asciiTheme="minorEastAsia" w:hAnsiTheme="minorEastAsia" w:eastAsiaTheme="minorEastAsia"/>
          <w:szCs w:val="21"/>
        </w:rPr>
        <w:t>投标文件应当对招标文件有关工期、投标有效期、质量要求、技术标准和要求、招标范围等实质性内容作出响应。</w:t>
      </w:r>
      <w:r>
        <w:rPr>
          <w:rFonts w:asciiTheme="minorEastAsia" w:hAnsiTheme="minorEastAsia" w:eastAsiaTheme="minorEastAsia"/>
          <w:szCs w:val="21"/>
        </w:rPr>
        <w:t xml:space="preserve"> </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3.6.3 </w:t>
      </w:r>
      <w:r>
        <w:rPr>
          <w:rFonts w:hint="eastAsia" w:asciiTheme="minorEastAsia" w:hAnsiTheme="minorEastAsia" w:eastAsiaTheme="minorEastAsia"/>
          <w:szCs w:val="21"/>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3.6.4 </w:t>
      </w:r>
      <w:r>
        <w:rPr>
          <w:rFonts w:hint="eastAsia" w:asciiTheme="minorEastAsia" w:hAnsiTheme="minorEastAsia" w:eastAsiaTheme="minorEastAsia"/>
          <w:szCs w:val="21"/>
        </w:rPr>
        <w:t>投标文件正本一份，副本份数见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。正本和副本的封面上应清楚地标记</w:t>
      </w:r>
      <w:r>
        <w:rPr>
          <w:rFonts w:asciiTheme="minorEastAsia" w:hAnsiTheme="minorEastAsia" w:eastAsiaTheme="minorEastAsia"/>
          <w:szCs w:val="21"/>
        </w:rPr>
        <w:t>“</w:t>
      </w:r>
      <w:r>
        <w:rPr>
          <w:rFonts w:hint="eastAsia" w:asciiTheme="minorEastAsia" w:hAnsiTheme="minorEastAsia" w:eastAsiaTheme="minorEastAsia"/>
          <w:szCs w:val="21"/>
        </w:rPr>
        <w:t>正本</w:t>
      </w:r>
      <w:r>
        <w:rPr>
          <w:rFonts w:asciiTheme="minorEastAsia" w:hAnsiTheme="minorEastAsia" w:eastAsiaTheme="minorEastAsia"/>
          <w:szCs w:val="21"/>
        </w:rPr>
        <w:t>”</w:t>
      </w:r>
      <w:r>
        <w:rPr>
          <w:rFonts w:hint="eastAsia" w:asciiTheme="minorEastAsia" w:hAnsiTheme="minorEastAsia" w:eastAsiaTheme="minorEastAsia"/>
          <w:szCs w:val="21"/>
        </w:rPr>
        <w:t>或</w:t>
      </w:r>
      <w:r>
        <w:rPr>
          <w:rFonts w:asciiTheme="minorEastAsia" w:hAnsiTheme="minorEastAsia" w:eastAsiaTheme="minorEastAsia"/>
          <w:szCs w:val="21"/>
        </w:rPr>
        <w:t>“</w:t>
      </w:r>
      <w:r>
        <w:rPr>
          <w:rFonts w:hint="eastAsia" w:asciiTheme="minorEastAsia" w:hAnsiTheme="minorEastAsia" w:eastAsiaTheme="minorEastAsia"/>
          <w:szCs w:val="21"/>
        </w:rPr>
        <w:t>副本</w:t>
      </w:r>
      <w:r>
        <w:rPr>
          <w:rFonts w:asciiTheme="minorEastAsia" w:hAnsiTheme="minorEastAsia" w:eastAsiaTheme="minorEastAsia"/>
          <w:szCs w:val="21"/>
        </w:rPr>
        <w:t>”</w:t>
      </w:r>
      <w:r>
        <w:rPr>
          <w:rFonts w:hint="eastAsia" w:asciiTheme="minorEastAsia" w:hAnsiTheme="minorEastAsia" w:eastAsiaTheme="minorEastAsia"/>
          <w:szCs w:val="21"/>
        </w:rPr>
        <w:t>的字样。当副本和正本不一致时，以正本为准。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3.6.5 </w:t>
      </w:r>
      <w:r>
        <w:rPr>
          <w:rFonts w:hint="eastAsia" w:asciiTheme="minorEastAsia" w:hAnsiTheme="minorEastAsia" w:eastAsiaTheme="minorEastAsia"/>
          <w:szCs w:val="21"/>
        </w:rPr>
        <w:t>投标文件应编制目录，具体装订要求见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w:t>
      </w:r>
    </w:p>
    <w:p>
      <w:pPr>
        <w:pStyle w:val="4"/>
        <w:spacing w:line="560" w:lineRule="exact"/>
        <w:ind w:firstLine="643" w:firstLineChars="200"/>
        <w:rPr>
          <w:rFonts w:asciiTheme="minorEastAsia" w:hAnsiTheme="minorEastAsia" w:eastAsiaTheme="minorEastAsia"/>
        </w:rPr>
      </w:pPr>
      <w:bookmarkStart w:id="78" w:name="_Toc493793379"/>
      <w:bookmarkStart w:id="79" w:name="_Toc389065169"/>
      <w:r>
        <w:rPr>
          <w:rFonts w:asciiTheme="minorEastAsia" w:hAnsiTheme="minorEastAsia" w:eastAsiaTheme="minorEastAsia"/>
        </w:rPr>
        <w:t xml:space="preserve">4 </w:t>
      </w:r>
      <w:r>
        <w:rPr>
          <w:rFonts w:hint="eastAsia" w:asciiTheme="minorEastAsia" w:hAnsiTheme="minorEastAsia" w:eastAsiaTheme="minorEastAsia"/>
        </w:rPr>
        <w:t>投标</w:t>
      </w:r>
      <w:bookmarkEnd w:id="78"/>
      <w:bookmarkEnd w:id="79"/>
    </w:p>
    <w:p>
      <w:pPr>
        <w:pStyle w:val="5"/>
        <w:spacing w:line="560" w:lineRule="exact"/>
        <w:ind w:firstLine="643" w:firstLineChars="200"/>
        <w:rPr>
          <w:rFonts w:asciiTheme="minorEastAsia" w:hAnsiTheme="minorEastAsia" w:eastAsiaTheme="minorEastAsia"/>
        </w:rPr>
      </w:pPr>
      <w:bookmarkStart w:id="80" w:name="_Toc389065170"/>
      <w:bookmarkStart w:id="81" w:name="_Toc493793380"/>
      <w:r>
        <w:rPr>
          <w:rFonts w:asciiTheme="minorEastAsia" w:hAnsiTheme="minorEastAsia" w:eastAsiaTheme="minorEastAsia"/>
        </w:rPr>
        <w:t xml:space="preserve">4.1 </w:t>
      </w:r>
      <w:r>
        <w:rPr>
          <w:rFonts w:hint="eastAsia" w:asciiTheme="minorEastAsia" w:hAnsiTheme="minorEastAsia" w:eastAsiaTheme="minorEastAsia"/>
        </w:rPr>
        <w:t>投标文件的密封和标记</w:t>
      </w:r>
      <w:bookmarkEnd w:id="80"/>
      <w:bookmarkEnd w:id="81"/>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4.1.1 </w:t>
      </w:r>
      <w:r>
        <w:rPr>
          <w:rFonts w:hint="eastAsia" w:asciiTheme="minorEastAsia" w:hAnsiTheme="minorEastAsia" w:eastAsiaTheme="minorEastAsia"/>
          <w:szCs w:val="21"/>
        </w:rPr>
        <w:t>投标文件应按</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的要求进行包装，加贴封条，并在封套的封口处加盖投标人单位公章。</w:t>
      </w:r>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 xml:space="preserve">4.1.2 </w:t>
      </w:r>
      <w:r>
        <w:rPr>
          <w:rFonts w:hint="eastAsia" w:asciiTheme="minorEastAsia" w:hAnsiTheme="minorEastAsia" w:eastAsiaTheme="minorEastAsia"/>
          <w:szCs w:val="21"/>
        </w:rPr>
        <w:t>投标文件封套上应写明的其他内容见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82" w:name="_Toc389065171"/>
      <w:bookmarkStart w:id="83" w:name="_Toc493793381"/>
      <w:r>
        <w:rPr>
          <w:rFonts w:asciiTheme="minorEastAsia" w:hAnsiTheme="minorEastAsia" w:eastAsiaTheme="minorEastAsia"/>
        </w:rPr>
        <w:t xml:space="preserve">4.2 </w:t>
      </w:r>
      <w:r>
        <w:rPr>
          <w:rFonts w:hint="eastAsia" w:asciiTheme="minorEastAsia" w:hAnsiTheme="minorEastAsia" w:eastAsiaTheme="minorEastAsia"/>
        </w:rPr>
        <w:t>投标文件的递交</w:t>
      </w:r>
      <w:bookmarkEnd w:id="82"/>
      <w:bookmarkEnd w:id="83"/>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4.2.1 </w:t>
      </w:r>
      <w:r>
        <w:rPr>
          <w:rFonts w:hint="eastAsia" w:asciiTheme="minorEastAsia" w:hAnsiTheme="minorEastAsia" w:eastAsiaTheme="minorEastAsia"/>
          <w:szCs w:val="21"/>
        </w:rPr>
        <w:t>投标人应在本章第</w:t>
      </w:r>
      <w:r>
        <w:rPr>
          <w:rFonts w:asciiTheme="minorEastAsia" w:hAnsiTheme="minorEastAsia" w:eastAsiaTheme="minorEastAsia"/>
          <w:szCs w:val="21"/>
        </w:rPr>
        <w:t>2.2.2</w:t>
      </w:r>
      <w:r>
        <w:rPr>
          <w:rFonts w:hint="eastAsia" w:asciiTheme="minorEastAsia" w:hAnsiTheme="minorEastAsia" w:eastAsiaTheme="minorEastAsia"/>
          <w:szCs w:val="21"/>
        </w:rPr>
        <w:t>项规定的投标截止时间前递交投标文件。</w:t>
      </w:r>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 xml:space="preserve">4.2.2 </w:t>
      </w:r>
      <w:r>
        <w:rPr>
          <w:rFonts w:hint="eastAsia" w:asciiTheme="minorEastAsia" w:hAnsiTheme="minorEastAsia" w:eastAsiaTheme="minorEastAsia"/>
          <w:szCs w:val="21"/>
        </w:rPr>
        <w:t>投标人递交投标文件的地点：见“投标人须知前附表”。</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4.2.3 </w:t>
      </w:r>
      <w:r>
        <w:rPr>
          <w:rFonts w:hint="eastAsia" w:asciiTheme="minorEastAsia" w:hAnsiTheme="minorEastAsia" w:eastAsiaTheme="minorEastAsia"/>
          <w:szCs w:val="21"/>
        </w:rPr>
        <w:t>除“投标人须知前附表”另有规定外，投标人所递交的投标文件不予退还。</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4.2.4 </w:t>
      </w:r>
      <w:r>
        <w:rPr>
          <w:rFonts w:hint="eastAsia" w:asciiTheme="minorEastAsia" w:hAnsiTheme="minorEastAsia" w:eastAsiaTheme="minorEastAsia"/>
          <w:szCs w:val="21"/>
        </w:rPr>
        <w:t>招标代理机构收到投标文件后，向投标人出具签收凭证。</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4.2.5 </w:t>
      </w:r>
      <w:r>
        <w:rPr>
          <w:rFonts w:hint="eastAsia" w:asciiTheme="minorEastAsia" w:hAnsiTheme="minorEastAsia" w:eastAsiaTheme="minorEastAsia"/>
          <w:szCs w:val="21"/>
        </w:rPr>
        <w:t>逾期送达的或者未送达指定地点的投标文件，招标人不予受理。</w:t>
      </w:r>
    </w:p>
    <w:p>
      <w:pPr>
        <w:pStyle w:val="5"/>
        <w:spacing w:line="560" w:lineRule="exact"/>
        <w:ind w:firstLine="643" w:firstLineChars="200"/>
        <w:rPr>
          <w:rFonts w:asciiTheme="minorEastAsia" w:hAnsiTheme="minorEastAsia" w:eastAsiaTheme="minorEastAsia"/>
        </w:rPr>
      </w:pPr>
      <w:bookmarkStart w:id="84" w:name="_Toc389065172"/>
      <w:bookmarkStart w:id="85" w:name="_Toc493793382"/>
      <w:r>
        <w:rPr>
          <w:rFonts w:asciiTheme="minorEastAsia" w:hAnsiTheme="minorEastAsia" w:eastAsiaTheme="minorEastAsia"/>
        </w:rPr>
        <w:t xml:space="preserve">4.3 </w:t>
      </w:r>
      <w:r>
        <w:rPr>
          <w:rFonts w:hint="eastAsia" w:asciiTheme="minorEastAsia" w:hAnsiTheme="minorEastAsia" w:eastAsiaTheme="minorEastAsia"/>
        </w:rPr>
        <w:t>投标文件的修改与撤回</w:t>
      </w:r>
      <w:bookmarkEnd w:id="84"/>
      <w:bookmarkEnd w:id="85"/>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4.3.1 </w:t>
      </w:r>
      <w:r>
        <w:rPr>
          <w:rFonts w:hint="eastAsia" w:asciiTheme="minorEastAsia" w:hAnsiTheme="minorEastAsia" w:eastAsiaTheme="minorEastAsia"/>
          <w:szCs w:val="21"/>
        </w:rPr>
        <w:t>在本章第</w:t>
      </w:r>
      <w:r>
        <w:rPr>
          <w:rFonts w:asciiTheme="minorEastAsia" w:hAnsiTheme="minorEastAsia" w:eastAsiaTheme="minorEastAsia"/>
          <w:szCs w:val="21"/>
        </w:rPr>
        <w:t xml:space="preserve">2.2.2 </w:t>
      </w:r>
      <w:r>
        <w:rPr>
          <w:rFonts w:hint="eastAsia" w:asciiTheme="minorEastAsia" w:hAnsiTheme="minorEastAsia" w:eastAsiaTheme="minorEastAsia"/>
          <w:szCs w:val="21"/>
        </w:rPr>
        <w:t>款规定的投标截止时间前，投标人可以修改或撤回已递交的投标文件，但应以书面形式通知招标人。</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4.3.2 </w:t>
      </w:r>
      <w:r>
        <w:rPr>
          <w:rFonts w:hint="eastAsia" w:asciiTheme="minorEastAsia" w:hAnsiTheme="minorEastAsia" w:eastAsiaTheme="minorEastAsia"/>
          <w:szCs w:val="21"/>
        </w:rPr>
        <w:t>投标人修改或撤回已递交投标文件的书面通知，应按照本章第</w:t>
      </w:r>
      <w:r>
        <w:rPr>
          <w:rFonts w:asciiTheme="minorEastAsia" w:hAnsiTheme="minorEastAsia" w:eastAsiaTheme="minorEastAsia"/>
          <w:szCs w:val="21"/>
        </w:rPr>
        <w:t>3.6.3</w:t>
      </w:r>
      <w:r>
        <w:rPr>
          <w:rFonts w:hint="eastAsia" w:asciiTheme="minorEastAsia" w:hAnsiTheme="minorEastAsia" w:eastAsiaTheme="minorEastAsia"/>
          <w:szCs w:val="21"/>
        </w:rPr>
        <w:t>款的要求签字和盖章。招标人收到书面通知后，向投标人出具签收凭证。</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4.3.3 </w:t>
      </w:r>
      <w:r>
        <w:rPr>
          <w:rFonts w:hint="eastAsia" w:asciiTheme="minorEastAsia" w:hAnsiTheme="minorEastAsia" w:eastAsiaTheme="minorEastAsia"/>
          <w:szCs w:val="21"/>
        </w:rPr>
        <w:t>修改的内容为投标文件的组成部分。修改的投标文件应按照本章第</w:t>
      </w:r>
      <w:r>
        <w:rPr>
          <w:rFonts w:asciiTheme="minorEastAsia" w:hAnsiTheme="minorEastAsia" w:eastAsiaTheme="minorEastAsia"/>
          <w:szCs w:val="21"/>
        </w:rPr>
        <w:t>3.6</w:t>
      </w:r>
      <w:r>
        <w:rPr>
          <w:rFonts w:hint="eastAsia" w:asciiTheme="minorEastAsia" w:hAnsiTheme="minorEastAsia" w:eastAsiaTheme="minorEastAsia"/>
          <w:szCs w:val="21"/>
        </w:rPr>
        <w:t>款和第</w:t>
      </w:r>
      <w:r>
        <w:rPr>
          <w:rFonts w:asciiTheme="minorEastAsia" w:hAnsiTheme="minorEastAsia" w:eastAsiaTheme="minorEastAsia"/>
          <w:szCs w:val="21"/>
        </w:rPr>
        <w:t>4</w:t>
      </w:r>
      <w:r>
        <w:rPr>
          <w:rFonts w:hint="eastAsia" w:asciiTheme="minorEastAsia" w:hAnsiTheme="minorEastAsia" w:eastAsiaTheme="minorEastAsia"/>
          <w:szCs w:val="21"/>
        </w:rPr>
        <w:t>款规定进行编制、密封、标记和递交，并标明</w:t>
      </w:r>
      <w:r>
        <w:rPr>
          <w:rFonts w:asciiTheme="minorEastAsia" w:hAnsiTheme="minorEastAsia" w:eastAsiaTheme="minorEastAsia"/>
          <w:szCs w:val="21"/>
        </w:rPr>
        <w:t>“</w:t>
      </w:r>
      <w:r>
        <w:rPr>
          <w:rFonts w:hint="eastAsia" w:asciiTheme="minorEastAsia" w:hAnsiTheme="minorEastAsia" w:eastAsiaTheme="minorEastAsia"/>
          <w:szCs w:val="21"/>
        </w:rPr>
        <w:t>修改</w:t>
      </w:r>
      <w:r>
        <w:rPr>
          <w:rFonts w:asciiTheme="minorEastAsia" w:hAnsiTheme="minorEastAsia" w:eastAsiaTheme="minorEastAsia"/>
          <w:szCs w:val="21"/>
        </w:rPr>
        <w:t>”</w:t>
      </w:r>
      <w:r>
        <w:rPr>
          <w:rFonts w:hint="eastAsia" w:asciiTheme="minorEastAsia" w:hAnsiTheme="minorEastAsia" w:eastAsiaTheme="minorEastAsia"/>
          <w:szCs w:val="21"/>
        </w:rPr>
        <w:t>字样。</w:t>
      </w:r>
    </w:p>
    <w:p>
      <w:pPr>
        <w:pStyle w:val="4"/>
        <w:spacing w:line="560" w:lineRule="exact"/>
        <w:ind w:firstLine="643" w:firstLineChars="200"/>
        <w:rPr>
          <w:rFonts w:asciiTheme="minorEastAsia" w:hAnsiTheme="minorEastAsia" w:eastAsiaTheme="minorEastAsia"/>
        </w:rPr>
      </w:pPr>
      <w:bookmarkStart w:id="86" w:name="_Toc493793383"/>
      <w:bookmarkStart w:id="87" w:name="_Toc389065173"/>
      <w:r>
        <w:rPr>
          <w:rFonts w:asciiTheme="minorEastAsia" w:hAnsiTheme="minorEastAsia" w:eastAsiaTheme="minorEastAsia"/>
        </w:rPr>
        <w:t xml:space="preserve">5 </w:t>
      </w:r>
      <w:r>
        <w:rPr>
          <w:rFonts w:hint="eastAsia" w:asciiTheme="minorEastAsia" w:hAnsiTheme="minorEastAsia" w:eastAsiaTheme="minorEastAsia"/>
        </w:rPr>
        <w:t>开标</w:t>
      </w:r>
      <w:bookmarkEnd w:id="86"/>
      <w:bookmarkEnd w:id="87"/>
    </w:p>
    <w:p>
      <w:pPr>
        <w:pStyle w:val="5"/>
        <w:spacing w:line="560" w:lineRule="exact"/>
        <w:ind w:firstLine="643" w:firstLineChars="200"/>
        <w:rPr>
          <w:rFonts w:asciiTheme="minorEastAsia" w:hAnsiTheme="minorEastAsia" w:eastAsiaTheme="minorEastAsia"/>
        </w:rPr>
      </w:pPr>
      <w:bookmarkStart w:id="88" w:name="_Toc493793384"/>
      <w:bookmarkStart w:id="89" w:name="_Toc389065174"/>
      <w:r>
        <w:rPr>
          <w:rFonts w:asciiTheme="minorEastAsia" w:hAnsiTheme="minorEastAsia" w:eastAsiaTheme="minorEastAsia"/>
        </w:rPr>
        <w:t xml:space="preserve">5.1 </w:t>
      </w:r>
      <w:r>
        <w:rPr>
          <w:rFonts w:hint="eastAsia" w:asciiTheme="minorEastAsia" w:hAnsiTheme="minorEastAsia" w:eastAsiaTheme="minorEastAsia"/>
        </w:rPr>
        <w:t>开标时间和地点</w:t>
      </w:r>
      <w:bookmarkEnd w:id="88"/>
      <w:bookmarkEnd w:id="89"/>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招标人在本章第</w:t>
      </w:r>
      <w:r>
        <w:rPr>
          <w:rFonts w:asciiTheme="minorEastAsia" w:hAnsiTheme="minorEastAsia" w:eastAsiaTheme="minorEastAsia"/>
          <w:szCs w:val="21"/>
        </w:rPr>
        <w:t>2.2.2</w:t>
      </w:r>
      <w:r>
        <w:rPr>
          <w:rFonts w:hint="eastAsia" w:asciiTheme="minorEastAsia" w:hAnsiTheme="minorEastAsia" w:eastAsiaTheme="minorEastAsia"/>
          <w:szCs w:val="21"/>
        </w:rPr>
        <w:t>款规定的投标截止时间（开标时间）和</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”4.2.2</w:t>
      </w:r>
      <w:r>
        <w:rPr>
          <w:rFonts w:hint="eastAsia" w:asciiTheme="minorEastAsia" w:hAnsiTheme="minorEastAsia" w:eastAsiaTheme="minorEastAsia"/>
          <w:szCs w:val="21"/>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开标会由招标人或其委托的招标代理机构主持。</w:t>
      </w:r>
    </w:p>
    <w:p>
      <w:pPr>
        <w:pStyle w:val="5"/>
        <w:spacing w:line="560" w:lineRule="exact"/>
        <w:ind w:firstLine="643" w:firstLineChars="200"/>
        <w:rPr>
          <w:rFonts w:asciiTheme="minorEastAsia" w:hAnsiTheme="minorEastAsia" w:eastAsiaTheme="minorEastAsia"/>
        </w:rPr>
      </w:pPr>
      <w:bookmarkStart w:id="90" w:name="_Toc389065175"/>
      <w:bookmarkStart w:id="91" w:name="_Toc493793385"/>
      <w:r>
        <w:rPr>
          <w:rFonts w:asciiTheme="minorEastAsia" w:hAnsiTheme="minorEastAsia" w:eastAsiaTheme="minorEastAsia"/>
        </w:rPr>
        <w:t xml:space="preserve">5.2 </w:t>
      </w:r>
      <w:r>
        <w:rPr>
          <w:rFonts w:hint="eastAsia" w:asciiTheme="minorEastAsia" w:hAnsiTheme="minorEastAsia" w:eastAsiaTheme="minorEastAsia"/>
        </w:rPr>
        <w:t>开标程序</w:t>
      </w:r>
      <w:bookmarkEnd w:id="90"/>
      <w:bookmarkEnd w:id="91"/>
    </w:p>
    <w:p>
      <w:pPr>
        <w:spacing w:line="560" w:lineRule="exact"/>
        <w:ind w:firstLine="420" w:firstLineChars="200"/>
        <w:rPr>
          <w:rFonts w:asciiTheme="minorEastAsia" w:hAnsiTheme="minorEastAsia" w:eastAsiaTheme="minorEastAsia"/>
          <w:szCs w:val="21"/>
        </w:rPr>
      </w:pPr>
      <w:bookmarkStart w:id="92" w:name="_Toc389065176"/>
      <w:r>
        <w:rPr>
          <w:rFonts w:hint="eastAsia" w:asciiTheme="minorEastAsia" w:hAnsiTheme="minorEastAsia" w:eastAsiaTheme="minorEastAsia"/>
          <w:szCs w:val="21"/>
        </w:rPr>
        <w:t>主持人按“投标人须知前附表”确定的以下程序进行开标：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方式一：技术标明标开标程序</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cs="宋体" w:asciiTheme="minorEastAsia" w:hAnsiTheme="minorEastAsia" w:eastAsiaTheme="minorEastAsia"/>
          <w:szCs w:val="21"/>
          <w:shd w:val="clear" w:color="auto" w:fill="FFFFFF"/>
        </w:rPr>
        <w:t>宣布在提交投标文件截止时间前收到的投标文件数量；</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）宣布开标纪律，开标人、唱标人、记录人、监督人等有关人员名单；</w:t>
      </w:r>
      <w:r>
        <w:rPr>
          <w:rFonts w:asciiTheme="minorEastAsia" w:hAnsiTheme="minorEastAsia" w:eastAsiaTheme="minorEastAsia"/>
          <w:szCs w:val="21"/>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）公布在投标截止时间前递交投标文件的投标人名称，点名确认投标人是否派人到场，否则退回其投标文件，并制作记录；</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由招标人代表和监督人员检查投标人的资格证件（包括法定代表人身份证明原件（企业法定代表人参加投标会时检查）或委托代理投标相关证明（附法定代表人身份证明的授权委托书原件、受委托的专职投标员身份证原件，委托代理人参加投标会时检查）、投标保证金提交收据（如有）、转账（电汇）底单原件（电子转账的底单原件可采用彩色打印加盖转账单位公章）”、银行保函原件、工程担保原件或工程保证保险原件），如资格证件检查不通过，则退回其投标文件，并制作记录。投标人代表检查投标文件的密封情况；</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）按照</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的规定确定并宣布投标文件开标顺序；</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）公布招标控制价及相关内容；</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）公布投标人名称、标段名称、投标保证金的递交情况、投标报价、质量目标、工期及其他内容，并制作记录；</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）投标人代表随机抽取</w:t>
      </w:r>
      <w:r>
        <w:rPr>
          <w:rFonts w:asciiTheme="minorEastAsia" w:hAnsiTheme="minorEastAsia" w:eastAsiaTheme="minorEastAsia"/>
          <w:szCs w:val="21"/>
        </w:rPr>
        <w:t>K</w:t>
      </w:r>
      <w:r>
        <w:rPr>
          <w:rFonts w:hint="eastAsia" w:asciiTheme="minorEastAsia" w:hAnsiTheme="minorEastAsia" w:eastAsiaTheme="minorEastAsia"/>
          <w:szCs w:val="21"/>
        </w:rPr>
        <w:t>值（如有）；</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）投标人代表、招标人代表、记录人以及有关监督人员在开标记录上签字确认，并存档备查；</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）开标结束。</w:t>
      </w:r>
    </w:p>
    <w:p>
      <w:pPr>
        <w:pStyle w:val="5"/>
        <w:spacing w:line="560" w:lineRule="exact"/>
        <w:ind w:firstLine="643" w:firstLineChars="200"/>
        <w:rPr>
          <w:rFonts w:asciiTheme="minorEastAsia" w:hAnsiTheme="minorEastAsia" w:eastAsiaTheme="minorEastAsia"/>
        </w:rPr>
      </w:pPr>
      <w:bookmarkStart w:id="93" w:name="_Toc493793386"/>
      <w:r>
        <w:rPr>
          <w:rFonts w:asciiTheme="minorEastAsia" w:hAnsiTheme="minorEastAsia" w:eastAsiaTheme="minorEastAsia"/>
        </w:rPr>
        <w:t xml:space="preserve">5.3 </w:t>
      </w:r>
      <w:r>
        <w:rPr>
          <w:rFonts w:hint="eastAsia" w:asciiTheme="minorEastAsia" w:hAnsiTheme="minorEastAsia" w:eastAsiaTheme="minorEastAsia"/>
        </w:rPr>
        <w:t>不予开标</w:t>
      </w:r>
      <w:bookmarkEnd w:id="92"/>
      <w:bookmarkEnd w:id="93"/>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符合下列情况之一的投标，招标人拒绝受理或在开标时当场拒绝其投标，不得进入评标：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）投标文件逾期送达的或者未送达指定地点的；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）投标文件未按招标文件要求密封和标记的；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）投标人法定代表人或其授权的专职投标员未按时出席开标会。</w:t>
      </w:r>
    </w:p>
    <w:p>
      <w:pPr>
        <w:pStyle w:val="5"/>
        <w:spacing w:line="560" w:lineRule="exact"/>
        <w:ind w:firstLine="643" w:firstLineChars="200"/>
        <w:rPr>
          <w:rFonts w:asciiTheme="minorEastAsia" w:hAnsiTheme="minorEastAsia" w:eastAsiaTheme="minorEastAsia"/>
          <w:b w:val="0"/>
          <w:bCs/>
        </w:rPr>
      </w:pPr>
      <w:bookmarkStart w:id="94" w:name="_Toc493793387"/>
      <w:r>
        <w:rPr>
          <w:rFonts w:asciiTheme="minorEastAsia" w:hAnsiTheme="minorEastAsia" w:eastAsiaTheme="minorEastAsia"/>
        </w:rPr>
        <w:t xml:space="preserve">5.4 </w:t>
      </w:r>
      <w:r>
        <w:rPr>
          <w:rFonts w:hint="eastAsia" w:asciiTheme="minorEastAsia" w:hAnsiTheme="minorEastAsia" w:eastAsiaTheme="minorEastAsia"/>
        </w:rPr>
        <w:t>开标异议</w:t>
      </w:r>
      <w:bookmarkEnd w:id="94"/>
      <w:r>
        <w:rPr>
          <w:rFonts w:asciiTheme="minorEastAsia" w:hAnsiTheme="minorEastAsia" w:eastAsiaTheme="minorEastAsia"/>
        </w:rPr>
        <w:t xml:space="preserve">  </w:t>
      </w:r>
    </w:p>
    <w:p>
      <w:pPr>
        <w:pStyle w:val="21"/>
        <w:spacing w:line="5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投标人对开标有异议的，应当在开标现场提出，招标人应当场作出答复，并制作记录。</w:t>
      </w:r>
    </w:p>
    <w:p>
      <w:pPr>
        <w:pStyle w:val="4"/>
        <w:spacing w:line="560" w:lineRule="exact"/>
        <w:ind w:firstLine="643" w:firstLineChars="200"/>
        <w:rPr>
          <w:rFonts w:asciiTheme="minorEastAsia" w:hAnsiTheme="minorEastAsia" w:eastAsiaTheme="minorEastAsia"/>
        </w:rPr>
      </w:pPr>
      <w:bookmarkStart w:id="95" w:name="_Toc493793388"/>
      <w:bookmarkStart w:id="96" w:name="_Toc389065177"/>
      <w:r>
        <w:rPr>
          <w:rFonts w:asciiTheme="minorEastAsia" w:hAnsiTheme="minorEastAsia" w:eastAsiaTheme="minorEastAsia"/>
        </w:rPr>
        <w:t xml:space="preserve">6 </w:t>
      </w:r>
      <w:r>
        <w:rPr>
          <w:rFonts w:hint="eastAsia" w:asciiTheme="minorEastAsia" w:hAnsiTheme="minorEastAsia" w:eastAsiaTheme="minorEastAsia"/>
        </w:rPr>
        <w:t>评标</w:t>
      </w:r>
      <w:bookmarkEnd w:id="95"/>
      <w:bookmarkEnd w:id="96"/>
    </w:p>
    <w:p>
      <w:pPr>
        <w:pStyle w:val="5"/>
        <w:spacing w:line="560" w:lineRule="exact"/>
        <w:ind w:firstLine="643" w:firstLineChars="200"/>
        <w:rPr>
          <w:rFonts w:asciiTheme="minorEastAsia" w:hAnsiTheme="minorEastAsia" w:eastAsiaTheme="minorEastAsia"/>
        </w:rPr>
      </w:pPr>
      <w:bookmarkStart w:id="97" w:name="_Toc389065178"/>
      <w:bookmarkStart w:id="98" w:name="_Toc493793389"/>
      <w:r>
        <w:rPr>
          <w:rFonts w:asciiTheme="minorEastAsia" w:hAnsiTheme="minorEastAsia" w:eastAsiaTheme="minorEastAsia"/>
        </w:rPr>
        <w:t xml:space="preserve">6.1 </w:t>
      </w:r>
      <w:r>
        <w:rPr>
          <w:rFonts w:hint="eastAsia" w:asciiTheme="minorEastAsia" w:hAnsiTheme="minorEastAsia" w:eastAsiaTheme="minorEastAsia"/>
        </w:rPr>
        <w:t>评标委员会</w:t>
      </w:r>
      <w:bookmarkEnd w:id="97"/>
      <w:bookmarkEnd w:id="98"/>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 xml:space="preserve">6.1.1 </w:t>
      </w:r>
      <w:r>
        <w:rPr>
          <w:rFonts w:hint="eastAsia" w:asciiTheme="minorEastAsia" w:hAnsiTheme="minorEastAsia" w:eastAsiaTheme="minorEastAsia"/>
          <w:szCs w:val="21"/>
        </w:rPr>
        <w:t>评标由招标人依法组建的评标委员会负责。评标委员会成员人数以及技术、经济等方面专家的确定方式见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cs="宋体" w:asciiTheme="minorEastAsia" w:hAnsiTheme="minorEastAsia" w:eastAsiaTheme="minorEastAsia"/>
          <w:szCs w:val="21"/>
          <w:shd w:val="clear" w:color="auto" w:fill="FFFFFF"/>
        </w:rPr>
      </w:pPr>
      <w:r>
        <w:rPr>
          <w:rFonts w:asciiTheme="minorEastAsia" w:hAnsiTheme="minorEastAsia" w:eastAsiaTheme="minorEastAsia"/>
          <w:szCs w:val="21"/>
        </w:rPr>
        <w:t xml:space="preserve">6.1.2 </w:t>
      </w:r>
      <w:r>
        <w:rPr>
          <w:rFonts w:hint="eastAsia" w:cs="宋体" w:asciiTheme="minorEastAsia" w:hAnsiTheme="minorEastAsia" w:eastAsiaTheme="minorEastAsia"/>
          <w:szCs w:val="21"/>
          <w:shd w:val="clear" w:color="auto" w:fill="FFFFFF"/>
        </w:rPr>
        <w:t>有下列情形之一的，不得担任评标委员会成员：</w:t>
      </w:r>
    </w:p>
    <w:p>
      <w:pPr>
        <w:spacing w:line="560" w:lineRule="exact"/>
        <w:ind w:firstLine="420" w:firstLineChars="20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（一）投标人或者投标人主要负责人的近亲属；</w:t>
      </w:r>
    </w:p>
    <w:p>
      <w:pPr>
        <w:spacing w:line="560" w:lineRule="exact"/>
        <w:ind w:firstLine="420" w:firstLineChars="20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（二）招标项目主管部门或者招标投标行政监督部门的工作人员；</w:t>
      </w:r>
    </w:p>
    <w:p>
      <w:pPr>
        <w:spacing w:line="560" w:lineRule="exact"/>
        <w:ind w:firstLine="420" w:firstLineChars="20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（三）与投标人有经济利益关系，可能影响对投标公正评审的人员；</w:t>
      </w:r>
    </w:p>
    <w:p>
      <w:pPr>
        <w:spacing w:line="560" w:lineRule="exact"/>
        <w:ind w:firstLine="420" w:firstLineChars="20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（四）在招标投标活动中从事违法行为而受过行政处罚或者刑事处罚的人员；</w:t>
      </w:r>
    </w:p>
    <w:p>
      <w:pPr>
        <w:spacing w:line="560" w:lineRule="exact"/>
        <w:ind w:firstLine="420" w:firstLineChars="20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（五）与投标人有其他利害关系的人；</w:t>
      </w:r>
    </w:p>
    <w:p>
      <w:pPr>
        <w:pStyle w:val="5"/>
        <w:spacing w:line="560" w:lineRule="exact"/>
        <w:ind w:firstLine="643" w:firstLineChars="200"/>
        <w:rPr>
          <w:rFonts w:asciiTheme="minorEastAsia" w:hAnsiTheme="minorEastAsia" w:eastAsiaTheme="minorEastAsia"/>
        </w:rPr>
      </w:pPr>
      <w:bookmarkStart w:id="99" w:name="_Toc493793390"/>
      <w:bookmarkStart w:id="100" w:name="_Toc389065179"/>
      <w:r>
        <w:rPr>
          <w:rFonts w:asciiTheme="minorEastAsia" w:hAnsiTheme="minorEastAsia" w:eastAsiaTheme="minorEastAsia"/>
        </w:rPr>
        <w:t xml:space="preserve">6.2 </w:t>
      </w:r>
      <w:r>
        <w:rPr>
          <w:rFonts w:hint="eastAsia" w:asciiTheme="minorEastAsia" w:hAnsiTheme="minorEastAsia" w:eastAsiaTheme="minorEastAsia"/>
        </w:rPr>
        <w:t>评标原则</w:t>
      </w:r>
      <w:bookmarkEnd w:id="99"/>
      <w:bookmarkEnd w:id="100"/>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评标活动遵循公平、公正、科学和择优的原则。</w:t>
      </w:r>
    </w:p>
    <w:p>
      <w:pPr>
        <w:pStyle w:val="5"/>
        <w:spacing w:line="560" w:lineRule="exact"/>
        <w:ind w:firstLine="643" w:firstLineChars="200"/>
        <w:rPr>
          <w:rFonts w:asciiTheme="minorEastAsia" w:hAnsiTheme="minorEastAsia" w:eastAsiaTheme="minorEastAsia"/>
        </w:rPr>
      </w:pPr>
      <w:bookmarkStart w:id="101" w:name="_Toc389065180"/>
      <w:bookmarkStart w:id="102" w:name="_Toc493793391"/>
      <w:r>
        <w:rPr>
          <w:rFonts w:asciiTheme="minorEastAsia" w:hAnsiTheme="minorEastAsia" w:eastAsiaTheme="minorEastAsia"/>
        </w:rPr>
        <w:t xml:space="preserve">6.3 </w:t>
      </w:r>
      <w:r>
        <w:rPr>
          <w:rFonts w:hint="eastAsia" w:asciiTheme="minorEastAsia" w:hAnsiTheme="minorEastAsia" w:eastAsiaTheme="minorEastAsia"/>
        </w:rPr>
        <w:t>评标</w:t>
      </w:r>
      <w:bookmarkEnd w:id="101"/>
      <w:r>
        <w:rPr>
          <w:rFonts w:hint="eastAsia" w:asciiTheme="minorEastAsia" w:hAnsiTheme="minorEastAsia" w:eastAsiaTheme="minorEastAsia"/>
        </w:rPr>
        <w:t>方式</w:t>
      </w:r>
      <w:bookmarkEnd w:id="102"/>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评标委员会按照第三章</w:t>
      </w:r>
      <w:r>
        <w:rPr>
          <w:rFonts w:asciiTheme="minorEastAsia" w:hAnsiTheme="minorEastAsia" w:eastAsiaTheme="minorEastAsia"/>
          <w:szCs w:val="21"/>
        </w:rPr>
        <w:t>“</w:t>
      </w:r>
      <w:r>
        <w:rPr>
          <w:rFonts w:hint="eastAsia" w:asciiTheme="minorEastAsia" w:hAnsiTheme="minorEastAsia" w:eastAsiaTheme="minorEastAsia"/>
          <w:szCs w:val="21"/>
        </w:rPr>
        <w:t>评标办法</w:t>
      </w:r>
      <w:r>
        <w:rPr>
          <w:rFonts w:asciiTheme="minorEastAsia" w:hAnsiTheme="minorEastAsia" w:eastAsiaTheme="minorEastAsia"/>
          <w:szCs w:val="21"/>
        </w:rPr>
        <w:t>”</w:t>
      </w:r>
      <w:r>
        <w:rPr>
          <w:rFonts w:hint="eastAsia" w:asciiTheme="minorEastAsia" w:hAnsiTheme="minorEastAsia" w:eastAsiaTheme="minorEastAsia"/>
          <w:szCs w:val="21"/>
        </w:rPr>
        <w:t>规定的方法、评审因素、标准和程序对投标文件进行评审。第三章</w:t>
      </w:r>
      <w:r>
        <w:rPr>
          <w:rFonts w:asciiTheme="minorEastAsia" w:hAnsiTheme="minorEastAsia" w:eastAsiaTheme="minorEastAsia"/>
          <w:szCs w:val="21"/>
        </w:rPr>
        <w:t>“</w:t>
      </w:r>
      <w:r>
        <w:rPr>
          <w:rFonts w:hint="eastAsia" w:asciiTheme="minorEastAsia" w:hAnsiTheme="minorEastAsia" w:eastAsiaTheme="minorEastAsia"/>
          <w:szCs w:val="21"/>
        </w:rPr>
        <w:t>评标办法</w:t>
      </w:r>
      <w:r>
        <w:rPr>
          <w:rFonts w:asciiTheme="minorEastAsia" w:hAnsiTheme="minorEastAsia" w:eastAsiaTheme="minorEastAsia"/>
          <w:szCs w:val="21"/>
        </w:rPr>
        <w:t>”</w:t>
      </w:r>
      <w:r>
        <w:rPr>
          <w:rFonts w:hint="eastAsia" w:asciiTheme="minorEastAsia" w:hAnsiTheme="minorEastAsia" w:eastAsiaTheme="minorEastAsia"/>
          <w:szCs w:val="21"/>
        </w:rPr>
        <w:t>没有规定的方法、评审因素和标准，不作为评标依据。具体评标方式见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103" w:name="_Toc389065181"/>
      <w:bookmarkStart w:id="104" w:name="_Toc493793392"/>
      <w:r>
        <w:rPr>
          <w:rFonts w:asciiTheme="minorEastAsia" w:hAnsiTheme="minorEastAsia" w:eastAsiaTheme="minorEastAsia"/>
        </w:rPr>
        <w:t xml:space="preserve">6.4 </w:t>
      </w:r>
      <w:r>
        <w:rPr>
          <w:rFonts w:hint="eastAsia" w:asciiTheme="minorEastAsia" w:hAnsiTheme="minorEastAsia" w:eastAsiaTheme="minorEastAsia"/>
        </w:rPr>
        <w:t>移交评标资料</w:t>
      </w:r>
      <w:bookmarkEnd w:id="103"/>
      <w:bookmarkEnd w:id="104"/>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评标委员会完成评标后，立即向招标人提交书面评标报告和中标候选人名单（授权评标委员会确定中标人时为中标人名单），并同时移交所有评标涉及资料。</w:t>
      </w:r>
    </w:p>
    <w:p>
      <w:pPr>
        <w:pStyle w:val="5"/>
        <w:spacing w:line="560" w:lineRule="exact"/>
        <w:ind w:firstLine="643" w:firstLineChars="200"/>
        <w:rPr>
          <w:rFonts w:asciiTheme="minorEastAsia" w:hAnsiTheme="minorEastAsia" w:eastAsiaTheme="minorEastAsia"/>
        </w:rPr>
      </w:pPr>
      <w:bookmarkStart w:id="105" w:name="_Toc493793393"/>
      <w:bookmarkStart w:id="106" w:name="_Toc389065182"/>
      <w:r>
        <w:rPr>
          <w:rFonts w:asciiTheme="minorEastAsia" w:hAnsiTheme="minorEastAsia" w:eastAsiaTheme="minorEastAsia"/>
        </w:rPr>
        <w:t xml:space="preserve">6.5 </w:t>
      </w:r>
      <w:r>
        <w:rPr>
          <w:rFonts w:hint="eastAsia" w:asciiTheme="minorEastAsia" w:hAnsiTheme="minorEastAsia" w:eastAsiaTheme="minorEastAsia"/>
        </w:rPr>
        <w:t>评标资料封存和启封</w:t>
      </w:r>
      <w:bookmarkEnd w:id="105"/>
      <w:bookmarkEnd w:id="106"/>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6.5.1 </w:t>
      </w:r>
      <w:r>
        <w:rPr>
          <w:rFonts w:hint="eastAsia" w:asciiTheme="minorEastAsia" w:hAnsiTheme="minorEastAsia" w:eastAsiaTheme="minorEastAsia"/>
          <w:szCs w:val="21"/>
        </w:rPr>
        <w:t>评标结束至中标通知书发放时，招标人按“投标人须知前附表”规定的封存方式封存评标资料，封存资料内容包括：</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）招标项目开评标资料原件：开标记录表、评标报告及其附件（含评标过程中形成的全部评标表格和清标表格）、投标人开标签到表、专家抽取表、专家签到表、评标纪律、业主委托书。</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）本项目所有投标人投标文件正本。</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）“投标人须知前附表”要求封存的其它材料。</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6.5.2 </w:t>
      </w:r>
      <w:r>
        <w:rPr>
          <w:rFonts w:hint="eastAsia" w:asciiTheme="minorEastAsia" w:hAnsiTheme="minorEastAsia" w:eastAsiaTheme="minorEastAsia"/>
          <w:szCs w:val="21"/>
        </w:rPr>
        <w:t>如在封存期间处理招标投标利害当事人提出异议或者投诉时需要启封评标资料的，应按当地招投标监督管理部门规定的程序启封。</w:t>
      </w:r>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 xml:space="preserve">6.5.3 </w:t>
      </w:r>
      <w:r>
        <w:rPr>
          <w:rFonts w:hint="eastAsia" w:asciiTheme="minorEastAsia" w:hAnsiTheme="minorEastAsia" w:eastAsiaTheme="minorEastAsia"/>
          <w:szCs w:val="21"/>
        </w:rPr>
        <w:t>评标资料封存和启封应符合当地招投标监督管理部门的规定。</w:t>
      </w:r>
      <w:bookmarkStart w:id="107" w:name="_Toc389065183"/>
    </w:p>
    <w:p>
      <w:pPr>
        <w:pStyle w:val="5"/>
        <w:spacing w:line="560" w:lineRule="exact"/>
        <w:ind w:firstLine="643" w:firstLineChars="200"/>
        <w:rPr>
          <w:rFonts w:asciiTheme="minorEastAsia" w:hAnsiTheme="minorEastAsia" w:eastAsiaTheme="minorEastAsia"/>
        </w:rPr>
      </w:pPr>
      <w:bookmarkStart w:id="108" w:name="_Toc493793394"/>
      <w:r>
        <w:rPr>
          <w:rFonts w:asciiTheme="minorEastAsia" w:hAnsiTheme="minorEastAsia" w:eastAsiaTheme="minorEastAsia"/>
        </w:rPr>
        <w:t xml:space="preserve">6.6 </w:t>
      </w:r>
      <w:bookmarkEnd w:id="107"/>
      <w:bookmarkEnd w:id="108"/>
      <w:r>
        <w:rPr>
          <w:rFonts w:hint="eastAsia" w:asciiTheme="minorEastAsia" w:hAnsiTheme="minorEastAsia" w:eastAsiaTheme="minorEastAsia"/>
          <w:szCs w:val="21"/>
        </w:rPr>
        <w:t>中标候选人公示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招标人在“投标人须知前附表”规定的媒介上发布中标候选人公示，公示期不少于</w:t>
      </w:r>
      <w:r>
        <w:rPr>
          <w:rFonts w:asciiTheme="minorEastAsia" w:hAnsiTheme="minorEastAsia" w:eastAsiaTheme="minorEastAsia"/>
          <w:szCs w:val="21"/>
        </w:rPr>
        <w:t>3</w:t>
      </w:r>
      <w:r>
        <w:rPr>
          <w:rFonts w:hint="eastAsia" w:asciiTheme="minorEastAsia" w:hAnsiTheme="minorEastAsia" w:eastAsiaTheme="minorEastAsia"/>
          <w:szCs w:val="21"/>
        </w:rPr>
        <w:t>个工作日。</w:t>
      </w:r>
    </w:p>
    <w:p>
      <w:pPr>
        <w:pStyle w:val="5"/>
        <w:spacing w:line="560" w:lineRule="exact"/>
        <w:ind w:firstLine="643" w:firstLineChars="200"/>
        <w:rPr>
          <w:rFonts w:asciiTheme="minorEastAsia" w:hAnsiTheme="minorEastAsia" w:eastAsiaTheme="minorEastAsia"/>
        </w:rPr>
      </w:pPr>
      <w:bookmarkStart w:id="109" w:name="_Toc493793395"/>
      <w:r>
        <w:rPr>
          <w:rFonts w:asciiTheme="minorEastAsia" w:hAnsiTheme="minorEastAsia" w:eastAsiaTheme="minorEastAsia"/>
        </w:rPr>
        <w:t>6.7</w:t>
      </w:r>
      <w:r>
        <w:rPr>
          <w:rFonts w:hint="eastAsia" w:asciiTheme="minorEastAsia" w:hAnsiTheme="minorEastAsia" w:eastAsiaTheme="minorEastAsia"/>
        </w:rPr>
        <w:t>履约能力审查</w:t>
      </w:r>
      <w:bookmarkEnd w:id="109"/>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如招标人认为中标候选人的经营、财务状况发生较大变化或者存在违法行为可能影响其履约能力的，应当在中标通知书发出前由原评标委员会按照招标文件规定的标准和方法审查确认。</w:t>
      </w:r>
    </w:p>
    <w:p>
      <w:pPr>
        <w:pStyle w:val="4"/>
        <w:spacing w:line="560" w:lineRule="exact"/>
        <w:ind w:firstLine="643" w:firstLineChars="200"/>
        <w:rPr>
          <w:rFonts w:asciiTheme="minorEastAsia" w:hAnsiTheme="minorEastAsia" w:eastAsiaTheme="minorEastAsia"/>
        </w:rPr>
      </w:pPr>
      <w:bookmarkStart w:id="110" w:name="_Toc389065184"/>
      <w:bookmarkStart w:id="111" w:name="_Toc493793396"/>
      <w:r>
        <w:rPr>
          <w:rFonts w:asciiTheme="minorEastAsia" w:hAnsiTheme="minorEastAsia" w:eastAsiaTheme="minorEastAsia"/>
        </w:rPr>
        <w:t xml:space="preserve">7 </w:t>
      </w:r>
      <w:r>
        <w:rPr>
          <w:rFonts w:hint="eastAsia" w:asciiTheme="minorEastAsia" w:hAnsiTheme="minorEastAsia" w:eastAsiaTheme="minorEastAsia"/>
        </w:rPr>
        <w:t>合同授予</w:t>
      </w:r>
      <w:bookmarkEnd w:id="110"/>
      <w:bookmarkEnd w:id="111"/>
    </w:p>
    <w:p>
      <w:pPr>
        <w:pStyle w:val="5"/>
        <w:spacing w:line="560" w:lineRule="exact"/>
        <w:ind w:firstLine="643" w:firstLineChars="200"/>
        <w:rPr>
          <w:rFonts w:asciiTheme="minorEastAsia" w:hAnsiTheme="minorEastAsia" w:eastAsiaTheme="minorEastAsia"/>
        </w:rPr>
      </w:pPr>
      <w:bookmarkStart w:id="112" w:name="_Toc493793397"/>
      <w:bookmarkStart w:id="113" w:name="_Toc389065185"/>
      <w:r>
        <w:rPr>
          <w:rFonts w:asciiTheme="minorEastAsia" w:hAnsiTheme="minorEastAsia" w:eastAsiaTheme="minorEastAsia"/>
        </w:rPr>
        <w:t xml:space="preserve">7.1 </w:t>
      </w:r>
      <w:r>
        <w:rPr>
          <w:rFonts w:hint="eastAsia" w:asciiTheme="minorEastAsia" w:hAnsiTheme="minorEastAsia" w:eastAsiaTheme="minorEastAsia"/>
        </w:rPr>
        <w:t>定标方式</w:t>
      </w:r>
      <w:bookmarkEnd w:id="112"/>
      <w:bookmarkEnd w:id="113"/>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规定评标委员会直接确定中标人外，招标人依据评标委员会推荐的中标候选人确定中标人，评标委员会推荐中标候选人的人数见</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5"/>
        <w:spacing w:line="560" w:lineRule="exact"/>
        <w:ind w:firstLine="643" w:firstLineChars="200"/>
        <w:rPr>
          <w:rFonts w:asciiTheme="minorEastAsia" w:hAnsiTheme="minorEastAsia" w:eastAsiaTheme="minorEastAsia"/>
        </w:rPr>
      </w:pPr>
      <w:bookmarkStart w:id="114" w:name="_Toc493793398"/>
      <w:bookmarkStart w:id="115" w:name="_Toc389065186"/>
      <w:r>
        <w:rPr>
          <w:rFonts w:asciiTheme="minorEastAsia" w:hAnsiTheme="minorEastAsia" w:eastAsiaTheme="minorEastAsia"/>
        </w:rPr>
        <w:t xml:space="preserve">7.2 </w:t>
      </w:r>
      <w:r>
        <w:rPr>
          <w:rFonts w:hint="eastAsia" w:asciiTheme="minorEastAsia" w:hAnsiTheme="minorEastAsia" w:eastAsiaTheme="minorEastAsia"/>
        </w:rPr>
        <w:t>中标通知</w:t>
      </w:r>
      <w:bookmarkEnd w:id="114"/>
      <w:bookmarkEnd w:id="115"/>
    </w:p>
    <w:p>
      <w:pPr>
        <w:spacing w:line="5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公示期满无异议或者异议不成立的，招标人应当在公告结束后</w:t>
      </w:r>
      <w:r>
        <w:rPr>
          <w:rFonts w:cs="宋体" w:asciiTheme="minorEastAsia" w:hAnsiTheme="minorEastAsia" w:eastAsiaTheme="minorEastAsia"/>
          <w:szCs w:val="21"/>
          <w:shd w:val="clear" w:color="auto" w:fill="FFFFFF"/>
        </w:rPr>
        <w:t>5</w:t>
      </w:r>
      <w:r>
        <w:rPr>
          <w:rFonts w:hint="eastAsia" w:cs="宋体" w:asciiTheme="minorEastAsia" w:hAnsiTheme="minorEastAsia" w:eastAsiaTheme="minorEastAsia"/>
          <w:szCs w:val="21"/>
          <w:shd w:val="clear" w:color="auto" w:fill="FFFFFF"/>
        </w:rPr>
        <w:t>日内，向中标人发出中标通知书，</w:t>
      </w:r>
      <w:r>
        <w:rPr>
          <w:rFonts w:hint="eastAsia" w:asciiTheme="minorEastAsia" w:hAnsiTheme="minorEastAsia" w:eastAsiaTheme="minorEastAsia"/>
          <w:szCs w:val="21"/>
        </w:rPr>
        <w:t>同时，将中标结果通知未中标的投标人。</w:t>
      </w:r>
    </w:p>
    <w:p>
      <w:pPr>
        <w:pStyle w:val="5"/>
        <w:spacing w:line="560" w:lineRule="exact"/>
        <w:ind w:firstLine="643" w:firstLineChars="200"/>
        <w:rPr>
          <w:rFonts w:asciiTheme="minorEastAsia" w:hAnsiTheme="minorEastAsia" w:eastAsiaTheme="minorEastAsia"/>
        </w:rPr>
      </w:pPr>
      <w:bookmarkStart w:id="116" w:name="_Toc389065187"/>
      <w:bookmarkStart w:id="117" w:name="_Toc493793399"/>
      <w:r>
        <w:rPr>
          <w:rFonts w:asciiTheme="minorEastAsia" w:hAnsiTheme="minorEastAsia" w:eastAsiaTheme="minorEastAsia"/>
        </w:rPr>
        <w:t xml:space="preserve">7.3 </w:t>
      </w:r>
      <w:r>
        <w:rPr>
          <w:rFonts w:hint="eastAsia" w:asciiTheme="minorEastAsia" w:hAnsiTheme="minorEastAsia" w:eastAsiaTheme="minorEastAsia"/>
        </w:rPr>
        <w:t>履约</w:t>
      </w:r>
      <w:bookmarkEnd w:id="116"/>
      <w:r>
        <w:rPr>
          <w:rFonts w:hint="eastAsia" w:asciiTheme="minorEastAsia" w:hAnsiTheme="minorEastAsia" w:eastAsiaTheme="minorEastAsia"/>
        </w:rPr>
        <w:t>保证金</w:t>
      </w:r>
      <w:bookmarkEnd w:id="117"/>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7.3.1 </w:t>
      </w:r>
      <w:r>
        <w:rPr>
          <w:rFonts w:hint="eastAsia" w:asciiTheme="minorEastAsia" w:hAnsiTheme="minorEastAsia" w:eastAsiaTheme="minorEastAsia"/>
          <w:szCs w:val="21"/>
        </w:rPr>
        <w:t>在签订合同前，中标人应按</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规定的金额、担保形式和招标文件第四章</w:t>
      </w:r>
      <w:r>
        <w:rPr>
          <w:rFonts w:asciiTheme="minorEastAsia" w:hAnsiTheme="minorEastAsia" w:eastAsiaTheme="minorEastAsia"/>
          <w:szCs w:val="21"/>
        </w:rPr>
        <w:t>“</w:t>
      </w:r>
      <w:r>
        <w:rPr>
          <w:rFonts w:hint="eastAsia" w:asciiTheme="minorEastAsia" w:hAnsiTheme="minorEastAsia" w:eastAsiaTheme="minorEastAsia"/>
          <w:szCs w:val="21"/>
        </w:rPr>
        <w:t>合同条款及格式</w:t>
      </w:r>
      <w:r>
        <w:rPr>
          <w:rFonts w:asciiTheme="minorEastAsia" w:hAnsiTheme="minorEastAsia" w:eastAsiaTheme="minorEastAsia"/>
          <w:szCs w:val="21"/>
        </w:rPr>
        <w:t>”</w:t>
      </w:r>
      <w:r>
        <w:rPr>
          <w:rFonts w:hint="eastAsia" w:asciiTheme="minorEastAsia" w:hAnsiTheme="minorEastAsia" w:eastAsiaTheme="minorEastAsia"/>
          <w:szCs w:val="21"/>
        </w:rPr>
        <w:t>规定的履约担保格式向招标人提交履约保证金。联合体中标的，其履约保证金由牵头人递交，并应符合</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规定的金额、担保形式和招标文件第四章</w:t>
      </w:r>
      <w:r>
        <w:rPr>
          <w:rFonts w:asciiTheme="minorEastAsia" w:hAnsiTheme="minorEastAsia" w:eastAsiaTheme="minorEastAsia"/>
          <w:szCs w:val="21"/>
        </w:rPr>
        <w:t>“</w:t>
      </w:r>
      <w:r>
        <w:rPr>
          <w:rFonts w:hint="eastAsia" w:asciiTheme="minorEastAsia" w:hAnsiTheme="minorEastAsia" w:eastAsiaTheme="minorEastAsia"/>
          <w:szCs w:val="21"/>
        </w:rPr>
        <w:t>合同条款及格式</w:t>
      </w:r>
      <w:r>
        <w:rPr>
          <w:rFonts w:asciiTheme="minorEastAsia" w:hAnsiTheme="minorEastAsia" w:eastAsiaTheme="minorEastAsia"/>
          <w:szCs w:val="21"/>
        </w:rPr>
        <w:t>”</w:t>
      </w:r>
      <w:r>
        <w:rPr>
          <w:rFonts w:hint="eastAsia" w:asciiTheme="minorEastAsia" w:hAnsiTheme="minorEastAsia" w:eastAsiaTheme="minorEastAsia"/>
          <w:szCs w:val="21"/>
        </w:rPr>
        <w:t>规定的履约担保格式要求。</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7.3.2 </w:t>
      </w:r>
      <w:r>
        <w:rPr>
          <w:rFonts w:hint="eastAsia" w:asciiTheme="minorEastAsia" w:hAnsiTheme="minorEastAsia" w:eastAsiaTheme="minorEastAsia"/>
          <w:szCs w:val="21"/>
        </w:rPr>
        <w:t>中标人不能按本章第</w:t>
      </w:r>
      <w:r>
        <w:rPr>
          <w:rFonts w:asciiTheme="minorEastAsia" w:hAnsiTheme="minorEastAsia" w:eastAsiaTheme="minorEastAsia"/>
          <w:szCs w:val="21"/>
        </w:rPr>
        <w:t>7.3.1</w:t>
      </w:r>
      <w:r>
        <w:rPr>
          <w:rFonts w:hint="eastAsia" w:asciiTheme="minorEastAsia" w:hAnsiTheme="minorEastAsia" w:eastAsiaTheme="minorEastAsia"/>
          <w:szCs w:val="21"/>
        </w:rPr>
        <w:t>项要求提交履约保证金的，视为放弃中标，招标人有权没收其投标保证金，给招标人造成的损失超过投标保证金数额的，中标人还应当对超过部分予以赔偿。</w:t>
      </w:r>
    </w:p>
    <w:p>
      <w:pPr>
        <w:pStyle w:val="5"/>
        <w:spacing w:line="560" w:lineRule="exact"/>
        <w:ind w:firstLine="643" w:firstLineChars="200"/>
        <w:rPr>
          <w:rFonts w:asciiTheme="minorEastAsia" w:hAnsiTheme="minorEastAsia" w:eastAsiaTheme="minorEastAsia"/>
        </w:rPr>
      </w:pPr>
      <w:bookmarkStart w:id="118" w:name="_Toc493793400"/>
      <w:bookmarkStart w:id="119" w:name="_Toc389065188"/>
      <w:r>
        <w:rPr>
          <w:rFonts w:asciiTheme="minorEastAsia" w:hAnsiTheme="minorEastAsia" w:eastAsiaTheme="minorEastAsia"/>
        </w:rPr>
        <w:t xml:space="preserve">7.4 </w:t>
      </w:r>
      <w:r>
        <w:rPr>
          <w:rFonts w:hint="eastAsia" w:asciiTheme="minorEastAsia" w:hAnsiTheme="minorEastAsia" w:eastAsiaTheme="minorEastAsia"/>
        </w:rPr>
        <w:t>签订合同</w:t>
      </w:r>
      <w:bookmarkEnd w:id="118"/>
      <w:bookmarkEnd w:id="119"/>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7.4.1 </w:t>
      </w:r>
      <w:r>
        <w:rPr>
          <w:rFonts w:hint="eastAsia" w:asciiTheme="minorEastAsia" w:hAnsiTheme="minorEastAsia" w:eastAsiaTheme="minorEastAsia"/>
          <w:szCs w:val="21"/>
        </w:rPr>
        <w:t>招标人和中标人应当在投标有效期内以及中标通知书发出之日起</w:t>
      </w:r>
      <w:r>
        <w:rPr>
          <w:rFonts w:asciiTheme="minorEastAsia" w:hAnsiTheme="minorEastAsia" w:eastAsiaTheme="minorEastAsia"/>
          <w:szCs w:val="21"/>
        </w:rPr>
        <w:t>30</w:t>
      </w:r>
      <w:r>
        <w:rPr>
          <w:rFonts w:hint="eastAsia" w:asciiTheme="minorEastAsia" w:hAnsiTheme="minorEastAsia" w:eastAsiaTheme="minorEastAsia"/>
          <w:szCs w:val="21"/>
        </w:rPr>
        <w:t>天内，根据招标文件和中标人的投标文件订立书面合同。中标人无正当理由拒签合同的，招标人取消其中标资格，</w:t>
      </w:r>
      <w:r>
        <w:rPr>
          <w:rFonts w:hint="eastAsia" w:asciiTheme="minorEastAsia" w:hAnsiTheme="minorEastAsia" w:eastAsiaTheme="minorEastAsia"/>
        </w:rPr>
        <w:t>招标人有权没收</w:t>
      </w:r>
      <w:r>
        <w:rPr>
          <w:rFonts w:hint="eastAsia" w:asciiTheme="minorEastAsia" w:hAnsiTheme="minorEastAsia" w:eastAsiaTheme="minorEastAsia"/>
          <w:szCs w:val="21"/>
        </w:rPr>
        <w:t>其投标保证金；给招标人造成的损失超过投标保证金数额的，中标人还应当对超过部分予以赔偿。对依法必须招标项目的中标人，由有关行政监督部门责令改正。</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7.4.2 </w:t>
      </w:r>
      <w:r>
        <w:rPr>
          <w:rFonts w:hint="eastAsia" w:asciiTheme="minorEastAsia" w:hAnsiTheme="minorEastAsia" w:eastAsiaTheme="minorEastAsia"/>
          <w:szCs w:val="21"/>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7.4.3 </w:t>
      </w:r>
      <w:r>
        <w:rPr>
          <w:rFonts w:hint="eastAsia" w:asciiTheme="minorEastAsia" w:hAnsiTheme="minorEastAsia" w:eastAsiaTheme="minorEastAsia"/>
          <w:szCs w:val="21"/>
        </w:rPr>
        <w:t>发出中标通知书后，招标人无正当理由拒签合同的，由有关行政监督部门给予警告，责令改正。同时招标人向中标人退还投标保证金；给中标人造成损失的，还应当赔偿损失。</w:t>
      </w:r>
    </w:p>
    <w:p>
      <w:pPr>
        <w:pStyle w:val="4"/>
        <w:spacing w:line="560" w:lineRule="exact"/>
        <w:ind w:firstLine="643" w:firstLineChars="200"/>
        <w:rPr>
          <w:rFonts w:asciiTheme="minorEastAsia" w:hAnsiTheme="minorEastAsia" w:eastAsiaTheme="minorEastAsia"/>
        </w:rPr>
      </w:pPr>
      <w:bookmarkStart w:id="120" w:name="_Toc493793401"/>
      <w:bookmarkStart w:id="121" w:name="_Toc389065189"/>
      <w:r>
        <w:rPr>
          <w:rFonts w:asciiTheme="minorEastAsia" w:hAnsiTheme="minorEastAsia" w:eastAsiaTheme="minorEastAsia"/>
        </w:rPr>
        <w:t xml:space="preserve">8 </w:t>
      </w:r>
      <w:r>
        <w:rPr>
          <w:rFonts w:hint="eastAsia" w:asciiTheme="minorEastAsia" w:hAnsiTheme="minorEastAsia" w:eastAsiaTheme="minorEastAsia"/>
        </w:rPr>
        <w:t>重新招标和不再招标</w:t>
      </w:r>
      <w:bookmarkEnd w:id="120"/>
      <w:bookmarkEnd w:id="121"/>
    </w:p>
    <w:p>
      <w:pPr>
        <w:pStyle w:val="5"/>
        <w:spacing w:line="560" w:lineRule="exact"/>
        <w:ind w:firstLine="643" w:firstLineChars="200"/>
        <w:rPr>
          <w:rFonts w:asciiTheme="minorEastAsia" w:hAnsiTheme="minorEastAsia" w:eastAsiaTheme="minorEastAsia"/>
        </w:rPr>
      </w:pPr>
      <w:bookmarkStart w:id="122" w:name="_Toc493793402"/>
      <w:bookmarkStart w:id="123" w:name="_Toc389065190"/>
      <w:r>
        <w:rPr>
          <w:rFonts w:asciiTheme="minorEastAsia" w:hAnsiTheme="minorEastAsia" w:eastAsiaTheme="minorEastAsia"/>
        </w:rPr>
        <w:t xml:space="preserve">8.1 </w:t>
      </w:r>
      <w:r>
        <w:rPr>
          <w:rFonts w:hint="eastAsia" w:asciiTheme="minorEastAsia" w:hAnsiTheme="minorEastAsia" w:eastAsiaTheme="minorEastAsia"/>
        </w:rPr>
        <w:t>重新招标</w:t>
      </w:r>
      <w:bookmarkEnd w:id="122"/>
      <w:bookmarkEnd w:id="123"/>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有下列情形之一的，招标人将重新招标：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）投标截止时，投标人少于</w:t>
      </w:r>
      <w:r>
        <w:rPr>
          <w:rFonts w:asciiTheme="minorEastAsia" w:hAnsiTheme="minorEastAsia" w:eastAsiaTheme="minorEastAsia"/>
          <w:szCs w:val="21"/>
        </w:rPr>
        <w:t>3</w:t>
      </w:r>
      <w:r>
        <w:rPr>
          <w:rFonts w:hint="eastAsia" w:asciiTheme="minorEastAsia" w:hAnsiTheme="minorEastAsia" w:eastAsiaTheme="minorEastAsia"/>
          <w:szCs w:val="21"/>
        </w:rPr>
        <w:t>个的；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cs="宋体" w:asciiTheme="minorEastAsia" w:hAnsiTheme="minorEastAsia" w:eastAsiaTheme="minorEastAsia"/>
          <w:szCs w:val="21"/>
          <w:shd w:val="clear" w:color="auto" w:fill="FFFFFF"/>
        </w:rPr>
        <w:t>经评标委员会评审，所有投标被否决或者部分投标被否决后，有效投标不足</w:t>
      </w:r>
      <w:r>
        <w:rPr>
          <w:rFonts w:cs="宋体" w:asciiTheme="minorEastAsia" w:hAnsiTheme="minorEastAsia" w:eastAsiaTheme="minorEastAsia"/>
          <w:szCs w:val="21"/>
          <w:shd w:val="clear" w:color="auto" w:fill="FFFFFF"/>
        </w:rPr>
        <w:t>3</w:t>
      </w:r>
      <w:r>
        <w:rPr>
          <w:rFonts w:hint="eastAsia" w:cs="宋体" w:asciiTheme="minorEastAsia" w:hAnsiTheme="minorEastAsia" w:eastAsiaTheme="minorEastAsia"/>
          <w:szCs w:val="21"/>
          <w:shd w:val="clear" w:color="auto" w:fill="FFFFFF"/>
        </w:rPr>
        <w:t>个，导致投标明显缺乏竞争的</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）其他有关法规和文件规定的应当重新招标的情形。</w:t>
      </w:r>
    </w:p>
    <w:p>
      <w:pPr>
        <w:pStyle w:val="5"/>
        <w:spacing w:line="560" w:lineRule="exact"/>
        <w:ind w:firstLine="643" w:firstLineChars="200"/>
        <w:rPr>
          <w:rFonts w:asciiTheme="minorEastAsia" w:hAnsiTheme="minorEastAsia" w:eastAsiaTheme="minorEastAsia"/>
        </w:rPr>
      </w:pPr>
      <w:bookmarkStart w:id="124" w:name="_Toc493793403"/>
      <w:bookmarkStart w:id="125" w:name="_Toc389065191"/>
      <w:r>
        <w:rPr>
          <w:rFonts w:asciiTheme="minorEastAsia" w:hAnsiTheme="minorEastAsia" w:eastAsiaTheme="minorEastAsia"/>
        </w:rPr>
        <w:t xml:space="preserve">8.2 </w:t>
      </w:r>
      <w:r>
        <w:rPr>
          <w:rFonts w:hint="eastAsia" w:asciiTheme="minorEastAsia" w:hAnsiTheme="minorEastAsia" w:eastAsiaTheme="minorEastAsia"/>
        </w:rPr>
        <w:t>不再招标</w:t>
      </w:r>
      <w:bookmarkEnd w:id="124"/>
      <w:bookmarkEnd w:id="125"/>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重新招标后投标人仍少于</w:t>
      </w:r>
      <w:r>
        <w:rPr>
          <w:rFonts w:asciiTheme="minorEastAsia" w:hAnsiTheme="minorEastAsia" w:eastAsiaTheme="minorEastAsia"/>
        </w:rPr>
        <w:t>3</w:t>
      </w:r>
      <w:r>
        <w:rPr>
          <w:rFonts w:hint="eastAsia" w:asciiTheme="minorEastAsia" w:hAnsiTheme="minorEastAsia" w:eastAsiaTheme="minorEastAsia"/>
        </w:rPr>
        <w:t>个或者所有投标被否决的，属于必须审批或核准的工程建设项目，经原审批或核准部门批准后可不再进行招标。</w:t>
      </w:r>
      <w:bookmarkStart w:id="126" w:name="_Toc389065192"/>
    </w:p>
    <w:p>
      <w:pPr>
        <w:pStyle w:val="4"/>
        <w:spacing w:line="560" w:lineRule="exact"/>
        <w:ind w:firstLine="643" w:firstLineChars="200"/>
        <w:rPr>
          <w:rFonts w:asciiTheme="minorEastAsia" w:hAnsiTheme="minorEastAsia" w:eastAsiaTheme="minorEastAsia"/>
        </w:rPr>
      </w:pPr>
      <w:bookmarkStart w:id="127" w:name="_Toc493793404"/>
      <w:r>
        <w:rPr>
          <w:rFonts w:asciiTheme="minorEastAsia" w:hAnsiTheme="minorEastAsia" w:eastAsiaTheme="minorEastAsia"/>
        </w:rPr>
        <w:t xml:space="preserve">9 </w:t>
      </w:r>
      <w:r>
        <w:rPr>
          <w:rFonts w:hint="eastAsia" w:asciiTheme="minorEastAsia" w:hAnsiTheme="minorEastAsia" w:eastAsiaTheme="minorEastAsia"/>
        </w:rPr>
        <w:t>纪律和监督</w:t>
      </w:r>
      <w:bookmarkEnd w:id="126"/>
      <w:bookmarkEnd w:id="127"/>
    </w:p>
    <w:p>
      <w:pPr>
        <w:pStyle w:val="5"/>
        <w:spacing w:line="560" w:lineRule="exact"/>
        <w:ind w:firstLine="643" w:firstLineChars="200"/>
        <w:rPr>
          <w:rFonts w:asciiTheme="minorEastAsia" w:hAnsiTheme="minorEastAsia" w:eastAsiaTheme="minorEastAsia"/>
        </w:rPr>
      </w:pPr>
      <w:bookmarkStart w:id="128" w:name="_Toc493793405"/>
      <w:bookmarkStart w:id="129" w:name="_Toc389065193"/>
      <w:r>
        <w:rPr>
          <w:rFonts w:asciiTheme="minorEastAsia" w:hAnsiTheme="minorEastAsia" w:eastAsiaTheme="minorEastAsia"/>
        </w:rPr>
        <w:t xml:space="preserve">9.1 </w:t>
      </w:r>
      <w:r>
        <w:rPr>
          <w:rFonts w:hint="eastAsia" w:asciiTheme="minorEastAsia" w:hAnsiTheme="minorEastAsia" w:eastAsiaTheme="minorEastAsia"/>
        </w:rPr>
        <w:t>对招标人的纪律要求</w:t>
      </w:r>
      <w:bookmarkEnd w:id="128"/>
      <w:bookmarkEnd w:id="129"/>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招标人不得泄漏招标投标活动中应当保密的情况和资料，不得与投标人串通损害国家利益、社会公共利益或者他人合法权益。有下列情形之一的，属于招标人与投标人串通投标：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）招标人在开标前开启投标文件并将有关信息泄露给其他投标人；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）招标人直接或者间接向投标人泄露标底、评标委员会成员等信息；</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）招标人明示或者暗示投标人压低或者抬高投标报价；</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）招标人授意投标人撤换、修改投标文件；</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）招标人明示或者暗示投标人为特定投标人中标提供方便；</w:t>
      </w:r>
    </w:p>
    <w:p>
      <w:pPr>
        <w:spacing w:line="56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）招标人与投标人为谋求特定投标人中标而采取的其他串通行为。</w:t>
      </w:r>
    </w:p>
    <w:p>
      <w:pPr>
        <w:pStyle w:val="5"/>
        <w:spacing w:line="560" w:lineRule="exact"/>
        <w:ind w:firstLine="643" w:firstLineChars="200"/>
        <w:rPr>
          <w:rFonts w:asciiTheme="minorEastAsia" w:hAnsiTheme="minorEastAsia" w:eastAsiaTheme="minorEastAsia"/>
        </w:rPr>
      </w:pPr>
      <w:bookmarkStart w:id="130" w:name="_Toc493793406"/>
      <w:r>
        <w:rPr>
          <w:rFonts w:asciiTheme="minorEastAsia" w:hAnsiTheme="minorEastAsia" w:eastAsiaTheme="minorEastAsia"/>
        </w:rPr>
        <w:t xml:space="preserve">9.2 </w:t>
      </w:r>
      <w:r>
        <w:rPr>
          <w:rFonts w:hint="eastAsia" w:asciiTheme="minorEastAsia" w:hAnsiTheme="minorEastAsia" w:eastAsiaTheme="minorEastAsia"/>
        </w:rPr>
        <w:t>对投标人的纪律要求</w:t>
      </w:r>
      <w:bookmarkEnd w:id="130"/>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）投标人之间协商投标报价等投标文件的实质性内容；</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）投标人之间约定中标人；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）投标人之间约定部分投标人放弃投标或者中标；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）属于同一集团、协会、商会等组织成员的投标人按照该组织要求协同投标；</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）投标人之间为谋取中标或者排斥特定投标人而采取的其他联合行动；</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）不同投标人的投标文件由同一单位或者个人编制；</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）不同投标人委托同一单位或者个人办理投标事宜；</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）不同投标人的投标文件载明的项目管理成员为同一人；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）不同投标人的投标文件异常一致或者投标报价呈规律性差异；</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）不同投标人的投标文件相互混装；</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11</w:t>
      </w:r>
      <w:r>
        <w:rPr>
          <w:rFonts w:hint="eastAsia" w:asciiTheme="minorEastAsia" w:hAnsiTheme="minorEastAsia" w:eastAsiaTheme="minorEastAsia"/>
          <w:szCs w:val="21"/>
        </w:rPr>
        <w:t>）不同投标人的投标保证金从同一单位或者个人的账户转出；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12</w:t>
      </w:r>
      <w:r>
        <w:rPr>
          <w:rFonts w:hint="eastAsia" w:asciiTheme="minorEastAsia" w:hAnsiTheme="minorEastAsia" w:eastAsiaTheme="minorEastAsia"/>
          <w:szCs w:val="21"/>
        </w:rPr>
        <w:t>）不同投标人购买招标文件、图纸等费用，从同一单位或个人的账户转出。</w:t>
      </w:r>
    </w:p>
    <w:p>
      <w:pPr>
        <w:pStyle w:val="5"/>
        <w:spacing w:line="560" w:lineRule="exact"/>
        <w:ind w:firstLine="643" w:firstLineChars="200"/>
        <w:rPr>
          <w:rFonts w:asciiTheme="minorEastAsia" w:hAnsiTheme="minorEastAsia" w:eastAsiaTheme="minorEastAsia"/>
        </w:rPr>
      </w:pPr>
      <w:bookmarkStart w:id="131" w:name="_Toc493793407"/>
      <w:bookmarkStart w:id="132" w:name="_Toc389065194"/>
      <w:r>
        <w:rPr>
          <w:rFonts w:asciiTheme="minorEastAsia" w:hAnsiTheme="minorEastAsia" w:eastAsiaTheme="minorEastAsia"/>
        </w:rPr>
        <w:t xml:space="preserve">9.3 </w:t>
      </w:r>
      <w:r>
        <w:rPr>
          <w:rFonts w:hint="eastAsia" w:asciiTheme="minorEastAsia" w:hAnsiTheme="minorEastAsia" w:eastAsiaTheme="minorEastAsia"/>
        </w:rPr>
        <w:t>对评标委员会成员的纪律要求</w:t>
      </w:r>
      <w:bookmarkEnd w:id="131"/>
      <w:bookmarkEnd w:id="132"/>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Theme="minorEastAsia" w:hAnsiTheme="minorEastAsia" w:eastAsiaTheme="minorEastAsia"/>
          <w:szCs w:val="21"/>
        </w:rPr>
        <w:t>“</w:t>
      </w:r>
      <w:r>
        <w:rPr>
          <w:rFonts w:hint="eastAsia" w:asciiTheme="minorEastAsia" w:hAnsiTheme="minorEastAsia" w:eastAsiaTheme="minorEastAsia"/>
          <w:szCs w:val="21"/>
        </w:rPr>
        <w:t>评标办法</w:t>
      </w:r>
      <w:r>
        <w:rPr>
          <w:rFonts w:asciiTheme="minorEastAsia" w:hAnsiTheme="minorEastAsia" w:eastAsiaTheme="minorEastAsia"/>
          <w:szCs w:val="21"/>
        </w:rPr>
        <w:t>”</w:t>
      </w:r>
      <w:r>
        <w:rPr>
          <w:rFonts w:hint="eastAsia" w:asciiTheme="minorEastAsia" w:hAnsiTheme="minorEastAsia" w:eastAsiaTheme="minorEastAsia"/>
          <w:szCs w:val="21"/>
        </w:rPr>
        <w:t>没有规定的评审因素和标准进行评标。</w:t>
      </w:r>
    </w:p>
    <w:p>
      <w:pPr>
        <w:pStyle w:val="5"/>
        <w:spacing w:line="560" w:lineRule="exact"/>
        <w:ind w:firstLine="643" w:firstLineChars="200"/>
        <w:rPr>
          <w:rFonts w:asciiTheme="minorEastAsia" w:hAnsiTheme="minorEastAsia" w:eastAsiaTheme="minorEastAsia"/>
        </w:rPr>
      </w:pPr>
      <w:bookmarkStart w:id="133" w:name="_Toc389065195"/>
      <w:bookmarkStart w:id="134" w:name="_Toc493793408"/>
      <w:r>
        <w:rPr>
          <w:rFonts w:asciiTheme="minorEastAsia" w:hAnsiTheme="minorEastAsia" w:eastAsiaTheme="minorEastAsia"/>
        </w:rPr>
        <w:t xml:space="preserve">9.4 </w:t>
      </w:r>
      <w:r>
        <w:rPr>
          <w:rFonts w:hint="eastAsia" w:asciiTheme="minorEastAsia" w:hAnsiTheme="minorEastAsia" w:eastAsiaTheme="minorEastAsia"/>
        </w:rPr>
        <w:t>对与评标活动有关的工作人员的纪律要求</w:t>
      </w:r>
      <w:bookmarkEnd w:id="133"/>
      <w:bookmarkEnd w:id="134"/>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与</w:t>
      </w:r>
      <w:r>
        <w:rPr>
          <w:rFonts w:hint="eastAsia" w:asciiTheme="minorEastAsia" w:hAnsiTheme="minorEastAsia" w:eastAsiaTheme="minor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35" w:name="_Toc389065196"/>
    </w:p>
    <w:p>
      <w:pPr>
        <w:pStyle w:val="5"/>
        <w:spacing w:line="560" w:lineRule="exact"/>
        <w:ind w:firstLine="643" w:firstLineChars="200"/>
        <w:rPr>
          <w:rFonts w:asciiTheme="minorEastAsia" w:hAnsiTheme="minorEastAsia" w:eastAsiaTheme="minorEastAsia"/>
        </w:rPr>
      </w:pPr>
      <w:bookmarkStart w:id="136" w:name="_Toc493793409"/>
      <w:r>
        <w:rPr>
          <w:rFonts w:asciiTheme="minorEastAsia" w:hAnsiTheme="minorEastAsia" w:eastAsiaTheme="minorEastAsia"/>
        </w:rPr>
        <w:t xml:space="preserve">9.5 </w:t>
      </w:r>
      <w:r>
        <w:rPr>
          <w:rFonts w:hint="eastAsia" w:asciiTheme="minorEastAsia" w:hAnsiTheme="minorEastAsia" w:eastAsiaTheme="minorEastAsia"/>
        </w:rPr>
        <w:t>投诉</w:t>
      </w:r>
      <w:bookmarkEnd w:id="135"/>
      <w:bookmarkEnd w:id="136"/>
      <w:bookmarkStart w:id="137" w:name="_Toc389065197"/>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投标人和其他利害关系人认为本次招标活动违反法律、法规和规章规定的，可以在知道或者应当知道之日起十日内向当地招投标监督管理部门提出书面投诉。投诉事项应先提出异议而没有提出异议的，不予受理。</w:t>
      </w:r>
    </w:p>
    <w:p>
      <w:pPr>
        <w:pStyle w:val="4"/>
        <w:spacing w:line="560" w:lineRule="exact"/>
        <w:ind w:firstLine="643" w:firstLineChars="200"/>
        <w:rPr>
          <w:rFonts w:asciiTheme="minorEastAsia" w:hAnsiTheme="minorEastAsia" w:eastAsiaTheme="minorEastAsia"/>
        </w:rPr>
      </w:pPr>
      <w:bookmarkStart w:id="138" w:name="_Toc493793410"/>
      <w:r>
        <w:rPr>
          <w:rFonts w:asciiTheme="minorEastAsia" w:hAnsiTheme="minorEastAsia" w:eastAsiaTheme="minorEastAsia"/>
        </w:rPr>
        <w:t xml:space="preserve">10 </w:t>
      </w:r>
      <w:r>
        <w:rPr>
          <w:rFonts w:hint="eastAsia" w:asciiTheme="minorEastAsia" w:hAnsiTheme="minorEastAsia" w:eastAsiaTheme="minorEastAsia"/>
        </w:rPr>
        <w:t>需要补充的其他内容</w:t>
      </w:r>
      <w:bookmarkEnd w:id="137"/>
      <w:bookmarkEnd w:id="138"/>
    </w:p>
    <w:p>
      <w:pPr>
        <w:pStyle w:val="5"/>
        <w:spacing w:line="560" w:lineRule="exact"/>
        <w:ind w:firstLine="643" w:firstLineChars="200"/>
        <w:rPr>
          <w:rFonts w:asciiTheme="minorEastAsia" w:hAnsiTheme="minorEastAsia" w:eastAsiaTheme="minorEastAsia"/>
        </w:rPr>
      </w:pPr>
      <w:bookmarkStart w:id="139" w:name="_Toc493793411"/>
      <w:r>
        <w:rPr>
          <w:rFonts w:asciiTheme="minorEastAsia" w:hAnsiTheme="minorEastAsia" w:eastAsiaTheme="minorEastAsia"/>
        </w:rPr>
        <w:t xml:space="preserve">10.1 </w:t>
      </w:r>
      <w:r>
        <w:rPr>
          <w:rFonts w:hint="eastAsia" w:asciiTheme="minorEastAsia" w:hAnsiTheme="minorEastAsia" w:eastAsiaTheme="minorEastAsia"/>
        </w:rPr>
        <w:t>词语定义</w:t>
      </w:r>
      <w:bookmarkEnd w:id="139"/>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见“投标人须知前附表”。</w:t>
      </w:r>
    </w:p>
    <w:p>
      <w:pPr>
        <w:pStyle w:val="5"/>
        <w:spacing w:line="560" w:lineRule="exact"/>
        <w:ind w:firstLine="643" w:firstLineChars="200"/>
        <w:rPr>
          <w:rFonts w:asciiTheme="minorEastAsia" w:hAnsiTheme="minorEastAsia" w:eastAsiaTheme="minorEastAsia"/>
        </w:rPr>
      </w:pPr>
      <w:bookmarkStart w:id="140" w:name="_Toc493793412"/>
      <w:bookmarkStart w:id="141" w:name="_Toc389065198"/>
      <w:r>
        <w:rPr>
          <w:rFonts w:asciiTheme="minorEastAsia" w:hAnsiTheme="minorEastAsia" w:eastAsiaTheme="minorEastAsia"/>
        </w:rPr>
        <w:t xml:space="preserve">10.2 </w:t>
      </w:r>
      <w:r>
        <w:rPr>
          <w:rFonts w:hint="eastAsia" w:asciiTheme="minorEastAsia" w:hAnsiTheme="minorEastAsia" w:eastAsiaTheme="minorEastAsia"/>
        </w:rPr>
        <w:t>招标控制价</w:t>
      </w:r>
      <w:bookmarkEnd w:id="140"/>
      <w:bookmarkEnd w:id="141"/>
    </w:p>
    <w:p>
      <w:pPr>
        <w:spacing w:line="560" w:lineRule="exact"/>
        <w:ind w:firstLine="420" w:firstLineChars="200"/>
        <w:rPr>
          <w:rFonts w:asciiTheme="minorEastAsia" w:hAnsiTheme="minorEastAsia" w:eastAsiaTheme="minorEastAsia"/>
          <w:bCs/>
        </w:rPr>
      </w:pPr>
      <w:r>
        <w:rPr>
          <w:rFonts w:hint="eastAsia" w:asciiTheme="minorEastAsia" w:hAnsiTheme="minorEastAsia" w:eastAsiaTheme="minorEastAsia"/>
        </w:rPr>
        <w:t>见“投标人须知前附表”。</w:t>
      </w:r>
    </w:p>
    <w:p>
      <w:pPr>
        <w:pStyle w:val="5"/>
        <w:spacing w:line="560" w:lineRule="exact"/>
        <w:ind w:firstLine="643" w:firstLineChars="200"/>
        <w:rPr>
          <w:rFonts w:asciiTheme="minorEastAsia" w:hAnsiTheme="minorEastAsia" w:eastAsiaTheme="minorEastAsia"/>
        </w:rPr>
      </w:pPr>
      <w:bookmarkStart w:id="142" w:name="_Toc493793413"/>
      <w:r>
        <w:rPr>
          <w:rFonts w:asciiTheme="minorEastAsia" w:hAnsiTheme="minorEastAsia" w:eastAsiaTheme="minorEastAsia"/>
        </w:rPr>
        <w:t xml:space="preserve">10.3 </w:t>
      </w:r>
      <w:r>
        <w:rPr>
          <w:rFonts w:hint="eastAsia" w:asciiTheme="minorEastAsia" w:hAnsiTheme="minorEastAsia" w:eastAsiaTheme="minorEastAsia"/>
        </w:rPr>
        <w:t>技术标“暗标”评审方式</w:t>
      </w:r>
      <w:bookmarkEnd w:id="142"/>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见“投标人须知前附表”。</w:t>
      </w:r>
    </w:p>
    <w:p>
      <w:pPr>
        <w:pStyle w:val="5"/>
        <w:spacing w:line="560" w:lineRule="exact"/>
        <w:ind w:firstLine="643" w:firstLineChars="200"/>
        <w:rPr>
          <w:rFonts w:asciiTheme="minorEastAsia" w:hAnsiTheme="minorEastAsia" w:eastAsiaTheme="minorEastAsia"/>
        </w:rPr>
      </w:pPr>
      <w:bookmarkStart w:id="143" w:name="_Toc493793414"/>
      <w:r>
        <w:rPr>
          <w:rFonts w:asciiTheme="minorEastAsia" w:hAnsiTheme="minorEastAsia" w:eastAsiaTheme="minorEastAsia"/>
        </w:rPr>
        <w:t xml:space="preserve">10.4 </w:t>
      </w:r>
      <w:r>
        <w:rPr>
          <w:rFonts w:hint="eastAsia" w:asciiTheme="minorEastAsia" w:hAnsiTheme="minorEastAsia" w:eastAsiaTheme="minorEastAsia"/>
        </w:rPr>
        <w:t>投标文件电子版</w:t>
      </w:r>
      <w:bookmarkEnd w:id="143"/>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投标文件电子版的具体内容要求见“投标人须知前附表”。</w:t>
      </w:r>
    </w:p>
    <w:p>
      <w:pPr>
        <w:pStyle w:val="5"/>
        <w:spacing w:line="560" w:lineRule="exact"/>
        <w:ind w:firstLine="643" w:firstLineChars="200"/>
        <w:rPr>
          <w:rFonts w:asciiTheme="minorEastAsia" w:hAnsiTheme="minorEastAsia" w:eastAsiaTheme="minorEastAsia"/>
        </w:rPr>
      </w:pPr>
      <w:bookmarkStart w:id="144" w:name="_Toc493793415"/>
      <w:r>
        <w:rPr>
          <w:rFonts w:asciiTheme="minorEastAsia" w:hAnsiTheme="minorEastAsia" w:eastAsiaTheme="minorEastAsia"/>
        </w:rPr>
        <w:t xml:space="preserve">10.5 </w:t>
      </w:r>
      <w:r>
        <w:rPr>
          <w:rFonts w:hint="eastAsia" w:asciiTheme="minorEastAsia" w:hAnsiTheme="minorEastAsia" w:eastAsiaTheme="minorEastAsia"/>
        </w:rPr>
        <w:t>知识产权</w:t>
      </w:r>
      <w:bookmarkEnd w:id="144"/>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招标人对其知识产权的具体要求见“投标人须知前附表”。</w:t>
      </w:r>
    </w:p>
    <w:p>
      <w:pPr>
        <w:pStyle w:val="5"/>
        <w:spacing w:line="560" w:lineRule="exact"/>
        <w:ind w:firstLine="643" w:firstLineChars="200"/>
        <w:rPr>
          <w:rFonts w:asciiTheme="minorEastAsia" w:hAnsiTheme="minorEastAsia" w:eastAsiaTheme="minorEastAsia"/>
        </w:rPr>
      </w:pPr>
      <w:bookmarkStart w:id="145" w:name="_Toc493793416"/>
      <w:r>
        <w:rPr>
          <w:rFonts w:asciiTheme="minorEastAsia" w:hAnsiTheme="minorEastAsia" w:eastAsiaTheme="minorEastAsia"/>
        </w:rPr>
        <w:t xml:space="preserve">10.6 </w:t>
      </w:r>
      <w:r>
        <w:rPr>
          <w:rFonts w:hint="eastAsia" w:asciiTheme="minorEastAsia" w:hAnsiTheme="minorEastAsia" w:eastAsiaTheme="minorEastAsia"/>
        </w:rPr>
        <w:t>重新招标的其他情形</w:t>
      </w:r>
      <w:bookmarkEnd w:id="145"/>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见“投标人须知前附表”。</w:t>
      </w:r>
    </w:p>
    <w:p>
      <w:pPr>
        <w:pStyle w:val="5"/>
        <w:spacing w:line="560" w:lineRule="exact"/>
        <w:ind w:firstLine="643" w:firstLineChars="200"/>
        <w:rPr>
          <w:rFonts w:asciiTheme="minorEastAsia" w:hAnsiTheme="minorEastAsia" w:eastAsiaTheme="minorEastAsia"/>
        </w:rPr>
      </w:pPr>
      <w:bookmarkStart w:id="146" w:name="_Toc493793417"/>
      <w:r>
        <w:rPr>
          <w:rFonts w:asciiTheme="minorEastAsia" w:hAnsiTheme="minorEastAsia" w:eastAsiaTheme="minorEastAsia"/>
        </w:rPr>
        <w:t xml:space="preserve">10.7 </w:t>
      </w:r>
      <w:r>
        <w:rPr>
          <w:rFonts w:hint="eastAsia" w:asciiTheme="minorEastAsia" w:hAnsiTheme="minorEastAsia" w:eastAsiaTheme="minorEastAsia"/>
        </w:rPr>
        <w:t>同义词语</w:t>
      </w:r>
      <w:bookmarkEnd w:id="146"/>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见“投标人须知前附表”。</w:t>
      </w:r>
    </w:p>
    <w:p>
      <w:pPr>
        <w:pStyle w:val="5"/>
        <w:spacing w:line="560" w:lineRule="exact"/>
        <w:ind w:firstLine="643" w:firstLineChars="200"/>
        <w:rPr>
          <w:rFonts w:asciiTheme="minorEastAsia" w:hAnsiTheme="minorEastAsia" w:eastAsiaTheme="minorEastAsia"/>
        </w:rPr>
      </w:pPr>
      <w:bookmarkStart w:id="147" w:name="_Toc493793418"/>
      <w:r>
        <w:rPr>
          <w:rFonts w:asciiTheme="minorEastAsia" w:hAnsiTheme="minorEastAsia" w:eastAsiaTheme="minorEastAsia"/>
        </w:rPr>
        <w:t xml:space="preserve">10.8 </w:t>
      </w:r>
      <w:r>
        <w:rPr>
          <w:rFonts w:hint="eastAsia" w:asciiTheme="minorEastAsia" w:hAnsiTheme="minorEastAsia" w:eastAsiaTheme="minorEastAsia"/>
        </w:rPr>
        <w:t>监督</w:t>
      </w:r>
      <w:bookmarkEnd w:id="147"/>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本项目招标的监督部门见“投标人须知前附表”。</w:t>
      </w:r>
    </w:p>
    <w:p>
      <w:pPr>
        <w:pStyle w:val="5"/>
        <w:spacing w:line="560" w:lineRule="exact"/>
        <w:ind w:firstLine="643" w:firstLineChars="200"/>
        <w:rPr>
          <w:rFonts w:asciiTheme="minorEastAsia" w:hAnsiTheme="minorEastAsia" w:eastAsiaTheme="minorEastAsia"/>
        </w:rPr>
      </w:pPr>
      <w:bookmarkStart w:id="148" w:name="_Toc493793419"/>
      <w:r>
        <w:rPr>
          <w:rFonts w:asciiTheme="minorEastAsia" w:hAnsiTheme="minorEastAsia" w:eastAsiaTheme="minorEastAsia"/>
        </w:rPr>
        <w:t xml:space="preserve">10.9 </w:t>
      </w:r>
      <w:r>
        <w:rPr>
          <w:rFonts w:hint="eastAsia" w:asciiTheme="minorEastAsia" w:hAnsiTheme="minorEastAsia" w:eastAsiaTheme="minorEastAsia"/>
        </w:rPr>
        <w:t>解释权</w:t>
      </w:r>
      <w:bookmarkEnd w:id="148"/>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见“投标人须知前附表”。</w:t>
      </w:r>
    </w:p>
    <w:p>
      <w:pPr>
        <w:pStyle w:val="5"/>
        <w:spacing w:line="560" w:lineRule="exact"/>
        <w:ind w:firstLine="643" w:firstLineChars="200"/>
        <w:rPr>
          <w:rFonts w:asciiTheme="minorEastAsia" w:hAnsiTheme="minorEastAsia" w:eastAsiaTheme="minorEastAsia"/>
        </w:rPr>
      </w:pPr>
      <w:bookmarkStart w:id="149" w:name="_Toc493793420"/>
      <w:r>
        <w:rPr>
          <w:rFonts w:asciiTheme="minorEastAsia" w:hAnsiTheme="minorEastAsia" w:eastAsiaTheme="minorEastAsia"/>
        </w:rPr>
        <w:t xml:space="preserve">10.10 </w:t>
      </w:r>
      <w:r>
        <w:rPr>
          <w:rFonts w:hint="eastAsia" w:asciiTheme="minorEastAsia" w:hAnsiTheme="minorEastAsia" w:eastAsiaTheme="minorEastAsia"/>
        </w:rPr>
        <w:t>招标人补充的其他内容</w:t>
      </w:r>
      <w:bookmarkEnd w:id="149"/>
    </w:p>
    <w:p>
      <w:pPr>
        <w:widowControl/>
        <w:spacing w:line="5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见“投标人须知前附表”。</w:t>
      </w:r>
    </w:p>
    <w:p>
      <w:pPr>
        <w:spacing w:line="560" w:lineRule="exact"/>
        <w:ind w:firstLine="420" w:firstLineChars="200"/>
        <w:rPr>
          <w:rFonts w:asciiTheme="minorEastAsia" w:hAnsiTheme="minorEastAsia" w:eastAsiaTheme="minorEastAsia"/>
          <w:szCs w:val="21"/>
        </w:rPr>
        <w:sectPr>
          <w:footerReference r:id="rId5" w:type="default"/>
          <w:pgSz w:w="11906" w:h="16838"/>
          <w:pgMar w:top="1440" w:right="1440" w:bottom="1440" w:left="1177" w:header="851" w:footer="851" w:gutter="0"/>
          <w:pgNumType w:start="1"/>
          <w:cols w:space="720" w:num="1"/>
          <w:docGrid w:linePitch="312" w:charSpace="0"/>
        </w:sectPr>
      </w:pPr>
      <w:bookmarkStart w:id="150" w:name="_Toc184635071"/>
    </w:p>
    <w:p>
      <w:pPr>
        <w:pStyle w:val="3"/>
        <w:numPr>
          <w:ilvl w:val="0"/>
          <w:numId w:val="1"/>
        </w:numPr>
        <w:jc w:val="center"/>
        <w:rPr>
          <w:rFonts w:asciiTheme="minorEastAsia" w:hAnsiTheme="minorEastAsia" w:eastAsiaTheme="minorEastAsia"/>
        </w:rPr>
      </w:pPr>
      <w:bookmarkStart w:id="151" w:name="_Toc389065238"/>
      <w:bookmarkStart w:id="152" w:name="_Toc493793421"/>
      <w:r>
        <w:rPr>
          <w:rFonts w:asciiTheme="minorEastAsia" w:hAnsiTheme="minorEastAsia" w:eastAsiaTheme="minorEastAsia"/>
        </w:rPr>
        <w:t xml:space="preserve"> </w:t>
      </w:r>
      <w:r>
        <w:rPr>
          <w:rFonts w:hint="eastAsia" w:asciiTheme="minorEastAsia" w:hAnsiTheme="minorEastAsia" w:eastAsiaTheme="minorEastAsia"/>
        </w:rPr>
        <w:t>评标办法（综合评估法）</w:t>
      </w:r>
      <w:bookmarkEnd w:id="151"/>
      <w:bookmarkEnd w:id="152"/>
    </w:p>
    <w:p>
      <w:pPr>
        <w:jc w:val="center"/>
      </w:pPr>
      <w:r>
        <w:rPr>
          <w:rFonts w:hint="eastAsia"/>
          <w:b/>
          <w:bCs/>
          <w:sz w:val="32"/>
          <w:szCs w:val="32"/>
        </w:rPr>
        <w:t>评标办法前附表</w:t>
      </w:r>
    </w:p>
    <w:tbl>
      <w:tblPr>
        <w:tblStyle w:val="38"/>
        <w:tblpPr w:leftFromText="180" w:rightFromText="180" w:vertAnchor="text" w:horzAnchor="page" w:tblpX="1462" w:tblpY="1311"/>
        <w:tblOverlap w:val="never"/>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
        <w:gridCol w:w="644"/>
        <w:gridCol w:w="962"/>
        <w:gridCol w:w="787"/>
        <w:gridCol w:w="1465"/>
        <w:gridCol w:w="4508"/>
        <w:tblGridChange w:id="0">
          <w:tblGrid>
            <w:gridCol w:w="922"/>
            <w:gridCol w:w="10"/>
            <w:gridCol w:w="644"/>
            <w:gridCol w:w="962"/>
            <w:gridCol w:w="787"/>
            <w:gridCol w:w="1465"/>
            <w:gridCol w:w="450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shd w:val="clear" w:color="auto" w:fill="E6E6E6"/>
            <w:vAlign w:val="center"/>
          </w:tcPr>
          <w:p>
            <w:pPr>
              <w:wordWrap w:val="0"/>
              <w:spacing w:line="560" w:lineRule="exact"/>
              <w:jc w:val="center"/>
              <w:rPr>
                <w:rFonts w:ascii="宋体" w:hAnsi="宋体" w:cs="宋体"/>
                <w:szCs w:val="21"/>
              </w:rPr>
            </w:pPr>
            <w:bookmarkStart w:id="153" w:name="_Toc493793422"/>
            <w:bookmarkStart w:id="154" w:name="_Toc389065239"/>
            <w:r>
              <w:rPr>
                <w:rFonts w:hint="eastAsia" w:ascii="宋体" w:hAnsi="宋体" w:cs="宋体"/>
                <w:szCs w:val="21"/>
              </w:rPr>
              <w:t>条款号</w:t>
            </w:r>
          </w:p>
        </w:tc>
        <w:tc>
          <w:tcPr>
            <w:tcW w:w="2393" w:type="dxa"/>
            <w:gridSpan w:val="3"/>
            <w:shd w:val="clear" w:color="auto" w:fill="E6E6E6"/>
            <w:vAlign w:val="center"/>
          </w:tcPr>
          <w:p>
            <w:pPr>
              <w:wordWrap w:val="0"/>
              <w:spacing w:line="560" w:lineRule="exact"/>
              <w:jc w:val="center"/>
              <w:rPr>
                <w:rFonts w:ascii="宋体" w:hAnsi="宋体" w:cs="宋体"/>
                <w:szCs w:val="21"/>
              </w:rPr>
            </w:pPr>
            <w:r>
              <w:rPr>
                <w:rFonts w:hint="eastAsia" w:ascii="宋体" w:hAnsi="宋体" w:cs="宋体"/>
                <w:szCs w:val="21"/>
              </w:rPr>
              <w:t>评审因素</w:t>
            </w:r>
          </w:p>
        </w:tc>
        <w:tc>
          <w:tcPr>
            <w:tcW w:w="5973" w:type="dxa"/>
            <w:gridSpan w:val="2"/>
            <w:shd w:val="clear" w:color="auto" w:fill="E6E6E6"/>
            <w:vAlign w:val="center"/>
          </w:tcPr>
          <w:p>
            <w:pPr>
              <w:wordWrap w:val="0"/>
              <w:spacing w:line="560" w:lineRule="exact"/>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2" w:type="dxa"/>
            <w:gridSpan w:val="2"/>
            <w:vMerge w:val="restart"/>
            <w:vAlign w:val="center"/>
          </w:tcPr>
          <w:p>
            <w:pPr>
              <w:wordWrap w:val="0"/>
              <w:spacing w:line="560" w:lineRule="exact"/>
              <w:jc w:val="center"/>
              <w:rPr>
                <w:rFonts w:ascii="宋体" w:hAnsi="宋体" w:cs="宋体"/>
                <w:szCs w:val="21"/>
              </w:rPr>
            </w:pPr>
            <w:r>
              <w:rPr>
                <w:rFonts w:hint="eastAsia" w:ascii="宋体" w:hAnsi="宋体" w:cs="宋体"/>
                <w:szCs w:val="21"/>
              </w:rPr>
              <w:t>2.1.1</w:t>
            </w:r>
          </w:p>
        </w:tc>
        <w:tc>
          <w:tcPr>
            <w:tcW w:w="644" w:type="dxa"/>
            <w:vMerge w:val="restart"/>
            <w:vAlign w:val="center"/>
          </w:tcPr>
          <w:p>
            <w:pPr>
              <w:wordWrap w:val="0"/>
              <w:spacing w:line="560" w:lineRule="exact"/>
              <w:jc w:val="center"/>
              <w:rPr>
                <w:rFonts w:ascii="宋体" w:hAnsi="宋体" w:cs="宋体"/>
                <w:szCs w:val="21"/>
              </w:rPr>
            </w:pPr>
            <w:r>
              <w:rPr>
                <w:rFonts w:hint="eastAsia" w:ascii="宋体" w:hAnsi="宋体" w:cs="宋体"/>
                <w:szCs w:val="21"/>
              </w:rPr>
              <w:t>资格评审标准</w:t>
            </w:r>
          </w:p>
        </w:tc>
        <w:tc>
          <w:tcPr>
            <w:tcW w:w="1749" w:type="dxa"/>
            <w:gridSpan w:val="2"/>
            <w:vMerge w:val="restart"/>
            <w:vAlign w:val="center"/>
          </w:tcPr>
          <w:p>
            <w:pPr>
              <w:wordWrap w:val="0"/>
              <w:spacing w:line="560" w:lineRule="exact"/>
              <w:jc w:val="center"/>
              <w:rPr>
                <w:rFonts w:ascii="宋体" w:hAnsi="宋体" w:cs="宋体"/>
                <w:szCs w:val="21"/>
              </w:rPr>
            </w:pPr>
            <w:r>
              <w:rPr>
                <w:rFonts w:hint="eastAsia" w:ascii="宋体" w:hAnsi="宋体" w:cs="宋体"/>
                <w:szCs w:val="21"/>
              </w:rPr>
              <w:t>合格制</w:t>
            </w:r>
          </w:p>
        </w:tc>
        <w:tc>
          <w:tcPr>
            <w:tcW w:w="5973" w:type="dxa"/>
            <w:gridSpan w:val="2"/>
            <w:vAlign w:val="center"/>
          </w:tcPr>
          <w:p>
            <w:pPr>
              <w:wordWrap w:val="0"/>
              <w:spacing w:line="460" w:lineRule="exact"/>
              <w:rPr>
                <w:rFonts w:ascii="宋体" w:hAnsi="宋体" w:cs="宋体"/>
                <w:szCs w:val="21"/>
              </w:rPr>
            </w:pPr>
            <w:r>
              <w:rPr>
                <w:rFonts w:hint="eastAsia" w:ascii="宋体" w:hAnsi="宋体" w:cs="宋体"/>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投标文件</w:t>
            </w:r>
          </w:p>
          <w:p>
            <w:pPr>
              <w:wordWrap w:val="0"/>
              <w:spacing w:line="360" w:lineRule="exact"/>
              <w:jc w:val="center"/>
              <w:rPr>
                <w:rFonts w:ascii="宋体" w:hAnsi="宋体" w:cs="宋体"/>
                <w:szCs w:val="21"/>
              </w:rPr>
            </w:pPr>
            <w:r>
              <w:rPr>
                <w:rFonts w:hint="eastAsia" w:ascii="宋体" w:hAnsi="宋体" w:cs="宋体"/>
                <w:szCs w:val="21"/>
              </w:rPr>
              <w:t>签署</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有效的法定代表人身份证明（附身份证扫描件）或法人授权委托书（附身份证扫描件，授权代理时提供）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营业执照</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提供</w:t>
            </w:r>
            <w:r>
              <w:rPr>
                <w:rFonts w:hint="eastAsia"/>
                <w:szCs w:val="21"/>
              </w:rPr>
              <w:t>已录入广西建筑业企业诚信信息库的有效的企业法人营业执照诚信库页面打印文件，并加盖投标人公章。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安全生产许可证</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提供</w:t>
            </w:r>
            <w:r>
              <w:rPr>
                <w:rFonts w:hint="eastAsia"/>
                <w:szCs w:val="21"/>
              </w:rPr>
              <w:t>已录入广西建筑业企业诚信信息库的有效的安全生产许可证副本的诚信库页面打印文件，并加盖投标人公章。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资质等级</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[建筑工程施工总承包三级](含)以上或[建筑装修装饰工程专业承包二级](含)以上</w:t>
            </w:r>
            <w:r>
              <w:rPr>
                <w:rFonts w:hint="eastAsia" w:ascii="宋体" w:hAnsi="宋体" w:cs="宋体"/>
                <w:szCs w:val="21"/>
                <w:lang w:eastAsia="zh-CN"/>
              </w:rPr>
              <w:t>资质</w:t>
            </w:r>
            <w:r>
              <w:rPr>
                <w:rFonts w:hint="eastAsia" w:ascii="宋体" w:hAnsi="宋体" w:cs="宋体"/>
                <w:szCs w:val="21"/>
              </w:rPr>
              <w:t>，提供</w:t>
            </w:r>
            <w:r>
              <w:rPr>
                <w:rFonts w:hint="eastAsia"/>
                <w:szCs w:val="21"/>
              </w:rPr>
              <w:t>已录入广西建筑业企业诚信信息库的有效的企业资质证书副本的诚信库页面打印文件，并加盖投标人公章。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项目经理</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建筑工程专业贰级 (含)以上注册建造师执业资格，具备有效的安全生产考核合格证书（B类），提供</w:t>
            </w:r>
            <w:r>
              <w:rPr>
                <w:rFonts w:hint="eastAsia"/>
                <w:szCs w:val="21"/>
              </w:rPr>
              <w:t>已录入广西建筑业企业诚信信息库的有效的</w:t>
            </w:r>
            <w:r>
              <w:rPr>
                <w:rFonts w:ascii="宋体" w:hAnsi="宋体"/>
                <w:szCs w:val="21"/>
              </w:rPr>
              <w:t>证明材料</w:t>
            </w:r>
            <w:r>
              <w:rPr>
                <w:rFonts w:hint="eastAsia" w:ascii="宋体" w:hAnsi="宋体"/>
                <w:szCs w:val="21"/>
              </w:rPr>
              <w:t>（</w:t>
            </w:r>
            <w:r>
              <w:rPr>
                <w:rFonts w:hint="eastAsia" w:ascii="宋体" w:hAnsi="宋体" w:cs="宋体"/>
                <w:szCs w:val="21"/>
              </w:rPr>
              <w:t>注册建造师执业资格证和安全生产考核合格证书</w:t>
            </w:r>
            <w:r>
              <w:rPr>
                <w:rFonts w:hint="eastAsia"/>
                <w:szCs w:val="21"/>
              </w:rPr>
              <w:t>在诚信库页面打印文件并加盖投标人公章</w:t>
            </w:r>
            <w:r>
              <w:rPr>
                <w:rFonts w:hint="eastAsia" w:ascii="宋体" w:hAnsi="宋体"/>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专职安全员</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专职安全员须具备有效的安全员资格证、安全生产考核合格证书（C类），提供</w:t>
            </w:r>
            <w:r>
              <w:rPr>
                <w:rFonts w:hint="eastAsia"/>
                <w:szCs w:val="21"/>
              </w:rPr>
              <w:t>已录入广西建筑业企业诚信信息库的有效的</w:t>
            </w:r>
            <w:r>
              <w:rPr>
                <w:rFonts w:ascii="宋体" w:hAnsi="宋体"/>
                <w:szCs w:val="21"/>
              </w:rPr>
              <w:t>证明材料</w:t>
            </w:r>
            <w:r>
              <w:rPr>
                <w:rFonts w:hint="eastAsia" w:ascii="宋体" w:hAnsi="宋体"/>
                <w:szCs w:val="21"/>
              </w:rPr>
              <w:t>（</w:t>
            </w:r>
            <w:r>
              <w:rPr>
                <w:rFonts w:hint="eastAsia" w:ascii="宋体" w:hAnsi="宋体" w:cs="宋体"/>
                <w:szCs w:val="21"/>
              </w:rPr>
              <w:t>安全员资格证、安全生产考核合格证书（C类）</w:t>
            </w:r>
            <w:r>
              <w:rPr>
                <w:rFonts w:hint="eastAsia"/>
                <w:szCs w:val="21"/>
              </w:rPr>
              <w:t>在诚信库页面打印文件并加盖投标人公章</w:t>
            </w:r>
            <w:r>
              <w:rPr>
                <w:rFonts w:hint="eastAsia" w:ascii="宋体" w:hAnsi="宋体"/>
                <w:szCs w:val="21"/>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建设工程项目管理承诺</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提供已盖单位公章的“建设工程项目管理承诺书”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投标保证金</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提供有效的投标单位银行基本帐户开户许可证及投标保证金支付凭证原件扫描件。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ascii="宋体" w:hAnsi="宋体" w:cs="宋体"/>
                <w:szCs w:val="21"/>
              </w:rPr>
            </w:pPr>
            <w:r>
              <w:rPr>
                <w:rFonts w:hint="eastAsia" w:ascii="宋体" w:hAnsi="宋体" w:cs="宋体"/>
                <w:szCs w:val="21"/>
              </w:rPr>
              <w:t>近年财务状况</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提供</w:t>
            </w:r>
            <w:r>
              <w:rPr>
                <w:rFonts w:hint="eastAsia" w:ascii="宋体" w:hAnsi="宋体" w:cs="宋体"/>
                <w:szCs w:val="21"/>
                <w:u w:val="single"/>
              </w:rPr>
              <w:t>201</w:t>
            </w:r>
            <w:r>
              <w:rPr>
                <w:rFonts w:hint="eastAsia" w:ascii="宋体" w:hAnsi="宋体" w:cs="宋体"/>
                <w:szCs w:val="21"/>
                <w:u w:val="single"/>
                <w:lang w:val="en-US" w:eastAsia="zh-CN"/>
              </w:rPr>
              <w:t>7</w:t>
            </w:r>
            <w:r>
              <w:rPr>
                <w:rFonts w:hint="eastAsia" w:ascii="宋体" w:hAnsi="宋体" w:cs="宋体"/>
                <w:szCs w:val="21"/>
              </w:rPr>
              <w:t>年度、</w:t>
            </w:r>
            <w:r>
              <w:rPr>
                <w:rFonts w:hint="eastAsia" w:ascii="宋体" w:hAnsi="宋体" w:cs="宋体"/>
                <w:szCs w:val="21"/>
                <w:u w:val="single"/>
              </w:rPr>
              <w:t>201</w:t>
            </w:r>
            <w:r>
              <w:rPr>
                <w:rFonts w:hint="eastAsia" w:ascii="宋体" w:hAnsi="宋体" w:cs="宋体"/>
                <w:szCs w:val="21"/>
                <w:u w:val="single"/>
                <w:lang w:val="en-US" w:eastAsia="zh-CN"/>
              </w:rPr>
              <w:t>8</w:t>
            </w:r>
            <w:r>
              <w:rPr>
                <w:rFonts w:hint="eastAsia" w:ascii="宋体" w:hAnsi="宋体" w:cs="宋体"/>
                <w:szCs w:val="21"/>
              </w:rPr>
              <w:t>年度和</w:t>
            </w:r>
            <w:r>
              <w:rPr>
                <w:rFonts w:hint="eastAsia" w:ascii="宋体" w:hAnsi="宋体" w:cs="宋体"/>
                <w:szCs w:val="21"/>
                <w:u w:val="single"/>
              </w:rPr>
              <w:t>201</w:t>
            </w:r>
            <w:r>
              <w:rPr>
                <w:rFonts w:hint="eastAsia" w:ascii="宋体" w:hAnsi="宋体" w:cs="宋体"/>
                <w:szCs w:val="21"/>
                <w:u w:val="single"/>
                <w:lang w:val="en-US" w:eastAsia="zh-CN"/>
              </w:rPr>
              <w:t>9</w:t>
            </w:r>
            <w:r>
              <w:rPr>
                <w:rFonts w:hint="eastAsia" w:ascii="宋体" w:hAnsi="宋体" w:cs="宋体"/>
                <w:szCs w:val="21"/>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Merge w:val="continue"/>
            <w:vAlign w:val="center"/>
          </w:tcPr>
          <w:p>
            <w:pPr>
              <w:wordWrap w:val="0"/>
              <w:spacing w:line="560" w:lineRule="exact"/>
              <w:jc w:val="center"/>
              <w:rPr>
                <w:rFonts w:ascii="宋体" w:hAnsi="宋体" w:cs="宋体"/>
                <w:szCs w:val="21"/>
              </w:rPr>
            </w:pPr>
          </w:p>
        </w:tc>
        <w:tc>
          <w:tcPr>
            <w:tcW w:w="1465" w:type="dxa"/>
            <w:vAlign w:val="center"/>
          </w:tcPr>
          <w:p>
            <w:pPr>
              <w:wordWrap w:val="0"/>
              <w:spacing w:line="360" w:lineRule="exact"/>
              <w:jc w:val="center"/>
              <w:rPr>
                <w:rFonts w:hint="eastAsia" w:ascii="宋体" w:hAnsi="宋体" w:eastAsia="宋体" w:cs="宋体"/>
                <w:szCs w:val="21"/>
                <w:lang w:eastAsia="zh-CN"/>
              </w:rPr>
            </w:pPr>
            <w:r>
              <w:rPr>
                <w:rFonts w:hint="eastAsia" w:ascii="宋体" w:hAnsi="宋体" w:cs="宋体"/>
                <w:szCs w:val="21"/>
                <w:lang w:eastAsia="zh-CN"/>
              </w:rPr>
              <w:t>项目经理无在建项目承诺书</w:t>
            </w:r>
          </w:p>
        </w:tc>
        <w:tc>
          <w:tcPr>
            <w:tcW w:w="4508" w:type="dxa"/>
            <w:vAlign w:val="center"/>
          </w:tcPr>
          <w:p>
            <w:pPr>
              <w:wordWrap w:val="0"/>
              <w:spacing w:line="360" w:lineRule="exact"/>
              <w:jc w:val="left"/>
              <w:rPr>
                <w:rFonts w:hint="eastAsia" w:ascii="宋体" w:hAnsi="宋体" w:eastAsia="宋体" w:cs="宋体"/>
                <w:szCs w:val="21"/>
                <w:lang w:eastAsia="zh-CN"/>
              </w:rPr>
            </w:pPr>
            <w:r>
              <w:rPr>
                <w:rFonts w:hint="eastAsia" w:ascii="宋体" w:hAnsi="宋体" w:cs="宋体"/>
                <w:szCs w:val="21"/>
                <w:lang w:eastAsia="zh-CN"/>
              </w:rPr>
              <w:t>提供项目经理无在建项目承诺书，并加盖单位公章。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restart"/>
            <w:vAlign w:val="center"/>
          </w:tcPr>
          <w:p>
            <w:pPr>
              <w:wordWrap w:val="0"/>
              <w:spacing w:line="560" w:lineRule="exact"/>
              <w:jc w:val="center"/>
              <w:rPr>
                <w:rFonts w:ascii="宋体" w:hAnsi="宋体" w:cs="宋体"/>
                <w:szCs w:val="21"/>
              </w:rPr>
            </w:pPr>
            <w:r>
              <w:rPr>
                <w:rFonts w:hint="eastAsia" w:ascii="宋体" w:hAnsi="宋体" w:cs="宋体"/>
                <w:szCs w:val="21"/>
              </w:rPr>
              <w:t>2.1.2</w:t>
            </w:r>
          </w:p>
        </w:tc>
        <w:tc>
          <w:tcPr>
            <w:tcW w:w="644" w:type="dxa"/>
            <w:vMerge w:val="restart"/>
            <w:vAlign w:val="center"/>
          </w:tcPr>
          <w:p>
            <w:pPr>
              <w:wordWrap w:val="0"/>
              <w:spacing w:line="560" w:lineRule="exact"/>
              <w:jc w:val="center"/>
              <w:rPr>
                <w:rFonts w:ascii="宋体" w:hAnsi="宋体" w:cs="宋体"/>
                <w:szCs w:val="21"/>
              </w:rPr>
            </w:pPr>
            <w:r>
              <w:rPr>
                <w:rFonts w:hint="eastAsia" w:ascii="宋体" w:hAnsi="宋体" w:cs="宋体"/>
                <w:szCs w:val="21"/>
              </w:rPr>
              <w:t>形式</w:t>
            </w:r>
          </w:p>
          <w:p>
            <w:pPr>
              <w:wordWrap w:val="0"/>
              <w:spacing w:line="560" w:lineRule="exact"/>
              <w:jc w:val="center"/>
              <w:rPr>
                <w:rFonts w:ascii="宋体" w:hAnsi="宋体" w:cs="宋体"/>
                <w:szCs w:val="21"/>
              </w:rPr>
            </w:pPr>
            <w:r>
              <w:rPr>
                <w:rFonts w:hint="eastAsia" w:ascii="宋体" w:hAnsi="宋体" w:cs="宋体"/>
                <w:szCs w:val="21"/>
              </w:rPr>
              <w:t>评审标准</w:t>
            </w:r>
          </w:p>
        </w:tc>
        <w:tc>
          <w:tcPr>
            <w:tcW w:w="7722" w:type="dxa"/>
            <w:gridSpan w:val="4"/>
            <w:vAlign w:val="center"/>
          </w:tcPr>
          <w:p>
            <w:pPr>
              <w:wordWrap w:val="0"/>
              <w:spacing w:line="560" w:lineRule="exact"/>
              <w:jc w:val="center"/>
              <w:rPr>
                <w:rFonts w:ascii="宋体" w:hAnsi="宋体" w:cs="宋体"/>
                <w:szCs w:val="21"/>
              </w:rPr>
            </w:pPr>
            <w:r>
              <w:rPr>
                <w:rFonts w:hint="eastAsia" w:ascii="宋体" w:hAnsi="宋体" w:cs="宋体"/>
                <w:b/>
                <w:szCs w:val="21"/>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投标人名称</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投标函签字盖章</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投标文件格式</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报价唯一</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restart"/>
            <w:vAlign w:val="center"/>
          </w:tcPr>
          <w:p>
            <w:pPr>
              <w:wordWrap w:val="0"/>
              <w:spacing w:line="560" w:lineRule="exact"/>
              <w:jc w:val="center"/>
              <w:rPr>
                <w:rFonts w:ascii="宋体" w:hAnsi="宋体" w:cs="宋体"/>
                <w:szCs w:val="21"/>
              </w:rPr>
            </w:pPr>
            <w:r>
              <w:rPr>
                <w:rFonts w:hint="eastAsia" w:ascii="宋体" w:hAnsi="宋体" w:cs="宋体"/>
                <w:szCs w:val="21"/>
              </w:rPr>
              <w:t>2.1.3</w:t>
            </w:r>
          </w:p>
        </w:tc>
        <w:tc>
          <w:tcPr>
            <w:tcW w:w="644" w:type="dxa"/>
            <w:vMerge w:val="restart"/>
            <w:vAlign w:val="center"/>
          </w:tcPr>
          <w:p>
            <w:pPr>
              <w:wordWrap w:val="0"/>
              <w:spacing w:line="560" w:lineRule="exact"/>
              <w:jc w:val="center"/>
              <w:rPr>
                <w:rFonts w:ascii="宋体" w:hAnsi="宋体" w:cs="宋体"/>
                <w:szCs w:val="21"/>
              </w:rPr>
            </w:pPr>
            <w:r>
              <w:rPr>
                <w:rFonts w:hint="eastAsia" w:ascii="宋体" w:hAnsi="宋体" w:cs="宋体"/>
                <w:szCs w:val="21"/>
              </w:rPr>
              <w:t>响应性</w:t>
            </w:r>
          </w:p>
          <w:p>
            <w:pPr>
              <w:wordWrap w:val="0"/>
              <w:spacing w:line="560" w:lineRule="exact"/>
              <w:jc w:val="center"/>
              <w:rPr>
                <w:rFonts w:ascii="宋体" w:hAnsi="宋体" w:cs="宋体"/>
                <w:szCs w:val="21"/>
              </w:rPr>
            </w:pPr>
            <w:r>
              <w:rPr>
                <w:rFonts w:hint="eastAsia" w:ascii="宋体" w:hAnsi="宋体" w:cs="宋体"/>
                <w:szCs w:val="21"/>
              </w:rPr>
              <w:t>评审标准</w:t>
            </w:r>
          </w:p>
          <w:p>
            <w:pPr>
              <w:wordWrap w:val="0"/>
              <w:spacing w:line="560" w:lineRule="exact"/>
              <w:jc w:val="center"/>
              <w:rPr>
                <w:rFonts w:ascii="宋体" w:hAnsi="宋体" w:cs="宋体"/>
                <w:szCs w:val="21"/>
              </w:rPr>
            </w:pPr>
          </w:p>
        </w:tc>
        <w:tc>
          <w:tcPr>
            <w:tcW w:w="7722" w:type="dxa"/>
            <w:gridSpan w:val="4"/>
            <w:vAlign w:val="center"/>
          </w:tcPr>
          <w:p>
            <w:pPr>
              <w:wordWrap w:val="0"/>
              <w:spacing w:line="560" w:lineRule="exact"/>
              <w:jc w:val="center"/>
              <w:rPr>
                <w:rFonts w:ascii="宋体" w:hAnsi="宋体" w:cs="宋体"/>
                <w:szCs w:val="21"/>
              </w:rPr>
            </w:pPr>
            <w:r>
              <w:rPr>
                <w:rFonts w:hint="eastAsia" w:ascii="宋体" w:hAnsi="宋体" w:cs="宋体"/>
                <w:b/>
                <w:szCs w:val="21"/>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投标内容</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工期</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工程质量</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投标有效期</w:t>
            </w:r>
          </w:p>
        </w:tc>
        <w:tc>
          <w:tcPr>
            <w:tcW w:w="5973" w:type="dxa"/>
            <w:gridSpan w:val="2"/>
            <w:vAlign w:val="center"/>
          </w:tcPr>
          <w:p>
            <w:pPr>
              <w:wordWrap w:val="0"/>
              <w:spacing w:line="560" w:lineRule="exact"/>
              <w:jc w:val="left"/>
              <w:rPr>
                <w:rFonts w:ascii="宋体" w:hAnsi="宋体" w:cs="宋体"/>
                <w:szCs w:val="21"/>
              </w:rPr>
            </w:pPr>
            <w:r>
              <w:rPr>
                <w:rFonts w:hint="eastAsia" w:ascii="宋体" w:hAnsi="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440" w:lineRule="exact"/>
              <w:jc w:val="center"/>
              <w:rPr>
                <w:rFonts w:ascii="宋体" w:hAnsi="宋体" w:cs="宋体"/>
                <w:szCs w:val="21"/>
              </w:rPr>
            </w:pPr>
            <w:r>
              <w:rPr>
                <w:rFonts w:hint="eastAsia" w:ascii="宋体" w:hAnsi="宋体" w:cs="宋体"/>
                <w:szCs w:val="21"/>
              </w:rPr>
              <w:t>权利义务</w:t>
            </w:r>
          </w:p>
        </w:tc>
        <w:tc>
          <w:tcPr>
            <w:tcW w:w="5973" w:type="dxa"/>
            <w:gridSpan w:val="2"/>
            <w:vAlign w:val="center"/>
          </w:tcPr>
          <w:p>
            <w:pPr>
              <w:wordWrap w:val="0"/>
              <w:spacing w:line="440" w:lineRule="exact"/>
              <w:jc w:val="left"/>
              <w:rPr>
                <w:rFonts w:ascii="宋体" w:hAnsi="宋体" w:cs="宋体"/>
                <w:szCs w:val="21"/>
              </w:rPr>
            </w:pPr>
            <w:r>
              <w:rPr>
                <w:rFonts w:hint="eastAsia" w:ascii="宋体" w:hAnsi="宋体" w:cs="宋体"/>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440" w:lineRule="exact"/>
              <w:jc w:val="center"/>
              <w:rPr>
                <w:rFonts w:ascii="宋体" w:hAnsi="宋体" w:cs="宋体"/>
                <w:szCs w:val="21"/>
              </w:rPr>
            </w:pPr>
            <w:r>
              <w:rPr>
                <w:rFonts w:hint="eastAsia" w:ascii="宋体" w:hAnsi="宋体" w:cs="宋体"/>
                <w:szCs w:val="21"/>
              </w:rPr>
              <w:t>技术标准和要求</w:t>
            </w:r>
          </w:p>
        </w:tc>
        <w:tc>
          <w:tcPr>
            <w:tcW w:w="5973" w:type="dxa"/>
            <w:gridSpan w:val="2"/>
            <w:vAlign w:val="center"/>
          </w:tcPr>
          <w:p>
            <w:pPr>
              <w:wordWrap w:val="0"/>
              <w:spacing w:line="440" w:lineRule="exact"/>
              <w:jc w:val="left"/>
              <w:rPr>
                <w:rFonts w:ascii="宋体" w:hAnsi="宋体" w:cs="宋体"/>
                <w:szCs w:val="21"/>
              </w:rPr>
            </w:pPr>
            <w:r>
              <w:rPr>
                <w:rFonts w:hint="eastAsia" w:ascii="宋体" w:hAnsi="宋体" w:cs="宋体"/>
                <w:szCs w:val="21"/>
              </w:rPr>
              <w:t>符合第七章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440" w:lineRule="exact"/>
              <w:jc w:val="center"/>
              <w:rPr>
                <w:rFonts w:ascii="宋体" w:hAnsi="宋体" w:cs="宋体"/>
                <w:szCs w:val="21"/>
              </w:rPr>
            </w:pPr>
            <w:r>
              <w:rPr>
                <w:rFonts w:hint="eastAsia" w:ascii="宋体" w:hAnsi="宋体" w:cs="宋体"/>
                <w:szCs w:val="21"/>
              </w:rPr>
              <w:t>投标报价</w:t>
            </w:r>
          </w:p>
        </w:tc>
        <w:tc>
          <w:tcPr>
            <w:tcW w:w="5973" w:type="dxa"/>
            <w:gridSpan w:val="2"/>
            <w:vAlign w:val="center"/>
          </w:tcPr>
          <w:p>
            <w:pPr>
              <w:wordWrap w:val="0"/>
              <w:spacing w:line="440" w:lineRule="exact"/>
              <w:jc w:val="left"/>
              <w:rPr>
                <w:rFonts w:ascii="宋体" w:hAnsi="宋体" w:cs="宋体"/>
                <w:szCs w:val="21"/>
              </w:rPr>
            </w:pPr>
            <w:r>
              <w:rPr>
                <w:rFonts w:hint="eastAsia" w:ascii="宋体" w:hAnsi="宋体" w:cs="宋体"/>
                <w:szCs w:val="21"/>
              </w:rPr>
              <w:t>低于（含等于）招标人公布的招标控制价且无本章附件B否决投标条件的相应情况。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1749" w:type="dxa"/>
            <w:gridSpan w:val="2"/>
            <w:vAlign w:val="center"/>
          </w:tcPr>
          <w:p>
            <w:pPr>
              <w:wordWrap w:val="0"/>
              <w:spacing w:line="440" w:lineRule="exact"/>
              <w:jc w:val="center"/>
              <w:rPr>
                <w:rFonts w:hint="eastAsia" w:ascii="宋体" w:hAnsi="宋体" w:cs="宋体"/>
                <w:szCs w:val="21"/>
              </w:rPr>
            </w:pPr>
            <w:r>
              <w:rPr>
                <w:rFonts w:hint="eastAsia" w:ascii="宋体" w:hAnsi="宋体" w:cs="宋体"/>
                <w:szCs w:val="21"/>
              </w:rPr>
              <w:t>已标价工程量</w:t>
            </w:r>
          </w:p>
          <w:p>
            <w:pPr>
              <w:wordWrap w:val="0"/>
              <w:spacing w:line="440" w:lineRule="exact"/>
              <w:jc w:val="center"/>
              <w:rPr>
                <w:rFonts w:ascii="宋体" w:hAnsi="宋体" w:cs="宋体"/>
                <w:szCs w:val="21"/>
              </w:rPr>
            </w:pPr>
            <w:r>
              <w:rPr>
                <w:rFonts w:hint="eastAsia" w:ascii="宋体" w:hAnsi="宋体" w:cs="宋体"/>
                <w:szCs w:val="21"/>
              </w:rPr>
              <w:t>清单</w:t>
            </w:r>
          </w:p>
        </w:tc>
        <w:tc>
          <w:tcPr>
            <w:tcW w:w="5973" w:type="dxa"/>
            <w:gridSpan w:val="2"/>
            <w:vAlign w:val="center"/>
          </w:tcPr>
          <w:p>
            <w:pPr>
              <w:wordWrap w:val="0"/>
              <w:spacing w:line="440" w:lineRule="exact"/>
              <w:jc w:val="left"/>
              <w:rPr>
                <w:rFonts w:ascii="宋体" w:hAnsi="宋体" w:cs="宋体"/>
                <w:szCs w:val="21"/>
              </w:rPr>
            </w:pPr>
            <w:r>
              <w:rPr>
                <w:rFonts w:hint="eastAsia" w:ascii="宋体" w:hAnsi="宋体" w:cs="宋体"/>
                <w:szCs w:val="21"/>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32"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2.2</w:t>
            </w:r>
          </w:p>
        </w:tc>
        <w:tc>
          <w:tcPr>
            <w:tcW w:w="644" w:type="dxa"/>
            <w:vAlign w:val="center"/>
          </w:tcPr>
          <w:p>
            <w:pPr>
              <w:wordWrap w:val="0"/>
              <w:spacing w:line="440" w:lineRule="exact"/>
              <w:jc w:val="center"/>
              <w:rPr>
                <w:rFonts w:ascii="宋体" w:hAnsi="宋体" w:cs="宋体"/>
                <w:szCs w:val="21"/>
              </w:rPr>
            </w:pPr>
            <w:r>
              <w:rPr>
                <w:rFonts w:hint="eastAsia" w:ascii="宋体" w:hAnsi="宋体" w:cs="宋体"/>
                <w:szCs w:val="21"/>
              </w:rPr>
              <w:t>详细评审</w:t>
            </w:r>
          </w:p>
        </w:tc>
        <w:tc>
          <w:tcPr>
            <w:tcW w:w="7722" w:type="dxa"/>
            <w:gridSpan w:val="4"/>
            <w:vAlign w:val="center"/>
          </w:tcPr>
          <w:p>
            <w:pPr>
              <w:wordWrap w:val="0"/>
              <w:spacing w:line="440" w:lineRule="exact"/>
              <w:jc w:val="center"/>
              <w:rPr>
                <w:rFonts w:hint="eastAsia" w:ascii="宋体" w:hAnsi="宋体" w:cs="宋体"/>
                <w:szCs w:val="21"/>
              </w:rPr>
            </w:pPr>
            <w:r>
              <w:rPr>
                <w:rFonts w:hint="eastAsia" w:ascii="宋体" w:hAnsi="宋体" w:cs="宋体"/>
                <w:szCs w:val="21"/>
              </w:rPr>
              <w:t>通过资格审查的合格投标人，只有通过了形式评审和响应性评审，才能进入详细</w:t>
            </w:r>
          </w:p>
          <w:p>
            <w:r>
              <w:rPr>
                <w:rFonts w:hint="eastAsia" w:ascii="宋体" w:hAnsi="宋体" w:cs="宋体"/>
                <w:szCs w:val="21"/>
              </w:rPr>
              <w:t>评审</w:t>
            </w:r>
          </w:p>
          <w:p>
            <w:pPr>
              <w:wordWrap w:val="0"/>
              <w:spacing w:line="440" w:lineRule="exact"/>
              <w:rPr>
                <w:rFonts w:ascii="宋体" w:hAnsi="宋体" w:cs="宋体"/>
                <w:szCs w:val="21"/>
              </w:rPr>
            </w:pPr>
            <w:r>
              <w:rPr>
                <w:rFonts w:hint="eastAsia" w:ascii="宋体" w:hAnsi="宋体" w:cs="宋体"/>
                <w:szCs w:val="21"/>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2"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2.2.1</w:t>
            </w:r>
          </w:p>
        </w:tc>
        <w:tc>
          <w:tcPr>
            <w:tcW w:w="644" w:type="dxa"/>
            <w:vAlign w:val="center"/>
          </w:tcPr>
          <w:p>
            <w:pPr>
              <w:wordWrap w:val="0"/>
              <w:spacing w:line="440" w:lineRule="exact"/>
              <w:jc w:val="center"/>
              <w:rPr>
                <w:rFonts w:ascii="宋体" w:hAnsi="宋体" w:cs="宋体"/>
                <w:szCs w:val="21"/>
              </w:rPr>
            </w:pPr>
            <w:r>
              <w:rPr>
                <w:rFonts w:hint="eastAsia" w:ascii="宋体" w:hAnsi="宋体" w:cs="宋体"/>
                <w:szCs w:val="21"/>
              </w:rPr>
              <w:t>分值构成</w:t>
            </w:r>
          </w:p>
        </w:tc>
        <w:tc>
          <w:tcPr>
            <w:tcW w:w="1749" w:type="dxa"/>
            <w:gridSpan w:val="2"/>
            <w:vAlign w:val="center"/>
          </w:tcPr>
          <w:p>
            <w:pPr>
              <w:wordWrap w:val="0"/>
              <w:spacing w:line="440" w:lineRule="exact"/>
              <w:jc w:val="center"/>
              <w:rPr>
                <w:rFonts w:ascii="宋体" w:hAnsi="宋体" w:cs="宋体"/>
                <w:color w:val="auto"/>
                <w:szCs w:val="21"/>
              </w:rPr>
            </w:pPr>
            <w:r>
              <w:rPr>
                <w:rFonts w:hint="eastAsia" w:ascii="宋体" w:hAnsi="宋体" w:cs="宋体"/>
                <w:color w:val="auto"/>
                <w:szCs w:val="21"/>
              </w:rPr>
              <w:t>分值构成</w:t>
            </w:r>
          </w:p>
          <w:p>
            <w:pPr>
              <w:wordWrap w:val="0"/>
              <w:spacing w:line="440" w:lineRule="exact"/>
              <w:jc w:val="center"/>
              <w:rPr>
                <w:rFonts w:ascii="宋体" w:hAnsi="宋体" w:cs="宋体"/>
                <w:color w:val="auto"/>
                <w:szCs w:val="21"/>
              </w:rPr>
            </w:pPr>
            <w:r>
              <w:rPr>
                <w:rFonts w:hint="eastAsia" w:ascii="宋体" w:hAnsi="宋体" w:cs="宋体"/>
                <w:color w:val="auto"/>
                <w:szCs w:val="21"/>
              </w:rPr>
              <w:t>（总分100分）</w:t>
            </w:r>
          </w:p>
        </w:tc>
        <w:tc>
          <w:tcPr>
            <w:tcW w:w="5973" w:type="dxa"/>
            <w:gridSpan w:val="2"/>
            <w:vAlign w:val="center"/>
          </w:tcPr>
          <w:p>
            <w:pPr>
              <w:wordWrap w:val="0"/>
              <w:spacing w:line="440" w:lineRule="exact"/>
              <w:jc w:val="left"/>
              <w:rPr>
                <w:rFonts w:ascii="宋体" w:hAnsi="宋体" w:cs="宋体"/>
                <w:color w:val="auto"/>
                <w:szCs w:val="21"/>
              </w:rPr>
            </w:pPr>
            <w:r>
              <w:rPr>
                <w:rFonts w:hint="eastAsia" w:ascii="宋体" w:hAnsi="宋体" w:cs="宋体"/>
                <w:color w:val="auto"/>
                <w:szCs w:val="21"/>
              </w:rPr>
              <w:t>技术标评审部分：</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w:t>
            </w:r>
          </w:p>
          <w:p>
            <w:pPr>
              <w:wordWrap w:val="0"/>
              <w:spacing w:line="440" w:lineRule="exact"/>
              <w:jc w:val="left"/>
              <w:rPr>
                <w:rFonts w:ascii="宋体" w:hAnsi="宋体" w:cs="宋体"/>
                <w:color w:val="auto"/>
                <w:szCs w:val="21"/>
              </w:rPr>
            </w:pPr>
            <w:r>
              <w:rPr>
                <w:rFonts w:hint="eastAsia" w:ascii="宋体" w:hAnsi="宋体" w:cs="宋体"/>
                <w:color w:val="auto"/>
                <w:szCs w:val="21"/>
              </w:rPr>
              <w:t>商务标评审部分：</w:t>
            </w:r>
            <w:r>
              <w:rPr>
                <w:rFonts w:hint="eastAsia" w:ascii="宋体" w:hAnsi="宋体" w:cs="宋体"/>
                <w:color w:val="auto"/>
                <w:szCs w:val="21"/>
                <w:u w:val="single"/>
                <w:lang w:val="en-US" w:eastAsia="zh-CN"/>
              </w:rPr>
              <w:t xml:space="preserve"> 7</w:t>
            </w:r>
            <w:r>
              <w:rPr>
                <w:rFonts w:hint="eastAsia" w:ascii="宋体" w:hAnsi="宋体" w:cs="宋体"/>
                <w:color w:val="auto"/>
                <w:szCs w:val="21"/>
                <w:u w:val="single"/>
              </w:rPr>
              <w:t>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restart"/>
            <w:vAlign w:val="center"/>
          </w:tcPr>
          <w:p>
            <w:pPr>
              <w:wordWrap w:val="0"/>
              <w:spacing w:line="560" w:lineRule="exact"/>
              <w:jc w:val="center"/>
              <w:rPr>
                <w:rFonts w:ascii="宋体" w:hAnsi="宋体" w:cs="宋体"/>
                <w:szCs w:val="21"/>
              </w:rPr>
            </w:pPr>
            <w:r>
              <w:rPr>
                <w:rFonts w:hint="eastAsia" w:ascii="宋体" w:hAnsi="宋体" w:cs="宋体"/>
                <w:szCs w:val="21"/>
              </w:rPr>
              <w:t>项目管理机构（满分</w:t>
            </w:r>
            <w:r>
              <w:rPr>
                <w:rFonts w:hint="eastAsia" w:ascii="宋体" w:hAnsi="宋体" w:cs="宋体"/>
                <w:szCs w:val="21"/>
                <w:lang w:val="en-US" w:eastAsia="zh-CN"/>
              </w:rPr>
              <w:t>10</w:t>
            </w:r>
            <w:r>
              <w:rPr>
                <w:rFonts w:hint="eastAsia" w:ascii="宋体" w:hAnsi="宋体" w:cs="宋体"/>
                <w:szCs w:val="21"/>
              </w:rPr>
              <w:t>分）</w:t>
            </w: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kern w:val="0"/>
                <w:szCs w:val="21"/>
              </w:rPr>
              <w:t>项目经理任职资格与业绩、工作经历等（</w:t>
            </w:r>
            <w:r>
              <w:rPr>
                <w:rFonts w:hint="eastAsia" w:ascii="宋体" w:hAnsi="宋体" w:cs="宋体"/>
                <w:szCs w:val="21"/>
              </w:rPr>
              <w:t>满</w:t>
            </w:r>
            <w:r>
              <w:rPr>
                <w:rFonts w:hint="eastAsia" w:ascii="宋体" w:hAnsi="宋体" w:cs="宋体"/>
                <w:szCs w:val="21"/>
                <w:lang w:val="en-US" w:eastAsia="zh-CN"/>
              </w:rPr>
              <w:t>5</w:t>
            </w:r>
            <w:r>
              <w:rPr>
                <w:rFonts w:hint="eastAsia" w:ascii="宋体" w:hAnsi="宋体" w:cs="宋体"/>
                <w:szCs w:val="21"/>
              </w:rPr>
              <w:t>分）</w:t>
            </w:r>
          </w:p>
        </w:tc>
        <w:tc>
          <w:tcPr>
            <w:tcW w:w="4508" w:type="dxa"/>
            <w:vAlign w:val="center"/>
          </w:tcPr>
          <w:p>
            <w:pPr>
              <w:widowControl/>
              <w:wordWrap w:val="0"/>
              <w:spacing w:line="400" w:lineRule="exact"/>
              <w:jc w:val="left"/>
              <w:rPr>
                <w:rFonts w:ascii="宋体" w:hAnsi="宋体" w:cs="宋体"/>
                <w:kern w:val="0"/>
                <w:szCs w:val="21"/>
              </w:rPr>
            </w:pPr>
            <w:r>
              <w:rPr>
                <w:rFonts w:hint="eastAsia" w:ascii="宋体" w:hAnsi="宋体" w:cs="宋体"/>
                <w:kern w:val="0"/>
                <w:szCs w:val="21"/>
              </w:rPr>
              <w:t>拟派任项目经理（或注册建造师）必须与资格审查合格通过的项目经理（或注册建造师）在名称、专业、资格等级等方面一致。</w:t>
            </w:r>
          </w:p>
          <w:p>
            <w:pPr>
              <w:wordWrap w:val="0"/>
              <w:spacing w:line="400" w:lineRule="exact"/>
              <w:jc w:val="left"/>
              <w:rPr>
                <w:rFonts w:ascii="宋体" w:hAnsi="宋体" w:cs="宋体"/>
                <w:szCs w:val="21"/>
              </w:rPr>
            </w:pPr>
            <w:r>
              <w:rPr>
                <w:rFonts w:hint="eastAsia" w:ascii="宋体" w:hAnsi="宋体" w:cs="宋体"/>
                <w:szCs w:val="21"/>
              </w:rPr>
              <w:t>（1）项目经理注册资格：具有建筑工程专业贰级注册建造师资格及以上的得</w:t>
            </w:r>
            <w:r>
              <w:rPr>
                <w:rFonts w:hint="eastAsia" w:ascii="宋体" w:hAnsi="宋体" w:cs="宋体"/>
                <w:szCs w:val="21"/>
                <w:lang w:val="en-US" w:eastAsia="zh-CN"/>
              </w:rPr>
              <w:t>2</w:t>
            </w:r>
            <w:r>
              <w:rPr>
                <w:rFonts w:hint="eastAsia" w:ascii="宋体" w:hAnsi="宋体" w:cs="宋体"/>
                <w:szCs w:val="21"/>
              </w:rPr>
              <w:t>分；</w:t>
            </w:r>
          </w:p>
          <w:p>
            <w:pPr>
              <w:wordWrap w:val="0"/>
              <w:spacing w:line="400" w:lineRule="exact"/>
              <w:jc w:val="left"/>
              <w:rPr>
                <w:rFonts w:ascii="宋体" w:hAnsi="宋体" w:cs="宋体"/>
                <w:szCs w:val="21"/>
              </w:rPr>
            </w:pPr>
            <w:r>
              <w:rPr>
                <w:rFonts w:hint="eastAsia" w:ascii="宋体" w:hAnsi="宋体" w:cs="宋体"/>
                <w:szCs w:val="21"/>
              </w:rPr>
              <w:t>（2）项目经理职称：具有建筑类相关专业工程师及以上职称的得</w:t>
            </w:r>
            <w:r>
              <w:rPr>
                <w:rFonts w:hint="eastAsia" w:ascii="宋体" w:hAnsi="宋体" w:cs="宋体"/>
                <w:szCs w:val="21"/>
                <w:lang w:val="en-US" w:eastAsia="zh-CN"/>
              </w:rPr>
              <w:t>2</w:t>
            </w:r>
            <w:r>
              <w:rPr>
                <w:rFonts w:hint="eastAsia" w:ascii="宋体" w:hAnsi="宋体" w:cs="宋体"/>
                <w:szCs w:val="21"/>
              </w:rPr>
              <w:t>分；</w:t>
            </w:r>
          </w:p>
          <w:p>
            <w:pPr>
              <w:wordWrap w:val="0"/>
              <w:spacing w:line="400" w:lineRule="exact"/>
              <w:jc w:val="left"/>
              <w:rPr>
                <w:rFonts w:ascii="宋体" w:hAnsi="宋体" w:cs="宋体"/>
                <w:szCs w:val="21"/>
              </w:rPr>
            </w:pPr>
            <w:r>
              <w:rPr>
                <w:rFonts w:hint="eastAsia" w:ascii="宋体" w:hAnsi="宋体" w:cs="宋体"/>
                <w:szCs w:val="21"/>
              </w:rPr>
              <w:t>（3）项目经理证书：具有安全生产考核合格证书（B类）的得</w:t>
            </w:r>
            <w:r>
              <w:rPr>
                <w:rFonts w:hint="eastAsia" w:ascii="宋体" w:hAnsi="宋体" w:cs="宋体"/>
                <w:szCs w:val="21"/>
                <w:lang w:val="en-US" w:eastAsia="zh-CN"/>
              </w:rPr>
              <w:t>1</w:t>
            </w:r>
            <w:r>
              <w:rPr>
                <w:rFonts w:hint="eastAsia" w:ascii="宋体" w:hAnsi="宋体" w:cs="宋体"/>
                <w:szCs w:val="21"/>
              </w:rPr>
              <w:t>分。</w:t>
            </w:r>
          </w:p>
          <w:p>
            <w:pPr>
              <w:wordWrap w:val="0"/>
              <w:spacing w:line="400" w:lineRule="exact"/>
              <w:jc w:val="left"/>
              <w:rPr>
                <w:rFonts w:ascii="宋体" w:hAnsi="宋体" w:cs="宋体"/>
                <w:szCs w:val="21"/>
              </w:rPr>
            </w:pPr>
            <w:r>
              <w:rPr>
                <w:rFonts w:hint="eastAsia" w:ascii="宋体" w:hAnsi="宋体" w:cs="宋体"/>
                <w:szCs w:val="21"/>
              </w:rPr>
              <w:t>未提供投标人为其缴纳2020年1月-2020年3月社会保险证明材料的，不予计分。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szCs w:val="21"/>
              </w:rPr>
              <w:t>技术负责人和专职安全员情况（满分</w:t>
            </w:r>
            <w:r>
              <w:rPr>
                <w:rFonts w:hint="eastAsia" w:ascii="宋体" w:hAnsi="宋体" w:cs="宋体"/>
                <w:szCs w:val="21"/>
                <w:lang w:val="en-US" w:eastAsia="zh-CN"/>
              </w:rPr>
              <w:t>2</w:t>
            </w:r>
            <w:r>
              <w:rPr>
                <w:rFonts w:hint="eastAsia" w:ascii="宋体" w:hAnsi="宋体" w:cs="宋体"/>
                <w:szCs w:val="21"/>
              </w:rPr>
              <w:t>分）</w:t>
            </w:r>
          </w:p>
        </w:tc>
        <w:tc>
          <w:tcPr>
            <w:tcW w:w="4508" w:type="dxa"/>
          </w:tcPr>
          <w:p>
            <w:pPr>
              <w:numPr>
                <w:ilvl w:val="255"/>
                <w:numId w:val="0"/>
              </w:numPr>
              <w:spacing w:line="400" w:lineRule="exact"/>
              <w:rPr>
                <w:rFonts w:ascii="宋体" w:hAnsi="宋体" w:cs="宋体"/>
                <w:szCs w:val="21"/>
              </w:rPr>
            </w:pPr>
            <w:r>
              <w:rPr>
                <w:rFonts w:hint="eastAsia" w:ascii="宋体" w:hAnsi="宋体" w:cs="宋体"/>
                <w:szCs w:val="21"/>
              </w:rPr>
              <w:t>（1）技术负责人职称：具有建筑类相关专业工程师及以上职称的得</w:t>
            </w:r>
            <w:r>
              <w:rPr>
                <w:rFonts w:hint="eastAsia" w:ascii="宋体" w:hAnsi="宋体" w:cs="宋体"/>
                <w:szCs w:val="21"/>
                <w:lang w:val="en-US" w:eastAsia="zh-CN"/>
              </w:rPr>
              <w:t>1</w:t>
            </w:r>
            <w:r>
              <w:rPr>
                <w:rFonts w:hint="eastAsia" w:ascii="宋体" w:hAnsi="宋体" w:cs="宋体"/>
                <w:szCs w:val="21"/>
              </w:rPr>
              <w:t>分；</w:t>
            </w:r>
          </w:p>
          <w:p>
            <w:pPr>
              <w:spacing w:line="400" w:lineRule="exact"/>
            </w:pPr>
            <w:r>
              <w:rPr>
                <w:rFonts w:hint="eastAsia" w:ascii="宋体" w:hAnsi="宋体" w:cs="宋体"/>
                <w:szCs w:val="21"/>
              </w:rPr>
              <w:t>（2）专职安全员证书：具有专职安全员安全生产考核合格证书（C证）的得</w:t>
            </w:r>
            <w:r>
              <w:rPr>
                <w:rFonts w:hint="eastAsia" w:ascii="宋体" w:hAnsi="宋体" w:cs="宋体"/>
                <w:szCs w:val="21"/>
                <w:lang w:val="en-US" w:eastAsia="zh-CN"/>
              </w:rPr>
              <w:t>1</w:t>
            </w:r>
            <w:r>
              <w:rPr>
                <w:rFonts w:hint="eastAsia" w:ascii="宋体" w:hAnsi="宋体" w:cs="宋体"/>
                <w:szCs w:val="21"/>
              </w:rPr>
              <w:t>分。</w:t>
            </w:r>
          </w:p>
          <w:p>
            <w:pPr>
              <w:wordWrap w:val="0"/>
              <w:spacing w:line="400" w:lineRule="exact"/>
              <w:rPr>
                <w:rFonts w:ascii="宋体" w:hAnsi="宋体" w:cs="宋体"/>
                <w:szCs w:val="21"/>
              </w:rPr>
            </w:pPr>
            <w:r>
              <w:rPr>
                <w:rFonts w:hint="eastAsia" w:ascii="宋体" w:hAnsi="宋体" w:cs="宋体"/>
                <w:szCs w:val="21"/>
              </w:rPr>
              <w:t>未提供投标人为其缴纳2020年1月-2020年3月社会保险证明材料的，不予计分。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kern w:val="0"/>
                <w:szCs w:val="21"/>
              </w:rPr>
              <w:t>其他主要人员（</w:t>
            </w:r>
            <w:r>
              <w:rPr>
                <w:rFonts w:hint="eastAsia" w:ascii="宋体" w:hAnsi="宋体" w:cs="宋体"/>
                <w:szCs w:val="21"/>
              </w:rPr>
              <w:t>满分</w:t>
            </w:r>
            <w:r>
              <w:rPr>
                <w:rFonts w:hint="eastAsia" w:ascii="宋体" w:hAnsi="宋体" w:cs="宋体"/>
                <w:kern w:val="0"/>
                <w:szCs w:val="21"/>
                <w:lang w:val="en-US" w:eastAsia="zh-CN"/>
              </w:rPr>
              <w:t>3</w:t>
            </w:r>
            <w:r>
              <w:rPr>
                <w:rFonts w:hint="eastAsia" w:ascii="宋体" w:hAnsi="宋体" w:cs="宋体"/>
                <w:kern w:val="0"/>
                <w:szCs w:val="21"/>
              </w:rPr>
              <w:t>分）</w:t>
            </w:r>
          </w:p>
        </w:tc>
        <w:tc>
          <w:tcPr>
            <w:tcW w:w="4508" w:type="dxa"/>
            <w:vMerge w:val="restart"/>
            <w:vAlign w:val="center"/>
          </w:tcPr>
          <w:p>
            <w:pPr>
              <w:widowControl/>
              <w:wordWrap w:val="0"/>
              <w:spacing w:line="400" w:lineRule="exact"/>
              <w:jc w:val="left"/>
              <w:rPr>
                <w:rFonts w:ascii="宋体" w:hAnsi="宋体" w:cs="宋体"/>
                <w:kern w:val="0"/>
                <w:szCs w:val="21"/>
              </w:rPr>
            </w:pPr>
            <w:r>
              <w:rPr>
                <w:rFonts w:hint="eastAsia" w:ascii="宋体" w:hAnsi="宋体" w:cs="宋体"/>
                <w:kern w:val="0"/>
                <w:szCs w:val="21"/>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widowControl/>
              <w:wordWrap w:val="0"/>
              <w:spacing w:line="400" w:lineRule="exact"/>
              <w:jc w:val="left"/>
              <w:rPr>
                <w:rFonts w:ascii="宋体" w:hAnsi="宋体" w:cs="宋体"/>
                <w:kern w:val="0"/>
                <w:szCs w:val="21"/>
              </w:rPr>
            </w:pPr>
            <w:r>
              <w:rPr>
                <w:rFonts w:hint="eastAsia" w:ascii="宋体" w:hAnsi="宋体" w:cs="宋体"/>
                <w:kern w:val="0"/>
                <w:szCs w:val="21"/>
              </w:rPr>
              <w:t>优（3分）：拟投入本工程的主要技术管理人员配备齐全、合理，经验丰富并完全满足项目整体施工需要且具备相关岗位证书（拟派驻本项目的技术负责人应具有</w:t>
            </w:r>
            <w:r>
              <w:rPr>
                <w:rFonts w:hint="eastAsia" w:ascii="宋体" w:hAnsi="宋体" w:cs="宋体"/>
                <w:szCs w:val="21"/>
              </w:rPr>
              <w:t>建筑类相关专业</w:t>
            </w:r>
            <w:r>
              <w:rPr>
                <w:rFonts w:hint="eastAsia" w:ascii="宋体" w:hAnsi="宋体" w:cs="宋体"/>
                <w:kern w:val="0"/>
                <w:szCs w:val="21"/>
              </w:rPr>
              <w:t>中级职称和</w:t>
            </w:r>
            <w:r>
              <w:rPr>
                <w:rFonts w:hint="eastAsia" w:ascii="宋体" w:hAnsi="宋体" w:cs="宋体"/>
                <w:color w:val="auto"/>
                <w:kern w:val="0"/>
                <w:szCs w:val="21"/>
              </w:rPr>
              <w:t>大专学历及以上证件，</w:t>
            </w:r>
            <w:r>
              <w:rPr>
                <w:rFonts w:hint="eastAsia" w:ascii="宋体" w:hAnsi="宋体" w:cs="宋体"/>
                <w:kern w:val="0"/>
                <w:szCs w:val="21"/>
              </w:rPr>
              <w:t>安全员、施工员、质量员、材料员、资料员、应具有相应岗位资格证书且全部持证上岗并在有效期内。）</w:t>
            </w:r>
          </w:p>
          <w:p>
            <w:pPr>
              <w:widowControl/>
              <w:wordWrap w:val="0"/>
              <w:spacing w:line="400" w:lineRule="exact"/>
              <w:jc w:val="left"/>
              <w:rPr>
                <w:rFonts w:ascii="宋体" w:hAnsi="宋体" w:cs="宋体"/>
                <w:kern w:val="0"/>
                <w:szCs w:val="21"/>
              </w:rPr>
            </w:pPr>
            <w:r>
              <w:rPr>
                <w:rFonts w:hint="eastAsia" w:ascii="宋体" w:hAnsi="宋体" w:cs="宋体"/>
                <w:kern w:val="0"/>
                <w:szCs w:val="21"/>
              </w:rPr>
              <w:t>差（</w:t>
            </w:r>
            <w:r>
              <w:rPr>
                <w:rFonts w:hint="eastAsia" w:ascii="宋体" w:hAnsi="宋体" w:cs="宋体"/>
                <w:kern w:val="0"/>
                <w:szCs w:val="21"/>
                <w:lang w:val="en-US" w:eastAsia="zh-CN"/>
              </w:rPr>
              <w:t>1</w:t>
            </w:r>
            <w:r>
              <w:rPr>
                <w:rFonts w:hint="eastAsia" w:ascii="宋体" w:hAnsi="宋体" w:cs="宋体"/>
                <w:kern w:val="0"/>
                <w:szCs w:val="21"/>
              </w:rPr>
              <w:t>分）: 拟投入本工程的主要技术管理人员配备不齐全、不合理，不能满足施工需要且全部持证上岗。（拟派驻本项目的技术负责人应具有</w:t>
            </w:r>
            <w:r>
              <w:rPr>
                <w:rFonts w:hint="eastAsia" w:ascii="宋体" w:hAnsi="宋体" w:cs="宋体"/>
                <w:szCs w:val="21"/>
              </w:rPr>
              <w:t>建筑类相关专业</w:t>
            </w:r>
            <w:r>
              <w:rPr>
                <w:rFonts w:hint="eastAsia" w:ascii="宋体" w:hAnsi="宋体" w:cs="宋体"/>
                <w:kern w:val="0"/>
                <w:szCs w:val="21"/>
              </w:rPr>
              <w:t>中级职称和大专学历及以上证件，安全员、施工员、质量员、材料员、资料员、应具有相应岗位资格证书且全部持证上岗并在有效期内。）</w:t>
            </w:r>
          </w:p>
          <w:p>
            <w:pPr>
              <w:widowControl/>
              <w:wordWrap w:val="0"/>
              <w:spacing w:line="400" w:lineRule="exact"/>
              <w:jc w:val="left"/>
              <w:rPr>
                <w:rFonts w:ascii="宋体" w:hAnsi="宋体" w:cs="宋体"/>
                <w:kern w:val="0"/>
                <w:szCs w:val="21"/>
              </w:rPr>
            </w:pPr>
            <w:r>
              <w:rPr>
                <w:rFonts w:hint="eastAsia" w:ascii="宋体" w:hAnsi="宋体" w:cs="宋体"/>
                <w:kern w:val="0"/>
                <w:szCs w:val="21"/>
              </w:rPr>
              <w:t>注：技术负责人无需提供上岗证，以专业技术职称证书为准。</w:t>
            </w:r>
          </w:p>
          <w:p>
            <w:pPr>
              <w:spacing w:line="400" w:lineRule="exact"/>
            </w:pPr>
            <w:r>
              <w:rPr>
                <w:rFonts w:hint="eastAsia" w:ascii="宋体" w:hAnsi="宋体" w:cs="宋体"/>
                <w:szCs w:val="21"/>
              </w:rPr>
              <w:t>未提供投标人为上述人员缴纳2020年1月-2020年3月社会保险证明材料的，不予计分。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0" w:hRule="atLeast"/>
          <w:jc w:val="center"/>
        </w:trPr>
        <w:tc>
          <w:tcPr>
            <w:tcW w:w="932" w:type="dxa"/>
            <w:gridSpan w:val="2"/>
            <w:vMerge w:val="continue"/>
            <w:vAlign w:val="center"/>
          </w:tcPr>
          <w:p/>
        </w:tc>
        <w:tc>
          <w:tcPr>
            <w:tcW w:w="644" w:type="dxa"/>
            <w:vMerge w:val="continue"/>
            <w:vAlign w:val="center"/>
          </w:tcPr>
          <w:p/>
        </w:tc>
        <w:tc>
          <w:tcPr>
            <w:tcW w:w="962" w:type="dxa"/>
            <w:vMerge w:val="continue"/>
            <w:vAlign w:val="center"/>
          </w:tcPr>
          <w:p/>
        </w:tc>
        <w:tc>
          <w:tcPr>
            <w:tcW w:w="2252" w:type="dxa"/>
            <w:gridSpan w:val="2"/>
            <w:vAlign w:val="center"/>
          </w:tcPr>
          <w:p>
            <w:pPr>
              <w:spacing w:line="400" w:lineRule="exact"/>
            </w:pPr>
          </w:p>
        </w:tc>
        <w:tc>
          <w:tcPr>
            <w:tcW w:w="4508" w:type="dxa"/>
            <w:vMerge w:val="continue"/>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滄笙" w:date="2020-05-27T17:58: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21" w:hRule="atLeast"/>
          <w:jc w:val="center"/>
          <w:trPrChange w:id="1" w:author="滄笙" w:date="2020-05-27T17:58:13Z">
            <w:trPr>
              <w:trHeight w:val="5150" w:hRule="atLeast"/>
              <w:jc w:val="center"/>
            </w:trPr>
          </w:trPrChange>
        </w:trPr>
        <w:tc>
          <w:tcPr>
            <w:tcW w:w="932" w:type="dxa"/>
            <w:gridSpan w:val="2"/>
            <w:vMerge w:val="continue"/>
            <w:vAlign w:val="center"/>
            <w:tcPrChange w:id="2" w:author="滄笙" w:date="2020-05-27T17:58:13Z">
              <w:tcPr>
                <w:tcW w:w="932" w:type="dxa"/>
                <w:gridSpan w:val="2"/>
                <w:vMerge w:val="continue"/>
                <w:vAlign w:val="center"/>
              </w:tcPr>
            </w:tcPrChange>
          </w:tcPr>
          <w:p>
            <w:pPr>
              <w:wordWrap w:val="0"/>
              <w:spacing w:line="560" w:lineRule="exact"/>
              <w:jc w:val="center"/>
              <w:rPr>
                <w:rFonts w:ascii="宋体" w:hAnsi="宋体" w:cs="宋体"/>
                <w:szCs w:val="21"/>
              </w:rPr>
            </w:pPr>
          </w:p>
        </w:tc>
        <w:tc>
          <w:tcPr>
            <w:tcW w:w="644" w:type="dxa"/>
            <w:vMerge w:val="continue"/>
            <w:vAlign w:val="center"/>
            <w:tcPrChange w:id="3" w:author="滄笙" w:date="2020-05-27T17:58:13Z">
              <w:tcPr>
                <w:tcW w:w="644" w:type="dxa"/>
                <w:vMerge w:val="continue"/>
                <w:vAlign w:val="center"/>
              </w:tcPr>
            </w:tcPrChange>
          </w:tcPr>
          <w:p>
            <w:pPr>
              <w:wordWrap w:val="0"/>
              <w:spacing w:line="560" w:lineRule="exact"/>
              <w:jc w:val="center"/>
              <w:rPr>
                <w:rFonts w:ascii="宋体" w:hAnsi="宋体" w:cs="宋体"/>
                <w:szCs w:val="21"/>
              </w:rPr>
            </w:pPr>
          </w:p>
        </w:tc>
        <w:tc>
          <w:tcPr>
            <w:tcW w:w="962" w:type="dxa"/>
            <w:vMerge w:val="restart"/>
            <w:vAlign w:val="center"/>
            <w:tcPrChange w:id="4" w:author="滄笙" w:date="2020-05-27T17:58:13Z">
              <w:tcPr>
                <w:tcW w:w="962" w:type="dxa"/>
                <w:vMerge w:val="restart"/>
                <w:vAlign w:val="center"/>
              </w:tcPr>
            </w:tcPrChange>
          </w:tcPr>
          <w:p>
            <w:pPr>
              <w:wordWrap w:val="0"/>
              <w:spacing w:line="560" w:lineRule="exact"/>
              <w:jc w:val="center"/>
              <w:rPr>
                <w:rFonts w:ascii="宋体" w:hAnsi="宋体" w:cs="宋体"/>
                <w:kern w:val="0"/>
                <w:szCs w:val="21"/>
              </w:rPr>
            </w:pPr>
          </w:p>
          <w:p>
            <w:pPr>
              <w:wordWrap w:val="0"/>
              <w:spacing w:line="560" w:lineRule="exact"/>
              <w:jc w:val="center"/>
              <w:rPr>
                <w:rFonts w:ascii="宋体" w:hAnsi="宋体" w:cs="宋体"/>
                <w:kern w:val="0"/>
                <w:szCs w:val="21"/>
              </w:rPr>
            </w:pPr>
          </w:p>
          <w:p>
            <w:pPr>
              <w:wordWrap w:val="0"/>
              <w:spacing w:line="560" w:lineRule="exact"/>
              <w:jc w:val="center"/>
              <w:rPr>
                <w:rFonts w:ascii="宋体" w:hAnsi="宋体" w:cs="宋体"/>
                <w:szCs w:val="21"/>
              </w:rPr>
            </w:pPr>
            <w:r>
              <w:rPr>
                <w:rFonts w:hint="eastAsia" w:ascii="宋体" w:hAnsi="宋体" w:cs="宋体"/>
                <w:kern w:val="0"/>
                <w:szCs w:val="21"/>
              </w:rPr>
              <w:t>施工组织设计（满分</w:t>
            </w:r>
            <w:r>
              <w:rPr>
                <w:rFonts w:hint="eastAsia" w:ascii="宋体" w:hAnsi="宋体" w:cs="宋体"/>
                <w:kern w:val="0"/>
                <w:szCs w:val="21"/>
                <w:lang w:val="en-US" w:eastAsia="zh-CN"/>
              </w:rPr>
              <w:t>20</w:t>
            </w:r>
            <w:r>
              <w:rPr>
                <w:rFonts w:hint="eastAsia" w:ascii="宋体" w:hAnsi="宋体" w:cs="宋体"/>
                <w:kern w:val="0"/>
                <w:szCs w:val="21"/>
              </w:rPr>
              <w:t>分）</w:t>
            </w:r>
          </w:p>
        </w:tc>
        <w:tc>
          <w:tcPr>
            <w:tcW w:w="2252" w:type="dxa"/>
            <w:gridSpan w:val="2"/>
            <w:vAlign w:val="center"/>
            <w:tcPrChange w:id="5" w:author="滄笙" w:date="2020-05-27T17:58:13Z">
              <w:tcPr>
                <w:tcW w:w="2252" w:type="dxa"/>
                <w:gridSpan w:val="2"/>
                <w:vAlign w:val="center"/>
              </w:tcPr>
            </w:tcPrChange>
          </w:tcPr>
          <w:p>
            <w:pPr>
              <w:wordWrap w:val="0"/>
              <w:spacing w:line="400" w:lineRule="exact"/>
              <w:jc w:val="center"/>
              <w:rPr>
                <w:rFonts w:ascii="宋体" w:hAnsi="宋体" w:cs="宋体"/>
                <w:kern w:val="0"/>
                <w:szCs w:val="21"/>
              </w:rPr>
            </w:pPr>
          </w:p>
          <w:p>
            <w:pPr>
              <w:wordWrap w:val="0"/>
              <w:spacing w:line="400" w:lineRule="exact"/>
              <w:jc w:val="center"/>
              <w:rPr>
                <w:rFonts w:ascii="宋体" w:hAnsi="宋体" w:cs="宋体"/>
                <w:kern w:val="0"/>
                <w:szCs w:val="21"/>
              </w:rPr>
            </w:pPr>
            <w:r>
              <w:rPr>
                <w:rFonts w:hint="eastAsia" w:ascii="宋体" w:hAnsi="宋体" w:cs="宋体"/>
                <w:kern w:val="0"/>
                <w:szCs w:val="21"/>
              </w:rPr>
              <w:t>主要施工方法</w:t>
            </w:r>
          </w:p>
          <w:p>
            <w:pPr>
              <w:wordWrap w:val="0"/>
              <w:spacing w:line="400" w:lineRule="exact"/>
              <w:jc w:val="center"/>
              <w:rPr>
                <w:rFonts w:ascii="宋体" w:hAnsi="宋体" w:cs="宋体"/>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vAlign w:val="center"/>
            <w:tcPrChange w:id="6" w:author="滄笙" w:date="2020-05-27T17:58:13Z">
              <w:tcPr>
                <w:tcW w:w="4508" w:type="dxa"/>
                <w:vAlign w:val="center"/>
              </w:tcPr>
            </w:tcPrChange>
          </w:tcPr>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：对项目总体施工有深刻认识，表述清晰、完整、严谨、合理，施工技术方案科学、采取措施先进、具体、有效、成熟，，划分清晰、合理，符合规范要求。</w:t>
            </w:r>
          </w:p>
          <w:p>
            <w:pPr>
              <w:wordWrap w:val="0"/>
              <w:spacing w:line="400" w:lineRule="exact"/>
              <w:jc w:val="lef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：对项目总体有一定认识，表述清晰、完整，措施具体有效；施工段划分呼应总体表述，划分清晰，符合规范要求。</w:t>
            </w:r>
          </w:p>
          <w:p>
            <w:pPr>
              <w:wordWrap w:val="0"/>
              <w:spacing w:line="400" w:lineRule="exact"/>
              <w:jc w:val="lef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：对项目总体有认识，有一定的措施但部分不具体；施工段划分较合理，符合规范要求。</w:t>
            </w:r>
          </w:p>
          <w:p>
            <w:pPr>
              <w:widowControl/>
              <w:wordWrap w:val="0"/>
              <w:spacing w:line="400" w:lineRule="exact"/>
              <w:jc w:val="lef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：对项目认识不足，表述不清晰，措施不具体；施工段划分不合理。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idowControl/>
              <w:wordWrap w:val="0"/>
              <w:spacing w:line="400" w:lineRule="exact"/>
              <w:jc w:val="center"/>
              <w:rPr>
                <w:rFonts w:ascii="宋体" w:hAnsi="宋体" w:cs="宋体"/>
                <w:szCs w:val="21"/>
              </w:rPr>
            </w:pPr>
            <w:r>
              <w:rPr>
                <w:rFonts w:hint="eastAsia" w:ascii="宋体" w:hAnsi="宋体" w:cs="宋体"/>
                <w:kern w:val="0"/>
                <w:szCs w:val="21"/>
              </w:rPr>
              <w:t>拟投入的主要</w:t>
            </w:r>
            <w:bookmarkStart w:id="308" w:name="_GoBack"/>
            <w:bookmarkEnd w:id="308"/>
            <w:r>
              <w:rPr>
                <w:rFonts w:hint="eastAsia" w:ascii="宋体" w:hAnsi="宋体" w:cs="宋体"/>
                <w:kern w:val="0"/>
                <w:szCs w:val="21"/>
              </w:rPr>
              <w:t>物资计划（</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vAlign w:val="center"/>
          </w:tcPr>
          <w:p>
            <w:pPr>
              <w:widowControl/>
              <w:wordWrap w:val="0"/>
              <w:spacing w:line="400" w:lineRule="exact"/>
              <w:jc w:val="left"/>
              <w:rPr>
                <w:rFonts w:ascii="宋体" w:hAnsi="宋体" w:cs="宋体"/>
                <w:szCs w:val="21"/>
              </w:rPr>
            </w:pPr>
            <w:r>
              <w:rPr>
                <w:rFonts w:hint="eastAsia" w:ascii="宋体" w:hAnsi="宋体" w:cs="宋体"/>
                <w:szCs w:val="21"/>
              </w:rPr>
              <w:t>投入的施工材料有详细的组织计划且计划周密，数量、选型配置、进场时间安排合理，满足施工需要。</w:t>
            </w:r>
          </w:p>
          <w:p>
            <w:pPr>
              <w:wordWrap w:val="0"/>
              <w:spacing w:line="400" w:lineRule="exact"/>
              <w:jc w:val="lef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：投入计划与进度计划很呼应，很好满足施工需要，调配投入计划合理、准确。</w:t>
            </w:r>
          </w:p>
          <w:p>
            <w:pPr>
              <w:wordWrap w:val="0"/>
              <w:spacing w:line="400" w:lineRule="exact"/>
              <w:jc w:val="lef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：投入计划与进度计划较呼应，较好的满足施工需要，调配投入计划基本合理、准确。</w:t>
            </w:r>
          </w:p>
          <w:p>
            <w:pPr>
              <w:wordWrap w:val="0"/>
              <w:spacing w:line="400" w:lineRule="exact"/>
              <w:jc w:val="lef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：投入计划与进度计划呼应，基本满足施工需要，调配投入计划基本合理。</w:t>
            </w:r>
          </w:p>
          <w:p>
            <w:pPr>
              <w:widowControl/>
              <w:wordWrap w:val="0"/>
              <w:spacing w:line="400" w:lineRule="exact"/>
              <w:jc w:val="lef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idowControl/>
              <w:wordWrap w:val="0"/>
              <w:spacing w:line="400" w:lineRule="exact"/>
              <w:jc w:val="center"/>
              <w:rPr>
                <w:rFonts w:ascii="宋体" w:hAnsi="宋体" w:cs="宋体"/>
                <w:szCs w:val="21"/>
              </w:rPr>
            </w:pPr>
            <w:r>
              <w:rPr>
                <w:rFonts w:hint="eastAsia" w:ascii="宋体" w:hAnsi="宋体" w:cs="宋体"/>
                <w:kern w:val="0"/>
                <w:szCs w:val="21"/>
              </w:rPr>
              <w:t>拟投入的主要施工机械、设备计划（</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投入的施工机械、设备、机具有详细的组织计划且计划周密，设备数量、选型配置、进场时间安排合理，满足施工需要。</w:t>
            </w:r>
          </w:p>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：投入计划与进度计划呼应，较好满足施工需要，采用较先进机械设备。</w:t>
            </w:r>
          </w:p>
          <w:p>
            <w:pPr>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：投入计划与进度计划呼应，满足施工需要。</w:t>
            </w:r>
          </w:p>
          <w:p>
            <w:pPr>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：投入计划与进度计划呼应，基本满足施工需要。</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kern w:val="0"/>
                <w:szCs w:val="21"/>
              </w:rPr>
              <w:t>劳动力安排计划（</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各主要施工工序应有详细周密的劳动力安排计划，有各工种劳动力安排计划，劳动力投入合理，满足施工需要。</w:t>
            </w:r>
          </w:p>
          <w:p>
            <w:pPr>
              <w:widowControl/>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：各主要施工工序具有详细周密的劳动力安排计划，计划与进度呼应，有各工种劳动力安排计划，劳动力投入合理，很好的满足整体施工需要。</w:t>
            </w:r>
          </w:p>
          <w:p>
            <w:pPr>
              <w:widowControl/>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：各主要施工工序具有详细的劳动力安排计划，计划与进度呼应，有各工种劳动力安排计划，劳动力投入较合理。</w:t>
            </w:r>
          </w:p>
          <w:p>
            <w:pPr>
              <w:widowControl/>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：各主要施工工序具有劳动力安排计划，有各工种劳动力安排计划，劳动力投入基本合理。</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：没有劳动力安排计划，劳动力安排计划及劳动力投入不合理。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idowControl/>
              <w:wordWrap w:val="0"/>
              <w:spacing w:line="400" w:lineRule="exact"/>
              <w:jc w:val="center"/>
              <w:rPr>
                <w:rFonts w:ascii="宋体" w:hAnsi="宋体" w:cs="宋体"/>
                <w:kern w:val="0"/>
                <w:szCs w:val="21"/>
              </w:rPr>
            </w:pPr>
            <w:r>
              <w:rPr>
                <w:rFonts w:hint="eastAsia" w:ascii="宋体" w:hAnsi="宋体" w:cs="宋体"/>
                <w:kern w:val="0"/>
                <w:szCs w:val="21"/>
              </w:rPr>
              <w:t>确保工程质量的技术组织措施</w:t>
            </w:r>
          </w:p>
          <w:p>
            <w:pPr>
              <w:widowControl/>
              <w:wordWrap w:val="0"/>
              <w:spacing w:line="400" w:lineRule="exact"/>
              <w:jc w:val="center"/>
              <w:rPr>
                <w:rFonts w:ascii="宋体" w:hAnsi="宋体" w:cs="宋体"/>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应有专门的质量技术管理班子和制度，且人员配备合理，制度健全。主要工序应有质量技术保证措施和手段，自控体系完整，能有效保证技术质量，达到承诺的质量标准。</w:t>
            </w:r>
          </w:p>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：应用论证通过的新技术、新工艺、新材料、新设备，针对项目实际提出先进、可行、具体的保证措施，超过招标文件的质量要求及施工验收规范要求。</w:t>
            </w:r>
          </w:p>
          <w:p>
            <w:pPr>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：针对项目实际提出先进、可行、具体的保证措施，满足招标文件的质量要求。</w:t>
            </w:r>
          </w:p>
          <w:p>
            <w:pPr>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：具体措施可行，满足招标文件的质量要求。</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：措施不可行，没有质量违约责任承诺。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idowControl/>
              <w:wordWrap w:val="0"/>
              <w:spacing w:line="400" w:lineRule="exact"/>
              <w:jc w:val="center"/>
              <w:rPr>
                <w:rFonts w:ascii="宋体" w:hAnsi="宋体" w:cs="宋体"/>
                <w:kern w:val="0"/>
                <w:szCs w:val="21"/>
              </w:rPr>
            </w:pPr>
            <w:r>
              <w:rPr>
                <w:rFonts w:hint="eastAsia" w:ascii="宋体" w:hAnsi="宋体" w:cs="宋体"/>
                <w:kern w:val="0"/>
                <w:szCs w:val="21"/>
              </w:rPr>
              <w:t>确保安全生产的技术组织措施</w:t>
            </w:r>
          </w:p>
          <w:p>
            <w:pPr>
              <w:widowControl/>
              <w:wordWrap w:val="0"/>
              <w:spacing w:line="400" w:lineRule="exact"/>
              <w:jc w:val="center"/>
              <w:rPr>
                <w:rFonts w:ascii="宋体" w:hAnsi="宋体" w:cs="宋体"/>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应有专门的安全管理人员和制度，且人员配备合理，制度健全，各道工序安全技术措施针对性强，符合实际且满足有关安全技术标准要求。</w:t>
            </w:r>
          </w:p>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：针对项目整体实际情况，有先进、具体、完整、可行的安全技术实施措施，采用规范正确、清晰。</w:t>
            </w:r>
          </w:p>
          <w:p>
            <w:pPr>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：针对项目实际情况，有合理的措施且具体、完整，采用规范正确。</w:t>
            </w:r>
          </w:p>
          <w:p>
            <w:pPr>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：有基本合理的措施，采用规范正确。</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1"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kern w:val="0"/>
                <w:szCs w:val="21"/>
              </w:rPr>
            </w:pPr>
          </w:p>
          <w:p>
            <w:pPr>
              <w:wordWrap w:val="0"/>
              <w:spacing w:line="400" w:lineRule="exact"/>
              <w:jc w:val="center"/>
              <w:rPr>
                <w:rFonts w:ascii="宋体" w:hAnsi="宋体" w:cs="宋体"/>
                <w:szCs w:val="21"/>
              </w:rPr>
            </w:pPr>
            <w:r>
              <w:rPr>
                <w:rFonts w:hint="eastAsia" w:ascii="宋体" w:hAnsi="宋体" w:cs="宋体"/>
                <w:kern w:val="0"/>
                <w:szCs w:val="21"/>
              </w:rPr>
              <w:t>确保工期的技术组织措施（</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：项目进度计划关键线路很清晰、准确、完整，计划编制合理、可行，关键节点的控制措施有力、合理、可行，进度违约责任承诺很具体全面，很好的满足项目的进度计划推进需要。</w:t>
            </w:r>
          </w:p>
          <w:p>
            <w:pPr>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：项目进度计划关键线路清晰、准确、完整，计划编制可行，关键节点的控制措施合理、可行，进度违约责任承诺具体较全面，较好的满足项目的进度计划推进需要。</w:t>
            </w:r>
          </w:p>
          <w:p>
            <w:pPr>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：项目进度计划关键线路基本准确，计划编制基本合理，关键节点的控制措施基本可行，进度违约责任承诺具体。基本满足项目的进度计划推进需要。</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：关键线路不准确，计划编制不合理，关键节点的控制不可行，没有违约责任承诺。不满足项目的进度计划推进需要。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kern w:val="0"/>
                <w:szCs w:val="21"/>
              </w:rPr>
              <w:t>确保文明施工的技术组织措施（</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widowControl/>
              <w:wordWrap w:val="0"/>
              <w:spacing w:line="400" w:lineRule="exac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2</w:t>
            </w:r>
            <w:r>
              <w:rPr>
                <w:rFonts w:hint="eastAsia" w:ascii="宋体" w:hAnsi="宋体" w:cs="宋体"/>
                <w:szCs w:val="21"/>
              </w:rPr>
              <w:t>分）：针对项目实际情况，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widowControl/>
              <w:wordWrap w:val="0"/>
              <w:spacing w:line="400" w:lineRule="exact"/>
              <w:rPr>
                <w:rFonts w:ascii="宋体" w:hAnsi="宋体" w:cs="宋体"/>
                <w:szCs w:val="21"/>
              </w:rPr>
            </w:pPr>
            <w:r>
              <w:rPr>
                <w:rFonts w:hint="eastAsia" w:ascii="宋体" w:hAnsi="宋体" w:cs="宋体"/>
                <w:szCs w:val="21"/>
              </w:rPr>
              <w:t>良（</w:t>
            </w:r>
            <w:r>
              <w:rPr>
                <w:rFonts w:hint="eastAsia" w:ascii="宋体" w:hAnsi="宋体" w:cs="宋体"/>
                <w:szCs w:val="21"/>
                <w:lang w:val="en-US" w:eastAsia="zh-CN"/>
              </w:rPr>
              <w:t>1</w:t>
            </w:r>
            <w:r>
              <w:rPr>
                <w:rFonts w:hint="eastAsia" w:ascii="宋体" w:hAnsi="宋体" w:cs="宋体"/>
                <w:szCs w:val="21"/>
              </w:rPr>
              <w:t>分）：针对项目实际情况，有合理的现场文明施工、环境保护措施且具体、完整，采用规范正确。</w:t>
            </w:r>
          </w:p>
          <w:p>
            <w:pPr>
              <w:widowControl/>
              <w:wordWrap w:val="0"/>
              <w:spacing w:line="400" w:lineRule="exact"/>
              <w:rPr>
                <w:rFonts w:ascii="宋体" w:hAnsi="宋体" w:cs="宋体"/>
                <w:szCs w:val="21"/>
              </w:rPr>
            </w:pPr>
            <w:r>
              <w:rPr>
                <w:rFonts w:hint="eastAsia" w:ascii="宋体" w:hAnsi="宋体" w:cs="宋体"/>
                <w:szCs w:val="21"/>
              </w:rPr>
              <w:t>中（</w:t>
            </w:r>
            <w:r>
              <w:rPr>
                <w:rFonts w:hint="eastAsia" w:ascii="宋体" w:hAnsi="宋体" w:cs="宋体"/>
                <w:szCs w:val="21"/>
                <w:lang w:val="en-US" w:eastAsia="zh-CN"/>
              </w:rPr>
              <w:t>0.5</w:t>
            </w:r>
            <w:r>
              <w:rPr>
                <w:rFonts w:hint="eastAsia" w:ascii="宋体" w:hAnsi="宋体" w:cs="宋体"/>
                <w:szCs w:val="21"/>
              </w:rPr>
              <w:t>分）：有基本合理的现场文明施工、环境保护措施，采用规范正确。</w:t>
            </w:r>
          </w:p>
          <w:p>
            <w:pPr>
              <w:widowControl/>
              <w:wordWrap w:val="0"/>
              <w:spacing w:line="400" w:lineRule="exact"/>
              <w:rPr>
                <w:rFonts w:ascii="宋体" w:hAnsi="宋体" w:cs="宋体"/>
                <w:szCs w:val="21"/>
              </w:rPr>
            </w:pPr>
            <w:r>
              <w:rPr>
                <w:rFonts w:hint="eastAsia" w:ascii="宋体" w:hAnsi="宋体" w:cs="宋体"/>
                <w:szCs w:val="21"/>
              </w:rPr>
              <w:t>差（</w:t>
            </w:r>
            <w:r>
              <w:rPr>
                <w:rFonts w:hint="eastAsia" w:ascii="宋体" w:hAnsi="宋体" w:cs="宋体"/>
                <w:szCs w:val="21"/>
                <w:lang w:val="en-US" w:eastAsia="zh-CN"/>
              </w:rPr>
              <w:t>0.1</w:t>
            </w:r>
            <w:r>
              <w:rPr>
                <w:rFonts w:hint="eastAsia" w:ascii="宋体" w:hAnsi="宋体" w:cs="宋体"/>
                <w:szCs w:val="21"/>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kern w:val="0"/>
                <w:szCs w:val="21"/>
              </w:rPr>
              <w:t>工程施工的重点和难点及保证措施（</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针对本工程的特点，阐述本工程的重点和难点，解决重点和难点问题的方法合理。</w:t>
            </w:r>
          </w:p>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：对项目施工关键技术、工艺有很深入的表述，对重点、难点有先进合理的施工措施并有可行的安全措施，解决方案完整、经济、安全、切实可行，措施得力。</w:t>
            </w:r>
          </w:p>
          <w:p>
            <w:pPr>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：对项目关键技术、工艺有深入的表述，对重点、难点有合理的建议，解决方案经济、安全、基本可行。</w:t>
            </w:r>
          </w:p>
          <w:p>
            <w:pPr>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：对项目关键技术有一定了解，对重点、难点有建议，解决方案基本可行。</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wordWrap w:val="0"/>
              <w:spacing w:line="560" w:lineRule="exact"/>
              <w:jc w:val="center"/>
              <w:rPr>
                <w:rFonts w:ascii="宋体" w:hAnsi="宋体" w:cs="宋体"/>
                <w:szCs w:val="21"/>
              </w:rPr>
            </w:pPr>
          </w:p>
        </w:tc>
        <w:tc>
          <w:tcPr>
            <w:tcW w:w="644" w:type="dxa"/>
            <w:vMerge w:val="continue"/>
            <w:vAlign w:val="center"/>
          </w:tcPr>
          <w:p>
            <w:pPr>
              <w:wordWrap w:val="0"/>
              <w:spacing w:line="560" w:lineRule="exact"/>
              <w:jc w:val="center"/>
              <w:rPr>
                <w:rFonts w:ascii="宋体" w:hAnsi="宋体" w:cs="宋体"/>
                <w:szCs w:val="21"/>
              </w:rPr>
            </w:pPr>
          </w:p>
        </w:tc>
        <w:tc>
          <w:tcPr>
            <w:tcW w:w="962" w:type="dxa"/>
            <w:vMerge w:val="continue"/>
            <w:vAlign w:val="center"/>
          </w:tcPr>
          <w:p>
            <w:pPr>
              <w:wordWrap w:val="0"/>
              <w:spacing w:line="560" w:lineRule="exact"/>
              <w:jc w:val="center"/>
              <w:rPr>
                <w:rFonts w:ascii="宋体" w:hAnsi="宋体" w:cs="宋体"/>
                <w:szCs w:val="21"/>
              </w:rPr>
            </w:pPr>
          </w:p>
        </w:tc>
        <w:tc>
          <w:tcPr>
            <w:tcW w:w="2252" w:type="dxa"/>
            <w:gridSpan w:val="2"/>
            <w:vAlign w:val="center"/>
          </w:tcPr>
          <w:p>
            <w:pPr>
              <w:wordWrap w:val="0"/>
              <w:spacing w:line="400" w:lineRule="exact"/>
              <w:jc w:val="center"/>
              <w:rPr>
                <w:rFonts w:ascii="宋体" w:hAnsi="宋体" w:cs="宋体"/>
                <w:szCs w:val="21"/>
              </w:rPr>
            </w:pPr>
            <w:r>
              <w:rPr>
                <w:rFonts w:hint="eastAsia" w:ascii="宋体" w:hAnsi="宋体" w:cs="宋体"/>
                <w:kern w:val="0"/>
                <w:szCs w:val="21"/>
              </w:rPr>
              <w:t>施工总体布置图（</w:t>
            </w:r>
            <w:r>
              <w:rPr>
                <w:rFonts w:hint="eastAsia" w:ascii="宋体" w:hAnsi="宋体" w:cs="宋体"/>
                <w:kern w:val="0"/>
                <w:szCs w:val="21"/>
                <w:lang w:val="en-US" w:eastAsia="zh-CN"/>
              </w:rPr>
              <w:t>2</w:t>
            </w:r>
            <w:r>
              <w:rPr>
                <w:rFonts w:hint="eastAsia" w:ascii="宋体" w:hAnsi="宋体" w:cs="宋体"/>
                <w:kern w:val="0"/>
                <w:szCs w:val="21"/>
              </w:rPr>
              <w:t>分）</w:t>
            </w:r>
          </w:p>
        </w:tc>
        <w:tc>
          <w:tcPr>
            <w:tcW w:w="4508" w:type="dxa"/>
          </w:tcPr>
          <w:p>
            <w:pPr>
              <w:widowControl/>
              <w:wordWrap w:val="0"/>
              <w:spacing w:line="400" w:lineRule="exact"/>
              <w:rPr>
                <w:rFonts w:ascii="宋体" w:hAnsi="宋体" w:cs="宋体"/>
                <w:szCs w:val="21"/>
              </w:rPr>
            </w:pPr>
            <w:r>
              <w:rPr>
                <w:rFonts w:hint="eastAsia" w:ascii="宋体" w:hAnsi="宋体" w:cs="宋体"/>
                <w:szCs w:val="21"/>
              </w:rPr>
              <w:t>应有施工总平面布置图，安排科学合理，符合本项目施工实际要求。</w:t>
            </w:r>
          </w:p>
          <w:p>
            <w:pPr>
              <w:wordWrap w:val="0"/>
              <w:spacing w:line="400" w:lineRule="exact"/>
              <w:rPr>
                <w:rFonts w:ascii="宋体" w:hAnsi="宋体" w:cs="宋体"/>
                <w:szCs w:val="21"/>
              </w:rPr>
            </w:pPr>
            <w:r>
              <w:rPr>
                <w:rFonts w:hint="eastAsia" w:ascii="宋体" w:hAnsi="宋体" w:cs="宋体"/>
                <w:b/>
                <w:szCs w:val="21"/>
              </w:rPr>
              <w:t>优（</w:t>
            </w:r>
            <w:r>
              <w:rPr>
                <w:rFonts w:hint="eastAsia" w:ascii="宋体" w:hAnsi="宋体" w:cs="宋体"/>
                <w:b/>
                <w:szCs w:val="21"/>
                <w:lang w:val="en-US" w:eastAsia="zh-CN"/>
              </w:rPr>
              <w:t>2</w:t>
            </w:r>
            <w:r>
              <w:rPr>
                <w:rFonts w:hint="eastAsia" w:ascii="宋体" w:hAnsi="宋体" w:cs="宋体"/>
                <w:b/>
                <w:szCs w:val="21"/>
              </w:rPr>
              <w:t>分）</w:t>
            </w:r>
            <w:r>
              <w:rPr>
                <w:rFonts w:hint="eastAsia" w:ascii="宋体" w:hAnsi="宋体" w:cs="宋体"/>
                <w:szCs w:val="21"/>
              </w:rPr>
              <w:t>：施工总体布置很有针对性、合理，很好满足施工需要，符合安全、文明生产要求。</w:t>
            </w:r>
          </w:p>
          <w:p>
            <w:pPr>
              <w:wordWrap w:val="0"/>
              <w:spacing w:line="400" w:lineRule="exact"/>
              <w:rPr>
                <w:rFonts w:ascii="宋体" w:hAnsi="宋体" w:cs="宋体"/>
                <w:szCs w:val="21"/>
              </w:rPr>
            </w:pPr>
            <w:r>
              <w:rPr>
                <w:rFonts w:hint="eastAsia" w:ascii="宋体" w:hAnsi="宋体" w:cs="宋体"/>
                <w:b/>
                <w:szCs w:val="21"/>
              </w:rPr>
              <w:t>良（</w:t>
            </w:r>
            <w:r>
              <w:rPr>
                <w:rFonts w:hint="eastAsia" w:ascii="宋体" w:hAnsi="宋体" w:cs="宋体"/>
                <w:b/>
                <w:szCs w:val="21"/>
                <w:lang w:val="en-US" w:eastAsia="zh-CN"/>
              </w:rPr>
              <w:t>1</w:t>
            </w:r>
            <w:r>
              <w:rPr>
                <w:rFonts w:hint="eastAsia" w:ascii="宋体" w:hAnsi="宋体" w:cs="宋体"/>
                <w:b/>
                <w:szCs w:val="21"/>
              </w:rPr>
              <w:t>分）</w:t>
            </w:r>
            <w:r>
              <w:rPr>
                <w:rFonts w:hint="eastAsia" w:ascii="宋体" w:hAnsi="宋体" w:cs="宋体"/>
                <w:szCs w:val="21"/>
              </w:rPr>
              <w:t>：施工总体布置较合理，能满足施工需要，较好符合安全、文明生产要求。</w:t>
            </w:r>
          </w:p>
          <w:p>
            <w:pPr>
              <w:wordWrap w:val="0"/>
              <w:spacing w:line="400" w:lineRule="exact"/>
              <w:rPr>
                <w:rFonts w:ascii="宋体" w:hAnsi="宋体" w:cs="宋体"/>
                <w:szCs w:val="21"/>
              </w:rPr>
            </w:pPr>
            <w:r>
              <w:rPr>
                <w:rFonts w:hint="eastAsia" w:ascii="宋体" w:hAnsi="宋体" w:cs="宋体"/>
                <w:b/>
                <w:szCs w:val="21"/>
              </w:rPr>
              <w:t>中（</w:t>
            </w:r>
            <w:r>
              <w:rPr>
                <w:rFonts w:hint="eastAsia" w:ascii="宋体" w:hAnsi="宋体" w:cs="宋体"/>
                <w:b/>
                <w:szCs w:val="21"/>
                <w:lang w:val="en-US" w:eastAsia="zh-CN"/>
              </w:rPr>
              <w:t>0.5</w:t>
            </w:r>
            <w:r>
              <w:rPr>
                <w:rFonts w:hint="eastAsia" w:ascii="宋体" w:hAnsi="宋体" w:cs="宋体"/>
                <w:b/>
                <w:szCs w:val="21"/>
              </w:rPr>
              <w:t>分）</w:t>
            </w:r>
            <w:r>
              <w:rPr>
                <w:rFonts w:hint="eastAsia" w:ascii="宋体" w:hAnsi="宋体" w:cs="宋体"/>
                <w:szCs w:val="21"/>
              </w:rPr>
              <w:t>：施工总体布置基本合理，基本满足施工需要。</w:t>
            </w:r>
          </w:p>
          <w:p>
            <w:pPr>
              <w:widowControl/>
              <w:wordWrap w:val="0"/>
              <w:spacing w:line="400" w:lineRule="exact"/>
              <w:rPr>
                <w:rFonts w:ascii="宋体" w:hAnsi="宋体" w:cs="宋体"/>
                <w:szCs w:val="21"/>
              </w:rPr>
            </w:pPr>
            <w:r>
              <w:rPr>
                <w:rFonts w:hint="eastAsia" w:ascii="宋体" w:hAnsi="宋体" w:cs="宋体"/>
                <w:b/>
                <w:szCs w:val="21"/>
              </w:rPr>
              <w:t>差（</w:t>
            </w:r>
            <w:r>
              <w:rPr>
                <w:rFonts w:hint="eastAsia" w:ascii="宋体" w:hAnsi="宋体" w:cs="宋体"/>
                <w:b/>
                <w:szCs w:val="21"/>
                <w:lang w:val="en-US" w:eastAsia="zh-CN"/>
              </w:rPr>
              <w:t>0.1</w:t>
            </w:r>
            <w:r>
              <w:rPr>
                <w:rFonts w:hint="eastAsia" w:ascii="宋体" w:hAnsi="宋体" w:cs="宋体"/>
                <w:b/>
                <w:szCs w:val="21"/>
              </w:rPr>
              <w:t>分）</w:t>
            </w:r>
            <w:r>
              <w:rPr>
                <w:rFonts w:hint="eastAsia" w:ascii="宋体" w:hAnsi="宋体" w:cs="宋体"/>
                <w:szCs w:val="21"/>
              </w:rPr>
              <w:t>：施工总体布置不合理，不符合安全、文明生产要求。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32" w:type="dxa"/>
            <w:gridSpan w:val="2"/>
            <w:vAlign w:val="center"/>
          </w:tcPr>
          <w:p>
            <w:pPr>
              <w:wordWrap w:val="0"/>
              <w:spacing w:line="560" w:lineRule="exact"/>
              <w:jc w:val="center"/>
              <w:rPr>
                <w:rFonts w:ascii="宋体" w:hAnsi="宋体" w:cs="宋体"/>
                <w:szCs w:val="21"/>
              </w:rPr>
            </w:pPr>
            <w:r>
              <w:rPr>
                <w:rFonts w:hint="eastAsia" w:ascii="宋体" w:hAnsi="宋体" w:cs="宋体"/>
                <w:szCs w:val="21"/>
              </w:rPr>
              <w:t>2.2.2（2）</w:t>
            </w:r>
          </w:p>
        </w:tc>
        <w:tc>
          <w:tcPr>
            <w:tcW w:w="1606" w:type="dxa"/>
            <w:gridSpan w:val="2"/>
            <w:vAlign w:val="center"/>
          </w:tcPr>
          <w:p>
            <w:pPr>
              <w:wordWrap w:val="0"/>
              <w:spacing w:line="360" w:lineRule="exact"/>
              <w:jc w:val="center"/>
              <w:rPr>
                <w:rFonts w:ascii="宋体" w:hAnsi="宋体" w:cs="宋体"/>
                <w:szCs w:val="21"/>
              </w:rPr>
            </w:pPr>
            <w:r>
              <w:rPr>
                <w:rFonts w:hint="eastAsia" w:ascii="宋体" w:hAnsi="宋体" w:cs="宋体"/>
                <w:szCs w:val="21"/>
              </w:rPr>
              <w:t>商务标</w:t>
            </w:r>
          </w:p>
          <w:p>
            <w:pPr>
              <w:wordWrap w:val="0"/>
              <w:spacing w:line="360" w:lineRule="exact"/>
              <w:jc w:val="center"/>
              <w:rPr>
                <w:rFonts w:ascii="宋体" w:hAnsi="宋体" w:cs="宋体"/>
                <w:szCs w:val="21"/>
              </w:rPr>
            </w:pPr>
            <w:r>
              <w:rPr>
                <w:rFonts w:hint="eastAsia" w:ascii="宋体" w:hAnsi="宋体" w:cs="宋体"/>
                <w:szCs w:val="21"/>
              </w:rPr>
              <w:t>评分标准</w:t>
            </w:r>
          </w:p>
          <w:p>
            <w:pPr>
              <w:wordWrap w:val="0"/>
              <w:spacing w:line="360" w:lineRule="exact"/>
              <w:jc w:val="center"/>
              <w:rPr>
                <w:rFonts w:ascii="宋体" w:hAnsi="宋体" w:cs="宋体"/>
                <w:szCs w:val="21"/>
              </w:rPr>
            </w:pPr>
            <w:r>
              <w:rPr>
                <w:rFonts w:hint="eastAsia" w:ascii="宋体" w:hAnsi="宋体" w:cs="宋体"/>
                <w:szCs w:val="21"/>
              </w:rPr>
              <w:t>（满分</w:t>
            </w:r>
            <w:r>
              <w:rPr>
                <w:rFonts w:hint="eastAsia" w:ascii="宋体" w:hAnsi="宋体" w:cs="宋体"/>
                <w:szCs w:val="21"/>
                <w:lang w:val="en-US" w:eastAsia="zh-CN"/>
              </w:rPr>
              <w:t>7</w:t>
            </w:r>
            <w:r>
              <w:rPr>
                <w:rFonts w:hint="eastAsia" w:ascii="宋体" w:hAnsi="宋体" w:cs="宋体"/>
                <w:szCs w:val="21"/>
              </w:rPr>
              <w:t>0分）</w:t>
            </w:r>
          </w:p>
        </w:tc>
        <w:tc>
          <w:tcPr>
            <w:tcW w:w="2252" w:type="dxa"/>
            <w:gridSpan w:val="2"/>
            <w:vAlign w:val="center"/>
          </w:tcPr>
          <w:p>
            <w:pPr>
              <w:wordWrap w:val="0"/>
              <w:spacing w:line="560" w:lineRule="exact"/>
              <w:jc w:val="center"/>
              <w:rPr>
                <w:rFonts w:ascii="宋体" w:hAnsi="宋体" w:cs="宋体"/>
                <w:szCs w:val="21"/>
                <w:highlight w:val="none"/>
              </w:rPr>
            </w:pPr>
          </w:p>
          <w:p>
            <w:pPr>
              <w:wordWrap w:val="0"/>
              <w:spacing w:line="560" w:lineRule="exact"/>
              <w:jc w:val="center"/>
              <w:rPr>
                <w:rFonts w:ascii="宋体" w:hAnsi="宋体" w:cs="宋体"/>
                <w:szCs w:val="21"/>
                <w:highlight w:val="none"/>
              </w:rPr>
            </w:pPr>
            <w:r>
              <w:rPr>
                <w:rFonts w:hint="eastAsia" w:ascii="宋体" w:hAnsi="宋体" w:cs="宋体"/>
                <w:szCs w:val="21"/>
                <w:highlight w:val="none"/>
              </w:rPr>
              <w:t>报价得分（满分</w:t>
            </w:r>
            <w:r>
              <w:rPr>
                <w:rFonts w:hint="eastAsia" w:ascii="宋体" w:hAnsi="宋体" w:cs="宋体"/>
                <w:szCs w:val="21"/>
                <w:highlight w:val="none"/>
                <w:lang w:val="en-US" w:eastAsia="zh-CN"/>
              </w:rPr>
              <w:t>7</w:t>
            </w:r>
            <w:r>
              <w:rPr>
                <w:rFonts w:hint="eastAsia" w:ascii="宋体" w:hAnsi="宋体" w:cs="宋体"/>
                <w:szCs w:val="21"/>
                <w:highlight w:val="none"/>
              </w:rPr>
              <w:t>0分）</w:t>
            </w:r>
          </w:p>
        </w:tc>
        <w:tc>
          <w:tcPr>
            <w:tcW w:w="4508" w:type="dxa"/>
            <w:shd w:val="clear" w:color="auto" w:fill="auto"/>
          </w:tcPr>
          <w:p>
            <w:pPr>
              <w:spacing w:line="400" w:lineRule="exact"/>
              <w:rPr>
                <w:rFonts w:hint="eastAsia" w:ascii="宋体" w:hAnsi="宋体" w:cs="宋体"/>
                <w:bCs w:val="0"/>
                <w:szCs w:val="24"/>
              </w:rPr>
            </w:pP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rPr>
              <w:t>有效报价范围：投标总价低于或等于招标控制价，通过资格评审、形式评审、响应性评审且技术标评审合格，经评标委员会审定不存在严重不平衡、不合理、不低于其企业成本的投标人投标总价。</w:t>
            </w:r>
          </w:p>
          <w:p>
            <w:pPr>
              <w:numPr>
                <w:ilvl w:val="-1"/>
                <w:numId w:val="0"/>
              </w:numPr>
              <w:wordWrap w:val="0"/>
              <w:spacing w:line="560" w:lineRule="exact"/>
              <w:rPr>
                <w:rFonts w:hint="eastAsia" w:ascii="宋体" w:hAnsi="宋体" w:cs="宋体"/>
                <w:color w:val="auto"/>
                <w:szCs w:val="21"/>
                <w:highlight w:val="none"/>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2</w:t>
            </w:r>
            <w:r>
              <w:rPr>
                <w:rFonts w:hint="default" w:ascii="Times New Roman" w:hAnsi="Times New Roman" w:cs="Times New Roman"/>
                <w:szCs w:val="24"/>
                <w:lang w:eastAsia="zh-CN"/>
              </w:rPr>
              <w:t>）</w:t>
            </w:r>
            <w:r>
              <w:rPr>
                <w:rFonts w:hint="default" w:ascii="Times New Roman" w:hAnsi="Times New Roman" w:eastAsia="宋体" w:cs="Times New Roman"/>
                <w:kern w:val="2"/>
                <w:sz w:val="21"/>
                <w:szCs w:val="24"/>
                <w:shd w:val="clear"/>
                <w:lang w:val="en-US" w:eastAsia="zh-CN" w:bidi="ar"/>
              </w:rPr>
              <w:t>投标人在10家以上的，将前五名有效投标报价的算术平均值作为评审的合理低价；投标人在5家以上10家以下的，将前三名有效投标报价的算术平均值作为评审的合理低价；投标人在5家（不含5家）以下的，按核准的最低价作为评审的合理低价。</w:t>
            </w:r>
            <w:r>
              <w:rPr>
                <w:rFonts w:hint="default" w:ascii="Times New Roman" w:hAnsi="Times New Roman" w:eastAsia="宋体" w:cs="Times New Roman"/>
                <w:kern w:val="2"/>
                <w:sz w:val="21"/>
                <w:szCs w:val="24"/>
                <w:shd w:val="clear"/>
                <w:lang w:val="en-US" w:eastAsia="zh-CN" w:bidi="ar"/>
              </w:rPr>
              <w:br w:type="textWrapping"/>
            </w:r>
            <w:r>
              <w:rPr>
                <w:rFonts w:hint="default" w:ascii="Times New Roman" w:hAnsi="Times New Roman" w:eastAsia="宋体" w:cs="Times New Roman"/>
                <w:kern w:val="2"/>
                <w:sz w:val="21"/>
                <w:szCs w:val="24"/>
                <w:shd w:val="clear"/>
                <w:lang w:val="en-US" w:eastAsia="zh-CN" w:bidi="ar"/>
              </w:rPr>
              <w:t>（</w:t>
            </w:r>
            <w:r>
              <w:rPr>
                <w:rFonts w:hint="default" w:ascii="Times New Roman" w:hAnsi="Times New Roman" w:cs="Times New Roman"/>
                <w:kern w:val="2"/>
                <w:sz w:val="21"/>
                <w:szCs w:val="24"/>
                <w:shd w:val="clear"/>
                <w:lang w:val="en-US" w:eastAsia="zh-CN" w:bidi="ar"/>
              </w:rPr>
              <w:t>3</w:t>
            </w:r>
            <w:r>
              <w:rPr>
                <w:rFonts w:hint="default" w:ascii="Times New Roman" w:hAnsi="Times New Roman" w:eastAsia="宋体" w:cs="Times New Roman"/>
                <w:kern w:val="2"/>
                <w:sz w:val="21"/>
                <w:szCs w:val="24"/>
                <w:shd w:val="clear"/>
                <w:lang w:val="en-US" w:eastAsia="zh-CN" w:bidi="ar"/>
              </w:rPr>
              <w:t>）以经评审的合理低价为得分最高，采用内插法计算各投标人的得分，投标人报价每高于合理低价1%的扣2分，每低于合理低价1%的扣1分</w:t>
            </w:r>
            <w:r>
              <w:rPr>
                <w:rFonts w:hint="default" w:ascii="Times New Roman" w:hAnsi="Times New Roman" w:cs="Times New Roman"/>
                <w:kern w:val="2"/>
                <w:sz w:val="21"/>
                <w:szCs w:val="24"/>
                <w:shd w:val="clear"/>
                <w:lang w:val="en-US" w:eastAsia="zh-CN" w:bidi="ar"/>
              </w:rPr>
              <w:t>，计算出投标人的投标报价得分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790" w:type="dxa"/>
            <w:gridSpan w:val="6"/>
            <w:vAlign w:val="center"/>
          </w:tcPr>
          <w:p>
            <w:pPr>
              <w:wordWrap w:val="0"/>
              <w:jc w:val="center"/>
              <w:rPr>
                <w:rFonts w:ascii="宋体" w:hAnsi="宋体" w:cs="宋体"/>
                <w:szCs w:val="21"/>
              </w:rPr>
            </w:pPr>
            <w:r>
              <w:rPr>
                <w:rFonts w:hint="eastAsia" w:ascii="宋体" w:hAnsi="宋体" w:cs="宋体"/>
                <w:szCs w:val="21"/>
              </w:rPr>
              <w:t>投标人汇总得分</w:t>
            </w:r>
          </w:p>
        </w:tc>
        <w:tc>
          <w:tcPr>
            <w:tcW w:w="4508" w:type="dxa"/>
            <w:vAlign w:val="center"/>
          </w:tcPr>
          <w:p>
            <w:pPr>
              <w:wordWrap w:val="0"/>
              <w:spacing w:line="360" w:lineRule="exact"/>
              <w:jc w:val="left"/>
              <w:rPr>
                <w:rFonts w:ascii="宋体" w:hAnsi="宋体" w:cs="宋体"/>
                <w:szCs w:val="21"/>
              </w:rPr>
            </w:pPr>
            <w:r>
              <w:rPr>
                <w:rFonts w:hint="eastAsia" w:ascii="宋体" w:hAnsi="宋体" w:cs="宋体"/>
                <w:szCs w:val="21"/>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2" w:type="dxa"/>
            <w:vAlign w:val="center"/>
          </w:tcPr>
          <w:p>
            <w:pPr>
              <w:wordWrap w:val="0"/>
              <w:jc w:val="center"/>
              <w:rPr>
                <w:rFonts w:ascii="宋体" w:hAnsi="宋体" w:cs="宋体"/>
                <w:szCs w:val="21"/>
              </w:rPr>
            </w:pPr>
            <w:r>
              <w:rPr>
                <w:rFonts w:hint="eastAsia" w:ascii="宋体" w:hAnsi="宋体" w:cs="宋体"/>
                <w:szCs w:val="21"/>
              </w:rPr>
              <w:t>3</w:t>
            </w:r>
          </w:p>
        </w:tc>
        <w:tc>
          <w:tcPr>
            <w:tcW w:w="3868" w:type="dxa"/>
            <w:gridSpan w:val="5"/>
            <w:vAlign w:val="center"/>
          </w:tcPr>
          <w:p>
            <w:pPr>
              <w:wordWrap w:val="0"/>
              <w:jc w:val="center"/>
              <w:rPr>
                <w:rFonts w:ascii="宋体" w:hAnsi="宋体" w:cs="宋体"/>
                <w:szCs w:val="21"/>
              </w:rPr>
            </w:pPr>
            <w:r>
              <w:rPr>
                <w:rFonts w:hint="eastAsia" w:ascii="宋体" w:hAnsi="宋体" w:cs="宋体"/>
                <w:szCs w:val="21"/>
              </w:rPr>
              <w:t>评标程序</w:t>
            </w:r>
          </w:p>
        </w:tc>
        <w:tc>
          <w:tcPr>
            <w:tcW w:w="4508" w:type="dxa"/>
            <w:vAlign w:val="center"/>
          </w:tcPr>
          <w:p>
            <w:pPr>
              <w:wordWrap w:val="0"/>
              <w:jc w:val="center"/>
              <w:rPr>
                <w:rFonts w:ascii="宋体" w:hAnsi="宋体" w:cs="宋体"/>
                <w:szCs w:val="21"/>
              </w:rPr>
            </w:pPr>
            <w:r>
              <w:rPr>
                <w:rFonts w:hint="eastAsia" w:ascii="宋体" w:hAnsi="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22" w:type="dxa"/>
            <w:vAlign w:val="center"/>
          </w:tcPr>
          <w:p>
            <w:pPr>
              <w:wordWrap w:val="0"/>
              <w:jc w:val="center"/>
              <w:rPr>
                <w:rFonts w:ascii="宋体" w:hAnsi="宋体" w:cs="宋体"/>
                <w:szCs w:val="21"/>
              </w:rPr>
            </w:pPr>
            <w:r>
              <w:rPr>
                <w:rFonts w:hint="eastAsia" w:ascii="宋体" w:hAnsi="宋体" w:cs="宋体"/>
                <w:szCs w:val="21"/>
              </w:rPr>
              <w:t>3.1.2</w:t>
            </w:r>
          </w:p>
        </w:tc>
        <w:tc>
          <w:tcPr>
            <w:tcW w:w="3868" w:type="dxa"/>
            <w:gridSpan w:val="5"/>
            <w:vAlign w:val="center"/>
          </w:tcPr>
          <w:p>
            <w:pPr>
              <w:wordWrap w:val="0"/>
              <w:jc w:val="center"/>
              <w:rPr>
                <w:rFonts w:ascii="宋体" w:hAnsi="宋体" w:cs="宋体"/>
                <w:szCs w:val="21"/>
              </w:rPr>
            </w:pPr>
            <w:r>
              <w:rPr>
                <w:rFonts w:hint="eastAsia" w:ascii="宋体" w:hAnsi="宋体" w:cs="宋体"/>
                <w:szCs w:val="21"/>
              </w:rPr>
              <w:t>否决投标条件</w:t>
            </w:r>
          </w:p>
        </w:tc>
        <w:tc>
          <w:tcPr>
            <w:tcW w:w="4508" w:type="dxa"/>
            <w:vAlign w:val="center"/>
          </w:tcPr>
          <w:p>
            <w:pPr>
              <w:wordWrap w:val="0"/>
              <w:jc w:val="center"/>
              <w:rPr>
                <w:rFonts w:ascii="宋体" w:hAnsi="宋体" w:cs="宋体"/>
                <w:szCs w:val="21"/>
              </w:rPr>
            </w:pPr>
            <w:r>
              <w:rPr>
                <w:rFonts w:hint="eastAsia" w:ascii="宋体" w:hAnsi="宋体" w:cs="宋体"/>
                <w:szCs w:val="21"/>
              </w:rPr>
              <w:t>详见本章附件B：否决投标条件</w:t>
            </w:r>
          </w:p>
        </w:tc>
      </w:tr>
      <w:bookmarkEnd w:id="153"/>
      <w:bookmarkEnd w:id="154"/>
    </w:tbl>
    <w:p>
      <w:pPr>
        <w:spacing w:line="560" w:lineRule="exact"/>
        <w:ind w:firstLine="420" w:firstLineChars="200"/>
        <w:jc w:val="center"/>
        <w:rPr>
          <w:rFonts w:hint="eastAsia" w:asciiTheme="minorEastAsia" w:hAnsiTheme="minorEastAsia" w:eastAsiaTheme="minorEastAsia"/>
        </w:rPr>
      </w:pPr>
      <w:bookmarkStart w:id="155" w:name="_Toc493793423"/>
      <w:bookmarkStart w:id="156" w:name="_Toc389065240"/>
    </w:p>
    <w:p>
      <w:pPr>
        <w:pStyle w:val="3"/>
        <w:spacing w:line="560" w:lineRule="exact"/>
        <w:ind w:firstLine="883" w:firstLineChars="200"/>
        <w:jc w:val="center"/>
        <w:rPr>
          <w:rFonts w:asciiTheme="minorEastAsia" w:hAnsiTheme="minorEastAsia" w:eastAsiaTheme="minorEastAsia"/>
        </w:rPr>
      </w:pPr>
      <w:r>
        <w:rPr>
          <w:rFonts w:hint="eastAsia" w:asciiTheme="minorEastAsia" w:hAnsiTheme="minorEastAsia" w:eastAsiaTheme="minorEastAsia"/>
        </w:rPr>
        <w:t>评标办法（综合评估法）正文部分</w:t>
      </w:r>
      <w:bookmarkEnd w:id="155"/>
      <w:bookmarkEnd w:id="156"/>
    </w:p>
    <w:p>
      <w:pPr>
        <w:spacing w:line="560" w:lineRule="exact"/>
        <w:rPr>
          <w:rFonts w:asciiTheme="minorEastAsia" w:hAnsiTheme="minorEastAsia" w:eastAsiaTheme="minorEastAsia"/>
          <w:szCs w:val="21"/>
        </w:rPr>
      </w:pPr>
    </w:p>
    <w:p>
      <w:pPr>
        <w:pStyle w:val="4"/>
        <w:spacing w:line="560" w:lineRule="exact"/>
        <w:ind w:firstLine="643" w:firstLineChars="200"/>
        <w:rPr>
          <w:rFonts w:asciiTheme="minorEastAsia" w:hAnsiTheme="minorEastAsia" w:eastAsiaTheme="minorEastAsia"/>
        </w:rPr>
      </w:pPr>
      <w:bookmarkStart w:id="157" w:name="_Toc493793424"/>
      <w:bookmarkStart w:id="158" w:name="_Toc184635093"/>
      <w:bookmarkStart w:id="159" w:name="_Toc389065241"/>
      <w:r>
        <w:rPr>
          <w:rFonts w:asciiTheme="minorEastAsia" w:hAnsiTheme="minorEastAsia" w:eastAsiaTheme="minorEastAsia"/>
        </w:rPr>
        <w:t xml:space="preserve">1 </w:t>
      </w:r>
      <w:r>
        <w:rPr>
          <w:rFonts w:hint="eastAsia" w:asciiTheme="minorEastAsia" w:hAnsiTheme="minorEastAsia" w:eastAsiaTheme="minorEastAsia"/>
        </w:rPr>
        <w:t>评标方法</w:t>
      </w:r>
      <w:bookmarkEnd w:id="157"/>
      <w:bookmarkEnd w:id="158"/>
      <w:bookmarkEnd w:id="159"/>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本次评标采用综合评估法。评标委员会对满足招标文件实质性要求的投标文件，按照本章</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第</w:t>
      </w:r>
      <w:r>
        <w:rPr>
          <w:rFonts w:asciiTheme="minorEastAsia" w:hAnsiTheme="minorEastAsia" w:eastAsiaTheme="minorEastAsia"/>
          <w:szCs w:val="21"/>
        </w:rPr>
        <w:t>2.1</w:t>
      </w:r>
      <w:r>
        <w:rPr>
          <w:rFonts w:hint="eastAsia" w:asciiTheme="minorEastAsia" w:hAnsiTheme="minorEastAsia" w:eastAsiaTheme="minorEastAsia"/>
          <w:szCs w:val="21"/>
        </w:rPr>
        <w:t>、</w:t>
      </w:r>
      <w:r>
        <w:rPr>
          <w:rFonts w:asciiTheme="minorEastAsia" w:hAnsiTheme="minorEastAsia" w:eastAsiaTheme="minorEastAsia"/>
          <w:szCs w:val="21"/>
        </w:rPr>
        <w:t>2.2</w:t>
      </w:r>
      <w:r>
        <w:rPr>
          <w:rFonts w:hint="eastAsia" w:asciiTheme="minorEastAsia" w:hAnsiTheme="minorEastAsia" w:eastAsiaTheme="minorEastAsia"/>
          <w:szCs w:val="21"/>
        </w:rPr>
        <w:t>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pStyle w:val="4"/>
        <w:spacing w:line="560" w:lineRule="exact"/>
        <w:ind w:firstLine="643" w:firstLineChars="200"/>
        <w:rPr>
          <w:rFonts w:asciiTheme="minorEastAsia" w:hAnsiTheme="minorEastAsia" w:eastAsiaTheme="minorEastAsia"/>
        </w:rPr>
      </w:pPr>
      <w:bookmarkStart w:id="160" w:name="_Toc493793425"/>
      <w:bookmarkStart w:id="161" w:name="_Toc389065242"/>
      <w:bookmarkStart w:id="162" w:name="_Toc184635094"/>
      <w:r>
        <w:rPr>
          <w:rFonts w:asciiTheme="minorEastAsia" w:hAnsiTheme="minorEastAsia" w:eastAsiaTheme="minorEastAsia"/>
        </w:rPr>
        <w:t xml:space="preserve">2 </w:t>
      </w:r>
      <w:r>
        <w:rPr>
          <w:rFonts w:hint="eastAsia" w:asciiTheme="minorEastAsia" w:hAnsiTheme="minorEastAsia" w:eastAsiaTheme="minorEastAsia"/>
        </w:rPr>
        <w:t>评审标准</w:t>
      </w:r>
      <w:bookmarkEnd w:id="160"/>
      <w:bookmarkEnd w:id="161"/>
      <w:bookmarkEnd w:id="162"/>
    </w:p>
    <w:p>
      <w:pPr>
        <w:pStyle w:val="5"/>
        <w:spacing w:line="560" w:lineRule="exact"/>
        <w:ind w:firstLine="643" w:firstLineChars="200"/>
        <w:rPr>
          <w:rFonts w:asciiTheme="minorEastAsia" w:hAnsiTheme="minorEastAsia" w:eastAsiaTheme="minorEastAsia"/>
        </w:rPr>
      </w:pPr>
      <w:bookmarkStart w:id="163" w:name="_Toc389065243"/>
      <w:bookmarkStart w:id="164" w:name="_Toc493793426"/>
      <w:r>
        <w:rPr>
          <w:rFonts w:asciiTheme="minorEastAsia" w:hAnsiTheme="minorEastAsia" w:eastAsiaTheme="minorEastAsia"/>
        </w:rPr>
        <w:t xml:space="preserve">2.1 </w:t>
      </w:r>
      <w:r>
        <w:rPr>
          <w:rFonts w:hint="eastAsia" w:asciiTheme="minorEastAsia" w:hAnsiTheme="minorEastAsia" w:eastAsiaTheme="minorEastAsia"/>
        </w:rPr>
        <w:t>初步评审标准</w:t>
      </w:r>
      <w:bookmarkEnd w:id="163"/>
      <w:bookmarkEnd w:id="164"/>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2.1.1 </w:t>
      </w:r>
      <w:r>
        <w:rPr>
          <w:rFonts w:hint="eastAsia" w:asciiTheme="minorEastAsia" w:hAnsiTheme="minorEastAsia" w:eastAsiaTheme="minorEastAsia"/>
          <w:szCs w:val="21"/>
        </w:rPr>
        <w:t>资格评审标准：见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。所有在投标截止时间前提交投标文件的投标人均有资格参加资格评审。</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2.1.2 </w:t>
      </w:r>
      <w:r>
        <w:rPr>
          <w:rFonts w:hint="eastAsia" w:asciiTheme="minorEastAsia" w:hAnsiTheme="minorEastAsia" w:eastAsiaTheme="minorEastAsia"/>
          <w:szCs w:val="21"/>
        </w:rPr>
        <w:t>形式评审标准：见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2.1.3 </w:t>
      </w:r>
      <w:r>
        <w:rPr>
          <w:rFonts w:hint="eastAsia" w:asciiTheme="minorEastAsia" w:hAnsiTheme="minorEastAsia" w:eastAsiaTheme="minorEastAsia"/>
          <w:szCs w:val="21"/>
        </w:rPr>
        <w:t>响应性评审标准：见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w:t>
      </w:r>
      <w:bookmarkStart w:id="165" w:name="_Toc389065244"/>
      <w:bookmarkStart w:id="166" w:name="_Toc184635095"/>
      <w:bookmarkStart w:id="167" w:name="_Toc389065245"/>
    </w:p>
    <w:p>
      <w:pPr>
        <w:pStyle w:val="5"/>
        <w:spacing w:line="560" w:lineRule="exact"/>
        <w:ind w:firstLine="643" w:firstLineChars="200"/>
        <w:rPr>
          <w:rFonts w:asciiTheme="minorEastAsia" w:hAnsiTheme="minorEastAsia" w:eastAsiaTheme="minorEastAsia"/>
        </w:rPr>
      </w:pPr>
      <w:bookmarkStart w:id="168" w:name="_Toc493793427"/>
      <w:r>
        <w:rPr>
          <w:rFonts w:asciiTheme="minorEastAsia" w:hAnsiTheme="minorEastAsia" w:eastAsiaTheme="minorEastAsia"/>
        </w:rPr>
        <w:t xml:space="preserve">2.2 </w:t>
      </w:r>
      <w:r>
        <w:rPr>
          <w:rFonts w:hint="eastAsia" w:asciiTheme="minorEastAsia" w:hAnsiTheme="minorEastAsia" w:eastAsiaTheme="minorEastAsia"/>
        </w:rPr>
        <w:t>详细评审标准</w:t>
      </w:r>
      <w:bookmarkEnd w:id="165"/>
      <w:bookmarkEnd w:id="168"/>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2.2.1 </w:t>
      </w:r>
      <w:r>
        <w:rPr>
          <w:rFonts w:hint="eastAsia" w:asciiTheme="minorEastAsia" w:hAnsiTheme="minorEastAsia" w:eastAsiaTheme="minorEastAsia"/>
          <w:szCs w:val="21"/>
        </w:rPr>
        <w:t>分值构成：见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 xml:space="preserve">2.2.2 </w:t>
      </w:r>
      <w:r>
        <w:rPr>
          <w:rFonts w:hint="eastAsia" w:asciiTheme="minorEastAsia" w:hAnsiTheme="minorEastAsia" w:eastAsiaTheme="minorEastAsia"/>
          <w:szCs w:val="21"/>
        </w:rPr>
        <w:t>评分标准</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）技术标评分标准：见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）评标基准价计算方法：见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）商务标评分标准：见</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w:t>
      </w:r>
    </w:p>
    <w:p>
      <w:pPr>
        <w:pStyle w:val="4"/>
        <w:spacing w:line="560" w:lineRule="exact"/>
        <w:ind w:firstLine="643" w:firstLineChars="200"/>
        <w:rPr>
          <w:rFonts w:asciiTheme="minorEastAsia" w:hAnsiTheme="minorEastAsia" w:eastAsiaTheme="minorEastAsia"/>
        </w:rPr>
      </w:pPr>
      <w:bookmarkStart w:id="169" w:name="_Toc493793428"/>
      <w:r>
        <w:rPr>
          <w:rFonts w:asciiTheme="minorEastAsia" w:hAnsiTheme="minorEastAsia" w:eastAsiaTheme="minorEastAsia"/>
        </w:rPr>
        <w:t xml:space="preserve">3 </w:t>
      </w:r>
      <w:r>
        <w:rPr>
          <w:rFonts w:hint="eastAsia" w:asciiTheme="minorEastAsia" w:hAnsiTheme="minorEastAsia" w:eastAsiaTheme="minorEastAsia"/>
        </w:rPr>
        <w:t>评标程序</w:t>
      </w:r>
      <w:bookmarkEnd w:id="166"/>
      <w:bookmarkEnd w:id="167"/>
      <w:bookmarkEnd w:id="169"/>
    </w:p>
    <w:p>
      <w:pPr>
        <w:pStyle w:val="5"/>
        <w:spacing w:line="560" w:lineRule="exact"/>
        <w:ind w:firstLine="643" w:firstLineChars="200"/>
        <w:rPr>
          <w:rFonts w:asciiTheme="minorEastAsia" w:hAnsiTheme="minorEastAsia" w:eastAsiaTheme="minorEastAsia"/>
        </w:rPr>
      </w:pPr>
      <w:bookmarkStart w:id="170" w:name="_Toc389065246"/>
      <w:bookmarkStart w:id="171" w:name="_Toc493793429"/>
      <w:r>
        <w:rPr>
          <w:rFonts w:asciiTheme="minorEastAsia" w:hAnsiTheme="minorEastAsia" w:eastAsiaTheme="minorEastAsia"/>
        </w:rPr>
        <w:t xml:space="preserve">3.1 </w:t>
      </w:r>
      <w:r>
        <w:rPr>
          <w:rFonts w:hint="eastAsia" w:asciiTheme="minorEastAsia" w:hAnsiTheme="minorEastAsia" w:eastAsiaTheme="minorEastAsia"/>
        </w:rPr>
        <w:t>初步评审</w:t>
      </w:r>
      <w:bookmarkEnd w:id="170"/>
      <w:bookmarkEnd w:id="171"/>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3.1.1 </w:t>
      </w:r>
      <w:r>
        <w:rPr>
          <w:rFonts w:hint="eastAsia" w:asciiTheme="minorEastAsia" w:hAnsiTheme="minorEastAsia" w:eastAsiaTheme="minorEastAsia"/>
          <w:szCs w:val="21"/>
        </w:rPr>
        <w:t>评标委员会依据本章第</w:t>
      </w:r>
      <w:r>
        <w:rPr>
          <w:rFonts w:asciiTheme="minorEastAsia" w:hAnsiTheme="minorEastAsia" w:eastAsiaTheme="minorEastAsia"/>
          <w:szCs w:val="21"/>
        </w:rPr>
        <w:t>2.1</w:t>
      </w:r>
      <w:r>
        <w:rPr>
          <w:rFonts w:hint="eastAsia" w:asciiTheme="minorEastAsia" w:hAnsiTheme="minorEastAsia" w:eastAsiaTheme="minorEastAsia"/>
          <w:szCs w:val="21"/>
        </w:rPr>
        <w:t>款规定的标准对投标文件进行初步评审。有一项不符合评审标准的，作否决投标处理。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3.1.2 </w:t>
      </w:r>
      <w:r>
        <w:rPr>
          <w:rFonts w:hint="eastAsia" w:asciiTheme="minorEastAsia" w:hAnsiTheme="minorEastAsia" w:eastAsiaTheme="minorEastAsia"/>
          <w:szCs w:val="21"/>
        </w:rPr>
        <w:t>投标人有以下情形之一的，其投标作否决投标处理：</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第</w:t>
      </w:r>
      <w:r>
        <w:rPr>
          <w:rFonts w:asciiTheme="minorEastAsia" w:hAnsiTheme="minorEastAsia" w:eastAsiaTheme="minorEastAsia"/>
          <w:szCs w:val="21"/>
        </w:rPr>
        <w:t xml:space="preserve">1.4.3 </w:t>
      </w:r>
      <w:r>
        <w:rPr>
          <w:rFonts w:hint="eastAsia" w:asciiTheme="minorEastAsia" w:hAnsiTheme="minorEastAsia" w:eastAsiaTheme="minorEastAsia"/>
          <w:szCs w:val="21"/>
        </w:rPr>
        <w:t>项规定的任何一种情形的：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）串通投标或弄虚作假或有其他违法行为的；</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）不按评标委员会要求澄清、说明或补正的。</w:t>
      </w:r>
    </w:p>
    <w:p>
      <w:pPr>
        <w:spacing w:line="560" w:lineRule="exact"/>
        <w:ind w:firstLine="420" w:firstLineChars="200"/>
        <w:rPr>
          <w:rFonts w:asciiTheme="minorEastAsia" w:hAnsiTheme="minorEastAsia" w:eastAsiaTheme="minorEastAsia"/>
          <w:szCs w:val="21"/>
        </w:rPr>
      </w:pPr>
      <w:bookmarkStart w:id="172" w:name="_Toc389065247"/>
      <w:r>
        <w:rPr>
          <w:rFonts w:asciiTheme="minorEastAsia" w:hAnsiTheme="minorEastAsia" w:eastAsiaTheme="minorEastAsia"/>
          <w:szCs w:val="21"/>
        </w:rPr>
        <w:t xml:space="preserve">3.1.3 </w:t>
      </w:r>
      <w:r>
        <w:rPr>
          <w:rFonts w:hint="eastAsia" w:asciiTheme="minorEastAsia" w:hAnsiTheme="minorEastAsia" w:eastAsiaTheme="minorEastAsia"/>
          <w:szCs w:val="21"/>
        </w:rPr>
        <w:t>投标报价有算术错误的，评标委员会按以下原则对投标报价进行修正，修正的价格经投标人书面确认后具有约束力。投标人不接受修正价格的，其投标作否决投标处理。</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）投标文件中的大写金额与小写金额不一致的，以大写金额为准；</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）总价金额与依据单价计算出的结果不一致的，以单价金额为准修正总价，但单价金额小数点有明显错误的除外。</w:t>
      </w:r>
    </w:p>
    <w:p>
      <w:pPr>
        <w:pStyle w:val="5"/>
        <w:spacing w:line="560" w:lineRule="exact"/>
        <w:ind w:firstLine="643" w:firstLineChars="200"/>
        <w:rPr>
          <w:rFonts w:asciiTheme="minorEastAsia" w:hAnsiTheme="minorEastAsia" w:eastAsiaTheme="minorEastAsia"/>
        </w:rPr>
      </w:pPr>
      <w:bookmarkStart w:id="173" w:name="_Toc493793430"/>
      <w:r>
        <w:rPr>
          <w:rFonts w:asciiTheme="minorEastAsia" w:hAnsiTheme="minorEastAsia" w:eastAsiaTheme="minorEastAsia"/>
        </w:rPr>
        <w:t xml:space="preserve">3.2 </w:t>
      </w:r>
      <w:r>
        <w:rPr>
          <w:rFonts w:hint="eastAsia" w:asciiTheme="minorEastAsia" w:hAnsiTheme="minorEastAsia" w:eastAsiaTheme="minorEastAsia"/>
        </w:rPr>
        <w:t>详细评审</w:t>
      </w:r>
      <w:bookmarkEnd w:id="172"/>
      <w:bookmarkEnd w:id="173"/>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3.2.1 </w:t>
      </w:r>
      <w:r>
        <w:rPr>
          <w:rFonts w:hint="eastAsia" w:asciiTheme="minorEastAsia" w:hAnsiTheme="minorEastAsia" w:eastAsiaTheme="minorEastAsia"/>
          <w:szCs w:val="21"/>
        </w:rPr>
        <w:t>评标委员会按照本章</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第</w:t>
      </w:r>
      <w:r>
        <w:rPr>
          <w:rFonts w:asciiTheme="minorEastAsia" w:hAnsiTheme="minorEastAsia" w:eastAsiaTheme="minorEastAsia"/>
          <w:szCs w:val="21"/>
        </w:rPr>
        <w:t>2.2</w:t>
      </w:r>
      <w:r>
        <w:rPr>
          <w:rFonts w:hint="eastAsia" w:asciiTheme="minorEastAsia" w:hAnsiTheme="minorEastAsia" w:eastAsiaTheme="minorEastAsia"/>
          <w:szCs w:val="21"/>
        </w:rPr>
        <w:t>款规定的量化因素和分值进行打分，并计算出综合评估得分。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3.2.2 </w:t>
      </w:r>
      <w:r>
        <w:rPr>
          <w:rFonts w:hint="eastAsia" w:asciiTheme="minorEastAsia" w:hAnsiTheme="minorEastAsia" w:eastAsiaTheme="minorEastAsia"/>
          <w:szCs w:val="21"/>
        </w:rPr>
        <w:t>评分分值计算保留小数点后两位，小数点后第三位</w:t>
      </w:r>
      <w:r>
        <w:rPr>
          <w:rFonts w:asciiTheme="minorEastAsia" w:hAnsiTheme="minorEastAsia" w:eastAsiaTheme="minorEastAsia"/>
          <w:szCs w:val="21"/>
        </w:rPr>
        <w:t>“</w:t>
      </w:r>
      <w:r>
        <w:rPr>
          <w:rFonts w:hint="eastAsia" w:asciiTheme="minorEastAsia" w:hAnsiTheme="minorEastAsia" w:eastAsiaTheme="minorEastAsia"/>
          <w:szCs w:val="21"/>
        </w:rPr>
        <w:t>四舍五入</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3.2.3 </w:t>
      </w:r>
      <w:r>
        <w:rPr>
          <w:rFonts w:hint="eastAsia" w:asciiTheme="minorEastAsia" w:hAnsiTheme="minorEastAsia" w:eastAsiaTheme="minorEastAsia"/>
          <w:szCs w:val="21"/>
        </w:rPr>
        <w:t>投标人综合得分（满分</w:t>
      </w:r>
      <w:r>
        <w:rPr>
          <w:rFonts w:asciiTheme="minorEastAsia" w:hAnsiTheme="minorEastAsia" w:eastAsiaTheme="minorEastAsia"/>
          <w:szCs w:val="21"/>
        </w:rPr>
        <w:t>100</w:t>
      </w:r>
      <w:r>
        <w:rPr>
          <w:rFonts w:hint="eastAsia" w:asciiTheme="minorEastAsia" w:hAnsiTheme="minorEastAsia" w:eastAsiaTheme="minorEastAsia"/>
          <w:szCs w:val="21"/>
        </w:rPr>
        <w:t>分）</w:t>
      </w:r>
      <w:r>
        <w:rPr>
          <w:rFonts w:asciiTheme="minorEastAsia" w:hAnsiTheme="minorEastAsia" w:eastAsiaTheme="minorEastAsia"/>
          <w:szCs w:val="21"/>
        </w:rPr>
        <w:t>=</w:t>
      </w:r>
      <w:r>
        <w:rPr>
          <w:rFonts w:hint="eastAsia" w:asciiTheme="minorEastAsia" w:hAnsiTheme="minorEastAsia" w:eastAsiaTheme="minorEastAsia"/>
          <w:szCs w:val="21"/>
        </w:rPr>
        <w:t>技术标分</w:t>
      </w:r>
      <w:r>
        <w:rPr>
          <w:rFonts w:asciiTheme="minorEastAsia" w:hAnsiTheme="minorEastAsia" w:eastAsiaTheme="minorEastAsia"/>
          <w:szCs w:val="21"/>
        </w:rPr>
        <w:t>+</w:t>
      </w:r>
      <w:r>
        <w:rPr>
          <w:rFonts w:hint="eastAsia" w:asciiTheme="minorEastAsia" w:hAnsiTheme="minorEastAsia" w:eastAsiaTheme="minorEastAsia"/>
          <w:szCs w:val="21"/>
        </w:rPr>
        <w:t>商务标分。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3.2.4 </w:t>
      </w:r>
      <w:r>
        <w:rPr>
          <w:rFonts w:hint="eastAsia" w:asciiTheme="minorEastAsia" w:hAnsiTheme="minorEastAsia" w:eastAsiaTheme="minorEastAsia"/>
          <w:szCs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投标。</w:t>
      </w:r>
    </w:p>
    <w:p>
      <w:pPr>
        <w:pStyle w:val="5"/>
        <w:spacing w:line="560" w:lineRule="exact"/>
        <w:ind w:firstLine="643" w:firstLineChars="200"/>
        <w:rPr>
          <w:rFonts w:asciiTheme="minorEastAsia" w:hAnsiTheme="minorEastAsia" w:eastAsiaTheme="minorEastAsia"/>
        </w:rPr>
      </w:pPr>
      <w:bookmarkStart w:id="174" w:name="_Toc493793431"/>
      <w:bookmarkStart w:id="175" w:name="_Toc389065248"/>
      <w:r>
        <w:rPr>
          <w:rFonts w:asciiTheme="minorEastAsia" w:hAnsiTheme="minorEastAsia" w:eastAsiaTheme="minorEastAsia"/>
        </w:rPr>
        <w:t xml:space="preserve">3.3 </w:t>
      </w:r>
      <w:r>
        <w:rPr>
          <w:rFonts w:hint="eastAsia" w:asciiTheme="minorEastAsia" w:hAnsiTheme="minorEastAsia" w:eastAsiaTheme="minorEastAsia"/>
        </w:rPr>
        <w:t>投标文件的澄清和补正</w:t>
      </w:r>
      <w:bookmarkEnd w:id="174"/>
      <w:bookmarkEnd w:id="175"/>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3.3.1 </w:t>
      </w:r>
      <w:r>
        <w:rPr>
          <w:rFonts w:hint="eastAsia" w:asciiTheme="minorEastAsia" w:hAnsiTheme="minorEastAsia" w:eastAsiaTheme="minorEastAsia"/>
          <w:szCs w:val="21"/>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3.3.2 </w:t>
      </w:r>
      <w:r>
        <w:rPr>
          <w:rFonts w:hint="eastAsia" w:asciiTheme="minorEastAsia" w:hAnsiTheme="minorEastAsia" w:eastAsiaTheme="minorEastAsia"/>
          <w:szCs w:val="21"/>
        </w:rPr>
        <w:t>澄清、说明和补正不得改变投标文件的实质性内容（算术性错误修正的除外）。投标人的书面澄清、说明和补正属于投标文件的组成部分。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3.3.3 </w:t>
      </w:r>
      <w:r>
        <w:rPr>
          <w:rFonts w:hint="eastAsia" w:asciiTheme="minorEastAsia" w:hAnsiTheme="minorEastAsia" w:eastAsiaTheme="minorEastAsia"/>
          <w:szCs w:val="21"/>
        </w:rPr>
        <w:t>评标委员会对投标人提交的澄清、说明或补正有疑问的，可以要求投标人进一步澄清、说明或补正，直至满足评标委员会的要求。</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3.3.4 </w:t>
      </w:r>
      <w:r>
        <w:rPr>
          <w:rFonts w:hint="eastAsia" w:asciiTheme="minorEastAsia" w:hAnsiTheme="minorEastAsia" w:eastAsiaTheme="minorEastAsia"/>
          <w:szCs w:val="21"/>
        </w:rPr>
        <w:t>对投标文件进行澄清、说明和补正时来往的书面材料传递，必须在招投标监督管理部门的监督下，由招标代理机构的专职代理员或者交易中心的工作人员进行。</w:t>
      </w:r>
    </w:p>
    <w:p>
      <w:pPr>
        <w:pStyle w:val="5"/>
        <w:spacing w:line="560" w:lineRule="exact"/>
        <w:ind w:firstLine="643" w:firstLineChars="200"/>
        <w:rPr>
          <w:rFonts w:asciiTheme="minorEastAsia" w:hAnsiTheme="minorEastAsia" w:eastAsiaTheme="minorEastAsia"/>
        </w:rPr>
      </w:pPr>
      <w:bookmarkStart w:id="176" w:name="_Toc389065249"/>
      <w:bookmarkStart w:id="177" w:name="_Toc493793432"/>
      <w:r>
        <w:rPr>
          <w:rFonts w:asciiTheme="minorEastAsia" w:hAnsiTheme="minorEastAsia" w:eastAsiaTheme="minorEastAsia"/>
        </w:rPr>
        <w:t xml:space="preserve">3.4 </w:t>
      </w:r>
      <w:r>
        <w:rPr>
          <w:rFonts w:hint="eastAsia" w:asciiTheme="minorEastAsia" w:hAnsiTheme="minorEastAsia" w:eastAsiaTheme="minorEastAsia"/>
        </w:rPr>
        <w:t>评标结果</w:t>
      </w:r>
      <w:bookmarkEnd w:id="176"/>
      <w:bookmarkEnd w:id="177"/>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3.4.1 </w:t>
      </w:r>
      <w:r>
        <w:rPr>
          <w:rFonts w:hint="eastAsia" w:asciiTheme="minorEastAsia" w:hAnsiTheme="minorEastAsia" w:eastAsiaTheme="minorEastAsia"/>
          <w:szCs w:val="21"/>
        </w:rPr>
        <w:t>除第二章</w:t>
      </w:r>
      <w:r>
        <w:rPr>
          <w:rFonts w:asciiTheme="minorEastAsia" w:hAnsiTheme="minorEastAsia" w:eastAsiaTheme="minorEastAsia"/>
          <w:szCs w:val="21"/>
        </w:rPr>
        <w:t>“</w:t>
      </w:r>
      <w:r>
        <w:rPr>
          <w:rFonts w:hint="eastAsia" w:asciiTheme="minorEastAsia" w:hAnsiTheme="minorEastAsia" w:eastAsiaTheme="minorEastAsia"/>
          <w:szCs w:val="21"/>
        </w:rPr>
        <w:t>投标人须知前附表</w:t>
      </w:r>
      <w:r>
        <w:rPr>
          <w:rFonts w:asciiTheme="minorEastAsia" w:hAnsiTheme="minorEastAsia" w:eastAsiaTheme="minorEastAsia"/>
          <w:szCs w:val="21"/>
        </w:rPr>
        <w:t>”</w:t>
      </w:r>
      <w:r>
        <w:rPr>
          <w:rFonts w:hint="eastAsia" w:asciiTheme="minorEastAsia" w:hAnsiTheme="minorEastAsia" w:eastAsiaTheme="minorEastAsia"/>
          <w:szCs w:val="21"/>
        </w:rPr>
        <w:t>授权直接确定中标人外，评标委员会按照本章规定的顺序推荐中标候选人。</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3.4.2 </w:t>
      </w:r>
      <w:r>
        <w:rPr>
          <w:rFonts w:hint="eastAsia" w:asciiTheme="minorEastAsia" w:hAnsiTheme="minorEastAsia" w:eastAsiaTheme="minorEastAsia"/>
          <w:szCs w:val="21"/>
        </w:rPr>
        <w:t>评标委员会完成评标后，应当向招标人提交书面评标报告。</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3.4.3 </w:t>
      </w:r>
      <w:r>
        <w:rPr>
          <w:rFonts w:hint="eastAsia" w:asciiTheme="minorEastAsia" w:hAnsiTheme="minorEastAsia" w:eastAsiaTheme="minorEastAsia"/>
          <w:szCs w:val="21"/>
        </w:rPr>
        <w:t>评标委员会应将评标过程中使用的文件、表格以及其他材料即时归还招标人。招标人应当按照“投标人须知前附表”规定的</w:t>
      </w:r>
      <w:r>
        <w:rPr>
          <w:rFonts w:hint="eastAsia" w:asciiTheme="minorEastAsia" w:hAnsiTheme="minorEastAsia" w:eastAsiaTheme="minorEastAsia"/>
        </w:rPr>
        <w:t>封存方式封存评标资料。</w:t>
      </w:r>
    </w:p>
    <w:p>
      <w:pPr>
        <w:spacing w:line="560" w:lineRule="exact"/>
        <w:ind w:firstLine="420" w:firstLineChars="200"/>
        <w:rPr>
          <w:rFonts w:asciiTheme="minorEastAsia" w:hAnsiTheme="minorEastAsia" w:eastAsiaTheme="minorEastAsia"/>
          <w:szCs w:val="21"/>
        </w:rPr>
        <w:sectPr>
          <w:pgSz w:w="11907" w:h="16840"/>
          <w:pgMar w:top="1440" w:right="1440" w:bottom="1440" w:left="1377" w:header="851" w:footer="851" w:gutter="0"/>
          <w:cols w:space="720" w:num="1"/>
          <w:docGrid w:linePitch="312" w:charSpace="0"/>
        </w:sectPr>
      </w:pPr>
    </w:p>
    <w:p>
      <w:pPr>
        <w:pStyle w:val="3"/>
        <w:spacing w:line="560" w:lineRule="exact"/>
        <w:ind w:firstLine="883" w:firstLineChars="200"/>
        <w:jc w:val="center"/>
        <w:rPr>
          <w:rFonts w:asciiTheme="minorEastAsia" w:hAnsiTheme="minorEastAsia" w:eastAsiaTheme="minorEastAsia"/>
          <w:szCs w:val="21"/>
        </w:rPr>
      </w:pPr>
      <w:bookmarkStart w:id="178" w:name="_Toc389065250"/>
      <w:bookmarkStart w:id="179" w:name="_Toc493793433"/>
      <w:r>
        <w:rPr>
          <w:rFonts w:hint="eastAsia" w:asciiTheme="minorEastAsia" w:hAnsiTheme="minorEastAsia" w:eastAsiaTheme="minorEastAsia"/>
        </w:rPr>
        <w:t>附件</w:t>
      </w:r>
      <w:r>
        <w:rPr>
          <w:rFonts w:asciiTheme="minorEastAsia" w:hAnsiTheme="minorEastAsia" w:eastAsiaTheme="minorEastAsia"/>
        </w:rPr>
        <w:t>A</w:t>
      </w:r>
      <w:bookmarkEnd w:id="178"/>
      <w:r>
        <w:rPr>
          <w:rFonts w:asciiTheme="minorEastAsia" w:hAnsiTheme="minorEastAsia" w:eastAsiaTheme="minorEastAsia"/>
        </w:rPr>
        <w:t xml:space="preserve">  </w:t>
      </w:r>
      <w:r>
        <w:rPr>
          <w:rFonts w:hint="eastAsia" w:asciiTheme="minorEastAsia" w:hAnsiTheme="minorEastAsia" w:eastAsiaTheme="minorEastAsia"/>
        </w:rPr>
        <w:t>评标详细程序</w:t>
      </w:r>
      <w:bookmarkEnd w:id="179"/>
      <w:bookmarkStart w:id="180" w:name="_Toc389065251"/>
    </w:p>
    <w:p>
      <w:pPr>
        <w:pStyle w:val="4"/>
        <w:spacing w:line="560" w:lineRule="exact"/>
        <w:ind w:firstLine="643" w:firstLineChars="200"/>
        <w:rPr>
          <w:rFonts w:asciiTheme="minorEastAsia" w:hAnsiTheme="minorEastAsia" w:eastAsiaTheme="minorEastAsia"/>
        </w:rPr>
      </w:pPr>
      <w:bookmarkStart w:id="181" w:name="_Toc493793434"/>
      <w:r>
        <w:rPr>
          <w:rFonts w:asciiTheme="minorEastAsia" w:hAnsiTheme="minorEastAsia" w:eastAsiaTheme="minorEastAsia"/>
        </w:rPr>
        <w:t xml:space="preserve">A0 </w:t>
      </w:r>
      <w:r>
        <w:rPr>
          <w:rFonts w:hint="eastAsia" w:asciiTheme="minorEastAsia" w:hAnsiTheme="minorEastAsia" w:eastAsiaTheme="minorEastAsia"/>
        </w:rPr>
        <w:t>总</w:t>
      </w:r>
      <w:r>
        <w:rPr>
          <w:rFonts w:asciiTheme="minorEastAsia" w:hAnsiTheme="minorEastAsia" w:eastAsiaTheme="minorEastAsia"/>
        </w:rPr>
        <w:t xml:space="preserve">  </w:t>
      </w:r>
      <w:r>
        <w:rPr>
          <w:rFonts w:hint="eastAsia" w:asciiTheme="minorEastAsia" w:hAnsiTheme="minorEastAsia" w:eastAsiaTheme="minorEastAsia"/>
        </w:rPr>
        <w:t>则</w:t>
      </w:r>
      <w:bookmarkEnd w:id="180"/>
      <w:bookmarkEnd w:id="181"/>
    </w:p>
    <w:p>
      <w:pPr>
        <w:spacing w:line="560" w:lineRule="exact"/>
        <w:ind w:firstLine="420" w:firstLineChars="200"/>
        <w:outlineLvl w:val="0"/>
        <w:rPr>
          <w:rFonts w:asciiTheme="minorEastAsia" w:hAnsiTheme="minorEastAsia" w:eastAsiaTheme="minorEastAsia"/>
          <w:b/>
          <w:szCs w:val="21"/>
        </w:rPr>
      </w:pPr>
      <w:bookmarkStart w:id="182" w:name="_Toc389065252"/>
      <w:r>
        <w:rPr>
          <w:rFonts w:hint="eastAsia" w:asciiTheme="minorEastAsia" w:hAnsiTheme="minorEastAsia" w:eastAsiaTheme="minorEastAsia"/>
        </w:rPr>
        <w:t>本附件是本章</w:t>
      </w:r>
      <w:r>
        <w:rPr>
          <w:rFonts w:asciiTheme="minorEastAsia" w:hAnsiTheme="minorEastAsia" w:eastAsiaTheme="minorEastAsia"/>
        </w:rPr>
        <w:t>“</w:t>
      </w:r>
      <w:r>
        <w:rPr>
          <w:rFonts w:hint="eastAsia" w:asciiTheme="minorEastAsia" w:hAnsiTheme="minorEastAsia" w:eastAsiaTheme="minorEastAsia"/>
        </w:rPr>
        <w:t>评标办法</w:t>
      </w:r>
      <w:r>
        <w:rPr>
          <w:rFonts w:asciiTheme="minorEastAsia" w:hAnsiTheme="minorEastAsia" w:eastAsiaTheme="minorEastAsia"/>
        </w:rPr>
        <w:t>”</w:t>
      </w:r>
      <w:r>
        <w:rPr>
          <w:rFonts w:hint="eastAsia" w:asciiTheme="minorEastAsia" w:hAnsiTheme="minorEastAsia" w:eastAsiaTheme="minorEastAsia"/>
        </w:rPr>
        <w:t>的组成部分，是对本章第</w:t>
      </w:r>
      <w:r>
        <w:rPr>
          <w:rFonts w:asciiTheme="minorEastAsia" w:hAnsiTheme="minorEastAsia" w:eastAsiaTheme="minorEastAsia"/>
        </w:rPr>
        <w:t>3</w:t>
      </w:r>
      <w:r>
        <w:rPr>
          <w:rFonts w:hint="eastAsia" w:asciiTheme="minorEastAsia" w:hAnsiTheme="minorEastAsia" w:eastAsiaTheme="minorEastAsia"/>
        </w:rPr>
        <w:t>条所规定的评标程序的进一步细化，评标委员会应当按照本附件所规定的详细程序开展并完成评标工作。</w:t>
      </w:r>
      <w:bookmarkEnd w:id="182"/>
    </w:p>
    <w:p>
      <w:pPr>
        <w:pStyle w:val="4"/>
        <w:spacing w:line="560" w:lineRule="exact"/>
        <w:ind w:firstLine="643" w:firstLineChars="200"/>
        <w:rPr>
          <w:rFonts w:asciiTheme="minorEastAsia" w:hAnsiTheme="minorEastAsia" w:eastAsiaTheme="minorEastAsia"/>
        </w:rPr>
      </w:pPr>
      <w:bookmarkStart w:id="183" w:name="_Toc389065253"/>
      <w:bookmarkStart w:id="184" w:name="_Toc493793435"/>
      <w:r>
        <w:rPr>
          <w:rFonts w:asciiTheme="minorEastAsia" w:hAnsiTheme="minorEastAsia" w:eastAsiaTheme="minorEastAsia"/>
        </w:rPr>
        <w:t xml:space="preserve">A1 </w:t>
      </w:r>
      <w:r>
        <w:rPr>
          <w:rFonts w:hint="eastAsia" w:asciiTheme="minorEastAsia" w:hAnsiTheme="minorEastAsia" w:eastAsiaTheme="minorEastAsia"/>
        </w:rPr>
        <w:t>基本程序</w:t>
      </w:r>
      <w:bookmarkEnd w:id="183"/>
      <w:bookmarkEnd w:id="184"/>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评标活动将按以下五个步骤进行：</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）评标准备；</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）初步评审；</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）详细评审；</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）澄清、说明或补正；</w:t>
      </w:r>
    </w:p>
    <w:p>
      <w:pPr>
        <w:spacing w:line="56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）推荐中标候选人或者直接确定中标人及提交评标报告。</w:t>
      </w:r>
    </w:p>
    <w:p>
      <w:pPr>
        <w:pStyle w:val="4"/>
        <w:spacing w:line="560" w:lineRule="exact"/>
        <w:ind w:firstLine="643" w:firstLineChars="200"/>
        <w:rPr>
          <w:rFonts w:asciiTheme="minorEastAsia" w:hAnsiTheme="minorEastAsia" w:eastAsiaTheme="minorEastAsia"/>
        </w:rPr>
      </w:pPr>
      <w:bookmarkStart w:id="185" w:name="_Toc493793436"/>
      <w:r>
        <w:rPr>
          <w:rFonts w:asciiTheme="minorEastAsia" w:hAnsiTheme="minorEastAsia" w:eastAsiaTheme="minorEastAsia"/>
        </w:rPr>
        <w:t xml:space="preserve">A2 </w:t>
      </w:r>
      <w:r>
        <w:rPr>
          <w:rFonts w:hint="eastAsia" w:asciiTheme="minorEastAsia" w:hAnsiTheme="minorEastAsia" w:eastAsiaTheme="minorEastAsia"/>
        </w:rPr>
        <w:t>评标准备</w:t>
      </w:r>
      <w:bookmarkEnd w:id="185"/>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rPr>
        <w:t xml:space="preserve">A2.1 </w:t>
      </w:r>
      <w:r>
        <w:rPr>
          <w:rFonts w:hint="eastAsia" w:asciiTheme="minorEastAsia" w:hAnsiTheme="minorEastAsia" w:eastAsiaTheme="minorEastAsia"/>
        </w:rPr>
        <w:t>评标委员会成员签到</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评标委员会成员到达评标现场时应在签到表上签到以证明其出席。</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A2.2 </w:t>
      </w:r>
      <w:r>
        <w:rPr>
          <w:rFonts w:hint="eastAsia" w:asciiTheme="minorEastAsia" w:hAnsiTheme="minorEastAsia" w:eastAsiaTheme="minorEastAsia"/>
        </w:rPr>
        <w:t>评标委员会的组建和分工</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评标委员会应按照投标人须知前附表第</w:t>
      </w:r>
      <w:r>
        <w:rPr>
          <w:rFonts w:asciiTheme="minorEastAsia" w:hAnsiTheme="minorEastAsia" w:eastAsiaTheme="minorEastAsia"/>
        </w:rPr>
        <w:t>6.1</w:t>
      </w:r>
      <w:r>
        <w:rPr>
          <w:rFonts w:hint="eastAsia" w:asciiTheme="minorEastAsia" w:hAnsiTheme="minorEastAsia" w:eastAsiaTheme="minorEastAsia"/>
        </w:rPr>
        <w:t>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在本附件的表述中，当评委划分为技术类、经济类时，除标明由技术类或经济类评委实施评审外，其余由评标委员会全体委员进行。</w:t>
      </w:r>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rPr>
        <w:t xml:space="preserve">A2.3 </w:t>
      </w:r>
      <w:r>
        <w:rPr>
          <w:rFonts w:hint="eastAsia" w:asciiTheme="minorEastAsia" w:hAnsiTheme="minorEastAsia" w:eastAsiaTheme="minorEastAsia"/>
        </w:rPr>
        <w:t>熟悉文件资料</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A2.3.1 </w:t>
      </w:r>
      <w:r>
        <w:rPr>
          <w:rFonts w:hint="eastAsia" w:asciiTheme="minorEastAsia" w:hAnsiTheme="minorEastAsia" w:eastAsiaTheme="minorEastAsia"/>
          <w:szCs w:val="21"/>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560" w:lineRule="exact"/>
        <w:ind w:firstLine="420" w:firstLineChars="200"/>
        <w:rPr>
          <w:rFonts w:asciiTheme="minorEastAsia" w:hAnsiTheme="minorEastAsia" w:eastAsiaTheme="minorEastAsia"/>
          <w:b/>
          <w:szCs w:val="21"/>
        </w:rPr>
      </w:pPr>
      <w:r>
        <w:rPr>
          <w:rFonts w:asciiTheme="minorEastAsia" w:hAnsiTheme="minorEastAsia" w:eastAsiaTheme="minorEastAsia"/>
          <w:szCs w:val="21"/>
        </w:rPr>
        <w:t xml:space="preserve">A2.3.2 </w:t>
      </w:r>
      <w:r>
        <w:rPr>
          <w:rFonts w:hint="eastAsia" w:asciiTheme="minorEastAsia" w:hAnsiTheme="minorEastAsia" w:eastAsiaTheme="minorEastAsia"/>
          <w:szCs w:val="21"/>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spacing w:line="560" w:lineRule="exact"/>
        <w:ind w:firstLine="643" w:firstLineChars="200"/>
        <w:rPr>
          <w:rFonts w:asciiTheme="minorEastAsia" w:hAnsiTheme="minorEastAsia" w:eastAsiaTheme="minorEastAsia"/>
        </w:rPr>
      </w:pPr>
      <w:bookmarkStart w:id="186" w:name="_Toc493793437"/>
      <w:r>
        <w:rPr>
          <w:rFonts w:asciiTheme="minorEastAsia" w:hAnsiTheme="minorEastAsia" w:eastAsiaTheme="minorEastAsia"/>
        </w:rPr>
        <w:t xml:space="preserve">A3 </w:t>
      </w:r>
      <w:r>
        <w:rPr>
          <w:rFonts w:hint="eastAsia" w:asciiTheme="minorEastAsia" w:hAnsiTheme="minorEastAsia" w:eastAsiaTheme="minorEastAsia"/>
        </w:rPr>
        <w:t>初步评审</w:t>
      </w:r>
      <w:bookmarkEnd w:id="186"/>
    </w:p>
    <w:p>
      <w:pPr>
        <w:spacing w:line="560" w:lineRule="exact"/>
        <w:ind w:firstLine="420" w:firstLineChars="200"/>
        <w:outlineLvl w:val="0"/>
        <w:rPr>
          <w:rFonts w:asciiTheme="minorEastAsia" w:hAnsiTheme="minorEastAsia" w:eastAsiaTheme="minorEastAsia"/>
          <w:spacing w:val="-2"/>
          <w:szCs w:val="21"/>
        </w:rPr>
      </w:pPr>
      <w:r>
        <w:rPr>
          <w:rFonts w:asciiTheme="minorEastAsia" w:hAnsiTheme="minorEastAsia" w:eastAsiaTheme="minorEastAsia"/>
        </w:rPr>
        <w:t xml:space="preserve">A3.1 </w:t>
      </w:r>
      <w:r>
        <w:rPr>
          <w:rFonts w:hint="eastAsia" w:asciiTheme="minorEastAsia" w:hAnsiTheme="minorEastAsia" w:eastAsiaTheme="minorEastAsia"/>
        </w:rPr>
        <w:t>资格评审</w:t>
      </w:r>
    </w:p>
    <w:p>
      <w:pPr>
        <w:spacing w:line="560" w:lineRule="exact"/>
        <w:ind w:firstLine="412" w:firstLineChars="200"/>
        <w:rPr>
          <w:rFonts w:asciiTheme="minorEastAsia" w:hAnsiTheme="minorEastAsia" w:eastAsiaTheme="minorEastAsia"/>
        </w:rPr>
      </w:pPr>
      <w:r>
        <w:rPr>
          <w:rFonts w:hint="eastAsia" w:asciiTheme="minorEastAsia" w:hAnsiTheme="minorEastAsia" w:eastAsiaTheme="minorEastAsia"/>
          <w:spacing w:val="-2"/>
          <w:szCs w:val="21"/>
        </w:rPr>
        <w:t>评标委员会根据</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评标办法前附表</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中规定的评审因素和评审标准，对投标人的投标文件进行资格评审。</w:t>
      </w:r>
    </w:p>
    <w:p>
      <w:pPr>
        <w:spacing w:line="560" w:lineRule="exact"/>
        <w:ind w:firstLine="420" w:firstLineChars="200"/>
        <w:rPr>
          <w:rFonts w:asciiTheme="minorEastAsia" w:hAnsiTheme="minorEastAsia" w:eastAsiaTheme="minorEastAsia"/>
          <w:spacing w:val="-2"/>
          <w:szCs w:val="21"/>
        </w:rPr>
      </w:pPr>
      <w:r>
        <w:rPr>
          <w:rFonts w:asciiTheme="minorEastAsia" w:hAnsiTheme="minorEastAsia" w:eastAsiaTheme="minorEastAsia"/>
        </w:rPr>
        <w:t>A3.2</w:t>
      </w:r>
      <w:r>
        <w:rPr>
          <w:rFonts w:hint="eastAsia" w:asciiTheme="minorEastAsia" w:hAnsiTheme="minorEastAsia" w:eastAsiaTheme="minorEastAsia"/>
        </w:rPr>
        <w:t>形式评审</w:t>
      </w:r>
    </w:p>
    <w:p>
      <w:pPr>
        <w:spacing w:line="560" w:lineRule="exact"/>
        <w:ind w:firstLine="412" w:firstLineChars="200"/>
        <w:rPr>
          <w:rFonts w:asciiTheme="minorEastAsia" w:hAnsiTheme="minorEastAsia" w:eastAsiaTheme="minorEastAsia"/>
        </w:rPr>
      </w:pPr>
      <w:r>
        <w:rPr>
          <w:rFonts w:hint="eastAsia" w:asciiTheme="minorEastAsia" w:hAnsiTheme="minorEastAsia" w:eastAsiaTheme="minorEastAsia"/>
          <w:spacing w:val="-2"/>
          <w:szCs w:val="21"/>
        </w:rPr>
        <w:t>评标委员会根据</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评标办法前附表</w:t>
      </w:r>
      <w:r>
        <w:rPr>
          <w:rFonts w:asciiTheme="minorEastAsia" w:hAnsiTheme="minorEastAsia" w:eastAsiaTheme="minorEastAsia"/>
          <w:spacing w:val="-2"/>
          <w:szCs w:val="21"/>
        </w:rPr>
        <w:t>”</w:t>
      </w:r>
      <w:r>
        <w:rPr>
          <w:rFonts w:hint="eastAsia" w:asciiTheme="minorEastAsia" w:hAnsiTheme="minorEastAsia" w:eastAsiaTheme="minorEastAsia"/>
          <w:spacing w:val="-2"/>
          <w:szCs w:val="21"/>
        </w:rPr>
        <w:t>中规定的评审因素和评审标准，对投标人的投标文件进行形式评审。</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A3.3 </w:t>
      </w:r>
      <w:r>
        <w:rPr>
          <w:rFonts w:hint="eastAsia" w:asciiTheme="minorEastAsia" w:hAnsiTheme="minorEastAsia" w:eastAsiaTheme="minorEastAsia"/>
        </w:rPr>
        <w:t>响应性评审</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A3.3.1 </w:t>
      </w:r>
      <w:r>
        <w:rPr>
          <w:rFonts w:hint="eastAsia" w:asciiTheme="minorEastAsia" w:hAnsiTheme="minorEastAsia" w:eastAsiaTheme="minorEastAsia"/>
          <w:szCs w:val="21"/>
        </w:rPr>
        <w:t>评标委员会根据</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中规定的评审因素和评审标准，对投标人的投标文件进行响应性评审。</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szCs w:val="21"/>
        </w:rPr>
        <w:t xml:space="preserve">A3.3.2 </w:t>
      </w:r>
      <w:r>
        <w:rPr>
          <w:rFonts w:hint="eastAsia" w:asciiTheme="minorEastAsia" w:hAnsiTheme="minorEastAsia" w:eastAsiaTheme="minorEastAsia"/>
        </w:rPr>
        <w:t>投标人投标总价不得超出（不含等于）招标人公布的招标控制价，凡投标人的投标总价超出招标控制价的，该投标人的投标文件不能通过响应性评审。</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A3.4 </w:t>
      </w:r>
      <w:r>
        <w:rPr>
          <w:rFonts w:hint="eastAsia" w:asciiTheme="minorEastAsia" w:hAnsiTheme="minorEastAsia" w:eastAsiaTheme="minorEastAsia"/>
        </w:rPr>
        <w:t>判断投标是否为否决投标</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A3.4.1 </w:t>
      </w:r>
      <w:r>
        <w:rPr>
          <w:rFonts w:hint="eastAsia" w:asciiTheme="minorEastAsia" w:hAnsiTheme="minorEastAsia" w:eastAsiaTheme="minorEastAsia"/>
          <w:szCs w:val="21"/>
        </w:rPr>
        <w:t>判断投标人的投标是否为否决投标的全部条件（包括本章第</w:t>
      </w:r>
      <w:r>
        <w:rPr>
          <w:rFonts w:asciiTheme="minorEastAsia" w:hAnsiTheme="minorEastAsia" w:eastAsiaTheme="minorEastAsia"/>
          <w:szCs w:val="21"/>
        </w:rPr>
        <w:t>3.1.2</w:t>
      </w:r>
      <w:r>
        <w:rPr>
          <w:rFonts w:hint="eastAsia" w:asciiTheme="minorEastAsia" w:hAnsiTheme="minorEastAsia" w:eastAsiaTheme="minorEastAsia"/>
          <w:szCs w:val="21"/>
        </w:rPr>
        <w:t>项中规定的条件），在本章附件</w:t>
      </w:r>
      <w:r>
        <w:rPr>
          <w:rFonts w:asciiTheme="minorEastAsia" w:hAnsiTheme="minorEastAsia" w:eastAsiaTheme="minorEastAsia"/>
          <w:szCs w:val="21"/>
        </w:rPr>
        <w:t>B</w:t>
      </w:r>
      <w:r>
        <w:rPr>
          <w:rFonts w:hint="eastAsia" w:asciiTheme="minorEastAsia" w:hAnsiTheme="minorEastAsia" w:eastAsiaTheme="minorEastAsia"/>
          <w:szCs w:val="21"/>
        </w:rPr>
        <w:t>中集中列示。</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A3.4.2 </w:t>
      </w:r>
      <w:r>
        <w:rPr>
          <w:rFonts w:hint="eastAsia" w:asciiTheme="minorEastAsia" w:hAnsiTheme="minorEastAsia" w:eastAsiaTheme="minorEastAsia"/>
          <w:szCs w:val="21"/>
        </w:rPr>
        <w:t>本章附件</w:t>
      </w:r>
      <w:r>
        <w:rPr>
          <w:rFonts w:asciiTheme="minorEastAsia" w:hAnsiTheme="minorEastAsia" w:eastAsiaTheme="minorEastAsia"/>
          <w:szCs w:val="21"/>
        </w:rPr>
        <w:t>B</w:t>
      </w:r>
      <w:r>
        <w:rPr>
          <w:rFonts w:hint="eastAsia" w:asciiTheme="minorEastAsia" w:hAnsiTheme="minorEastAsia" w:eastAsiaTheme="minorEastAsia"/>
          <w:szCs w:val="21"/>
        </w:rPr>
        <w:t>集中列示的否决投标条件不应与第二章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和本章正文部分包括的否决投标条件抵触，如果出现相互矛盾的情况，以第二章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和本章正文部分的规定为准。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A3.4.3 </w:t>
      </w:r>
      <w:r>
        <w:rPr>
          <w:rFonts w:hint="eastAsia" w:asciiTheme="minorEastAsia" w:hAnsiTheme="minorEastAsia" w:eastAsiaTheme="minorEastAsia"/>
          <w:szCs w:val="21"/>
        </w:rPr>
        <w:t>评标委员会在评标过程中，依据本章附件</w:t>
      </w:r>
      <w:r>
        <w:rPr>
          <w:rFonts w:asciiTheme="minorEastAsia" w:hAnsiTheme="minorEastAsia" w:eastAsiaTheme="minorEastAsia"/>
          <w:szCs w:val="21"/>
        </w:rPr>
        <w:t>B</w:t>
      </w:r>
      <w:r>
        <w:rPr>
          <w:rFonts w:hint="eastAsia" w:asciiTheme="minorEastAsia" w:hAnsiTheme="minorEastAsia" w:eastAsiaTheme="minorEastAsia"/>
          <w:szCs w:val="21"/>
        </w:rPr>
        <w:t>中规定的否决投标条件判断投标人的投标是否为否决投标。</w:t>
      </w:r>
    </w:p>
    <w:p>
      <w:pPr>
        <w:spacing w:line="560" w:lineRule="exact"/>
        <w:ind w:firstLine="420" w:firstLineChars="200"/>
        <w:outlineLvl w:val="0"/>
        <w:rPr>
          <w:rFonts w:asciiTheme="minorEastAsia" w:hAnsiTheme="minorEastAsia" w:eastAsiaTheme="minorEastAsia"/>
        </w:rPr>
      </w:pPr>
      <w:r>
        <w:rPr>
          <w:rFonts w:asciiTheme="minorEastAsia" w:hAnsiTheme="minorEastAsia" w:eastAsiaTheme="minorEastAsia"/>
        </w:rPr>
        <w:t xml:space="preserve">A3.5 </w:t>
      </w:r>
      <w:r>
        <w:rPr>
          <w:rFonts w:hint="eastAsia" w:asciiTheme="minorEastAsia" w:hAnsiTheme="minorEastAsia" w:eastAsiaTheme="minorEastAsia"/>
        </w:rPr>
        <w:t>澄清、说明或补正</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在初步评审过程中，评标委员会应当就投标文件中不明确的内容要求投标人进行澄清、说明或者补正。投标人应当根据问题澄清通知要求，以书面形式予以澄清、说明或者补正。澄清、说明或补正根据本章第</w:t>
      </w:r>
      <w:r>
        <w:rPr>
          <w:rFonts w:asciiTheme="minorEastAsia" w:hAnsiTheme="minorEastAsia" w:eastAsiaTheme="minorEastAsia"/>
        </w:rPr>
        <w:t>3.3</w:t>
      </w:r>
      <w:r>
        <w:rPr>
          <w:rFonts w:hint="eastAsia" w:asciiTheme="minorEastAsia" w:hAnsiTheme="minorEastAsia" w:eastAsiaTheme="minorEastAsia"/>
        </w:rPr>
        <w:t>款的规定进行。</w:t>
      </w:r>
    </w:p>
    <w:p>
      <w:pPr>
        <w:pStyle w:val="4"/>
        <w:spacing w:line="560" w:lineRule="exact"/>
        <w:ind w:firstLine="643" w:firstLineChars="200"/>
        <w:rPr>
          <w:rFonts w:asciiTheme="minorEastAsia" w:hAnsiTheme="minorEastAsia" w:eastAsiaTheme="minorEastAsia"/>
        </w:rPr>
      </w:pPr>
      <w:bookmarkStart w:id="187" w:name="_Toc493793438"/>
      <w:r>
        <w:rPr>
          <w:rFonts w:asciiTheme="minorEastAsia" w:hAnsiTheme="minorEastAsia" w:eastAsiaTheme="minorEastAsia"/>
        </w:rPr>
        <w:t xml:space="preserve">A4 </w:t>
      </w:r>
      <w:r>
        <w:rPr>
          <w:rFonts w:hint="eastAsia" w:asciiTheme="minorEastAsia" w:hAnsiTheme="minorEastAsia" w:eastAsiaTheme="minorEastAsia"/>
        </w:rPr>
        <w:t>详细评审</w:t>
      </w:r>
      <w:bookmarkEnd w:id="187"/>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只有通过了初步评审、被判定为合格的投标方可进入详细评审。</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A4.1 </w:t>
      </w:r>
      <w:r>
        <w:rPr>
          <w:rFonts w:hint="eastAsia" w:asciiTheme="minorEastAsia" w:hAnsiTheme="minorEastAsia" w:eastAsiaTheme="minorEastAsia"/>
          <w:szCs w:val="21"/>
        </w:rPr>
        <w:t>对投标文件进行基础性数据分析和整理工作（清标）</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【备注：</w:t>
      </w:r>
      <w:r>
        <w:rPr>
          <w:rFonts w:hint="eastAsia" w:asciiTheme="minorEastAsia" w:hAnsiTheme="minorEastAsia" w:eastAsiaTheme="minorEastAsia"/>
        </w:rPr>
        <w:t>根据项目情况进行设置</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A4.2 </w:t>
      </w:r>
      <w:r>
        <w:rPr>
          <w:rFonts w:hint="eastAsia" w:asciiTheme="minorEastAsia" w:hAnsiTheme="minorEastAsia" w:eastAsiaTheme="minorEastAsia"/>
          <w:szCs w:val="21"/>
        </w:rPr>
        <w:t>算术错误修正</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w:t>
      </w:r>
      <w:r>
        <w:rPr>
          <w:rFonts w:hint="eastAsia" w:asciiTheme="minorEastAsia" w:hAnsiTheme="minorEastAsia" w:eastAsiaTheme="minorEastAsia"/>
          <w:spacing w:val="-2"/>
        </w:rPr>
        <w:t>经济组评委</w:t>
      </w:r>
      <w:r>
        <w:rPr>
          <w:rFonts w:hint="eastAsia" w:asciiTheme="minorEastAsia" w:hAnsiTheme="minorEastAsia" w:eastAsiaTheme="minorEastAsia"/>
          <w:szCs w:val="21"/>
        </w:rPr>
        <w:t>依据本章中规定的相关原则对投标报价中存在的算术错误进行修正，并根据算术错误修正结果计算评标基准价。</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A4.3 </w:t>
      </w:r>
      <w:r>
        <w:rPr>
          <w:rFonts w:hint="eastAsia" w:asciiTheme="minorEastAsia" w:hAnsiTheme="minorEastAsia" w:eastAsiaTheme="minorEastAsia"/>
          <w:szCs w:val="21"/>
        </w:rPr>
        <w:t>详细评审的程序</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A4.3.1 </w:t>
      </w:r>
      <w:r>
        <w:rPr>
          <w:rFonts w:hint="eastAsia" w:asciiTheme="minorEastAsia" w:hAnsiTheme="minorEastAsia" w:eastAsiaTheme="minorEastAsia"/>
          <w:szCs w:val="21"/>
        </w:rPr>
        <w:t>评标委员会按照本章第</w:t>
      </w:r>
      <w:r>
        <w:rPr>
          <w:rFonts w:asciiTheme="minorEastAsia" w:hAnsiTheme="minorEastAsia" w:eastAsiaTheme="minorEastAsia"/>
          <w:szCs w:val="21"/>
        </w:rPr>
        <w:t>3.2</w:t>
      </w:r>
      <w:r>
        <w:rPr>
          <w:rFonts w:hint="eastAsia" w:asciiTheme="minorEastAsia" w:hAnsiTheme="minorEastAsia" w:eastAsiaTheme="minorEastAsia"/>
          <w:szCs w:val="21"/>
        </w:rPr>
        <w:t>款中规定的程序进行详细评审：</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）技术标评审和评分；</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）商务标评审和评分；</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）汇总评分结果。</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A4.4 </w:t>
      </w:r>
      <w:r>
        <w:rPr>
          <w:rFonts w:hint="eastAsia" w:asciiTheme="minorEastAsia" w:hAnsiTheme="minorEastAsia" w:eastAsiaTheme="minorEastAsia"/>
        </w:rPr>
        <w:t>技术标评审和评分</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按照</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中规定的分值设定、各项评分因素、评分标准，由</w:t>
      </w:r>
      <w:r>
        <w:rPr>
          <w:rFonts w:hint="eastAsia" w:asciiTheme="minorEastAsia" w:hAnsiTheme="minorEastAsia" w:eastAsiaTheme="minorEastAsia"/>
          <w:spacing w:val="-2"/>
        </w:rPr>
        <w:t>评标委员会的技术组评委</w:t>
      </w:r>
      <w:r>
        <w:rPr>
          <w:rFonts w:hint="eastAsia" w:asciiTheme="minorEastAsia" w:hAnsiTheme="minorEastAsia" w:eastAsiaTheme="minorEastAsia"/>
          <w:szCs w:val="21"/>
        </w:rPr>
        <w:t>进行评审和评分。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A4.5 </w:t>
      </w:r>
      <w:r>
        <w:rPr>
          <w:rFonts w:hint="eastAsia" w:asciiTheme="minorEastAsia" w:hAnsiTheme="minorEastAsia" w:eastAsiaTheme="minorEastAsia"/>
        </w:rPr>
        <w:t>商务标评审和评分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A4.5.1</w:t>
      </w:r>
      <w:r>
        <w:rPr>
          <w:rFonts w:hint="eastAsia" w:asciiTheme="minorEastAsia" w:hAnsiTheme="minorEastAsia" w:eastAsiaTheme="minorEastAsia"/>
          <w:spacing w:val="-2"/>
        </w:rPr>
        <w:t>评标委员会的经济组评委</w:t>
      </w:r>
      <w:r>
        <w:rPr>
          <w:rFonts w:hint="eastAsia" w:asciiTheme="minorEastAsia" w:hAnsiTheme="minorEastAsia" w:eastAsiaTheme="minorEastAsia"/>
          <w:szCs w:val="21"/>
        </w:rPr>
        <w:t>按照</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中规定的方法计算</w:t>
      </w:r>
      <w:r>
        <w:rPr>
          <w:rFonts w:asciiTheme="minorEastAsia" w:hAnsiTheme="minorEastAsia" w:eastAsiaTheme="minorEastAsia"/>
          <w:szCs w:val="21"/>
        </w:rPr>
        <w:t>“</w:t>
      </w:r>
      <w:r>
        <w:rPr>
          <w:rFonts w:hint="eastAsia" w:asciiTheme="minorEastAsia" w:hAnsiTheme="minorEastAsia" w:eastAsiaTheme="minorEastAsia"/>
          <w:szCs w:val="21"/>
        </w:rPr>
        <w:t>评标基准价</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szCs w:val="21"/>
        </w:rPr>
        <w:t>A4.5.2</w:t>
      </w:r>
      <w:r>
        <w:rPr>
          <w:rFonts w:hint="eastAsia" w:asciiTheme="minorEastAsia" w:hAnsiTheme="minorEastAsia" w:eastAsiaTheme="minorEastAsia"/>
          <w:spacing w:val="-2"/>
        </w:rPr>
        <w:t>评标委员会的经济组评委</w:t>
      </w:r>
      <w:r>
        <w:rPr>
          <w:rFonts w:hint="eastAsia" w:asciiTheme="minorEastAsia" w:hAnsiTheme="minorEastAsia" w:eastAsiaTheme="minorEastAsia"/>
          <w:szCs w:val="21"/>
        </w:rPr>
        <w:t>按照</w:t>
      </w:r>
      <w:r>
        <w:rPr>
          <w:rFonts w:asciiTheme="minorEastAsia" w:hAnsiTheme="minorEastAsia" w:eastAsiaTheme="minorEastAsia"/>
          <w:szCs w:val="21"/>
        </w:rPr>
        <w:t>“</w:t>
      </w:r>
      <w:r>
        <w:rPr>
          <w:rFonts w:hint="eastAsia" w:asciiTheme="minorEastAsia" w:hAnsiTheme="minorEastAsia" w:eastAsiaTheme="minorEastAsia"/>
          <w:szCs w:val="21"/>
        </w:rPr>
        <w:t>评标办法前附表</w:t>
      </w:r>
      <w:r>
        <w:rPr>
          <w:rFonts w:asciiTheme="minorEastAsia" w:hAnsiTheme="minorEastAsia" w:eastAsiaTheme="minorEastAsia"/>
          <w:szCs w:val="21"/>
        </w:rPr>
        <w:t>”</w:t>
      </w:r>
      <w:r>
        <w:rPr>
          <w:rFonts w:hint="eastAsia" w:asciiTheme="minorEastAsia" w:hAnsiTheme="minorEastAsia" w:eastAsiaTheme="minorEastAsia"/>
          <w:szCs w:val="21"/>
        </w:rPr>
        <w:t>中规定的方法，计算各个已通过了初步评审和技术标评审的商务标得分。</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A4.6 </w:t>
      </w:r>
      <w:r>
        <w:rPr>
          <w:rFonts w:hint="eastAsia" w:asciiTheme="minorEastAsia" w:hAnsiTheme="minorEastAsia" w:eastAsiaTheme="minorEastAsia"/>
        </w:rPr>
        <w:t>判断投标报价是否低于成本</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由评标委员会的经济组评委认定投标人是否以低于成本投标。</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A4.7 </w:t>
      </w:r>
      <w:r>
        <w:rPr>
          <w:rFonts w:hint="eastAsia" w:asciiTheme="minorEastAsia" w:hAnsiTheme="minorEastAsia" w:eastAsiaTheme="minorEastAsia"/>
        </w:rPr>
        <w:t>澄清、说明或补正</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在评审过程中，评标委员会应当就投标文件中不明确的内容要求投标人进行澄清、说明或者补正。投标人对此以书面形式予以澄清、说明或者补正。澄清、说明或补正根据本章第</w:t>
      </w:r>
      <w:r>
        <w:rPr>
          <w:rFonts w:asciiTheme="minorEastAsia" w:hAnsiTheme="minorEastAsia" w:eastAsiaTheme="minorEastAsia"/>
          <w:szCs w:val="21"/>
        </w:rPr>
        <w:t>3.3</w:t>
      </w:r>
      <w:r>
        <w:rPr>
          <w:rFonts w:hint="eastAsia" w:asciiTheme="minorEastAsia" w:hAnsiTheme="minorEastAsia" w:eastAsiaTheme="minorEastAsia"/>
          <w:szCs w:val="21"/>
        </w:rPr>
        <w:t>款的规定执行。</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A4.8 </w:t>
      </w:r>
      <w:r>
        <w:rPr>
          <w:rFonts w:hint="eastAsia" w:asciiTheme="minorEastAsia" w:hAnsiTheme="minorEastAsia" w:eastAsiaTheme="minorEastAsia"/>
        </w:rPr>
        <w:t>汇总评分结果</w:t>
      </w:r>
    </w:p>
    <w:p>
      <w:pPr>
        <w:spacing w:line="56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详细评审工作全部结束后，汇总评标委员会各成员的详细评审评分结果，并按照详细评审最终得分由高至低的次序对投标人进行排序。</w:t>
      </w:r>
    </w:p>
    <w:p>
      <w:pPr>
        <w:pStyle w:val="4"/>
        <w:spacing w:line="560" w:lineRule="exact"/>
        <w:ind w:firstLine="643" w:firstLineChars="200"/>
        <w:rPr>
          <w:rFonts w:asciiTheme="minorEastAsia" w:hAnsiTheme="minorEastAsia" w:eastAsiaTheme="minorEastAsia"/>
        </w:rPr>
      </w:pPr>
      <w:bookmarkStart w:id="188" w:name="_Toc493793439"/>
      <w:r>
        <w:rPr>
          <w:rFonts w:asciiTheme="minorEastAsia" w:hAnsiTheme="minorEastAsia" w:eastAsiaTheme="minorEastAsia"/>
        </w:rPr>
        <w:t xml:space="preserve">A5 </w:t>
      </w:r>
      <w:r>
        <w:rPr>
          <w:rFonts w:hint="eastAsia" w:asciiTheme="minorEastAsia" w:hAnsiTheme="minorEastAsia" w:eastAsiaTheme="minorEastAsia"/>
        </w:rPr>
        <w:t>推荐中标候选人或者直接确定中标人</w:t>
      </w:r>
      <w:bookmarkEnd w:id="188"/>
    </w:p>
    <w:p>
      <w:pPr>
        <w:spacing w:line="560" w:lineRule="exact"/>
        <w:ind w:left="-2" w:leftChars="-1" w:firstLine="420" w:firstLineChars="200"/>
        <w:outlineLvl w:val="0"/>
        <w:rPr>
          <w:rFonts w:asciiTheme="minorEastAsia" w:hAnsiTheme="minorEastAsia" w:eastAsiaTheme="minorEastAsia"/>
          <w:szCs w:val="21"/>
        </w:rPr>
      </w:pPr>
      <w:r>
        <w:rPr>
          <w:rFonts w:asciiTheme="minorEastAsia" w:hAnsiTheme="minorEastAsia" w:eastAsiaTheme="minorEastAsia"/>
        </w:rPr>
        <w:t xml:space="preserve">A5.1 </w:t>
      </w:r>
      <w:r>
        <w:rPr>
          <w:rFonts w:hint="eastAsia" w:asciiTheme="minorEastAsia" w:hAnsiTheme="minorEastAsia" w:eastAsiaTheme="minorEastAsia"/>
        </w:rPr>
        <w:t>推荐中标候选人</w:t>
      </w:r>
    </w:p>
    <w:p>
      <w:pPr>
        <w:spacing w:line="560" w:lineRule="exact"/>
        <w:ind w:left="-2" w:leftChars="-1"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A5.1.1 </w:t>
      </w:r>
      <w:r>
        <w:rPr>
          <w:rFonts w:hint="eastAsia" w:asciiTheme="minorEastAsia" w:hAnsiTheme="minorEastAsia" w:eastAsiaTheme="minorEastAsia"/>
          <w:szCs w:val="21"/>
        </w:rPr>
        <w:t>除第二章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前附表第</w:t>
      </w:r>
      <w:r>
        <w:rPr>
          <w:rFonts w:asciiTheme="minorEastAsia" w:hAnsiTheme="minorEastAsia" w:eastAsiaTheme="minorEastAsia"/>
          <w:szCs w:val="21"/>
        </w:rPr>
        <w:t>7.1</w:t>
      </w:r>
      <w:r>
        <w:rPr>
          <w:rFonts w:hint="eastAsia" w:asciiTheme="minorEastAsia" w:hAnsiTheme="minorEastAsia" w:eastAsiaTheme="minorEastAsia"/>
          <w:szCs w:val="21"/>
        </w:rPr>
        <w:t>款授权直接确定中标人外，评标委员会在推荐中标候选人时，应遵照以下原则：</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）评标委员会按照最终得分由高至低的次序排列，并根据第二章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前附表第</w:t>
      </w:r>
      <w:r>
        <w:rPr>
          <w:rFonts w:asciiTheme="minorEastAsia" w:hAnsiTheme="minorEastAsia" w:eastAsiaTheme="minorEastAsia"/>
          <w:szCs w:val="21"/>
        </w:rPr>
        <w:t>7.1</w:t>
      </w:r>
      <w:r>
        <w:rPr>
          <w:rFonts w:hint="eastAsia" w:asciiTheme="minorEastAsia" w:hAnsiTheme="minorEastAsia" w:eastAsiaTheme="minorEastAsia"/>
          <w:szCs w:val="21"/>
        </w:rPr>
        <w:t>款规定</w:t>
      </w:r>
      <w:r>
        <w:rPr>
          <w:rFonts w:hint="eastAsia" w:asciiTheme="minorEastAsia" w:hAnsiTheme="minorEastAsia" w:eastAsiaTheme="minorEastAsia"/>
        </w:rPr>
        <w:t>及本章的规定推荐</w:t>
      </w:r>
      <w:r>
        <w:rPr>
          <w:rFonts w:hint="eastAsia" w:asciiTheme="minorEastAsia" w:hAnsiTheme="minorEastAsia" w:eastAsiaTheme="minorEastAsia"/>
          <w:szCs w:val="21"/>
        </w:rPr>
        <w:t>中标候选人。原则上招标人依据评标委员会推荐确定排名第一的中标候选人为中标人。排名第一的中标候选人放弃中标，或者因不可抗力不能履行合同，或者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）如果评标委员会根据本章的规定作否决投标处理后，有效投标不足三个，且少于第二章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前附表第</w:t>
      </w:r>
      <w:r>
        <w:rPr>
          <w:rFonts w:asciiTheme="minorEastAsia" w:hAnsiTheme="minorEastAsia" w:eastAsiaTheme="minorEastAsia"/>
          <w:szCs w:val="21"/>
        </w:rPr>
        <w:t>7.1</w:t>
      </w:r>
      <w:r>
        <w:rPr>
          <w:rFonts w:hint="eastAsia" w:asciiTheme="minorEastAsia" w:hAnsiTheme="minorEastAsia" w:eastAsiaTheme="minorEastAsia"/>
          <w:szCs w:val="21"/>
        </w:rPr>
        <w:t>款规定的中标候选人数量的，如经评标委员会评定仍具备竞争性的，可以将所有有效投标按最终得分由高至低的次序作为中标候选人向招标人推荐。如果因</w:t>
      </w:r>
      <w:r>
        <w:rPr>
          <w:rFonts w:hint="eastAsia" w:asciiTheme="minorEastAsia" w:hAnsiTheme="minorEastAsia" w:eastAsiaTheme="minorEastAsia"/>
        </w:rPr>
        <w:t>评标委员会否决投标后</w:t>
      </w:r>
      <w:r>
        <w:rPr>
          <w:rFonts w:hint="eastAsia" w:asciiTheme="minorEastAsia" w:hAnsiTheme="minorEastAsia" w:eastAsiaTheme="minorEastAsia"/>
          <w:szCs w:val="21"/>
        </w:rPr>
        <w:t>有效投标不足三个且评标委员会评定投标明显缺乏竞争的，评标委员会可以否决所有投标。</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szCs w:val="21"/>
        </w:rPr>
        <w:t xml:space="preserve">A5.1.2 </w:t>
      </w:r>
      <w:r>
        <w:rPr>
          <w:rFonts w:hint="eastAsia" w:asciiTheme="minorEastAsia" w:hAnsiTheme="minorEastAsia" w:eastAsiaTheme="minorEastAsia"/>
        </w:rPr>
        <w:t>投标截止时间前递交投标文件的投标人数量少于三个或者所有投标被否决的，招标人应当依法重新招标。</w:t>
      </w:r>
    </w:p>
    <w:p>
      <w:pPr>
        <w:spacing w:line="560" w:lineRule="exact"/>
        <w:ind w:left="-2" w:leftChars="-1" w:firstLine="420" w:firstLineChars="200"/>
        <w:rPr>
          <w:rFonts w:asciiTheme="minorEastAsia" w:hAnsiTheme="minorEastAsia" w:eastAsiaTheme="minorEastAsia"/>
          <w:szCs w:val="21"/>
        </w:rPr>
      </w:pPr>
      <w:r>
        <w:rPr>
          <w:rFonts w:asciiTheme="minorEastAsia" w:hAnsiTheme="minorEastAsia" w:eastAsiaTheme="minorEastAsia"/>
        </w:rPr>
        <w:t xml:space="preserve">A5.2 </w:t>
      </w:r>
      <w:r>
        <w:rPr>
          <w:rFonts w:hint="eastAsia" w:asciiTheme="minorEastAsia" w:hAnsiTheme="minorEastAsia" w:eastAsiaTheme="minorEastAsia"/>
        </w:rPr>
        <w:t>编制评标报告</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评标委员会向招标人提交评标报告。评标报告应当由全体评标委员会成员签字，并于评标结束时抄送有关行政监督部门。评标报告应当包括但不限于以下内容：</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）基本情况和数据表；</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）评标委员会成员名单；</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）开标记录；</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）符合要求的投标一览表；</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）否决投标情况说明；</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）评标标准、评标方法或者评标因素一览表；</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）经评审的价格一览表（包括评标委员会在评标过程中所形成的所有记载评标结果、结论的表格、说明、记录等文件）；</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）经评审的投标人排序；</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）推荐的中标候选人名单（如果第二章</w:t>
      </w:r>
      <w:r>
        <w:rPr>
          <w:rFonts w:asciiTheme="minorEastAsia" w:hAnsiTheme="minorEastAsia" w:eastAsiaTheme="minorEastAsia"/>
          <w:szCs w:val="21"/>
        </w:rPr>
        <w:t>“</w:t>
      </w:r>
      <w:r>
        <w:rPr>
          <w:rFonts w:hint="eastAsia" w:asciiTheme="minorEastAsia" w:hAnsiTheme="minorEastAsia" w:eastAsiaTheme="minorEastAsia"/>
          <w:szCs w:val="21"/>
        </w:rPr>
        <w:t>投标人须知</w:t>
      </w:r>
      <w:r>
        <w:rPr>
          <w:rFonts w:asciiTheme="minorEastAsia" w:hAnsiTheme="minorEastAsia" w:eastAsiaTheme="minorEastAsia"/>
          <w:szCs w:val="21"/>
        </w:rPr>
        <w:t>”</w:t>
      </w:r>
      <w:r>
        <w:rPr>
          <w:rFonts w:hint="eastAsia" w:asciiTheme="minorEastAsia" w:hAnsiTheme="minorEastAsia" w:eastAsiaTheme="minorEastAsia"/>
          <w:szCs w:val="21"/>
        </w:rPr>
        <w:t>前附表授权评标委员会直接确定中标人，则为</w:t>
      </w:r>
      <w:r>
        <w:rPr>
          <w:rFonts w:asciiTheme="minorEastAsia" w:hAnsiTheme="minorEastAsia" w:eastAsiaTheme="minorEastAsia"/>
          <w:szCs w:val="21"/>
        </w:rPr>
        <w:t>“</w:t>
      </w:r>
      <w:r>
        <w:rPr>
          <w:rFonts w:hint="eastAsia" w:asciiTheme="minorEastAsia" w:hAnsiTheme="minorEastAsia" w:eastAsiaTheme="minorEastAsia"/>
          <w:szCs w:val="21"/>
        </w:rPr>
        <w:t>确定的中标人</w:t>
      </w:r>
      <w:r>
        <w:rPr>
          <w:rFonts w:asciiTheme="minorEastAsia" w:hAnsiTheme="minorEastAsia" w:eastAsiaTheme="minorEastAsia"/>
          <w:szCs w:val="21"/>
        </w:rPr>
        <w:t>”</w:t>
      </w:r>
      <w:r>
        <w:rPr>
          <w:rFonts w:hint="eastAsia" w:asciiTheme="minorEastAsia" w:hAnsiTheme="minorEastAsia" w:eastAsiaTheme="minorEastAsia"/>
          <w:szCs w:val="21"/>
        </w:rPr>
        <w:t>）与签订合同前要处理的事宜；</w:t>
      </w:r>
    </w:p>
    <w:p>
      <w:pPr>
        <w:spacing w:line="560" w:lineRule="exact"/>
        <w:ind w:left="-2" w:leftChars="-1" w:firstLine="420" w:firstLineChars="200"/>
        <w:rPr>
          <w:rFonts w:asciiTheme="minorEastAsia" w:hAnsiTheme="minorEastAsia" w:eastAsiaTheme="minorEastAsia"/>
          <w:b/>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）澄清、说明、补正事项纪要。</w:t>
      </w:r>
    </w:p>
    <w:p>
      <w:pPr>
        <w:pStyle w:val="4"/>
        <w:spacing w:line="560" w:lineRule="exact"/>
        <w:ind w:firstLine="643" w:firstLineChars="200"/>
        <w:rPr>
          <w:rFonts w:asciiTheme="minorEastAsia" w:hAnsiTheme="minorEastAsia" w:eastAsiaTheme="minorEastAsia"/>
        </w:rPr>
      </w:pPr>
      <w:bookmarkStart w:id="189" w:name="_Toc493793440"/>
      <w:r>
        <w:rPr>
          <w:rFonts w:asciiTheme="minorEastAsia" w:hAnsiTheme="minorEastAsia" w:eastAsiaTheme="minorEastAsia"/>
        </w:rPr>
        <w:t xml:space="preserve">A6 </w:t>
      </w:r>
      <w:r>
        <w:rPr>
          <w:rFonts w:hint="eastAsia" w:asciiTheme="minorEastAsia" w:hAnsiTheme="minorEastAsia" w:eastAsiaTheme="minorEastAsia"/>
        </w:rPr>
        <w:t>特殊情况的处置程序</w:t>
      </w:r>
      <w:bookmarkEnd w:id="189"/>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 xml:space="preserve">A6.1 </w:t>
      </w:r>
      <w:r>
        <w:rPr>
          <w:rFonts w:hint="eastAsia" w:asciiTheme="minorEastAsia" w:hAnsiTheme="minorEastAsia" w:eastAsiaTheme="minorEastAsia"/>
          <w:szCs w:val="21"/>
        </w:rPr>
        <w:t>暗标评审的评审程序规定（适用于对施工组织设计进行暗标评审的）</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A6.2 </w:t>
      </w:r>
      <w:r>
        <w:rPr>
          <w:rFonts w:hint="eastAsia" w:asciiTheme="minorEastAsia" w:hAnsiTheme="minorEastAsia" w:eastAsiaTheme="minorEastAsia"/>
          <w:szCs w:val="21"/>
        </w:rPr>
        <w:t>关于评标活动暂停</w:t>
      </w:r>
    </w:p>
    <w:p>
      <w:pPr>
        <w:spacing w:line="560" w:lineRule="exact"/>
        <w:ind w:left="-2" w:leftChars="-1"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A6.2.1 </w:t>
      </w:r>
      <w:r>
        <w:rPr>
          <w:rFonts w:hint="eastAsia" w:asciiTheme="minorEastAsia" w:hAnsiTheme="minorEastAsia" w:eastAsiaTheme="minorEastAsia"/>
          <w:szCs w:val="21"/>
        </w:rPr>
        <w:t>评标委员会应当执行连续评标的原则，按评标办法中规定的程序、内容、方法、标准完成全部评标工作。只有发生不可抗力导致评标工作无法继续时，评标活动方可暂停。</w:t>
      </w:r>
    </w:p>
    <w:p>
      <w:pPr>
        <w:spacing w:line="560" w:lineRule="exact"/>
        <w:ind w:left="-2" w:leftChars="-1"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A6.2.2 </w:t>
      </w:r>
      <w:r>
        <w:rPr>
          <w:rFonts w:hint="eastAsia" w:asciiTheme="minorEastAsia" w:hAnsiTheme="minorEastAsia" w:eastAsiaTheme="minorEastAsia"/>
          <w:szCs w:val="21"/>
        </w:rPr>
        <w:t>发生评标暂停情况时，评标委员会应当封存全部投标文件和评标记录，待不可抗力的影响结束且具备继续评标的条件时，由原评标委员会继续评标。</w:t>
      </w:r>
    </w:p>
    <w:p>
      <w:pPr>
        <w:spacing w:line="560" w:lineRule="exact"/>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 xml:space="preserve">A6.3 </w:t>
      </w:r>
      <w:r>
        <w:rPr>
          <w:rFonts w:hint="eastAsia" w:asciiTheme="minorEastAsia" w:hAnsiTheme="minorEastAsia" w:eastAsiaTheme="minorEastAsia"/>
          <w:szCs w:val="21"/>
        </w:rPr>
        <w:t>关于评标中途更换评委</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A6.3.1 </w:t>
      </w:r>
      <w:r>
        <w:rPr>
          <w:rFonts w:hint="eastAsia" w:asciiTheme="minorEastAsia" w:hAnsiTheme="minorEastAsia" w:eastAsiaTheme="minorEastAsia"/>
          <w:szCs w:val="21"/>
        </w:rPr>
        <w:t>除非发生下列情况之一，评标委员会成员不得在评标中途更换：</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）因不可抗拒的客观原因，不能到场或需在评标中途退出评标活动。</w:t>
      </w:r>
    </w:p>
    <w:p>
      <w:pPr>
        <w:spacing w:line="560" w:lineRule="exact"/>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）根据法律法规规定，某个或某几个评标委员会成员需要回避。</w:t>
      </w:r>
    </w:p>
    <w:p>
      <w:pPr>
        <w:spacing w:line="560" w:lineRule="exact"/>
        <w:ind w:left="-2" w:leftChars="-1"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A6.3.2 </w:t>
      </w:r>
      <w:r>
        <w:rPr>
          <w:rFonts w:hint="eastAsia" w:asciiTheme="minorEastAsia" w:hAnsiTheme="minorEastAsia" w:eastAsiaTheme="minorEastAsia"/>
          <w:szCs w:val="21"/>
        </w:rPr>
        <w:t>退出评标的评标委员会成员，其已完成的评标行为无效。由招标人根据本招标文件规定的评标委员会成员生产方式另行确定替代者进行评标。</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A6.4 </w:t>
      </w:r>
      <w:r>
        <w:rPr>
          <w:rFonts w:hint="eastAsia" w:asciiTheme="minorEastAsia" w:hAnsiTheme="minorEastAsia" w:eastAsiaTheme="minorEastAsia"/>
          <w:szCs w:val="21"/>
        </w:rPr>
        <w:t>记名投票</w:t>
      </w:r>
    </w:p>
    <w:p>
      <w:pPr>
        <w:spacing w:line="560" w:lineRule="exact"/>
        <w:ind w:left="-2" w:leftChars="-1" w:firstLine="420" w:firstLineChars="200"/>
        <w:rPr>
          <w:rFonts w:asciiTheme="minorEastAsia" w:hAnsiTheme="minorEastAsia" w:eastAsiaTheme="minorEastAsia"/>
          <w:b/>
          <w:szCs w:val="21"/>
        </w:rPr>
      </w:pPr>
      <w:r>
        <w:rPr>
          <w:rFonts w:hint="eastAsia" w:asciiTheme="minorEastAsia" w:hAnsiTheme="minorEastAsia" w:eastAsiaTheme="minorEastAsia"/>
          <w:szCs w:val="21"/>
        </w:rPr>
        <w:t>需评标委员会就某项定性的评审结论做出表决的，由评标委员会全体成员按照少数服从多数的原则，以记名投票方式表决。</w:t>
      </w:r>
    </w:p>
    <w:p>
      <w:pPr>
        <w:spacing w:line="560" w:lineRule="exact"/>
        <w:ind w:firstLine="420" w:firstLineChars="200"/>
        <w:rPr>
          <w:rFonts w:asciiTheme="minorEastAsia" w:hAnsiTheme="minorEastAsia" w:eastAsiaTheme="minorEastAsia"/>
          <w:szCs w:val="21"/>
        </w:rPr>
        <w:sectPr>
          <w:pgSz w:w="11907" w:h="16840"/>
          <w:pgMar w:top="1440" w:right="1290" w:bottom="1440" w:left="1377" w:header="851" w:footer="851" w:gutter="0"/>
          <w:cols w:space="720" w:num="1"/>
          <w:docGrid w:linePitch="312" w:charSpace="0"/>
        </w:sectPr>
      </w:pPr>
    </w:p>
    <w:p>
      <w:pPr>
        <w:pStyle w:val="3"/>
        <w:spacing w:line="560" w:lineRule="exact"/>
        <w:ind w:firstLine="883" w:firstLineChars="200"/>
        <w:jc w:val="center"/>
        <w:rPr>
          <w:rFonts w:asciiTheme="minorEastAsia" w:hAnsiTheme="minorEastAsia" w:eastAsiaTheme="minorEastAsia"/>
          <w:b w:val="0"/>
          <w:sz w:val="28"/>
          <w:szCs w:val="28"/>
        </w:rPr>
      </w:pPr>
      <w:bookmarkStart w:id="190" w:name="_Toc493793442"/>
      <w:r>
        <w:rPr>
          <w:rFonts w:hint="eastAsia" w:asciiTheme="minorEastAsia" w:hAnsiTheme="minorEastAsia" w:eastAsiaTheme="minorEastAsia"/>
        </w:rPr>
        <w:t>附件</w:t>
      </w:r>
      <w:r>
        <w:rPr>
          <w:rFonts w:asciiTheme="minorEastAsia" w:hAnsiTheme="minorEastAsia" w:eastAsiaTheme="minorEastAsia"/>
        </w:rPr>
        <w:t xml:space="preserve">B  </w:t>
      </w:r>
      <w:r>
        <w:rPr>
          <w:rFonts w:hint="eastAsia" w:asciiTheme="minorEastAsia" w:hAnsiTheme="minorEastAsia" w:eastAsiaTheme="minorEastAsia"/>
        </w:rPr>
        <w:t>否决投标条件</w:t>
      </w:r>
      <w:bookmarkEnd w:id="190"/>
    </w:p>
    <w:p>
      <w:pPr>
        <w:pStyle w:val="4"/>
        <w:spacing w:line="560" w:lineRule="exact"/>
        <w:ind w:firstLine="643" w:firstLineChars="200"/>
        <w:rPr>
          <w:rFonts w:asciiTheme="minorEastAsia" w:hAnsiTheme="minorEastAsia" w:eastAsiaTheme="minorEastAsia"/>
        </w:rPr>
      </w:pPr>
      <w:bookmarkStart w:id="191" w:name="_Toc493793443"/>
      <w:r>
        <w:rPr>
          <w:rFonts w:asciiTheme="minorEastAsia" w:hAnsiTheme="minorEastAsia" w:eastAsiaTheme="minorEastAsia"/>
        </w:rPr>
        <w:t xml:space="preserve">B0 </w:t>
      </w:r>
      <w:r>
        <w:rPr>
          <w:rFonts w:hint="eastAsia" w:asciiTheme="minorEastAsia" w:hAnsiTheme="minorEastAsia" w:eastAsiaTheme="minorEastAsia"/>
        </w:rPr>
        <w:t>总</w:t>
      </w:r>
      <w:r>
        <w:rPr>
          <w:rFonts w:asciiTheme="minorEastAsia" w:hAnsiTheme="minorEastAsia" w:eastAsiaTheme="minorEastAsia"/>
        </w:rPr>
        <w:t xml:space="preserve">  </w:t>
      </w:r>
      <w:r>
        <w:rPr>
          <w:rFonts w:hint="eastAsia" w:asciiTheme="minorEastAsia" w:hAnsiTheme="minorEastAsia" w:eastAsiaTheme="minorEastAsia"/>
        </w:rPr>
        <w:t>则</w:t>
      </w:r>
      <w:bookmarkEnd w:id="191"/>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本附件所集中列示的否决投标条件，是本章</w:t>
      </w:r>
      <w:r>
        <w:rPr>
          <w:rFonts w:asciiTheme="minorEastAsia" w:hAnsiTheme="minorEastAsia" w:eastAsiaTheme="minorEastAsia"/>
        </w:rPr>
        <w:t>“</w:t>
      </w:r>
      <w:r>
        <w:rPr>
          <w:rFonts w:hint="eastAsia" w:asciiTheme="minorEastAsia" w:hAnsiTheme="minorEastAsia" w:eastAsiaTheme="minorEastAsia"/>
        </w:rPr>
        <w:t>评标办法</w:t>
      </w:r>
      <w:r>
        <w:rPr>
          <w:rFonts w:asciiTheme="minorEastAsia" w:hAnsiTheme="minorEastAsia" w:eastAsiaTheme="minorEastAsia"/>
        </w:rPr>
        <w:t>”</w:t>
      </w:r>
      <w:r>
        <w:rPr>
          <w:rFonts w:hint="eastAsia" w:asciiTheme="minorEastAsia" w:hAnsiTheme="minorEastAsia" w:eastAsiaTheme="minorEastAsia"/>
        </w:rPr>
        <w:t>的组成部分，是对第二章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和本章正文部分所规定的否决投标条件的总结和补充，如果出现相互矛盾的情况，以第二章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和本章正文部分的规定为准。</w:t>
      </w:r>
    </w:p>
    <w:p>
      <w:pPr>
        <w:pStyle w:val="4"/>
        <w:spacing w:line="560" w:lineRule="exact"/>
        <w:ind w:firstLine="643" w:firstLineChars="200"/>
        <w:rPr>
          <w:rFonts w:asciiTheme="minorEastAsia" w:hAnsiTheme="minorEastAsia" w:eastAsiaTheme="minorEastAsia"/>
        </w:rPr>
      </w:pPr>
      <w:bookmarkStart w:id="192" w:name="_Toc493793444"/>
      <w:r>
        <w:rPr>
          <w:rFonts w:asciiTheme="minorEastAsia" w:hAnsiTheme="minorEastAsia" w:eastAsiaTheme="minorEastAsia"/>
        </w:rPr>
        <w:t xml:space="preserve">B1 </w:t>
      </w:r>
      <w:r>
        <w:rPr>
          <w:rFonts w:hint="eastAsia" w:asciiTheme="minorEastAsia" w:hAnsiTheme="minorEastAsia" w:eastAsiaTheme="minorEastAsia"/>
        </w:rPr>
        <w:t>否决投标条件</w:t>
      </w:r>
      <w:bookmarkEnd w:id="192"/>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投标人或其投标文件有下列情形之一的，其投标作否决投标处理：</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 </w:t>
      </w:r>
      <w:r>
        <w:rPr>
          <w:rFonts w:hint="eastAsia" w:asciiTheme="minorEastAsia" w:hAnsiTheme="minorEastAsia" w:eastAsiaTheme="minorEastAsia"/>
        </w:rPr>
        <w:t>有第二章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1.4.3</w:t>
      </w:r>
      <w:r>
        <w:rPr>
          <w:rFonts w:hint="eastAsia" w:asciiTheme="minorEastAsia" w:hAnsiTheme="minorEastAsia" w:eastAsiaTheme="minorEastAsia"/>
        </w:rPr>
        <w:t>项规定的任何一种情形的；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B1.2 </w:t>
      </w:r>
      <w:r>
        <w:rPr>
          <w:rFonts w:hint="eastAsia" w:asciiTheme="minorEastAsia" w:hAnsiTheme="minorEastAsia" w:eastAsiaTheme="minorEastAsia"/>
        </w:rPr>
        <w:t>有串通投标或弄虚作假或有其他违法行为的；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B1.3 </w:t>
      </w:r>
      <w:r>
        <w:rPr>
          <w:rFonts w:hint="eastAsia" w:asciiTheme="minorEastAsia" w:hAnsiTheme="minorEastAsia" w:eastAsiaTheme="minorEastAsia"/>
        </w:rPr>
        <w:t>不按评标委员会要求澄清、说明或补正的；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B1.4 </w:t>
      </w:r>
      <w:r>
        <w:rPr>
          <w:rFonts w:hint="eastAsia" w:asciiTheme="minorEastAsia" w:hAnsiTheme="minorEastAsia" w:eastAsiaTheme="minorEastAsia"/>
        </w:rPr>
        <w:t>在资格评审、形式评审、响应性评审中，评标委员会认定投标人的投标文件不符合</w:t>
      </w:r>
      <w:r>
        <w:rPr>
          <w:rFonts w:asciiTheme="minorEastAsia" w:hAnsiTheme="minorEastAsia" w:eastAsiaTheme="minorEastAsia"/>
        </w:rPr>
        <w:t>“</w:t>
      </w:r>
      <w:r>
        <w:rPr>
          <w:rFonts w:hint="eastAsia" w:asciiTheme="minorEastAsia" w:hAnsiTheme="minorEastAsia" w:eastAsiaTheme="minorEastAsia"/>
        </w:rPr>
        <w:t>评标办法前附表</w:t>
      </w:r>
      <w:r>
        <w:rPr>
          <w:rFonts w:asciiTheme="minorEastAsia" w:hAnsiTheme="minorEastAsia" w:eastAsiaTheme="minorEastAsia"/>
        </w:rPr>
        <w:t>”</w:t>
      </w:r>
      <w:r>
        <w:rPr>
          <w:rFonts w:hint="eastAsia" w:asciiTheme="minorEastAsia" w:hAnsiTheme="minorEastAsia" w:eastAsiaTheme="minorEastAsia"/>
        </w:rPr>
        <w:t>中规定的任何一项评审标准的；</w:t>
      </w:r>
      <w:r>
        <w:rPr>
          <w:rFonts w:asciiTheme="minorEastAsia" w:hAnsiTheme="minorEastAsia" w:eastAsiaTheme="minorEastAsia"/>
        </w:rPr>
        <w:t xml:space="preserve"> </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B1.5 </w:t>
      </w:r>
      <w:r>
        <w:rPr>
          <w:rFonts w:hint="eastAsia" w:asciiTheme="minorEastAsia" w:hAnsiTheme="minorEastAsia" w:eastAsiaTheme="minorEastAsia"/>
        </w:rPr>
        <w:t>在技术标评审中，评标委员会认定投标人的投标未能通过此项评审的；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B1.6 </w:t>
      </w:r>
      <w:r>
        <w:rPr>
          <w:rFonts w:hint="eastAsia" w:asciiTheme="minorEastAsia" w:hAnsiTheme="minorEastAsia" w:eastAsiaTheme="minorEastAsia"/>
        </w:rPr>
        <w:t>不按第二章投标须知前附表第</w:t>
      </w:r>
      <w:r>
        <w:rPr>
          <w:rFonts w:asciiTheme="minorEastAsia" w:hAnsiTheme="minorEastAsia" w:eastAsiaTheme="minorEastAsia"/>
        </w:rPr>
        <w:t>3.1.1</w:t>
      </w:r>
      <w:r>
        <w:rPr>
          <w:rFonts w:hint="eastAsia" w:asciiTheme="minorEastAsia" w:hAnsiTheme="minorEastAsia" w:eastAsiaTheme="minorEastAsia"/>
        </w:rPr>
        <w:t>条内容提供资料的；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B1.7 </w:t>
      </w:r>
      <w:r>
        <w:rPr>
          <w:rFonts w:hint="eastAsia" w:asciiTheme="minorEastAsia" w:hAnsiTheme="minorEastAsia" w:eastAsiaTheme="minorEastAsia"/>
        </w:rPr>
        <w:t>由委托代理人签字或盖章，但未随投标文件一起提交有效的</w:t>
      </w:r>
      <w:r>
        <w:rPr>
          <w:rFonts w:asciiTheme="minorEastAsia" w:hAnsiTheme="minorEastAsia" w:eastAsiaTheme="minorEastAsia"/>
        </w:rPr>
        <w:t>“</w:t>
      </w:r>
      <w:r>
        <w:rPr>
          <w:rFonts w:hint="eastAsia" w:asciiTheme="minorEastAsia" w:hAnsiTheme="minorEastAsia" w:eastAsiaTheme="minorEastAsia"/>
        </w:rPr>
        <w:t>授权委托书</w:t>
      </w:r>
      <w:r>
        <w:rPr>
          <w:rFonts w:asciiTheme="minorEastAsia" w:hAnsiTheme="minorEastAsia" w:eastAsiaTheme="minorEastAsia"/>
        </w:rPr>
        <w:t>”</w:t>
      </w:r>
      <w:r>
        <w:rPr>
          <w:rFonts w:hint="eastAsia" w:asciiTheme="minorEastAsia" w:hAnsiTheme="minorEastAsia" w:eastAsiaTheme="minorEastAsia"/>
        </w:rPr>
        <w:t>原件的；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B1.8 </w:t>
      </w:r>
      <w:r>
        <w:rPr>
          <w:rFonts w:hint="eastAsia" w:asciiTheme="minorEastAsia" w:hAnsiTheme="minorEastAsia" w:eastAsiaTheme="minorEastAsia"/>
        </w:rPr>
        <w:t>投标文件的关键内容字迹模糊、辨认不清的；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B1.9 </w:t>
      </w:r>
      <w:r>
        <w:rPr>
          <w:rFonts w:hint="eastAsia" w:asciiTheme="minorEastAsia" w:hAnsiTheme="minorEastAsia" w:eastAsiaTheme="minorEastAsia"/>
        </w:rPr>
        <w:t>投标人不接受评标委员会按第三章</w:t>
      </w:r>
      <w:r>
        <w:rPr>
          <w:rFonts w:asciiTheme="minorEastAsia" w:hAnsiTheme="minorEastAsia" w:eastAsiaTheme="minorEastAsia"/>
        </w:rPr>
        <w:t>“</w:t>
      </w:r>
      <w:r>
        <w:rPr>
          <w:rFonts w:hint="eastAsia" w:asciiTheme="minorEastAsia" w:hAnsiTheme="minorEastAsia" w:eastAsiaTheme="minorEastAsia"/>
        </w:rPr>
        <w:t>评标办法</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3.1.3</w:t>
      </w:r>
      <w:r>
        <w:rPr>
          <w:rFonts w:hint="eastAsia" w:asciiTheme="minorEastAsia" w:hAnsiTheme="minorEastAsia" w:eastAsiaTheme="minorEastAsia"/>
        </w:rPr>
        <w:t>条的原则对投标报价进行修正的；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B1.10 </w:t>
      </w:r>
      <w:r>
        <w:rPr>
          <w:rFonts w:hint="eastAsia" w:asciiTheme="minorEastAsia" w:hAnsiTheme="minorEastAsia" w:eastAsiaTheme="minorEastAsia"/>
        </w:rPr>
        <w:t>投标人不具备独立法人资格或作为独立法人资格但就本工程提交一个以上的投标文件的；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B1.11 </w:t>
      </w:r>
      <w:r>
        <w:rPr>
          <w:rFonts w:hint="eastAsia" w:asciiTheme="minorEastAsia" w:hAnsiTheme="minorEastAsia" w:eastAsiaTheme="minorEastAsia"/>
        </w:rPr>
        <w:t>投标人没有提供建设工程项目管理承诺书的；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B1.12 </w:t>
      </w:r>
      <w:r>
        <w:rPr>
          <w:rFonts w:hint="eastAsia" w:asciiTheme="minorEastAsia" w:hAnsiTheme="minorEastAsia" w:eastAsiaTheme="minorEastAsia"/>
        </w:rPr>
        <w:t>投标人采用总价优惠或以总价百分比优惠的方式进行投标报价的；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B1.13 </w:t>
      </w:r>
      <w:r>
        <w:rPr>
          <w:rFonts w:hint="eastAsia" w:asciiTheme="minorEastAsia" w:hAnsiTheme="minorEastAsia" w:eastAsiaTheme="minorEastAsia"/>
        </w:rPr>
        <w:t>安全文明施工费和规费、增值税不按我区费用定额及造价管理相关文件规定报价的；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B1.14 </w:t>
      </w:r>
      <w:r>
        <w:rPr>
          <w:rFonts w:hint="eastAsia" w:asciiTheme="minorEastAsia" w:hAnsiTheme="minorEastAsia" w:eastAsiaTheme="minorEastAsia"/>
        </w:rPr>
        <w:t>投标人已标价工程量清单的项目编码（</w:t>
      </w:r>
      <w:r>
        <w:rPr>
          <w:rFonts w:asciiTheme="minorEastAsia" w:hAnsiTheme="minorEastAsia" w:eastAsiaTheme="minorEastAsia"/>
        </w:rPr>
        <w:t>12</w:t>
      </w:r>
      <w:r>
        <w:rPr>
          <w:rFonts w:hint="eastAsia" w:asciiTheme="minorEastAsia" w:hAnsiTheme="minorEastAsia" w:eastAsiaTheme="minorEastAsia"/>
        </w:rPr>
        <w:t>位）、计量单位、工程量任何一处与招标工程量清单不一致的；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B1.15 </w:t>
      </w:r>
      <w:r>
        <w:rPr>
          <w:rFonts w:hint="eastAsia" w:asciiTheme="minorEastAsia" w:hAnsiTheme="minorEastAsia" w:eastAsiaTheme="minorEastAsia"/>
        </w:rPr>
        <w:t>投标人已标价工程量清单的项目名称或项目特征与招标工程量清单不一致，评标委员会要求澄清、说明或补正，但投标人拒绝澄清、说明或补正的；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B1.16 </w:t>
      </w:r>
      <w:r>
        <w:rPr>
          <w:rFonts w:hint="eastAsia" w:asciiTheme="minorEastAsia" w:hAnsiTheme="minorEastAsia" w:eastAsiaTheme="minorEastAsia"/>
        </w:rPr>
        <w:t>投标函中的总报价与已标价的工程量清单汇总表不一致的；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B1.17 </w:t>
      </w:r>
      <w:r>
        <w:rPr>
          <w:rFonts w:hint="eastAsia" w:asciiTheme="minorEastAsia" w:hAnsiTheme="minorEastAsia" w:eastAsiaTheme="minorEastAsia"/>
        </w:rPr>
        <w:t>设有暂估价、暂列金额的，投标时未按招标人工程量清单给出的暂估价总价、暂列金额总价计入投标总报价中的；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B1.18 </w:t>
      </w:r>
      <w:r>
        <w:rPr>
          <w:rFonts w:hint="eastAsia" w:asciiTheme="minorEastAsia" w:hAnsiTheme="minorEastAsia" w:eastAsiaTheme="minorEastAsia"/>
        </w:rPr>
        <w:t>投标文件实质上没有响应招标文件的要求的；</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 xml:space="preserve">B1.19 </w:t>
      </w:r>
      <w:r>
        <w:rPr>
          <w:rFonts w:hint="eastAsia" w:asciiTheme="minorEastAsia" w:hAnsiTheme="minorEastAsia" w:eastAsiaTheme="minorEastAsia"/>
        </w:rPr>
        <w:t>法规规定的其他否决投标条款。</w:t>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B1.20 …</w:t>
      </w:r>
    </w:p>
    <w:p>
      <w:pPr>
        <w:pStyle w:val="99"/>
        <w:spacing w:line="560" w:lineRule="exact"/>
        <w:ind w:firstLine="422" w:firstLineChars="200"/>
        <w:rPr>
          <w:rFonts w:asciiTheme="minorEastAsia" w:hAnsiTheme="minorEastAsia" w:eastAsiaTheme="minorEastAsia"/>
          <w:b/>
        </w:rPr>
      </w:pPr>
      <w:r>
        <w:rPr>
          <w:rFonts w:hint="eastAsia" w:asciiTheme="minorEastAsia" w:hAnsiTheme="minorEastAsia" w:eastAsiaTheme="minorEastAsia"/>
          <w:b/>
        </w:rPr>
        <w:t>备注：</w:t>
      </w: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、如果工程所在地招投标监督管理部门要求评标委员会对判定为否决投标的投标文件说明否决投标情况的，应增加</w:t>
      </w:r>
      <w:r>
        <w:rPr>
          <w:rFonts w:asciiTheme="minorEastAsia" w:hAnsiTheme="minorEastAsia" w:eastAsiaTheme="minorEastAsia"/>
        </w:rPr>
        <w:t>“</w:t>
      </w:r>
      <w:r>
        <w:rPr>
          <w:rFonts w:hint="eastAsia" w:asciiTheme="minorEastAsia" w:hAnsiTheme="minorEastAsia" w:eastAsiaTheme="minorEastAsia"/>
        </w:rPr>
        <w:t>否决投标情况说明表</w:t>
      </w:r>
      <w:r>
        <w:rPr>
          <w:rFonts w:asciiTheme="minorEastAsia" w:hAnsiTheme="minorEastAsia" w:eastAsiaTheme="minorEastAsia"/>
        </w:rPr>
        <w:t>”</w:t>
      </w:r>
      <w:r>
        <w:rPr>
          <w:rFonts w:hint="eastAsia" w:asciiTheme="minorEastAsia" w:hAnsiTheme="minorEastAsia" w:eastAsiaTheme="minorEastAsia"/>
        </w:rPr>
        <w:t>格式，否决投标情况说明应当对照招标文件规定的否决投标条件以及投标文件存在的具体问题，并在中标候选人公示时予以公开。</w:t>
      </w:r>
    </w:p>
    <w:p>
      <w:pPr>
        <w:pStyle w:val="99"/>
        <w:spacing w:line="560" w:lineRule="exact"/>
        <w:ind w:firstLine="420" w:firstLineChars="200"/>
        <w:jc w:val="left"/>
        <w:rPr>
          <w:rFonts w:asciiTheme="minorEastAsia" w:hAnsiTheme="minorEastAsia" w:eastAsiaTheme="minorEastAsia"/>
        </w:rPr>
        <w:sectPr>
          <w:pgSz w:w="11907" w:h="16840"/>
          <w:pgMar w:top="1440" w:right="1290" w:bottom="1440" w:left="1377" w:header="851" w:footer="851" w:gutter="0"/>
          <w:cols w:space="720" w:num="1"/>
          <w:docGrid w:linePitch="312" w:charSpace="0"/>
        </w:sectPr>
      </w:pPr>
      <w:r>
        <w:rPr>
          <w:rFonts w:asciiTheme="minorEastAsia" w:hAnsiTheme="minorEastAsia" w:eastAsiaTheme="minorEastAsia"/>
        </w:rPr>
        <w:t>2</w:t>
      </w:r>
      <w:r>
        <w:rPr>
          <w:rFonts w:hint="eastAsia" w:asciiTheme="minorEastAsia" w:hAnsiTheme="minorEastAsia" w:eastAsiaTheme="minorEastAsia"/>
        </w:rPr>
        <w:t>、招标人可根据招标项目实际情况对上述否决投标情况进行调整，但不应与第二章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和本章正文部分包括的否决投标条件抵触，如果出现相互矛盾的情况，以第二章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和本章正文部分的规定为准</w:t>
      </w:r>
    </w:p>
    <w:p>
      <w:pPr>
        <w:spacing w:line="560" w:lineRule="exact"/>
        <w:ind w:firstLine="422" w:firstLineChars="200"/>
        <w:rPr>
          <w:rFonts w:asciiTheme="minorEastAsia" w:hAnsiTheme="minorEastAsia" w:eastAsiaTheme="minorEastAsia"/>
          <w:b/>
        </w:rPr>
      </w:pP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w:t>
      </w:r>
      <w:r>
        <w:rPr>
          <w:rFonts w:asciiTheme="minorEastAsia" w:hAnsiTheme="minorEastAsia" w:eastAsiaTheme="minorEastAsia"/>
          <w:b/>
        </w:rPr>
        <w:t>1</w:t>
      </w:r>
      <w:r>
        <w:rPr>
          <w:rFonts w:hint="eastAsia" w:asciiTheme="minorEastAsia" w:hAnsiTheme="minorEastAsia" w:eastAsiaTheme="minorEastAsia"/>
          <w:b/>
        </w:rPr>
        <w:t>：开标记录表</w:t>
      </w:r>
    </w:p>
    <w:p>
      <w:pPr>
        <w:adjustRightInd w:val="0"/>
        <w:snapToGrid w:val="0"/>
        <w:spacing w:line="560" w:lineRule="exact"/>
        <w:ind w:firstLine="560" w:firstLineChars="2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开标记录表</w:t>
      </w:r>
    </w:p>
    <w:p>
      <w:pPr>
        <w:adjustRightInd w:val="0"/>
        <w:snapToGrid w:val="0"/>
        <w:spacing w:line="560" w:lineRule="exact"/>
        <w:ind w:firstLine="560" w:firstLineChars="200"/>
        <w:jc w:val="center"/>
        <w:rPr>
          <w:rFonts w:asciiTheme="minorEastAsia" w:hAnsiTheme="minorEastAsia" w:eastAsiaTheme="minorEastAsia"/>
          <w:sz w:val="28"/>
          <w:szCs w:val="28"/>
        </w:rPr>
      </w:pP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开标时间：</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adjustRightInd w:val="0"/>
        <w:snapToGrid w:val="0"/>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招标人：</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招标代理机构：</w:t>
      </w:r>
      <w:r>
        <w:rPr>
          <w:rFonts w:asciiTheme="minorEastAsia" w:hAnsiTheme="minorEastAsia" w:eastAsiaTheme="minorEastAsia"/>
          <w:u w:val="single"/>
        </w:rPr>
        <w:t xml:space="preserve">                                  </w:t>
      </w:r>
    </w:p>
    <w:tbl>
      <w:tblPr>
        <w:tblStyle w:val="38"/>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060"/>
        <w:gridCol w:w="1064"/>
        <w:gridCol w:w="720"/>
        <w:gridCol w:w="1236"/>
        <w:gridCol w:w="81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497" w:type="dxa"/>
            <w:vAlign w:val="center"/>
          </w:tcPr>
          <w:p>
            <w:pPr>
              <w:jc w:val="center"/>
            </w:pPr>
            <w:r>
              <w:t>序号</w:t>
            </w:r>
          </w:p>
        </w:tc>
        <w:tc>
          <w:tcPr>
            <w:tcW w:w="1980" w:type="dxa"/>
            <w:vAlign w:val="center"/>
          </w:tcPr>
          <w:p>
            <w:pPr>
              <w:jc w:val="center"/>
            </w:pPr>
            <w:r>
              <w:t>投标单位</w:t>
            </w:r>
          </w:p>
        </w:tc>
        <w:tc>
          <w:tcPr>
            <w:tcW w:w="900" w:type="dxa"/>
            <w:vAlign w:val="center"/>
          </w:tcPr>
          <w:p>
            <w:pPr>
              <w:jc w:val="center"/>
            </w:pPr>
            <w:r>
              <w:t>是否按时递交投标文件</w:t>
            </w:r>
          </w:p>
        </w:tc>
        <w:tc>
          <w:tcPr>
            <w:tcW w:w="1080" w:type="dxa"/>
            <w:vAlign w:val="center"/>
          </w:tcPr>
          <w:p>
            <w:pPr>
              <w:jc w:val="center"/>
            </w:pPr>
            <w:r>
              <w:t>投标文件密封性</w:t>
            </w:r>
          </w:p>
        </w:tc>
        <w:tc>
          <w:tcPr>
            <w:tcW w:w="900" w:type="dxa"/>
            <w:vAlign w:val="center"/>
          </w:tcPr>
          <w:p>
            <w:pPr>
              <w:jc w:val="center"/>
            </w:pPr>
            <w:r>
              <w:t>资格证件是否有效</w:t>
            </w:r>
          </w:p>
        </w:tc>
        <w:tc>
          <w:tcPr>
            <w:tcW w:w="1260" w:type="dxa"/>
            <w:vAlign w:val="center"/>
          </w:tcPr>
          <w:p>
            <w:pPr>
              <w:jc w:val="center"/>
            </w:pPr>
            <w:r>
              <w:t>投标文件是否有效</w:t>
            </w:r>
          </w:p>
        </w:tc>
        <w:tc>
          <w:tcPr>
            <w:tcW w:w="1080" w:type="dxa"/>
            <w:vAlign w:val="center"/>
          </w:tcPr>
          <w:p>
            <w:pPr>
              <w:jc w:val="center"/>
            </w:pPr>
            <w:r>
              <w:t>提交的投标保证金（万元）</w:t>
            </w:r>
          </w:p>
        </w:tc>
        <w:tc>
          <w:tcPr>
            <w:tcW w:w="1060" w:type="dxa"/>
            <w:vAlign w:val="center"/>
          </w:tcPr>
          <w:p>
            <w:pPr>
              <w:jc w:val="center"/>
            </w:pPr>
            <w:r>
              <w:t>投标总报价（元）</w:t>
            </w:r>
          </w:p>
        </w:tc>
        <w:tc>
          <w:tcPr>
            <w:tcW w:w="1064" w:type="dxa"/>
            <w:vAlign w:val="center"/>
          </w:tcPr>
          <w:p>
            <w:pPr>
              <w:jc w:val="center"/>
            </w:pPr>
            <w:r>
              <w:t>自报工期（日历天）</w:t>
            </w:r>
          </w:p>
        </w:tc>
        <w:tc>
          <w:tcPr>
            <w:tcW w:w="720" w:type="dxa"/>
            <w:vAlign w:val="center"/>
          </w:tcPr>
          <w:p>
            <w:pPr>
              <w:jc w:val="center"/>
            </w:pPr>
            <w:r>
              <w:t>自报质量等级</w:t>
            </w:r>
          </w:p>
        </w:tc>
        <w:tc>
          <w:tcPr>
            <w:tcW w:w="1236" w:type="dxa"/>
            <w:vAlign w:val="center"/>
          </w:tcPr>
          <w:p>
            <w:pPr>
              <w:jc w:val="center"/>
            </w:pPr>
            <w:r>
              <w:rPr>
                <w:rFonts w:hint="eastAsia"/>
              </w:rPr>
              <w:t>....</w:t>
            </w:r>
            <w:r>
              <w:t>（根据投标报价表内容增减）</w:t>
            </w:r>
          </w:p>
        </w:tc>
        <w:tc>
          <w:tcPr>
            <w:tcW w:w="814" w:type="dxa"/>
            <w:vAlign w:val="center"/>
          </w:tcPr>
          <w:p>
            <w:pPr>
              <w:jc w:val="center"/>
            </w:pPr>
            <w:r>
              <w:t>备注</w:t>
            </w:r>
          </w:p>
        </w:tc>
        <w:tc>
          <w:tcPr>
            <w:tcW w:w="1283" w:type="dxa"/>
            <w:vAlign w:val="center"/>
          </w:tcPr>
          <w:p>
            <w:pPr>
              <w:jc w:val="center"/>
            </w:pPr>
            <w:r>
              <w:t>投标人法定代表人或专职投标员签字确认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560" w:lineRule="exact"/>
              <w:ind w:firstLine="420" w:firstLineChars="200"/>
              <w:jc w:val="center"/>
              <w:rPr>
                <w:rFonts w:asciiTheme="minorEastAsia" w:hAnsiTheme="minorEastAsia" w:eastAsiaTheme="minorEastAsia"/>
              </w:rPr>
            </w:pPr>
            <w:r>
              <w:rPr>
                <w:rFonts w:asciiTheme="minorEastAsia" w:hAnsiTheme="minorEastAsia" w:eastAsiaTheme="minorEastAsia"/>
              </w:rPr>
              <w:t>1</w:t>
            </w:r>
          </w:p>
        </w:tc>
        <w:tc>
          <w:tcPr>
            <w:tcW w:w="19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26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1060" w:type="dxa"/>
            <w:vAlign w:val="center"/>
          </w:tcPr>
          <w:p>
            <w:pPr>
              <w:spacing w:line="560" w:lineRule="exact"/>
              <w:ind w:firstLine="420" w:firstLineChars="200"/>
              <w:jc w:val="center"/>
              <w:rPr>
                <w:rFonts w:asciiTheme="minorEastAsia" w:hAnsiTheme="minorEastAsia" w:eastAsiaTheme="minorEastAsia"/>
              </w:rPr>
            </w:pPr>
          </w:p>
        </w:tc>
        <w:tc>
          <w:tcPr>
            <w:tcW w:w="1064" w:type="dxa"/>
            <w:vAlign w:val="center"/>
          </w:tcPr>
          <w:p>
            <w:pPr>
              <w:spacing w:line="560" w:lineRule="exact"/>
              <w:ind w:firstLine="420" w:firstLineChars="200"/>
              <w:jc w:val="center"/>
              <w:rPr>
                <w:rFonts w:asciiTheme="minorEastAsia" w:hAnsiTheme="minorEastAsia" w:eastAsiaTheme="minorEastAsia"/>
              </w:rPr>
            </w:pPr>
          </w:p>
        </w:tc>
        <w:tc>
          <w:tcPr>
            <w:tcW w:w="720" w:type="dxa"/>
            <w:vAlign w:val="center"/>
          </w:tcPr>
          <w:p>
            <w:pPr>
              <w:spacing w:line="560" w:lineRule="exact"/>
              <w:ind w:firstLine="420" w:firstLineChars="200"/>
              <w:jc w:val="center"/>
              <w:rPr>
                <w:rFonts w:asciiTheme="minorEastAsia" w:hAnsiTheme="minorEastAsia" w:eastAsiaTheme="minorEastAsia"/>
              </w:rPr>
            </w:pPr>
          </w:p>
        </w:tc>
        <w:tc>
          <w:tcPr>
            <w:tcW w:w="1236" w:type="dxa"/>
            <w:vAlign w:val="center"/>
          </w:tcPr>
          <w:p>
            <w:pPr>
              <w:spacing w:line="560" w:lineRule="exact"/>
              <w:ind w:firstLine="420" w:firstLineChars="200"/>
              <w:jc w:val="center"/>
              <w:rPr>
                <w:rFonts w:asciiTheme="minorEastAsia" w:hAnsiTheme="minorEastAsia" w:eastAsiaTheme="minorEastAsia"/>
              </w:rPr>
            </w:pPr>
          </w:p>
        </w:tc>
        <w:tc>
          <w:tcPr>
            <w:tcW w:w="814" w:type="dxa"/>
            <w:vAlign w:val="center"/>
          </w:tcPr>
          <w:p>
            <w:pPr>
              <w:spacing w:line="560" w:lineRule="exact"/>
              <w:ind w:firstLine="420" w:firstLineChars="200"/>
              <w:jc w:val="center"/>
              <w:rPr>
                <w:rFonts w:asciiTheme="minorEastAsia" w:hAnsiTheme="minorEastAsia" w:eastAsiaTheme="minorEastAsia"/>
              </w:rPr>
            </w:pPr>
          </w:p>
        </w:tc>
        <w:tc>
          <w:tcPr>
            <w:tcW w:w="1283" w:type="dxa"/>
            <w:vAlign w:val="center"/>
          </w:tcPr>
          <w:p>
            <w:pPr>
              <w:spacing w:line="560" w:lineRule="exact"/>
              <w:ind w:firstLine="420" w:firstLineChars="20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560" w:lineRule="exact"/>
              <w:ind w:firstLine="420" w:firstLineChars="200"/>
              <w:jc w:val="center"/>
              <w:rPr>
                <w:rFonts w:asciiTheme="minorEastAsia" w:hAnsiTheme="minorEastAsia" w:eastAsiaTheme="minorEastAsia"/>
              </w:rPr>
            </w:pPr>
            <w:r>
              <w:rPr>
                <w:rFonts w:asciiTheme="minorEastAsia" w:hAnsiTheme="minorEastAsia" w:eastAsiaTheme="minorEastAsia"/>
              </w:rPr>
              <w:t>2</w:t>
            </w:r>
          </w:p>
        </w:tc>
        <w:tc>
          <w:tcPr>
            <w:tcW w:w="19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26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1060" w:type="dxa"/>
            <w:vAlign w:val="center"/>
          </w:tcPr>
          <w:p>
            <w:pPr>
              <w:spacing w:line="560" w:lineRule="exact"/>
              <w:ind w:firstLine="420" w:firstLineChars="200"/>
              <w:jc w:val="center"/>
              <w:rPr>
                <w:rFonts w:asciiTheme="minorEastAsia" w:hAnsiTheme="minorEastAsia" w:eastAsiaTheme="minorEastAsia"/>
              </w:rPr>
            </w:pPr>
          </w:p>
        </w:tc>
        <w:tc>
          <w:tcPr>
            <w:tcW w:w="1064" w:type="dxa"/>
            <w:vAlign w:val="center"/>
          </w:tcPr>
          <w:p>
            <w:pPr>
              <w:spacing w:line="560" w:lineRule="exact"/>
              <w:ind w:firstLine="420" w:firstLineChars="200"/>
              <w:jc w:val="center"/>
              <w:rPr>
                <w:rFonts w:asciiTheme="minorEastAsia" w:hAnsiTheme="minorEastAsia" w:eastAsiaTheme="minorEastAsia"/>
              </w:rPr>
            </w:pPr>
          </w:p>
        </w:tc>
        <w:tc>
          <w:tcPr>
            <w:tcW w:w="720" w:type="dxa"/>
            <w:vAlign w:val="center"/>
          </w:tcPr>
          <w:p>
            <w:pPr>
              <w:spacing w:line="560" w:lineRule="exact"/>
              <w:ind w:firstLine="420" w:firstLineChars="200"/>
              <w:jc w:val="center"/>
              <w:rPr>
                <w:rFonts w:asciiTheme="minorEastAsia" w:hAnsiTheme="minorEastAsia" w:eastAsiaTheme="minorEastAsia"/>
              </w:rPr>
            </w:pPr>
          </w:p>
        </w:tc>
        <w:tc>
          <w:tcPr>
            <w:tcW w:w="1236" w:type="dxa"/>
            <w:vAlign w:val="center"/>
          </w:tcPr>
          <w:p>
            <w:pPr>
              <w:spacing w:line="560" w:lineRule="exact"/>
              <w:ind w:firstLine="420" w:firstLineChars="200"/>
              <w:jc w:val="center"/>
              <w:rPr>
                <w:rFonts w:asciiTheme="minorEastAsia" w:hAnsiTheme="minorEastAsia" w:eastAsiaTheme="minorEastAsia"/>
              </w:rPr>
            </w:pPr>
          </w:p>
        </w:tc>
        <w:tc>
          <w:tcPr>
            <w:tcW w:w="814" w:type="dxa"/>
            <w:vAlign w:val="center"/>
          </w:tcPr>
          <w:p>
            <w:pPr>
              <w:spacing w:line="560" w:lineRule="exact"/>
              <w:ind w:firstLine="420" w:firstLineChars="200"/>
              <w:jc w:val="center"/>
              <w:rPr>
                <w:rFonts w:asciiTheme="minorEastAsia" w:hAnsiTheme="minorEastAsia" w:eastAsiaTheme="minorEastAsia"/>
              </w:rPr>
            </w:pPr>
          </w:p>
        </w:tc>
        <w:tc>
          <w:tcPr>
            <w:tcW w:w="1283" w:type="dxa"/>
            <w:vAlign w:val="center"/>
          </w:tcPr>
          <w:p>
            <w:pPr>
              <w:spacing w:line="560" w:lineRule="exact"/>
              <w:ind w:firstLine="420" w:firstLineChars="20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560" w:lineRule="exact"/>
              <w:ind w:firstLine="420" w:firstLineChars="200"/>
              <w:jc w:val="center"/>
              <w:rPr>
                <w:rFonts w:asciiTheme="minorEastAsia" w:hAnsiTheme="minorEastAsia" w:eastAsiaTheme="minorEastAsia"/>
              </w:rPr>
            </w:pPr>
            <w:r>
              <w:rPr>
                <w:rFonts w:asciiTheme="minorEastAsia" w:hAnsiTheme="minorEastAsia" w:eastAsiaTheme="minorEastAsia"/>
              </w:rPr>
              <w:t>3</w:t>
            </w:r>
          </w:p>
        </w:tc>
        <w:tc>
          <w:tcPr>
            <w:tcW w:w="19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26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1060" w:type="dxa"/>
            <w:vAlign w:val="center"/>
          </w:tcPr>
          <w:p>
            <w:pPr>
              <w:spacing w:line="560" w:lineRule="exact"/>
              <w:ind w:firstLine="420" w:firstLineChars="200"/>
              <w:jc w:val="center"/>
              <w:rPr>
                <w:rFonts w:asciiTheme="minorEastAsia" w:hAnsiTheme="minorEastAsia" w:eastAsiaTheme="minorEastAsia"/>
              </w:rPr>
            </w:pPr>
          </w:p>
        </w:tc>
        <w:tc>
          <w:tcPr>
            <w:tcW w:w="1064" w:type="dxa"/>
            <w:vAlign w:val="center"/>
          </w:tcPr>
          <w:p>
            <w:pPr>
              <w:spacing w:line="560" w:lineRule="exact"/>
              <w:ind w:firstLine="420" w:firstLineChars="200"/>
              <w:jc w:val="center"/>
              <w:rPr>
                <w:rFonts w:asciiTheme="minorEastAsia" w:hAnsiTheme="minorEastAsia" w:eastAsiaTheme="minorEastAsia"/>
              </w:rPr>
            </w:pPr>
          </w:p>
        </w:tc>
        <w:tc>
          <w:tcPr>
            <w:tcW w:w="720" w:type="dxa"/>
            <w:vAlign w:val="center"/>
          </w:tcPr>
          <w:p>
            <w:pPr>
              <w:spacing w:line="560" w:lineRule="exact"/>
              <w:ind w:firstLine="420" w:firstLineChars="200"/>
              <w:jc w:val="center"/>
              <w:rPr>
                <w:rFonts w:asciiTheme="minorEastAsia" w:hAnsiTheme="minorEastAsia" w:eastAsiaTheme="minorEastAsia"/>
              </w:rPr>
            </w:pPr>
          </w:p>
        </w:tc>
        <w:tc>
          <w:tcPr>
            <w:tcW w:w="1236" w:type="dxa"/>
            <w:vAlign w:val="center"/>
          </w:tcPr>
          <w:p>
            <w:pPr>
              <w:spacing w:line="560" w:lineRule="exact"/>
              <w:ind w:firstLine="420" w:firstLineChars="200"/>
              <w:jc w:val="center"/>
              <w:rPr>
                <w:rFonts w:asciiTheme="minorEastAsia" w:hAnsiTheme="minorEastAsia" w:eastAsiaTheme="minorEastAsia"/>
              </w:rPr>
            </w:pPr>
          </w:p>
        </w:tc>
        <w:tc>
          <w:tcPr>
            <w:tcW w:w="814" w:type="dxa"/>
            <w:vAlign w:val="center"/>
          </w:tcPr>
          <w:p>
            <w:pPr>
              <w:spacing w:line="560" w:lineRule="exact"/>
              <w:ind w:firstLine="420" w:firstLineChars="200"/>
              <w:jc w:val="center"/>
              <w:rPr>
                <w:rFonts w:asciiTheme="minorEastAsia" w:hAnsiTheme="minorEastAsia" w:eastAsiaTheme="minorEastAsia"/>
              </w:rPr>
            </w:pPr>
          </w:p>
        </w:tc>
        <w:tc>
          <w:tcPr>
            <w:tcW w:w="1283" w:type="dxa"/>
            <w:vAlign w:val="center"/>
          </w:tcPr>
          <w:p>
            <w:pPr>
              <w:spacing w:line="560" w:lineRule="exact"/>
              <w:ind w:firstLine="420" w:firstLineChars="20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560" w:lineRule="exact"/>
              <w:ind w:firstLine="420" w:firstLineChars="200"/>
              <w:jc w:val="center"/>
              <w:rPr>
                <w:rFonts w:asciiTheme="minorEastAsia" w:hAnsiTheme="minorEastAsia" w:eastAsiaTheme="minorEastAsia"/>
              </w:rPr>
            </w:pPr>
            <w:r>
              <w:rPr>
                <w:rFonts w:asciiTheme="minorEastAsia" w:hAnsiTheme="minorEastAsia" w:eastAsiaTheme="minorEastAsia"/>
              </w:rPr>
              <w:t>4</w:t>
            </w:r>
          </w:p>
        </w:tc>
        <w:tc>
          <w:tcPr>
            <w:tcW w:w="19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26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1060" w:type="dxa"/>
            <w:vAlign w:val="center"/>
          </w:tcPr>
          <w:p>
            <w:pPr>
              <w:spacing w:line="560" w:lineRule="exact"/>
              <w:ind w:firstLine="420" w:firstLineChars="200"/>
              <w:jc w:val="center"/>
              <w:rPr>
                <w:rFonts w:asciiTheme="minorEastAsia" w:hAnsiTheme="minorEastAsia" w:eastAsiaTheme="minorEastAsia"/>
              </w:rPr>
            </w:pPr>
          </w:p>
        </w:tc>
        <w:tc>
          <w:tcPr>
            <w:tcW w:w="1064" w:type="dxa"/>
            <w:vAlign w:val="center"/>
          </w:tcPr>
          <w:p>
            <w:pPr>
              <w:spacing w:line="560" w:lineRule="exact"/>
              <w:ind w:firstLine="420" w:firstLineChars="200"/>
              <w:jc w:val="center"/>
              <w:rPr>
                <w:rFonts w:asciiTheme="minorEastAsia" w:hAnsiTheme="minorEastAsia" w:eastAsiaTheme="minorEastAsia"/>
              </w:rPr>
            </w:pPr>
          </w:p>
        </w:tc>
        <w:tc>
          <w:tcPr>
            <w:tcW w:w="720" w:type="dxa"/>
            <w:vAlign w:val="center"/>
          </w:tcPr>
          <w:p>
            <w:pPr>
              <w:spacing w:line="560" w:lineRule="exact"/>
              <w:ind w:firstLine="420" w:firstLineChars="200"/>
              <w:jc w:val="center"/>
              <w:rPr>
                <w:rFonts w:asciiTheme="minorEastAsia" w:hAnsiTheme="minorEastAsia" w:eastAsiaTheme="minorEastAsia"/>
              </w:rPr>
            </w:pPr>
          </w:p>
        </w:tc>
        <w:tc>
          <w:tcPr>
            <w:tcW w:w="1236" w:type="dxa"/>
            <w:vAlign w:val="center"/>
          </w:tcPr>
          <w:p>
            <w:pPr>
              <w:spacing w:line="560" w:lineRule="exact"/>
              <w:ind w:firstLine="420" w:firstLineChars="200"/>
              <w:jc w:val="center"/>
              <w:rPr>
                <w:rFonts w:asciiTheme="minorEastAsia" w:hAnsiTheme="minorEastAsia" w:eastAsiaTheme="minorEastAsia"/>
              </w:rPr>
            </w:pPr>
          </w:p>
        </w:tc>
        <w:tc>
          <w:tcPr>
            <w:tcW w:w="814" w:type="dxa"/>
            <w:vAlign w:val="center"/>
          </w:tcPr>
          <w:p>
            <w:pPr>
              <w:spacing w:line="560" w:lineRule="exact"/>
              <w:ind w:firstLine="420" w:firstLineChars="200"/>
              <w:jc w:val="center"/>
              <w:rPr>
                <w:rFonts w:asciiTheme="minorEastAsia" w:hAnsiTheme="minorEastAsia" w:eastAsiaTheme="minorEastAsia"/>
              </w:rPr>
            </w:pPr>
          </w:p>
        </w:tc>
        <w:tc>
          <w:tcPr>
            <w:tcW w:w="1283" w:type="dxa"/>
            <w:vAlign w:val="center"/>
          </w:tcPr>
          <w:p>
            <w:pPr>
              <w:spacing w:line="560" w:lineRule="exact"/>
              <w:ind w:firstLine="420" w:firstLineChars="20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vAlign w:val="center"/>
          </w:tcPr>
          <w:p>
            <w:pPr>
              <w:spacing w:line="560" w:lineRule="exact"/>
              <w:ind w:firstLine="420" w:firstLineChars="200"/>
              <w:jc w:val="center"/>
              <w:rPr>
                <w:rFonts w:asciiTheme="minorEastAsia" w:hAnsiTheme="minorEastAsia" w:eastAsiaTheme="minorEastAsia"/>
              </w:rPr>
            </w:pPr>
            <w:r>
              <w:rPr>
                <w:rFonts w:asciiTheme="minorEastAsia" w:hAnsiTheme="minorEastAsia" w:eastAsiaTheme="minorEastAsia"/>
              </w:rPr>
              <w:t>7</w:t>
            </w:r>
          </w:p>
        </w:tc>
        <w:tc>
          <w:tcPr>
            <w:tcW w:w="19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900" w:type="dxa"/>
            <w:vAlign w:val="center"/>
          </w:tcPr>
          <w:p>
            <w:pPr>
              <w:spacing w:line="560" w:lineRule="exact"/>
              <w:ind w:firstLine="420" w:firstLineChars="200"/>
              <w:jc w:val="center"/>
              <w:rPr>
                <w:rFonts w:asciiTheme="minorEastAsia" w:hAnsiTheme="minorEastAsia" w:eastAsiaTheme="minorEastAsia"/>
              </w:rPr>
            </w:pPr>
          </w:p>
        </w:tc>
        <w:tc>
          <w:tcPr>
            <w:tcW w:w="1260" w:type="dxa"/>
            <w:vAlign w:val="center"/>
          </w:tcPr>
          <w:p>
            <w:pPr>
              <w:spacing w:line="560" w:lineRule="exact"/>
              <w:ind w:firstLine="420" w:firstLineChars="200"/>
              <w:jc w:val="center"/>
              <w:rPr>
                <w:rFonts w:asciiTheme="minorEastAsia" w:hAnsiTheme="minorEastAsia" w:eastAsiaTheme="minorEastAsia"/>
              </w:rPr>
            </w:pPr>
          </w:p>
        </w:tc>
        <w:tc>
          <w:tcPr>
            <w:tcW w:w="1080" w:type="dxa"/>
            <w:vAlign w:val="center"/>
          </w:tcPr>
          <w:p>
            <w:pPr>
              <w:spacing w:line="560" w:lineRule="exact"/>
              <w:ind w:firstLine="420" w:firstLineChars="200"/>
              <w:jc w:val="center"/>
              <w:rPr>
                <w:rFonts w:asciiTheme="minorEastAsia" w:hAnsiTheme="minorEastAsia" w:eastAsiaTheme="minorEastAsia"/>
              </w:rPr>
            </w:pPr>
          </w:p>
        </w:tc>
        <w:tc>
          <w:tcPr>
            <w:tcW w:w="1060" w:type="dxa"/>
            <w:vAlign w:val="center"/>
          </w:tcPr>
          <w:p>
            <w:pPr>
              <w:spacing w:line="560" w:lineRule="exact"/>
              <w:ind w:firstLine="420" w:firstLineChars="200"/>
              <w:jc w:val="center"/>
              <w:rPr>
                <w:rFonts w:asciiTheme="minorEastAsia" w:hAnsiTheme="minorEastAsia" w:eastAsiaTheme="minorEastAsia"/>
              </w:rPr>
            </w:pPr>
          </w:p>
        </w:tc>
        <w:tc>
          <w:tcPr>
            <w:tcW w:w="1064" w:type="dxa"/>
            <w:vAlign w:val="center"/>
          </w:tcPr>
          <w:p>
            <w:pPr>
              <w:spacing w:line="560" w:lineRule="exact"/>
              <w:ind w:firstLine="420" w:firstLineChars="200"/>
              <w:jc w:val="center"/>
              <w:rPr>
                <w:rFonts w:asciiTheme="minorEastAsia" w:hAnsiTheme="minorEastAsia" w:eastAsiaTheme="minorEastAsia"/>
              </w:rPr>
            </w:pPr>
          </w:p>
        </w:tc>
        <w:tc>
          <w:tcPr>
            <w:tcW w:w="720" w:type="dxa"/>
            <w:vAlign w:val="center"/>
          </w:tcPr>
          <w:p>
            <w:pPr>
              <w:spacing w:line="560" w:lineRule="exact"/>
              <w:ind w:firstLine="420" w:firstLineChars="200"/>
              <w:jc w:val="center"/>
              <w:rPr>
                <w:rFonts w:asciiTheme="minorEastAsia" w:hAnsiTheme="minorEastAsia" w:eastAsiaTheme="minorEastAsia"/>
              </w:rPr>
            </w:pPr>
          </w:p>
        </w:tc>
        <w:tc>
          <w:tcPr>
            <w:tcW w:w="1236" w:type="dxa"/>
            <w:vAlign w:val="center"/>
          </w:tcPr>
          <w:p>
            <w:pPr>
              <w:spacing w:line="560" w:lineRule="exact"/>
              <w:ind w:firstLine="420" w:firstLineChars="200"/>
              <w:jc w:val="center"/>
              <w:rPr>
                <w:rFonts w:asciiTheme="minorEastAsia" w:hAnsiTheme="minorEastAsia" w:eastAsiaTheme="minorEastAsia"/>
              </w:rPr>
            </w:pPr>
          </w:p>
        </w:tc>
        <w:tc>
          <w:tcPr>
            <w:tcW w:w="814" w:type="dxa"/>
            <w:vAlign w:val="center"/>
          </w:tcPr>
          <w:p>
            <w:pPr>
              <w:spacing w:line="560" w:lineRule="exact"/>
              <w:ind w:firstLine="420" w:firstLineChars="200"/>
              <w:jc w:val="center"/>
              <w:rPr>
                <w:rFonts w:asciiTheme="minorEastAsia" w:hAnsiTheme="minorEastAsia" w:eastAsiaTheme="minorEastAsia"/>
              </w:rPr>
            </w:pPr>
          </w:p>
        </w:tc>
        <w:tc>
          <w:tcPr>
            <w:tcW w:w="1283" w:type="dxa"/>
            <w:vAlign w:val="center"/>
          </w:tcPr>
          <w:p>
            <w:pPr>
              <w:spacing w:line="560" w:lineRule="exact"/>
              <w:ind w:firstLine="420" w:firstLineChars="200"/>
              <w:jc w:val="center"/>
              <w:rPr>
                <w:rFonts w:asciiTheme="minorEastAsia" w:hAnsiTheme="minorEastAsia" w:eastAsiaTheme="minorEastAsia"/>
              </w:rPr>
            </w:pPr>
          </w:p>
        </w:tc>
      </w:tr>
    </w:tbl>
    <w:p>
      <w:pPr>
        <w:spacing w:line="560" w:lineRule="exact"/>
        <w:ind w:firstLine="420" w:firstLineChars="200"/>
        <w:rPr>
          <w:rFonts w:asciiTheme="minorEastAsia" w:hAnsiTheme="minorEastAsia" w:eastAsiaTheme="minorEastAsia"/>
          <w:szCs w:val="44"/>
        </w:rPr>
      </w:pPr>
      <w:r>
        <w:rPr>
          <w:rFonts w:hint="eastAsia" w:asciiTheme="minorEastAsia" w:hAnsiTheme="minorEastAsia" w:eastAsiaTheme="minorEastAsia"/>
          <w:szCs w:val="44"/>
        </w:rPr>
        <w:t>招标人授权代表（签字）：</w:t>
      </w:r>
      <w:r>
        <w:rPr>
          <w:rFonts w:asciiTheme="minorEastAsia" w:hAnsiTheme="minorEastAsia" w:eastAsiaTheme="minorEastAsia"/>
          <w:szCs w:val="44"/>
        </w:rPr>
        <w:t xml:space="preserve">                            </w:t>
      </w:r>
      <w:r>
        <w:rPr>
          <w:rFonts w:hint="eastAsia" w:asciiTheme="minorEastAsia" w:hAnsiTheme="minorEastAsia" w:eastAsiaTheme="minorEastAsia"/>
          <w:szCs w:val="44"/>
        </w:rPr>
        <w:t>记录人（签字）：</w:t>
      </w:r>
      <w:r>
        <w:rPr>
          <w:rFonts w:asciiTheme="minorEastAsia" w:hAnsiTheme="minorEastAsia" w:eastAsiaTheme="minorEastAsia"/>
          <w:szCs w:val="44"/>
        </w:rPr>
        <w:t xml:space="preserve">                             </w:t>
      </w:r>
      <w:r>
        <w:rPr>
          <w:rFonts w:hint="eastAsia" w:asciiTheme="minorEastAsia" w:hAnsiTheme="minorEastAsia" w:eastAsiaTheme="minorEastAsia"/>
          <w:szCs w:val="44"/>
        </w:rPr>
        <w:t>监督人员（签字）：</w:t>
      </w:r>
    </w:p>
    <w:p>
      <w:pPr>
        <w:spacing w:line="560" w:lineRule="exact"/>
        <w:rPr>
          <w:rFonts w:asciiTheme="minorEastAsia" w:hAnsiTheme="minorEastAsia" w:eastAsiaTheme="minorEastAsia"/>
          <w:szCs w:val="44"/>
        </w:rPr>
      </w:pPr>
    </w:p>
    <w:p>
      <w:pPr>
        <w:spacing w:line="560" w:lineRule="exact"/>
        <w:ind w:firstLine="422" w:firstLineChars="200"/>
        <w:rPr>
          <w:rFonts w:asciiTheme="minorEastAsia" w:hAnsiTheme="minorEastAsia" w:eastAsiaTheme="minorEastAsia"/>
          <w:b/>
        </w:rPr>
      </w:pP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w:t>
      </w:r>
      <w:r>
        <w:rPr>
          <w:rFonts w:asciiTheme="minorEastAsia" w:hAnsiTheme="minorEastAsia" w:eastAsiaTheme="minorEastAsia"/>
          <w:b/>
        </w:rPr>
        <w:t>2</w:t>
      </w:r>
      <w:r>
        <w:rPr>
          <w:rFonts w:hint="eastAsia" w:asciiTheme="minorEastAsia" w:hAnsiTheme="minorEastAsia" w:eastAsiaTheme="minorEastAsia"/>
          <w:b/>
        </w:rPr>
        <w:t>：评标委员会签到表</w:t>
      </w:r>
    </w:p>
    <w:p>
      <w:pPr>
        <w:spacing w:line="560" w:lineRule="exact"/>
        <w:ind w:firstLine="560" w:firstLineChars="2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评标委员会签到表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tbl>
      <w:tblPr>
        <w:tblStyle w:val="38"/>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rPr>
                <w:rFonts w:hint="eastAsia"/>
              </w:rPr>
              <w:t>序号</w:t>
            </w:r>
          </w:p>
        </w:tc>
        <w:tc>
          <w:tcPr>
            <w:tcW w:w="1624" w:type="dxa"/>
            <w:vAlign w:val="center"/>
          </w:tcPr>
          <w:p>
            <w:pPr>
              <w:jc w:val="center"/>
            </w:pPr>
            <w:r>
              <w:rPr>
                <w:rFonts w:hint="eastAsia"/>
              </w:rPr>
              <w:t>姓名</w:t>
            </w:r>
          </w:p>
        </w:tc>
        <w:tc>
          <w:tcPr>
            <w:tcW w:w="1624" w:type="dxa"/>
            <w:vAlign w:val="center"/>
          </w:tcPr>
          <w:p>
            <w:pPr>
              <w:jc w:val="center"/>
            </w:pPr>
            <w:r>
              <w:rPr>
                <w:rFonts w:hint="eastAsia"/>
              </w:rPr>
              <w:t>职称</w:t>
            </w:r>
          </w:p>
        </w:tc>
        <w:tc>
          <w:tcPr>
            <w:tcW w:w="4543" w:type="dxa"/>
            <w:vAlign w:val="center"/>
          </w:tcPr>
          <w:p>
            <w:pPr>
              <w:jc w:val="center"/>
            </w:pPr>
            <w:r>
              <w:rPr>
                <w:rFonts w:hint="eastAsia"/>
              </w:rPr>
              <w:t>工作单位</w:t>
            </w:r>
          </w:p>
        </w:tc>
        <w:tc>
          <w:tcPr>
            <w:tcW w:w="1980" w:type="dxa"/>
            <w:vAlign w:val="center"/>
          </w:tcPr>
          <w:p>
            <w:pPr>
              <w:jc w:val="center"/>
            </w:pPr>
            <w:r>
              <w:rPr>
                <w:rFonts w:hint="eastAsia"/>
              </w:rPr>
              <w:t>专家证号码</w:t>
            </w:r>
          </w:p>
        </w:tc>
        <w:tc>
          <w:tcPr>
            <w:tcW w:w="1912" w:type="dxa"/>
            <w:vAlign w:val="center"/>
          </w:tcPr>
          <w:p>
            <w:pPr>
              <w:jc w:val="center"/>
            </w:pPr>
            <w:r>
              <w:rPr>
                <w:rFonts w:hint="eastAsia"/>
              </w:rPr>
              <w:t>联系电话</w:t>
            </w:r>
          </w:p>
        </w:tc>
        <w:tc>
          <w:tcPr>
            <w:tcW w:w="1688" w:type="dxa"/>
            <w:vAlign w:val="center"/>
          </w:tcPr>
          <w:p>
            <w:pPr>
              <w:jc w:val="center"/>
            </w:pPr>
            <w:r>
              <w:rPr>
                <w:rFonts w:hint="eastAsia"/>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1</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2</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3</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4</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5</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6</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jc w:val="center"/>
            </w:pPr>
            <w:r>
              <w:t>7</w:t>
            </w:r>
          </w:p>
        </w:tc>
        <w:tc>
          <w:tcPr>
            <w:tcW w:w="1624" w:type="dxa"/>
            <w:vAlign w:val="center"/>
          </w:tcPr>
          <w:p>
            <w:pPr>
              <w:jc w:val="center"/>
            </w:pPr>
          </w:p>
        </w:tc>
        <w:tc>
          <w:tcPr>
            <w:tcW w:w="1624" w:type="dxa"/>
            <w:vAlign w:val="center"/>
          </w:tcPr>
          <w:p>
            <w:pPr>
              <w:jc w:val="center"/>
            </w:pPr>
          </w:p>
        </w:tc>
        <w:tc>
          <w:tcPr>
            <w:tcW w:w="4543" w:type="dxa"/>
            <w:vAlign w:val="center"/>
          </w:tcPr>
          <w:p>
            <w:pPr>
              <w:jc w:val="center"/>
            </w:pPr>
          </w:p>
        </w:tc>
        <w:tc>
          <w:tcPr>
            <w:tcW w:w="1980" w:type="dxa"/>
            <w:vAlign w:val="center"/>
          </w:tcPr>
          <w:p>
            <w:pPr>
              <w:jc w:val="center"/>
            </w:pPr>
          </w:p>
        </w:tc>
        <w:tc>
          <w:tcPr>
            <w:tcW w:w="1912" w:type="dxa"/>
            <w:vAlign w:val="center"/>
          </w:tcPr>
          <w:p>
            <w:pPr>
              <w:jc w:val="center"/>
            </w:pPr>
          </w:p>
        </w:tc>
        <w:tc>
          <w:tcPr>
            <w:tcW w:w="1688" w:type="dxa"/>
            <w:vAlign w:val="center"/>
          </w:tcPr>
          <w:p>
            <w:pPr>
              <w:jc w:val="center"/>
            </w:pPr>
          </w:p>
        </w:tc>
      </w:tr>
    </w:tbl>
    <w:p>
      <w:pPr>
        <w:spacing w:line="560" w:lineRule="exact"/>
        <w:rPr>
          <w:rFonts w:asciiTheme="minorEastAsia" w:hAnsiTheme="minorEastAsia" w:eastAsiaTheme="minorEastAsia"/>
        </w:rPr>
        <w:sectPr>
          <w:pgSz w:w="16838" w:h="11906" w:orient="landscape"/>
          <w:pgMar w:top="1440" w:right="1440" w:bottom="1440" w:left="1597" w:header="851" w:footer="851" w:gutter="0"/>
          <w:cols w:space="720" w:num="1"/>
          <w:docGrid w:linePitch="312" w:charSpace="0"/>
        </w:sectPr>
      </w:pPr>
    </w:p>
    <w:p>
      <w:pPr>
        <w:spacing w:line="560" w:lineRule="exact"/>
        <w:rPr>
          <w:rFonts w:asciiTheme="minorEastAsia" w:hAnsiTheme="minorEastAsia" w:eastAsiaTheme="minorEastAsia"/>
          <w:b/>
        </w:rPr>
      </w:pP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3：资格审查评审记录表</w:t>
      </w:r>
    </w:p>
    <w:p>
      <w:pPr>
        <w:spacing w:line="560" w:lineRule="exact"/>
        <w:ind w:firstLine="560" w:firstLineChars="200"/>
        <w:jc w:val="center"/>
        <w:rPr>
          <w:rFonts w:asciiTheme="minorEastAsia" w:hAnsiTheme="minorEastAsia" w:eastAsiaTheme="minorEastAsia"/>
        </w:rPr>
      </w:pPr>
      <w:r>
        <w:rPr>
          <w:rFonts w:hint="eastAsia" w:asciiTheme="minorEastAsia" w:hAnsiTheme="minorEastAsia" w:eastAsiaTheme="minorEastAsia"/>
          <w:sz w:val="28"/>
          <w:szCs w:val="28"/>
        </w:rPr>
        <w:t>资格审查评审记录表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tbl>
      <w:tblPr>
        <w:tblStyle w:val="3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374"/>
        <w:gridCol w:w="979"/>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评审因素</w:t>
            </w:r>
          </w:p>
        </w:tc>
        <w:tc>
          <w:tcPr>
            <w:tcW w:w="10558" w:type="dxa"/>
            <w:gridSpan w:val="9"/>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投标文件签署</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营业执照</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安全生产许可证</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资质等级</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项目经理</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专职安全员</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建设工程项目管理承诺</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投标保证金</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财务状况</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2" w:type="dxa"/>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2374"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项目经理无在建项目承诺书</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912" w:type="dxa"/>
            <w:vAlign w:val="center"/>
          </w:tcPr>
          <w:p>
            <w:pPr>
              <w:jc w:val="center"/>
              <w:rPr>
                <w:rFonts w:asciiTheme="minorEastAsia" w:hAnsiTheme="minorEastAsia" w:eastAsiaTheme="minorEastAsia" w:cstheme="minorEastAsia"/>
              </w:rPr>
            </w:pPr>
          </w:p>
        </w:tc>
        <w:tc>
          <w:tcPr>
            <w:tcW w:w="237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是否通过评审</w:t>
            </w:r>
          </w:p>
        </w:tc>
        <w:tc>
          <w:tcPr>
            <w:tcW w:w="979"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7" w:type="dxa"/>
            <w:vAlign w:val="center"/>
          </w:tcPr>
          <w:p>
            <w:pPr>
              <w:jc w:val="center"/>
              <w:rPr>
                <w:rFonts w:asciiTheme="minorEastAsia" w:hAnsiTheme="minorEastAsia" w:eastAsiaTheme="minorEastAsia" w:cstheme="minorEastAsia"/>
              </w:rPr>
            </w:pPr>
          </w:p>
        </w:tc>
        <w:tc>
          <w:tcPr>
            <w:tcW w:w="1198" w:type="dxa"/>
            <w:vAlign w:val="center"/>
          </w:tcPr>
          <w:p>
            <w:pPr>
              <w:jc w:val="center"/>
              <w:rPr>
                <w:rFonts w:asciiTheme="minorEastAsia" w:hAnsiTheme="minorEastAsia" w:eastAsiaTheme="minorEastAsia" w:cstheme="minorEastAsia"/>
              </w:rPr>
            </w:pPr>
          </w:p>
        </w:tc>
      </w:tr>
    </w:tbl>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w:t>
      </w:r>
      <w:r>
        <w:rPr>
          <w:rFonts w:hint="eastAsia" w:asciiTheme="minorEastAsia" w:hAnsiTheme="minorEastAsia" w:eastAsiaTheme="minorEastAsia"/>
        </w:rPr>
        <w:t>备注：本表可根据评分办法的需要进行调整</w:t>
      </w:r>
      <w:r>
        <w:rPr>
          <w:rFonts w:hint="eastAsia" w:asciiTheme="minorEastAsia" w:hAnsiTheme="minorEastAsia" w:eastAsiaTheme="minorEastAsia"/>
          <w:szCs w:val="21"/>
        </w:rPr>
        <w:t>】</w:t>
      </w:r>
    </w:p>
    <w:p>
      <w:pPr>
        <w:spacing w:line="560" w:lineRule="exact"/>
        <w:rPr>
          <w:rFonts w:asciiTheme="minorEastAsia" w:hAnsiTheme="minorEastAsia" w:eastAsiaTheme="minorEastAsia"/>
        </w:rPr>
      </w:pPr>
      <w:r>
        <w:rPr>
          <w:rFonts w:hint="eastAsia" w:asciiTheme="minorEastAsia" w:hAnsiTheme="minorEastAsia" w:eastAsiaTheme="minorEastAsia"/>
        </w:rPr>
        <w:t>评标委员会全体成员签名：</w:t>
      </w:r>
      <w:r>
        <w:rPr>
          <w:rFonts w:asciiTheme="minorEastAsia" w:hAnsiTheme="minorEastAsia" w:eastAsiaTheme="minorEastAsia"/>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spacing w:line="560" w:lineRule="exact"/>
        <w:ind w:firstLine="420" w:firstLineChars="200"/>
        <w:rPr>
          <w:rFonts w:asciiTheme="minorEastAsia" w:hAnsiTheme="minorEastAsia" w:eastAsiaTheme="minorEastAsia"/>
          <w:b/>
        </w:rPr>
      </w:pPr>
      <w:r>
        <w:rPr>
          <w:rFonts w:asciiTheme="minorEastAsia" w:hAnsiTheme="minorEastAsia" w:eastAsiaTheme="minorEastAsia"/>
        </w:rPr>
        <w:br w:type="page"/>
      </w: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4：符合性评审记录表</w:t>
      </w:r>
    </w:p>
    <w:p>
      <w:pPr>
        <w:spacing w:line="560" w:lineRule="exact"/>
        <w:ind w:firstLine="560" w:firstLineChars="200"/>
        <w:jc w:val="center"/>
        <w:rPr>
          <w:rFonts w:asciiTheme="minorEastAsia" w:hAnsiTheme="minorEastAsia" w:eastAsiaTheme="minorEastAsia"/>
        </w:rPr>
      </w:pPr>
      <w:r>
        <w:rPr>
          <w:rFonts w:hint="eastAsia" w:asciiTheme="minorEastAsia" w:hAnsiTheme="minorEastAsia" w:eastAsiaTheme="minorEastAsia"/>
          <w:sz w:val="28"/>
          <w:szCs w:val="28"/>
        </w:rPr>
        <w:t>符合性评审记录表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tbl>
      <w:tblPr>
        <w:tblStyle w:val="3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jc w:val="center"/>
            </w:pPr>
            <w:r>
              <w:rPr>
                <w:rFonts w:hint="eastAsia"/>
              </w:rPr>
              <w:t>序号</w:t>
            </w:r>
          </w:p>
        </w:tc>
        <w:tc>
          <w:tcPr>
            <w:tcW w:w="2156" w:type="dxa"/>
            <w:vMerge w:val="restart"/>
            <w:vAlign w:val="center"/>
          </w:tcPr>
          <w:p>
            <w:pPr>
              <w:jc w:val="center"/>
            </w:pPr>
            <w:r>
              <w:rPr>
                <w:rFonts w:hint="eastAsia"/>
              </w:rPr>
              <w:t>评审因素</w:t>
            </w:r>
          </w:p>
        </w:tc>
        <w:tc>
          <w:tcPr>
            <w:tcW w:w="10776" w:type="dxa"/>
            <w:gridSpan w:val="9"/>
            <w:vAlign w:val="center"/>
          </w:tcPr>
          <w:p>
            <w:pPr>
              <w:jc w:val="cente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pPr>
          </w:p>
        </w:tc>
        <w:tc>
          <w:tcPr>
            <w:tcW w:w="2156" w:type="dxa"/>
            <w:vMerge w:val="continue"/>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1</w:t>
            </w:r>
          </w:p>
        </w:tc>
        <w:tc>
          <w:tcPr>
            <w:tcW w:w="2156" w:type="dxa"/>
            <w:vAlign w:val="center"/>
          </w:tcPr>
          <w:p>
            <w:pPr>
              <w:jc w:val="center"/>
            </w:pPr>
            <w:r>
              <w:rPr>
                <w:rFonts w:hint="eastAsia"/>
              </w:rPr>
              <w:t>投标人名称</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2</w:t>
            </w:r>
          </w:p>
        </w:tc>
        <w:tc>
          <w:tcPr>
            <w:tcW w:w="2156" w:type="dxa"/>
            <w:vAlign w:val="center"/>
          </w:tcPr>
          <w:p>
            <w:pPr>
              <w:jc w:val="center"/>
            </w:pPr>
            <w:r>
              <w:rPr>
                <w:rFonts w:hint="eastAsia"/>
              </w:rPr>
              <w:t>投标函签字盖章</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3</w:t>
            </w:r>
          </w:p>
        </w:tc>
        <w:tc>
          <w:tcPr>
            <w:tcW w:w="2156" w:type="dxa"/>
            <w:vAlign w:val="center"/>
          </w:tcPr>
          <w:p>
            <w:pPr>
              <w:jc w:val="center"/>
            </w:pPr>
            <w:r>
              <w:rPr>
                <w:rFonts w:hint="eastAsia"/>
              </w:rPr>
              <w:t>工期</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4</w:t>
            </w:r>
          </w:p>
        </w:tc>
        <w:tc>
          <w:tcPr>
            <w:tcW w:w="2156" w:type="dxa"/>
            <w:vAlign w:val="center"/>
          </w:tcPr>
          <w:p>
            <w:pPr>
              <w:jc w:val="center"/>
            </w:pPr>
            <w:r>
              <w:rPr>
                <w:rFonts w:hint="eastAsia"/>
              </w:rPr>
              <w:t>工程质量</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5</w:t>
            </w:r>
          </w:p>
        </w:tc>
        <w:tc>
          <w:tcPr>
            <w:tcW w:w="2156" w:type="dxa"/>
            <w:vAlign w:val="center"/>
          </w:tcPr>
          <w:p>
            <w:pPr>
              <w:jc w:val="center"/>
            </w:pPr>
            <w:r>
              <w:rPr>
                <w:rFonts w:hint="eastAsia"/>
              </w:rPr>
              <w:t>投标有效期</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6</w:t>
            </w:r>
          </w:p>
        </w:tc>
        <w:tc>
          <w:tcPr>
            <w:tcW w:w="2156" w:type="dxa"/>
            <w:vAlign w:val="center"/>
          </w:tcPr>
          <w:p>
            <w:pPr>
              <w:jc w:val="center"/>
            </w:pPr>
            <w:r>
              <w:rPr>
                <w:rFonts w:hint="eastAsia"/>
              </w:rPr>
              <w:t>权利义务</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7</w:t>
            </w:r>
          </w:p>
        </w:tc>
        <w:tc>
          <w:tcPr>
            <w:tcW w:w="2156" w:type="dxa"/>
            <w:vAlign w:val="center"/>
          </w:tcPr>
          <w:p>
            <w:pPr>
              <w:jc w:val="center"/>
            </w:pPr>
            <w:r>
              <w:rPr>
                <w:rFonts w:hint="eastAsia"/>
              </w:rPr>
              <w:t>技术标准和要求</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8</w:t>
            </w:r>
          </w:p>
        </w:tc>
        <w:tc>
          <w:tcPr>
            <w:tcW w:w="2156" w:type="dxa"/>
            <w:vAlign w:val="center"/>
          </w:tcPr>
          <w:p>
            <w:pPr>
              <w:jc w:val="center"/>
            </w:pPr>
            <w:r>
              <w:rPr>
                <w:rFonts w:hint="eastAsia"/>
              </w:rPr>
              <w:t>投标价格</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9</w:t>
            </w:r>
          </w:p>
        </w:tc>
        <w:tc>
          <w:tcPr>
            <w:tcW w:w="2156" w:type="dxa"/>
            <w:vAlign w:val="center"/>
          </w:tcPr>
          <w:p>
            <w:pPr>
              <w:jc w:val="center"/>
            </w:pPr>
            <w:r>
              <w:rPr>
                <w:rFonts w:hint="eastAsia"/>
              </w:rPr>
              <w:t>已标价工程量清单</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pPr>
            <w:r>
              <w:rPr>
                <w:rFonts w:hint="eastAsia"/>
              </w:rPr>
              <w:t>10</w:t>
            </w:r>
          </w:p>
        </w:tc>
        <w:tc>
          <w:tcPr>
            <w:tcW w:w="2156" w:type="dxa"/>
            <w:vAlign w:val="center"/>
          </w:tcPr>
          <w:p>
            <w:pPr>
              <w:jc w:val="center"/>
            </w:pPr>
            <w:r>
              <w:t>……</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jc w:val="center"/>
            </w:pPr>
            <w:r>
              <w:rPr>
                <w:rFonts w:hint="eastAsia"/>
              </w:rPr>
              <w:t>是否通过评审</w:t>
            </w: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bl>
    <w:p>
      <w:pPr>
        <w:spacing w:line="560" w:lineRule="exact"/>
        <w:ind w:firstLine="420" w:firstLineChars="200"/>
        <w:rPr>
          <w:rFonts w:asciiTheme="minorEastAsia" w:hAnsiTheme="minorEastAsia" w:eastAsiaTheme="minorEastAsia"/>
          <w:szCs w:val="44"/>
        </w:rPr>
      </w:pPr>
      <w:r>
        <w:rPr>
          <w:rFonts w:hint="eastAsia" w:asciiTheme="minorEastAsia" w:hAnsiTheme="minorEastAsia" w:eastAsiaTheme="minorEastAsia"/>
          <w:szCs w:val="21"/>
        </w:rPr>
        <w:t>【</w:t>
      </w:r>
      <w:r>
        <w:rPr>
          <w:rFonts w:hint="eastAsia" w:asciiTheme="minorEastAsia" w:hAnsiTheme="minorEastAsia" w:eastAsiaTheme="minorEastAsia"/>
          <w:szCs w:val="44"/>
        </w:rPr>
        <w:t>备注：本表可根据评分办法需要分为商务标响应性评审记录表和技术标响应性评审记录表</w:t>
      </w:r>
      <w:r>
        <w:rPr>
          <w:rFonts w:hint="eastAsia" w:asciiTheme="minorEastAsia" w:hAnsiTheme="minorEastAsia" w:eastAsiaTheme="minorEastAsia"/>
          <w:szCs w:val="21"/>
        </w:rPr>
        <w:t>】</w:t>
      </w:r>
    </w:p>
    <w:p>
      <w:pPr>
        <w:spacing w:line="560" w:lineRule="exact"/>
        <w:rPr>
          <w:rFonts w:asciiTheme="minorEastAsia" w:hAnsiTheme="minorEastAsia" w:eastAsiaTheme="minorEastAsia"/>
        </w:rPr>
      </w:pPr>
      <w:r>
        <w:rPr>
          <w:rFonts w:hint="eastAsia" w:asciiTheme="minorEastAsia" w:hAnsiTheme="minorEastAsia" w:eastAsiaTheme="minorEastAsia"/>
        </w:rPr>
        <w:t>评标委员会全体成员签名：</w:t>
      </w:r>
      <w:r>
        <w:rPr>
          <w:rFonts w:asciiTheme="minorEastAsia" w:hAnsiTheme="minorEastAsia" w:eastAsiaTheme="minorEastAsia"/>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spacing w:line="560" w:lineRule="exact"/>
        <w:ind w:firstLine="420" w:firstLineChars="200"/>
        <w:rPr>
          <w:rFonts w:asciiTheme="minorEastAsia" w:hAnsiTheme="minorEastAsia" w:eastAsiaTheme="minorEastAsia"/>
          <w:b/>
        </w:rPr>
      </w:pPr>
      <w:r>
        <w:rPr>
          <w:rFonts w:asciiTheme="minorEastAsia" w:hAnsiTheme="minorEastAsia" w:eastAsiaTheme="minorEastAsia"/>
        </w:rPr>
        <w:br w:type="page"/>
      </w: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5：技术标评分记录表</w:t>
      </w:r>
    </w:p>
    <w:p>
      <w:pPr>
        <w:spacing w:line="560" w:lineRule="exact"/>
        <w:ind w:firstLine="560" w:firstLineChars="200"/>
        <w:jc w:val="center"/>
        <w:outlineLvl w:val="0"/>
        <w:rPr>
          <w:rFonts w:asciiTheme="minorEastAsia" w:hAnsiTheme="minorEastAsia" w:eastAsiaTheme="minorEastAsia"/>
        </w:rPr>
      </w:pPr>
      <w:r>
        <w:rPr>
          <w:rFonts w:hint="eastAsia" w:asciiTheme="minorEastAsia" w:hAnsiTheme="minorEastAsia" w:eastAsiaTheme="minorEastAsia"/>
          <w:sz w:val="28"/>
          <w:szCs w:val="28"/>
        </w:rPr>
        <w:t>（一）技术标评分记录表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tbl>
      <w:tblPr>
        <w:tblStyle w:val="3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780"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评审因素</w:t>
            </w:r>
          </w:p>
        </w:tc>
        <w:tc>
          <w:tcPr>
            <w:tcW w:w="10152" w:type="dxa"/>
            <w:gridSpan w:val="9"/>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Merge w:val="continue"/>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1、项目管理机构（满分20）</w:t>
            </w:r>
          </w:p>
        </w:tc>
        <w:tc>
          <w:tcPr>
            <w:tcW w:w="278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（1）项目经理任职资格与业绩、工作经历</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（2）认证资质</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（3）技术负责人情况</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（4）其他主要人员</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2"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2、施工组织设计（满分80）</w:t>
            </w: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（1）主要施工方法</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（2）拟投入的主要物资计划</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（3）拟投入的主要施工机械、设备计划</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（4）劳动力安排计划</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（5）确保工程质量的技术组织措施</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（6）确保安全生产的技术组织措施</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numPr>
                <w:ilvl w:val="0"/>
                <w:numId w:val="2"/>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确保工期的技术组织</w:t>
            </w:r>
          </w:p>
          <w:p>
            <w:pPr>
              <w:widowControl/>
              <w:numPr>
                <w:ilvl w:val="-1"/>
                <w:numId w:val="0"/>
              </w:numPr>
              <w:ind w:firstLine="1050" w:firstLineChars="500"/>
              <w:jc w:val="both"/>
              <w:rPr>
                <w:rFonts w:asciiTheme="minorEastAsia" w:hAnsiTheme="minorEastAsia" w:eastAsiaTheme="minorEastAsia" w:cstheme="minorEastAsia"/>
              </w:rPr>
            </w:pPr>
            <w:r>
              <w:rPr>
                <w:rFonts w:hint="eastAsia" w:asciiTheme="minorEastAsia" w:hAnsiTheme="minorEastAsia" w:eastAsiaTheme="minorEastAsia" w:cstheme="minorEastAsia"/>
              </w:rPr>
              <w:t>措施</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（8）确保文明施工的技术组织措施</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（9）工程施工的重点和难点及保证措施</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jc w:val="center"/>
              <w:rPr>
                <w:rFonts w:asciiTheme="minorEastAsia" w:hAnsiTheme="minorEastAsia" w:eastAsiaTheme="minorEastAsia" w:cstheme="minorEastAsia"/>
              </w:rPr>
            </w:pPr>
          </w:p>
        </w:tc>
        <w:tc>
          <w:tcPr>
            <w:tcW w:w="2780"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（10）施工总体布置图</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692"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得分合计</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技术标得分（满分</w:t>
            </w:r>
            <w:r>
              <w:rPr>
                <w:rFonts w:hint="eastAsia" w:asciiTheme="minorEastAsia" w:hAnsiTheme="minorEastAsia" w:eastAsiaTheme="minorEastAsia" w:cstheme="minorEastAsia"/>
                <w:lang w:val="en-US" w:eastAsia="zh-CN"/>
              </w:rPr>
              <w:t>30分</w:t>
            </w:r>
            <w:r>
              <w:rPr>
                <w:rFonts w:hint="eastAsia" w:asciiTheme="minorEastAsia" w:hAnsiTheme="minorEastAsia" w:eastAsiaTheme="minorEastAsia" w:cstheme="minorEastAsia"/>
              </w:rPr>
              <w:t>）</w:t>
            </w: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c>
          <w:tcPr>
            <w:tcW w:w="1128"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ind w:firstLine="420" w:firstLineChars="200"/>
              <w:jc w:val="center"/>
              <w:rPr>
                <w:rFonts w:asciiTheme="minorEastAsia" w:hAnsiTheme="minorEastAsia" w:eastAsiaTheme="minorEastAsia"/>
              </w:rPr>
            </w:pPr>
            <w:r>
              <w:rPr>
                <w:rFonts w:hint="eastAsia" w:asciiTheme="minorEastAsia" w:hAnsiTheme="minorEastAsia" w:eastAsiaTheme="minorEastAsia" w:cstheme="minorEastAsia"/>
              </w:rPr>
              <w:t>技术标是否合格</w:t>
            </w: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c>
          <w:tcPr>
            <w:tcW w:w="1128" w:type="dxa"/>
            <w:vAlign w:val="center"/>
          </w:tcPr>
          <w:p>
            <w:pPr>
              <w:spacing w:line="560" w:lineRule="exact"/>
              <w:ind w:firstLine="420" w:firstLineChars="200"/>
              <w:jc w:val="center"/>
              <w:rPr>
                <w:rFonts w:asciiTheme="minorEastAsia" w:hAnsiTheme="minorEastAsia" w:eastAsiaTheme="minorEastAsia"/>
              </w:rPr>
            </w:pPr>
          </w:p>
        </w:tc>
      </w:tr>
    </w:tbl>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rPr>
        <w:t>备注：本表可根据评分办法的需要进行调整</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评标委员会技术组评委签名：</w:t>
      </w:r>
      <w:r>
        <w:rPr>
          <w:rFonts w:asciiTheme="minorEastAsia" w:hAnsiTheme="minorEastAsia" w:eastAsiaTheme="minorEastAsia"/>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spacing w:afterLines="100" w:line="560" w:lineRule="exact"/>
        <w:ind w:firstLine="420" w:firstLineChars="200"/>
        <w:rPr>
          <w:rFonts w:asciiTheme="minorEastAsia" w:hAnsiTheme="minorEastAsia" w:eastAsiaTheme="minorEastAsia"/>
        </w:rPr>
      </w:pPr>
    </w:p>
    <w:p>
      <w:pPr>
        <w:spacing w:afterLines="100" w:line="560" w:lineRule="exact"/>
        <w:ind w:firstLine="420" w:firstLineChars="200"/>
        <w:rPr>
          <w:rFonts w:asciiTheme="minorEastAsia" w:hAnsiTheme="minorEastAsia" w:eastAsiaTheme="minorEastAsia"/>
        </w:rPr>
      </w:pPr>
    </w:p>
    <w:p>
      <w:pPr>
        <w:spacing w:afterLines="100" w:line="560" w:lineRule="exact"/>
        <w:ind w:firstLine="420" w:firstLineChars="200"/>
        <w:rPr>
          <w:rFonts w:asciiTheme="minorEastAsia" w:hAnsiTheme="minorEastAsia" w:eastAsiaTheme="minorEastAsia"/>
        </w:rPr>
        <w:sectPr>
          <w:pgSz w:w="16840" w:h="11907" w:orient="landscape"/>
          <w:pgMar w:top="1440" w:right="1440" w:bottom="1440" w:left="1797" w:header="851" w:footer="851" w:gutter="0"/>
          <w:cols w:space="720" w:num="1"/>
          <w:docGrid w:linePitch="312" w:charSpace="0"/>
        </w:sectPr>
      </w:pPr>
    </w:p>
    <w:p>
      <w:pPr>
        <w:spacing w:line="560" w:lineRule="exact"/>
        <w:ind w:firstLine="560" w:firstLineChars="200"/>
        <w:jc w:val="center"/>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（二）技术标评分汇总明细表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tbl>
      <w:tblPr>
        <w:tblStyle w:val="38"/>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评委序号和姓名</w:t>
            </w:r>
          </w:p>
        </w:tc>
        <w:tc>
          <w:tcPr>
            <w:tcW w:w="11639" w:type="dxa"/>
            <w:gridSpan w:val="7"/>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Theme="minorEastAsia" w:hAnsiTheme="minorEastAsia" w:eastAsiaTheme="minorEastAsia" w:cstheme="minorEastAsia"/>
              </w:rPr>
            </w:pP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各评委评分合计</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各评委评分平均值</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投标人技术标平均得分</w:t>
            </w:r>
          </w:p>
        </w:tc>
        <w:tc>
          <w:tcPr>
            <w:tcW w:w="1490"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c>
          <w:tcPr>
            <w:tcW w:w="1691" w:type="dxa"/>
            <w:vAlign w:val="center"/>
          </w:tcPr>
          <w:p>
            <w:pPr>
              <w:jc w:val="center"/>
              <w:rPr>
                <w:rFonts w:asciiTheme="minorEastAsia" w:hAnsiTheme="minorEastAsia" w:eastAsiaTheme="minorEastAsia" w:cstheme="minorEastAsia"/>
              </w:rPr>
            </w:pPr>
          </w:p>
        </w:tc>
        <w:tc>
          <w:tcPr>
            <w:tcW w:w="1692" w:type="dxa"/>
            <w:vAlign w:val="center"/>
          </w:tcPr>
          <w:p>
            <w:pPr>
              <w:jc w:val="center"/>
              <w:rPr>
                <w:rFonts w:asciiTheme="minorEastAsia" w:hAnsiTheme="minorEastAsia" w:eastAsiaTheme="minorEastAsia" w:cstheme="minorEastAsia"/>
              </w:rPr>
            </w:pPr>
          </w:p>
        </w:tc>
      </w:tr>
    </w:tbl>
    <w:p>
      <w:pPr>
        <w:spacing w:afterLines="100" w:line="560" w:lineRule="exact"/>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评标委员会全体成员签名：</w:t>
      </w:r>
      <w:r>
        <w:rPr>
          <w:rFonts w:asciiTheme="minorEastAsia" w:hAnsiTheme="minorEastAsia" w:eastAsiaTheme="minorEastAsia"/>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spacing w:afterLines="100" w:line="560" w:lineRule="exact"/>
        <w:ind w:firstLine="420" w:firstLineChars="200"/>
        <w:rPr>
          <w:rFonts w:asciiTheme="minorEastAsia" w:hAnsiTheme="minorEastAsia" w:eastAsiaTheme="minorEastAsia"/>
        </w:rPr>
      </w:pPr>
    </w:p>
    <w:p>
      <w:pPr>
        <w:spacing w:afterLines="100" w:line="560" w:lineRule="exact"/>
        <w:ind w:firstLine="420" w:firstLineChars="200"/>
        <w:rPr>
          <w:rFonts w:asciiTheme="minorEastAsia" w:hAnsiTheme="minorEastAsia" w:eastAsiaTheme="minorEastAsia"/>
        </w:rPr>
        <w:sectPr>
          <w:pgSz w:w="16840" w:h="11907" w:orient="landscape"/>
          <w:pgMar w:top="1440" w:right="1440" w:bottom="1440" w:left="1797" w:header="851" w:footer="851" w:gutter="0"/>
          <w:cols w:space="720" w:num="1"/>
          <w:docGrid w:linePitch="312" w:charSpace="0"/>
        </w:sectPr>
      </w:pPr>
    </w:p>
    <w:p>
      <w:pPr>
        <w:spacing w:line="560" w:lineRule="exact"/>
        <w:ind w:firstLine="422" w:firstLineChars="200"/>
        <w:rPr>
          <w:rFonts w:asciiTheme="minorEastAsia" w:hAnsiTheme="minorEastAsia" w:eastAsiaTheme="minorEastAsia"/>
          <w:b/>
        </w:rPr>
      </w:pP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6：商务标评分记录表</w:t>
      </w:r>
    </w:p>
    <w:p>
      <w:pPr>
        <w:spacing w:line="560" w:lineRule="exact"/>
        <w:ind w:firstLine="560" w:firstLineChars="200"/>
        <w:jc w:val="center"/>
        <w:rPr>
          <w:rFonts w:asciiTheme="minorEastAsia" w:hAnsiTheme="minorEastAsia" w:eastAsiaTheme="minorEastAsia"/>
          <w:szCs w:val="44"/>
        </w:rPr>
      </w:pPr>
      <w:r>
        <w:rPr>
          <w:rFonts w:hint="eastAsia" w:asciiTheme="minorEastAsia" w:hAnsiTheme="minorEastAsia" w:eastAsiaTheme="minorEastAsia"/>
          <w:sz w:val="28"/>
          <w:szCs w:val="28"/>
        </w:rPr>
        <w:t>商务标评分记录表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tbl>
      <w:tblPr>
        <w:tblStyle w:val="38"/>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68"/>
        <w:gridCol w:w="1116"/>
        <w:gridCol w:w="1272"/>
        <w:gridCol w:w="1278"/>
        <w:gridCol w:w="1290"/>
        <w:gridCol w:w="15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9432" w:type="dxa"/>
            <w:gridSpan w:val="7"/>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Theme="minorEastAsia" w:hAnsiTheme="minorEastAsia" w:eastAsiaTheme="minorEastAsia" w:cstheme="minorEastAsia"/>
              </w:rPr>
            </w:pP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企业能力</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投标报价是否有效</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已标价工程量清单评审是否合格</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1、一般纳税人资质</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2、投标报价得分（满分      ）</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3、不合理报价偏差扣分（如有）（满分     ）</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或者3、清单项目得分（如有）（满分      ）</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4、商务标得分（1＋2+3或者1+2－3）</w:t>
            </w:r>
          </w:p>
        </w:tc>
        <w:tc>
          <w:tcPr>
            <w:tcW w:w="1368" w:type="dxa"/>
            <w:vAlign w:val="center"/>
          </w:tcPr>
          <w:p>
            <w:pPr>
              <w:jc w:val="center"/>
              <w:rPr>
                <w:rFonts w:asciiTheme="minorEastAsia" w:hAnsiTheme="minorEastAsia" w:eastAsiaTheme="minorEastAsia" w:cstheme="minorEastAsia"/>
              </w:rPr>
            </w:pPr>
          </w:p>
        </w:tc>
        <w:tc>
          <w:tcPr>
            <w:tcW w:w="1116" w:type="dxa"/>
            <w:vAlign w:val="center"/>
          </w:tcPr>
          <w:p>
            <w:pPr>
              <w:jc w:val="center"/>
              <w:rPr>
                <w:rFonts w:asciiTheme="minorEastAsia" w:hAnsiTheme="minorEastAsia" w:eastAsiaTheme="minorEastAsia" w:cstheme="minorEastAsia"/>
              </w:rPr>
            </w:pPr>
          </w:p>
        </w:tc>
        <w:tc>
          <w:tcPr>
            <w:tcW w:w="1272" w:type="dxa"/>
            <w:vAlign w:val="center"/>
          </w:tcPr>
          <w:p>
            <w:pPr>
              <w:jc w:val="center"/>
              <w:rPr>
                <w:rFonts w:asciiTheme="minorEastAsia" w:hAnsiTheme="minorEastAsia" w:eastAsiaTheme="minorEastAsia" w:cstheme="minorEastAsia"/>
              </w:rPr>
            </w:pPr>
          </w:p>
        </w:tc>
        <w:tc>
          <w:tcPr>
            <w:tcW w:w="1278" w:type="dxa"/>
            <w:vAlign w:val="center"/>
          </w:tcPr>
          <w:p>
            <w:pPr>
              <w:jc w:val="center"/>
              <w:rPr>
                <w:rFonts w:asciiTheme="minorEastAsia" w:hAnsiTheme="minorEastAsia" w:eastAsiaTheme="minorEastAsia" w:cstheme="minorEastAsia"/>
              </w:rPr>
            </w:pPr>
          </w:p>
        </w:tc>
        <w:tc>
          <w:tcPr>
            <w:tcW w:w="1290" w:type="dxa"/>
            <w:vAlign w:val="center"/>
          </w:tcPr>
          <w:p>
            <w:pPr>
              <w:jc w:val="center"/>
              <w:rPr>
                <w:rFonts w:asciiTheme="minorEastAsia" w:hAnsiTheme="minorEastAsia" w:eastAsiaTheme="minorEastAsia" w:cstheme="minorEastAsia"/>
              </w:rPr>
            </w:pPr>
          </w:p>
        </w:tc>
        <w:tc>
          <w:tcPr>
            <w:tcW w:w="1584" w:type="dxa"/>
            <w:vAlign w:val="center"/>
          </w:tcPr>
          <w:p>
            <w:pPr>
              <w:jc w:val="center"/>
              <w:rPr>
                <w:rFonts w:asciiTheme="minorEastAsia" w:hAnsiTheme="minorEastAsia" w:eastAsiaTheme="minorEastAsia" w:cstheme="minorEastAsia"/>
              </w:rPr>
            </w:pPr>
          </w:p>
        </w:tc>
        <w:tc>
          <w:tcPr>
            <w:tcW w:w="1524"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招标控制价（如有）</w:t>
            </w:r>
          </w:p>
        </w:tc>
        <w:tc>
          <w:tcPr>
            <w:tcW w:w="5034" w:type="dxa"/>
            <w:gridSpan w:val="4"/>
            <w:vAlign w:val="center"/>
          </w:tcPr>
          <w:p>
            <w:pPr>
              <w:jc w:val="center"/>
              <w:rPr>
                <w:rFonts w:asciiTheme="minorEastAsia" w:hAnsiTheme="minorEastAsia" w:eastAsiaTheme="minorEastAsia" w:cstheme="minorEastAsia"/>
              </w:rPr>
            </w:pPr>
          </w:p>
        </w:tc>
        <w:tc>
          <w:tcPr>
            <w:tcW w:w="4398" w:type="dxa"/>
            <w:gridSpan w:val="3"/>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049" w:type="dxa"/>
            <w:gridSpan w:val="8"/>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投标报价得分：以</w:t>
            </w:r>
            <w:r>
              <w:rPr>
                <w:rFonts w:hint="default" w:ascii="Times New Roman" w:hAnsi="Times New Roman" w:eastAsia="宋体" w:cs="Times New Roman"/>
                <w:kern w:val="2"/>
                <w:sz w:val="21"/>
                <w:szCs w:val="24"/>
                <w:shd w:val="clear"/>
                <w:lang w:val="en-US" w:eastAsia="zh-CN" w:bidi="ar"/>
              </w:rPr>
              <w:t>经评审的合理低价为</w:t>
            </w:r>
            <w:r>
              <w:rPr>
                <w:rFonts w:hint="eastAsia" w:asciiTheme="minorEastAsia" w:hAnsiTheme="minorEastAsia" w:eastAsiaTheme="minorEastAsia" w:cstheme="minorEastAsia"/>
              </w:rPr>
              <w:t>最高分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0分，根据评分办法前附表中规定的评分公式进行评分。商务标得分=投标报价得分</w:t>
            </w:r>
          </w:p>
        </w:tc>
      </w:tr>
    </w:tbl>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【备注：本表可根据评分办法的需要进行调整。投标报价单位：人民币元。】</w:t>
      </w:r>
    </w:p>
    <w:p>
      <w:pPr>
        <w:spacing w:line="560" w:lineRule="exact"/>
        <w:ind w:firstLine="420" w:firstLineChars="200"/>
        <w:rPr>
          <w:rFonts w:asciiTheme="minorEastAsia" w:hAnsiTheme="minorEastAsia" w:eastAsiaTheme="minorEastAsia"/>
          <w:szCs w:val="44"/>
        </w:rPr>
      </w:pPr>
      <w:r>
        <w:rPr>
          <w:rFonts w:hint="eastAsia" w:asciiTheme="minorEastAsia" w:hAnsiTheme="minorEastAsia" w:eastAsiaTheme="minorEastAsia"/>
        </w:rPr>
        <w:t>评标委员会经济组评委签名：</w:t>
      </w:r>
      <w:r>
        <w:rPr>
          <w:rFonts w:asciiTheme="minorEastAsia" w:hAnsiTheme="minorEastAsia" w:eastAsiaTheme="minorEastAsia"/>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r>
        <w:rPr>
          <w:rFonts w:asciiTheme="minorEastAsia" w:hAnsiTheme="minorEastAsia" w:eastAsiaTheme="minorEastAsia"/>
        </w:rPr>
        <w:t xml:space="preserve">     </w:t>
      </w:r>
    </w:p>
    <w:p>
      <w:pPr>
        <w:spacing w:line="560" w:lineRule="exact"/>
        <w:ind w:firstLine="422" w:firstLineChars="200"/>
        <w:rPr>
          <w:rFonts w:asciiTheme="minorEastAsia" w:hAnsiTheme="minorEastAsia" w:eastAsiaTheme="minorEastAsia"/>
          <w:sz w:val="24"/>
        </w:rPr>
      </w:pPr>
      <w:r>
        <w:rPr>
          <w:rFonts w:hint="eastAsia" w:asciiTheme="minorEastAsia" w:hAnsiTheme="minorEastAsia" w:eastAsiaTheme="minorEastAsia"/>
          <w:b/>
        </w:rPr>
        <w:t>附表</w:t>
      </w:r>
      <w:r>
        <w:rPr>
          <w:rFonts w:asciiTheme="minorEastAsia" w:hAnsiTheme="minorEastAsia" w:eastAsiaTheme="minorEastAsia"/>
          <w:b/>
        </w:rPr>
        <w:t>A-</w:t>
      </w:r>
      <w:r>
        <w:rPr>
          <w:rFonts w:hint="eastAsia" w:asciiTheme="minorEastAsia" w:hAnsiTheme="minorEastAsia" w:eastAsiaTheme="minorEastAsia"/>
          <w:b/>
        </w:rPr>
        <w:t>7：评标结果汇总表</w:t>
      </w:r>
    </w:p>
    <w:p>
      <w:pPr>
        <w:spacing w:line="560" w:lineRule="exact"/>
        <w:ind w:firstLine="560" w:firstLineChars="2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评标结果汇总表</w:t>
      </w:r>
    </w:p>
    <w:p>
      <w:pPr>
        <w:spacing w:afterLines="30"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项目名称及项目招标编号：</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评标时间：</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r>
        <w:rPr>
          <w:rFonts w:asciiTheme="minorEastAsia" w:hAnsiTheme="minorEastAsia" w:eastAsiaTheme="minorEastAsia"/>
          <w:sz w:val="10"/>
          <w:szCs w:val="10"/>
        </w:rPr>
        <w:t xml:space="preserve"> </w:t>
      </w:r>
    </w:p>
    <w:tbl>
      <w:tblPr>
        <w:tblStyle w:val="38"/>
        <w:tblW w:w="14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957"/>
        <w:gridCol w:w="1361"/>
        <w:gridCol w:w="1361"/>
        <w:gridCol w:w="1361"/>
        <w:gridCol w:w="1566"/>
        <w:gridCol w:w="1560"/>
        <w:gridCol w:w="1919"/>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0" w:type="dxa"/>
            <w:vMerge w:val="restart"/>
            <w:vAlign w:val="center"/>
          </w:tcPr>
          <w:p>
            <w:pPr>
              <w:jc w:val="center"/>
            </w:pPr>
            <w:r>
              <w:rPr>
                <w:rFonts w:hint="eastAsia"/>
              </w:rPr>
              <w:t>序号</w:t>
            </w:r>
          </w:p>
        </w:tc>
        <w:tc>
          <w:tcPr>
            <w:tcW w:w="2880" w:type="dxa"/>
            <w:vMerge w:val="restart"/>
            <w:vAlign w:val="center"/>
          </w:tcPr>
          <w:p>
            <w:pPr>
              <w:jc w:val="center"/>
            </w:pPr>
            <w:r>
              <w:rPr>
                <w:rFonts w:hint="eastAsia"/>
              </w:rPr>
              <w:t>投标人名称</w:t>
            </w:r>
          </w:p>
        </w:tc>
        <w:tc>
          <w:tcPr>
            <w:tcW w:w="957" w:type="dxa"/>
            <w:vMerge w:val="restart"/>
            <w:vAlign w:val="center"/>
          </w:tcPr>
          <w:p>
            <w:pPr>
              <w:jc w:val="center"/>
            </w:pPr>
            <w:r>
              <w:rPr>
                <w:rFonts w:hint="eastAsia"/>
              </w:rPr>
              <w:t>投标</w:t>
            </w:r>
          </w:p>
          <w:p>
            <w:pPr>
              <w:jc w:val="center"/>
            </w:pPr>
            <w:r>
              <w:rPr>
                <w:rFonts w:hint="eastAsia"/>
              </w:rPr>
              <w:t>报价</w:t>
            </w:r>
          </w:p>
        </w:tc>
        <w:tc>
          <w:tcPr>
            <w:tcW w:w="4083" w:type="dxa"/>
            <w:gridSpan w:val="3"/>
            <w:vAlign w:val="center"/>
          </w:tcPr>
          <w:p>
            <w:pPr>
              <w:jc w:val="center"/>
            </w:pPr>
            <w:r>
              <w:rPr>
                <w:rFonts w:hint="eastAsia"/>
              </w:rPr>
              <w:t>初步评审</w:t>
            </w:r>
          </w:p>
        </w:tc>
        <w:tc>
          <w:tcPr>
            <w:tcW w:w="5045" w:type="dxa"/>
            <w:gridSpan w:val="3"/>
            <w:vAlign w:val="center"/>
          </w:tcPr>
          <w:p>
            <w:pPr>
              <w:jc w:val="center"/>
            </w:pPr>
            <w:r>
              <w:rPr>
                <w:rFonts w:hint="eastAsia"/>
              </w:rPr>
              <w:t>详细评审</w:t>
            </w:r>
          </w:p>
        </w:tc>
        <w:tc>
          <w:tcPr>
            <w:tcW w:w="866" w:type="dxa"/>
            <w:vMerge w:val="restar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20" w:type="dxa"/>
            <w:vMerge w:val="continue"/>
            <w:vAlign w:val="center"/>
          </w:tcPr>
          <w:p>
            <w:pPr>
              <w:jc w:val="left"/>
            </w:pPr>
          </w:p>
        </w:tc>
        <w:tc>
          <w:tcPr>
            <w:tcW w:w="2880" w:type="dxa"/>
            <w:vMerge w:val="continue"/>
            <w:vAlign w:val="center"/>
          </w:tcPr>
          <w:p>
            <w:pPr>
              <w:jc w:val="left"/>
            </w:pPr>
          </w:p>
        </w:tc>
        <w:tc>
          <w:tcPr>
            <w:tcW w:w="957" w:type="dxa"/>
            <w:vMerge w:val="continue"/>
            <w:vAlign w:val="center"/>
          </w:tcPr>
          <w:p>
            <w:pPr>
              <w:jc w:val="left"/>
            </w:pPr>
          </w:p>
        </w:tc>
        <w:tc>
          <w:tcPr>
            <w:tcW w:w="1361" w:type="dxa"/>
            <w:vAlign w:val="center"/>
          </w:tcPr>
          <w:p>
            <w:pPr>
              <w:jc w:val="center"/>
            </w:pPr>
            <w:r>
              <w:rPr>
                <w:rFonts w:hint="eastAsia"/>
              </w:rPr>
              <w:t>资格审查是否合格</w:t>
            </w:r>
          </w:p>
        </w:tc>
        <w:tc>
          <w:tcPr>
            <w:tcW w:w="1361" w:type="dxa"/>
            <w:vAlign w:val="center"/>
          </w:tcPr>
          <w:p>
            <w:pPr>
              <w:jc w:val="center"/>
            </w:pPr>
            <w:r>
              <w:rPr>
                <w:rFonts w:hint="eastAsia"/>
              </w:rPr>
              <w:t>形式评审是否合格</w:t>
            </w:r>
          </w:p>
        </w:tc>
        <w:tc>
          <w:tcPr>
            <w:tcW w:w="1361" w:type="dxa"/>
            <w:vAlign w:val="center"/>
          </w:tcPr>
          <w:p>
            <w:pPr>
              <w:jc w:val="center"/>
            </w:pPr>
            <w:r>
              <w:rPr>
                <w:rFonts w:hint="eastAsia"/>
              </w:rPr>
              <w:t>响应性评审是否合格</w:t>
            </w:r>
          </w:p>
        </w:tc>
        <w:tc>
          <w:tcPr>
            <w:tcW w:w="1566" w:type="dxa"/>
            <w:vAlign w:val="center"/>
          </w:tcPr>
          <w:p>
            <w:pPr>
              <w:jc w:val="center"/>
            </w:pPr>
            <w:r>
              <w:rPr>
                <w:rFonts w:hint="eastAsia"/>
              </w:rPr>
              <w:t>技术标得分</w:t>
            </w:r>
          </w:p>
        </w:tc>
        <w:tc>
          <w:tcPr>
            <w:tcW w:w="1560" w:type="dxa"/>
            <w:vAlign w:val="center"/>
          </w:tcPr>
          <w:p>
            <w:pPr>
              <w:jc w:val="center"/>
            </w:pPr>
            <w:r>
              <w:rPr>
                <w:rFonts w:hint="eastAsia"/>
              </w:rPr>
              <w:t>商务标得分</w:t>
            </w:r>
          </w:p>
        </w:tc>
        <w:tc>
          <w:tcPr>
            <w:tcW w:w="1919" w:type="dxa"/>
            <w:vAlign w:val="center"/>
          </w:tcPr>
          <w:p>
            <w:pPr>
              <w:jc w:val="center"/>
            </w:pPr>
            <w:r>
              <w:rPr>
                <w:rFonts w:hint="eastAsia"/>
              </w:rPr>
              <w:t>排序</w:t>
            </w:r>
          </w:p>
        </w:tc>
        <w:tc>
          <w:tcPr>
            <w:tcW w:w="866" w:type="dxa"/>
            <w:vMerge w:val="continue"/>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1</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2</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3</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4</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5</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6</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jc w:val="left"/>
            </w:pPr>
            <w:r>
              <w:t>7</w:t>
            </w:r>
          </w:p>
        </w:tc>
        <w:tc>
          <w:tcPr>
            <w:tcW w:w="2880" w:type="dxa"/>
            <w:vAlign w:val="center"/>
          </w:tcPr>
          <w:p>
            <w:pPr>
              <w:jc w:val="left"/>
            </w:pPr>
          </w:p>
        </w:tc>
        <w:tc>
          <w:tcPr>
            <w:tcW w:w="957" w:type="dxa"/>
            <w:vAlign w:val="center"/>
          </w:tcPr>
          <w:p>
            <w:pPr>
              <w:jc w:val="left"/>
            </w:pPr>
          </w:p>
        </w:tc>
        <w:tc>
          <w:tcPr>
            <w:tcW w:w="1361" w:type="dxa"/>
            <w:vAlign w:val="center"/>
          </w:tcPr>
          <w:p>
            <w:pPr>
              <w:jc w:val="left"/>
            </w:pPr>
          </w:p>
        </w:tc>
        <w:tc>
          <w:tcPr>
            <w:tcW w:w="1361" w:type="dxa"/>
            <w:vAlign w:val="center"/>
          </w:tcPr>
          <w:p>
            <w:pPr>
              <w:jc w:val="left"/>
            </w:pPr>
          </w:p>
        </w:tc>
        <w:tc>
          <w:tcPr>
            <w:tcW w:w="1361" w:type="dxa"/>
            <w:vAlign w:val="center"/>
          </w:tcPr>
          <w:p>
            <w:pPr>
              <w:jc w:val="left"/>
            </w:pPr>
          </w:p>
        </w:tc>
        <w:tc>
          <w:tcPr>
            <w:tcW w:w="1566" w:type="dxa"/>
            <w:vAlign w:val="center"/>
          </w:tcPr>
          <w:p>
            <w:pPr>
              <w:jc w:val="left"/>
            </w:pPr>
          </w:p>
        </w:tc>
        <w:tc>
          <w:tcPr>
            <w:tcW w:w="1560" w:type="dxa"/>
            <w:vAlign w:val="center"/>
          </w:tcPr>
          <w:p>
            <w:pPr>
              <w:jc w:val="left"/>
            </w:pPr>
          </w:p>
        </w:tc>
        <w:tc>
          <w:tcPr>
            <w:tcW w:w="1919" w:type="dxa"/>
            <w:vAlign w:val="center"/>
          </w:tcPr>
          <w:p>
            <w:pPr>
              <w:jc w:val="left"/>
            </w:pPr>
          </w:p>
        </w:tc>
        <w:tc>
          <w:tcPr>
            <w:tcW w:w="86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00" w:type="dxa"/>
            <w:gridSpan w:val="2"/>
            <w:vMerge w:val="restart"/>
            <w:vAlign w:val="center"/>
          </w:tcPr>
          <w:p>
            <w:r>
              <w:rPr>
                <w:rFonts w:hint="eastAsia"/>
              </w:rPr>
              <w:t>最终推荐的中标候选人及其排序</w:t>
            </w:r>
          </w:p>
        </w:tc>
        <w:tc>
          <w:tcPr>
            <w:tcW w:w="10951" w:type="dxa"/>
            <w:gridSpan w:val="8"/>
            <w:vAlign w:val="center"/>
          </w:tcPr>
          <w:p>
            <w:r>
              <w:rPr>
                <w:rFonts w:hint="eastAsia"/>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00" w:type="dxa"/>
            <w:gridSpan w:val="2"/>
            <w:vMerge w:val="continue"/>
            <w:vAlign w:val="center"/>
          </w:tcPr>
          <w:p>
            <w:pPr>
              <w:jc w:val="left"/>
            </w:pPr>
          </w:p>
        </w:tc>
        <w:tc>
          <w:tcPr>
            <w:tcW w:w="10951" w:type="dxa"/>
            <w:gridSpan w:val="8"/>
            <w:vAlign w:val="center"/>
          </w:tcPr>
          <w:p>
            <w:r>
              <w:rPr>
                <w:rFonts w:hint="eastAsia"/>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600" w:type="dxa"/>
            <w:gridSpan w:val="2"/>
            <w:vMerge w:val="continue"/>
            <w:vAlign w:val="center"/>
          </w:tcPr>
          <w:p>
            <w:pPr>
              <w:jc w:val="left"/>
            </w:pPr>
          </w:p>
        </w:tc>
        <w:tc>
          <w:tcPr>
            <w:tcW w:w="10951" w:type="dxa"/>
            <w:gridSpan w:val="8"/>
            <w:vAlign w:val="center"/>
          </w:tcPr>
          <w:p>
            <w:r>
              <w:rPr>
                <w:rFonts w:hint="eastAsia"/>
              </w:rPr>
              <w:t>第三名：</w:t>
            </w:r>
          </w:p>
        </w:tc>
      </w:tr>
    </w:tbl>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szCs w:val="21"/>
        </w:rPr>
        <w:t>【</w:t>
      </w:r>
      <w:r>
        <w:rPr>
          <w:rFonts w:hint="eastAsia" w:asciiTheme="minorEastAsia" w:hAnsiTheme="minorEastAsia" w:eastAsiaTheme="minorEastAsia"/>
        </w:rPr>
        <w:t>备注：本表可根据第二章投标人须知确定的中标候选人推荐数量等实际情况进行调整】</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Cs w:val="21"/>
        </w:rPr>
        <w:t>评标委员会全体成员签名：</w:t>
      </w:r>
      <w:r>
        <w:rPr>
          <w:rFonts w:asciiTheme="minorEastAsia" w:hAnsiTheme="minorEastAsia" w:eastAsiaTheme="minorEastAsia"/>
          <w:szCs w:val="21"/>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spacing w:line="560" w:lineRule="exact"/>
        <w:ind w:firstLine="422" w:firstLineChars="200"/>
        <w:rPr>
          <w:rFonts w:asciiTheme="minorEastAsia" w:hAnsiTheme="minorEastAsia" w:eastAsiaTheme="minorEastAsia"/>
          <w:b/>
        </w:rPr>
        <w:sectPr>
          <w:pgSz w:w="16840" w:h="11907" w:orient="landscape"/>
          <w:pgMar w:top="1440" w:right="1440" w:bottom="1227" w:left="1797" w:header="851" w:footer="851" w:gutter="0"/>
          <w:cols w:space="720" w:num="1"/>
          <w:docGrid w:linePitch="312" w:charSpace="0"/>
        </w:sectPr>
      </w:pPr>
    </w:p>
    <w:p>
      <w:pPr>
        <w:spacing w:line="560" w:lineRule="exact"/>
        <w:ind w:firstLine="420" w:firstLineChars="200"/>
        <w:jc w:val="center"/>
        <w:rPr>
          <w:rFonts w:asciiTheme="minorEastAsia" w:hAnsiTheme="minorEastAsia" w:eastAsiaTheme="minorEastAsia"/>
        </w:rPr>
      </w:pPr>
    </w:p>
    <w:bookmarkEnd w:id="150"/>
    <w:p>
      <w:pPr>
        <w:pStyle w:val="3"/>
        <w:ind w:firstLine="883" w:firstLineChars="200"/>
        <w:jc w:val="center"/>
        <w:rPr>
          <w:rFonts w:asciiTheme="minorEastAsia" w:hAnsiTheme="minorEastAsia" w:eastAsiaTheme="minorEastAsia"/>
        </w:rPr>
      </w:pPr>
      <w:bookmarkStart w:id="193" w:name="_Toc493793445"/>
      <w:bookmarkStart w:id="194" w:name="_Toc358476596"/>
      <w:bookmarkStart w:id="195" w:name="_Toc351203632"/>
      <w:bookmarkStart w:id="196" w:name="_Toc373227691"/>
      <w:bookmarkStart w:id="197" w:name="_Toc493793447"/>
      <w:bookmarkStart w:id="198" w:name="_Toc373478338"/>
      <w:bookmarkStart w:id="199" w:name="_Toc389065256"/>
      <w:bookmarkStart w:id="200" w:name="_Toc358569763"/>
      <w:r>
        <w:rPr>
          <w:rFonts w:hint="eastAsia" w:asciiTheme="minorEastAsia" w:hAnsiTheme="minorEastAsia" w:eastAsiaTheme="minorEastAsia"/>
        </w:rPr>
        <w:t>第四章</w:t>
      </w:r>
      <w:r>
        <w:rPr>
          <w:rFonts w:asciiTheme="minorEastAsia" w:hAnsiTheme="minorEastAsia" w:eastAsiaTheme="minorEastAsia"/>
        </w:rPr>
        <w:t xml:space="preserve">  </w:t>
      </w:r>
      <w:r>
        <w:rPr>
          <w:rFonts w:hint="eastAsia" w:asciiTheme="minorEastAsia" w:hAnsiTheme="minorEastAsia" w:eastAsiaTheme="minorEastAsia"/>
        </w:rPr>
        <w:t>合同条款及格式</w:t>
      </w:r>
      <w:bookmarkEnd w:id="193"/>
    </w:p>
    <w:bookmarkEnd w:id="194"/>
    <w:p>
      <w:pPr>
        <w:pStyle w:val="3"/>
        <w:ind w:firstLine="883" w:firstLineChars="200"/>
        <w:jc w:val="center"/>
        <w:rPr>
          <w:rFonts w:asciiTheme="minorEastAsia" w:hAnsiTheme="minorEastAsia" w:eastAsiaTheme="minorEastAsia"/>
          <w:bCs/>
        </w:rPr>
      </w:pPr>
      <w:bookmarkStart w:id="201" w:name="_Toc389065255"/>
      <w:bookmarkStart w:id="202" w:name="_Toc373478199"/>
      <w:bookmarkStart w:id="203" w:name="_Toc351203480"/>
      <w:bookmarkStart w:id="204" w:name="_Toc493793446"/>
      <w:bookmarkStart w:id="205" w:name="_Toc296503025"/>
      <w:bookmarkStart w:id="206" w:name="_Toc296890982"/>
      <w:bookmarkStart w:id="207" w:name="_Toc373227552"/>
      <w:r>
        <w:rPr>
          <w:rFonts w:hint="eastAsia" w:asciiTheme="minorEastAsia" w:hAnsiTheme="minorEastAsia" w:eastAsiaTheme="minorEastAsia"/>
          <w:bCs/>
        </w:rPr>
        <w:t>第一部分</w:t>
      </w:r>
      <w:r>
        <w:rPr>
          <w:rFonts w:asciiTheme="minorEastAsia" w:hAnsiTheme="minorEastAsia" w:eastAsiaTheme="minorEastAsia"/>
          <w:bCs/>
        </w:rPr>
        <w:t xml:space="preserve"> </w:t>
      </w:r>
      <w:r>
        <w:rPr>
          <w:rFonts w:hint="eastAsia" w:asciiTheme="minorEastAsia" w:hAnsiTheme="minorEastAsia" w:eastAsiaTheme="minorEastAsia"/>
          <w:bCs/>
        </w:rPr>
        <w:t>合同协议书</w:t>
      </w:r>
      <w:bookmarkEnd w:id="201"/>
      <w:bookmarkEnd w:id="202"/>
      <w:bookmarkEnd w:id="203"/>
      <w:bookmarkEnd w:id="204"/>
      <w:bookmarkEnd w:id="205"/>
      <w:bookmarkEnd w:id="206"/>
      <w:bookmarkEnd w:id="207"/>
    </w:p>
    <w:p>
      <w:pPr>
        <w:spacing w:line="560" w:lineRule="exact"/>
        <w:ind w:left="10" w:leftChars="5" w:firstLine="420" w:firstLineChars="200"/>
        <w:jc w:val="left"/>
        <w:rPr>
          <w:rFonts w:asciiTheme="minorEastAsia" w:hAnsiTheme="minorEastAsia" w:eastAsiaTheme="minorEastAsia"/>
          <w:u w:val="single"/>
        </w:rPr>
      </w:pPr>
      <w:r>
        <w:rPr>
          <w:rFonts w:hint="eastAsia" w:asciiTheme="minorEastAsia" w:hAnsiTheme="minorEastAsia" w:eastAsiaTheme="minorEastAsia"/>
        </w:rPr>
        <w:t>发包人（全称）：</w:t>
      </w:r>
      <w:r>
        <w:rPr>
          <w:rFonts w:hint="eastAsia" w:asciiTheme="minorEastAsia" w:hAnsiTheme="minorEastAsia" w:eastAsiaTheme="minorEastAsia"/>
          <w:u w:val="single"/>
        </w:rPr>
        <w:t>广西中医药大学附属瑞康医院</w:t>
      </w:r>
    </w:p>
    <w:p>
      <w:pPr>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承包人（全称）：</w:t>
      </w:r>
      <w:r>
        <w:rPr>
          <w:rFonts w:hint="eastAsia" w:asciiTheme="minorEastAsia" w:hAnsiTheme="minorEastAsia" w:eastAsiaTheme="minorEastAsia"/>
          <w:u w:val="single"/>
        </w:rPr>
        <w:t xml:space="preserve">                          </w:t>
      </w:r>
    </w:p>
    <w:p>
      <w:pPr>
        <w:spacing w:line="560" w:lineRule="exact"/>
        <w:ind w:left="10" w:leftChars="5" w:firstLine="420" w:firstLineChars="200"/>
        <w:rPr>
          <w:rFonts w:asciiTheme="minorEastAsia" w:hAnsiTheme="minorEastAsia" w:eastAsiaTheme="minorEastAsia"/>
        </w:rPr>
      </w:pPr>
      <w:r>
        <w:rPr>
          <w:rFonts w:hint="eastAsia" w:asciiTheme="minorEastAsia" w:hAnsiTheme="minorEastAsia" w:eastAsiaTheme="minorEastAsia"/>
        </w:rPr>
        <w:t>依照《中华人民共和国合同法》、《中华人民共和国消防法》、《中华人民共和国建筑法》、《中华人民共和国劳动法》、行政法规，遵循平等、自愿、公平和诚实信用的原则，双方就本建设工程施工事项协商一致，订立本合同。</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、工程概况</w:t>
      </w:r>
    </w:p>
    <w:p>
      <w:pPr>
        <w:spacing w:line="560" w:lineRule="exact"/>
        <w:ind w:left="10" w:leftChars="5" w:firstLine="420" w:firstLineChars="200"/>
        <w:rPr>
          <w:rFonts w:asciiTheme="minorEastAsia" w:hAnsiTheme="minorEastAsia" w:eastAsiaTheme="minorEastAsia"/>
          <w:u w:val="single"/>
        </w:rPr>
      </w:pPr>
      <w:r>
        <w:rPr>
          <w:rFonts w:hint="eastAsia" w:asciiTheme="minorEastAsia" w:hAnsiTheme="minorEastAsia" w:eastAsiaTheme="minorEastAsia"/>
        </w:rPr>
        <w:t>工程名称：</w:t>
      </w:r>
      <w:r>
        <w:rPr>
          <w:rFonts w:hint="eastAsia" w:asciiTheme="minorEastAsia" w:hAnsiTheme="minorEastAsia" w:eastAsiaTheme="minorEastAsia"/>
          <w:u w:val="single"/>
        </w:rPr>
        <w:t>广西中医药大学附属瑞康医院B座七层楼关节与运动医学科与修复重建显微外科病房改造装修工程</w:t>
      </w:r>
    </w:p>
    <w:p>
      <w:pPr>
        <w:spacing w:line="560" w:lineRule="exact"/>
        <w:ind w:left="10" w:leftChars="5" w:firstLine="420" w:firstLineChars="200"/>
        <w:rPr>
          <w:rFonts w:asciiTheme="minorEastAsia" w:hAnsiTheme="minorEastAsia" w:eastAsiaTheme="minorEastAsia"/>
          <w:u w:val="single"/>
        </w:rPr>
      </w:pPr>
      <w:r>
        <w:rPr>
          <w:rFonts w:hint="eastAsia" w:asciiTheme="minorEastAsia" w:hAnsiTheme="minorEastAsia" w:eastAsiaTheme="minorEastAsia"/>
        </w:rPr>
        <w:t>工程地址：</w:t>
      </w:r>
      <w:r>
        <w:rPr>
          <w:rFonts w:hint="eastAsia" w:asciiTheme="minorEastAsia" w:hAnsiTheme="minorEastAsia" w:eastAsiaTheme="minorEastAsia"/>
          <w:u w:val="single"/>
        </w:rPr>
        <w:t>广西中医药大学附属瑞康医院。</w:t>
      </w:r>
    </w:p>
    <w:p>
      <w:pPr>
        <w:spacing w:line="560" w:lineRule="exact"/>
        <w:ind w:left="10" w:leftChars="5" w:firstLine="420" w:firstLineChars="200"/>
        <w:rPr>
          <w:rFonts w:asciiTheme="minorEastAsia" w:hAnsiTheme="minorEastAsia" w:eastAsiaTheme="minorEastAsia"/>
        </w:rPr>
      </w:pPr>
      <w:r>
        <w:rPr>
          <w:rFonts w:hint="eastAsia" w:asciiTheme="minorEastAsia" w:hAnsiTheme="minorEastAsia" w:eastAsiaTheme="minorEastAsia"/>
        </w:rPr>
        <w:t>工程内容：图纸及招标文件内的所有内容</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2</w:t>
      </w:r>
      <w:r>
        <w:rPr>
          <w:rFonts w:hint="eastAsia" w:asciiTheme="minorEastAsia" w:hAnsiTheme="minorEastAsia" w:eastAsiaTheme="minorEastAsia"/>
          <w:b/>
        </w:rPr>
        <w:t>、工程承包范围</w:t>
      </w:r>
    </w:p>
    <w:p>
      <w:pPr>
        <w:spacing w:line="560" w:lineRule="exact"/>
        <w:ind w:left="10" w:leftChars="5" w:firstLine="420" w:firstLineChars="200"/>
        <w:rPr>
          <w:rFonts w:asciiTheme="minorEastAsia" w:hAnsiTheme="minorEastAsia" w:eastAsiaTheme="minorEastAsia"/>
        </w:rPr>
      </w:pPr>
      <w:r>
        <w:rPr>
          <w:rFonts w:hint="eastAsia" w:asciiTheme="minorEastAsia" w:hAnsiTheme="minorEastAsia" w:eastAsiaTheme="minorEastAsia"/>
        </w:rPr>
        <w:t>承包范围：</w:t>
      </w:r>
      <w:r>
        <w:rPr>
          <w:rFonts w:asciiTheme="minorEastAsia" w:hAnsiTheme="minorEastAsia" w:eastAsiaTheme="minorEastAsia"/>
          <w:u w:val="single"/>
        </w:rPr>
        <w:t xml:space="preserve">                       </w:t>
      </w:r>
      <w:r>
        <w:rPr>
          <w:rFonts w:hint="eastAsia" w:asciiTheme="minorEastAsia" w:hAnsiTheme="minorEastAsia" w:eastAsiaTheme="minorEastAsia"/>
        </w:rPr>
        <w:t>。</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3</w:t>
      </w:r>
      <w:r>
        <w:rPr>
          <w:rFonts w:hint="eastAsia" w:asciiTheme="minorEastAsia" w:hAnsiTheme="minorEastAsia" w:eastAsiaTheme="minorEastAsia"/>
          <w:b/>
        </w:rPr>
        <w:t>、合同工期</w:t>
      </w:r>
    </w:p>
    <w:p>
      <w:pPr>
        <w:spacing w:line="560" w:lineRule="exact"/>
        <w:ind w:left="10" w:leftChars="5" w:firstLine="420" w:firstLineChars="200"/>
        <w:rPr>
          <w:rFonts w:asciiTheme="minorEastAsia" w:hAnsiTheme="minorEastAsia" w:eastAsiaTheme="minorEastAsia"/>
          <w:u w:val="single"/>
        </w:rPr>
      </w:pPr>
      <w:r>
        <w:rPr>
          <w:rFonts w:hint="eastAsia" w:asciiTheme="minorEastAsia" w:hAnsiTheme="minorEastAsia" w:eastAsiaTheme="minorEastAsia"/>
        </w:rPr>
        <w:t>开工日期：</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spacing w:line="560" w:lineRule="exact"/>
        <w:ind w:left="10" w:leftChars="5" w:firstLine="420" w:firstLineChars="200"/>
        <w:rPr>
          <w:rFonts w:asciiTheme="minorEastAsia" w:hAnsiTheme="minorEastAsia" w:eastAsiaTheme="minorEastAsia"/>
        </w:rPr>
      </w:pPr>
      <w:r>
        <w:rPr>
          <w:rFonts w:hint="eastAsia" w:asciiTheme="minorEastAsia" w:hAnsiTheme="minorEastAsia" w:eastAsiaTheme="minorEastAsia"/>
        </w:rPr>
        <w:t>竣工日期：</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spacing w:line="560" w:lineRule="exact"/>
        <w:ind w:left="10" w:leftChars="5" w:firstLine="420" w:firstLineChars="200"/>
        <w:rPr>
          <w:rFonts w:asciiTheme="minorEastAsia" w:hAnsiTheme="minorEastAsia" w:eastAsiaTheme="minorEastAsia"/>
        </w:rPr>
      </w:pPr>
      <w:r>
        <w:rPr>
          <w:rFonts w:hint="eastAsia" w:asciiTheme="minorEastAsia" w:hAnsiTheme="minorEastAsia" w:eastAsiaTheme="minorEastAsia"/>
        </w:rPr>
        <w:t>合同工期总数：</w:t>
      </w:r>
      <w:r>
        <w:rPr>
          <w:rFonts w:asciiTheme="minorEastAsia" w:hAnsiTheme="minorEastAsia" w:eastAsiaTheme="minorEastAsia"/>
          <w:u w:val="single"/>
        </w:rPr>
        <w:t>90</w:t>
      </w:r>
      <w:r>
        <w:rPr>
          <w:rFonts w:hint="eastAsia" w:asciiTheme="minorEastAsia" w:hAnsiTheme="minorEastAsia" w:eastAsiaTheme="minorEastAsia"/>
          <w:u w:val="single"/>
        </w:rPr>
        <w:t>天</w:t>
      </w:r>
      <w:r>
        <w:rPr>
          <w:rFonts w:hint="eastAsia" w:asciiTheme="minorEastAsia" w:hAnsiTheme="minorEastAsia" w:eastAsiaTheme="minorEastAsia"/>
        </w:rPr>
        <w:t>（日历天），2020年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日施工单位进场开工，</w:t>
      </w:r>
      <w:r>
        <w:rPr>
          <w:rFonts w:asciiTheme="minorEastAsia" w:hAnsiTheme="minorEastAsia" w:eastAsiaTheme="minorEastAsia"/>
        </w:rPr>
        <w:t>2020</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日前竣工投入使用。</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4</w:t>
      </w:r>
      <w:r>
        <w:rPr>
          <w:rFonts w:hint="eastAsia" w:asciiTheme="minorEastAsia" w:hAnsiTheme="minorEastAsia" w:eastAsiaTheme="minorEastAsia"/>
          <w:b/>
        </w:rPr>
        <w:t>、质量标准</w:t>
      </w:r>
    </w:p>
    <w:p>
      <w:pPr>
        <w:spacing w:line="560" w:lineRule="exact"/>
        <w:ind w:left="10" w:leftChars="5" w:firstLine="420" w:firstLineChars="200"/>
        <w:rPr>
          <w:rFonts w:asciiTheme="minorEastAsia" w:hAnsiTheme="minorEastAsia" w:eastAsiaTheme="minorEastAsia"/>
          <w:color w:val="auto"/>
          <w:u w:val="single"/>
        </w:rPr>
      </w:pPr>
      <w:r>
        <w:rPr>
          <w:rFonts w:hint="eastAsia" w:asciiTheme="minorEastAsia" w:hAnsiTheme="minorEastAsia" w:eastAsiaTheme="minorEastAsia"/>
          <w:color w:val="auto"/>
        </w:rPr>
        <w:t>工程质量标准：</w:t>
      </w:r>
    </w:p>
    <w:p>
      <w:pPr>
        <w:spacing w:line="560" w:lineRule="exact"/>
        <w:ind w:firstLine="420" w:firstLineChars="200"/>
        <w:rPr>
          <w:rFonts w:asciiTheme="minorEastAsia" w:hAnsiTheme="minorEastAsia" w:eastAsiaTheme="minorEastAsia"/>
          <w:color w:val="auto"/>
          <w:u w:val="single"/>
        </w:rPr>
      </w:pPr>
      <w:r>
        <w:rPr>
          <w:rFonts w:hint="eastAsia" w:asciiTheme="minorEastAsia" w:hAnsiTheme="minorEastAsia" w:eastAsiaTheme="minorEastAsia"/>
          <w:color w:val="auto"/>
        </w:rPr>
        <w:t xml:space="preserve">4.1 </w:t>
      </w:r>
      <w:r>
        <w:rPr>
          <w:rFonts w:hint="eastAsia" w:asciiTheme="minorEastAsia" w:hAnsiTheme="minorEastAsia" w:eastAsiaTheme="minorEastAsia"/>
          <w:color w:val="auto"/>
          <w:u w:val="single"/>
        </w:rPr>
        <w:t>施工要求的质量标准：符合国家规定的标准、政策和现行技术规范、规程要求。</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5</w:t>
      </w:r>
      <w:r>
        <w:rPr>
          <w:rFonts w:hint="eastAsia" w:asciiTheme="minorEastAsia" w:hAnsiTheme="minorEastAsia" w:eastAsiaTheme="minorEastAsia"/>
          <w:b/>
        </w:rPr>
        <w:t>、合同价款</w:t>
      </w:r>
    </w:p>
    <w:p>
      <w:pPr>
        <w:wordWrap w:val="0"/>
        <w:spacing w:line="560" w:lineRule="exact"/>
        <w:ind w:firstLine="420" w:firstLineChars="200"/>
        <w:rPr>
          <w:color w:val="000000" w:themeColor="text1"/>
          <w:szCs w:val="21"/>
        </w:rPr>
      </w:pPr>
      <w:r>
        <w:rPr>
          <w:color w:val="000000" w:themeColor="text1"/>
          <w:szCs w:val="21"/>
        </w:rPr>
        <w:t>1.</w:t>
      </w:r>
      <w:r>
        <w:rPr>
          <w:rFonts w:hAnsi="宋体"/>
          <w:color w:val="000000" w:themeColor="text1"/>
          <w:szCs w:val="21"/>
        </w:rPr>
        <w:t>签约合同价为：</w:t>
      </w:r>
    </w:p>
    <w:p>
      <w:pPr>
        <w:wordWrap w:val="0"/>
        <w:spacing w:line="560" w:lineRule="exact"/>
        <w:ind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其中：</w:t>
      </w:r>
    </w:p>
    <w:p>
      <w:pPr>
        <w:wordWrap w:val="0"/>
        <w:spacing w:line="560" w:lineRule="exact"/>
        <w:ind w:firstLine="420" w:firstLineChars="20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）安全文明施工费：</w:t>
      </w:r>
    </w:p>
    <w:p>
      <w:pPr>
        <w:wordWrap w:val="0"/>
        <w:spacing w:line="560" w:lineRule="exact"/>
        <w:ind w:left="420" w:leftChars="200"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）建安劳保费：</w:t>
      </w:r>
    </w:p>
    <w:p>
      <w:pPr>
        <w:wordWrap w:val="0"/>
        <w:spacing w:line="560" w:lineRule="exact"/>
        <w:ind w:left="420" w:leftChars="200"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）材料和工程设备暂估价金额：</w:t>
      </w:r>
    </w:p>
    <w:p>
      <w:pPr>
        <w:wordWrap w:val="0"/>
        <w:spacing w:line="560" w:lineRule="exact"/>
        <w:ind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w:t>
      </w:r>
      <w:r>
        <w:rPr>
          <w:color w:val="000000" w:themeColor="text1"/>
          <w:szCs w:val="21"/>
        </w:rPr>
        <w:t>4</w:t>
      </w:r>
      <w:r>
        <w:rPr>
          <w:rFonts w:hAnsi="宋体"/>
          <w:color w:val="000000" w:themeColor="text1"/>
          <w:szCs w:val="21"/>
        </w:rPr>
        <w:t>）专业工程暂估价金额：</w:t>
      </w:r>
    </w:p>
    <w:p>
      <w:pPr>
        <w:wordWrap w:val="0"/>
        <w:spacing w:line="560" w:lineRule="exact"/>
        <w:ind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w:t>
      </w:r>
      <w:r>
        <w:rPr>
          <w:color w:val="000000" w:themeColor="text1"/>
          <w:szCs w:val="21"/>
        </w:rPr>
        <w:t>5</w:t>
      </w:r>
      <w:r>
        <w:rPr>
          <w:rFonts w:hAnsi="宋体"/>
          <w:color w:val="000000" w:themeColor="text1"/>
          <w:szCs w:val="21"/>
        </w:rPr>
        <w:t>）暂列金额：</w:t>
      </w:r>
    </w:p>
    <w:p>
      <w:pPr>
        <w:wordWrap w:val="0"/>
        <w:spacing w:line="560" w:lineRule="exact"/>
        <w:ind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w:t>
      </w:r>
      <w:r>
        <w:rPr>
          <w:color w:val="000000" w:themeColor="text1"/>
          <w:szCs w:val="21"/>
        </w:rPr>
        <w:t>6</w:t>
      </w:r>
      <w:r>
        <w:rPr>
          <w:rFonts w:hAnsi="宋体"/>
          <w:color w:val="000000" w:themeColor="text1"/>
          <w:szCs w:val="21"/>
        </w:rPr>
        <w:t>）增值税额：</w:t>
      </w:r>
    </w:p>
    <w:p>
      <w:pPr>
        <w:wordWrap w:val="0"/>
        <w:spacing w:line="560" w:lineRule="exact"/>
        <w:ind w:firstLine="420" w:firstLineChars="200"/>
        <w:rPr>
          <w:color w:val="000000" w:themeColor="text1"/>
          <w:szCs w:val="21"/>
        </w:rPr>
      </w:pPr>
      <w:r>
        <w:rPr>
          <w:rFonts w:hAnsi="宋体"/>
          <w:color w:val="000000" w:themeColor="text1"/>
          <w:szCs w:val="21"/>
        </w:rPr>
        <w:t>人民币（大写）</w:t>
      </w:r>
      <w:r>
        <w:rPr>
          <w:rFonts w:hint="eastAsia" w:hAnsi="宋体"/>
          <w:bCs/>
          <w:color w:val="000000" w:themeColor="text1"/>
          <w:szCs w:val="21"/>
          <w:u w:val="single"/>
        </w:rPr>
        <w:t xml:space="preserve">      </w:t>
      </w:r>
      <w:r>
        <w:rPr>
          <w:rFonts w:hAnsi="宋体"/>
          <w:color w:val="000000" w:themeColor="text1"/>
          <w:szCs w:val="21"/>
        </w:rPr>
        <w:t>（</w:t>
      </w:r>
      <w:r>
        <w:rPr>
          <w:color w:val="000000" w:themeColor="text1"/>
          <w:szCs w:val="21"/>
        </w:rPr>
        <w:t>¥</w:t>
      </w:r>
      <w:r>
        <w:rPr>
          <w:rFonts w:hint="eastAsia" w:hAnsi="宋体"/>
          <w:bCs/>
          <w:color w:val="000000" w:themeColor="text1"/>
          <w:szCs w:val="21"/>
          <w:u w:val="single"/>
        </w:rPr>
        <w:t xml:space="preserve">      </w:t>
      </w:r>
      <w:r>
        <w:rPr>
          <w:rFonts w:hAnsi="宋体"/>
          <w:color w:val="000000" w:themeColor="text1"/>
          <w:szCs w:val="21"/>
        </w:rPr>
        <w:t>）。</w:t>
      </w:r>
    </w:p>
    <w:p>
      <w:pPr>
        <w:wordWrap w:val="0"/>
        <w:spacing w:line="560" w:lineRule="exact"/>
        <w:ind w:firstLine="420" w:firstLineChars="200"/>
        <w:rPr>
          <w:color w:val="000000" w:themeColor="text1"/>
          <w:szCs w:val="21"/>
        </w:rPr>
      </w:pPr>
      <w:r>
        <w:rPr>
          <w:rFonts w:hAnsi="宋体"/>
          <w:color w:val="000000" w:themeColor="text1"/>
          <w:szCs w:val="21"/>
        </w:rPr>
        <w:t>增值税率：</w:t>
      </w:r>
      <w:r>
        <w:rPr>
          <w:rFonts w:hAnsi="宋体"/>
          <w:color w:val="000000" w:themeColor="text1"/>
          <w:szCs w:val="21"/>
          <w:u w:val="single"/>
        </w:rPr>
        <w:t>　　　　　　</w:t>
      </w:r>
    </w:p>
    <w:p>
      <w:pPr>
        <w:wordWrap w:val="0"/>
        <w:spacing w:line="560" w:lineRule="exact"/>
        <w:ind w:firstLine="420" w:firstLineChars="200"/>
        <w:rPr>
          <w:color w:val="000000" w:themeColor="text1"/>
          <w:szCs w:val="21"/>
        </w:rPr>
      </w:pPr>
      <w:r>
        <w:rPr>
          <w:color w:val="000000" w:themeColor="text1"/>
          <w:szCs w:val="21"/>
        </w:rPr>
        <w:t>2.</w:t>
      </w:r>
      <w:r>
        <w:rPr>
          <w:rFonts w:hAnsi="宋体"/>
          <w:color w:val="000000" w:themeColor="text1"/>
          <w:szCs w:val="21"/>
        </w:rPr>
        <w:t>合同价格形式：</w:t>
      </w:r>
      <w:r>
        <w:rPr>
          <w:rFonts w:hAnsi="宋体"/>
          <w:color w:val="000000" w:themeColor="text1"/>
          <w:szCs w:val="21"/>
          <w:u w:val="single"/>
        </w:rPr>
        <w:t>固定综合单价</w:t>
      </w:r>
      <w:r>
        <w:rPr>
          <w:rFonts w:hAnsi="宋体"/>
          <w:color w:val="000000" w:themeColor="text1"/>
          <w:szCs w:val="21"/>
        </w:rPr>
        <w:t>。</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6</w:t>
      </w:r>
      <w:r>
        <w:rPr>
          <w:rFonts w:hint="eastAsia" w:asciiTheme="minorEastAsia" w:hAnsiTheme="minorEastAsia" w:eastAsiaTheme="minorEastAsia"/>
          <w:b/>
        </w:rPr>
        <w:t>、组成合同的文件</w:t>
      </w:r>
    </w:p>
    <w:p>
      <w:pPr>
        <w:spacing w:line="560" w:lineRule="exact"/>
        <w:ind w:left="10" w:leftChars="5" w:firstLine="420" w:firstLineChars="200"/>
        <w:rPr>
          <w:rFonts w:asciiTheme="minorEastAsia" w:hAnsiTheme="minorEastAsia" w:eastAsiaTheme="minorEastAsia"/>
        </w:rPr>
      </w:pPr>
      <w:r>
        <w:rPr>
          <w:rFonts w:asciiTheme="minorEastAsia" w:hAnsiTheme="minorEastAsia" w:eastAsiaTheme="minorEastAsia"/>
        </w:rPr>
        <w:t xml:space="preserve">6.1  </w:t>
      </w:r>
      <w:r>
        <w:rPr>
          <w:rFonts w:hint="eastAsia" w:asciiTheme="minorEastAsia" w:hAnsiTheme="minorEastAsia" w:eastAsiaTheme="minorEastAsia"/>
        </w:rPr>
        <w:t>组成本合同的文件包括：</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⑴</w:t>
      </w:r>
      <w:r>
        <w:rPr>
          <w:rFonts w:asciiTheme="minorEastAsia" w:hAnsiTheme="minorEastAsia" w:eastAsiaTheme="minorEastAsia"/>
        </w:rPr>
        <w:t xml:space="preserve"> </w:t>
      </w:r>
      <w:r>
        <w:rPr>
          <w:rFonts w:hint="eastAsia" w:asciiTheme="minorEastAsia" w:hAnsiTheme="minorEastAsia" w:eastAsiaTheme="minorEastAsia"/>
        </w:rPr>
        <w:t>本合同协议书</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⑵</w:t>
      </w:r>
      <w:r>
        <w:rPr>
          <w:rFonts w:asciiTheme="minorEastAsia" w:hAnsiTheme="minorEastAsia" w:eastAsiaTheme="minorEastAsia"/>
        </w:rPr>
        <w:t xml:space="preserve"> </w:t>
      </w:r>
      <w:r>
        <w:rPr>
          <w:rFonts w:hint="eastAsia" w:asciiTheme="minorEastAsia" w:hAnsiTheme="minorEastAsia" w:eastAsiaTheme="minorEastAsia"/>
        </w:rPr>
        <w:t>中标通知书</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⑶</w:t>
      </w:r>
      <w:r>
        <w:rPr>
          <w:rFonts w:asciiTheme="minorEastAsia" w:hAnsiTheme="minorEastAsia" w:eastAsiaTheme="minorEastAsia"/>
        </w:rPr>
        <w:t xml:space="preserve"> </w:t>
      </w:r>
      <w:r>
        <w:rPr>
          <w:rFonts w:hint="eastAsia" w:asciiTheme="minorEastAsia" w:hAnsiTheme="minorEastAsia" w:eastAsiaTheme="minorEastAsia"/>
        </w:rPr>
        <w:t>招标文件（含所有补充通知和答疑）</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⑷</w:t>
      </w:r>
      <w:r>
        <w:rPr>
          <w:rFonts w:asciiTheme="minorEastAsia" w:hAnsiTheme="minorEastAsia" w:eastAsiaTheme="minorEastAsia"/>
        </w:rPr>
        <w:t xml:space="preserve"> </w:t>
      </w:r>
      <w:r>
        <w:rPr>
          <w:rFonts w:hint="eastAsia" w:asciiTheme="minorEastAsia" w:hAnsiTheme="minorEastAsia" w:eastAsiaTheme="minorEastAsia"/>
        </w:rPr>
        <w:t>投标文件及其附件</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⑸</w:t>
      </w:r>
      <w:r>
        <w:rPr>
          <w:rFonts w:asciiTheme="minorEastAsia" w:hAnsiTheme="minorEastAsia" w:eastAsiaTheme="minorEastAsia"/>
        </w:rPr>
        <w:t xml:space="preserve"> </w:t>
      </w:r>
      <w:r>
        <w:rPr>
          <w:rFonts w:hint="eastAsia" w:asciiTheme="minorEastAsia" w:hAnsiTheme="minorEastAsia" w:eastAsiaTheme="minorEastAsia"/>
        </w:rPr>
        <w:t>本合同专用条款</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⑹</w:t>
      </w:r>
      <w:r>
        <w:rPr>
          <w:rFonts w:asciiTheme="minorEastAsia" w:hAnsiTheme="minorEastAsia" w:eastAsiaTheme="minorEastAsia"/>
        </w:rPr>
        <w:t xml:space="preserve"> </w:t>
      </w:r>
      <w:r>
        <w:rPr>
          <w:rFonts w:hint="eastAsia" w:asciiTheme="minorEastAsia" w:hAnsiTheme="minorEastAsia" w:eastAsiaTheme="minorEastAsia"/>
        </w:rPr>
        <w:t>本合同通用条款</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⑺</w:t>
      </w:r>
      <w:r>
        <w:rPr>
          <w:rFonts w:asciiTheme="minorEastAsia" w:hAnsiTheme="minorEastAsia" w:eastAsiaTheme="minorEastAsia"/>
        </w:rPr>
        <w:t xml:space="preserve"> </w:t>
      </w:r>
      <w:r>
        <w:rPr>
          <w:rFonts w:hint="eastAsia" w:asciiTheme="minorEastAsia" w:hAnsiTheme="minorEastAsia" w:eastAsiaTheme="minorEastAsia"/>
        </w:rPr>
        <w:t>标准、规范及有关技术文件</w:t>
      </w:r>
    </w:p>
    <w:p>
      <w:pPr>
        <w:autoSpaceDE w:val="0"/>
        <w:autoSpaceDN w:val="0"/>
        <w:spacing w:line="560" w:lineRule="exact"/>
        <w:ind w:left="10" w:leftChars="5" w:firstLine="420" w:firstLineChars="200"/>
        <w:jc w:val="left"/>
        <w:rPr>
          <w:rFonts w:asciiTheme="minorEastAsia" w:hAnsiTheme="minorEastAsia" w:eastAsiaTheme="minorEastAsia"/>
        </w:rPr>
      </w:pPr>
      <w:r>
        <w:rPr>
          <w:rFonts w:hint="eastAsia" w:asciiTheme="minorEastAsia" w:hAnsiTheme="minorEastAsia" w:eastAsiaTheme="minorEastAsia"/>
        </w:rPr>
        <w:t>⑻</w:t>
      </w:r>
      <w:r>
        <w:rPr>
          <w:rFonts w:asciiTheme="minorEastAsia" w:hAnsiTheme="minorEastAsia" w:eastAsiaTheme="minorEastAsia"/>
        </w:rPr>
        <w:t xml:space="preserve"> </w:t>
      </w:r>
      <w:r>
        <w:rPr>
          <w:rFonts w:hint="eastAsia" w:asciiTheme="minorEastAsia" w:hAnsiTheme="minorEastAsia" w:eastAsiaTheme="minorEastAsia"/>
        </w:rPr>
        <w:t>图纸、工程量清单</w:t>
      </w:r>
    </w:p>
    <w:p>
      <w:pPr>
        <w:pStyle w:val="17"/>
        <w:spacing w:line="560" w:lineRule="exact"/>
        <w:ind w:left="10" w:leftChars="5" w:firstLine="420" w:firstLineChars="200"/>
        <w:rPr>
          <w:rFonts w:asciiTheme="minorEastAsia" w:hAnsiTheme="minorEastAsia" w:eastAsiaTheme="minorEastAsia"/>
        </w:rPr>
      </w:pPr>
      <w:r>
        <w:rPr>
          <w:rFonts w:asciiTheme="minorEastAsia" w:hAnsiTheme="minorEastAsia" w:eastAsiaTheme="minorEastAsia"/>
        </w:rPr>
        <w:t xml:space="preserve">6.2  </w:t>
      </w:r>
      <w:r>
        <w:rPr>
          <w:rFonts w:hint="eastAsia" w:asciiTheme="minorEastAsia" w:hAnsiTheme="minorEastAsia" w:eastAsiaTheme="minorEastAsia"/>
        </w:rPr>
        <w:t>双方有关工程的洽商、变更等书面协议或文件视为本合同的组成部分。</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7</w:t>
      </w:r>
      <w:r>
        <w:rPr>
          <w:rFonts w:hint="eastAsia" w:asciiTheme="minorEastAsia" w:hAnsiTheme="minorEastAsia" w:eastAsiaTheme="minorEastAsia"/>
          <w:b/>
        </w:rPr>
        <w:t>、本协议书中有关词语含义与本合同第二部分《专用条款》中分别赋予它们的定义相同。</w:t>
      </w:r>
    </w:p>
    <w:p>
      <w:pPr>
        <w:tabs>
          <w:tab w:val="left" w:pos="1260"/>
        </w:tabs>
        <w:spacing w:line="560" w:lineRule="exact"/>
        <w:ind w:left="10" w:leftChars="5" w:firstLine="422" w:firstLineChars="200"/>
        <w:rPr>
          <w:rFonts w:asciiTheme="minorEastAsia" w:hAnsiTheme="minorEastAsia" w:eastAsiaTheme="minorEastAsia"/>
          <w:b/>
          <w:spacing w:val="-3"/>
        </w:rPr>
      </w:pPr>
      <w:r>
        <w:rPr>
          <w:rFonts w:asciiTheme="minorEastAsia" w:hAnsiTheme="minorEastAsia" w:eastAsiaTheme="minorEastAsia"/>
          <w:b/>
        </w:rPr>
        <w:t>8</w:t>
      </w:r>
      <w:r>
        <w:rPr>
          <w:rFonts w:hint="eastAsia" w:asciiTheme="minorEastAsia" w:hAnsiTheme="minorEastAsia" w:eastAsiaTheme="minorEastAsia"/>
          <w:b/>
        </w:rPr>
        <w:t>、</w:t>
      </w:r>
      <w:r>
        <w:rPr>
          <w:rFonts w:hint="eastAsia" w:asciiTheme="minorEastAsia" w:hAnsiTheme="minorEastAsia" w:eastAsiaTheme="minorEastAsia"/>
          <w:b/>
          <w:spacing w:val="-3"/>
        </w:rPr>
        <w:t>承包人向发包人承诺按照合同约定进行施工、竣工并在质量保修期内承担工程质量保修责任。</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9</w:t>
      </w:r>
      <w:r>
        <w:rPr>
          <w:rFonts w:hint="eastAsia" w:asciiTheme="minorEastAsia" w:hAnsiTheme="minorEastAsia" w:eastAsiaTheme="minorEastAsia"/>
          <w:b/>
        </w:rPr>
        <w:t>、发包人向承包人承诺按照合同约定的期限和方式支付合同价款及其他应当支付的款项。</w:t>
      </w:r>
    </w:p>
    <w:p>
      <w:pPr>
        <w:spacing w:line="560" w:lineRule="exact"/>
        <w:ind w:left="10" w:leftChars="5" w:firstLine="422" w:firstLineChars="200"/>
        <w:rPr>
          <w:rFonts w:asciiTheme="minorEastAsia" w:hAnsiTheme="minorEastAsia" w:eastAsiaTheme="minorEastAsia"/>
          <w:b/>
        </w:rPr>
      </w:pPr>
      <w:r>
        <w:rPr>
          <w:rFonts w:asciiTheme="minorEastAsia" w:hAnsiTheme="minorEastAsia" w:eastAsiaTheme="minorEastAsia"/>
          <w:b/>
        </w:rPr>
        <w:t>10</w:t>
      </w:r>
      <w:r>
        <w:rPr>
          <w:rFonts w:hint="eastAsia" w:asciiTheme="minorEastAsia" w:hAnsiTheme="minorEastAsia" w:eastAsiaTheme="minorEastAsia"/>
          <w:b/>
        </w:rPr>
        <w:t>、合同生效</w:t>
      </w:r>
    </w:p>
    <w:p>
      <w:pPr>
        <w:spacing w:line="560" w:lineRule="exact"/>
        <w:ind w:left="10" w:leftChars="5" w:firstLine="420" w:firstLineChars="200"/>
        <w:rPr>
          <w:rFonts w:asciiTheme="minorEastAsia" w:hAnsiTheme="minorEastAsia" w:eastAsiaTheme="minorEastAsia"/>
        </w:rPr>
      </w:pPr>
      <w:r>
        <w:rPr>
          <w:rFonts w:asciiTheme="minorEastAsia" w:hAnsiTheme="minorEastAsia" w:eastAsiaTheme="minorEastAsia"/>
        </w:rPr>
        <w:t xml:space="preserve">10.1  </w:t>
      </w:r>
      <w:r>
        <w:rPr>
          <w:rFonts w:hint="eastAsia" w:asciiTheme="minorEastAsia" w:hAnsiTheme="minorEastAsia" w:eastAsiaTheme="minorEastAsia"/>
        </w:rPr>
        <w:t>合同订立时间：</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spacing w:line="560" w:lineRule="exact"/>
        <w:ind w:left="10" w:leftChars="5" w:firstLine="420" w:firstLineChars="200"/>
        <w:rPr>
          <w:rFonts w:asciiTheme="minorEastAsia" w:hAnsiTheme="minorEastAsia" w:eastAsiaTheme="minorEastAsia"/>
          <w:u w:val="single"/>
        </w:rPr>
      </w:pPr>
      <w:r>
        <w:rPr>
          <w:rFonts w:asciiTheme="minorEastAsia" w:hAnsiTheme="minorEastAsia" w:eastAsiaTheme="minorEastAsia"/>
        </w:rPr>
        <w:t xml:space="preserve">10.2  </w:t>
      </w:r>
      <w:r>
        <w:rPr>
          <w:rFonts w:hint="eastAsia" w:asciiTheme="minorEastAsia" w:hAnsiTheme="minorEastAsia" w:eastAsiaTheme="minorEastAsia"/>
        </w:rPr>
        <w:t>合同订立地点：</w:t>
      </w:r>
      <w:r>
        <w:rPr>
          <w:rFonts w:asciiTheme="minorEastAsia" w:hAnsiTheme="minorEastAsia" w:eastAsiaTheme="minorEastAsia"/>
          <w:u w:val="single"/>
        </w:rPr>
        <w:t xml:space="preserve">                        </w:t>
      </w:r>
    </w:p>
    <w:p>
      <w:pPr>
        <w:spacing w:line="560" w:lineRule="exact"/>
        <w:ind w:left="10" w:leftChars="5" w:firstLine="420" w:firstLineChars="200"/>
        <w:jc w:val="left"/>
        <w:rPr>
          <w:rFonts w:asciiTheme="minorEastAsia" w:hAnsiTheme="minorEastAsia" w:eastAsiaTheme="minorEastAsia"/>
        </w:rPr>
      </w:pPr>
      <w:r>
        <w:rPr>
          <w:rFonts w:asciiTheme="minorEastAsia" w:hAnsiTheme="minorEastAsia" w:eastAsiaTheme="minorEastAsia"/>
        </w:rPr>
        <w:t xml:space="preserve">10.3  </w:t>
      </w:r>
      <w:r>
        <w:rPr>
          <w:rFonts w:hint="eastAsia" w:asciiTheme="minorEastAsia" w:hAnsiTheme="minorEastAsia" w:eastAsiaTheme="minorEastAsia"/>
        </w:rPr>
        <w:t>本合同一式陆份，甲方执肆份，乙方执贰份。</w:t>
      </w:r>
      <w:r>
        <w:rPr>
          <w:rFonts w:hint="eastAsia" w:asciiTheme="minorEastAsia" w:hAnsiTheme="minorEastAsia" w:eastAsiaTheme="minorEastAsia"/>
          <w:u w:val="single"/>
        </w:rPr>
        <w:t>双方签字盖章后生效，至工程竣工交验收，结清工程余款，保修期满自然失效。</w:t>
      </w:r>
    </w:p>
    <w:p>
      <w:pPr>
        <w:spacing w:line="360" w:lineRule="auto"/>
        <w:jc w:val="left"/>
      </w:pPr>
    </w:p>
    <w:p>
      <w:pPr>
        <w:spacing w:line="480" w:lineRule="exact"/>
        <w:jc w:val="left"/>
      </w:pPr>
      <w:r>
        <w:rPr>
          <w:rFonts w:hint="eastAsia"/>
        </w:rPr>
        <w:t>发包人：（盖章）</w:t>
      </w:r>
      <w:r>
        <w:t xml:space="preserve">                      </w:t>
      </w:r>
      <w:r>
        <w:rPr>
          <w:rFonts w:hint="eastAsia"/>
        </w:rPr>
        <w:t>承包人：（盖章）</w:t>
      </w:r>
    </w:p>
    <w:p>
      <w:pPr>
        <w:spacing w:line="480" w:lineRule="exact"/>
        <w:jc w:val="left"/>
      </w:pPr>
      <w:r>
        <w:rPr>
          <w:rFonts w:hint="eastAsia"/>
        </w:rPr>
        <w:t>住所：</w:t>
      </w:r>
      <w:r>
        <w:t xml:space="preserve">                                </w:t>
      </w:r>
      <w:r>
        <w:rPr>
          <w:rFonts w:hint="eastAsia"/>
        </w:rPr>
        <w:t>住所：</w:t>
      </w:r>
    </w:p>
    <w:p>
      <w:pPr>
        <w:spacing w:line="480" w:lineRule="exact"/>
        <w:jc w:val="left"/>
      </w:pPr>
      <w:r>
        <w:rPr>
          <w:rFonts w:hint="eastAsia"/>
        </w:rPr>
        <w:t>法定代表人</w:t>
      </w:r>
      <w:r>
        <w:t xml:space="preserve"> </w:t>
      </w:r>
      <w:r>
        <w:rPr>
          <w:rFonts w:hint="eastAsia"/>
        </w:rPr>
        <w:t>：</w:t>
      </w:r>
      <w:r>
        <w:t xml:space="preserve">                         </w:t>
      </w:r>
      <w:r>
        <w:rPr>
          <w:rFonts w:hint="eastAsia"/>
        </w:rPr>
        <w:t>法定代表人：</w:t>
      </w:r>
    </w:p>
    <w:p>
      <w:pPr>
        <w:spacing w:line="480" w:lineRule="exact"/>
        <w:jc w:val="left"/>
      </w:pPr>
      <w:r>
        <w:rPr>
          <w:rFonts w:hint="eastAsia"/>
        </w:rPr>
        <w:t>（签字或盖章）</w:t>
      </w:r>
      <w:r>
        <w:t xml:space="preserve">                       </w:t>
      </w:r>
      <w:r>
        <w:rPr>
          <w:rFonts w:hint="eastAsia"/>
        </w:rPr>
        <w:t>（签字或盖章）</w:t>
      </w:r>
    </w:p>
    <w:p>
      <w:pPr>
        <w:spacing w:line="480" w:lineRule="exact"/>
        <w:jc w:val="left"/>
      </w:pPr>
      <w:r>
        <w:rPr>
          <w:rFonts w:hint="eastAsia"/>
        </w:rPr>
        <w:t>授权代理人：</w:t>
      </w:r>
      <w:r>
        <w:t xml:space="preserve">                          </w:t>
      </w:r>
      <w:r>
        <w:rPr>
          <w:rFonts w:hint="eastAsia"/>
        </w:rPr>
        <w:t>授权代理人：</w:t>
      </w:r>
    </w:p>
    <w:p>
      <w:pPr>
        <w:spacing w:line="480" w:lineRule="exact"/>
        <w:jc w:val="left"/>
      </w:pPr>
      <w:r>
        <w:rPr>
          <w:rFonts w:hint="eastAsia"/>
        </w:rPr>
        <w:t>（签字或盖章）</w:t>
      </w:r>
      <w:r>
        <w:t xml:space="preserve">                       </w:t>
      </w:r>
      <w:r>
        <w:rPr>
          <w:rFonts w:hint="eastAsia"/>
        </w:rPr>
        <w:t>（签字或盖章）</w:t>
      </w:r>
    </w:p>
    <w:p>
      <w:pPr>
        <w:spacing w:line="480" w:lineRule="exact"/>
        <w:jc w:val="left"/>
      </w:pPr>
      <w:r>
        <w:rPr>
          <w:rFonts w:hint="eastAsia"/>
        </w:rPr>
        <w:t>电话：</w:t>
      </w:r>
      <w:r>
        <w:t xml:space="preserve">                                </w:t>
      </w:r>
      <w:r>
        <w:rPr>
          <w:rFonts w:hint="eastAsia"/>
        </w:rPr>
        <w:t>电话：</w:t>
      </w:r>
    </w:p>
    <w:p>
      <w:pPr>
        <w:spacing w:line="480" w:lineRule="exact"/>
        <w:jc w:val="left"/>
      </w:pPr>
      <w:r>
        <w:rPr>
          <w:rFonts w:hint="eastAsia"/>
        </w:rPr>
        <w:t>传真：</w:t>
      </w:r>
      <w:r>
        <w:t xml:space="preserve">                                </w:t>
      </w:r>
      <w:r>
        <w:rPr>
          <w:rFonts w:hint="eastAsia"/>
        </w:rPr>
        <w:t>传真：</w:t>
      </w:r>
    </w:p>
    <w:p>
      <w:pPr>
        <w:spacing w:line="480" w:lineRule="exact"/>
        <w:jc w:val="left"/>
      </w:pPr>
      <w:r>
        <w:rPr>
          <w:rFonts w:hint="eastAsia"/>
        </w:rPr>
        <w:t>开户银行：</w:t>
      </w:r>
      <w:r>
        <w:t xml:space="preserve">                            </w:t>
      </w:r>
      <w:r>
        <w:rPr>
          <w:rFonts w:hint="eastAsia"/>
        </w:rPr>
        <w:t>开户银行：</w:t>
      </w:r>
    </w:p>
    <w:p>
      <w:pPr>
        <w:spacing w:line="480" w:lineRule="exact"/>
        <w:jc w:val="left"/>
      </w:pPr>
      <w:r>
        <w:rPr>
          <w:rFonts w:hint="eastAsia"/>
        </w:rPr>
        <w:t>帐号：</w:t>
      </w:r>
      <w:r>
        <w:t xml:space="preserve">                                </w:t>
      </w:r>
      <w:r>
        <w:rPr>
          <w:rFonts w:hint="eastAsia"/>
        </w:rPr>
        <w:t>帐号：</w:t>
      </w:r>
    </w:p>
    <w:p>
      <w:pPr>
        <w:spacing w:line="480" w:lineRule="exact"/>
        <w:ind w:firstLine="420" w:firstLineChars="200"/>
      </w:pPr>
      <w:r>
        <w:rPr>
          <w:rFonts w:hint="eastAsia"/>
        </w:rPr>
        <w:t>邮政编码：</w:t>
      </w:r>
      <w:r>
        <w:t xml:space="preserve">                            </w:t>
      </w:r>
      <w:r>
        <w:rPr>
          <w:rFonts w:hint="eastAsia"/>
        </w:rPr>
        <w:t>邮政编码：</w:t>
      </w:r>
    </w:p>
    <w:p>
      <w:pPr>
        <w:spacing w:line="560" w:lineRule="exact"/>
        <w:ind w:firstLine="420" w:firstLineChars="200"/>
        <w:rPr>
          <w:rFonts w:asciiTheme="minorEastAsia" w:hAnsiTheme="minorEastAsia" w:eastAsiaTheme="minorEastAsia"/>
          <w:szCs w:val="21"/>
          <w:u w:val="single"/>
        </w:rPr>
      </w:pPr>
    </w:p>
    <w:p>
      <w:pPr>
        <w:pStyle w:val="3"/>
        <w:spacing w:line="560" w:lineRule="exact"/>
        <w:ind w:firstLine="883" w:firstLineChars="200"/>
        <w:jc w:val="center"/>
        <w:rPr>
          <w:rFonts w:asciiTheme="minorEastAsia" w:hAnsiTheme="minorEastAsia" w:eastAsiaTheme="minorEastAsia"/>
          <w:kern w:val="0"/>
          <w:szCs w:val="21"/>
        </w:rPr>
      </w:pPr>
      <w:r>
        <w:rPr>
          <w:rFonts w:asciiTheme="minorEastAsia" w:hAnsiTheme="minorEastAsia" w:eastAsiaTheme="minorEastAsia"/>
          <w:szCs w:val="21"/>
        </w:rPr>
        <w:br w:type="page"/>
      </w:r>
      <w:bookmarkEnd w:id="195"/>
      <w:bookmarkEnd w:id="196"/>
      <w:bookmarkEnd w:id="197"/>
      <w:bookmarkEnd w:id="198"/>
      <w:bookmarkEnd w:id="199"/>
      <w:bookmarkStart w:id="208" w:name="_Toc529174381"/>
      <w:bookmarkStart w:id="209" w:name="_Toc493793449"/>
      <w:bookmarkStart w:id="210" w:name="_Toc74156274"/>
      <w:bookmarkStart w:id="211" w:name="_Toc389065258"/>
      <w:bookmarkStart w:id="212" w:name="_Toc373478339"/>
      <w:bookmarkStart w:id="213" w:name="_Toc351203633"/>
      <w:bookmarkStart w:id="214" w:name="_Toc100545065"/>
      <w:bookmarkStart w:id="215" w:name="_Toc373227692"/>
      <w:r>
        <w:rPr>
          <w:rFonts w:hint="eastAsia" w:asciiTheme="minorEastAsia" w:hAnsiTheme="minorEastAsia" w:eastAsiaTheme="minorEastAsia"/>
        </w:rPr>
        <w:t>第二部分</w:t>
      </w:r>
      <w:r>
        <w:rPr>
          <w:rFonts w:asciiTheme="minorEastAsia" w:hAnsiTheme="minorEastAsia" w:eastAsiaTheme="minorEastAsia"/>
        </w:rPr>
        <w:t xml:space="preserve"> </w:t>
      </w:r>
      <w:r>
        <w:rPr>
          <w:rFonts w:hint="eastAsia" w:asciiTheme="minorEastAsia" w:hAnsiTheme="minorEastAsia" w:eastAsiaTheme="minorEastAsia"/>
        </w:rPr>
        <w:t>通用合同条款</w:t>
      </w:r>
      <w:bookmarkEnd w:id="208"/>
    </w:p>
    <w:p>
      <w:pPr>
        <w:keepNext w:val="0"/>
        <w:keepLines w:val="0"/>
        <w:spacing w:line="560" w:lineRule="exact"/>
        <w:ind w:firstLine="420" w:firstLineChars="200"/>
      </w:pPr>
    </w:p>
    <w:p>
      <w:pPr>
        <w:pStyle w:val="3"/>
        <w:keepNext w:val="0"/>
        <w:keepLines w:val="0"/>
        <w:spacing w:line="560" w:lineRule="exact"/>
        <w:ind w:firstLine="883" w:firstLineChars="200"/>
        <w:jc w:val="center"/>
        <w:rPr>
          <w:rFonts w:asciiTheme="minorEastAsia" w:hAnsiTheme="minorEastAsia" w:eastAsiaTheme="minorEastAsia"/>
        </w:rPr>
      </w:pPr>
      <w:bookmarkStart w:id="216" w:name="_Toc529174382"/>
      <w:bookmarkStart w:id="217" w:name="_Toc389065257"/>
      <w:r>
        <w:rPr>
          <w:rFonts w:hint="eastAsia" w:asciiTheme="minorEastAsia" w:hAnsiTheme="minorEastAsia" w:eastAsiaTheme="minorEastAsia"/>
        </w:rPr>
        <w:t>第三部分 专用合同条款</w:t>
      </w:r>
      <w:bookmarkEnd w:id="216"/>
      <w:bookmarkEnd w:id="217"/>
    </w:p>
    <w:p>
      <w:pPr>
        <w:pStyle w:val="2"/>
        <w:spacing w:before="120" w:after="120" w:line="560" w:lineRule="exact"/>
        <w:ind w:firstLine="420" w:firstLineChars="200"/>
        <w:rPr>
          <w:rFonts w:ascii="宋体" w:hAnsi="宋体"/>
          <w:b w:val="0"/>
          <w:sz w:val="21"/>
          <w:szCs w:val="21"/>
        </w:rPr>
      </w:pPr>
      <w:bookmarkStart w:id="218" w:name="_Toc529174383"/>
      <w:r>
        <w:rPr>
          <w:rFonts w:ascii="宋体" w:hAnsi="宋体"/>
          <w:b w:val="0"/>
          <w:sz w:val="21"/>
          <w:szCs w:val="21"/>
        </w:rPr>
        <w:t xml:space="preserve">1. </w:t>
      </w:r>
      <w:r>
        <w:rPr>
          <w:rFonts w:hint="eastAsia" w:ascii="宋体" w:hAnsi="宋体"/>
          <w:b w:val="0"/>
          <w:sz w:val="21"/>
          <w:szCs w:val="21"/>
        </w:rPr>
        <w:t>一般约定</w:t>
      </w:r>
    </w:p>
    <w:p>
      <w:pPr>
        <w:spacing w:after="120" w:line="560" w:lineRule="exact"/>
        <w:ind w:firstLine="420" w:firstLineChars="200"/>
        <w:rPr>
          <w:rFonts w:ascii="宋体" w:hAnsi="宋体"/>
          <w:szCs w:val="21"/>
        </w:rPr>
      </w:pPr>
      <w:r>
        <w:rPr>
          <w:rFonts w:ascii="宋体" w:hAnsi="宋体"/>
          <w:szCs w:val="21"/>
        </w:rPr>
        <w:t xml:space="preserve">1.1 </w:t>
      </w:r>
      <w:r>
        <w:rPr>
          <w:rFonts w:hint="eastAsia" w:ascii="宋体" w:hAnsi="宋体"/>
          <w:szCs w:val="21"/>
        </w:rPr>
        <w:t>词语定义</w:t>
      </w:r>
    </w:p>
    <w:p>
      <w:pPr>
        <w:spacing w:line="560" w:lineRule="exact"/>
        <w:ind w:firstLine="420" w:firstLineChars="200"/>
        <w:rPr>
          <w:rFonts w:ascii="宋体" w:hAnsi="宋体"/>
          <w:kern w:val="0"/>
          <w:szCs w:val="21"/>
        </w:rPr>
      </w:pPr>
      <w:r>
        <w:rPr>
          <w:rFonts w:ascii="宋体" w:hAnsi="宋体"/>
          <w:kern w:val="0"/>
          <w:szCs w:val="21"/>
        </w:rPr>
        <w:t>1.1.1</w:t>
      </w:r>
      <w:r>
        <w:rPr>
          <w:rFonts w:hint="eastAsia" w:ascii="宋体" w:hAnsi="宋体"/>
          <w:kern w:val="0"/>
          <w:szCs w:val="21"/>
        </w:rPr>
        <w:t>合同</w:t>
      </w:r>
    </w:p>
    <w:p>
      <w:pPr>
        <w:spacing w:line="560" w:lineRule="exact"/>
        <w:ind w:firstLine="420" w:firstLineChars="200"/>
        <w:rPr>
          <w:rFonts w:ascii="宋体" w:hAnsi="宋体"/>
          <w:color w:val="0000FF"/>
          <w:kern w:val="0"/>
          <w:szCs w:val="21"/>
          <w:u w:val="single"/>
        </w:rPr>
      </w:pPr>
      <w:r>
        <w:rPr>
          <w:rFonts w:ascii="宋体" w:hAnsi="宋体"/>
          <w:color w:val="auto"/>
          <w:kern w:val="0"/>
          <w:szCs w:val="21"/>
        </w:rPr>
        <w:t>1.1.1.10</w:t>
      </w:r>
      <w:r>
        <w:rPr>
          <w:rFonts w:hint="eastAsia" w:ascii="宋体" w:hAnsi="宋体"/>
          <w:color w:val="auto"/>
          <w:kern w:val="0"/>
          <w:szCs w:val="21"/>
        </w:rPr>
        <w:t>其他合同文件包括：</w:t>
      </w:r>
      <w:r>
        <w:rPr>
          <w:rFonts w:hint="eastAsia" w:ascii="宋体" w:hAnsi="宋体"/>
          <w:color w:val="auto"/>
          <w:kern w:val="0"/>
          <w:szCs w:val="21"/>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招标文件及其他合同文件</w:t>
      </w:r>
      <w:r>
        <w:rPr>
          <w:rFonts w:hint="eastAsia" w:ascii="宋体" w:hAnsi="宋体"/>
          <w:color w:val="auto"/>
          <w:szCs w:val="21"/>
          <w:u w:val="single"/>
        </w:rPr>
        <w:t>。（10）《建设工程工程量清单计价规范广西壮族自治区实施细则》（GB50500-2013）、《建设工程工程量计算规范广西壮族自治区实施细则（修订本）》（GB50584~6-2013）、2013年版《广西壮族自治区建筑装饰装修工程消耗量定额》及配套费用定额、文件、2011年《广西壮族自治区建筑工程拆除消耗量定额》、2013年《广西壮族自治区安装工程拆除消耗量定额》、2015年《广西壮族自治区安装工程消耗量定额》及配套费用定额、文件、2016年《广西壮族自治区建设工程费用定额》、人工费及有关费率按《关于调整建设工程定额人工费及有关费率的通知》（桂建标[2018]19号文）、桂造价〔2019〕10号《关于调整除税价计算适用增值税税率的通知》；</w:t>
      </w:r>
      <w:r>
        <w:rPr>
          <w:rFonts w:hint="eastAsia" w:ascii="宋体" w:hAnsi="宋体"/>
          <w:color w:val="auto"/>
          <w:kern w:val="0"/>
          <w:szCs w:val="21"/>
          <w:u w:val="single"/>
        </w:rPr>
        <w:t>（</w:t>
      </w:r>
      <w:r>
        <w:rPr>
          <w:rFonts w:ascii="宋体" w:hAnsi="宋体"/>
          <w:color w:val="auto"/>
          <w:kern w:val="0"/>
          <w:szCs w:val="21"/>
          <w:u w:val="single"/>
        </w:rPr>
        <w:t>11</w:t>
      </w:r>
      <w:r>
        <w:rPr>
          <w:rFonts w:hint="eastAsia" w:ascii="宋体" w:hAnsi="宋体"/>
          <w:color w:val="auto"/>
          <w:kern w:val="0"/>
          <w:szCs w:val="21"/>
          <w:u w:val="single"/>
        </w:rPr>
        <w:t>）其他合同文</w:t>
      </w:r>
      <w:r>
        <w:rPr>
          <w:rFonts w:hint="eastAsia" w:ascii="宋体" w:hAnsi="宋体"/>
          <w:kern w:val="0"/>
          <w:szCs w:val="21"/>
          <w:u w:val="single"/>
        </w:rPr>
        <w:t>件。</w:t>
      </w:r>
    </w:p>
    <w:p>
      <w:pPr>
        <w:spacing w:line="560" w:lineRule="exact"/>
        <w:ind w:firstLine="420" w:firstLineChars="200"/>
        <w:rPr>
          <w:rFonts w:ascii="宋体" w:hAnsi="宋体"/>
          <w:szCs w:val="21"/>
        </w:rPr>
      </w:pPr>
      <w:r>
        <w:rPr>
          <w:rFonts w:ascii="宋体" w:hAnsi="宋体"/>
          <w:szCs w:val="21"/>
        </w:rPr>
        <w:t xml:space="preserve">1.1.2 </w:t>
      </w:r>
      <w:r>
        <w:rPr>
          <w:rFonts w:hint="eastAsia" w:ascii="宋体" w:hAnsi="宋体"/>
          <w:szCs w:val="21"/>
        </w:rPr>
        <w:t>合同当事人及其他相关方</w:t>
      </w:r>
    </w:p>
    <w:p>
      <w:pPr>
        <w:spacing w:line="560" w:lineRule="exact"/>
        <w:ind w:firstLine="420" w:firstLineChars="200"/>
        <w:rPr>
          <w:rFonts w:ascii="宋体" w:hAnsi="宋体"/>
          <w:szCs w:val="21"/>
        </w:rPr>
      </w:pPr>
      <w:r>
        <w:rPr>
          <w:rFonts w:ascii="宋体" w:hAnsi="宋体"/>
          <w:szCs w:val="21"/>
        </w:rPr>
        <w:t>1.1.2.4</w:t>
      </w:r>
      <w:r>
        <w:rPr>
          <w:rFonts w:hint="eastAsia" w:ascii="宋体" w:hAnsi="宋体"/>
          <w:szCs w:val="21"/>
        </w:rPr>
        <w:t>监理人：</w:t>
      </w:r>
    </w:p>
    <w:p>
      <w:pPr>
        <w:spacing w:line="560" w:lineRule="exact"/>
        <w:ind w:firstLine="420" w:firstLineChars="200"/>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资质类别和等级：</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联系电话：</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电子信箱：</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通信地址：</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ascii="宋体" w:hAnsi="宋体"/>
          <w:szCs w:val="21"/>
        </w:rPr>
        <w:t xml:space="preserve">1.1.2.5 </w:t>
      </w:r>
      <w:r>
        <w:rPr>
          <w:rFonts w:hint="eastAsia" w:ascii="宋体" w:hAnsi="宋体"/>
          <w:szCs w:val="21"/>
        </w:rPr>
        <w:t>设计人：</w:t>
      </w:r>
    </w:p>
    <w:p>
      <w:pPr>
        <w:spacing w:line="560" w:lineRule="exact"/>
        <w:ind w:firstLine="420" w:firstLineChars="200"/>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资质类别和等级：</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联系电话：</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电子信箱：</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通信地址：</w:t>
      </w:r>
      <w:r>
        <w:rPr>
          <w:rFonts w:ascii="宋体" w:hAnsi="宋体"/>
          <w:b/>
          <w:szCs w:val="21"/>
          <w:u w:val="single"/>
        </w:rPr>
        <w:t xml:space="preserve">      </w:t>
      </w:r>
      <w:r>
        <w:rPr>
          <w:rFonts w:hint="eastAsia" w:ascii="宋体" w:hAnsi="宋体"/>
          <w:szCs w:val="21"/>
          <w:u w:val="single"/>
        </w:rPr>
        <w:t xml:space="preserve">中标后填写     </w:t>
      </w:r>
      <w:r>
        <w:rPr>
          <w:rFonts w:hint="eastAsia" w:ascii="宋体" w:hAnsi="宋体"/>
          <w:szCs w:val="21"/>
        </w:rPr>
        <w:t>。</w:t>
      </w:r>
    </w:p>
    <w:p>
      <w:pPr>
        <w:spacing w:line="560" w:lineRule="exact"/>
        <w:ind w:firstLine="420" w:firstLineChars="200"/>
        <w:rPr>
          <w:rFonts w:ascii="宋体" w:hAnsi="宋体"/>
          <w:szCs w:val="21"/>
        </w:rPr>
      </w:pPr>
      <w:r>
        <w:rPr>
          <w:rFonts w:ascii="宋体" w:hAnsi="宋体"/>
          <w:szCs w:val="21"/>
        </w:rPr>
        <w:t xml:space="preserve">1.1.3 </w:t>
      </w:r>
      <w:r>
        <w:rPr>
          <w:rFonts w:hint="eastAsia" w:ascii="宋体" w:hAnsi="宋体"/>
          <w:szCs w:val="21"/>
        </w:rPr>
        <w:t>工程和设备</w:t>
      </w:r>
    </w:p>
    <w:p>
      <w:pPr>
        <w:spacing w:line="560" w:lineRule="exact"/>
        <w:ind w:firstLine="420" w:firstLineChars="200"/>
        <w:rPr>
          <w:rFonts w:ascii="宋体" w:hAnsi="宋体"/>
          <w:szCs w:val="21"/>
          <w:u w:val="single"/>
        </w:rPr>
      </w:pPr>
      <w:r>
        <w:rPr>
          <w:rFonts w:ascii="宋体" w:hAnsi="宋体"/>
          <w:szCs w:val="21"/>
        </w:rPr>
        <w:t xml:space="preserve">1.1.3.7 </w:t>
      </w:r>
      <w:r>
        <w:rPr>
          <w:rFonts w:hint="eastAsia" w:ascii="宋体" w:hAnsi="宋体"/>
          <w:szCs w:val="21"/>
        </w:rPr>
        <w:t>作为施工现场组成部分的其他场所包括：</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szCs w:val="21"/>
        </w:rPr>
        <w:t>。</w:t>
      </w:r>
    </w:p>
    <w:p>
      <w:pPr>
        <w:spacing w:line="560" w:lineRule="exact"/>
        <w:ind w:firstLine="420" w:firstLineChars="200"/>
        <w:rPr>
          <w:rFonts w:ascii="宋体" w:hAnsi="宋体"/>
          <w:szCs w:val="21"/>
        </w:rPr>
      </w:pPr>
      <w:r>
        <w:rPr>
          <w:rFonts w:ascii="宋体" w:hAnsi="宋体"/>
          <w:kern w:val="0"/>
          <w:szCs w:val="21"/>
        </w:rPr>
        <w:t xml:space="preserve">1.1.3.9 </w:t>
      </w:r>
      <w:r>
        <w:rPr>
          <w:rFonts w:hint="eastAsia" w:ascii="宋体" w:hAnsi="宋体"/>
          <w:kern w:val="0"/>
          <w:szCs w:val="21"/>
        </w:rPr>
        <w:t>永久占地包括：</w:t>
      </w:r>
      <w:r>
        <w:rPr>
          <w:rFonts w:ascii="宋体" w:hAnsi="宋体"/>
          <w:szCs w:val="21"/>
          <w:u w:val="single"/>
        </w:rPr>
        <w:t>按合同约定建造并移交给发包人的工程</w:t>
      </w:r>
      <w:r>
        <w:rPr>
          <w:rFonts w:hint="eastAsia" w:ascii="宋体" w:hAnsi="宋体"/>
          <w:szCs w:val="21"/>
          <w:u w:val="single"/>
        </w:rPr>
        <w:t>（</w:t>
      </w:r>
      <w:r>
        <w:rPr>
          <w:rFonts w:ascii="宋体" w:hAnsi="宋体"/>
          <w:szCs w:val="21"/>
          <w:u w:val="single"/>
        </w:rPr>
        <w:t>包括工程设备</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所占用的土地</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kern w:val="0"/>
          <w:szCs w:val="21"/>
        </w:rPr>
        <w:t xml:space="preserve">1.1.3.10 </w:t>
      </w:r>
      <w:r>
        <w:rPr>
          <w:rFonts w:hint="eastAsia" w:ascii="宋体" w:hAnsi="宋体"/>
          <w:kern w:val="0"/>
          <w:szCs w:val="21"/>
        </w:rPr>
        <w:t>临时占地包括：</w:t>
      </w:r>
      <w:r>
        <w:rPr>
          <w:rFonts w:ascii="宋体" w:hAnsi="宋体"/>
          <w:szCs w:val="21"/>
          <w:u w:val="single"/>
        </w:rPr>
        <w:t>为完成合同约定的永久工程所修建的各类临时性工程</w:t>
      </w:r>
      <w:r>
        <w:rPr>
          <w:rFonts w:hint="eastAsia" w:ascii="宋体" w:hAnsi="宋体"/>
          <w:szCs w:val="21"/>
          <w:u w:val="single"/>
        </w:rPr>
        <w:t>及设施所占用的土地，由承包人根据现场踏勘情况结合施工现场所处位置自行解决</w:t>
      </w:r>
      <w:r>
        <w:rPr>
          <w:rFonts w:hint="eastAsia" w:ascii="宋体" w:hAnsi="宋体"/>
          <w:kern w:val="0"/>
          <w:szCs w:val="21"/>
        </w:rPr>
        <w:t>。</w:t>
      </w:r>
    </w:p>
    <w:p>
      <w:pPr>
        <w:spacing w:after="120" w:line="560" w:lineRule="exact"/>
        <w:ind w:firstLine="420" w:firstLineChars="200"/>
        <w:rPr>
          <w:rFonts w:ascii="宋体" w:hAnsi="宋体"/>
          <w:szCs w:val="21"/>
        </w:rPr>
      </w:pPr>
      <w:r>
        <w:rPr>
          <w:rFonts w:ascii="宋体" w:hAnsi="宋体"/>
          <w:szCs w:val="21"/>
        </w:rPr>
        <w:t>1.3</w:t>
      </w:r>
      <w:r>
        <w:rPr>
          <w:rFonts w:hint="eastAsia" w:ascii="宋体" w:hAnsi="宋体"/>
          <w:szCs w:val="21"/>
        </w:rPr>
        <w:t>法律</w:t>
      </w:r>
    </w:p>
    <w:p>
      <w:pPr>
        <w:spacing w:after="120" w:line="560" w:lineRule="exact"/>
        <w:ind w:firstLine="420" w:firstLineChars="200"/>
        <w:rPr>
          <w:rFonts w:ascii="宋体" w:hAnsi="宋体"/>
          <w:szCs w:val="21"/>
          <w:u w:val="single"/>
        </w:rPr>
      </w:pPr>
      <w:r>
        <w:rPr>
          <w:rFonts w:hint="eastAsia" w:ascii="宋体" w:hAnsi="宋体"/>
          <w:szCs w:val="21"/>
        </w:rPr>
        <w:t>适用于合同的其他规范性文件：</w:t>
      </w:r>
      <w:r>
        <w:rPr>
          <w:rFonts w:hint="eastAsia" w:ascii="宋体" w:hAnsi="宋体"/>
          <w:szCs w:val="21"/>
          <w:u w:val="single"/>
        </w:rPr>
        <w:t xml:space="preserve">  </w:t>
      </w:r>
      <w:r>
        <w:rPr>
          <w:rFonts w:hint="eastAsia" w:ascii="宋体" w:hAnsi="宋体" w:cs="宋体"/>
          <w:szCs w:val="21"/>
          <w:u w:val="single"/>
        </w:rPr>
        <w:t>无</w:t>
      </w:r>
      <w:r>
        <w:rPr>
          <w:rFonts w:hint="eastAsia"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1.4 </w:t>
      </w:r>
      <w:r>
        <w:rPr>
          <w:rFonts w:hint="eastAsia" w:ascii="宋体" w:hAnsi="宋体"/>
          <w:szCs w:val="21"/>
        </w:rPr>
        <w:t>标准和规范</w:t>
      </w:r>
    </w:p>
    <w:p>
      <w:pPr>
        <w:spacing w:line="560" w:lineRule="exact"/>
        <w:ind w:firstLine="420" w:firstLineChars="200"/>
        <w:rPr>
          <w:rFonts w:ascii="宋体" w:hAnsi="宋体"/>
          <w:color w:val="auto"/>
          <w:szCs w:val="21"/>
          <w:u w:val="single"/>
        </w:rPr>
      </w:pPr>
      <w:r>
        <w:rPr>
          <w:rFonts w:ascii="宋体" w:hAnsi="宋体"/>
          <w:color w:val="auto"/>
          <w:szCs w:val="21"/>
        </w:rPr>
        <w:t>1.4.1</w:t>
      </w:r>
      <w:r>
        <w:rPr>
          <w:rFonts w:hint="eastAsia" w:ascii="宋体" w:hAnsi="宋体"/>
          <w:color w:val="auto"/>
          <w:szCs w:val="21"/>
        </w:rPr>
        <w:t>适用于工程的标准规范包括：</w:t>
      </w:r>
      <w:r>
        <w:rPr>
          <w:rFonts w:hint="eastAsia" w:ascii="宋体" w:hAnsi="宋体"/>
          <w:color w:val="auto"/>
          <w:szCs w:val="21"/>
          <w:u w:val="single"/>
        </w:rPr>
        <w:t>1、《中华人民共和国建筑法》、《合同法》等中华人民共和国及广西壮族自治区颁布的与本合同工程有关的现行法律、行政法规、技术标准及规范。2、南宁市有关规定。</w:t>
      </w:r>
    </w:p>
    <w:p>
      <w:pPr>
        <w:spacing w:line="560" w:lineRule="exact"/>
        <w:ind w:firstLine="420" w:firstLineChars="200"/>
        <w:rPr>
          <w:rFonts w:ascii="宋体" w:hAnsi="宋体"/>
          <w:szCs w:val="21"/>
          <w:u w:val="single"/>
        </w:rPr>
      </w:pPr>
      <w:r>
        <w:rPr>
          <w:rFonts w:ascii="宋体" w:hAnsi="宋体"/>
          <w:szCs w:val="21"/>
        </w:rPr>
        <w:t xml:space="preserve">1.4.2 </w:t>
      </w:r>
      <w:r>
        <w:rPr>
          <w:rFonts w:hint="eastAsia" w:ascii="宋体" w:hAnsi="宋体"/>
          <w:szCs w:val="21"/>
        </w:rPr>
        <w:t>发包人提供国外标准、规范的名称：</w:t>
      </w:r>
      <w:r>
        <w:rPr>
          <w:rFonts w:hint="eastAsia" w:ascii="宋体" w:hAnsi="宋体"/>
          <w:szCs w:val="21"/>
          <w:u w:val="single"/>
        </w:rPr>
        <w:t xml:space="preserve">无   </w:t>
      </w:r>
      <w:r>
        <w:rPr>
          <w:rFonts w:hint="eastAsia" w:ascii="宋体" w:hAnsi="宋体"/>
          <w:szCs w:val="21"/>
        </w:rPr>
        <w:t>。</w:t>
      </w:r>
    </w:p>
    <w:p>
      <w:pPr>
        <w:spacing w:line="560" w:lineRule="exact"/>
        <w:ind w:firstLine="420" w:firstLineChars="200"/>
        <w:rPr>
          <w:rFonts w:ascii="宋体" w:hAnsi="宋体"/>
          <w:kern w:val="0"/>
          <w:szCs w:val="21"/>
        </w:rPr>
      </w:pPr>
      <w:r>
        <w:rPr>
          <w:rFonts w:hint="eastAsia" w:ascii="宋体" w:hAnsi="宋体"/>
          <w:kern w:val="0"/>
          <w:szCs w:val="21"/>
        </w:rPr>
        <w:t>发包人提供国外标准、规范的份数：</w:t>
      </w:r>
      <w:r>
        <w:rPr>
          <w:rFonts w:ascii="宋体" w:hAnsi="宋体"/>
          <w:kern w:val="0"/>
          <w:szCs w:val="21"/>
          <w:u w:val="single"/>
        </w:rPr>
        <w:t xml:space="preserve"> </w:t>
      </w:r>
      <w:r>
        <w:rPr>
          <w:rFonts w:hint="eastAsia" w:ascii="宋体" w:hAnsi="宋体"/>
          <w:kern w:val="0"/>
          <w:szCs w:val="21"/>
          <w:u w:val="single"/>
        </w:rPr>
        <w:t>无</w:t>
      </w:r>
      <w:r>
        <w:rPr>
          <w:rFonts w:ascii="宋体" w:hAnsi="宋体"/>
          <w:kern w:val="0"/>
          <w:szCs w:val="21"/>
          <w:u w:val="single"/>
        </w:rPr>
        <w:t xml:space="preserve">  </w:t>
      </w:r>
      <w:r>
        <w:rPr>
          <w:rFonts w:hint="eastAsia" w:ascii="宋体" w:hAnsi="宋体"/>
          <w:kern w:val="0"/>
          <w:szCs w:val="21"/>
        </w:rPr>
        <w:t>；</w:t>
      </w:r>
    </w:p>
    <w:p>
      <w:pPr>
        <w:spacing w:line="560" w:lineRule="exact"/>
        <w:ind w:firstLine="420" w:firstLineChars="200"/>
        <w:rPr>
          <w:rFonts w:ascii="宋体" w:hAnsi="宋体"/>
          <w:szCs w:val="21"/>
        </w:rPr>
      </w:pPr>
      <w:r>
        <w:rPr>
          <w:rFonts w:ascii="宋体" w:hAnsi="宋体"/>
          <w:szCs w:val="21"/>
        </w:rPr>
        <w:t>1.4.3</w:t>
      </w:r>
      <w:r>
        <w:rPr>
          <w:rFonts w:hint="eastAsia" w:ascii="宋体" w:hAnsi="宋体"/>
          <w:szCs w:val="21"/>
        </w:rPr>
        <w:t>发包人对工程的技术标准和功能要求的特殊要求：</w:t>
      </w:r>
      <w:r>
        <w:rPr>
          <w:rFonts w:hint="eastAsia" w:ascii="宋体" w:hAnsi="宋体"/>
          <w:szCs w:val="21"/>
          <w:u w:val="single"/>
        </w:rPr>
        <w:t xml:space="preserve">  </w:t>
      </w:r>
      <w:r>
        <w:rPr>
          <w:rFonts w:hint="eastAsia" w:ascii="宋体" w:hAnsi="宋体" w:cs="宋体"/>
          <w:szCs w:val="21"/>
          <w:u w:val="single"/>
        </w:rPr>
        <w:t>无</w:t>
      </w:r>
      <w:r>
        <w:rPr>
          <w:rFonts w:hint="eastAsia"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1.5 </w:t>
      </w:r>
      <w:r>
        <w:rPr>
          <w:rFonts w:hint="eastAsia" w:ascii="宋体" w:hAnsi="宋体"/>
          <w:szCs w:val="21"/>
        </w:rPr>
        <w:t>合同文件的优先顺序</w:t>
      </w:r>
    </w:p>
    <w:p>
      <w:pPr>
        <w:spacing w:line="560" w:lineRule="exact"/>
        <w:ind w:firstLine="420" w:firstLineChars="200"/>
        <w:rPr>
          <w:rFonts w:ascii="宋体"/>
          <w:color w:val="auto"/>
          <w:kern w:val="0"/>
          <w:szCs w:val="21"/>
          <w:u w:val="single"/>
        </w:rPr>
      </w:pPr>
      <w:r>
        <w:rPr>
          <w:rFonts w:hint="eastAsia" w:ascii="宋体" w:hAnsi="宋体"/>
          <w:szCs w:val="21"/>
        </w:rPr>
        <w:t>合同文件组成及优先顺序为：</w:t>
      </w:r>
      <w:r>
        <w:rPr>
          <w:rFonts w:hint="eastAsia" w:ascii="宋体" w:hAnsi="宋体"/>
          <w:kern w:val="0"/>
          <w:szCs w:val="21"/>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招标文件及其他合同文件</w:t>
      </w:r>
      <w:r>
        <w:rPr>
          <w:rFonts w:hint="eastAsia" w:ascii="宋体" w:hAnsi="宋体"/>
          <w:szCs w:val="21"/>
          <w:u w:val="single"/>
        </w:rPr>
        <w:t>。</w:t>
      </w:r>
      <w:r>
        <w:rPr>
          <w:rFonts w:hint="eastAsia" w:ascii="宋体" w:hAnsi="宋体"/>
          <w:color w:val="auto"/>
          <w:szCs w:val="21"/>
          <w:u w:val="single"/>
        </w:rPr>
        <w:t>（10）《建设工程工程量清单计价规范广西壮族自治区实施细则》（GB50500-2013）、《建设工程工程量计算规范广西壮族自治区实施细则（修订本）》（GB50584~6-2013）、2013年版《广西壮族自治区建筑装饰装修工程消耗量定额》及配套费用定额、文件、2011年《广西壮族自治区建筑工程拆除消耗量定额》、2013年《广西壮族自治区安装工程拆除消耗量定额》、2015年《广西壮族自治区安装工程消耗量定额》及配套费用定额、文件、2016年《广西壮族自治区建设工程费用定额》、人工费及有关费率按《关于调整建设工程定额人工费及有关费率的通知》（桂建标[2018]19号文）、桂造价〔2019〕10号《关于调整除税价计算适用增值税税率的通知》；</w:t>
      </w:r>
      <w:r>
        <w:rPr>
          <w:rFonts w:hint="eastAsia" w:ascii="宋体" w:hAnsi="宋体"/>
          <w:color w:val="auto"/>
          <w:kern w:val="0"/>
          <w:szCs w:val="21"/>
          <w:u w:val="single"/>
        </w:rPr>
        <w:t>（</w:t>
      </w:r>
      <w:r>
        <w:rPr>
          <w:rFonts w:ascii="宋体" w:hAnsi="宋体"/>
          <w:color w:val="auto"/>
          <w:kern w:val="0"/>
          <w:szCs w:val="21"/>
          <w:u w:val="single"/>
        </w:rPr>
        <w:t>11</w:t>
      </w:r>
      <w:r>
        <w:rPr>
          <w:rFonts w:hint="eastAsia" w:ascii="宋体" w:hAnsi="宋体"/>
          <w:color w:val="auto"/>
          <w:kern w:val="0"/>
          <w:szCs w:val="21"/>
          <w:u w:val="single"/>
        </w:rPr>
        <w:t>）其他合同文件。</w:t>
      </w:r>
    </w:p>
    <w:p>
      <w:pPr>
        <w:spacing w:line="560" w:lineRule="exact"/>
        <w:ind w:firstLine="420" w:firstLineChars="200"/>
        <w:rPr>
          <w:rFonts w:ascii="宋体" w:hAnsi="宋体"/>
          <w:color w:val="auto"/>
          <w:szCs w:val="21"/>
        </w:rPr>
      </w:pPr>
      <w:r>
        <w:rPr>
          <w:rFonts w:ascii="宋体" w:hAnsi="宋体"/>
          <w:color w:val="auto"/>
          <w:szCs w:val="21"/>
        </w:rPr>
        <w:t xml:space="preserve">1.6 </w:t>
      </w:r>
      <w:r>
        <w:rPr>
          <w:rFonts w:hint="eastAsia" w:ascii="宋体" w:hAnsi="宋体"/>
          <w:color w:val="auto"/>
          <w:szCs w:val="21"/>
        </w:rPr>
        <w:t>图纸和承包人文件</w:t>
      </w:r>
      <w:r>
        <w:rPr>
          <w:rFonts w:ascii="宋体" w:hAnsi="宋体"/>
          <w:color w:val="auto"/>
          <w:szCs w:val="21"/>
        </w:rPr>
        <w:tab/>
      </w:r>
    </w:p>
    <w:p>
      <w:pPr>
        <w:spacing w:line="560" w:lineRule="exact"/>
        <w:ind w:firstLine="420" w:firstLineChars="200"/>
        <w:rPr>
          <w:rFonts w:ascii="宋体" w:hAnsi="宋体"/>
          <w:szCs w:val="21"/>
        </w:rPr>
      </w:pPr>
      <w:r>
        <w:rPr>
          <w:rFonts w:ascii="宋体" w:hAnsi="宋体"/>
          <w:szCs w:val="21"/>
        </w:rPr>
        <w:t xml:space="preserve">1.6.1 </w:t>
      </w:r>
      <w:r>
        <w:rPr>
          <w:rFonts w:hint="eastAsia" w:ascii="宋体" w:hAnsi="宋体"/>
          <w:szCs w:val="21"/>
        </w:rPr>
        <w:t>图纸的提供</w:t>
      </w:r>
    </w:p>
    <w:p>
      <w:pPr>
        <w:spacing w:line="560" w:lineRule="exact"/>
        <w:ind w:firstLine="420" w:firstLineChars="200"/>
        <w:rPr>
          <w:rFonts w:ascii="宋体" w:hAnsi="宋体"/>
          <w:szCs w:val="21"/>
        </w:rPr>
      </w:pPr>
      <w:r>
        <w:rPr>
          <w:rFonts w:hint="eastAsia" w:ascii="宋体" w:hAnsi="宋体"/>
          <w:szCs w:val="21"/>
        </w:rPr>
        <w:t>发包人向承包人提供图纸的期限：</w:t>
      </w:r>
      <w:r>
        <w:rPr>
          <w:rFonts w:hint="eastAsia" w:ascii="宋体" w:hAnsi="宋体"/>
          <w:szCs w:val="21"/>
          <w:u w:val="single"/>
        </w:rPr>
        <w:t>合同签订生效后</w:t>
      </w:r>
      <w:r>
        <w:rPr>
          <w:rFonts w:ascii="宋体" w:hAnsi="宋体"/>
          <w:szCs w:val="21"/>
          <w:u w:val="single"/>
        </w:rPr>
        <w:t>7</w:t>
      </w:r>
      <w:r>
        <w:rPr>
          <w:rFonts w:hint="eastAsia" w:ascii="宋体" w:hAnsi="宋体"/>
          <w:szCs w:val="21"/>
          <w:u w:val="single"/>
        </w:rPr>
        <w:t>天内</w:t>
      </w:r>
      <w:r>
        <w:rPr>
          <w:rFonts w:ascii="黑体" w:eastAsia="黑体"/>
          <w:szCs w:val="21"/>
          <w:u w:val="single"/>
        </w:rPr>
        <w:t xml:space="preserve">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发包人向承包人提供图纸的数量：</w:t>
      </w:r>
      <w:r>
        <w:rPr>
          <w:rFonts w:hint="eastAsia" w:ascii="宋体" w:hAnsi="宋体"/>
          <w:szCs w:val="21"/>
          <w:u w:val="single"/>
        </w:rPr>
        <w:t>向承包人免费提供施工图叁份，</w:t>
      </w:r>
      <w:r>
        <w:rPr>
          <w:rFonts w:ascii="宋体" w:hAnsi="宋体"/>
          <w:szCs w:val="21"/>
          <w:u w:val="single"/>
        </w:rPr>
        <w:t>承包人需要增加图纸套数的，发包人应代为复制，复制费用由承包人承担</w:t>
      </w:r>
      <w:r>
        <w:rPr>
          <w:rFonts w:hint="eastAsia" w:ascii="宋体" w:hAnsi="宋体" w:cs="宋体"/>
          <w:szCs w:val="21"/>
          <w:u w:val="single"/>
        </w:rPr>
        <w:t></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发包人向承包人提供图纸的内容：</w:t>
      </w:r>
      <w:r>
        <w:rPr>
          <w:rFonts w:hint="eastAsia" w:ascii="宋体" w:hAnsi="宋体"/>
          <w:szCs w:val="21"/>
          <w:u w:val="single"/>
        </w:rPr>
        <w:t>本合同发包内容中的全部图纸</w:t>
      </w:r>
      <w:r>
        <w:rPr>
          <w:rFonts w:hint="eastAsia" w:ascii="宋体" w:hAnsi="宋体"/>
          <w:szCs w:val="21"/>
        </w:rPr>
        <w:t>。</w:t>
      </w:r>
    </w:p>
    <w:p>
      <w:pPr>
        <w:spacing w:line="560" w:lineRule="exact"/>
        <w:ind w:firstLine="420" w:firstLineChars="200"/>
        <w:rPr>
          <w:rFonts w:ascii="宋体" w:hAnsi="宋体"/>
          <w:szCs w:val="21"/>
        </w:rPr>
      </w:pPr>
      <w:r>
        <w:rPr>
          <w:rFonts w:ascii="宋体" w:hAnsi="宋体"/>
          <w:szCs w:val="21"/>
        </w:rPr>
        <w:t xml:space="preserve">1.6.4 </w:t>
      </w:r>
      <w:r>
        <w:rPr>
          <w:rFonts w:hint="eastAsia" w:ascii="宋体" w:hAnsi="宋体"/>
          <w:szCs w:val="21"/>
        </w:rPr>
        <w:t>承包人文件</w:t>
      </w:r>
    </w:p>
    <w:p>
      <w:pPr>
        <w:spacing w:line="560" w:lineRule="exact"/>
        <w:ind w:firstLine="420" w:firstLineChars="200"/>
        <w:jc w:val="left"/>
        <w:rPr>
          <w:rFonts w:ascii="宋体" w:hAnsi="宋体"/>
          <w:szCs w:val="21"/>
        </w:rPr>
      </w:pPr>
      <w:r>
        <w:rPr>
          <w:rFonts w:hint="eastAsia" w:ascii="宋体" w:hAnsi="宋体"/>
          <w:szCs w:val="21"/>
        </w:rPr>
        <w:t>需要由承包人提供的文件，包括：</w:t>
      </w:r>
      <w:r>
        <w:rPr>
          <w:rFonts w:hint="eastAsia"/>
          <w:szCs w:val="21"/>
          <w:u w:val="single"/>
          <w:lang w:val="zh-CN"/>
        </w:rPr>
        <w:t>1、施工组织设计；2、工程进度计划；3、管理人员名单、职称、职务、上岗证等；4、安全文明施工措施；5、质量保证体系；6、安全应急方案；7、进度报表和次月进度计划；8、</w:t>
      </w:r>
      <w:r>
        <w:rPr>
          <w:rFonts w:hint="eastAsia"/>
          <w:szCs w:val="21"/>
          <w:u w:val="single"/>
        </w:rPr>
        <w:t>施工图以外的大样图、加工图、标准图。</w:t>
      </w:r>
    </w:p>
    <w:p>
      <w:pPr>
        <w:spacing w:line="560" w:lineRule="exact"/>
        <w:ind w:firstLine="420" w:firstLineChars="200"/>
        <w:rPr>
          <w:rFonts w:ascii="宋体" w:hAnsi="宋体"/>
          <w:szCs w:val="21"/>
        </w:rPr>
      </w:pPr>
      <w:r>
        <w:rPr>
          <w:rFonts w:hint="eastAsia" w:ascii="宋体" w:hAnsi="宋体"/>
          <w:szCs w:val="21"/>
        </w:rPr>
        <w:t>承包人提供的文件的期限为：</w:t>
      </w:r>
      <w:r>
        <w:rPr>
          <w:rFonts w:hint="eastAsia" w:ascii="宋体" w:hAnsi="宋体"/>
          <w:szCs w:val="21"/>
          <w:u w:val="single"/>
        </w:rPr>
        <w:t xml:space="preserve">  开始施工前</w:t>
      </w:r>
      <w:r>
        <w:rPr>
          <w:rFonts w:ascii="宋体" w:hAnsi="宋体"/>
          <w:szCs w:val="21"/>
          <w:u w:val="single"/>
        </w:rPr>
        <w:t>7</w:t>
      </w:r>
      <w:r>
        <w:rPr>
          <w:rFonts w:hint="eastAsia" w:ascii="宋体" w:hAnsi="宋体"/>
          <w:szCs w:val="21"/>
          <w:u w:val="single"/>
        </w:rPr>
        <w:t xml:space="preserve">天内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承包人提供的文件的数量为：</w:t>
      </w:r>
      <w:r>
        <w:rPr>
          <w:rFonts w:hint="eastAsia" w:ascii="宋体" w:hAnsi="宋体"/>
          <w:szCs w:val="21"/>
          <w:u w:val="single"/>
        </w:rPr>
        <w:t xml:space="preserve">       </w:t>
      </w:r>
      <w:r>
        <w:rPr>
          <w:rFonts w:ascii="宋体" w:hAnsi="宋体" w:cs="宋体"/>
          <w:szCs w:val="21"/>
          <w:u w:val="single"/>
        </w:rPr>
        <w:t>8</w:t>
      </w:r>
      <w:r>
        <w:rPr>
          <w:rFonts w:hint="eastAsia" w:ascii="宋体" w:hAnsi="宋体" w:cs="宋体"/>
          <w:szCs w:val="21"/>
          <w:u w:val="single"/>
        </w:rPr>
        <w:t>份</w:t>
      </w:r>
      <w:r>
        <w:rPr>
          <w:rFonts w:hint="eastAsia" w:ascii="宋体" w:hAnsi="宋体"/>
          <w:szCs w:val="21"/>
          <w:u w:val="single"/>
        </w:rPr>
        <w:t xml:space="preserve">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承包人提供的文件的形式为：</w:t>
      </w:r>
      <w:r>
        <w:rPr>
          <w:rFonts w:hint="eastAsia" w:ascii="宋体" w:hAnsi="宋体"/>
          <w:szCs w:val="21"/>
          <w:u w:val="single"/>
        </w:rPr>
        <w:t xml:space="preserve">  书面形式，装订成册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发包人审批承包人文件的期限：</w:t>
      </w:r>
      <w:r>
        <w:rPr>
          <w:rFonts w:hint="eastAsia" w:ascii="宋体" w:hAnsi="宋体"/>
          <w:szCs w:val="21"/>
          <w:u w:val="single"/>
        </w:rPr>
        <w:t xml:space="preserve">  收到提供的文件后7天内，逾期不确认也不提出书面意见的，视为同意</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560" w:lineRule="exact"/>
        <w:ind w:firstLine="420" w:firstLineChars="200"/>
        <w:rPr>
          <w:rFonts w:ascii="宋体" w:hAnsi="宋体"/>
          <w:szCs w:val="21"/>
        </w:rPr>
      </w:pPr>
      <w:r>
        <w:rPr>
          <w:rFonts w:ascii="宋体" w:hAnsi="宋体"/>
          <w:szCs w:val="21"/>
        </w:rPr>
        <w:t xml:space="preserve">1.6.5 </w:t>
      </w:r>
      <w:r>
        <w:rPr>
          <w:rFonts w:hint="eastAsia" w:ascii="宋体" w:hAnsi="宋体"/>
          <w:szCs w:val="21"/>
        </w:rPr>
        <w:t>现场图纸准备</w:t>
      </w:r>
    </w:p>
    <w:p>
      <w:pPr>
        <w:spacing w:line="560" w:lineRule="exact"/>
        <w:ind w:firstLine="420" w:firstLineChars="200"/>
        <w:rPr>
          <w:rFonts w:ascii="宋体" w:hAnsi="宋体"/>
          <w:szCs w:val="21"/>
        </w:rPr>
      </w:pPr>
      <w:r>
        <w:rPr>
          <w:rFonts w:hint="eastAsia" w:ascii="宋体" w:hAnsi="宋体"/>
          <w:szCs w:val="21"/>
        </w:rPr>
        <w:t>关于现场图纸准备的约定：</w:t>
      </w:r>
      <w:r>
        <w:rPr>
          <w:rFonts w:hint="eastAsia" w:ascii="宋体" w:hAnsi="宋体"/>
          <w:szCs w:val="21"/>
          <w:u w:val="single"/>
        </w:rPr>
        <w:t xml:space="preserve">   </w:t>
      </w:r>
      <w:r>
        <w:rPr>
          <w:rFonts w:hint="eastAsia" w:ascii="宋体" w:hAnsi="宋体" w:cs="宋体"/>
          <w:szCs w:val="21"/>
          <w:u w:val="single"/>
        </w:rPr>
        <w:t>按通用条款执行</w:t>
      </w:r>
      <w:r>
        <w:rPr>
          <w:rFonts w:hint="eastAsia"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1.7 </w:t>
      </w:r>
      <w:r>
        <w:rPr>
          <w:rFonts w:hint="eastAsia" w:ascii="宋体" w:hAnsi="宋体"/>
          <w:szCs w:val="21"/>
        </w:rPr>
        <w:t>联络</w:t>
      </w:r>
    </w:p>
    <w:p>
      <w:pPr>
        <w:spacing w:after="120" w:line="560" w:lineRule="exact"/>
        <w:ind w:firstLine="420" w:firstLineChars="200"/>
        <w:rPr>
          <w:rFonts w:ascii="宋体" w:hAnsi="宋体"/>
          <w:kern w:val="0"/>
          <w:szCs w:val="21"/>
        </w:rPr>
      </w:pPr>
      <w:r>
        <w:rPr>
          <w:rFonts w:ascii="宋体" w:hAnsi="宋体"/>
          <w:kern w:val="0"/>
          <w:szCs w:val="21"/>
        </w:rPr>
        <w:t>1.7.1</w:t>
      </w:r>
      <w:r>
        <w:rPr>
          <w:rFonts w:hint="eastAsia" w:ascii="宋体" w:hAnsi="宋体"/>
          <w:kern w:val="0"/>
          <w:szCs w:val="21"/>
        </w:rPr>
        <w:t>发包人和承包人应当在</w:t>
      </w:r>
      <w:r>
        <w:rPr>
          <w:rFonts w:hint="eastAsia" w:ascii="宋体" w:hAnsi="宋体"/>
          <w:szCs w:val="21"/>
          <w:u w:val="single"/>
        </w:rPr>
        <w:t xml:space="preserve"> 3 </w:t>
      </w:r>
      <w:r>
        <w:rPr>
          <w:rFonts w:ascii="宋体" w:hAnsi="宋体"/>
          <w:szCs w:val="21"/>
          <w:u w:val="single"/>
        </w:rPr>
        <w:t xml:space="preserve"> </w:t>
      </w:r>
      <w:r>
        <w:rPr>
          <w:rFonts w:hint="eastAsia" w:ascii="宋体" w:hAnsi="宋体"/>
          <w:kern w:val="0"/>
          <w:szCs w:val="21"/>
        </w:rPr>
        <w:t>天内将与合同有关的通知、批准、证明、证书、指示、指令、要求、请求、同意、意见、确定和决定等书面函件送达对方当事人。</w:t>
      </w:r>
    </w:p>
    <w:p>
      <w:pPr>
        <w:spacing w:line="560" w:lineRule="exact"/>
        <w:ind w:firstLine="420" w:firstLineChars="200"/>
        <w:rPr>
          <w:rFonts w:ascii="宋体" w:hAnsi="宋体"/>
          <w:kern w:val="0"/>
          <w:szCs w:val="21"/>
        </w:rPr>
      </w:pPr>
      <w:r>
        <w:rPr>
          <w:rFonts w:ascii="宋体" w:hAnsi="宋体"/>
          <w:kern w:val="0"/>
          <w:szCs w:val="21"/>
        </w:rPr>
        <w:t xml:space="preserve">1.7.2 </w:t>
      </w:r>
      <w:r>
        <w:rPr>
          <w:rFonts w:hint="eastAsia" w:ascii="宋体" w:hAnsi="宋体"/>
          <w:kern w:val="0"/>
          <w:szCs w:val="21"/>
        </w:rPr>
        <w:t>发包人接收文件的地点：</w:t>
      </w:r>
      <w:r>
        <w:rPr>
          <w:rFonts w:hint="eastAsia" w:ascii="宋体" w:hAnsi="宋体"/>
          <w:szCs w:val="21"/>
          <w:u w:val="single"/>
        </w:rPr>
        <w:t xml:space="preserve">   中标后填写     </w:t>
      </w:r>
      <w:r>
        <w:rPr>
          <w:rFonts w:hint="eastAsia" w:ascii="宋体" w:hAnsi="宋体"/>
          <w:kern w:val="0"/>
          <w:szCs w:val="21"/>
        </w:rPr>
        <w:t>；</w:t>
      </w:r>
    </w:p>
    <w:p>
      <w:pPr>
        <w:spacing w:line="560" w:lineRule="exact"/>
        <w:ind w:firstLine="420" w:firstLineChars="200"/>
        <w:rPr>
          <w:rFonts w:ascii="宋体" w:hAnsi="宋体"/>
          <w:kern w:val="0"/>
          <w:szCs w:val="21"/>
        </w:rPr>
      </w:pPr>
      <w:r>
        <w:rPr>
          <w:rFonts w:hint="eastAsia" w:ascii="宋体" w:hAnsi="宋体"/>
          <w:kern w:val="0"/>
          <w:szCs w:val="21"/>
        </w:rPr>
        <w:t>发包人指定的接收人为：</w:t>
      </w:r>
      <w:r>
        <w:rPr>
          <w:rFonts w:hint="eastAsia" w:ascii="宋体" w:hAnsi="宋体"/>
          <w:szCs w:val="21"/>
          <w:u w:val="single"/>
        </w:rPr>
        <w:t xml:space="preserve">         中标后填写     </w:t>
      </w:r>
      <w:r>
        <w:rPr>
          <w:rFonts w:hint="eastAsia" w:ascii="宋体" w:hAnsi="宋体"/>
          <w:kern w:val="0"/>
          <w:szCs w:val="21"/>
        </w:rPr>
        <w:t>。</w:t>
      </w:r>
    </w:p>
    <w:p>
      <w:pPr>
        <w:spacing w:line="560" w:lineRule="exact"/>
        <w:ind w:firstLine="420" w:firstLineChars="200"/>
        <w:rPr>
          <w:rFonts w:ascii="宋体" w:hAnsi="宋体"/>
          <w:kern w:val="0"/>
          <w:szCs w:val="21"/>
        </w:rPr>
      </w:pPr>
      <w:r>
        <w:rPr>
          <w:rFonts w:hint="eastAsia" w:ascii="宋体" w:hAnsi="宋体"/>
          <w:kern w:val="0"/>
          <w:szCs w:val="21"/>
        </w:rPr>
        <w:t>承包人接收文件的地点：</w:t>
      </w:r>
      <w:r>
        <w:rPr>
          <w:rFonts w:hint="eastAsia" w:ascii="宋体" w:hAnsi="宋体"/>
          <w:szCs w:val="21"/>
          <w:u w:val="single"/>
        </w:rPr>
        <w:t xml:space="preserve">         中标后填写     </w:t>
      </w:r>
      <w:r>
        <w:rPr>
          <w:rFonts w:hint="eastAsia" w:ascii="宋体" w:hAnsi="宋体"/>
          <w:kern w:val="0"/>
          <w:szCs w:val="21"/>
        </w:rPr>
        <w:t>；</w:t>
      </w:r>
    </w:p>
    <w:p>
      <w:pPr>
        <w:spacing w:line="560" w:lineRule="exact"/>
        <w:ind w:firstLine="420" w:firstLineChars="200"/>
        <w:rPr>
          <w:rFonts w:ascii="宋体" w:hAnsi="宋体"/>
          <w:kern w:val="0"/>
          <w:szCs w:val="21"/>
        </w:rPr>
      </w:pPr>
      <w:r>
        <w:rPr>
          <w:rFonts w:hint="eastAsia" w:ascii="宋体" w:hAnsi="宋体"/>
          <w:kern w:val="0"/>
          <w:szCs w:val="21"/>
        </w:rPr>
        <w:t>承包人指定的接收人为：</w:t>
      </w:r>
      <w:r>
        <w:rPr>
          <w:rFonts w:hint="eastAsia" w:ascii="宋体" w:hAnsi="宋体"/>
          <w:szCs w:val="21"/>
          <w:u w:val="single"/>
        </w:rPr>
        <w:t xml:space="preserve">         中标后填写     </w:t>
      </w:r>
      <w:r>
        <w:rPr>
          <w:rFonts w:hint="eastAsia" w:ascii="宋体" w:hAnsi="宋体"/>
          <w:kern w:val="0"/>
          <w:szCs w:val="21"/>
        </w:rPr>
        <w:t>。</w:t>
      </w:r>
    </w:p>
    <w:p>
      <w:pPr>
        <w:spacing w:line="560" w:lineRule="exact"/>
        <w:ind w:firstLine="420" w:firstLineChars="200"/>
        <w:rPr>
          <w:rFonts w:ascii="宋体" w:hAnsi="宋体"/>
          <w:kern w:val="0"/>
          <w:szCs w:val="21"/>
        </w:rPr>
      </w:pPr>
      <w:r>
        <w:rPr>
          <w:rFonts w:hint="eastAsia" w:ascii="宋体" w:hAnsi="宋体"/>
          <w:kern w:val="0"/>
          <w:szCs w:val="21"/>
        </w:rPr>
        <w:t>监理人接收文件的地点：</w:t>
      </w:r>
      <w:r>
        <w:rPr>
          <w:rFonts w:hint="eastAsia" w:ascii="宋体" w:hAnsi="宋体"/>
          <w:szCs w:val="21"/>
          <w:u w:val="single"/>
        </w:rPr>
        <w:t xml:space="preserve">         中标后填写     </w:t>
      </w:r>
      <w:r>
        <w:rPr>
          <w:rFonts w:hint="eastAsia" w:ascii="宋体" w:hAnsi="宋体"/>
          <w:kern w:val="0"/>
          <w:szCs w:val="21"/>
        </w:rPr>
        <w:t>；</w:t>
      </w:r>
    </w:p>
    <w:p>
      <w:pPr>
        <w:spacing w:line="560" w:lineRule="exact"/>
        <w:ind w:firstLine="420" w:firstLineChars="200"/>
        <w:rPr>
          <w:rFonts w:ascii="宋体" w:hAnsi="宋体"/>
          <w:kern w:val="0"/>
          <w:szCs w:val="21"/>
        </w:rPr>
      </w:pPr>
      <w:r>
        <w:rPr>
          <w:rFonts w:hint="eastAsia" w:ascii="宋体" w:hAnsi="宋体"/>
          <w:kern w:val="0"/>
          <w:szCs w:val="21"/>
        </w:rPr>
        <w:t>监理人指定的接收人为：</w:t>
      </w:r>
      <w:r>
        <w:rPr>
          <w:rFonts w:hint="eastAsia" w:ascii="宋体" w:hAnsi="宋体"/>
          <w:szCs w:val="21"/>
          <w:u w:val="single"/>
        </w:rPr>
        <w:t xml:space="preserve">         中标后填写     </w:t>
      </w:r>
      <w:r>
        <w:rPr>
          <w:rFonts w:hint="eastAsia" w:ascii="宋体" w:hAnsi="宋体"/>
          <w:kern w:val="0"/>
          <w:szCs w:val="21"/>
        </w:rPr>
        <w:t>。</w:t>
      </w:r>
    </w:p>
    <w:p>
      <w:pPr>
        <w:spacing w:line="560" w:lineRule="exact"/>
        <w:ind w:firstLine="420" w:firstLineChars="200"/>
        <w:rPr>
          <w:rFonts w:ascii="宋体" w:hAnsi="宋体"/>
          <w:szCs w:val="21"/>
        </w:rPr>
      </w:pPr>
      <w:r>
        <w:rPr>
          <w:rFonts w:hint="eastAsia" w:ascii="宋体" w:hAnsi="宋体"/>
          <w:szCs w:val="21"/>
        </w:rPr>
        <w:t>承包人指定的接收人为合同协议书中载明的承包人项目经理本人或者项目经理的授权代表应在收承包人到开工通知后7天内，将授权代表其接收来往信函的项目经理的授权代表姓名和授权范围通知监理人。除合同另有约定外，承包人施工场地管理机构的办公地点即为承包人指定的接收地点。</w:t>
      </w:r>
    </w:p>
    <w:p>
      <w:pPr>
        <w:spacing w:line="560" w:lineRule="exact"/>
        <w:ind w:firstLine="420" w:firstLineChars="200"/>
        <w:rPr>
          <w:rFonts w:ascii="宋体" w:hAnsi="宋体"/>
          <w:szCs w:val="21"/>
        </w:rPr>
      </w:pPr>
      <w:r>
        <w:rPr>
          <w:rFonts w:hint="eastAsia" w:ascii="宋体" w:hAnsi="宋体"/>
          <w:szCs w:val="21"/>
        </w:rPr>
        <w:t>发包人（包括监理人和造价人）和承包人中任何一方指定的接收人或者接收地点发生变动，应当在实际变动前提前至少一个工作日以书面方式通知另一方。发包人（包括监理人和造价人）和承包人应当确保其各自指定的接收人在法定的和（或）符合合同约定的工作时间内始终工作在指定的接收地点，指定接收人离开工作岗位而无法及时签收来往信函构成拒不签收。</w:t>
      </w:r>
    </w:p>
    <w:p>
      <w:pPr>
        <w:spacing w:after="120" w:line="560" w:lineRule="exact"/>
        <w:ind w:firstLine="420" w:firstLineChars="200"/>
        <w:rPr>
          <w:rFonts w:ascii="宋体" w:hAnsi="宋体"/>
          <w:szCs w:val="21"/>
        </w:rPr>
      </w:pPr>
      <w:r>
        <w:rPr>
          <w:rFonts w:hint="eastAsia"/>
          <w:szCs w:val="21"/>
        </w:rPr>
        <w:t>发包人（包括监理人和造价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after="120" w:line="560" w:lineRule="exact"/>
        <w:ind w:firstLine="420" w:firstLineChars="200"/>
        <w:rPr>
          <w:rFonts w:ascii="宋体" w:hAnsi="宋体"/>
          <w:szCs w:val="21"/>
        </w:rPr>
      </w:pPr>
      <w:r>
        <w:rPr>
          <w:rFonts w:ascii="宋体" w:hAnsi="宋体"/>
          <w:szCs w:val="21"/>
        </w:rPr>
        <w:t xml:space="preserve">1.10 </w:t>
      </w:r>
      <w:r>
        <w:rPr>
          <w:rFonts w:hint="eastAsia" w:ascii="宋体" w:hAnsi="宋体"/>
          <w:szCs w:val="21"/>
        </w:rPr>
        <w:t>交通运输</w:t>
      </w:r>
    </w:p>
    <w:p>
      <w:pPr>
        <w:spacing w:after="120" w:line="560" w:lineRule="exact"/>
        <w:ind w:firstLine="420" w:firstLineChars="200"/>
        <w:rPr>
          <w:rFonts w:ascii="宋体" w:hAnsi="宋体"/>
          <w:szCs w:val="21"/>
        </w:rPr>
      </w:pPr>
      <w:r>
        <w:rPr>
          <w:rFonts w:ascii="宋体" w:hAnsi="宋体"/>
          <w:szCs w:val="21"/>
        </w:rPr>
        <w:t xml:space="preserve">1.10.1 </w:t>
      </w:r>
      <w:r>
        <w:rPr>
          <w:rFonts w:hint="eastAsia" w:ascii="宋体" w:hAnsi="宋体"/>
          <w:szCs w:val="21"/>
        </w:rPr>
        <w:t>出入现场的权利</w:t>
      </w:r>
    </w:p>
    <w:p>
      <w:pPr>
        <w:spacing w:after="120" w:line="560" w:lineRule="exact"/>
        <w:ind w:firstLine="420" w:firstLineChars="200"/>
        <w:rPr>
          <w:rFonts w:ascii="宋体" w:hAnsi="宋体"/>
          <w:szCs w:val="21"/>
          <w:u w:val="single"/>
        </w:rPr>
      </w:pPr>
      <w:r>
        <w:rPr>
          <w:rFonts w:hint="eastAsia" w:ascii="宋体" w:hAnsi="宋体"/>
          <w:szCs w:val="21"/>
        </w:rPr>
        <w:t>关于出入现场的权利的约定：</w:t>
      </w:r>
      <w:r>
        <w:rPr>
          <w:rFonts w:hint="eastAsia" w:ascii="宋体" w:hAnsi="宋体"/>
          <w:szCs w:val="21"/>
          <w:u w:val="single"/>
        </w:rPr>
        <w:t xml:space="preserve"> 除正常施工涉及的人员及车辆外，其他人员及车辆进出场内须经过发包人同意，且由承包人进行管理登记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 xml:space="preserve">1.10.3 </w:t>
      </w:r>
      <w:r>
        <w:rPr>
          <w:rFonts w:hint="eastAsia" w:ascii="宋体" w:hAnsi="宋体"/>
          <w:szCs w:val="21"/>
        </w:rPr>
        <w:t>场内交通</w:t>
      </w:r>
    </w:p>
    <w:p>
      <w:pPr>
        <w:spacing w:line="560" w:lineRule="exact"/>
        <w:ind w:firstLine="420" w:firstLineChars="200"/>
        <w:jc w:val="left"/>
        <w:rPr>
          <w:rFonts w:ascii="宋体" w:hAnsi="宋体"/>
          <w:kern w:val="0"/>
          <w:szCs w:val="21"/>
        </w:rPr>
      </w:pPr>
      <w:r>
        <w:rPr>
          <w:rFonts w:hint="eastAsia" w:ascii="宋体" w:hAnsi="宋体"/>
          <w:kern w:val="0"/>
          <w:szCs w:val="21"/>
        </w:rPr>
        <w:t>关于场外交通和场内交通的边界的约定：</w:t>
      </w:r>
      <w:r>
        <w:rPr>
          <w:rFonts w:hint="eastAsia" w:ascii="宋体" w:hAnsi="宋体"/>
          <w:szCs w:val="21"/>
          <w:u w:val="single"/>
        </w:rPr>
        <w:t xml:space="preserve">  施工场地征地边界线或施工场地围墙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关于发包人向承包人免费提供满足工程施工需要的场内道路和交通设施的约定：</w:t>
      </w:r>
      <w:r>
        <w:rPr>
          <w:rFonts w:hint="eastAsia" w:ascii="宋体" w:hAnsi="宋体" w:cs="宋体"/>
          <w:szCs w:val="21"/>
          <w:u w:val="single"/>
        </w:rPr>
        <w:t>由承包人负责场内道路和交通设施的修建并承担相应费用</w:t>
      </w:r>
      <w:r>
        <w:rPr>
          <w:rFonts w:hint="eastAsia"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1.10.4</w:t>
      </w:r>
      <w:r>
        <w:rPr>
          <w:rFonts w:hint="eastAsia" w:ascii="宋体" w:hAnsi="宋体"/>
          <w:szCs w:val="21"/>
        </w:rPr>
        <w:t>超大件和超重件的运输</w:t>
      </w:r>
    </w:p>
    <w:p>
      <w:pPr>
        <w:spacing w:line="560" w:lineRule="exact"/>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承担。</w:t>
      </w:r>
    </w:p>
    <w:p>
      <w:pPr>
        <w:spacing w:after="120" w:line="560" w:lineRule="exact"/>
        <w:ind w:firstLine="420" w:firstLineChars="200"/>
        <w:rPr>
          <w:rFonts w:ascii="宋体" w:hAnsi="宋体"/>
          <w:szCs w:val="21"/>
        </w:rPr>
      </w:pPr>
      <w:r>
        <w:rPr>
          <w:rFonts w:ascii="宋体" w:hAnsi="宋体"/>
          <w:szCs w:val="21"/>
        </w:rPr>
        <w:t xml:space="preserve">1.11 </w:t>
      </w:r>
      <w:r>
        <w:rPr>
          <w:rFonts w:hint="eastAsia" w:ascii="宋体" w:hAnsi="宋体"/>
          <w:szCs w:val="21"/>
        </w:rPr>
        <w:t>知识产权</w:t>
      </w:r>
    </w:p>
    <w:p>
      <w:pPr>
        <w:spacing w:line="560" w:lineRule="exact"/>
        <w:ind w:firstLine="420" w:firstLineChars="200"/>
        <w:rPr>
          <w:rFonts w:ascii="宋体" w:hAnsi="宋体"/>
          <w:szCs w:val="21"/>
        </w:rPr>
      </w:pPr>
      <w:r>
        <w:rPr>
          <w:rFonts w:ascii="宋体" w:hAnsi="宋体"/>
          <w:szCs w:val="21"/>
        </w:rPr>
        <w:t>1.11.1</w:t>
      </w:r>
      <w:r>
        <w:rPr>
          <w:rFonts w:hint="eastAsia" w:ascii="宋体" w:hAnsi="宋体"/>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著作权属于发包人</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关于发包人提供的上述文件的使用限制的要求：</w:t>
      </w:r>
      <w:r>
        <w:rPr>
          <w:rFonts w:hint="eastAsia" w:ascii="宋体" w:hAnsi="宋体" w:cs="宋体"/>
          <w:szCs w:val="21"/>
          <w:u w:val="single"/>
        </w:rPr>
        <w:t>未经发包人同意，承包人不得为了合同以外的目的而复制、使用上述文件或将之提供给任何第三方</w:t>
      </w:r>
      <w:r>
        <w:rPr>
          <w:rFonts w:hint="eastAsia" w:ascii="宋体" w:hAnsi="宋体"/>
          <w:szCs w:val="21"/>
        </w:rPr>
        <w:t>。</w:t>
      </w:r>
    </w:p>
    <w:p>
      <w:pPr>
        <w:spacing w:line="560" w:lineRule="exact"/>
        <w:ind w:firstLine="420" w:firstLineChars="200"/>
        <w:rPr>
          <w:rFonts w:ascii="宋体" w:hAnsi="宋体"/>
          <w:szCs w:val="21"/>
        </w:rPr>
      </w:pPr>
      <w:r>
        <w:rPr>
          <w:rFonts w:ascii="宋体" w:hAnsi="宋体"/>
          <w:szCs w:val="21"/>
        </w:rPr>
        <w:t xml:space="preserve">1.11.2 </w:t>
      </w:r>
      <w:r>
        <w:rPr>
          <w:rFonts w:hint="eastAsia" w:ascii="宋体" w:hAnsi="宋体"/>
          <w:szCs w:val="21"/>
        </w:rPr>
        <w:t>关于承包人为实施工程所编制文件的著作权的归属：</w:t>
      </w:r>
      <w:r>
        <w:rPr>
          <w:rFonts w:hint="eastAsia" w:ascii="宋体" w:hAnsi="宋体"/>
          <w:szCs w:val="21"/>
          <w:u w:val="single"/>
        </w:rPr>
        <w:t>除署名以外著作权属于发包人</w:t>
      </w:r>
      <w:r>
        <w:rPr>
          <w:rFonts w:hint="eastAsia" w:ascii="宋体" w:hAnsi="宋体"/>
          <w:szCs w:val="21"/>
        </w:rPr>
        <w:t>。</w:t>
      </w:r>
    </w:p>
    <w:p>
      <w:pPr>
        <w:spacing w:line="560" w:lineRule="exact"/>
        <w:ind w:firstLine="420" w:firstLineChars="200"/>
        <w:rPr>
          <w:rFonts w:ascii="宋体" w:hAnsi="宋体"/>
          <w:szCs w:val="21"/>
          <w:u w:val="single"/>
        </w:rPr>
      </w:pPr>
      <w:r>
        <w:rPr>
          <w:rFonts w:hint="eastAsia" w:ascii="宋体" w:hAnsi="宋体"/>
          <w:szCs w:val="21"/>
        </w:rPr>
        <w:t>关于承包人提供的上述文件的使用限制的要求：</w:t>
      </w:r>
      <w:r>
        <w:rPr>
          <w:rFonts w:hint="eastAsia" w:ascii="宋体" w:hAnsi="宋体" w:cs="宋体"/>
          <w:szCs w:val="21"/>
          <w:u w:val="single"/>
        </w:rPr>
        <w:t>未经发包人同意，承包人不得为了合同以外的目的而复制、使用上述文件或将之提供给任何第三方</w:t>
      </w:r>
      <w:r>
        <w:rPr>
          <w:rFonts w:hint="eastAsia" w:ascii="宋体" w:hAnsi="宋体"/>
          <w:szCs w:val="21"/>
        </w:rPr>
        <w:t>。</w:t>
      </w:r>
    </w:p>
    <w:p>
      <w:pPr>
        <w:spacing w:line="560" w:lineRule="exact"/>
        <w:ind w:firstLine="420" w:firstLineChars="200"/>
        <w:rPr>
          <w:rFonts w:ascii="宋体" w:hAnsi="宋体"/>
          <w:kern w:val="0"/>
          <w:szCs w:val="21"/>
        </w:rPr>
      </w:pPr>
      <w:r>
        <w:rPr>
          <w:rFonts w:ascii="宋体" w:hAnsi="宋体"/>
          <w:szCs w:val="21"/>
        </w:rPr>
        <w:t xml:space="preserve">1.11.4 </w:t>
      </w:r>
      <w:r>
        <w:rPr>
          <w:rFonts w:hint="eastAsia" w:ascii="宋体" w:hAnsi="宋体"/>
          <w:szCs w:val="21"/>
        </w:rPr>
        <w:t>承包人在施工过程中所采用的专利、专有技术、技术秘密的使用费的承担方式：</w:t>
      </w:r>
      <w:r>
        <w:rPr>
          <w:rFonts w:hint="eastAsia" w:ascii="宋体" w:hAnsi="宋体" w:cs="宋体"/>
          <w:szCs w:val="21"/>
          <w:u w:val="single"/>
        </w:rPr>
        <w:t>由承包人承担</w:t>
      </w:r>
      <w:r>
        <w:rPr>
          <w:rFonts w:hint="eastAsia" w:ascii="宋体" w:hAnsi="宋体"/>
          <w:kern w:val="0"/>
          <w:szCs w:val="21"/>
        </w:rPr>
        <w:t>。</w:t>
      </w:r>
    </w:p>
    <w:p>
      <w:pPr>
        <w:spacing w:after="120" w:line="560" w:lineRule="exact"/>
        <w:ind w:firstLine="420" w:firstLineChars="200"/>
        <w:rPr>
          <w:rFonts w:ascii="宋体" w:hAnsi="宋体"/>
          <w:color w:val="auto"/>
          <w:szCs w:val="21"/>
        </w:rPr>
      </w:pPr>
      <w:r>
        <w:rPr>
          <w:rFonts w:ascii="宋体" w:hAnsi="宋体"/>
          <w:color w:val="auto"/>
          <w:szCs w:val="21"/>
        </w:rPr>
        <w:t>1.13</w:t>
      </w:r>
      <w:r>
        <w:rPr>
          <w:rFonts w:hint="eastAsia" w:ascii="宋体" w:hAnsi="宋体"/>
          <w:color w:val="auto"/>
          <w:szCs w:val="21"/>
        </w:rPr>
        <w:t>工程量清单错误的修正</w:t>
      </w:r>
    </w:p>
    <w:p>
      <w:pPr>
        <w:spacing w:line="560" w:lineRule="exact"/>
        <w:ind w:firstLine="420" w:firstLineChars="200"/>
        <w:rPr>
          <w:rFonts w:ascii="宋体" w:hAnsi="宋体"/>
          <w:color w:val="auto"/>
          <w:szCs w:val="21"/>
          <w:u w:val="single"/>
        </w:rPr>
      </w:pPr>
      <w:r>
        <w:rPr>
          <w:rFonts w:hint="eastAsia" w:ascii="宋体" w:hAnsi="宋体"/>
          <w:color w:val="auto"/>
          <w:szCs w:val="21"/>
        </w:rPr>
        <w:t>出现工程量清单错误时，是否调整合同价格：</w:t>
      </w:r>
      <w:r>
        <w:rPr>
          <w:rFonts w:ascii="宋体" w:hAnsi="宋体"/>
          <w:color w:val="auto"/>
          <w:szCs w:val="21"/>
          <w:u w:val="single"/>
        </w:rPr>
        <w:t xml:space="preserve"> </w:t>
      </w:r>
      <w:r>
        <w:rPr>
          <w:rFonts w:hint="eastAsia" w:ascii="宋体" w:hAnsi="宋体"/>
          <w:color w:val="auto"/>
          <w:szCs w:val="21"/>
          <w:u w:val="single"/>
        </w:rPr>
        <w:t>（1）</w:t>
      </w:r>
      <w:r>
        <w:rPr>
          <w:rFonts w:hint="eastAsia" w:ascii="宋体" w:hAnsi="宋体"/>
          <w:color w:val="auto"/>
          <w:kern w:val="0"/>
          <w:szCs w:val="21"/>
          <w:u w:val="single"/>
        </w:rPr>
        <w:t>工程量清单存在缺项、漏项的，</w:t>
      </w:r>
      <w:r>
        <w:rPr>
          <w:rFonts w:hint="eastAsia" w:ascii="宋体" w:hAnsi="宋体"/>
          <w:color w:val="auto"/>
          <w:szCs w:val="21"/>
          <w:u w:val="single"/>
        </w:rPr>
        <w:t>有定额的套定额，并乘以【中标的投标报价÷经评审预算价（不含安全文明施工费、规费、增值税）】计算，其中材料价格按施工期间的《南宁市建设工程造价信息》相应价格信息进行计算；《南宁市建设工程造价信息》信息价没有相应价格信息的按市场价计算；无定额可套的，根据市场价格协商确定综合价格；新增结算综合单价=按定额计算（管理费、利润取中值）的综合单价×【中标的投标报价÷经评审预算价（不含安全文明施工费、规费、增值税）】。</w:t>
      </w:r>
    </w:p>
    <w:p>
      <w:pPr>
        <w:spacing w:line="560" w:lineRule="exact"/>
        <w:ind w:firstLine="420" w:firstLineChars="200"/>
        <w:rPr>
          <w:rFonts w:ascii="宋体" w:hAnsi="宋体"/>
          <w:color w:val="auto"/>
          <w:kern w:val="0"/>
          <w:szCs w:val="21"/>
        </w:rPr>
      </w:pPr>
      <w:r>
        <w:rPr>
          <w:rFonts w:hint="eastAsia" w:ascii="宋体" w:hAnsi="宋体"/>
          <w:color w:val="auto"/>
          <w:szCs w:val="21"/>
          <w:u w:val="single"/>
        </w:rPr>
        <w:t>（2）工程量偏差在±15%以上的，工程量按实调整；工程量偏差在±15%以下的，合同价格不予调整</w:t>
      </w:r>
      <w:r>
        <w:rPr>
          <w:rFonts w:ascii="宋体" w:hAnsi="宋体"/>
          <w:color w:val="auto"/>
          <w:szCs w:val="21"/>
          <w:u w:val="single"/>
        </w:rPr>
        <w:t xml:space="preserve">   </w:t>
      </w:r>
      <w:r>
        <w:rPr>
          <w:rFonts w:hint="eastAsia" w:ascii="宋体" w:hAnsi="宋体"/>
          <w:color w:val="auto"/>
          <w:kern w:val="0"/>
          <w:szCs w:val="21"/>
        </w:rPr>
        <w:t>。</w:t>
      </w:r>
    </w:p>
    <w:p>
      <w:pPr>
        <w:spacing w:line="560" w:lineRule="exact"/>
        <w:ind w:firstLine="420" w:firstLineChars="200"/>
        <w:rPr>
          <w:rFonts w:ascii="宋体" w:hAnsi="宋体"/>
          <w:color w:val="auto"/>
          <w:szCs w:val="21"/>
        </w:rPr>
      </w:pPr>
      <w:r>
        <w:rPr>
          <w:rFonts w:hint="eastAsia" w:ascii="宋体" w:hAnsi="宋体"/>
          <w:color w:val="auto"/>
          <w:szCs w:val="21"/>
          <w:u w:val="single"/>
        </w:rPr>
        <w:t>（3）工程量清单有而图纸没有，也没有施工的项目，则全部扣除该项目造价。</w:t>
      </w:r>
    </w:p>
    <w:p>
      <w:pPr>
        <w:spacing w:line="560" w:lineRule="exact"/>
        <w:ind w:firstLine="420" w:firstLineChars="200"/>
        <w:rPr>
          <w:rFonts w:ascii="宋体" w:hAnsi="宋体"/>
          <w:color w:val="auto"/>
          <w:szCs w:val="21"/>
        </w:rPr>
      </w:pPr>
      <w:r>
        <w:rPr>
          <w:rFonts w:hint="eastAsia" w:ascii="宋体" w:hAnsi="宋体"/>
          <w:color w:val="auto"/>
          <w:szCs w:val="21"/>
        </w:rPr>
        <w:t>允许调整合同价格的工程量偏差范围：</w:t>
      </w:r>
    </w:p>
    <w:p>
      <w:pPr>
        <w:spacing w:line="560" w:lineRule="exact"/>
        <w:ind w:firstLine="420" w:firstLineChars="200"/>
        <w:rPr>
          <w:rFonts w:ascii="宋体" w:hAnsi="宋体"/>
          <w:color w:val="auto"/>
          <w:kern w:val="0"/>
          <w:szCs w:val="21"/>
          <w:u w:val="single"/>
        </w:rPr>
      </w:pPr>
      <w:r>
        <w:rPr>
          <w:rFonts w:hint="eastAsia" w:ascii="宋体" w:hAnsi="宋体"/>
          <w:color w:val="auto"/>
          <w:kern w:val="0"/>
          <w:szCs w:val="21"/>
          <w:u w:val="single"/>
        </w:rPr>
        <w:t>工程量偏差在±15%以上的，工程量按实调整，综合单价按以下方式进行调整：</w:t>
      </w:r>
    </w:p>
    <w:p>
      <w:pPr>
        <w:spacing w:line="560" w:lineRule="exact"/>
        <w:ind w:firstLine="420" w:firstLineChars="200"/>
        <w:rPr>
          <w:rFonts w:ascii="宋体" w:hAnsi="宋体"/>
          <w:color w:val="auto"/>
          <w:kern w:val="0"/>
          <w:szCs w:val="21"/>
          <w:u w:val="single"/>
        </w:rPr>
      </w:pPr>
      <w:r>
        <w:rPr>
          <w:rFonts w:hint="eastAsia" w:ascii="宋体" w:hAnsi="宋体"/>
          <w:color w:val="auto"/>
          <w:kern w:val="0"/>
          <w:szCs w:val="21"/>
          <w:u w:val="single"/>
        </w:rPr>
        <w:t>（1）严重不平衡报价项目：综合单价均按照专用条款“21.8 严重不平衡报价调整执行。</w:t>
      </w:r>
    </w:p>
    <w:p>
      <w:pPr>
        <w:spacing w:line="560" w:lineRule="exact"/>
        <w:ind w:firstLine="420" w:firstLineChars="200"/>
        <w:rPr>
          <w:rFonts w:ascii="宋体" w:hAnsi="宋体"/>
          <w:color w:val="auto"/>
          <w:szCs w:val="21"/>
          <w:u w:val="single"/>
        </w:rPr>
      </w:pPr>
      <w:r>
        <w:rPr>
          <w:rFonts w:hint="eastAsia" w:ascii="宋体" w:hAnsi="宋体"/>
          <w:color w:val="auto"/>
          <w:kern w:val="0"/>
          <w:szCs w:val="21"/>
          <w:u w:val="single"/>
        </w:rPr>
        <w:t>（2）非严重不平衡报价项目：工程量增加15%以上的，超过15%部分的综合单价按投标单价乘以0.95进行结算；工程量减少15%以上的，减少后剩余部分的单价按控制价进行结算。</w:t>
      </w:r>
    </w:p>
    <w:p>
      <w:pPr>
        <w:pStyle w:val="2"/>
        <w:spacing w:before="120" w:after="120" w:line="560" w:lineRule="exact"/>
        <w:ind w:firstLine="420" w:firstLineChars="200"/>
        <w:rPr>
          <w:rFonts w:ascii="宋体" w:hAnsi="宋体"/>
          <w:b w:val="0"/>
          <w:color w:val="auto"/>
          <w:sz w:val="21"/>
          <w:szCs w:val="21"/>
        </w:rPr>
      </w:pPr>
      <w:r>
        <w:rPr>
          <w:rFonts w:ascii="宋体" w:hAnsi="宋体"/>
          <w:b w:val="0"/>
          <w:color w:val="auto"/>
          <w:sz w:val="21"/>
          <w:szCs w:val="21"/>
        </w:rPr>
        <w:t xml:space="preserve">2. </w:t>
      </w:r>
      <w:r>
        <w:rPr>
          <w:rFonts w:hint="eastAsia" w:ascii="宋体" w:hAnsi="宋体"/>
          <w:b w:val="0"/>
          <w:color w:val="auto"/>
          <w:sz w:val="21"/>
          <w:szCs w:val="21"/>
        </w:rPr>
        <w:t>发包人</w:t>
      </w:r>
    </w:p>
    <w:p>
      <w:pPr>
        <w:spacing w:after="120" w:line="560" w:lineRule="exact"/>
        <w:ind w:firstLine="420" w:firstLineChars="200"/>
        <w:rPr>
          <w:rFonts w:ascii="宋体" w:hAnsi="宋体"/>
          <w:szCs w:val="21"/>
        </w:rPr>
      </w:pPr>
      <w:r>
        <w:rPr>
          <w:rFonts w:ascii="宋体" w:hAnsi="宋体"/>
          <w:szCs w:val="21"/>
        </w:rPr>
        <w:t xml:space="preserve">2.2 </w:t>
      </w:r>
      <w:r>
        <w:rPr>
          <w:rFonts w:hint="eastAsia" w:ascii="宋体" w:hAnsi="宋体"/>
          <w:szCs w:val="21"/>
        </w:rPr>
        <w:t>发包人代表</w:t>
      </w:r>
    </w:p>
    <w:p>
      <w:pPr>
        <w:spacing w:line="560" w:lineRule="exact"/>
        <w:ind w:firstLine="420" w:firstLineChars="200"/>
        <w:rPr>
          <w:rFonts w:ascii="宋体" w:hAnsi="宋体"/>
          <w:szCs w:val="21"/>
        </w:rPr>
      </w:pPr>
      <w:r>
        <w:rPr>
          <w:rFonts w:hint="eastAsia" w:ascii="宋体" w:hAnsi="宋体"/>
          <w:szCs w:val="21"/>
        </w:rPr>
        <w:t>发包人代表：</w:t>
      </w:r>
    </w:p>
    <w:p>
      <w:pPr>
        <w:spacing w:line="560" w:lineRule="exact"/>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身份证号：</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联系电话：</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通信地址：</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u w:val="single"/>
        </w:rPr>
      </w:pPr>
      <w:r>
        <w:rPr>
          <w:rFonts w:hint="eastAsia" w:ascii="宋体" w:hAnsi="宋体"/>
          <w:szCs w:val="21"/>
        </w:rPr>
        <w:t>发包人对发包人代表的授权范围如下：</w:t>
      </w:r>
      <w:r>
        <w:rPr>
          <w:rFonts w:hint="eastAsia" w:ascii="宋体" w:hAnsi="宋体"/>
          <w:szCs w:val="21"/>
          <w:u w:val="single"/>
        </w:rPr>
        <w:t xml:space="preserve">  </w:t>
      </w:r>
      <w:r>
        <w:rPr>
          <w:rFonts w:hint="eastAsia" w:ascii="宋体" w:hAnsi="宋体" w:cs="宋体"/>
          <w:szCs w:val="21"/>
          <w:u w:val="single"/>
        </w:rPr>
        <w:t>持该项目施工过程中及保修阶段的全过程管理。负责监督监理单位做好安全、质量、进度，监督材料、设备的定样，材料价格的确认，以及代表发包人对工程量造价的核算和工程结算、工程安全、质量、进度、变更、认价、工程量的增减等所有相关文件的签字确认。</w:t>
      </w:r>
      <w:r>
        <w:rPr>
          <w:rFonts w:hint="eastAsia" w:ascii="宋体" w:hAnsi="宋体"/>
          <w:szCs w:val="21"/>
          <w:u w:val="single"/>
        </w:rPr>
        <w:t xml:space="preserve"> </w:t>
      </w:r>
    </w:p>
    <w:p>
      <w:pPr>
        <w:spacing w:after="120" w:line="560" w:lineRule="exact"/>
        <w:ind w:firstLine="420" w:firstLineChars="200"/>
        <w:rPr>
          <w:rFonts w:ascii="宋体" w:hAnsi="宋体"/>
          <w:szCs w:val="21"/>
        </w:rPr>
      </w:pPr>
      <w:r>
        <w:rPr>
          <w:rFonts w:ascii="宋体" w:hAnsi="宋体"/>
          <w:szCs w:val="21"/>
        </w:rPr>
        <w:t xml:space="preserve">2.4 </w:t>
      </w:r>
      <w:r>
        <w:rPr>
          <w:rFonts w:hint="eastAsia" w:ascii="宋体" w:hAnsi="宋体"/>
          <w:szCs w:val="21"/>
        </w:rPr>
        <w:t>施工现场、施工条件和基础资料的提供</w:t>
      </w:r>
    </w:p>
    <w:p>
      <w:pPr>
        <w:spacing w:line="560" w:lineRule="exact"/>
        <w:ind w:firstLine="420" w:firstLineChars="200"/>
        <w:rPr>
          <w:rFonts w:ascii="宋体" w:hAnsi="宋体"/>
          <w:szCs w:val="21"/>
        </w:rPr>
      </w:pPr>
      <w:r>
        <w:rPr>
          <w:rFonts w:ascii="宋体" w:hAnsi="宋体"/>
          <w:szCs w:val="21"/>
        </w:rPr>
        <w:t xml:space="preserve">2.4.1 </w:t>
      </w:r>
      <w:r>
        <w:rPr>
          <w:rFonts w:hint="eastAsia" w:ascii="宋体" w:hAnsi="宋体"/>
          <w:szCs w:val="21"/>
        </w:rPr>
        <w:t>提供施工现场</w:t>
      </w:r>
    </w:p>
    <w:p>
      <w:pPr>
        <w:spacing w:line="560" w:lineRule="exact"/>
        <w:ind w:firstLine="420" w:firstLineChars="200"/>
        <w:jc w:val="left"/>
        <w:rPr>
          <w:rFonts w:ascii="宋体" w:hAnsi="宋体"/>
          <w:szCs w:val="21"/>
        </w:rPr>
      </w:pPr>
      <w:r>
        <w:rPr>
          <w:rFonts w:hint="eastAsia" w:ascii="宋体" w:hAnsi="宋体"/>
          <w:szCs w:val="21"/>
        </w:rPr>
        <w:t>（1）关于发包人移交施工现场的期限要求：</w:t>
      </w:r>
      <w:r>
        <w:rPr>
          <w:rFonts w:hint="eastAsia" w:ascii="宋体" w:hAnsi="宋体"/>
          <w:szCs w:val="21"/>
          <w:u w:val="single"/>
        </w:rPr>
        <w:t xml:space="preserve">  </w:t>
      </w:r>
      <w:r>
        <w:rPr>
          <w:rFonts w:hint="eastAsia" w:ascii="宋体" w:hAnsi="宋体" w:cs="宋体"/>
          <w:szCs w:val="21"/>
          <w:u w:val="single"/>
        </w:rPr>
        <w:t>施工场地应当在监理人发出的开工通知中载明的开工日期前3天具备施工条件并移交给承包人</w:t>
      </w:r>
      <w:r>
        <w:rPr>
          <w:rFonts w:ascii="宋体" w:hAnsi="宋体" w:cs="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b/>
          <w:szCs w:val="21"/>
          <w:u w:val="single"/>
        </w:rPr>
      </w:pPr>
      <w:r>
        <w:rPr>
          <w:rFonts w:hint="eastAsia" w:ascii="宋体" w:hAnsi="宋体"/>
          <w:szCs w:val="21"/>
        </w:rPr>
        <w:t>（2）施工所需的水、电、汽、电讯等管线接至施工场地的要求、接入地点和提供时间：</w:t>
      </w:r>
      <w:r>
        <w:rPr>
          <w:rFonts w:hint="eastAsia" w:ascii="宋体" w:hAnsi="宋体"/>
          <w:szCs w:val="21"/>
          <w:u w:val="single"/>
        </w:rPr>
        <w:t>承包人用水、电、管线在承包人进入工地前自行解决，费用列入投标报价措施费中，所需材料在本工程完工后归承包人所有</w:t>
      </w:r>
      <w:r>
        <w:rPr>
          <w:rFonts w:hint="eastAsia" w:ascii="宋体" w:hAnsi="宋体"/>
          <w:b/>
          <w:szCs w:val="21"/>
          <w:u w:val="single"/>
        </w:rPr>
        <w:t>。</w:t>
      </w:r>
    </w:p>
    <w:p>
      <w:pPr>
        <w:spacing w:line="560" w:lineRule="exact"/>
        <w:ind w:firstLine="420" w:firstLineChars="200"/>
        <w:jc w:val="left"/>
        <w:rPr>
          <w:rFonts w:ascii="宋体" w:hAnsi="宋体"/>
          <w:szCs w:val="21"/>
        </w:rPr>
      </w:pPr>
      <w:r>
        <w:rPr>
          <w:rFonts w:hint="eastAsia" w:ascii="宋体" w:hAnsi="宋体"/>
          <w:szCs w:val="21"/>
        </w:rPr>
        <w:t>（3）施工场地与公共道路的通道开通时间和要求：</w:t>
      </w:r>
      <w:r>
        <w:rPr>
          <w:rFonts w:hint="eastAsia" w:ascii="宋体" w:hAnsi="宋体"/>
          <w:szCs w:val="21"/>
          <w:u w:val="single"/>
        </w:rPr>
        <w:t xml:space="preserve"> 由承包人负责，费用已列入报价。 _</w:t>
      </w:r>
    </w:p>
    <w:p>
      <w:pPr>
        <w:spacing w:line="560" w:lineRule="exact"/>
        <w:ind w:firstLine="420" w:firstLineChars="200"/>
        <w:jc w:val="left"/>
        <w:rPr>
          <w:rFonts w:ascii="宋体" w:hAnsi="宋体"/>
          <w:szCs w:val="21"/>
        </w:rPr>
      </w:pPr>
      <w:r>
        <w:rPr>
          <w:rFonts w:hint="eastAsia" w:ascii="宋体" w:hAnsi="宋体"/>
          <w:szCs w:val="21"/>
        </w:rPr>
        <w:t>（4）施工场地内工程地质和地下管线、地下设施等资料的提供时间：</w:t>
      </w:r>
      <w:r>
        <w:rPr>
          <w:rFonts w:hint="eastAsia" w:ascii="宋体" w:hAnsi="宋体"/>
          <w:szCs w:val="21"/>
          <w:u w:val="single"/>
        </w:rPr>
        <w:t xml:space="preserve">__承包人进场前现场交接或于施工图纸同时提供。  </w:t>
      </w:r>
    </w:p>
    <w:p>
      <w:pPr>
        <w:spacing w:line="560" w:lineRule="exact"/>
        <w:ind w:firstLine="420" w:firstLineChars="200"/>
        <w:rPr>
          <w:rFonts w:ascii="宋体" w:hAnsi="宋体"/>
          <w:szCs w:val="21"/>
        </w:rPr>
      </w:pPr>
      <w:r>
        <w:rPr>
          <w:rFonts w:ascii="宋体" w:hAnsi="宋体"/>
          <w:szCs w:val="21"/>
        </w:rPr>
        <w:t xml:space="preserve">2.4.2 </w:t>
      </w:r>
      <w:r>
        <w:rPr>
          <w:rFonts w:hint="eastAsia" w:ascii="宋体" w:hAnsi="宋体"/>
          <w:szCs w:val="21"/>
        </w:rPr>
        <w:t>提供施工条件</w:t>
      </w:r>
    </w:p>
    <w:p>
      <w:pPr>
        <w:spacing w:line="560" w:lineRule="exact"/>
        <w:ind w:firstLine="420" w:firstLineChars="200"/>
        <w:rPr>
          <w:rFonts w:ascii="宋体" w:hAnsi="宋体"/>
          <w:szCs w:val="21"/>
          <w:u w:val="single"/>
        </w:rPr>
      </w:pPr>
      <w:r>
        <w:rPr>
          <w:rFonts w:hint="eastAsia" w:ascii="宋体" w:hAnsi="宋体"/>
          <w:szCs w:val="21"/>
        </w:rPr>
        <w:t>关于发包人应负责提供施工所需要的条件，包括：</w:t>
      </w:r>
      <w:r>
        <w:rPr>
          <w:rFonts w:hint="eastAsia" w:ascii="宋体" w:hAnsi="宋体"/>
          <w:szCs w:val="21"/>
          <w:u w:val="single"/>
        </w:rPr>
        <w:t xml:space="preserve">  无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2.5 </w:t>
      </w:r>
      <w:r>
        <w:rPr>
          <w:rFonts w:hint="eastAsia" w:ascii="宋体" w:hAnsi="宋体"/>
          <w:szCs w:val="21"/>
        </w:rPr>
        <w:t>资金来源证明及支付担保</w:t>
      </w:r>
    </w:p>
    <w:p>
      <w:pPr>
        <w:spacing w:line="560" w:lineRule="exact"/>
        <w:ind w:firstLine="420" w:firstLineChars="200"/>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 xml:space="preserve">   无</w:t>
      </w:r>
      <w:r>
        <w:rPr>
          <w:rFonts w:ascii="宋体" w:hAnsi="宋体"/>
          <w:szCs w:val="21"/>
          <w:u w:val="single"/>
        </w:rPr>
        <w:t xml:space="preserve">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发包人是否提供支付担保：</w:t>
      </w:r>
      <w:r>
        <w:rPr>
          <w:rFonts w:ascii="宋体" w:hAnsi="宋体" w:cs="宋体"/>
          <w:szCs w:val="21"/>
          <w:u w:val="single"/>
        </w:rPr>
        <w:t xml:space="preserve">        </w:t>
      </w:r>
      <w:r>
        <w:rPr>
          <w:rFonts w:hint="eastAsia" w:ascii="宋体" w:hAnsi="宋体"/>
          <w:szCs w:val="21"/>
          <w:u w:val="single"/>
        </w:rPr>
        <w:t>无</w:t>
      </w:r>
      <w:r>
        <w:rPr>
          <w:rFonts w:ascii="宋体" w:hAnsi="宋体" w:cs="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560" w:lineRule="exact"/>
        <w:ind w:firstLine="420" w:firstLineChars="200"/>
        <w:rPr>
          <w:rFonts w:ascii="宋体" w:hAnsi="宋体"/>
          <w:szCs w:val="21"/>
          <w:u w:val="single"/>
        </w:rPr>
      </w:pPr>
      <w:r>
        <w:rPr>
          <w:rFonts w:hint="eastAsia" w:ascii="宋体" w:hAnsi="宋体"/>
          <w:szCs w:val="21"/>
        </w:rPr>
        <w:t>发包人提供支付担保的形式：</w:t>
      </w:r>
      <w:r>
        <w:rPr>
          <w:rFonts w:ascii="宋体" w:hAnsi="宋体" w:cs="宋体"/>
          <w:szCs w:val="21"/>
          <w:u w:val="single"/>
        </w:rPr>
        <w:t xml:space="preserve">      </w:t>
      </w:r>
      <w:r>
        <w:rPr>
          <w:rFonts w:hint="eastAsia" w:ascii="宋体" w:hAnsi="宋体"/>
          <w:szCs w:val="21"/>
          <w:u w:val="single"/>
        </w:rPr>
        <w:t>无</w:t>
      </w:r>
      <w:r>
        <w:rPr>
          <w:rFonts w:ascii="宋体" w:hAnsi="宋体" w:cs="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3. </w:t>
      </w:r>
      <w:r>
        <w:rPr>
          <w:rFonts w:hint="eastAsia" w:ascii="宋体" w:hAnsi="宋体"/>
          <w:b w:val="0"/>
          <w:sz w:val="21"/>
          <w:szCs w:val="21"/>
        </w:rPr>
        <w:t>承包人</w:t>
      </w:r>
    </w:p>
    <w:p>
      <w:pPr>
        <w:spacing w:after="120" w:line="560" w:lineRule="exact"/>
        <w:ind w:firstLine="420" w:firstLineChars="200"/>
        <w:rPr>
          <w:rFonts w:ascii="宋体" w:hAnsi="宋体"/>
          <w:szCs w:val="21"/>
        </w:rPr>
      </w:pPr>
      <w:r>
        <w:rPr>
          <w:rFonts w:ascii="宋体" w:hAnsi="宋体"/>
          <w:szCs w:val="21"/>
        </w:rPr>
        <w:t xml:space="preserve">3.1 </w:t>
      </w:r>
      <w:r>
        <w:rPr>
          <w:rFonts w:hint="eastAsia" w:ascii="宋体" w:hAnsi="宋体"/>
          <w:szCs w:val="21"/>
        </w:rPr>
        <w:t>承包人的一般义务</w:t>
      </w:r>
    </w:p>
    <w:p>
      <w:pPr>
        <w:pStyle w:val="172"/>
        <w:spacing w:line="560" w:lineRule="exact"/>
        <w:rPr>
          <w:rFonts w:ascii="宋体" w:hAnsi="宋体"/>
          <w:sz w:val="21"/>
        </w:rPr>
      </w:pPr>
      <w:r>
        <w:rPr>
          <w:rFonts w:hint="eastAsia" w:ascii="宋体" w:hAnsi="宋体"/>
          <w:sz w:val="21"/>
        </w:rPr>
        <w:t>（1）</w:t>
      </w:r>
      <w:r>
        <w:rPr>
          <w:rFonts w:hint="eastAsia" w:ascii="宋体" w:hAnsi="宋体"/>
          <w:spacing w:val="-2"/>
          <w:sz w:val="21"/>
        </w:rPr>
        <w:t>承包人应负责施工场地及其周边环境与生态的保护工作：按行政部门规定办理手续或双方协商。①需要办理交通特别通行证时，由承包人负责办证并承担相关费用；②需要排放有害污水时，由承包人办理相关手续，并承担相关费用；③施工噪音超过规定时，由承包人提出措施并承担相关费用</w:t>
      </w:r>
      <w:r>
        <w:rPr>
          <w:rFonts w:hint="eastAsia" w:ascii="宋体" w:hAnsi="宋体"/>
          <w:sz w:val="21"/>
        </w:rPr>
        <w:t>。</w:t>
      </w:r>
    </w:p>
    <w:p>
      <w:pPr>
        <w:pStyle w:val="172"/>
        <w:spacing w:line="560" w:lineRule="exact"/>
        <w:rPr>
          <w:rFonts w:ascii="宋体" w:hAnsi="宋体"/>
          <w:sz w:val="21"/>
        </w:rPr>
      </w:pPr>
      <w:r>
        <w:rPr>
          <w:rFonts w:ascii="宋体" w:hAnsi="宋体"/>
          <w:sz w:val="21"/>
        </w:rPr>
        <w:t>（</w:t>
      </w:r>
      <w:r>
        <w:rPr>
          <w:rFonts w:hint="eastAsia" w:ascii="宋体" w:hAnsi="宋体"/>
          <w:sz w:val="21"/>
        </w:rPr>
        <w:t>2</w:t>
      </w:r>
      <w:r>
        <w:rPr>
          <w:rFonts w:ascii="宋体" w:hAnsi="宋体"/>
          <w:sz w:val="21"/>
        </w:rPr>
        <w:t>）承包人提交的竣工资料的内容：</w:t>
      </w:r>
      <w:r>
        <w:rPr>
          <w:rFonts w:hint="eastAsia" w:ascii="宋体" w:hAnsi="宋体" w:cs="宋体"/>
          <w:position w:val="-2"/>
          <w:sz w:val="21"/>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并在结算审批时出具建设单位接收档案资料清单证明。</w:t>
      </w:r>
    </w:p>
    <w:p>
      <w:pPr>
        <w:pStyle w:val="172"/>
        <w:spacing w:line="560" w:lineRule="exact"/>
        <w:rPr>
          <w:rFonts w:ascii="宋体" w:hAnsi="宋体"/>
          <w:sz w:val="21"/>
        </w:rPr>
      </w:pPr>
      <w:r>
        <w:rPr>
          <w:rFonts w:ascii="宋体" w:hAnsi="宋体"/>
          <w:sz w:val="21"/>
        </w:rPr>
        <w:t>承包人需要提交的竣工资料套数：</w:t>
      </w:r>
      <w:r>
        <w:rPr>
          <w:rFonts w:hint="eastAsia" w:ascii="宋体" w:hAnsi="宋体"/>
          <w:sz w:val="21"/>
          <w:u w:val="single"/>
        </w:rPr>
        <w:t xml:space="preserve">完整、准确的竣工图纸六套及建筑专业竣工图六套，竣工资料一式六份，结算一式六份 </w:t>
      </w:r>
      <w:r>
        <w:rPr>
          <w:rFonts w:ascii="宋体" w:hAnsi="宋体"/>
          <w:sz w:val="21"/>
        </w:rPr>
        <w:t>。</w:t>
      </w:r>
    </w:p>
    <w:p>
      <w:pPr>
        <w:pStyle w:val="172"/>
        <w:spacing w:line="560" w:lineRule="exact"/>
        <w:rPr>
          <w:rFonts w:ascii="宋体" w:hAnsi="宋体"/>
          <w:sz w:val="21"/>
        </w:rPr>
      </w:pPr>
      <w:r>
        <w:rPr>
          <w:rFonts w:ascii="宋体" w:hAnsi="宋体"/>
          <w:sz w:val="21"/>
        </w:rPr>
        <w:t>承包人提交的竣工资料的费用承担：</w:t>
      </w:r>
      <w:r>
        <w:rPr>
          <w:rFonts w:ascii="宋体" w:hAnsi="宋体"/>
          <w:sz w:val="21"/>
          <w:u w:val="single"/>
        </w:rPr>
        <w:t xml:space="preserve">  </w:t>
      </w:r>
      <w:r>
        <w:rPr>
          <w:rFonts w:hint="eastAsia" w:ascii="宋体" w:hAnsi="宋体"/>
          <w:sz w:val="21"/>
          <w:u w:val="single"/>
        </w:rPr>
        <w:t>由</w:t>
      </w:r>
      <w:r>
        <w:rPr>
          <w:rFonts w:ascii="宋体" w:hAnsi="宋体"/>
          <w:sz w:val="21"/>
          <w:u w:val="single"/>
        </w:rPr>
        <w:t>承包人</w:t>
      </w:r>
      <w:r>
        <w:rPr>
          <w:rFonts w:hint="eastAsia" w:ascii="宋体" w:hAnsi="宋体"/>
          <w:sz w:val="21"/>
          <w:u w:val="single"/>
        </w:rPr>
        <w:t xml:space="preserve">承担相关费用 </w:t>
      </w:r>
      <w:r>
        <w:rPr>
          <w:rFonts w:ascii="宋体" w:hAnsi="宋体"/>
          <w:sz w:val="21"/>
        </w:rPr>
        <w:t>。</w:t>
      </w:r>
    </w:p>
    <w:p>
      <w:pPr>
        <w:pStyle w:val="172"/>
        <w:spacing w:line="560" w:lineRule="exact"/>
        <w:rPr>
          <w:rFonts w:ascii="宋体" w:hAnsi="宋体"/>
          <w:sz w:val="21"/>
        </w:rPr>
      </w:pPr>
      <w:r>
        <w:rPr>
          <w:rFonts w:ascii="宋体" w:hAnsi="宋体"/>
          <w:sz w:val="21"/>
        </w:rPr>
        <w:t>承包人提交的竣工资料移交时间：</w:t>
      </w:r>
      <w:r>
        <w:rPr>
          <w:rFonts w:ascii="宋体" w:hAnsi="宋体"/>
          <w:sz w:val="21"/>
          <w:u w:val="single"/>
        </w:rPr>
        <w:t xml:space="preserve">  </w:t>
      </w:r>
      <w:r>
        <w:rPr>
          <w:rFonts w:hint="eastAsia" w:ascii="宋体" w:hAnsi="宋体"/>
          <w:sz w:val="21"/>
          <w:u w:val="single"/>
        </w:rPr>
        <w:t>竣工验收后7天内</w:t>
      </w:r>
      <w:r>
        <w:rPr>
          <w:rFonts w:ascii="宋体" w:hAnsi="宋体"/>
          <w:sz w:val="21"/>
          <w:u w:val="single"/>
        </w:rPr>
        <w:t xml:space="preserve"> </w:t>
      </w:r>
      <w:r>
        <w:rPr>
          <w:rFonts w:ascii="宋体" w:hAnsi="宋体"/>
          <w:sz w:val="21"/>
        </w:rPr>
        <w:t>。</w:t>
      </w:r>
    </w:p>
    <w:p>
      <w:pPr>
        <w:pStyle w:val="172"/>
        <w:spacing w:line="560" w:lineRule="exact"/>
        <w:rPr>
          <w:rFonts w:ascii="宋体" w:hAnsi="宋体"/>
          <w:sz w:val="21"/>
        </w:rPr>
      </w:pPr>
      <w:r>
        <w:rPr>
          <w:rFonts w:ascii="宋体" w:hAnsi="宋体"/>
          <w:sz w:val="21"/>
        </w:rPr>
        <w:t>承包人提交的竣工资料形式要求：</w:t>
      </w:r>
      <w:r>
        <w:rPr>
          <w:rFonts w:ascii="宋体" w:hAnsi="宋体"/>
          <w:sz w:val="21"/>
          <w:u w:val="single"/>
        </w:rPr>
        <w:t xml:space="preserve">  </w:t>
      </w:r>
      <w:r>
        <w:rPr>
          <w:rFonts w:hint="eastAsia" w:ascii="宋体" w:hAnsi="宋体"/>
          <w:sz w:val="21"/>
          <w:u w:val="single"/>
        </w:rPr>
        <w:t>装订成册</w:t>
      </w:r>
      <w:r>
        <w:rPr>
          <w:rFonts w:ascii="宋体" w:hAnsi="宋体"/>
          <w:sz w:val="21"/>
          <w:u w:val="single"/>
        </w:rPr>
        <w:t xml:space="preserve">  </w:t>
      </w:r>
      <w:r>
        <w:rPr>
          <w:rFonts w:ascii="宋体" w:hAnsi="宋体"/>
          <w:sz w:val="21"/>
        </w:rPr>
        <w:t>。</w:t>
      </w:r>
    </w:p>
    <w:p>
      <w:pPr>
        <w:pStyle w:val="172"/>
        <w:spacing w:line="560" w:lineRule="exact"/>
        <w:rPr>
          <w:rFonts w:ascii="宋体" w:hAnsi="宋体"/>
          <w:sz w:val="21"/>
        </w:rPr>
      </w:pPr>
      <w:r>
        <w:rPr>
          <w:rFonts w:hint="eastAsia" w:ascii="宋体" w:hAnsi="宋体"/>
          <w:sz w:val="21"/>
        </w:rPr>
        <w:t>由承包人负责完成的设计文件属于合同条款第1.6.4项约定的承包人提供的文件，承包人应按照专用合同条款第1.6.4项约定的期限和数量提交，由此发生的费用被认为已经包括在承包人的签约合同价(投标总报价)中。由承包人承担的施工图设计或与工程配套的设计工作内容：</w:t>
      </w:r>
      <w:r>
        <w:rPr>
          <w:rFonts w:hint="eastAsia" w:ascii="宋体" w:hAnsi="宋体"/>
          <w:sz w:val="21"/>
          <w:u w:val="single"/>
        </w:rPr>
        <w:t xml:space="preserve"> 无 </w:t>
      </w:r>
      <w:r>
        <w:rPr>
          <w:rFonts w:hint="eastAsia" w:ascii="宋体" w:hAnsi="宋体"/>
          <w:sz w:val="21"/>
        </w:rPr>
        <w:t>。</w:t>
      </w:r>
    </w:p>
    <w:p>
      <w:pPr>
        <w:pStyle w:val="172"/>
        <w:spacing w:line="560" w:lineRule="exact"/>
        <w:rPr>
          <w:rFonts w:ascii="宋体" w:hAnsi="宋体"/>
          <w:sz w:val="21"/>
        </w:rPr>
      </w:pPr>
      <w:r>
        <w:rPr>
          <w:rFonts w:ascii="宋体" w:hAnsi="宋体"/>
          <w:sz w:val="21"/>
        </w:rPr>
        <w:t>（</w:t>
      </w:r>
      <w:r>
        <w:rPr>
          <w:rFonts w:hint="eastAsia" w:ascii="宋体" w:hAnsi="宋体"/>
          <w:sz w:val="21"/>
        </w:rPr>
        <w:t>3</w:t>
      </w:r>
      <w:r>
        <w:rPr>
          <w:rFonts w:ascii="宋体" w:hAnsi="宋体"/>
          <w:sz w:val="21"/>
        </w:rPr>
        <w:t>）承包人应履行的其他义务：</w:t>
      </w:r>
      <w:r>
        <w:rPr>
          <w:rFonts w:hint="eastAsia" w:ascii="宋体" w:hAnsi="宋体" w:cs="TimesNewRomanPSMT"/>
          <w:sz w:val="21"/>
        </w:rPr>
        <w:t>a、安全生产，文明施工必须符合当地建设行政主管部门规定。b、</w:t>
      </w:r>
      <w:r>
        <w:rPr>
          <w:rFonts w:hint="eastAsia" w:ascii="宋体" w:hAnsi="宋体"/>
          <w:spacing w:val="1"/>
          <w:position w:val="-2"/>
          <w:sz w:val="21"/>
        </w:rPr>
        <w:t>按建设行政主管部门有关规定配合发包人其他工程的施工。为发包人依法发包或指定分包的专业工程承包商提供总承包管理与协调服务，并为专业工程承包商提供一切施工方便。</w:t>
      </w:r>
      <w:r>
        <w:rPr>
          <w:rFonts w:hint="eastAsia" w:ascii="宋体" w:hAnsi="宋体" w:cs="TimesNewRomanPSMT"/>
          <w:sz w:val="21"/>
        </w:rPr>
        <w:t>c、根据现场场地条件，必须负责施工场地二次围场施工，施工围场不得影响周边居民的正常通行，所发生的费用由承包人自行负责。d、严格按建设行政主管部门的有关要求进行资料和现场准备。e、</w:t>
      </w:r>
      <w:r>
        <w:rPr>
          <w:rFonts w:hint="eastAsia" w:ascii="宋体" w:hAnsi="宋体"/>
          <w:spacing w:val="1"/>
          <w:position w:val="-2"/>
          <w:sz w:val="21"/>
        </w:rPr>
        <w:t>承包人负责办理施工有关的环卫和噪音等审批手续，并承担费用。承包人负责对施工场地内的化石、文物具有保护责任，并承担费用，发包人对此予以必要协助。承包人负责满足施工期间政府职能部门对工地消防设施有关要求，并承担相关费用。f、承包人应负责协调解决来自当地居民对工程施工的人为干扰，并承担相关费用。</w:t>
      </w:r>
      <w:r>
        <w:rPr>
          <w:rFonts w:hint="eastAsia" w:ascii="宋体" w:hAnsi="宋体" w:cs="TimesNewRomanPSMT"/>
          <w:sz w:val="21"/>
        </w:rPr>
        <w:t>g、</w:t>
      </w:r>
      <w:r>
        <w:rPr>
          <w:rFonts w:hint="eastAsia" w:ascii="宋体" w:hAnsi="宋体"/>
          <w:spacing w:val="-1"/>
          <w:sz w:val="21"/>
        </w:rPr>
        <w:t>施工期间和施工完毕后，均应及时对施工场地和为其施工提供的公共道路进行保洁、维护以及维修，产生的垃圾和被破坏的场地，必须遵照监理人和发包人的指示进行清理、修复，并根据实际情况将场地恢复到原</w:t>
      </w:r>
      <w:r>
        <w:rPr>
          <w:rFonts w:hint="eastAsia" w:ascii="宋体" w:hAnsi="宋体"/>
          <w:sz w:val="21"/>
        </w:rPr>
        <w:t>有状态，费用自理。i、由于本工程施工现场为居民区，承包人应合理安排施工时间，确保做到不影响周边居民的正常生活，对居民的合理意见应积极整改，确保工程顺利进行</w:t>
      </w:r>
      <w:r>
        <w:rPr>
          <w:rFonts w:ascii="宋体" w:hAnsi="宋体"/>
          <w:sz w:val="21"/>
        </w:rPr>
        <w:t>。</w:t>
      </w:r>
    </w:p>
    <w:p>
      <w:pPr>
        <w:spacing w:line="560" w:lineRule="exact"/>
        <w:ind w:firstLine="420" w:firstLineChars="200"/>
        <w:rPr>
          <w:rFonts w:ascii="宋体" w:hAnsi="宋体"/>
          <w:b/>
          <w:szCs w:val="21"/>
        </w:rPr>
      </w:pPr>
      <w:r>
        <w:rPr>
          <w:rFonts w:hint="eastAsia" w:ascii="宋体" w:hAnsi="宋体"/>
          <w:szCs w:val="21"/>
        </w:rPr>
        <w:t>（4）为他人提供方便</w:t>
      </w:r>
    </w:p>
    <w:p>
      <w:pPr>
        <w:spacing w:line="560" w:lineRule="exact"/>
        <w:ind w:firstLine="420" w:firstLineChars="200"/>
        <w:rPr>
          <w:rFonts w:ascii="宋体" w:hAnsi="宋体"/>
          <w:szCs w:val="21"/>
        </w:rPr>
      </w:pPr>
      <w:r>
        <w:rPr>
          <w:rFonts w:hint="eastAsia" w:ascii="宋体" w:hAnsi="宋体"/>
          <w:szCs w:val="21"/>
        </w:rPr>
        <w:t>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szCs w:val="21"/>
          <w:u w:val="single"/>
        </w:rPr>
        <w:t>1、需要办理交通特别通告证时。由承包人负责办证并承担相交费用；2、需要排发有害污水时，由承包人办理有关手续，并承担相关费用；3、施工噪音超过</w:t>
      </w:r>
      <w:r>
        <w:rPr>
          <w:rFonts w:hint="eastAsia" w:ascii="宋体" w:hAnsi="宋体"/>
          <w:b/>
          <w:bCs/>
          <w:szCs w:val="21"/>
          <w:u w:val="single"/>
        </w:rPr>
        <w:t>南宁市</w:t>
      </w:r>
      <w:r>
        <w:rPr>
          <w:rFonts w:hint="eastAsia" w:ascii="宋体" w:hAnsi="宋体"/>
          <w:szCs w:val="21"/>
          <w:u w:val="single"/>
        </w:rPr>
        <w:t>有关规定标准由此产生的费用由承包人承担；5、提</w:t>
      </w:r>
      <w:r>
        <w:rPr>
          <w:rFonts w:hint="eastAsia" w:ascii="宋体" w:hAnsi="宋体" w:cs="宋体"/>
          <w:szCs w:val="21"/>
          <w:u w:val="single"/>
        </w:rPr>
        <w:t>供现场监理及发包人办公室两间、办公桌椅四套以及电话、网络等相应的办公设施；</w:t>
      </w:r>
      <w:r>
        <w:rPr>
          <w:rFonts w:hint="eastAsia" w:ascii="宋体" w:hAnsi="宋体"/>
          <w:szCs w:val="21"/>
          <w:u w:val="single"/>
        </w:rPr>
        <w:t>6、配合发包人做好安全文明工程、领导检查、宣传等工作。以上相关费用均由承包人承担，并在投标报价清单中综合考虑，不再另计。</w:t>
      </w:r>
    </w:p>
    <w:p>
      <w:pPr>
        <w:pStyle w:val="172"/>
        <w:spacing w:line="560" w:lineRule="exact"/>
        <w:rPr>
          <w:rFonts w:ascii="宋体" w:hAnsi="宋体"/>
          <w:sz w:val="21"/>
        </w:rPr>
      </w:pPr>
      <w:r>
        <w:rPr>
          <w:rFonts w:hint="eastAsia" w:ascii="宋体" w:hAnsi="宋体"/>
          <w:sz w:val="21"/>
        </w:rPr>
        <w:t>承包人还应按监理人指示为独立承包人以外的他人在施工场地或者附近实施与合同工程有关的其他工作提供可能的条件，可能发生费用由承包人承担。</w:t>
      </w:r>
    </w:p>
    <w:p>
      <w:pPr>
        <w:spacing w:after="120" w:line="560" w:lineRule="exact"/>
        <w:ind w:firstLine="420" w:firstLineChars="200"/>
        <w:rPr>
          <w:rFonts w:ascii="宋体" w:hAnsi="宋体"/>
          <w:szCs w:val="21"/>
        </w:rPr>
      </w:pPr>
      <w:r>
        <w:rPr>
          <w:rFonts w:ascii="宋体" w:hAnsi="宋体"/>
          <w:szCs w:val="21"/>
        </w:rPr>
        <w:t xml:space="preserve">3.2 </w:t>
      </w:r>
      <w:r>
        <w:rPr>
          <w:rFonts w:hint="eastAsia" w:ascii="宋体" w:hAnsi="宋体"/>
          <w:szCs w:val="21"/>
        </w:rPr>
        <w:t>项目经理</w:t>
      </w:r>
    </w:p>
    <w:p>
      <w:pPr>
        <w:spacing w:line="560" w:lineRule="exact"/>
        <w:ind w:firstLine="420" w:firstLineChars="200"/>
        <w:rPr>
          <w:rFonts w:ascii="宋体" w:hAnsi="宋体"/>
          <w:szCs w:val="21"/>
        </w:rPr>
      </w:pPr>
      <w:r>
        <w:rPr>
          <w:rFonts w:ascii="宋体" w:hAnsi="宋体"/>
          <w:kern w:val="0"/>
          <w:szCs w:val="21"/>
        </w:rPr>
        <w:t xml:space="preserve">3.2.1 </w:t>
      </w:r>
      <w:r>
        <w:rPr>
          <w:rFonts w:hint="eastAsia" w:ascii="宋体" w:hAnsi="宋体"/>
          <w:szCs w:val="21"/>
        </w:rPr>
        <w:t>项目经理：</w:t>
      </w:r>
    </w:p>
    <w:p>
      <w:pPr>
        <w:spacing w:line="560" w:lineRule="exact"/>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身份证号：</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建造师执业资格等级：</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建造师注册证书号：</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建造师执业印章号：</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安全生产考核合格证书号：</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联系电话：</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通信地址：</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 xml:space="preserve"> （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 </w:t>
      </w:r>
      <w:r>
        <w:rPr>
          <w:rFonts w:hint="eastAsia" w:ascii="宋体" w:hAnsi="宋体"/>
          <w:szCs w:val="21"/>
        </w:rPr>
        <w:t>。</w:t>
      </w:r>
    </w:p>
    <w:p>
      <w:pPr>
        <w:spacing w:line="560" w:lineRule="exact"/>
        <w:ind w:firstLine="420" w:firstLineChars="200"/>
        <w:rPr>
          <w:rFonts w:ascii="宋体" w:hAnsi="宋体"/>
          <w:szCs w:val="21"/>
        </w:rPr>
      </w:pPr>
      <w:r>
        <w:rPr>
          <w:rFonts w:hint="eastAsia"/>
          <w:szCs w:val="21"/>
        </w:rPr>
        <w:t>但未经承包人盖章同意不得以承包人名义向外融资、采购材料设备、租用建筑周转材料、雇佣劳动力、签订分包合同等从事一切为承包人设立义务或责任的行为。</w:t>
      </w:r>
    </w:p>
    <w:p>
      <w:pPr>
        <w:spacing w:line="560" w:lineRule="exact"/>
        <w:ind w:firstLine="420" w:firstLineChars="200"/>
        <w:jc w:val="left"/>
        <w:rPr>
          <w:rFonts w:ascii="宋体" w:hAnsi="宋体"/>
          <w:kern w:val="0"/>
          <w:szCs w:val="21"/>
        </w:rPr>
      </w:pPr>
      <w:r>
        <w:rPr>
          <w:rFonts w:hint="eastAsia" w:ascii="宋体" w:hAnsi="宋体"/>
          <w:kern w:val="0"/>
          <w:szCs w:val="21"/>
        </w:rPr>
        <w:t>关于项目经理每月在施工现场的时间要求：</w:t>
      </w:r>
      <w:r>
        <w:rPr>
          <w:rFonts w:ascii="宋体" w:hAnsi="宋体"/>
          <w:szCs w:val="21"/>
          <w:u w:val="single"/>
        </w:rPr>
        <w:t xml:space="preserve">  </w:t>
      </w:r>
      <w:r>
        <w:rPr>
          <w:rFonts w:hint="eastAsia" w:ascii="宋体" w:hAnsi="宋体"/>
          <w:szCs w:val="21"/>
          <w:u w:val="single"/>
        </w:rPr>
        <w:t>不少于22个工作日</w:t>
      </w:r>
      <w:r>
        <w:rPr>
          <w:rFonts w:ascii="宋体" w:hAnsi="宋体" w:cs="宋体"/>
          <w:szCs w:val="21"/>
          <w:u w:val="single"/>
        </w:rPr>
        <w:t xml:space="preserve">  </w:t>
      </w:r>
      <w:r>
        <w:rPr>
          <w:rFonts w:hint="eastAsia" w:ascii="宋体" w:hAnsi="宋体"/>
          <w:szCs w:val="21"/>
        </w:rPr>
        <w:t>。</w:t>
      </w:r>
    </w:p>
    <w:p>
      <w:pPr>
        <w:spacing w:line="560" w:lineRule="exact"/>
        <w:ind w:firstLine="420" w:firstLineChars="200"/>
        <w:rPr>
          <w:rFonts w:ascii="宋体" w:hAnsi="宋体"/>
          <w:color w:val="auto"/>
          <w:kern w:val="0"/>
          <w:szCs w:val="21"/>
        </w:rPr>
      </w:pPr>
      <w:r>
        <w:rPr>
          <w:rFonts w:hint="eastAsia" w:ascii="宋体" w:hAnsi="宋体"/>
          <w:color w:val="auto"/>
          <w:kern w:val="0"/>
          <w:szCs w:val="21"/>
        </w:rPr>
        <w:t>承包人未提交劳动合同，以及没有为项目经理缴纳社会保险证明的违约责任：</w:t>
      </w:r>
      <w:r>
        <w:rPr>
          <w:rFonts w:ascii="宋体" w:hAnsi="宋体"/>
          <w:color w:val="auto"/>
          <w:szCs w:val="21"/>
          <w:u w:val="single"/>
        </w:rPr>
        <w:t xml:space="preserve">  </w:t>
      </w:r>
      <w:r>
        <w:rPr>
          <w:rFonts w:hint="eastAsia" w:ascii="宋体" w:hAnsi="宋体"/>
          <w:color w:val="auto"/>
          <w:szCs w:val="21"/>
          <w:u w:val="single"/>
        </w:rPr>
        <w:t>承包人支付200000元违约金给发包人，责令限期提交劳动合同及补缴社会保险。</w:t>
      </w:r>
    </w:p>
    <w:p>
      <w:pPr>
        <w:spacing w:line="560" w:lineRule="exact"/>
        <w:ind w:firstLine="420" w:firstLineChars="200"/>
        <w:rPr>
          <w:rFonts w:ascii="宋体" w:hAnsi="宋体"/>
          <w:color w:val="auto"/>
          <w:szCs w:val="21"/>
          <w:u w:val="single"/>
        </w:rPr>
      </w:pPr>
      <w:r>
        <w:rPr>
          <w:rFonts w:hint="eastAsia" w:ascii="宋体" w:hAnsi="宋体"/>
          <w:color w:val="auto"/>
          <w:kern w:val="0"/>
          <w:szCs w:val="21"/>
        </w:rPr>
        <w:t>项目经理未经批准，擅自离开施工现场的违约责任：</w:t>
      </w:r>
      <w:r>
        <w:rPr>
          <w:rFonts w:ascii="宋体" w:hAnsi="宋体"/>
          <w:color w:val="auto"/>
          <w:szCs w:val="21"/>
          <w:u w:val="single"/>
        </w:rPr>
        <w:t xml:space="preserve">  </w:t>
      </w:r>
      <w:r>
        <w:rPr>
          <w:rFonts w:hint="eastAsia" w:ascii="宋体" w:hAnsi="宋体"/>
          <w:color w:val="auto"/>
          <w:szCs w:val="21"/>
          <w:u w:val="single"/>
        </w:rPr>
        <w:t>项目经理每月在岗带班时间不得少于当月施工时间的80%。</w:t>
      </w:r>
      <w:r>
        <w:rPr>
          <w:rFonts w:ascii="宋体" w:hAnsi="宋体"/>
          <w:color w:val="auto"/>
          <w:szCs w:val="21"/>
          <w:u w:val="single"/>
        </w:rPr>
        <w:t>未经发包人同意或正当理由，项目经理</w:t>
      </w:r>
      <w:r>
        <w:rPr>
          <w:rFonts w:hint="eastAsia" w:ascii="宋体" w:hAnsi="宋体"/>
          <w:color w:val="auto"/>
          <w:szCs w:val="21"/>
          <w:u w:val="single"/>
        </w:rPr>
        <w:t>每月在岗带班时间少于当月施工时间80%的，少在岗带班一天</w:t>
      </w:r>
      <w:r>
        <w:rPr>
          <w:rFonts w:ascii="宋体" w:hAnsi="宋体"/>
          <w:color w:val="auto"/>
          <w:szCs w:val="21"/>
          <w:u w:val="single"/>
        </w:rPr>
        <w:t>，发包人有权处违约金</w:t>
      </w:r>
      <w:r>
        <w:rPr>
          <w:rFonts w:hint="eastAsia" w:ascii="宋体" w:hAnsi="宋体"/>
          <w:color w:val="auto"/>
          <w:szCs w:val="21"/>
          <w:u w:val="single"/>
        </w:rPr>
        <w:t>5000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 xml:space="preserve">）  </w:t>
      </w:r>
      <w:r>
        <w:rPr>
          <w:rFonts w:ascii="宋体" w:hAnsi="宋体" w:cs="宋体"/>
          <w:color w:val="auto"/>
          <w:szCs w:val="21"/>
          <w:u w:val="single"/>
        </w:rPr>
        <w:t xml:space="preserve"> </w:t>
      </w:r>
      <w:r>
        <w:rPr>
          <w:rFonts w:hint="eastAsia" w:ascii="宋体" w:hAnsi="宋体"/>
          <w:color w:val="auto"/>
          <w:szCs w:val="21"/>
        </w:rPr>
        <w:t>。</w:t>
      </w:r>
    </w:p>
    <w:p>
      <w:pPr>
        <w:spacing w:line="560" w:lineRule="exact"/>
        <w:ind w:firstLine="420" w:firstLineChars="200"/>
        <w:rPr>
          <w:rFonts w:ascii="宋体" w:hAnsi="宋体"/>
          <w:color w:val="auto"/>
          <w:szCs w:val="21"/>
        </w:rPr>
      </w:pPr>
      <w:r>
        <w:rPr>
          <w:rFonts w:ascii="宋体" w:hAnsi="宋体"/>
          <w:color w:val="auto"/>
          <w:szCs w:val="21"/>
        </w:rPr>
        <w:t xml:space="preserve">3.2.3 </w:t>
      </w:r>
      <w:r>
        <w:rPr>
          <w:rFonts w:hint="eastAsia" w:ascii="宋体" w:hAnsi="宋体"/>
          <w:color w:val="auto"/>
          <w:szCs w:val="21"/>
        </w:rPr>
        <w:t>承包人擅自更换项目经理的违约责任：</w:t>
      </w:r>
      <w:r>
        <w:rPr>
          <w:rFonts w:ascii="宋体" w:hAnsi="宋体"/>
          <w:color w:val="auto"/>
          <w:szCs w:val="21"/>
          <w:u w:val="single"/>
        </w:rPr>
        <w:t xml:space="preserve">   </w:t>
      </w:r>
      <w:r>
        <w:rPr>
          <w:rFonts w:hint="eastAsia" w:ascii="宋体" w:hAnsi="宋体"/>
          <w:color w:val="auto"/>
          <w:kern w:val="0"/>
          <w:szCs w:val="21"/>
          <w:u w:val="single"/>
        </w:rPr>
        <w:t>承包人项目经理必须与承包人投标时所承诺的人员一致，并在本工程开工前到任。在监理人向承包人颁发竣工验收意见书前，项目经理不得同时兼任其他任何项目的项目经理（符合桂建管﹝2013﹞17号和桂建管﹝2014﹞25号文除外）。项目经理与投标文件中所列的人员不一致的，支付违约金300000给发包人；项目实施 期间擅自更换项目经理或项目经理兼职其它项目经理的，每人次支付违约金300000给发包人。</w:t>
      </w:r>
      <w:r>
        <w:rPr>
          <w:rFonts w:ascii="宋体" w:hAnsi="宋体" w:cs="宋体"/>
          <w:color w:val="auto"/>
          <w:szCs w:val="21"/>
          <w:u w:val="single"/>
        </w:rPr>
        <w:t xml:space="preserve"> </w:t>
      </w:r>
    </w:p>
    <w:p>
      <w:pPr>
        <w:spacing w:line="560" w:lineRule="exact"/>
        <w:ind w:firstLine="420" w:firstLineChars="200"/>
        <w:rPr>
          <w:rFonts w:ascii="宋体" w:hAnsi="宋体"/>
          <w:color w:val="auto"/>
          <w:szCs w:val="21"/>
        </w:rPr>
      </w:pPr>
      <w:r>
        <w:rPr>
          <w:rFonts w:ascii="宋体" w:hAnsi="宋体"/>
          <w:color w:val="auto"/>
          <w:szCs w:val="21"/>
        </w:rPr>
        <w:t xml:space="preserve">    3.2.4 </w:t>
      </w:r>
      <w:r>
        <w:rPr>
          <w:rFonts w:hint="eastAsia" w:ascii="宋体" w:hAnsi="宋体"/>
          <w:color w:val="auto"/>
          <w:szCs w:val="21"/>
        </w:rPr>
        <w:t>承包人无正当理由拒绝更换项目经理的违约责任：</w:t>
      </w:r>
      <w:r>
        <w:rPr>
          <w:rFonts w:hint="eastAsia" w:ascii="宋体" w:hAnsi="宋体"/>
          <w:color w:val="auto"/>
          <w:kern w:val="0"/>
          <w:szCs w:val="21"/>
          <w:u w:val="single"/>
        </w:rPr>
        <w:t>因承包人项目经理不称职，发包人要求调换而未及时调换的，视为承包人违约，须向发包人支付违约金100000元/人•次</w:t>
      </w:r>
      <w:r>
        <w:rPr>
          <w:rFonts w:hint="eastAsia" w:ascii="宋体" w:hAnsi="宋体"/>
          <w:color w:val="auto"/>
          <w:szCs w:val="21"/>
        </w:rPr>
        <w:t>。</w:t>
      </w:r>
    </w:p>
    <w:p>
      <w:pPr>
        <w:spacing w:after="120" w:line="560" w:lineRule="exact"/>
        <w:ind w:firstLine="420" w:firstLineChars="200"/>
        <w:rPr>
          <w:rFonts w:ascii="宋体" w:hAnsi="宋体"/>
          <w:szCs w:val="21"/>
        </w:rPr>
      </w:pPr>
      <w:r>
        <w:rPr>
          <w:rFonts w:ascii="宋体" w:hAnsi="宋体"/>
          <w:szCs w:val="21"/>
        </w:rPr>
        <w:t xml:space="preserve">3.3 </w:t>
      </w:r>
      <w:r>
        <w:rPr>
          <w:rFonts w:hint="eastAsia" w:ascii="宋体" w:hAnsi="宋体"/>
          <w:szCs w:val="21"/>
        </w:rPr>
        <w:t>承包人人员</w:t>
      </w:r>
    </w:p>
    <w:p>
      <w:pPr>
        <w:spacing w:after="120" w:line="560" w:lineRule="exact"/>
        <w:ind w:firstLine="420" w:firstLineChars="200"/>
        <w:rPr>
          <w:rFonts w:ascii="宋体" w:hAnsi="宋体"/>
          <w:szCs w:val="21"/>
        </w:rPr>
      </w:pPr>
      <w:r>
        <w:rPr>
          <w:rFonts w:ascii="宋体" w:hAnsi="宋体"/>
          <w:szCs w:val="21"/>
        </w:rPr>
        <w:t xml:space="preserve">3.3.1 </w:t>
      </w:r>
      <w:r>
        <w:rPr>
          <w:rFonts w:hint="eastAsia" w:ascii="宋体" w:hAnsi="宋体"/>
          <w:szCs w:val="21"/>
        </w:rPr>
        <w:t>承包人提交项目管理机构及施工现场管理人员安排报告的期限：</w:t>
      </w:r>
      <w:r>
        <w:rPr>
          <w:rFonts w:hint="eastAsia" w:ascii="宋体" w:hAnsi="宋体" w:cs="宋体"/>
          <w:szCs w:val="21"/>
          <w:u w:val="single"/>
        </w:rPr>
        <w:t>合同签订后3日内</w:t>
      </w:r>
      <w:r>
        <w:rPr>
          <w:rFonts w:hint="eastAsia" w:ascii="宋体" w:hAnsi="宋体"/>
          <w:szCs w:val="21"/>
        </w:rPr>
        <w:t>。</w:t>
      </w:r>
    </w:p>
    <w:p>
      <w:pPr>
        <w:spacing w:line="560" w:lineRule="exact"/>
        <w:ind w:firstLine="420" w:firstLineChars="200"/>
        <w:rPr>
          <w:rFonts w:ascii="宋体" w:hAnsi="宋体"/>
          <w:color w:val="auto"/>
          <w:szCs w:val="21"/>
        </w:rPr>
      </w:pPr>
      <w:r>
        <w:rPr>
          <w:rFonts w:ascii="宋体" w:hAnsi="宋体"/>
          <w:color w:val="auto"/>
          <w:szCs w:val="21"/>
        </w:rPr>
        <w:t xml:space="preserve">3.3.3 </w:t>
      </w:r>
      <w:r>
        <w:rPr>
          <w:rFonts w:hint="eastAsia" w:ascii="宋体" w:hAnsi="宋体"/>
          <w:color w:val="auto"/>
          <w:szCs w:val="21"/>
        </w:rPr>
        <w:t>承包人无正当理由拒绝撤换主要施工管理人员的违约责任：</w:t>
      </w:r>
      <w:r>
        <w:rPr>
          <w:color w:val="auto"/>
          <w:szCs w:val="21"/>
          <w:u w:val="single"/>
        </w:rPr>
        <w:t>因承包人主要施工管理人员不称职，发包人要求调换而无正当理由拒绝撤换或未及时调换的，视为承包人违约，必须向发包人交纳</w:t>
      </w:r>
      <w:r>
        <w:rPr>
          <w:rFonts w:hint="eastAsia"/>
          <w:color w:val="auto"/>
          <w:szCs w:val="21"/>
          <w:u w:val="single"/>
        </w:rPr>
        <w:t>违约</w:t>
      </w:r>
      <w:r>
        <w:rPr>
          <w:color w:val="auto"/>
          <w:szCs w:val="21"/>
          <w:u w:val="single"/>
        </w:rPr>
        <w:t>金，</w:t>
      </w:r>
      <w:r>
        <w:rPr>
          <w:rFonts w:hint="eastAsia"/>
          <w:color w:val="auto"/>
          <w:szCs w:val="21"/>
          <w:u w:val="single"/>
        </w:rPr>
        <w:t>违约金</w:t>
      </w:r>
      <w:r>
        <w:rPr>
          <w:color w:val="auto"/>
          <w:szCs w:val="21"/>
          <w:u w:val="single"/>
        </w:rPr>
        <w:t>标准：技术负责人</w:t>
      </w:r>
      <w:r>
        <w:rPr>
          <w:rFonts w:hint="eastAsia"/>
          <w:color w:val="auto"/>
          <w:szCs w:val="21"/>
          <w:u w:val="single"/>
        </w:rPr>
        <w:t>10000</w:t>
      </w:r>
      <w:r>
        <w:rPr>
          <w:color w:val="auto"/>
          <w:szCs w:val="21"/>
          <w:u w:val="single"/>
        </w:rPr>
        <w:t>元/人•次（人民币）；专业工程师</w:t>
      </w:r>
      <w:r>
        <w:rPr>
          <w:rFonts w:hint="eastAsia"/>
          <w:color w:val="auto"/>
          <w:szCs w:val="21"/>
          <w:u w:val="single"/>
        </w:rPr>
        <w:t>10000</w:t>
      </w:r>
      <w:r>
        <w:rPr>
          <w:color w:val="auto"/>
          <w:szCs w:val="21"/>
          <w:u w:val="single"/>
        </w:rPr>
        <w:t>元/人•次（人民币）</w:t>
      </w:r>
      <w:r>
        <w:rPr>
          <w:rFonts w:hint="eastAsia"/>
          <w:color w:val="auto"/>
          <w:szCs w:val="21"/>
          <w:u w:val="single"/>
        </w:rPr>
        <w:t>，直至</w:t>
      </w:r>
      <w:r>
        <w:rPr>
          <w:rFonts w:hint="eastAsia" w:ascii="宋体" w:hAnsi="宋体"/>
          <w:color w:val="auto"/>
          <w:kern w:val="0"/>
          <w:szCs w:val="21"/>
          <w:u w:val="single"/>
        </w:rPr>
        <w:t>解除承包合同。</w:t>
      </w:r>
      <w:r>
        <w:rPr>
          <w:rFonts w:ascii="宋体" w:hAnsi="宋体" w:cs="宋体"/>
          <w:color w:val="auto"/>
          <w:szCs w:val="21"/>
          <w:u w:val="single"/>
        </w:rPr>
        <w:t xml:space="preserve"> </w:t>
      </w:r>
    </w:p>
    <w:p>
      <w:pPr>
        <w:spacing w:line="560" w:lineRule="exact"/>
        <w:ind w:firstLine="420" w:firstLineChars="200"/>
        <w:rPr>
          <w:rFonts w:ascii="宋体" w:hAnsi="宋体"/>
          <w:color w:val="auto"/>
          <w:spacing w:val="-2"/>
          <w:szCs w:val="21"/>
          <w:u w:val="single"/>
        </w:rPr>
      </w:pPr>
      <w:r>
        <w:rPr>
          <w:rFonts w:ascii="宋体" w:hAnsi="宋体"/>
          <w:color w:val="auto"/>
          <w:szCs w:val="21"/>
        </w:rPr>
        <w:t xml:space="preserve">3.3.4 </w:t>
      </w:r>
      <w:r>
        <w:rPr>
          <w:rFonts w:hint="eastAsia" w:ascii="宋体" w:hAnsi="宋体"/>
          <w:color w:val="auto"/>
          <w:spacing w:val="-2"/>
          <w:szCs w:val="21"/>
        </w:rPr>
        <w:t>承包人主要施工管理人员离开施工现场的批准要求：</w:t>
      </w:r>
      <w:r>
        <w:rPr>
          <w:rFonts w:hint="eastAsia"/>
          <w:color w:val="auto"/>
          <w:spacing w:val="-2"/>
          <w:szCs w:val="21"/>
          <w:u w:val="single"/>
        </w:rPr>
        <w:t>经建设单位及监理单位批准同意后</w:t>
      </w:r>
      <w:r>
        <w:rPr>
          <w:color w:val="auto"/>
          <w:spacing w:val="-2"/>
          <w:szCs w:val="21"/>
          <w:u w:val="single"/>
        </w:rPr>
        <w:t>。</w:t>
      </w:r>
    </w:p>
    <w:p>
      <w:pPr>
        <w:spacing w:line="560" w:lineRule="exact"/>
        <w:ind w:firstLine="420" w:firstLineChars="200"/>
        <w:rPr>
          <w:rFonts w:ascii="宋体" w:hAnsi="宋体"/>
          <w:color w:val="auto"/>
          <w:szCs w:val="21"/>
        </w:rPr>
      </w:pPr>
      <w:r>
        <w:rPr>
          <w:rFonts w:ascii="宋体" w:hAnsi="宋体"/>
          <w:color w:val="auto"/>
          <w:szCs w:val="21"/>
        </w:rPr>
        <w:t>3.3.5</w:t>
      </w:r>
      <w:r>
        <w:rPr>
          <w:rFonts w:hint="eastAsia" w:ascii="宋体" w:hAnsi="宋体"/>
          <w:color w:val="auto"/>
          <w:szCs w:val="21"/>
        </w:rPr>
        <w:t>承包人擅自更换主要施工管理人员的违约责任：</w:t>
      </w:r>
      <w:r>
        <w:rPr>
          <w:rFonts w:hint="eastAsia" w:ascii="宋体" w:hAnsi="宋体"/>
          <w:color w:val="auto"/>
          <w:kern w:val="0"/>
          <w:szCs w:val="21"/>
          <w:u w:val="single"/>
        </w:rPr>
        <w:t>承包人若不能按投标书的承诺派驻主要技术管理人员及施工人员，必须承担违约责任：若经发包人检查发现人员不齐、不符合要求的，发包人发出整改通知书，承包人按整改通知书进行整改，若整改仍不符合要求，</w:t>
      </w:r>
      <w:r>
        <w:rPr>
          <w:rFonts w:hint="eastAsia" w:ascii="宋体" w:hAnsi="宋体"/>
          <w:color w:val="auto"/>
          <w:szCs w:val="21"/>
          <w:u w:val="single"/>
        </w:rPr>
        <w:t>发包人有权终止合同，原承包人无条件退出现场</w:t>
      </w:r>
      <w:r>
        <w:rPr>
          <w:rFonts w:hint="eastAsia" w:ascii="宋体" w:hAnsi="宋体"/>
          <w:color w:val="auto"/>
          <w:szCs w:val="21"/>
        </w:rPr>
        <w:t>。</w:t>
      </w:r>
    </w:p>
    <w:p>
      <w:pPr>
        <w:spacing w:line="560" w:lineRule="exact"/>
        <w:ind w:firstLine="420" w:firstLineChars="200"/>
        <w:rPr>
          <w:rFonts w:ascii="宋体" w:hAnsi="宋体"/>
          <w:color w:val="auto"/>
          <w:szCs w:val="21"/>
        </w:rPr>
      </w:pPr>
      <w:r>
        <w:rPr>
          <w:rFonts w:hint="eastAsia" w:ascii="宋体" w:hAnsi="宋体"/>
          <w:color w:val="auto"/>
          <w:szCs w:val="21"/>
        </w:rPr>
        <w:t>承包人主要施工管理人员擅自离开施工现场的违约责任：</w:t>
      </w:r>
      <w:r>
        <w:rPr>
          <w:color w:val="auto"/>
          <w:szCs w:val="21"/>
          <w:u w:val="single"/>
        </w:rPr>
        <w:t>未经发包人同意，项目技术负责人擅自离岗的，视为承包人违约，发包人有权处违约金</w:t>
      </w:r>
      <w:r>
        <w:rPr>
          <w:rFonts w:hint="eastAsia"/>
          <w:color w:val="auto"/>
          <w:szCs w:val="21"/>
          <w:u w:val="single"/>
        </w:rPr>
        <w:t>1000</w:t>
      </w:r>
      <w:r>
        <w:rPr>
          <w:color w:val="auto"/>
          <w:szCs w:val="21"/>
          <w:u w:val="single"/>
        </w:rPr>
        <w:t>元/人•次（人民币）；未经发包人同意，专职安全员擅自离岗的，视为承包人违约，发包人有权处违约金</w:t>
      </w:r>
      <w:r>
        <w:rPr>
          <w:rFonts w:hint="eastAsia"/>
          <w:color w:val="auto"/>
          <w:szCs w:val="21"/>
          <w:u w:val="single"/>
        </w:rPr>
        <w:t>1000</w:t>
      </w:r>
      <w:r>
        <w:rPr>
          <w:color w:val="auto"/>
          <w:szCs w:val="21"/>
          <w:u w:val="single"/>
        </w:rPr>
        <w:t>元/人•次（人民币）；其它在场管理人员擅自离岗的，视为承包人违约，发包人有权处违约金</w:t>
      </w:r>
      <w:r>
        <w:rPr>
          <w:rFonts w:hint="eastAsia"/>
          <w:color w:val="auto"/>
          <w:szCs w:val="21"/>
          <w:u w:val="single"/>
        </w:rPr>
        <w:t>1000</w:t>
      </w:r>
      <w:r>
        <w:rPr>
          <w:color w:val="auto"/>
          <w:szCs w:val="21"/>
          <w:u w:val="single"/>
        </w:rPr>
        <w:t>元/人•次（人民币）</w:t>
      </w:r>
      <w:r>
        <w:rPr>
          <w:rFonts w:hint="eastAsia"/>
          <w:color w:val="auto"/>
          <w:szCs w:val="21"/>
          <w:u w:val="single"/>
        </w:rPr>
        <w:t>，直至</w:t>
      </w:r>
      <w:r>
        <w:rPr>
          <w:rFonts w:hint="eastAsia" w:ascii="宋体" w:hAnsi="宋体" w:cs="宋体"/>
          <w:color w:val="auto"/>
          <w:szCs w:val="21"/>
          <w:u w:val="single"/>
        </w:rPr>
        <w:t>解除承包合同</w:t>
      </w:r>
      <w:r>
        <w:rPr>
          <w:rFonts w:hint="eastAsia" w:ascii="宋体" w:hAnsi="宋体"/>
          <w:color w:val="auto"/>
          <w:szCs w:val="21"/>
        </w:rPr>
        <w:t>。</w:t>
      </w:r>
    </w:p>
    <w:p>
      <w:pPr>
        <w:spacing w:after="120" w:line="560" w:lineRule="exact"/>
        <w:ind w:firstLine="420" w:firstLineChars="200"/>
        <w:rPr>
          <w:rFonts w:ascii="宋体" w:hAnsi="宋体"/>
          <w:color w:val="auto"/>
          <w:szCs w:val="21"/>
        </w:rPr>
      </w:pPr>
      <w:r>
        <w:rPr>
          <w:rFonts w:ascii="宋体" w:hAnsi="宋体"/>
          <w:color w:val="auto"/>
          <w:szCs w:val="21"/>
        </w:rPr>
        <w:t xml:space="preserve">3.5 </w:t>
      </w:r>
      <w:r>
        <w:rPr>
          <w:rFonts w:hint="eastAsia" w:ascii="宋体" w:hAnsi="宋体"/>
          <w:color w:val="auto"/>
          <w:szCs w:val="21"/>
        </w:rPr>
        <w:t>分包</w:t>
      </w:r>
    </w:p>
    <w:p>
      <w:pPr>
        <w:spacing w:line="560" w:lineRule="exact"/>
        <w:ind w:firstLine="420" w:firstLineChars="200"/>
        <w:rPr>
          <w:rFonts w:ascii="宋体" w:hAnsi="宋体"/>
          <w:color w:val="auto"/>
          <w:szCs w:val="21"/>
        </w:rPr>
      </w:pPr>
      <w:r>
        <w:rPr>
          <w:rFonts w:ascii="宋体" w:hAnsi="宋体"/>
          <w:color w:val="auto"/>
          <w:szCs w:val="21"/>
        </w:rPr>
        <w:t xml:space="preserve">3.5.1 </w:t>
      </w:r>
      <w:r>
        <w:rPr>
          <w:rFonts w:hint="eastAsia" w:ascii="宋体" w:hAnsi="宋体"/>
          <w:color w:val="auto"/>
          <w:szCs w:val="21"/>
        </w:rPr>
        <w:t>分包的一般约定</w:t>
      </w:r>
    </w:p>
    <w:p>
      <w:pPr>
        <w:spacing w:line="560" w:lineRule="exact"/>
        <w:ind w:firstLine="420" w:firstLineChars="200"/>
        <w:jc w:val="left"/>
        <w:rPr>
          <w:rFonts w:ascii="宋体" w:hAnsi="宋体"/>
          <w:color w:val="auto"/>
          <w:szCs w:val="21"/>
        </w:rPr>
      </w:pPr>
      <w:r>
        <w:rPr>
          <w:rFonts w:hint="eastAsia" w:ascii="宋体" w:hAnsi="宋体"/>
          <w:color w:val="auto"/>
          <w:szCs w:val="21"/>
        </w:rPr>
        <w:t>禁止分包的工程包括：</w:t>
      </w:r>
      <w:r>
        <w:rPr>
          <w:rFonts w:hint="eastAsia" w:ascii="宋体" w:hAnsi="宋体" w:cs="宋体"/>
          <w:color w:val="auto"/>
          <w:szCs w:val="21"/>
          <w:u w:val="single"/>
        </w:rPr>
        <w:t xml:space="preserve">  经审查备案的施工图纸范围内包含的施工内容</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主体结构、关键性工作的范围：</w:t>
      </w:r>
      <w:r>
        <w:rPr>
          <w:rFonts w:ascii="宋体" w:hAnsi="宋体"/>
          <w:color w:val="auto"/>
          <w:szCs w:val="21"/>
          <w:u w:val="single"/>
        </w:rPr>
        <w:t xml:space="preserve">  </w:t>
      </w:r>
      <w:r>
        <w:rPr>
          <w:rFonts w:hint="eastAsia" w:ascii="宋体" w:hAnsi="宋体"/>
          <w:color w:val="auto"/>
          <w:szCs w:val="21"/>
          <w:u w:val="single"/>
        </w:rPr>
        <w:t>按照国家有关规定执行</w:t>
      </w:r>
      <w:r>
        <w:rPr>
          <w:rFonts w:ascii="宋体" w:hAnsi="宋体"/>
          <w:color w:val="auto"/>
          <w:szCs w:val="21"/>
          <w:u w:val="single"/>
        </w:rPr>
        <w:t xml:space="preserve">  </w:t>
      </w:r>
      <w:r>
        <w:rPr>
          <w:rFonts w:hint="eastAsia" w:ascii="宋体" w:hAnsi="宋体"/>
          <w:color w:val="auto"/>
          <w:szCs w:val="21"/>
        </w:rPr>
        <w:t>。</w:t>
      </w:r>
    </w:p>
    <w:p>
      <w:pPr>
        <w:spacing w:after="120" w:line="560" w:lineRule="exact"/>
        <w:ind w:firstLine="420" w:firstLineChars="200"/>
        <w:rPr>
          <w:rFonts w:ascii="宋体" w:hAnsi="宋体"/>
          <w:color w:val="auto"/>
          <w:szCs w:val="21"/>
        </w:rPr>
      </w:pPr>
      <w:r>
        <w:rPr>
          <w:rFonts w:ascii="宋体" w:hAnsi="宋体"/>
          <w:color w:val="auto"/>
          <w:szCs w:val="21"/>
        </w:rPr>
        <w:t xml:space="preserve">3.6 </w:t>
      </w:r>
      <w:r>
        <w:rPr>
          <w:rFonts w:hint="eastAsia" w:ascii="宋体" w:hAnsi="宋体"/>
          <w:color w:val="auto"/>
          <w:szCs w:val="21"/>
        </w:rPr>
        <w:t>工程照管与成品、半成品保护</w:t>
      </w:r>
    </w:p>
    <w:p>
      <w:pPr>
        <w:spacing w:before="120" w:after="120" w:line="560" w:lineRule="exact"/>
        <w:ind w:firstLine="420" w:firstLineChars="200"/>
        <w:rPr>
          <w:rFonts w:ascii="宋体" w:hAnsi="宋体"/>
          <w:color w:val="auto"/>
          <w:kern w:val="0"/>
          <w:szCs w:val="21"/>
        </w:rPr>
      </w:pPr>
      <w:r>
        <w:rPr>
          <w:rFonts w:hint="eastAsia" w:ascii="宋体" w:hAnsi="宋体"/>
          <w:color w:val="auto"/>
          <w:kern w:val="0"/>
          <w:szCs w:val="21"/>
        </w:rPr>
        <w:t>承包人负责照管工程及工程相关的材料、工程设备的起始时间：</w:t>
      </w:r>
      <w:r>
        <w:rPr>
          <w:rFonts w:ascii="宋体" w:hAnsi="宋体"/>
          <w:color w:val="auto"/>
          <w:kern w:val="0"/>
          <w:szCs w:val="21"/>
          <w:u w:val="single"/>
        </w:rPr>
        <w:t xml:space="preserve"> </w:t>
      </w:r>
      <w:r>
        <w:rPr>
          <w:rFonts w:hint="eastAsia" w:ascii="宋体" w:hAnsi="宋体" w:cs="宋体"/>
          <w:color w:val="auto"/>
          <w:szCs w:val="21"/>
          <w:u w:val="single"/>
        </w:rPr>
        <w:t>自发包人向承包人移交施工现场之日起，到颁发工程接收证书之日止</w:t>
      </w:r>
      <w:r>
        <w:rPr>
          <w:rFonts w:ascii="宋体" w:hAnsi="宋体"/>
          <w:color w:val="auto"/>
          <w:kern w:val="0"/>
          <w:szCs w:val="21"/>
          <w:u w:val="single"/>
        </w:rPr>
        <w:t xml:space="preserve">  </w:t>
      </w:r>
      <w:r>
        <w:rPr>
          <w:rFonts w:hint="eastAsia" w:ascii="宋体" w:hAnsi="宋体"/>
          <w:color w:val="auto"/>
          <w:kern w:val="0"/>
          <w:szCs w:val="21"/>
        </w:rPr>
        <w:t>。</w:t>
      </w:r>
    </w:p>
    <w:p>
      <w:pPr>
        <w:spacing w:before="120" w:after="120" w:line="560" w:lineRule="exact"/>
        <w:ind w:firstLine="440" w:firstLineChars="200"/>
        <w:rPr>
          <w:rFonts w:ascii="宋体" w:hAnsi="宋体"/>
          <w:color w:val="auto"/>
          <w:kern w:val="0"/>
          <w:szCs w:val="21"/>
          <w:u w:val="single"/>
        </w:rPr>
      </w:pPr>
      <w:r>
        <w:rPr>
          <w:rFonts w:hint="eastAsia" w:ascii="宋体" w:hAnsi="Calibri" w:cs="宋体"/>
          <w:color w:val="auto"/>
          <w:kern w:val="0"/>
          <w:sz w:val="22"/>
          <w:szCs w:val="22"/>
        </w:rPr>
        <w:t>承包人负责照管工程及工程相关的材料、工程设备的范围：</w:t>
      </w:r>
      <w:r>
        <w:rPr>
          <w:rFonts w:hint="eastAsia" w:ascii="宋体" w:hAnsi="Calibri" w:cs="宋体"/>
          <w:color w:val="auto"/>
          <w:kern w:val="0"/>
          <w:sz w:val="22"/>
          <w:szCs w:val="22"/>
          <w:u w:val="single"/>
        </w:rPr>
        <w:t>除承包人自身承包范围内的材料、工程设备外，也有义务照管与本项目相关的由发包人另行发包的其他专业工程，包括但不限于建筑智能综合管线工程、空调与通风工程等专业工程的材料、工程设备。并有义务对交叉施工的其他承包人承包的相关专业的成品、半成品进行保护，避免因自身的原因造成对其他承包人的成品、半成品的损坏、污染。</w:t>
      </w:r>
    </w:p>
    <w:p>
      <w:pPr>
        <w:spacing w:after="120" w:line="560" w:lineRule="exact"/>
        <w:ind w:firstLine="420" w:firstLineChars="200"/>
        <w:rPr>
          <w:rFonts w:ascii="宋体" w:hAnsi="宋体"/>
          <w:color w:val="auto"/>
          <w:szCs w:val="21"/>
        </w:rPr>
      </w:pPr>
      <w:r>
        <w:rPr>
          <w:rFonts w:ascii="宋体" w:hAnsi="宋体"/>
          <w:color w:val="auto"/>
          <w:szCs w:val="21"/>
        </w:rPr>
        <w:t xml:space="preserve">3.7 </w:t>
      </w:r>
      <w:r>
        <w:rPr>
          <w:rFonts w:hint="eastAsia" w:ascii="宋体" w:hAnsi="宋体"/>
          <w:color w:val="auto"/>
          <w:szCs w:val="21"/>
        </w:rPr>
        <w:t>履约担保</w:t>
      </w:r>
    </w:p>
    <w:p>
      <w:pPr>
        <w:spacing w:line="5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承包人是否提供履约担保：</w:t>
      </w:r>
      <w:r>
        <w:rPr>
          <w:rFonts w:hint="eastAsia" w:asciiTheme="minorEastAsia" w:hAnsiTheme="minorEastAsia" w:eastAsiaTheme="minorEastAsia" w:cstheme="minorEastAsia"/>
          <w:color w:val="auto"/>
          <w:sz w:val="21"/>
          <w:szCs w:val="21"/>
          <w:u w:val="single"/>
        </w:rPr>
        <w:t xml:space="preserve">   是  </w:t>
      </w:r>
      <w:r>
        <w:rPr>
          <w:rFonts w:hint="eastAsia" w:asciiTheme="minorEastAsia" w:hAnsiTheme="minorEastAsia" w:eastAsiaTheme="minorEastAsia" w:cstheme="minorEastAsia"/>
          <w:color w:val="auto"/>
          <w:sz w:val="21"/>
          <w:szCs w:val="21"/>
        </w:rPr>
        <w:t>。</w:t>
      </w:r>
    </w:p>
    <w:p>
      <w:pPr>
        <w:spacing w:line="56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承包人提供履约担保的形式、金额及期限的：</w:t>
      </w:r>
      <w:r>
        <w:rPr>
          <w:rFonts w:hint="eastAsia" w:asciiTheme="minorEastAsia" w:hAnsiTheme="minorEastAsia" w:eastAsiaTheme="minorEastAsia" w:cstheme="minorEastAsia"/>
          <w:color w:val="auto"/>
          <w:sz w:val="21"/>
          <w:szCs w:val="21"/>
          <w:u w:val="single"/>
        </w:rPr>
        <w:t>承包人在收到中标通知书后，</w:t>
      </w:r>
      <w:r>
        <w:rPr>
          <w:rFonts w:hint="eastAsia" w:asciiTheme="minorEastAsia" w:hAnsiTheme="minorEastAsia" w:eastAsiaTheme="minorEastAsia" w:cstheme="minorEastAsia"/>
          <w:color w:val="auto"/>
          <w:szCs w:val="21"/>
        </w:rPr>
        <w:t>可以银行保函、现金等形式。</w:t>
      </w:r>
      <w:r>
        <w:rPr>
          <w:rFonts w:hint="eastAsia" w:asciiTheme="minorEastAsia" w:hAnsiTheme="minorEastAsia" w:eastAsiaTheme="minorEastAsia" w:cstheme="minorEastAsia"/>
          <w:color w:val="auto"/>
          <w:sz w:val="21"/>
          <w:szCs w:val="21"/>
          <w:u w:val="single"/>
        </w:rPr>
        <w:t>在合同签订前提交合同价款扣除社会保险费、发包人材料价款、暂估专业工程、暂列金额后5%的银行保函作为履约担保。履约担保的有效期应当自本合同生效之日起至发包人签认并由监理人向承包人出具  （竣工证明材料名称）之日止　</w:t>
      </w:r>
      <w:r>
        <w:rPr>
          <w:rFonts w:hint="eastAsia" w:asciiTheme="minorEastAsia" w:hAnsiTheme="minorEastAsia" w:eastAsiaTheme="minorEastAsia" w:cstheme="minorEastAsia"/>
          <w:color w:val="auto"/>
          <w:sz w:val="21"/>
          <w:szCs w:val="21"/>
        </w:rPr>
        <w:t>。</w:t>
      </w:r>
    </w:p>
    <w:p>
      <w:pPr>
        <w:spacing w:line="560" w:lineRule="exact"/>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无息）。</w:t>
      </w:r>
    </w:p>
    <w:p>
      <w:pPr>
        <w:spacing w:line="560" w:lineRule="exact"/>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承包人在中标后7个工作日内，按桂劳社发[2009]50号文规定将农民工工资保障金存入账户。工程竣工验收结算经审定后，按照规定程序，将农民工工资保障金没有使用或剩余的金额退还给承包人。</w:t>
      </w:r>
    </w:p>
    <w:p>
      <w:pPr>
        <w:pStyle w:val="2"/>
        <w:spacing w:before="120" w:after="120" w:line="560" w:lineRule="exact"/>
        <w:ind w:firstLine="420" w:firstLineChars="200"/>
        <w:rPr>
          <w:rFonts w:ascii="宋体" w:hAnsi="宋体"/>
          <w:b w:val="0"/>
          <w:color w:val="auto"/>
          <w:sz w:val="21"/>
          <w:szCs w:val="21"/>
        </w:rPr>
      </w:pPr>
      <w:r>
        <w:rPr>
          <w:rFonts w:ascii="宋体" w:hAnsi="宋体"/>
          <w:b w:val="0"/>
          <w:color w:val="auto"/>
          <w:sz w:val="21"/>
          <w:szCs w:val="21"/>
        </w:rPr>
        <w:t xml:space="preserve">4. </w:t>
      </w:r>
      <w:r>
        <w:rPr>
          <w:rFonts w:hint="eastAsia" w:ascii="宋体" w:hAnsi="宋体"/>
          <w:b w:val="0"/>
          <w:color w:val="auto"/>
          <w:sz w:val="21"/>
          <w:szCs w:val="21"/>
        </w:rPr>
        <w:t>监理人</w:t>
      </w:r>
    </w:p>
    <w:p>
      <w:pPr>
        <w:spacing w:after="120" w:line="560" w:lineRule="exact"/>
        <w:ind w:firstLine="420" w:firstLineChars="200"/>
        <w:rPr>
          <w:rFonts w:ascii="宋体" w:hAnsi="宋体"/>
          <w:color w:val="auto"/>
          <w:szCs w:val="21"/>
        </w:rPr>
      </w:pPr>
      <w:r>
        <w:rPr>
          <w:rFonts w:ascii="宋体" w:hAnsi="宋体"/>
          <w:color w:val="auto"/>
          <w:szCs w:val="21"/>
        </w:rPr>
        <w:t>4.1</w:t>
      </w:r>
      <w:r>
        <w:rPr>
          <w:rFonts w:hint="eastAsia" w:ascii="宋体" w:hAnsi="宋体"/>
          <w:color w:val="auto"/>
          <w:szCs w:val="21"/>
        </w:rPr>
        <w:t>监理人的一般规定</w:t>
      </w:r>
    </w:p>
    <w:p>
      <w:pPr>
        <w:spacing w:line="560" w:lineRule="exact"/>
        <w:ind w:firstLine="420" w:firstLineChars="200"/>
        <w:jc w:val="left"/>
        <w:rPr>
          <w:rFonts w:ascii="宋体" w:hAnsi="宋体"/>
          <w:color w:val="auto"/>
          <w:szCs w:val="21"/>
        </w:rPr>
      </w:pPr>
      <w:r>
        <w:rPr>
          <w:rFonts w:hint="eastAsia" w:ascii="宋体" w:hAnsi="宋体"/>
          <w:color w:val="auto"/>
          <w:szCs w:val="21"/>
        </w:rPr>
        <w:t>关于监理人的监理内容：</w:t>
      </w:r>
      <w:r>
        <w:rPr>
          <w:rFonts w:ascii="宋体" w:hAnsi="宋体"/>
          <w:color w:val="auto"/>
          <w:szCs w:val="21"/>
          <w:u w:val="single"/>
        </w:rPr>
        <w:t xml:space="preserve">   </w:t>
      </w:r>
      <w:r>
        <w:rPr>
          <w:rFonts w:hint="eastAsia" w:ascii="宋体" w:hAnsi="宋体"/>
          <w:color w:val="auto"/>
          <w:szCs w:val="21"/>
          <w:u w:val="single"/>
        </w:rPr>
        <w:t>中标后填写</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关于监理人的监理权限：</w:t>
      </w:r>
      <w:r>
        <w:rPr>
          <w:rFonts w:ascii="宋体" w:hAnsi="宋体"/>
          <w:color w:val="auto"/>
          <w:szCs w:val="21"/>
          <w:u w:val="single"/>
        </w:rPr>
        <w:t xml:space="preserve">   </w:t>
      </w:r>
      <w:r>
        <w:rPr>
          <w:rFonts w:hint="eastAsia" w:ascii="宋体" w:hAnsi="宋体"/>
          <w:color w:val="auto"/>
          <w:szCs w:val="21"/>
          <w:u w:val="single"/>
        </w:rPr>
        <w:t>中标后填写</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 xml:space="preserve"> </w:t>
      </w:r>
    </w:p>
    <w:p>
      <w:pPr>
        <w:spacing w:before="120" w:after="120" w:line="560" w:lineRule="exact"/>
        <w:ind w:firstLine="420" w:firstLineChars="200"/>
        <w:rPr>
          <w:rFonts w:ascii="宋体" w:hAnsi="宋体"/>
          <w:color w:val="auto"/>
          <w:kern w:val="0"/>
          <w:szCs w:val="21"/>
          <w:u w:val="single"/>
        </w:rPr>
      </w:pPr>
      <w:r>
        <w:rPr>
          <w:rFonts w:hint="eastAsia" w:ascii="宋体" w:hAnsi="宋体"/>
          <w:color w:val="auto"/>
          <w:szCs w:val="21"/>
        </w:rPr>
        <w:t>关于监理人在施工现场的办公场所、生活场所的提供和费用承担的约定：</w:t>
      </w:r>
      <w:r>
        <w:rPr>
          <w:rFonts w:hint="eastAsia" w:ascii="宋体" w:hAnsi="宋体" w:cs="宋体"/>
          <w:color w:val="auto"/>
          <w:szCs w:val="21"/>
          <w:u w:val="single"/>
        </w:rPr>
        <w:t>按通用条款执行</w:t>
      </w:r>
      <w:r>
        <w:rPr>
          <w:rFonts w:ascii="宋体" w:hAnsi="宋体"/>
          <w:color w:val="auto"/>
          <w:kern w:val="0"/>
          <w:szCs w:val="21"/>
          <w:u w:val="single"/>
        </w:rPr>
        <w:t xml:space="preserve">   </w:t>
      </w:r>
      <w:r>
        <w:rPr>
          <w:rFonts w:hint="eastAsia" w:ascii="宋体" w:hAnsi="宋体"/>
          <w:color w:val="auto"/>
          <w:kern w:val="0"/>
          <w:szCs w:val="21"/>
        </w:rPr>
        <w:t>。</w:t>
      </w:r>
    </w:p>
    <w:p>
      <w:pPr>
        <w:spacing w:line="560" w:lineRule="exact"/>
        <w:ind w:firstLine="420" w:firstLineChars="200"/>
        <w:rPr>
          <w:rFonts w:ascii="宋体" w:hAnsi="宋体"/>
          <w:color w:val="auto"/>
          <w:szCs w:val="21"/>
        </w:rPr>
      </w:pPr>
      <w:r>
        <w:rPr>
          <w:rFonts w:ascii="宋体" w:hAnsi="宋体"/>
          <w:color w:val="auto"/>
          <w:szCs w:val="21"/>
        </w:rPr>
        <w:t xml:space="preserve">4.2 </w:t>
      </w:r>
      <w:r>
        <w:rPr>
          <w:rFonts w:hint="eastAsia" w:ascii="宋体" w:hAnsi="宋体"/>
          <w:color w:val="auto"/>
          <w:szCs w:val="21"/>
        </w:rPr>
        <w:t>监理人员</w:t>
      </w:r>
    </w:p>
    <w:p>
      <w:pPr>
        <w:spacing w:line="560" w:lineRule="exact"/>
        <w:ind w:firstLine="420" w:firstLineChars="200"/>
        <w:rPr>
          <w:rFonts w:ascii="宋体" w:hAnsi="宋体"/>
          <w:color w:val="auto"/>
          <w:szCs w:val="21"/>
        </w:rPr>
      </w:pPr>
      <w:r>
        <w:rPr>
          <w:rFonts w:hint="eastAsia" w:ascii="宋体" w:hAnsi="宋体"/>
          <w:color w:val="auto"/>
          <w:szCs w:val="21"/>
        </w:rPr>
        <w:t>总监理工程师：</w:t>
      </w:r>
    </w:p>
    <w:p>
      <w:pPr>
        <w:spacing w:line="560" w:lineRule="exact"/>
        <w:ind w:firstLine="420" w:firstLineChars="200"/>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r>
        <w:rPr>
          <w:rFonts w:hint="eastAsia" w:ascii="宋体" w:hAnsi="宋体"/>
          <w:color w:val="auto"/>
          <w:szCs w:val="21"/>
          <w:u w:val="single"/>
        </w:rPr>
        <w:t xml:space="preserve">      中标后填写      </w:t>
      </w:r>
      <w:r>
        <w:rPr>
          <w:rFonts w:hint="eastAsia" w:ascii="宋体" w:hAnsi="宋体"/>
          <w:color w:val="auto"/>
          <w:szCs w:val="21"/>
        </w:rPr>
        <w:t>；</w:t>
      </w:r>
    </w:p>
    <w:p>
      <w:pPr>
        <w:spacing w:line="560" w:lineRule="exact"/>
        <w:ind w:firstLine="420" w:firstLineChars="200"/>
        <w:rPr>
          <w:rFonts w:ascii="宋体" w:hAnsi="宋体"/>
          <w:color w:val="auto"/>
          <w:szCs w:val="21"/>
        </w:rPr>
      </w:pPr>
      <w:r>
        <w:rPr>
          <w:rFonts w:hint="eastAsia" w:ascii="宋体" w:hAnsi="宋体"/>
          <w:color w:val="auto"/>
          <w:szCs w:val="21"/>
        </w:rPr>
        <w:t>职</w:t>
      </w:r>
      <w:r>
        <w:rPr>
          <w:rFonts w:ascii="宋体" w:hAnsi="宋体"/>
          <w:color w:val="auto"/>
          <w:szCs w:val="21"/>
        </w:rPr>
        <w:t xml:space="preserve">    </w:t>
      </w:r>
      <w:r>
        <w:rPr>
          <w:rFonts w:hint="eastAsia" w:ascii="宋体" w:hAnsi="宋体"/>
          <w:color w:val="auto"/>
          <w:szCs w:val="21"/>
        </w:rPr>
        <w:t>务：</w:t>
      </w:r>
      <w:r>
        <w:rPr>
          <w:rFonts w:hint="eastAsia" w:ascii="宋体" w:hAnsi="宋体"/>
          <w:color w:val="auto"/>
          <w:szCs w:val="21"/>
          <w:u w:val="single"/>
        </w:rPr>
        <w:t xml:space="preserve">      中标后填写      </w:t>
      </w:r>
      <w:r>
        <w:rPr>
          <w:rFonts w:hint="eastAsia" w:ascii="宋体" w:hAnsi="宋体"/>
          <w:color w:val="auto"/>
          <w:szCs w:val="21"/>
        </w:rPr>
        <w:t>；</w:t>
      </w:r>
    </w:p>
    <w:p>
      <w:pPr>
        <w:spacing w:line="560" w:lineRule="exact"/>
        <w:ind w:firstLine="420" w:firstLineChars="200"/>
        <w:rPr>
          <w:rFonts w:ascii="宋体" w:hAnsi="宋体"/>
          <w:color w:val="auto"/>
          <w:szCs w:val="21"/>
        </w:rPr>
      </w:pPr>
      <w:r>
        <w:rPr>
          <w:rFonts w:hint="eastAsia" w:ascii="宋体" w:hAnsi="宋体"/>
          <w:color w:val="auto"/>
          <w:szCs w:val="21"/>
        </w:rPr>
        <w:t>监理工程师执业资格证书号：</w:t>
      </w:r>
      <w:r>
        <w:rPr>
          <w:rFonts w:hint="eastAsia" w:ascii="宋体" w:hAnsi="宋体"/>
          <w:color w:val="auto"/>
          <w:szCs w:val="21"/>
          <w:u w:val="single"/>
        </w:rPr>
        <w:t xml:space="preserve">  中标后填写  </w:t>
      </w:r>
      <w:r>
        <w:rPr>
          <w:rFonts w:hint="eastAsia" w:ascii="宋体" w:hAnsi="宋体"/>
          <w:color w:val="auto"/>
          <w:szCs w:val="21"/>
        </w:rPr>
        <w:t>；</w:t>
      </w:r>
    </w:p>
    <w:p>
      <w:pPr>
        <w:spacing w:line="560" w:lineRule="exact"/>
        <w:ind w:firstLine="420" w:firstLineChars="200"/>
        <w:rPr>
          <w:rFonts w:ascii="宋体" w:hAnsi="宋体"/>
          <w:szCs w:val="21"/>
        </w:rPr>
      </w:pPr>
      <w:r>
        <w:rPr>
          <w:rFonts w:hint="eastAsia" w:ascii="宋体" w:hAnsi="宋体"/>
          <w:szCs w:val="21"/>
        </w:rPr>
        <w:t>联系电话：</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通信地址：</w:t>
      </w:r>
      <w:r>
        <w:rPr>
          <w:rFonts w:hint="eastAsia" w:ascii="宋体" w:hAnsi="宋体"/>
          <w:szCs w:val="21"/>
          <w:u w:val="single"/>
        </w:rPr>
        <w:t xml:space="preserve">      中标后填写      </w:t>
      </w:r>
      <w:r>
        <w:rPr>
          <w:rFonts w:hint="eastAsia" w:ascii="宋体" w:hAnsi="宋体"/>
          <w:szCs w:val="21"/>
        </w:rPr>
        <w:t>；</w:t>
      </w:r>
    </w:p>
    <w:p>
      <w:pPr>
        <w:spacing w:line="560" w:lineRule="exact"/>
        <w:ind w:firstLine="420" w:firstLineChars="200"/>
        <w:rPr>
          <w:rFonts w:ascii="宋体" w:hAnsi="宋体"/>
          <w:szCs w:val="21"/>
        </w:rPr>
      </w:pPr>
      <w:r>
        <w:rPr>
          <w:rFonts w:hint="eastAsia" w:ascii="宋体" w:hAnsi="宋体"/>
          <w:szCs w:val="21"/>
        </w:rPr>
        <w:t>关于监理人的其他约定：</w:t>
      </w:r>
      <w:r>
        <w:rPr>
          <w:rFonts w:hint="eastAsia" w:ascii="宋体" w:hAnsi="宋体"/>
          <w:szCs w:val="21"/>
          <w:u w:val="single"/>
        </w:rPr>
        <w:t xml:space="preserve">  中标后填写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4.4 </w:t>
      </w:r>
      <w:r>
        <w:rPr>
          <w:rFonts w:hint="eastAsia" w:ascii="宋体" w:hAnsi="宋体"/>
          <w:szCs w:val="21"/>
        </w:rPr>
        <w:t>商定或确定</w:t>
      </w:r>
    </w:p>
    <w:p>
      <w:pPr>
        <w:spacing w:line="560" w:lineRule="exact"/>
        <w:ind w:firstLine="420" w:firstLineChars="200"/>
        <w:rPr>
          <w:rFonts w:ascii="宋体" w:hAnsi="宋体"/>
          <w:szCs w:val="21"/>
        </w:rPr>
      </w:pPr>
      <w:r>
        <w:rPr>
          <w:rFonts w:hint="eastAsia" w:ascii="宋体" w:hAnsi="宋体"/>
          <w:szCs w:val="21"/>
        </w:rPr>
        <w:t>在发包人和承包人不能通过协商达成一致意见时，发包人授权监理人对以下事项进行确定：</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szCs w:val="21"/>
          <w:u w:val="single"/>
        </w:rPr>
        <w:t xml:space="preserve">   </w:t>
      </w:r>
      <w:r>
        <w:rPr>
          <w:rFonts w:hint="eastAsia" w:ascii="宋体" w:hAnsi="宋体"/>
          <w:szCs w:val="21"/>
          <w:u w:val="single"/>
        </w:rPr>
        <w:t>工作范围和工作界面</w:t>
      </w:r>
      <w:r>
        <w:rPr>
          <w:rFonts w:ascii="宋体" w:hAnsi="宋体"/>
          <w:szCs w:val="21"/>
          <w:u w:val="single"/>
        </w:rPr>
        <w:t xml:space="preserve">     </w:t>
      </w:r>
      <w:r>
        <w:rPr>
          <w:rFonts w:hint="eastAsia" w:ascii="宋体" w:hAnsi="宋体"/>
          <w:szCs w:val="21"/>
        </w:rPr>
        <w:t>；</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szCs w:val="21"/>
          <w:u w:val="single"/>
        </w:rPr>
        <w:t xml:space="preserve">   </w:t>
      </w:r>
      <w:r>
        <w:rPr>
          <w:rFonts w:hint="eastAsia" w:ascii="宋体" w:hAnsi="宋体"/>
          <w:szCs w:val="21"/>
          <w:u w:val="single"/>
        </w:rPr>
        <w:t>隐蔽工程的质量和数量的争议</w:t>
      </w:r>
      <w:r>
        <w:rPr>
          <w:rFonts w:ascii="宋体" w:hAnsi="宋体"/>
          <w:szCs w:val="21"/>
          <w:u w:val="single"/>
        </w:rPr>
        <w:t xml:space="preserve">   </w:t>
      </w:r>
      <w:r>
        <w:rPr>
          <w:rFonts w:hint="eastAsia" w:ascii="宋体" w:hAnsi="宋体"/>
          <w:szCs w:val="21"/>
        </w:rPr>
        <w:t>；</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szCs w:val="21"/>
          <w:u w:val="single"/>
        </w:rPr>
        <w:t xml:space="preserve">   </w:t>
      </w:r>
      <w:r>
        <w:rPr>
          <w:rFonts w:hint="eastAsia" w:ascii="宋体" w:hAnsi="宋体"/>
          <w:szCs w:val="21"/>
          <w:u w:val="single"/>
        </w:rPr>
        <w:t>已完工程量计量、已完分部分项工程的节点时间、已完工程量的质量</w:t>
      </w:r>
      <w:r>
        <w:rPr>
          <w:rFonts w:ascii="宋体" w:hAnsi="宋体"/>
          <w:szCs w:val="21"/>
          <w:u w:val="single"/>
        </w:rPr>
        <w:t xml:space="preserve">  </w:t>
      </w:r>
      <w:r>
        <w:rPr>
          <w:rFonts w:hint="eastAsia" w:ascii="宋体" w:hAnsi="宋体"/>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5. </w:t>
      </w:r>
      <w:r>
        <w:rPr>
          <w:rFonts w:hint="eastAsia" w:ascii="宋体" w:hAnsi="宋体"/>
          <w:b w:val="0"/>
          <w:sz w:val="21"/>
          <w:szCs w:val="21"/>
        </w:rPr>
        <w:t>工程质量</w:t>
      </w:r>
    </w:p>
    <w:p>
      <w:pPr>
        <w:spacing w:after="120" w:line="560" w:lineRule="exact"/>
        <w:ind w:firstLine="420" w:firstLineChars="200"/>
        <w:rPr>
          <w:rFonts w:ascii="宋体" w:hAnsi="宋体"/>
          <w:szCs w:val="21"/>
        </w:rPr>
      </w:pPr>
      <w:r>
        <w:rPr>
          <w:rFonts w:ascii="宋体" w:hAnsi="宋体"/>
          <w:szCs w:val="21"/>
        </w:rPr>
        <w:t xml:space="preserve">5.1 </w:t>
      </w:r>
      <w:r>
        <w:rPr>
          <w:rFonts w:hint="eastAsia" w:ascii="宋体" w:hAnsi="宋体"/>
          <w:szCs w:val="21"/>
        </w:rPr>
        <w:t>质量要求</w:t>
      </w:r>
    </w:p>
    <w:p>
      <w:pPr>
        <w:spacing w:line="560" w:lineRule="exact"/>
        <w:ind w:firstLine="420" w:firstLineChars="200"/>
        <w:jc w:val="left"/>
        <w:rPr>
          <w:rFonts w:ascii="宋体" w:hAnsi="宋体"/>
          <w:szCs w:val="21"/>
          <w:u w:val="single"/>
        </w:rPr>
      </w:pPr>
      <w:r>
        <w:rPr>
          <w:rFonts w:ascii="宋体" w:hAnsi="宋体"/>
          <w:szCs w:val="21"/>
        </w:rPr>
        <w:t xml:space="preserve">5.1.1 </w:t>
      </w:r>
      <w:r>
        <w:rPr>
          <w:rFonts w:hint="eastAsia" w:ascii="宋体" w:hAnsi="宋体"/>
          <w:szCs w:val="21"/>
        </w:rPr>
        <w:t>特殊质量标准和要求：</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关于工程奖项的约定：</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5.3 </w:t>
      </w:r>
      <w:r>
        <w:rPr>
          <w:rFonts w:hint="eastAsia" w:ascii="宋体" w:hAnsi="宋体"/>
          <w:szCs w:val="21"/>
        </w:rPr>
        <w:t>隐蔽工程检查</w:t>
      </w:r>
    </w:p>
    <w:p>
      <w:pPr>
        <w:spacing w:line="560" w:lineRule="exact"/>
        <w:ind w:firstLine="420" w:firstLineChars="200"/>
        <w:jc w:val="left"/>
        <w:rPr>
          <w:rFonts w:ascii="宋体" w:hAnsi="宋体"/>
          <w:szCs w:val="21"/>
        </w:rPr>
      </w:pPr>
      <w:r>
        <w:rPr>
          <w:rFonts w:ascii="宋体" w:hAnsi="宋体"/>
          <w:szCs w:val="21"/>
        </w:rPr>
        <w:t>5.3.2</w:t>
      </w:r>
      <w:r>
        <w:rPr>
          <w:rFonts w:hint="eastAsia" w:ascii="宋体" w:hAnsi="宋体"/>
          <w:szCs w:val="21"/>
        </w:rPr>
        <w:t>承包人提前通知监理人隐蔽工程检查的期限的约定：</w:t>
      </w:r>
      <w:r>
        <w:rPr>
          <w:rFonts w:hint="eastAsia" w:ascii="宋体" w:hAnsi="宋体"/>
          <w:kern w:val="0"/>
          <w:szCs w:val="21"/>
          <w:u w:val="single"/>
        </w:rPr>
        <w:t>任何部位的工程需要覆盖或隐蔽前，均应提前24小时</w:t>
      </w:r>
      <w:r>
        <w:rPr>
          <w:rFonts w:ascii="宋体" w:hAnsi="宋体"/>
          <w:bCs/>
          <w:szCs w:val="21"/>
          <w:u w:val="single"/>
        </w:rPr>
        <w:t>以书面形式通知发包人和监理工程师验收的内容、时间、地点</w:t>
      </w:r>
      <w:r>
        <w:rPr>
          <w:rFonts w:hint="eastAsia" w:ascii="宋体" w:hAnsi="宋体"/>
          <w:kern w:val="0"/>
          <w:szCs w:val="21"/>
          <w:u w:val="single"/>
        </w:rPr>
        <w:t>通知监理工程师及南宁市建设工程质量监督站进行中间验收并拍照，没有监理工程师及南宁市建设工程质量监督站的批准，均不得隐蔽或验收</w:t>
      </w:r>
      <w:r>
        <w:rPr>
          <w:rFonts w:ascii="宋体" w:hAnsi="宋体"/>
          <w:bCs/>
          <w:szCs w:val="21"/>
          <w:u w:val="single"/>
        </w:rPr>
        <w:t>，承包人准备验收记录单（最好是印制的表格）由双方签证。验收合格，承包人可进行隐蔽和继续施工；验收不合格，双方商订时限内修改后按上述循序重新验收。</w:t>
      </w:r>
    </w:p>
    <w:p>
      <w:pPr>
        <w:spacing w:line="560" w:lineRule="exact"/>
        <w:ind w:firstLine="420" w:firstLineChars="200"/>
        <w:jc w:val="left"/>
        <w:rPr>
          <w:rFonts w:ascii="宋体" w:hAnsi="宋体"/>
          <w:szCs w:val="21"/>
        </w:rPr>
      </w:pPr>
      <w:r>
        <w:rPr>
          <w:rFonts w:hint="eastAsia" w:ascii="宋体" w:hAnsi="宋体"/>
          <w:szCs w:val="21"/>
        </w:rPr>
        <w:t>监理人不能按时进行检查时，应提前</w:t>
      </w:r>
      <w:r>
        <w:rPr>
          <w:rFonts w:ascii="宋体" w:hAnsi="宋体"/>
          <w:szCs w:val="21"/>
          <w:u w:val="single"/>
        </w:rPr>
        <w:t xml:space="preserve">  24  </w:t>
      </w:r>
      <w:r>
        <w:rPr>
          <w:rFonts w:hint="eastAsia" w:ascii="宋体" w:hAnsi="宋体"/>
          <w:szCs w:val="21"/>
        </w:rPr>
        <w:t>小时提交书面延期要求。</w:t>
      </w:r>
    </w:p>
    <w:p>
      <w:pPr>
        <w:spacing w:line="560" w:lineRule="exact"/>
        <w:ind w:firstLine="420" w:firstLineChars="200"/>
        <w:jc w:val="left"/>
        <w:rPr>
          <w:rFonts w:ascii="宋体" w:hAnsi="宋体"/>
          <w:szCs w:val="21"/>
        </w:rPr>
      </w:pPr>
      <w:r>
        <w:rPr>
          <w:rFonts w:hint="eastAsia" w:ascii="宋体" w:hAnsi="宋体"/>
          <w:szCs w:val="21"/>
        </w:rPr>
        <w:t>关于延期最长不得超过：</w:t>
      </w:r>
      <w:r>
        <w:rPr>
          <w:rFonts w:ascii="宋体" w:hAnsi="宋体"/>
          <w:szCs w:val="21"/>
          <w:u w:val="single"/>
        </w:rPr>
        <w:t xml:space="preserve">  48 </w:t>
      </w:r>
      <w:r>
        <w:rPr>
          <w:rFonts w:hint="eastAsia" w:ascii="宋体" w:hAnsi="宋体"/>
          <w:szCs w:val="21"/>
        </w:rPr>
        <w:t>小时。</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6. </w:t>
      </w:r>
      <w:r>
        <w:rPr>
          <w:rFonts w:hint="eastAsia" w:ascii="宋体" w:hAnsi="宋体"/>
          <w:b w:val="0"/>
          <w:sz w:val="21"/>
          <w:szCs w:val="21"/>
        </w:rPr>
        <w:t>安全文明施工与环境保护</w:t>
      </w:r>
    </w:p>
    <w:p>
      <w:pPr>
        <w:spacing w:after="120" w:line="560" w:lineRule="exact"/>
        <w:ind w:firstLine="420" w:firstLineChars="200"/>
        <w:rPr>
          <w:rFonts w:ascii="宋体" w:hAnsi="宋体"/>
          <w:szCs w:val="21"/>
        </w:rPr>
      </w:pPr>
      <w:r>
        <w:rPr>
          <w:rFonts w:ascii="宋体" w:hAnsi="宋体"/>
          <w:szCs w:val="21"/>
        </w:rPr>
        <w:t>6.1</w:t>
      </w:r>
      <w:r>
        <w:rPr>
          <w:rFonts w:hint="eastAsia" w:ascii="宋体" w:hAnsi="宋体"/>
          <w:szCs w:val="21"/>
        </w:rPr>
        <w:t>安全文明施工</w:t>
      </w:r>
    </w:p>
    <w:p>
      <w:pPr>
        <w:spacing w:line="560" w:lineRule="exact"/>
        <w:ind w:firstLine="420" w:firstLineChars="200"/>
        <w:jc w:val="left"/>
        <w:rPr>
          <w:rFonts w:ascii="宋体" w:hAnsi="宋体"/>
          <w:szCs w:val="21"/>
          <w:u w:val="single"/>
        </w:rPr>
      </w:pPr>
      <w:r>
        <w:rPr>
          <w:rFonts w:ascii="宋体" w:hAnsi="宋体"/>
          <w:szCs w:val="21"/>
        </w:rPr>
        <w:t xml:space="preserve">6.1.1 </w:t>
      </w:r>
      <w:r>
        <w:rPr>
          <w:rFonts w:hint="eastAsia" w:ascii="宋体" w:hAnsi="宋体"/>
          <w:szCs w:val="21"/>
        </w:rPr>
        <w:t>项目安全生产的达标目标及相应事项的约定：</w:t>
      </w:r>
      <w:r>
        <w:rPr>
          <w:rFonts w:ascii="宋体" w:hAnsi="宋体"/>
          <w:szCs w:val="21"/>
          <w:u w:val="single"/>
        </w:rPr>
        <w:t xml:space="preserve">  </w:t>
      </w:r>
      <w:r>
        <w:rPr>
          <w:rFonts w:hint="eastAsia" w:ascii="宋体" w:hAnsi="宋体"/>
          <w:szCs w:val="21"/>
          <w:u w:val="single"/>
        </w:rPr>
        <w:t>承包人应制定《房屋建筑和市政基础设施工程施工扬尘控制工作方案》、《房屋建筑和市政基础设施工程现场文明施工标准》等相关规定并履行好施工扬尘控制、文明施工等责任</w:t>
      </w:r>
      <w:r>
        <w:rPr>
          <w:rFonts w:hint="eastAsia" w:ascii="宋体" w:hAnsi="宋体" w:cs="Arial Unicode MS"/>
          <w:szCs w:val="21"/>
          <w:u w:val="single"/>
        </w:rPr>
        <w:t>；</w:t>
      </w:r>
      <w:r>
        <w:rPr>
          <w:rFonts w:hint="eastAsia" w:ascii="宋体" w:hAnsi="宋体"/>
          <w:szCs w:val="21"/>
          <w:u w:val="single"/>
        </w:rPr>
        <w:t>承包人需自行办理的有关施工场地交通、环卫和施工噪音管理等手续，并应符合国家相关规定，并自行承担其费用</w:t>
      </w:r>
      <w:r>
        <w:rPr>
          <w:rFonts w:ascii="宋体" w:hAnsi="宋体"/>
          <w:szCs w:val="21"/>
          <w:u w:val="single"/>
        </w:rPr>
        <w:t xml:space="preserve">   </w:t>
      </w:r>
      <w:r>
        <w:rPr>
          <w:rFonts w:hint="eastAsia" w:ascii="宋体" w:hAnsi="宋体"/>
          <w:szCs w:val="21"/>
        </w:rPr>
        <w:t>。</w:t>
      </w:r>
    </w:p>
    <w:p>
      <w:pPr>
        <w:spacing w:before="120" w:after="120" w:line="560" w:lineRule="exact"/>
        <w:ind w:firstLine="420" w:firstLineChars="200"/>
        <w:rPr>
          <w:rFonts w:ascii="宋体" w:hAnsi="宋体"/>
          <w:szCs w:val="21"/>
        </w:rPr>
      </w:pPr>
      <w:r>
        <w:rPr>
          <w:rFonts w:ascii="宋体" w:hAnsi="宋体"/>
          <w:szCs w:val="21"/>
        </w:rPr>
        <w:t xml:space="preserve">6.1.4 </w:t>
      </w:r>
      <w:r>
        <w:rPr>
          <w:rFonts w:hint="eastAsia" w:ascii="宋体" w:hAnsi="宋体"/>
          <w:szCs w:val="21"/>
        </w:rPr>
        <w:t>关于治安保卫的特别约定：</w:t>
      </w:r>
      <w:r>
        <w:rPr>
          <w:rFonts w:ascii="宋体" w:hAnsi="宋体"/>
          <w:szCs w:val="21"/>
          <w:u w:val="single"/>
        </w:rPr>
        <w:t xml:space="preserve">   </w:t>
      </w:r>
      <w:r>
        <w:rPr>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before="120" w:after="120" w:line="560" w:lineRule="exact"/>
        <w:ind w:firstLine="420" w:firstLineChars="200"/>
        <w:rPr>
          <w:rFonts w:ascii="宋体" w:hAnsi="宋体"/>
          <w:szCs w:val="21"/>
          <w:u w:val="single"/>
        </w:rPr>
      </w:pPr>
      <w:r>
        <w:rPr>
          <w:rFonts w:hint="eastAsia" w:ascii="宋体" w:hAnsi="宋体"/>
          <w:szCs w:val="21"/>
        </w:rPr>
        <w:t>关于编制施工场地治安管理计划的约定：</w:t>
      </w:r>
      <w:r>
        <w:rPr>
          <w:rFonts w:ascii="宋体" w:hAnsi="宋体"/>
          <w:szCs w:val="21"/>
          <w:u w:val="single"/>
        </w:rPr>
        <w:t xml:space="preserve">  </w:t>
      </w:r>
      <w:r>
        <w:rPr>
          <w:rFonts w:hint="eastAsia" w:ascii="宋体" w:hAnsi="宋体"/>
          <w:szCs w:val="21"/>
          <w:u w:val="single"/>
        </w:rPr>
        <w:t>开工前7天内承包人编制施工场地治安管理计划和突发治安事件紧急预案</w:t>
      </w:r>
      <w:r>
        <w:rPr>
          <w:rFonts w:ascii="宋体" w:hAnsi="宋体"/>
          <w:szCs w:val="21"/>
          <w:u w:val="single"/>
        </w:rPr>
        <w:t xml:space="preserve">   </w:t>
      </w:r>
      <w:r>
        <w:rPr>
          <w:rFonts w:hint="eastAsia" w:ascii="宋体" w:hAnsi="宋体"/>
          <w:szCs w:val="21"/>
          <w:u w:val="single"/>
        </w:rPr>
        <w:t>。</w:t>
      </w:r>
    </w:p>
    <w:p>
      <w:pPr>
        <w:spacing w:line="560" w:lineRule="exact"/>
        <w:ind w:firstLine="420" w:firstLineChars="200"/>
        <w:jc w:val="left"/>
        <w:rPr>
          <w:rFonts w:ascii="宋体" w:hAnsi="宋体"/>
          <w:szCs w:val="21"/>
        </w:rPr>
      </w:pPr>
      <w:r>
        <w:rPr>
          <w:rFonts w:ascii="宋体" w:hAnsi="宋体"/>
          <w:szCs w:val="21"/>
        </w:rPr>
        <w:t xml:space="preserve">6.1.5 </w:t>
      </w:r>
      <w:r>
        <w:rPr>
          <w:rFonts w:hint="eastAsia" w:ascii="宋体" w:hAnsi="宋体"/>
          <w:szCs w:val="21"/>
        </w:rPr>
        <w:t>文明施工</w:t>
      </w:r>
    </w:p>
    <w:p>
      <w:pPr>
        <w:spacing w:before="120" w:after="120" w:line="560" w:lineRule="exact"/>
        <w:ind w:firstLine="420" w:firstLineChars="200"/>
        <w:rPr>
          <w:rFonts w:ascii="宋体" w:hAnsi="宋体"/>
          <w:color w:val="auto"/>
          <w:kern w:val="0"/>
          <w:szCs w:val="21"/>
          <w:u w:val="single"/>
        </w:rPr>
      </w:pPr>
      <w:r>
        <w:rPr>
          <w:rFonts w:hint="eastAsia" w:ascii="宋体" w:hAnsi="宋体"/>
          <w:color w:val="auto"/>
          <w:szCs w:val="21"/>
        </w:rPr>
        <w:t>合同当事人对文明施工的要求：</w:t>
      </w:r>
      <w:bookmarkStart w:id="219" w:name="_Toc389202674"/>
      <w:r>
        <w:rPr>
          <w:rFonts w:hint="eastAsia"/>
          <w:color w:val="auto"/>
          <w:spacing w:val="5"/>
          <w:szCs w:val="21"/>
          <w:u w:val="single"/>
        </w:rPr>
        <w:t>承包人应遵守工程建设安全生产有关管理规定，严格按安全标准组织施工，并随时接受行业安全检查人员依法实施的监督检查，采取必要的安全防护措施，消除事故隐患。如承包人未履行上述义务而造成工程、财产和人身伤害，由承包人承担责任及所发生的费用。因承包人施工现场安全措施不力而引起的第三方事故，其责任应由承包人承担</w:t>
      </w:r>
      <w:bookmarkEnd w:id="219"/>
      <w:r>
        <w:rPr>
          <w:rFonts w:hint="eastAsia"/>
          <w:color w:val="auto"/>
          <w:spacing w:val="5"/>
          <w:szCs w:val="21"/>
          <w:u w:val="single"/>
        </w:rPr>
        <w:t>。</w:t>
      </w:r>
      <w:r>
        <w:rPr>
          <w:rFonts w:hint="eastAsia"/>
          <w:color w:val="auto"/>
          <w:szCs w:val="21"/>
          <w:u w:val="single"/>
        </w:rPr>
        <w:t>安全生产文明施工管理目标要求严格执行《大气污染防治法》（主席令第三十一号）、《南宁市建设工程质量和安全生产管理办法》（南宁市人民政府令 第46号）、《南宁市建设工程施工现场管理若干规定》，达到合格工地。若被有关监督部门查到本工程的文明施工未达标，承包人自行出资修改并达到文明施工要求，若文明施工三次未达标，按监督部门意见处理</w:t>
      </w:r>
      <w:r>
        <w:rPr>
          <w:rFonts w:ascii="宋体" w:hAnsi="宋体"/>
          <w:color w:val="auto"/>
          <w:kern w:val="0"/>
          <w:szCs w:val="21"/>
          <w:u w:val="single"/>
        </w:rPr>
        <w:t xml:space="preserve"> </w:t>
      </w:r>
      <w:r>
        <w:rPr>
          <w:rFonts w:hint="eastAsia" w:ascii="宋体" w:hAnsi="宋体"/>
          <w:color w:val="auto"/>
          <w:szCs w:val="21"/>
        </w:rPr>
        <w:t>。</w:t>
      </w:r>
    </w:p>
    <w:p>
      <w:pPr>
        <w:widowControl/>
        <w:spacing w:line="560" w:lineRule="exact"/>
        <w:ind w:firstLine="420" w:firstLineChars="200"/>
        <w:jc w:val="left"/>
        <w:rPr>
          <w:rFonts w:ascii="宋体" w:hAnsi="宋体"/>
          <w:color w:val="auto"/>
          <w:szCs w:val="21"/>
        </w:rPr>
      </w:pPr>
      <w:r>
        <w:rPr>
          <w:rFonts w:ascii="宋体" w:hAnsi="宋体"/>
          <w:color w:val="auto"/>
          <w:szCs w:val="21"/>
        </w:rPr>
        <w:t xml:space="preserve">6.1.6 </w:t>
      </w:r>
      <w:r>
        <w:rPr>
          <w:rFonts w:hint="eastAsia" w:ascii="宋体" w:hAnsi="宋体"/>
          <w:color w:val="auto"/>
          <w:szCs w:val="21"/>
        </w:rPr>
        <w:t>关于安全文明施工费支付比例和支付期限的约定：</w:t>
      </w:r>
      <w:r>
        <w:rPr>
          <w:color w:val="auto"/>
          <w:kern w:val="0"/>
          <w:szCs w:val="21"/>
          <w:u w:val="single"/>
        </w:rPr>
        <w:t>使用要求：专款专用。具体按《广西壮族自治区建筑工程安全</w:t>
      </w:r>
      <w:r>
        <w:rPr>
          <w:rFonts w:hint="eastAsia"/>
          <w:color w:val="auto"/>
          <w:kern w:val="0"/>
          <w:szCs w:val="21"/>
          <w:u w:val="single"/>
        </w:rPr>
        <w:t>文明施工费使用管理细则</w:t>
      </w:r>
      <w:r>
        <w:rPr>
          <w:color w:val="auto"/>
          <w:kern w:val="0"/>
          <w:szCs w:val="21"/>
          <w:u w:val="single"/>
        </w:rPr>
        <w:t>》</w:t>
      </w:r>
      <w:r>
        <w:rPr>
          <w:rFonts w:hint="eastAsia"/>
          <w:color w:val="auto"/>
          <w:kern w:val="0"/>
          <w:szCs w:val="21"/>
          <w:u w:val="single"/>
        </w:rPr>
        <w:t>（桂建【2015】16号）</w:t>
      </w:r>
      <w:r>
        <w:rPr>
          <w:color w:val="auto"/>
          <w:kern w:val="0"/>
          <w:szCs w:val="21"/>
          <w:u w:val="single"/>
        </w:rPr>
        <w:t>和《关于印发&lt;南宁市建设工程安全防护、文明施工措施费用管理规定&gt;的通知》（南建质安〔2013〕22号相关规定执行。</w:t>
      </w:r>
    </w:p>
    <w:p>
      <w:pPr>
        <w:pStyle w:val="5"/>
        <w:spacing w:line="560" w:lineRule="exact"/>
        <w:ind w:firstLine="422" w:firstLineChars="200"/>
        <w:rPr>
          <w:rFonts w:ascii="宋体" w:hAnsi="宋体"/>
          <w:color w:val="auto"/>
          <w:sz w:val="21"/>
          <w:szCs w:val="21"/>
        </w:rPr>
      </w:pPr>
      <w:bookmarkStart w:id="220" w:name="_Toc16232326"/>
      <w:bookmarkStart w:id="221" w:name="_Toc418061774"/>
      <w:bookmarkStart w:id="222" w:name="_Toc425334274"/>
      <w:bookmarkStart w:id="223" w:name="_Toc403578955"/>
      <w:r>
        <w:rPr>
          <w:rFonts w:ascii="宋体" w:hAnsi="宋体"/>
          <w:color w:val="auto"/>
          <w:sz w:val="21"/>
          <w:szCs w:val="21"/>
        </w:rPr>
        <w:t>6.3</w:t>
      </w:r>
      <w:r>
        <w:rPr>
          <w:rFonts w:hint="eastAsia" w:ascii="宋体" w:hAnsi="宋体"/>
          <w:color w:val="auto"/>
          <w:sz w:val="21"/>
          <w:szCs w:val="21"/>
        </w:rPr>
        <w:t xml:space="preserve"> </w:t>
      </w:r>
      <w:r>
        <w:rPr>
          <w:rFonts w:ascii="宋体" w:hAnsi="宋体"/>
          <w:color w:val="auto"/>
          <w:sz w:val="21"/>
          <w:szCs w:val="21"/>
        </w:rPr>
        <w:t>环境保护</w:t>
      </w:r>
      <w:bookmarkEnd w:id="220"/>
      <w:bookmarkEnd w:id="221"/>
      <w:bookmarkEnd w:id="222"/>
      <w:bookmarkEnd w:id="223"/>
    </w:p>
    <w:p>
      <w:pPr>
        <w:spacing w:line="560" w:lineRule="exact"/>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w:t>
      </w:r>
    </w:p>
    <w:p>
      <w:pPr>
        <w:spacing w:line="560" w:lineRule="exact"/>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p>
      <w:pPr>
        <w:spacing w:line="560" w:lineRule="exact"/>
        <w:ind w:firstLine="416" w:firstLineChars="200"/>
        <w:jc w:val="left"/>
        <w:rPr>
          <w:rFonts w:ascii="宋体" w:hAnsi="宋体"/>
          <w:szCs w:val="21"/>
        </w:rPr>
      </w:pPr>
      <w:r>
        <w:rPr>
          <w:rFonts w:hint="eastAsia" w:ascii="宋体" w:hAnsi="宋体"/>
          <w:spacing w:val="-1"/>
          <w:kern w:val="0"/>
          <w:szCs w:val="21"/>
        </w:rPr>
        <w:t>环保工作的约定：</w:t>
      </w:r>
      <w:r>
        <w:rPr>
          <w:rFonts w:hint="eastAsia" w:ascii="宋体" w:hAnsi="宋体"/>
          <w:spacing w:val="-1"/>
          <w:kern w:val="0"/>
          <w:szCs w:val="21"/>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w:t>
      </w:r>
      <w:r>
        <w:rPr>
          <w:rFonts w:hint="eastAsia" w:ascii="宋体" w:hAnsi="宋体" w:cs="宋体"/>
          <w:spacing w:val="-1"/>
          <w:kern w:val="0"/>
          <w:szCs w:val="21"/>
          <w:u w:val="single"/>
        </w:rPr>
        <w:t>Ⅱ</w:t>
      </w:r>
      <w:r>
        <w:rPr>
          <w:rFonts w:hint="eastAsia" w:ascii="宋体" w:hAnsi="宋体"/>
          <w:spacing w:val="-1"/>
          <w:kern w:val="0"/>
          <w:szCs w:val="21"/>
          <w:u w:val="single"/>
        </w:rPr>
        <w:t>。施工完毕后，承包人应及时将被破坏的场地，遵照监理工程师的指示进行清理、修正，并根据实际情况将场地恢复到原</w:t>
      </w:r>
      <w:r>
        <w:rPr>
          <w:rFonts w:hint="eastAsia" w:ascii="宋体" w:hAnsi="宋体"/>
          <w:kern w:val="0"/>
          <w:szCs w:val="21"/>
          <w:u w:val="single"/>
        </w:rPr>
        <w:t>有状态，费用自理</w:t>
      </w:r>
      <w:r>
        <w:rPr>
          <w:rFonts w:hint="eastAsia" w:ascii="宋体" w:hAnsi="宋体"/>
          <w:kern w:val="0"/>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7. </w:t>
      </w:r>
      <w:r>
        <w:rPr>
          <w:rFonts w:hint="eastAsia" w:ascii="宋体" w:hAnsi="宋体"/>
          <w:b w:val="0"/>
          <w:sz w:val="21"/>
          <w:szCs w:val="21"/>
        </w:rPr>
        <w:t>工期和进度</w:t>
      </w:r>
    </w:p>
    <w:p>
      <w:pPr>
        <w:spacing w:after="120" w:line="560" w:lineRule="exact"/>
        <w:ind w:firstLine="420" w:firstLineChars="200"/>
        <w:rPr>
          <w:rFonts w:ascii="宋体" w:hAnsi="宋体"/>
          <w:szCs w:val="21"/>
        </w:rPr>
      </w:pPr>
      <w:r>
        <w:rPr>
          <w:rFonts w:ascii="宋体" w:hAnsi="宋体"/>
          <w:szCs w:val="21"/>
        </w:rPr>
        <w:t xml:space="preserve">7.1 </w:t>
      </w:r>
      <w:r>
        <w:rPr>
          <w:rFonts w:hint="eastAsia" w:ascii="宋体" w:hAnsi="宋体"/>
          <w:szCs w:val="21"/>
        </w:rPr>
        <w:t>施工组织设计</w:t>
      </w:r>
    </w:p>
    <w:p>
      <w:pPr>
        <w:spacing w:before="120" w:after="120" w:line="560" w:lineRule="exact"/>
        <w:ind w:firstLine="420" w:firstLineChars="200"/>
        <w:rPr>
          <w:rFonts w:ascii="宋体" w:hAnsi="宋体"/>
          <w:kern w:val="0"/>
          <w:szCs w:val="21"/>
          <w:u w:val="single"/>
        </w:rPr>
      </w:pPr>
      <w:r>
        <w:rPr>
          <w:rFonts w:ascii="宋体" w:hAnsi="宋体"/>
          <w:szCs w:val="21"/>
        </w:rPr>
        <w:t xml:space="preserve">7.1.1 </w:t>
      </w:r>
      <w:r>
        <w:rPr>
          <w:rFonts w:hint="eastAsia" w:ascii="宋体" w:hAnsi="宋体"/>
          <w:szCs w:val="21"/>
        </w:rPr>
        <w:t>合</w:t>
      </w:r>
      <w:r>
        <w:rPr>
          <w:rFonts w:hint="eastAsia" w:ascii="宋体" w:hAnsi="宋体"/>
          <w:kern w:val="0"/>
          <w:szCs w:val="21"/>
        </w:rPr>
        <w:t>同当事人约定的施工组织设计应包括的其他内容：</w:t>
      </w:r>
      <w:r>
        <w:rPr>
          <w:rFonts w:hint="eastAsia" w:ascii="宋体" w:hAnsi="宋体" w:cs="宋体"/>
          <w:szCs w:val="21"/>
          <w:u w:val="single"/>
        </w:rPr>
        <w:t>①管理人员名</w:t>
      </w:r>
      <w:r>
        <w:rPr>
          <w:rFonts w:hint="eastAsia"/>
          <w:szCs w:val="21"/>
          <w:u w:val="single"/>
        </w:rPr>
        <w:t>单、职称、职务、上岗证等；②施工进度计划包括总进度计划、分阶段和分项进度计划、设备材料人员进场计划；施工方案说明包括分部、分项工程或工程部位的名称及施工顺序和方法；③</w:t>
      </w:r>
      <w:r>
        <w:rPr>
          <w:rFonts w:hint="eastAsia" w:ascii="宋体" w:hAnsi="宋体"/>
          <w:szCs w:val="21"/>
          <w:u w:val="single"/>
        </w:rPr>
        <w:t>按照国家及地方</w:t>
      </w:r>
      <w:r>
        <w:rPr>
          <w:rFonts w:hint="eastAsia" w:ascii="宋体" w:hAnsi="宋体" w:cs="宋体"/>
          <w:szCs w:val="21"/>
          <w:u w:val="single"/>
        </w:rPr>
        <w:t>有关规定应当提交的内容</w:t>
      </w:r>
      <w:r>
        <w:rPr>
          <w:rFonts w:ascii="宋体" w:hAnsi="宋体"/>
          <w:kern w:val="0"/>
          <w:szCs w:val="21"/>
          <w:u w:val="single"/>
        </w:rPr>
        <w:t xml:space="preserve">  </w:t>
      </w:r>
      <w:r>
        <w:rPr>
          <w:rFonts w:hint="eastAsia" w:ascii="宋体" w:hAnsi="宋体"/>
          <w:szCs w:val="21"/>
        </w:rPr>
        <w:t>。</w:t>
      </w:r>
    </w:p>
    <w:p>
      <w:pPr>
        <w:autoSpaceDE w:val="0"/>
        <w:autoSpaceDN w:val="0"/>
        <w:adjustRightInd w:val="0"/>
        <w:spacing w:line="560" w:lineRule="exact"/>
        <w:ind w:firstLine="420" w:firstLineChars="200"/>
        <w:jc w:val="left"/>
        <w:rPr>
          <w:rFonts w:ascii="宋体" w:hAnsi="宋体"/>
          <w:kern w:val="0"/>
          <w:szCs w:val="21"/>
        </w:rPr>
      </w:pPr>
      <w:r>
        <w:rPr>
          <w:rFonts w:ascii="宋体" w:hAnsi="宋体"/>
          <w:szCs w:val="21"/>
        </w:rPr>
        <w:t xml:space="preserve">7.1.2 </w:t>
      </w:r>
      <w:r>
        <w:rPr>
          <w:rFonts w:hint="eastAsia" w:ascii="宋体" w:hAnsi="宋体"/>
          <w:kern w:val="0"/>
          <w:szCs w:val="21"/>
        </w:rPr>
        <w:t>施工组织设计的提交和修改</w:t>
      </w:r>
    </w:p>
    <w:p>
      <w:pPr>
        <w:spacing w:before="120" w:after="120" w:line="560" w:lineRule="exact"/>
        <w:ind w:firstLine="420" w:firstLineChars="200"/>
        <w:rPr>
          <w:rFonts w:ascii="宋体" w:hAnsi="宋体"/>
          <w:szCs w:val="21"/>
        </w:rPr>
      </w:pPr>
      <w:r>
        <w:rPr>
          <w:rFonts w:hint="eastAsia" w:ascii="宋体" w:hAnsi="宋体"/>
          <w:kern w:val="0"/>
          <w:szCs w:val="21"/>
        </w:rPr>
        <w:t>承包人提交详细施工组织设计的期限的约定：</w:t>
      </w:r>
      <w:r>
        <w:rPr>
          <w:rFonts w:hint="eastAsia" w:ascii="宋体" w:hAnsi="宋体" w:cs="宋体"/>
          <w:szCs w:val="21"/>
          <w:u w:val="single"/>
        </w:rPr>
        <w:t>合同签订后14天内，最迟不得晚于开工通知载明的开工日期前7天</w:t>
      </w:r>
      <w:r>
        <w:rPr>
          <w:rFonts w:ascii="宋体" w:hAnsi="宋体"/>
          <w:kern w:val="0"/>
          <w:szCs w:val="21"/>
          <w:u w:val="single"/>
        </w:rPr>
        <w:t xml:space="preserve">   </w:t>
      </w:r>
      <w:r>
        <w:rPr>
          <w:rFonts w:hint="eastAsia" w:ascii="宋体" w:hAnsi="宋体"/>
          <w:szCs w:val="21"/>
        </w:rPr>
        <w:t>。</w:t>
      </w:r>
    </w:p>
    <w:p>
      <w:pPr>
        <w:spacing w:before="120" w:after="120" w:line="560" w:lineRule="exact"/>
        <w:ind w:firstLine="420" w:firstLineChars="200"/>
        <w:rPr>
          <w:rFonts w:ascii="宋体" w:hAnsi="宋体"/>
          <w:kern w:val="0"/>
          <w:szCs w:val="21"/>
          <w:u w:val="single"/>
        </w:rPr>
      </w:pPr>
      <w:r>
        <w:rPr>
          <w:rFonts w:hint="eastAsia" w:ascii="宋体" w:hAnsi="宋体"/>
          <w:szCs w:val="21"/>
        </w:rPr>
        <w:t>发包人和监理人在收到详细的施工组织设计后确认或提出修改意见的期限：</w:t>
      </w:r>
      <w:r>
        <w:rPr>
          <w:rFonts w:hint="eastAsia" w:ascii="宋体" w:hAnsi="宋体" w:cs="宋体"/>
          <w:szCs w:val="21"/>
          <w:u w:val="single"/>
        </w:rPr>
        <w:t>收到施工组织设计后</w:t>
      </w:r>
      <w:r>
        <w:rPr>
          <w:rFonts w:ascii="宋体" w:hAnsi="宋体" w:cs="宋体"/>
          <w:szCs w:val="21"/>
          <w:u w:val="single"/>
        </w:rPr>
        <w:t xml:space="preserve">3 </w:t>
      </w:r>
      <w:r>
        <w:rPr>
          <w:rFonts w:hint="eastAsia" w:ascii="宋体" w:hAnsi="宋体" w:cs="宋体"/>
          <w:szCs w:val="21"/>
          <w:u w:val="single"/>
        </w:rPr>
        <w:t>天内确认或提出修改意见。</w:t>
      </w:r>
    </w:p>
    <w:p>
      <w:pPr>
        <w:spacing w:after="120" w:line="560" w:lineRule="exact"/>
        <w:ind w:firstLine="420" w:firstLineChars="200"/>
        <w:rPr>
          <w:rFonts w:ascii="宋体" w:hAnsi="宋体"/>
          <w:szCs w:val="21"/>
        </w:rPr>
      </w:pPr>
      <w:r>
        <w:rPr>
          <w:rFonts w:ascii="宋体" w:hAnsi="宋体"/>
          <w:szCs w:val="21"/>
        </w:rPr>
        <w:t xml:space="preserve">7.2 </w:t>
      </w:r>
      <w:r>
        <w:rPr>
          <w:rFonts w:hint="eastAsia" w:ascii="宋体" w:hAnsi="宋体"/>
          <w:szCs w:val="21"/>
        </w:rPr>
        <w:t>施工进度计划</w:t>
      </w:r>
    </w:p>
    <w:p>
      <w:pPr>
        <w:spacing w:line="560" w:lineRule="exact"/>
        <w:ind w:firstLine="420" w:firstLineChars="200"/>
        <w:jc w:val="left"/>
        <w:rPr>
          <w:rFonts w:ascii="宋体" w:hAnsi="宋体"/>
          <w:szCs w:val="21"/>
        </w:rPr>
      </w:pPr>
      <w:r>
        <w:rPr>
          <w:rFonts w:ascii="宋体" w:hAnsi="宋体"/>
          <w:szCs w:val="21"/>
        </w:rPr>
        <w:t xml:space="preserve">7.2.2 </w:t>
      </w:r>
      <w:r>
        <w:rPr>
          <w:rFonts w:hint="eastAsia" w:ascii="宋体" w:hAnsi="宋体"/>
          <w:szCs w:val="21"/>
        </w:rPr>
        <w:t>施工进度计划的修订</w:t>
      </w:r>
    </w:p>
    <w:p>
      <w:pPr>
        <w:spacing w:before="120" w:after="120" w:line="560" w:lineRule="exact"/>
        <w:ind w:firstLine="420" w:firstLineChars="200"/>
        <w:rPr>
          <w:rFonts w:ascii="宋体" w:hAnsi="宋体"/>
          <w:kern w:val="0"/>
          <w:szCs w:val="21"/>
          <w:u w:val="single"/>
        </w:rPr>
      </w:pPr>
      <w:r>
        <w:rPr>
          <w:rFonts w:hint="eastAsia" w:ascii="宋体" w:hAnsi="宋体"/>
          <w:szCs w:val="21"/>
        </w:rPr>
        <w:t>发包人和监理人在收到修订的施工进度计划后确认或提出修改意见的期限：</w:t>
      </w:r>
      <w:r>
        <w:rPr>
          <w:rFonts w:hint="eastAsia" w:ascii="宋体" w:hAnsi="宋体" w:cs="宋体"/>
          <w:szCs w:val="21"/>
          <w:u w:val="single"/>
        </w:rPr>
        <w:t xml:space="preserve"> 3天内确认或提出修改意见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7.3 </w:t>
      </w:r>
      <w:r>
        <w:rPr>
          <w:rFonts w:hint="eastAsia" w:ascii="宋体" w:hAnsi="宋体"/>
          <w:szCs w:val="21"/>
        </w:rPr>
        <w:t>开工</w:t>
      </w:r>
    </w:p>
    <w:p>
      <w:pPr>
        <w:spacing w:line="560" w:lineRule="exact"/>
        <w:ind w:firstLine="420" w:firstLineChars="200"/>
        <w:jc w:val="left"/>
        <w:rPr>
          <w:rFonts w:ascii="宋体" w:hAnsi="宋体"/>
          <w:szCs w:val="21"/>
        </w:rPr>
      </w:pPr>
      <w:r>
        <w:rPr>
          <w:rFonts w:ascii="宋体" w:hAnsi="宋体"/>
          <w:szCs w:val="21"/>
        </w:rPr>
        <w:t xml:space="preserve">7.3.1 </w:t>
      </w:r>
      <w:r>
        <w:rPr>
          <w:rFonts w:hint="eastAsia" w:ascii="宋体" w:hAnsi="宋体"/>
          <w:szCs w:val="21"/>
        </w:rPr>
        <w:t>开工准备</w:t>
      </w:r>
    </w:p>
    <w:p>
      <w:pPr>
        <w:spacing w:before="120" w:after="120" w:line="560" w:lineRule="exact"/>
        <w:ind w:firstLine="420" w:firstLineChars="200"/>
        <w:rPr>
          <w:rFonts w:ascii="宋体" w:hAnsi="宋体"/>
          <w:kern w:val="0"/>
          <w:szCs w:val="21"/>
          <w:u w:val="single"/>
        </w:rPr>
      </w:pPr>
      <w:r>
        <w:rPr>
          <w:rFonts w:hint="eastAsia" w:ascii="宋体" w:hAnsi="宋体"/>
          <w:szCs w:val="21"/>
        </w:rPr>
        <w:t>关于承包人提交</w:t>
      </w:r>
      <w:r>
        <w:rPr>
          <w:rFonts w:hint="eastAsia" w:ascii="宋体" w:hAnsi="宋体"/>
          <w:kern w:val="0"/>
          <w:szCs w:val="21"/>
        </w:rPr>
        <w:t>工程开工报审表的期限：</w:t>
      </w:r>
      <w:r>
        <w:rPr>
          <w:rFonts w:hint="eastAsia" w:ascii="宋体" w:hAnsi="宋体" w:cs="宋体"/>
          <w:szCs w:val="21"/>
          <w:u w:val="single"/>
        </w:rPr>
        <w:t xml:space="preserve"> 工程开工前7天内</w:t>
      </w:r>
      <w:r>
        <w:rPr>
          <w:rFonts w:ascii="宋体" w:hAnsi="宋体"/>
          <w:kern w:val="0"/>
          <w:szCs w:val="21"/>
          <w:u w:val="single"/>
        </w:rPr>
        <w:t xml:space="preserve"> </w:t>
      </w:r>
      <w:r>
        <w:rPr>
          <w:rFonts w:hint="eastAsia" w:ascii="宋体" w:hAnsi="宋体"/>
          <w:kern w:val="0"/>
          <w:szCs w:val="21"/>
        </w:rPr>
        <w:t>。</w:t>
      </w:r>
    </w:p>
    <w:p>
      <w:pPr>
        <w:spacing w:before="120" w:after="120" w:line="560" w:lineRule="exact"/>
        <w:ind w:firstLine="420" w:firstLineChars="200"/>
        <w:rPr>
          <w:rFonts w:ascii="宋体" w:hAnsi="宋体"/>
          <w:kern w:val="0"/>
          <w:szCs w:val="21"/>
          <w:u w:val="single"/>
        </w:rPr>
      </w:pPr>
      <w:r>
        <w:rPr>
          <w:rFonts w:hint="eastAsia" w:ascii="宋体" w:hAnsi="宋体"/>
          <w:szCs w:val="21"/>
        </w:rPr>
        <w:t>关于发包人应完成的其他开工准备工作及期限：</w:t>
      </w:r>
      <w:r>
        <w:rPr>
          <w:rFonts w:hint="eastAsia" w:ascii="宋体" w:hAnsi="宋体" w:cs="宋体"/>
          <w:szCs w:val="21"/>
          <w:u w:val="single"/>
        </w:rPr>
        <w:t>工程开工前7天内</w:t>
      </w:r>
      <w:r>
        <w:rPr>
          <w:rFonts w:ascii="宋体" w:hAnsi="宋体"/>
          <w:kern w:val="0"/>
          <w:szCs w:val="21"/>
          <w:u w:val="single"/>
        </w:rPr>
        <w:t xml:space="preserve">  </w:t>
      </w:r>
      <w:r>
        <w:rPr>
          <w:rFonts w:hint="eastAsia" w:ascii="宋体" w:hAnsi="宋体"/>
          <w:kern w:val="0"/>
          <w:szCs w:val="21"/>
        </w:rPr>
        <w:t>。</w:t>
      </w:r>
    </w:p>
    <w:p>
      <w:pPr>
        <w:spacing w:before="120" w:after="120" w:line="560" w:lineRule="exact"/>
        <w:ind w:firstLine="420" w:firstLineChars="200"/>
        <w:rPr>
          <w:rFonts w:ascii="宋体" w:hAnsi="宋体"/>
          <w:kern w:val="0"/>
          <w:szCs w:val="21"/>
          <w:u w:val="single"/>
        </w:rPr>
      </w:pPr>
      <w:r>
        <w:rPr>
          <w:rFonts w:hint="eastAsia" w:ascii="宋体" w:hAnsi="宋体"/>
          <w:szCs w:val="21"/>
        </w:rPr>
        <w:t>关于承包人应完成的其他开工准备工作及期限：</w:t>
      </w:r>
      <w:r>
        <w:rPr>
          <w:rFonts w:hint="eastAsia" w:ascii="宋体" w:hAnsi="宋体" w:cs="宋体"/>
          <w:szCs w:val="21"/>
          <w:u w:val="single"/>
        </w:rPr>
        <w:t>工程开工前7天内</w:t>
      </w:r>
      <w:r>
        <w:rPr>
          <w:rFonts w:ascii="宋体" w:hAnsi="宋体"/>
          <w:kern w:val="0"/>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szCs w:val="21"/>
        </w:rPr>
      </w:pPr>
      <w:r>
        <w:rPr>
          <w:rFonts w:ascii="宋体" w:hAnsi="宋体"/>
          <w:szCs w:val="21"/>
        </w:rPr>
        <w:t>7.3.2</w:t>
      </w:r>
      <w:r>
        <w:rPr>
          <w:rFonts w:hint="eastAsia" w:ascii="宋体" w:hAnsi="宋体"/>
          <w:szCs w:val="21"/>
        </w:rPr>
        <w:t>开工通知</w:t>
      </w:r>
    </w:p>
    <w:p>
      <w:pPr>
        <w:spacing w:line="560" w:lineRule="exact"/>
        <w:ind w:firstLine="420" w:firstLineChars="200"/>
        <w:jc w:val="left"/>
        <w:rPr>
          <w:rFonts w:ascii="宋体" w:hAnsi="宋体"/>
          <w:szCs w:val="21"/>
        </w:rPr>
      </w:pPr>
      <w:r>
        <w:rPr>
          <w:rFonts w:hint="eastAsia" w:ascii="宋体" w:hAnsi="宋体"/>
          <w:szCs w:val="21"/>
        </w:rPr>
        <w:t>因发包人原因造成监理人未能在计划开工日期之日起</w:t>
      </w:r>
      <w:r>
        <w:rPr>
          <w:rFonts w:ascii="宋体" w:hAnsi="宋体"/>
          <w:szCs w:val="21"/>
          <w:u w:val="single"/>
        </w:rPr>
        <w:t xml:space="preserve">  </w:t>
      </w:r>
      <w:r>
        <w:rPr>
          <w:rFonts w:hint="eastAsia" w:ascii="宋体" w:hAnsi="宋体"/>
          <w:szCs w:val="21"/>
          <w:u w:val="single"/>
        </w:rPr>
        <w:t>60</w:t>
      </w:r>
      <w:r>
        <w:rPr>
          <w:rFonts w:ascii="宋体" w:hAnsi="宋体"/>
          <w:szCs w:val="21"/>
          <w:u w:val="single"/>
        </w:rPr>
        <w:t xml:space="preserve">  </w:t>
      </w:r>
      <w:r>
        <w:rPr>
          <w:rFonts w:hint="eastAsia" w:ascii="宋体" w:hAnsi="宋体"/>
          <w:szCs w:val="21"/>
        </w:rPr>
        <w:t>天内发出开工通知的，承包人有权提出价格调整要求，或者解除合同。</w:t>
      </w:r>
    </w:p>
    <w:p>
      <w:pPr>
        <w:spacing w:after="120" w:line="560" w:lineRule="exact"/>
        <w:ind w:firstLine="420" w:firstLineChars="200"/>
        <w:rPr>
          <w:rFonts w:ascii="宋体" w:hAnsi="宋体"/>
          <w:szCs w:val="21"/>
        </w:rPr>
      </w:pPr>
      <w:r>
        <w:rPr>
          <w:rFonts w:ascii="宋体" w:hAnsi="宋体"/>
          <w:szCs w:val="21"/>
        </w:rPr>
        <w:t xml:space="preserve">7.4 </w:t>
      </w:r>
      <w:r>
        <w:rPr>
          <w:rFonts w:hint="eastAsia" w:ascii="宋体" w:hAnsi="宋体"/>
          <w:szCs w:val="21"/>
        </w:rPr>
        <w:t>测量放线</w:t>
      </w:r>
    </w:p>
    <w:p>
      <w:pPr>
        <w:spacing w:after="120" w:line="560" w:lineRule="exact"/>
        <w:ind w:firstLine="420" w:firstLineChars="200"/>
        <w:rPr>
          <w:rFonts w:ascii="宋体" w:hAnsi="宋体"/>
          <w:kern w:val="0"/>
          <w:szCs w:val="21"/>
          <w:u w:val="single"/>
        </w:rPr>
      </w:pPr>
      <w:r>
        <w:rPr>
          <w:rFonts w:ascii="宋体" w:hAnsi="宋体"/>
          <w:szCs w:val="21"/>
        </w:rPr>
        <w:t>7.4.1</w:t>
      </w:r>
      <w:r>
        <w:rPr>
          <w:rFonts w:hint="eastAsia" w:ascii="宋体" w:hAnsi="宋体"/>
          <w:szCs w:val="21"/>
        </w:rPr>
        <w:t>发包人通过监理人向承包人提供测量基准点、基准线和水准点及其书面资料的期限：</w:t>
      </w:r>
      <w:r>
        <w:rPr>
          <w:rFonts w:hint="eastAsia" w:ascii="宋体" w:hAnsi="Calibri" w:cs="宋体"/>
          <w:kern w:val="0"/>
          <w:sz w:val="22"/>
          <w:szCs w:val="22"/>
          <w:u w:val="single"/>
        </w:rPr>
        <w:t>开工通知载明的开工日前</w:t>
      </w:r>
      <w:r>
        <w:rPr>
          <w:rFonts w:ascii="宋体" w:hAnsi="Calibri" w:cs="宋体"/>
          <w:kern w:val="0"/>
          <w:sz w:val="22"/>
          <w:szCs w:val="22"/>
          <w:u w:val="single"/>
        </w:rPr>
        <w:t xml:space="preserve">7 </w:t>
      </w:r>
      <w:r>
        <w:rPr>
          <w:rFonts w:hint="eastAsia" w:ascii="宋体" w:hAnsi="Calibri" w:cs="宋体"/>
          <w:kern w:val="0"/>
          <w:sz w:val="22"/>
          <w:szCs w:val="22"/>
          <w:u w:val="single"/>
        </w:rPr>
        <w:t>天。承包人进入工地后进行现场书面交桩。水准点、座标控制点交验完毕，即由承包人负责保护，此后由于破坏或失准带来的重新测量、放点费用及由此造成的其他损失均由承包人负担；</w:t>
      </w:r>
      <w:r>
        <w:rPr>
          <w:rFonts w:ascii="宋体" w:hAnsi="Calibri" w:cs="宋体"/>
          <w:kern w:val="0"/>
          <w:sz w:val="22"/>
          <w:szCs w:val="22"/>
          <w:u w:val="single"/>
        </w:rPr>
        <w:t xml:space="preserve"> </w:t>
      </w:r>
      <w:r>
        <w:rPr>
          <w:rFonts w:hint="eastAsia" w:ascii="宋体" w:hAnsi="Calibri" w:cs="宋体"/>
          <w:kern w:val="0"/>
          <w:sz w:val="22"/>
          <w:szCs w:val="22"/>
          <w:u w:val="single"/>
        </w:rPr>
        <w:t>承包人应于开工通知后七天内现场校验，并根据国家测绘基准、测绘系统和工程测量技术规范，按上述基准点（线）以及合同工程精度要求，测设施工控制网，三方做好签认工作；承包人应于开工前</w:t>
      </w:r>
      <w:r>
        <w:rPr>
          <w:rFonts w:ascii="宋体" w:hAnsi="Calibri" w:cs="宋体"/>
          <w:kern w:val="0"/>
          <w:sz w:val="22"/>
          <w:szCs w:val="22"/>
          <w:u w:val="single"/>
        </w:rPr>
        <w:t xml:space="preserve">3 </w:t>
      </w:r>
      <w:r>
        <w:rPr>
          <w:rFonts w:hint="eastAsia" w:ascii="宋体" w:hAnsi="Calibri" w:cs="宋体"/>
          <w:kern w:val="0"/>
          <w:sz w:val="22"/>
          <w:szCs w:val="22"/>
          <w:u w:val="single"/>
        </w:rPr>
        <w:t>天，并在工程竣工后将施工控制网点移交发包人</w:t>
      </w:r>
      <w:r>
        <w:rPr>
          <w:rFonts w:hint="eastAsia" w:ascii="宋体" w:hAnsi="宋体"/>
          <w:kern w:val="0"/>
          <w:szCs w:val="21"/>
          <w:u w:val="single"/>
        </w:rPr>
        <w:t>。</w:t>
      </w:r>
    </w:p>
    <w:p>
      <w:pPr>
        <w:spacing w:line="560" w:lineRule="exact"/>
        <w:ind w:firstLine="420" w:firstLineChars="200"/>
        <w:jc w:val="left"/>
        <w:rPr>
          <w:rFonts w:ascii="宋体" w:hAnsi="宋体"/>
          <w:szCs w:val="21"/>
        </w:rPr>
      </w:pPr>
      <w:r>
        <w:rPr>
          <w:rFonts w:ascii="宋体" w:hAnsi="宋体"/>
          <w:szCs w:val="21"/>
        </w:rPr>
        <w:t xml:space="preserve">7.5 </w:t>
      </w:r>
      <w:r>
        <w:rPr>
          <w:rFonts w:hint="eastAsia" w:ascii="宋体" w:hAnsi="宋体"/>
          <w:szCs w:val="21"/>
        </w:rPr>
        <w:t>工期延误</w:t>
      </w:r>
    </w:p>
    <w:p>
      <w:pPr>
        <w:spacing w:line="560" w:lineRule="exact"/>
        <w:ind w:firstLine="420" w:firstLineChars="200"/>
        <w:jc w:val="left"/>
        <w:rPr>
          <w:rFonts w:ascii="宋体" w:hAnsi="宋体"/>
          <w:szCs w:val="21"/>
        </w:rPr>
      </w:pPr>
      <w:r>
        <w:rPr>
          <w:rFonts w:ascii="宋体" w:hAnsi="宋体"/>
          <w:szCs w:val="21"/>
        </w:rPr>
        <w:t xml:space="preserve">7.5.1 </w:t>
      </w:r>
      <w:r>
        <w:rPr>
          <w:rFonts w:hint="eastAsia" w:ascii="宋体" w:hAnsi="宋体"/>
          <w:szCs w:val="21"/>
        </w:rPr>
        <w:t>因发包人原因导致工期延误</w:t>
      </w:r>
    </w:p>
    <w:p>
      <w:pPr>
        <w:spacing w:line="56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7</w:t>
      </w:r>
      <w:r>
        <w:rPr>
          <w:rFonts w:hint="eastAsia" w:ascii="宋体" w:hAnsi="宋体"/>
          <w:szCs w:val="21"/>
        </w:rPr>
        <w:t>）因发包人原因导致工期延误的其他情形：</w:t>
      </w:r>
      <w:r>
        <w:rPr>
          <w:rFonts w:ascii="宋体" w:hAnsi="Calibri" w:cs="宋体"/>
          <w:kern w:val="0"/>
          <w:szCs w:val="21"/>
          <w:u w:val="single"/>
        </w:rPr>
        <w:t xml:space="preserve"> 1</w:t>
      </w:r>
      <w:r>
        <w:rPr>
          <w:rFonts w:hint="eastAsia" w:ascii="宋体" w:hAnsi="Calibri" w:cs="宋体"/>
          <w:kern w:val="0"/>
          <w:szCs w:val="21"/>
          <w:u w:val="single"/>
        </w:rPr>
        <w:t>、额外或附加的增加工程超过合同总造价的10%以上；</w:t>
      </w:r>
      <w:r>
        <w:rPr>
          <w:rFonts w:ascii="宋体" w:hAnsi="Calibri" w:cs="宋体"/>
          <w:kern w:val="0"/>
          <w:szCs w:val="21"/>
          <w:u w:val="single"/>
        </w:rPr>
        <w:t>2</w:t>
      </w:r>
      <w:r>
        <w:rPr>
          <w:rFonts w:hint="eastAsia" w:ascii="宋体" w:hAnsi="Calibri" w:cs="宋体"/>
          <w:kern w:val="0"/>
          <w:szCs w:val="21"/>
          <w:u w:val="single"/>
        </w:rPr>
        <w:t>、不能按时提供图纸延误工程正常施工24小时以上的。</w:t>
      </w:r>
    </w:p>
    <w:p>
      <w:pPr>
        <w:spacing w:line="560" w:lineRule="exact"/>
        <w:ind w:firstLine="420" w:firstLineChars="200"/>
        <w:jc w:val="left"/>
        <w:rPr>
          <w:rFonts w:ascii="宋体" w:hAnsi="Calibri" w:cs="宋体"/>
          <w:color w:val="auto"/>
          <w:kern w:val="0"/>
          <w:szCs w:val="21"/>
          <w:u w:val="single"/>
        </w:rPr>
      </w:pPr>
      <w:r>
        <w:rPr>
          <w:rFonts w:ascii="宋体" w:hAnsi="宋体"/>
          <w:szCs w:val="21"/>
        </w:rPr>
        <w:t xml:space="preserve">7.5.2 </w:t>
      </w:r>
      <w:r>
        <w:rPr>
          <w:rFonts w:hint="eastAsia" w:ascii="宋体" w:hAnsi="宋体"/>
          <w:szCs w:val="21"/>
        </w:rPr>
        <w:t>因承包人原因造成工期延误，逾期竣工违约金的计算方法为：</w:t>
      </w:r>
      <w:r>
        <w:rPr>
          <w:rFonts w:ascii="宋体" w:hAnsi="宋体"/>
          <w:szCs w:val="21"/>
          <w:u w:val="single"/>
        </w:rPr>
        <w:t xml:space="preserve">  </w:t>
      </w:r>
      <w:r>
        <w:rPr>
          <w:rFonts w:hint="eastAsia" w:ascii="宋体" w:hAnsi="Calibri" w:cs="宋体"/>
          <w:kern w:val="0"/>
          <w:szCs w:val="21"/>
          <w:u w:val="single"/>
        </w:rPr>
        <w:t>非上述原因，承包人不能按合同约</w:t>
      </w:r>
      <w:r>
        <w:rPr>
          <w:rFonts w:hint="eastAsia" w:ascii="宋体" w:hAnsi="Calibri" w:cs="宋体"/>
          <w:color w:val="auto"/>
          <w:kern w:val="0"/>
          <w:szCs w:val="21"/>
          <w:u w:val="single"/>
        </w:rPr>
        <w:t>定的时间竣工，承包人应承担违约责任。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spacing w:line="560" w:lineRule="exact"/>
        <w:ind w:firstLine="420" w:firstLineChars="200"/>
        <w:jc w:val="left"/>
        <w:rPr>
          <w:rFonts w:ascii="宋体" w:hAnsi="Calibri" w:cs="宋体"/>
          <w:color w:val="auto"/>
          <w:kern w:val="0"/>
          <w:szCs w:val="21"/>
          <w:u w:val="single"/>
        </w:rPr>
      </w:pPr>
      <w:r>
        <w:rPr>
          <w:rFonts w:hint="eastAsia" w:ascii="宋体" w:hAnsi="宋体"/>
          <w:color w:val="auto"/>
          <w:szCs w:val="21"/>
        </w:rPr>
        <w:t>因承包人原因造成工期延误，逾期竣工违约金的上限：</w:t>
      </w:r>
      <w:r>
        <w:rPr>
          <w:rFonts w:hint="eastAsia" w:ascii="宋体" w:hAnsi="Calibri" w:cs="宋体"/>
          <w:color w:val="auto"/>
          <w:kern w:val="0"/>
          <w:szCs w:val="21"/>
          <w:u w:val="single"/>
        </w:rPr>
        <w:t>合同价扣除社会保险费、发包人材料价款、暂估专业工程、暂列金额后的合同价的10</w:t>
      </w:r>
      <w:r>
        <w:rPr>
          <w:rFonts w:ascii="宋体" w:hAnsi="Calibri" w:cs="宋体"/>
          <w:color w:val="auto"/>
          <w:kern w:val="0"/>
          <w:szCs w:val="21"/>
          <w:u w:val="single"/>
        </w:rPr>
        <w:t>%</w:t>
      </w:r>
      <w:r>
        <w:rPr>
          <w:rFonts w:hint="eastAsia" w:ascii="宋体" w:hAnsi="Calibri" w:cs="宋体"/>
          <w:color w:val="auto"/>
          <w:kern w:val="0"/>
          <w:szCs w:val="21"/>
          <w:u w:val="single"/>
        </w:rPr>
        <w:t xml:space="preserve"> 。</w:t>
      </w:r>
    </w:p>
    <w:p>
      <w:pPr>
        <w:spacing w:after="120" w:line="560" w:lineRule="exact"/>
        <w:ind w:firstLine="420" w:firstLineChars="200"/>
        <w:rPr>
          <w:rFonts w:ascii="宋体" w:hAnsi="宋体"/>
          <w:color w:val="auto"/>
          <w:szCs w:val="21"/>
        </w:rPr>
      </w:pPr>
      <w:r>
        <w:rPr>
          <w:rFonts w:hint="eastAsia" w:ascii="宋体" w:hAnsi="宋体"/>
          <w:color w:val="auto"/>
          <w:szCs w:val="21"/>
        </w:rPr>
        <w:t>逾期超过60天的，发包人有权解除本施工合同</w:t>
      </w:r>
    </w:p>
    <w:p>
      <w:pPr>
        <w:spacing w:after="120" w:line="560" w:lineRule="exact"/>
        <w:ind w:firstLine="420" w:firstLineChars="200"/>
        <w:rPr>
          <w:rFonts w:ascii="宋体" w:hAnsi="宋体"/>
          <w:szCs w:val="21"/>
        </w:rPr>
      </w:pPr>
      <w:r>
        <w:rPr>
          <w:rFonts w:ascii="宋体" w:hAnsi="宋体"/>
          <w:szCs w:val="21"/>
        </w:rPr>
        <w:t xml:space="preserve">7.6 </w:t>
      </w:r>
      <w:r>
        <w:rPr>
          <w:rFonts w:hint="eastAsia" w:ascii="宋体" w:hAnsi="宋体"/>
          <w:szCs w:val="21"/>
        </w:rPr>
        <w:t>不利物质条件</w:t>
      </w:r>
    </w:p>
    <w:p>
      <w:pPr>
        <w:spacing w:line="560" w:lineRule="exact"/>
        <w:ind w:firstLine="420" w:firstLineChars="200"/>
        <w:jc w:val="left"/>
        <w:rPr>
          <w:rFonts w:ascii="宋体" w:hAnsi="宋体"/>
          <w:szCs w:val="21"/>
          <w:u w:val="single"/>
        </w:rPr>
      </w:pPr>
      <w:r>
        <w:rPr>
          <w:rFonts w:hint="eastAsia" w:ascii="宋体" w:hAnsi="宋体"/>
          <w:szCs w:val="21"/>
        </w:rPr>
        <w:t>不利物质条件的其他情形和有关约定：</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7.7</w:t>
      </w:r>
      <w:r>
        <w:rPr>
          <w:rFonts w:hint="eastAsia" w:ascii="宋体" w:hAnsi="宋体"/>
          <w:szCs w:val="21"/>
        </w:rPr>
        <w:t>异常恶劣的气候条件</w:t>
      </w:r>
    </w:p>
    <w:p>
      <w:pPr>
        <w:spacing w:line="560" w:lineRule="exact"/>
        <w:ind w:firstLine="420" w:firstLineChars="200"/>
        <w:jc w:val="left"/>
        <w:rPr>
          <w:rFonts w:ascii="宋体" w:hAnsi="宋体"/>
          <w:szCs w:val="21"/>
        </w:rPr>
      </w:pPr>
      <w:r>
        <w:rPr>
          <w:rFonts w:hint="eastAsia" w:ascii="宋体" w:hAnsi="宋体"/>
          <w:szCs w:val="21"/>
        </w:rPr>
        <w:t>发包人和承包人同意以下情形视为异常恶劣的气候条件：</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Cs w:val="21"/>
          <w:u w:val="single"/>
        </w:rPr>
        <w:t>当地6级以上的破坏性地震</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szCs w:val="21"/>
          <w:u w:val="single"/>
        </w:rPr>
        <w:t>暴雨级以上的持续3天的大雨</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szCs w:val="21"/>
          <w:u w:val="single"/>
        </w:rPr>
        <w:t>5年以上未发生过的，持续5天的高低温天气</w:t>
      </w:r>
      <w:r>
        <w:rPr>
          <w:rFonts w:hint="eastAsia" w:ascii="宋体" w:hAnsi="宋体"/>
          <w:szCs w:val="21"/>
        </w:rPr>
        <w:t>。</w:t>
      </w:r>
    </w:p>
    <w:p>
      <w:pPr>
        <w:spacing w:after="120" w:line="560" w:lineRule="exact"/>
        <w:ind w:firstLine="420" w:firstLineChars="200"/>
        <w:rPr>
          <w:rFonts w:ascii="宋体" w:hAnsi="宋体"/>
          <w:szCs w:val="21"/>
        </w:rPr>
      </w:pPr>
      <w:r>
        <w:rPr>
          <w:rFonts w:hint="eastAsia" w:ascii="宋体" w:hAnsi="宋体"/>
          <w:szCs w:val="21"/>
        </w:rPr>
        <w:t>7.8 暂停施工</w:t>
      </w:r>
    </w:p>
    <w:p>
      <w:pPr>
        <w:spacing w:after="120" w:line="560" w:lineRule="exact"/>
        <w:ind w:firstLine="420" w:firstLineChars="200"/>
        <w:rPr>
          <w:rFonts w:ascii="宋体" w:hAnsi="宋体"/>
          <w:szCs w:val="21"/>
        </w:rPr>
      </w:pPr>
      <w:r>
        <w:rPr>
          <w:rFonts w:hint="eastAsia" w:ascii="宋体" w:hAnsi="宋体"/>
          <w:szCs w:val="21"/>
        </w:rPr>
        <w:t>7.8.2 承包人原因引起的暂停施工</w:t>
      </w:r>
    </w:p>
    <w:p>
      <w:pPr>
        <w:spacing w:after="120" w:line="560" w:lineRule="exact"/>
        <w:ind w:firstLine="432" w:firstLineChars="200"/>
        <w:rPr>
          <w:rFonts w:ascii="宋体" w:hAnsi="Calibri" w:cs="宋体"/>
          <w:spacing w:val="-2"/>
          <w:kern w:val="0"/>
          <w:sz w:val="22"/>
          <w:szCs w:val="22"/>
          <w:u w:val="single"/>
        </w:rPr>
      </w:pPr>
      <w:r>
        <w:rPr>
          <w:rFonts w:hint="eastAsia" w:ascii="宋体" w:hAnsi="Calibri" w:cs="宋体"/>
          <w:spacing w:val="-2"/>
          <w:kern w:val="0"/>
          <w:sz w:val="22"/>
          <w:szCs w:val="22"/>
          <w:u w:val="single"/>
        </w:rPr>
        <w:t>承包人承担暂停施工责任的其他情形：（</w:t>
      </w:r>
      <w:r>
        <w:rPr>
          <w:rFonts w:ascii="宋体" w:hAnsi="Calibri" w:cs="宋体"/>
          <w:spacing w:val="-2"/>
          <w:kern w:val="0"/>
          <w:sz w:val="22"/>
          <w:szCs w:val="22"/>
          <w:u w:val="single"/>
        </w:rPr>
        <w:t>1</w:t>
      </w:r>
      <w:r>
        <w:rPr>
          <w:rFonts w:hint="eastAsia" w:ascii="宋体" w:hAnsi="Calibri" w:cs="宋体"/>
          <w:spacing w:val="-2"/>
          <w:kern w:val="0"/>
          <w:sz w:val="22"/>
          <w:szCs w:val="22"/>
          <w:u w:val="single"/>
        </w:rPr>
        <w:t>）监理工程师为保证工程质量和施工安全所指令的暂停施工；（</w:t>
      </w:r>
      <w:r>
        <w:rPr>
          <w:rFonts w:ascii="宋体" w:hAnsi="Calibri" w:cs="宋体"/>
          <w:spacing w:val="-2"/>
          <w:kern w:val="0"/>
          <w:sz w:val="22"/>
          <w:szCs w:val="22"/>
          <w:u w:val="single"/>
        </w:rPr>
        <w:t>2</w:t>
      </w:r>
      <w:r>
        <w:rPr>
          <w:rFonts w:hint="eastAsia" w:ascii="宋体" w:hAnsi="Calibri" w:cs="宋体"/>
          <w:spacing w:val="-2"/>
          <w:kern w:val="0"/>
          <w:sz w:val="22"/>
          <w:szCs w:val="22"/>
          <w:u w:val="single"/>
        </w:rPr>
        <w:t>）因质量安全隐患或事故，被建设行政主管部门及安全生产监督责令暂停施工或自行暂停施工；（</w:t>
      </w:r>
      <w:r>
        <w:rPr>
          <w:rFonts w:ascii="宋体" w:hAnsi="Calibri" w:cs="宋体"/>
          <w:spacing w:val="-2"/>
          <w:kern w:val="0"/>
          <w:sz w:val="22"/>
          <w:szCs w:val="22"/>
          <w:u w:val="single"/>
        </w:rPr>
        <w:t>3</w:t>
      </w:r>
      <w:r>
        <w:rPr>
          <w:rFonts w:hint="eastAsia" w:ascii="宋体" w:hAnsi="Calibri" w:cs="宋体"/>
          <w:spacing w:val="-2"/>
          <w:kern w:val="0"/>
          <w:sz w:val="22"/>
          <w:szCs w:val="22"/>
          <w:u w:val="single"/>
        </w:rPr>
        <w:t>）因承包人违反规范或任何工程质量不合格而进行返工、重建、修建的工期；（</w:t>
      </w:r>
      <w:r>
        <w:rPr>
          <w:rFonts w:ascii="宋体" w:hAnsi="Calibri" w:cs="宋体"/>
          <w:spacing w:val="-2"/>
          <w:kern w:val="0"/>
          <w:sz w:val="22"/>
          <w:szCs w:val="22"/>
          <w:u w:val="single"/>
        </w:rPr>
        <w:t>4</w:t>
      </w:r>
      <w:r>
        <w:rPr>
          <w:rFonts w:hint="eastAsia" w:ascii="宋体" w:hAnsi="Calibri" w:cs="宋体"/>
          <w:spacing w:val="-2"/>
          <w:kern w:val="0"/>
          <w:sz w:val="22"/>
          <w:szCs w:val="22"/>
          <w:u w:val="single"/>
        </w:rPr>
        <w:t>）未按设计要求进行施工、或因施工组织方案不可行导致发包人未能按时审批而影响开工的；（</w:t>
      </w:r>
      <w:r>
        <w:rPr>
          <w:rFonts w:ascii="宋体" w:hAnsi="Calibri" w:cs="宋体"/>
          <w:spacing w:val="-2"/>
          <w:kern w:val="0"/>
          <w:sz w:val="22"/>
          <w:szCs w:val="22"/>
          <w:u w:val="single"/>
        </w:rPr>
        <w:t>5</w:t>
      </w:r>
      <w:r>
        <w:rPr>
          <w:rFonts w:hint="eastAsia" w:ascii="宋体" w:hAnsi="Calibri" w:cs="宋体"/>
          <w:spacing w:val="-2"/>
          <w:kern w:val="0"/>
          <w:sz w:val="22"/>
          <w:szCs w:val="22"/>
          <w:u w:val="single"/>
        </w:rPr>
        <w:t>）工程验收不合格发现存在质量问题或技术问题需要修改的；（</w:t>
      </w:r>
      <w:r>
        <w:rPr>
          <w:rFonts w:ascii="宋体" w:hAnsi="Calibri" w:cs="宋体"/>
          <w:spacing w:val="-2"/>
          <w:kern w:val="0"/>
          <w:sz w:val="22"/>
          <w:szCs w:val="22"/>
          <w:u w:val="single"/>
        </w:rPr>
        <w:t>6</w:t>
      </w:r>
      <w:r>
        <w:rPr>
          <w:rFonts w:hint="eastAsia" w:ascii="宋体" w:hAnsi="Calibri" w:cs="宋体"/>
          <w:spacing w:val="-2"/>
          <w:kern w:val="0"/>
          <w:sz w:val="22"/>
          <w:szCs w:val="22"/>
          <w:u w:val="single"/>
        </w:rPr>
        <w:t>）承包人与发包人未能在约定时间内达成一致而暂停施工；（</w:t>
      </w:r>
      <w:r>
        <w:rPr>
          <w:rFonts w:ascii="宋体" w:hAnsi="Calibri" w:cs="宋体"/>
          <w:spacing w:val="-2"/>
          <w:kern w:val="0"/>
          <w:sz w:val="22"/>
          <w:szCs w:val="22"/>
          <w:u w:val="single"/>
        </w:rPr>
        <w:t>7</w:t>
      </w:r>
      <w:r>
        <w:rPr>
          <w:rFonts w:hint="eastAsia" w:ascii="宋体" w:hAnsi="Calibri" w:cs="宋体"/>
          <w:spacing w:val="-2"/>
          <w:kern w:val="0"/>
          <w:sz w:val="22"/>
          <w:szCs w:val="22"/>
          <w:u w:val="single"/>
        </w:rPr>
        <w:t>）工程质量未达到等级标准要求，发包人要求承包人返工的；（</w:t>
      </w:r>
      <w:r>
        <w:rPr>
          <w:rFonts w:ascii="宋体" w:hAnsi="Calibri" w:cs="宋体"/>
          <w:spacing w:val="-2"/>
          <w:kern w:val="0"/>
          <w:sz w:val="22"/>
          <w:szCs w:val="22"/>
          <w:u w:val="single"/>
        </w:rPr>
        <w:t>8</w:t>
      </w:r>
      <w:r>
        <w:rPr>
          <w:rFonts w:hint="eastAsia" w:ascii="宋体" w:hAnsi="Calibri" w:cs="宋体"/>
          <w:spacing w:val="-2"/>
          <w:kern w:val="0"/>
          <w:sz w:val="22"/>
          <w:szCs w:val="22"/>
          <w:u w:val="single"/>
        </w:rPr>
        <w:t>）承包人因农忙时期而暂停施工；综述其工期不予顺延，责任自负。</w:t>
      </w:r>
    </w:p>
    <w:p>
      <w:pPr>
        <w:spacing w:after="120" w:line="560" w:lineRule="exact"/>
        <w:ind w:firstLine="440" w:firstLineChars="200"/>
        <w:rPr>
          <w:rFonts w:ascii="宋体" w:hAnsi="Calibri" w:cs="宋体"/>
          <w:kern w:val="0"/>
          <w:sz w:val="22"/>
          <w:szCs w:val="22"/>
          <w:u w:val="single"/>
        </w:rPr>
      </w:pPr>
      <w:r>
        <w:rPr>
          <w:rFonts w:hint="eastAsia" w:ascii="宋体" w:hAnsi="Calibri" w:cs="宋体"/>
          <w:kern w:val="0"/>
          <w:sz w:val="22"/>
          <w:szCs w:val="22"/>
          <w:u w:val="single"/>
        </w:rPr>
        <w:t>承包人责任暂停施工延误施工时机而导致遭遇不利条件物质条件和异常恶劣的气候条件、不可抗力造成的工期延误和费用增加由承包人承担。+</w:t>
      </w:r>
    </w:p>
    <w:p>
      <w:pPr>
        <w:spacing w:after="120" w:line="560" w:lineRule="exact"/>
        <w:ind w:firstLine="420" w:firstLineChars="200"/>
        <w:rPr>
          <w:rFonts w:ascii="宋体" w:hAnsi="宋体"/>
          <w:szCs w:val="21"/>
        </w:rPr>
      </w:pPr>
      <w:r>
        <w:rPr>
          <w:rFonts w:hint="eastAsia" w:ascii="宋体" w:hAnsi="宋体"/>
          <w:szCs w:val="21"/>
        </w:rPr>
        <w:t>7.8.5 暂停施工后的复工</w:t>
      </w:r>
    </w:p>
    <w:p>
      <w:pPr>
        <w:spacing w:after="120" w:line="560" w:lineRule="exact"/>
        <w:ind w:firstLine="420" w:firstLineChars="200"/>
        <w:rPr>
          <w:rFonts w:ascii="宋体" w:hAnsi="宋体"/>
          <w:szCs w:val="21"/>
          <w:u w:val="single"/>
        </w:rPr>
      </w:pPr>
      <w:r>
        <w:rPr>
          <w:rFonts w:hint="eastAsia" w:ascii="宋体" w:hAnsi="Calibri" w:cs="宋体"/>
          <w:kern w:val="0"/>
          <w:szCs w:val="21"/>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after="120" w:line="560" w:lineRule="exact"/>
        <w:ind w:firstLine="420" w:firstLineChars="200"/>
        <w:rPr>
          <w:rFonts w:ascii="宋体" w:hAnsi="宋体"/>
          <w:szCs w:val="21"/>
        </w:rPr>
      </w:pPr>
      <w:r>
        <w:rPr>
          <w:rFonts w:ascii="宋体" w:hAnsi="宋体"/>
          <w:szCs w:val="21"/>
        </w:rPr>
        <w:t xml:space="preserve">7.9 </w:t>
      </w:r>
      <w:r>
        <w:rPr>
          <w:rFonts w:hint="eastAsia" w:ascii="宋体" w:hAnsi="宋体"/>
          <w:szCs w:val="21"/>
        </w:rPr>
        <w:t>提前竣工的奖励</w:t>
      </w:r>
    </w:p>
    <w:p>
      <w:pPr>
        <w:spacing w:line="560" w:lineRule="exact"/>
        <w:ind w:firstLine="420" w:firstLineChars="200"/>
        <w:jc w:val="left"/>
        <w:rPr>
          <w:rFonts w:ascii="宋体" w:hAnsi="宋体"/>
          <w:szCs w:val="21"/>
        </w:rPr>
      </w:pPr>
      <w:r>
        <w:rPr>
          <w:rFonts w:ascii="宋体" w:hAnsi="宋体"/>
          <w:szCs w:val="21"/>
        </w:rPr>
        <w:t>7.9.2</w:t>
      </w:r>
      <w:r>
        <w:rPr>
          <w:rFonts w:hint="eastAsia" w:ascii="宋体" w:hAnsi="宋体"/>
          <w:szCs w:val="21"/>
        </w:rPr>
        <w:t>提前竣工的奖励：</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8. </w:t>
      </w:r>
      <w:r>
        <w:rPr>
          <w:rFonts w:hint="eastAsia" w:ascii="宋体" w:hAnsi="宋体"/>
          <w:b w:val="0"/>
          <w:sz w:val="21"/>
          <w:szCs w:val="21"/>
        </w:rPr>
        <w:t>材料与设备</w:t>
      </w:r>
    </w:p>
    <w:p>
      <w:pPr>
        <w:spacing w:after="120" w:line="560" w:lineRule="exact"/>
        <w:ind w:firstLine="420" w:firstLineChars="200"/>
        <w:rPr>
          <w:rFonts w:ascii="宋体" w:hAnsi="宋体"/>
          <w:szCs w:val="21"/>
        </w:rPr>
      </w:pPr>
      <w:r>
        <w:rPr>
          <w:rFonts w:hint="eastAsia" w:ascii="宋体" w:hAnsi="宋体"/>
          <w:szCs w:val="21"/>
        </w:rPr>
        <w:t>8.1 发包人供应材料与工程设备</w:t>
      </w:r>
    </w:p>
    <w:p>
      <w:pPr>
        <w:spacing w:after="120" w:line="560" w:lineRule="exact"/>
        <w:ind w:firstLine="420" w:firstLineChars="200"/>
        <w:rPr>
          <w:rFonts w:ascii="宋体" w:hAnsi="Calibri" w:cs="宋体"/>
          <w:kern w:val="0"/>
          <w:szCs w:val="21"/>
          <w:u w:val="single"/>
        </w:rPr>
      </w:pPr>
      <w:r>
        <w:rPr>
          <w:rFonts w:hint="eastAsia" w:ascii="宋体" w:hAnsi="Calibri" w:cs="宋体"/>
          <w:kern w:val="0"/>
          <w:szCs w:val="21"/>
          <w:u w:val="single"/>
        </w:rPr>
        <w:t>1、发包人所供应材料种类、品牌、规格型号等详见《发包人供应材料和设备一览表》中明确的材料及实际使用到的相应配件，相关材料由发包人购买，不允许承包人自行购买。</w:t>
      </w:r>
    </w:p>
    <w:p>
      <w:pPr>
        <w:spacing w:line="560" w:lineRule="exact"/>
        <w:ind w:firstLine="420" w:firstLineChars="200"/>
        <w:rPr>
          <w:rFonts w:ascii="宋体" w:hAnsi="Calibri" w:cs="宋体"/>
          <w:spacing w:val="-2"/>
          <w:kern w:val="0"/>
          <w:szCs w:val="21"/>
          <w:u w:val="single"/>
        </w:rPr>
      </w:pPr>
      <w:r>
        <w:rPr>
          <w:rFonts w:hint="eastAsia" w:ascii="宋体" w:hAnsi="Calibri" w:cs="宋体"/>
          <w:kern w:val="0"/>
          <w:szCs w:val="21"/>
          <w:u w:val="single"/>
        </w:rPr>
        <w:t>2、</w:t>
      </w:r>
      <w:r>
        <w:rPr>
          <w:rFonts w:hint="eastAsia" w:ascii="宋体" w:hAnsi="Calibri" w:cs="宋体"/>
          <w:spacing w:val="-2"/>
          <w:kern w:val="0"/>
          <w:szCs w:val="21"/>
          <w:u w:val="single"/>
        </w:rPr>
        <w:t>发包人供材用量计划由承包人根据总工程进度需求向发包人提供计划书，在施工期内材料计划提出次数不得超过5次，材料提供计划应明确注明材料的材料名称、规格、型号、计量单位、数量、到货日期（到货日期应考虑材料复检时间对工程施工的影响）、备注事项等内容，供材计划书须提前30天提出，若因承包人原因供材计划延迟提交而造成供货不及时或工期延误，则由承包人承担工期损失责任；如甲供材不能按期供货，发包人应提前10日通知承包人，承包人相应调整施工顺序，合理安排工作，尽可能减少延期供货损失。</w:t>
      </w:r>
    </w:p>
    <w:p>
      <w:pPr>
        <w:spacing w:line="560" w:lineRule="exact"/>
        <w:ind w:firstLine="420" w:firstLineChars="200"/>
        <w:rPr>
          <w:rFonts w:ascii="宋体" w:hAnsi="Calibri" w:cs="宋体"/>
          <w:spacing w:val="-2"/>
          <w:kern w:val="0"/>
          <w:szCs w:val="21"/>
          <w:u w:val="single"/>
        </w:rPr>
      </w:pPr>
      <w:r>
        <w:rPr>
          <w:rFonts w:hint="eastAsia" w:ascii="宋体" w:hAnsi="Calibri" w:cs="宋体"/>
          <w:kern w:val="0"/>
          <w:szCs w:val="21"/>
          <w:u w:val="single"/>
        </w:rPr>
        <w:t>3、承包人在报送供材计划书时不分规格尺寸、部位统一按照3%损耗率考虑，承包人按照实际铺贴面积加损耗率与发包人进行结算，超过损耗部分的用量时，责任由承包人承担，产生的费用按发包人采购所发生的实际费用在工程款中予以扣除。</w:t>
      </w:r>
    </w:p>
    <w:p>
      <w:pPr>
        <w:spacing w:line="560" w:lineRule="exact"/>
        <w:ind w:firstLine="412" w:firstLineChars="200"/>
        <w:rPr>
          <w:rFonts w:ascii="宋体" w:hAnsi="Calibri" w:cs="宋体"/>
          <w:spacing w:val="-2"/>
          <w:kern w:val="0"/>
          <w:szCs w:val="21"/>
          <w:u w:val="single"/>
        </w:rPr>
      </w:pPr>
      <w:r>
        <w:rPr>
          <w:rFonts w:hint="eastAsia" w:ascii="宋体" w:hAnsi="Calibri" w:cs="宋体"/>
          <w:spacing w:val="-2"/>
          <w:kern w:val="0"/>
          <w:szCs w:val="21"/>
          <w:u w:val="single"/>
        </w:rPr>
        <w:t>4、承包人施工质量如不符合设计或规范要求，需要返工的，其返工的所有费用均由承包方自行承担。</w:t>
      </w:r>
    </w:p>
    <w:p>
      <w:pPr>
        <w:spacing w:line="560" w:lineRule="exact"/>
        <w:ind w:firstLine="412" w:firstLineChars="200"/>
        <w:rPr>
          <w:rFonts w:ascii="宋体" w:hAnsi="Calibri" w:cs="宋体"/>
          <w:spacing w:val="-2"/>
          <w:kern w:val="0"/>
          <w:szCs w:val="21"/>
          <w:u w:val="single"/>
        </w:rPr>
      </w:pPr>
      <w:r>
        <w:rPr>
          <w:rFonts w:hint="eastAsia" w:ascii="宋体" w:hAnsi="Calibri" w:cs="宋体"/>
          <w:spacing w:val="-2"/>
          <w:kern w:val="0"/>
          <w:szCs w:val="21"/>
          <w:u w:val="single"/>
        </w:rPr>
        <w:t>5、发包人供材由发包人负责采购和运输，按合同约定的交货地点交验，运输费由发包人承担，甲供材到货前24小时通知承包人，由发包人、监理、承包人三方联合对材料进行清点，同时发包人向承包人转交产品合格证等其他资料文件。三方人员对材料清点入库，按照规范合理码放。对于需要作复试检验的甲供材，由承包人负责检验，费用由承包人负担。对于复检不合格的甲供材，承包人应向发包人提交通知，并附不合格的检验结果，由发包人负责退场和更换。</w:t>
      </w:r>
    </w:p>
    <w:p>
      <w:pPr>
        <w:spacing w:line="560" w:lineRule="exact"/>
        <w:ind w:firstLine="412" w:firstLineChars="200"/>
        <w:rPr>
          <w:rFonts w:ascii="宋体" w:hAnsi="宋体"/>
          <w:szCs w:val="21"/>
        </w:rPr>
      </w:pPr>
      <w:r>
        <w:rPr>
          <w:rFonts w:hint="eastAsia" w:ascii="宋体" w:hAnsi="Calibri" w:cs="宋体"/>
          <w:spacing w:val="-2"/>
          <w:kern w:val="0"/>
          <w:szCs w:val="21"/>
          <w:u w:val="single"/>
        </w:rPr>
        <w:t>6、发包人根据工程合同向承包人提供的材料仅供该工程合同规定的施工单位使用，未经发包人同意，承包人提供给其他任何单位或部门使用的将不予认可，因承包人使用或操作不当造成材料损坏的，由承包人自行承担所有费用。</w:t>
      </w:r>
    </w:p>
    <w:p>
      <w:pPr>
        <w:spacing w:after="120" w:line="560" w:lineRule="exact"/>
        <w:ind w:firstLine="420" w:firstLineChars="200"/>
        <w:rPr>
          <w:rFonts w:ascii="宋体" w:hAnsi="宋体"/>
          <w:szCs w:val="21"/>
        </w:rPr>
      </w:pPr>
      <w:r>
        <w:rPr>
          <w:rFonts w:hint="eastAsia" w:ascii="宋体" w:hAnsi="宋体"/>
          <w:szCs w:val="21"/>
        </w:rPr>
        <w:t>8.2 承包人采购材料与工程设备</w:t>
      </w:r>
    </w:p>
    <w:p>
      <w:pPr>
        <w:spacing w:after="120" w:line="560" w:lineRule="exact"/>
        <w:ind w:firstLine="420" w:firstLineChars="200"/>
        <w:rPr>
          <w:rFonts w:ascii="宋体" w:hAnsi="Calibri" w:cs="宋体"/>
          <w:kern w:val="0"/>
          <w:szCs w:val="21"/>
          <w:u w:val="single"/>
        </w:rPr>
      </w:pPr>
      <w:r>
        <w:rPr>
          <w:rFonts w:hint="eastAsia" w:ascii="宋体" w:hAnsi="Calibri" w:cs="宋体"/>
          <w:kern w:val="0"/>
          <w:szCs w:val="21"/>
          <w:u w:val="single"/>
        </w:rPr>
        <w:t>除已标价工程量清单《发包人供应材料和设备一览表》中明确的材料、工程设备外，由承包人负责材料和工程设备的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由发包人和承包人以招标方式确定专项供应商。《承包人提供主要材料和工程设备一览表》，见已标价工程量清单。承包人将由其提供的材料和工程设备的供货人及品种、规格、数量和供货时间等报送监理人审批的期限：在材料和工程设备到货</w:t>
      </w:r>
      <w:r>
        <w:rPr>
          <w:rFonts w:ascii="宋体" w:hAnsi="Calibri" w:cs="宋体"/>
          <w:kern w:val="0"/>
          <w:szCs w:val="21"/>
          <w:u w:val="single"/>
        </w:rPr>
        <w:t xml:space="preserve">2 </w:t>
      </w:r>
      <w:r>
        <w:rPr>
          <w:rFonts w:hint="eastAsia" w:ascii="宋体" w:hAnsi="Calibri" w:cs="宋体"/>
          <w:kern w:val="0"/>
          <w:szCs w:val="21"/>
          <w:u w:val="single"/>
        </w:rPr>
        <w:t>天前。承包人采购材料和设备的约定：（</w:t>
      </w:r>
      <w:r>
        <w:rPr>
          <w:rFonts w:ascii="宋体" w:hAnsi="Calibri" w:cs="宋体"/>
          <w:kern w:val="0"/>
          <w:szCs w:val="21"/>
          <w:u w:val="single"/>
        </w:rPr>
        <w:t>1</w:t>
      </w:r>
      <w:r>
        <w:rPr>
          <w:rFonts w:hint="eastAsia" w:ascii="宋体" w:hAnsi="Calibri" w:cs="宋体"/>
          <w:kern w:val="0"/>
          <w:szCs w:val="21"/>
          <w:u w:val="single"/>
        </w:rPr>
        <w:t>）材料设备的品种、规格、型号、质量应满足设计文件的要求；（</w:t>
      </w:r>
      <w:r>
        <w:rPr>
          <w:rFonts w:ascii="宋体" w:hAnsi="Calibri" w:cs="宋体"/>
          <w:kern w:val="0"/>
          <w:szCs w:val="21"/>
          <w:u w:val="single"/>
        </w:rPr>
        <w:t>2</w:t>
      </w:r>
      <w:r>
        <w:rPr>
          <w:rFonts w:hint="eastAsia" w:ascii="宋体" w:hAnsi="Calibri" w:cs="宋体"/>
          <w:kern w:val="0"/>
          <w:szCs w:val="21"/>
          <w:u w:val="single"/>
        </w:rPr>
        <w:t>）材料设备的品种、规格、型号、质量应满足现行《建筑工程施工质量与验收规范》要求；（</w:t>
      </w:r>
      <w:r>
        <w:rPr>
          <w:rFonts w:ascii="宋体" w:hAnsi="Calibri" w:cs="宋体"/>
          <w:kern w:val="0"/>
          <w:szCs w:val="21"/>
          <w:u w:val="single"/>
        </w:rPr>
        <w:t>3</w:t>
      </w:r>
      <w:r>
        <w:rPr>
          <w:rFonts w:hint="eastAsia" w:ascii="宋体" w:hAnsi="Calibri" w:cs="宋体"/>
          <w:kern w:val="0"/>
          <w:szCs w:val="21"/>
          <w:u w:val="single"/>
        </w:rPr>
        <w:t>）各种材料的检验或实验必须满足设计文件的要求及国家现行的有关标准。（</w:t>
      </w:r>
      <w:r>
        <w:rPr>
          <w:rFonts w:ascii="宋体" w:hAnsi="Calibri" w:cs="宋体"/>
          <w:kern w:val="0"/>
          <w:szCs w:val="21"/>
          <w:u w:val="single"/>
        </w:rPr>
        <w:t>4</w:t>
      </w:r>
      <w:r>
        <w:rPr>
          <w:rFonts w:hint="eastAsia" w:ascii="宋体" w:hAnsi="Calibri" w:cs="宋体"/>
          <w:kern w:val="0"/>
          <w:szCs w:val="21"/>
          <w:u w:val="single"/>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r>
        <w:rPr>
          <w:rFonts w:ascii="宋体" w:hAnsi="Calibri" w:cs="宋体"/>
          <w:kern w:val="0"/>
          <w:szCs w:val="21"/>
          <w:u w:val="single"/>
        </w:rPr>
        <w:t>5</w:t>
      </w:r>
      <w:r>
        <w:rPr>
          <w:rFonts w:hint="eastAsia" w:ascii="宋体" w:hAnsi="Calibri" w:cs="宋体"/>
          <w:kern w:val="0"/>
          <w:szCs w:val="21"/>
          <w:u w:val="single"/>
        </w:rPr>
        <w:t>）对承包人提供的材料和工程设备，承包人应会同发包人、监理人进行检验和交货验收，查验材料合格证明和产品合格证书，并按合同约定和监理人指示，进行材料的抽样检验和工程设备的检验测试，检验和测试结果应提交监理人，所需费用由承包人承担。（</w:t>
      </w:r>
      <w:r>
        <w:rPr>
          <w:rFonts w:ascii="宋体" w:hAnsi="Calibri" w:cs="宋体"/>
          <w:kern w:val="0"/>
          <w:szCs w:val="21"/>
          <w:u w:val="single"/>
        </w:rPr>
        <w:t>6</w:t>
      </w:r>
      <w:r>
        <w:rPr>
          <w:rFonts w:hint="eastAsia" w:ascii="宋体" w:hAnsi="Calibri" w:cs="宋体"/>
          <w:kern w:val="0"/>
          <w:szCs w:val="21"/>
          <w:u w:val="single"/>
        </w:rPr>
        <w:t>）承包人所采购的材料设备，事前应取得发包人同意；未经发包人同意，如已用于本工程，承包人也应按发包人的指令无条件执行，所造成的损失由承包人负责。（</w:t>
      </w:r>
      <w:r>
        <w:rPr>
          <w:rFonts w:ascii="宋体" w:hAnsi="Calibri" w:cs="宋体"/>
          <w:kern w:val="0"/>
          <w:szCs w:val="21"/>
          <w:u w:val="single"/>
        </w:rPr>
        <w:t>7</w:t>
      </w:r>
      <w:r>
        <w:rPr>
          <w:rFonts w:hint="eastAsia" w:ascii="宋体" w:hAnsi="Calibri" w:cs="宋体"/>
          <w:kern w:val="0"/>
          <w:szCs w:val="21"/>
          <w:u w:val="single"/>
        </w:rPr>
        <w:t>）需送检的材料设备由承包人负责，所需的一切费用均在签约合同价款内。送检时，应通知监理工程师和发包人现场代表见证，未经监理工程师和发包人现场代表见证的送检材料，不能用于本工程，否则，因此所造成的损失由承包人负责。（</w:t>
      </w:r>
      <w:r>
        <w:rPr>
          <w:rFonts w:ascii="宋体" w:hAnsi="Calibri" w:cs="宋体"/>
          <w:kern w:val="0"/>
          <w:szCs w:val="21"/>
          <w:u w:val="single"/>
        </w:rPr>
        <w:t>8</w:t>
      </w:r>
      <w:r>
        <w:rPr>
          <w:rFonts w:hint="eastAsia" w:ascii="宋体" w:hAnsi="Calibri" w:cs="宋体"/>
          <w:kern w:val="0"/>
          <w:szCs w:val="21"/>
          <w:u w:val="single"/>
        </w:rPr>
        <w:t>）承包人用于本工程的模板，必须符合模板验收技术规范。</w:t>
      </w:r>
    </w:p>
    <w:p>
      <w:pPr>
        <w:spacing w:after="120" w:line="560" w:lineRule="exact"/>
        <w:ind w:firstLine="420" w:firstLineChars="200"/>
        <w:rPr>
          <w:rFonts w:ascii="宋体" w:hAnsi="宋体"/>
          <w:szCs w:val="21"/>
          <w:u w:val="single"/>
        </w:rPr>
      </w:pPr>
      <w:r>
        <w:rPr>
          <w:rFonts w:hint="eastAsia" w:ascii="宋体" w:hAnsi="Calibri" w:cs="宋体"/>
          <w:kern w:val="0"/>
          <w:szCs w:val="21"/>
          <w:u w:val="single"/>
        </w:rPr>
        <w:t>由承包人负责采购、供应的材料及设备在定购前需经发包人认可，并留置样品备查。材料应严格保证质量，相同类型材料品质应统一。承包人投标时所报的材料品牌原则上不允许更换，确需更换时须经发包人认可。</w:t>
      </w:r>
    </w:p>
    <w:p>
      <w:pPr>
        <w:spacing w:after="120" w:line="560" w:lineRule="exact"/>
        <w:ind w:firstLine="420" w:firstLineChars="200"/>
        <w:rPr>
          <w:rFonts w:ascii="宋体" w:hAnsi="宋体"/>
          <w:szCs w:val="21"/>
        </w:rPr>
      </w:pPr>
      <w:r>
        <w:rPr>
          <w:rFonts w:ascii="宋体" w:hAnsi="宋体"/>
          <w:szCs w:val="21"/>
        </w:rPr>
        <w:t>8.4</w:t>
      </w:r>
      <w:r>
        <w:rPr>
          <w:rFonts w:hint="eastAsia" w:ascii="宋体" w:hAnsi="宋体"/>
          <w:szCs w:val="21"/>
        </w:rPr>
        <w:t>材料与工程设备的保管与使用</w:t>
      </w:r>
    </w:p>
    <w:p>
      <w:pPr>
        <w:spacing w:line="560" w:lineRule="exact"/>
        <w:ind w:firstLine="420" w:firstLineChars="200"/>
        <w:jc w:val="left"/>
        <w:rPr>
          <w:rFonts w:ascii="宋体" w:hAnsi="宋体"/>
          <w:szCs w:val="21"/>
        </w:rPr>
      </w:pPr>
      <w:r>
        <w:rPr>
          <w:rFonts w:ascii="宋体" w:hAnsi="宋体"/>
          <w:szCs w:val="21"/>
        </w:rPr>
        <w:t>8.4.1</w:t>
      </w:r>
      <w:r>
        <w:rPr>
          <w:rFonts w:hint="eastAsia" w:ascii="宋体" w:hAnsi="宋体"/>
          <w:szCs w:val="21"/>
        </w:rPr>
        <w:t>发包人供应的材料设备的保管费用的承担：</w:t>
      </w:r>
      <w:r>
        <w:rPr>
          <w:rFonts w:ascii="宋体" w:hAnsi="宋体"/>
          <w:kern w:val="0"/>
          <w:szCs w:val="21"/>
          <w:u w:val="single"/>
        </w:rPr>
        <w:t xml:space="preserve"> </w:t>
      </w:r>
      <w:r>
        <w:rPr>
          <w:rFonts w:hint="eastAsia" w:ascii="宋体" w:hAnsi="宋体"/>
          <w:kern w:val="0"/>
          <w:szCs w:val="21"/>
          <w:u w:val="single"/>
        </w:rPr>
        <w:t>发包人供应的材料和工程设备，承包人清点后由承包人妥善保管，采保费用按照采购价格的1%计算，在工程进度款中支付或结算时支付。因承包人原因发生丢失毁坏的，由承包人负责赔偿</w:t>
      </w:r>
      <w:r>
        <w:rPr>
          <w:rFonts w:ascii="宋体" w:hAnsi="宋体"/>
          <w:kern w:val="0"/>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8.6 </w:t>
      </w:r>
      <w:r>
        <w:rPr>
          <w:rFonts w:hint="eastAsia" w:ascii="宋体" w:hAnsi="宋体"/>
          <w:szCs w:val="21"/>
        </w:rPr>
        <w:t>样品</w:t>
      </w:r>
    </w:p>
    <w:p>
      <w:pPr>
        <w:autoSpaceDE w:val="0"/>
        <w:autoSpaceDN w:val="0"/>
        <w:adjustRightInd w:val="0"/>
        <w:spacing w:line="560" w:lineRule="exact"/>
        <w:ind w:firstLine="420" w:firstLineChars="200"/>
        <w:jc w:val="left"/>
        <w:rPr>
          <w:rFonts w:ascii="宋体" w:hAnsi="宋体"/>
          <w:kern w:val="0"/>
          <w:szCs w:val="21"/>
        </w:rPr>
      </w:pPr>
      <w:r>
        <w:rPr>
          <w:rFonts w:ascii="宋体" w:hAnsi="宋体"/>
          <w:kern w:val="0"/>
          <w:szCs w:val="21"/>
        </w:rPr>
        <w:t>8.6.1</w:t>
      </w:r>
      <w:r>
        <w:rPr>
          <w:rFonts w:hint="eastAsia" w:ascii="宋体" w:hAnsi="宋体"/>
          <w:kern w:val="0"/>
          <w:szCs w:val="21"/>
        </w:rPr>
        <w:t xml:space="preserve"> 样品的报送与封存</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需要承包人报送样品的材料或工程设备，样品的种类、名称、规格、数量要求：</w:t>
      </w:r>
      <w:r>
        <w:rPr>
          <w:rFonts w:hint="eastAsia" w:ascii="宋体" w:hAnsi="宋体"/>
          <w:kern w:val="0"/>
          <w:szCs w:val="21"/>
          <w:u w:val="single"/>
        </w:rPr>
        <w:t>承包人按设计及图纸要求根据工程所需采购材料且①按投标单位报价指定的材料采购，其品种、规格、型号、质量等级应与投标清单相符，采购的样品必须先经监理和发包人认可；如因特殊原因不能从发包人推荐品牌中采购相应材料或设备时，变更的品牌须等于或优于原品牌而且应报请发包人并取得发包人书面同意方可采用，否则因此造成的一切后果由承包人负责；②货到接受监理、发包人检查；③在监理监督下，按规定送检或试验；④工程量清单中的暂定价的材料，必须经发包人在品牌、规格、颜色及单价等方面审定后方能采购。</w:t>
      </w:r>
    </w:p>
    <w:p>
      <w:pPr>
        <w:autoSpaceDE w:val="0"/>
        <w:autoSpaceDN w:val="0"/>
        <w:adjustRightInd w:val="0"/>
        <w:spacing w:line="560" w:lineRule="exact"/>
        <w:ind w:firstLine="420" w:firstLineChars="200"/>
        <w:jc w:val="left"/>
        <w:rPr>
          <w:rFonts w:ascii="宋体" w:hAnsi="宋体"/>
          <w:szCs w:val="21"/>
        </w:rPr>
      </w:pPr>
      <w:r>
        <w:rPr>
          <w:rFonts w:ascii="宋体" w:hAnsi="宋体"/>
          <w:szCs w:val="21"/>
        </w:rPr>
        <w:t xml:space="preserve">8.8 </w:t>
      </w:r>
      <w:r>
        <w:rPr>
          <w:rFonts w:hint="eastAsia" w:ascii="宋体" w:hAnsi="宋体"/>
          <w:szCs w:val="21"/>
        </w:rPr>
        <w:t>施工设备和临时设施</w:t>
      </w:r>
    </w:p>
    <w:p>
      <w:pPr>
        <w:autoSpaceDE w:val="0"/>
        <w:autoSpaceDN w:val="0"/>
        <w:adjustRightInd w:val="0"/>
        <w:spacing w:line="560" w:lineRule="exact"/>
        <w:ind w:firstLine="420" w:firstLineChars="200"/>
        <w:jc w:val="left"/>
        <w:rPr>
          <w:rFonts w:ascii="宋体" w:hAnsi="宋体"/>
          <w:szCs w:val="21"/>
        </w:rPr>
      </w:pPr>
      <w:r>
        <w:rPr>
          <w:rFonts w:ascii="宋体" w:hAnsi="宋体"/>
          <w:szCs w:val="21"/>
        </w:rPr>
        <w:t xml:space="preserve">8.8.1 </w:t>
      </w:r>
      <w:r>
        <w:rPr>
          <w:rFonts w:hint="eastAsia" w:ascii="宋体" w:hAnsi="宋体"/>
          <w:szCs w:val="21"/>
        </w:rPr>
        <w:t>承包人提供的施工设备和临时设施</w:t>
      </w:r>
    </w:p>
    <w:p>
      <w:pPr>
        <w:autoSpaceDE w:val="0"/>
        <w:autoSpaceDN w:val="0"/>
        <w:adjustRightInd w:val="0"/>
        <w:spacing w:line="560" w:lineRule="exact"/>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cs="宋体"/>
          <w:szCs w:val="21"/>
          <w:u w:val="single"/>
        </w:rPr>
        <w:t>按通用条款执行</w:t>
      </w:r>
      <w:r>
        <w:rPr>
          <w:rFonts w:ascii="宋体" w:hAnsi="宋体"/>
          <w:kern w:val="0"/>
          <w:szCs w:val="21"/>
          <w:u w:val="single"/>
        </w:rPr>
        <w:t xml:space="preserve">  </w:t>
      </w:r>
      <w:r>
        <w:rPr>
          <w:rFonts w:hint="eastAsia" w:ascii="宋体" w:hAnsi="宋体"/>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9. </w:t>
      </w:r>
      <w:r>
        <w:rPr>
          <w:rFonts w:hint="eastAsia" w:ascii="宋体" w:hAnsi="宋体"/>
          <w:b w:val="0"/>
          <w:sz w:val="21"/>
          <w:szCs w:val="21"/>
        </w:rPr>
        <w:t>试验与检验</w:t>
      </w:r>
    </w:p>
    <w:p>
      <w:pPr>
        <w:spacing w:after="120" w:line="560" w:lineRule="exact"/>
        <w:ind w:firstLine="420" w:firstLineChars="200"/>
        <w:rPr>
          <w:rFonts w:ascii="宋体" w:hAnsi="宋体"/>
          <w:szCs w:val="21"/>
        </w:rPr>
      </w:pPr>
      <w:r>
        <w:rPr>
          <w:rFonts w:ascii="宋体" w:hAnsi="宋体"/>
          <w:szCs w:val="21"/>
        </w:rPr>
        <w:t>9.1</w:t>
      </w:r>
      <w:r>
        <w:rPr>
          <w:rFonts w:hint="eastAsia" w:ascii="宋体" w:hAnsi="宋体"/>
          <w:szCs w:val="21"/>
        </w:rPr>
        <w:t>试验设备与试验人员</w:t>
      </w:r>
    </w:p>
    <w:p>
      <w:pPr>
        <w:spacing w:line="560" w:lineRule="exact"/>
        <w:ind w:firstLine="420" w:firstLineChars="200"/>
        <w:jc w:val="left"/>
        <w:rPr>
          <w:rFonts w:ascii="宋体" w:hAnsi="宋体"/>
          <w:szCs w:val="21"/>
        </w:rPr>
      </w:pPr>
      <w:r>
        <w:rPr>
          <w:rFonts w:ascii="宋体" w:hAnsi="宋体"/>
          <w:szCs w:val="21"/>
        </w:rPr>
        <w:t xml:space="preserve">9.1.2 </w:t>
      </w:r>
      <w:r>
        <w:rPr>
          <w:rFonts w:hint="eastAsia" w:ascii="宋体" w:hAnsi="宋体"/>
          <w:szCs w:val="21"/>
        </w:rPr>
        <w:t>试验设备</w:t>
      </w:r>
    </w:p>
    <w:p>
      <w:pPr>
        <w:spacing w:line="560" w:lineRule="exact"/>
        <w:ind w:firstLine="420" w:firstLineChars="200"/>
        <w:jc w:val="left"/>
        <w:rPr>
          <w:rFonts w:ascii="宋体" w:hAnsi="宋体"/>
          <w:szCs w:val="21"/>
          <w:u w:val="single"/>
        </w:rPr>
      </w:pPr>
      <w:r>
        <w:rPr>
          <w:rFonts w:hint="eastAsia" w:ascii="宋体" w:hAnsi="宋体"/>
          <w:szCs w:val="21"/>
        </w:rPr>
        <w:t>施工现场需要配置的试验场所：</w:t>
      </w:r>
      <w:r>
        <w:rPr>
          <w:rFonts w:ascii="宋体" w:hAnsi="宋体"/>
          <w:szCs w:val="21"/>
          <w:u w:val="single"/>
        </w:rPr>
        <w:t xml:space="preserve"> </w:t>
      </w:r>
      <w:r>
        <w:rPr>
          <w:rFonts w:hint="eastAsia" w:ascii="宋体" w:hAnsi="宋体"/>
          <w:szCs w:val="21"/>
          <w:u w:val="single"/>
        </w:rPr>
        <w:t>根据国家及地方有关规定和现场实际情况配置</w:t>
      </w:r>
      <w:r>
        <w:rPr>
          <w:rFonts w:ascii="宋体" w:hAnsi="宋体"/>
          <w:szCs w:val="21"/>
          <w:u w:val="single"/>
        </w:rPr>
        <w:t xml:space="preserve"> </w:t>
      </w:r>
      <w:r>
        <w:rPr>
          <w:rFonts w:hint="eastAsia" w:ascii="宋体" w:hAnsi="宋体"/>
          <w:szCs w:val="21"/>
        </w:rPr>
        <w:t>。</w:t>
      </w:r>
      <w:r>
        <w:rPr>
          <w:rFonts w:ascii="宋体" w:hAnsi="宋体"/>
          <w:szCs w:val="21"/>
        </w:rPr>
        <w:t xml:space="preserve"> </w:t>
      </w:r>
    </w:p>
    <w:p>
      <w:pPr>
        <w:spacing w:line="560" w:lineRule="exact"/>
        <w:ind w:firstLine="420" w:firstLineChars="200"/>
        <w:jc w:val="left"/>
        <w:rPr>
          <w:rFonts w:ascii="宋体" w:hAnsi="宋体"/>
          <w:szCs w:val="21"/>
          <w:u w:val="single"/>
        </w:rPr>
      </w:pPr>
      <w:r>
        <w:rPr>
          <w:rFonts w:hint="eastAsia" w:ascii="宋体" w:hAnsi="宋体"/>
          <w:szCs w:val="21"/>
        </w:rPr>
        <w:t>施工现场需要配备的试验设备：</w:t>
      </w:r>
      <w:r>
        <w:rPr>
          <w:rFonts w:ascii="宋体" w:hAnsi="宋体"/>
          <w:szCs w:val="21"/>
          <w:u w:val="single"/>
        </w:rPr>
        <w:t xml:space="preserve"> </w:t>
      </w:r>
      <w:r>
        <w:rPr>
          <w:rFonts w:hint="eastAsia" w:ascii="宋体" w:hAnsi="宋体"/>
          <w:szCs w:val="21"/>
          <w:u w:val="single"/>
        </w:rPr>
        <w:t>根据国家及地方有关规定和现场实际情况配置</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施工现场需要具备的其他试验条件：</w:t>
      </w:r>
      <w:r>
        <w:rPr>
          <w:rFonts w:ascii="宋体" w:hAnsi="宋体"/>
          <w:szCs w:val="21"/>
          <w:u w:val="single"/>
        </w:rPr>
        <w:t xml:space="preserve"> </w:t>
      </w:r>
      <w:r>
        <w:rPr>
          <w:rFonts w:hint="eastAsia" w:ascii="宋体" w:hAnsi="宋体"/>
          <w:szCs w:val="21"/>
          <w:u w:val="single"/>
        </w:rPr>
        <w:t>根据国家及地方有关规定和现场实际情况配置</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9.4 </w:t>
      </w:r>
      <w:r>
        <w:rPr>
          <w:rFonts w:hint="eastAsia" w:ascii="宋体" w:hAnsi="宋体"/>
          <w:szCs w:val="21"/>
        </w:rPr>
        <w:t>现场工艺试验</w:t>
      </w:r>
      <w:r>
        <w:rPr>
          <w:rFonts w:ascii="宋体" w:hAnsi="宋体"/>
          <w:szCs w:val="21"/>
        </w:rPr>
        <w:t xml:space="preserve"> </w:t>
      </w:r>
    </w:p>
    <w:p>
      <w:pPr>
        <w:spacing w:line="560" w:lineRule="exact"/>
        <w:ind w:firstLine="420" w:firstLineChars="200"/>
        <w:jc w:val="left"/>
        <w:rPr>
          <w:rFonts w:ascii="宋体" w:hAnsi="宋体"/>
          <w:szCs w:val="21"/>
        </w:rPr>
      </w:pPr>
      <w:r>
        <w:rPr>
          <w:rFonts w:hint="eastAsia" w:ascii="宋体" w:hAnsi="宋体"/>
          <w:szCs w:val="21"/>
        </w:rPr>
        <w:t>现场工艺试验的有关约定：</w:t>
      </w:r>
      <w:r>
        <w:rPr>
          <w:rFonts w:hint="eastAsia" w:ascii="宋体" w:hAnsi="宋体" w:cs="宋体"/>
          <w:szCs w:val="21"/>
          <w:u w:val="single"/>
        </w:rPr>
        <w:t>按通用条款执行</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9.5 检验费用</w:t>
      </w:r>
    </w:p>
    <w:p>
      <w:pPr>
        <w:spacing w:line="560" w:lineRule="exact"/>
        <w:ind w:firstLine="420" w:firstLineChars="200"/>
        <w:jc w:val="left"/>
        <w:rPr>
          <w:rFonts w:ascii="宋体" w:hAnsi="宋体"/>
          <w:szCs w:val="21"/>
        </w:rPr>
      </w:pPr>
      <w:r>
        <w:rPr>
          <w:rFonts w:ascii="宋体" w:hAnsi="宋体"/>
          <w:szCs w:val="21"/>
        </w:rPr>
        <w:t>根据《建设工程质量检测管理办法》（建设部令第141号）以及《广西壮族自治区建设工程质量检测管理规定》</w:t>
      </w:r>
      <w:r>
        <w:rPr>
          <w:rFonts w:hint="eastAsia" w:ascii="宋体" w:hAnsi="宋体"/>
          <w:szCs w:val="21"/>
        </w:rPr>
        <w:t>（</w:t>
      </w:r>
      <w:r>
        <w:rPr>
          <w:rFonts w:ascii="宋体" w:hAnsi="宋体"/>
          <w:szCs w:val="21"/>
        </w:rPr>
        <w:t>桂建管</w:t>
      </w:r>
      <w:r>
        <w:rPr>
          <w:rFonts w:hint="eastAsia" w:ascii="宋体" w:hAnsi="宋体"/>
          <w:szCs w:val="21"/>
        </w:rPr>
        <w:t>〔</w:t>
      </w:r>
      <w:r>
        <w:rPr>
          <w:rFonts w:ascii="宋体" w:hAnsi="宋体"/>
          <w:szCs w:val="21"/>
        </w:rPr>
        <w:t>2013</w:t>
      </w:r>
      <w:r>
        <w:rPr>
          <w:rFonts w:hint="eastAsia" w:ascii="宋体" w:hAnsi="宋体"/>
          <w:szCs w:val="21"/>
        </w:rPr>
        <w:t>〕</w:t>
      </w:r>
      <w:r>
        <w:rPr>
          <w:rFonts w:ascii="宋体" w:hAnsi="宋体"/>
          <w:szCs w:val="21"/>
        </w:rPr>
        <w:t>11号</w:t>
      </w:r>
      <w:r>
        <w:rPr>
          <w:rFonts w:hint="eastAsia" w:ascii="宋体" w:hAnsi="宋体"/>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10. </w:t>
      </w:r>
      <w:r>
        <w:rPr>
          <w:rFonts w:hint="eastAsia" w:ascii="宋体" w:hAnsi="宋体"/>
          <w:b w:val="0"/>
          <w:sz w:val="21"/>
          <w:szCs w:val="21"/>
        </w:rPr>
        <w:t>变更</w:t>
      </w:r>
    </w:p>
    <w:p>
      <w:pPr>
        <w:spacing w:after="120" w:line="560" w:lineRule="exact"/>
        <w:ind w:firstLine="420" w:firstLineChars="200"/>
        <w:rPr>
          <w:rFonts w:ascii="宋体" w:hAnsi="宋体"/>
          <w:szCs w:val="21"/>
        </w:rPr>
      </w:pPr>
      <w:r>
        <w:rPr>
          <w:rFonts w:ascii="宋体" w:hAnsi="宋体"/>
          <w:szCs w:val="21"/>
        </w:rPr>
        <w:t>10.1</w:t>
      </w:r>
      <w:r>
        <w:rPr>
          <w:rFonts w:hint="eastAsia" w:ascii="宋体" w:hAnsi="宋体"/>
          <w:szCs w:val="21"/>
        </w:rPr>
        <w:t>变更的范围</w:t>
      </w:r>
    </w:p>
    <w:p>
      <w:pPr>
        <w:spacing w:line="560" w:lineRule="exact"/>
        <w:ind w:firstLine="420" w:firstLineChars="200"/>
        <w:jc w:val="left"/>
        <w:rPr>
          <w:rFonts w:ascii="宋体" w:hAnsi="宋体"/>
          <w:szCs w:val="21"/>
        </w:rPr>
      </w:pPr>
      <w:r>
        <w:rPr>
          <w:rFonts w:hint="eastAsia" w:ascii="宋体" w:hAnsi="宋体"/>
          <w:szCs w:val="21"/>
        </w:rPr>
        <w:t>关于变更的范围的约定：</w:t>
      </w:r>
      <w:r>
        <w:rPr>
          <w:rFonts w:hint="eastAsia" w:ascii="宋体" w:hAnsi="宋体"/>
          <w:szCs w:val="21"/>
          <w:u w:val="single"/>
        </w:rPr>
        <w:t>施工期间因不可预见因素或发包人要求所发生的工程量增减（由变更、签证产生），其工程量按实际发生并经监理工程师及发包人签证认可，工程变更综合单价按专用条款第10.4点规定执行</w:t>
      </w:r>
      <w:r>
        <w:rPr>
          <w:rFonts w:ascii="宋体" w:hAnsi="宋体"/>
          <w:kern w:val="0"/>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bookmarkStart w:id="224" w:name="_Toc418061795"/>
      <w:bookmarkStart w:id="225" w:name="_Toc403578976"/>
      <w:bookmarkStart w:id="226" w:name="_Toc425334295"/>
      <w:r>
        <w:rPr>
          <w:rFonts w:hint="eastAsia" w:ascii="宋体" w:hAnsi="宋体"/>
          <w:szCs w:val="21"/>
        </w:rPr>
        <w:t>10.3 变更程序</w:t>
      </w:r>
      <w:bookmarkEnd w:id="224"/>
      <w:bookmarkEnd w:id="225"/>
      <w:bookmarkEnd w:id="226"/>
    </w:p>
    <w:p>
      <w:pPr>
        <w:spacing w:line="560" w:lineRule="exact"/>
        <w:ind w:firstLine="420" w:firstLineChars="200"/>
        <w:jc w:val="left"/>
        <w:rPr>
          <w:rFonts w:ascii="宋体" w:hAnsi="宋体"/>
          <w:szCs w:val="21"/>
        </w:rPr>
      </w:pPr>
      <w:r>
        <w:rPr>
          <w:rFonts w:hint="eastAsia" w:ascii="宋体" w:hAnsi="宋体"/>
          <w:szCs w:val="21"/>
        </w:rPr>
        <w:t>10.3.1 国有投资项目：</w:t>
      </w:r>
    </w:p>
    <w:p>
      <w:pPr>
        <w:spacing w:line="560" w:lineRule="exact"/>
        <w:ind w:firstLine="420" w:firstLineChars="200"/>
        <w:jc w:val="left"/>
        <w:rPr>
          <w:rFonts w:ascii="宋体" w:hAnsi="宋体"/>
          <w:szCs w:val="21"/>
        </w:rPr>
      </w:pPr>
      <w:r>
        <w:rPr>
          <w:rFonts w:hint="eastAsia" w:ascii="宋体" w:hAnsi="宋体"/>
          <w:szCs w:val="21"/>
        </w:rPr>
        <w:t>⑴设计变更和工程签证，按各市政府或相关部门的规定办理。属不可抗力（自然灾害、突发事件等）造成变更的，按特事特办原则予以办理。</w:t>
      </w:r>
    </w:p>
    <w:p>
      <w:pPr>
        <w:spacing w:line="560" w:lineRule="exact"/>
        <w:ind w:firstLine="420" w:firstLineChars="200"/>
        <w:jc w:val="left"/>
        <w:rPr>
          <w:rFonts w:ascii="宋体" w:hAnsi="宋体"/>
          <w:szCs w:val="21"/>
        </w:rPr>
      </w:pPr>
      <w:r>
        <w:rPr>
          <w:rFonts w:hint="eastAsia" w:ascii="宋体" w:hAnsi="宋体"/>
          <w:szCs w:val="21"/>
        </w:rPr>
        <w:t>⑵建设单位在实施项目过程中，若发生单价变动，由建设单位、监理单位、施工单位及其他相关单位共同商定并签字确认。</w:t>
      </w:r>
    </w:p>
    <w:p>
      <w:pPr>
        <w:spacing w:line="560" w:lineRule="exact"/>
        <w:ind w:firstLine="420" w:firstLineChars="200"/>
        <w:jc w:val="left"/>
        <w:rPr>
          <w:rFonts w:ascii="宋体" w:hAnsi="宋体"/>
          <w:szCs w:val="21"/>
        </w:rPr>
      </w:pPr>
      <w:r>
        <w:rPr>
          <w:rFonts w:hint="eastAsia" w:ascii="宋体" w:hAnsi="宋体"/>
          <w:szCs w:val="21"/>
        </w:rPr>
        <w:t>⑶ 当合同规定的合同价款调整情况发生后，承包人未在规定时间内通知发包人，或者未在规定时间内提出调整报告，发包人可以根据有关资料，决定是否调整和调整的金额，并书面通知承包人。</w:t>
      </w:r>
    </w:p>
    <w:p>
      <w:pPr>
        <w:spacing w:after="120" w:line="560" w:lineRule="exact"/>
        <w:ind w:firstLine="420" w:firstLineChars="200"/>
        <w:rPr>
          <w:rFonts w:ascii="宋体" w:hAnsi="宋体"/>
          <w:color w:val="auto"/>
          <w:szCs w:val="21"/>
        </w:rPr>
      </w:pPr>
      <w:r>
        <w:rPr>
          <w:rFonts w:ascii="宋体" w:hAnsi="宋体"/>
          <w:color w:val="auto"/>
          <w:szCs w:val="21"/>
        </w:rPr>
        <w:t xml:space="preserve">10.4 </w:t>
      </w:r>
      <w:r>
        <w:rPr>
          <w:rFonts w:hint="eastAsia" w:ascii="宋体" w:hAnsi="宋体"/>
          <w:color w:val="auto"/>
          <w:szCs w:val="21"/>
        </w:rPr>
        <w:t>变更估价</w:t>
      </w:r>
    </w:p>
    <w:p>
      <w:pPr>
        <w:spacing w:line="560" w:lineRule="exact"/>
        <w:ind w:firstLine="420" w:firstLineChars="200"/>
        <w:jc w:val="left"/>
        <w:rPr>
          <w:rFonts w:ascii="宋体" w:hAnsi="宋体"/>
          <w:color w:val="auto"/>
          <w:szCs w:val="21"/>
        </w:rPr>
      </w:pPr>
      <w:r>
        <w:rPr>
          <w:rFonts w:ascii="宋体" w:hAnsi="宋体"/>
          <w:color w:val="auto"/>
          <w:szCs w:val="21"/>
        </w:rPr>
        <w:t xml:space="preserve">10.4.1 </w:t>
      </w:r>
      <w:r>
        <w:rPr>
          <w:rFonts w:hint="eastAsia" w:ascii="宋体" w:hAnsi="宋体"/>
          <w:color w:val="auto"/>
          <w:szCs w:val="21"/>
        </w:rPr>
        <w:t>变更估价原则</w:t>
      </w:r>
    </w:p>
    <w:p>
      <w:pPr>
        <w:spacing w:line="560" w:lineRule="exact"/>
        <w:ind w:firstLine="420" w:firstLineChars="200"/>
        <w:jc w:val="left"/>
        <w:rPr>
          <w:rFonts w:ascii="宋体" w:hAnsi="宋体"/>
          <w:color w:val="auto"/>
          <w:szCs w:val="21"/>
        </w:rPr>
      </w:pPr>
      <w:r>
        <w:rPr>
          <w:rFonts w:ascii="宋体" w:hAnsi="宋体"/>
          <w:color w:val="auto"/>
          <w:szCs w:val="21"/>
        </w:rPr>
        <w:t xml:space="preserve">关于变更估价的约定: </w:t>
      </w:r>
      <w:r>
        <w:rPr>
          <w:rFonts w:ascii="宋体" w:hAnsi="宋体"/>
          <w:bCs/>
          <w:color w:val="auto"/>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color w:val="auto"/>
          <w:szCs w:val="21"/>
          <w:u w:val="single"/>
        </w:rPr>
        <w:t>乘以【中标的投标报价</w:t>
      </w:r>
      <w:r>
        <w:rPr>
          <w:rFonts w:hint="eastAsia" w:ascii="宋体" w:hAnsi="宋体"/>
          <w:color w:val="auto"/>
          <w:szCs w:val="21"/>
          <w:u w:val="single"/>
        </w:rPr>
        <w:t>÷</w:t>
      </w:r>
      <w:r>
        <w:rPr>
          <w:rFonts w:hint="eastAsia" w:ascii="宋体" w:hAnsi="宋体"/>
          <w:bCs/>
          <w:color w:val="auto"/>
          <w:szCs w:val="21"/>
          <w:u w:val="single"/>
        </w:rPr>
        <w:t>经评审预算价（不含安全文明施工费、规费、增值税）】</w:t>
      </w:r>
      <w:r>
        <w:rPr>
          <w:rFonts w:ascii="宋体" w:hAnsi="宋体"/>
          <w:bCs/>
          <w:color w:val="auto"/>
          <w:szCs w:val="21"/>
          <w:u w:val="single"/>
        </w:rPr>
        <w:t>计算，其中材料价格按施工期间的《</w:t>
      </w:r>
      <w:r>
        <w:rPr>
          <w:rFonts w:hint="eastAsia" w:ascii="宋体" w:hAnsi="宋体"/>
          <w:bCs/>
          <w:color w:val="auto"/>
          <w:szCs w:val="21"/>
          <w:u w:val="single"/>
        </w:rPr>
        <w:t>南宁市</w:t>
      </w:r>
      <w:r>
        <w:rPr>
          <w:rFonts w:ascii="宋体" w:hAnsi="宋体"/>
          <w:bCs/>
          <w:color w:val="auto"/>
          <w:szCs w:val="21"/>
          <w:u w:val="single"/>
        </w:rPr>
        <w:t>建设工程造价信息》相应价格信息进行计算；</w:t>
      </w:r>
      <w:r>
        <w:rPr>
          <w:rFonts w:hint="eastAsia" w:ascii="宋体" w:hAnsi="宋体"/>
          <w:bCs/>
          <w:color w:val="auto"/>
          <w:szCs w:val="21"/>
          <w:u w:val="single"/>
        </w:rPr>
        <w:t>《南宁市建设工程造价信息》</w:t>
      </w:r>
      <w:r>
        <w:rPr>
          <w:rFonts w:hint="eastAsia" w:ascii="宋体" w:hAnsi="宋体"/>
          <w:color w:val="auto"/>
          <w:kern w:val="0"/>
          <w:u w:val="single"/>
        </w:rPr>
        <w:t>信息价</w:t>
      </w:r>
      <w:r>
        <w:rPr>
          <w:rFonts w:ascii="宋体" w:hAnsi="宋体"/>
          <w:bCs/>
          <w:color w:val="auto"/>
          <w:szCs w:val="21"/>
          <w:u w:val="single"/>
        </w:rPr>
        <w:t>没有相应价格信息的按市场价计算；无定额可套的，根据市场价格协商确定综合价格；</w:t>
      </w:r>
      <w:r>
        <w:rPr>
          <w:rFonts w:hint="eastAsia" w:ascii="宋体" w:hAnsi="宋体"/>
          <w:color w:val="auto"/>
          <w:szCs w:val="21"/>
          <w:u w:val="single"/>
        </w:rPr>
        <w:t>新增结算综合单价=按定额计算（管理费、利润取中值）的综合单价×</w:t>
      </w:r>
      <w:r>
        <w:rPr>
          <w:rFonts w:hint="eastAsia" w:ascii="宋体" w:hAnsi="宋体"/>
          <w:bCs/>
          <w:color w:val="auto"/>
          <w:szCs w:val="21"/>
          <w:u w:val="single"/>
        </w:rPr>
        <w:t>【中标的投标报价</w:t>
      </w:r>
      <w:r>
        <w:rPr>
          <w:rFonts w:hint="eastAsia" w:ascii="宋体" w:hAnsi="宋体"/>
          <w:color w:val="auto"/>
          <w:szCs w:val="21"/>
          <w:u w:val="single"/>
        </w:rPr>
        <w:t>÷</w:t>
      </w:r>
      <w:r>
        <w:rPr>
          <w:rFonts w:hint="eastAsia" w:ascii="宋体" w:hAnsi="宋体"/>
          <w:bCs/>
          <w:color w:val="auto"/>
          <w:szCs w:val="21"/>
          <w:u w:val="single"/>
        </w:rPr>
        <w:t>经评审预算价（不含安全文明施工费、规费、增值税）】</w:t>
      </w:r>
      <w:r>
        <w:rPr>
          <w:rFonts w:ascii="宋体" w:hAnsi="宋体"/>
          <w:color w:val="auto"/>
          <w:szCs w:val="21"/>
        </w:rPr>
        <w:t>。</w:t>
      </w:r>
    </w:p>
    <w:p>
      <w:pPr>
        <w:spacing w:line="560" w:lineRule="exact"/>
        <w:ind w:firstLine="420" w:firstLineChars="200"/>
        <w:jc w:val="left"/>
        <w:rPr>
          <w:rFonts w:ascii="宋体" w:hAnsi="宋体"/>
          <w:color w:val="auto"/>
          <w:szCs w:val="21"/>
        </w:rPr>
      </w:pPr>
      <w:r>
        <w:rPr>
          <w:rFonts w:ascii="宋体" w:hAnsi="宋体"/>
          <w:color w:val="auto"/>
          <w:szCs w:val="21"/>
        </w:rPr>
        <w:t>关于变更估价的约定</w:t>
      </w:r>
      <w:r>
        <w:rPr>
          <w:rFonts w:hint="eastAsia" w:ascii="宋体" w:hAnsi="宋体"/>
          <w:color w:val="auto"/>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经发包人、监理人确认后调整，并按以下规定办理：</w:t>
      </w:r>
    </w:p>
    <w:p>
      <w:pPr>
        <w:spacing w:line="560" w:lineRule="exact"/>
        <w:ind w:firstLine="440" w:firstLineChars="200"/>
        <w:jc w:val="left"/>
        <w:rPr>
          <w:rFonts w:ascii="宋体" w:hAnsi="宋体"/>
          <w:color w:val="auto"/>
          <w:szCs w:val="21"/>
          <w:u w:val="single"/>
        </w:rPr>
      </w:pPr>
      <w:r>
        <w:rPr>
          <w:rFonts w:hint="eastAsia" w:ascii="宋体" w:hAnsi="Calibri" w:cs="宋体"/>
          <w:color w:val="auto"/>
          <w:kern w:val="0"/>
          <w:sz w:val="22"/>
          <w:szCs w:val="22"/>
        </w:rPr>
        <w:t>（</w:t>
      </w:r>
      <w:r>
        <w:rPr>
          <w:rFonts w:ascii="宋体" w:hAnsi="Calibri" w:cs="宋体"/>
          <w:color w:val="auto"/>
          <w:kern w:val="0"/>
          <w:sz w:val="22"/>
          <w:szCs w:val="22"/>
        </w:rPr>
        <w:t>1</w:t>
      </w:r>
      <w:r>
        <w:rPr>
          <w:rFonts w:hint="eastAsia" w:ascii="宋体" w:hAnsi="Calibri" w:cs="宋体"/>
          <w:color w:val="auto"/>
          <w:kern w:val="0"/>
          <w:sz w:val="22"/>
          <w:szCs w:val="22"/>
        </w:rPr>
        <w:t>）</w:t>
      </w:r>
      <w:r>
        <w:rPr>
          <w:rFonts w:hint="eastAsia" w:ascii="宋体" w:hAnsi="Calibri" w:cs="宋体"/>
          <w:color w:val="auto"/>
          <w:spacing w:val="-2"/>
          <w:kern w:val="0"/>
          <w:sz w:val="22"/>
          <w:szCs w:val="22"/>
        </w:rPr>
        <w:t>当工程量清单项目工程量的变化幅度在</w:t>
      </w:r>
      <w:r>
        <w:rPr>
          <w:rFonts w:ascii="宋体" w:hAnsi="Calibri" w:cs="宋体"/>
          <w:color w:val="auto"/>
          <w:spacing w:val="-2"/>
          <w:kern w:val="0"/>
          <w:sz w:val="22"/>
          <w:szCs w:val="22"/>
        </w:rPr>
        <w:t>10%</w:t>
      </w:r>
      <w:r>
        <w:rPr>
          <w:rFonts w:hint="eastAsia" w:ascii="宋体" w:hAnsi="Calibri" w:cs="宋体"/>
          <w:color w:val="auto"/>
          <w:spacing w:val="-2"/>
          <w:kern w:val="0"/>
          <w:sz w:val="22"/>
          <w:szCs w:val="22"/>
        </w:rPr>
        <w:t>以内（含</w:t>
      </w:r>
      <w:r>
        <w:rPr>
          <w:rFonts w:ascii="宋体" w:hAnsi="Calibri" w:cs="宋体"/>
          <w:color w:val="auto"/>
          <w:spacing w:val="-2"/>
          <w:kern w:val="0"/>
          <w:sz w:val="22"/>
          <w:szCs w:val="22"/>
        </w:rPr>
        <w:t>10%</w:t>
      </w:r>
      <w:r>
        <w:rPr>
          <w:rFonts w:hint="eastAsia" w:ascii="宋体" w:hAnsi="Calibri" w:cs="宋体"/>
          <w:color w:val="auto"/>
          <w:spacing w:val="-2"/>
          <w:kern w:val="0"/>
          <w:sz w:val="22"/>
          <w:szCs w:val="22"/>
        </w:rPr>
        <w:t>）时候，其措施费</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抽水机台班按实计量</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不作调整，执行原有措施费；（</w:t>
      </w:r>
      <w:r>
        <w:rPr>
          <w:rFonts w:ascii="宋体" w:hAnsi="Calibri" w:cs="宋体"/>
          <w:color w:val="auto"/>
          <w:spacing w:val="-2"/>
          <w:kern w:val="0"/>
          <w:sz w:val="22"/>
          <w:szCs w:val="22"/>
        </w:rPr>
        <w:t>2</w:t>
      </w:r>
      <w:r>
        <w:rPr>
          <w:rFonts w:hint="eastAsia" w:ascii="宋体" w:hAnsi="Calibri" w:cs="宋体"/>
          <w:color w:val="auto"/>
          <w:spacing w:val="-2"/>
          <w:kern w:val="0"/>
          <w:sz w:val="22"/>
          <w:szCs w:val="22"/>
        </w:rPr>
        <w:t>）当工程量清单项目工程量的变化幅度在</w:t>
      </w:r>
      <w:r>
        <w:rPr>
          <w:rFonts w:ascii="宋体" w:hAnsi="Calibri" w:cs="宋体"/>
          <w:color w:val="auto"/>
          <w:spacing w:val="-2"/>
          <w:kern w:val="0"/>
          <w:sz w:val="22"/>
          <w:szCs w:val="22"/>
        </w:rPr>
        <w:t>10%</w:t>
      </w:r>
      <w:r>
        <w:rPr>
          <w:rFonts w:hint="eastAsia" w:ascii="宋体" w:hAnsi="Calibri" w:cs="宋体"/>
          <w:color w:val="auto"/>
          <w:spacing w:val="-2"/>
          <w:kern w:val="0"/>
          <w:sz w:val="22"/>
          <w:szCs w:val="22"/>
        </w:rPr>
        <w:t>以外，且其影响分部分项工程费超过</w:t>
      </w:r>
      <w:r>
        <w:rPr>
          <w:rFonts w:ascii="宋体" w:hAnsi="Calibri" w:cs="宋体"/>
          <w:color w:val="auto"/>
          <w:spacing w:val="-2"/>
          <w:kern w:val="0"/>
          <w:sz w:val="22"/>
          <w:szCs w:val="22"/>
        </w:rPr>
        <w:t>1%</w:t>
      </w:r>
      <w:r>
        <w:rPr>
          <w:rFonts w:hint="eastAsia" w:ascii="宋体" w:hAnsi="Calibri" w:cs="宋体"/>
          <w:color w:val="auto"/>
          <w:spacing w:val="-2"/>
          <w:kern w:val="0"/>
          <w:sz w:val="22"/>
          <w:szCs w:val="22"/>
        </w:rPr>
        <w:t>时，其措施费应作调整；（</w:t>
      </w:r>
      <w:r>
        <w:rPr>
          <w:rFonts w:ascii="宋体" w:hAnsi="Calibri" w:cs="宋体"/>
          <w:color w:val="auto"/>
          <w:spacing w:val="-2"/>
          <w:kern w:val="0"/>
          <w:sz w:val="22"/>
          <w:szCs w:val="22"/>
        </w:rPr>
        <w:t>3</w:t>
      </w:r>
      <w:r>
        <w:rPr>
          <w:rFonts w:hint="eastAsia" w:ascii="宋体" w:hAnsi="Calibri" w:cs="宋体"/>
          <w:color w:val="auto"/>
          <w:spacing w:val="-2"/>
          <w:kern w:val="0"/>
          <w:sz w:val="22"/>
          <w:szCs w:val="22"/>
        </w:rPr>
        <w:t>）调整原则</w:t>
      </w:r>
      <w:r>
        <w:rPr>
          <w:rFonts w:ascii="宋体" w:hAnsi="Calibri" w:cs="宋体"/>
          <w:color w:val="auto"/>
          <w:spacing w:val="-2"/>
          <w:kern w:val="0"/>
          <w:sz w:val="22"/>
          <w:szCs w:val="22"/>
        </w:rPr>
        <w:t>a</w:t>
      </w:r>
      <w:r>
        <w:rPr>
          <w:rFonts w:hint="eastAsia" w:ascii="宋体" w:hAnsi="Calibri" w:cs="宋体"/>
          <w:color w:val="auto"/>
          <w:spacing w:val="-2"/>
          <w:kern w:val="0"/>
          <w:sz w:val="22"/>
          <w:szCs w:val="22"/>
        </w:rPr>
        <w:t>、原措施费中已有的措施项目，按原措施费的组价方法调整；</w:t>
      </w:r>
      <w:r>
        <w:rPr>
          <w:rFonts w:ascii="宋体" w:hAnsi="Calibri" w:cs="宋体"/>
          <w:color w:val="auto"/>
          <w:spacing w:val="-2"/>
          <w:kern w:val="0"/>
          <w:sz w:val="22"/>
          <w:szCs w:val="22"/>
        </w:rPr>
        <w:t>b</w:t>
      </w:r>
      <w:r>
        <w:rPr>
          <w:rFonts w:hint="eastAsia" w:ascii="宋体" w:hAnsi="Calibri" w:cs="宋体"/>
          <w:color w:val="auto"/>
          <w:spacing w:val="-2"/>
          <w:kern w:val="0"/>
          <w:sz w:val="22"/>
          <w:szCs w:val="22"/>
        </w:rPr>
        <w:t>、原措施费中没有的措施项目，由承包人根据措施项目变更情况，提出适当的措施费变更，经发包人、监理人确认后调整，最终以南宁市审计局审核为准。因变更引起价格调整的其他处理方式（合同协议书约定采用单价合同形式时）：因非承包人原因引起已标价工程量清单中列明的工程量发生增加，且单个子目工程量变化幅度在</w:t>
      </w:r>
      <w:r>
        <w:rPr>
          <w:rFonts w:ascii="宋体" w:hAnsi="Calibri" w:cs="宋体"/>
          <w:color w:val="auto"/>
          <w:spacing w:val="-2"/>
          <w:kern w:val="0"/>
          <w:sz w:val="22"/>
          <w:szCs w:val="22"/>
        </w:rPr>
        <w:t xml:space="preserve">10 </w:t>
      </w:r>
      <w:r>
        <w:rPr>
          <w:rFonts w:hint="eastAsia" w:ascii="宋体" w:hAnsi="Calibri" w:cs="宋体"/>
          <w:color w:val="auto"/>
          <w:spacing w:val="-2"/>
          <w:kern w:val="0"/>
          <w:sz w:val="22"/>
          <w:szCs w:val="22"/>
        </w:rPr>
        <w:t>％以内</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含</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时，应执行已标价工程量清单中列明的该子目的单价；单个子目工程量变化幅度在</w:t>
      </w:r>
      <w:r>
        <w:rPr>
          <w:rFonts w:ascii="宋体" w:hAnsi="Calibri" w:cs="宋体"/>
          <w:color w:val="auto"/>
          <w:spacing w:val="-2"/>
          <w:kern w:val="0"/>
          <w:sz w:val="22"/>
          <w:szCs w:val="22"/>
        </w:rPr>
        <w:t xml:space="preserve">10 </w:t>
      </w:r>
      <w:r>
        <w:rPr>
          <w:rFonts w:hint="eastAsia" w:ascii="宋体" w:hAnsi="Calibri" w:cs="宋体"/>
          <w:color w:val="auto"/>
          <w:spacing w:val="-2"/>
          <w:kern w:val="0"/>
          <w:sz w:val="22"/>
          <w:szCs w:val="22"/>
        </w:rPr>
        <w:t>％以外</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不含</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，且导致分部分项工程费总额变化幅度超过</w:t>
      </w:r>
      <w:r>
        <w:rPr>
          <w:rFonts w:ascii="宋体" w:hAnsi="Calibri" w:cs="宋体"/>
          <w:color w:val="auto"/>
          <w:spacing w:val="-2"/>
          <w:kern w:val="0"/>
          <w:sz w:val="22"/>
          <w:szCs w:val="22"/>
        </w:rPr>
        <w:t>1</w:t>
      </w:r>
      <w:r>
        <w:rPr>
          <w:rFonts w:hint="eastAsia" w:ascii="宋体" w:hAnsi="Calibri" w:cs="宋体"/>
          <w:color w:val="auto"/>
          <w:spacing w:val="-2"/>
          <w:kern w:val="0"/>
          <w:sz w:val="22"/>
          <w:szCs w:val="22"/>
        </w:rPr>
        <w:t>％时，超过部分工程量的综合单价由承包人提出，其综合单价按定额计算（管理费、利润取中值）的综合单价×</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中标的投标报价÷招标预算价</w:t>
      </w:r>
      <w:r>
        <w:rPr>
          <w:rFonts w:ascii="宋体" w:hAnsi="Calibri" w:cs="宋体"/>
          <w:color w:val="auto"/>
          <w:spacing w:val="-2"/>
          <w:kern w:val="0"/>
          <w:sz w:val="22"/>
          <w:szCs w:val="22"/>
        </w:rPr>
        <w:t>)</w:t>
      </w:r>
      <w:r>
        <w:rPr>
          <w:rFonts w:hint="eastAsia" w:ascii="宋体" w:hAnsi="Calibri" w:cs="宋体"/>
          <w:color w:val="auto"/>
          <w:spacing w:val="-2"/>
          <w:kern w:val="0"/>
          <w:sz w:val="22"/>
          <w:szCs w:val="22"/>
        </w:rPr>
        <w:t>，其中材料价格有信息价的按合同该新增子项实施期间《南宁市建设工程造价信息》的平均价计取，无信息价时按市场价格共同协商初步确定，新的综合单价经监理人及发包人确认，该子目暂按修正后的新的综合单价执行，最终以甲方委托中介机构审核为准；减少部分工程量的综合单价按中标的综合单价执行，不予调整</w:t>
      </w:r>
      <w:r>
        <w:rPr>
          <w:rFonts w:hint="eastAsia" w:ascii="宋体" w:hAnsi="Calibri" w:cs="宋体"/>
          <w:color w:val="auto"/>
          <w:kern w:val="0"/>
          <w:sz w:val="22"/>
          <w:szCs w:val="22"/>
        </w:rPr>
        <w:t>。</w:t>
      </w:r>
    </w:p>
    <w:p>
      <w:pPr>
        <w:spacing w:after="120" w:line="560" w:lineRule="exact"/>
        <w:ind w:firstLine="420" w:firstLineChars="200"/>
        <w:rPr>
          <w:rFonts w:ascii="宋体" w:hAnsi="宋体"/>
          <w:szCs w:val="21"/>
        </w:rPr>
      </w:pPr>
      <w:r>
        <w:rPr>
          <w:rFonts w:ascii="宋体" w:hAnsi="宋体"/>
          <w:szCs w:val="21"/>
        </w:rPr>
        <w:t>10.5</w:t>
      </w:r>
      <w:r>
        <w:rPr>
          <w:rFonts w:hint="eastAsia" w:ascii="宋体" w:hAnsi="宋体"/>
          <w:szCs w:val="21"/>
        </w:rPr>
        <w:t>承包人的合理化建议</w:t>
      </w:r>
    </w:p>
    <w:p>
      <w:pPr>
        <w:spacing w:line="560" w:lineRule="exact"/>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cs="宋体"/>
          <w:szCs w:val="21"/>
          <w:u w:val="single"/>
        </w:rPr>
        <w:t xml:space="preserve">  7天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cs="宋体"/>
          <w:szCs w:val="21"/>
          <w:u w:val="single"/>
        </w:rPr>
        <w:t xml:space="preserve">  7天  </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承包人提出的合理化建议降低了合同价格或者提高了工程经济效益的奖励的方法和金额为：</w:t>
      </w:r>
      <w:r>
        <w:rPr>
          <w:rFonts w:ascii="宋体" w:hAnsi="宋体"/>
          <w:szCs w:val="21"/>
          <w:u w:val="single"/>
        </w:rPr>
        <w:t xml:space="preserve">                                </w:t>
      </w:r>
    </w:p>
    <w:p>
      <w:pPr>
        <w:spacing w:line="560" w:lineRule="exact"/>
        <w:ind w:firstLine="420" w:firstLineChars="200"/>
        <w:jc w:val="left"/>
        <w:rPr>
          <w:rFonts w:ascii="宋体" w:hAnsi="宋体"/>
          <w:szCs w:val="21"/>
          <w:u w:val="single"/>
        </w:rPr>
      </w:pP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10.7 </w:t>
      </w:r>
      <w:r>
        <w:rPr>
          <w:rFonts w:hint="eastAsia" w:ascii="宋体" w:hAnsi="宋体"/>
          <w:szCs w:val="21"/>
        </w:rPr>
        <w:t>暂估价</w:t>
      </w:r>
    </w:p>
    <w:p>
      <w:pPr>
        <w:spacing w:line="560" w:lineRule="exact"/>
        <w:ind w:firstLine="420" w:firstLineChars="200"/>
        <w:jc w:val="left"/>
        <w:rPr>
          <w:rFonts w:ascii="宋体" w:hAnsi="宋体"/>
          <w:szCs w:val="21"/>
        </w:rPr>
      </w:pPr>
      <w:r>
        <w:rPr>
          <w:rFonts w:hint="eastAsia" w:ascii="宋体" w:hAnsi="宋体"/>
          <w:kern w:val="0"/>
          <w:szCs w:val="21"/>
        </w:rPr>
        <w:t>暂估价材料和工程设备的明细详见附件</w:t>
      </w:r>
      <w:r>
        <w:rPr>
          <w:rFonts w:ascii="宋体" w:hAnsi="宋体"/>
          <w:kern w:val="0"/>
          <w:szCs w:val="21"/>
        </w:rPr>
        <w:t>11</w:t>
      </w:r>
      <w:r>
        <w:rPr>
          <w:rFonts w:hint="eastAsia" w:ascii="宋体" w:hAnsi="宋体"/>
          <w:kern w:val="0"/>
          <w:szCs w:val="21"/>
        </w:rPr>
        <w:t>：《</w:t>
      </w:r>
      <w:r>
        <w:rPr>
          <w:rFonts w:hint="eastAsia" w:ascii="宋体" w:hAnsi="宋体"/>
          <w:szCs w:val="21"/>
        </w:rPr>
        <w:t>暂估价一览表》</w:t>
      </w:r>
      <w:r>
        <w:rPr>
          <w:rFonts w:hint="eastAsia" w:ascii="宋体" w:hAnsi="宋体"/>
          <w:kern w:val="0"/>
          <w:szCs w:val="21"/>
        </w:rPr>
        <w:t>。</w:t>
      </w:r>
    </w:p>
    <w:p>
      <w:pPr>
        <w:spacing w:line="560" w:lineRule="exact"/>
        <w:ind w:firstLine="420" w:firstLineChars="200"/>
        <w:jc w:val="left"/>
        <w:rPr>
          <w:rFonts w:ascii="宋体" w:hAnsi="宋体"/>
          <w:szCs w:val="21"/>
        </w:rPr>
      </w:pPr>
      <w:r>
        <w:rPr>
          <w:rFonts w:ascii="宋体" w:hAnsi="宋体"/>
          <w:szCs w:val="21"/>
        </w:rPr>
        <w:t xml:space="preserve">10.7.1 </w:t>
      </w:r>
      <w:r>
        <w:rPr>
          <w:rFonts w:hint="eastAsia" w:ascii="宋体" w:hAnsi="宋体"/>
          <w:szCs w:val="21"/>
        </w:rPr>
        <w:t>依法必须招标的暂估价项目</w:t>
      </w:r>
    </w:p>
    <w:p>
      <w:pPr>
        <w:spacing w:line="560" w:lineRule="exact"/>
        <w:ind w:firstLine="420" w:firstLineChars="200"/>
        <w:jc w:val="left"/>
        <w:rPr>
          <w:rFonts w:ascii="宋体" w:hAnsi="宋体"/>
          <w:szCs w:val="21"/>
        </w:rPr>
      </w:pPr>
      <w:r>
        <w:rPr>
          <w:rFonts w:hint="eastAsia" w:ascii="宋体" w:hAnsi="宋体"/>
          <w:szCs w:val="21"/>
        </w:rPr>
        <w:t>对于依法必须招标的暂估价项目的确认和批准采取第</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hint="eastAsia" w:ascii="宋体" w:hAnsi="宋体"/>
          <w:szCs w:val="21"/>
        </w:rPr>
        <w:t>种方式确定。</w:t>
      </w:r>
    </w:p>
    <w:p>
      <w:pPr>
        <w:spacing w:line="560" w:lineRule="exact"/>
        <w:ind w:firstLine="420" w:firstLineChars="200"/>
        <w:jc w:val="left"/>
        <w:rPr>
          <w:rFonts w:ascii="宋体" w:hAnsi="宋体"/>
          <w:szCs w:val="21"/>
        </w:rPr>
      </w:pPr>
      <w:r>
        <w:rPr>
          <w:rFonts w:ascii="宋体" w:hAnsi="宋体"/>
          <w:szCs w:val="21"/>
        </w:rPr>
        <w:t xml:space="preserve">10.7.2 </w:t>
      </w:r>
      <w:r>
        <w:rPr>
          <w:rFonts w:hint="eastAsia" w:ascii="宋体" w:hAnsi="宋体"/>
          <w:szCs w:val="21"/>
        </w:rPr>
        <w:t>不属于依法必须招标的暂估价项目</w:t>
      </w:r>
    </w:p>
    <w:p>
      <w:pPr>
        <w:spacing w:line="560" w:lineRule="exact"/>
        <w:ind w:firstLine="420" w:firstLineChars="200"/>
        <w:jc w:val="left"/>
        <w:rPr>
          <w:rFonts w:ascii="宋体" w:hAnsi="宋体"/>
          <w:szCs w:val="21"/>
        </w:rPr>
      </w:pPr>
      <w:r>
        <w:rPr>
          <w:rFonts w:hint="eastAsia" w:ascii="宋体" w:hAnsi="宋体"/>
          <w:szCs w:val="21"/>
        </w:rPr>
        <w:t>对于不属于依法必须招标的暂估价项目的确认和批准采取第</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  </w:t>
      </w:r>
      <w:r>
        <w:rPr>
          <w:rFonts w:hint="eastAsia" w:ascii="宋体" w:hAnsi="宋体"/>
          <w:szCs w:val="21"/>
        </w:rPr>
        <w:t>种方式确定。</w:t>
      </w:r>
    </w:p>
    <w:p>
      <w:pPr>
        <w:spacing w:line="560" w:lineRule="exact"/>
        <w:ind w:firstLine="420" w:firstLineChars="200"/>
        <w:jc w:val="left"/>
        <w:rPr>
          <w:rFonts w:ascii="宋体" w:hAnsi="宋体"/>
          <w:kern w:val="0"/>
          <w:szCs w:val="21"/>
        </w:rPr>
      </w:pPr>
      <w:r>
        <w:rPr>
          <w:rFonts w:hint="eastAsia" w:ascii="宋体" w:hAnsi="宋体"/>
          <w:szCs w:val="21"/>
        </w:rPr>
        <w:t>第</w:t>
      </w:r>
      <w:r>
        <w:rPr>
          <w:rFonts w:ascii="宋体" w:hAnsi="宋体"/>
          <w:szCs w:val="21"/>
        </w:rPr>
        <w:t>3</w:t>
      </w:r>
      <w:r>
        <w:rPr>
          <w:rFonts w:hint="eastAsia" w:ascii="宋体" w:hAnsi="宋体"/>
          <w:szCs w:val="21"/>
        </w:rPr>
        <w:t>种方式：</w:t>
      </w:r>
      <w:r>
        <w:rPr>
          <w:rFonts w:hint="eastAsia" w:ascii="宋体" w:hAnsi="宋体"/>
          <w:kern w:val="0"/>
          <w:szCs w:val="21"/>
        </w:rPr>
        <w:t>承包人直接实施的暂估价项目</w:t>
      </w:r>
    </w:p>
    <w:p>
      <w:pPr>
        <w:spacing w:line="560" w:lineRule="exact"/>
        <w:ind w:firstLine="420" w:firstLineChars="200"/>
        <w:jc w:val="left"/>
        <w:rPr>
          <w:rFonts w:ascii="宋体" w:hAnsi="宋体"/>
          <w:szCs w:val="21"/>
        </w:rPr>
      </w:pPr>
      <w:r>
        <w:rPr>
          <w:rFonts w:hint="eastAsia" w:ascii="宋体" w:hAnsi="宋体"/>
          <w:szCs w:val="21"/>
        </w:rPr>
        <w:t>承包人直接实施的暂估价项目的约定：</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10.8 </w:t>
      </w:r>
      <w:r>
        <w:rPr>
          <w:rFonts w:hint="eastAsia" w:ascii="宋体" w:hAnsi="宋体"/>
          <w:szCs w:val="21"/>
        </w:rPr>
        <w:t>暂列金额</w:t>
      </w:r>
    </w:p>
    <w:p>
      <w:pPr>
        <w:spacing w:line="560" w:lineRule="exact"/>
        <w:ind w:firstLine="420" w:firstLineChars="200"/>
        <w:rPr>
          <w:szCs w:val="21"/>
          <w:u w:val="single"/>
        </w:rPr>
      </w:pPr>
      <w:r>
        <w:rPr>
          <w:rFonts w:hint="eastAsia" w:ascii="宋体" w:hAnsi="宋体"/>
          <w:kern w:val="0"/>
          <w:szCs w:val="21"/>
        </w:rPr>
        <w:t>合同当事人关于暂列金额使用的约定：</w:t>
      </w:r>
      <w:r>
        <w:rPr>
          <w:rFonts w:hint="eastAsia"/>
          <w:szCs w:val="21"/>
          <w:u w:val="single"/>
        </w:rPr>
        <w:t>（</w:t>
      </w:r>
      <w:r>
        <w:rPr>
          <w:szCs w:val="21"/>
          <w:u w:val="single"/>
        </w:rPr>
        <w:t>1</w:t>
      </w:r>
      <w:r>
        <w:rPr>
          <w:rFonts w:hint="eastAsia"/>
          <w:szCs w:val="21"/>
          <w:u w:val="single"/>
        </w:rPr>
        <w:t>）已签约合同价中的暂列金额由发包人掌握使用。</w:t>
      </w:r>
      <w:r>
        <w:rPr>
          <w:szCs w:val="21"/>
          <w:u w:val="single"/>
        </w:rPr>
        <w:t xml:space="preserve"> </w:t>
      </w:r>
    </w:p>
    <w:p>
      <w:pPr>
        <w:spacing w:line="560" w:lineRule="exact"/>
        <w:ind w:firstLine="420" w:firstLineChars="200"/>
        <w:rPr>
          <w:rFonts w:ascii="宋体"/>
          <w:szCs w:val="21"/>
          <w:u w:val="single"/>
        </w:rPr>
      </w:pPr>
      <w:r>
        <w:rPr>
          <w:rFonts w:hint="eastAsia" w:ascii="宋体" w:hAnsi="宋体"/>
          <w:bCs/>
          <w:szCs w:val="21"/>
          <w:u w:val="single"/>
        </w:rPr>
        <w:t>（</w:t>
      </w:r>
      <w:r>
        <w:rPr>
          <w:rFonts w:ascii="宋体" w:hAnsi="宋体"/>
          <w:bCs/>
          <w:szCs w:val="21"/>
          <w:u w:val="single"/>
        </w:rPr>
        <w:t>2</w:t>
      </w:r>
      <w:r>
        <w:rPr>
          <w:rFonts w:hint="eastAsia" w:ascii="宋体" w:hAnsi="宋体"/>
          <w:bCs/>
          <w:szCs w:val="21"/>
          <w:u w:val="single"/>
        </w:rPr>
        <w:t>）发包人按照规定所作支付后，暂列金额如有余额归发包人</w:t>
      </w:r>
      <w:r>
        <w:rPr>
          <w:rFonts w:hint="eastAsia" w:ascii="宋体" w:hAnsi="宋体"/>
          <w:kern w:val="0"/>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11. </w:t>
      </w:r>
      <w:r>
        <w:rPr>
          <w:rFonts w:hint="eastAsia" w:ascii="宋体" w:hAnsi="宋体"/>
          <w:b w:val="0"/>
          <w:sz w:val="21"/>
          <w:szCs w:val="21"/>
        </w:rPr>
        <w:t>价格调整</w:t>
      </w:r>
    </w:p>
    <w:p>
      <w:pPr>
        <w:spacing w:after="120" w:line="560" w:lineRule="exact"/>
        <w:ind w:firstLine="420" w:firstLineChars="200"/>
        <w:rPr>
          <w:rFonts w:ascii="宋体" w:hAnsi="宋体"/>
          <w:szCs w:val="21"/>
        </w:rPr>
      </w:pPr>
      <w:r>
        <w:rPr>
          <w:rFonts w:ascii="宋体" w:hAnsi="宋体"/>
          <w:szCs w:val="21"/>
        </w:rPr>
        <w:t xml:space="preserve">11.1 </w:t>
      </w:r>
      <w:r>
        <w:rPr>
          <w:rFonts w:hint="eastAsia" w:ascii="宋体" w:hAnsi="宋体"/>
          <w:szCs w:val="21"/>
        </w:rPr>
        <w:t>市场价格波动引起的调整</w:t>
      </w:r>
    </w:p>
    <w:p>
      <w:pPr>
        <w:spacing w:line="560" w:lineRule="exact"/>
        <w:ind w:firstLine="420" w:firstLineChars="200"/>
        <w:jc w:val="left"/>
        <w:rPr>
          <w:rFonts w:ascii="宋体" w:hAnsi="宋体"/>
          <w:szCs w:val="21"/>
        </w:rPr>
      </w:pPr>
      <w:r>
        <w:rPr>
          <w:rFonts w:hint="eastAsia" w:ascii="宋体" w:hAnsi="宋体"/>
          <w:kern w:val="0"/>
          <w:szCs w:val="21"/>
        </w:rPr>
        <w:t>市场价格波动是否调整合同价格的约定：</w:t>
      </w:r>
      <w:r>
        <w:rPr>
          <w:rFonts w:ascii="宋体" w:hAnsi="宋体"/>
          <w:szCs w:val="21"/>
          <w:u w:val="single"/>
        </w:rPr>
        <w:t xml:space="preserve">   </w:t>
      </w:r>
      <w:r>
        <w:rPr>
          <w:rFonts w:hint="eastAsia" w:ascii="宋体" w:hAnsi="宋体"/>
          <w:szCs w:val="21"/>
          <w:u w:val="single"/>
        </w:rPr>
        <w:t>不调整</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因市场价格波动调整合同价格，采用以下第</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种方式对合同价格进行调整：</w:t>
      </w:r>
    </w:p>
    <w:p>
      <w:pPr>
        <w:spacing w:line="560" w:lineRule="exact"/>
        <w:ind w:firstLine="420" w:firstLineChars="200"/>
        <w:jc w:val="left"/>
        <w:rPr>
          <w:rFonts w:ascii="宋体" w:hAnsi="宋体"/>
          <w:szCs w:val="21"/>
        </w:rPr>
      </w:pPr>
      <w:r>
        <w:rPr>
          <w:rFonts w:hint="eastAsia" w:ascii="宋体" w:hAnsi="宋体"/>
          <w:szCs w:val="21"/>
        </w:rPr>
        <w:t>第</w:t>
      </w:r>
      <w:r>
        <w:rPr>
          <w:rFonts w:ascii="宋体" w:hAnsi="宋体"/>
          <w:szCs w:val="21"/>
        </w:rPr>
        <w:t>1</w:t>
      </w:r>
      <w:r>
        <w:rPr>
          <w:rFonts w:hint="eastAsia" w:ascii="宋体" w:hAnsi="宋体"/>
          <w:szCs w:val="21"/>
        </w:rPr>
        <w:t>种方式：采用价格指数进行价格调整。</w:t>
      </w:r>
    </w:p>
    <w:p>
      <w:pPr>
        <w:spacing w:line="560" w:lineRule="exact"/>
        <w:ind w:firstLine="420" w:firstLineChars="200"/>
        <w:jc w:val="left"/>
        <w:rPr>
          <w:rFonts w:ascii="宋体" w:hAnsi="宋体"/>
          <w:szCs w:val="21"/>
          <w:u w:val="single"/>
        </w:rPr>
      </w:pPr>
      <w:r>
        <w:rPr>
          <w:rFonts w:hint="eastAsia" w:ascii="宋体" w:hAnsi="宋体"/>
          <w:szCs w:val="21"/>
        </w:rPr>
        <w:t>关于各可调因子、定值和变值权重，以及基本价格指数及其来源的约定：</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第</w:t>
      </w:r>
      <w:r>
        <w:rPr>
          <w:rFonts w:ascii="宋体" w:hAnsi="宋体"/>
          <w:szCs w:val="21"/>
        </w:rPr>
        <w:t>2</w:t>
      </w:r>
      <w:r>
        <w:rPr>
          <w:rFonts w:hint="eastAsia" w:ascii="宋体" w:hAnsi="宋体"/>
          <w:szCs w:val="21"/>
        </w:rPr>
        <w:t>种方式：采用造价信息进行价格调整。</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）关于基准价格的约定：</w:t>
      </w:r>
      <w:r>
        <w:rPr>
          <w:rFonts w:ascii="宋体" w:hAnsi="宋体"/>
          <w:szCs w:val="21"/>
          <w:u w:val="single"/>
        </w:rPr>
        <w:t xml:space="preserve">  </w:t>
      </w:r>
      <w:r>
        <w:rPr>
          <w:rFonts w:hint="eastAsia" w:ascii="宋体" w:hAnsi="宋体"/>
          <w:szCs w:val="21"/>
          <w:u w:val="single"/>
        </w:rPr>
        <w:t xml:space="preserve">无 </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专用合同条款</w:t>
      </w:r>
      <w:r>
        <w:rPr>
          <w:rFonts w:hint="eastAsia" w:ascii="宋体" w:hAnsi="宋体" w:cs="宋体"/>
          <w:szCs w:val="21"/>
        </w:rPr>
        <w:t>①</w:t>
      </w:r>
      <w:r>
        <w:rPr>
          <w:rFonts w:hint="eastAsia" w:ascii="宋体" w:hAnsi="宋体"/>
          <w:szCs w:val="21"/>
        </w:rPr>
        <w:t>承包人在已标价工程量清单或预算书中载明的材料单价低于基准价格的：专用合同条款合同履行期间材料单价涨幅以基准价格为基础超过</w:t>
      </w:r>
      <w:r>
        <w:rPr>
          <w:rFonts w:ascii="宋体" w:hAnsi="宋体"/>
          <w:szCs w:val="21"/>
          <w:u w:val="single"/>
        </w:rPr>
        <w:t xml:space="preserve"> </w:t>
      </w:r>
      <w:r>
        <w:rPr>
          <w:rFonts w:hint="eastAsia" w:ascii="宋体" w:hAnsi="宋体"/>
          <w:szCs w:val="21"/>
          <w:u w:val="single"/>
        </w:rPr>
        <w:t>1</w:t>
      </w:r>
      <w:r>
        <w:rPr>
          <w:rFonts w:ascii="宋体" w:hAnsi="宋体"/>
          <w:szCs w:val="21"/>
          <w:u w:val="single"/>
        </w:rPr>
        <w:t>5</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时，或材料单价跌幅以已标价工程量清单或预算书中载明材料单价为基础超过</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5 </w:t>
      </w:r>
      <w:r>
        <w:rPr>
          <w:rFonts w:ascii="宋体" w:hAnsi="宋体"/>
          <w:szCs w:val="21"/>
        </w:rPr>
        <w:t>%</w:t>
      </w:r>
      <w:r>
        <w:rPr>
          <w:rFonts w:hint="eastAsia" w:ascii="宋体" w:hAnsi="宋体"/>
          <w:szCs w:val="21"/>
        </w:rPr>
        <w:t>时，其超过部分据实调整。</w:t>
      </w:r>
    </w:p>
    <w:p>
      <w:pPr>
        <w:spacing w:line="560" w:lineRule="exact"/>
        <w:ind w:firstLine="420" w:firstLineChars="200"/>
        <w:jc w:val="left"/>
        <w:rPr>
          <w:rFonts w:ascii="宋体" w:hAnsi="宋体"/>
          <w:szCs w:val="21"/>
        </w:rPr>
      </w:pPr>
      <w:r>
        <w:rPr>
          <w:rFonts w:hint="eastAsia" w:ascii="宋体" w:hAnsi="宋体" w:cs="宋体"/>
          <w:szCs w:val="21"/>
        </w:rPr>
        <w:t>②</w:t>
      </w:r>
      <w:r>
        <w:rPr>
          <w:rFonts w:hint="eastAsia" w:ascii="宋体" w:hAnsi="宋体"/>
          <w:szCs w:val="21"/>
        </w:rPr>
        <w:t>承包人在已标价工程量清单或预算书中载明的材料单价高于基准价格的：专用合同条款合同履行期间材料单价跌幅以基准价格为基础超过</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5  </w:t>
      </w:r>
      <w:r>
        <w:rPr>
          <w:rFonts w:ascii="宋体" w:hAnsi="宋体"/>
          <w:szCs w:val="21"/>
        </w:rPr>
        <w:t>%</w:t>
      </w:r>
      <w:r>
        <w:rPr>
          <w:rFonts w:hint="eastAsia" w:ascii="宋体" w:hAnsi="宋体"/>
          <w:szCs w:val="21"/>
        </w:rPr>
        <w:t>时，材料单价涨幅以已标价工程量清单或预算书中载明材料单价为基础超过</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5 </w:t>
      </w:r>
      <w:r>
        <w:rPr>
          <w:rFonts w:ascii="宋体" w:hAnsi="宋体"/>
          <w:szCs w:val="21"/>
        </w:rPr>
        <w:t>%</w:t>
      </w:r>
      <w:r>
        <w:rPr>
          <w:rFonts w:hint="eastAsia" w:ascii="宋体" w:hAnsi="宋体"/>
          <w:szCs w:val="21"/>
        </w:rPr>
        <w:t>时，其超过部分据实调整。</w:t>
      </w:r>
    </w:p>
    <w:p>
      <w:pPr>
        <w:spacing w:line="560" w:lineRule="exact"/>
        <w:ind w:firstLine="420" w:firstLineChars="200"/>
        <w:jc w:val="left"/>
        <w:rPr>
          <w:rFonts w:ascii="宋体" w:hAnsi="宋体"/>
          <w:szCs w:val="21"/>
        </w:rPr>
      </w:pPr>
      <w:r>
        <w:rPr>
          <w:rFonts w:hint="eastAsia" w:ascii="宋体" w:hAnsi="宋体" w:cs="宋体"/>
          <w:szCs w:val="21"/>
        </w:rPr>
        <w:t>③</w:t>
      </w:r>
      <w:r>
        <w:rPr>
          <w:rFonts w:hint="eastAsia" w:ascii="宋体" w:hAnsi="宋体"/>
          <w:szCs w:val="21"/>
        </w:rPr>
        <w:t>承包人在已标价工程量清单或预算书中载明的材料单价等于基准单价的：专用合同条款合同履行期间材料单价涨跌幅以基准单价为基础超过</w:t>
      </w:r>
      <w:r>
        <w:rPr>
          <w:rFonts w:ascii="宋体" w:hAnsi="宋体"/>
          <w:szCs w:val="21"/>
        </w:rPr>
        <w:t>±</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5  </w:t>
      </w:r>
      <w:r>
        <w:rPr>
          <w:rFonts w:ascii="宋体" w:hAnsi="宋体"/>
          <w:szCs w:val="21"/>
        </w:rPr>
        <w:t>%</w:t>
      </w:r>
      <w:r>
        <w:rPr>
          <w:rFonts w:hint="eastAsia" w:ascii="宋体" w:hAnsi="宋体"/>
          <w:szCs w:val="21"/>
        </w:rPr>
        <w:t>时，其超过部分据实调整。</w:t>
      </w:r>
    </w:p>
    <w:p>
      <w:pPr>
        <w:spacing w:line="560" w:lineRule="exact"/>
        <w:ind w:firstLine="420" w:firstLineChars="200"/>
        <w:jc w:val="left"/>
        <w:rPr>
          <w:rFonts w:ascii="宋体" w:hAnsi="宋体"/>
          <w:szCs w:val="21"/>
        </w:rPr>
      </w:pPr>
      <w:r>
        <w:rPr>
          <w:rFonts w:hint="eastAsia" w:ascii="宋体" w:hAnsi="宋体"/>
          <w:szCs w:val="21"/>
        </w:rPr>
        <w:t>第</w:t>
      </w:r>
      <w:r>
        <w:rPr>
          <w:rFonts w:ascii="宋体" w:hAnsi="宋体"/>
          <w:szCs w:val="21"/>
        </w:rPr>
        <w:t>3</w:t>
      </w:r>
      <w:r>
        <w:rPr>
          <w:rFonts w:hint="eastAsia" w:ascii="宋体" w:hAnsi="宋体"/>
          <w:szCs w:val="21"/>
        </w:rPr>
        <w:t>种方式：其他价格调整方式：</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11.2  不平衡报价调整方式</w:t>
      </w:r>
    </w:p>
    <w:p>
      <w:pPr>
        <w:spacing w:line="560" w:lineRule="exact"/>
        <w:ind w:firstLine="420" w:firstLineChars="200"/>
        <w:jc w:val="left"/>
        <w:rPr>
          <w:rFonts w:ascii="宋体" w:hAnsi="宋体"/>
          <w:szCs w:val="21"/>
          <w:u w:val="single"/>
        </w:rPr>
      </w:pPr>
      <w:r>
        <w:rPr>
          <w:rFonts w:hint="eastAsia" w:ascii="宋体" w:hAnsi="宋体"/>
          <w:szCs w:val="21"/>
          <w:u w:val="single"/>
        </w:rPr>
        <w:t>严重不平衡报价的范围，投标报价综合单价高于招标控制价相应子目综合单价的120%，或低于招标控制价相应子目综合单价的80%；竣工结算时，高于招标控制价综合单价120%的严重不平衡报价项目，按招标控制价相应子目综合单价的120%进行修正并结算；低于招标控制价综合单价80%的项目，按投标综合单价结算。</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12. </w:t>
      </w:r>
      <w:r>
        <w:rPr>
          <w:rFonts w:hint="eastAsia" w:ascii="宋体" w:hAnsi="宋体"/>
          <w:b w:val="0"/>
          <w:sz w:val="21"/>
          <w:szCs w:val="21"/>
        </w:rPr>
        <w:t>合同价格、计量与支付</w:t>
      </w:r>
    </w:p>
    <w:p>
      <w:pPr>
        <w:pStyle w:val="5"/>
        <w:spacing w:line="560" w:lineRule="exact"/>
        <w:ind w:firstLine="422" w:firstLineChars="200"/>
        <w:rPr>
          <w:rFonts w:asciiTheme="minorEastAsia" w:hAnsiTheme="minorEastAsia" w:eastAsiaTheme="minorEastAsia" w:cstheme="minorEastAsia"/>
          <w:sz w:val="21"/>
          <w:szCs w:val="21"/>
        </w:rPr>
      </w:pPr>
      <w:bookmarkStart w:id="227" w:name="_Toc16232327"/>
      <w:r>
        <w:rPr>
          <w:rFonts w:hint="eastAsia" w:asciiTheme="minorEastAsia" w:hAnsiTheme="minorEastAsia" w:eastAsiaTheme="minorEastAsia" w:cstheme="minorEastAsia"/>
          <w:sz w:val="21"/>
          <w:szCs w:val="21"/>
        </w:rPr>
        <w:t>12.1 合同价格形式：</w:t>
      </w:r>
      <w:r>
        <w:rPr>
          <w:rFonts w:hint="eastAsia" w:asciiTheme="minorEastAsia" w:hAnsiTheme="minorEastAsia" w:eastAsiaTheme="minorEastAsia" w:cstheme="minorEastAsia"/>
          <w:b w:val="0"/>
          <w:sz w:val="21"/>
          <w:szCs w:val="21"/>
        </w:rPr>
        <w:t>本项目采用</w:t>
      </w:r>
      <w:r>
        <w:rPr>
          <w:rFonts w:hint="eastAsia" w:asciiTheme="minorEastAsia" w:hAnsiTheme="minorEastAsia" w:eastAsiaTheme="minorEastAsia" w:cstheme="minorEastAsia"/>
          <w:b w:val="0"/>
          <w:sz w:val="21"/>
          <w:szCs w:val="21"/>
          <w:u w:val="single"/>
        </w:rPr>
        <w:t xml:space="preserve">单价合同 </w:t>
      </w:r>
      <w:r>
        <w:rPr>
          <w:rFonts w:hint="eastAsia" w:asciiTheme="minorEastAsia" w:hAnsiTheme="minorEastAsia" w:eastAsiaTheme="minorEastAsia" w:cstheme="minorEastAsia"/>
          <w:b w:val="0"/>
          <w:sz w:val="21"/>
          <w:szCs w:val="21"/>
        </w:rPr>
        <w:t>形式，合同价款采用</w:t>
      </w:r>
      <w:r>
        <w:rPr>
          <w:rFonts w:hint="eastAsia" w:asciiTheme="minorEastAsia" w:hAnsiTheme="minorEastAsia" w:eastAsiaTheme="minorEastAsia" w:cstheme="minorEastAsia"/>
          <w:b w:val="0"/>
          <w:sz w:val="21"/>
          <w:szCs w:val="21"/>
          <w:u w:val="single"/>
        </w:rPr>
        <w:t>（1）</w:t>
      </w:r>
      <w:r>
        <w:rPr>
          <w:rFonts w:hint="eastAsia" w:asciiTheme="minorEastAsia" w:hAnsiTheme="minorEastAsia" w:eastAsiaTheme="minorEastAsia" w:cstheme="minorEastAsia"/>
          <w:b w:val="0"/>
          <w:sz w:val="21"/>
          <w:szCs w:val="21"/>
        </w:rPr>
        <w:t>方式确定。</w:t>
      </w:r>
      <w:bookmarkEnd w:id="227"/>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（1）单价合同。</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本合同价款采用</w:t>
      </w:r>
      <w:r>
        <w:rPr>
          <w:rFonts w:hint="eastAsia" w:asciiTheme="minorEastAsia" w:hAnsiTheme="minorEastAsia" w:eastAsiaTheme="minorEastAsia" w:cstheme="minorEastAsia"/>
          <w:szCs w:val="21"/>
          <w:u w:val="single"/>
        </w:rPr>
        <w:t>固定综合单价</w:t>
      </w:r>
      <w:r>
        <w:rPr>
          <w:rFonts w:hint="eastAsia" w:asciiTheme="minorEastAsia" w:hAnsiTheme="minorEastAsia" w:eastAsiaTheme="minorEastAsia" w:cstheme="minorEastAsia"/>
          <w:szCs w:val="21"/>
        </w:rPr>
        <w:t>方式确定。</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综合单价包含的风险范围：</w:t>
      </w:r>
      <w:r>
        <w:rPr>
          <w:rFonts w:hint="eastAsia" w:asciiTheme="minorEastAsia" w:hAnsiTheme="minorEastAsia" w:eastAsiaTheme="minorEastAsia" w:cstheme="minorEastAsia"/>
          <w:szCs w:val="21"/>
          <w:u w:val="single"/>
        </w:rPr>
        <w:t>除工程变更、项目特征不符、工程量清单缺项、工程量偏差、政策性调整以外的风险。</w:t>
      </w:r>
    </w:p>
    <w:p>
      <w:pPr>
        <w:adjustRightInd w:val="0"/>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风险范围以外合同价格的调整方法：</w:t>
      </w:r>
      <w:r>
        <w:rPr>
          <w:rFonts w:hint="eastAsia" w:asciiTheme="minorEastAsia" w:hAnsiTheme="minorEastAsia" w:eastAsiaTheme="minorEastAsia" w:cstheme="minorEastAsia"/>
          <w:kern w:val="0"/>
          <w:szCs w:val="21"/>
          <w:u w:val="single"/>
        </w:rPr>
        <w:t>按照本合同【变更估价原则】约定调整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adjustRightInd w:val="0"/>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①工程变更：按10.4.1变更估价原则的约定调整。</w:t>
      </w:r>
    </w:p>
    <w:p>
      <w:pPr>
        <w:adjustRightInd w:val="0"/>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②政策性调整：按自治区建设行政主管部门颁布的文件执行。</w:t>
      </w:r>
    </w:p>
    <w:p>
      <w:pPr>
        <w:pStyle w:val="21"/>
        <w:spacing w:line="56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③材料价格风险：按11.1的约定调整。</w:t>
      </w:r>
    </w:p>
    <w:p>
      <w:pPr>
        <w:spacing w:line="560" w:lineRule="exact"/>
        <w:ind w:firstLine="420" w:firstLineChars="200"/>
        <w:jc w:val="left"/>
        <w:rPr>
          <w:rFonts w:ascii="宋体" w:hAnsi="宋体"/>
          <w:szCs w:val="21"/>
        </w:rPr>
      </w:pPr>
      <w:r>
        <w:rPr>
          <w:rFonts w:ascii="宋体" w:hAnsi="宋体"/>
          <w:szCs w:val="21"/>
        </w:rPr>
        <w:t>④其它：</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pPr>
        <w:spacing w:line="560" w:lineRule="exact"/>
        <w:ind w:firstLine="420" w:firstLineChars="200"/>
        <w:jc w:val="left"/>
        <w:rPr>
          <w:rFonts w:ascii="宋体" w:hAnsi="宋体"/>
          <w:szCs w:val="21"/>
        </w:rPr>
      </w:pPr>
      <w:r>
        <w:rPr>
          <w:rFonts w:ascii="宋体" w:hAnsi="宋体"/>
          <w:szCs w:val="21"/>
        </w:rPr>
        <w:t>总价包含的风险范围：</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560" w:lineRule="exact"/>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其他价格方式：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12.2 </w:t>
      </w:r>
      <w:r>
        <w:rPr>
          <w:rFonts w:hint="eastAsia" w:ascii="宋体" w:hAnsi="宋体"/>
          <w:szCs w:val="21"/>
        </w:rPr>
        <w:t>预付款</w:t>
      </w:r>
    </w:p>
    <w:p>
      <w:pPr>
        <w:spacing w:line="560" w:lineRule="exact"/>
        <w:ind w:firstLine="420" w:firstLineChars="200"/>
        <w:jc w:val="left"/>
        <w:rPr>
          <w:rFonts w:ascii="宋体" w:hAnsi="宋体"/>
          <w:color w:val="auto"/>
          <w:szCs w:val="21"/>
        </w:rPr>
      </w:pPr>
      <w:r>
        <w:rPr>
          <w:rFonts w:ascii="宋体" w:hAnsi="宋体"/>
          <w:color w:val="auto"/>
          <w:szCs w:val="21"/>
        </w:rPr>
        <w:t xml:space="preserve">12.2.1 </w:t>
      </w:r>
      <w:r>
        <w:rPr>
          <w:rFonts w:hint="eastAsia" w:ascii="宋体" w:hAnsi="宋体"/>
          <w:color w:val="auto"/>
          <w:szCs w:val="21"/>
        </w:rPr>
        <w:t>预付款的支付</w:t>
      </w:r>
    </w:p>
    <w:p>
      <w:pPr>
        <w:spacing w:line="560" w:lineRule="exact"/>
        <w:ind w:firstLine="420" w:firstLineChars="200"/>
        <w:jc w:val="left"/>
        <w:rPr>
          <w:rFonts w:ascii="宋体" w:hAnsi="宋体"/>
          <w:color w:val="auto"/>
          <w:szCs w:val="21"/>
        </w:rPr>
      </w:pPr>
      <w:r>
        <w:rPr>
          <w:rFonts w:hint="eastAsia" w:ascii="宋体" w:hAnsi="宋体"/>
          <w:color w:val="auto"/>
          <w:szCs w:val="21"/>
        </w:rPr>
        <w:t>预付款支付比例或金额：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预付款支付期限：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预付款扣回的方式：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ascii="宋体" w:hAnsi="宋体"/>
          <w:color w:val="auto"/>
          <w:szCs w:val="21"/>
        </w:rPr>
        <w:t xml:space="preserve">12.2.2 </w:t>
      </w:r>
      <w:r>
        <w:rPr>
          <w:rFonts w:hint="eastAsia" w:ascii="宋体" w:hAnsi="宋体"/>
          <w:color w:val="auto"/>
          <w:szCs w:val="21"/>
        </w:rPr>
        <w:t>预付款担保</w:t>
      </w:r>
    </w:p>
    <w:p>
      <w:pPr>
        <w:spacing w:line="560" w:lineRule="exact"/>
        <w:ind w:firstLine="420" w:firstLineChars="200"/>
        <w:jc w:val="left"/>
        <w:rPr>
          <w:rFonts w:ascii="宋体" w:hAnsi="宋体"/>
          <w:color w:val="auto"/>
          <w:szCs w:val="21"/>
        </w:rPr>
      </w:pPr>
      <w:r>
        <w:rPr>
          <w:rFonts w:hint="eastAsia"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预付款担保的形式为：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预付款担保格式见合同附件9。</w:t>
      </w:r>
    </w:p>
    <w:p>
      <w:pPr>
        <w:spacing w:after="120" w:line="560" w:lineRule="exact"/>
        <w:ind w:firstLine="420" w:firstLineChars="200"/>
        <w:rPr>
          <w:rFonts w:ascii="宋体" w:hAnsi="宋体"/>
          <w:szCs w:val="21"/>
        </w:rPr>
      </w:pPr>
      <w:r>
        <w:rPr>
          <w:rFonts w:ascii="宋体" w:hAnsi="宋体"/>
          <w:szCs w:val="21"/>
        </w:rPr>
        <w:t xml:space="preserve">12.3 </w:t>
      </w:r>
      <w:r>
        <w:rPr>
          <w:rFonts w:hint="eastAsia" w:ascii="宋体" w:hAnsi="宋体"/>
          <w:szCs w:val="21"/>
        </w:rPr>
        <w:t>计量</w:t>
      </w:r>
    </w:p>
    <w:p>
      <w:pPr>
        <w:spacing w:line="560" w:lineRule="exact"/>
        <w:ind w:firstLine="420" w:firstLineChars="200"/>
        <w:jc w:val="left"/>
        <w:rPr>
          <w:rFonts w:ascii="宋体" w:hAnsi="宋体"/>
          <w:szCs w:val="21"/>
        </w:rPr>
      </w:pPr>
      <w:r>
        <w:rPr>
          <w:rFonts w:ascii="宋体" w:hAnsi="宋体"/>
          <w:szCs w:val="21"/>
        </w:rPr>
        <w:t xml:space="preserve">12.3.1 </w:t>
      </w:r>
      <w:r>
        <w:rPr>
          <w:rFonts w:hint="eastAsia" w:ascii="宋体" w:hAnsi="宋体"/>
          <w:szCs w:val="21"/>
        </w:rPr>
        <w:t>计量原则</w:t>
      </w:r>
    </w:p>
    <w:p>
      <w:pPr>
        <w:spacing w:line="560" w:lineRule="exact"/>
        <w:ind w:firstLine="420" w:firstLineChars="200"/>
        <w:rPr>
          <w:rFonts w:ascii="宋体" w:hAnsi="宋体"/>
          <w:szCs w:val="21"/>
          <w:u w:val="single"/>
        </w:rPr>
      </w:pPr>
      <w:r>
        <w:rPr>
          <w:rFonts w:hint="eastAsia" w:ascii="宋体" w:hAnsi="宋体"/>
          <w:szCs w:val="21"/>
        </w:rPr>
        <w:t>工程量计算规则：</w:t>
      </w:r>
      <w:r>
        <w:rPr>
          <w:rFonts w:hint="eastAsia" w:ascii="宋体" w:hAnsi="宋体"/>
          <w:szCs w:val="21"/>
          <w:u w:val="single"/>
        </w:rPr>
        <w:t>实际完成的工程量按国家标准《建设工程工程量清单计价规范》（GB50500－2013）和及其广西壮族自治区实施细则、《建设工程工程量清单计算规范》（GB50854~50862－2013）及其广西实施细则、本工程补充项目清单为准。</w:t>
      </w:r>
    </w:p>
    <w:p>
      <w:pPr>
        <w:spacing w:line="560" w:lineRule="exact"/>
        <w:ind w:firstLine="420" w:firstLineChars="200"/>
        <w:jc w:val="left"/>
        <w:rPr>
          <w:rFonts w:ascii="宋体" w:hAnsi="宋体"/>
          <w:szCs w:val="21"/>
        </w:rPr>
      </w:pPr>
      <w:r>
        <w:rPr>
          <w:rFonts w:ascii="宋体" w:hAnsi="宋体"/>
          <w:szCs w:val="21"/>
        </w:rPr>
        <w:t xml:space="preserve">12.3.2 </w:t>
      </w:r>
      <w:r>
        <w:rPr>
          <w:rFonts w:hint="eastAsia" w:ascii="宋体" w:hAnsi="宋体"/>
          <w:szCs w:val="21"/>
        </w:rPr>
        <w:t>计量周期</w:t>
      </w:r>
    </w:p>
    <w:p>
      <w:pPr>
        <w:spacing w:line="560" w:lineRule="exact"/>
        <w:ind w:firstLine="420" w:firstLineChars="200"/>
        <w:jc w:val="left"/>
        <w:rPr>
          <w:rFonts w:ascii="宋体" w:hAnsi="宋体"/>
          <w:szCs w:val="21"/>
        </w:rPr>
      </w:pPr>
      <w:r>
        <w:rPr>
          <w:rFonts w:hint="eastAsia" w:ascii="宋体" w:hAnsi="宋体"/>
          <w:szCs w:val="21"/>
        </w:rPr>
        <w:t>关于计量周期的约定：</w:t>
      </w:r>
      <w:r>
        <w:rPr>
          <w:rFonts w:ascii="宋体" w:hAnsi="宋体"/>
          <w:szCs w:val="21"/>
          <w:u w:val="single"/>
        </w:rPr>
        <w:t xml:space="preserve">     每月25日前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 xml:space="preserve">12.3.3 </w:t>
      </w:r>
      <w:r>
        <w:rPr>
          <w:rFonts w:hint="eastAsia" w:ascii="宋体" w:hAnsi="宋体"/>
          <w:szCs w:val="21"/>
        </w:rPr>
        <w:t>单价合同的计量</w:t>
      </w:r>
    </w:p>
    <w:p>
      <w:pPr>
        <w:spacing w:line="560" w:lineRule="exact"/>
        <w:ind w:firstLine="420" w:firstLineChars="200"/>
        <w:rPr>
          <w:rFonts w:ascii="宋体" w:hAnsi="宋体"/>
          <w:szCs w:val="21"/>
        </w:rPr>
      </w:pPr>
      <w:r>
        <w:rPr>
          <w:rFonts w:hint="eastAsia" w:ascii="宋体" w:hAnsi="宋体"/>
          <w:szCs w:val="21"/>
        </w:rPr>
        <w:t>关于单价合同计量的约定：</w:t>
      </w: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pPr>
        <w:spacing w:line="560" w:lineRule="exact"/>
        <w:ind w:firstLine="420" w:firstLineChars="20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560" w:lineRule="exact"/>
        <w:ind w:firstLine="420" w:firstLineChars="200"/>
        <w:jc w:val="left"/>
        <w:rPr>
          <w:rFonts w:ascii="宋体" w:hAnsi="宋体"/>
          <w:szCs w:val="21"/>
        </w:rPr>
      </w:pPr>
      <w:r>
        <w:rPr>
          <w:rFonts w:ascii="宋体" w:hAnsi="宋体"/>
          <w:szCs w:val="21"/>
        </w:rPr>
        <w:t xml:space="preserve">12.3.4 </w:t>
      </w:r>
      <w:r>
        <w:rPr>
          <w:rFonts w:hint="eastAsia" w:ascii="宋体" w:hAnsi="宋体"/>
          <w:szCs w:val="21"/>
        </w:rPr>
        <w:t>总价合同的计量</w:t>
      </w:r>
    </w:p>
    <w:p>
      <w:pPr>
        <w:spacing w:line="560" w:lineRule="exact"/>
        <w:ind w:firstLine="420" w:firstLineChars="200"/>
        <w:jc w:val="left"/>
        <w:rPr>
          <w:rFonts w:ascii="宋体" w:hAnsi="宋体"/>
          <w:szCs w:val="21"/>
        </w:rPr>
      </w:pPr>
      <w:r>
        <w:rPr>
          <w:rFonts w:hint="eastAsia" w:ascii="宋体" w:hAnsi="宋体"/>
          <w:szCs w:val="21"/>
        </w:rPr>
        <w:t>关于总价合同计量的约定：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12.3.5</w:t>
      </w:r>
      <w:r>
        <w:rPr>
          <w:rFonts w:hint="eastAsia" w:ascii="宋体" w:hAnsi="宋体"/>
          <w:szCs w:val="21"/>
        </w:rPr>
        <w:t>总价合同采用支付分解表计量支付的，是否适用第</w:t>
      </w:r>
      <w:r>
        <w:rPr>
          <w:rFonts w:ascii="宋体" w:hAnsi="宋体"/>
          <w:kern w:val="0"/>
          <w:szCs w:val="21"/>
        </w:rPr>
        <w:t xml:space="preserve">12.3.4 </w:t>
      </w:r>
      <w:r>
        <w:rPr>
          <w:rFonts w:hint="eastAsia" w:ascii="宋体" w:hAnsi="宋体"/>
          <w:szCs w:val="21"/>
        </w:rPr>
        <w:t>项</w:t>
      </w:r>
      <w:r>
        <w:rPr>
          <w:rFonts w:hint="eastAsia" w:ascii="宋体" w:hAnsi="宋体"/>
          <w:kern w:val="0"/>
          <w:szCs w:val="21"/>
        </w:rPr>
        <w:t>〔总价合同的计量〕</w:t>
      </w:r>
      <w:r>
        <w:rPr>
          <w:rFonts w:hint="eastAsia" w:ascii="宋体" w:hAnsi="宋体"/>
          <w:szCs w:val="21"/>
        </w:rPr>
        <w:t>约定进行计量：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 xml:space="preserve">12.3.6 </w:t>
      </w:r>
      <w:r>
        <w:rPr>
          <w:rFonts w:hint="eastAsia" w:ascii="宋体" w:hAnsi="宋体"/>
          <w:szCs w:val="21"/>
        </w:rPr>
        <w:t>其他价格形式合同的计量</w:t>
      </w:r>
    </w:p>
    <w:p>
      <w:pPr>
        <w:spacing w:line="560" w:lineRule="exact"/>
        <w:ind w:firstLine="420" w:firstLineChars="200"/>
        <w:jc w:val="left"/>
        <w:rPr>
          <w:rFonts w:ascii="宋体" w:hAnsi="宋体"/>
          <w:szCs w:val="21"/>
          <w:u w:val="single"/>
        </w:rPr>
      </w:pPr>
      <w:r>
        <w:rPr>
          <w:rFonts w:hint="eastAsia" w:ascii="宋体" w:hAnsi="宋体"/>
          <w:szCs w:val="21"/>
        </w:rPr>
        <w:t>其他价格形式的计量方式和程序：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12.4 </w:t>
      </w:r>
      <w:r>
        <w:rPr>
          <w:rFonts w:hint="eastAsia" w:ascii="宋体" w:hAnsi="宋体"/>
          <w:szCs w:val="21"/>
        </w:rPr>
        <w:t>工程进度款支付</w:t>
      </w:r>
    </w:p>
    <w:p>
      <w:pPr>
        <w:spacing w:line="560" w:lineRule="exact"/>
        <w:ind w:firstLine="420" w:firstLineChars="200"/>
        <w:jc w:val="left"/>
        <w:rPr>
          <w:rFonts w:ascii="宋体" w:hAnsi="宋体"/>
          <w:color w:val="0000FF"/>
          <w:szCs w:val="21"/>
        </w:rPr>
      </w:pPr>
      <w:r>
        <w:rPr>
          <w:rFonts w:ascii="宋体" w:hAnsi="宋体"/>
          <w:szCs w:val="21"/>
        </w:rPr>
        <w:t xml:space="preserve">12.4.1 </w:t>
      </w:r>
      <w:r>
        <w:rPr>
          <w:rFonts w:hint="eastAsia" w:ascii="宋体" w:hAnsi="宋体"/>
          <w:szCs w:val="21"/>
        </w:rPr>
        <w:t>付款周期</w:t>
      </w:r>
    </w:p>
    <w:p>
      <w:pPr>
        <w:spacing w:line="560" w:lineRule="exact"/>
        <w:ind w:firstLine="420" w:firstLineChars="200"/>
        <w:jc w:val="left"/>
        <w:rPr>
          <w:bCs/>
          <w:color w:val="auto"/>
        </w:rPr>
      </w:pPr>
      <w:r>
        <w:rPr>
          <w:rFonts w:hint="eastAsia" w:ascii="宋体" w:hAnsi="宋体"/>
          <w:color w:val="auto"/>
        </w:rPr>
        <w:t>关于付款周期的约定：</w:t>
      </w:r>
      <w:r>
        <w:rPr>
          <w:rFonts w:ascii="宋体" w:hAnsi="宋体"/>
          <w:color w:val="auto"/>
          <w:u w:val="single"/>
        </w:rPr>
        <w:t xml:space="preserve">  </w:t>
      </w:r>
      <w:r>
        <w:rPr>
          <w:rFonts w:hint="eastAsia" w:asciiTheme="minorEastAsia" w:hAnsiTheme="minorEastAsia" w:eastAsiaTheme="minorEastAsia"/>
          <w:b/>
          <w:color w:val="auto"/>
          <w:szCs w:val="21"/>
          <w:u w:val="single"/>
        </w:rPr>
        <w:t>合同签订后</w:t>
      </w:r>
      <w:r>
        <w:rPr>
          <w:rFonts w:asciiTheme="minorEastAsia" w:hAnsiTheme="minorEastAsia" w:eastAsiaTheme="minorEastAsia"/>
          <w:b/>
          <w:color w:val="auto"/>
          <w:szCs w:val="21"/>
          <w:u w:val="single"/>
        </w:rPr>
        <w:t>7</w:t>
      </w:r>
      <w:r>
        <w:rPr>
          <w:rFonts w:hint="eastAsia" w:asciiTheme="minorEastAsia" w:hAnsiTheme="minorEastAsia" w:eastAsiaTheme="minorEastAsia"/>
          <w:b/>
          <w:color w:val="auto"/>
          <w:szCs w:val="21"/>
          <w:u w:val="single"/>
        </w:rPr>
        <w:t>日内，招标人支付合同金额的</w:t>
      </w:r>
      <w:r>
        <w:rPr>
          <w:rFonts w:asciiTheme="minorEastAsia" w:hAnsiTheme="minorEastAsia" w:eastAsiaTheme="minorEastAsia"/>
          <w:b/>
          <w:color w:val="auto"/>
          <w:szCs w:val="21"/>
          <w:u w:val="single"/>
        </w:rPr>
        <w:t>30%</w:t>
      </w:r>
      <w:r>
        <w:rPr>
          <w:rFonts w:hint="eastAsia" w:asciiTheme="minorEastAsia" w:hAnsiTheme="minorEastAsia" w:eastAsiaTheme="minorEastAsia"/>
          <w:b/>
          <w:color w:val="auto"/>
          <w:szCs w:val="21"/>
          <w:u w:val="single"/>
        </w:rPr>
        <w:t>给中标人作为工程备料款。工程款按月支付，合同内进度款支付限额为已完成工程量的</w:t>
      </w:r>
      <w:r>
        <w:rPr>
          <w:rFonts w:asciiTheme="minorEastAsia" w:hAnsiTheme="minorEastAsia" w:eastAsiaTheme="minorEastAsia"/>
          <w:b/>
          <w:color w:val="auto"/>
          <w:szCs w:val="21"/>
          <w:u w:val="single"/>
        </w:rPr>
        <w:t>85%</w:t>
      </w:r>
      <w:r>
        <w:rPr>
          <w:rFonts w:hint="eastAsia" w:asciiTheme="minorEastAsia" w:hAnsiTheme="minorEastAsia" w:eastAsiaTheme="minorEastAsia"/>
          <w:b/>
          <w:color w:val="auto"/>
          <w:szCs w:val="21"/>
          <w:u w:val="single"/>
        </w:rPr>
        <w:t>，工程变更部分进度款支付限额为已完成工程量的</w:t>
      </w:r>
      <w:r>
        <w:rPr>
          <w:rFonts w:asciiTheme="minorEastAsia" w:hAnsiTheme="minorEastAsia" w:eastAsiaTheme="minorEastAsia"/>
          <w:b/>
          <w:color w:val="auto"/>
          <w:szCs w:val="21"/>
          <w:u w:val="single"/>
        </w:rPr>
        <w:t>80%</w:t>
      </w:r>
      <w:r>
        <w:rPr>
          <w:rFonts w:hint="eastAsia" w:asciiTheme="minorEastAsia" w:hAnsiTheme="minorEastAsia" w:eastAsiaTheme="minorEastAsia"/>
          <w:b/>
          <w:color w:val="auto"/>
          <w:szCs w:val="21"/>
          <w:u w:val="single"/>
        </w:rPr>
        <w:t>；工程完工验收达到质量要求，合同内、外工程进度款支付至</w:t>
      </w:r>
      <w:r>
        <w:rPr>
          <w:rFonts w:asciiTheme="minorEastAsia" w:hAnsiTheme="minorEastAsia" w:eastAsiaTheme="minorEastAsia"/>
          <w:b/>
          <w:color w:val="auto"/>
          <w:szCs w:val="21"/>
          <w:u w:val="single"/>
        </w:rPr>
        <w:t>85%</w:t>
      </w:r>
      <w:r>
        <w:rPr>
          <w:rFonts w:hint="eastAsia" w:asciiTheme="minorEastAsia" w:hAnsiTheme="minorEastAsia" w:eastAsiaTheme="minorEastAsia"/>
          <w:b/>
          <w:color w:val="auto"/>
          <w:szCs w:val="21"/>
          <w:u w:val="single"/>
        </w:rPr>
        <w:t>，结算经审计部门审定，并提交完整合格的竣工备案资料给发包人后，工程款支付至结算总价的</w:t>
      </w:r>
      <w:r>
        <w:rPr>
          <w:rFonts w:asciiTheme="minorEastAsia" w:hAnsiTheme="minorEastAsia" w:eastAsiaTheme="minorEastAsia"/>
          <w:b/>
          <w:color w:val="auto"/>
          <w:szCs w:val="21"/>
          <w:u w:val="single"/>
        </w:rPr>
        <w:t>95%</w:t>
      </w:r>
      <w:r>
        <w:rPr>
          <w:rFonts w:hint="eastAsia" w:asciiTheme="minorEastAsia" w:hAnsiTheme="minorEastAsia" w:eastAsiaTheme="minorEastAsia"/>
          <w:b/>
          <w:color w:val="auto"/>
          <w:szCs w:val="21"/>
          <w:u w:val="single"/>
        </w:rPr>
        <w:t>（含已支付的）；发包人按工程价款结算总额的</w:t>
      </w:r>
      <w:r>
        <w:rPr>
          <w:rFonts w:asciiTheme="minorEastAsia" w:hAnsiTheme="minorEastAsia" w:eastAsiaTheme="minorEastAsia"/>
          <w:b/>
          <w:color w:val="auto"/>
          <w:szCs w:val="21"/>
          <w:u w:val="single"/>
        </w:rPr>
        <w:t>5%</w:t>
      </w:r>
      <w:r>
        <w:rPr>
          <w:rFonts w:hint="eastAsia" w:asciiTheme="minorEastAsia" w:hAnsiTheme="minorEastAsia" w:eastAsiaTheme="minorEastAsia"/>
          <w:b/>
          <w:color w:val="auto"/>
          <w:szCs w:val="21"/>
          <w:u w:val="single"/>
        </w:rPr>
        <w:t>预留工程质量保修金，保修期（按国家相关规定）</w:t>
      </w:r>
      <w:r>
        <w:rPr>
          <w:rFonts w:asciiTheme="minorEastAsia" w:hAnsiTheme="minorEastAsia" w:eastAsiaTheme="minorEastAsia"/>
          <w:b/>
          <w:color w:val="auto"/>
          <w:szCs w:val="21"/>
          <w:u w:val="single"/>
        </w:rPr>
        <w:t>45</w:t>
      </w:r>
      <w:r>
        <w:rPr>
          <w:rFonts w:hint="eastAsia" w:asciiTheme="minorEastAsia" w:hAnsiTheme="minorEastAsia" w:eastAsiaTheme="minorEastAsia"/>
          <w:b/>
          <w:color w:val="auto"/>
          <w:szCs w:val="21"/>
          <w:u w:val="single"/>
        </w:rPr>
        <w:t>天内支付。以上所有工程款的支付均不计算利息。</w:t>
      </w:r>
    </w:p>
    <w:p>
      <w:pPr>
        <w:spacing w:line="560" w:lineRule="exact"/>
        <w:ind w:firstLine="420" w:firstLineChars="200"/>
        <w:jc w:val="left"/>
        <w:rPr>
          <w:rFonts w:ascii="宋体" w:hAnsi="宋体"/>
          <w:szCs w:val="21"/>
        </w:rPr>
      </w:pPr>
      <w:r>
        <w:rPr>
          <w:rFonts w:ascii="宋体" w:hAnsi="宋体"/>
          <w:szCs w:val="21"/>
        </w:rPr>
        <w:t xml:space="preserve">12.4.2 </w:t>
      </w:r>
      <w:r>
        <w:rPr>
          <w:rFonts w:hint="eastAsia" w:ascii="宋体" w:hAnsi="宋体"/>
          <w:szCs w:val="21"/>
        </w:rPr>
        <w:t>进度付款申请单的编制</w:t>
      </w:r>
    </w:p>
    <w:p>
      <w:pPr>
        <w:spacing w:line="560" w:lineRule="exact"/>
        <w:ind w:firstLine="420" w:firstLineChars="200"/>
        <w:jc w:val="left"/>
        <w:rPr>
          <w:rFonts w:ascii="宋体" w:hAnsi="宋体"/>
          <w:szCs w:val="21"/>
        </w:rPr>
      </w:pPr>
      <w:r>
        <w:rPr>
          <w:rFonts w:hint="eastAsia" w:ascii="宋体" w:hAnsi="宋体"/>
          <w:szCs w:val="21"/>
        </w:rPr>
        <w:t>关于进度付款申请单编制的约定：</w:t>
      </w:r>
      <w:r>
        <w:rPr>
          <w:rFonts w:hint="eastAsia" w:ascii="宋体" w:hAnsi="宋体"/>
          <w:szCs w:val="21"/>
          <w:u w:val="single"/>
        </w:rPr>
        <w:t xml:space="preserve">  </w:t>
      </w:r>
      <w:r>
        <w:rPr>
          <w:rFonts w:hint="eastAsia"/>
          <w:bCs/>
          <w:szCs w:val="21"/>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pPr>
        <w:spacing w:line="560" w:lineRule="exact"/>
        <w:ind w:firstLine="420" w:firstLineChars="200"/>
        <w:jc w:val="left"/>
        <w:rPr>
          <w:rFonts w:ascii="宋体" w:hAnsi="宋体"/>
          <w:szCs w:val="21"/>
        </w:rPr>
      </w:pPr>
      <w:r>
        <w:rPr>
          <w:rFonts w:ascii="宋体" w:hAnsi="宋体"/>
          <w:szCs w:val="21"/>
        </w:rPr>
        <w:t xml:space="preserve">12.4.3 </w:t>
      </w:r>
      <w:r>
        <w:rPr>
          <w:rFonts w:hint="eastAsia" w:ascii="宋体" w:hAnsi="宋体"/>
          <w:szCs w:val="21"/>
        </w:rPr>
        <w:t>进度付款申请单的提交</w:t>
      </w:r>
    </w:p>
    <w:p>
      <w:pPr>
        <w:autoSpaceDE w:val="0"/>
        <w:autoSpaceDN w:val="0"/>
        <w:adjustRightInd w:val="0"/>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）单价合同进度付款申请单提交的约定：</w:t>
      </w:r>
      <w:r>
        <w:rPr>
          <w:rFonts w:hint="eastAsia" w:ascii="宋体" w:hAnsi="Calibri" w:cs="宋体"/>
          <w:kern w:val="0"/>
          <w:szCs w:val="21"/>
          <w:u w:val="single"/>
        </w:rPr>
        <w:t>承包人应在每个计量周期到期后的</w:t>
      </w:r>
      <w:r>
        <w:rPr>
          <w:rFonts w:ascii="宋体" w:hAnsi="Calibri" w:cs="宋体"/>
          <w:kern w:val="0"/>
          <w:szCs w:val="21"/>
          <w:u w:val="single"/>
        </w:rPr>
        <w:t xml:space="preserve">7 </w:t>
      </w:r>
      <w:r>
        <w:rPr>
          <w:rFonts w:hint="eastAsia" w:ascii="宋体" w:hAnsi="Calibri" w:cs="宋体"/>
          <w:kern w:val="0"/>
          <w:szCs w:val="21"/>
          <w:u w:val="single"/>
        </w:rPr>
        <w:t>天内向发包人提交支付申请一式六份，承包人当月完成的产值不足合同价的</w:t>
      </w:r>
      <w:r>
        <w:rPr>
          <w:rFonts w:ascii="宋体" w:hAnsi="Calibri" w:cs="宋体"/>
          <w:kern w:val="0"/>
          <w:szCs w:val="21"/>
          <w:u w:val="single"/>
        </w:rPr>
        <w:t>1</w:t>
      </w:r>
      <w:r>
        <w:rPr>
          <w:rFonts w:hint="eastAsia" w:ascii="宋体" w:hAnsi="Calibri" w:cs="宋体"/>
          <w:kern w:val="0"/>
          <w:szCs w:val="21"/>
          <w:u w:val="single"/>
        </w:rPr>
        <w:t>％时，不支付进度款，累计至下月一并支付。承包人应随投标文件提交不拖欠民工工资的承诺函和措施。</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）总价合同进度付款申请单提交的约定：</w:t>
      </w:r>
      <w:r>
        <w:rPr>
          <w:rFonts w:ascii="宋体" w:hAnsi="宋体"/>
          <w:szCs w:val="21"/>
          <w:u w:val="single"/>
        </w:rPr>
        <w:t xml:space="preserve">  </w:t>
      </w:r>
      <w:r>
        <w:rPr>
          <w:rFonts w:hint="eastAsia" w:ascii="宋体" w:hAnsi="宋体" w:cs="宋体"/>
          <w:szCs w:val="21"/>
          <w:u w:val="single"/>
        </w:rPr>
        <w:t xml:space="preserve">按通用条款执行 </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3</w:t>
      </w:r>
      <w:r>
        <w:rPr>
          <w:rFonts w:hint="eastAsia" w:ascii="宋体" w:hAnsi="宋体"/>
          <w:szCs w:val="21"/>
        </w:rPr>
        <w:t>）其他价格形式合同进度付款申请单提交的约定：</w:t>
      </w:r>
      <w:r>
        <w:rPr>
          <w:rFonts w:ascii="宋体" w:hAnsi="宋体"/>
          <w:szCs w:val="21"/>
          <w:u w:val="single"/>
        </w:rPr>
        <w:t xml:space="preserve">  </w:t>
      </w:r>
      <w:r>
        <w:rPr>
          <w:rFonts w:hint="eastAsia" w:ascii="宋体" w:hAnsi="宋体" w:cs="宋体"/>
          <w:szCs w:val="21"/>
          <w:u w:val="single"/>
        </w:rPr>
        <w:t>按通用条款执行</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 xml:space="preserve">12.4.4 </w:t>
      </w:r>
      <w:r>
        <w:rPr>
          <w:rFonts w:hint="eastAsia" w:ascii="宋体" w:hAnsi="宋体"/>
          <w:szCs w:val="21"/>
        </w:rPr>
        <w:t>进度款审核和支付</w:t>
      </w:r>
    </w:p>
    <w:p>
      <w:pPr>
        <w:spacing w:line="56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）监理人审查并报送发包人的期限：</w:t>
      </w:r>
      <w:r>
        <w:rPr>
          <w:rFonts w:ascii="宋体" w:hAnsi="宋体"/>
          <w:szCs w:val="21"/>
          <w:u w:val="single"/>
        </w:rPr>
        <w:t xml:space="preserve"> </w:t>
      </w:r>
      <w:r>
        <w:rPr>
          <w:rFonts w:hint="eastAsia" w:ascii="宋体" w:hAnsi="宋体"/>
          <w:szCs w:val="21"/>
          <w:u w:val="single"/>
        </w:rPr>
        <w:t>收到相关资料后</w:t>
      </w:r>
      <w:r>
        <w:rPr>
          <w:rFonts w:ascii="宋体" w:hAnsi="宋体"/>
          <w:szCs w:val="21"/>
          <w:u w:val="single"/>
        </w:rPr>
        <w:t>7</w:t>
      </w:r>
      <w:r>
        <w:rPr>
          <w:rFonts w:hint="eastAsia" w:ascii="宋体" w:hAnsi="宋体"/>
          <w:szCs w:val="21"/>
          <w:u w:val="single"/>
        </w:rPr>
        <w:t>天内</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发包人完成审批并签发进度款支付证书的期限：</w:t>
      </w:r>
      <w:r>
        <w:rPr>
          <w:rFonts w:hint="eastAsia" w:ascii="宋体" w:hAnsi="宋体"/>
          <w:szCs w:val="21"/>
          <w:u w:val="single"/>
        </w:rPr>
        <w:t>收到监理人的审核单后10天内审批完毕</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）发包人支付进度款的期限：</w:t>
      </w:r>
      <w:r>
        <w:rPr>
          <w:rFonts w:ascii="宋体" w:hAnsi="宋体"/>
          <w:szCs w:val="21"/>
          <w:u w:val="single"/>
        </w:rPr>
        <w:t xml:space="preserve">  </w:t>
      </w:r>
      <w:r>
        <w:rPr>
          <w:rFonts w:hint="eastAsia" w:ascii="宋体" w:hAnsi="宋体"/>
          <w:szCs w:val="21"/>
          <w:u w:val="single"/>
        </w:rPr>
        <w:t>经招标人委托的中介机构审定后20个工作日内</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szCs w:val="21"/>
        </w:rPr>
        <w:t>发包人逾期支付进度款的违约金的计算方式：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 xml:space="preserve">12.4.6 </w:t>
      </w:r>
      <w:r>
        <w:rPr>
          <w:rFonts w:hint="eastAsia" w:ascii="宋体" w:hAnsi="宋体"/>
          <w:szCs w:val="21"/>
        </w:rPr>
        <w:t>支付分解表的编制</w:t>
      </w:r>
    </w:p>
    <w:p>
      <w:pPr>
        <w:spacing w:line="560" w:lineRule="exact"/>
        <w:ind w:firstLine="420" w:firstLineChars="200"/>
        <w:jc w:val="left"/>
        <w:rPr>
          <w:rFonts w:ascii="宋体" w:hAnsi="宋体"/>
          <w:szCs w:val="21"/>
          <w:u w:val="single"/>
        </w:rPr>
      </w:pPr>
      <w:r>
        <w:rPr>
          <w:rFonts w:ascii="宋体" w:hAnsi="宋体"/>
          <w:szCs w:val="21"/>
        </w:rPr>
        <w:t>2</w:t>
      </w:r>
      <w:r>
        <w:rPr>
          <w:rFonts w:hint="eastAsia" w:ascii="宋体" w:hAnsi="宋体"/>
          <w:szCs w:val="21"/>
        </w:rPr>
        <w:t>、总价合同支付分解表的编制与审批：</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u w:val="single"/>
        </w:rPr>
      </w:pPr>
      <w:r>
        <w:rPr>
          <w:rFonts w:ascii="宋体" w:hAnsi="宋体"/>
          <w:szCs w:val="21"/>
        </w:rPr>
        <w:t>3</w:t>
      </w:r>
      <w:r>
        <w:rPr>
          <w:rFonts w:hint="eastAsia" w:ascii="宋体" w:hAnsi="宋体"/>
          <w:szCs w:val="21"/>
        </w:rPr>
        <w:t>、单价合同的总价项目支付分解表的编制与审批：</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13. </w:t>
      </w:r>
      <w:r>
        <w:rPr>
          <w:rFonts w:hint="eastAsia" w:ascii="宋体" w:hAnsi="宋体"/>
          <w:b w:val="0"/>
          <w:sz w:val="21"/>
          <w:szCs w:val="21"/>
        </w:rPr>
        <w:t>验收和工程试车</w:t>
      </w:r>
    </w:p>
    <w:p>
      <w:pPr>
        <w:spacing w:after="120" w:line="560" w:lineRule="exact"/>
        <w:ind w:firstLine="420" w:firstLineChars="200"/>
        <w:rPr>
          <w:rFonts w:ascii="宋体" w:hAnsi="宋体"/>
          <w:szCs w:val="21"/>
        </w:rPr>
      </w:pPr>
      <w:r>
        <w:rPr>
          <w:rFonts w:ascii="宋体" w:hAnsi="宋体"/>
          <w:szCs w:val="21"/>
        </w:rPr>
        <w:t xml:space="preserve">13.1 </w:t>
      </w:r>
      <w:r>
        <w:rPr>
          <w:rFonts w:hint="eastAsia" w:ascii="宋体" w:hAnsi="宋体"/>
          <w:szCs w:val="21"/>
        </w:rPr>
        <w:t>分部分项工程验收</w:t>
      </w:r>
    </w:p>
    <w:p>
      <w:pPr>
        <w:spacing w:line="560" w:lineRule="exact"/>
        <w:ind w:firstLine="420" w:firstLineChars="200"/>
        <w:jc w:val="left"/>
        <w:rPr>
          <w:rFonts w:ascii="宋体" w:hAnsi="宋体"/>
          <w:szCs w:val="21"/>
        </w:rPr>
      </w:pPr>
      <w:r>
        <w:rPr>
          <w:rFonts w:ascii="宋体" w:hAnsi="宋体"/>
          <w:szCs w:val="21"/>
        </w:rPr>
        <w:t>13.1.2</w:t>
      </w:r>
      <w:r>
        <w:rPr>
          <w:rFonts w:hint="eastAsia" w:ascii="宋体" w:hAnsi="宋体"/>
          <w:szCs w:val="21"/>
        </w:rPr>
        <w:t>监理人不能按时进行验收时，应提前</w:t>
      </w:r>
      <w:r>
        <w:rPr>
          <w:rFonts w:ascii="宋体" w:hAnsi="宋体"/>
          <w:szCs w:val="21"/>
          <w:u w:val="single"/>
        </w:rPr>
        <w:t xml:space="preserve">   24 </w:t>
      </w:r>
      <w:r>
        <w:rPr>
          <w:rFonts w:hint="eastAsia" w:ascii="宋体" w:hAnsi="宋体"/>
          <w:szCs w:val="21"/>
        </w:rPr>
        <w:t>小时提交书面延期要求。</w:t>
      </w:r>
    </w:p>
    <w:p>
      <w:pPr>
        <w:spacing w:line="560" w:lineRule="exact"/>
        <w:ind w:firstLine="420" w:firstLineChars="200"/>
        <w:jc w:val="left"/>
        <w:rPr>
          <w:rFonts w:ascii="宋体" w:hAnsi="宋体"/>
          <w:b/>
          <w:szCs w:val="21"/>
        </w:rPr>
      </w:pPr>
      <w:r>
        <w:rPr>
          <w:rFonts w:hint="eastAsia" w:ascii="宋体" w:hAnsi="宋体"/>
          <w:szCs w:val="21"/>
        </w:rPr>
        <w:t>关于延期最长不得超过：</w:t>
      </w:r>
      <w:r>
        <w:rPr>
          <w:rFonts w:ascii="宋体" w:hAnsi="宋体"/>
          <w:szCs w:val="21"/>
          <w:u w:val="single"/>
        </w:rPr>
        <w:t xml:space="preserve"> 48</w:t>
      </w:r>
      <w:r>
        <w:rPr>
          <w:rFonts w:hint="eastAsia" w:ascii="宋体" w:hAnsi="宋体"/>
          <w:szCs w:val="21"/>
        </w:rPr>
        <w:t>小时。</w:t>
      </w:r>
    </w:p>
    <w:p>
      <w:pPr>
        <w:spacing w:after="120" w:line="560" w:lineRule="exact"/>
        <w:ind w:firstLine="420" w:firstLineChars="200"/>
        <w:rPr>
          <w:rFonts w:ascii="宋体" w:hAnsi="宋体"/>
          <w:szCs w:val="21"/>
        </w:rPr>
      </w:pPr>
      <w:r>
        <w:rPr>
          <w:rFonts w:ascii="宋体" w:hAnsi="宋体"/>
          <w:szCs w:val="21"/>
        </w:rPr>
        <w:t xml:space="preserve">13.2 </w:t>
      </w:r>
      <w:r>
        <w:rPr>
          <w:rFonts w:hint="eastAsia" w:ascii="宋体" w:hAnsi="宋体"/>
          <w:szCs w:val="21"/>
        </w:rPr>
        <w:t>竣工验收</w:t>
      </w:r>
    </w:p>
    <w:p>
      <w:pPr>
        <w:spacing w:after="120" w:line="560" w:lineRule="exact"/>
        <w:ind w:firstLine="420" w:firstLineChars="200"/>
        <w:rPr>
          <w:rFonts w:ascii="宋体" w:hAnsi="宋体"/>
          <w:szCs w:val="21"/>
        </w:rPr>
      </w:pPr>
      <w:r>
        <w:rPr>
          <w:rFonts w:hint="eastAsia" w:ascii="宋体" w:hAnsi="宋体"/>
          <w:szCs w:val="21"/>
        </w:rPr>
        <w:t>13.2.1 竣工验收条件</w:t>
      </w:r>
    </w:p>
    <w:p>
      <w:pPr>
        <w:spacing w:after="120" w:line="560" w:lineRule="exact"/>
        <w:ind w:firstLine="420" w:firstLineChars="200"/>
        <w:rPr>
          <w:rFonts w:ascii="宋体" w:hAnsi="Calibri" w:cs="宋体"/>
          <w:kern w:val="0"/>
          <w:szCs w:val="21"/>
        </w:rPr>
      </w:pPr>
      <w:r>
        <w:rPr>
          <w:rFonts w:hint="eastAsia" w:ascii="宋体" w:hAnsi="宋体"/>
          <w:szCs w:val="21"/>
        </w:rPr>
        <w:t>（3）</w:t>
      </w:r>
      <w:r>
        <w:rPr>
          <w:rFonts w:hint="eastAsia" w:ascii="宋体" w:hAnsi="Calibri" w:cs="宋体"/>
          <w:kern w:val="0"/>
          <w:szCs w:val="21"/>
        </w:rPr>
        <w:t>承包人负责整理和提交的竣工验收资料应当符合工程所在地建设行政主管部门和</w:t>
      </w:r>
      <w:r>
        <w:rPr>
          <w:rFonts w:ascii="宋体" w:hAnsi="Calibri" w:cs="宋体"/>
          <w:kern w:val="0"/>
          <w:szCs w:val="21"/>
        </w:rPr>
        <w:t>(</w:t>
      </w:r>
      <w:r>
        <w:rPr>
          <w:rFonts w:hint="eastAsia" w:ascii="宋体" w:hAnsi="Calibri" w:cs="宋体"/>
          <w:kern w:val="0"/>
          <w:szCs w:val="21"/>
        </w:rPr>
        <w:t>或</w:t>
      </w:r>
      <w:r>
        <w:rPr>
          <w:rFonts w:ascii="宋体" w:hAnsi="Calibri" w:cs="宋体"/>
          <w:kern w:val="0"/>
          <w:szCs w:val="21"/>
        </w:rPr>
        <w:t>)</w:t>
      </w:r>
      <w:r>
        <w:rPr>
          <w:rFonts w:hint="eastAsia" w:ascii="宋体" w:hAnsi="Calibri" w:cs="宋体"/>
          <w:kern w:val="0"/>
          <w:szCs w:val="21"/>
        </w:rPr>
        <w:t>城市建设档案管理机构有关施工资料的要求，具体内容包括：</w:t>
      </w:r>
      <w:r>
        <w:rPr>
          <w:rFonts w:ascii="宋体" w:hAnsi="Calibri" w:cs="宋体"/>
          <w:kern w:val="0"/>
          <w:szCs w:val="21"/>
          <w:u w:val="single"/>
        </w:rPr>
        <w:t>1</w:t>
      </w:r>
      <w:r>
        <w:rPr>
          <w:rFonts w:hint="eastAsia" w:ascii="宋体" w:hAnsi="Calibri" w:cs="宋体"/>
          <w:kern w:val="0"/>
          <w:szCs w:val="21"/>
          <w:u w:val="single"/>
        </w:rPr>
        <w:t>、工程具备竣工验收条件，承包人按工期竣工验收有关规定，向发包人提交符合南宁市档案局归档要求内容装订成册的完整竣工资料及竣工验收报告、工程竣工图。</w:t>
      </w:r>
      <w:r>
        <w:rPr>
          <w:rFonts w:ascii="宋体" w:hAnsi="Calibri" w:cs="宋体"/>
          <w:kern w:val="0"/>
          <w:szCs w:val="21"/>
          <w:u w:val="single"/>
        </w:rPr>
        <w:t>2</w:t>
      </w:r>
      <w:r>
        <w:rPr>
          <w:rFonts w:hint="eastAsia" w:ascii="宋体" w:hAnsi="Calibri" w:cs="宋体"/>
          <w:kern w:val="0"/>
          <w:szCs w:val="21"/>
          <w:u w:val="single"/>
        </w:rPr>
        <w:t>、承包人所提交的竣工资料必须符合《建设工程归档整理规范》要求，并在结算审批时出具《工程档案验收合格证明》及建设单位接收档案资料清单证明</w:t>
      </w:r>
      <w:r>
        <w:rPr>
          <w:rFonts w:hint="eastAsia" w:ascii="宋体" w:hAnsi="Calibri" w:cs="宋体"/>
          <w:kern w:val="0"/>
          <w:szCs w:val="21"/>
        </w:rPr>
        <w:t>。</w:t>
      </w:r>
    </w:p>
    <w:p>
      <w:pPr>
        <w:spacing w:after="120" w:line="560" w:lineRule="exact"/>
        <w:ind w:firstLine="420" w:firstLineChars="200"/>
        <w:rPr>
          <w:rFonts w:ascii="宋体" w:hAnsi="Calibri" w:cs="宋体"/>
          <w:kern w:val="0"/>
          <w:szCs w:val="21"/>
        </w:rPr>
      </w:pPr>
      <w:r>
        <w:rPr>
          <w:rFonts w:hint="eastAsia" w:ascii="宋体" w:hAnsi="Calibri" w:cs="宋体"/>
          <w:kern w:val="0"/>
          <w:szCs w:val="21"/>
        </w:rPr>
        <w:t>竣工验收资料的份数：</w:t>
      </w:r>
      <w:r>
        <w:rPr>
          <w:rFonts w:hint="eastAsia" w:ascii="宋体" w:hAnsi="Calibri" w:cs="宋体"/>
          <w:kern w:val="0"/>
          <w:szCs w:val="21"/>
          <w:u w:val="single"/>
        </w:rPr>
        <w:t>承包人在竣工验收</w:t>
      </w:r>
      <w:r>
        <w:rPr>
          <w:rFonts w:ascii="宋体" w:hAnsi="Calibri" w:cs="宋体"/>
          <w:kern w:val="0"/>
          <w:szCs w:val="21"/>
          <w:u w:val="single"/>
        </w:rPr>
        <w:t xml:space="preserve">14 </w:t>
      </w:r>
      <w:r>
        <w:rPr>
          <w:rFonts w:hint="eastAsia" w:ascii="宋体" w:hAnsi="Calibri" w:cs="宋体"/>
          <w:kern w:val="0"/>
          <w:szCs w:val="21"/>
          <w:u w:val="single"/>
        </w:rPr>
        <w:t>日前提交一式六份</w:t>
      </w:r>
      <w:r>
        <w:rPr>
          <w:rFonts w:hint="eastAsia" w:ascii="宋体" w:hAnsi="Calibri" w:cs="宋体"/>
          <w:kern w:val="0"/>
          <w:szCs w:val="21"/>
        </w:rPr>
        <w:t>。</w:t>
      </w:r>
    </w:p>
    <w:p>
      <w:pPr>
        <w:spacing w:after="120" w:line="560" w:lineRule="exact"/>
        <w:ind w:firstLine="420" w:firstLineChars="200"/>
        <w:rPr>
          <w:rFonts w:ascii="宋体" w:hAnsi="Calibri" w:cs="宋体"/>
          <w:kern w:val="0"/>
          <w:szCs w:val="21"/>
        </w:rPr>
      </w:pPr>
      <w:r>
        <w:rPr>
          <w:bCs/>
          <w:szCs w:val="21"/>
        </w:rPr>
        <w:t>承包人提供竣工图的约定：</w:t>
      </w:r>
      <w:r>
        <w:rPr>
          <w:bCs/>
          <w:szCs w:val="21"/>
          <w:u w:val="single"/>
        </w:rPr>
        <w:t>竣工验收正式通过后5天（工程造价在500万元以下含500万元）、10天（工程造价在500万元至1000万元之间含1000万元）、15天（工程造价在1000万元以上），提供竣工图的数量分别为2套、4套、6套。</w:t>
      </w:r>
    </w:p>
    <w:p>
      <w:pPr>
        <w:spacing w:line="560" w:lineRule="exact"/>
        <w:ind w:firstLine="420" w:firstLineChars="200"/>
        <w:jc w:val="left"/>
        <w:rPr>
          <w:rFonts w:ascii="宋体" w:hAnsi="宋体"/>
          <w:szCs w:val="21"/>
        </w:rPr>
      </w:pPr>
      <w:r>
        <w:rPr>
          <w:rFonts w:ascii="宋体" w:hAnsi="宋体"/>
          <w:szCs w:val="21"/>
        </w:rPr>
        <w:t>13.2.2</w:t>
      </w:r>
      <w:r>
        <w:rPr>
          <w:rFonts w:hint="eastAsia" w:ascii="宋体" w:hAnsi="宋体"/>
          <w:szCs w:val="21"/>
        </w:rPr>
        <w:t>竣工验收程序</w:t>
      </w:r>
    </w:p>
    <w:p>
      <w:pPr>
        <w:spacing w:line="560" w:lineRule="exact"/>
        <w:ind w:firstLine="420" w:firstLineChars="200"/>
        <w:jc w:val="left"/>
        <w:rPr>
          <w:rFonts w:ascii="宋体" w:hAnsi="宋体"/>
          <w:szCs w:val="21"/>
        </w:rPr>
      </w:pPr>
      <w:r>
        <w:rPr>
          <w:rFonts w:hint="eastAsia" w:ascii="宋体" w:hAnsi="宋体"/>
          <w:kern w:val="0"/>
          <w:szCs w:val="21"/>
        </w:rPr>
        <w:t>关于竣工验收程序的约定：</w:t>
      </w:r>
      <w:r>
        <w:rPr>
          <w:rFonts w:hint="eastAsia" w:ascii="宋体" w:hAnsi="Calibri" w:cs="宋体"/>
          <w:kern w:val="0"/>
          <w:szCs w:val="21"/>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w:t>
      </w:r>
      <w:r>
        <w:rPr>
          <w:rFonts w:ascii="宋体" w:hAnsi="Calibri" w:cs="宋体"/>
          <w:kern w:val="0"/>
          <w:szCs w:val="21"/>
          <w:u w:val="single"/>
        </w:rPr>
        <w:t>1</w:t>
      </w:r>
      <w:r>
        <w:rPr>
          <w:rFonts w:hint="eastAsia" w:ascii="宋体" w:hAnsi="Calibri" w:cs="宋体"/>
          <w:kern w:val="0"/>
          <w:szCs w:val="21"/>
          <w:u w:val="single"/>
        </w:rPr>
        <w:t>《工程质量保修书》有关规定执行。</w:t>
      </w:r>
    </w:p>
    <w:p>
      <w:pPr>
        <w:spacing w:line="560" w:lineRule="exact"/>
        <w:ind w:firstLine="420" w:firstLineChars="200"/>
        <w:jc w:val="left"/>
        <w:rPr>
          <w:rFonts w:ascii="宋体" w:hAnsi="宋体"/>
          <w:szCs w:val="21"/>
          <w:u w:val="single"/>
        </w:rPr>
      </w:pPr>
      <w:r>
        <w:rPr>
          <w:rFonts w:hint="eastAsia" w:ascii="宋体" w:hAnsi="宋体"/>
          <w:kern w:val="0"/>
          <w:szCs w:val="21"/>
        </w:rPr>
        <w:t>发包人不按照本项约定组织竣工验收、颁发工程接收证书的违约金的计算方法：</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ascii="宋体" w:hAnsi="宋体"/>
          <w:szCs w:val="21"/>
        </w:rPr>
        <w:t>13.2.5</w:t>
      </w:r>
      <w:r>
        <w:rPr>
          <w:rFonts w:hint="eastAsia" w:ascii="宋体" w:hAnsi="宋体"/>
          <w:szCs w:val="21"/>
        </w:rPr>
        <w:t>移交、接收全部与部分工程</w:t>
      </w:r>
    </w:p>
    <w:p>
      <w:pPr>
        <w:spacing w:line="560" w:lineRule="exact"/>
        <w:ind w:firstLine="420" w:firstLineChars="200"/>
        <w:jc w:val="left"/>
        <w:rPr>
          <w:rFonts w:ascii="宋体" w:hAnsi="宋体"/>
          <w:kern w:val="0"/>
          <w:szCs w:val="21"/>
        </w:rPr>
      </w:pPr>
      <w:r>
        <w:rPr>
          <w:rFonts w:hint="eastAsia" w:ascii="宋体" w:hAnsi="宋体"/>
          <w:kern w:val="0"/>
          <w:szCs w:val="21"/>
        </w:rPr>
        <w:t>承包人向发包人移交工程的期限：</w:t>
      </w:r>
      <w:r>
        <w:rPr>
          <w:rFonts w:ascii="宋体" w:hAnsi="宋体"/>
          <w:szCs w:val="21"/>
          <w:u w:val="single"/>
        </w:rPr>
        <w:t xml:space="preserve">  </w:t>
      </w:r>
      <w:r>
        <w:rPr>
          <w:rFonts w:hint="eastAsia" w:ascii="宋体" w:hAnsi="宋体"/>
          <w:szCs w:val="21"/>
          <w:u w:val="single"/>
        </w:rPr>
        <w:t>竣工验收合格后7天内</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u w:val="single"/>
        </w:rPr>
      </w:pPr>
      <w:r>
        <w:rPr>
          <w:rFonts w:hint="eastAsia" w:ascii="宋体" w:hAnsi="宋体"/>
          <w:kern w:val="0"/>
          <w:szCs w:val="21"/>
        </w:rPr>
        <w:t>发包人未按本合同约定接收全部或部分工程的，违约金的计算方法为：</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承包人未按时移交工程的，违约金的计算方法为：</w:t>
      </w:r>
      <w:r>
        <w:rPr>
          <w:rFonts w:hint="eastAsia" w:ascii="宋体" w:hAnsi="宋体"/>
          <w:szCs w:val="21"/>
          <w:u w:val="single"/>
        </w:rPr>
        <w:t>每拖延一天工期支付给发包人最终结算总价的</w:t>
      </w:r>
      <w:r>
        <w:rPr>
          <w:rFonts w:ascii="宋体" w:hAnsi="宋体"/>
          <w:szCs w:val="21"/>
          <w:u w:val="single"/>
        </w:rPr>
        <w:t>0.5</w:t>
      </w:r>
      <w:r>
        <w:rPr>
          <w:rFonts w:hint="eastAsia" w:ascii="宋体" w:hAnsi="宋体"/>
          <w:szCs w:val="21"/>
          <w:u w:val="single"/>
        </w:rPr>
        <w:t>‰</w:t>
      </w:r>
      <w:r>
        <w:rPr>
          <w:rFonts w:ascii="宋体" w:hAnsi="宋体"/>
          <w:szCs w:val="21"/>
          <w:u w:val="single"/>
        </w:rPr>
        <w:t>/</w:t>
      </w:r>
      <w:r>
        <w:rPr>
          <w:rFonts w:hint="eastAsia" w:ascii="宋体" w:hAnsi="宋体"/>
          <w:szCs w:val="21"/>
          <w:u w:val="single"/>
        </w:rPr>
        <w:t>天的违约金，违约金最高限额为整个工程总价款的</w:t>
      </w:r>
      <w:r>
        <w:rPr>
          <w:rFonts w:ascii="宋体" w:hAnsi="宋体"/>
          <w:szCs w:val="21"/>
          <w:u w:val="single"/>
        </w:rPr>
        <w:t>2%</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13.3 </w:t>
      </w:r>
      <w:r>
        <w:rPr>
          <w:rFonts w:hint="eastAsia" w:ascii="宋体" w:hAnsi="宋体"/>
          <w:szCs w:val="21"/>
        </w:rPr>
        <w:t>工程试车</w:t>
      </w:r>
    </w:p>
    <w:p>
      <w:pPr>
        <w:spacing w:line="560" w:lineRule="exact"/>
        <w:ind w:firstLine="420" w:firstLineChars="200"/>
        <w:jc w:val="left"/>
        <w:rPr>
          <w:rFonts w:ascii="宋体" w:hAnsi="宋体"/>
          <w:kern w:val="0"/>
          <w:szCs w:val="21"/>
        </w:rPr>
      </w:pPr>
      <w:r>
        <w:rPr>
          <w:rFonts w:ascii="宋体" w:hAnsi="宋体"/>
          <w:kern w:val="0"/>
          <w:szCs w:val="21"/>
        </w:rPr>
        <w:t xml:space="preserve">13.3.1 </w:t>
      </w:r>
      <w:r>
        <w:rPr>
          <w:rFonts w:hint="eastAsia" w:ascii="宋体" w:hAnsi="宋体"/>
          <w:kern w:val="0"/>
          <w:szCs w:val="21"/>
        </w:rPr>
        <w:t>试车程序</w:t>
      </w:r>
    </w:p>
    <w:p>
      <w:pPr>
        <w:spacing w:line="560" w:lineRule="exact"/>
        <w:ind w:firstLine="420" w:firstLineChars="200"/>
        <w:jc w:val="left"/>
        <w:rPr>
          <w:rFonts w:ascii="宋体" w:hAnsi="宋体"/>
          <w:kern w:val="0"/>
          <w:szCs w:val="21"/>
        </w:rPr>
      </w:pPr>
      <w:r>
        <w:rPr>
          <w:rFonts w:hint="eastAsia" w:ascii="宋体" w:hAnsi="宋体"/>
          <w:kern w:val="0"/>
          <w:szCs w:val="21"/>
        </w:rPr>
        <w:t>工程试车内容：</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）单机无负荷试车费用由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kern w:val="0"/>
          <w:szCs w:val="21"/>
        </w:rPr>
        <w:t>承担；</w:t>
      </w:r>
    </w:p>
    <w:p>
      <w:pPr>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）无负荷联动试车费用由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kern w:val="0"/>
          <w:szCs w:val="21"/>
        </w:rPr>
        <w:t>承担。</w:t>
      </w:r>
    </w:p>
    <w:p>
      <w:pPr>
        <w:spacing w:line="560" w:lineRule="exact"/>
        <w:ind w:firstLine="420" w:firstLineChars="200"/>
        <w:jc w:val="left"/>
        <w:rPr>
          <w:rFonts w:ascii="宋体" w:hAnsi="宋体"/>
          <w:kern w:val="0"/>
          <w:szCs w:val="21"/>
        </w:rPr>
      </w:pPr>
      <w:r>
        <w:rPr>
          <w:rFonts w:ascii="宋体" w:hAnsi="宋体"/>
          <w:kern w:val="0"/>
          <w:szCs w:val="21"/>
        </w:rPr>
        <w:t xml:space="preserve">13.3.3 </w:t>
      </w:r>
      <w:r>
        <w:rPr>
          <w:rFonts w:hint="eastAsia" w:ascii="宋体" w:hAnsi="宋体"/>
          <w:kern w:val="0"/>
          <w:szCs w:val="21"/>
        </w:rPr>
        <w:t>投料试车</w:t>
      </w:r>
    </w:p>
    <w:p>
      <w:pPr>
        <w:spacing w:line="560" w:lineRule="exact"/>
        <w:ind w:firstLine="420" w:firstLineChars="200"/>
        <w:jc w:val="left"/>
        <w:rPr>
          <w:rFonts w:ascii="宋体" w:hAnsi="宋体"/>
          <w:szCs w:val="21"/>
          <w:u w:val="single"/>
        </w:rPr>
      </w:pPr>
      <w:r>
        <w:rPr>
          <w:rFonts w:hint="eastAsia" w:ascii="宋体" w:hAnsi="宋体"/>
          <w:kern w:val="0"/>
          <w:szCs w:val="21"/>
        </w:rPr>
        <w:t>关于投料试车相关事项的约定：</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szCs w:val="21"/>
        </w:rPr>
      </w:pPr>
      <w:r>
        <w:rPr>
          <w:rFonts w:ascii="宋体" w:hAnsi="宋体"/>
          <w:szCs w:val="21"/>
        </w:rPr>
        <w:t xml:space="preserve">13.6 </w:t>
      </w:r>
      <w:r>
        <w:rPr>
          <w:rFonts w:hint="eastAsia" w:ascii="宋体" w:hAnsi="宋体"/>
          <w:szCs w:val="21"/>
        </w:rPr>
        <w:t>竣工退场</w:t>
      </w:r>
    </w:p>
    <w:p>
      <w:pPr>
        <w:spacing w:line="560" w:lineRule="exact"/>
        <w:ind w:firstLine="420" w:firstLineChars="200"/>
        <w:jc w:val="left"/>
        <w:rPr>
          <w:rFonts w:ascii="宋体" w:hAnsi="宋体"/>
          <w:kern w:val="0"/>
          <w:szCs w:val="21"/>
        </w:rPr>
      </w:pPr>
      <w:r>
        <w:rPr>
          <w:rFonts w:ascii="宋体" w:hAnsi="宋体"/>
          <w:kern w:val="0"/>
          <w:szCs w:val="21"/>
        </w:rPr>
        <w:t xml:space="preserve">13.6.1 </w:t>
      </w:r>
      <w:r>
        <w:rPr>
          <w:rFonts w:hint="eastAsia" w:ascii="宋体" w:hAnsi="宋体"/>
          <w:kern w:val="0"/>
          <w:szCs w:val="21"/>
        </w:rPr>
        <w:t>竣工退场</w:t>
      </w:r>
    </w:p>
    <w:p>
      <w:pPr>
        <w:spacing w:line="560" w:lineRule="exact"/>
        <w:ind w:firstLine="420" w:firstLineChars="200"/>
        <w:jc w:val="left"/>
        <w:rPr>
          <w:rFonts w:ascii="宋体" w:hAnsi="宋体"/>
          <w:kern w:val="0"/>
          <w:szCs w:val="21"/>
        </w:rPr>
      </w:pPr>
      <w:r>
        <w:rPr>
          <w:rFonts w:hint="eastAsia" w:ascii="宋体" w:hAnsi="宋体"/>
          <w:kern w:val="0"/>
          <w:szCs w:val="21"/>
        </w:rPr>
        <w:t>承包人完成竣工退场的期限：</w:t>
      </w:r>
      <w:r>
        <w:rPr>
          <w:rFonts w:ascii="宋体" w:hAnsi="宋体"/>
          <w:szCs w:val="21"/>
          <w:u w:val="single"/>
        </w:rPr>
        <w:t xml:space="preserve">   </w:t>
      </w:r>
      <w:r>
        <w:rPr>
          <w:rFonts w:hint="eastAsia" w:ascii="宋体" w:hAnsi="宋体"/>
          <w:szCs w:val="21"/>
          <w:u w:val="single"/>
        </w:rPr>
        <w:t>竣工验收合格后</w:t>
      </w:r>
      <w:r>
        <w:rPr>
          <w:rFonts w:ascii="宋体" w:hAnsi="宋体"/>
          <w:szCs w:val="21"/>
          <w:u w:val="single"/>
        </w:rPr>
        <w:t xml:space="preserve">   </w:t>
      </w:r>
      <w:r>
        <w:rPr>
          <w:rFonts w:hint="eastAsia" w:ascii="宋体" w:hAnsi="宋体"/>
          <w:kern w:val="0"/>
          <w:szCs w:val="21"/>
        </w:rPr>
        <w:t>。</w:t>
      </w:r>
    </w:p>
    <w:p>
      <w:pPr>
        <w:pStyle w:val="2"/>
        <w:spacing w:before="120" w:after="120" w:line="560" w:lineRule="exact"/>
        <w:ind w:firstLine="420" w:firstLineChars="200"/>
        <w:rPr>
          <w:rFonts w:ascii="宋体" w:hAnsi="宋体"/>
          <w:b w:val="0"/>
          <w:color w:val="auto"/>
          <w:sz w:val="21"/>
          <w:szCs w:val="21"/>
        </w:rPr>
      </w:pPr>
      <w:r>
        <w:rPr>
          <w:rFonts w:ascii="宋体" w:hAnsi="宋体"/>
          <w:b w:val="0"/>
          <w:color w:val="auto"/>
          <w:sz w:val="21"/>
          <w:szCs w:val="21"/>
        </w:rPr>
        <w:t xml:space="preserve">14. </w:t>
      </w:r>
      <w:r>
        <w:rPr>
          <w:rFonts w:hint="eastAsia" w:ascii="宋体" w:hAnsi="宋体"/>
          <w:b w:val="0"/>
          <w:color w:val="auto"/>
          <w:sz w:val="21"/>
          <w:szCs w:val="21"/>
        </w:rPr>
        <w:t>竣工结算</w:t>
      </w:r>
    </w:p>
    <w:p>
      <w:pPr>
        <w:spacing w:after="120" w:line="560" w:lineRule="exact"/>
        <w:ind w:firstLine="420" w:firstLineChars="200"/>
        <w:rPr>
          <w:rFonts w:ascii="宋体" w:hAnsi="宋体"/>
          <w:color w:val="auto"/>
          <w:szCs w:val="21"/>
        </w:rPr>
      </w:pPr>
      <w:r>
        <w:rPr>
          <w:rFonts w:ascii="宋体" w:hAnsi="宋体"/>
          <w:color w:val="auto"/>
          <w:szCs w:val="21"/>
        </w:rPr>
        <w:t xml:space="preserve">14.1 </w:t>
      </w:r>
      <w:r>
        <w:rPr>
          <w:rFonts w:hint="eastAsia" w:ascii="宋体" w:hAnsi="宋体"/>
          <w:color w:val="auto"/>
          <w:szCs w:val="21"/>
        </w:rPr>
        <w:t>竣工付款申请</w:t>
      </w:r>
    </w:p>
    <w:p>
      <w:pPr>
        <w:spacing w:line="560" w:lineRule="exact"/>
        <w:ind w:firstLine="420" w:firstLineChars="200"/>
        <w:jc w:val="left"/>
        <w:rPr>
          <w:rFonts w:ascii="宋体" w:hAnsi="宋体"/>
          <w:color w:val="auto"/>
          <w:szCs w:val="21"/>
        </w:rPr>
      </w:pPr>
      <w:r>
        <w:rPr>
          <w:rFonts w:hint="eastAsia" w:ascii="宋体" w:hAnsi="宋体"/>
          <w:color w:val="auto"/>
          <w:szCs w:val="21"/>
        </w:rPr>
        <w:t>承包人提交竣工付款申请单的期限：</w:t>
      </w:r>
      <w:r>
        <w:rPr>
          <w:rFonts w:hint="eastAsia"/>
          <w:color w:val="auto"/>
          <w:szCs w:val="21"/>
          <w:u w:val="single"/>
        </w:rPr>
        <w:t>经审定工程竣工结算并由承包人提出申请后28天内。</w:t>
      </w:r>
    </w:p>
    <w:p>
      <w:pPr>
        <w:spacing w:line="560" w:lineRule="exact"/>
        <w:ind w:firstLine="420" w:firstLineChars="200"/>
        <w:jc w:val="left"/>
        <w:rPr>
          <w:rFonts w:ascii="宋体" w:hAnsi="宋体"/>
          <w:color w:val="auto"/>
          <w:szCs w:val="21"/>
          <w:u w:val="single"/>
        </w:rPr>
      </w:pPr>
      <w:r>
        <w:rPr>
          <w:rFonts w:hint="eastAsia" w:ascii="宋体" w:hAnsi="宋体"/>
          <w:color w:val="auto"/>
          <w:szCs w:val="21"/>
        </w:rPr>
        <w:t>竣工付款申请单应包括的内容：</w:t>
      </w:r>
      <w:r>
        <w:rPr>
          <w:rFonts w:hint="eastAsia"/>
          <w:color w:val="auto"/>
          <w:szCs w:val="21"/>
          <w:u w:val="single"/>
        </w:rPr>
        <w:t>竣工结算由承包人提交相关结算资料（主要包括合同、工程量计算书、结算书、变更设计通知单、签证单、竣工图）齐全后经监理初审、发包人审核后，必须经发包人审定后方可办理工程结算或竣工决算，最终结算以</w:t>
      </w:r>
      <w:r>
        <w:rPr>
          <w:rFonts w:hint="eastAsia" w:ascii="宋体" w:hAnsi="宋体"/>
          <w:color w:val="auto"/>
          <w:szCs w:val="21"/>
          <w:u w:val="single"/>
        </w:rPr>
        <w:t>招标人委托的中介机构</w:t>
      </w:r>
      <w:r>
        <w:rPr>
          <w:rFonts w:hint="eastAsia"/>
          <w:color w:val="auto"/>
          <w:szCs w:val="21"/>
          <w:u w:val="single"/>
        </w:rPr>
        <w:t>的审计结果为准。工程款按最终审定的结算造价支付至97％，</w:t>
      </w:r>
      <w:r>
        <w:rPr>
          <w:rFonts w:hint="eastAsia"/>
          <w:color w:val="auto"/>
          <w:spacing w:val="-2"/>
          <w:szCs w:val="21"/>
          <w:u w:val="single"/>
        </w:rPr>
        <w:t>预留的3％的质保金。</w:t>
      </w:r>
      <w:r>
        <w:rPr>
          <w:rFonts w:hint="eastAsia" w:ascii="宋体" w:hAnsi="宋体"/>
          <w:color w:val="auto"/>
          <w:szCs w:val="21"/>
          <w:u w:val="single"/>
        </w:rPr>
        <w:t xml:space="preserve">  </w:t>
      </w:r>
    </w:p>
    <w:p>
      <w:pPr>
        <w:spacing w:line="560" w:lineRule="exact"/>
        <w:ind w:firstLine="420" w:firstLineChars="200"/>
        <w:rPr>
          <w:rFonts w:ascii="宋体" w:hAnsi="宋体"/>
          <w:color w:val="auto"/>
          <w:szCs w:val="21"/>
        </w:rPr>
      </w:pPr>
      <w:r>
        <w:rPr>
          <w:rFonts w:hint="eastAsia" w:ascii="宋体" w:hAnsi="宋体"/>
          <w:color w:val="auto"/>
          <w:szCs w:val="21"/>
        </w:rPr>
        <w:t>承包人未按本项约定的期限和内容提交竣工付款申请单或者未按审核部门要求提交修正后的竣工付款申请单，经发包人催促后14天内仍未提交或者没有明确答复的，发包人有权根据已有资料进行审查，审查确定的竣工结算合同总价和竣工付款金额视同是经承包人认可的工程竣工结算合同总价和竣工付款金额。</w:t>
      </w:r>
    </w:p>
    <w:p>
      <w:pPr>
        <w:spacing w:line="560" w:lineRule="exact"/>
        <w:ind w:firstLine="420" w:firstLineChars="200"/>
        <w:rPr>
          <w:color w:val="auto"/>
          <w:szCs w:val="21"/>
          <w:u w:val="single"/>
        </w:rPr>
      </w:pPr>
      <w:r>
        <w:rPr>
          <w:rFonts w:hint="eastAsia"/>
          <w:color w:val="auto"/>
          <w:szCs w:val="21"/>
          <w:u w:val="single"/>
        </w:rPr>
        <w:t>承包人应如实编制竣工结算书，不得弄虚作假和高估冒算。结算送审金额与审定金额相比，误差超过8 ％的，由此增加的竣工结算第三方审核费用由承包人承担。增加审核费用＝（送审金额-1.08*审定金额）×5％，由发包人从承包人的结算款中扣除。</w:t>
      </w:r>
    </w:p>
    <w:p>
      <w:pPr>
        <w:spacing w:line="560" w:lineRule="exact"/>
        <w:ind w:firstLine="420" w:firstLineChars="200"/>
        <w:jc w:val="left"/>
        <w:rPr>
          <w:rFonts w:ascii="宋体" w:hAnsi="宋体"/>
          <w:color w:val="auto"/>
          <w:szCs w:val="21"/>
        </w:rPr>
      </w:pPr>
      <w:r>
        <w:rPr>
          <w:rFonts w:ascii="宋体" w:hAnsi="宋体"/>
          <w:color w:val="auto"/>
          <w:szCs w:val="21"/>
        </w:rPr>
        <w:t xml:space="preserve">14.2 </w:t>
      </w:r>
      <w:r>
        <w:rPr>
          <w:rFonts w:hint="eastAsia" w:ascii="宋体" w:hAnsi="宋体"/>
          <w:color w:val="auto"/>
          <w:szCs w:val="21"/>
        </w:rPr>
        <w:t>竣工结算审核</w:t>
      </w:r>
    </w:p>
    <w:p>
      <w:pPr>
        <w:spacing w:line="560" w:lineRule="exact"/>
        <w:ind w:firstLine="420" w:firstLineChars="200"/>
        <w:jc w:val="left"/>
        <w:rPr>
          <w:rFonts w:ascii="宋体" w:hAnsi="宋体"/>
          <w:color w:val="auto"/>
          <w:szCs w:val="21"/>
        </w:rPr>
      </w:pPr>
      <w:r>
        <w:rPr>
          <w:rFonts w:hint="eastAsia" w:ascii="宋体" w:hAnsi="宋体"/>
          <w:color w:val="auto"/>
          <w:szCs w:val="21"/>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65" w:type="dxa"/>
            <w:vAlign w:val="center"/>
          </w:tcPr>
          <w:p>
            <w:pPr>
              <w:spacing w:line="360" w:lineRule="auto"/>
              <w:ind w:firstLine="420" w:firstLineChars="200"/>
              <w:jc w:val="center"/>
              <w:rPr>
                <w:color w:val="auto"/>
              </w:rPr>
            </w:pPr>
          </w:p>
        </w:tc>
        <w:tc>
          <w:tcPr>
            <w:tcW w:w="2466" w:type="dxa"/>
            <w:vAlign w:val="center"/>
          </w:tcPr>
          <w:p>
            <w:pPr>
              <w:ind w:firstLine="420" w:firstLineChars="200"/>
              <w:jc w:val="center"/>
              <w:rPr>
                <w:color w:val="auto"/>
              </w:rPr>
            </w:pPr>
            <w:r>
              <w:rPr>
                <w:rFonts w:hint="eastAsia"/>
                <w:color w:val="auto"/>
              </w:rPr>
              <w:t>工程竣工结算报告金额</w:t>
            </w:r>
          </w:p>
        </w:tc>
        <w:tc>
          <w:tcPr>
            <w:tcW w:w="5967" w:type="dxa"/>
            <w:vAlign w:val="center"/>
          </w:tcPr>
          <w:p>
            <w:pPr>
              <w:ind w:firstLine="2100" w:firstLineChars="1000"/>
              <w:jc w:val="center"/>
              <w:rPr>
                <w:color w:val="auto"/>
              </w:rPr>
            </w:pPr>
            <w:r>
              <w:rPr>
                <w:rFonts w:hint="eastAsia"/>
                <w:color w:val="auto"/>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560" w:lineRule="exact"/>
              <w:ind w:firstLine="210" w:firstLineChars="10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466" w:type="dxa"/>
            <w:vAlign w:val="bottom"/>
          </w:tcPr>
          <w:p>
            <w:pPr>
              <w:spacing w:line="360" w:lineRule="auto"/>
              <w:ind w:firstLine="420" w:firstLineChars="200"/>
              <w:jc w:val="center"/>
              <w:rPr>
                <w:color w:val="auto"/>
              </w:rPr>
            </w:pPr>
            <w:r>
              <w:rPr>
                <w:rFonts w:hint="eastAsia"/>
                <w:color w:val="auto"/>
              </w:rPr>
              <w:t>500万元以下</w:t>
            </w:r>
          </w:p>
        </w:tc>
        <w:tc>
          <w:tcPr>
            <w:tcW w:w="5967" w:type="dxa"/>
            <w:vAlign w:val="bottom"/>
          </w:tcPr>
          <w:p>
            <w:pPr>
              <w:spacing w:line="360" w:lineRule="auto"/>
              <w:ind w:firstLine="210" w:firstLineChars="100"/>
              <w:jc w:val="center"/>
              <w:rPr>
                <w:color w:val="auto"/>
              </w:rPr>
            </w:pPr>
            <w:r>
              <w:rPr>
                <w:rFonts w:hint="eastAsia"/>
                <w:color w:val="auto"/>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560" w:lineRule="exact"/>
              <w:ind w:firstLine="210" w:firstLineChars="10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2466" w:type="dxa"/>
            <w:vAlign w:val="bottom"/>
          </w:tcPr>
          <w:p>
            <w:pPr>
              <w:spacing w:line="360" w:lineRule="auto"/>
              <w:ind w:firstLine="210" w:firstLineChars="100"/>
              <w:jc w:val="center"/>
              <w:rPr>
                <w:color w:val="auto"/>
              </w:rPr>
            </w:pPr>
            <w:r>
              <w:rPr>
                <w:rFonts w:hint="eastAsia"/>
                <w:color w:val="auto"/>
              </w:rPr>
              <w:t>500万元-2000万元</w:t>
            </w:r>
          </w:p>
        </w:tc>
        <w:tc>
          <w:tcPr>
            <w:tcW w:w="5967" w:type="dxa"/>
            <w:vAlign w:val="bottom"/>
          </w:tcPr>
          <w:p>
            <w:pPr>
              <w:spacing w:line="360" w:lineRule="auto"/>
              <w:ind w:firstLine="210" w:firstLineChars="100"/>
              <w:jc w:val="center"/>
              <w:rPr>
                <w:color w:val="auto"/>
              </w:rPr>
            </w:pPr>
            <w:r>
              <w:rPr>
                <w:rFonts w:hint="eastAsia"/>
                <w:color w:val="auto"/>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560" w:lineRule="exact"/>
              <w:ind w:firstLine="210" w:firstLineChars="10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466" w:type="dxa"/>
            <w:vAlign w:val="bottom"/>
          </w:tcPr>
          <w:p>
            <w:pPr>
              <w:spacing w:line="360" w:lineRule="auto"/>
              <w:ind w:firstLine="210" w:firstLineChars="100"/>
              <w:jc w:val="center"/>
              <w:rPr>
                <w:color w:val="auto"/>
              </w:rPr>
            </w:pPr>
            <w:r>
              <w:rPr>
                <w:rFonts w:hint="eastAsia"/>
                <w:color w:val="auto"/>
              </w:rPr>
              <w:t>2000万元-5000万元</w:t>
            </w:r>
          </w:p>
        </w:tc>
        <w:tc>
          <w:tcPr>
            <w:tcW w:w="5967" w:type="dxa"/>
            <w:vAlign w:val="bottom"/>
          </w:tcPr>
          <w:p>
            <w:pPr>
              <w:spacing w:line="360" w:lineRule="auto"/>
              <w:ind w:firstLine="210" w:firstLineChars="100"/>
              <w:jc w:val="center"/>
              <w:rPr>
                <w:color w:val="auto"/>
              </w:rPr>
            </w:pPr>
            <w:r>
              <w:rPr>
                <w:rFonts w:hint="eastAsia"/>
                <w:color w:val="auto"/>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560" w:lineRule="exact"/>
              <w:ind w:firstLine="210" w:firstLineChars="10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2466" w:type="dxa"/>
            <w:vAlign w:val="bottom"/>
          </w:tcPr>
          <w:p>
            <w:pPr>
              <w:spacing w:line="360" w:lineRule="auto"/>
              <w:ind w:firstLine="210" w:firstLineChars="100"/>
              <w:jc w:val="center"/>
              <w:rPr>
                <w:color w:val="auto"/>
              </w:rPr>
            </w:pPr>
            <w:r>
              <w:rPr>
                <w:rFonts w:hint="eastAsia"/>
                <w:color w:val="auto"/>
              </w:rPr>
              <w:t>5000万元以上</w:t>
            </w:r>
          </w:p>
        </w:tc>
        <w:tc>
          <w:tcPr>
            <w:tcW w:w="5967" w:type="dxa"/>
            <w:vAlign w:val="bottom"/>
          </w:tcPr>
          <w:p>
            <w:pPr>
              <w:spacing w:line="360" w:lineRule="auto"/>
              <w:ind w:firstLine="210" w:firstLineChars="100"/>
              <w:jc w:val="center"/>
              <w:rPr>
                <w:color w:val="auto"/>
              </w:rPr>
            </w:pPr>
            <w:r>
              <w:rPr>
                <w:rFonts w:hint="eastAsia"/>
                <w:color w:val="auto"/>
              </w:rPr>
              <w:t>从接到竣工结算报告和完整的竣工结算资料之日起60天</w:t>
            </w:r>
          </w:p>
        </w:tc>
      </w:tr>
    </w:tbl>
    <w:p>
      <w:pPr>
        <w:spacing w:line="560" w:lineRule="exact"/>
        <w:ind w:firstLine="420" w:firstLineChars="200"/>
        <w:jc w:val="left"/>
        <w:rPr>
          <w:rFonts w:ascii="宋体" w:hAnsi="宋体"/>
          <w:color w:val="auto"/>
          <w:szCs w:val="21"/>
        </w:rPr>
      </w:pPr>
      <w:r>
        <w:rPr>
          <w:bCs/>
          <w:color w:val="auto"/>
          <w:szCs w:val="21"/>
        </w:rPr>
        <w:t>因承包人提供的结算资料不完整而需要补充或承包人不按时对账耽误时间时，审查时间应相应顺延</w:t>
      </w:r>
      <w:r>
        <w:rPr>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发包人完成竣工付款的期限：</w:t>
      </w:r>
      <w:r>
        <w:rPr>
          <w:rFonts w:hint="eastAsia" w:ascii="宋体" w:hAnsi="宋体"/>
          <w:color w:val="auto"/>
          <w:szCs w:val="21"/>
          <w:u w:val="single"/>
        </w:rPr>
        <w:t>在签发竣工付款证书后的56天内</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hint="eastAsia" w:ascii="宋体" w:hAnsi="宋体"/>
          <w:color w:val="auto"/>
          <w:szCs w:val="21"/>
        </w:rPr>
        <w:t>关于竣工付款证书异议部分复核的方式和程序：</w:t>
      </w:r>
      <w:r>
        <w:rPr>
          <w:rFonts w:hint="eastAsia" w:ascii="宋体" w:hAnsi="宋体"/>
          <w:color w:val="auto"/>
          <w:szCs w:val="21"/>
          <w:u w:val="single"/>
        </w:rPr>
        <w:t>按通用条款执行</w:t>
      </w:r>
      <w:r>
        <w:rPr>
          <w:rFonts w:ascii="宋体" w:hAnsi="宋体"/>
          <w:color w:val="auto"/>
          <w:szCs w:val="21"/>
          <w:u w:val="single"/>
        </w:rPr>
        <w:t xml:space="preserve">      </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ascii="宋体" w:hAnsi="宋体"/>
          <w:color w:val="auto"/>
          <w:szCs w:val="21"/>
        </w:rPr>
        <w:t xml:space="preserve">14.4 </w:t>
      </w:r>
      <w:r>
        <w:rPr>
          <w:rFonts w:hint="eastAsia" w:ascii="宋体" w:hAnsi="宋体"/>
          <w:color w:val="auto"/>
          <w:szCs w:val="21"/>
        </w:rPr>
        <w:t>最终结清</w:t>
      </w:r>
    </w:p>
    <w:p>
      <w:pPr>
        <w:spacing w:line="560" w:lineRule="exact"/>
        <w:ind w:firstLine="420" w:firstLineChars="200"/>
        <w:jc w:val="left"/>
        <w:rPr>
          <w:rFonts w:ascii="宋体" w:hAnsi="宋体"/>
          <w:kern w:val="0"/>
          <w:szCs w:val="21"/>
        </w:rPr>
      </w:pPr>
      <w:r>
        <w:rPr>
          <w:rFonts w:ascii="宋体" w:hAnsi="宋体"/>
          <w:kern w:val="0"/>
          <w:szCs w:val="21"/>
        </w:rPr>
        <w:t xml:space="preserve">14.4.1 </w:t>
      </w:r>
      <w:r>
        <w:rPr>
          <w:rFonts w:hint="eastAsia" w:ascii="宋体" w:hAnsi="宋体"/>
          <w:kern w:val="0"/>
          <w:szCs w:val="21"/>
        </w:rPr>
        <w:t>最终结清申请单</w:t>
      </w:r>
    </w:p>
    <w:p>
      <w:pPr>
        <w:spacing w:line="560" w:lineRule="exact"/>
        <w:ind w:firstLine="420" w:firstLineChars="200"/>
        <w:jc w:val="left"/>
        <w:rPr>
          <w:rFonts w:ascii="宋体" w:hAnsi="宋体"/>
          <w:szCs w:val="21"/>
        </w:rPr>
      </w:pPr>
      <w:r>
        <w:rPr>
          <w:rFonts w:hint="eastAsia" w:ascii="宋体" w:hAnsi="宋体"/>
          <w:kern w:val="0"/>
          <w:szCs w:val="21"/>
        </w:rPr>
        <w:t>承包人提交最终结清申请单的份数：</w:t>
      </w:r>
      <w:r>
        <w:rPr>
          <w:rFonts w:hint="eastAsia" w:ascii="宋体" w:hAnsi="宋体"/>
          <w:szCs w:val="21"/>
          <w:u w:val="single"/>
        </w:rPr>
        <w:t>一式四份</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kern w:val="0"/>
          <w:szCs w:val="21"/>
        </w:rPr>
        <w:t>承包人提交最终结算申请单的期限：</w:t>
      </w:r>
      <w:r>
        <w:rPr>
          <w:rFonts w:hint="eastAsia"/>
          <w:szCs w:val="21"/>
          <w:u w:val="single"/>
        </w:rPr>
        <w:t>缺陷责任期终止证书签发后14天内向监理人提交4份竣工付款申请单及相关证明材料。</w:t>
      </w:r>
      <w:r>
        <w:rPr>
          <w:rFonts w:hint="eastAsia" w:ascii="宋体" w:hAnsi="宋体"/>
          <w:szCs w:val="21"/>
          <w:u w:val="single"/>
        </w:rPr>
        <w:t xml:space="preserve"> </w:t>
      </w:r>
    </w:p>
    <w:p>
      <w:pPr>
        <w:spacing w:line="560" w:lineRule="exact"/>
        <w:ind w:firstLine="420" w:firstLineChars="200"/>
        <w:jc w:val="left"/>
        <w:rPr>
          <w:rFonts w:ascii="宋体" w:hAnsi="宋体"/>
          <w:szCs w:val="21"/>
        </w:rPr>
      </w:pPr>
      <w:r>
        <w:rPr>
          <w:rFonts w:ascii="宋体" w:hAnsi="宋体"/>
          <w:szCs w:val="21"/>
        </w:rPr>
        <w:t xml:space="preserve">14.4.2 </w:t>
      </w:r>
      <w:r>
        <w:rPr>
          <w:rFonts w:hint="eastAsia" w:ascii="宋体" w:hAnsi="宋体"/>
          <w:szCs w:val="21"/>
        </w:rPr>
        <w:t>最终结清证书和支付</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）发包人完成最终结清申请单的审批并颁发最终结清证书的期限：</w:t>
      </w:r>
      <w:r>
        <w:rPr>
          <w:rFonts w:hint="eastAsia" w:ascii="宋体" w:hAnsi="宋体"/>
          <w:szCs w:val="21"/>
          <w:u w:val="single"/>
        </w:rPr>
        <w:t>按通用条款执行</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）发包人完成支付的期限：</w:t>
      </w:r>
      <w:r>
        <w:rPr>
          <w:rFonts w:hint="eastAsia" w:ascii="宋体" w:hAnsi="宋体"/>
          <w:szCs w:val="21"/>
          <w:u w:val="single"/>
        </w:rPr>
        <w:t>在颁发最终结清证书后的30天内</w:t>
      </w:r>
      <w:r>
        <w:rPr>
          <w:rFonts w:ascii="宋体" w:hAnsi="宋体"/>
          <w:szCs w:val="21"/>
          <w:u w:val="single"/>
        </w:rPr>
        <w:t xml:space="preserve">      </w:t>
      </w:r>
      <w:r>
        <w:rPr>
          <w:rFonts w:hint="eastAsia" w:ascii="宋体" w:hAnsi="宋体"/>
          <w:szCs w:val="21"/>
        </w:rPr>
        <w:t>。</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15. </w:t>
      </w:r>
      <w:r>
        <w:rPr>
          <w:rFonts w:hint="eastAsia" w:ascii="宋体" w:hAnsi="宋体"/>
          <w:b w:val="0"/>
          <w:sz w:val="21"/>
          <w:szCs w:val="21"/>
        </w:rPr>
        <w:t>缺陷责任期与保修</w:t>
      </w:r>
    </w:p>
    <w:p>
      <w:pPr>
        <w:spacing w:after="120" w:line="560" w:lineRule="exact"/>
        <w:ind w:firstLine="420" w:firstLineChars="200"/>
        <w:rPr>
          <w:rFonts w:ascii="宋体" w:hAnsi="宋体"/>
          <w:szCs w:val="21"/>
        </w:rPr>
      </w:pPr>
      <w:r>
        <w:rPr>
          <w:rFonts w:ascii="宋体" w:hAnsi="宋体"/>
          <w:szCs w:val="21"/>
        </w:rPr>
        <w:t>15.2</w:t>
      </w:r>
      <w:r>
        <w:rPr>
          <w:rFonts w:hint="eastAsia" w:ascii="宋体" w:hAnsi="宋体"/>
          <w:szCs w:val="21"/>
        </w:rPr>
        <w:t>缺陷责任期</w:t>
      </w:r>
    </w:p>
    <w:p>
      <w:pPr>
        <w:spacing w:line="560" w:lineRule="exact"/>
        <w:ind w:firstLine="420" w:firstLineChars="200"/>
        <w:jc w:val="left"/>
        <w:rPr>
          <w:rFonts w:ascii="宋体" w:hAnsi="宋体"/>
          <w:szCs w:val="21"/>
        </w:rPr>
      </w:pPr>
      <w:r>
        <w:rPr>
          <w:rFonts w:hint="eastAsia" w:ascii="宋体" w:hAnsi="宋体"/>
          <w:szCs w:val="21"/>
        </w:rPr>
        <w:t>缺陷责任期的具体期限：</w:t>
      </w:r>
      <w:r>
        <w:rPr>
          <w:rFonts w:hint="eastAsia" w:ascii="宋体" w:hAnsi="宋体"/>
          <w:szCs w:val="21"/>
          <w:u w:val="single"/>
        </w:rPr>
        <w:t>24个月</w:t>
      </w:r>
      <w:r>
        <w:rPr>
          <w:rFonts w:ascii="宋体" w:hAnsi="宋体"/>
          <w:szCs w:val="21"/>
          <w:u w:val="single"/>
        </w:rPr>
        <w:t xml:space="preserve"> </w:t>
      </w:r>
      <w:r>
        <w:rPr>
          <w:rFonts w:hint="eastAsia" w:ascii="宋体" w:hAnsi="宋体"/>
          <w:szCs w:val="21"/>
        </w:rPr>
        <w:t>。</w:t>
      </w:r>
    </w:p>
    <w:p>
      <w:pPr>
        <w:spacing w:after="120" w:line="560" w:lineRule="exact"/>
        <w:ind w:firstLine="420" w:firstLineChars="200"/>
        <w:rPr>
          <w:rFonts w:ascii="宋体" w:hAnsi="宋体"/>
          <w:color w:val="auto"/>
          <w:szCs w:val="21"/>
        </w:rPr>
      </w:pPr>
      <w:r>
        <w:rPr>
          <w:rFonts w:ascii="宋体" w:hAnsi="宋体"/>
          <w:color w:val="auto"/>
          <w:szCs w:val="21"/>
        </w:rPr>
        <w:t xml:space="preserve">15.3 </w:t>
      </w:r>
      <w:r>
        <w:rPr>
          <w:rFonts w:hint="eastAsia" w:ascii="宋体" w:hAnsi="宋体"/>
          <w:color w:val="auto"/>
          <w:szCs w:val="21"/>
        </w:rPr>
        <w:t>质量保证金</w:t>
      </w:r>
    </w:p>
    <w:p>
      <w:pPr>
        <w:spacing w:line="560" w:lineRule="exact"/>
        <w:ind w:firstLine="420" w:firstLineChars="200"/>
        <w:jc w:val="left"/>
        <w:rPr>
          <w:rFonts w:ascii="宋体" w:hAnsi="宋体"/>
          <w:color w:val="auto"/>
          <w:szCs w:val="21"/>
        </w:rPr>
      </w:pPr>
      <w:r>
        <w:rPr>
          <w:rFonts w:hint="eastAsia" w:ascii="宋体" w:hAnsi="宋体"/>
          <w:color w:val="auto"/>
          <w:szCs w:val="21"/>
        </w:rPr>
        <w:t>关于是否扣留质量保证金的约定：按</w:t>
      </w:r>
      <w:r>
        <w:rPr>
          <w:rFonts w:hint="eastAsia" w:ascii="宋体" w:hAnsi="宋体"/>
          <w:color w:val="auto"/>
          <w:szCs w:val="21"/>
          <w:u w:val="single"/>
        </w:rPr>
        <w:t>工程审核造价金额的3</w:t>
      </w:r>
      <w:r>
        <w:rPr>
          <w:rFonts w:ascii="宋体" w:hAnsi="宋体"/>
          <w:color w:val="auto"/>
          <w:szCs w:val="21"/>
          <w:u w:val="single"/>
        </w:rPr>
        <w:t>%</w:t>
      </w:r>
      <w:r>
        <w:rPr>
          <w:rFonts w:hint="eastAsia" w:ascii="宋体" w:hAnsi="宋体"/>
          <w:color w:val="auto"/>
          <w:szCs w:val="21"/>
          <w:u w:val="single"/>
        </w:rPr>
        <w:t>作为质保金</w:t>
      </w:r>
      <w:r>
        <w:rPr>
          <w:rFonts w:hint="eastAsia" w:ascii="宋体" w:hAnsi="宋体"/>
          <w:color w:val="auto"/>
          <w:szCs w:val="21"/>
        </w:rPr>
        <w:t>。</w:t>
      </w:r>
    </w:p>
    <w:p>
      <w:pPr>
        <w:spacing w:line="560" w:lineRule="exact"/>
        <w:ind w:firstLine="420" w:firstLineChars="200"/>
        <w:jc w:val="left"/>
        <w:rPr>
          <w:rFonts w:ascii="宋体" w:hAnsi="宋体"/>
          <w:color w:val="auto"/>
          <w:szCs w:val="21"/>
        </w:rPr>
      </w:pPr>
      <w:r>
        <w:rPr>
          <w:rFonts w:ascii="宋体" w:hAnsi="宋体"/>
          <w:color w:val="auto"/>
          <w:szCs w:val="21"/>
        </w:rPr>
        <w:t xml:space="preserve">15.3.1 </w:t>
      </w:r>
      <w:r>
        <w:rPr>
          <w:rFonts w:hint="eastAsia" w:ascii="宋体" w:hAnsi="宋体"/>
          <w:color w:val="auto"/>
          <w:szCs w:val="21"/>
        </w:rPr>
        <w:t>承包人提供质量保证金的方式</w:t>
      </w:r>
    </w:p>
    <w:p>
      <w:pPr>
        <w:spacing w:line="560" w:lineRule="exact"/>
        <w:ind w:firstLine="420" w:firstLineChars="200"/>
        <w:jc w:val="left"/>
        <w:rPr>
          <w:rFonts w:ascii="宋体" w:hAnsi="宋体"/>
          <w:color w:val="auto"/>
          <w:szCs w:val="21"/>
        </w:rPr>
      </w:pPr>
      <w:r>
        <w:rPr>
          <w:rFonts w:hint="eastAsia" w:ascii="宋体" w:hAnsi="宋体"/>
          <w:color w:val="auto"/>
          <w:szCs w:val="21"/>
        </w:rPr>
        <w:t>质量保证金采用以下第</w:t>
      </w:r>
      <w:r>
        <w:rPr>
          <w:rFonts w:ascii="宋体" w:hAnsi="宋体"/>
          <w:color w:val="auto"/>
          <w:szCs w:val="21"/>
          <w:u w:val="single"/>
        </w:rPr>
        <w:t xml:space="preserve">  2  </w:t>
      </w:r>
      <w:r>
        <w:rPr>
          <w:rFonts w:hint="eastAsia" w:ascii="宋体" w:hAnsi="宋体"/>
          <w:color w:val="auto"/>
          <w:szCs w:val="21"/>
        </w:rPr>
        <w:t>种方式：</w:t>
      </w:r>
    </w:p>
    <w:p>
      <w:pPr>
        <w:autoSpaceDE w:val="0"/>
        <w:autoSpaceDN w:val="0"/>
        <w:adjustRightInd w:val="0"/>
        <w:spacing w:line="560" w:lineRule="exact"/>
        <w:ind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）质量保证金保函，保证金额为：</w:t>
      </w:r>
      <w:r>
        <w:rPr>
          <w:rFonts w:ascii="宋体" w:hAnsi="宋体"/>
          <w:color w:val="auto"/>
          <w:kern w:val="0"/>
          <w:szCs w:val="21"/>
          <w:u w:val="single"/>
        </w:rPr>
        <w:t xml:space="preserve">   </w:t>
      </w:r>
      <w:r>
        <w:rPr>
          <w:rFonts w:hint="eastAsia" w:ascii="宋体" w:hAnsi="宋体"/>
          <w:color w:val="auto"/>
          <w:kern w:val="0"/>
          <w:szCs w:val="21"/>
          <w:u w:val="single"/>
        </w:rPr>
        <w:t>/</w:t>
      </w:r>
      <w:r>
        <w:rPr>
          <w:rFonts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 xml:space="preserve"> </w:t>
      </w:r>
    </w:p>
    <w:p>
      <w:pPr>
        <w:autoSpaceDE w:val="0"/>
        <w:autoSpaceDN w:val="0"/>
        <w:adjustRightInd w:val="0"/>
        <w:spacing w:line="560" w:lineRule="exact"/>
        <w:ind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rPr>
        <w:t>3</w:t>
      </w:r>
      <w:r>
        <w:rPr>
          <w:rFonts w:ascii="宋体" w:hAnsi="宋体"/>
          <w:color w:val="auto"/>
          <w:kern w:val="0"/>
          <w:szCs w:val="21"/>
          <w:u w:val="single"/>
        </w:rPr>
        <w:t xml:space="preserve"> </w:t>
      </w:r>
      <w:r>
        <w:rPr>
          <w:rFonts w:ascii="宋体" w:hAnsi="宋体"/>
          <w:color w:val="auto"/>
          <w:kern w:val="0"/>
          <w:szCs w:val="21"/>
        </w:rPr>
        <w:t>%</w:t>
      </w:r>
      <w:r>
        <w:rPr>
          <w:rFonts w:hint="eastAsia" w:ascii="宋体" w:hAnsi="宋体"/>
          <w:color w:val="auto"/>
          <w:kern w:val="0"/>
          <w:szCs w:val="21"/>
        </w:rPr>
        <w:t>的工程款；</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）其他方式</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u w:val="single"/>
        </w:rPr>
        <w:t>无</w:t>
      </w:r>
      <w:r>
        <w:rPr>
          <w:rFonts w:ascii="宋体" w:hAnsi="宋体"/>
          <w:kern w:val="0"/>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szCs w:val="21"/>
        </w:rPr>
      </w:pPr>
      <w:r>
        <w:rPr>
          <w:rFonts w:ascii="宋体" w:hAnsi="宋体"/>
          <w:szCs w:val="21"/>
        </w:rPr>
        <w:t xml:space="preserve">15.3.2 </w:t>
      </w:r>
      <w:r>
        <w:rPr>
          <w:rFonts w:hint="eastAsia" w:ascii="宋体" w:hAnsi="宋体"/>
          <w:szCs w:val="21"/>
        </w:rPr>
        <w:t>质量保证金的扣留</w:t>
      </w:r>
      <w:r>
        <w:rPr>
          <w:rFonts w:ascii="宋体" w:hAnsi="宋体"/>
          <w:szCs w:val="21"/>
        </w:rPr>
        <w:t xml:space="preserve"> </w:t>
      </w:r>
    </w:p>
    <w:p>
      <w:pPr>
        <w:spacing w:line="560" w:lineRule="exact"/>
        <w:ind w:firstLine="420" w:firstLineChars="200"/>
        <w:jc w:val="left"/>
        <w:rPr>
          <w:rFonts w:ascii="宋体" w:hAnsi="宋体"/>
          <w:szCs w:val="21"/>
        </w:rPr>
      </w:pPr>
      <w:r>
        <w:rPr>
          <w:rFonts w:hint="eastAsia" w:ascii="宋体" w:hAnsi="宋体"/>
          <w:szCs w:val="21"/>
        </w:rPr>
        <w:t>质量保证金的扣留采取以下第</w:t>
      </w:r>
      <w:r>
        <w:rPr>
          <w:rFonts w:ascii="宋体" w:hAnsi="宋体"/>
          <w:szCs w:val="21"/>
          <w:u w:val="single"/>
        </w:rPr>
        <w:t xml:space="preserve">  2  </w:t>
      </w:r>
      <w:r>
        <w:rPr>
          <w:rFonts w:hint="eastAsia" w:ascii="宋体" w:hAnsi="宋体"/>
          <w:szCs w:val="21"/>
        </w:rPr>
        <w:t>种方式：</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）在支付工程进度款时逐次扣留，在此情形下，质量保证金的计算基数不包括预付款的支付、扣回以及价格调整的金额；</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）工程竣工结算时一次性扣留质量保证金；</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）其他扣留方式</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u w:val="single"/>
        </w:rPr>
        <w:t>无</w:t>
      </w:r>
      <w:r>
        <w:rPr>
          <w:rFonts w:ascii="宋体" w:hAnsi="宋体"/>
          <w:kern w:val="0"/>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u w:val="single"/>
        </w:rPr>
      </w:pPr>
      <w:r>
        <w:rPr>
          <w:rFonts w:hint="eastAsia" w:ascii="宋体" w:hAnsi="宋体"/>
          <w:szCs w:val="21"/>
        </w:rPr>
        <w:t>关于质量保证金的补充约定：</w:t>
      </w:r>
      <w:r>
        <w:rPr>
          <w:rFonts w:hint="eastAsia"/>
          <w:szCs w:val="21"/>
          <w:u w:val="single"/>
        </w:rPr>
        <w:t>发包人在质保期（两年）满后一个月内将质保金的全部返回给承包人（无息）</w:t>
      </w:r>
      <w:r>
        <w:rPr>
          <w:szCs w:val="21"/>
          <w:u w:val="single"/>
        </w:rPr>
        <w:t>。质量保证金的返还，并不能免除承包人按照合同约定应承担的质量保修责任和应履行的质量保修义务。</w:t>
      </w:r>
    </w:p>
    <w:p>
      <w:pPr>
        <w:spacing w:after="120" w:line="560" w:lineRule="exact"/>
        <w:ind w:firstLine="420" w:firstLineChars="200"/>
        <w:rPr>
          <w:rFonts w:ascii="宋体" w:hAnsi="宋体"/>
          <w:szCs w:val="21"/>
        </w:rPr>
      </w:pPr>
      <w:r>
        <w:rPr>
          <w:rFonts w:ascii="宋体" w:hAnsi="宋体"/>
          <w:szCs w:val="21"/>
        </w:rPr>
        <w:t>15.4</w:t>
      </w:r>
      <w:r>
        <w:rPr>
          <w:rFonts w:hint="eastAsia" w:ascii="宋体" w:hAnsi="宋体"/>
          <w:szCs w:val="21"/>
        </w:rPr>
        <w:t>保修</w:t>
      </w:r>
    </w:p>
    <w:p>
      <w:pPr>
        <w:spacing w:line="560" w:lineRule="exact"/>
        <w:ind w:firstLine="420" w:firstLineChars="200"/>
        <w:jc w:val="left"/>
        <w:rPr>
          <w:rFonts w:ascii="宋体" w:hAnsi="宋体"/>
          <w:szCs w:val="21"/>
        </w:rPr>
      </w:pPr>
      <w:r>
        <w:rPr>
          <w:rFonts w:ascii="宋体" w:hAnsi="宋体"/>
          <w:szCs w:val="21"/>
        </w:rPr>
        <w:t xml:space="preserve">15.4.1 </w:t>
      </w:r>
      <w:r>
        <w:rPr>
          <w:rFonts w:hint="eastAsia" w:ascii="宋体" w:hAnsi="宋体"/>
          <w:szCs w:val="21"/>
        </w:rPr>
        <w:t>保修责任</w:t>
      </w:r>
    </w:p>
    <w:p>
      <w:pPr>
        <w:spacing w:line="560" w:lineRule="exact"/>
        <w:ind w:firstLine="420" w:firstLineChars="200"/>
        <w:rPr>
          <w:rFonts w:ascii="宋体" w:hAnsi="宋体"/>
          <w:szCs w:val="21"/>
          <w:u w:val="single"/>
        </w:rPr>
      </w:pPr>
      <w:r>
        <w:rPr>
          <w:rFonts w:hint="eastAsia" w:ascii="宋体" w:hAnsi="宋体"/>
          <w:szCs w:val="21"/>
        </w:rPr>
        <w:t>工程保修期为：</w:t>
      </w:r>
      <w:r>
        <w:rPr>
          <w:rFonts w:hint="eastAsia" w:ascii="宋体" w:hAnsi="宋体"/>
          <w:szCs w:val="21"/>
          <w:u w:val="single"/>
        </w:rPr>
        <w:t>根据《建设工程质量管理条例》及有关规定，约定本工程的保修期如下：</w:t>
      </w:r>
    </w:p>
    <w:p>
      <w:pPr>
        <w:spacing w:line="560" w:lineRule="exact"/>
        <w:ind w:firstLine="420" w:firstLineChars="200"/>
        <w:rPr>
          <w:rFonts w:ascii="宋体" w:hAnsi="宋体"/>
          <w:szCs w:val="21"/>
          <w:u w:val="single"/>
        </w:rPr>
      </w:pPr>
      <w:r>
        <w:rPr>
          <w:rFonts w:hint="eastAsia" w:ascii="宋体" w:hAnsi="宋体"/>
          <w:szCs w:val="21"/>
          <w:u w:val="single"/>
        </w:rPr>
        <w:t>⒈地基基础工程和主体结构工程为设计文件规定的该工程合理使用年限；⒉屋面防水工程、有防水要求的卫生间、房间和外墙面的防渗漏为五年；⒊装修工程为两年；⒋电气管线、给排水管道、设备安装工程为两年；⒌供热与供冷系统为两个采暖期、供冷期；⒍住宅小区内的给排水设施、道路等配套工程为两年。</w:t>
      </w:r>
    </w:p>
    <w:p>
      <w:pPr>
        <w:pStyle w:val="174"/>
        <w:spacing w:after="0" w:line="560" w:lineRule="exact"/>
        <w:ind w:left="0" w:right="30" w:firstLine="480" w:firstLineChars="200"/>
        <w:rPr>
          <w:sz w:val="21"/>
          <w:szCs w:val="21"/>
        </w:rPr>
      </w:pPr>
      <w:r>
        <w:t>15.4.</w:t>
      </w:r>
      <w:r>
        <w:rPr>
          <w:rFonts w:hint="eastAsia"/>
        </w:rPr>
        <w:t>2</w:t>
      </w:r>
      <w:r>
        <w:t xml:space="preserve"> </w:t>
      </w:r>
      <w:r>
        <w:rPr>
          <w:rFonts w:hint="eastAsia"/>
          <w:sz w:val="21"/>
          <w:szCs w:val="21"/>
        </w:rPr>
        <w:t>修复通知</w:t>
      </w:r>
    </w:p>
    <w:p>
      <w:pPr>
        <w:pStyle w:val="174"/>
        <w:spacing w:after="0" w:line="560" w:lineRule="exact"/>
        <w:ind w:left="0" w:right="30" w:firstLine="420" w:firstLineChars="200"/>
        <w:rPr>
          <w:sz w:val="21"/>
          <w:szCs w:val="21"/>
          <w:u w:val="single"/>
        </w:rPr>
      </w:pPr>
      <w:r>
        <w:rPr>
          <w:rFonts w:hint="eastAsia" w:ascii="宋体" w:hAnsi="宋体"/>
          <w:sz w:val="21"/>
          <w:szCs w:val="21"/>
        </w:rPr>
        <w:t>承包人收到保修通知并到达工程现场的合理时间：</w:t>
      </w:r>
      <w:r>
        <w:rPr>
          <w:rFonts w:ascii="宋体" w:hAnsi="Calibri" w:cs="宋体"/>
          <w:sz w:val="22"/>
          <w:szCs w:val="22"/>
          <w:u w:val="single"/>
        </w:rPr>
        <w:t>1</w:t>
      </w:r>
      <w:r>
        <w:rPr>
          <w:rFonts w:hint="eastAsia" w:ascii="宋体" w:hAnsi="Calibri" w:cs="宋体"/>
          <w:sz w:val="22"/>
          <w:szCs w:val="22"/>
          <w:u w:val="single"/>
        </w:rPr>
        <w:t>、属于保修范围、内容的项目，承包人应当在接到保修通知之日起</w:t>
      </w:r>
      <w:r>
        <w:rPr>
          <w:rFonts w:ascii="宋体" w:hAnsi="Calibri" w:cs="宋体"/>
          <w:sz w:val="22"/>
          <w:szCs w:val="22"/>
          <w:u w:val="single"/>
        </w:rPr>
        <w:t xml:space="preserve">24 </w:t>
      </w:r>
      <w:r>
        <w:rPr>
          <w:rFonts w:hint="eastAsia" w:ascii="宋体" w:hAnsi="Calibri" w:cs="宋体"/>
          <w:sz w:val="22"/>
          <w:szCs w:val="22"/>
          <w:u w:val="single"/>
        </w:rPr>
        <w:t>小时内派人保修。承包人不在约定期限内派人保修的，发包人有权直接安排维修，费用从工程保修金中扣除，不足部分发包人有权向承包人追索。</w:t>
      </w:r>
      <w:r>
        <w:rPr>
          <w:rFonts w:ascii="宋体" w:hAnsi="Calibri" w:cs="宋体"/>
          <w:sz w:val="22"/>
          <w:szCs w:val="22"/>
          <w:u w:val="single"/>
        </w:rPr>
        <w:t>2</w:t>
      </w:r>
      <w:r>
        <w:rPr>
          <w:rFonts w:hint="eastAsia" w:ascii="宋体" w:hAnsi="Calibri" w:cs="宋体"/>
          <w:sz w:val="22"/>
          <w:szCs w:val="22"/>
          <w:u w:val="single"/>
        </w:rPr>
        <w:t>、发生紧急抢修事故的，承包人在接到事故通知后，应当立即到达事故现场抢修。</w:t>
      </w:r>
      <w:r>
        <w:rPr>
          <w:rFonts w:ascii="宋体" w:hAnsi="Calibri" w:cs="宋体"/>
          <w:sz w:val="22"/>
          <w:szCs w:val="22"/>
          <w:u w:val="single"/>
        </w:rPr>
        <w:t>3</w:t>
      </w:r>
      <w:r>
        <w:rPr>
          <w:rFonts w:hint="eastAsia" w:ascii="宋体" w:hAnsi="Calibri" w:cs="宋体"/>
          <w:sz w:val="22"/>
          <w:szCs w:val="22"/>
          <w:u w:val="single"/>
        </w:rPr>
        <w:t>、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ascii="宋体" w:hAnsi="Calibri" w:cs="宋体"/>
          <w:sz w:val="22"/>
          <w:szCs w:val="22"/>
          <w:u w:val="single"/>
        </w:rPr>
        <w:t>4</w:t>
      </w:r>
      <w:r>
        <w:rPr>
          <w:rFonts w:hint="eastAsia" w:ascii="宋体" w:hAnsi="Calibri" w:cs="宋体"/>
          <w:sz w:val="22"/>
          <w:szCs w:val="22"/>
          <w:u w:val="single"/>
        </w:rPr>
        <w:t>、质量保修完成后，由发包人组织验收。</w:t>
      </w:r>
      <w:r>
        <w:rPr>
          <w:rFonts w:ascii="宋体" w:hAnsi="Calibri" w:cs="宋体"/>
          <w:sz w:val="22"/>
          <w:szCs w:val="22"/>
          <w:u w:val="single"/>
        </w:rPr>
        <w:t>5</w:t>
      </w:r>
      <w:r>
        <w:rPr>
          <w:rFonts w:hint="eastAsia" w:ascii="宋体" w:hAnsi="Calibri" w:cs="宋体"/>
          <w:sz w:val="22"/>
          <w:szCs w:val="22"/>
          <w:u w:val="single"/>
        </w:rPr>
        <w:t>、保修费用由造成质量缺陷的责任方承担。</w:t>
      </w:r>
    </w:p>
    <w:p>
      <w:pPr>
        <w:pStyle w:val="2"/>
        <w:spacing w:before="120" w:after="120" w:line="560" w:lineRule="exact"/>
        <w:ind w:firstLine="420" w:firstLineChars="200"/>
        <w:rPr>
          <w:rFonts w:ascii="宋体" w:hAnsi="宋体"/>
          <w:b w:val="0"/>
          <w:sz w:val="21"/>
          <w:szCs w:val="21"/>
        </w:rPr>
      </w:pPr>
      <w:r>
        <w:rPr>
          <w:rFonts w:ascii="宋体" w:hAnsi="宋体"/>
          <w:b w:val="0"/>
          <w:sz w:val="21"/>
          <w:szCs w:val="21"/>
        </w:rPr>
        <w:t xml:space="preserve">16. </w:t>
      </w:r>
      <w:r>
        <w:rPr>
          <w:rFonts w:hint="eastAsia" w:ascii="宋体" w:hAnsi="宋体"/>
          <w:b w:val="0"/>
          <w:sz w:val="21"/>
          <w:szCs w:val="21"/>
        </w:rPr>
        <w:t>违约</w:t>
      </w:r>
    </w:p>
    <w:p>
      <w:pPr>
        <w:spacing w:after="120" w:line="560" w:lineRule="exact"/>
        <w:ind w:firstLine="420" w:firstLineChars="200"/>
        <w:rPr>
          <w:rFonts w:ascii="宋体" w:hAnsi="宋体"/>
          <w:szCs w:val="21"/>
        </w:rPr>
      </w:pPr>
      <w:r>
        <w:rPr>
          <w:rFonts w:ascii="宋体" w:hAnsi="宋体"/>
          <w:szCs w:val="21"/>
        </w:rPr>
        <w:t xml:space="preserve">16.1 </w:t>
      </w:r>
      <w:r>
        <w:rPr>
          <w:rFonts w:hint="eastAsia" w:ascii="宋体" w:hAnsi="宋体"/>
          <w:szCs w:val="21"/>
        </w:rPr>
        <w:t>发包人违约</w:t>
      </w:r>
    </w:p>
    <w:p>
      <w:pPr>
        <w:spacing w:line="560" w:lineRule="exact"/>
        <w:ind w:firstLine="420" w:firstLineChars="200"/>
        <w:jc w:val="left"/>
        <w:rPr>
          <w:rFonts w:ascii="宋体" w:hAnsi="宋体"/>
          <w:szCs w:val="21"/>
        </w:rPr>
      </w:pPr>
      <w:r>
        <w:rPr>
          <w:rFonts w:ascii="宋体" w:hAnsi="宋体"/>
          <w:szCs w:val="21"/>
        </w:rPr>
        <w:t>16.1.1</w:t>
      </w:r>
      <w:r>
        <w:rPr>
          <w:rFonts w:hint="eastAsia" w:ascii="宋体" w:hAnsi="宋体"/>
          <w:szCs w:val="21"/>
        </w:rPr>
        <w:t>发包人违约的情形</w:t>
      </w:r>
    </w:p>
    <w:p>
      <w:pPr>
        <w:spacing w:line="560" w:lineRule="exact"/>
        <w:ind w:firstLine="420" w:firstLineChars="200"/>
        <w:jc w:val="left"/>
        <w:rPr>
          <w:rFonts w:ascii="宋体" w:hAnsi="宋体"/>
          <w:szCs w:val="21"/>
        </w:rPr>
      </w:pPr>
      <w:r>
        <w:rPr>
          <w:rFonts w:hint="eastAsia" w:ascii="宋体" w:hAnsi="宋体"/>
          <w:kern w:val="0"/>
          <w:szCs w:val="21"/>
        </w:rPr>
        <w:t>发包人违约的其他情形：</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kern w:val="0"/>
          <w:szCs w:val="21"/>
        </w:rPr>
      </w:pPr>
      <w:r>
        <w:rPr>
          <w:rFonts w:ascii="宋体" w:hAnsi="宋体"/>
          <w:kern w:val="0"/>
          <w:szCs w:val="21"/>
        </w:rPr>
        <w:t xml:space="preserve">    16.1.2 </w:t>
      </w:r>
      <w:r>
        <w:rPr>
          <w:rFonts w:hint="eastAsia" w:ascii="宋体" w:hAnsi="宋体"/>
          <w:kern w:val="0"/>
          <w:szCs w:val="21"/>
        </w:rPr>
        <w:t>发包人违约的责任</w:t>
      </w:r>
    </w:p>
    <w:p>
      <w:pPr>
        <w:spacing w:line="560" w:lineRule="exact"/>
        <w:ind w:firstLine="420" w:firstLineChars="200"/>
        <w:jc w:val="left"/>
        <w:rPr>
          <w:rFonts w:ascii="宋体" w:hAnsi="宋体"/>
          <w:kern w:val="0"/>
          <w:szCs w:val="21"/>
        </w:rPr>
      </w:pPr>
      <w:r>
        <w:rPr>
          <w:rFonts w:hint="eastAsia" w:ascii="宋体" w:hAnsi="宋体"/>
          <w:kern w:val="0"/>
          <w:szCs w:val="21"/>
        </w:rPr>
        <w:t>发包人违约责任的承担方式和计算方法：</w:t>
      </w:r>
    </w:p>
    <w:p>
      <w:pPr>
        <w:spacing w:line="560" w:lineRule="exact"/>
        <w:ind w:firstLine="420" w:firstLineChars="200"/>
        <w:jc w:val="left"/>
        <w:rPr>
          <w:rFonts w:ascii="宋体" w:hAnsi="宋体"/>
          <w:kern w:val="0"/>
          <w:szCs w:val="21"/>
          <w:u w:val="single"/>
        </w:rPr>
      </w:pPr>
      <w:r>
        <w:rPr>
          <w:rFonts w:hint="eastAsia" w:ascii="宋体" w:hAnsi="宋体"/>
          <w:kern w:val="0"/>
          <w:szCs w:val="21"/>
        </w:rPr>
        <w:t>（</w:t>
      </w:r>
      <w:r>
        <w:rPr>
          <w:rFonts w:ascii="宋体" w:hAnsi="宋体"/>
          <w:kern w:val="0"/>
          <w:szCs w:val="21"/>
        </w:rPr>
        <w:t>1</w:t>
      </w:r>
      <w:r>
        <w:rPr>
          <w:rFonts w:hint="eastAsia" w:ascii="宋体" w:hAnsi="宋体"/>
          <w:kern w:val="0"/>
          <w:szCs w:val="21"/>
        </w:rPr>
        <w:t>）因发包人原因未能在计划开工日期前</w:t>
      </w:r>
      <w:r>
        <w:rPr>
          <w:rFonts w:ascii="宋体" w:hAnsi="宋体"/>
          <w:kern w:val="0"/>
          <w:szCs w:val="21"/>
        </w:rPr>
        <w:t>7</w:t>
      </w:r>
      <w:r>
        <w:rPr>
          <w:rFonts w:hint="eastAsia" w:ascii="宋体" w:hAnsi="宋体"/>
          <w:kern w:val="0"/>
          <w:szCs w:val="21"/>
        </w:rPr>
        <w:t>天内下达开工通知的违约责任：</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）因发包人原因未能按合同约定支付合同价款的违约责任：</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u w:val="single"/>
        </w:rPr>
      </w:pPr>
      <w:r>
        <w:rPr>
          <w:rFonts w:hint="eastAsia" w:ascii="宋体" w:hAnsi="宋体"/>
          <w:kern w:val="0"/>
          <w:szCs w:val="21"/>
        </w:rPr>
        <w:t>（</w:t>
      </w:r>
      <w:r>
        <w:rPr>
          <w:rFonts w:ascii="宋体" w:hAnsi="宋体"/>
          <w:kern w:val="0"/>
          <w:szCs w:val="21"/>
        </w:rPr>
        <w:t>3</w:t>
      </w:r>
      <w:r>
        <w:rPr>
          <w:rFonts w:hint="eastAsia" w:ascii="宋体" w:hAnsi="宋体"/>
          <w:kern w:val="0"/>
          <w:szCs w:val="21"/>
        </w:rPr>
        <w:t>）发包人违反第</w:t>
      </w:r>
      <w:r>
        <w:rPr>
          <w:rFonts w:ascii="宋体" w:hAnsi="宋体"/>
          <w:kern w:val="0"/>
          <w:szCs w:val="21"/>
        </w:rPr>
        <w:t>10.1</w:t>
      </w:r>
      <w:r>
        <w:rPr>
          <w:rFonts w:hint="eastAsia" w:ascii="宋体" w:hAnsi="宋体"/>
          <w:kern w:val="0"/>
          <w:szCs w:val="21"/>
        </w:rPr>
        <w:t>款〔变更的范围〕第（</w:t>
      </w:r>
      <w:r>
        <w:rPr>
          <w:rFonts w:ascii="宋体" w:hAnsi="宋体"/>
          <w:kern w:val="0"/>
          <w:szCs w:val="21"/>
        </w:rPr>
        <w:t>2</w:t>
      </w:r>
      <w:r>
        <w:rPr>
          <w:rFonts w:hint="eastAsia" w:ascii="宋体" w:hAnsi="宋体"/>
          <w:kern w:val="0"/>
          <w:szCs w:val="21"/>
        </w:rPr>
        <w:t>）项约定，自行实施被取消的工作或转由他人实施的违约责任：</w:t>
      </w:r>
      <w:r>
        <w:rPr>
          <w:rFonts w:hint="eastAsia" w:ascii="宋体" w:hAnsi="宋体"/>
          <w:szCs w:val="21"/>
          <w:u w:val="single"/>
        </w:rPr>
        <w:t>发包人可根据项目的实际情况，增加或减少施工内容，无需承担违约责任</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）发包人提供的材料、工程设备的规格、数量或质量不符合合同约定，或因发包人原因导致交货日期延误或交货地点变更等情况的违约责任：</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u w:val="single"/>
        </w:rPr>
      </w:pPr>
      <w:r>
        <w:rPr>
          <w:rFonts w:hint="eastAsia" w:ascii="宋体" w:hAnsi="宋体"/>
          <w:kern w:val="0"/>
          <w:szCs w:val="21"/>
        </w:rPr>
        <w:t>（</w:t>
      </w:r>
      <w:r>
        <w:rPr>
          <w:rFonts w:ascii="宋体" w:hAnsi="宋体"/>
          <w:kern w:val="0"/>
          <w:szCs w:val="21"/>
        </w:rPr>
        <w:t>5</w:t>
      </w:r>
      <w:r>
        <w:rPr>
          <w:rFonts w:hint="eastAsia" w:ascii="宋体" w:hAnsi="宋体"/>
          <w:kern w:val="0"/>
          <w:szCs w:val="21"/>
        </w:rPr>
        <w:t>）因发包人违反合同约定造成暂停施工的违约责任：</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）发包人无正当理由没有在约定期限内发出复工指示，导致承包人无法复工的违约责任：</w:t>
      </w:r>
      <w:r>
        <w:rPr>
          <w:rFonts w:hint="eastAsia" w:ascii="宋体" w:hAnsi="宋体"/>
          <w:kern w:val="0"/>
          <w:szCs w:val="21"/>
          <w:u w:val="single"/>
        </w:rPr>
        <w:t xml:space="preserve"> </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）其他：</w:t>
      </w:r>
      <w:r>
        <w:rPr>
          <w:rFonts w:hint="eastAsia" w:ascii="宋体" w:hAnsi="宋体"/>
          <w:szCs w:val="21"/>
          <w:u w:val="single"/>
        </w:rPr>
        <w:t>按通用条款执行</w:t>
      </w:r>
      <w:r>
        <w:rPr>
          <w:rFonts w:ascii="宋体" w:hAnsi="宋体"/>
          <w:szCs w:val="21"/>
          <w:u w:val="single"/>
        </w:rPr>
        <w:t xml:space="preserve">  </w:t>
      </w:r>
      <w:r>
        <w:rPr>
          <w:rFonts w:hint="eastAsia" w:ascii="宋体" w:hAnsi="宋体"/>
          <w:kern w:val="0"/>
          <w:szCs w:val="21"/>
        </w:rPr>
        <w:t>。</w:t>
      </w:r>
    </w:p>
    <w:p>
      <w:pPr>
        <w:spacing w:line="560" w:lineRule="exact"/>
        <w:ind w:firstLine="420" w:firstLineChars="200"/>
        <w:jc w:val="left"/>
        <w:rPr>
          <w:rFonts w:ascii="宋体" w:hAnsi="宋体"/>
          <w:szCs w:val="21"/>
        </w:rPr>
      </w:pPr>
      <w:r>
        <w:rPr>
          <w:rFonts w:ascii="宋体" w:hAnsi="宋体"/>
          <w:szCs w:val="21"/>
        </w:rPr>
        <w:t xml:space="preserve">16.1.3 </w:t>
      </w:r>
      <w:r>
        <w:rPr>
          <w:rFonts w:hint="eastAsia" w:ascii="宋体" w:hAnsi="宋体"/>
          <w:szCs w:val="21"/>
        </w:rPr>
        <w:t>因发包人违约解除合同</w:t>
      </w:r>
    </w:p>
    <w:p>
      <w:pPr>
        <w:autoSpaceDE w:val="0"/>
        <w:autoSpaceDN w:val="0"/>
        <w:adjustRightInd w:val="0"/>
        <w:spacing w:line="560" w:lineRule="exact"/>
        <w:ind w:firstLine="420" w:firstLineChars="200"/>
        <w:jc w:val="left"/>
        <w:rPr>
          <w:rFonts w:ascii="宋体" w:hAnsi="宋体"/>
          <w:kern w:val="0"/>
          <w:szCs w:val="21"/>
        </w:rPr>
      </w:pPr>
      <w:r>
        <w:rPr>
          <w:rFonts w:hint="eastAsia" w:ascii="宋体" w:hAnsi="宋体"/>
          <w:kern w:val="0"/>
          <w:szCs w:val="21"/>
        </w:rPr>
        <w:t>承包人按</w:t>
      </w:r>
      <w:r>
        <w:rPr>
          <w:rFonts w:ascii="宋体" w:hAnsi="宋体"/>
          <w:kern w:val="0"/>
          <w:szCs w:val="21"/>
        </w:rPr>
        <w:t>16.1.1</w:t>
      </w:r>
      <w:r>
        <w:rPr>
          <w:rFonts w:hint="eastAsia" w:ascii="宋体" w:hAnsi="宋体"/>
          <w:kern w:val="0"/>
          <w:szCs w:val="21"/>
        </w:rPr>
        <w:t>项〔发包人违约的情形〕约定暂停施工满</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天后发包人仍不纠正其违约行为并致使合同目的不能实现的，承包人有权解除合同。</w:t>
      </w:r>
    </w:p>
    <w:p>
      <w:pPr>
        <w:spacing w:after="120" w:line="560" w:lineRule="exact"/>
        <w:ind w:firstLine="420" w:firstLineChars="200"/>
        <w:rPr>
          <w:rFonts w:ascii="宋体" w:hAnsi="宋体"/>
          <w:szCs w:val="21"/>
        </w:rPr>
      </w:pPr>
      <w:r>
        <w:rPr>
          <w:rFonts w:ascii="宋体" w:hAnsi="宋体"/>
          <w:szCs w:val="21"/>
        </w:rPr>
        <w:t xml:space="preserve">16.2 </w:t>
      </w:r>
      <w:r>
        <w:rPr>
          <w:rFonts w:hint="eastAsia" w:ascii="宋体" w:hAnsi="宋体"/>
          <w:szCs w:val="21"/>
        </w:rPr>
        <w:t>承包人违约</w:t>
      </w:r>
    </w:p>
    <w:p>
      <w:pPr>
        <w:spacing w:line="560" w:lineRule="exact"/>
        <w:ind w:firstLine="420" w:firstLineChars="200"/>
        <w:jc w:val="left"/>
        <w:rPr>
          <w:rFonts w:ascii="宋体" w:hAnsi="宋体"/>
          <w:kern w:val="0"/>
          <w:szCs w:val="21"/>
        </w:rPr>
      </w:pPr>
      <w:r>
        <w:rPr>
          <w:rFonts w:ascii="宋体" w:hAnsi="宋体"/>
          <w:kern w:val="0"/>
          <w:szCs w:val="21"/>
        </w:rPr>
        <w:t xml:space="preserve">16.2.1 </w:t>
      </w:r>
      <w:r>
        <w:rPr>
          <w:rFonts w:hint="eastAsia" w:ascii="宋体" w:hAnsi="宋体"/>
          <w:kern w:val="0"/>
          <w:szCs w:val="21"/>
        </w:rPr>
        <w:t>承包人违约的情形</w:t>
      </w:r>
    </w:p>
    <w:p>
      <w:pPr>
        <w:spacing w:line="560" w:lineRule="exact"/>
        <w:ind w:firstLine="420" w:firstLineChars="200"/>
        <w:jc w:val="left"/>
        <w:rPr>
          <w:rFonts w:ascii="宋体" w:hAnsi="宋体"/>
          <w:szCs w:val="21"/>
          <w:u w:val="single"/>
        </w:rPr>
      </w:pPr>
      <w:r>
        <w:rPr>
          <w:rFonts w:hint="eastAsia" w:ascii="宋体" w:hAnsi="宋体"/>
          <w:kern w:val="0"/>
          <w:szCs w:val="21"/>
        </w:rPr>
        <w:t>承包人违约的其他情形：</w:t>
      </w:r>
      <w:r>
        <w:rPr>
          <w:rFonts w:ascii="宋体" w:hAnsi="宋体"/>
          <w:kern w:val="0"/>
          <w:szCs w:val="21"/>
          <w:u w:val="single"/>
        </w:rPr>
        <w:t xml:space="preserve">   </w:t>
      </w:r>
      <w:r>
        <w:rPr>
          <w:rFonts w:hint="eastAsia" w:ascii="宋体" w:hAnsi="宋体"/>
          <w:szCs w:val="21"/>
          <w:u w:val="single"/>
        </w:rPr>
        <w:t>承包人应在施工合同签订后5个工作日内按有关规定交纳民工工资保证金，决不影响发包人办理施工许可证等证件，否则发包人有权解除合同，并要求承包人支付中标价千分之五的违约金；</w:t>
      </w:r>
    </w:p>
    <w:p>
      <w:pPr>
        <w:spacing w:line="560" w:lineRule="exact"/>
        <w:ind w:firstLine="420" w:firstLineChars="200"/>
        <w:jc w:val="left"/>
        <w:rPr>
          <w:rFonts w:ascii="宋体" w:hAnsi="宋体"/>
          <w:szCs w:val="21"/>
          <w:u w:val="single"/>
        </w:rPr>
      </w:pPr>
      <w:r>
        <w:rPr>
          <w:rFonts w:hint="eastAsia" w:ascii="宋体" w:hAnsi="宋体"/>
          <w:szCs w:val="21"/>
          <w:u w:val="single"/>
        </w:rPr>
        <w:t>本合同在实施中，如承包人的施工队伍素质、力量、机械配备不符合工程施工需要，造成施工现场管理混乱，工程质量、安全生产、文明施工不符合规定等现象，且工程质量和进度明显达不到预定计划时，发包人有权对部分分项工程指定第三方施工，承包人必须无条件服从和配合，此分项工程费用由发包人按实际发生费用从承包人的工程款中扣除，并加收10%的管理费；当在合同要求工期内，经发包人认为累计完成工程量不足计划进度的70%，发包人可认为承包人无能力按期履行合同，可发出书面通知发包人有权解除合同，承包人承担违约责任，发包人采取没收承包人的工程履约保证金，收取承包人自开工至解除合同时所完成合格工程造价的10%作为发包人的损失赔偿金，在发包人发出书面通知的2个月内承包人无条件退场;</w:t>
      </w:r>
    </w:p>
    <w:p>
      <w:pPr>
        <w:spacing w:line="560" w:lineRule="exact"/>
        <w:ind w:firstLine="420" w:firstLineChars="200"/>
        <w:jc w:val="left"/>
        <w:rPr>
          <w:rFonts w:ascii="宋体" w:hAnsi="宋体"/>
          <w:szCs w:val="21"/>
          <w:u w:val="single"/>
        </w:rPr>
      </w:pPr>
      <w:r>
        <w:rPr>
          <w:rFonts w:hint="eastAsia" w:ascii="宋体" w:hAnsi="宋体"/>
          <w:szCs w:val="21"/>
          <w:u w:val="single"/>
        </w:rPr>
        <w:t>承包人不得将本工程转包。如将工程转包，发包人有权终止施工合同，由此所发生的一切经济损失和法律责任均由承包人承担。</w:t>
      </w:r>
    </w:p>
    <w:p>
      <w:pPr>
        <w:spacing w:line="560" w:lineRule="exact"/>
        <w:ind w:firstLine="420" w:firstLineChars="200"/>
        <w:jc w:val="left"/>
        <w:rPr>
          <w:rFonts w:ascii="宋体" w:hAnsi="宋体"/>
          <w:szCs w:val="21"/>
          <w:u w:val="single"/>
        </w:rPr>
      </w:pPr>
      <w:r>
        <w:rPr>
          <w:rFonts w:hint="eastAsia" w:ascii="宋体" w:hAnsi="宋体"/>
          <w:szCs w:val="21"/>
          <w:u w:val="single"/>
        </w:rPr>
        <w:t>承包人如有工程分包现象（包括冒充承包人下属单位的挂靠单位、凭口头协议参与施工的分包人及其他暗分包个体户），一经发现核实，发包人将驱逐该分包人，并要求承包人支付该分包项目总额10%的违约金；</w:t>
      </w:r>
    </w:p>
    <w:p>
      <w:pPr>
        <w:spacing w:line="560" w:lineRule="exact"/>
        <w:ind w:firstLine="412" w:firstLineChars="200"/>
        <w:jc w:val="left"/>
        <w:rPr>
          <w:rFonts w:ascii="宋体" w:hAnsi="宋体"/>
          <w:spacing w:val="-2"/>
          <w:szCs w:val="21"/>
          <w:u w:val="single"/>
        </w:rPr>
      </w:pPr>
      <w:r>
        <w:rPr>
          <w:rFonts w:hint="eastAsia" w:ascii="宋体" w:hAnsi="宋体"/>
          <w:spacing w:val="-2"/>
          <w:szCs w:val="21"/>
          <w:u w:val="single"/>
        </w:rPr>
        <w:t>承包人须服从发包人发布的各项符合现行法律、法规的管理规定，如承包人不服从发包人及监理人的管理，每次向发包人支付10000元违约金，违约金在发包人履行书面告知程序后，于最近一次工程进度款中扣除；在工程质量、工程进度、安全生产、文明施工等方面造成严重后果时，发包人有权解除合同，承包人承担违约责任，发包人采取没收承包人的工程履约保证金，收取承包人自开工至解除合同时所完成合格工程造价的10%作为发包人的损失赔偿金，承包人无条件退场;</w:t>
      </w:r>
    </w:p>
    <w:p>
      <w:pPr>
        <w:spacing w:line="560" w:lineRule="exact"/>
        <w:ind w:firstLine="420" w:firstLineChars="200"/>
        <w:jc w:val="left"/>
        <w:rPr>
          <w:rFonts w:ascii="宋体" w:hAnsi="宋体"/>
          <w:szCs w:val="21"/>
          <w:u w:val="single"/>
        </w:rPr>
      </w:pPr>
      <w:r>
        <w:rPr>
          <w:rFonts w:hint="eastAsia" w:ascii="宋体" w:hAnsi="宋体"/>
          <w:szCs w:val="21"/>
          <w:u w:val="single"/>
        </w:rPr>
        <w:t>承包人未按照程序报验，每次向发包人支付10000元违约金，违约金在发包人履行书面告知程序后，于最近一次工程进度款中扣除；</w:t>
      </w:r>
    </w:p>
    <w:p>
      <w:pPr>
        <w:spacing w:line="560" w:lineRule="exact"/>
        <w:ind w:firstLine="420" w:firstLineChars="200"/>
        <w:jc w:val="left"/>
        <w:rPr>
          <w:rFonts w:ascii="宋体" w:hAnsi="宋体"/>
          <w:kern w:val="0"/>
          <w:szCs w:val="21"/>
          <w:u w:val="single"/>
        </w:rPr>
      </w:pPr>
      <w:r>
        <w:rPr>
          <w:rFonts w:hint="eastAsia" w:ascii="宋体" w:hAnsi="宋体"/>
          <w:szCs w:val="21"/>
          <w:u w:val="single"/>
        </w:rPr>
        <w:t>在合同执行过程中，承包人如果用行贿、送礼或其他不正当手段企图影响或已经影响了发包人代表或监理人员行为并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pPr>
        <w:spacing w:line="560" w:lineRule="exact"/>
        <w:ind w:firstLine="420" w:firstLineChars="200"/>
        <w:jc w:val="left"/>
        <w:rPr>
          <w:rFonts w:ascii="宋体" w:hAnsi="宋体"/>
          <w:kern w:val="0"/>
          <w:szCs w:val="21"/>
        </w:rPr>
      </w:pPr>
      <w:r>
        <w:rPr>
          <w:rFonts w:ascii="宋体" w:hAnsi="宋体"/>
          <w:kern w:val="0"/>
          <w:szCs w:val="21"/>
        </w:rPr>
        <w:t>16.2.2</w:t>
      </w:r>
      <w:r>
        <w:rPr>
          <w:rFonts w:hint="eastAsia" w:ascii="宋体" w:hAnsi="宋体"/>
          <w:kern w:val="0"/>
          <w:szCs w:val="21"/>
        </w:rPr>
        <w:t>承包人违约的责任</w:t>
      </w:r>
    </w:p>
    <w:p>
      <w:pPr>
        <w:spacing w:line="560" w:lineRule="exact"/>
        <w:ind w:firstLine="420" w:firstLineChars="200"/>
        <w:jc w:val="left"/>
        <w:rPr>
          <w:rFonts w:ascii="宋体" w:hAnsi="宋体"/>
          <w:kern w:val="0"/>
          <w:szCs w:val="21"/>
        </w:rPr>
      </w:pPr>
      <w:r>
        <w:rPr>
          <w:rFonts w:ascii="宋体" w:hAnsi="宋体"/>
          <w:kern w:val="0"/>
          <w:szCs w:val="21"/>
        </w:rPr>
        <w:t>承包人违约责任的承担方式和计算方法：</w:t>
      </w:r>
    </w:p>
    <w:p>
      <w:pPr>
        <w:spacing w:line="560" w:lineRule="exact"/>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w:t>
      </w:r>
      <w:r>
        <w:rPr>
          <w:rFonts w:hint="eastAsia" w:ascii="宋体" w:hAnsi="宋体"/>
          <w:kern w:val="0"/>
          <w:szCs w:val="21"/>
        </w:rPr>
        <w:t>，否则发包人有权扣罚该分项工程10%的工程款作为处罚</w:t>
      </w:r>
      <w:r>
        <w:rPr>
          <w:rFonts w:ascii="宋体" w:hAnsi="宋体"/>
          <w:kern w:val="0"/>
          <w:szCs w:val="21"/>
        </w:rPr>
        <w:t>。</w:t>
      </w:r>
    </w:p>
    <w:p>
      <w:pPr>
        <w:spacing w:line="560" w:lineRule="exact"/>
        <w:ind w:firstLine="420" w:firstLineChars="200"/>
        <w:jc w:val="left"/>
        <w:rPr>
          <w:rFonts w:ascii="宋体" w:hAnsi="宋体"/>
          <w:kern w:val="0"/>
          <w:szCs w:val="21"/>
        </w:rPr>
      </w:pPr>
      <w:r>
        <w:rPr>
          <w:rFonts w:ascii="宋体" w:hAnsi="宋体"/>
          <w:kern w:val="0"/>
          <w:szCs w:val="21"/>
        </w:rPr>
        <w:t>（2）承包人有本合同通用条款第16.2.1（6）条情形的，或经监理人检验修复质量不合格而承包人拒绝再进行修补的，发包人将扣除承包人全部质量保修金。</w:t>
      </w:r>
    </w:p>
    <w:p>
      <w:pPr>
        <w:spacing w:line="560" w:lineRule="exact"/>
        <w:ind w:firstLine="420" w:firstLineChars="200"/>
        <w:rPr>
          <w:rFonts w:ascii="宋体" w:hAnsi="宋体"/>
          <w:kern w:val="0"/>
          <w:szCs w:val="21"/>
          <w:u w:val="single"/>
        </w:rPr>
      </w:pPr>
      <w:r>
        <w:rPr>
          <w:rFonts w:ascii="宋体" w:hAnsi="宋体"/>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pPr>
        <w:spacing w:line="560" w:lineRule="exact"/>
        <w:ind w:firstLine="420" w:firstLineChars="200"/>
        <w:jc w:val="left"/>
        <w:rPr>
          <w:rFonts w:ascii="宋体" w:hAnsi="宋体"/>
          <w:szCs w:val="21"/>
        </w:rPr>
      </w:pPr>
      <w:r>
        <w:rPr>
          <w:rFonts w:ascii="宋体" w:hAnsi="宋体"/>
          <w:szCs w:val="21"/>
        </w:rPr>
        <w:t xml:space="preserve">16.2.3 </w:t>
      </w:r>
      <w:r>
        <w:rPr>
          <w:rFonts w:hint="eastAsia" w:ascii="宋体" w:hAnsi="宋体"/>
          <w:szCs w:val="21"/>
        </w:rPr>
        <w:t>因承包人违约解除合同</w:t>
      </w:r>
    </w:p>
    <w:p>
      <w:pPr>
        <w:spacing w:before="120" w:after="120" w:line="560" w:lineRule="exact"/>
        <w:ind w:firstLine="420" w:firstLineChars="200"/>
        <w:rPr>
          <w:rFonts w:ascii="宋体" w:hAnsi="宋体"/>
          <w:kern w:val="0"/>
          <w:szCs w:val="21"/>
        </w:rPr>
      </w:pPr>
      <w:r>
        <w:rPr>
          <w:rFonts w:hint="eastAsia" w:ascii="宋体" w:hAnsi="宋体"/>
          <w:kern w:val="0"/>
          <w:szCs w:val="21"/>
        </w:rPr>
        <w:t>关于承包人违约解除合同的特别约定：</w:t>
      </w:r>
      <w:r>
        <w:rPr>
          <w:kern w:val="0"/>
          <w:szCs w:val="21"/>
          <w:u w:val="single"/>
        </w:rPr>
        <w:t>承包人有违反以下情况之一的，发包人有权解除合同，并没收其全部履约保证金</w:t>
      </w:r>
      <w:r>
        <w:rPr>
          <w:rFonts w:hint="eastAsia" w:ascii="宋体" w:hAnsi="宋体"/>
          <w:kern w:val="0"/>
          <w:szCs w:val="21"/>
        </w:rPr>
        <w:t>。</w:t>
      </w:r>
    </w:p>
    <w:p>
      <w:pPr>
        <w:spacing w:line="560" w:lineRule="exact"/>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pPr>
        <w:spacing w:line="560" w:lineRule="exact"/>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pPr>
        <w:spacing w:line="560" w:lineRule="exact"/>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pPr>
        <w:spacing w:line="560" w:lineRule="exact"/>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pPr>
        <w:spacing w:line="560" w:lineRule="exact"/>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pPr>
        <w:spacing w:line="560" w:lineRule="exact"/>
        <w:ind w:firstLine="420" w:firstLineChars="200"/>
        <w:jc w:val="left"/>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pPr>
        <w:spacing w:line="560" w:lineRule="exact"/>
        <w:ind w:firstLine="422" w:firstLineChars="200"/>
        <w:jc w:val="left"/>
        <w:rPr>
          <w:rFonts w:ascii="宋体" w:hAnsi="宋体"/>
          <w:b/>
          <w:kern w:val="0"/>
          <w:szCs w:val="21"/>
        </w:rPr>
      </w:pPr>
      <w:r>
        <w:rPr>
          <w:rFonts w:hint="eastAsia" w:ascii="宋体" w:hAnsi="宋体"/>
          <w:b/>
          <w:kern w:val="0"/>
          <w:szCs w:val="21"/>
        </w:rPr>
        <w:t>依据以上条款被解除合同的，已完工工程经验收合格的按实际工程量结算70%，剩余部分待双方移交完成无异议后结算。未完工或经验收不合格的不予结算。未使用的材料承包人在发包人开具的撤场时间表内及时撤场，否则由发包人自行处理。承包人不得提出任何赔偿要求。</w:t>
      </w:r>
    </w:p>
    <w:p>
      <w:pPr>
        <w:spacing w:before="120" w:after="120" w:line="5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Cs w:val="21"/>
          <w:u w:val="single"/>
        </w:rPr>
        <w:t xml:space="preserve">  签订合同签协商决定  </w:t>
      </w:r>
      <w:r>
        <w:rPr>
          <w:rFonts w:hint="eastAsia" w:asciiTheme="minorEastAsia" w:hAnsiTheme="minorEastAsia" w:eastAsiaTheme="minorEastAsia" w:cstheme="minorEastAsia"/>
          <w:kern w:val="0"/>
          <w:szCs w:val="21"/>
        </w:rPr>
        <w:t>。</w:t>
      </w:r>
    </w:p>
    <w:p>
      <w:pPr>
        <w:pStyle w:val="2"/>
        <w:spacing w:line="560" w:lineRule="exact"/>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17. 不可抗力 </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不可抗力的确认</w:t>
      </w:r>
    </w:p>
    <w:p>
      <w:pPr>
        <w:spacing w:line="560" w:lineRule="exact"/>
        <w:ind w:firstLine="420" w:firstLineChars="200"/>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szCs w:val="21"/>
        </w:rPr>
        <w:t>除通用合同条款约定的不可抗力事件之外，视为不可抗力的其他情形：</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szCs w:val="21"/>
          <w:u w:val="single"/>
        </w:rPr>
        <w:t>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w:t>
      </w:r>
      <w:r>
        <w:rPr>
          <w:rFonts w:hint="eastAsia" w:asciiTheme="minorEastAsia" w:hAnsiTheme="minorEastAsia" w:eastAsiaTheme="minorEastAsia" w:cstheme="minorEastAsia"/>
          <w:kern w:val="0"/>
          <w:szCs w:val="21"/>
          <w:u w:val="single"/>
        </w:rPr>
        <w:t xml:space="preserve"> </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17.4 因不可抗力解除合同</w:t>
      </w:r>
    </w:p>
    <w:p>
      <w:pPr>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合同解除后，发包人应在商定或确定发包人应支付款项后</w:t>
      </w:r>
      <w:r>
        <w:rPr>
          <w:rFonts w:hint="eastAsia" w:asciiTheme="minorEastAsia" w:hAnsiTheme="minorEastAsia" w:eastAsiaTheme="minorEastAsia" w:cstheme="minorEastAsia"/>
          <w:szCs w:val="21"/>
          <w:u w:val="single"/>
        </w:rPr>
        <w:t xml:space="preserve">  28 </w:t>
      </w:r>
      <w:r>
        <w:rPr>
          <w:rFonts w:hint="eastAsia" w:asciiTheme="minorEastAsia" w:hAnsiTheme="minorEastAsia" w:eastAsiaTheme="minorEastAsia" w:cstheme="minorEastAsia"/>
          <w:szCs w:val="21"/>
        </w:rPr>
        <w:t>天内完成款项的支付。</w:t>
      </w:r>
    </w:p>
    <w:p>
      <w:pPr>
        <w:pStyle w:val="2"/>
        <w:spacing w:line="560" w:lineRule="exact"/>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18. 保险</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 工程保险</w:t>
      </w:r>
    </w:p>
    <w:p>
      <w:pPr>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关于工程保险的特别约定：</w:t>
      </w:r>
      <w:r>
        <w:rPr>
          <w:rFonts w:hint="eastAsia" w:asciiTheme="minorEastAsia" w:hAnsiTheme="minorEastAsia" w:eastAsiaTheme="minorEastAsia" w:cstheme="minorEastAsia"/>
          <w:szCs w:val="21"/>
          <w:u w:val="single"/>
        </w:rPr>
        <w:t xml:space="preserve">本工程投保工程保险。投保工程保险时，险种为：人员工伤事故保险，人身意外害险，第三者责任保险。相关费用由承包人承担  </w:t>
      </w:r>
      <w:r>
        <w:rPr>
          <w:rFonts w:hint="eastAsia" w:asciiTheme="minorEastAsia" w:hAnsiTheme="minorEastAsia" w:eastAsiaTheme="minorEastAsia" w:cstheme="minorEastAsia"/>
          <w:kern w:val="0"/>
          <w:szCs w:val="21"/>
        </w:rPr>
        <w:t>。</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 其他保险</w:t>
      </w:r>
    </w:p>
    <w:p>
      <w:pPr>
        <w:spacing w:line="5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关于其他保险的约定：</w:t>
      </w:r>
      <w:r>
        <w:rPr>
          <w:rFonts w:hint="eastAsia" w:asciiTheme="minorEastAsia" w:hAnsiTheme="minorEastAsia" w:eastAsiaTheme="minorEastAsia" w:cstheme="minorEastAsia"/>
          <w:kern w:val="0"/>
          <w:szCs w:val="21"/>
          <w:u w:val="single"/>
        </w:rPr>
        <w:t xml:space="preserve"> 承包人须缴纳建筑意外伤害保险费。  </w:t>
      </w:r>
    </w:p>
    <w:p>
      <w:pPr>
        <w:spacing w:line="5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承包人是否应为其施工设备等办理财产保险：</w:t>
      </w:r>
      <w:r>
        <w:rPr>
          <w:rFonts w:hint="eastAsia" w:asciiTheme="minorEastAsia" w:hAnsiTheme="minorEastAsia" w:eastAsiaTheme="minorEastAsia" w:cstheme="minorEastAsia"/>
          <w:kern w:val="0"/>
          <w:szCs w:val="21"/>
          <w:u w:val="single"/>
        </w:rPr>
        <w:t xml:space="preserve">按南宁市相关规定，由承包人投保施工工程一切险，相关费用由承包人承担  </w:t>
      </w:r>
      <w:r>
        <w:rPr>
          <w:rFonts w:hint="eastAsia" w:asciiTheme="minorEastAsia" w:hAnsiTheme="minorEastAsia" w:eastAsiaTheme="minorEastAsia" w:cstheme="minorEastAsia"/>
          <w:szCs w:val="21"/>
        </w:rPr>
        <w:t>。</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18.7 通知义务</w:t>
      </w:r>
    </w:p>
    <w:p>
      <w:pPr>
        <w:spacing w:line="560" w:lineRule="exact"/>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rPr>
        <w:t>关于变更保险合同时的通知义务的约定：</w:t>
      </w:r>
      <w:r>
        <w:rPr>
          <w:rFonts w:hint="eastAsia" w:asciiTheme="minorEastAsia" w:hAnsiTheme="minorEastAsia" w:eastAsiaTheme="minorEastAsia" w:cstheme="minorEastAsia"/>
          <w:szCs w:val="21"/>
          <w:u w:val="single"/>
        </w:rPr>
        <w:t xml:space="preserve">  变更应通知当事人 </w:t>
      </w:r>
      <w:r>
        <w:rPr>
          <w:rFonts w:hint="eastAsia" w:asciiTheme="minorEastAsia" w:hAnsiTheme="minorEastAsia" w:eastAsiaTheme="minorEastAsia" w:cstheme="minorEastAsia"/>
          <w:szCs w:val="21"/>
        </w:rPr>
        <w:t>。</w:t>
      </w:r>
    </w:p>
    <w:p>
      <w:pPr>
        <w:pStyle w:val="2"/>
        <w:spacing w:line="560" w:lineRule="exact"/>
        <w:ind w:firstLine="420" w:firstLineChars="200"/>
        <w:rPr>
          <w:rFonts w:ascii="宋体" w:hAnsi="宋体"/>
          <w:b w:val="0"/>
          <w:sz w:val="21"/>
          <w:szCs w:val="21"/>
        </w:rPr>
      </w:pPr>
      <w:r>
        <w:rPr>
          <w:rFonts w:ascii="宋体" w:hAnsi="宋体"/>
          <w:b w:val="0"/>
          <w:sz w:val="21"/>
          <w:szCs w:val="21"/>
        </w:rPr>
        <w:t xml:space="preserve">20. </w:t>
      </w:r>
      <w:r>
        <w:rPr>
          <w:rFonts w:hint="eastAsia" w:ascii="宋体" w:hAnsi="宋体"/>
          <w:b w:val="0"/>
          <w:sz w:val="21"/>
          <w:szCs w:val="21"/>
        </w:rPr>
        <w:t>争议解决</w:t>
      </w:r>
    </w:p>
    <w:p>
      <w:pPr>
        <w:spacing w:line="560" w:lineRule="exact"/>
        <w:ind w:firstLine="420" w:firstLineChars="200"/>
        <w:rPr>
          <w:rFonts w:ascii="宋体" w:hAnsi="宋体"/>
          <w:szCs w:val="21"/>
        </w:rPr>
      </w:pPr>
      <w:r>
        <w:rPr>
          <w:rFonts w:ascii="宋体" w:hAnsi="宋体"/>
          <w:szCs w:val="21"/>
        </w:rPr>
        <w:t xml:space="preserve">20.3 </w:t>
      </w:r>
      <w:r>
        <w:rPr>
          <w:rFonts w:hint="eastAsia" w:ascii="宋体" w:hAnsi="宋体"/>
          <w:szCs w:val="21"/>
        </w:rPr>
        <w:t>争议评审</w:t>
      </w:r>
    </w:p>
    <w:p>
      <w:pPr>
        <w:spacing w:line="560" w:lineRule="exact"/>
        <w:ind w:left="149" w:leftChars="71" w:firstLine="420" w:firstLineChars="200"/>
        <w:jc w:val="left"/>
        <w:rPr>
          <w:rFonts w:ascii="宋体" w:hAnsi="宋体"/>
          <w:szCs w:val="21"/>
          <w:u w:val="single"/>
        </w:rPr>
      </w:pPr>
      <w:r>
        <w:rPr>
          <w:rFonts w:hint="eastAsia" w:ascii="宋体" w:hAnsi="宋体"/>
          <w:szCs w:val="21"/>
        </w:rPr>
        <w:t>合同当事人是否同意将工程争议提交争议评审小组决定：</w:t>
      </w:r>
      <w:r>
        <w:rPr>
          <w:rFonts w:ascii="宋体" w:hAnsi="宋体"/>
          <w:szCs w:val="21"/>
          <w:u w:val="single"/>
        </w:rPr>
        <w:t xml:space="preserve">  </w:t>
      </w:r>
      <w:r>
        <w:rPr>
          <w:rFonts w:hint="eastAsia" w:ascii="宋体" w:hAnsi="宋体"/>
          <w:szCs w:val="21"/>
          <w:u w:val="single"/>
        </w:rPr>
        <w:t>不同意</w:t>
      </w:r>
      <w:r>
        <w:rPr>
          <w:rFonts w:ascii="宋体" w:hAnsi="宋体"/>
          <w:szCs w:val="21"/>
          <w:u w:val="single"/>
        </w:rPr>
        <w:t xml:space="preserve">    </w:t>
      </w:r>
      <w:r>
        <w:rPr>
          <w:rFonts w:hint="eastAsia" w:ascii="宋体" w:hAnsi="宋体"/>
          <w:szCs w:val="21"/>
        </w:rPr>
        <w:t>。</w:t>
      </w:r>
      <w:r>
        <w:rPr>
          <w:rFonts w:ascii="宋体" w:hAnsi="宋体"/>
          <w:szCs w:val="21"/>
        </w:rPr>
        <w:t xml:space="preserve">  </w:t>
      </w:r>
    </w:p>
    <w:p>
      <w:pPr>
        <w:spacing w:line="560" w:lineRule="exact"/>
        <w:ind w:firstLine="420" w:firstLineChars="200"/>
        <w:jc w:val="left"/>
        <w:rPr>
          <w:rFonts w:ascii="宋体" w:hAnsi="宋体"/>
          <w:szCs w:val="21"/>
        </w:rPr>
      </w:pPr>
      <w:r>
        <w:rPr>
          <w:rFonts w:ascii="宋体" w:hAnsi="宋体"/>
          <w:szCs w:val="21"/>
        </w:rPr>
        <w:t xml:space="preserve">20.3.1 </w:t>
      </w:r>
      <w:r>
        <w:rPr>
          <w:rFonts w:hint="eastAsia" w:ascii="宋体" w:hAnsi="宋体"/>
          <w:szCs w:val="21"/>
        </w:rPr>
        <w:t>争议评审小组的确定</w:t>
      </w:r>
    </w:p>
    <w:p>
      <w:pPr>
        <w:spacing w:line="560" w:lineRule="exact"/>
        <w:ind w:firstLine="420" w:firstLineChars="200"/>
        <w:jc w:val="left"/>
        <w:rPr>
          <w:rFonts w:ascii="宋体" w:hAnsi="宋体"/>
          <w:szCs w:val="21"/>
          <w:u w:val="single"/>
        </w:rPr>
      </w:pPr>
      <w:r>
        <w:rPr>
          <w:rFonts w:hint="eastAsia" w:ascii="宋体" w:hAnsi="宋体"/>
          <w:szCs w:val="21"/>
        </w:rPr>
        <w:t>争议评审小组成员的确定：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选定争议评审员的期限：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争议评审小组成员的报酬承担方式：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spacing w:line="560" w:lineRule="exact"/>
        <w:ind w:firstLine="420" w:firstLineChars="200"/>
        <w:jc w:val="left"/>
        <w:rPr>
          <w:rFonts w:ascii="宋体" w:hAnsi="宋体"/>
          <w:szCs w:val="21"/>
        </w:rPr>
      </w:pPr>
      <w:r>
        <w:rPr>
          <w:rFonts w:hint="eastAsia" w:ascii="宋体" w:hAnsi="宋体"/>
          <w:szCs w:val="21"/>
        </w:rPr>
        <w:t>其他事项的约定：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autoSpaceDE w:val="0"/>
        <w:autoSpaceDN w:val="0"/>
        <w:adjustRightInd w:val="0"/>
        <w:spacing w:line="560" w:lineRule="exact"/>
        <w:ind w:firstLine="420" w:firstLineChars="200"/>
        <w:jc w:val="left"/>
        <w:rPr>
          <w:rFonts w:ascii="宋体" w:hAnsi="宋体"/>
          <w:kern w:val="0"/>
          <w:szCs w:val="21"/>
        </w:rPr>
      </w:pPr>
      <w:r>
        <w:rPr>
          <w:rFonts w:ascii="宋体" w:hAnsi="宋体"/>
          <w:kern w:val="0"/>
          <w:szCs w:val="21"/>
        </w:rPr>
        <w:t xml:space="preserve">20.3.2 </w:t>
      </w:r>
      <w:r>
        <w:rPr>
          <w:rFonts w:hint="eastAsia" w:ascii="宋体" w:hAnsi="宋体"/>
          <w:kern w:val="0"/>
          <w:szCs w:val="21"/>
        </w:rPr>
        <w:t>争议评审小组的决定</w:t>
      </w:r>
    </w:p>
    <w:p>
      <w:pPr>
        <w:spacing w:line="560" w:lineRule="exact"/>
        <w:ind w:firstLine="420" w:firstLineChars="200"/>
        <w:jc w:val="left"/>
        <w:rPr>
          <w:rFonts w:ascii="宋体" w:hAnsi="宋体"/>
          <w:szCs w:val="21"/>
        </w:rPr>
      </w:pPr>
      <w:r>
        <w:rPr>
          <w:rFonts w:hint="eastAsia" w:ascii="宋体" w:hAnsi="宋体"/>
          <w:szCs w:val="21"/>
        </w:rPr>
        <w:t>合同当事人关于本项的约定：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spacing w:line="560" w:lineRule="exact"/>
        <w:ind w:firstLine="420" w:firstLineChars="200"/>
        <w:rPr>
          <w:rFonts w:ascii="宋体" w:hAnsi="宋体"/>
          <w:szCs w:val="21"/>
        </w:rPr>
      </w:pPr>
      <w:r>
        <w:rPr>
          <w:rFonts w:ascii="宋体" w:hAnsi="宋体"/>
          <w:szCs w:val="21"/>
        </w:rPr>
        <w:t>20.4</w:t>
      </w:r>
      <w:r>
        <w:rPr>
          <w:rFonts w:hint="eastAsia" w:ascii="宋体" w:hAnsi="宋体"/>
          <w:szCs w:val="21"/>
        </w:rPr>
        <w:t>仲裁或诉讼</w:t>
      </w:r>
    </w:p>
    <w:p>
      <w:pPr>
        <w:spacing w:line="560" w:lineRule="exact"/>
        <w:ind w:firstLine="420" w:firstLineChars="200"/>
        <w:rPr>
          <w:rFonts w:ascii="宋体" w:hAnsi="宋体"/>
          <w:szCs w:val="21"/>
        </w:rPr>
      </w:pPr>
      <w:r>
        <w:rPr>
          <w:rFonts w:hint="eastAsia" w:ascii="宋体" w:hAnsi="宋体"/>
          <w:szCs w:val="21"/>
        </w:rPr>
        <w:t>因合同及合同有关事项发生的争议，按下列第</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hint="eastAsia" w:ascii="宋体" w:hAnsi="宋体"/>
          <w:szCs w:val="21"/>
        </w:rPr>
        <w:t>种方式解决：</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）向</w:t>
      </w:r>
      <w:r>
        <w:rPr>
          <w:rFonts w:ascii="宋体" w:hAnsi="宋体"/>
          <w:szCs w:val="21"/>
          <w:u w:val="single"/>
        </w:rPr>
        <w:t xml:space="preserve">   </w:t>
      </w:r>
      <w:r>
        <w:rPr>
          <w:rFonts w:hint="eastAsia" w:ascii="宋体" w:hAnsi="宋体"/>
          <w:szCs w:val="21"/>
          <w:u w:val="single"/>
        </w:rPr>
        <w:t>建设行政主管部门</w:t>
      </w:r>
      <w:r>
        <w:rPr>
          <w:rFonts w:ascii="宋体" w:hAnsi="宋体"/>
          <w:szCs w:val="21"/>
          <w:u w:val="single"/>
        </w:rPr>
        <w:t xml:space="preserve"> </w:t>
      </w:r>
      <w:r>
        <w:rPr>
          <w:rFonts w:hint="eastAsia" w:ascii="宋体" w:hAnsi="宋体"/>
          <w:szCs w:val="21"/>
        </w:rPr>
        <w:t>仲裁委员会申请仲裁；</w:t>
      </w:r>
    </w:p>
    <w:p>
      <w:pPr>
        <w:spacing w:line="56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）向</w:t>
      </w:r>
      <w:r>
        <w:rPr>
          <w:rFonts w:ascii="宋体" w:hAnsi="宋体"/>
          <w:szCs w:val="21"/>
          <w:u w:val="single"/>
        </w:rPr>
        <w:t xml:space="preserve">   </w:t>
      </w:r>
      <w:r>
        <w:rPr>
          <w:rFonts w:hint="eastAsia" w:ascii="宋体" w:hAnsi="宋体"/>
          <w:szCs w:val="21"/>
          <w:u w:val="single"/>
        </w:rPr>
        <w:t>本工程所在地</w:t>
      </w:r>
      <w:r>
        <w:rPr>
          <w:rFonts w:ascii="宋体" w:hAnsi="宋体"/>
          <w:szCs w:val="21"/>
          <w:u w:val="single"/>
        </w:rPr>
        <w:t xml:space="preserve">  </w:t>
      </w:r>
      <w:r>
        <w:rPr>
          <w:rFonts w:hint="eastAsia" w:ascii="宋体" w:hAnsi="宋体"/>
          <w:szCs w:val="21"/>
        </w:rPr>
        <w:t>人民法院起诉。</w:t>
      </w:r>
    </w:p>
    <w:p>
      <w:pPr>
        <w:spacing w:line="560" w:lineRule="exact"/>
        <w:ind w:firstLine="420" w:firstLineChars="200"/>
        <w:jc w:val="left"/>
        <w:rPr>
          <w:rFonts w:ascii="宋体" w:hAnsi="宋体"/>
          <w:szCs w:val="21"/>
        </w:rPr>
      </w:pPr>
      <w:r>
        <w:rPr>
          <w:rFonts w:hint="eastAsia" w:ascii="宋体" w:hAnsi="宋体"/>
          <w:szCs w:val="21"/>
        </w:rPr>
        <w:t>21.补充条款</w:t>
      </w:r>
    </w:p>
    <w:p>
      <w:pPr>
        <w:spacing w:line="560" w:lineRule="exact"/>
        <w:ind w:firstLine="420" w:firstLineChars="200"/>
        <w:rPr>
          <w:rFonts w:ascii="宋体" w:hAnsi="宋体" w:cs="宋体"/>
        </w:rPr>
      </w:pPr>
      <w:r>
        <w:rPr>
          <w:rFonts w:hint="eastAsia" w:ascii="宋体" w:hAnsi="宋体" w:cs="宋体"/>
        </w:rPr>
        <w:t xml:space="preserve">    21.1 本工程禁止使用童工。</w:t>
      </w:r>
    </w:p>
    <w:p>
      <w:pPr>
        <w:spacing w:line="560" w:lineRule="exact"/>
        <w:ind w:firstLine="420" w:firstLineChars="200"/>
        <w:rPr>
          <w:rFonts w:ascii="宋体" w:hAnsi="宋体" w:cs="宋体"/>
        </w:rPr>
      </w:pPr>
      <w:r>
        <w:rPr>
          <w:rFonts w:hint="eastAsia" w:ascii="宋体" w:hAnsi="宋体" w:cs="宋体"/>
        </w:rPr>
        <w:t>21.2承包人应当承担的各种费用、违约金及赔偿款以人民币支付，发包人有权从应支付给承包人的任何款项中直接扣除承包人应当承担的各种费用、违约金及赔偿款。</w:t>
      </w:r>
    </w:p>
    <w:p>
      <w:pPr>
        <w:spacing w:line="560" w:lineRule="exact"/>
        <w:ind w:firstLine="420" w:firstLineChars="200"/>
        <w:rPr>
          <w:rFonts w:ascii="宋体" w:hAnsi="宋体" w:cs="宋体"/>
        </w:rPr>
      </w:pPr>
      <w:r>
        <w:rPr>
          <w:rFonts w:hint="eastAsia" w:ascii="宋体" w:hAnsi="宋体" w:cs="宋体"/>
        </w:rPr>
        <w:t>21.3承包人应及时足额支付农民工工资，不得拖欠，否则，每发生一次按拖欠金额</w:t>
      </w:r>
      <w:r>
        <w:rPr>
          <w:rFonts w:hint="eastAsia" w:ascii="宋体" w:hAnsi="宋体" w:cs="宋体"/>
          <w:u w:val="single"/>
        </w:rPr>
        <w:t xml:space="preserve"> 10</w:t>
      </w:r>
      <w:r>
        <w:rPr>
          <w:rFonts w:hint="eastAsia" w:ascii="宋体" w:hAnsi="宋体" w:cs="宋体"/>
        </w:rPr>
        <w:t xml:space="preserve"> %处以违约处罚，款项直接从承包人应得的进度款或履约保证金中扣除。</w:t>
      </w:r>
    </w:p>
    <w:p>
      <w:pPr>
        <w:spacing w:line="560" w:lineRule="exact"/>
        <w:ind w:firstLine="420" w:firstLineChars="200"/>
        <w:rPr>
          <w:rFonts w:ascii="宋体" w:hAnsi="宋体" w:cs="宋体"/>
        </w:rPr>
      </w:pPr>
      <w:r>
        <w:rPr>
          <w:rFonts w:hint="eastAsia" w:ascii="宋体" w:hAnsi="宋体" w:cs="宋体"/>
        </w:rPr>
        <w:t>21.4承包人应实行农民工实名制管理。</w:t>
      </w:r>
    </w:p>
    <w:p>
      <w:pPr>
        <w:spacing w:beforeLines="50" w:afterLines="50" w:line="560" w:lineRule="exact"/>
        <w:ind w:firstLine="420" w:firstLineChars="200"/>
        <w:jc w:val="center"/>
        <w:rPr>
          <w:rFonts w:ascii="宋体" w:hAnsi="宋体"/>
          <w:szCs w:val="21"/>
        </w:rPr>
      </w:pPr>
    </w:p>
    <w:p>
      <w:pPr>
        <w:spacing w:beforeLines="50" w:afterLines="50" w:line="560" w:lineRule="exact"/>
        <w:ind w:firstLine="420" w:firstLineChars="200"/>
        <w:jc w:val="center"/>
        <w:rPr>
          <w:rFonts w:ascii="宋体" w:hAnsi="宋体"/>
          <w:szCs w:val="21"/>
        </w:rPr>
      </w:pPr>
    </w:p>
    <w:p>
      <w:pPr>
        <w:spacing w:beforeLines="50" w:afterLines="50" w:line="560" w:lineRule="exact"/>
        <w:ind w:firstLine="420" w:firstLineChars="200"/>
        <w:jc w:val="center"/>
        <w:rPr>
          <w:rFonts w:ascii="宋体" w:hAnsi="宋体"/>
          <w:szCs w:val="21"/>
        </w:rPr>
      </w:pPr>
    </w:p>
    <w:p>
      <w:pPr>
        <w:spacing w:beforeLines="50" w:afterLines="50" w:line="560" w:lineRule="exact"/>
        <w:ind w:firstLine="420" w:firstLineChars="200"/>
        <w:jc w:val="center"/>
        <w:rPr>
          <w:rFonts w:ascii="宋体" w:hAnsi="宋体"/>
          <w:szCs w:val="21"/>
        </w:rPr>
      </w:pPr>
    </w:p>
    <w:p>
      <w:pPr>
        <w:spacing w:beforeLines="50" w:afterLines="50" w:line="560" w:lineRule="exact"/>
        <w:ind w:firstLine="420" w:firstLineChars="200"/>
        <w:jc w:val="center"/>
        <w:rPr>
          <w:rFonts w:ascii="宋体" w:hAnsi="宋体"/>
          <w:szCs w:val="21"/>
        </w:rPr>
      </w:pPr>
    </w:p>
    <w:p>
      <w:pPr>
        <w:spacing w:beforeLines="50" w:afterLines="50" w:line="560" w:lineRule="exact"/>
        <w:ind w:firstLine="420" w:firstLineChars="200"/>
        <w:jc w:val="center"/>
        <w:rPr>
          <w:rFonts w:ascii="宋体" w:hAnsi="宋体"/>
          <w:szCs w:val="21"/>
        </w:rPr>
      </w:pPr>
    </w:p>
    <w:p>
      <w:pPr>
        <w:jc w:val="left"/>
        <w:rPr>
          <w:rFonts w:ascii="宋体" w:hAnsi="宋体"/>
          <w:szCs w:val="21"/>
        </w:rPr>
      </w:pPr>
      <w:r>
        <w:rPr>
          <w:rFonts w:hint="eastAsia" w:ascii="宋体" w:hAnsi="宋体"/>
          <w:szCs w:val="21"/>
        </w:rPr>
        <w:br w:type="page"/>
      </w:r>
    </w:p>
    <w:p>
      <w:pPr>
        <w:spacing w:beforeLines="50" w:afterLines="50" w:line="560" w:lineRule="exact"/>
        <w:ind w:firstLine="420" w:firstLineChars="200"/>
        <w:jc w:val="center"/>
        <w:rPr>
          <w:rFonts w:ascii="宋体" w:hAnsi="宋体"/>
          <w:szCs w:val="21"/>
        </w:rPr>
      </w:pPr>
      <w:r>
        <w:rPr>
          <w:rFonts w:hint="eastAsia" w:ascii="宋体" w:hAnsi="宋体"/>
          <w:szCs w:val="21"/>
        </w:rPr>
        <w:t>工程质量保修书</w:t>
      </w:r>
    </w:p>
    <w:p>
      <w:pPr>
        <w:spacing w:line="560" w:lineRule="exact"/>
        <w:ind w:firstLine="420" w:firstLineChars="200"/>
        <w:rPr>
          <w:rFonts w:ascii="宋体" w:hAnsi="宋体"/>
          <w:szCs w:val="21"/>
        </w:rPr>
      </w:pPr>
      <w:r>
        <w:rPr>
          <w:rFonts w:hint="eastAsia" w:ascii="宋体" w:hAnsi="宋体"/>
          <w:szCs w:val="21"/>
        </w:rPr>
        <w:t>发包人（全称）：</w:t>
      </w:r>
      <w:r>
        <w:rPr>
          <w:rFonts w:ascii="宋体" w:hAnsi="宋体"/>
          <w:szCs w:val="21"/>
          <w:u w:val="single"/>
        </w:rPr>
        <w:t xml:space="preserve">                                </w:t>
      </w:r>
      <w:r>
        <w:rPr>
          <w:rFonts w:ascii="宋体" w:hAnsi="宋体"/>
          <w:szCs w:val="21"/>
        </w:rPr>
        <w:t xml:space="preserve"> </w:t>
      </w:r>
    </w:p>
    <w:p>
      <w:pPr>
        <w:spacing w:line="560" w:lineRule="exact"/>
        <w:rPr>
          <w:rFonts w:ascii="宋体" w:hAnsi="宋体"/>
          <w:szCs w:val="21"/>
        </w:rPr>
      </w:pPr>
      <w:r>
        <w:rPr>
          <w:rFonts w:hint="eastAsia" w:ascii="宋体" w:hAnsi="宋体"/>
          <w:szCs w:val="21"/>
        </w:rPr>
        <w:t>　　承包人（全称）：</w:t>
      </w:r>
      <w:r>
        <w:rPr>
          <w:rFonts w:ascii="宋体" w:hAnsi="宋体"/>
          <w:szCs w:val="21"/>
          <w:u w:val="single"/>
        </w:rPr>
        <w:t xml:space="preserve">                                </w:t>
      </w:r>
      <w:r>
        <w:rPr>
          <w:rFonts w:ascii="宋体" w:hAnsi="宋体"/>
          <w:szCs w:val="21"/>
        </w:rPr>
        <w:t xml:space="preserve"> </w:t>
      </w:r>
    </w:p>
    <w:p>
      <w:pPr>
        <w:spacing w:line="560" w:lineRule="exact"/>
        <w:ind w:firstLine="420" w:firstLineChars="200"/>
        <w:rPr>
          <w:rFonts w:ascii="宋体" w:hAnsi="宋体"/>
          <w:szCs w:val="21"/>
        </w:rPr>
      </w:pPr>
    </w:p>
    <w:p>
      <w:pPr>
        <w:spacing w:line="560" w:lineRule="exact"/>
        <w:ind w:firstLine="420" w:firstLineChars="200"/>
        <w:rPr>
          <w:rFonts w:ascii="宋体" w:hAnsi="宋体"/>
          <w:szCs w:val="21"/>
        </w:rPr>
      </w:pPr>
      <w:r>
        <w:rPr>
          <w:rFonts w:hint="eastAsia" w:ascii="宋体" w:hAnsi="宋体"/>
          <w:szCs w:val="21"/>
        </w:rPr>
        <w:t>　　发包人和承包人根据《中华人民共和国建筑法》和《建设工程质量管理条例》，经协商一致就</w:t>
      </w:r>
      <w:r>
        <w:rPr>
          <w:rFonts w:ascii="宋体" w:hAnsi="宋体"/>
          <w:szCs w:val="21"/>
          <w:u w:val="single"/>
        </w:rPr>
        <w:t xml:space="preserve">                </w:t>
      </w:r>
      <w:r>
        <w:rPr>
          <w:rFonts w:hint="eastAsia" w:ascii="宋体" w:hAnsi="宋体"/>
          <w:szCs w:val="21"/>
        </w:rPr>
        <w:t>（工程全称）签订工程质量保修书。</w:t>
      </w:r>
    </w:p>
    <w:p>
      <w:pPr>
        <w:spacing w:line="560" w:lineRule="exact"/>
        <w:ind w:firstLine="420" w:firstLineChars="200"/>
        <w:rPr>
          <w:rFonts w:ascii="宋体" w:hAnsi="宋体"/>
          <w:szCs w:val="21"/>
        </w:rPr>
      </w:pPr>
      <w:r>
        <w:rPr>
          <w:rFonts w:hint="eastAsia" w:ascii="宋体" w:hAnsi="宋体"/>
          <w:szCs w:val="21"/>
        </w:rPr>
        <w:t>　　一、工程质量保修范围和内容</w:t>
      </w:r>
    </w:p>
    <w:p>
      <w:pPr>
        <w:spacing w:line="560" w:lineRule="exact"/>
        <w:ind w:firstLine="420" w:firstLineChars="200"/>
        <w:rPr>
          <w:rFonts w:ascii="宋体" w:hAnsi="宋体"/>
          <w:szCs w:val="21"/>
        </w:rPr>
      </w:pPr>
      <w:r>
        <w:rPr>
          <w:rFonts w:hint="eastAsia" w:ascii="宋体" w:hAnsi="宋体"/>
          <w:szCs w:val="21"/>
        </w:rPr>
        <w:t>　　承包人在质量保修期内，按照有关法律规定和合同约定，承担工程质量保修责任。</w:t>
      </w:r>
    </w:p>
    <w:p>
      <w:pPr>
        <w:spacing w:line="560" w:lineRule="exact"/>
        <w:ind w:firstLine="420" w:firstLineChars="200"/>
        <w:rPr>
          <w:b/>
          <w:szCs w:val="21"/>
          <w:u w:val="single"/>
        </w:rPr>
      </w:pPr>
      <w:r>
        <w:rPr>
          <w:rFonts w:hint="eastAsia" w:ascii="宋体" w:hAnsi="宋体"/>
          <w:szCs w:val="21"/>
        </w:rPr>
        <w:t>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Cs w:val="21"/>
          <w:u w:val="single"/>
        </w:rPr>
        <w:t xml:space="preserve">                         </w:t>
      </w:r>
      <w:r>
        <w:rPr>
          <w:rFonts w:hint="eastAsia"/>
          <w:szCs w:val="21"/>
        </w:rPr>
        <w:t>。</w:t>
      </w:r>
    </w:p>
    <w:p>
      <w:pPr>
        <w:spacing w:line="560" w:lineRule="exact"/>
        <w:ind w:firstLine="422" w:firstLineChars="200"/>
        <w:rPr>
          <w:rFonts w:ascii="宋体" w:hAnsi="宋体"/>
          <w:szCs w:val="21"/>
        </w:rPr>
      </w:pPr>
      <w:r>
        <w:rPr>
          <w:rFonts w:hint="eastAsia" w:ascii="宋体" w:hAnsi="宋体"/>
          <w:b/>
          <w:szCs w:val="21"/>
        </w:rPr>
        <w:t>　　</w:t>
      </w:r>
      <w:r>
        <w:rPr>
          <w:rFonts w:hint="eastAsia" w:ascii="宋体" w:hAnsi="宋体"/>
          <w:szCs w:val="21"/>
        </w:rPr>
        <w:t>二、质量保修期</w:t>
      </w:r>
    </w:p>
    <w:p>
      <w:pPr>
        <w:spacing w:line="560" w:lineRule="exact"/>
        <w:ind w:firstLine="420" w:firstLineChars="200"/>
        <w:rPr>
          <w:rFonts w:ascii="宋体" w:hAnsi="宋体"/>
          <w:szCs w:val="21"/>
        </w:rPr>
      </w:pPr>
      <w:r>
        <w:rPr>
          <w:rFonts w:hint="eastAsia" w:ascii="宋体" w:hAnsi="宋体"/>
          <w:szCs w:val="21"/>
        </w:rPr>
        <w:t>根据《建设工程质量管理条例》及有关规定，工程的质量保修期如下：</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1．地基基础工程和主体结构工程为设计文件规定的工程合理使用年限；</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2．屋面防水工程、有防水要求的卫生间、房间和外墙面的防渗为</w:t>
      </w:r>
      <w:r>
        <w:rPr>
          <w:rFonts w:hint="eastAsia" w:asciiTheme="minorEastAsia" w:hAnsiTheme="minorEastAsia" w:eastAsiaTheme="minorEastAsia" w:cstheme="minorEastAsia"/>
          <w:sz w:val="21"/>
          <w:u w:val="single"/>
        </w:rPr>
        <w:t xml:space="preserve"> 5  </w:t>
      </w:r>
      <w:r>
        <w:rPr>
          <w:rFonts w:hint="eastAsia" w:asciiTheme="minorEastAsia" w:hAnsiTheme="minorEastAsia" w:eastAsiaTheme="minorEastAsia" w:cstheme="minorEastAsia"/>
          <w:sz w:val="21"/>
        </w:rPr>
        <w:t>年；</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3．装修工程为</w:t>
      </w:r>
      <w:r>
        <w:rPr>
          <w:rFonts w:hint="eastAsia" w:asciiTheme="minorEastAsia" w:hAnsiTheme="minorEastAsia" w:eastAsiaTheme="minorEastAsia" w:cstheme="minorEastAsia"/>
          <w:sz w:val="21"/>
          <w:u w:val="single"/>
        </w:rPr>
        <w:t xml:space="preserve">  2  </w:t>
      </w:r>
      <w:r>
        <w:rPr>
          <w:rFonts w:hint="eastAsia" w:asciiTheme="minorEastAsia" w:hAnsiTheme="minorEastAsia" w:eastAsiaTheme="minorEastAsia" w:cstheme="minorEastAsia"/>
          <w:sz w:val="21"/>
        </w:rPr>
        <w:t>年；</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4．电气管线、给排水管道、设备安装工程为</w:t>
      </w:r>
      <w:r>
        <w:rPr>
          <w:rFonts w:hint="eastAsia" w:asciiTheme="minorEastAsia" w:hAnsiTheme="minorEastAsia" w:eastAsiaTheme="minorEastAsia" w:cstheme="minorEastAsia"/>
          <w:sz w:val="21"/>
          <w:u w:val="single"/>
        </w:rPr>
        <w:t xml:space="preserve">  2  </w:t>
      </w:r>
      <w:r>
        <w:rPr>
          <w:rFonts w:hint="eastAsia" w:asciiTheme="minorEastAsia" w:hAnsiTheme="minorEastAsia" w:eastAsiaTheme="minorEastAsia" w:cstheme="minorEastAsia"/>
          <w:sz w:val="21"/>
        </w:rPr>
        <w:t>年；</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5．供热与供冷系统为</w:t>
      </w:r>
      <w:r>
        <w:rPr>
          <w:rFonts w:hint="eastAsia" w:asciiTheme="minorEastAsia" w:hAnsiTheme="minorEastAsia" w:eastAsiaTheme="minorEastAsia" w:cstheme="minorEastAsia"/>
          <w:sz w:val="21"/>
          <w:u w:val="single"/>
        </w:rPr>
        <w:t xml:space="preserve"> 2</w:t>
      </w:r>
      <w:r>
        <w:rPr>
          <w:rFonts w:hint="eastAsia" w:asciiTheme="minorEastAsia" w:hAnsiTheme="minorEastAsia" w:eastAsiaTheme="minorEastAsia" w:cstheme="minorEastAsia"/>
          <w:sz w:val="21"/>
        </w:rPr>
        <w:t>个采暖期、供冷期；</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6．住宅小区内的给排水设施、道路等配套工程为</w:t>
      </w:r>
      <w:r>
        <w:rPr>
          <w:rFonts w:hint="eastAsia" w:asciiTheme="minorEastAsia" w:hAnsiTheme="minorEastAsia" w:eastAsiaTheme="minorEastAsia" w:cstheme="minorEastAsia"/>
          <w:sz w:val="21"/>
          <w:u w:val="single"/>
        </w:rPr>
        <w:t xml:space="preserve"> 2  </w:t>
      </w:r>
      <w:r>
        <w:rPr>
          <w:rFonts w:hint="eastAsia" w:asciiTheme="minorEastAsia" w:hAnsiTheme="minorEastAsia" w:eastAsiaTheme="minorEastAsia" w:cstheme="minorEastAsia"/>
          <w:sz w:val="21"/>
        </w:rPr>
        <w:t>年；</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7.  其他项目保修期限规定如下：</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rPr>
        <w:t>。</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质量保修期自工程竣工验收合格之日起计算。</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三、缺陷责任期</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工程缺陷责任期为</w:t>
      </w:r>
      <w:r>
        <w:rPr>
          <w:rFonts w:hint="eastAsia" w:asciiTheme="minorEastAsia" w:hAnsiTheme="minorEastAsia" w:eastAsiaTheme="minorEastAsia" w:cstheme="minorEastAsia"/>
          <w:sz w:val="21"/>
          <w:u w:val="single"/>
        </w:rPr>
        <w:t xml:space="preserve">  24 </w:t>
      </w:r>
      <w:r>
        <w:rPr>
          <w:rFonts w:hint="eastAsia" w:asciiTheme="minorEastAsia" w:hAnsiTheme="minorEastAsia" w:eastAsiaTheme="minorEastAsia" w:cstheme="minorEastAsia"/>
          <w:sz w:val="21"/>
        </w:rPr>
        <w:t>个月，缺陷责任期自工程竣工验收合格之日起计算。单位工程先于全部工程进行验收，单位工程缺陷责任期自单位工程验收合格之日起算。</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缺陷责任期终止后，发包人应退还剩余的质量保证金。</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四、质量保修责任</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1．属于保修范围、内容的项目，承包人应当在接到保修通知之日起7天内派人保修。承包人不在约定期限内派人保修的，发包人可以委托他人修理。</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2．发生紧急事故需抢修的，承包人在接到事故通知后，应当立即到达事故现场抢修。</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4．质量保修完成后，由发包人组织验收。</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五、保修费用</w:t>
      </w:r>
    </w:p>
    <w:p>
      <w:pPr>
        <w:pStyle w:val="172"/>
        <w:spacing w:line="5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保修费用由造成质量缺陷的责任方承担。</w:t>
      </w:r>
    </w:p>
    <w:p>
      <w:pPr>
        <w:pStyle w:val="172"/>
        <w:spacing w:line="560" w:lineRule="exact"/>
        <w:rPr>
          <w:rFonts w:asciiTheme="minorEastAsia" w:hAnsiTheme="minorEastAsia" w:eastAsiaTheme="minorEastAsia" w:cstheme="minorEastAsia"/>
          <w:sz w:val="21"/>
          <w:u w:val="single"/>
        </w:rPr>
      </w:pPr>
      <w:r>
        <w:rPr>
          <w:rFonts w:hint="eastAsia" w:asciiTheme="minorEastAsia" w:hAnsiTheme="minorEastAsia" w:eastAsiaTheme="minorEastAsia" w:cstheme="minorEastAsia"/>
          <w:sz w:val="21"/>
        </w:rPr>
        <w:t>六、双方约定的其他工程质量保修事项</w:t>
      </w:r>
      <w:r>
        <w:rPr>
          <w:rFonts w:hint="eastAsia" w:asciiTheme="minorEastAsia" w:hAnsiTheme="minorEastAsia" w:eastAsiaTheme="minorEastAsia" w:cstheme="minorEastAsia"/>
          <w:sz w:val="21"/>
          <w:u w:val="single"/>
        </w:rPr>
        <w:t>本工程双方约定质保金按工程审核造价金额的3%扣留，保修期满后按规定支付。</w:t>
      </w:r>
    </w:p>
    <w:p>
      <w:pPr>
        <w:spacing w:line="560" w:lineRule="exact"/>
        <w:ind w:firstLine="420" w:firstLineChars="200"/>
        <w:jc w:val="left"/>
        <w:rPr>
          <w:rFonts w:ascii="宋体" w:hAnsi="宋体"/>
          <w:szCs w:val="21"/>
        </w:rPr>
      </w:pPr>
      <w:r>
        <w:rPr>
          <w:rFonts w:hint="eastAsia" w:ascii="宋体" w:hAnsi="宋体"/>
          <w:szCs w:val="21"/>
        </w:rPr>
        <w:t>工程质量保修书由发包人、承包人在工程竣工验收前共同签署，作为施工合同附件，其有效期限至保修期满。</w:t>
      </w:r>
    </w:p>
    <w:p>
      <w:pPr>
        <w:spacing w:line="56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发包人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承包人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szCs w:val="21"/>
          <w:u w:val="single"/>
        </w:rPr>
        <w:t xml:space="preserve">               </w:t>
      </w:r>
      <w:r>
        <w:rPr>
          <w:rFonts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r>
        <w:rPr>
          <w:rFonts w:hint="eastAsia" w:ascii="宋体" w:hAnsi="宋体"/>
          <w:szCs w:val="21"/>
          <w:u w:val="single"/>
        </w:rPr>
        <w:t xml:space="preserve">                     </w:t>
      </w:r>
      <w:r>
        <w:rPr>
          <w:rFonts w:ascii="宋体" w:hAnsi="宋体"/>
          <w:szCs w:val="21"/>
        </w:rPr>
        <w:t xml:space="preserve"> </w:t>
      </w:r>
    </w:p>
    <w:p>
      <w:pPr>
        <w:spacing w:line="500" w:lineRule="exact"/>
        <w:ind w:firstLine="420" w:firstLineChars="200"/>
        <w:rPr>
          <w:rFonts w:ascii="宋体" w:hAnsi="宋体"/>
          <w:szCs w:val="21"/>
          <w:u w:val="single"/>
        </w:rPr>
      </w:pPr>
      <w:r>
        <w:rPr>
          <w:rFonts w:hint="eastAsia" w:ascii="宋体" w:hAnsi="宋体"/>
          <w:szCs w:val="21"/>
        </w:rPr>
        <w:t>法定代表人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法定代表人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hint="eastAsia" w:ascii="宋体" w:hAnsi="宋体"/>
          <w:szCs w:val="21"/>
          <w:u w:val="single"/>
        </w:rPr>
        <w:t xml:space="preserve">           </w:t>
      </w:r>
    </w:p>
    <w:p>
      <w:pPr>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hint="eastAsia" w:ascii="宋体" w:hAnsi="宋体"/>
          <w:szCs w:val="21"/>
          <w:u w:val="single"/>
        </w:rPr>
        <w:t xml:space="preserve">           </w:t>
      </w:r>
    </w:p>
    <w:p>
      <w:pPr>
        <w:spacing w:line="500" w:lineRule="exact"/>
        <w:ind w:firstLine="420" w:firstLineChars="200"/>
        <w:rPr>
          <w:rFonts w:ascii="宋体" w:hAns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szCs w:val="21"/>
          <w:u w:val="single"/>
        </w:rPr>
        <w:t xml:space="preserve">                     </w:t>
      </w: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szCs w:val="21"/>
          <w:u w:val="single"/>
        </w:rPr>
        <w:t xml:space="preserve">                     </w:t>
      </w:r>
    </w:p>
    <w:p>
      <w:pPr>
        <w:spacing w:line="500" w:lineRule="exact"/>
        <w:ind w:firstLine="420" w:firstLineChars="200"/>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开户银行：</w:t>
      </w:r>
      <w:r>
        <w:rPr>
          <w:rFonts w:hint="eastAsia" w:ascii="宋体" w:hAnsi="宋体"/>
          <w:szCs w:val="21"/>
          <w:u w:val="single"/>
        </w:rPr>
        <w:t xml:space="preserve">                  </w:t>
      </w:r>
    </w:p>
    <w:p>
      <w:pPr>
        <w:spacing w:line="500" w:lineRule="exact"/>
        <w:ind w:firstLine="420" w:firstLineChars="200"/>
        <w:rPr>
          <w:rFonts w:ascii="宋体" w:hAnsi="宋体"/>
          <w:szCs w:val="21"/>
          <w:u w:val="single"/>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账</w:t>
      </w:r>
      <w:r>
        <w:rPr>
          <w:rFonts w:ascii="宋体" w:hAnsi="宋体"/>
          <w:szCs w:val="21"/>
        </w:rPr>
        <w:t xml:space="preserve">  </w:t>
      </w:r>
      <w:r>
        <w:rPr>
          <w:rFonts w:hint="eastAsia" w:ascii="宋体" w:hAnsi="宋体"/>
          <w:szCs w:val="21"/>
        </w:rPr>
        <w:t>号：</w:t>
      </w:r>
      <w:r>
        <w:rPr>
          <w:rFonts w:hint="eastAsia" w:ascii="宋体" w:hAnsi="宋体"/>
          <w:szCs w:val="21"/>
          <w:u w:val="single"/>
        </w:rPr>
        <w:t xml:space="preserve">                    </w:t>
      </w:r>
    </w:p>
    <w:p>
      <w:pPr>
        <w:spacing w:line="500" w:lineRule="exact"/>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邮政编码：</w:t>
      </w:r>
      <w:r>
        <w:rPr>
          <w:rFonts w:hint="eastAsia" w:ascii="宋体" w:hAnsi="宋体"/>
          <w:szCs w:val="21"/>
          <w:u w:val="single"/>
        </w:rPr>
        <w:t xml:space="preserve">                  </w:t>
      </w:r>
    </w:p>
    <w:p>
      <w:pPr>
        <w:spacing w:beforeLines="50" w:afterLines="50" w:line="560" w:lineRule="exact"/>
        <w:ind w:firstLine="420" w:firstLineChars="200"/>
        <w:jc w:val="center"/>
        <w:rPr>
          <w:rFonts w:asciiTheme="minorEastAsia" w:hAnsiTheme="minorEastAsia" w:eastAsiaTheme="minorEastAsia"/>
        </w:rPr>
      </w:pPr>
      <w:r>
        <w:rPr>
          <w:rFonts w:ascii="宋体" w:hAnsi="宋体"/>
          <w:szCs w:val="21"/>
        </w:rPr>
        <w:br w:type="page"/>
      </w:r>
      <w:bookmarkEnd w:id="200"/>
      <w:bookmarkEnd w:id="209"/>
      <w:bookmarkEnd w:id="210"/>
      <w:bookmarkEnd w:id="211"/>
      <w:bookmarkEnd w:id="212"/>
      <w:bookmarkEnd w:id="213"/>
      <w:bookmarkEnd w:id="214"/>
      <w:bookmarkEnd w:id="215"/>
      <w:bookmarkEnd w:id="218"/>
    </w:p>
    <w:p>
      <w:pPr>
        <w:pStyle w:val="3"/>
        <w:ind w:firstLine="883" w:firstLineChars="200"/>
        <w:jc w:val="center"/>
        <w:rPr>
          <w:rFonts w:asciiTheme="minorEastAsia" w:hAnsiTheme="minorEastAsia" w:eastAsiaTheme="minorEastAsia"/>
        </w:rPr>
      </w:pPr>
      <w:r>
        <w:rPr>
          <w:rFonts w:hint="eastAsia" w:asciiTheme="minorEastAsia" w:hAnsiTheme="minorEastAsia" w:eastAsiaTheme="minorEastAsia"/>
        </w:rPr>
        <w:t>第五章</w:t>
      </w:r>
      <w:r>
        <w:rPr>
          <w:rFonts w:asciiTheme="minorEastAsia" w:hAnsiTheme="minorEastAsia" w:eastAsiaTheme="minorEastAsia"/>
        </w:rPr>
        <w:t xml:space="preserve"> </w:t>
      </w:r>
      <w:r>
        <w:rPr>
          <w:rFonts w:hint="eastAsia" w:asciiTheme="minorEastAsia" w:hAnsiTheme="minorEastAsia" w:eastAsiaTheme="minorEastAsia"/>
        </w:rPr>
        <w:t>工程量清单</w:t>
      </w:r>
    </w:p>
    <w:p>
      <w:pPr>
        <w:pStyle w:val="3"/>
        <w:ind w:firstLine="880" w:firstLineChars="200"/>
        <w:jc w:val="center"/>
        <w:rPr>
          <w:rFonts w:asciiTheme="minorEastAsia" w:hAnsiTheme="minorEastAsia" w:eastAsiaTheme="minorEastAsia"/>
          <w:b w:val="0"/>
          <w:szCs w:val="32"/>
        </w:rPr>
      </w:pPr>
      <w:r>
        <w:rPr>
          <w:rFonts w:hint="eastAsia" w:asciiTheme="minorEastAsia" w:hAnsiTheme="minorEastAsia" w:eastAsiaTheme="minorEastAsia"/>
          <w:b w:val="0"/>
          <w:szCs w:val="32"/>
        </w:rPr>
        <w:t>（另册发放）</w:t>
      </w:r>
    </w:p>
    <w:p>
      <w:pPr>
        <w:widowControl/>
        <w:spacing w:line="560" w:lineRule="exac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1 工程量清单编制说明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1.1 </w:t>
      </w:r>
      <w:r>
        <w:rPr>
          <w:rFonts w:hint="eastAsia" w:asciiTheme="minorEastAsia" w:hAnsiTheme="minorEastAsia" w:eastAsiaTheme="minorEastAsia" w:cstheme="minorEastAsia"/>
        </w:rPr>
        <w:t xml:space="preserve">本工程量清单依据《建设工程工程量清单计价规范（GB50500-2013）广西实施细则》（以下简称“《计价规范》”）、各专业《工程量清单计算规范（GB50854~50862-2013）》及广西实施细则（修订本）（以下简称“《计算规范》”）、《关于建筑业实施营业税改征增值税后广西壮族自治区建设工程计价依据调整的通知》（桂建标〔2016〕17 号）、招标文件、施工图等编制。计算规范中没有的清单项目，应在本章第 1.4 款约定。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1.2 </w:t>
      </w:r>
      <w:r>
        <w:rPr>
          <w:rFonts w:hint="eastAsia" w:asciiTheme="minorEastAsia" w:hAnsiTheme="minorEastAsia" w:eastAsiaTheme="minorEastAsia" w:cstheme="minorEastAsia"/>
        </w:rPr>
        <w:t xml:space="preserve">工程量清单应与投标须知、合同协议条款、合同的通用条款、合同专用条款、技术规范及图纸等文件一起结合使用。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1.3 </w:t>
      </w:r>
      <w:r>
        <w:rPr>
          <w:rFonts w:hint="eastAsia" w:asciiTheme="minorEastAsia" w:hAnsiTheme="minorEastAsia" w:eastAsiaTheme="minorEastAsia" w:cstheme="minorEastAsia"/>
        </w:rPr>
        <w:t xml:space="preserve">工程量清单是招标文件的组成部分，是工程量清单计价的基础，作为编制招标控制价、投标报价、计算或调整工程量、索赔等的依据之一。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1.4</w:t>
      </w:r>
      <w:r>
        <w:rPr>
          <w:rFonts w:hint="eastAsia" w:asciiTheme="minorEastAsia" w:hAnsiTheme="minorEastAsia" w:eastAsiaTheme="minorEastAsia" w:cstheme="minorEastAsia"/>
        </w:rPr>
        <w:t xml:space="preserve"> 补充清单项目的特征、计量单位、工程量计算规则及工作内容说明如下： /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1.5</w:t>
      </w:r>
      <w:r>
        <w:rPr>
          <w:rFonts w:hint="eastAsia" w:asciiTheme="minorEastAsia" w:hAnsiTheme="minorEastAsia" w:eastAsiaTheme="minorEastAsia" w:cstheme="minorEastAsia"/>
        </w:rPr>
        <w:t xml:space="preserve"> 《承包人提供的主要材料和设备一览表》（表-22，表格编号为计价规范相应表格编号，下同）作为项目实施过程中材料和设备价格风险调整依据。 </w:t>
      </w:r>
    </w:p>
    <w:p>
      <w:pPr>
        <w:widowControl/>
        <w:spacing w:line="560" w:lineRule="exact"/>
        <w:ind w:firstLine="422"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 xml:space="preserve">1.6 </w:t>
      </w:r>
      <w:r>
        <w:rPr>
          <w:rFonts w:hint="eastAsia" w:asciiTheme="minorEastAsia" w:hAnsiTheme="minorEastAsia" w:eastAsiaTheme="minorEastAsia" w:cstheme="minorEastAsia"/>
          <w:highlight w:val="none"/>
        </w:rPr>
        <w:t xml:space="preserve">本工程暂列金额2020年新型冠状病毒肺炎疫情防控费用暂按本项目造价的1%计算为42837元，作为合同签订时尚未确定或者不可预见但施工中可能发生的费用。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1.7 </w:t>
      </w:r>
      <w:r>
        <w:rPr>
          <w:rFonts w:hint="eastAsia" w:asciiTheme="minorEastAsia" w:hAnsiTheme="minorEastAsia" w:eastAsiaTheme="minorEastAsia" w:cstheme="minorEastAsia"/>
        </w:rPr>
        <w:t xml:space="preserve">本工程发包人提供的材料和设备详见《发包人提供的主要材料和工程设备一览表》（表-21）。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1.8</w:t>
      </w:r>
      <w:r>
        <w:rPr>
          <w:rFonts w:hint="eastAsia" w:asciiTheme="minorEastAsia" w:hAnsiTheme="minorEastAsia" w:eastAsiaTheme="minorEastAsia" w:cstheme="minorEastAsia"/>
        </w:rPr>
        <w:t xml:space="preserve"> 本工程部分材料和设备在招标时作为暂估价计列，结算按实调整，具体内容详见《材料（工程设备）暂估单价及调整表》（表 12-2）。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1.9 </w:t>
      </w:r>
      <w:r>
        <w:rPr>
          <w:rFonts w:hint="eastAsia" w:asciiTheme="minorEastAsia" w:hAnsiTheme="minorEastAsia" w:eastAsiaTheme="minorEastAsia" w:cstheme="minorEastAsia"/>
        </w:rPr>
        <w:t xml:space="preserve">招标时暂估专业工程的价款属于暂估价，结算按实调整，具体内容详见《专业工程暂估价及结算价表》（表 12-3）。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1.10</w:t>
      </w:r>
      <w:r>
        <w:rPr>
          <w:rFonts w:hint="eastAsia" w:asciiTheme="minorEastAsia" w:hAnsiTheme="minorEastAsia" w:eastAsiaTheme="minorEastAsia" w:cstheme="minorEastAsia"/>
        </w:rPr>
        <w:t xml:space="preserve"> 本工程量清单编码处标注“*”号的清单项目作为主要清单项目，需要投标人提供《主要清单项目工料机分析表》（表-10）。 </w:t>
      </w:r>
    </w:p>
    <w:p>
      <w:pPr>
        <w:widowControl/>
        <w:spacing w:line="560" w:lineRule="exact"/>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1.11</w:t>
      </w:r>
      <w:r>
        <w:rPr>
          <w:rFonts w:hint="eastAsia" w:asciiTheme="minorEastAsia" w:hAnsiTheme="minorEastAsia" w:eastAsiaTheme="minorEastAsia" w:cstheme="minorEastAsia"/>
        </w:rPr>
        <w:t xml:space="preserve"> 其它需要说明的问题：</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（1）本工程招标控制价含建安劳保费。</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（2）本招标控制价装饰装修工程、安装工程按增值税一般计税方法计算，拆除工程按简易计税方法计算。</w:t>
      </w:r>
    </w:p>
    <w:p>
      <w:pPr>
        <w:widowControl/>
        <w:spacing w:line="56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（3）暂列金额2020年新型冠状病毒肺炎疫情防控费用暂按本项目造价的1%计算为42837元，结算时按实际发生的费用结算。</w:t>
      </w:r>
    </w:p>
    <w:p>
      <w:pPr>
        <w:widowControl/>
        <w:spacing w:line="560" w:lineRule="exac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2 招标控制价编制说明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2.1 招标控制价编制依据：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（1）《计价规范》及《计算规范》、《关于建筑业实施营业税改征增值税后广西壮族自治区建设工程计价依据调整的通知》（桂建标〔2016〕17 号）等；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（2）自治区住房城乡建设行政主管部门颁发的计价定额及有关规定：详见工程量清单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（3）建设工程设计文件及相关资料：详见工程量清单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（4）本工程招标文件及工程量清单；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（5）与建设项目相关的标准、规范、技术资料；</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（6）施工现场情况、工程特点及常规施工方案； </w:t>
      </w:r>
    </w:p>
    <w:p>
      <w:pPr>
        <w:widowControl/>
        <w:spacing w:line="560" w:lineRule="exact"/>
        <w:ind w:firstLine="422" w:firstLineChars="200"/>
        <w:jc w:val="lef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（7）材料价格信息：材料价格采用建设工程造价管理机构发布的工程造价信息《南宁市建设工程造价信息》</w:t>
      </w:r>
      <w:r>
        <w:rPr>
          <w:rFonts w:hint="eastAsia" w:asciiTheme="minorEastAsia" w:hAnsiTheme="minorEastAsia" w:eastAsiaTheme="minorEastAsia" w:cstheme="minorEastAsia"/>
          <w:b/>
          <w:bCs/>
          <w:highlight w:val="none"/>
          <w:lang w:eastAsia="zh-CN"/>
        </w:rPr>
        <w:t>2020年第1期</w:t>
      </w:r>
      <w:r>
        <w:rPr>
          <w:rFonts w:hint="eastAsia" w:asciiTheme="minorEastAsia" w:hAnsiTheme="minorEastAsia" w:eastAsiaTheme="minorEastAsia" w:cstheme="minorEastAsia"/>
          <w:b/>
          <w:bCs/>
          <w:highlight w:val="none"/>
        </w:rPr>
        <w:t>；对于工程造价信息中没有发布价格信息的材料，其价格参照市场价格。</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2.2 分部分项及单价措施项目综合单价应包括招标文件中招标人要求投标人所承担的风险内容及其范围（幅度）产生的风险费用。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2.3 总价措施项目应根据拟定的招标文件和常规施工方案按《计价规范》和《计算规范》规定编制。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2.4 其他项目费应按下列规定报价：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（1）暂列金额应按招标工程量清单中列出的金额填写；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（2）材料、工程设备暂估价应按招标工程量清单中列出的单价计入综合单价；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（3）专业工程暂估价应按招标工程量清单中列出的金额填写；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（4）计日工应按招标工程量清单中列出的项目和数量，根据工程特点和有关计价依据确定的综合单价计算；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（5）总承包服务费应根据招标工程量清单列出的内容和要求，按自治区住房城乡建设行政主管部门颁发的计价定额及有关规定计算。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2.5 规费和增值税应按规定确定，作为不可竞争费用。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2.6 其它需要说明的问题：/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 投标报价（已标价工程量清单）编制说明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3.1 投标人应依据招标文件、招标工程量清单以及《计价规范》、《计算规范》自主报价，自主报价不得违反计价规范强制性条文规定。投标人不得采用总价让利或以百分比让利等形式进行报价，任何优惠（或）</w:t>
      </w:r>
      <w:r>
        <w:rPr>
          <w:rFonts w:hint="eastAsia"/>
        </w:rPr>
        <w:t>降价、让利）均应反映在相应清单项目的综合单价中。同时，不得出</w:t>
      </w:r>
      <w:r>
        <w:rPr>
          <w:rFonts w:hint="eastAsia" w:asciiTheme="minorEastAsia" w:hAnsiTheme="minorEastAsia" w:eastAsiaTheme="minorEastAsia" w:cstheme="minorEastAsia"/>
        </w:rPr>
        <w:t xml:space="preserve">现任意一项单价重大让利，不得以自有机械闲置、自有材料等不计成本为由低于工程成本报价。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3.2 投标人应按招标工程量清单填报价格。项目编码、项目名称、项目特征、计量单位、工程量必须与招标工程量清单一致，投标人不得对招标工程量清单项目进行增减调整。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3.3 综合单价中应包含招标文件中划分的应由投标人承担的风险范围及其费用。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3.5 总价措施项目的金额应根据招标文件及投标时拟定的施工组织设计或施工方案，按计价规范的规定自主确定。但安全文明施工费按国家、省级或行业建设主管部门的有关规定执行，作为不竞争费用单列。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3.6 其他项目费应按下列规定报价：</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（1）暂列金额应按招标工程量清单中列出的金额填写；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（2）材料、工程设备暂估价应按招标工程量清单中列出的单价计入综合单价；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（3）专业工程暂估价应按招标工程量清单中列出的金额填写；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（4）计日工应按招标工程量清单中列出的项目和估算数量，自主确定综合单价并计算计日工总额；计日工单价均不含规费和税金；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（5）总承包服务费应根据招标工程量清单中列出的内容和供应材料、设备情况，按照招标人提出的协调、配合与服务要求和施工现场管理需要自主确定。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3.7 规费和增值税应按规定确定，作为不可竞争费用。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3.9 投标总价应当与分部分项工程费、措施项目费、其他项目费和规费、增值税的合计金额一致。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3.10 因分部分项工程量清单漏项、设计变更、相关签证引起工程项目、工程量任何变化的，变更合同价款按专用合同条款中变更估价原则处理。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3.11 投标人应按《承包人提供的主要材料和设备一览表》的内容填报，不得擅自调整材料和设备名称型号规格、单位、风险系数、基准单价。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3.12 投标报价表格按本工程工程量清单表格要求填写，并应按招标文件的要求，附上《工程量清单综合单价分析表》（表-09）和《主要清单项目工料机分析表》（表-10）。 </w:t>
      </w:r>
    </w:p>
    <w:p>
      <w:pPr>
        <w:widowControl/>
        <w:spacing w:line="5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未尽事宜详见本工程招标工程量清单、招标控制价编制说明以及现行《计价规范》等有关规定执行。</w:t>
      </w:r>
    </w:p>
    <w:p>
      <w:pPr>
        <w:spacing w:line="560" w:lineRule="exact"/>
        <w:ind w:firstLine="420" w:firstLineChars="200"/>
        <w:jc w:val="center"/>
      </w:pPr>
      <w:r>
        <w:br w:type="page"/>
      </w:r>
    </w:p>
    <w:p>
      <w:pPr>
        <w:pStyle w:val="3"/>
        <w:spacing w:line="560" w:lineRule="exact"/>
        <w:ind w:firstLine="883" w:firstLineChars="200"/>
        <w:jc w:val="center"/>
        <w:rPr>
          <w:rFonts w:asciiTheme="minorEastAsia" w:hAnsiTheme="minorEastAsia" w:eastAsiaTheme="minorEastAsia"/>
        </w:rPr>
      </w:pPr>
      <w:bookmarkStart w:id="228" w:name="_Toc358569764"/>
      <w:bookmarkStart w:id="229" w:name="_Toc389065345"/>
      <w:bookmarkStart w:id="230" w:name="_Toc493793540"/>
      <w:r>
        <w:rPr>
          <w:rFonts w:hint="eastAsia" w:asciiTheme="minorEastAsia" w:hAnsiTheme="minorEastAsia" w:eastAsiaTheme="minorEastAsia"/>
        </w:rPr>
        <w:t>第二卷</w:t>
      </w:r>
      <w:bookmarkEnd w:id="228"/>
      <w:bookmarkEnd w:id="229"/>
      <w:bookmarkEnd w:id="230"/>
    </w:p>
    <w:p>
      <w:pPr>
        <w:spacing w:line="560" w:lineRule="exact"/>
        <w:ind w:firstLine="420" w:firstLineChars="200"/>
        <w:rPr>
          <w:rFonts w:asciiTheme="minorEastAsia" w:hAnsiTheme="minorEastAsia" w:eastAsiaTheme="minorEastAsia"/>
        </w:rPr>
      </w:pPr>
    </w:p>
    <w:p>
      <w:pPr>
        <w:pStyle w:val="3"/>
        <w:ind w:firstLine="883" w:firstLineChars="200"/>
        <w:jc w:val="center"/>
        <w:rPr>
          <w:rFonts w:asciiTheme="minorEastAsia" w:hAnsiTheme="minorEastAsia" w:eastAsiaTheme="minorEastAsia"/>
        </w:rPr>
      </w:pPr>
      <w:bookmarkStart w:id="231" w:name="_Toc493793541"/>
      <w:bookmarkStart w:id="232" w:name="_Toc389065346"/>
      <w:bookmarkStart w:id="233" w:name="_Toc358569765"/>
      <w:r>
        <w:rPr>
          <w:rFonts w:hint="eastAsia" w:asciiTheme="minorEastAsia" w:hAnsiTheme="minorEastAsia" w:eastAsiaTheme="minorEastAsia"/>
        </w:rPr>
        <w:t>第六章</w:t>
      </w:r>
      <w:r>
        <w:rPr>
          <w:rFonts w:asciiTheme="minorEastAsia" w:hAnsiTheme="minorEastAsia" w:eastAsiaTheme="minorEastAsia"/>
        </w:rPr>
        <w:t xml:space="preserve"> </w:t>
      </w:r>
      <w:r>
        <w:rPr>
          <w:rFonts w:hint="eastAsia" w:asciiTheme="minorEastAsia" w:hAnsiTheme="minorEastAsia" w:eastAsiaTheme="minorEastAsia"/>
        </w:rPr>
        <w:t>图</w:t>
      </w:r>
      <w:r>
        <w:rPr>
          <w:rFonts w:asciiTheme="minorEastAsia" w:hAnsiTheme="minorEastAsia" w:eastAsiaTheme="minorEastAsia"/>
        </w:rPr>
        <w:t xml:space="preserve">  </w:t>
      </w:r>
      <w:r>
        <w:rPr>
          <w:rFonts w:hint="eastAsia" w:asciiTheme="minorEastAsia" w:hAnsiTheme="minorEastAsia" w:eastAsiaTheme="minorEastAsia"/>
        </w:rPr>
        <w:t>纸</w:t>
      </w:r>
      <w:bookmarkEnd w:id="231"/>
      <w:bookmarkEnd w:id="232"/>
      <w:bookmarkEnd w:id="233"/>
    </w:p>
    <w:p>
      <w:pPr>
        <w:spacing w:line="360" w:lineRule="auto"/>
        <w:ind w:firstLine="640" w:firstLineChars="200"/>
        <w:jc w:val="center"/>
        <w:rPr>
          <w:rFonts w:asciiTheme="minorEastAsia" w:hAnsiTheme="minorEastAsia" w:eastAsiaTheme="minorEastAsia"/>
          <w:b/>
          <w:sz w:val="32"/>
          <w:szCs w:val="32"/>
        </w:rPr>
      </w:pPr>
      <w:r>
        <w:rPr>
          <w:rFonts w:asciiTheme="minorEastAsia" w:hAnsiTheme="minorEastAsia" w:eastAsiaTheme="minorEastAsia"/>
          <w:sz w:val="32"/>
          <w:szCs w:val="32"/>
        </w:rPr>
        <w:t xml:space="preserve"> </w:t>
      </w:r>
      <w:r>
        <w:rPr>
          <w:rFonts w:hint="eastAsia" w:asciiTheme="minorEastAsia" w:hAnsiTheme="minorEastAsia" w:eastAsiaTheme="minorEastAsia"/>
          <w:b/>
          <w:sz w:val="32"/>
          <w:szCs w:val="32"/>
        </w:rPr>
        <w:t>（另册发放）</w:t>
      </w:r>
    </w:p>
    <w:p>
      <w:pPr>
        <w:spacing w:line="560" w:lineRule="exact"/>
        <w:ind w:firstLine="880" w:firstLineChars="200"/>
        <w:rPr>
          <w:rFonts w:asciiTheme="minorEastAsia" w:hAnsiTheme="minorEastAsia" w:eastAsiaTheme="minorEastAsia"/>
        </w:rPr>
      </w:pPr>
      <w:r>
        <w:rPr>
          <w:rFonts w:asciiTheme="minorEastAsia" w:hAnsiTheme="minorEastAsia" w:eastAsiaTheme="minorEastAsia"/>
          <w:sz w:val="44"/>
          <w:szCs w:val="44"/>
        </w:rPr>
        <w:br w:type="page"/>
      </w:r>
    </w:p>
    <w:p>
      <w:pPr>
        <w:pStyle w:val="3"/>
        <w:spacing w:line="560" w:lineRule="exact"/>
        <w:ind w:firstLine="883" w:firstLineChars="200"/>
        <w:jc w:val="center"/>
        <w:rPr>
          <w:rFonts w:asciiTheme="minorEastAsia" w:hAnsiTheme="minorEastAsia" w:eastAsiaTheme="minorEastAsia"/>
        </w:rPr>
      </w:pPr>
      <w:bookmarkStart w:id="234" w:name="_Toc389065347"/>
      <w:bookmarkStart w:id="235" w:name="_Toc493793542"/>
      <w:bookmarkStart w:id="236" w:name="_Toc358569766"/>
      <w:r>
        <w:rPr>
          <w:rFonts w:hint="eastAsia" w:asciiTheme="minorEastAsia" w:hAnsiTheme="minorEastAsia" w:eastAsiaTheme="minorEastAsia"/>
        </w:rPr>
        <w:t>第三卷</w:t>
      </w:r>
      <w:bookmarkEnd w:id="234"/>
      <w:bookmarkEnd w:id="235"/>
      <w:bookmarkEnd w:id="236"/>
    </w:p>
    <w:p>
      <w:pPr>
        <w:spacing w:line="560" w:lineRule="exact"/>
        <w:rPr>
          <w:rFonts w:asciiTheme="minorEastAsia" w:hAnsiTheme="minorEastAsia" w:eastAsiaTheme="minorEastAsia"/>
        </w:rPr>
      </w:pPr>
    </w:p>
    <w:p>
      <w:pPr>
        <w:pStyle w:val="3"/>
        <w:spacing w:line="560" w:lineRule="exact"/>
        <w:ind w:firstLine="883" w:firstLineChars="200"/>
        <w:jc w:val="center"/>
        <w:rPr>
          <w:rFonts w:asciiTheme="minorEastAsia" w:hAnsiTheme="minorEastAsia" w:eastAsiaTheme="minorEastAsia"/>
          <w:szCs w:val="21"/>
        </w:rPr>
      </w:pPr>
      <w:bookmarkStart w:id="237" w:name="_Toc493793543"/>
      <w:bookmarkStart w:id="238" w:name="_Toc389065348"/>
      <w:bookmarkStart w:id="239" w:name="_Toc358569767"/>
      <w:r>
        <w:rPr>
          <w:rFonts w:hint="eastAsia" w:asciiTheme="minorEastAsia" w:hAnsiTheme="minorEastAsia" w:eastAsiaTheme="minorEastAsia"/>
        </w:rPr>
        <w:t>第七章</w:t>
      </w:r>
      <w:r>
        <w:rPr>
          <w:rFonts w:asciiTheme="minorEastAsia" w:hAnsiTheme="minorEastAsia" w:eastAsiaTheme="minorEastAsia"/>
        </w:rPr>
        <w:t xml:space="preserve"> </w:t>
      </w:r>
      <w:r>
        <w:rPr>
          <w:rFonts w:hint="eastAsia" w:asciiTheme="minorEastAsia" w:hAnsiTheme="minorEastAsia" w:eastAsiaTheme="minorEastAsia"/>
        </w:rPr>
        <w:t>技术标准和要求</w:t>
      </w:r>
      <w:bookmarkEnd w:id="237"/>
      <w:bookmarkEnd w:id="238"/>
      <w:bookmarkEnd w:id="239"/>
      <w:bookmarkStart w:id="240" w:name="_Toc349555826"/>
      <w:bookmarkStart w:id="241" w:name="_Toc349557651"/>
    </w:p>
    <w:p>
      <w:pPr>
        <w:spacing w:line="560" w:lineRule="exact"/>
        <w:ind w:firstLine="420" w:firstLineChars="200"/>
        <w:jc w:val="center"/>
        <w:rPr>
          <w:rFonts w:asciiTheme="minorEastAsia" w:hAnsiTheme="minorEastAsia" w:eastAsiaTheme="minorEastAsia"/>
          <w:szCs w:val="21"/>
        </w:rPr>
      </w:pPr>
    </w:p>
    <w:bookmarkEnd w:id="240"/>
    <w:bookmarkEnd w:id="241"/>
    <w:p>
      <w:pPr>
        <w:spacing w:line="560" w:lineRule="exact"/>
        <w:ind w:left="359" w:leftChars="171" w:firstLine="420" w:firstLineChars="200"/>
        <w:rPr>
          <w:rFonts w:asciiTheme="minorEastAsia" w:hAnsiTheme="minorEastAsia" w:eastAsiaTheme="minorEastAsia"/>
        </w:rPr>
      </w:pPr>
      <w:r>
        <w:rPr>
          <w:rFonts w:hint="eastAsia" w:asciiTheme="minorEastAsia" w:hAnsiTheme="minorEastAsia" w:eastAsiaTheme="minorEastAsia"/>
          <w:szCs w:val="21"/>
        </w:rPr>
        <w:t>一、本工程应该认真按照设计施工图纸的要求进行施工，同时也要严格执行工业与民用建筑工程和安装工程各专业相关的现行标准和技术规范。</w:t>
      </w:r>
    </w:p>
    <w:p>
      <w:pPr>
        <w:spacing w:line="560" w:lineRule="exact"/>
        <w:ind w:left="359" w:leftChars="171" w:firstLine="420" w:firstLineChars="200"/>
        <w:rPr>
          <w:rFonts w:asciiTheme="minorEastAsia" w:hAnsiTheme="minorEastAsia" w:eastAsiaTheme="minorEastAsia"/>
        </w:rPr>
      </w:pPr>
      <w:r>
        <w:rPr>
          <w:rFonts w:hint="eastAsia" w:asciiTheme="minorEastAsia" w:hAnsiTheme="minorEastAsia" w:eastAsiaTheme="minorEastAsia"/>
        </w:rPr>
        <w:t>二、另中标方应遵循下列法律、法规及行业的有关规定和技术要求对本项目配电设备进行安装：</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1.</w:t>
      </w:r>
      <w:r>
        <w:rPr>
          <w:rFonts w:asciiTheme="minorEastAsia" w:hAnsiTheme="minorEastAsia" w:eastAsiaTheme="minorEastAsia"/>
        </w:rPr>
        <w:tab/>
      </w:r>
      <w:r>
        <w:rPr>
          <w:rFonts w:hint="eastAsia" w:asciiTheme="minorEastAsia" w:hAnsiTheme="minorEastAsia" w:eastAsiaTheme="minorEastAsia"/>
        </w:rPr>
        <w:t>有关国家法律：</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1)</w:t>
      </w:r>
      <w:r>
        <w:rPr>
          <w:rFonts w:asciiTheme="minorEastAsia" w:hAnsiTheme="minorEastAsia" w:eastAsiaTheme="minorEastAsia"/>
        </w:rPr>
        <w:tab/>
      </w:r>
      <w:r>
        <w:rPr>
          <w:rFonts w:hint="eastAsia" w:asciiTheme="minorEastAsia" w:hAnsiTheme="minorEastAsia" w:eastAsiaTheme="minorEastAsia"/>
        </w:rPr>
        <w:t>《中华人民共和国建筑法》</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rPr>
        <w:tab/>
      </w:r>
      <w:r>
        <w:rPr>
          <w:rFonts w:hint="eastAsia" w:asciiTheme="minorEastAsia" w:hAnsiTheme="minorEastAsia" w:eastAsiaTheme="minorEastAsia"/>
        </w:rPr>
        <w:t>《中华人民共和国消防法》</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rPr>
        <w:tab/>
      </w:r>
      <w:r>
        <w:rPr>
          <w:rFonts w:hint="eastAsia" w:asciiTheme="minorEastAsia" w:hAnsiTheme="minorEastAsia" w:eastAsiaTheme="minorEastAsia"/>
        </w:rPr>
        <w:t>《中华人民共和国劳动法》</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rPr>
        <w:tab/>
      </w:r>
      <w:r>
        <w:rPr>
          <w:rFonts w:hint="eastAsia" w:asciiTheme="minorEastAsia" w:hAnsiTheme="minorEastAsia" w:eastAsiaTheme="minorEastAsia"/>
        </w:rPr>
        <w:t>施工验收规范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1)</w:t>
      </w:r>
      <w:r>
        <w:rPr>
          <w:rFonts w:asciiTheme="minorEastAsia" w:hAnsiTheme="minorEastAsia" w:eastAsiaTheme="minorEastAsia"/>
        </w:rPr>
        <w:tab/>
      </w:r>
      <w:r>
        <w:rPr>
          <w:rFonts w:hint="eastAsia" w:asciiTheme="minorEastAsia" w:hAnsiTheme="minorEastAsia" w:eastAsiaTheme="minorEastAsia"/>
        </w:rPr>
        <w:t>《建筑工程施工质量验收统一标准》</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rPr>
        <w:tab/>
      </w:r>
      <w:r>
        <w:rPr>
          <w:rFonts w:hint="eastAsia" w:asciiTheme="minorEastAsia" w:hAnsiTheme="minorEastAsia" w:eastAsiaTheme="minorEastAsia"/>
        </w:rPr>
        <w:t>《建筑装修装饰工程施工质量验收规范》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rPr>
        <w:tab/>
      </w:r>
      <w:r>
        <w:rPr>
          <w:rFonts w:hint="eastAsia" w:asciiTheme="minorEastAsia" w:hAnsiTheme="minorEastAsia" w:eastAsiaTheme="minorEastAsia"/>
        </w:rPr>
        <w:t>《施工现场临时用电安全技术规范》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rPr>
        <w:tab/>
      </w:r>
      <w:r>
        <w:rPr>
          <w:rFonts w:hint="eastAsia" w:asciiTheme="minorEastAsia" w:hAnsiTheme="minorEastAsia" w:eastAsiaTheme="minorEastAsia"/>
        </w:rPr>
        <w:t>安全生产规范、规程标准</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1)</w:t>
      </w:r>
      <w:r>
        <w:rPr>
          <w:rFonts w:asciiTheme="minorEastAsia" w:hAnsiTheme="minorEastAsia" w:eastAsiaTheme="minorEastAsia"/>
        </w:rPr>
        <w:tab/>
      </w:r>
      <w:r>
        <w:rPr>
          <w:rFonts w:hint="eastAsia" w:asciiTheme="minorEastAsia" w:hAnsiTheme="minorEastAsia" w:eastAsiaTheme="minorEastAsia"/>
        </w:rPr>
        <w:t>国务院《建筑安装工程安全技术规程》</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rPr>
        <w:tab/>
      </w:r>
      <w:r>
        <w:rPr>
          <w:rFonts w:hint="eastAsia" w:asciiTheme="minorEastAsia" w:hAnsiTheme="minorEastAsia" w:eastAsiaTheme="minorEastAsia"/>
        </w:rPr>
        <w:t>国务院《关于技术安全事故行政责任追究的规定》</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rPr>
        <w:tab/>
      </w:r>
      <w:r>
        <w:rPr>
          <w:rFonts w:hint="eastAsia" w:asciiTheme="minorEastAsia" w:hAnsiTheme="minorEastAsia" w:eastAsiaTheme="minorEastAsia"/>
        </w:rPr>
        <w:t>建设部《建筑施工高处作业安全技术规范》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4)</w:t>
      </w:r>
      <w:r>
        <w:rPr>
          <w:rFonts w:asciiTheme="minorEastAsia" w:hAnsiTheme="minorEastAsia" w:eastAsiaTheme="minorEastAsia"/>
        </w:rPr>
        <w:tab/>
      </w:r>
      <w:r>
        <w:rPr>
          <w:rFonts w:hint="eastAsia" w:asciiTheme="minorEastAsia" w:hAnsiTheme="minorEastAsia" w:eastAsiaTheme="minorEastAsia"/>
        </w:rPr>
        <w:t>建设部《建筑机械使用安全技术规范》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5)</w:t>
      </w:r>
      <w:r>
        <w:rPr>
          <w:rFonts w:asciiTheme="minorEastAsia" w:hAnsiTheme="minorEastAsia" w:eastAsiaTheme="minorEastAsia"/>
        </w:rPr>
        <w:tab/>
      </w:r>
      <w:r>
        <w:rPr>
          <w:rFonts w:hint="eastAsia" w:asciiTheme="minorEastAsia" w:hAnsiTheme="minorEastAsia" w:eastAsiaTheme="minorEastAsia"/>
        </w:rPr>
        <w:t>建设部《施工现场临时用电安全技术规范》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6)</w:t>
      </w:r>
      <w:r>
        <w:rPr>
          <w:rFonts w:asciiTheme="minorEastAsia" w:hAnsiTheme="minorEastAsia" w:eastAsiaTheme="minorEastAsia"/>
        </w:rPr>
        <w:tab/>
      </w:r>
      <w:r>
        <w:rPr>
          <w:rFonts w:hint="eastAsia" w:asciiTheme="minorEastAsia" w:hAnsiTheme="minorEastAsia" w:eastAsiaTheme="minorEastAsia"/>
        </w:rPr>
        <w:t>建设部《建筑施工安全检查技术规范》</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7)</w:t>
      </w:r>
      <w:r>
        <w:rPr>
          <w:rFonts w:asciiTheme="minorEastAsia" w:hAnsiTheme="minorEastAsia" w:eastAsiaTheme="minorEastAsia"/>
        </w:rPr>
        <w:tab/>
      </w:r>
      <w:r>
        <w:rPr>
          <w:rFonts w:hint="eastAsia" w:asciiTheme="minorEastAsia" w:hAnsiTheme="minorEastAsia" w:eastAsiaTheme="minorEastAsia"/>
        </w:rPr>
        <w:t>建设部《建筑安全监督管理规定》</w:t>
      </w:r>
    </w:p>
    <w:p>
      <w:pPr>
        <w:spacing w:line="560" w:lineRule="exact"/>
        <w:ind w:left="430" w:firstLine="420" w:firstLineChars="200"/>
        <w:rPr>
          <w:rFonts w:asciiTheme="minorEastAsia" w:hAnsiTheme="minorEastAsia" w:eastAsiaTheme="minorEastAsia"/>
        </w:rPr>
      </w:pPr>
      <w:r>
        <w:rPr>
          <w:rFonts w:asciiTheme="minorEastAsia" w:hAnsiTheme="minorEastAsia" w:eastAsiaTheme="minorEastAsia"/>
        </w:rPr>
        <w:t>8)</w:t>
      </w:r>
      <w:r>
        <w:rPr>
          <w:rFonts w:asciiTheme="minorEastAsia" w:hAnsiTheme="minorEastAsia" w:eastAsiaTheme="minorEastAsia"/>
        </w:rPr>
        <w:tab/>
      </w:r>
      <w:r>
        <w:rPr>
          <w:rFonts w:hint="eastAsia" w:asciiTheme="minorEastAsia" w:hAnsiTheme="minorEastAsia" w:eastAsiaTheme="minorEastAsia"/>
        </w:rPr>
        <w:t>建设部《建筑工程施工现场管理规定》</w:t>
      </w:r>
    </w:p>
    <w:p>
      <w:pPr>
        <w:spacing w:line="560" w:lineRule="exact"/>
        <w:ind w:left="430" w:firstLine="420" w:firstLineChars="200"/>
        <w:rPr>
          <w:rFonts w:asciiTheme="minorEastAsia" w:hAnsiTheme="minorEastAsia" w:eastAsiaTheme="minorEastAsia"/>
        </w:rPr>
      </w:pPr>
      <w:r>
        <w:rPr>
          <w:rFonts w:hint="eastAsia" w:asciiTheme="minorEastAsia" w:hAnsiTheme="minorEastAsia" w:eastAsiaTheme="minorEastAsia"/>
        </w:rPr>
        <w:t>上述规范、标准、规程仅是本工程建筑安装的最基本依据，并未包括实施中所涉及到的所有规定、标准和规程。在施工中对于上述未尽事宜，按国家和地方现行的规定执行。如有不明确或不一致之处，以标准要求高的规范为准。</w:t>
      </w:r>
    </w:p>
    <w:p>
      <w:pPr>
        <w:spacing w:line="560" w:lineRule="exact"/>
        <w:ind w:left="430" w:firstLine="420" w:firstLineChars="200"/>
        <w:rPr>
          <w:rFonts w:asciiTheme="minorEastAsia" w:hAnsiTheme="minorEastAsia" w:eastAsiaTheme="minorEastAsia"/>
        </w:rPr>
      </w:pPr>
    </w:p>
    <w:p>
      <w:pPr>
        <w:spacing w:line="560" w:lineRule="exact"/>
        <w:ind w:left="430" w:firstLine="420" w:firstLineChars="200"/>
        <w:rPr>
          <w:rFonts w:asciiTheme="minorEastAsia" w:hAnsiTheme="minorEastAsia" w:eastAsiaTheme="minorEastAsia"/>
        </w:rPr>
      </w:pPr>
    </w:p>
    <w:p>
      <w:pPr>
        <w:pStyle w:val="3"/>
        <w:spacing w:line="560" w:lineRule="exact"/>
        <w:ind w:firstLine="883" w:firstLineChars="200"/>
        <w:jc w:val="center"/>
        <w:rPr>
          <w:rFonts w:asciiTheme="minorEastAsia" w:hAnsiTheme="minorEastAsia" w:eastAsiaTheme="minorEastAsia"/>
        </w:rPr>
      </w:pPr>
      <w:bookmarkStart w:id="242" w:name="_Toc389065349"/>
      <w:bookmarkStart w:id="243" w:name="_Toc358569768"/>
      <w:bookmarkStart w:id="244" w:name="_Toc493793544"/>
    </w:p>
    <w:p>
      <w:pPr>
        <w:pStyle w:val="3"/>
        <w:spacing w:line="560" w:lineRule="exact"/>
        <w:ind w:firstLine="883" w:firstLineChars="200"/>
        <w:jc w:val="center"/>
        <w:rPr>
          <w:rFonts w:asciiTheme="minorEastAsia" w:hAnsiTheme="minorEastAsia" w:eastAsiaTheme="minorEastAsia"/>
        </w:rPr>
      </w:pPr>
    </w:p>
    <w:p>
      <w:pPr>
        <w:pStyle w:val="3"/>
        <w:spacing w:line="560" w:lineRule="exact"/>
        <w:ind w:firstLine="883" w:firstLineChars="200"/>
        <w:jc w:val="center"/>
        <w:rPr>
          <w:rFonts w:asciiTheme="minorEastAsia" w:hAnsiTheme="minorEastAsia" w:eastAsiaTheme="minorEastAsia"/>
        </w:rPr>
      </w:pPr>
    </w:p>
    <w:p>
      <w:pPr>
        <w:spacing w:line="560" w:lineRule="exact"/>
        <w:ind w:firstLine="420" w:firstLineChars="200"/>
        <w:jc w:val="center"/>
        <w:rPr>
          <w:rFonts w:asciiTheme="minorEastAsia" w:hAnsiTheme="minorEastAsia" w:eastAsiaTheme="minorEastAsia"/>
        </w:rPr>
      </w:pPr>
      <w:r>
        <w:rPr>
          <w:rFonts w:hint="eastAsia" w:asciiTheme="minorEastAsia" w:hAnsiTheme="minorEastAsia" w:eastAsiaTheme="minorEastAsia"/>
        </w:rPr>
        <w:br w:type="page"/>
      </w:r>
    </w:p>
    <w:p>
      <w:pPr>
        <w:pStyle w:val="3"/>
        <w:spacing w:line="560" w:lineRule="exact"/>
        <w:ind w:firstLine="883" w:firstLineChars="200"/>
        <w:jc w:val="center"/>
        <w:rPr>
          <w:rFonts w:asciiTheme="minorEastAsia" w:hAnsiTheme="minorEastAsia" w:eastAsiaTheme="minorEastAsia"/>
        </w:rPr>
      </w:pPr>
      <w:r>
        <w:rPr>
          <w:rFonts w:hint="eastAsia" w:asciiTheme="minorEastAsia" w:hAnsiTheme="minorEastAsia" w:eastAsiaTheme="minorEastAsia"/>
        </w:rPr>
        <w:t>第四卷</w:t>
      </w:r>
      <w:bookmarkEnd w:id="242"/>
      <w:bookmarkEnd w:id="243"/>
      <w:bookmarkEnd w:id="244"/>
    </w:p>
    <w:p>
      <w:pPr>
        <w:spacing w:line="560" w:lineRule="exact"/>
        <w:ind w:firstLine="420" w:firstLineChars="200"/>
        <w:rPr>
          <w:rFonts w:asciiTheme="minorEastAsia" w:hAnsiTheme="minorEastAsia" w:eastAsiaTheme="minorEastAsia"/>
        </w:rPr>
      </w:pPr>
    </w:p>
    <w:p>
      <w:pPr>
        <w:pStyle w:val="3"/>
        <w:spacing w:line="560" w:lineRule="exact"/>
        <w:ind w:firstLine="883" w:firstLineChars="200"/>
        <w:jc w:val="center"/>
        <w:rPr>
          <w:rFonts w:asciiTheme="minorEastAsia" w:hAnsiTheme="minorEastAsia" w:eastAsiaTheme="minorEastAsia"/>
        </w:rPr>
      </w:pPr>
      <w:bookmarkStart w:id="245" w:name="_Toc493793545"/>
      <w:bookmarkStart w:id="246" w:name="_Toc358569769"/>
      <w:bookmarkStart w:id="247" w:name="_Toc389065350"/>
      <w:r>
        <w:rPr>
          <w:rFonts w:hint="eastAsia" w:asciiTheme="minorEastAsia" w:hAnsiTheme="minorEastAsia" w:eastAsiaTheme="minorEastAsia"/>
        </w:rPr>
        <w:t>第八章</w:t>
      </w:r>
      <w:r>
        <w:rPr>
          <w:rFonts w:asciiTheme="minorEastAsia" w:hAnsiTheme="minorEastAsia" w:eastAsiaTheme="minorEastAsia"/>
        </w:rPr>
        <w:t xml:space="preserve"> </w:t>
      </w:r>
      <w:r>
        <w:rPr>
          <w:rFonts w:hint="eastAsia" w:asciiTheme="minorEastAsia" w:hAnsiTheme="minorEastAsia" w:eastAsiaTheme="minorEastAsia"/>
        </w:rPr>
        <w:t>投标文件格式</w:t>
      </w:r>
      <w:bookmarkEnd w:id="245"/>
      <w:bookmarkEnd w:id="246"/>
      <w:bookmarkEnd w:id="247"/>
    </w:p>
    <w:p>
      <w:pPr>
        <w:spacing w:line="560" w:lineRule="exact"/>
        <w:ind w:firstLine="640" w:firstLineChars="200"/>
        <w:rPr>
          <w:rFonts w:asciiTheme="minorEastAsia" w:hAnsiTheme="minorEastAsia" w:eastAsiaTheme="minorEastAsia"/>
          <w:sz w:val="32"/>
          <w:szCs w:val="32"/>
        </w:rPr>
      </w:pP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28"/>
          <w:szCs w:val="28"/>
        </w:rPr>
        <w:t>（项目名称）施工招标</w:t>
      </w:r>
    </w:p>
    <w:p>
      <w:pPr>
        <w:spacing w:line="560" w:lineRule="exact"/>
        <w:ind w:firstLine="560" w:firstLineChars="200"/>
        <w:jc w:val="center"/>
        <w:rPr>
          <w:rFonts w:asciiTheme="minorEastAsia" w:hAnsiTheme="minorEastAsia" w:eastAsiaTheme="minorEastAsia"/>
          <w:sz w:val="28"/>
          <w:szCs w:val="28"/>
        </w:rPr>
      </w:pPr>
    </w:p>
    <w:p>
      <w:pPr>
        <w:spacing w:beforeLines="100" w:line="560" w:lineRule="exact"/>
        <w:ind w:firstLine="1040" w:firstLineChars="20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投</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标</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文</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件</w:t>
      </w: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2520" w:firstLineChars="9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项目招标编号：</w:t>
      </w:r>
      <w:r>
        <w:rPr>
          <w:rFonts w:asciiTheme="minorEastAsia" w:hAnsiTheme="minorEastAsia" w:eastAsiaTheme="minorEastAsia"/>
          <w:sz w:val="28"/>
          <w:szCs w:val="28"/>
          <w:u w:val="single"/>
        </w:rPr>
        <w:t xml:space="preserve">                   </w:t>
      </w: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w:t>
      </w:r>
      <w:r>
        <w:rPr>
          <w:rFonts w:asciiTheme="minorEastAsia" w:hAnsiTheme="minorEastAsia" w:eastAsiaTheme="minorEastAsia"/>
          <w:sz w:val="32"/>
          <w:szCs w:val="32"/>
        </w:rPr>
        <w:t>/</w:t>
      </w:r>
      <w:r>
        <w:rPr>
          <w:rFonts w:hint="eastAsia" w:asciiTheme="minorEastAsia" w:hAnsiTheme="minorEastAsia" w:eastAsiaTheme="minorEastAsia"/>
          <w:sz w:val="32"/>
          <w:szCs w:val="32"/>
        </w:rPr>
        <w:t>副本）</w:t>
      </w:r>
    </w:p>
    <w:p>
      <w:pPr>
        <w:spacing w:line="560" w:lineRule="exact"/>
        <w:ind w:firstLine="640" w:firstLineChars="200"/>
        <w:jc w:val="center"/>
        <w:rPr>
          <w:rFonts w:asciiTheme="minorEastAsia" w:hAnsiTheme="minorEastAsia" w:eastAsiaTheme="minorEastAsia"/>
          <w:sz w:val="32"/>
          <w:szCs w:val="32"/>
        </w:rPr>
      </w:pPr>
    </w:p>
    <w:p>
      <w:pPr>
        <w:spacing w:line="560" w:lineRule="exact"/>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投标内容：</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资格审查部分</w:t>
      </w:r>
      <w:r>
        <w:rPr>
          <w:rFonts w:asciiTheme="minorEastAsia" w:hAnsiTheme="minorEastAsia" w:eastAsiaTheme="minorEastAsia"/>
          <w:sz w:val="28"/>
          <w:szCs w:val="28"/>
          <w:u w:val="single"/>
        </w:rPr>
        <w:t xml:space="preserve">           </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（盖单位章）</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p>
    <w:p>
      <w:pPr>
        <w:spacing w:line="560" w:lineRule="exact"/>
        <w:ind w:firstLine="560" w:firstLineChars="200"/>
        <w:jc w:val="center"/>
        <w:rPr>
          <w:rFonts w:asciiTheme="minorEastAsia" w:hAnsiTheme="minorEastAsia" w:eastAsiaTheme="minorEastAsia"/>
          <w:sz w:val="28"/>
          <w:szCs w:val="28"/>
        </w:rPr>
      </w:pPr>
    </w:p>
    <w:p>
      <w:pPr>
        <w:spacing w:line="560" w:lineRule="exact"/>
        <w:ind w:firstLine="560" w:firstLineChars="200"/>
        <w:jc w:val="center"/>
        <w:rPr>
          <w:rFonts w:asciiTheme="minorEastAsia" w:hAnsiTheme="minorEastAsia" w:eastAsiaTheme="minorEastAsia"/>
          <w:sz w:val="28"/>
          <w:szCs w:val="28"/>
        </w:rPr>
      </w:pPr>
    </w:p>
    <w:p>
      <w:pPr>
        <w:spacing w:line="560" w:lineRule="exact"/>
        <w:ind w:firstLine="560" w:firstLineChars="200"/>
        <w:jc w:val="center"/>
        <w:outlineLvl w:val="0"/>
        <w:rPr>
          <w:rFonts w:asciiTheme="minorEastAsia" w:hAnsiTheme="minorEastAsia" w:eastAsiaTheme="minorEastAsia"/>
          <w:sz w:val="28"/>
          <w:szCs w:val="28"/>
        </w:rPr>
      </w:pP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spacing w:beforeLines="100" w:afterLines="100" w:line="560" w:lineRule="exact"/>
        <w:ind w:firstLine="560" w:firstLineChars="200"/>
        <w:jc w:val="center"/>
        <w:outlineLvl w:val="1"/>
        <w:rPr>
          <w:rFonts w:asciiTheme="minorEastAsia" w:hAnsiTheme="minorEastAsia" w:eastAsiaTheme="minorEastAsia"/>
          <w:b/>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b/>
          <w:sz w:val="28"/>
          <w:szCs w:val="28"/>
        </w:rPr>
        <w:t>目</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录</w:t>
      </w:r>
    </w:p>
    <w:p>
      <w:pPr>
        <w:snapToGrid w:val="0"/>
        <w:spacing w:beforeLines="100" w:afterLines="100" w:line="560" w:lineRule="exact"/>
        <w:ind w:firstLine="562" w:firstLineChars="200"/>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（应附有页码）</w:t>
      </w:r>
    </w:p>
    <w:p>
      <w:pPr>
        <w:tabs>
          <w:tab w:val="left" w:pos="826"/>
        </w:tabs>
        <w:snapToGrid w:val="0"/>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rPr>
        <w:t>1</w:t>
      </w:r>
      <w:r>
        <w:rPr>
          <w:rFonts w:hint="eastAsia" w:asciiTheme="minorEastAsia" w:hAnsiTheme="minorEastAsia" w:eastAsiaTheme="minorEastAsia"/>
        </w:rPr>
        <w:t>、法定代表人身份证明原件及身份证复印件（法定代表人签署投标文件时提供）或者投标文件签署授权委托书（原件），附：法定代表人身份证明</w:t>
      </w:r>
      <w:r>
        <w:rPr>
          <w:rFonts w:hint="eastAsia" w:asciiTheme="minorEastAsia" w:hAnsiTheme="minorEastAsia" w:eastAsiaTheme="minorEastAsia"/>
          <w:szCs w:val="21"/>
        </w:rPr>
        <w:t>及身份证、</w:t>
      </w:r>
      <w:r>
        <w:rPr>
          <w:rFonts w:hint="eastAsia" w:asciiTheme="minorEastAsia" w:hAnsiTheme="minorEastAsia" w:eastAsiaTheme="minorEastAsia"/>
        </w:rPr>
        <w:t>委托代理的专职投标员身份证等材料的复印件（委托代理人签署投标文件时提供）；</w:t>
      </w:r>
    </w:p>
    <w:p>
      <w:pPr>
        <w:tabs>
          <w:tab w:val="left" w:pos="826"/>
        </w:tabs>
        <w:snapToGrid w:val="0"/>
        <w:spacing w:line="56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、投标人基本情况表，附：附已录入广西建筑业企业诚信信息库的有效的企业法人营业执照、企业资质证书副本和安全生产许可证副本等的诚信库页面打印文件并加盖投标人公章；</w:t>
      </w:r>
    </w:p>
    <w:p>
      <w:pPr>
        <w:tabs>
          <w:tab w:val="left" w:pos="826"/>
        </w:tabs>
        <w:snapToGrid w:val="0"/>
        <w:spacing w:line="560" w:lineRule="exact"/>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、投标保证金收据（如有）的复印件（原件核查）、银行转帐（或电汇）底单复印件（原件核查）、基本账户开户许可证（采用银行转账或电汇方式提交投标保证金时提供）；</w:t>
      </w:r>
    </w:p>
    <w:p>
      <w:pPr>
        <w:tabs>
          <w:tab w:val="left" w:pos="826"/>
        </w:tabs>
        <w:snapToGrid w:val="0"/>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、建设工程项目管理承诺书；</w:t>
      </w:r>
    </w:p>
    <w:p>
      <w:pPr>
        <w:tabs>
          <w:tab w:val="left" w:pos="826"/>
        </w:tabs>
        <w:snapToGrid w:val="0"/>
        <w:spacing w:line="5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项目经理简历表；（附已录入广西建筑业企业诚信信息库的有效的证明材料（注册建造师执业资格证和安全生产考核合格证书在诚信库页面打印文件）；</w:t>
      </w:r>
    </w:p>
    <w:p>
      <w:pPr>
        <w:tabs>
          <w:tab w:val="left" w:pos="826"/>
        </w:tabs>
        <w:snapToGrid w:val="0"/>
        <w:spacing w:line="5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rPr>
        <w:t>项目技术负责人简历表（附已录入广西建筑业企业诚信信息库的职称证书的扫描件）；</w:t>
      </w:r>
    </w:p>
    <w:p>
      <w:pPr>
        <w:tabs>
          <w:tab w:val="left" w:pos="826"/>
        </w:tabs>
        <w:snapToGrid w:val="0"/>
        <w:spacing w:line="5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7、</w:t>
      </w:r>
      <w:r>
        <w:rPr>
          <w:rFonts w:hint="eastAsia" w:asciiTheme="minorEastAsia" w:hAnsiTheme="minorEastAsia" w:eastAsiaTheme="minorEastAsia"/>
        </w:rPr>
        <w:t>已录入广西建筑业企业诚信信息库的安全员的安全生产考核合格证书（C类）的扫描件；</w:t>
      </w:r>
    </w:p>
    <w:p>
      <w:pPr>
        <w:tabs>
          <w:tab w:val="left" w:pos="826"/>
        </w:tabs>
        <w:snapToGrid w:val="0"/>
        <w:spacing w:line="5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8、</w:t>
      </w:r>
      <w:r>
        <w:rPr>
          <w:rFonts w:hint="eastAsia" w:asciiTheme="minorEastAsia" w:hAnsiTheme="minorEastAsia" w:eastAsiaTheme="minorEastAsia"/>
        </w:rPr>
        <w:t>专职投标员、项目经理、技术负责人和主要管理人员2020年1月-2020年3月在现任职单位依法缴纳社会保险的证明材料；</w:t>
      </w:r>
    </w:p>
    <w:p>
      <w:pPr>
        <w:tabs>
          <w:tab w:val="left" w:pos="826"/>
        </w:tabs>
        <w:snapToGrid w:val="0"/>
        <w:spacing w:line="5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9、</w:t>
      </w:r>
      <w:r>
        <w:rPr>
          <w:rFonts w:hint="eastAsia" w:asciiTheme="minorEastAsia" w:hAnsiTheme="minorEastAsia" w:eastAsiaTheme="minorEastAsia"/>
        </w:rPr>
        <w:t>项目经理无在建项目承诺书；</w:t>
      </w:r>
    </w:p>
    <w:p>
      <w:pPr>
        <w:tabs>
          <w:tab w:val="left" w:pos="826"/>
        </w:tabs>
        <w:snapToGrid w:val="0"/>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10</w:t>
      </w:r>
      <w:r>
        <w:rPr>
          <w:rFonts w:hint="eastAsia" w:asciiTheme="minorEastAsia" w:hAnsiTheme="minorEastAsia" w:eastAsiaTheme="minorEastAsia"/>
        </w:rPr>
        <w:t>资格审查需要的其他材料：项目管理机构配备情况表、拟投入施工机械设备情况表、企业近年已完成类似项目一览表、企业近年财务状况表、近年发生的诉讼和仲裁情况等。</w:t>
      </w:r>
    </w:p>
    <w:p>
      <w:pPr>
        <w:spacing w:line="560" w:lineRule="exact"/>
        <w:ind w:firstLine="420" w:firstLineChars="200"/>
        <w:rPr>
          <w:rFonts w:asciiTheme="minorEastAsia" w:hAnsiTheme="minorEastAsia" w:eastAsiaTheme="minorEastAsia"/>
        </w:rPr>
      </w:pPr>
    </w:p>
    <w:p>
      <w:pPr>
        <w:spacing w:line="560" w:lineRule="exact"/>
        <w:ind w:firstLine="420" w:firstLineChars="200"/>
        <w:jc w:val="center"/>
        <w:rPr>
          <w:rFonts w:asciiTheme="minorEastAsia" w:hAnsiTheme="minorEastAsia" w:eastAsiaTheme="minorEastAsia"/>
          <w:b/>
          <w:sz w:val="28"/>
          <w:szCs w:val="28"/>
        </w:rPr>
      </w:pPr>
      <w:r>
        <w:rPr>
          <w:rFonts w:asciiTheme="minorEastAsia" w:hAnsiTheme="minorEastAsia" w:eastAsiaTheme="minorEastAsia"/>
          <w:szCs w:val="21"/>
        </w:rPr>
        <w:br w:type="page"/>
      </w:r>
      <w:bookmarkStart w:id="248" w:name="_Toc251051976"/>
      <w:bookmarkStart w:id="249" w:name="_Toc349555831"/>
      <w:bookmarkStart w:id="250" w:name="_Toc349215544"/>
      <w:bookmarkStart w:id="251" w:name="_Toc158458008"/>
      <w:bookmarkStart w:id="252" w:name="_Toc163270989"/>
      <w:bookmarkStart w:id="253" w:name="_Toc173558684"/>
      <w:r>
        <w:rPr>
          <w:rFonts w:asciiTheme="minorEastAsia" w:hAnsiTheme="minorEastAsia" w:eastAsiaTheme="minorEastAsia"/>
          <w:b/>
          <w:sz w:val="28"/>
          <w:szCs w:val="28"/>
        </w:rPr>
        <w:t>1</w:t>
      </w:r>
      <w:r>
        <w:rPr>
          <w:rFonts w:hint="eastAsia" w:asciiTheme="minorEastAsia" w:hAnsiTheme="minorEastAsia" w:eastAsiaTheme="minorEastAsia"/>
          <w:b/>
          <w:sz w:val="28"/>
          <w:szCs w:val="28"/>
        </w:rPr>
        <w:t>、投标文件签署授权委托书</w:t>
      </w:r>
      <w:bookmarkEnd w:id="248"/>
      <w:bookmarkEnd w:id="249"/>
      <w:bookmarkEnd w:id="250"/>
    </w:p>
    <w:p>
      <w:pPr>
        <w:spacing w:after="156" w:line="560" w:lineRule="exact"/>
        <w:ind w:firstLine="422" w:firstLineChars="200"/>
        <w:rPr>
          <w:rFonts w:asciiTheme="minorEastAsia" w:hAnsiTheme="minorEastAsia" w:eastAsiaTheme="minorEastAsia"/>
          <w:b/>
        </w:rPr>
      </w:pPr>
    </w:p>
    <w:p>
      <w:pPr>
        <w:spacing w:line="560" w:lineRule="exact"/>
        <w:ind w:firstLine="420" w:firstLineChars="200"/>
        <w:rPr>
          <w:rFonts w:asciiTheme="minorEastAsia" w:hAnsiTheme="minorEastAsia" w:eastAsiaTheme="minorEastAsia"/>
        </w:rPr>
      </w:pPr>
      <w:bookmarkStart w:id="254" w:name="_Toc251051977"/>
      <w:r>
        <w:rPr>
          <w:rFonts w:hint="eastAsia" w:asciiTheme="minorEastAsia" w:hAnsiTheme="minorEastAsia" w:eastAsiaTheme="minorEastAsia"/>
        </w:rPr>
        <w:t>本授权委托书声明：我</w:t>
      </w:r>
      <w:r>
        <w:rPr>
          <w:rFonts w:hint="eastAsia" w:cs="宋体"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asciiTheme="minorEastAsia" w:hAnsiTheme="minorEastAsia" w:eastAsiaTheme="minorEastAsia"/>
        </w:rPr>
        <w:t>（姓名）系</w:t>
      </w:r>
      <w:r>
        <w:rPr>
          <w:rFonts w:asciiTheme="minorEastAsia" w:hAnsiTheme="minorEastAsia" w:eastAsiaTheme="minorEastAsia"/>
          <w:u w:val="single"/>
        </w:rPr>
        <w:t xml:space="preserve">                     </w:t>
      </w:r>
      <w:r>
        <w:rPr>
          <w:rFonts w:hint="eastAsia" w:asciiTheme="minorEastAsia" w:hAnsiTheme="minorEastAsia" w:eastAsiaTheme="minorEastAsia"/>
        </w:rPr>
        <w:t>（投标人名称）的法定代表人，现授权委托</w:t>
      </w:r>
      <w:r>
        <w:rPr>
          <w:rFonts w:asciiTheme="minorEastAsia" w:hAnsiTheme="minorEastAsia" w:eastAsiaTheme="minorEastAsia"/>
          <w:u w:val="single"/>
        </w:rPr>
        <w:t xml:space="preserve">                      </w:t>
      </w:r>
      <w:r>
        <w:rPr>
          <w:rFonts w:hint="eastAsia" w:asciiTheme="minorEastAsia" w:hAnsiTheme="minorEastAsia" w:eastAsiaTheme="minorEastAsia"/>
        </w:rPr>
        <w:t>（单位名称）的</w:t>
      </w:r>
      <w:r>
        <w:rPr>
          <w:rFonts w:asciiTheme="minorEastAsia" w:hAnsiTheme="minorEastAsia" w:eastAsiaTheme="minorEastAsia"/>
          <w:u w:val="single"/>
        </w:rPr>
        <w:t xml:space="preserve">          </w:t>
      </w:r>
      <w:r>
        <w:rPr>
          <w:rFonts w:hint="eastAsia" w:asciiTheme="minorEastAsia" w:hAnsiTheme="minorEastAsia" w:eastAsiaTheme="minorEastAsia"/>
        </w:rPr>
        <w:t>（姓名）为我公司签署</w:t>
      </w:r>
      <w:r>
        <w:rPr>
          <w:rFonts w:asciiTheme="minorEastAsia" w:hAnsiTheme="minorEastAsia" w:eastAsiaTheme="minorEastAsia"/>
          <w:u w:val="single"/>
        </w:rPr>
        <w:t xml:space="preserve">              </w:t>
      </w:r>
      <w:r>
        <w:rPr>
          <w:rFonts w:hint="eastAsia" w:asciiTheme="minorEastAsia" w:hAnsiTheme="minorEastAsia" w:eastAsiaTheme="minorEastAsia"/>
        </w:rPr>
        <w:t>（项目名称及项目招标编号）的投标文件的法定代表人授权委托代理人，我承认代理人全权代表我所签署的本工程的投标文件的内容。</w:t>
      </w:r>
      <w:bookmarkEnd w:id="254"/>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bookmarkStart w:id="255" w:name="_Toc251051978"/>
      <w:r>
        <w:rPr>
          <w:rFonts w:hint="eastAsia" w:asciiTheme="minorEastAsia" w:hAnsiTheme="minorEastAsia" w:eastAsiaTheme="minorEastAsia"/>
        </w:rPr>
        <w:t>代理人无转委托权，特此委托。</w:t>
      </w:r>
      <w:bookmarkEnd w:id="255"/>
    </w:p>
    <w:p>
      <w:pPr>
        <w:spacing w:line="560" w:lineRule="exact"/>
        <w:ind w:left="1260" w:firstLine="420" w:firstLineChars="200"/>
        <w:rPr>
          <w:rFonts w:asciiTheme="minorEastAsia" w:hAnsiTheme="minorEastAsia" w:eastAsiaTheme="minorEastAsia"/>
        </w:rPr>
      </w:pPr>
    </w:p>
    <w:p>
      <w:pPr>
        <w:spacing w:line="560" w:lineRule="exact"/>
        <w:ind w:left="1260" w:firstLine="420" w:firstLineChars="200"/>
        <w:rPr>
          <w:rFonts w:asciiTheme="minorEastAsia" w:hAnsiTheme="minorEastAsia" w:eastAsiaTheme="minorEastAsia"/>
        </w:rPr>
      </w:pPr>
    </w:p>
    <w:p>
      <w:pPr>
        <w:spacing w:line="560" w:lineRule="exact"/>
        <w:ind w:left="1260" w:firstLine="420" w:firstLineChars="200"/>
        <w:rPr>
          <w:rFonts w:asciiTheme="minorEastAsia" w:hAnsiTheme="minorEastAsia" w:eastAsiaTheme="minorEastAsia"/>
        </w:rPr>
      </w:pPr>
    </w:p>
    <w:p>
      <w:pPr>
        <w:spacing w:line="560" w:lineRule="exact"/>
        <w:ind w:left="1260" w:firstLine="420" w:firstLineChars="200"/>
        <w:rPr>
          <w:rFonts w:asciiTheme="minorEastAsia" w:hAnsiTheme="minorEastAsia" w:eastAsiaTheme="minorEastAsia"/>
        </w:rPr>
      </w:pPr>
    </w:p>
    <w:p>
      <w:pPr>
        <w:spacing w:line="560" w:lineRule="exact"/>
        <w:ind w:left="1260" w:firstLine="420" w:firstLineChars="200"/>
        <w:rPr>
          <w:rFonts w:asciiTheme="minorEastAsia" w:hAnsiTheme="minorEastAsia" w:eastAsiaTheme="minorEastAsia"/>
        </w:rPr>
      </w:pPr>
    </w:p>
    <w:p>
      <w:pPr>
        <w:spacing w:line="560" w:lineRule="exact"/>
        <w:ind w:left="2699" w:firstLine="420" w:firstLineChars="200"/>
        <w:rPr>
          <w:rFonts w:asciiTheme="minorEastAsia" w:hAnsiTheme="minorEastAsia" w:eastAsiaTheme="minorEastAsia"/>
          <w:u w:val="single"/>
        </w:rPr>
      </w:pPr>
      <w:bookmarkStart w:id="256" w:name="_Toc251051979"/>
      <w:r>
        <w:rPr>
          <w:rFonts w:hint="eastAsia" w:asciiTheme="minorEastAsia" w:hAnsiTheme="minorEastAsia" w:eastAsiaTheme="minorEastAsia"/>
        </w:rPr>
        <w:t>代理人：</w:t>
      </w:r>
      <w:r>
        <w:rPr>
          <w:rFonts w:asciiTheme="minorEastAsia" w:hAnsiTheme="minorEastAsia" w:eastAsiaTheme="minorEastAsia"/>
          <w:u w:val="single"/>
        </w:rPr>
        <w:t xml:space="preserve">              </w:t>
      </w:r>
      <w:r>
        <w:rPr>
          <w:rFonts w:hint="eastAsia" w:asciiTheme="minorEastAsia" w:hAnsiTheme="minorEastAsia" w:eastAsiaTheme="minorEastAsia"/>
        </w:rPr>
        <w:t>性别</w:t>
      </w:r>
      <w:r>
        <w:rPr>
          <w:rFonts w:asciiTheme="minorEastAsia" w:hAnsiTheme="minorEastAsia" w:eastAsiaTheme="minorEastAsia"/>
        </w:rPr>
        <w:t xml:space="preserve"> </w:t>
      </w:r>
      <w:r>
        <w:rPr>
          <w:rFonts w:hint="eastAsia" w:asciiTheme="minorEastAsia" w:hAnsiTheme="minorEastAsia" w:eastAsiaTheme="minorEastAsia"/>
        </w:rPr>
        <w:t>：</w:t>
      </w:r>
      <w:r>
        <w:rPr>
          <w:rFonts w:asciiTheme="minorEastAsia" w:hAnsiTheme="minorEastAsia" w:eastAsiaTheme="minorEastAsia"/>
          <w:u w:val="single"/>
        </w:rPr>
        <w:t xml:space="preserve">            </w:t>
      </w:r>
      <w:r>
        <w:rPr>
          <w:rFonts w:hint="eastAsia" w:asciiTheme="minorEastAsia" w:hAnsiTheme="minorEastAsia" w:eastAsiaTheme="minorEastAsia"/>
        </w:rPr>
        <w:t>年龄：</w:t>
      </w:r>
      <w:r>
        <w:rPr>
          <w:rFonts w:asciiTheme="minorEastAsia" w:hAnsiTheme="minorEastAsia" w:eastAsiaTheme="minorEastAsia"/>
        </w:rPr>
        <w:t>_______</w:t>
      </w:r>
      <w:bookmarkEnd w:id="256"/>
    </w:p>
    <w:p>
      <w:pPr>
        <w:spacing w:line="560" w:lineRule="exact"/>
        <w:ind w:left="2699" w:firstLine="420" w:firstLineChars="200"/>
        <w:rPr>
          <w:rFonts w:asciiTheme="minorEastAsia" w:hAnsiTheme="minorEastAsia" w:eastAsiaTheme="minorEastAsia"/>
        </w:rPr>
      </w:pPr>
      <w:bookmarkStart w:id="257" w:name="_Toc251051980"/>
      <w:r>
        <w:rPr>
          <w:rFonts w:hint="eastAsia" w:asciiTheme="minorEastAsia" w:hAnsiTheme="minorEastAsia" w:eastAsiaTheme="minorEastAsia"/>
        </w:rPr>
        <w:t>身份证号码：</w:t>
      </w:r>
      <w:r>
        <w:rPr>
          <w:rFonts w:asciiTheme="minorEastAsia" w:hAnsiTheme="minorEastAsia" w:eastAsiaTheme="minorEastAsia"/>
          <w:u w:val="single"/>
        </w:rPr>
        <w:t xml:space="preserve">                    </w:t>
      </w:r>
      <w:r>
        <w:rPr>
          <w:rFonts w:hint="eastAsia" w:asciiTheme="minorEastAsia" w:hAnsiTheme="minorEastAsia" w:eastAsiaTheme="minorEastAsia"/>
        </w:rPr>
        <w:t>职务：</w:t>
      </w:r>
      <w:bookmarkEnd w:id="257"/>
      <w:r>
        <w:rPr>
          <w:rFonts w:asciiTheme="minorEastAsia" w:hAnsiTheme="minorEastAsia" w:eastAsiaTheme="minorEastAsia"/>
          <w:u w:val="single"/>
        </w:rPr>
        <w:t xml:space="preserve">                </w:t>
      </w:r>
      <w:r>
        <w:rPr>
          <w:rFonts w:asciiTheme="minorEastAsia" w:hAnsiTheme="minorEastAsia" w:eastAsiaTheme="minorEastAsia"/>
        </w:rPr>
        <w:t xml:space="preserve"> </w:t>
      </w:r>
    </w:p>
    <w:p>
      <w:pPr>
        <w:spacing w:line="560" w:lineRule="exact"/>
        <w:ind w:left="2699" w:firstLine="420" w:firstLineChars="200"/>
        <w:rPr>
          <w:rFonts w:asciiTheme="minorEastAsia" w:hAnsiTheme="minorEastAsia" w:eastAsiaTheme="minorEastAsia"/>
        </w:rPr>
      </w:pPr>
    </w:p>
    <w:p>
      <w:pPr>
        <w:spacing w:line="560" w:lineRule="exact"/>
        <w:ind w:left="2699" w:firstLine="420" w:firstLineChars="200"/>
        <w:rPr>
          <w:rFonts w:asciiTheme="minorEastAsia" w:hAnsiTheme="minorEastAsia" w:eastAsiaTheme="minorEastAsia"/>
        </w:rPr>
      </w:pPr>
      <w:bookmarkStart w:id="258" w:name="_Toc251051981"/>
      <w:r>
        <w:rPr>
          <w:rFonts w:hint="eastAsia" w:asciiTheme="minorEastAsia" w:hAnsiTheme="minorEastAsia" w:eastAsiaTheme="minorEastAsia"/>
        </w:rPr>
        <w:t>投标人：</w:t>
      </w:r>
      <w:r>
        <w:rPr>
          <w:rFonts w:asciiTheme="minorEastAsia" w:hAnsiTheme="minorEastAsia" w:eastAsiaTheme="minorEastAsia"/>
          <w:u w:val="single"/>
        </w:rPr>
        <w:t xml:space="preserve">                                  </w:t>
      </w:r>
      <w:r>
        <w:rPr>
          <w:rFonts w:hint="eastAsia" w:asciiTheme="minorEastAsia" w:hAnsiTheme="minorEastAsia" w:eastAsiaTheme="minorEastAsia"/>
          <w:u w:val="single"/>
        </w:rPr>
        <w:t>（盖单位章）</w:t>
      </w:r>
      <w:bookmarkEnd w:id="258"/>
    </w:p>
    <w:p>
      <w:pPr>
        <w:spacing w:line="560" w:lineRule="exact"/>
        <w:ind w:left="2699" w:firstLine="420" w:firstLineChars="200"/>
        <w:rPr>
          <w:rFonts w:asciiTheme="minorEastAsia" w:hAnsiTheme="minorEastAsia" w:eastAsiaTheme="minorEastAsia"/>
        </w:rPr>
      </w:pPr>
      <w:bookmarkStart w:id="259" w:name="_Toc251051982"/>
      <w:r>
        <w:rPr>
          <w:rFonts w:hint="eastAsia" w:asciiTheme="minorEastAsia" w:hAnsiTheme="minorEastAsia" w:eastAsiaTheme="minorEastAsia"/>
        </w:rPr>
        <w:t>法定代表人：</w:t>
      </w:r>
      <w:r>
        <w:rPr>
          <w:rFonts w:asciiTheme="minorEastAsia" w:hAnsiTheme="minorEastAsia" w:eastAsiaTheme="minorEastAsia"/>
          <w:u w:val="single"/>
        </w:rPr>
        <w:t xml:space="preserve">                            </w:t>
      </w:r>
      <w:r>
        <w:rPr>
          <w:rFonts w:hint="eastAsia" w:asciiTheme="minorEastAsia" w:hAnsiTheme="minorEastAsia" w:eastAsiaTheme="minorEastAsia"/>
          <w:u w:val="single"/>
        </w:rPr>
        <w:t>（签字或盖章）</w:t>
      </w:r>
      <w:bookmarkEnd w:id="259"/>
    </w:p>
    <w:p>
      <w:pPr>
        <w:spacing w:line="560" w:lineRule="exact"/>
        <w:ind w:left="2699" w:firstLine="420" w:firstLineChars="200"/>
        <w:rPr>
          <w:rFonts w:asciiTheme="minorEastAsia" w:hAnsiTheme="minorEastAsia" w:eastAsiaTheme="minorEastAsia"/>
        </w:rPr>
      </w:pPr>
      <w:bookmarkStart w:id="260" w:name="_Toc251051983"/>
      <w:r>
        <w:rPr>
          <w:rFonts w:hint="eastAsia" w:asciiTheme="minorEastAsia" w:hAnsiTheme="minorEastAsia" w:eastAsiaTheme="minorEastAsia"/>
        </w:rPr>
        <w:t>授权委托日期：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asciiTheme="minorEastAsia" w:hAnsiTheme="minorEastAsia" w:eastAsiaTheme="minorEastAsia"/>
          <w:szCs w:val="21"/>
        </w:rPr>
        <w:t xml:space="preserve"> </w:t>
      </w:r>
      <w:bookmarkEnd w:id="260"/>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【备注：附法定代表人身份证明及其身份证、专职投标员身份证等材料的复印件。以上复印件均须加盖投标人单位公章】</w:t>
      </w:r>
    </w:p>
    <w:p>
      <w:pPr>
        <w:spacing w:beforeLines="50" w:afterLines="100" w:line="560" w:lineRule="exact"/>
        <w:ind w:firstLine="420" w:firstLineChars="200"/>
        <w:rPr>
          <w:rFonts w:asciiTheme="minorEastAsia" w:hAnsiTheme="minorEastAsia" w:eastAsiaTheme="minorEastAsia"/>
        </w:rPr>
      </w:pPr>
    </w:p>
    <w:p>
      <w:pPr>
        <w:spacing w:beforeLines="50" w:afterLines="100" w:line="560" w:lineRule="exact"/>
        <w:ind w:firstLine="420" w:firstLineChars="200"/>
        <w:rPr>
          <w:rFonts w:asciiTheme="minorEastAsia" w:hAnsiTheme="minorEastAsia" w:eastAsiaTheme="minorEastAsia"/>
        </w:rPr>
      </w:pPr>
    </w:p>
    <w:p>
      <w:pPr>
        <w:spacing w:line="560" w:lineRule="exact"/>
        <w:outlineLvl w:val="1"/>
        <w:rPr>
          <w:rFonts w:asciiTheme="minorEastAsia" w:hAnsiTheme="minorEastAsia" w:eastAsiaTheme="minorEastAsia"/>
          <w:b/>
          <w:sz w:val="28"/>
          <w:szCs w:val="28"/>
        </w:rPr>
      </w:pPr>
      <w:r>
        <w:rPr>
          <w:rFonts w:hint="eastAsia" w:asciiTheme="minorEastAsia" w:hAnsiTheme="minorEastAsia" w:eastAsiaTheme="minorEastAsia"/>
        </w:rPr>
        <w:t xml:space="preserve">                                </w:t>
      </w:r>
      <w:bookmarkEnd w:id="251"/>
      <w:bookmarkEnd w:id="252"/>
      <w:bookmarkEnd w:id="253"/>
      <w:r>
        <w:rPr>
          <w:rFonts w:hint="eastAsia" w:asciiTheme="minorEastAsia" w:hAnsiTheme="minorEastAsia" w:eastAsiaTheme="minorEastAsia"/>
          <w:b/>
          <w:sz w:val="28"/>
          <w:szCs w:val="28"/>
        </w:rPr>
        <w:t>法定代表人身份证明</w:t>
      </w:r>
    </w:p>
    <w:p>
      <w:pPr>
        <w:jc w:val="left"/>
      </w:pP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w:t>
      </w:r>
      <w:r>
        <w:rPr>
          <w:rFonts w:asciiTheme="minorEastAsia" w:hAnsiTheme="minorEastAsia" w:eastAsiaTheme="minorEastAsia"/>
          <w:szCs w:val="21"/>
        </w:rPr>
        <w:t xml:space="preserve"> </w:t>
      </w:r>
      <w:r>
        <w:rPr>
          <w:rFonts w:hint="eastAsia" w:asciiTheme="minorEastAsia" w:hAnsiTheme="minorEastAsia" w:eastAsiaTheme="minorEastAsia"/>
          <w:szCs w:val="21"/>
        </w:rPr>
        <w:t>标</w:t>
      </w:r>
      <w:r>
        <w:rPr>
          <w:rFonts w:asciiTheme="minorEastAsia" w:hAnsiTheme="minorEastAsia" w:eastAsiaTheme="minorEastAsia"/>
          <w:szCs w:val="21"/>
        </w:rPr>
        <w:t xml:space="preserve"> </w:t>
      </w:r>
      <w:r>
        <w:rPr>
          <w:rFonts w:hint="eastAsia" w:asciiTheme="minorEastAsia" w:hAnsiTheme="minorEastAsia" w:eastAsiaTheme="minorEastAsia"/>
          <w:szCs w:val="21"/>
        </w:rPr>
        <w:t>人：</w:t>
      </w:r>
      <w:r>
        <w:rPr>
          <w:rFonts w:asciiTheme="minorEastAsia" w:hAnsiTheme="minorEastAsia" w:eastAsiaTheme="minorEastAsia"/>
          <w:szCs w:val="21"/>
          <w:u w:val="single"/>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单位性质：</w:t>
      </w:r>
      <w:r>
        <w:rPr>
          <w:rFonts w:asciiTheme="minorEastAsia" w:hAnsiTheme="minorEastAsia" w:eastAsiaTheme="minorEastAsia"/>
          <w:szCs w:val="21"/>
          <w:u w:val="single"/>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w:t>
      </w:r>
      <w:r>
        <w:rPr>
          <w:rFonts w:asciiTheme="minorEastAsia" w:hAnsiTheme="minorEastAsia" w:eastAsiaTheme="minorEastAsia"/>
          <w:szCs w:val="21"/>
        </w:rPr>
        <w:t xml:space="preserve">    </w:t>
      </w:r>
      <w:r>
        <w:rPr>
          <w:rFonts w:hint="eastAsia" w:asciiTheme="minorEastAsia" w:hAnsiTheme="minorEastAsia" w:eastAsiaTheme="minorEastAsia"/>
          <w:szCs w:val="21"/>
        </w:rPr>
        <w:t>址：</w:t>
      </w:r>
      <w:r>
        <w:rPr>
          <w:rFonts w:asciiTheme="minorEastAsia" w:hAnsiTheme="minorEastAsia" w:eastAsiaTheme="minorEastAsia"/>
          <w:szCs w:val="21"/>
          <w:u w:val="single"/>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经营期限：</w:t>
      </w:r>
      <w:r>
        <w:rPr>
          <w:rFonts w:asciiTheme="minorEastAsia" w:hAnsiTheme="minorEastAsia" w:eastAsiaTheme="minorEastAsia"/>
          <w:szCs w:val="21"/>
          <w:u w:val="single"/>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姓</w:t>
      </w:r>
      <w:r>
        <w:rPr>
          <w:rFonts w:asciiTheme="minorEastAsia" w:hAnsiTheme="minorEastAsia" w:eastAsiaTheme="minorEastAsia"/>
          <w:szCs w:val="21"/>
        </w:rPr>
        <w:t xml:space="preserve">    </w:t>
      </w:r>
      <w:r>
        <w:rPr>
          <w:rFonts w:hint="eastAsia" w:asciiTheme="minorEastAsia" w:hAnsiTheme="minorEastAsia" w:eastAsiaTheme="minorEastAsia"/>
          <w:szCs w:val="21"/>
        </w:rPr>
        <w:t>名：</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性</w:t>
      </w:r>
      <w:r>
        <w:rPr>
          <w:rFonts w:asciiTheme="minorEastAsia" w:hAnsiTheme="minorEastAsia" w:eastAsiaTheme="minorEastAsia"/>
          <w:szCs w:val="21"/>
        </w:rPr>
        <w:t xml:space="preserve">     </w:t>
      </w:r>
      <w:r>
        <w:rPr>
          <w:rFonts w:hint="eastAsia" w:asciiTheme="minorEastAsia" w:hAnsiTheme="minorEastAsia" w:eastAsiaTheme="minorEastAsia"/>
          <w:szCs w:val="21"/>
        </w:rPr>
        <w:t>别：</w:t>
      </w:r>
      <w:r>
        <w:rPr>
          <w:rFonts w:asciiTheme="minorEastAsia" w:hAnsiTheme="minorEastAsia" w:eastAsiaTheme="minorEastAsia"/>
          <w:szCs w:val="21"/>
          <w:u w:val="single"/>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龄：</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（投标人名称）的法定代表人。</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特此证明。</w:t>
      </w:r>
    </w:p>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szCs w:val="21"/>
        </w:rPr>
      </w:pPr>
    </w:p>
    <w:p>
      <w:pPr>
        <w:wordWrap w:val="0"/>
        <w:spacing w:line="560" w:lineRule="exact"/>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（盖单位章）</w:t>
      </w:r>
    </w:p>
    <w:p>
      <w:pPr>
        <w:wordWrap w:val="0"/>
        <w:spacing w:line="560" w:lineRule="exact"/>
        <w:ind w:firstLine="420" w:firstLineChars="200"/>
        <w:jc w:val="righ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560" w:lineRule="exact"/>
        <w:ind w:firstLine="420" w:firstLineChars="200"/>
        <w:jc w:val="center"/>
        <w:rPr>
          <w:rFonts w:asciiTheme="minorEastAsia" w:hAnsiTheme="minorEastAsia" w:eastAsiaTheme="minorEastAsia"/>
          <w:szCs w:val="21"/>
        </w:rPr>
      </w:pPr>
    </w:p>
    <w:p>
      <w:pPr>
        <w:spacing w:line="560" w:lineRule="exact"/>
        <w:ind w:firstLine="420" w:firstLineChars="200"/>
        <w:jc w:val="center"/>
        <w:rPr>
          <w:rFonts w:asciiTheme="minorEastAsia" w:hAnsiTheme="minorEastAsia" w:eastAsiaTheme="minorEastAsia"/>
          <w:szCs w:val="21"/>
        </w:rPr>
      </w:pPr>
    </w:p>
    <w:p>
      <w:pPr>
        <w:spacing w:line="560" w:lineRule="exact"/>
        <w:ind w:firstLine="420" w:firstLineChars="200"/>
        <w:jc w:val="center"/>
        <w:rPr>
          <w:rFonts w:asciiTheme="minorEastAsia" w:hAnsiTheme="minorEastAsia" w:eastAsiaTheme="minorEastAsia"/>
          <w:sz w:val="24"/>
        </w:rPr>
      </w:pPr>
      <w:r>
        <w:rPr>
          <w:rFonts w:asciiTheme="minorEastAsia" w:hAnsiTheme="minorEastAsia" w:eastAsiaTheme="minorEastAsia"/>
          <w:szCs w:val="21"/>
        </w:rPr>
        <w:br w:type="page"/>
      </w:r>
      <w:r>
        <w:rPr>
          <w:rFonts w:asciiTheme="minorEastAsia" w:hAnsiTheme="minorEastAsia" w:eastAsiaTheme="minorEastAsia"/>
          <w:b/>
          <w:sz w:val="28"/>
          <w:szCs w:val="28"/>
        </w:rPr>
        <w:t>2</w:t>
      </w:r>
      <w:r>
        <w:rPr>
          <w:rFonts w:hint="eastAsia" w:asciiTheme="minorEastAsia" w:hAnsiTheme="minorEastAsia" w:eastAsiaTheme="minorEastAsia"/>
          <w:b/>
          <w:sz w:val="28"/>
          <w:szCs w:val="28"/>
        </w:rPr>
        <w:t>、投标人基本情况表</w:t>
      </w:r>
    </w:p>
    <w:tbl>
      <w:tblPr>
        <w:tblStyle w:val="3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投标人名称</w:t>
            </w:r>
          </w:p>
        </w:tc>
        <w:tc>
          <w:tcPr>
            <w:tcW w:w="7341"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注册地址</w:t>
            </w:r>
          </w:p>
        </w:tc>
        <w:tc>
          <w:tcPr>
            <w:tcW w:w="3389" w:type="dxa"/>
            <w:gridSpan w:val="4"/>
            <w:vAlign w:val="center"/>
          </w:tcPr>
          <w:p>
            <w:pPr>
              <w:jc w:val="center"/>
            </w:pPr>
          </w:p>
        </w:tc>
        <w:tc>
          <w:tcPr>
            <w:tcW w:w="1246" w:type="dxa"/>
            <w:vAlign w:val="center"/>
          </w:tcPr>
          <w:p>
            <w:pPr>
              <w:jc w:val="center"/>
            </w:pPr>
            <w:r>
              <w:rPr>
                <w:rFonts w:hint="eastAsia"/>
              </w:rPr>
              <w:t>邮政编码</w:t>
            </w:r>
          </w:p>
        </w:tc>
        <w:tc>
          <w:tcPr>
            <w:tcW w:w="2706"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pPr>
            <w:r>
              <w:rPr>
                <w:rFonts w:hint="eastAsia"/>
              </w:rPr>
              <w:t>联系方式</w:t>
            </w:r>
          </w:p>
        </w:tc>
        <w:tc>
          <w:tcPr>
            <w:tcW w:w="897" w:type="dxa"/>
            <w:vAlign w:val="center"/>
          </w:tcPr>
          <w:p>
            <w:pPr>
              <w:jc w:val="center"/>
            </w:pPr>
            <w:r>
              <w:rPr>
                <w:rFonts w:hint="eastAsia"/>
              </w:rPr>
              <w:t>联系人</w:t>
            </w:r>
          </w:p>
        </w:tc>
        <w:tc>
          <w:tcPr>
            <w:tcW w:w="2492" w:type="dxa"/>
            <w:gridSpan w:val="3"/>
            <w:vAlign w:val="center"/>
          </w:tcPr>
          <w:p>
            <w:pPr>
              <w:jc w:val="center"/>
            </w:pPr>
          </w:p>
        </w:tc>
        <w:tc>
          <w:tcPr>
            <w:tcW w:w="1246" w:type="dxa"/>
            <w:vAlign w:val="center"/>
          </w:tcPr>
          <w:p>
            <w:pPr>
              <w:jc w:val="center"/>
            </w:pPr>
            <w:r>
              <w:rPr>
                <w:rFonts w:hint="eastAsia"/>
              </w:rPr>
              <w:t>电</w:t>
            </w:r>
            <w:r>
              <w:t xml:space="preserve">  </w:t>
            </w:r>
            <w:r>
              <w:rPr>
                <w:rFonts w:hint="eastAsia"/>
              </w:rPr>
              <w:t>话</w:t>
            </w:r>
          </w:p>
        </w:tc>
        <w:tc>
          <w:tcPr>
            <w:tcW w:w="2706"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pPr>
          </w:p>
        </w:tc>
        <w:tc>
          <w:tcPr>
            <w:tcW w:w="897" w:type="dxa"/>
            <w:vAlign w:val="center"/>
          </w:tcPr>
          <w:p>
            <w:pPr>
              <w:jc w:val="center"/>
            </w:pPr>
            <w:r>
              <w:rPr>
                <w:rFonts w:hint="eastAsia"/>
              </w:rPr>
              <w:t>传</w:t>
            </w:r>
            <w:r>
              <w:t xml:space="preserve">  </w:t>
            </w:r>
            <w:r>
              <w:rPr>
                <w:rFonts w:hint="eastAsia"/>
              </w:rPr>
              <w:t>真</w:t>
            </w:r>
          </w:p>
        </w:tc>
        <w:tc>
          <w:tcPr>
            <w:tcW w:w="2492" w:type="dxa"/>
            <w:gridSpan w:val="3"/>
            <w:vAlign w:val="center"/>
          </w:tcPr>
          <w:p>
            <w:pPr>
              <w:jc w:val="center"/>
            </w:pPr>
          </w:p>
        </w:tc>
        <w:tc>
          <w:tcPr>
            <w:tcW w:w="1246" w:type="dxa"/>
            <w:vAlign w:val="center"/>
          </w:tcPr>
          <w:p>
            <w:pPr>
              <w:jc w:val="center"/>
            </w:pPr>
            <w:r>
              <w:rPr>
                <w:rFonts w:hint="eastAsia"/>
              </w:rPr>
              <w:t>网</w:t>
            </w:r>
            <w:r>
              <w:t xml:space="preserve">  </w:t>
            </w:r>
            <w:r>
              <w:rPr>
                <w:rFonts w:hint="eastAsia"/>
              </w:rPr>
              <w:t>址</w:t>
            </w:r>
          </w:p>
        </w:tc>
        <w:tc>
          <w:tcPr>
            <w:tcW w:w="2706"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26" w:type="dxa"/>
            <w:vAlign w:val="center"/>
          </w:tcPr>
          <w:p>
            <w:pPr>
              <w:jc w:val="center"/>
            </w:pPr>
            <w:r>
              <w:rPr>
                <w:rFonts w:hint="eastAsia"/>
              </w:rPr>
              <w:t>统一社会信用代码</w:t>
            </w:r>
          </w:p>
        </w:tc>
        <w:tc>
          <w:tcPr>
            <w:tcW w:w="7341"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法定代表人</w:t>
            </w:r>
          </w:p>
        </w:tc>
        <w:tc>
          <w:tcPr>
            <w:tcW w:w="897" w:type="dxa"/>
            <w:vAlign w:val="center"/>
          </w:tcPr>
          <w:p>
            <w:pPr>
              <w:jc w:val="center"/>
            </w:pPr>
            <w:r>
              <w:rPr>
                <w:rFonts w:hint="eastAsia"/>
              </w:rPr>
              <w:t>姓名</w:t>
            </w:r>
          </w:p>
        </w:tc>
        <w:tc>
          <w:tcPr>
            <w:tcW w:w="1021" w:type="dxa"/>
            <w:vAlign w:val="center"/>
          </w:tcPr>
          <w:p>
            <w:pPr>
              <w:jc w:val="center"/>
            </w:pPr>
          </w:p>
        </w:tc>
        <w:tc>
          <w:tcPr>
            <w:tcW w:w="1160" w:type="dxa"/>
            <w:vAlign w:val="center"/>
          </w:tcPr>
          <w:p>
            <w:pPr>
              <w:jc w:val="center"/>
            </w:pPr>
            <w:r>
              <w:rPr>
                <w:rFonts w:hint="eastAsia"/>
              </w:rPr>
              <w:t>技术职称</w:t>
            </w:r>
          </w:p>
        </w:tc>
        <w:tc>
          <w:tcPr>
            <w:tcW w:w="1620" w:type="dxa"/>
            <w:gridSpan w:val="3"/>
            <w:vAlign w:val="center"/>
          </w:tcPr>
          <w:p>
            <w:pPr>
              <w:jc w:val="center"/>
            </w:pPr>
          </w:p>
        </w:tc>
        <w:tc>
          <w:tcPr>
            <w:tcW w:w="720" w:type="dxa"/>
            <w:vAlign w:val="center"/>
          </w:tcPr>
          <w:p>
            <w:pPr>
              <w:jc w:val="center"/>
            </w:pPr>
            <w:r>
              <w:rPr>
                <w:rFonts w:hint="eastAsia"/>
              </w:rPr>
              <w:t>电话</w:t>
            </w:r>
          </w:p>
        </w:tc>
        <w:tc>
          <w:tcPr>
            <w:tcW w:w="1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技术负责人</w:t>
            </w:r>
          </w:p>
        </w:tc>
        <w:tc>
          <w:tcPr>
            <w:tcW w:w="897" w:type="dxa"/>
            <w:vAlign w:val="center"/>
          </w:tcPr>
          <w:p>
            <w:pPr>
              <w:jc w:val="center"/>
            </w:pPr>
            <w:r>
              <w:rPr>
                <w:rFonts w:hint="eastAsia"/>
              </w:rPr>
              <w:t>姓名</w:t>
            </w:r>
          </w:p>
        </w:tc>
        <w:tc>
          <w:tcPr>
            <w:tcW w:w="1021" w:type="dxa"/>
            <w:vAlign w:val="center"/>
          </w:tcPr>
          <w:p>
            <w:pPr>
              <w:jc w:val="center"/>
            </w:pPr>
          </w:p>
        </w:tc>
        <w:tc>
          <w:tcPr>
            <w:tcW w:w="1160" w:type="dxa"/>
            <w:vAlign w:val="center"/>
          </w:tcPr>
          <w:p>
            <w:pPr>
              <w:jc w:val="center"/>
            </w:pPr>
            <w:r>
              <w:rPr>
                <w:rFonts w:hint="eastAsia"/>
              </w:rPr>
              <w:t>技术职称</w:t>
            </w:r>
          </w:p>
        </w:tc>
        <w:tc>
          <w:tcPr>
            <w:tcW w:w="1620" w:type="dxa"/>
            <w:gridSpan w:val="3"/>
            <w:vAlign w:val="center"/>
          </w:tcPr>
          <w:p>
            <w:pPr>
              <w:jc w:val="center"/>
            </w:pPr>
          </w:p>
        </w:tc>
        <w:tc>
          <w:tcPr>
            <w:tcW w:w="720" w:type="dxa"/>
            <w:vAlign w:val="center"/>
          </w:tcPr>
          <w:p>
            <w:pPr>
              <w:jc w:val="center"/>
            </w:pPr>
            <w:r>
              <w:rPr>
                <w:rFonts w:hint="eastAsia"/>
              </w:rPr>
              <w:t>电话</w:t>
            </w:r>
          </w:p>
        </w:tc>
        <w:tc>
          <w:tcPr>
            <w:tcW w:w="1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成立时间</w:t>
            </w:r>
          </w:p>
        </w:tc>
        <w:tc>
          <w:tcPr>
            <w:tcW w:w="1918" w:type="dxa"/>
            <w:gridSpan w:val="2"/>
            <w:vAlign w:val="center"/>
          </w:tcPr>
          <w:p>
            <w:pPr>
              <w:jc w:val="center"/>
            </w:pPr>
          </w:p>
        </w:tc>
        <w:tc>
          <w:tcPr>
            <w:tcW w:w="5423" w:type="dxa"/>
            <w:gridSpan w:val="6"/>
            <w:vAlign w:val="center"/>
          </w:tcPr>
          <w:p>
            <w:pPr>
              <w:ind w:firstLine="420" w:firstLineChars="200"/>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资质等级</w:t>
            </w:r>
          </w:p>
        </w:tc>
        <w:tc>
          <w:tcPr>
            <w:tcW w:w="1918" w:type="dxa"/>
            <w:gridSpan w:val="2"/>
            <w:vAlign w:val="center"/>
          </w:tcPr>
          <w:p>
            <w:pPr>
              <w:jc w:val="center"/>
            </w:pPr>
          </w:p>
        </w:tc>
        <w:tc>
          <w:tcPr>
            <w:tcW w:w="1160" w:type="dxa"/>
            <w:vMerge w:val="restart"/>
            <w:vAlign w:val="center"/>
          </w:tcPr>
          <w:p>
            <w:pPr>
              <w:jc w:val="center"/>
            </w:pPr>
            <w:r>
              <w:rPr>
                <w:rFonts w:hint="eastAsia"/>
              </w:rPr>
              <w:t>其中</w:t>
            </w:r>
          </w:p>
        </w:tc>
        <w:tc>
          <w:tcPr>
            <w:tcW w:w="1620" w:type="dxa"/>
            <w:gridSpan w:val="3"/>
            <w:vAlign w:val="center"/>
          </w:tcPr>
          <w:p>
            <w:pPr>
              <w:jc w:val="center"/>
            </w:pPr>
            <w:r>
              <w:rPr>
                <w:rFonts w:hint="eastAsia"/>
              </w:rPr>
              <w:t>项目经理</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26" w:type="dxa"/>
            <w:vAlign w:val="center"/>
          </w:tcPr>
          <w:p>
            <w:pPr>
              <w:jc w:val="center"/>
            </w:pPr>
            <w:r>
              <w:rPr>
                <w:rFonts w:hint="eastAsia"/>
              </w:rPr>
              <w:t>安全生产许可证号</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rPr>
              <w:t>高级职称人员</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注册资金</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rPr>
              <w:t>中级职称人员</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开户银行</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rPr>
              <w:t>初级职称人员</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rPr>
              <w:t>账号</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rPr>
              <w:t>技</w:t>
            </w:r>
            <w:r>
              <w:t xml:space="preserve">  </w:t>
            </w:r>
            <w:r>
              <w:rPr>
                <w:rFonts w:hint="eastAsia"/>
              </w:rPr>
              <w:t>工</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pPr>
            <w:r>
              <w:rPr>
                <w:rFonts w:hint="eastAsia"/>
              </w:rPr>
              <w:t>经营范围</w:t>
            </w:r>
          </w:p>
        </w:tc>
        <w:tc>
          <w:tcPr>
            <w:tcW w:w="7341"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26" w:type="dxa"/>
            <w:vAlign w:val="center"/>
          </w:tcPr>
          <w:p>
            <w:pPr>
              <w:jc w:val="center"/>
            </w:pPr>
            <w:r>
              <w:rPr>
                <w:rFonts w:hint="eastAsia"/>
              </w:rPr>
              <w:t>备注</w:t>
            </w:r>
          </w:p>
        </w:tc>
        <w:tc>
          <w:tcPr>
            <w:tcW w:w="7341" w:type="dxa"/>
            <w:gridSpan w:val="8"/>
            <w:vAlign w:val="center"/>
          </w:tcPr>
          <w:p>
            <w:pPr>
              <w:jc w:val="center"/>
            </w:pPr>
          </w:p>
        </w:tc>
      </w:tr>
    </w:tbl>
    <w:p>
      <w:pPr>
        <w:spacing w:line="560" w:lineRule="exact"/>
        <w:ind w:firstLine="420" w:firstLineChars="200"/>
        <w:rPr>
          <w:rFonts w:asciiTheme="minorEastAsia" w:hAnsiTheme="minorEastAsia" w:eastAsiaTheme="minorEastAsia"/>
          <w:szCs w:val="21"/>
        </w:rPr>
      </w:pPr>
    </w:p>
    <w:p>
      <w:pPr>
        <w:spacing w:line="560" w:lineRule="exact"/>
        <w:ind w:firstLine="420" w:firstLineChars="200"/>
        <w:jc w:val="left"/>
        <w:rPr>
          <w:rFonts w:asciiTheme="minorEastAsia" w:hAnsiTheme="minorEastAsia" w:eastAsiaTheme="minorEastAsia"/>
        </w:rPr>
        <w:sectPr>
          <w:pgSz w:w="11907" w:h="16840"/>
          <w:pgMar w:top="1440" w:right="1070" w:bottom="1440" w:left="1397" w:header="851" w:footer="851" w:gutter="0"/>
          <w:cols w:space="720" w:num="1"/>
          <w:docGrid w:linePitch="312" w:charSpace="0"/>
        </w:sectPr>
      </w:pPr>
      <w:r>
        <w:rPr>
          <w:rFonts w:hint="eastAsia" w:asciiTheme="minorEastAsia" w:hAnsiTheme="minorEastAsia" w:eastAsiaTheme="minorEastAsia"/>
          <w:szCs w:val="21"/>
        </w:rPr>
        <w:t>【</w:t>
      </w:r>
      <w:r>
        <w:rPr>
          <w:rFonts w:hint="eastAsia" w:asciiTheme="minorEastAsia" w:hAnsiTheme="minorEastAsia" w:eastAsiaTheme="minorEastAsia"/>
        </w:rPr>
        <w:t>备注：附已录入广西建筑业企业诚信信息库的有效的企业法人营业执照、企业资质证书副本和安全生产许可证副本等的诚信库页面打印文件并加盖投标人公章】</w:t>
      </w:r>
    </w:p>
    <w:p>
      <w:pPr>
        <w:spacing w:line="560" w:lineRule="exact"/>
        <w:rPr>
          <w:rFonts w:asciiTheme="minorEastAsia" w:hAnsiTheme="minorEastAsia" w:eastAsiaTheme="minorEastAsia"/>
          <w:szCs w:val="21"/>
        </w:rPr>
      </w:pPr>
    </w:p>
    <w:p>
      <w:pPr>
        <w:spacing w:line="560" w:lineRule="exact"/>
        <w:ind w:firstLine="562" w:firstLineChars="200"/>
        <w:jc w:val="left"/>
        <w:rPr>
          <w:rFonts w:asciiTheme="minorEastAsia" w:hAnsiTheme="minorEastAsia" w:eastAsiaTheme="minorEastAsia"/>
          <w:b/>
          <w:sz w:val="28"/>
          <w:szCs w:val="28"/>
        </w:rPr>
      </w:pPr>
      <w:r>
        <w:rPr>
          <w:rFonts w:asciiTheme="minorEastAsia" w:hAnsiTheme="minorEastAsia" w:eastAsiaTheme="minorEastAsia"/>
          <w:b/>
          <w:sz w:val="28"/>
          <w:szCs w:val="28"/>
        </w:rPr>
        <w:t>3</w:t>
      </w:r>
      <w:r>
        <w:rPr>
          <w:rFonts w:hint="eastAsia" w:asciiTheme="minorEastAsia" w:hAnsiTheme="minorEastAsia" w:eastAsiaTheme="minorEastAsia"/>
          <w:b/>
          <w:sz w:val="28"/>
          <w:szCs w:val="28"/>
        </w:rPr>
        <w:t>、银行保函或工程保证担保函或工程保险保函复印件（原件核查）（采用银行保函或工程担保或工程保证保险方式提交投标保证金时提供）或投标保证金收据（如有）的复印件（原件核查）、银行转帐（或电汇）底单复印件（原件核查）、基本账户开户许可证（采用银行转账或电汇方式提交投标保证金时提供）。</w:t>
      </w:r>
    </w:p>
    <w:p>
      <w:pPr>
        <w:spacing w:line="5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【备注：投标保证金收据（如有）、银行转帐（或电汇）的底单（电子转帐的底单原件可采用彩色打印件加盖转账单位公章）、银行保函或工程担保或工程保证保险原件在开标时需带原件核验，】</w:t>
      </w:r>
    </w:p>
    <w:p>
      <w:pPr>
        <w:spacing w:line="560" w:lineRule="exact"/>
        <w:ind w:firstLine="420" w:firstLineChars="200"/>
        <w:jc w:val="left"/>
        <w:rPr>
          <w:rFonts w:asciiTheme="minorEastAsia" w:hAnsiTheme="minorEastAsia" w:eastAsiaTheme="minorEastAsia"/>
          <w:szCs w:val="21"/>
        </w:rPr>
      </w:pPr>
    </w:p>
    <w:p>
      <w:pPr>
        <w:spacing w:line="560" w:lineRule="exact"/>
        <w:ind w:firstLine="562" w:firstLineChars="200"/>
        <w:jc w:val="left"/>
        <w:rPr>
          <w:rFonts w:asciiTheme="minorEastAsia" w:hAnsiTheme="minorEastAsia" w:eastAsiaTheme="minorEastAsia"/>
          <w:b/>
          <w:sz w:val="28"/>
          <w:szCs w:val="28"/>
        </w:rPr>
      </w:pPr>
    </w:p>
    <w:p>
      <w:pPr>
        <w:spacing w:line="560" w:lineRule="exact"/>
        <w:ind w:firstLine="420" w:firstLineChars="200"/>
        <w:jc w:val="center"/>
        <w:rPr>
          <w:rFonts w:asciiTheme="minorEastAsia" w:hAnsiTheme="minorEastAsia" w:eastAsiaTheme="minorEastAsia"/>
          <w:szCs w:val="21"/>
        </w:rPr>
      </w:pPr>
    </w:p>
    <w:p>
      <w:pPr>
        <w:spacing w:line="560" w:lineRule="exact"/>
        <w:ind w:firstLine="420" w:firstLineChars="200"/>
        <w:jc w:val="center"/>
        <w:rPr>
          <w:rFonts w:asciiTheme="minorEastAsia" w:hAnsiTheme="minorEastAsia" w:eastAsiaTheme="minorEastAsia"/>
          <w:szCs w:val="21"/>
        </w:rPr>
        <w:sectPr>
          <w:pgSz w:w="11907" w:h="16840"/>
          <w:pgMar w:top="1440" w:right="1440" w:bottom="1440" w:left="1797" w:header="851" w:footer="851" w:gutter="0"/>
          <w:cols w:space="720" w:num="1"/>
          <w:docGrid w:linePitch="312" w:charSpace="0"/>
        </w:sectPr>
      </w:pPr>
    </w:p>
    <w:p>
      <w:pPr>
        <w:spacing w:line="560" w:lineRule="exact"/>
        <w:ind w:firstLine="562" w:firstLineChars="200"/>
        <w:jc w:val="center"/>
        <w:rPr>
          <w:rFonts w:asciiTheme="minorEastAsia" w:hAnsiTheme="minorEastAsia" w:eastAsiaTheme="minorEastAsia"/>
          <w:b/>
          <w:sz w:val="28"/>
          <w:szCs w:val="28"/>
        </w:rPr>
      </w:pPr>
      <w:bookmarkStart w:id="261" w:name="_Toc332814356"/>
      <w:bookmarkStart w:id="262" w:name="_Toc251051984"/>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、建设工程项目管理承诺书</w:t>
      </w:r>
      <w:bookmarkEnd w:id="261"/>
      <w:bookmarkEnd w:id="262"/>
    </w:p>
    <w:p>
      <w:pPr>
        <w:spacing w:line="560" w:lineRule="exact"/>
        <w:ind w:firstLine="482" w:firstLineChars="200"/>
        <w:jc w:val="center"/>
        <w:rPr>
          <w:rFonts w:asciiTheme="minorEastAsia" w:hAnsiTheme="minorEastAsia" w:eastAsiaTheme="minorEastAsia"/>
          <w:b/>
          <w:bCs/>
          <w:sz w:val="24"/>
        </w:rPr>
      </w:pPr>
    </w:p>
    <w:p>
      <w:pPr>
        <w:spacing w:line="560" w:lineRule="exact"/>
        <w:ind w:firstLine="482" w:firstLineChars="200"/>
        <w:jc w:val="center"/>
        <w:rPr>
          <w:rFonts w:asciiTheme="minorEastAsia" w:hAnsiTheme="minorEastAsia" w:eastAsiaTheme="minorEastAsia"/>
          <w:b/>
          <w:bCs/>
          <w:sz w:val="24"/>
        </w:rPr>
      </w:pPr>
    </w:p>
    <w:p>
      <w:pPr>
        <w:spacing w:line="5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致</w:t>
      </w:r>
      <w:r>
        <w:rPr>
          <w:rFonts w:asciiTheme="minorEastAsia" w:hAnsiTheme="minorEastAsia" w:eastAsiaTheme="minorEastAsia"/>
          <w:u w:val="single"/>
        </w:rPr>
        <w:t xml:space="preserve">                        </w:t>
      </w:r>
      <w:r>
        <w:rPr>
          <w:rFonts w:hint="eastAsia" w:asciiTheme="minorEastAsia" w:hAnsiTheme="minorEastAsia" w:eastAsiaTheme="minorEastAsia"/>
        </w:rPr>
        <w:t>（招标人名称）：</w:t>
      </w:r>
    </w:p>
    <w:p>
      <w:pPr>
        <w:spacing w:line="560" w:lineRule="exact"/>
        <w:ind w:left="-10" w:firstLine="420" w:firstLineChars="200"/>
        <w:jc w:val="left"/>
        <w:rPr>
          <w:rFonts w:asciiTheme="minorEastAsia" w:hAnsiTheme="minorEastAsia" w:eastAsiaTheme="minorEastAsia"/>
        </w:rPr>
      </w:pPr>
      <w:r>
        <w:rPr>
          <w:rFonts w:hint="eastAsia" w:asciiTheme="minorEastAsia" w:hAnsiTheme="minorEastAsia" w:eastAsiaTheme="minorEastAsia"/>
        </w:rPr>
        <w:t>作为参与</w:t>
      </w:r>
      <w:r>
        <w:rPr>
          <w:rFonts w:hint="eastAsia" w:cs="宋体"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rPr>
        <w:t>（工程名称）项目的投标方，根据国家、自治区相关文件规定，我方在此向招标人承诺：</w:t>
      </w:r>
    </w:p>
    <w:p>
      <w:pPr>
        <w:spacing w:line="560" w:lineRule="exact"/>
        <w:ind w:firstLine="420" w:firstLineChars="200"/>
        <w:rPr>
          <w:rFonts w:ascii="宋体" w:hAnsi="宋体"/>
          <w:szCs w:val="21"/>
        </w:rPr>
      </w:pPr>
      <w:r>
        <w:rPr>
          <w:rFonts w:ascii="宋体" w:hAnsi="宋体"/>
          <w:szCs w:val="21"/>
        </w:rPr>
        <w:t>1、一旦中标，我方保证按照政府相关部门的规定，在发出中标通知书之日起7个工作日内足额将农民工工资保障金转入农民工工资保障金专用账户。一旦我方所承包的该项目中出现拖欠农民工和工人工资情况，由建设行政主管部门从我方农民工工资保障金中先予划支。我方在中标后如不按时、足额存入农民工工资保障金的，将被取消中标资格。</w:t>
      </w:r>
    </w:p>
    <w:p>
      <w:pPr>
        <w:spacing w:line="560" w:lineRule="exact"/>
        <w:ind w:left="-10" w:firstLine="420" w:firstLineChars="200"/>
        <w:rPr>
          <w:rFonts w:ascii="宋体" w:hAnsi="宋体"/>
          <w:szCs w:val="21"/>
        </w:rPr>
      </w:pPr>
      <w:r>
        <w:rPr>
          <w:rFonts w:ascii="宋体" w:hAnsi="宋体"/>
          <w:szCs w:val="21"/>
        </w:rPr>
        <w:t>2、一旦中标，我方保证在施工过程中，严格执行桂建质安[2006]22号文《广西壮族自治区建筑工程安全防护、文明施工措施费及使用管理细则》的有关规定，确保建设工程各项安全防护、文明施工措施落实到位。如我方在该项目的承包中出现未按桂建质安[2006]22号文附件一规定执行的情形，我方愿意按照相关规定接受建设单位及有关主管部门的处罚。</w:t>
      </w:r>
    </w:p>
    <w:p>
      <w:pPr>
        <w:spacing w:line="560" w:lineRule="exact"/>
        <w:ind w:left="-2" w:leftChars="-1" w:firstLine="420" w:firstLineChars="200"/>
        <w:rPr>
          <w:rFonts w:ascii="宋体" w:hAnsi="宋体"/>
          <w:szCs w:val="21"/>
        </w:rPr>
      </w:pPr>
      <w:r>
        <w:rPr>
          <w:rFonts w:ascii="宋体" w:hAnsi="宋体"/>
          <w:szCs w:val="21"/>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60" w:lineRule="exact"/>
        <w:jc w:val="left"/>
        <w:rPr>
          <w:rFonts w:asciiTheme="minorEastAsia" w:hAnsiTheme="minorEastAsia" w:eastAsiaTheme="minorEastAsia"/>
        </w:rPr>
      </w:pPr>
    </w:p>
    <w:p>
      <w:pPr>
        <w:spacing w:line="560" w:lineRule="exact"/>
        <w:ind w:firstLine="420" w:firstLineChars="200"/>
        <w:jc w:val="left"/>
        <w:rPr>
          <w:rFonts w:asciiTheme="minorEastAsia" w:hAnsiTheme="minorEastAsia" w:eastAsiaTheme="minorEastAsia"/>
        </w:rPr>
      </w:pPr>
    </w:p>
    <w:p>
      <w:pPr>
        <w:spacing w:line="560" w:lineRule="exact"/>
        <w:ind w:firstLine="420" w:firstLineChars="200"/>
        <w:jc w:val="left"/>
        <w:rPr>
          <w:rFonts w:asciiTheme="minorEastAsia" w:hAnsiTheme="minorEastAsia" w:eastAsiaTheme="minorEastAsia"/>
          <w:u w:val="single"/>
        </w:rPr>
      </w:pPr>
      <w:r>
        <w:rPr>
          <w:rFonts w:hint="eastAsia" w:asciiTheme="minorEastAsia" w:hAnsiTheme="minorEastAsia" w:eastAsiaTheme="minorEastAsia"/>
        </w:rPr>
        <w:t>投标人：</w:t>
      </w:r>
      <w:r>
        <w:rPr>
          <w:rFonts w:asciiTheme="minorEastAsia" w:hAnsiTheme="minorEastAsia" w:eastAsiaTheme="minorEastAsia"/>
          <w:u w:val="single"/>
        </w:rPr>
        <w:t xml:space="preserve">                     </w:t>
      </w:r>
      <w:r>
        <w:rPr>
          <w:rFonts w:hint="eastAsia" w:asciiTheme="minorEastAsia" w:hAnsiTheme="minorEastAsia" w:eastAsiaTheme="minorEastAsia"/>
          <w:u w:val="single"/>
        </w:rPr>
        <w:t>（盖单位章）</w:t>
      </w:r>
    </w:p>
    <w:p>
      <w:pPr>
        <w:spacing w:line="560" w:lineRule="exact"/>
        <w:ind w:firstLine="420" w:firstLineChars="200"/>
        <w:jc w:val="left"/>
        <w:rPr>
          <w:rFonts w:asciiTheme="minorEastAsia" w:hAnsiTheme="minorEastAsia" w:eastAsiaTheme="minorEastAsia"/>
        </w:rPr>
      </w:pPr>
    </w:p>
    <w:p>
      <w:pPr>
        <w:spacing w:line="560" w:lineRule="exact"/>
        <w:ind w:firstLine="420" w:firstLineChars="200"/>
        <w:jc w:val="left"/>
        <w:rPr>
          <w:rFonts w:asciiTheme="minorEastAsia" w:hAnsiTheme="minorEastAsia" w:eastAsiaTheme="minorEastAsia"/>
          <w:u w:val="single"/>
        </w:rPr>
      </w:pPr>
      <w:r>
        <w:rPr>
          <w:rFonts w:hint="eastAsia" w:asciiTheme="minorEastAsia" w:hAnsiTheme="minorEastAsia" w:eastAsiaTheme="minorEastAsia"/>
        </w:rPr>
        <w:t>法定代表人或授权代理人：</w:t>
      </w:r>
      <w:r>
        <w:rPr>
          <w:rFonts w:asciiTheme="minorEastAsia" w:hAnsiTheme="minorEastAsia" w:eastAsiaTheme="minorEastAsia"/>
          <w:u w:val="single"/>
        </w:rPr>
        <w:t xml:space="preserve">              </w:t>
      </w:r>
      <w:r>
        <w:rPr>
          <w:rFonts w:hint="eastAsia" w:asciiTheme="minorEastAsia" w:hAnsiTheme="minorEastAsia" w:eastAsiaTheme="minorEastAsia"/>
          <w:u w:val="single"/>
        </w:rPr>
        <w:t>（签字或盖章）</w:t>
      </w:r>
    </w:p>
    <w:p>
      <w:pPr>
        <w:spacing w:line="560" w:lineRule="exact"/>
        <w:ind w:firstLine="420" w:firstLineChars="200"/>
        <w:jc w:val="left"/>
        <w:rPr>
          <w:rFonts w:asciiTheme="minorEastAsia" w:hAnsiTheme="minorEastAsia" w:eastAsiaTheme="minorEastAsia"/>
        </w:rPr>
      </w:pPr>
    </w:p>
    <w:p>
      <w:pPr>
        <w:spacing w:line="560" w:lineRule="exact"/>
        <w:ind w:firstLine="420" w:firstLineChars="200"/>
        <w:jc w:val="center"/>
        <w:rPr>
          <w:rFonts w:asciiTheme="minorEastAsia" w:hAnsiTheme="minorEastAsia" w:eastAsiaTheme="minorEastAsia"/>
          <w:b/>
          <w:sz w:val="28"/>
          <w:szCs w:val="28"/>
        </w:rPr>
      </w:pPr>
      <w:r>
        <w:rPr>
          <w:rFonts w:hint="eastAsia" w:asciiTheme="minorEastAsia" w:hAnsiTheme="minorEastAsia" w:eastAsiaTheme="minorEastAsia"/>
        </w:rPr>
        <w:t>日期：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asciiTheme="minorEastAsia" w:hAnsiTheme="minorEastAsia" w:eastAsiaTheme="minorEastAsia"/>
          <w:szCs w:val="21"/>
        </w:rPr>
        <w:br w:type="page"/>
      </w:r>
      <w:r>
        <w:rPr>
          <w:rFonts w:hint="eastAsia" w:asciiTheme="minorEastAsia" w:hAnsiTheme="minorEastAsia" w:eastAsiaTheme="minorEastAsia"/>
          <w:b/>
          <w:sz w:val="28"/>
          <w:szCs w:val="28"/>
        </w:rPr>
        <w:t>广西壮族自治区建筑工程安全文明施工措施项目清单内容</w:t>
      </w:r>
    </w:p>
    <w:p>
      <w:pPr>
        <w:spacing w:line="560" w:lineRule="exact"/>
        <w:ind w:firstLine="422" w:firstLineChars="200"/>
        <w:jc w:val="center"/>
        <w:rPr>
          <w:rFonts w:ascii="宋体" w:hAnsi="宋体"/>
          <w:b/>
          <w:szCs w:val="28"/>
        </w:rPr>
      </w:pPr>
      <w:r>
        <w:rPr>
          <w:rFonts w:ascii="宋体" w:hAnsi="宋体"/>
          <w:b/>
          <w:szCs w:val="28"/>
        </w:rPr>
        <w:t>桂建质安[2006]22号文附件一</w:t>
      </w:r>
    </w:p>
    <w:p>
      <w:pPr>
        <w:spacing w:line="560" w:lineRule="exact"/>
        <w:ind w:firstLine="422" w:firstLineChars="200"/>
        <w:jc w:val="center"/>
        <w:rPr>
          <w:rFonts w:ascii="宋体" w:hAnsi="宋体"/>
          <w:b/>
          <w:szCs w:val="28"/>
        </w:rPr>
      </w:pPr>
      <w:r>
        <w:rPr>
          <w:rFonts w:ascii="宋体" w:hAnsi="宋体"/>
          <w:b/>
          <w:szCs w:val="28"/>
        </w:rPr>
        <w:t>广西壮族自治区建筑工程安全防护、文明施工措施项目清单内容</w:t>
      </w:r>
    </w:p>
    <w:tbl>
      <w:tblPr>
        <w:tblStyle w:val="3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1"/>
        <w:gridCol w:w="1502"/>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9" w:type="dxa"/>
            <w:vAlign w:val="center"/>
          </w:tcPr>
          <w:p>
            <w:pPr>
              <w:spacing w:line="360" w:lineRule="auto"/>
              <w:jc w:val="center"/>
            </w:pPr>
            <w:r>
              <w:t>类别</w:t>
            </w:r>
          </w:p>
        </w:tc>
        <w:tc>
          <w:tcPr>
            <w:tcW w:w="2093" w:type="dxa"/>
            <w:gridSpan w:val="2"/>
            <w:vAlign w:val="center"/>
          </w:tcPr>
          <w:p>
            <w:pPr>
              <w:spacing w:line="360" w:lineRule="auto"/>
              <w:jc w:val="center"/>
            </w:pPr>
            <w:r>
              <w:t>项目名称</w:t>
            </w:r>
          </w:p>
        </w:tc>
        <w:tc>
          <w:tcPr>
            <w:tcW w:w="6298" w:type="dxa"/>
            <w:vAlign w:val="center"/>
          </w:tcPr>
          <w:p>
            <w:pPr>
              <w:spacing w:line="360" w:lineRule="auto"/>
              <w:jc w:val="center"/>
            </w:pPr>
            <w: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line="360" w:lineRule="auto"/>
              <w:jc w:val="left"/>
            </w:pPr>
            <w:r>
              <w:t>文明施工与</w:t>
            </w:r>
          </w:p>
          <w:p>
            <w:pPr>
              <w:spacing w:line="360" w:lineRule="auto"/>
              <w:jc w:val="left"/>
            </w:pPr>
            <w:r>
              <w:t>环境保护</w:t>
            </w:r>
          </w:p>
        </w:tc>
        <w:tc>
          <w:tcPr>
            <w:tcW w:w="2093" w:type="dxa"/>
            <w:gridSpan w:val="2"/>
            <w:vAlign w:val="center"/>
          </w:tcPr>
          <w:p>
            <w:pPr>
              <w:spacing w:line="400" w:lineRule="exact"/>
              <w:jc w:val="center"/>
            </w:pPr>
            <w:r>
              <w:t>安全警示</w:t>
            </w:r>
          </w:p>
          <w:p>
            <w:pPr>
              <w:spacing w:line="400" w:lineRule="exact"/>
              <w:jc w:val="center"/>
            </w:pPr>
            <w:r>
              <w:t>标志牌</w:t>
            </w:r>
          </w:p>
        </w:tc>
        <w:tc>
          <w:tcPr>
            <w:tcW w:w="6298" w:type="dxa"/>
          </w:tcPr>
          <w:p>
            <w:pPr>
              <w:spacing w:line="400" w:lineRule="exact"/>
            </w:pPr>
            <w: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pPr>
          </w:p>
        </w:tc>
        <w:tc>
          <w:tcPr>
            <w:tcW w:w="2093" w:type="dxa"/>
            <w:gridSpan w:val="2"/>
            <w:vAlign w:val="center"/>
          </w:tcPr>
          <w:p>
            <w:pPr>
              <w:spacing w:line="400" w:lineRule="exact"/>
              <w:jc w:val="center"/>
            </w:pPr>
            <w:r>
              <w:t>现场围挡</w:t>
            </w:r>
          </w:p>
        </w:tc>
        <w:tc>
          <w:tcPr>
            <w:tcW w:w="6298" w:type="dxa"/>
          </w:tcPr>
          <w:p>
            <w:pPr>
              <w:numPr>
                <w:ilvl w:val="255"/>
                <w:numId w:val="0"/>
              </w:numPr>
              <w:spacing w:line="400" w:lineRule="exact"/>
            </w:pPr>
            <w:r>
              <w:t>现场采用封闭围挡，高度不小于1.8m。</w:t>
            </w:r>
          </w:p>
          <w:p>
            <w:pPr>
              <w:numPr>
                <w:ilvl w:val="255"/>
                <w:numId w:val="0"/>
              </w:numPr>
              <w:spacing w:line="400" w:lineRule="exact"/>
            </w:pPr>
            <w:r>
              <w:t>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pPr>
          </w:p>
        </w:tc>
        <w:tc>
          <w:tcPr>
            <w:tcW w:w="2093" w:type="dxa"/>
            <w:gridSpan w:val="2"/>
            <w:vAlign w:val="center"/>
          </w:tcPr>
          <w:p>
            <w:pPr>
              <w:spacing w:line="400" w:lineRule="exact"/>
              <w:jc w:val="center"/>
            </w:pPr>
            <w:r>
              <w:t>五板一图</w:t>
            </w:r>
          </w:p>
        </w:tc>
        <w:tc>
          <w:tcPr>
            <w:tcW w:w="6298" w:type="dxa"/>
          </w:tcPr>
          <w:p>
            <w:pPr>
              <w:spacing w:line="400" w:lineRule="exact"/>
            </w:pPr>
            <w: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continue"/>
          </w:tcPr>
          <w:p>
            <w:pPr>
              <w:spacing w:line="360" w:lineRule="auto"/>
            </w:pPr>
          </w:p>
        </w:tc>
        <w:tc>
          <w:tcPr>
            <w:tcW w:w="2093" w:type="dxa"/>
            <w:gridSpan w:val="2"/>
            <w:vAlign w:val="center"/>
          </w:tcPr>
          <w:p>
            <w:pPr>
              <w:spacing w:line="400" w:lineRule="exact"/>
              <w:jc w:val="center"/>
            </w:pPr>
            <w:r>
              <w:t>企业标志</w:t>
            </w:r>
          </w:p>
        </w:tc>
        <w:tc>
          <w:tcPr>
            <w:tcW w:w="6298" w:type="dxa"/>
            <w:vAlign w:val="center"/>
          </w:tcPr>
          <w:p>
            <w:pPr>
              <w:spacing w:line="400" w:lineRule="exact"/>
            </w:pPr>
            <w: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pPr>
          </w:p>
        </w:tc>
        <w:tc>
          <w:tcPr>
            <w:tcW w:w="2093" w:type="dxa"/>
            <w:gridSpan w:val="2"/>
            <w:vAlign w:val="center"/>
          </w:tcPr>
          <w:p>
            <w:pPr>
              <w:spacing w:line="400" w:lineRule="exact"/>
              <w:jc w:val="center"/>
            </w:pPr>
            <w:r>
              <w:t>场容场貌</w:t>
            </w:r>
          </w:p>
        </w:tc>
        <w:tc>
          <w:tcPr>
            <w:tcW w:w="6298" w:type="dxa"/>
          </w:tcPr>
          <w:p>
            <w:pPr>
              <w:spacing w:line="400" w:lineRule="exact"/>
            </w:pPr>
            <w:r>
              <w:rPr>
                <w:rFonts w:hint="eastAsia"/>
              </w:rPr>
              <w:t>（1）</w:t>
            </w:r>
            <w:r>
              <w:t>道路畅通；</w:t>
            </w:r>
            <w:r>
              <w:rPr>
                <w:rFonts w:hint="eastAsia"/>
              </w:rPr>
              <w:t>（2）</w:t>
            </w:r>
            <w:r>
              <w:t>排水沟、排水设施畅通；</w:t>
            </w:r>
            <w:r>
              <w:rPr>
                <w:rFonts w:hint="eastAsia"/>
              </w:rPr>
              <w:t>（3）</w:t>
            </w:r>
            <w:r>
              <w:t>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pPr>
          </w:p>
        </w:tc>
        <w:tc>
          <w:tcPr>
            <w:tcW w:w="2093" w:type="dxa"/>
            <w:gridSpan w:val="2"/>
            <w:vAlign w:val="center"/>
          </w:tcPr>
          <w:p>
            <w:pPr>
              <w:spacing w:line="400" w:lineRule="exact"/>
              <w:jc w:val="center"/>
            </w:pPr>
            <w:r>
              <w:t>材料堆放</w:t>
            </w:r>
          </w:p>
        </w:tc>
        <w:tc>
          <w:tcPr>
            <w:tcW w:w="6298" w:type="dxa"/>
          </w:tcPr>
          <w:p>
            <w:pPr>
              <w:spacing w:line="400" w:lineRule="exact"/>
            </w:pPr>
            <w:r>
              <w:rPr>
                <w:rFonts w:hint="eastAsia"/>
              </w:rPr>
              <w:t>（1）</w:t>
            </w:r>
            <w:r>
              <w:t>材料、构件、料具等堆放时，悬挂有名称、品种、规格等标牌；</w:t>
            </w:r>
          </w:p>
          <w:p>
            <w:pPr>
              <w:spacing w:line="400" w:lineRule="exact"/>
            </w:pPr>
            <w:r>
              <w:rPr>
                <w:rFonts w:hint="eastAsia"/>
              </w:rPr>
              <w:t>（2）</w:t>
            </w:r>
            <w:r>
              <w:t>水泥和其他易飞扬细颗粒建筑材料应封闭存放或采取覆盖等措施；</w:t>
            </w:r>
          </w:p>
          <w:p>
            <w:pPr>
              <w:spacing w:line="400" w:lineRule="exact"/>
            </w:pPr>
            <w:r>
              <w:rPr>
                <w:rFonts w:hint="eastAsia"/>
              </w:rPr>
              <w:t>（3）</w:t>
            </w:r>
            <w: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9" w:type="dxa"/>
            <w:vMerge w:val="continue"/>
          </w:tcPr>
          <w:p>
            <w:pPr>
              <w:spacing w:line="360" w:lineRule="auto"/>
            </w:pPr>
          </w:p>
        </w:tc>
        <w:tc>
          <w:tcPr>
            <w:tcW w:w="2093" w:type="dxa"/>
            <w:gridSpan w:val="2"/>
            <w:vAlign w:val="center"/>
          </w:tcPr>
          <w:p>
            <w:pPr>
              <w:spacing w:line="400" w:lineRule="exact"/>
              <w:jc w:val="center"/>
            </w:pPr>
            <w:r>
              <w:t>现场防火</w:t>
            </w:r>
          </w:p>
        </w:tc>
        <w:tc>
          <w:tcPr>
            <w:tcW w:w="6298" w:type="dxa"/>
            <w:vAlign w:val="center"/>
          </w:tcPr>
          <w:p>
            <w:pPr>
              <w:spacing w:line="400" w:lineRule="exact"/>
            </w:pPr>
            <w: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vMerge w:val="continue"/>
          </w:tcPr>
          <w:p>
            <w:pPr>
              <w:spacing w:line="360" w:lineRule="auto"/>
            </w:pPr>
          </w:p>
        </w:tc>
        <w:tc>
          <w:tcPr>
            <w:tcW w:w="2093" w:type="dxa"/>
            <w:gridSpan w:val="2"/>
            <w:vAlign w:val="center"/>
          </w:tcPr>
          <w:p>
            <w:pPr>
              <w:spacing w:line="400" w:lineRule="exact"/>
              <w:jc w:val="center"/>
            </w:pPr>
            <w:r>
              <w:t>垃圾清运</w:t>
            </w:r>
          </w:p>
        </w:tc>
        <w:tc>
          <w:tcPr>
            <w:tcW w:w="6298" w:type="dxa"/>
          </w:tcPr>
          <w:p>
            <w:pPr>
              <w:spacing w:line="400" w:lineRule="exact"/>
            </w:pPr>
            <w:r>
              <w:t>施工现场应设置密闭式垃圾站，施工垃圾、生活垃圾应分类存放。</w:t>
            </w:r>
          </w:p>
          <w:p>
            <w:pPr>
              <w:spacing w:line="400" w:lineRule="exact"/>
            </w:pPr>
            <w: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pPr>
          </w:p>
        </w:tc>
        <w:tc>
          <w:tcPr>
            <w:tcW w:w="2093" w:type="dxa"/>
            <w:gridSpan w:val="2"/>
            <w:vAlign w:val="center"/>
          </w:tcPr>
          <w:p>
            <w:pPr>
              <w:spacing w:line="400" w:lineRule="exact"/>
              <w:jc w:val="center"/>
            </w:pPr>
            <w:r>
              <w:t>宣传栏、环保及不扰民措施</w:t>
            </w:r>
          </w:p>
        </w:tc>
        <w:tc>
          <w:tcPr>
            <w:tcW w:w="6298" w:type="dxa"/>
          </w:tcPr>
          <w:p>
            <w:pPr>
              <w:spacing w:line="400" w:lineRule="exact"/>
            </w:pPr>
            <w: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line="360" w:lineRule="auto"/>
              <w:jc w:val="left"/>
            </w:pPr>
            <w:r>
              <w:t>临时</w:t>
            </w:r>
          </w:p>
          <w:p>
            <w:pPr>
              <w:spacing w:line="360" w:lineRule="auto"/>
              <w:jc w:val="left"/>
            </w:pPr>
            <w:r>
              <w:t>措施</w:t>
            </w:r>
          </w:p>
        </w:tc>
        <w:tc>
          <w:tcPr>
            <w:tcW w:w="2093" w:type="dxa"/>
            <w:gridSpan w:val="2"/>
            <w:vAlign w:val="center"/>
          </w:tcPr>
          <w:p>
            <w:pPr>
              <w:spacing w:line="400" w:lineRule="exact"/>
              <w:jc w:val="center"/>
            </w:pPr>
            <w:r>
              <w:t>现场办公</w:t>
            </w:r>
          </w:p>
          <w:p>
            <w:pPr>
              <w:spacing w:line="400" w:lineRule="exact"/>
              <w:jc w:val="center"/>
            </w:pPr>
            <w:r>
              <w:t>生活设施</w:t>
            </w:r>
          </w:p>
        </w:tc>
        <w:tc>
          <w:tcPr>
            <w:tcW w:w="6298" w:type="dxa"/>
          </w:tcPr>
          <w:p>
            <w:pPr>
              <w:numPr>
                <w:ilvl w:val="255"/>
                <w:numId w:val="0"/>
              </w:numPr>
              <w:spacing w:line="400" w:lineRule="exact"/>
            </w:pPr>
            <w:r>
              <w:t>施工现场办公、生活区与作业区分开设置，保持安全距离。</w:t>
            </w:r>
          </w:p>
          <w:p>
            <w:pPr>
              <w:numPr>
                <w:ilvl w:val="255"/>
                <w:numId w:val="0"/>
              </w:numPr>
              <w:spacing w:line="400" w:lineRule="exact"/>
            </w:pPr>
            <w:r>
              <w:t>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09" w:type="dxa"/>
            <w:vMerge w:val="continue"/>
            <w:vAlign w:val="center"/>
          </w:tcPr>
          <w:p>
            <w:pPr>
              <w:spacing w:line="360" w:lineRule="auto"/>
              <w:jc w:val="left"/>
            </w:pPr>
          </w:p>
        </w:tc>
        <w:tc>
          <w:tcPr>
            <w:tcW w:w="591" w:type="dxa"/>
            <w:vMerge w:val="restart"/>
            <w:vAlign w:val="center"/>
          </w:tcPr>
          <w:p>
            <w:pPr>
              <w:spacing w:line="400" w:lineRule="exact"/>
              <w:jc w:val="left"/>
            </w:pPr>
            <w:r>
              <w:t>施工现场临时用电</w:t>
            </w:r>
          </w:p>
        </w:tc>
        <w:tc>
          <w:tcPr>
            <w:tcW w:w="1502" w:type="dxa"/>
            <w:vAlign w:val="center"/>
          </w:tcPr>
          <w:p>
            <w:pPr>
              <w:spacing w:line="400" w:lineRule="exact"/>
              <w:jc w:val="left"/>
            </w:pPr>
            <w:r>
              <w:t>配电线路</w:t>
            </w:r>
          </w:p>
        </w:tc>
        <w:tc>
          <w:tcPr>
            <w:tcW w:w="6298" w:type="dxa"/>
          </w:tcPr>
          <w:p>
            <w:pPr>
              <w:spacing w:line="400" w:lineRule="exact"/>
            </w:pPr>
            <w:r>
              <w:rPr>
                <w:rFonts w:hint="eastAsia"/>
              </w:rPr>
              <w:t>（1）</w:t>
            </w:r>
            <w:r>
              <w:t>按照TN-S系统要求配备五芯电缆、四芯电缆和三芯电缆。</w:t>
            </w:r>
          </w:p>
          <w:p>
            <w:pPr>
              <w:spacing w:line="400" w:lineRule="exact"/>
            </w:pPr>
            <w:r>
              <w:rPr>
                <w:rFonts w:hint="eastAsia"/>
              </w:rPr>
              <w:t>（2）</w:t>
            </w:r>
            <w:r>
              <w:t>按要求架设临时用电线路的电杆、横担、瓷夹、瓷瓶等，或电缆埋地的地沟。</w:t>
            </w:r>
          </w:p>
          <w:p>
            <w:pPr>
              <w:spacing w:line="400" w:lineRule="exact"/>
            </w:pPr>
            <w:r>
              <w:rPr>
                <w:rFonts w:hint="eastAsia"/>
              </w:rPr>
              <w:t>（3）</w:t>
            </w:r>
            <w:r>
              <w:t>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line="360" w:lineRule="auto"/>
            </w:pPr>
          </w:p>
        </w:tc>
        <w:tc>
          <w:tcPr>
            <w:tcW w:w="591" w:type="dxa"/>
            <w:vMerge w:val="continue"/>
          </w:tcPr>
          <w:p>
            <w:pPr>
              <w:spacing w:line="400" w:lineRule="exact"/>
            </w:pPr>
          </w:p>
        </w:tc>
        <w:tc>
          <w:tcPr>
            <w:tcW w:w="1502" w:type="dxa"/>
            <w:vAlign w:val="center"/>
          </w:tcPr>
          <w:p>
            <w:pPr>
              <w:spacing w:line="400" w:lineRule="exact"/>
              <w:jc w:val="left"/>
            </w:pPr>
            <w:r>
              <w:t>配电箱开关箱</w:t>
            </w:r>
          </w:p>
        </w:tc>
        <w:tc>
          <w:tcPr>
            <w:tcW w:w="6298" w:type="dxa"/>
          </w:tcPr>
          <w:p>
            <w:pPr>
              <w:spacing w:line="400" w:lineRule="exact"/>
            </w:pPr>
            <w:r>
              <w:rPr>
                <w:rFonts w:hint="eastAsia"/>
              </w:rPr>
              <w:t>（1）</w:t>
            </w:r>
            <w:r>
              <w:t>按三级配电要求，配备总配电箱、分配电箱、开关箱三类（铁质）标准电箱准电箱。开关箱应符合一机、一箱、一闸、一漏。三类电箱中的各类电器应是合格品。</w:t>
            </w:r>
          </w:p>
          <w:p>
            <w:pPr>
              <w:spacing w:line="400" w:lineRule="exact"/>
            </w:pPr>
            <w:r>
              <w:rPr>
                <w:rFonts w:hint="eastAsia"/>
              </w:rPr>
              <w:t>（2）</w:t>
            </w:r>
            <w:r>
              <w:t>按两级保护的要求，选取符合容量要求和质量合格的总配电箱和开关箱中的漏电保护器。</w:t>
            </w:r>
          </w:p>
          <w:p>
            <w:pPr>
              <w:spacing w:line="400" w:lineRule="exact"/>
            </w:pPr>
            <w:r>
              <w:rPr>
                <w:rFonts w:hint="eastAsia"/>
              </w:rPr>
              <w:t>（3）</w:t>
            </w:r>
            <w:r>
              <w:t>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9" w:type="dxa"/>
            <w:vMerge w:val="continue"/>
          </w:tcPr>
          <w:p>
            <w:pPr>
              <w:spacing w:line="360" w:lineRule="auto"/>
            </w:pPr>
          </w:p>
        </w:tc>
        <w:tc>
          <w:tcPr>
            <w:tcW w:w="591" w:type="dxa"/>
            <w:vMerge w:val="continue"/>
          </w:tcPr>
          <w:p>
            <w:pPr>
              <w:spacing w:line="400" w:lineRule="exact"/>
            </w:pPr>
          </w:p>
        </w:tc>
        <w:tc>
          <w:tcPr>
            <w:tcW w:w="1502" w:type="dxa"/>
            <w:vAlign w:val="center"/>
          </w:tcPr>
          <w:p>
            <w:pPr>
              <w:spacing w:line="400" w:lineRule="exact"/>
              <w:jc w:val="left"/>
            </w:pPr>
            <w:r>
              <w:t>接地保护装置</w:t>
            </w:r>
          </w:p>
        </w:tc>
        <w:tc>
          <w:tcPr>
            <w:tcW w:w="6298" w:type="dxa"/>
            <w:vAlign w:val="bottom"/>
          </w:tcPr>
          <w:p>
            <w:pPr>
              <w:spacing w:line="400" w:lineRule="exact"/>
            </w:pPr>
            <w:r>
              <w:t>施工现场应设置不少于三处的保护接地装置。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9" w:type="dxa"/>
            <w:vMerge w:val="continue"/>
          </w:tcPr>
          <w:p>
            <w:pPr>
              <w:spacing w:line="360" w:lineRule="auto"/>
            </w:pPr>
          </w:p>
        </w:tc>
        <w:tc>
          <w:tcPr>
            <w:tcW w:w="591" w:type="dxa"/>
            <w:vMerge w:val="continue"/>
          </w:tcPr>
          <w:p>
            <w:pPr>
              <w:spacing w:line="400" w:lineRule="exact"/>
            </w:pPr>
          </w:p>
        </w:tc>
        <w:tc>
          <w:tcPr>
            <w:tcW w:w="1502" w:type="dxa"/>
            <w:vAlign w:val="center"/>
          </w:tcPr>
          <w:p>
            <w:pPr>
              <w:spacing w:line="400" w:lineRule="exact"/>
              <w:jc w:val="left"/>
            </w:pPr>
            <w:r>
              <w:t>现场变配电装置</w:t>
            </w:r>
          </w:p>
        </w:tc>
        <w:tc>
          <w:tcPr>
            <w:tcW w:w="6298" w:type="dxa"/>
            <w:vAlign w:val="center"/>
          </w:tcPr>
          <w:p>
            <w:pPr>
              <w:spacing w:line="400" w:lineRule="exact"/>
            </w:pPr>
            <w:r>
              <w:t>总配电室建筑材料必须达到三级防火要求，室内做硬地坪、电缆沟、吊顶。</w:t>
            </w:r>
          </w:p>
        </w:tc>
      </w:tr>
    </w:tbl>
    <w:p>
      <w:pPr>
        <w:spacing w:line="560" w:lineRule="exact"/>
        <w:ind w:firstLine="420" w:firstLineChars="200"/>
        <w:rPr>
          <w:rFonts w:ascii="宋体" w:hAnsi="宋体"/>
          <w:szCs w:val="21"/>
        </w:rPr>
      </w:pPr>
    </w:p>
    <w:tbl>
      <w:tblPr>
        <w:tblStyle w:val="38"/>
        <w:tblW w:w="92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9"/>
        <w:gridCol w:w="284"/>
        <w:gridCol w:w="1170"/>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bottom"/>
          </w:tcPr>
          <w:p>
            <w:pPr>
              <w:spacing w:line="360" w:lineRule="auto"/>
              <w:jc w:val="center"/>
            </w:pPr>
            <w:r>
              <w:t>类别</w:t>
            </w:r>
          </w:p>
        </w:tc>
        <w:tc>
          <w:tcPr>
            <w:tcW w:w="1913" w:type="dxa"/>
            <w:gridSpan w:val="3"/>
            <w:vAlign w:val="bottom"/>
          </w:tcPr>
          <w:p>
            <w:pPr>
              <w:spacing w:line="360" w:lineRule="auto"/>
              <w:jc w:val="center"/>
            </w:pPr>
            <w:r>
              <w:t>项目名称</w:t>
            </w:r>
          </w:p>
        </w:tc>
        <w:tc>
          <w:tcPr>
            <w:tcW w:w="6652" w:type="dxa"/>
            <w:vAlign w:val="bottom"/>
          </w:tcPr>
          <w:p>
            <w:pPr>
              <w:spacing w:line="360" w:lineRule="auto"/>
              <w:jc w:val="center"/>
            </w:pPr>
            <w: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left"/>
            </w:pPr>
            <w:r>
              <w:t>安全施工</w:t>
            </w:r>
          </w:p>
        </w:tc>
        <w:tc>
          <w:tcPr>
            <w:tcW w:w="459" w:type="dxa"/>
            <w:vMerge w:val="restart"/>
            <w:vAlign w:val="center"/>
          </w:tcPr>
          <w:p>
            <w:pPr>
              <w:spacing w:line="360" w:lineRule="auto"/>
              <w:jc w:val="left"/>
            </w:pPr>
            <w:r>
              <w:t>临边洞口交叉高处作业防护</w:t>
            </w:r>
          </w:p>
        </w:tc>
        <w:tc>
          <w:tcPr>
            <w:tcW w:w="1454" w:type="dxa"/>
            <w:gridSpan w:val="2"/>
          </w:tcPr>
          <w:p>
            <w:pPr>
              <w:spacing w:line="360" w:lineRule="auto"/>
            </w:pPr>
            <w:r>
              <w:t>楼层、屋面、阳台等临边防护</w:t>
            </w:r>
          </w:p>
        </w:tc>
        <w:tc>
          <w:tcPr>
            <w:tcW w:w="6652" w:type="dxa"/>
            <w:vAlign w:val="center"/>
          </w:tcPr>
          <w:p>
            <w:pPr>
              <w:spacing w:line="360" w:lineRule="auto"/>
            </w:pPr>
            <w:r>
              <w:t>用密目式安全立网全封闭，作业层另加两道防护栏杆和18cm高的踢脚板。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360" w:lineRule="auto"/>
            </w:pPr>
          </w:p>
        </w:tc>
        <w:tc>
          <w:tcPr>
            <w:tcW w:w="459" w:type="dxa"/>
            <w:vMerge w:val="continue"/>
          </w:tcPr>
          <w:p>
            <w:pPr>
              <w:spacing w:line="360" w:lineRule="auto"/>
            </w:pPr>
          </w:p>
        </w:tc>
        <w:tc>
          <w:tcPr>
            <w:tcW w:w="1454" w:type="dxa"/>
            <w:gridSpan w:val="2"/>
          </w:tcPr>
          <w:p>
            <w:pPr>
              <w:spacing w:line="360" w:lineRule="auto"/>
            </w:pPr>
            <w:r>
              <w:t>通道口</w:t>
            </w:r>
          </w:p>
          <w:p>
            <w:pPr>
              <w:spacing w:line="360" w:lineRule="auto"/>
            </w:pPr>
            <w:r>
              <w:t>防护</w:t>
            </w:r>
          </w:p>
        </w:tc>
        <w:tc>
          <w:tcPr>
            <w:tcW w:w="6652" w:type="dxa"/>
            <w:vAlign w:val="center"/>
          </w:tcPr>
          <w:p>
            <w:pPr>
              <w:spacing w:line="360" w:lineRule="auto"/>
            </w:pPr>
            <w: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360" w:lineRule="auto"/>
            </w:pPr>
          </w:p>
        </w:tc>
        <w:tc>
          <w:tcPr>
            <w:tcW w:w="459" w:type="dxa"/>
            <w:vMerge w:val="continue"/>
          </w:tcPr>
          <w:p>
            <w:pPr>
              <w:spacing w:line="360" w:lineRule="auto"/>
            </w:pPr>
          </w:p>
        </w:tc>
        <w:tc>
          <w:tcPr>
            <w:tcW w:w="1454" w:type="dxa"/>
            <w:gridSpan w:val="2"/>
          </w:tcPr>
          <w:p>
            <w:pPr>
              <w:spacing w:line="360" w:lineRule="auto"/>
            </w:pPr>
            <w:r>
              <w:t>预留洞口防护</w:t>
            </w:r>
          </w:p>
        </w:tc>
        <w:tc>
          <w:tcPr>
            <w:tcW w:w="6652" w:type="dxa"/>
            <w:vAlign w:val="center"/>
          </w:tcPr>
          <w:p>
            <w:pPr>
              <w:spacing w:line="360" w:lineRule="auto"/>
            </w:pPr>
            <w: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360" w:lineRule="auto"/>
            </w:pPr>
          </w:p>
        </w:tc>
        <w:tc>
          <w:tcPr>
            <w:tcW w:w="459" w:type="dxa"/>
            <w:vMerge w:val="continue"/>
          </w:tcPr>
          <w:p>
            <w:pPr>
              <w:spacing w:line="360" w:lineRule="auto"/>
            </w:pPr>
          </w:p>
        </w:tc>
        <w:tc>
          <w:tcPr>
            <w:tcW w:w="1454" w:type="dxa"/>
            <w:gridSpan w:val="2"/>
          </w:tcPr>
          <w:p>
            <w:pPr>
              <w:spacing w:line="360" w:lineRule="auto"/>
            </w:pPr>
            <w:r>
              <w:t>电梯井口防护</w:t>
            </w:r>
          </w:p>
        </w:tc>
        <w:tc>
          <w:tcPr>
            <w:tcW w:w="6652" w:type="dxa"/>
            <w:vAlign w:val="center"/>
          </w:tcPr>
          <w:p>
            <w:pPr>
              <w:spacing w:line="360" w:lineRule="auto"/>
            </w:pPr>
            <w:r>
              <w:t>设置定型化、工具化、标准化的防护门。在电梯井内每隔2层（不大于10m）设置一道安全平网。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360" w:lineRule="auto"/>
            </w:pPr>
          </w:p>
        </w:tc>
        <w:tc>
          <w:tcPr>
            <w:tcW w:w="459" w:type="dxa"/>
            <w:vMerge w:val="continue"/>
          </w:tcPr>
          <w:p>
            <w:pPr>
              <w:spacing w:line="360" w:lineRule="auto"/>
            </w:pPr>
          </w:p>
        </w:tc>
        <w:tc>
          <w:tcPr>
            <w:tcW w:w="1454" w:type="dxa"/>
            <w:gridSpan w:val="2"/>
          </w:tcPr>
          <w:p>
            <w:pPr>
              <w:spacing w:line="360" w:lineRule="auto"/>
            </w:pPr>
            <w:r>
              <w:t>楼梯边</w:t>
            </w:r>
          </w:p>
          <w:p>
            <w:pPr>
              <w:spacing w:line="360" w:lineRule="auto"/>
            </w:pPr>
            <w:r>
              <w:t>防护</w:t>
            </w:r>
          </w:p>
        </w:tc>
        <w:tc>
          <w:tcPr>
            <w:tcW w:w="6652" w:type="dxa"/>
            <w:vAlign w:val="center"/>
          </w:tcPr>
          <w:p>
            <w:pPr>
              <w:spacing w:line="360" w:lineRule="auto"/>
            </w:pPr>
            <w:r>
              <w:t>设1.2m高的定型化、工具化、标准化的防护栏，18cm高的踢脚板。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360" w:lineRule="auto"/>
            </w:pPr>
          </w:p>
        </w:tc>
        <w:tc>
          <w:tcPr>
            <w:tcW w:w="459" w:type="dxa"/>
            <w:vMerge w:val="continue"/>
          </w:tcPr>
          <w:p>
            <w:pPr>
              <w:spacing w:line="360" w:lineRule="auto"/>
            </w:pPr>
          </w:p>
        </w:tc>
        <w:tc>
          <w:tcPr>
            <w:tcW w:w="1454" w:type="dxa"/>
            <w:gridSpan w:val="2"/>
          </w:tcPr>
          <w:p>
            <w:pPr>
              <w:spacing w:line="360" w:lineRule="auto"/>
            </w:pPr>
            <w:r>
              <w:t>垂直方向交叉作业防护</w:t>
            </w:r>
          </w:p>
        </w:tc>
        <w:tc>
          <w:tcPr>
            <w:tcW w:w="6652" w:type="dxa"/>
            <w:vAlign w:val="center"/>
          </w:tcPr>
          <w:p>
            <w:pPr>
              <w:spacing w:line="360" w:lineRule="auto"/>
            </w:pPr>
            <w: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continue"/>
          </w:tcPr>
          <w:p>
            <w:pPr>
              <w:spacing w:line="360" w:lineRule="auto"/>
            </w:pPr>
          </w:p>
        </w:tc>
        <w:tc>
          <w:tcPr>
            <w:tcW w:w="459" w:type="dxa"/>
            <w:vMerge w:val="continue"/>
          </w:tcPr>
          <w:p>
            <w:pPr>
              <w:spacing w:line="360" w:lineRule="auto"/>
            </w:pPr>
          </w:p>
        </w:tc>
        <w:tc>
          <w:tcPr>
            <w:tcW w:w="1454" w:type="dxa"/>
            <w:gridSpan w:val="2"/>
          </w:tcPr>
          <w:p>
            <w:pPr>
              <w:spacing w:line="360" w:lineRule="auto"/>
            </w:pPr>
            <w:r>
              <w:t>基坑、卸料平台防护</w:t>
            </w:r>
          </w:p>
        </w:tc>
        <w:tc>
          <w:tcPr>
            <w:tcW w:w="6652" w:type="dxa"/>
            <w:vAlign w:val="center"/>
          </w:tcPr>
          <w:p>
            <w:pPr>
              <w:spacing w:line="360" w:lineRule="auto"/>
            </w:pPr>
            <w: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pPr>
          </w:p>
        </w:tc>
        <w:tc>
          <w:tcPr>
            <w:tcW w:w="1913" w:type="dxa"/>
            <w:gridSpan w:val="3"/>
            <w:vAlign w:val="center"/>
          </w:tcPr>
          <w:p>
            <w:pPr>
              <w:spacing w:line="360" w:lineRule="auto"/>
              <w:jc w:val="center"/>
            </w:pPr>
            <w:r>
              <w:t>安全防护用品</w:t>
            </w:r>
          </w:p>
        </w:tc>
        <w:tc>
          <w:tcPr>
            <w:tcW w:w="6652" w:type="dxa"/>
          </w:tcPr>
          <w:p>
            <w:pPr>
              <w:spacing w:line="360" w:lineRule="auto"/>
            </w:pPr>
            <w: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5" w:type="dxa"/>
            <w:vMerge w:val="restart"/>
            <w:vAlign w:val="center"/>
          </w:tcPr>
          <w:p>
            <w:pPr>
              <w:spacing w:line="360" w:lineRule="auto"/>
              <w:jc w:val="left"/>
            </w:pPr>
            <w:r>
              <w:t>其他</w:t>
            </w:r>
          </w:p>
        </w:tc>
        <w:tc>
          <w:tcPr>
            <w:tcW w:w="743" w:type="dxa"/>
            <w:gridSpan w:val="2"/>
            <w:vMerge w:val="restart"/>
            <w:vAlign w:val="center"/>
          </w:tcPr>
          <w:p>
            <w:pPr>
              <w:spacing w:line="360" w:lineRule="auto"/>
              <w:jc w:val="left"/>
            </w:pPr>
            <w:r>
              <w:t>机械设备防护</w:t>
            </w:r>
          </w:p>
        </w:tc>
        <w:tc>
          <w:tcPr>
            <w:tcW w:w="1170" w:type="dxa"/>
          </w:tcPr>
          <w:p>
            <w:pPr>
              <w:spacing w:line="360" w:lineRule="auto"/>
            </w:pPr>
            <w:r>
              <w:t>中小型机械防护</w:t>
            </w:r>
          </w:p>
        </w:tc>
        <w:tc>
          <w:tcPr>
            <w:tcW w:w="6652" w:type="dxa"/>
            <w:vAlign w:val="center"/>
          </w:tcPr>
          <w:p>
            <w:pPr>
              <w:spacing w:line="360" w:lineRule="auto"/>
            </w:pPr>
            <w: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675" w:type="dxa"/>
            <w:vMerge w:val="continue"/>
          </w:tcPr>
          <w:p>
            <w:pPr>
              <w:spacing w:line="360" w:lineRule="auto"/>
            </w:pPr>
          </w:p>
        </w:tc>
        <w:tc>
          <w:tcPr>
            <w:tcW w:w="743" w:type="dxa"/>
            <w:gridSpan w:val="2"/>
            <w:vMerge w:val="continue"/>
          </w:tcPr>
          <w:p>
            <w:pPr>
              <w:spacing w:line="360" w:lineRule="auto"/>
            </w:pPr>
          </w:p>
        </w:tc>
        <w:tc>
          <w:tcPr>
            <w:tcW w:w="1170" w:type="dxa"/>
            <w:vAlign w:val="center"/>
          </w:tcPr>
          <w:p>
            <w:pPr>
              <w:spacing w:line="360" w:lineRule="auto"/>
              <w:jc w:val="left"/>
            </w:pPr>
            <w:r>
              <w:t>垂直运输设备防护</w:t>
            </w:r>
          </w:p>
        </w:tc>
        <w:tc>
          <w:tcPr>
            <w:tcW w:w="6652" w:type="dxa"/>
          </w:tcPr>
          <w:p>
            <w:pPr>
              <w:spacing w:line="360" w:lineRule="auto"/>
            </w:pPr>
            <w:r>
              <w:rPr>
                <w:rFonts w:hint="eastAsia"/>
              </w:rPr>
              <w:t>（1）</w:t>
            </w:r>
            <w:r>
              <w:t>垂直运输设备检测、检验。</w:t>
            </w:r>
          </w:p>
          <w:p>
            <w:pPr>
              <w:spacing w:line="360" w:lineRule="auto"/>
            </w:pPr>
            <w:r>
              <w:rPr>
                <w:rFonts w:hint="eastAsia"/>
              </w:rPr>
              <w:t>（2）</w:t>
            </w:r>
            <w:r>
              <w:t>物料提升机、施工电梯等卸料平台搭设、外测用密目式安全立网全封闭，安全防护门、防护棚等。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Merge w:val="continue"/>
          </w:tcPr>
          <w:p>
            <w:pPr>
              <w:spacing w:line="360" w:lineRule="auto"/>
            </w:pPr>
          </w:p>
        </w:tc>
        <w:tc>
          <w:tcPr>
            <w:tcW w:w="1913" w:type="dxa"/>
            <w:gridSpan w:val="3"/>
            <w:vAlign w:val="center"/>
          </w:tcPr>
          <w:p>
            <w:pPr>
              <w:spacing w:line="360" w:lineRule="auto"/>
            </w:pPr>
            <w:r>
              <w:t>专家论证审查</w:t>
            </w:r>
          </w:p>
        </w:tc>
        <w:tc>
          <w:tcPr>
            <w:tcW w:w="6652" w:type="dxa"/>
            <w:vAlign w:val="center"/>
          </w:tcPr>
          <w:p>
            <w:pPr>
              <w:spacing w:line="360" w:lineRule="auto"/>
            </w:pPr>
            <w: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5" w:type="dxa"/>
            <w:vMerge w:val="continue"/>
          </w:tcPr>
          <w:p>
            <w:pPr>
              <w:spacing w:line="360" w:lineRule="auto"/>
            </w:pPr>
          </w:p>
        </w:tc>
        <w:tc>
          <w:tcPr>
            <w:tcW w:w="1913" w:type="dxa"/>
            <w:gridSpan w:val="3"/>
            <w:vAlign w:val="center"/>
          </w:tcPr>
          <w:p>
            <w:pPr>
              <w:spacing w:line="360" w:lineRule="auto"/>
            </w:pPr>
            <w:r>
              <w:t>应急救援预案</w:t>
            </w:r>
          </w:p>
        </w:tc>
        <w:tc>
          <w:tcPr>
            <w:tcW w:w="6652" w:type="dxa"/>
            <w:vAlign w:val="center"/>
          </w:tcPr>
          <w:p>
            <w:pPr>
              <w:spacing w:line="360" w:lineRule="auto"/>
            </w:pPr>
            <w: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Pr>
          <w:p>
            <w:pPr>
              <w:spacing w:line="360" w:lineRule="auto"/>
            </w:pPr>
          </w:p>
        </w:tc>
        <w:tc>
          <w:tcPr>
            <w:tcW w:w="1913" w:type="dxa"/>
            <w:gridSpan w:val="3"/>
          </w:tcPr>
          <w:p>
            <w:pPr>
              <w:spacing w:line="360" w:lineRule="auto"/>
            </w:pPr>
            <w:r>
              <w:t>非正常情况施工</w:t>
            </w:r>
          </w:p>
        </w:tc>
        <w:tc>
          <w:tcPr>
            <w:tcW w:w="6652" w:type="dxa"/>
          </w:tcPr>
          <w:p>
            <w:pPr>
              <w:spacing w:line="360" w:lineRule="auto"/>
            </w:pPr>
            <w:r>
              <w:t>其他特殊情况下的防护费用，如：城市主干道、人流密集、河边等处施工及文物、古建筑、古树保护等。</w:t>
            </w:r>
          </w:p>
        </w:tc>
      </w:tr>
    </w:tbl>
    <w:p>
      <w:pPr>
        <w:spacing w:line="560" w:lineRule="exact"/>
        <w:rPr>
          <w:szCs w:val="21"/>
        </w:rPr>
      </w:pPr>
      <w:r>
        <w:rPr>
          <w:rFonts w:hint="eastAsia" w:ascii="宋体" w:hAnsi="宋体"/>
        </w:rPr>
        <w:t xml:space="preserve">   </w:t>
      </w:r>
      <w:r>
        <w:rPr>
          <w:szCs w:val="21"/>
        </w:rPr>
        <w:t>注：本表所列建筑工程安全防护、文明施工措施项目，是依据现行法律法规及标准规范确定的。如法律法规和标准规范修订，本表所列项目应按照修订后的法律法规和标准规范进行调整。</w:t>
      </w:r>
    </w:p>
    <w:p>
      <w:pPr>
        <w:spacing w:line="560" w:lineRule="exact"/>
        <w:rPr>
          <w:rFonts w:asciiTheme="minorEastAsia" w:hAnsiTheme="minorEastAsia" w:eastAsiaTheme="minorEastAsia"/>
          <w:sz w:val="24"/>
        </w:rPr>
        <w:sectPr>
          <w:pgSz w:w="11907" w:h="16840"/>
          <w:pgMar w:top="1440" w:right="1440" w:bottom="1440" w:left="1177" w:header="851" w:footer="851" w:gutter="0"/>
          <w:cols w:space="720" w:num="1"/>
          <w:docGrid w:linePitch="312" w:charSpace="0"/>
        </w:sectPr>
      </w:pPr>
    </w:p>
    <w:p>
      <w:pPr>
        <w:spacing w:beforeLines="-2147483648"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5</w:t>
      </w:r>
      <w:r>
        <w:rPr>
          <w:rFonts w:hint="eastAsia" w:asciiTheme="minorEastAsia" w:hAnsiTheme="minorEastAsia" w:eastAsiaTheme="minorEastAsia"/>
          <w:b/>
          <w:sz w:val="28"/>
          <w:szCs w:val="28"/>
        </w:rPr>
        <w:t>、项目经理简历表（项目经理注册建造师执业资格证书和安全生产考核合格证书（</w:t>
      </w:r>
      <w:r>
        <w:rPr>
          <w:rFonts w:asciiTheme="minorEastAsia" w:hAnsiTheme="minorEastAsia" w:eastAsiaTheme="minorEastAsia"/>
          <w:b/>
          <w:sz w:val="28"/>
          <w:szCs w:val="28"/>
        </w:rPr>
        <w:t>B</w:t>
      </w:r>
      <w:r>
        <w:rPr>
          <w:rFonts w:hint="eastAsia" w:asciiTheme="minorEastAsia" w:hAnsiTheme="minorEastAsia" w:eastAsiaTheme="minorEastAsia"/>
          <w:b/>
          <w:sz w:val="28"/>
          <w:szCs w:val="28"/>
        </w:rPr>
        <w:t>类））；</w:t>
      </w:r>
      <w:r>
        <w:rPr>
          <w:rFonts w:hint="eastAsia" w:asciiTheme="minorEastAsia" w:hAnsiTheme="minorEastAsia" w:eastAsiaTheme="minorEastAsia"/>
          <w:szCs w:val="21"/>
        </w:rPr>
        <w:t>【</w:t>
      </w:r>
      <w:r>
        <w:rPr>
          <w:rFonts w:hint="eastAsia" w:asciiTheme="minorEastAsia" w:hAnsiTheme="minorEastAsia" w:eastAsiaTheme="minorEastAsia"/>
        </w:rPr>
        <w:t>备注：提供已录入广西建筑业企业诚信信息库的有效的证明材料（注册建造师执业资格证和安全生产考核合格证书在诚信库页面打印文件并加盖投标人公章）。】</w:t>
      </w:r>
    </w:p>
    <w:p>
      <w:pPr>
        <w:spacing w:beforeLines="50" w:line="560" w:lineRule="exact"/>
        <w:ind w:firstLine="281" w:firstLineChars="100"/>
        <w:jc w:val="left"/>
        <w:outlineLvl w:val="0"/>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6</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eastAsia="zh-CN"/>
        </w:rPr>
        <w:t>项目技术负责人简历表</w:t>
      </w:r>
      <w:r>
        <w:rPr>
          <w:rFonts w:hint="eastAsia" w:asciiTheme="minorEastAsia" w:hAnsiTheme="minorEastAsia" w:eastAsiaTheme="minorEastAsia"/>
          <w:szCs w:val="21"/>
        </w:rPr>
        <w:t>【</w:t>
      </w:r>
      <w:r>
        <w:rPr>
          <w:rFonts w:hint="eastAsia" w:asciiTheme="minorEastAsia" w:hAnsiTheme="minorEastAsia" w:eastAsiaTheme="minorEastAsia"/>
        </w:rPr>
        <w:t>备注：提供已录入广西建筑业企业诚信信息库的有效的证明材料（</w:t>
      </w:r>
      <w:r>
        <w:rPr>
          <w:rFonts w:hint="eastAsia" w:asciiTheme="minorEastAsia" w:hAnsiTheme="minorEastAsia" w:eastAsiaTheme="minorEastAsia"/>
          <w:lang w:eastAsia="zh-CN"/>
        </w:rPr>
        <w:t>职称证书</w:t>
      </w:r>
      <w:r>
        <w:rPr>
          <w:rFonts w:hint="eastAsia" w:asciiTheme="minorEastAsia" w:hAnsiTheme="minorEastAsia" w:eastAsiaTheme="minorEastAsia"/>
        </w:rPr>
        <w:t>在诚信库页面打印文件并加盖投标人公章）。</w:t>
      </w:r>
    </w:p>
    <w:p>
      <w:pPr>
        <w:spacing w:beforeLines="50" w:line="560" w:lineRule="exact"/>
        <w:ind w:firstLine="562" w:firstLineChars="200"/>
        <w:jc w:val="left"/>
        <w:rPr>
          <w:rFonts w:hint="eastAsia"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7</w:t>
      </w:r>
      <w:r>
        <w:rPr>
          <w:rFonts w:hint="eastAsia" w:asciiTheme="minorEastAsia" w:hAnsiTheme="minorEastAsia" w:eastAsiaTheme="minorEastAsia"/>
          <w:b/>
          <w:sz w:val="28"/>
          <w:szCs w:val="28"/>
        </w:rPr>
        <w:t>、已录入广西建筑业企业诚信信息库的安全员的安全生产考核合格证书（C类）的扫描件</w:t>
      </w:r>
    </w:p>
    <w:p>
      <w:pPr>
        <w:spacing w:beforeLines="50"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8、</w:t>
      </w:r>
      <w:r>
        <w:rPr>
          <w:rFonts w:hint="eastAsia" w:asciiTheme="minorEastAsia" w:hAnsiTheme="minorEastAsia" w:eastAsiaTheme="minorEastAsia"/>
          <w:b/>
          <w:sz w:val="28"/>
          <w:szCs w:val="28"/>
        </w:rPr>
        <w:t>专职投标员、项目经理、技术负责人和主要管理人员近2020年1月-2020年3月在现任职单位依法缴纳社会保险的证明材料；</w:t>
      </w:r>
      <w:r>
        <w:rPr>
          <w:rFonts w:hint="eastAsia" w:asciiTheme="minorEastAsia" w:hAnsiTheme="minorEastAsia" w:eastAsiaTheme="minorEastAsia"/>
          <w:szCs w:val="21"/>
        </w:rPr>
        <w:t>【</w:t>
      </w:r>
      <w:r>
        <w:rPr>
          <w:rFonts w:hint="eastAsia" w:asciiTheme="minorEastAsia" w:hAnsiTheme="minorEastAsia" w:eastAsiaTheme="minorEastAsia"/>
        </w:rPr>
        <w:t>备注：以上文件均须加盖投标人单位公章】</w:t>
      </w:r>
    </w:p>
    <w:p>
      <w:pPr>
        <w:numPr>
          <w:ilvl w:val="-1"/>
          <w:numId w:val="0"/>
        </w:numPr>
        <w:spacing w:beforeLines="50" w:line="560" w:lineRule="exact"/>
        <w:ind w:firstLine="562" w:firstLineChars="200"/>
        <w:jc w:val="left"/>
        <w:rPr>
          <w:rFonts w:hint="eastAsia"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9、</w:t>
      </w:r>
      <w:r>
        <w:rPr>
          <w:rFonts w:hint="eastAsia" w:asciiTheme="minorEastAsia" w:hAnsiTheme="minorEastAsia" w:eastAsiaTheme="minorEastAsia"/>
          <w:b/>
          <w:sz w:val="28"/>
          <w:szCs w:val="28"/>
        </w:rPr>
        <w:t>项目经理无在建项目承诺书。</w:t>
      </w:r>
    </w:p>
    <w:p>
      <w:pPr>
        <w:spacing w:beforeLines="50"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10</w:t>
      </w:r>
      <w:r>
        <w:rPr>
          <w:rFonts w:hint="eastAsia" w:asciiTheme="minorEastAsia" w:hAnsiTheme="minorEastAsia" w:eastAsiaTheme="minorEastAsia"/>
          <w:b/>
          <w:sz w:val="28"/>
          <w:szCs w:val="28"/>
        </w:rPr>
        <w:t>、资格审查需要的其他材料：项目管理机构配备情况表、拟投入施工机械设备情况表、企业近年已完成类似项目一览表、企业近年财务状况表、近年发生的诉讼和仲裁情况等。</w:t>
      </w:r>
    </w:p>
    <w:p>
      <w:pPr>
        <w:spacing w:line="560" w:lineRule="exact"/>
        <w:ind w:firstLine="562" w:firstLineChars="200"/>
        <w:jc w:val="left"/>
        <w:rPr>
          <w:rFonts w:asciiTheme="minorEastAsia" w:hAnsiTheme="minorEastAsia" w:eastAsiaTheme="minorEastAsia"/>
          <w:b/>
          <w:sz w:val="28"/>
          <w:szCs w:val="28"/>
        </w:rPr>
      </w:pPr>
    </w:p>
    <w:p>
      <w:pPr>
        <w:spacing w:line="560" w:lineRule="exact"/>
        <w:ind w:firstLine="562" w:firstLineChars="200"/>
        <w:jc w:val="left"/>
        <w:rPr>
          <w:rFonts w:asciiTheme="minorEastAsia" w:hAnsiTheme="minorEastAsia" w:eastAsiaTheme="minorEastAsia"/>
          <w:b/>
          <w:sz w:val="28"/>
          <w:szCs w:val="28"/>
        </w:rPr>
      </w:pPr>
    </w:p>
    <w:p>
      <w:pPr>
        <w:spacing w:line="560" w:lineRule="exact"/>
        <w:rPr>
          <w:rFonts w:asciiTheme="minorEastAsia" w:hAnsiTheme="minorEastAsia" w:eastAsiaTheme="minorEastAsia"/>
          <w:b/>
          <w:sz w:val="28"/>
          <w:szCs w:val="28"/>
        </w:rPr>
      </w:pPr>
    </w:p>
    <w:p>
      <w:pPr>
        <w:spacing w:line="560" w:lineRule="exact"/>
        <w:ind w:firstLine="420" w:firstLineChars="200"/>
        <w:rPr>
          <w:rStyle w:val="51"/>
          <w:szCs w:val="20"/>
        </w:rPr>
        <w:sectPr>
          <w:pgSz w:w="11907" w:h="16840"/>
          <w:pgMar w:top="1440" w:right="1440" w:bottom="1440" w:left="1377" w:header="851" w:footer="851" w:gutter="0"/>
          <w:cols w:space="720" w:num="1"/>
          <w:docGrid w:linePitch="312" w:charSpace="0"/>
        </w:sectPr>
      </w:pPr>
    </w:p>
    <w:p>
      <w:pPr>
        <w:spacing w:line="560" w:lineRule="exact"/>
        <w:ind w:firstLine="643" w:firstLineChars="200"/>
        <w:jc w:val="center"/>
        <w:outlineLvl w:val="1"/>
        <w:rPr>
          <w:rFonts w:asciiTheme="minorEastAsia" w:hAnsiTheme="minorEastAsia" w:eastAsiaTheme="minorEastAsia"/>
          <w:b/>
          <w:sz w:val="32"/>
          <w:szCs w:val="32"/>
        </w:rPr>
      </w:pPr>
      <w:r>
        <w:rPr>
          <w:rFonts w:hint="eastAsia" w:asciiTheme="minorEastAsia" w:hAnsiTheme="minorEastAsia" w:eastAsiaTheme="minorEastAsia"/>
          <w:b/>
          <w:sz w:val="32"/>
          <w:szCs w:val="32"/>
        </w:rPr>
        <w:t>项目经理无在建项目承诺书</w:t>
      </w:r>
    </w:p>
    <w:p>
      <w:pPr>
        <w:spacing w:line="560" w:lineRule="exact"/>
        <w:ind w:firstLine="643" w:firstLineChars="200"/>
        <w:jc w:val="center"/>
        <w:rPr>
          <w:rFonts w:asciiTheme="minorEastAsia" w:hAnsiTheme="minorEastAsia" w:eastAsiaTheme="minorEastAsia"/>
          <w:b/>
          <w:sz w:val="32"/>
          <w:szCs w:val="32"/>
        </w:rPr>
      </w:pPr>
    </w:p>
    <w:p>
      <w:pPr>
        <w:spacing w:line="560" w:lineRule="exact"/>
        <w:ind w:firstLine="562" w:firstLineChars="200"/>
        <w:jc w:val="center"/>
        <w:rPr>
          <w:rFonts w:asciiTheme="minorEastAsia" w:hAnsiTheme="minorEastAsia" w:eastAsiaTheme="minorEastAsia"/>
          <w:b/>
          <w:sz w:val="28"/>
          <w:szCs w:val="28"/>
        </w:rPr>
      </w:pPr>
    </w:p>
    <w:p>
      <w:pPr>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致：</w:t>
      </w:r>
      <w:r>
        <w:rPr>
          <w:rFonts w:hint="eastAsia" w:asciiTheme="minorEastAsia" w:hAnsiTheme="minorEastAsia" w:eastAsiaTheme="minorEastAsia"/>
          <w:bCs/>
          <w:sz w:val="28"/>
          <w:szCs w:val="28"/>
          <w:u w:val="single"/>
        </w:rPr>
        <w:t xml:space="preserve">           （招标人名称）</w:t>
      </w:r>
    </w:p>
    <w:p>
      <w:pPr>
        <w:spacing w:line="560" w:lineRule="exact"/>
        <w:ind w:firstLine="560" w:firstLineChars="200"/>
        <w:rPr>
          <w:rFonts w:asciiTheme="minorEastAsia" w:hAnsiTheme="minorEastAsia" w:eastAsiaTheme="minorEastAsia"/>
          <w:bCs/>
          <w:sz w:val="28"/>
          <w:szCs w:val="28"/>
          <w:u w:val="single"/>
        </w:rPr>
      </w:pPr>
    </w:p>
    <w:p>
      <w:pPr>
        <w:spacing w:line="56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 xml:space="preserve">   我</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系</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的法定代表人，现承诺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（项目名称）</w:t>
      </w:r>
      <w:r>
        <w:rPr>
          <w:rFonts w:hint="eastAsia" w:asciiTheme="minorEastAsia" w:hAnsiTheme="minorEastAsia" w:eastAsiaTheme="minorEastAsia"/>
          <w:bCs/>
          <w:sz w:val="28"/>
          <w:szCs w:val="28"/>
          <w:u w:val="single"/>
        </w:rPr>
        <w:t xml:space="preserve">      （项目编号）</w:t>
      </w:r>
      <w:r>
        <w:rPr>
          <w:rFonts w:hint="eastAsia" w:asciiTheme="minorEastAsia" w:hAnsiTheme="minorEastAsia" w:eastAsiaTheme="minorEastAsia"/>
          <w:bCs/>
          <w:sz w:val="28"/>
          <w:szCs w:val="28"/>
        </w:rPr>
        <w:t>拟派项目经理</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（项目经理名字），项目经理证号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身份证号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目前无在建工程，且未担任任何在建工程的任何职务。若有虚假一经查实，愿意承担一切责任，并承担由此造成的一切损失。</w:t>
      </w:r>
    </w:p>
    <w:p>
      <w:pPr>
        <w:spacing w:line="560" w:lineRule="exact"/>
        <w:rPr>
          <w:rFonts w:asciiTheme="minorEastAsia" w:hAnsiTheme="minorEastAsia" w:eastAsiaTheme="minorEastAsia"/>
          <w:b/>
          <w:sz w:val="28"/>
          <w:szCs w:val="28"/>
        </w:rPr>
      </w:pPr>
    </w:p>
    <w:p>
      <w:pPr>
        <w:spacing w:line="560" w:lineRule="exact"/>
        <w:ind w:firstLine="562" w:firstLineChars="200"/>
        <w:rPr>
          <w:rFonts w:asciiTheme="minorEastAsia" w:hAnsiTheme="minorEastAsia" w:eastAsiaTheme="minorEastAsia"/>
          <w:b/>
          <w:sz w:val="28"/>
          <w:szCs w:val="28"/>
        </w:rPr>
      </w:pPr>
    </w:p>
    <w:p>
      <w:pPr>
        <w:spacing w:line="560" w:lineRule="exact"/>
        <w:ind w:firstLine="562" w:firstLineChars="200"/>
        <w:rPr>
          <w:rFonts w:asciiTheme="minorEastAsia" w:hAnsiTheme="minorEastAsia" w:eastAsiaTheme="minorEastAsia"/>
          <w:b/>
          <w:sz w:val="28"/>
          <w:szCs w:val="28"/>
        </w:rPr>
      </w:pPr>
    </w:p>
    <w:p>
      <w:pPr>
        <w:spacing w:line="560" w:lineRule="exact"/>
        <w:ind w:firstLine="560" w:firstLineChars="200"/>
        <w:jc w:val="right"/>
        <w:outlineLvl w:val="1"/>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承诺单位名称：</w:t>
      </w:r>
      <w:r>
        <w:rPr>
          <w:rFonts w:hint="eastAsia" w:asciiTheme="minorEastAsia" w:hAnsiTheme="minorEastAsia" w:eastAsiaTheme="minorEastAsia"/>
          <w:bCs/>
          <w:sz w:val="28"/>
          <w:szCs w:val="28"/>
          <w:u w:val="single"/>
        </w:rPr>
        <w:t xml:space="preserve">                 （加盖公章）</w:t>
      </w:r>
    </w:p>
    <w:p>
      <w:pPr>
        <w:spacing w:line="560" w:lineRule="exact"/>
        <w:ind w:firstLine="560" w:firstLineChars="200"/>
        <w:jc w:val="right"/>
        <w:rPr>
          <w:rFonts w:asciiTheme="minorEastAsia" w:hAnsiTheme="minorEastAsia" w:eastAsiaTheme="minorEastAsia"/>
          <w:bCs/>
          <w:sz w:val="28"/>
          <w:szCs w:val="28"/>
          <w:u w:val="single"/>
        </w:rPr>
      </w:pPr>
    </w:p>
    <w:p>
      <w:pPr>
        <w:spacing w:line="560" w:lineRule="exact"/>
        <w:ind w:firstLine="560" w:firstLineChars="200"/>
        <w:jc w:val="right"/>
        <w:outlineLvl w:val="1"/>
        <w:rPr>
          <w:rFonts w:asciiTheme="minorEastAsia" w:hAnsiTheme="minorEastAsia" w:eastAsiaTheme="minorEastAsia"/>
          <w:bCs/>
          <w:sz w:val="28"/>
          <w:szCs w:val="28"/>
          <w:u w:val="single"/>
        </w:rPr>
        <w:sectPr>
          <w:pgSz w:w="11907" w:h="16840"/>
          <w:pgMar w:top="1440" w:right="1440" w:bottom="1440" w:left="1397" w:header="851" w:footer="851" w:gutter="0"/>
          <w:cols w:space="720" w:num="1"/>
          <w:docGrid w:linePitch="312" w:charSpace="0"/>
        </w:sectPr>
      </w:pP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pPr>
        <w:spacing w:beforeLines="50" w:afterLines="100" w:line="560" w:lineRule="exact"/>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附表：</w:t>
      </w:r>
    </w:p>
    <w:p>
      <w:pPr>
        <w:tabs>
          <w:tab w:val="left" w:pos="826"/>
        </w:tabs>
        <w:snapToGrid w:val="0"/>
        <w:spacing w:line="560" w:lineRule="exact"/>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1</w:t>
      </w:r>
      <w:r>
        <w:rPr>
          <w:rFonts w:hint="eastAsia" w:asciiTheme="minorEastAsia" w:hAnsiTheme="minorEastAsia" w:eastAsiaTheme="minorEastAsia"/>
          <w:b/>
          <w:sz w:val="24"/>
        </w:rPr>
        <w:t>）项目管理机构配备情况表</w:t>
      </w:r>
    </w:p>
    <w:p>
      <w:pPr>
        <w:tabs>
          <w:tab w:val="left" w:pos="826"/>
        </w:tabs>
        <w:snapToGrid w:val="0"/>
        <w:spacing w:line="560" w:lineRule="exact"/>
        <w:ind w:firstLine="482" w:firstLineChars="200"/>
        <w:rPr>
          <w:rFonts w:asciiTheme="minorEastAsia" w:hAnsiTheme="minorEastAsia" w:eastAsiaTheme="minorEastAsia"/>
          <w:b/>
          <w:sz w:val="24"/>
        </w:rPr>
      </w:pPr>
    </w:p>
    <w:p>
      <w:pPr>
        <w:pStyle w:val="99"/>
        <w:spacing w:line="560" w:lineRule="exact"/>
        <w:ind w:firstLine="420" w:firstLineChars="200"/>
        <w:outlineLvl w:val="0"/>
        <w:rPr>
          <w:rFonts w:asciiTheme="minorEastAsia" w:hAnsiTheme="minorEastAsia" w:eastAsiaTheme="minorEastAsia"/>
        </w:rPr>
      </w:pPr>
      <w:r>
        <w:rPr>
          <w:rFonts w:asciiTheme="minorEastAsia" w:hAnsiTheme="minorEastAsia" w:eastAsiaTheme="minorEastAsia"/>
          <w:u w:val="single"/>
        </w:rPr>
        <w:t xml:space="preserve">            </w:t>
      </w:r>
      <w:r>
        <w:rPr>
          <w:rFonts w:hint="eastAsia" w:asciiTheme="minorEastAsia" w:hAnsiTheme="minorEastAsia" w:eastAsiaTheme="minorEastAsia"/>
          <w:u w:val="single"/>
        </w:rPr>
        <w:t>（招标工程项目名称）</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工程</w:t>
      </w:r>
    </w:p>
    <w:tbl>
      <w:tblPr>
        <w:tblStyle w:val="38"/>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jc w:val="center"/>
            </w:pPr>
            <w:r>
              <w:rPr>
                <w:rFonts w:hint="eastAsia"/>
              </w:rPr>
              <w:t>岗位</w:t>
            </w:r>
          </w:p>
        </w:tc>
        <w:tc>
          <w:tcPr>
            <w:tcW w:w="829" w:type="dxa"/>
            <w:vMerge w:val="restart"/>
            <w:vAlign w:val="center"/>
          </w:tcPr>
          <w:p>
            <w:pPr>
              <w:jc w:val="center"/>
            </w:pPr>
            <w:r>
              <w:rPr>
                <w:rFonts w:hint="eastAsia"/>
              </w:rPr>
              <w:t>姓名</w:t>
            </w:r>
          </w:p>
        </w:tc>
        <w:tc>
          <w:tcPr>
            <w:tcW w:w="816" w:type="dxa"/>
            <w:vMerge w:val="restart"/>
            <w:vAlign w:val="center"/>
          </w:tcPr>
          <w:p>
            <w:pPr>
              <w:jc w:val="center"/>
            </w:pPr>
            <w:r>
              <w:rPr>
                <w:rFonts w:hint="eastAsia"/>
              </w:rPr>
              <w:t>职称</w:t>
            </w:r>
          </w:p>
        </w:tc>
        <w:tc>
          <w:tcPr>
            <w:tcW w:w="4592" w:type="dxa"/>
            <w:gridSpan w:val="4"/>
            <w:vAlign w:val="center"/>
          </w:tcPr>
          <w:p>
            <w:pPr>
              <w:jc w:val="center"/>
            </w:pPr>
            <w:r>
              <w:rPr>
                <w:rFonts w:hint="eastAsia"/>
              </w:rPr>
              <w:t>执业或职业资格证明</w:t>
            </w:r>
          </w:p>
        </w:tc>
        <w:tc>
          <w:tcPr>
            <w:tcW w:w="2529" w:type="dxa"/>
            <w:gridSpan w:val="2"/>
            <w:vAlign w:val="center"/>
          </w:tcPr>
          <w:p>
            <w:pPr>
              <w:jc w:val="center"/>
            </w:pPr>
            <w:r>
              <w:rPr>
                <w:rFonts w:hint="eastAsia"/>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993" w:type="dxa"/>
            <w:vMerge w:val="continue"/>
            <w:vAlign w:val="center"/>
          </w:tcPr>
          <w:p>
            <w:pPr>
              <w:jc w:val="center"/>
            </w:pPr>
          </w:p>
        </w:tc>
        <w:tc>
          <w:tcPr>
            <w:tcW w:w="829" w:type="dxa"/>
            <w:vMerge w:val="continue"/>
            <w:vAlign w:val="center"/>
          </w:tcPr>
          <w:p>
            <w:pPr>
              <w:jc w:val="center"/>
            </w:pPr>
          </w:p>
        </w:tc>
        <w:tc>
          <w:tcPr>
            <w:tcW w:w="816" w:type="dxa"/>
            <w:vMerge w:val="continue"/>
            <w:vAlign w:val="center"/>
          </w:tcPr>
          <w:p>
            <w:pPr>
              <w:jc w:val="center"/>
            </w:pPr>
          </w:p>
        </w:tc>
        <w:tc>
          <w:tcPr>
            <w:tcW w:w="1148" w:type="dxa"/>
            <w:vAlign w:val="center"/>
          </w:tcPr>
          <w:p>
            <w:pPr>
              <w:jc w:val="center"/>
            </w:pPr>
            <w:r>
              <w:rPr>
                <w:rFonts w:hint="eastAsia"/>
              </w:rPr>
              <w:t>证书名称</w:t>
            </w:r>
          </w:p>
        </w:tc>
        <w:tc>
          <w:tcPr>
            <w:tcW w:w="1148" w:type="dxa"/>
            <w:vAlign w:val="center"/>
          </w:tcPr>
          <w:p>
            <w:pPr>
              <w:jc w:val="center"/>
            </w:pPr>
            <w:r>
              <w:rPr>
                <w:rFonts w:hint="eastAsia"/>
              </w:rPr>
              <w:t>级别</w:t>
            </w:r>
          </w:p>
        </w:tc>
        <w:tc>
          <w:tcPr>
            <w:tcW w:w="1148" w:type="dxa"/>
            <w:vAlign w:val="center"/>
          </w:tcPr>
          <w:p>
            <w:pPr>
              <w:jc w:val="center"/>
            </w:pPr>
            <w:r>
              <w:rPr>
                <w:rFonts w:hint="eastAsia"/>
              </w:rPr>
              <w:t>证号</w:t>
            </w:r>
          </w:p>
        </w:tc>
        <w:tc>
          <w:tcPr>
            <w:tcW w:w="1148" w:type="dxa"/>
            <w:vAlign w:val="center"/>
          </w:tcPr>
          <w:p>
            <w:pPr>
              <w:jc w:val="center"/>
            </w:pPr>
            <w:r>
              <w:rPr>
                <w:rFonts w:hint="eastAsia"/>
              </w:rPr>
              <w:t>专业</w:t>
            </w:r>
          </w:p>
        </w:tc>
        <w:tc>
          <w:tcPr>
            <w:tcW w:w="850" w:type="dxa"/>
            <w:vAlign w:val="center"/>
          </w:tcPr>
          <w:p>
            <w:pPr>
              <w:jc w:val="center"/>
            </w:pPr>
            <w:r>
              <w:rPr>
                <w:rFonts w:hint="eastAsia"/>
              </w:rPr>
              <w:t>项目数</w:t>
            </w:r>
          </w:p>
        </w:tc>
        <w:tc>
          <w:tcPr>
            <w:tcW w:w="1679" w:type="dxa"/>
            <w:vAlign w:val="center"/>
          </w:tcPr>
          <w:p>
            <w:pPr>
              <w:jc w:val="center"/>
            </w:pPr>
            <w:r>
              <w:rPr>
                <w:rFonts w:hint="eastAsia"/>
              </w:rPr>
              <w:t>主要项目</w:t>
            </w:r>
          </w:p>
          <w:p>
            <w:pPr>
              <w:jc w:val="center"/>
            </w:pP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67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vAlign w:val="center"/>
          </w:tcPr>
          <w:p>
            <w:pPr>
              <w:spacing w:line="360" w:lineRule="auto"/>
            </w:pPr>
            <w:r>
              <w:rPr>
                <w:rFonts w:hint="eastAsia"/>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560" w:lineRule="exact"/>
        <w:ind w:right="-210" w:firstLine="420" w:firstLineChars="200"/>
        <w:rPr>
          <w:rFonts w:asciiTheme="minorEastAsia" w:hAnsiTheme="minorEastAsia" w:eastAsiaTheme="minorEastAsia"/>
        </w:rPr>
      </w:pPr>
    </w:p>
    <w:p>
      <w:pPr>
        <w:tabs>
          <w:tab w:val="left" w:pos="0"/>
        </w:tabs>
        <w:spacing w:line="560" w:lineRule="exact"/>
        <w:ind w:right="-210" w:firstLine="420" w:firstLineChars="200"/>
        <w:rPr>
          <w:rFonts w:asciiTheme="minorEastAsia" w:hAnsiTheme="minorEastAsia" w:eastAsiaTheme="minorEastAsia"/>
        </w:rPr>
      </w:pPr>
      <w:r>
        <w:rPr>
          <w:rFonts w:hint="eastAsia" w:asciiTheme="minorEastAsia" w:hAnsiTheme="minorEastAsia" w:eastAsiaTheme="minorEastAsia"/>
        </w:rPr>
        <w:t>【备注：附以上各岗位人员资格证件，以及投标人认为需要的其他证明材料复印件。】</w:t>
      </w:r>
    </w:p>
    <w:p>
      <w:pPr>
        <w:spacing w:beforeLines="50" w:afterLines="50" w:line="560" w:lineRule="exact"/>
        <w:rPr>
          <w:rFonts w:asciiTheme="minorEastAsia" w:hAnsiTheme="minorEastAsia" w:eastAsiaTheme="minorEastAsia"/>
          <w:b/>
          <w:sz w:val="28"/>
          <w:szCs w:val="28"/>
        </w:rPr>
        <w:sectPr>
          <w:pgSz w:w="11907" w:h="16840"/>
          <w:pgMar w:top="1440" w:right="1440" w:bottom="1440" w:left="1377" w:header="851" w:footer="851" w:gutter="0"/>
          <w:cols w:space="720" w:num="1"/>
          <w:docGrid w:linePitch="312" w:charSpace="0"/>
        </w:sectPr>
      </w:pPr>
    </w:p>
    <w:p>
      <w:pPr>
        <w:tabs>
          <w:tab w:val="left" w:pos="826"/>
        </w:tabs>
        <w:snapToGrid w:val="0"/>
        <w:spacing w:line="560" w:lineRule="exact"/>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2</w:t>
      </w:r>
      <w:r>
        <w:rPr>
          <w:rFonts w:hint="eastAsia" w:asciiTheme="minorEastAsia" w:hAnsiTheme="minorEastAsia" w:eastAsiaTheme="minorEastAsia"/>
          <w:b/>
          <w:sz w:val="24"/>
        </w:rPr>
        <w:t>）拟投入施工机械设备情况表（格式自拟）</w:t>
      </w:r>
    </w:p>
    <w:p>
      <w:pPr>
        <w:spacing w:beforeLines="50" w:afterLines="50" w:line="560" w:lineRule="exact"/>
        <w:ind w:left="210" w:leftChars="100" w:firstLine="562" w:firstLineChars="200"/>
        <w:jc w:val="center"/>
        <w:rPr>
          <w:rFonts w:asciiTheme="minorEastAsia" w:hAnsiTheme="minorEastAsia" w:eastAsiaTheme="minorEastAsia"/>
          <w:b/>
          <w:sz w:val="28"/>
          <w:szCs w:val="28"/>
        </w:rPr>
      </w:pPr>
    </w:p>
    <w:p>
      <w:pPr>
        <w:spacing w:beforeLines="50" w:afterLines="50" w:line="560" w:lineRule="exact"/>
        <w:ind w:left="210" w:leftChars="100" w:firstLine="562" w:firstLineChars="200"/>
        <w:jc w:val="center"/>
        <w:rPr>
          <w:rFonts w:asciiTheme="minorEastAsia" w:hAnsiTheme="minorEastAsia" w:eastAsiaTheme="minorEastAsia"/>
          <w:b/>
          <w:sz w:val="28"/>
          <w:szCs w:val="28"/>
        </w:rPr>
        <w:sectPr>
          <w:pgSz w:w="11907" w:h="16840"/>
          <w:pgMar w:top="1440" w:right="1440" w:bottom="1440" w:left="1377" w:header="851" w:footer="851" w:gutter="0"/>
          <w:cols w:space="720" w:num="1"/>
          <w:docGrid w:linePitch="312" w:charSpace="0"/>
        </w:sectPr>
      </w:pPr>
    </w:p>
    <w:p>
      <w:pPr>
        <w:tabs>
          <w:tab w:val="left" w:pos="826"/>
        </w:tabs>
        <w:snapToGrid w:val="0"/>
        <w:spacing w:line="560" w:lineRule="exact"/>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3</w:t>
      </w:r>
      <w:r>
        <w:rPr>
          <w:rFonts w:hint="eastAsia" w:asciiTheme="minorEastAsia" w:hAnsiTheme="minorEastAsia" w:eastAsiaTheme="minorEastAsia"/>
          <w:b/>
          <w:sz w:val="24"/>
        </w:rPr>
        <w:t>）近年已完成类似工程一览表</w:t>
      </w:r>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left"/>
            </w:pPr>
            <w:r>
              <w:rPr>
                <w:rFonts w:hint="eastAsia"/>
              </w:rPr>
              <w:t>序号</w:t>
            </w:r>
          </w:p>
        </w:tc>
        <w:tc>
          <w:tcPr>
            <w:tcW w:w="1701" w:type="dxa"/>
            <w:vAlign w:val="center"/>
          </w:tcPr>
          <w:p>
            <w:pPr>
              <w:jc w:val="left"/>
            </w:pPr>
            <w:r>
              <w:rPr>
                <w:rFonts w:hint="eastAsia"/>
              </w:rPr>
              <w:t>发包人名称</w:t>
            </w:r>
          </w:p>
        </w:tc>
        <w:tc>
          <w:tcPr>
            <w:tcW w:w="1417" w:type="dxa"/>
            <w:vAlign w:val="center"/>
          </w:tcPr>
          <w:p>
            <w:pPr>
              <w:jc w:val="left"/>
            </w:pPr>
            <w:r>
              <w:rPr>
                <w:rFonts w:hint="eastAsia"/>
              </w:rPr>
              <w:t>工程名称</w:t>
            </w:r>
          </w:p>
          <w:p>
            <w:pPr>
              <w:jc w:val="left"/>
            </w:pPr>
            <w:r>
              <w:rPr>
                <w:rFonts w:hint="eastAsia"/>
              </w:rPr>
              <w:t>及建设地点</w:t>
            </w:r>
          </w:p>
        </w:tc>
        <w:tc>
          <w:tcPr>
            <w:tcW w:w="851" w:type="dxa"/>
            <w:vAlign w:val="center"/>
          </w:tcPr>
          <w:p>
            <w:pPr>
              <w:jc w:val="left"/>
            </w:pPr>
            <w:r>
              <w:rPr>
                <w:rFonts w:hint="eastAsia"/>
              </w:rPr>
              <w:t>结构</w:t>
            </w:r>
          </w:p>
          <w:p>
            <w:pPr>
              <w:jc w:val="left"/>
            </w:pPr>
            <w:r>
              <w:rPr>
                <w:rFonts w:hint="eastAsia"/>
              </w:rPr>
              <w:t>类型</w:t>
            </w:r>
          </w:p>
        </w:tc>
        <w:tc>
          <w:tcPr>
            <w:tcW w:w="992" w:type="dxa"/>
            <w:vAlign w:val="center"/>
          </w:tcPr>
          <w:p>
            <w:pPr>
              <w:jc w:val="left"/>
            </w:pPr>
            <w:r>
              <w:rPr>
                <w:rFonts w:hint="eastAsia"/>
              </w:rPr>
              <w:t>建设</w:t>
            </w:r>
          </w:p>
          <w:p>
            <w:pPr>
              <w:jc w:val="left"/>
            </w:pPr>
            <w:r>
              <w:rPr>
                <w:rFonts w:hint="eastAsia"/>
              </w:rPr>
              <w:t>规模</w:t>
            </w:r>
          </w:p>
        </w:tc>
        <w:tc>
          <w:tcPr>
            <w:tcW w:w="1134" w:type="dxa"/>
            <w:vAlign w:val="center"/>
          </w:tcPr>
          <w:p>
            <w:pPr>
              <w:jc w:val="left"/>
            </w:pPr>
            <w:r>
              <w:rPr>
                <w:rFonts w:hint="eastAsia"/>
              </w:rPr>
              <w:t>合同金额</w:t>
            </w:r>
          </w:p>
          <w:p>
            <w:pPr>
              <w:jc w:val="left"/>
            </w:pPr>
            <w:r>
              <w:rPr>
                <w:rFonts w:hint="eastAsia"/>
              </w:rPr>
              <w:t>（万元）</w:t>
            </w:r>
          </w:p>
        </w:tc>
        <w:tc>
          <w:tcPr>
            <w:tcW w:w="1276" w:type="dxa"/>
            <w:vAlign w:val="center"/>
          </w:tcPr>
          <w:p>
            <w:pPr>
              <w:jc w:val="left"/>
            </w:pPr>
            <w:r>
              <w:rPr>
                <w:rFonts w:hint="eastAsia"/>
              </w:rPr>
              <w:t>竣工达到</w:t>
            </w:r>
          </w:p>
          <w:p>
            <w:pPr>
              <w:jc w:val="left"/>
            </w:pPr>
            <w:r>
              <w:rPr>
                <w:rFonts w:hint="eastAsia"/>
              </w:rPr>
              <w:t>质量标准</w:t>
            </w:r>
          </w:p>
        </w:tc>
        <w:tc>
          <w:tcPr>
            <w:tcW w:w="1134" w:type="dxa"/>
            <w:vAlign w:val="center"/>
          </w:tcPr>
          <w:p>
            <w:pPr>
              <w:jc w:val="left"/>
            </w:pPr>
            <w:r>
              <w:rPr>
                <w:rFonts w:hint="eastAsia"/>
              </w:rPr>
              <w:t>开竣工</w:t>
            </w:r>
          </w:p>
          <w:p>
            <w:pPr>
              <w:jc w:val="left"/>
            </w:pPr>
            <w:r>
              <w:rPr>
                <w:rFonts w:hint="eastAsia"/>
              </w:rPr>
              <w:t>日</w:t>
            </w:r>
            <w:r>
              <w:t xml:space="preserve">  </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left"/>
            </w:pPr>
          </w:p>
        </w:tc>
        <w:tc>
          <w:tcPr>
            <w:tcW w:w="1701" w:type="dxa"/>
            <w:vAlign w:val="center"/>
          </w:tcPr>
          <w:p>
            <w:pPr>
              <w:jc w:val="left"/>
            </w:pPr>
          </w:p>
        </w:tc>
        <w:tc>
          <w:tcPr>
            <w:tcW w:w="1417" w:type="dxa"/>
            <w:vAlign w:val="center"/>
          </w:tcPr>
          <w:p>
            <w:pPr>
              <w:jc w:val="left"/>
            </w:pPr>
          </w:p>
        </w:tc>
        <w:tc>
          <w:tcPr>
            <w:tcW w:w="851" w:type="dxa"/>
            <w:vAlign w:val="center"/>
          </w:tcPr>
          <w:p>
            <w:pPr>
              <w:jc w:val="left"/>
            </w:pPr>
          </w:p>
        </w:tc>
        <w:tc>
          <w:tcPr>
            <w:tcW w:w="992" w:type="dxa"/>
            <w:vAlign w:val="center"/>
          </w:tcPr>
          <w:p>
            <w:pPr>
              <w:jc w:val="left"/>
            </w:pPr>
          </w:p>
        </w:tc>
        <w:tc>
          <w:tcPr>
            <w:tcW w:w="1134" w:type="dxa"/>
            <w:vAlign w:val="center"/>
          </w:tcPr>
          <w:p>
            <w:pPr>
              <w:jc w:val="left"/>
            </w:pPr>
          </w:p>
        </w:tc>
        <w:tc>
          <w:tcPr>
            <w:tcW w:w="1276" w:type="dxa"/>
            <w:vAlign w:val="center"/>
          </w:tcPr>
          <w:p>
            <w:pPr>
              <w:jc w:val="left"/>
            </w:pPr>
          </w:p>
        </w:tc>
        <w:tc>
          <w:tcPr>
            <w:tcW w:w="1134" w:type="dxa"/>
            <w:vAlign w:val="center"/>
          </w:tcPr>
          <w:p>
            <w:pPr>
              <w:jc w:val="left"/>
            </w:pPr>
          </w:p>
        </w:tc>
      </w:tr>
    </w:tbl>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备注：</w:t>
      </w:r>
    </w:p>
    <w:p>
      <w:pPr>
        <w:spacing w:line="560" w:lineRule="exact"/>
        <w:ind w:firstLine="420" w:firstLineChars="200"/>
        <w:rPr>
          <w:rFonts w:asciiTheme="minorEastAsia" w:hAnsiTheme="minorEastAsia" w:eastAsiaTheme="minorEastAsia"/>
        </w:rPr>
      </w:pPr>
      <w:bookmarkStart w:id="263" w:name="OLE_LINK26"/>
      <w:r>
        <w:rPr>
          <w:rFonts w:asciiTheme="minorEastAsia" w:hAnsiTheme="minorEastAsia" w:eastAsiaTheme="minorEastAsia"/>
        </w:rPr>
        <w:t>1</w:t>
      </w:r>
      <w:r>
        <w:rPr>
          <w:rFonts w:hint="eastAsia" w:asciiTheme="minorEastAsia" w:hAnsiTheme="minorEastAsia" w:eastAsiaTheme="minorEastAsia"/>
        </w:rPr>
        <w:t>、附以上类似工程的中标通知书（如有）、工程合同协议书、工程竣工验收证明材料，</w:t>
      </w:r>
      <w:bookmarkStart w:id="264" w:name="OLE_LINK22"/>
      <w:r>
        <w:rPr>
          <w:rFonts w:hint="eastAsia" w:asciiTheme="minorEastAsia" w:hAnsiTheme="minorEastAsia" w:eastAsiaTheme="minorEastAsia"/>
        </w:rPr>
        <w:t>以及投标人认为需要增加的其他证明材料复印件，以上复印件、须加盖投标人单位公章</w:t>
      </w:r>
      <w:bookmarkEnd w:id="264"/>
      <w:r>
        <w:rPr>
          <w:rFonts w:hint="eastAsia" w:asciiTheme="minorEastAsia" w:hAnsiTheme="minorEastAsia" w:eastAsiaTheme="minorEastAsia"/>
        </w:rPr>
        <w:t>。</w:t>
      </w:r>
    </w:p>
    <w:bookmarkEnd w:id="263"/>
    <w:p>
      <w:pPr>
        <w:spacing w:line="560" w:lineRule="exact"/>
        <w:ind w:firstLine="420" w:firstLineChars="200"/>
        <w:rPr>
          <w:rFonts w:asciiTheme="minorEastAsia" w:hAnsiTheme="minorEastAsia" w:eastAsiaTheme="minorEastAsia"/>
        </w:rPr>
      </w:pPr>
    </w:p>
    <w:p>
      <w:pPr>
        <w:spacing w:line="560" w:lineRule="exact"/>
        <w:ind w:left="210" w:leftChars="100" w:firstLine="562" w:firstLineChars="200"/>
        <w:rPr>
          <w:rFonts w:asciiTheme="minorEastAsia" w:hAnsiTheme="minorEastAsia" w:eastAsiaTheme="minorEastAsia"/>
          <w:b/>
          <w:sz w:val="28"/>
          <w:szCs w:val="28"/>
        </w:rPr>
      </w:pPr>
    </w:p>
    <w:p>
      <w:pPr>
        <w:spacing w:beforeLines="50" w:afterLines="50" w:line="560" w:lineRule="exact"/>
        <w:rPr>
          <w:rFonts w:asciiTheme="minorEastAsia" w:hAnsiTheme="minorEastAsia" w:eastAsiaTheme="minorEastAsia"/>
          <w:b/>
          <w:sz w:val="28"/>
          <w:szCs w:val="28"/>
        </w:rPr>
      </w:pPr>
    </w:p>
    <w:p>
      <w:pPr>
        <w:rPr>
          <w:rFonts w:asciiTheme="minorEastAsia" w:hAnsiTheme="minorEastAsia" w:eastAsiaTheme="minorEastAsia"/>
          <w:b/>
          <w:sz w:val="24"/>
        </w:rPr>
      </w:pPr>
      <w:r>
        <w:rPr>
          <w:rFonts w:hint="eastAsia" w:asciiTheme="minorEastAsia" w:hAnsiTheme="minorEastAsia" w:eastAsiaTheme="minorEastAsia"/>
          <w:b/>
          <w:sz w:val="24"/>
        </w:rPr>
        <w:br w:type="page"/>
      </w:r>
    </w:p>
    <w:p>
      <w:pPr>
        <w:tabs>
          <w:tab w:val="left" w:pos="826"/>
        </w:tabs>
        <w:snapToGrid w:val="0"/>
        <w:spacing w:line="560" w:lineRule="exact"/>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4</w:t>
      </w:r>
      <w:r>
        <w:rPr>
          <w:rFonts w:hint="eastAsia" w:asciiTheme="minorEastAsia" w:hAnsiTheme="minorEastAsia" w:eastAsiaTheme="minorEastAsia"/>
          <w:b/>
          <w:sz w:val="24"/>
        </w:rPr>
        <w:t>）近年企业信誉实力一览表</w:t>
      </w:r>
    </w:p>
    <w:tbl>
      <w:tblPr>
        <w:tblStyle w:val="3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r>
              <w:rPr>
                <w:rFonts w:hint="eastAsia"/>
              </w:rPr>
              <w:t>序号</w:t>
            </w:r>
          </w:p>
        </w:tc>
        <w:tc>
          <w:tcPr>
            <w:tcW w:w="8359" w:type="dxa"/>
            <w:vAlign w:val="center"/>
          </w:tcPr>
          <w:p>
            <w:pPr>
              <w:jc w:val="center"/>
            </w:pPr>
            <w:r>
              <w:rPr>
                <w:rFonts w:hint="eastAsia"/>
              </w:rPr>
              <w:t>奖项名称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left"/>
            </w:pPr>
          </w:p>
        </w:tc>
        <w:tc>
          <w:tcPr>
            <w:tcW w:w="8359" w:type="dxa"/>
            <w:vAlign w:val="center"/>
          </w:tcPr>
          <w:p>
            <w:pPr>
              <w:jc w:val="left"/>
            </w:pPr>
          </w:p>
        </w:tc>
      </w:tr>
    </w:tbl>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before="120" w:line="560" w:lineRule="exact"/>
        <w:ind w:firstLine="420" w:firstLineChars="200"/>
        <w:rPr>
          <w:rFonts w:asciiTheme="minorEastAsia" w:hAnsiTheme="minorEastAsia" w:eastAsiaTheme="minorEastAsia"/>
        </w:rPr>
      </w:pPr>
    </w:p>
    <w:p>
      <w:pPr>
        <w:spacing w:beforeLines="50" w:afterLines="50" w:line="560" w:lineRule="exact"/>
        <w:ind w:left="210" w:leftChars="100" w:firstLine="562" w:firstLineChars="200"/>
        <w:jc w:val="center"/>
        <w:rPr>
          <w:rFonts w:asciiTheme="minorEastAsia" w:hAnsiTheme="minorEastAsia" w:eastAsiaTheme="minorEastAsia"/>
          <w:b/>
          <w:sz w:val="28"/>
          <w:szCs w:val="28"/>
        </w:rPr>
      </w:pPr>
    </w:p>
    <w:p>
      <w:pPr>
        <w:spacing w:beforeLines="50" w:afterLines="50" w:line="560" w:lineRule="exact"/>
        <w:ind w:left="210" w:leftChars="100" w:firstLine="562" w:firstLineChars="200"/>
        <w:jc w:val="center"/>
        <w:rPr>
          <w:rFonts w:asciiTheme="minorEastAsia" w:hAnsiTheme="minorEastAsia" w:eastAsiaTheme="minorEastAsia"/>
          <w:b/>
          <w:sz w:val="28"/>
          <w:szCs w:val="28"/>
        </w:rPr>
      </w:pPr>
    </w:p>
    <w:p>
      <w:pPr>
        <w:tabs>
          <w:tab w:val="left" w:pos="826"/>
        </w:tabs>
        <w:snapToGrid w:val="0"/>
        <w:spacing w:line="560" w:lineRule="exact"/>
        <w:ind w:firstLine="420" w:firstLineChars="200"/>
        <w:outlineLvl w:val="0"/>
        <w:rPr>
          <w:rFonts w:asciiTheme="minorEastAsia" w:hAnsiTheme="minorEastAsia" w:eastAsiaTheme="minorEastAsia"/>
          <w:b/>
          <w:sz w:val="28"/>
          <w:szCs w:val="28"/>
        </w:rPr>
      </w:pPr>
      <w:r>
        <w:rPr>
          <w:rFonts w:asciiTheme="minorEastAsia" w:hAnsiTheme="minorEastAsia" w:eastAsiaTheme="minorEastAsia"/>
          <w:szCs w:val="21"/>
        </w:rPr>
        <w:br w:type="page"/>
      </w:r>
      <w:r>
        <w:rPr>
          <w:rFonts w:hint="eastAsia" w:asciiTheme="minorEastAsia" w:hAnsiTheme="minorEastAsia" w:eastAsiaTheme="minorEastAsia"/>
          <w:b/>
          <w:sz w:val="24"/>
        </w:rPr>
        <w:t>（</w:t>
      </w:r>
      <w:r>
        <w:rPr>
          <w:rFonts w:asciiTheme="minorEastAsia" w:hAnsiTheme="minorEastAsia" w:eastAsiaTheme="minorEastAsia"/>
          <w:b/>
          <w:sz w:val="24"/>
        </w:rPr>
        <w:t>5</w:t>
      </w:r>
      <w:r>
        <w:rPr>
          <w:rFonts w:hint="eastAsia" w:asciiTheme="minorEastAsia" w:hAnsiTheme="minorEastAsia" w:eastAsiaTheme="minorEastAsia"/>
          <w:b/>
          <w:sz w:val="24"/>
        </w:rPr>
        <w:t>）近年财务状况表</w:t>
      </w:r>
    </w:p>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rPr>
        <w:t>备注：附经会计师事务所或审计机构审计的财务会计报表复印件，包括资产负债表、现金流量表、利润表，以及上述材料的复印件、投标人认为需要增加的其他证明材料复印件，以上复印件、均须加盖投标人单位公章。</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szCs w:val="21"/>
        </w:rPr>
        <w:sectPr>
          <w:pgSz w:w="11907" w:h="16840"/>
          <w:pgMar w:top="1440" w:right="1440" w:bottom="1440" w:left="1377" w:header="851" w:footer="851" w:gutter="0"/>
          <w:cols w:space="720" w:num="1"/>
          <w:docGrid w:linePitch="312" w:charSpace="0"/>
        </w:sectPr>
      </w:pPr>
    </w:p>
    <w:p>
      <w:pPr>
        <w:tabs>
          <w:tab w:val="left" w:pos="826"/>
        </w:tabs>
        <w:snapToGrid w:val="0"/>
        <w:spacing w:line="560" w:lineRule="exact"/>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6</w:t>
      </w:r>
      <w:r>
        <w:rPr>
          <w:rFonts w:hint="eastAsia" w:asciiTheme="minorEastAsia" w:hAnsiTheme="minorEastAsia" w:eastAsiaTheme="minorEastAsia"/>
          <w:b/>
          <w:sz w:val="24"/>
        </w:rPr>
        <w:t>）近年发生的诉讼和仲裁情况</w:t>
      </w:r>
    </w:p>
    <w:p>
      <w:pPr>
        <w:spacing w:line="560" w:lineRule="exact"/>
        <w:ind w:firstLine="420" w:firstLineChars="200"/>
        <w:rPr>
          <w:rFonts w:asciiTheme="minorEastAsia" w:hAnsiTheme="minorEastAsia" w:eastAsiaTheme="minorEastAsia"/>
          <w:szCs w:val="21"/>
        </w:rPr>
      </w:pPr>
    </w:p>
    <w:tbl>
      <w:tblPr>
        <w:tblStyle w:val="3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pPr>
            <w:r>
              <w:rPr>
                <w:rFonts w:hint="eastAsia"/>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pPr>
            <w:r>
              <w:rPr>
                <w:rFonts w:hint="eastAsia"/>
              </w:rPr>
              <w:t>序号</w:t>
            </w:r>
          </w:p>
        </w:tc>
        <w:tc>
          <w:tcPr>
            <w:tcW w:w="2871" w:type="dxa"/>
            <w:vAlign w:val="center"/>
          </w:tcPr>
          <w:p>
            <w:pPr>
              <w:jc w:val="center"/>
            </w:pPr>
            <w:r>
              <w:rPr>
                <w:rFonts w:hint="eastAsia"/>
              </w:rPr>
              <w:t>判决或裁定时间</w:t>
            </w:r>
          </w:p>
        </w:tc>
        <w:tc>
          <w:tcPr>
            <w:tcW w:w="1436" w:type="dxa"/>
            <w:vAlign w:val="center"/>
          </w:tcPr>
          <w:p>
            <w:pPr>
              <w:jc w:val="center"/>
            </w:pPr>
            <w:r>
              <w:rPr>
                <w:rFonts w:hint="eastAsia"/>
              </w:rPr>
              <w:t>诉讼相对人</w:t>
            </w:r>
          </w:p>
        </w:tc>
        <w:tc>
          <w:tcPr>
            <w:tcW w:w="1439" w:type="dxa"/>
            <w:vAlign w:val="center"/>
          </w:tcPr>
          <w:p>
            <w:pPr>
              <w:jc w:val="center"/>
            </w:pPr>
            <w:r>
              <w:rPr>
                <w:rFonts w:hint="eastAsia"/>
              </w:rPr>
              <w:t>诉讼原因</w:t>
            </w:r>
          </w:p>
        </w:tc>
        <w:tc>
          <w:tcPr>
            <w:tcW w:w="1437" w:type="dxa"/>
            <w:vAlign w:val="center"/>
          </w:tcPr>
          <w:p>
            <w:pPr>
              <w:jc w:val="center"/>
            </w:pPr>
            <w:r>
              <w:rPr>
                <w:rFonts w:hint="eastAsia"/>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left"/>
            </w:pPr>
            <w:r>
              <w:t>···</w:t>
            </w:r>
          </w:p>
        </w:tc>
        <w:tc>
          <w:tcPr>
            <w:tcW w:w="2871" w:type="dxa"/>
            <w:vAlign w:val="center"/>
          </w:tcPr>
          <w:p>
            <w:pPr>
              <w:jc w:val="left"/>
            </w:pPr>
            <w:r>
              <w:t>···</w:t>
            </w: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pPr>
            <w:r>
              <w:rPr>
                <w:rFonts w:hint="eastAsia"/>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r>
              <w:rPr>
                <w:rFonts w:hint="eastAsia"/>
              </w:rPr>
              <w:t>序号</w:t>
            </w:r>
          </w:p>
        </w:tc>
        <w:tc>
          <w:tcPr>
            <w:tcW w:w="2871" w:type="dxa"/>
            <w:vAlign w:val="center"/>
          </w:tcPr>
          <w:p>
            <w:pPr>
              <w:jc w:val="center"/>
            </w:pPr>
            <w:r>
              <w:rPr>
                <w:rFonts w:hint="eastAsia"/>
              </w:rPr>
              <w:t>裁决时间</w:t>
            </w:r>
          </w:p>
        </w:tc>
        <w:tc>
          <w:tcPr>
            <w:tcW w:w="1436" w:type="dxa"/>
            <w:vAlign w:val="center"/>
          </w:tcPr>
          <w:p>
            <w:pPr>
              <w:jc w:val="center"/>
            </w:pPr>
            <w:r>
              <w:rPr>
                <w:rFonts w:hint="eastAsia"/>
              </w:rPr>
              <w:t>仲裁相对人</w:t>
            </w:r>
          </w:p>
        </w:tc>
        <w:tc>
          <w:tcPr>
            <w:tcW w:w="1439" w:type="dxa"/>
            <w:vAlign w:val="center"/>
          </w:tcPr>
          <w:p>
            <w:pPr>
              <w:jc w:val="center"/>
            </w:pPr>
            <w:r>
              <w:rPr>
                <w:rFonts w:hint="eastAsia"/>
              </w:rPr>
              <w:t>仲裁原因</w:t>
            </w:r>
          </w:p>
        </w:tc>
        <w:tc>
          <w:tcPr>
            <w:tcW w:w="1437" w:type="dxa"/>
            <w:vAlign w:val="center"/>
          </w:tcPr>
          <w:p>
            <w:pPr>
              <w:jc w:val="center"/>
            </w:pPr>
            <w:r>
              <w:rPr>
                <w:rFonts w:hint="eastAsia"/>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left"/>
            </w:pPr>
          </w:p>
        </w:tc>
        <w:tc>
          <w:tcPr>
            <w:tcW w:w="2871" w:type="dxa"/>
            <w:vAlign w:val="center"/>
          </w:tcPr>
          <w:p>
            <w:pPr>
              <w:jc w:val="left"/>
            </w:pP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left"/>
            </w:pPr>
            <w:r>
              <w:t>···</w:t>
            </w:r>
          </w:p>
        </w:tc>
        <w:tc>
          <w:tcPr>
            <w:tcW w:w="2871" w:type="dxa"/>
            <w:vAlign w:val="center"/>
          </w:tcPr>
          <w:p>
            <w:pPr>
              <w:jc w:val="left"/>
            </w:pPr>
            <w:r>
              <w:t>···</w:t>
            </w:r>
          </w:p>
        </w:tc>
        <w:tc>
          <w:tcPr>
            <w:tcW w:w="1436" w:type="dxa"/>
            <w:vAlign w:val="center"/>
          </w:tcPr>
          <w:p>
            <w:pPr>
              <w:jc w:val="left"/>
            </w:pPr>
          </w:p>
        </w:tc>
        <w:tc>
          <w:tcPr>
            <w:tcW w:w="1439" w:type="dxa"/>
            <w:vAlign w:val="center"/>
          </w:tcPr>
          <w:p>
            <w:pPr>
              <w:jc w:val="left"/>
            </w:pPr>
          </w:p>
        </w:tc>
        <w:tc>
          <w:tcPr>
            <w:tcW w:w="1437" w:type="dxa"/>
            <w:vAlign w:val="center"/>
          </w:tcPr>
          <w:p>
            <w:pPr>
              <w:jc w:val="left"/>
            </w:pPr>
          </w:p>
        </w:tc>
      </w:tr>
    </w:tbl>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备注：近年发生的诉讼和仲裁情况仅限于投标人败诉的，且与履行施工承包合同有关的案件，不包括调解结案以及未裁决的仲裁或未终审判决的诉讼。附裁决书、裁定书、仲裁裁决书及有关文件的复印件并加盖投标人单位公章。</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p>
    <w:p>
      <w:pPr>
        <w:spacing w:line="560" w:lineRule="exact"/>
        <w:rPr>
          <w:rFonts w:asciiTheme="minorEastAsia" w:hAnsiTheme="minorEastAsia" w:eastAsiaTheme="minorEastAsia"/>
          <w:szCs w:val="21"/>
        </w:rPr>
      </w:pPr>
    </w:p>
    <w:p>
      <w:pPr>
        <w:jc w:val="left"/>
        <w:rPr>
          <w:rFonts w:asciiTheme="minorEastAsia" w:hAnsiTheme="minorEastAsia" w:eastAsiaTheme="minorEastAsia"/>
          <w:sz w:val="32"/>
          <w:szCs w:val="32"/>
          <w:u w:val="single"/>
        </w:rPr>
      </w:pPr>
      <w:r>
        <w:rPr>
          <w:rFonts w:asciiTheme="minorEastAsia" w:hAnsiTheme="minorEastAsia" w:eastAsiaTheme="minorEastAsia"/>
          <w:sz w:val="32"/>
          <w:szCs w:val="32"/>
          <w:u w:val="single"/>
        </w:rPr>
        <w:br w:type="page"/>
      </w:r>
    </w:p>
    <w:p>
      <w:pPr>
        <w:jc w:val="left"/>
      </w:pPr>
    </w:p>
    <w:p>
      <w:pPr>
        <w:spacing w:line="560" w:lineRule="exact"/>
        <w:ind w:firstLine="640" w:firstLineChars="200"/>
        <w:jc w:val="center"/>
        <w:outlineLvl w:val="0"/>
        <w:rPr>
          <w:rFonts w:asciiTheme="minorEastAsia" w:hAnsiTheme="minorEastAsia" w:eastAsiaTheme="minorEastAsia"/>
          <w:sz w:val="32"/>
          <w:szCs w:val="32"/>
          <w:u w:val="single"/>
        </w:rPr>
      </w:pPr>
    </w:p>
    <w:p>
      <w:pPr>
        <w:spacing w:line="560" w:lineRule="exact"/>
        <w:ind w:firstLine="640" w:firstLineChars="200"/>
        <w:jc w:val="center"/>
        <w:outlineLvl w:val="0"/>
        <w:rPr>
          <w:rFonts w:asciiTheme="minorEastAsia" w:hAnsiTheme="minorEastAsia" w:eastAsiaTheme="minorEastAsia"/>
          <w:sz w:val="28"/>
          <w:szCs w:val="28"/>
        </w:rPr>
      </w:pP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28"/>
          <w:szCs w:val="28"/>
        </w:rPr>
        <w:t>（项目名称）施工招标</w:t>
      </w:r>
    </w:p>
    <w:p>
      <w:pPr>
        <w:spacing w:line="560" w:lineRule="exact"/>
        <w:ind w:firstLine="560" w:firstLineChars="200"/>
        <w:jc w:val="center"/>
        <w:rPr>
          <w:rFonts w:asciiTheme="minorEastAsia" w:hAnsiTheme="minorEastAsia" w:eastAsiaTheme="minorEastAsia"/>
          <w:sz w:val="28"/>
          <w:szCs w:val="28"/>
        </w:rPr>
      </w:pPr>
    </w:p>
    <w:p>
      <w:pPr>
        <w:spacing w:beforeLines="100" w:line="560" w:lineRule="exact"/>
        <w:ind w:firstLine="1040" w:firstLineChars="20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投</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标</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文</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件</w:t>
      </w: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2520" w:firstLineChars="9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项目招标编号：</w:t>
      </w:r>
      <w:r>
        <w:rPr>
          <w:rFonts w:asciiTheme="minorEastAsia" w:hAnsiTheme="minorEastAsia" w:eastAsiaTheme="minorEastAsia"/>
          <w:sz w:val="28"/>
          <w:szCs w:val="28"/>
          <w:u w:val="single"/>
        </w:rPr>
        <w:t xml:space="preserve">                   </w:t>
      </w:r>
    </w:p>
    <w:p>
      <w:pPr>
        <w:spacing w:line="560" w:lineRule="exact"/>
        <w:ind w:firstLine="560" w:firstLineChars="200"/>
        <w:rPr>
          <w:rFonts w:asciiTheme="minorEastAsia" w:hAnsiTheme="minorEastAsia" w:eastAsiaTheme="minorEastAsia"/>
          <w:sz w:val="28"/>
          <w:szCs w:val="28"/>
          <w:u w:val="single"/>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w:t>
      </w:r>
      <w:r>
        <w:rPr>
          <w:rFonts w:asciiTheme="minorEastAsia" w:hAnsiTheme="minorEastAsia" w:eastAsiaTheme="minorEastAsia"/>
          <w:sz w:val="32"/>
          <w:szCs w:val="32"/>
        </w:rPr>
        <w:t>/</w:t>
      </w:r>
      <w:r>
        <w:rPr>
          <w:rFonts w:hint="eastAsia" w:asciiTheme="minorEastAsia" w:hAnsiTheme="minorEastAsia" w:eastAsiaTheme="minorEastAsia"/>
          <w:sz w:val="32"/>
          <w:szCs w:val="32"/>
        </w:rPr>
        <w:t>副本）</w:t>
      </w: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投标内容：</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商务标部分</w:t>
      </w:r>
      <w:r>
        <w:rPr>
          <w:rFonts w:asciiTheme="minorEastAsia" w:hAnsiTheme="minorEastAsia" w:eastAsiaTheme="minorEastAsia"/>
          <w:sz w:val="28"/>
          <w:szCs w:val="28"/>
          <w:u w:val="single"/>
        </w:rPr>
        <w:t xml:space="preserve">           </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（盖单位章）</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jc w:val="center"/>
        <w:outlineLvl w:val="0"/>
        <w:rPr>
          <w:rFonts w:asciiTheme="minorEastAsia" w:hAnsiTheme="minorEastAsia" w:eastAsiaTheme="minorEastAsia"/>
          <w:sz w:val="28"/>
          <w:szCs w:val="28"/>
        </w:rPr>
      </w:pP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pStyle w:val="99"/>
        <w:spacing w:line="560" w:lineRule="exact"/>
        <w:ind w:firstLine="420" w:firstLineChars="200"/>
        <w:jc w:val="center"/>
        <w:outlineLvl w:val="0"/>
        <w:rPr>
          <w:rFonts w:asciiTheme="minorEastAsia" w:hAnsiTheme="minorEastAsia" w:eastAsiaTheme="minorEastAsia"/>
          <w:b/>
          <w:sz w:val="24"/>
        </w:rPr>
      </w:pPr>
      <w:r>
        <w:rPr>
          <w:rFonts w:asciiTheme="minorEastAsia" w:hAnsiTheme="minorEastAsia" w:eastAsiaTheme="minorEastAsia"/>
        </w:rPr>
        <w:br w:type="page"/>
      </w:r>
      <w:bookmarkStart w:id="265" w:name="_Toc389065355"/>
      <w:r>
        <w:rPr>
          <w:rFonts w:hint="eastAsia" w:asciiTheme="minorEastAsia" w:hAnsiTheme="minorEastAsia" w:eastAsiaTheme="minorEastAsia"/>
          <w:b/>
          <w:sz w:val="24"/>
        </w:rPr>
        <w:t>一、投标函及投标函附录</w:t>
      </w:r>
      <w:bookmarkEnd w:id="265"/>
    </w:p>
    <w:p>
      <w:pPr>
        <w:pStyle w:val="99"/>
        <w:spacing w:line="560" w:lineRule="exact"/>
        <w:ind w:firstLine="420" w:firstLineChars="200"/>
        <w:jc w:val="center"/>
        <w:rPr>
          <w:rFonts w:asciiTheme="minorEastAsia" w:hAnsiTheme="minorEastAsia" w:eastAsiaTheme="minorEastAsia"/>
        </w:rPr>
      </w:pPr>
    </w:p>
    <w:p>
      <w:pPr>
        <w:pStyle w:val="99"/>
        <w:spacing w:line="560" w:lineRule="exact"/>
        <w:ind w:firstLine="422" w:firstLineChars="200"/>
        <w:jc w:val="center"/>
        <w:outlineLvl w:val="1"/>
        <w:rPr>
          <w:rFonts w:asciiTheme="minorEastAsia" w:hAnsiTheme="minorEastAsia" w:eastAsiaTheme="minorEastAsia"/>
          <w:b/>
        </w:rPr>
      </w:pPr>
      <w:bookmarkStart w:id="266" w:name="_Toc389065356"/>
      <w:r>
        <w:rPr>
          <w:rFonts w:hint="eastAsia" w:asciiTheme="minorEastAsia" w:hAnsiTheme="minorEastAsia" w:eastAsiaTheme="minorEastAsia"/>
          <w:b/>
        </w:rPr>
        <w:t>（一）投标函</w:t>
      </w:r>
      <w:bookmarkEnd w:id="266"/>
    </w:p>
    <w:p>
      <w:pPr>
        <w:tabs>
          <w:tab w:val="left" w:pos="7560"/>
        </w:tabs>
        <w:spacing w:line="560" w:lineRule="exact"/>
        <w:ind w:firstLine="0" w:firstLineChars="0"/>
        <w:rPr>
          <w:rFonts w:asciiTheme="minorEastAsia" w:hAnsiTheme="minorEastAsia" w:eastAsiaTheme="minorEastAsia"/>
          <w:u w:val="single"/>
        </w:rPr>
      </w:pPr>
      <w:r>
        <w:rPr>
          <w:rFonts w:asciiTheme="minorEastAsia" w:hAnsiTheme="minorEastAsia" w:eastAsiaTheme="minorEastAsia"/>
        </w:rPr>
        <w:t>1</w:t>
      </w:r>
      <w:r>
        <w:rPr>
          <w:rFonts w:hint="eastAsia" w:asciiTheme="minorEastAsia" w:hAnsiTheme="minorEastAsia" w:eastAsiaTheme="minorEastAsia"/>
        </w:rPr>
        <w:t>、根据你方项目招标编号为</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（项目招标编号）    </w:t>
      </w:r>
      <w:r>
        <w:rPr>
          <w:rFonts w:asciiTheme="minorEastAsia" w:hAnsiTheme="minorEastAsia" w:eastAsiaTheme="minorEastAsia"/>
          <w:u w:val="single"/>
        </w:rPr>
        <w:t xml:space="preserve">  </w:t>
      </w:r>
      <w:r>
        <w:rPr>
          <w:rFonts w:hint="eastAsia" w:asciiTheme="minorEastAsia" w:hAnsiTheme="minorEastAsia" w:eastAsiaTheme="minorEastAsia"/>
        </w:rPr>
        <w:t>的</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（工程项目名称）   </w:t>
      </w:r>
      <w:r>
        <w:rPr>
          <w:rFonts w:asciiTheme="minorEastAsia" w:hAnsiTheme="minorEastAsia" w:eastAsiaTheme="minorEastAsia"/>
          <w:u w:val="single"/>
        </w:rPr>
        <w:t xml:space="preserve">  </w:t>
      </w:r>
      <w:r>
        <w:rPr>
          <w:rFonts w:hint="eastAsia" w:asciiTheme="minorEastAsia" w:hAnsiTheme="minorEastAsia" w:eastAsiaTheme="minorEastAsia"/>
        </w:rPr>
        <w:t>工程招标文件，遵照《中华人民共和国招标投标法》等有关规定，经踏勘项目现场和研究上述招标文件的投标须知、合同条款、图纸、工程建设标准和工程量清单及其他有关文件后，我方愿以</w:t>
      </w:r>
      <w:r>
        <w:rPr>
          <w:rFonts w:hint="eastAsia" w:ascii="宋体" w:hAnsi="宋体"/>
          <w:b/>
          <w:bCs/>
          <w:szCs w:val="21"/>
        </w:rPr>
        <w:t>投标总报价</w:t>
      </w:r>
      <w:r>
        <w:rPr>
          <w:rFonts w:hint="eastAsia" w:asciiTheme="minorEastAsia" w:hAnsiTheme="minorEastAsia" w:eastAsiaTheme="minorEastAsia"/>
        </w:rPr>
        <w:t>人民币（大写）</w:t>
      </w:r>
      <w:r>
        <w:rPr>
          <w:rFonts w:asciiTheme="minorEastAsia" w:hAnsiTheme="minorEastAsia" w:eastAsiaTheme="minorEastAsia"/>
          <w:u w:val="single"/>
        </w:rPr>
        <w:t xml:space="preserve"> </w:t>
      </w:r>
    </w:p>
    <w:p>
      <w:pPr>
        <w:tabs>
          <w:tab w:val="left" w:pos="7560"/>
        </w:tabs>
        <w:spacing w:line="560" w:lineRule="exact"/>
        <w:ind w:firstLine="0" w:firstLineChars="0"/>
        <w:rPr>
          <w:rFonts w:asciiTheme="minorEastAsia" w:hAnsiTheme="minorEastAsia" w:eastAsiaTheme="minorEastAsia"/>
        </w:rPr>
      </w:pP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元（小写：</w:t>
      </w:r>
      <w:r>
        <w:rPr>
          <w:rFonts w:hint="eastAsia" w:asciiTheme="minorEastAsia" w:hAnsiTheme="minorEastAsia" w:eastAsiaTheme="minorEastAsia"/>
          <w:u w:val="single"/>
        </w:rPr>
        <w:t>￥</w:t>
      </w:r>
      <w:r>
        <w:rPr>
          <w:rFonts w:asciiTheme="minorEastAsia" w:hAnsiTheme="minorEastAsia" w:eastAsiaTheme="minorEastAsia"/>
          <w:u w:val="single"/>
        </w:rPr>
        <w:t xml:space="preserve">      </w:t>
      </w:r>
      <w:r>
        <w:rPr>
          <w:rFonts w:hint="eastAsia" w:asciiTheme="minorEastAsia" w:hAnsiTheme="minorEastAsia" w:eastAsiaTheme="minorEastAsia"/>
        </w:rPr>
        <w:t>元）的投标报价并按上述图纸、合同条款、工程建设标准和工程量清单（如有时）的条件要求承包上述工程的施工、竣工，并承担任何质量缺陷保修责任。我方保</w:t>
      </w:r>
      <w:r>
        <w:rPr>
          <w:rFonts w:hint="eastAsia" w:asciiTheme="minorEastAsia" w:hAnsiTheme="minorEastAsia" w:eastAsiaTheme="minorEastAsia"/>
          <w:color w:val="auto"/>
          <w:highlight w:val="none"/>
        </w:rPr>
        <w:t>证工程质量达到</w:t>
      </w:r>
      <w:r>
        <w:rPr>
          <w:rFonts w:asciiTheme="minorEastAsia" w:hAnsiTheme="minorEastAsia" w:eastAsiaTheme="minorEastAsia"/>
          <w:u w:val="single"/>
        </w:rPr>
        <w:t xml:space="preserve">       </w:t>
      </w:r>
      <w:r>
        <w:rPr>
          <w:rFonts w:hint="eastAsia" w:asciiTheme="minorEastAsia" w:hAnsiTheme="minorEastAsia" w:eastAsiaTheme="minorEastAsia"/>
        </w:rPr>
        <w:t>等级。</w:t>
      </w:r>
    </w:p>
    <w:p>
      <w:pPr>
        <w:tabs>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、我方已详细审核全部招标文件，包括修改文件（如有时）及有关附件。</w:t>
      </w:r>
    </w:p>
    <w:p>
      <w:pPr>
        <w:tabs>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、我方承认投标函附录是我方投标函的组成部分。</w:t>
      </w:r>
    </w:p>
    <w:p>
      <w:pPr>
        <w:tabs>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、一旦我方中标，我方保证按合同书中规定的工期</w:t>
      </w:r>
      <w:r>
        <w:rPr>
          <w:rFonts w:asciiTheme="minorEastAsia" w:hAnsiTheme="minorEastAsia" w:eastAsiaTheme="minorEastAsia"/>
          <w:u w:val="single"/>
        </w:rPr>
        <w:t xml:space="preserve">        </w:t>
      </w:r>
      <w:r>
        <w:rPr>
          <w:rFonts w:hint="eastAsia" w:asciiTheme="minorEastAsia" w:hAnsiTheme="minorEastAsia" w:eastAsiaTheme="minorEastAsia"/>
        </w:rPr>
        <w:t>日历天内完成并移交全部工程。</w:t>
      </w:r>
    </w:p>
    <w:p>
      <w:pPr>
        <w:tabs>
          <w:tab w:val="left" w:pos="1680"/>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、如果我方中标，我方将按照文件规定提交履约保证金作为履约担保。</w:t>
      </w:r>
    </w:p>
    <w:p>
      <w:pPr>
        <w:tabs>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、我方同意所提交的投标文件在招标文件的“投标人须知”中第</w:t>
      </w:r>
      <w:r>
        <w:rPr>
          <w:rFonts w:asciiTheme="minorEastAsia" w:hAnsiTheme="minorEastAsia" w:eastAsiaTheme="minorEastAsia"/>
        </w:rPr>
        <w:t>3.3.1</w:t>
      </w:r>
      <w:r>
        <w:rPr>
          <w:rFonts w:hint="eastAsia" w:asciiTheme="minorEastAsia" w:hAnsiTheme="minorEastAsia" w:eastAsiaTheme="minorEastAsia"/>
        </w:rPr>
        <w:t>条规定的投标有效期内有效，在此期间内如果中标，我方将受此约束。</w:t>
      </w:r>
    </w:p>
    <w:p>
      <w:pPr>
        <w:tabs>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、除非另外达成协议并生效，你方的中标通知书和本投标文件将成为约束双方的合同文件的组成部分。</w:t>
      </w:r>
    </w:p>
    <w:p>
      <w:pPr>
        <w:tabs>
          <w:tab w:val="left" w:pos="7560"/>
        </w:tabs>
        <w:spacing w:line="560" w:lineRule="exact"/>
        <w:ind w:firstLine="420" w:firstLineChars="20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、我方将与本投标函一起，提交无条件保函（保证额度</w:t>
      </w:r>
      <w:r>
        <w:rPr>
          <w:rFonts w:asciiTheme="minorEastAsia" w:hAnsiTheme="minorEastAsia" w:eastAsiaTheme="minorEastAsia"/>
          <w:u w:val="single"/>
        </w:rPr>
        <w:t xml:space="preserve">     </w:t>
      </w:r>
      <w:r>
        <w:rPr>
          <w:rFonts w:hint="eastAsia" w:asciiTheme="minorEastAsia" w:hAnsiTheme="minorEastAsia" w:eastAsiaTheme="minorEastAsia"/>
          <w:u w:val="single"/>
        </w:rPr>
        <w:t>元</w:t>
      </w:r>
      <w:r>
        <w:rPr>
          <w:rFonts w:hint="eastAsia" w:asciiTheme="minorEastAsia" w:hAnsiTheme="minorEastAsia" w:eastAsiaTheme="minorEastAsia"/>
        </w:rPr>
        <w:t>）或人民币</w:t>
      </w:r>
      <w:r>
        <w:rPr>
          <w:rFonts w:hint="eastAsia" w:cs="宋体"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asciiTheme="minorEastAsia" w:hAnsiTheme="minorEastAsia" w:eastAsiaTheme="minorEastAsia"/>
        </w:rPr>
        <w:t>元作为投标保证金。</w:t>
      </w:r>
    </w:p>
    <w:p>
      <w:pPr>
        <w:spacing w:line="560" w:lineRule="exact"/>
        <w:ind w:firstLine="420" w:firstLineChars="200"/>
        <w:rPr>
          <w:rFonts w:asciiTheme="minorEastAsia" w:hAnsiTheme="minorEastAsia" w:eastAsiaTheme="minorEastAsia"/>
        </w:rPr>
      </w:pPr>
    </w:p>
    <w:p>
      <w:pPr>
        <w:spacing w:line="560" w:lineRule="exact"/>
        <w:ind w:left="1000" w:firstLine="420" w:firstLineChars="200"/>
        <w:rPr>
          <w:rFonts w:asciiTheme="minorEastAsia" w:hAnsiTheme="minorEastAsia" w:eastAsiaTheme="minorEastAsia"/>
          <w:u w:val="single"/>
        </w:rPr>
      </w:pPr>
      <w:r>
        <w:rPr>
          <w:rFonts w:asciiTheme="minorEastAsia" w:hAnsiTheme="minorEastAsia" w:eastAsiaTheme="minorEastAsia"/>
        </w:rPr>
        <w:t xml:space="preserve">         </w:t>
      </w:r>
      <w:r>
        <w:rPr>
          <w:rFonts w:hint="eastAsia" w:asciiTheme="minorEastAsia" w:hAnsiTheme="minorEastAsia" w:eastAsiaTheme="minorEastAsia"/>
        </w:rPr>
        <w:t>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人：</w:t>
      </w:r>
      <w:r>
        <w:rPr>
          <w:rFonts w:asciiTheme="minorEastAsia" w:hAnsiTheme="minorEastAsia" w:eastAsiaTheme="minorEastAsia"/>
          <w:u w:val="single"/>
        </w:rPr>
        <w:t xml:space="preserve">                                        </w:t>
      </w:r>
      <w:r>
        <w:rPr>
          <w:rFonts w:hint="eastAsia" w:asciiTheme="minorEastAsia" w:hAnsiTheme="minorEastAsia" w:eastAsiaTheme="minorEastAsia"/>
          <w:u w:val="single"/>
        </w:rPr>
        <w:t>（盖单位章）</w:t>
      </w:r>
    </w:p>
    <w:p>
      <w:pPr>
        <w:spacing w:line="560" w:lineRule="exact"/>
        <w:ind w:left="1000" w:firstLine="420" w:firstLineChars="200"/>
        <w:rPr>
          <w:rFonts w:asciiTheme="minorEastAsia" w:hAnsiTheme="minorEastAsia" w:eastAsiaTheme="minorEastAsia"/>
          <w:u w:val="single"/>
        </w:rPr>
      </w:pPr>
      <w:r>
        <w:rPr>
          <w:rFonts w:asciiTheme="minorEastAsia" w:hAnsiTheme="minorEastAsia" w:eastAsiaTheme="minorEastAsia"/>
        </w:rPr>
        <w:t xml:space="preserve">         </w:t>
      </w:r>
      <w:r>
        <w:rPr>
          <w:rFonts w:hint="eastAsia" w:asciiTheme="minorEastAsia" w:hAnsiTheme="minorEastAsia" w:eastAsiaTheme="minorEastAsia"/>
        </w:rPr>
        <w:t>单位地址：</w:t>
      </w:r>
      <w:r>
        <w:rPr>
          <w:rFonts w:asciiTheme="minorEastAsia" w:hAnsiTheme="minorEastAsia" w:eastAsiaTheme="minorEastAsia"/>
          <w:u w:val="single"/>
        </w:rPr>
        <w:t xml:space="preserve">                                        </w:t>
      </w:r>
    </w:p>
    <w:p>
      <w:pPr>
        <w:spacing w:line="560" w:lineRule="exact"/>
        <w:ind w:left="1000" w:firstLine="420" w:firstLineChars="200"/>
        <w:rPr>
          <w:rFonts w:asciiTheme="minorEastAsia" w:hAnsiTheme="minorEastAsia" w:eastAsiaTheme="minorEastAsia"/>
          <w:u w:val="single"/>
        </w:rPr>
      </w:pPr>
      <w:r>
        <w:rPr>
          <w:rFonts w:asciiTheme="minorEastAsia" w:hAnsiTheme="minorEastAsia" w:eastAsiaTheme="minorEastAsia"/>
        </w:rPr>
        <w:t xml:space="preserve">         </w:t>
      </w:r>
      <w:r>
        <w:rPr>
          <w:rFonts w:hint="eastAsia" w:asciiTheme="minorEastAsia" w:hAnsiTheme="minorEastAsia" w:eastAsiaTheme="minorEastAsia"/>
        </w:rPr>
        <w:t>法定代表人或其委托代理人（同时是专职投标员）：</w:t>
      </w:r>
      <w:r>
        <w:rPr>
          <w:rFonts w:asciiTheme="minorEastAsia" w:hAnsiTheme="minorEastAsia" w:eastAsiaTheme="minorEastAsia"/>
          <w:u w:val="single"/>
        </w:rPr>
        <w:t xml:space="preserve">      </w:t>
      </w:r>
      <w:r>
        <w:rPr>
          <w:rFonts w:hint="eastAsia" w:asciiTheme="minorEastAsia" w:hAnsiTheme="minorEastAsia" w:eastAsiaTheme="minorEastAsia"/>
          <w:u w:val="single"/>
        </w:rPr>
        <w:t>（签字或盖章）</w:t>
      </w:r>
    </w:p>
    <w:p>
      <w:pPr>
        <w:spacing w:line="560" w:lineRule="exact"/>
        <w:ind w:left="1000" w:leftChars="476" w:firstLine="1470" w:firstLineChars="700"/>
        <w:rPr>
          <w:rFonts w:asciiTheme="minorEastAsia" w:hAnsiTheme="minorEastAsia" w:eastAsiaTheme="minorEastAsia"/>
        </w:rPr>
      </w:pPr>
      <w:r>
        <w:rPr>
          <w:rFonts w:hint="eastAsia" w:asciiTheme="minorEastAsia" w:hAnsiTheme="minorEastAsia" w:eastAsiaTheme="minorEastAsia"/>
        </w:rPr>
        <w:t>邮政编码：</w:t>
      </w:r>
      <w:r>
        <w:rPr>
          <w:rFonts w:asciiTheme="minorEastAsia" w:hAnsiTheme="minorEastAsia" w:eastAsiaTheme="minorEastAsia"/>
          <w:u w:val="single"/>
        </w:rPr>
        <w:t xml:space="preserve">          </w:t>
      </w:r>
      <w:r>
        <w:rPr>
          <w:rFonts w:hint="eastAsia" w:asciiTheme="minorEastAsia" w:hAnsiTheme="minorEastAsia" w:eastAsiaTheme="minorEastAsia"/>
        </w:rPr>
        <w:t>电话：</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传真：</w:t>
      </w:r>
      <w:r>
        <w:rPr>
          <w:rFonts w:asciiTheme="minorEastAsia" w:hAnsiTheme="minorEastAsia" w:eastAsiaTheme="minorEastAsia"/>
          <w:u w:val="single"/>
        </w:rPr>
        <w:t xml:space="preserve">          </w:t>
      </w:r>
    </w:p>
    <w:p>
      <w:pPr>
        <w:spacing w:line="560" w:lineRule="exact"/>
        <w:ind w:left="1000" w:firstLine="420" w:firstLineChars="20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开户银行名称：</w:t>
      </w:r>
      <w:r>
        <w:rPr>
          <w:rFonts w:asciiTheme="minorEastAsia" w:hAnsiTheme="minorEastAsia" w:eastAsiaTheme="minorEastAsia"/>
          <w:u w:val="single"/>
        </w:rPr>
        <w:t xml:space="preserve">                                    </w:t>
      </w:r>
    </w:p>
    <w:p>
      <w:pPr>
        <w:spacing w:line="560" w:lineRule="exact"/>
        <w:ind w:left="1000" w:firstLine="420" w:firstLineChars="20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开户银行账号：</w:t>
      </w:r>
      <w:r>
        <w:rPr>
          <w:rFonts w:asciiTheme="minorEastAsia" w:hAnsiTheme="minorEastAsia" w:eastAsiaTheme="minorEastAsia"/>
          <w:u w:val="single"/>
        </w:rPr>
        <w:t xml:space="preserve">                                    </w:t>
      </w:r>
    </w:p>
    <w:p>
      <w:pPr>
        <w:spacing w:line="560" w:lineRule="exact"/>
        <w:ind w:left="1000" w:firstLine="420" w:firstLineChars="20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开户银行地址：</w:t>
      </w:r>
      <w:r>
        <w:rPr>
          <w:rFonts w:asciiTheme="minorEastAsia" w:hAnsiTheme="minorEastAsia" w:eastAsiaTheme="minorEastAsia"/>
          <w:u w:val="single"/>
        </w:rPr>
        <w:t xml:space="preserve">                                    </w:t>
      </w:r>
    </w:p>
    <w:p>
      <w:pPr>
        <w:spacing w:line="560" w:lineRule="exact"/>
        <w:ind w:left="1000" w:firstLine="420" w:firstLineChars="200"/>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开户银行电话：</w:t>
      </w:r>
      <w:r>
        <w:rPr>
          <w:rFonts w:asciiTheme="minorEastAsia" w:hAnsiTheme="minorEastAsia" w:eastAsiaTheme="minorEastAsia"/>
          <w:u w:val="single"/>
        </w:rPr>
        <w:t xml:space="preserve">                                    </w:t>
      </w:r>
    </w:p>
    <w:p>
      <w:pPr>
        <w:spacing w:line="560" w:lineRule="exact"/>
        <w:ind w:right="420" w:firstLine="2310" w:firstLineChars="1100"/>
        <w:rPr>
          <w:rFonts w:asciiTheme="minorEastAsia" w:hAnsiTheme="minorEastAsia" w:eastAsiaTheme="minorEastAsia"/>
        </w:rPr>
      </w:pPr>
      <w:r>
        <w:rPr>
          <w:rFonts w:hint="eastAsia" w:asciiTheme="minorEastAsia" w:hAnsiTheme="minorEastAsia" w:eastAsiaTheme="minorEastAsia"/>
        </w:rPr>
        <w:t>日期：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beforeLines="100" w:afterLines="50" w:line="560" w:lineRule="exact"/>
        <w:ind w:firstLine="420" w:firstLineChars="200"/>
        <w:rPr>
          <w:rFonts w:asciiTheme="minorEastAsia" w:hAnsiTheme="minorEastAsia" w:eastAsiaTheme="minorEastAsia"/>
          <w:szCs w:val="21"/>
        </w:rPr>
      </w:pPr>
    </w:p>
    <w:p>
      <w:pPr>
        <w:spacing w:beforeLines="100" w:afterLines="50" w:line="560" w:lineRule="exact"/>
        <w:ind w:firstLine="420" w:firstLineChars="200"/>
        <w:rPr>
          <w:rFonts w:asciiTheme="minorEastAsia" w:hAnsiTheme="minorEastAsia" w:eastAsiaTheme="minorEastAsia"/>
          <w:szCs w:val="21"/>
        </w:rPr>
        <w:sectPr>
          <w:pgSz w:w="11907" w:h="16840"/>
          <w:pgMar w:top="1440" w:right="1290" w:bottom="1440" w:left="1377" w:header="851" w:footer="851" w:gutter="0"/>
          <w:cols w:space="720" w:num="1"/>
          <w:docGrid w:linePitch="312" w:charSpace="0"/>
        </w:sectPr>
      </w:pPr>
    </w:p>
    <w:p>
      <w:pPr>
        <w:pStyle w:val="99"/>
        <w:spacing w:line="560" w:lineRule="exact"/>
        <w:ind w:firstLine="422" w:firstLineChars="200"/>
        <w:jc w:val="center"/>
        <w:outlineLvl w:val="1"/>
        <w:rPr>
          <w:rFonts w:asciiTheme="minorEastAsia" w:hAnsiTheme="minorEastAsia" w:eastAsiaTheme="minorEastAsia"/>
          <w:b/>
        </w:rPr>
      </w:pPr>
      <w:bookmarkStart w:id="267" w:name="_Toc389065357"/>
      <w:r>
        <w:rPr>
          <w:rFonts w:hint="eastAsia" w:asciiTheme="minorEastAsia" w:hAnsiTheme="minorEastAsia" w:eastAsiaTheme="minorEastAsia"/>
          <w:b/>
        </w:rPr>
        <w:t>（二）投标函附录</w:t>
      </w:r>
      <w:bookmarkEnd w:id="267"/>
    </w:p>
    <w:p>
      <w:pPr>
        <w:pStyle w:val="99"/>
        <w:spacing w:line="560" w:lineRule="exact"/>
        <w:ind w:firstLine="560" w:firstLineChars="200"/>
        <w:jc w:val="center"/>
        <w:rPr>
          <w:rFonts w:asciiTheme="minorEastAsia" w:hAnsiTheme="minorEastAsia" w:eastAsiaTheme="minorEastAsia"/>
          <w:sz w:val="28"/>
          <w:szCs w:val="28"/>
        </w:rPr>
      </w:pP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项目招标编号：</w:t>
      </w:r>
      <w:r>
        <w:rPr>
          <w:rFonts w:asciiTheme="minorEastAsia" w:hAnsiTheme="minorEastAsia" w:eastAsiaTheme="minorEastAsia"/>
          <w:szCs w:val="21"/>
          <w:u w:val="single"/>
        </w:rPr>
        <w:t xml:space="preserve">            </w:t>
      </w:r>
    </w:p>
    <w:tbl>
      <w:tblPr>
        <w:tblStyle w:val="3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843"/>
        <w:gridCol w:w="1559"/>
        <w:gridCol w:w="326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rPr>
                <w:rFonts w:hint="eastAsia"/>
              </w:rPr>
              <w:t>序</w:t>
            </w:r>
            <w:r>
              <w:t xml:space="preserve"> </w:t>
            </w:r>
            <w:r>
              <w:rPr>
                <w:rFonts w:hint="eastAsia"/>
              </w:rPr>
              <w:t>号</w:t>
            </w:r>
          </w:p>
        </w:tc>
        <w:tc>
          <w:tcPr>
            <w:tcW w:w="1843" w:type="dxa"/>
            <w:vAlign w:val="center"/>
          </w:tcPr>
          <w:p>
            <w:pPr>
              <w:jc w:val="center"/>
            </w:pPr>
            <w:r>
              <w:rPr>
                <w:rFonts w:hint="eastAsia"/>
              </w:rPr>
              <w:t>条款内容</w:t>
            </w:r>
          </w:p>
        </w:tc>
        <w:tc>
          <w:tcPr>
            <w:tcW w:w="1559" w:type="dxa"/>
            <w:vAlign w:val="center"/>
          </w:tcPr>
          <w:p>
            <w:pPr>
              <w:jc w:val="center"/>
            </w:pPr>
            <w:r>
              <w:rPr>
                <w:rFonts w:hint="eastAsia"/>
              </w:rPr>
              <w:t>合同条款号</w:t>
            </w:r>
          </w:p>
        </w:tc>
        <w:tc>
          <w:tcPr>
            <w:tcW w:w="3260" w:type="dxa"/>
            <w:vAlign w:val="center"/>
          </w:tcPr>
          <w:p>
            <w:pPr>
              <w:jc w:val="center"/>
            </w:pPr>
            <w:r>
              <w:rPr>
                <w:rFonts w:hint="eastAsia"/>
              </w:rPr>
              <w:t>约定内容</w:t>
            </w:r>
          </w:p>
        </w:tc>
        <w:tc>
          <w:tcPr>
            <w:tcW w:w="128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1</w:t>
            </w:r>
          </w:p>
        </w:tc>
        <w:tc>
          <w:tcPr>
            <w:tcW w:w="1843" w:type="dxa"/>
            <w:vAlign w:val="center"/>
          </w:tcPr>
          <w:p>
            <w:pPr>
              <w:jc w:val="center"/>
            </w:pPr>
            <w:r>
              <w:rPr>
                <w:rFonts w:hint="eastAsia"/>
              </w:rPr>
              <w:t>项目经理</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姓名：</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2</w:t>
            </w:r>
          </w:p>
        </w:tc>
        <w:tc>
          <w:tcPr>
            <w:tcW w:w="1843" w:type="dxa"/>
            <w:vAlign w:val="center"/>
          </w:tcPr>
          <w:p>
            <w:pPr>
              <w:jc w:val="center"/>
            </w:pPr>
            <w:r>
              <w:rPr>
                <w:rFonts w:hint="eastAsia"/>
              </w:rPr>
              <w:t>投标有效期</w:t>
            </w:r>
          </w:p>
        </w:tc>
        <w:tc>
          <w:tcPr>
            <w:tcW w:w="1559" w:type="dxa"/>
            <w:tcMar>
              <w:left w:w="170" w:type="dxa"/>
            </w:tcMar>
            <w:vAlign w:val="center"/>
          </w:tcPr>
          <w:p>
            <w:pPr>
              <w:jc w:val="center"/>
            </w:pPr>
          </w:p>
        </w:tc>
        <w:tc>
          <w:tcPr>
            <w:tcW w:w="3260" w:type="dxa"/>
            <w:vAlign w:val="center"/>
          </w:tcPr>
          <w:p>
            <w:pPr>
              <w:jc w:val="center"/>
            </w:pPr>
            <w:r>
              <w:t>90</w:t>
            </w:r>
            <w:r>
              <w:rPr>
                <w:rFonts w:hint="eastAsia"/>
              </w:rPr>
              <w:t>日历天</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3</w:t>
            </w:r>
          </w:p>
        </w:tc>
        <w:tc>
          <w:tcPr>
            <w:tcW w:w="1843" w:type="dxa"/>
            <w:vAlign w:val="center"/>
          </w:tcPr>
          <w:p>
            <w:pPr>
              <w:jc w:val="center"/>
            </w:pPr>
            <w:r>
              <w:rPr>
                <w:rFonts w:hint="eastAsia"/>
              </w:rPr>
              <w:t>工期</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日历天</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4</w:t>
            </w:r>
          </w:p>
        </w:tc>
        <w:tc>
          <w:tcPr>
            <w:tcW w:w="1843" w:type="dxa"/>
            <w:vAlign w:val="center"/>
          </w:tcPr>
          <w:p>
            <w:pPr>
              <w:jc w:val="center"/>
            </w:pPr>
            <w:r>
              <w:rPr>
                <w:rFonts w:hint="eastAsia"/>
              </w:rPr>
              <w:t>缺陷责任期</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24个月</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5</w:t>
            </w:r>
          </w:p>
        </w:tc>
        <w:tc>
          <w:tcPr>
            <w:tcW w:w="1843" w:type="dxa"/>
            <w:vAlign w:val="center"/>
          </w:tcPr>
          <w:p>
            <w:pPr>
              <w:jc w:val="center"/>
            </w:pPr>
            <w:r>
              <w:rPr>
                <w:rFonts w:hint="eastAsia"/>
              </w:rPr>
              <w:t>发包人支付担保</w:t>
            </w:r>
          </w:p>
        </w:tc>
        <w:tc>
          <w:tcPr>
            <w:tcW w:w="1559" w:type="dxa"/>
            <w:tcMar>
              <w:left w:w="170" w:type="dxa"/>
            </w:tcMar>
            <w:vAlign w:val="center"/>
          </w:tcPr>
          <w:p>
            <w:pPr>
              <w:jc w:val="center"/>
            </w:pPr>
            <w:r>
              <w:rPr>
                <w:rFonts w:hint="eastAsia"/>
              </w:rPr>
              <w:t>专用条款</w:t>
            </w:r>
          </w:p>
        </w:tc>
        <w:tc>
          <w:tcPr>
            <w:tcW w:w="3260" w:type="dxa"/>
            <w:vAlign w:val="center"/>
          </w:tcPr>
          <w:p>
            <w:pPr>
              <w:jc w:val="center"/>
            </w:pP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81" w:type="dxa"/>
            <w:vAlign w:val="center"/>
          </w:tcPr>
          <w:p>
            <w:pPr>
              <w:jc w:val="center"/>
            </w:pPr>
            <w:r>
              <w:t>6</w:t>
            </w:r>
          </w:p>
        </w:tc>
        <w:tc>
          <w:tcPr>
            <w:tcW w:w="1843" w:type="dxa"/>
            <w:vAlign w:val="center"/>
          </w:tcPr>
          <w:p>
            <w:pPr>
              <w:jc w:val="center"/>
            </w:pPr>
            <w:r>
              <w:rPr>
                <w:rFonts w:hint="eastAsia"/>
              </w:rPr>
              <w:t>承包人履约担保金额</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中标金额</w:t>
            </w:r>
            <w:r>
              <w:t>5%</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7</w:t>
            </w:r>
          </w:p>
        </w:tc>
        <w:tc>
          <w:tcPr>
            <w:tcW w:w="1843" w:type="dxa"/>
            <w:vAlign w:val="center"/>
          </w:tcPr>
          <w:p>
            <w:pPr>
              <w:jc w:val="center"/>
            </w:pPr>
            <w:r>
              <w:rPr>
                <w:rFonts w:hint="eastAsia"/>
              </w:rPr>
              <w:t>分包</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见分包项目情况表</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81" w:type="dxa"/>
            <w:vAlign w:val="center"/>
          </w:tcPr>
          <w:p>
            <w:pPr>
              <w:jc w:val="center"/>
            </w:pPr>
            <w:r>
              <w:t>8</w:t>
            </w:r>
          </w:p>
        </w:tc>
        <w:tc>
          <w:tcPr>
            <w:tcW w:w="1843" w:type="dxa"/>
            <w:vAlign w:val="center"/>
          </w:tcPr>
          <w:p>
            <w:pPr>
              <w:jc w:val="center"/>
            </w:pPr>
            <w:r>
              <w:rPr>
                <w:rFonts w:hint="eastAsia"/>
              </w:rPr>
              <w:t>逾期竣工违约金</w:t>
            </w:r>
          </w:p>
        </w:tc>
        <w:tc>
          <w:tcPr>
            <w:tcW w:w="1559" w:type="dxa"/>
            <w:tcMar>
              <w:left w:w="170" w:type="dxa"/>
            </w:tcMar>
            <w:vAlign w:val="center"/>
          </w:tcPr>
          <w:p>
            <w:pPr>
              <w:jc w:val="center"/>
            </w:pPr>
            <w:r>
              <w:rPr>
                <w:rFonts w:hint="eastAsia"/>
              </w:rPr>
              <w:t>专用条款</w:t>
            </w:r>
          </w:p>
        </w:tc>
        <w:tc>
          <w:tcPr>
            <w:tcW w:w="3260" w:type="dxa"/>
            <w:vAlign w:val="center"/>
          </w:tcPr>
          <w:p>
            <w:pPr>
              <w:jc w:val="left"/>
              <w:rPr>
                <w:rFonts w:hint="default"/>
                <w:u w:val="single"/>
              </w:rPr>
            </w:pPr>
            <w:r>
              <w:rPr>
                <w:rFonts w:hint="eastAsia"/>
                <w:u w:val="single"/>
                <w:lang w:val="en-US" w:eastAsia="zh-CN"/>
              </w:rPr>
              <w:t xml:space="preserve">                          。</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81" w:type="dxa"/>
            <w:vAlign w:val="center"/>
          </w:tcPr>
          <w:p>
            <w:pPr>
              <w:jc w:val="center"/>
            </w:pPr>
            <w:r>
              <w:t>9</w:t>
            </w:r>
          </w:p>
        </w:tc>
        <w:tc>
          <w:tcPr>
            <w:tcW w:w="1843" w:type="dxa"/>
            <w:vAlign w:val="center"/>
          </w:tcPr>
          <w:p>
            <w:pPr>
              <w:jc w:val="center"/>
            </w:pPr>
            <w:r>
              <w:rPr>
                <w:rFonts w:hint="eastAsia"/>
              </w:rPr>
              <w:t>逾期竣工违约金最高限额</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u w:val="single"/>
                <w:lang w:val="en-US" w:eastAsia="zh-CN"/>
              </w:rPr>
              <w:t xml:space="preserve">                          。</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81" w:type="dxa"/>
            <w:vAlign w:val="center"/>
          </w:tcPr>
          <w:p>
            <w:pPr>
              <w:jc w:val="center"/>
            </w:pPr>
            <w:r>
              <w:t>10</w:t>
            </w:r>
          </w:p>
        </w:tc>
        <w:tc>
          <w:tcPr>
            <w:tcW w:w="1843" w:type="dxa"/>
            <w:vAlign w:val="center"/>
          </w:tcPr>
          <w:p>
            <w:pPr>
              <w:jc w:val="center"/>
            </w:pPr>
            <w:r>
              <w:rPr>
                <w:rFonts w:hint="eastAsia"/>
              </w:rPr>
              <w:t>质量标准</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符合国家规定的标准、政策和现行技术规范、规程要求。</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13</w:t>
            </w:r>
          </w:p>
        </w:tc>
        <w:tc>
          <w:tcPr>
            <w:tcW w:w="1843" w:type="dxa"/>
            <w:vAlign w:val="center"/>
          </w:tcPr>
          <w:p>
            <w:pPr>
              <w:jc w:val="center"/>
            </w:pPr>
            <w:r>
              <w:rPr>
                <w:rFonts w:hint="eastAsia"/>
              </w:rPr>
              <w:t>质量保修金额度</w:t>
            </w:r>
          </w:p>
        </w:tc>
        <w:tc>
          <w:tcPr>
            <w:tcW w:w="1559" w:type="dxa"/>
            <w:tcMar>
              <w:left w:w="170" w:type="dxa"/>
            </w:tcMar>
            <w:vAlign w:val="center"/>
          </w:tcPr>
          <w:p>
            <w:pPr>
              <w:jc w:val="center"/>
            </w:pPr>
            <w:r>
              <w:rPr>
                <w:rFonts w:hint="eastAsia"/>
              </w:rPr>
              <w:t>专用条款</w:t>
            </w:r>
          </w:p>
        </w:tc>
        <w:tc>
          <w:tcPr>
            <w:tcW w:w="3260" w:type="dxa"/>
            <w:vAlign w:val="center"/>
          </w:tcPr>
          <w:p>
            <w:pPr>
              <w:jc w:val="center"/>
            </w:pPr>
            <w:r>
              <w:rPr>
                <w:rFonts w:hint="eastAsia"/>
              </w:rPr>
              <w:t>结算价的</w:t>
            </w:r>
            <w:r>
              <w:t>3%</w:t>
            </w: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Align w:val="center"/>
          </w:tcPr>
          <w:p>
            <w:pPr>
              <w:jc w:val="center"/>
            </w:pPr>
            <w:r>
              <w:t>……</w:t>
            </w:r>
          </w:p>
        </w:tc>
        <w:tc>
          <w:tcPr>
            <w:tcW w:w="1843" w:type="dxa"/>
            <w:vAlign w:val="center"/>
          </w:tcPr>
          <w:p>
            <w:pPr>
              <w:jc w:val="center"/>
            </w:pPr>
            <w:r>
              <w:t>……</w:t>
            </w:r>
          </w:p>
        </w:tc>
        <w:tc>
          <w:tcPr>
            <w:tcW w:w="1559" w:type="dxa"/>
            <w:tcMar>
              <w:left w:w="170" w:type="dxa"/>
            </w:tcMar>
            <w:vAlign w:val="center"/>
          </w:tcPr>
          <w:p>
            <w:pPr>
              <w:jc w:val="center"/>
            </w:pPr>
          </w:p>
        </w:tc>
        <w:tc>
          <w:tcPr>
            <w:tcW w:w="3260" w:type="dxa"/>
            <w:vAlign w:val="center"/>
          </w:tcPr>
          <w:p>
            <w:pPr>
              <w:jc w:val="center"/>
            </w:pPr>
          </w:p>
        </w:tc>
        <w:tc>
          <w:tcPr>
            <w:tcW w:w="12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30" w:type="dxa"/>
            <w:gridSpan w:val="5"/>
            <w:vAlign w:val="center"/>
          </w:tcPr>
          <w:p>
            <w:pPr>
              <w:jc w:val="center"/>
            </w:pPr>
          </w:p>
        </w:tc>
      </w:tr>
    </w:tbl>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投标人（盖单位章）：</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法人代表或委托代理人（签字或盖章）：</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560" w:lineRule="exact"/>
        <w:ind w:firstLine="480" w:firstLineChars="200"/>
        <w:rPr>
          <w:rFonts w:asciiTheme="minorEastAsia" w:hAnsiTheme="minorEastAsia" w:eastAsiaTheme="minorEastAsia"/>
          <w:sz w:val="24"/>
        </w:rPr>
        <w:sectPr>
          <w:pgSz w:w="11907" w:h="16840"/>
          <w:pgMar w:top="1440" w:right="1290" w:bottom="1440" w:left="1377" w:header="851" w:footer="851" w:gutter="0"/>
          <w:cols w:space="720" w:num="1"/>
          <w:docGrid w:linePitch="312" w:charSpace="0"/>
        </w:sectPr>
      </w:pPr>
    </w:p>
    <w:p>
      <w:pPr>
        <w:pStyle w:val="99"/>
        <w:spacing w:line="560" w:lineRule="exact"/>
        <w:ind w:firstLine="482" w:firstLineChars="200"/>
        <w:jc w:val="center"/>
        <w:outlineLvl w:val="0"/>
        <w:rPr>
          <w:rFonts w:asciiTheme="minorEastAsia" w:hAnsiTheme="minorEastAsia" w:eastAsiaTheme="minorEastAsia"/>
          <w:b/>
          <w:sz w:val="24"/>
        </w:rPr>
      </w:pPr>
      <w:bookmarkStart w:id="268" w:name="_Toc349215560"/>
      <w:bookmarkStart w:id="269" w:name="_Toc349640339"/>
      <w:bookmarkStart w:id="270" w:name="_Toc349639687"/>
      <w:bookmarkStart w:id="271" w:name="_Toc349555832"/>
      <w:bookmarkStart w:id="272" w:name="_Toc389065358"/>
      <w:bookmarkStart w:id="273" w:name="_Toc349558044"/>
      <w:bookmarkStart w:id="274" w:name="_Toc349557654"/>
      <w:r>
        <w:rPr>
          <w:rFonts w:hint="eastAsia" w:asciiTheme="minorEastAsia" w:hAnsiTheme="minorEastAsia" w:eastAsiaTheme="minorEastAsia"/>
          <w:b/>
          <w:sz w:val="24"/>
        </w:rPr>
        <w:t>二、投标报价表</w:t>
      </w:r>
      <w:bookmarkEnd w:id="268"/>
      <w:bookmarkEnd w:id="269"/>
      <w:bookmarkEnd w:id="270"/>
      <w:bookmarkEnd w:id="271"/>
      <w:bookmarkEnd w:id="272"/>
      <w:bookmarkEnd w:id="273"/>
      <w:bookmarkEnd w:id="274"/>
    </w:p>
    <w:p>
      <w:pPr>
        <w:pStyle w:val="99"/>
        <w:spacing w:line="560" w:lineRule="exact"/>
        <w:ind w:firstLine="482" w:firstLineChars="200"/>
        <w:jc w:val="center"/>
        <w:rPr>
          <w:rFonts w:asciiTheme="minorEastAsia" w:hAnsiTheme="minorEastAsia" w:eastAsiaTheme="minorEastAsia"/>
          <w:b/>
          <w:sz w:val="24"/>
        </w:rPr>
      </w:pPr>
    </w:p>
    <w:p>
      <w:pPr>
        <w:spacing w:line="480" w:lineRule="auto"/>
        <w:rPr>
          <w:color w:val="000000"/>
        </w:rPr>
      </w:pPr>
    </w:p>
    <w:p>
      <w:pPr>
        <w:ind w:left="-178" w:leftChars="-85" w:right="-512" w:rightChars="-244"/>
        <w:jc w:val="left"/>
        <w:rPr>
          <w:color w:val="000000"/>
        </w:rPr>
      </w:pPr>
      <w:r>
        <w:rPr>
          <w:rFonts w:hint="eastAsia" w:cs="宋体"/>
          <w:color w:val="000000"/>
        </w:rPr>
        <w:t>项目名称：</w:t>
      </w:r>
      <w:r>
        <w:rPr>
          <w:color w:val="000000"/>
        </w:rPr>
        <w:t xml:space="preserve">                                                  </w:t>
      </w:r>
      <w:r>
        <w:rPr>
          <w:rFonts w:hint="eastAsia" w:cs="宋体"/>
          <w:color w:val="000000"/>
        </w:rPr>
        <w:t>币种：人民币</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jc w:val="center"/>
              <w:rPr>
                <w:color w:val="000000"/>
              </w:rPr>
            </w:pPr>
            <w:r>
              <w:rPr>
                <w:rFonts w:hint="eastAsia" w:cs="宋体"/>
                <w:color w:val="000000"/>
              </w:rPr>
              <w:t>投标总价</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center"/>
          </w:tcPr>
          <w:p>
            <w:pPr>
              <w:widowControl/>
              <w:jc w:val="center"/>
              <w:rPr>
                <w:color w:val="000000"/>
              </w:rPr>
            </w:pPr>
            <w:r>
              <w:rPr>
                <w:rFonts w:hint="eastAsia"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84" w:type="dxa"/>
            <w:vMerge w:val="restart"/>
            <w:noWrap w:val="0"/>
            <w:vAlign w:val="center"/>
          </w:tcPr>
          <w:p>
            <w:pPr>
              <w:jc w:val="center"/>
              <w:rPr>
                <w:color w:val="000000"/>
              </w:rPr>
            </w:pPr>
            <w:r>
              <w:rPr>
                <w:rFonts w:hint="eastAsia" w:cs="宋体"/>
                <w:color w:val="000000"/>
              </w:rPr>
              <w:t>其中</w:t>
            </w:r>
          </w:p>
        </w:tc>
        <w:tc>
          <w:tcPr>
            <w:tcW w:w="3116" w:type="dxa"/>
            <w:noWrap w:val="0"/>
            <w:vAlign w:val="center"/>
          </w:tcPr>
          <w:p>
            <w:pPr>
              <w:jc w:val="center"/>
              <w:rPr>
                <w:color w:val="000000"/>
              </w:rPr>
            </w:pPr>
            <w:r>
              <w:rPr>
                <w:rFonts w:hint="eastAsia" w:cs="宋体"/>
                <w:color w:val="000000"/>
              </w:rPr>
              <w:t>安全文明施工费</w:t>
            </w:r>
          </w:p>
        </w:tc>
        <w:tc>
          <w:tcPr>
            <w:tcW w:w="1987" w:type="dxa"/>
            <w:noWrap w:val="0"/>
            <w:vAlign w:val="center"/>
          </w:tcPr>
          <w:p>
            <w:pPr>
              <w:jc w:val="right"/>
              <w:rPr>
                <w:color w:val="000000"/>
              </w:rPr>
            </w:pPr>
            <w:r>
              <w:rPr>
                <w:rFonts w:hint="eastAsia" w:cs="宋体"/>
                <w:color w:val="000000"/>
              </w:rPr>
              <w:t>万元</w:t>
            </w:r>
          </w:p>
        </w:tc>
        <w:tc>
          <w:tcPr>
            <w:tcW w:w="1702"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jc w:val="center"/>
              <w:rPr>
                <w:color w:val="000000"/>
              </w:rPr>
            </w:pPr>
            <w:r>
              <w:rPr>
                <w:rFonts w:hint="eastAsia" w:cs="宋体"/>
                <w:color w:val="000000"/>
              </w:rPr>
              <w:t>发包人提供材料（设备）暂估价（如有）</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rPr>
                <w:color w:val="000000"/>
              </w:rPr>
            </w:pPr>
            <w:r>
              <w:rPr>
                <w:rFonts w:hint="eastAsia" w:cs="宋体"/>
                <w:color w:val="000000"/>
              </w:rPr>
              <w:t>专业工程暂估价（如有）</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ind w:firstLine="945" w:firstLineChars="450"/>
              <w:rPr>
                <w:color w:val="000000"/>
              </w:rPr>
            </w:pPr>
            <w:r>
              <w:rPr>
                <w:rFonts w:hint="eastAsia" w:cs="宋体"/>
                <w:color w:val="000000"/>
              </w:rPr>
              <w:t>暂列金额（如有）</w:t>
            </w:r>
          </w:p>
        </w:tc>
        <w:tc>
          <w:tcPr>
            <w:tcW w:w="1987" w:type="dxa"/>
            <w:noWrap w:val="0"/>
            <w:vAlign w:val="center"/>
          </w:tcPr>
          <w:p>
            <w:pPr>
              <w:widowControl/>
              <w:jc w:val="right"/>
              <w:rPr>
                <w:color w:val="000000"/>
              </w:rPr>
            </w:pPr>
            <w:r>
              <w:rPr>
                <w:rFonts w:hint="eastAsia" w:cs="宋体"/>
                <w:color w:val="000000"/>
              </w:rPr>
              <w:t>万元</w:t>
            </w:r>
          </w:p>
        </w:tc>
        <w:tc>
          <w:tcPr>
            <w:tcW w:w="1702" w:type="dxa"/>
            <w:noWrap w:val="0"/>
            <w:vAlign w:val="top"/>
          </w:tcPr>
          <w:p>
            <w:pPr>
              <w:widowControl/>
              <w:ind w:right="48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jc w:val="center"/>
              <w:rPr>
                <w:color w:val="000000"/>
              </w:rPr>
            </w:pPr>
            <w:r>
              <w:rPr>
                <w:rFonts w:hint="eastAsia" w:cs="宋体"/>
                <w:color w:val="000000"/>
              </w:rPr>
              <w:t>主要材料</w:t>
            </w:r>
          </w:p>
        </w:tc>
        <w:tc>
          <w:tcPr>
            <w:tcW w:w="3116" w:type="dxa"/>
            <w:noWrap w:val="0"/>
            <w:vAlign w:val="center"/>
          </w:tcPr>
          <w:p>
            <w:pPr>
              <w:widowControl/>
              <w:jc w:val="center"/>
              <w:rPr>
                <w:color w:val="000000"/>
              </w:rPr>
            </w:pPr>
            <w:r>
              <w:rPr>
                <w:rFonts w:hint="eastAsia" w:cs="宋体"/>
                <w:color w:val="000000"/>
              </w:rPr>
              <w:t>钢筋</w:t>
            </w:r>
          </w:p>
        </w:tc>
        <w:tc>
          <w:tcPr>
            <w:tcW w:w="1987" w:type="dxa"/>
            <w:noWrap w:val="0"/>
            <w:vAlign w:val="center"/>
          </w:tcPr>
          <w:p>
            <w:pPr>
              <w:widowControl/>
              <w:jc w:val="right"/>
              <w:rPr>
                <w:color w:val="000000"/>
              </w:rPr>
            </w:pPr>
            <w:r>
              <w:rPr>
                <w:rFonts w:hint="eastAsia" w:cs="宋体"/>
                <w:color w:val="000000"/>
              </w:rPr>
              <w:t>吨</w:t>
            </w:r>
          </w:p>
        </w:tc>
        <w:tc>
          <w:tcPr>
            <w:tcW w:w="1702" w:type="dxa"/>
            <w:noWrap w:val="0"/>
            <w:vAlign w:val="top"/>
          </w:tcPr>
          <w:p>
            <w:pPr>
              <w:widowControl/>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jc w:val="center"/>
              <w:rPr>
                <w:color w:val="000000"/>
              </w:rPr>
            </w:pPr>
            <w:r>
              <w:rPr>
                <w:rFonts w:hint="eastAsia" w:cs="宋体"/>
                <w:color w:val="000000"/>
              </w:rPr>
              <w:t>水泥（不含商品混凝土用量）</w:t>
            </w:r>
          </w:p>
        </w:tc>
        <w:tc>
          <w:tcPr>
            <w:tcW w:w="1987" w:type="dxa"/>
            <w:noWrap w:val="0"/>
            <w:vAlign w:val="center"/>
          </w:tcPr>
          <w:p>
            <w:pPr>
              <w:widowControl/>
              <w:tabs>
                <w:tab w:val="left" w:pos="2398"/>
              </w:tabs>
              <w:ind w:right="18"/>
              <w:jc w:val="right"/>
              <w:rPr>
                <w:color w:val="000000"/>
              </w:rPr>
            </w:pPr>
            <w:r>
              <w:rPr>
                <w:rFonts w:hint="eastAsia" w:cs="宋体"/>
                <w:color w:val="000000"/>
              </w:rPr>
              <w:t>吨</w:t>
            </w:r>
          </w:p>
        </w:tc>
        <w:tc>
          <w:tcPr>
            <w:tcW w:w="1702" w:type="dxa"/>
            <w:noWrap w:val="0"/>
            <w:vAlign w:val="top"/>
          </w:tcPr>
          <w:p>
            <w:pPr>
              <w:widowControl/>
              <w:jc w:val="righ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jc w:val="center"/>
              <w:rPr>
                <w:color w:val="000000"/>
              </w:rPr>
            </w:pPr>
          </w:p>
        </w:tc>
        <w:tc>
          <w:tcPr>
            <w:tcW w:w="3116" w:type="dxa"/>
            <w:noWrap w:val="0"/>
            <w:vAlign w:val="center"/>
          </w:tcPr>
          <w:p>
            <w:pPr>
              <w:widowControl/>
              <w:jc w:val="center"/>
              <w:rPr>
                <w:color w:val="000000"/>
              </w:rPr>
            </w:pPr>
            <w:r>
              <w:rPr>
                <w:rFonts w:hint="eastAsia" w:cs="宋体"/>
                <w:color w:val="000000"/>
              </w:rPr>
              <w:t>商品混凝土</w:t>
            </w:r>
          </w:p>
        </w:tc>
        <w:tc>
          <w:tcPr>
            <w:tcW w:w="1987" w:type="dxa"/>
            <w:noWrap w:val="0"/>
            <w:vAlign w:val="center"/>
          </w:tcPr>
          <w:p>
            <w:pPr>
              <w:widowControl/>
              <w:jc w:val="right"/>
              <w:rPr>
                <w:color w:val="000000"/>
              </w:rPr>
            </w:pPr>
            <w:r>
              <w:rPr>
                <w:color w:val="000000"/>
              </w:rPr>
              <w:t>m</w:t>
            </w:r>
            <w:r>
              <w:rPr>
                <w:color w:val="000000"/>
                <w:vertAlign w:val="superscript"/>
              </w:rPr>
              <w:t>3</w:t>
            </w:r>
          </w:p>
        </w:tc>
        <w:tc>
          <w:tcPr>
            <w:tcW w:w="1702" w:type="dxa"/>
            <w:noWrap w:val="0"/>
            <w:vAlign w:val="top"/>
          </w:tcPr>
          <w:p>
            <w:pPr>
              <w:widowControl/>
              <w:jc w:val="right"/>
              <w:rPr>
                <w:color w:val="000000"/>
              </w:rPr>
            </w:pPr>
          </w:p>
        </w:tc>
      </w:tr>
    </w:tbl>
    <w:p>
      <w:pPr>
        <w:ind w:left="-178" w:leftChars="-85" w:firstLine="177" w:firstLineChars="74"/>
        <w:rPr>
          <w:color w:val="000000"/>
          <w:sz w:val="24"/>
        </w:rPr>
      </w:pPr>
    </w:p>
    <w:p>
      <w:pPr>
        <w:spacing w:line="480" w:lineRule="auto"/>
        <w:rPr>
          <w:color w:val="000000"/>
        </w:rPr>
      </w:pPr>
    </w:p>
    <w:p>
      <w:pPr>
        <w:spacing w:line="480" w:lineRule="auto"/>
        <w:rPr>
          <w:color w:val="000000"/>
        </w:rPr>
      </w:pPr>
    </w:p>
    <w:p>
      <w:pPr>
        <w:spacing w:line="480" w:lineRule="auto"/>
        <w:rPr>
          <w:color w:val="000000"/>
        </w:rPr>
      </w:pPr>
    </w:p>
    <w:p>
      <w:pPr>
        <w:spacing w:line="480" w:lineRule="auto"/>
        <w:ind w:firstLine="210" w:firstLineChars="100"/>
        <w:rPr>
          <w:color w:val="000000"/>
        </w:rPr>
      </w:pPr>
      <w:r>
        <w:rPr>
          <w:rFonts w:hint="eastAsia" w:cs="宋体"/>
          <w:color w:val="000000"/>
        </w:rPr>
        <w:t>投标人（盖单位章）：</w:t>
      </w:r>
    </w:p>
    <w:p>
      <w:pPr>
        <w:spacing w:line="480" w:lineRule="auto"/>
        <w:ind w:firstLine="210" w:firstLineChars="100"/>
        <w:rPr>
          <w:color w:val="000000"/>
        </w:rPr>
      </w:pPr>
      <w:r>
        <w:rPr>
          <w:rFonts w:hint="eastAsia" w:cs="宋体"/>
          <w:color w:val="000000"/>
        </w:rPr>
        <w:t>法定代表人（签字或盖章）：</w:t>
      </w:r>
    </w:p>
    <w:p>
      <w:pPr>
        <w:spacing w:line="480" w:lineRule="auto"/>
        <w:ind w:firstLine="210" w:firstLineChars="100"/>
        <w:rPr>
          <w:color w:val="000000"/>
        </w:rPr>
      </w:pPr>
      <w:r>
        <w:rPr>
          <w:rFonts w:hint="eastAsia" w:cs="宋体"/>
          <w:color w:val="000000"/>
        </w:rPr>
        <w:t>日期：</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sectPr>
          <w:pgSz w:w="11907" w:h="16840"/>
          <w:pgMar w:top="1440" w:right="1440" w:bottom="1440" w:left="1377" w:header="851" w:footer="851" w:gutter="0"/>
          <w:cols w:space="720" w:num="1"/>
          <w:docGrid w:linePitch="312" w:charSpace="0"/>
        </w:sectPr>
      </w:pPr>
    </w:p>
    <w:p>
      <w:pPr>
        <w:pStyle w:val="99"/>
        <w:spacing w:line="560" w:lineRule="exact"/>
        <w:ind w:firstLine="482" w:firstLineChars="200"/>
        <w:jc w:val="center"/>
        <w:outlineLvl w:val="0"/>
        <w:rPr>
          <w:rFonts w:asciiTheme="minorEastAsia" w:hAnsiTheme="minorEastAsia" w:eastAsiaTheme="minorEastAsia"/>
          <w:b/>
          <w:sz w:val="24"/>
        </w:rPr>
      </w:pPr>
      <w:bookmarkStart w:id="275" w:name="_Toc389065359"/>
      <w:r>
        <w:rPr>
          <w:rFonts w:hint="eastAsia" w:asciiTheme="minorEastAsia" w:hAnsiTheme="minorEastAsia" w:eastAsiaTheme="minorEastAsia"/>
          <w:b/>
          <w:sz w:val="24"/>
        </w:rPr>
        <w:t>三、已标价工程量清单</w:t>
      </w:r>
      <w:bookmarkEnd w:id="275"/>
    </w:p>
    <w:p>
      <w:pPr>
        <w:pStyle w:val="99"/>
        <w:spacing w:line="560" w:lineRule="exact"/>
        <w:ind w:firstLine="562" w:firstLineChars="200"/>
        <w:jc w:val="center"/>
        <w:rPr>
          <w:rFonts w:asciiTheme="minorEastAsia" w:hAnsiTheme="minorEastAsia" w:eastAsiaTheme="minorEastAsia"/>
          <w:b/>
          <w:sz w:val="28"/>
          <w:szCs w:val="28"/>
        </w:rPr>
      </w:pP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已标价工程量清单应按第五章</w:t>
      </w:r>
      <w:r>
        <w:rPr>
          <w:rFonts w:asciiTheme="minorEastAsia" w:hAnsiTheme="minorEastAsia" w:eastAsiaTheme="minorEastAsia"/>
          <w:szCs w:val="21"/>
        </w:rPr>
        <w:t>“</w:t>
      </w:r>
      <w:r>
        <w:rPr>
          <w:rFonts w:hint="eastAsia" w:asciiTheme="minorEastAsia" w:hAnsiTheme="minorEastAsia" w:eastAsiaTheme="minorEastAsia"/>
          <w:szCs w:val="21"/>
        </w:rPr>
        <w:t>工程量清单</w:t>
      </w:r>
      <w:r>
        <w:rPr>
          <w:rFonts w:asciiTheme="minorEastAsia" w:hAnsiTheme="minorEastAsia" w:eastAsiaTheme="minorEastAsia"/>
          <w:szCs w:val="21"/>
        </w:rPr>
        <w:t>”</w:t>
      </w:r>
      <w:r>
        <w:rPr>
          <w:rFonts w:hint="eastAsia" w:asciiTheme="minorEastAsia" w:hAnsiTheme="minorEastAsia" w:eastAsiaTheme="minorEastAsia"/>
          <w:szCs w:val="21"/>
        </w:rPr>
        <w:t>中的相关表格及投标报价说明填写。构成合同文件的已标价工程量清单包括第五章</w:t>
      </w:r>
      <w:r>
        <w:rPr>
          <w:rFonts w:asciiTheme="minorEastAsia" w:hAnsiTheme="minorEastAsia" w:eastAsiaTheme="minorEastAsia"/>
          <w:szCs w:val="21"/>
        </w:rPr>
        <w:t>“</w:t>
      </w:r>
      <w:r>
        <w:rPr>
          <w:rFonts w:hint="eastAsia" w:asciiTheme="minorEastAsia" w:hAnsiTheme="minorEastAsia" w:eastAsiaTheme="minorEastAsia"/>
          <w:szCs w:val="21"/>
        </w:rPr>
        <w:t>工程量清单</w:t>
      </w:r>
      <w:r>
        <w:rPr>
          <w:rFonts w:asciiTheme="minorEastAsia" w:hAnsiTheme="minorEastAsia" w:eastAsiaTheme="minorEastAsia"/>
          <w:szCs w:val="21"/>
        </w:rPr>
        <w:t>”</w:t>
      </w:r>
      <w:r>
        <w:rPr>
          <w:rFonts w:hint="eastAsia" w:asciiTheme="minorEastAsia" w:hAnsiTheme="minorEastAsia" w:eastAsiaTheme="minorEastAsia"/>
          <w:szCs w:val="21"/>
        </w:rPr>
        <w:t>有关工程量清单、投标报价以及其他说明的内容。</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szCs w:val="21"/>
        </w:rPr>
        <w:t xml:space="preserve">2. </w:t>
      </w:r>
      <w:r>
        <w:rPr>
          <w:rFonts w:hint="eastAsia" w:asciiTheme="minorEastAsia" w:hAnsiTheme="minorEastAsia" w:eastAsiaTheme="minorEastAsia"/>
          <w:szCs w:val="21"/>
        </w:rPr>
        <w:t>一般计税法建设工程</w:t>
      </w:r>
      <w:r>
        <w:rPr>
          <w:rFonts w:hint="eastAsia" w:asciiTheme="minorEastAsia" w:hAnsiTheme="minorEastAsia" w:eastAsiaTheme="minorEastAsia"/>
        </w:rPr>
        <w:t>已标价工程量清单表格按</w:t>
      </w:r>
      <w:r>
        <w:rPr>
          <w:rFonts w:hint="eastAsia" w:asciiTheme="minorEastAsia" w:hAnsiTheme="minorEastAsia" w:eastAsiaTheme="minorEastAsia"/>
          <w:kern w:val="0"/>
          <w:szCs w:val="21"/>
        </w:rPr>
        <w:t>《关于建筑业实施营业税改征增值税后广西壮族自治区建设工程计价依据调整的通知》（桂建标〔</w:t>
      </w:r>
      <w:r>
        <w:rPr>
          <w:rFonts w:asciiTheme="minorEastAsia" w:hAnsiTheme="minorEastAsia" w:eastAsiaTheme="minorEastAsia"/>
          <w:kern w:val="0"/>
          <w:szCs w:val="21"/>
        </w:rPr>
        <w:t>2016</w:t>
      </w:r>
      <w:r>
        <w:rPr>
          <w:rFonts w:hint="eastAsia" w:asciiTheme="minorEastAsia" w:hAnsiTheme="minorEastAsia" w:eastAsiaTheme="minorEastAsia"/>
          <w:kern w:val="0"/>
          <w:szCs w:val="21"/>
        </w:rPr>
        <w:t>〕</w:t>
      </w:r>
      <w:r>
        <w:rPr>
          <w:rFonts w:asciiTheme="minorEastAsia" w:hAnsiTheme="minorEastAsia" w:eastAsiaTheme="minorEastAsia"/>
          <w:kern w:val="0"/>
          <w:szCs w:val="21"/>
        </w:rPr>
        <w:t>17</w:t>
      </w:r>
      <w:r>
        <w:rPr>
          <w:rFonts w:hint="eastAsia" w:asciiTheme="minorEastAsia" w:hAnsiTheme="minorEastAsia" w:eastAsiaTheme="minorEastAsia"/>
          <w:kern w:val="0"/>
          <w:szCs w:val="21"/>
        </w:rPr>
        <w:t>号）</w:t>
      </w:r>
      <w:r>
        <w:rPr>
          <w:rFonts w:hint="eastAsia" w:asciiTheme="minorEastAsia" w:hAnsiTheme="minorEastAsia" w:eastAsiaTheme="minorEastAsia"/>
          <w:szCs w:val="21"/>
        </w:rPr>
        <w:t>附件“增值税一般计税方法工程计价表”要求提供，简易计税法表格</w:t>
      </w:r>
      <w:r>
        <w:rPr>
          <w:rFonts w:hint="eastAsia" w:asciiTheme="minorEastAsia" w:hAnsiTheme="minorEastAsia" w:eastAsiaTheme="minorEastAsia"/>
        </w:rPr>
        <w:t>按</w:t>
      </w:r>
      <w:r>
        <w:rPr>
          <w:rFonts w:hint="eastAsia" w:asciiTheme="minorEastAsia" w:hAnsiTheme="minorEastAsia" w:eastAsiaTheme="minorEastAsia"/>
          <w:szCs w:val="21"/>
        </w:rPr>
        <w:t>《</w:t>
      </w:r>
      <w:r>
        <w:rPr>
          <w:rFonts w:asciiTheme="minorEastAsia" w:hAnsiTheme="minorEastAsia" w:eastAsiaTheme="minorEastAsia"/>
          <w:szCs w:val="21"/>
        </w:rPr>
        <w:t>&lt;</w:t>
      </w:r>
      <w:r>
        <w:rPr>
          <w:rFonts w:hint="eastAsia" w:asciiTheme="minorEastAsia" w:hAnsiTheme="minorEastAsia" w:eastAsiaTheme="minorEastAsia"/>
          <w:szCs w:val="21"/>
        </w:rPr>
        <w:t>建设工程工程量清单计价规范</w:t>
      </w:r>
      <w:r>
        <w:rPr>
          <w:rFonts w:asciiTheme="minorEastAsia" w:hAnsiTheme="minorEastAsia" w:eastAsiaTheme="minorEastAsia"/>
          <w:szCs w:val="21"/>
        </w:rPr>
        <w:t>&gt;</w:t>
      </w:r>
      <w:r>
        <w:rPr>
          <w:rFonts w:hint="eastAsia" w:asciiTheme="minorEastAsia" w:hAnsiTheme="minorEastAsia" w:eastAsiaTheme="minorEastAsia"/>
          <w:szCs w:val="21"/>
        </w:rPr>
        <w:t>（</w:t>
      </w:r>
      <w:r>
        <w:rPr>
          <w:rFonts w:asciiTheme="minorEastAsia" w:hAnsiTheme="minorEastAsia" w:eastAsiaTheme="minorEastAsia"/>
          <w:szCs w:val="21"/>
        </w:rPr>
        <w:t>GB5050-2013</w:t>
      </w:r>
      <w:r>
        <w:rPr>
          <w:rFonts w:hint="eastAsia" w:asciiTheme="minorEastAsia" w:hAnsiTheme="minorEastAsia" w:eastAsiaTheme="minorEastAsia"/>
          <w:szCs w:val="21"/>
        </w:rPr>
        <w:t>）广西壮族自治区实施细则》要求的表格提供，但规费和税费按照</w:t>
      </w:r>
      <w:r>
        <w:rPr>
          <w:rFonts w:hint="eastAsia" w:asciiTheme="minorEastAsia" w:hAnsiTheme="minorEastAsia" w:eastAsiaTheme="minorEastAsia"/>
          <w:kern w:val="0"/>
          <w:szCs w:val="21"/>
        </w:rPr>
        <w:t>《关于建筑业实施营业税改征增值税后广西壮族自治区建设工程计价依据调整的通知》（桂建标〔</w:t>
      </w:r>
      <w:r>
        <w:rPr>
          <w:rFonts w:asciiTheme="minorEastAsia" w:hAnsiTheme="minorEastAsia" w:eastAsiaTheme="minorEastAsia"/>
          <w:kern w:val="0"/>
          <w:szCs w:val="21"/>
        </w:rPr>
        <w:t>2016</w:t>
      </w:r>
      <w:r>
        <w:rPr>
          <w:rFonts w:hint="eastAsia" w:asciiTheme="minorEastAsia" w:hAnsiTheme="minorEastAsia" w:eastAsiaTheme="minorEastAsia"/>
          <w:kern w:val="0"/>
          <w:szCs w:val="21"/>
        </w:rPr>
        <w:t>〕</w:t>
      </w:r>
      <w:r>
        <w:rPr>
          <w:rFonts w:asciiTheme="minorEastAsia" w:hAnsiTheme="minorEastAsia" w:eastAsiaTheme="minorEastAsia"/>
          <w:kern w:val="0"/>
          <w:szCs w:val="21"/>
        </w:rPr>
        <w:t>17</w:t>
      </w:r>
      <w:r>
        <w:rPr>
          <w:rFonts w:hint="eastAsia" w:asciiTheme="minorEastAsia" w:hAnsiTheme="minorEastAsia" w:eastAsiaTheme="minorEastAsia"/>
          <w:kern w:val="0"/>
          <w:szCs w:val="21"/>
        </w:rPr>
        <w:t>号）</w:t>
      </w:r>
      <w:r>
        <w:rPr>
          <w:rFonts w:hint="eastAsia" w:asciiTheme="minorEastAsia" w:hAnsiTheme="minorEastAsia" w:eastAsiaTheme="minorEastAsia"/>
          <w:szCs w:val="21"/>
        </w:rPr>
        <w:t>调整，具体</w:t>
      </w:r>
      <w:r>
        <w:rPr>
          <w:rFonts w:hint="eastAsia" w:asciiTheme="minorEastAsia" w:hAnsiTheme="minorEastAsia" w:eastAsiaTheme="minorEastAsia"/>
        </w:rPr>
        <w:t>内容包括：</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 </w:t>
      </w:r>
      <w:r>
        <w:rPr>
          <w:rFonts w:hint="eastAsia" w:asciiTheme="minorEastAsia" w:hAnsiTheme="minorEastAsia" w:eastAsiaTheme="minorEastAsia"/>
          <w:szCs w:val="21"/>
        </w:rPr>
        <w:t>投标总价（封</w:t>
      </w:r>
      <w:r>
        <w:rPr>
          <w:rFonts w:asciiTheme="minorEastAsia" w:hAnsiTheme="minorEastAsia" w:eastAsiaTheme="minorEastAsia"/>
          <w:szCs w:val="21"/>
        </w:rPr>
        <w:t>-3</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 </w:t>
      </w:r>
      <w:r>
        <w:rPr>
          <w:rFonts w:hint="eastAsia" w:asciiTheme="minorEastAsia" w:hAnsiTheme="minorEastAsia" w:eastAsiaTheme="minorEastAsia"/>
          <w:szCs w:val="21"/>
        </w:rPr>
        <w:t>投标总价（扉</w:t>
      </w:r>
      <w:r>
        <w:rPr>
          <w:rFonts w:asciiTheme="minorEastAsia" w:hAnsiTheme="minorEastAsia" w:eastAsiaTheme="minorEastAsia"/>
          <w:szCs w:val="21"/>
        </w:rPr>
        <w:t>-3</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1.3 </w:t>
      </w:r>
      <w:r>
        <w:rPr>
          <w:rFonts w:hint="eastAsia" w:asciiTheme="minorEastAsia" w:hAnsiTheme="minorEastAsia" w:eastAsiaTheme="minorEastAsia"/>
          <w:szCs w:val="21"/>
        </w:rPr>
        <w:t>总说明（表</w:t>
      </w:r>
      <w:r>
        <w:rPr>
          <w:rFonts w:asciiTheme="minorEastAsia" w:hAnsiTheme="minorEastAsia" w:eastAsiaTheme="minorEastAsia"/>
          <w:szCs w:val="21"/>
        </w:rPr>
        <w:t>-01</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1.4 </w:t>
      </w:r>
      <w:r>
        <w:rPr>
          <w:rFonts w:hint="eastAsia" w:asciiTheme="minorEastAsia" w:hAnsiTheme="minorEastAsia" w:eastAsiaTheme="minorEastAsia"/>
          <w:szCs w:val="21"/>
        </w:rPr>
        <w:t>建设项目投标报价汇总表（表</w:t>
      </w:r>
      <w:r>
        <w:rPr>
          <w:rFonts w:asciiTheme="minorEastAsia" w:hAnsiTheme="minorEastAsia" w:eastAsiaTheme="minorEastAsia"/>
          <w:szCs w:val="21"/>
        </w:rPr>
        <w:t>-02</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1.5 </w:t>
      </w:r>
      <w:r>
        <w:rPr>
          <w:rFonts w:hint="eastAsia" w:asciiTheme="minorEastAsia" w:hAnsiTheme="minorEastAsia" w:eastAsiaTheme="minorEastAsia"/>
          <w:szCs w:val="21"/>
        </w:rPr>
        <w:t>单项工程投标报价汇总表（表</w:t>
      </w:r>
      <w:r>
        <w:rPr>
          <w:rFonts w:asciiTheme="minorEastAsia" w:hAnsiTheme="minorEastAsia" w:eastAsiaTheme="minorEastAsia"/>
          <w:szCs w:val="21"/>
        </w:rPr>
        <w:t>-03</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1.6 </w:t>
      </w:r>
      <w:r>
        <w:rPr>
          <w:rFonts w:hint="eastAsia" w:asciiTheme="minorEastAsia" w:hAnsiTheme="minorEastAsia" w:eastAsiaTheme="minorEastAsia"/>
          <w:szCs w:val="21"/>
        </w:rPr>
        <w:t>单位工程投标报价汇总表（表</w:t>
      </w:r>
      <w:r>
        <w:rPr>
          <w:rFonts w:asciiTheme="minorEastAsia" w:hAnsiTheme="minorEastAsia" w:eastAsiaTheme="minorEastAsia"/>
          <w:szCs w:val="21"/>
        </w:rPr>
        <w:t>-04</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1.7 </w:t>
      </w:r>
      <w:r>
        <w:rPr>
          <w:rFonts w:hint="eastAsia" w:asciiTheme="minorEastAsia" w:hAnsiTheme="minorEastAsia" w:eastAsiaTheme="minorEastAsia"/>
          <w:szCs w:val="21"/>
        </w:rPr>
        <w:t>分部分项工程和单价措施项目清单与计价表（表</w:t>
      </w:r>
      <w:r>
        <w:rPr>
          <w:rFonts w:asciiTheme="minorEastAsia" w:hAnsiTheme="minorEastAsia" w:eastAsiaTheme="minorEastAsia"/>
          <w:szCs w:val="21"/>
        </w:rPr>
        <w:t>-08</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1.8 </w:t>
      </w:r>
      <w:r>
        <w:rPr>
          <w:rFonts w:hint="eastAsia" w:asciiTheme="minorEastAsia" w:hAnsiTheme="minorEastAsia" w:eastAsiaTheme="minorEastAsia"/>
          <w:szCs w:val="21"/>
        </w:rPr>
        <w:t>工程量清单综合单价分析表（表</w:t>
      </w:r>
      <w:r>
        <w:rPr>
          <w:rFonts w:asciiTheme="minorEastAsia" w:hAnsiTheme="minorEastAsia" w:eastAsiaTheme="minorEastAsia"/>
          <w:szCs w:val="21"/>
        </w:rPr>
        <w:t>-09</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1.9 </w:t>
      </w:r>
      <w:r>
        <w:rPr>
          <w:rFonts w:hint="eastAsia" w:asciiTheme="minorEastAsia" w:hAnsiTheme="minorEastAsia" w:eastAsiaTheme="minorEastAsia"/>
          <w:szCs w:val="21"/>
        </w:rPr>
        <w:t>主要清单项目工料机分析表（表</w:t>
      </w:r>
      <w:r>
        <w:rPr>
          <w:rFonts w:asciiTheme="minorEastAsia" w:hAnsiTheme="minorEastAsia" w:eastAsiaTheme="minorEastAsia"/>
          <w:szCs w:val="21"/>
        </w:rPr>
        <w:t>-10</w:t>
      </w:r>
      <w:r>
        <w:rPr>
          <w:rFonts w:hint="eastAsia" w:asciiTheme="minorEastAsia" w:hAnsiTheme="minorEastAsia" w:eastAsiaTheme="minorEastAsia"/>
          <w:szCs w:val="21"/>
        </w:rPr>
        <w:t>）【备注：可按要求有选择的提供】</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1.10 </w:t>
      </w:r>
      <w:r>
        <w:rPr>
          <w:rFonts w:hint="eastAsia" w:asciiTheme="minorEastAsia" w:hAnsiTheme="minorEastAsia" w:eastAsiaTheme="minorEastAsia"/>
          <w:szCs w:val="21"/>
        </w:rPr>
        <w:t>总价措施项目清单与计价表（表</w:t>
      </w:r>
      <w:r>
        <w:rPr>
          <w:rFonts w:asciiTheme="minorEastAsia" w:hAnsiTheme="minorEastAsia" w:eastAsiaTheme="minorEastAsia"/>
          <w:szCs w:val="21"/>
        </w:rPr>
        <w:t>-11</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1.11 </w:t>
      </w:r>
      <w:r>
        <w:rPr>
          <w:rFonts w:hint="eastAsia" w:asciiTheme="minorEastAsia" w:hAnsiTheme="minorEastAsia" w:eastAsiaTheme="minorEastAsia"/>
          <w:szCs w:val="21"/>
        </w:rPr>
        <w:t>其他项目清单与计价汇总表（表</w:t>
      </w:r>
      <w:r>
        <w:rPr>
          <w:rFonts w:asciiTheme="minorEastAsia" w:hAnsiTheme="minorEastAsia" w:eastAsiaTheme="minorEastAsia"/>
          <w:szCs w:val="21"/>
        </w:rPr>
        <w:t>-12</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1.12 </w:t>
      </w:r>
      <w:r>
        <w:rPr>
          <w:rFonts w:hint="eastAsia" w:asciiTheme="minorEastAsia" w:hAnsiTheme="minorEastAsia" w:eastAsiaTheme="minorEastAsia"/>
          <w:szCs w:val="21"/>
        </w:rPr>
        <w:t>暂列金额明细表（表</w:t>
      </w:r>
      <w:r>
        <w:rPr>
          <w:rFonts w:asciiTheme="minorEastAsia" w:hAnsiTheme="minorEastAsia" w:eastAsiaTheme="minorEastAsia"/>
          <w:szCs w:val="21"/>
        </w:rPr>
        <w:t>12-1</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1.13 </w:t>
      </w:r>
      <w:r>
        <w:rPr>
          <w:rFonts w:hint="eastAsia" w:asciiTheme="minorEastAsia" w:hAnsiTheme="minorEastAsia" w:eastAsiaTheme="minorEastAsia"/>
          <w:szCs w:val="21"/>
        </w:rPr>
        <w:t>材料（工程设备）暂估单价及调整表（表</w:t>
      </w:r>
      <w:r>
        <w:rPr>
          <w:rFonts w:asciiTheme="minorEastAsia" w:hAnsiTheme="minorEastAsia" w:eastAsiaTheme="minorEastAsia"/>
          <w:szCs w:val="21"/>
        </w:rPr>
        <w:t>12-2</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1.14 </w:t>
      </w:r>
      <w:r>
        <w:rPr>
          <w:rFonts w:hint="eastAsia" w:asciiTheme="minorEastAsia" w:hAnsiTheme="minorEastAsia" w:eastAsiaTheme="minorEastAsia"/>
          <w:szCs w:val="21"/>
        </w:rPr>
        <w:t>专业工程暂估价表（表</w:t>
      </w:r>
      <w:r>
        <w:rPr>
          <w:rFonts w:asciiTheme="minorEastAsia" w:hAnsiTheme="minorEastAsia" w:eastAsiaTheme="minorEastAsia"/>
          <w:szCs w:val="21"/>
        </w:rPr>
        <w:t>12-3</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1.15</w:t>
      </w:r>
      <w:r>
        <w:rPr>
          <w:rFonts w:hint="eastAsia" w:asciiTheme="minorEastAsia" w:hAnsiTheme="minorEastAsia" w:eastAsiaTheme="minorEastAsia"/>
          <w:szCs w:val="21"/>
        </w:rPr>
        <w:t>计日工表（表</w:t>
      </w:r>
      <w:r>
        <w:rPr>
          <w:rFonts w:asciiTheme="minorEastAsia" w:hAnsiTheme="minorEastAsia" w:eastAsiaTheme="minorEastAsia"/>
          <w:szCs w:val="21"/>
        </w:rPr>
        <w:t>12-4</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1.16 </w:t>
      </w:r>
      <w:r>
        <w:rPr>
          <w:rFonts w:hint="eastAsia" w:asciiTheme="minorEastAsia" w:hAnsiTheme="minorEastAsia" w:eastAsiaTheme="minorEastAsia"/>
          <w:szCs w:val="21"/>
        </w:rPr>
        <w:t>总承包服务费计价表（表</w:t>
      </w:r>
      <w:r>
        <w:rPr>
          <w:rFonts w:asciiTheme="minorEastAsia" w:hAnsiTheme="minorEastAsia" w:eastAsiaTheme="minorEastAsia"/>
          <w:szCs w:val="21"/>
        </w:rPr>
        <w:t>12-5</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1.17 </w:t>
      </w:r>
      <w:r>
        <w:rPr>
          <w:rFonts w:hint="eastAsia" w:asciiTheme="minorEastAsia" w:hAnsiTheme="minorEastAsia" w:eastAsiaTheme="minorEastAsia"/>
          <w:szCs w:val="21"/>
        </w:rPr>
        <w:t>税前项目清单与计价表（表</w:t>
      </w:r>
      <w:r>
        <w:rPr>
          <w:rFonts w:asciiTheme="minorEastAsia" w:hAnsiTheme="minorEastAsia" w:eastAsiaTheme="minorEastAsia"/>
          <w:szCs w:val="21"/>
        </w:rPr>
        <w:t>-14</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1.18 </w:t>
      </w:r>
      <w:r>
        <w:rPr>
          <w:rFonts w:hint="eastAsia" w:asciiTheme="minorEastAsia" w:hAnsiTheme="minorEastAsia" w:eastAsiaTheme="minorEastAsia"/>
          <w:szCs w:val="21"/>
        </w:rPr>
        <w:t>规费、增值税计价表（表</w:t>
      </w:r>
      <w:r>
        <w:rPr>
          <w:rFonts w:asciiTheme="minorEastAsia" w:hAnsiTheme="minorEastAsia" w:eastAsiaTheme="minorEastAsia"/>
          <w:szCs w:val="21"/>
        </w:rPr>
        <w:t>-15</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1.19 </w:t>
      </w:r>
      <w:r>
        <w:rPr>
          <w:rFonts w:hint="eastAsia" w:asciiTheme="minorEastAsia" w:hAnsiTheme="minorEastAsia" w:eastAsiaTheme="minorEastAsia"/>
          <w:szCs w:val="21"/>
        </w:rPr>
        <w:t>发包人提供主要材料和工程设备一览表（表</w:t>
      </w:r>
      <w:r>
        <w:rPr>
          <w:rFonts w:asciiTheme="minorEastAsia" w:hAnsiTheme="minorEastAsia" w:eastAsiaTheme="minorEastAsia"/>
          <w:szCs w:val="21"/>
        </w:rPr>
        <w:t>-21</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1.20 </w:t>
      </w:r>
      <w:r>
        <w:rPr>
          <w:rFonts w:hint="eastAsia" w:asciiTheme="minorEastAsia" w:hAnsiTheme="minorEastAsia" w:eastAsiaTheme="minorEastAsia"/>
          <w:szCs w:val="21"/>
        </w:rPr>
        <w:t>承包人提供主要材料和工程设备一览表（适用于造价信息差额调整法）（表</w:t>
      </w:r>
      <w:r>
        <w:rPr>
          <w:rFonts w:asciiTheme="minorEastAsia" w:hAnsiTheme="minorEastAsia" w:eastAsiaTheme="minorEastAsia"/>
          <w:szCs w:val="21"/>
        </w:rPr>
        <w:t>-22</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1.21 </w:t>
      </w:r>
      <w:r>
        <w:rPr>
          <w:rFonts w:hint="eastAsia" w:asciiTheme="minorEastAsia" w:hAnsiTheme="minorEastAsia" w:eastAsiaTheme="minorEastAsia"/>
          <w:szCs w:val="21"/>
        </w:rPr>
        <w:t>承包人提供主要材料和工程设备一览表（适用于价格指数差额调整法）（表</w:t>
      </w:r>
      <w:r>
        <w:rPr>
          <w:rFonts w:asciiTheme="minorEastAsia" w:hAnsiTheme="minorEastAsia" w:eastAsiaTheme="minorEastAsia"/>
          <w:szCs w:val="21"/>
        </w:rPr>
        <w:t>-23</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备注：</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1</w:t>
      </w:r>
      <w:r>
        <w:rPr>
          <w:rFonts w:hint="eastAsia" w:asciiTheme="minorEastAsia" w:hAnsiTheme="minorEastAsia" w:eastAsiaTheme="minorEastAsia"/>
          <w:bCs/>
          <w:szCs w:val="21"/>
        </w:rPr>
        <w:t>）</w:t>
      </w:r>
      <w:r>
        <w:rPr>
          <w:rFonts w:asciiTheme="minorEastAsia" w:hAnsiTheme="minorEastAsia" w:eastAsiaTheme="minorEastAsia"/>
          <w:bCs/>
          <w:szCs w:val="21"/>
        </w:rPr>
        <w:t>1.8</w:t>
      </w:r>
      <w:r>
        <w:rPr>
          <w:rFonts w:hint="eastAsia" w:asciiTheme="minorEastAsia" w:hAnsiTheme="minorEastAsia" w:eastAsiaTheme="minorEastAsia"/>
          <w:bCs/>
          <w:szCs w:val="21"/>
        </w:rPr>
        <w:t>工程量清单综合单价分析表和</w:t>
      </w:r>
      <w:r>
        <w:rPr>
          <w:rFonts w:asciiTheme="minorEastAsia" w:hAnsiTheme="minorEastAsia" w:eastAsiaTheme="minorEastAsia"/>
          <w:bCs/>
          <w:szCs w:val="21"/>
        </w:rPr>
        <w:t>1.9</w:t>
      </w:r>
      <w:r>
        <w:rPr>
          <w:rFonts w:hint="eastAsia" w:asciiTheme="minorEastAsia" w:hAnsiTheme="minorEastAsia" w:eastAsiaTheme="minorEastAsia"/>
          <w:bCs/>
          <w:szCs w:val="21"/>
        </w:rPr>
        <w:t>主要清单项目工料机分析表仅要求在商务标正本附上，副本可不附该部分内容</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5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①</w:t>
      </w:r>
      <w:r>
        <w:rPr>
          <w:rFonts w:hint="eastAsia" w:asciiTheme="minorEastAsia" w:hAnsiTheme="minorEastAsia" w:eastAsiaTheme="minorEastAsia"/>
          <w:szCs w:val="21"/>
        </w:rPr>
        <w:t>建设项目投标报价汇总表（表</w:t>
      </w:r>
      <w:r>
        <w:rPr>
          <w:rFonts w:asciiTheme="minorEastAsia" w:hAnsiTheme="minorEastAsia" w:eastAsiaTheme="minorEastAsia"/>
          <w:szCs w:val="21"/>
        </w:rPr>
        <w:t>-02</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②暂列金额明细表（表</w:t>
      </w:r>
      <w:r>
        <w:rPr>
          <w:rFonts w:asciiTheme="minorEastAsia" w:hAnsiTheme="minorEastAsia" w:eastAsiaTheme="minorEastAsia"/>
          <w:szCs w:val="21"/>
        </w:rPr>
        <w:t>12-1</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③材料（工程设备）暂估单位及调整表（表</w:t>
      </w:r>
      <w:r>
        <w:rPr>
          <w:rFonts w:asciiTheme="minorEastAsia" w:hAnsiTheme="minorEastAsia" w:eastAsiaTheme="minorEastAsia"/>
          <w:szCs w:val="21"/>
        </w:rPr>
        <w:t>12-2</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④专业工程暂估价表（表</w:t>
      </w:r>
      <w:r>
        <w:rPr>
          <w:rFonts w:asciiTheme="minorEastAsia" w:hAnsiTheme="minorEastAsia" w:eastAsiaTheme="minorEastAsia"/>
          <w:szCs w:val="21"/>
        </w:rPr>
        <w:t>12-3</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⑤计日工表（表</w:t>
      </w:r>
      <w:r>
        <w:rPr>
          <w:rFonts w:asciiTheme="minorEastAsia" w:hAnsiTheme="minorEastAsia" w:eastAsiaTheme="minorEastAsia"/>
          <w:szCs w:val="21"/>
        </w:rPr>
        <w:t>12-4</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⑥总承包服务费计价表（表</w:t>
      </w:r>
      <w:r>
        <w:rPr>
          <w:rFonts w:asciiTheme="minorEastAsia" w:hAnsiTheme="minorEastAsia" w:eastAsiaTheme="minorEastAsia"/>
          <w:szCs w:val="21"/>
        </w:rPr>
        <w:t>12-5</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⑦税前项目清单与计价表（表</w:t>
      </w:r>
      <w:r>
        <w:rPr>
          <w:rFonts w:asciiTheme="minorEastAsia" w:hAnsiTheme="minorEastAsia" w:eastAsiaTheme="minorEastAsia"/>
          <w:szCs w:val="21"/>
        </w:rPr>
        <w:t>-14</w:t>
      </w:r>
      <w:r>
        <w:rPr>
          <w:rFonts w:hint="eastAsia" w:asciiTheme="minorEastAsia" w:hAnsiTheme="minorEastAsia" w:eastAsiaTheme="minorEastAsia"/>
          <w:szCs w:val="21"/>
        </w:rPr>
        <w:t>）</w:t>
      </w:r>
    </w:p>
    <w:p>
      <w:pPr>
        <w:spacing w:line="560" w:lineRule="exact"/>
        <w:ind w:firstLine="420" w:firstLineChars="200"/>
        <w:rPr>
          <w:rFonts w:asciiTheme="minorEastAsia" w:hAnsiTheme="minorEastAsia" w:eastAsiaTheme="minorEastAsia"/>
          <w:szCs w:val="21"/>
        </w:rPr>
      </w:pPr>
    </w:p>
    <w:p>
      <w:pPr>
        <w:spacing w:line="560" w:lineRule="exact"/>
        <w:rPr>
          <w:rFonts w:asciiTheme="minorEastAsia" w:hAnsiTheme="minorEastAsia" w:eastAsiaTheme="minorEastAsia"/>
          <w:sz w:val="32"/>
          <w:szCs w:val="32"/>
        </w:rPr>
      </w:pPr>
    </w:p>
    <w:p>
      <w:pPr>
        <w:jc w:val="left"/>
        <w:rPr>
          <w:rFonts w:asciiTheme="minorEastAsia" w:hAnsiTheme="minorEastAsia" w:eastAsiaTheme="minorEastAsia"/>
          <w:sz w:val="32"/>
          <w:szCs w:val="32"/>
          <w:u w:val="single"/>
        </w:rPr>
      </w:pPr>
      <w:r>
        <w:rPr>
          <w:rFonts w:asciiTheme="minorEastAsia" w:hAnsiTheme="minorEastAsia" w:eastAsiaTheme="minorEastAsia"/>
          <w:sz w:val="32"/>
          <w:szCs w:val="32"/>
          <w:u w:val="single"/>
        </w:rPr>
        <w:br w:type="page"/>
      </w:r>
    </w:p>
    <w:p>
      <w:pPr>
        <w:jc w:val="left"/>
      </w:pPr>
    </w:p>
    <w:p>
      <w:pPr>
        <w:jc w:val="left"/>
      </w:pPr>
    </w:p>
    <w:p>
      <w:pPr>
        <w:spacing w:line="560" w:lineRule="exact"/>
        <w:ind w:firstLine="640" w:firstLineChars="200"/>
        <w:jc w:val="center"/>
        <w:outlineLvl w:val="0"/>
        <w:rPr>
          <w:rFonts w:asciiTheme="minorEastAsia" w:hAnsiTheme="minorEastAsia" w:eastAsiaTheme="minorEastAsia"/>
          <w:sz w:val="28"/>
          <w:szCs w:val="28"/>
        </w:rPr>
      </w:pP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28"/>
          <w:szCs w:val="28"/>
        </w:rPr>
        <w:t>（项目名称）施工招标</w:t>
      </w:r>
    </w:p>
    <w:p>
      <w:pPr>
        <w:spacing w:line="560" w:lineRule="exact"/>
        <w:ind w:firstLine="560" w:firstLineChars="200"/>
        <w:jc w:val="center"/>
        <w:rPr>
          <w:rFonts w:asciiTheme="minorEastAsia" w:hAnsiTheme="minorEastAsia" w:eastAsiaTheme="minorEastAsia"/>
          <w:sz w:val="28"/>
          <w:szCs w:val="28"/>
        </w:rPr>
      </w:pPr>
    </w:p>
    <w:p>
      <w:pPr>
        <w:spacing w:beforeLines="100" w:line="560" w:lineRule="exact"/>
        <w:ind w:firstLine="1040" w:firstLineChars="20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投</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标</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文</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件</w:t>
      </w: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2520" w:firstLineChars="9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项目招标编号：</w:t>
      </w:r>
      <w:r>
        <w:rPr>
          <w:rFonts w:asciiTheme="minorEastAsia" w:hAnsiTheme="minorEastAsia" w:eastAsiaTheme="minorEastAsia"/>
          <w:sz w:val="28"/>
          <w:szCs w:val="28"/>
          <w:u w:val="single"/>
        </w:rPr>
        <w:t xml:space="preserve">                   </w:t>
      </w:r>
    </w:p>
    <w:p>
      <w:pPr>
        <w:spacing w:line="560" w:lineRule="exact"/>
        <w:ind w:firstLine="560" w:firstLineChars="200"/>
        <w:rPr>
          <w:rFonts w:asciiTheme="minorEastAsia" w:hAnsiTheme="minorEastAsia" w:eastAsiaTheme="minorEastAsia"/>
          <w:sz w:val="28"/>
          <w:szCs w:val="28"/>
          <w:u w:val="single"/>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w:t>
      </w:r>
      <w:r>
        <w:rPr>
          <w:rFonts w:asciiTheme="minorEastAsia" w:hAnsiTheme="minorEastAsia" w:eastAsiaTheme="minorEastAsia"/>
          <w:sz w:val="32"/>
          <w:szCs w:val="32"/>
        </w:rPr>
        <w:t>/</w:t>
      </w:r>
      <w:r>
        <w:rPr>
          <w:rFonts w:hint="eastAsia" w:asciiTheme="minorEastAsia" w:hAnsiTheme="minorEastAsia" w:eastAsiaTheme="minorEastAsia"/>
          <w:sz w:val="32"/>
          <w:szCs w:val="32"/>
        </w:rPr>
        <w:t>副本）</w:t>
      </w:r>
    </w:p>
    <w:p>
      <w:pPr>
        <w:spacing w:line="560" w:lineRule="exact"/>
        <w:ind w:firstLine="640" w:firstLineChars="200"/>
        <w:jc w:val="center"/>
        <w:rPr>
          <w:rFonts w:asciiTheme="minorEastAsia" w:hAnsiTheme="minorEastAsia" w:eastAsiaTheme="minorEastAsia"/>
          <w:sz w:val="32"/>
          <w:szCs w:val="32"/>
        </w:rPr>
      </w:pPr>
    </w:p>
    <w:p>
      <w:pPr>
        <w:spacing w:line="560" w:lineRule="exact"/>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640" w:firstLineChars="200"/>
        <w:jc w:val="center"/>
        <w:rPr>
          <w:rFonts w:asciiTheme="minorEastAsia" w:hAnsiTheme="minorEastAsia" w:eastAsiaTheme="minorEastAsia"/>
          <w:sz w:val="32"/>
          <w:szCs w:val="32"/>
        </w:rPr>
      </w:pPr>
    </w:p>
    <w:p>
      <w:pPr>
        <w:spacing w:line="56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投标内容：</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技术标部分</w:t>
      </w:r>
      <w:r>
        <w:rPr>
          <w:rFonts w:asciiTheme="minorEastAsia" w:hAnsiTheme="minorEastAsia" w:eastAsiaTheme="minorEastAsia"/>
          <w:sz w:val="28"/>
          <w:szCs w:val="28"/>
          <w:u w:val="single"/>
        </w:rPr>
        <w:t xml:space="preserve">           </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（盖单位章）</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p>
    <w:p>
      <w:pPr>
        <w:spacing w:line="560" w:lineRule="exact"/>
        <w:ind w:firstLine="560" w:firstLineChars="200"/>
        <w:jc w:val="center"/>
        <w:rPr>
          <w:rFonts w:asciiTheme="minorEastAsia" w:hAnsiTheme="minorEastAsia" w:eastAsiaTheme="minorEastAsia"/>
          <w:sz w:val="28"/>
          <w:szCs w:val="28"/>
        </w:rPr>
      </w:pPr>
    </w:p>
    <w:p>
      <w:pPr>
        <w:spacing w:line="560" w:lineRule="exact"/>
        <w:ind w:firstLine="560" w:firstLineChars="200"/>
        <w:jc w:val="center"/>
        <w:rPr>
          <w:rFonts w:asciiTheme="minorEastAsia" w:hAnsiTheme="minorEastAsia" w:eastAsiaTheme="minorEastAsia"/>
          <w:sz w:val="28"/>
          <w:szCs w:val="28"/>
        </w:rPr>
      </w:pPr>
    </w:p>
    <w:p>
      <w:pPr>
        <w:spacing w:line="560" w:lineRule="exact"/>
        <w:ind w:firstLine="560" w:firstLineChars="200"/>
        <w:jc w:val="center"/>
        <w:outlineLvl w:val="0"/>
        <w:rPr>
          <w:rFonts w:asciiTheme="minorEastAsia" w:hAnsiTheme="minorEastAsia" w:eastAsiaTheme="minorEastAsia"/>
          <w:sz w:val="28"/>
          <w:szCs w:val="28"/>
        </w:rPr>
      </w:pP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spacing w:line="560" w:lineRule="exact"/>
        <w:ind w:firstLine="560" w:firstLineChars="200"/>
        <w:jc w:val="center"/>
        <w:rPr>
          <w:rFonts w:asciiTheme="minorEastAsia" w:hAnsiTheme="minorEastAsia" w:eastAsiaTheme="minorEastAsia"/>
          <w:b/>
          <w:sz w:val="28"/>
          <w:szCs w:val="28"/>
        </w:rPr>
      </w:pPr>
      <w:r>
        <w:rPr>
          <w:rFonts w:asciiTheme="minorEastAsia" w:hAnsiTheme="minorEastAsia" w:eastAsiaTheme="minorEastAsia"/>
          <w:sz w:val="28"/>
          <w:szCs w:val="28"/>
        </w:rPr>
        <w:br w:type="page"/>
      </w:r>
      <w:bookmarkStart w:id="276" w:name="_Toc172364022"/>
      <w:bookmarkStart w:id="277" w:name="_Toc153274944"/>
      <w:bookmarkStart w:id="278" w:name="_Toc251052160"/>
      <w:bookmarkStart w:id="279" w:name="_Toc173579002"/>
      <w:r>
        <w:rPr>
          <w:rFonts w:hint="eastAsia" w:asciiTheme="minorEastAsia" w:hAnsiTheme="minorEastAsia" w:eastAsiaTheme="minorEastAsia"/>
          <w:b/>
          <w:sz w:val="28"/>
          <w:szCs w:val="28"/>
        </w:rPr>
        <w:t>目</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录</w:t>
      </w:r>
    </w:p>
    <w:p>
      <w:pPr>
        <w:spacing w:line="560" w:lineRule="exact"/>
        <w:ind w:firstLine="640" w:firstLineChars="200"/>
        <w:rPr>
          <w:rFonts w:asciiTheme="minorEastAsia" w:hAnsiTheme="minorEastAsia" w:eastAsiaTheme="minorEastAsia"/>
          <w:sz w:val="32"/>
          <w:szCs w:val="32"/>
        </w:rPr>
      </w:pPr>
    </w:p>
    <w:p>
      <w:pPr>
        <w:pStyle w:val="99"/>
        <w:spacing w:line="560" w:lineRule="exact"/>
        <w:ind w:firstLine="420" w:firstLineChars="200"/>
        <w:outlineLvl w:val="0"/>
        <w:rPr>
          <w:rFonts w:asciiTheme="minorEastAsia" w:hAnsiTheme="minorEastAsia" w:eastAsiaTheme="minorEastAsia"/>
        </w:rPr>
      </w:pPr>
      <w:r>
        <w:rPr>
          <w:rFonts w:hint="eastAsia" w:asciiTheme="minorEastAsia" w:hAnsiTheme="minorEastAsia" w:eastAsiaTheme="minorEastAsia"/>
        </w:rPr>
        <w:t>一、施工组织设计</w:t>
      </w:r>
    </w:p>
    <w:p>
      <w:pPr>
        <w:spacing w:line="560" w:lineRule="exact"/>
        <w:ind w:firstLine="420" w:firstLineChars="200"/>
        <w:outlineLvl w:val="0"/>
        <w:rPr>
          <w:rFonts w:asciiTheme="minorEastAsia" w:hAnsiTheme="minorEastAsia" w:eastAsiaTheme="minorEastAsia"/>
        </w:rPr>
      </w:pPr>
      <w:r>
        <w:rPr>
          <w:rFonts w:hint="eastAsia" w:asciiTheme="minorEastAsia" w:hAnsiTheme="minorEastAsia" w:eastAsiaTheme="minorEastAsia"/>
        </w:rPr>
        <w:t>二、项目管理机构</w:t>
      </w: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、项目管理机构配备情况表；</w:t>
      </w: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、项目经理（注册建造师）简历表；</w:t>
      </w: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、项目技术负责人简历表。</w:t>
      </w:r>
    </w:p>
    <w:p>
      <w:pPr>
        <w:pStyle w:val="99"/>
        <w:spacing w:line="560" w:lineRule="exact"/>
        <w:ind w:firstLine="422" w:firstLineChars="200"/>
        <w:rPr>
          <w:rFonts w:asciiTheme="minorEastAsia" w:hAnsiTheme="minorEastAsia" w:eastAsiaTheme="minorEastAsia"/>
          <w:b/>
        </w:rPr>
      </w:pPr>
    </w:p>
    <w:p>
      <w:pPr>
        <w:spacing w:line="560" w:lineRule="exact"/>
        <w:ind w:firstLine="420" w:firstLineChars="200"/>
        <w:rPr>
          <w:rFonts w:asciiTheme="minorEastAsia" w:hAnsiTheme="minorEastAsia" w:eastAsiaTheme="minorEastAsia"/>
          <w:szCs w:val="28"/>
        </w:rPr>
      </w:pPr>
    </w:p>
    <w:p>
      <w:pPr>
        <w:spacing w:line="560" w:lineRule="exact"/>
        <w:ind w:firstLine="420" w:firstLineChars="200"/>
        <w:rPr>
          <w:rFonts w:asciiTheme="minorEastAsia" w:hAnsiTheme="minorEastAsia" w:eastAsiaTheme="minorEastAsia"/>
          <w:szCs w:val="28"/>
        </w:rPr>
      </w:pPr>
    </w:p>
    <w:p>
      <w:pPr>
        <w:spacing w:line="560" w:lineRule="exact"/>
        <w:ind w:firstLine="420" w:firstLineChars="200"/>
        <w:rPr>
          <w:rFonts w:asciiTheme="minorEastAsia" w:hAnsiTheme="minorEastAsia" w:eastAsiaTheme="minorEastAsia"/>
          <w:szCs w:val="28"/>
        </w:rPr>
      </w:pPr>
    </w:p>
    <w:p>
      <w:pPr>
        <w:spacing w:line="560" w:lineRule="exact"/>
        <w:ind w:firstLine="420" w:firstLineChars="200"/>
        <w:rPr>
          <w:rFonts w:asciiTheme="minorEastAsia" w:hAnsiTheme="minorEastAsia" w:eastAsiaTheme="minorEastAsia"/>
          <w:szCs w:val="28"/>
        </w:rPr>
      </w:pPr>
    </w:p>
    <w:p>
      <w:pPr>
        <w:spacing w:line="560" w:lineRule="exact"/>
        <w:ind w:firstLine="420" w:firstLineChars="200"/>
        <w:rPr>
          <w:rFonts w:asciiTheme="minorEastAsia" w:hAnsiTheme="minorEastAsia" w:eastAsiaTheme="minorEastAsia"/>
          <w:szCs w:val="28"/>
        </w:rPr>
      </w:pPr>
    </w:p>
    <w:p>
      <w:pPr>
        <w:spacing w:line="560" w:lineRule="exact"/>
        <w:ind w:firstLine="420" w:firstLineChars="200"/>
        <w:rPr>
          <w:rFonts w:asciiTheme="minorEastAsia" w:hAnsiTheme="minorEastAsia" w:eastAsiaTheme="minorEastAsia"/>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rPr>
          <w:rFonts w:asciiTheme="minorEastAsia" w:hAnsiTheme="minorEastAsia" w:eastAsiaTheme="minorEastAsia"/>
          <w:sz w:val="28"/>
          <w:szCs w:val="28"/>
        </w:rPr>
      </w:pPr>
    </w:p>
    <w:p>
      <w:pPr>
        <w:pStyle w:val="99"/>
        <w:spacing w:line="560" w:lineRule="exact"/>
        <w:jc w:val="center"/>
        <w:outlineLvl w:val="0"/>
        <w:rPr>
          <w:rFonts w:asciiTheme="minorEastAsia" w:hAnsiTheme="minorEastAsia" w:eastAsiaTheme="minorEastAsia"/>
          <w:b/>
          <w:sz w:val="24"/>
        </w:rPr>
      </w:pPr>
      <w:bookmarkStart w:id="280" w:name="_Toc389065360"/>
      <w:r>
        <w:rPr>
          <w:rFonts w:hint="eastAsia" w:asciiTheme="minorEastAsia" w:hAnsiTheme="minorEastAsia" w:eastAsiaTheme="minorEastAsia"/>
          <w:b/>
          <w:sz w:val="24"/>
        </w:rPr>
        <w:t>一、施工组织设计</w:t>
      </w:r>
      <w:bookmarkEnd w:id="280"/>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bookmarkEnd w:id="276"/>
      <w:bookmarkEnd w:id="277"/>
      <w:bookmarkEnd w:id="278"/>
      <w:bookmarkEnd w:id="279"/>
      <w:r>
        <w:rPr>
          <w:rFonts w:hint="eastAsia" w:asciiTheme="minorEastAsia" w:hAnsiTheme="minorEastAsia" w:eastAsiaTheme="minorEastAsia"/>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．施工组织设计除采用文字表述外可附下列图表，图表及格式要求附后。</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附表一</w:t>
      </w:r>
      <w:r>
        <w:rPr>
          <w:rFonts w:asciiTheme="minorEastAsia" w:hAnsiTheme="minorEastAsia" w:eastAsiaTheme="minorEastAsia"/>
          <w:szCs w:val="21"/>
        </w:rPr>
        <w:t xml:space="preserve">  </w:t>
      </w:r>
      <w:r>
        <w:rPr>
          <w:rFonts w:hint="eastAsia" w:asciiTheme="minorEastAsia" w:hAnsiTheme="minorEastAsia" w:eastAsiaTheme="minorEastAsia"/>
          <w:szCs w:val="21"/>
        </w:rPr>
        <w:t>拟投入本工程的主要施工设备表</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附表二</w:t>
      </w:r>
      <w:r>
        <w:rPr>
          <w:rFonts w:asciiTheme="minorEastAsia" w:hAnsiTheme="minorEastAsia" w:eastAsiaTheme="minorEastAsia"/>
          <w:szCs w:val="21"/>
        </w:rPr>
        <w:t xml:space="preserve">  </w:t>
      </w:r>
      <w:r>
        <w:rPr>
          <w:rFonts w:hint="eastAsia" w:asciiTheme="minorEastAsia" w:hAnsiTheme="minorEastAsia" w:eastAsiaTheme="minorEastAsia"/>
          <w:szCs w:val="21"/>
        </w:rPr>
        <w:t>拟配备本工程的试验和检测仪器设备表</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附表三</w:t>
      </w:r>
      <w:r>
        <w:rPr>
          <w:rFonts w:asciiTheme="minorEastAsia" w:hAnsiTheme="minorEastAsia" w:eastAsiaTheme="minorEastAsia"/>
          <w:szCs w:val="21"/>
        </w:rPr>
        <w:t xml:space="preserve">  </w:t>
      </w:r>
      <w:r>
        <w:rPr>
          <w:rFonts w:hint="eastAsia" w:asciiTheme="minorEastAsia" w:hAnsiTheme="minorEastAsia" w:eastAsiaTheme="minorEastAsia"/>
          <w:szCs w:val="21"/>
        </w:rPr>
        <w:t>劳动力计划表</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附表四</w:t>
      </w:r>
      <w:r>
        <w:rPr>
          <w:rFonts w:asciiTheme="minorEastAsia" w:hAnsiTheme="minorEastAsia" w:eastAsiaTheme="minorEastAsia"/>
          <w:szCs w:val="21"/>
        </w:rPr>
        <w:t xml:space="preserve">  </w:t>
      </w:r>
      <w:r>
        <w:rPr>
          <w:rFonts w:hint="eastAsia" w:asciiTheme="minorEastAsia" w:hAnsiTheme="minorEastAsia" w:eastAsiaTheme="minorEastAsia"/>
          <w:szCs w:val="21"/>
        </w:rPr>
        <w:t>计划开、竣工日期和施工进度网络图</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附表五</w:t>
      </w:r>
      <w:r>
        <w:rPr>
          <w:rFonts w:asciiTheme="minorEastAsia" w:hAnsiTheme="minorEastAsia" w:eastAsiaTheme="minorEastAsia"/>
          <w:szCs w:val="21"/>
        </w:rPr>
        <w:t xml:space="preserve">  </w:t>
      </w:r>
      <w:r>
        <w:rPr>
          <w:rFonts w:hint="eastAsia" w:asciiTheme="minorEastAsia" w:hAnsiTheme="minorEastAsia" w:eastAsiaTheme="minorEastAsia"/>
          <w:szCs w:val="21"/>
        </w:rPr>
        <w:t>施工总平面图</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附表六</w:t>
      </w:r>
      <w:r>
        <w:rPr>
          <w:rFonts w:asciiTheme="minorEastAsia" w:hAnsiTheme="minorEastAsia" w:eastAsiaTheme="minorEastAsia"/>
          <w:szCs w:val="21"/>
        </w:rPr>
        <w:t xml:space="preserve">  </w:t>
      </w:r>
      <w:r>
        <w:rPr>
          <w:rFonts w:hint="eastAsia" w:asciiTheme="minorEastAsia" w:hAnsiTheme="minorEastAsia" w:eastAsiaTheme="minorEastAsia"/>
          <w:szCs w:val="21"/>
        </w:rPr>
        <w:t>临时用地表</w:t>
      </w:r>
    </w:p>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附表一：拟投入本</w:t>
      </w:r>
      <w:r>
        <w:rPr>
          <w:rFonts w:hint="eastAsia" w:asciiTheme="minorEastAsia" w:hAnsiTheme="minorEastAsia" w:eastAsiaTheme="minorEastAsia"/>
          <w:szCs w:val="21"/>
        </w:rPr>
        <w:t>工程</w:t>
      </w:r>
      <w:r>
        <w:rPr>
          <w:rFonts w:hint="eastAsia" w:asciiTheme="minorEastAsia" w:hAnsiTheme="minorEastAsia" w:eastAsiaTheme="minorEastAsia"/>
        </w:rPr>
        <w:t>的主要施工设备表</w:t>
      </w:r>
    </w:p>
    <w:tbl>
      <w:tblPr>
        <w:tblStyle w:val="3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pPr>
            <w:r>
              <w:rPr>
                <w:rFonts w:hint="eastAsia"/>
              </w:rPr>
              <w:t>序号</w:t>
            </w:r>
          </w:p>
        </w:tc>
        <w:tc>
          <w:tcPr>
            <w:tcW w:w="1226" w:type="dxa"/>
            <w:vAlign w:val="center"/>
          </w:tcPr>
          <w:p>
            <w:pPr>
              <w:jc w:val="center"/>
            </w:pPr>
            <w:r>
              <w:rPr>
                <w:rFonts w:hint="eastAsia"/>
              </w:rPr>
              <w:t>设备名称</w:t>
            </w:r>
          </w:p>
        </w:tc>
        <w:tc>
          <w:tcPr>
            <w:tcW w:w="851" w:type="dxa"/>
            <w:vAlign w:val="center"/>
          </w:tcPr>
          <w:p>
            <w:pPr>
              <w:jc w:val="center"/>
            </w:pPr>
            <w:r>
              <w:rPr>
                <w:rFonts w:hint="eastAsia"/>
              </w:rPr>
              <w:t>型号</w:t>
            </w:r>
          </w:p>
          <w:p>
            <w:pPr>
              <w:jc w:val="center"/>
            </w:pPr>
            <w:r>
              <w:rPr>
                <w:rFonts w:hint="eastAsia"/>
              </w:rPr>
              <w:t>规格</w:t>
            </w:r>
          </w:p>
        </w:tc>
        <w:tc>
          <w:tcPr>
            <w:tcW w:w="708" w:type="dxa"/>
            <w:vAlign w:val="center"/>
          </w:tcPr>
          <w:p>
            <w:pPr>
              <w:jc w:val="center"/>
            </w:pPr>
            <w:r>
              <w:rPr>
                <w:rFonts w:hint="eastAsia"/>
              </w:rPr>
              <w:t>数量</w:t>
            </w:r>
          </w:p>
        </w:tc>
        <w:tc>
          <w:tcPr>
            <w:tcW w:w="709" w:type="dxa"/>
            <w:vAlign w:val="center"/>
          </w:tcPr>
          <w:p>
            <w:pPr>
              <w:jc w:val="center"/>
            </w:pPr>
            <w:r>
              <w:rPr>
                <w:rFonts w:hint="eastAsia"/>
              </w:rPr>
              <w:t>国别</w:t>
            </w:r>
          </w:p>
          <w:p>
            <w:pPr>
              <w:jc w:val="center"/>
            </w:pPr>
            <w:r>
              <w:rPr>
                <w:rFonts w:hint="eastAsia"/>
              </w:rPr>
              <w:t>产地</w:t>
            </w:r>
          </w:p>
        </w:tc>
        <w:tc>
          <w:tcPr>
            <w:tcW w:w="851" w:type="dxa"/>
            <w:vAlign w:val="center"/>
          </w:tcPr>
          <w:p>
            <w:pPr>
              <w:jc w:val="center"/>
            </w:pPr>
            <w:r>
              <w:rPr>
                <w:rFonts w:hint="eastAsia"/>
              </w:rPr>
              <w:t>制造</w:t>
            </w:r>
          </w:p>
          <w:p>
            <w:pPr>
              <w:jc w:val="center"/>
            </w:pPr>
            <w:r>
              <w:rPr>
                <w:rFonts w:hint="eastAsia"/>
              </w:rPr>
              <w:t>年份</w:t>
            </w:r>
          </w:p>
        </w:tc>
        <w:tc>
          <w:tcPr>
            <w:tcW w:w="1134" w:type="dxa"/>
            <w:vAlign w:val="center"/>
          </w:tcPr>
          <w:p>
            <w:pPr>
              <w:jc w:val="center"/>
            </w:pPr>
            <w:r>
              <w:rPr>
                <w:rFonts w:hint="eastAsia"/>
              </w:rPr>
              <w:t>额定功率</w:t>
            </w:r>
          </w:p>
          <w:p>
            <w:pPr>
              <w:jc w:val="center"/>
            </w:pPr>
            <w:r>
              <w:rPr>
                <w:rFonts w:hint="eastAsia"/>
              </w:rPr>
              <w:t>（</w:t>
            </w:r>
            <w:r>
              <w:t>KW</w:t>
            </w:r>
            <w:r>
              <w:rPr>
                <w:rFonts w:hint="eastAsia"/>
              </w:rPr>
              <w:t>）</w:t>
            </w:r>
          </w:p>
        </w:tc>
        <w:tc>
          <w:tcPr>
            <w:tcW w:w="992" w:type="dxa"/>
            <w:vAlign w:val="center"/>
          </w:tcPr>
          <w:p>
            <w:pPr>
              <w:jc w:val="center"/>
            </w:pPr>
            <w:r>
              <w:rPr>
                <w:rFonts w:hint="eastAsia"/>
              </w:rPr>
              <w:t>生产</w:t>
            </w:r>
          </w:p>
          <w:p>
            <w:pPr>
              <w:jc w:val="center"/>
            </w:pPr>
            <w:r>
              <w:rPr>
                <w:rFonts w:hint="eastAsia"/>
              </w:rPr>
              <w:t>能力</w:t>
            </w:r>
          </w:p>
        </w:tc>
        <w:tc>
          <w:tcPr>
            <w:tcW w:w="1134" w:type="dxa"/>
            <w:vAlign w:val="center"/>
          </w:tcPr>
          <w:p>
            <w:pPr>
              <w:jc w:val="center"/>
            </w:pPr>
            <w:r>
              <w:rPr>
                <w:rFonts w:hint="eastAsia"/>
              </w:rPr>
              <w:t>用于施</w:t>
            </w:r>
          </w:p>
          <w:p>
            <w:pPr>
              <w:jc w:val="center"/>
            </w:pPr>
            <w:r>
              <w:rPr>
                <w:rFonts w:hint="eastAsia"/>
              </w:rPr>
              <w:t>工部位</w:t>
            </w:r>
          </w:p>
        </w:tc>
        <w:tc>
          <w:tcPr>
            <w:tcW w:w="773"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tc>
        <w:tc>
          <w:tcPr>
            <w:tcW w:w="1226" w:type="dxa"/>
          </w:tcPr>
          <w:p/>
        </w:tc>
        <w:tc>
          <w:tcPr>
            <w:tcW w:w="851" w:type="dxa"/>
          </w:tcPr>
          <w:p/>
        </w:tc>
        <w:tc>
          <w:tcPr>
            <w:tcW w:w="708" w:type="dxa"/>
          </w:tcPr>
          <w:p/>
        </w:tc>
        <w:tc>
          <w:tcPr>
            <w:tcW w:w="709" w:type="dxa"/>
          </w:tcPr>
          <w:p/>
        </w:tc>
        <w:tc>
          <w:tcPr>
            <w:tcW w:w="851" w:type="dxa"/>
          </w:tcPr>
          <w:p/>
        </w:tc>
        <w:tc>
          <w:tcPr>
            <w:tcW w:w="1134" w:type="dxa"/>
          </w:tcPr>
          <w:p/>
        </w:tc>
        <w:tc>
          <w:tcPr>
            <w:tcW w:w="992" w:type="dxa"/>
          </w:tcPr>
          <w:p/>
        </w:tc>
        <w:tc>
          <w:tcPr>
            <w:tcW w:w="1134" w:type="dxa"/>
          </w:tcPr>
          <w:p/>
        </w:tc>
        <w:tc>
          <w:tcPr>
            <w:tcW w:w="7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tc>
        <w:tc>
          <w:tcPr>
            <w:tcW w:w="1226" w:type="dxa"/>
          </w:tcPr>
          <w:p/>
        </w:tc>
        <w:tc>
          <w:tcPr>
            <w:tcW w:w="851" w:type="dxa"/>
          </w:tcPr>
          <w:p/>
        </w:tc>
        <w:tc>
          <w:tcPr>
            <w:tcW w:w="708" w:type="dxa"/>
          </w:tcPr>
          <w:p/>
        </w:tc>
        <w:tc>
          <w:tcPr>
            <w:tcW w:w="709" w:type="dxa"/>
          </w:tcPr>
          <w:p/>
        </w:tc>
        <w:tc>
          <w:tcPr>
            <w:tcW w:w="851" w:type="dxa"/>
          </w:tcPr>
          <w:p/>
        </w:tc>
        <w:tc>
          <w:tcPr>
            <w:tcW w:w="1134" w:type="dxa"/>
          </w:tcPr>
          <w:p/>
        </w:tc>
        <w:tc>
          <w:tcPr>
            <w:tcW w:w="992" w:type="dxa"/>
          </w:tcPr>
          <w:p/>
        </w:tc>
        <w:tc>
          <w:tcPr>
            <w:tcW w:w="1134" w:type="dxa"/>
          </w:tcPr>
          <w:p/>
        </w:tc>
        <w:tc>
          <w:tcPr>
            <w:tcW w:w="7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tc>
        <w:tc>
          <w:tcPr>
            <w:tcW w:w="1226" w:type="dxa"/>
          </w:tcPr>
          <w:p/>
        </w:tc>
        <w:tc>
          <w:tcPr>
            <w:tcW w:w="851" w:type="dxa"/>
          </w:tcPr>
          <w:p/>
        </w:tc>
        <w:tc>
          <w:tcPr>
            <w:tcW w:w="708" w:type="dxa"/>
          </w:tcPr>
          <w:p/>
        </w:tc>
        <w:tc>
          <w:tcPr>
            <w:tcW w:w="709" w:type="dxa"/>
          </w:tcPr>
          <w:p/>
        </w:tc>
        <w:tc>
          <w:tcPr>
            <w:tcW w:w="851" w:type="dxa"/>
          </w:tcPr>
          <w:p/>
        </w:tc>
        <w:tc>
          <w:tcPr>
            <w:tcW w:w="1134" w:type="dxa"/>
          </w:tcPr>
          <w:p/>
        </w:tc>
        <w:tc>
          <w:tcPr>
            <w:tcW w:w="992" w:type="dxa"/>
          </w:tcPr>
          <w:p/>
        </w:tc>
        <w:tc>
          <w:tcPr>
            <w:tcW w:w="1134" w:type="dxa"/>
          </w:tcPr>
          <w:p/>
        </w:tc>
        <w:tc>
          <w:tcPr>
            <w:tcW w:w="7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tc>
        <w:tc>
          <w:tcPr>
            <w:tcW w:w="1226" w:type="dxa"/>
          </w:tcPr>
          <w:p/>
        </w:tc>
        <w:tc>
          <w:tcPr>
            <w:tcW w:w="851" w:type="dxa"/>
          </w:tcPr>
          <w:p/>
        </w:tc>
        <w:tc>
          <w:tcPr>
            <w:tcW w:w="708" w:type="dxa"/>
          </w:tcPr>
          <w:p/>
        </w:tc>
        <w:tc>
          <w:tcPr>
            <w:tcW w:w="709" w:type="dxa"/>
          </w:tcPr>
          <w:p/>
        </w:tc>
        <w:tc>
          <w:tcPr>
            <w:tcW w:w="851" w:type="dxa"/>
          </w:tcPr>
          <w:p/>
        </w:tc>
        <w:tc>
          <w:tcPr>
            <w:tcW w:w="1134" w:type="dxa"/>
          </w:tcPr>
          <w:p/>
        </w:tc>
        <w:tc>
          <w:tcPr>
            <w:tcW w:w="992" w:type="dxa"/>
          </w:tcPr>
          <w:p/>
        </w:tc>
        <w:tc>
          <w:tcPr>
            <w:tcW w:w="1134" w:type="dxa"/>
          </w:tcPr>
          <w:p/>
        </w:tc>
        <w:tc>
          <w:tcPr>
            <w:tcW w:w="7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tc>
        <w:tc>
          <w:tcPr>
            <w:tcW w:w="1226" w:type="dxa"/>
          </w:tcPr>
          <w:p/>
        </w:tc>
        <w:tc>
          <w:tcPr>
            <w:tcW w:w="851" w:type="dxa"/>
          </w:tcPr>
          <w:p/>
        </w:tc>
        <w:tc>
          <w:tcPr>
            <w:tcW w:w="708" w:type="dxa"/>
          </w:tcPr>
          <w:p/>
        </w:tc>
        <w:tc>
          <w:tcPr>
            <w:tcW w:w="709" w:type="dxa"/>
          </w:tcPr>
          <w:p/>
        </w:tc>
        <w:tc>
          <w:tcPr>
            <w:tcW w:w="851" w:type="dxa"/>
          </w:tcPr>
          <w:p/>
        </w:tc>
        <w:tc>
          <w:tcPr>
            <w:tcW w:w="1134" w:type="dxa"/>
          </w:tcPr>
          <w:p/>
        </w:tc>
        <w:tc>
          <w:tcPr>
            <w:tcW w:w="992" w:type="dxa"/>
          </w:tcPr>
          <w:p/>
        </w:tc>
        <w:tc>
          <w:tcPr>
            <w:tcW w:w="1134" w:type="dxa"/>
          </w:tcPr>
          <w:p/>
        </w:tc>
        <w:tc>
          <w:tcPr>
            <w:tcW w:w="773" w:type="dxa"/>
          </w:tcPr>
          <w:p/>
        </w:tc>
      </w:tr>
    </w:tbl>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br w:type="page"/>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附表二：拟配备本工程的试验和检测仪器设备表</w:t>
      </w:r>
    </w:p>
    <w:tbl>
      <w:tblPr>
        <w:tblStyle w:val="38"/>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58" w:type="dxa"/>
            <w:vAlign w:val="center"/>
          </w:tcPr>
          <w:p>
            <w:pPr>
              <w:spacing w:line="360" w:lineRule="auto"/>
              <w:jc w:val="center"/>
            </w:pPr>
            <w:r>
              <w:rPr>
                <w:rFonts w:hint="eastAsia"/>
              </w:rPr>
              <w:t>序号</w:t>
            </w:r>
          </w:p>
        </w:tc>
        <w:tc>
          <w:tcPr>
            <w:tcW w:w="1226" w:type="dxa"/>
            <w:vAlign w:val="center"/>
          </w:tcPr>
          <w:p>
            <w:pPr>
              <w:spacing w:line="360" w:lineRule="auto"/>
              <w:jc w:val="center"/>
            </w:pPr>
            <w:r>
              <w:rPr>
                <w:rFonts w:hint="eastAsia"/>
              </w:rPr>
              <w:t>仪器设备名称</w:t>
            </w:r>
          </w:p>
        </w:tc>
        <w:tc>
          <w:tcPr>
            <w:tcW w:w="851" w:type="dxa"/>
            <w:vAlign w:val="center"/>
          </w:tcPr>
          <w:p>
            <w:pPr>
              <w:spacing w:line="360" w:lineRule="auto"/>
              <w:jc w:val="center"/>
            </w:pPr>
            <w:r>
              <w:rPr>
                <w:rFonts w:hint="eastAsia"/>
              </w:rPr>
              <w:t>型号</w:t>
            </w:r>
          </w:p>
          <w:p>
            <w:pPr>
              <w:spacing w:line="360" w:lineRule="auto"/>
              <w:jc w:val="center"/>
            </w:pPr>
            <w:r>
              <w:rPr>
                <w:rFonts w:hint="eastAsia"/>
              </w:rPr>
              <w:t>规格</w:t>
            </w:r>
          </w:p>
        </w:tc>
        <w:tc>
          <w:tcPr>
            <w:tcW w:w="708" w:type="dxa"/>
            <w:vAlign w:val="center"/>
          </w:tcPr>
          <w:p>
            <w:pPr>
              <w:spacing w:line="360" w:lineRule="auto"/>
              <w:jc w:val="center"/>
            </w:pPr>
            <w:r>
              <w:rPr>
                <w:rFonts w:hint="eastAsia"/>
              </w:rPr>
              <w:t>数量</w:t>
            </w:r>
          </w:p>
        </w:tc>
        <w:tc>
          <w:tcPr>
            <w:tcW w:w="709" w:type="dxa"/>
            <w:vAlign w:val="center"/>
          </w:tcPr>
          <w:p>
            <w:pPr>
              <w:spacing w:line="360" w:lineRule="auto"/>
              <w:jc w:val="center"/>
            </w:pPr>
            <w:r>
              <w:rPr>
                <w:rFonts w:hint="eastAsia"/>
              </w:rPr>
              <w:t>国别</w:t>
            </w:r>
          </w:p>
          <w:p>
            <w:pPr>
              <w:spacing w:line="360" w:lineRule="auto"/>
              <w:jc w:val="center"/>
            </w:pPr>
            <w:r>
              <w:rPr>
                <w:rFonts w:hint="eastAsia"/>
              </w:rPr>
              <w:t>产地</w:t>
            </w:r>
          </w:p>
        </w:tc>
        <w:tc>
          <w:tcPr>
            <w:tcW w:w="1134" w:type="dxa"/>
            <w:vAlign w:val="center"/>
          </w:tcPr>
          <w:p>
            <w:pPr>
              <w:spacing w:line="360" w:lineRule="auto"/>
              <w:jc w:val="center"/>
            </w:pPr>
            <w:r>
              <w:rPr>
                <w:rFonts w:hint="eastAsia"/>
              </w:rPr>
              <w:t>制造年份</w:t>
            </w:r>
          </w:p>
        </w:tc>
        <w:tc>
          <w:tcPr>
            <w:tcW w:w="1276" w:type="dxa"/>
            <w:vAlign w:val="center"/>
          </w:tcPr>
          <w:p>
            <w:pPr>
              <w:spacing w:line="360" w:lineRule="auto"/>
              <w:jc w:val="center"/>
            </w:pPr>
            <w:r>
              <w:rPr>
                <w:rFonts w:hint="eastAsia"/>
              </w:rPr>
              <w:t>已使用</w:t>
            </w:r>
          </w:p>
          <w:p>
            <w:pPr>
              <w:spacing w:line="360" w:lineRule="auto"/>
              <w:jc w:val="center"/>
            </w:pPr>
            <w:r>
              <w:rPr>
                <w:rFonts w:hint="eastAsia"/>
              </w:rPr>
              <w:t>台时数</w:t>
            </w:r>
          </w:p>
        </w:tc>
        <w:tc>
          <w:tcPr>
            <w:tcW w:w="1134" w:type="dxa"/>
            <w:vAlign w:val="center"/>
          </w:tcPr>
          <w:p>
            <w:pPr>
              <w:spacing w:line="360" w:lineRule="auto"/>
              <w:jc w:val="center"/>
            </w:pPr>
            <w:r>
              <w:rPr>
                <w:rFonts w:hint="eastAsia"/>
              </w:rPr>
              <w:t>用途</w:t>
            </w:r>
          </w:p>
        </w:tc>
        <w:tc>
          <w:tcPr>
            <w:tcW w:w="1250" w:type="dxa"/>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pPr>
          </w:p>
        </w:tc>
        <w:tc>
          <w:tcPr>
            <w:tcW w:w="1226" w:type="dxa"/>
            <w:vAlign w:val="center"/>
          </w:tcPr>
          <w:p>
            <w:pPr>
              <w:spacing w:line="360" w:lineRule="auto"/>
            </w:pPr>
          </w:p>
        </w:tc>
        <w:tc>
          <w:tcPr>
            <w:tcW w:w="851" w:type="dxa"/>
            <w:vAlign w:val="center"/>
          </w:tcPr>
          <w:p>
            <w:pPr>
              <w:spacing w:line="360" w:lineRule="auto"/>
            </w:pPr>
          </w:p>
        </w:tc>
        <w:tc>
          <w:tcPr>
            <w:tcW w:w="708" w:type="dxa"/>
            <w:vAlign w:val="center"/>
          </w:tcPr>
          <w:p>
            <w:pPr>
              <w:spacing w:line="360" w:lineRule="auto"/>
            </w:pPr>
          </w:p>
        </w:tc>
        <w:tc>
          <w:tcPr>
            <w:tcW w:w="709" w:type="dxa"/>
            <w:vAlign w:val="center"/>
          </w:tcPr>
          <w:p>
            <w:pPr>
              <w:spacing w:line="360" w:lineRule="auto"/>
            </w:pPr>
          </w:p>
        </w:tc>
        <w:tc>
          <w:tcPr>
            <w:tcW w:w="1134" w:type="dxa"/>
            <w:vAlign w:val="center"/>
          </w:tcPr>
          <w:p>
            <w:pPr>
              <w:spacing w:line="360" w:lineRule="auto"/>
            </w:pPr>
          </w:p>
        </w:tc>
        <w:tc>
          <w:tcPr>
            <w:tcW w:w="1276" w:type="dxa"/>
            <w:vAlign w:val="center"/>
          </w:tcPr>
          <w:p>
            <w:pPr>
              <w:spacing w:line="360" w:lineRule="auto"/>
            </w:pPr>
          </w:p>
        </w:tc>
        <w:tc>
          <w:tcPr>
            <w:tcW w:w="1134" w:type="dxa"/>
            <w:vAlign w:val="center"/>
          </w:tcPr>
          <w:p>
            <w:pPr>
              <w:spacing w:line="360" w:lineRule="auto"/>
            </w:pPr>
          </w:p>
        </w:tc>
        <w:tc>
          <w:tcPr>
            <w:tcW w:w="1250"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pPr>
          </w:p>
        </w:tc>
        <w:tc>
          <w:tcPr>
            <w:tcW w:w="1226" w:type="dxa"/>
            <w:vAlign w:val="center"/>
          </w:tcPr>
          <w:p>
            <w:pPr>
              <w:spacing w:line="360" w:lineRule="auto"/>
            </w:pPr>
          </w:p>
        </w:tc>
        <w:tc>
          <w:tcPr>
            <w:tcW w:w="851" w:type="dxa"/>
            <w:vAlign w:val="center"/>
          </w:tcPr>
          <w:p>
            <w:pPr>
              <w:spacing w:line="360" w:lineRule="auto"/>
            </w:pPr>
          </w:p>
        </w:tc>
        <w:tc>
          <w:tcPr>
            <w:tcW w:w="708" w:type="dxa"/>
            <w:vAlign w:val="center"/>
          </w:tcPr>
          <w:p>
            <w:pPr>
              <w:spacing w:line="360" w:lineRule="auto"/>
            </w:pPr>
          </w:p>
        </w:tc>
        <w:tc>
          <w:tcPr>
            <w:tcW w:w="709" w:type="dxa"/>
            <w:vAlign w:val="center"/>
          </w:tcPr>
          <w:p>
            <w:pPr>
              <w:spacing w:line="360" w:lineRule="auto"/>
            </w:pPr>
          </w:p>
        </w:tc>
        <w:tc>
          <w:tcPr>
            <w:tcW w:w="1134" w:type="dxa"/>
            <w:vAlign w:val="center"/>
          </w:tcPr>
          <w:p>
            <w:pPr>
              <w:spacing w:line="360" w:lineRule="auto"/>
            </w:pPr>
          </w:p>
        </w:tc>
        <w:tc>
          <w:tcPr>
            <w:tcW w:w="1276" w:type="dxa"/>
            <w:vAlign w:val="center"/>
          </w:tcPr>
          <w:p>
            <w:pPr>
              <w:spacing w:line="360" w:lineRule="auto"/>
            </w:pPr>
          </w:p>
        </w:tc>
        <w:tc>
          <w:tcPr>
            <w:tcW w:w="1134" w:type="dxa"/>
            <w:vAlign w:val="center"/>
          </w:tcPr>
          <w:p>
            <w:pPr>
              <w:spacing w:line="360" w:lineRule="auto"/>
            </w:pPr>
          </w:p>
        </w:tc>
        <w:tc>
          <w:tcPr>
            <w:tcW w:w="1250"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pPr>
          </w:p>
        </w:tc>
        <w:tc>
          <w:tcPr>
            <w:tcW w:w="1226" w:type="dxa"/>
            <w:vAlign w:val="center"/>
          </w:tcPr>
          <w:p>
            <w:pPr>
              <w:spacing w:line="360" w:lineRule="auto"/>
            </w:pPr>
          </w:p>
        </w:tc>
        <w:tc>
          <w:tcPr>
            <w:tcW w:w="851" w:type="dxa"/>
            <w:vAlign w:val="center"/>
          </w:tcPr>
          <w:p>
            <w:pPr>
              <w:spacing w:line="360" w:lineRule="auto"/>
            </w:pPr>
          </w:p>
        </w:tc>
        <w:tc>
          <w:tcPr>
            <w:tcW w:w="708" w:type="dxa"/>
            <w:vAlign w:val="center"/>
          </w:tcPr>
          <w:p>
            <w:pPr>
              <w:spacing w:line="360" w:lineRule="auto"/>
            </w:pPr>
          </w:p>
        </w:tc>
        <w:tc>
          <w:tcPr>
            <w:tcW w:w="709" w:type="dxa"/>
            <w:vAlign w:val="center"/>
          </w:tcPr>
          <w:p>
            <w:pPr>
              <w:spacing w:line="360" w:lineRule="auto"/>
            </w:pPr>
          </w:p>
        </w:tc>
        <w:tc>
          <w:tcPr>
            <w:tcW w:w="1134" w:type="dxa"/>
            <w:vAlign w:val="center"/>
          </w:tcPr>
          <w:p>
            <w:pPr>
              <w:spacing w:line="360" w:lineRule="auto"/>
            </w:pPr>
          </w:p>
        </w:tc>
        <w:tc>
          <w:tcPr>
            <w:tcW w:w="1276" w:type="dxa"/>
            <w:vAlign w:val="center"/>
          </w:tcPr>
          <w:p>
            <w:pPr>
              <w:spacing w:line="360" w:lineRule="auto"/>
            </w:pPr>
          </w:p>
        </w:tc>
        <w:tc>
          <w:tcPr>
            <w:tcW w:w="1134" w:type="dxa"/>
            <w:vAlign w:val="center"/>
          </w:tcPr>
          <w:p>
            <w:pPr>
              <w:spacing w:line="360" w:lineRule="auto"/>
            </w:pPr>
          </w:p>
        </w:tc>
        <w:tc>
          <w:tcPr>
            <w:tcW w:w="1250"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pPr>
          </w:p>
        </w:tc>
        <w:tc>
          <w:tcPr>
            <w:tcW w:w="1226" w:type="dxa"/>
            <w:vAlign w:val="center"/>
          </w:tcPr>
          <w:p>
            <w:pPr>
              <w:spacing w:line="360" w:lineRule="auto"/>
            </w:pPr>
          </w:p>
        </w:tc>
        <w:tc>
          <w:tcPr>
            <w:tcW w:w="851" w:type="dxa"/>
            <w:vAlign w:val="center"/>
          </w:tcPr>
          <w:p>
            <w:pPr>
              <w:spacing w:line="360" w:lineRule="auto"/>
            </w:pPr>
          </w:p>
        </w:tc>
        <w:tc>
          <w:tcPr>
            <w:tcW w:w="708" w:type="dxa"/>
            <w:vAlign w:val="center"/>
          </w:tcPr>
          <w:p>
            <w:pPr>
              <w:spacing w:line="360" w:lineRule="auto"/>
            </w:pPr>
          </w:p>
        </w:tc>
        <w:tc>
          <w:tcPr>
            <w:tcW w:w="709" w:type="dxa"/>
            <w:vAlign w:val="center"/>
          </w:tcPr>
          <w:p>
            <w:pPr>
              <w:spacing w:line="360" w:lineRule="auto"/>
            </w:pPr>
          </w:p>
        </w:tc>
        <w:tc>
          <w:tcPr>
            <w:tcW w:w="1134" w:type="dxa"/>
            <w:vAlign w:val="center"/>
          </w:tcPr>
          <w:p>
            <w:pPr>
              <w:spacing w:line="360" w:lineRule="auto"/>
            </w:pPr>
          </w:p>
        </w:tc>
        <w:tc>
          <w:tcPr>
            <w:tcW w:w="1276" w:type="dxa"/>
            <w:vAlign w:val="center"/>
          </w:tcPr>
          <w:p>
            <w:pPr>
              <w:spacing w:line="360" w:lineRule="auto"/>
            </w:pPr>
          </w:p>
        </w:tc>
        <w:tc>
          <w:tcPr>
            <w:tcW w:w="1134" w:type="dxa"/>
            <w:vAlign w:val="center"/>
          </w:tcPr>
          <w:p>
            <w:pPr>
              <w:spacing w:line="360" w:lineRule="auto"/>
            </w:pPr>
          </w:p>
        </w:tc>
        <w:tc>
          <w:tcPr>
            <w:tcW w:w="1250"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pPr>
          </w:p>
        </w:tc>
        <w:tc>
          <w:tcPr>
            <w:tcW w:w="1226" w:type="dxa"/>
            <w:vAlign w:val="center"/>
          </w:tcPr>
          <w:p>
            <w:pPr>
              <w:spacing w:line="360" w:lineRule="auto"/>
            </w:pPr>
          </w:p>
        </w:tc>
        <w:tc>
          <w:tcPr>
            <w:tcW w:w="851" w:type="dxa"/>
            <w:vAlign w:val="center"/>
          </w:tcPr>
          <w:p>
            <w:pPr>
              <w:spacing w:line="360" w:lineRule="auto"/>
            </w:pPr>
          </w:p>
        </w:tc>
        <w:tc>
          <w:tcPr>
            <w:tcW w:w="708" w:type="dxa"/>
            <w:vAlign w:val="center"/>
          </w:tcPr>
          <w:p>
            <w:pPr>
              <w:spacing w:line="360" w:lineRule="auto"/>
            </w:pPr>
          </w:p>
        </w:tc>
        <w:tc>
          <w:tcPr>
            <w:tcW w:w="709" w:type="dxa"/>
            <w:vAlign w:val="center"/>
          </w:tcPr>
          <w:p>
            <w:pPr>
              <w:spacing w:line="360" w:lineRule="auto"/>
            </w:pPr>
          </w:p>
        </w:tc>
        <w:tc>
          <w:tcPr>
            <w:tcW w:w="1134" w:type="dxa"/>
            <w:vAlign w:val="center"/>
          </w:tcPr>
          <w:p>
            <w:pPr>
              <w:spacing w:line="360" w:lineRule="auto"/>
            </w:pPr>
          </w:p>
        </w:tc>
        <w:tc>
          <w:tcPr>
            <w:tcW w:w="1276" w:type="dxa"/>
            <w:vAlign w:val="center"/>
          </w:tcPr>
          <w:p>
            <w:pPr>
              <w:spacing w:line="360" w:lineRule="auto"/>
            </w:pPr>
          </w:p>
        </w:tc>
        <w:tc>
          <w:tcPr>
            <w:tcW w:w="1134" w:type="dxa"/>
            <w:vAlign w:val="center"/>
          </w:tcPr>
          <w:p>
            <w:pPr>
              <w:spacing w:line="360" w:lineRule="auto"/>
            </w:pPr>
          </w:p>
        </w:tc>
        <w:tc>
          <w:tcPr>
            <w:tcW w:w="1250" w:type="dxa"/>
            <w:vAlign w:val="center"/>
          </w:tcPr>
          <w:p>
            <w:pPr>
              <w:spacing w:line="360" w:lineRule="auto"/>
            </w:pPr>
          </w:p>
        </w:tc>
      </w:tr>
    </w:tbl>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附表三：劳动力计划表</w:t>
      </w:r>
    </w:p>
    <w:p>
      <w:pPr>
        <w:spacing w:line="5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单位：人</w:t>
      </w:r>
    </w:p>
    <w:tbl>
      <w:tblPr>
        <w:tblStyle w:val="3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工种</w:t>
            </w:r>
          </w:p>
        </w:tc>
        <w:tc>
          <w:tcPr>
            <w:tcW w:w="8506" w:type="dxa"/>
            <w:gridSpan w:val="7"/>
            <w:vAlign w:val="center"/>
          </w:tcPr>
          <w:p>
            <w:pPr>
              <w:spacing w:line="560" w:lineRule="exact"/>
              <w:jc w:val="center"/>
              <w:rPr>
                <w:rFonts w:asciiTheme="minorEastAsia" w:hAnsiTheme="minorEastAsia" w:eastAsiaTheme="minorEastAsia"/>
                <w:szCs w:val="21"/>
              </w:rPr>
            </w:pPr>
            <w:r>
              <w:rPr>
                <w:rFonts w:hint="eastAsia" w:asciiTheme="minorEastAsia" w:hAnsiTheme="minorEastAsia" w:eastAsiaTheme="minor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560" w:lineRule="exact"/>
              <w:jc w:val="center"/>
              <w:rPr>
                <w:rFonts w:asciiTheme="minorEastAsia" w:hAnsiTheme="minorEastAsia" w:eastAsiaTheme="minorEastAsia"/>
                <w:szCs w:val="21"/>
              </w:rPr>
            </w:pPr>
          </w:p>
        </w:tc>
        <w:tc>
          <w:tcPr>
            <w:tcW w:w="961"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c>
          <w:tcPr>
            <w:tcW w:w="1257" w:type="dxa"/>
            <w:vAlign w:val="center"/>
          </w:tcPr>
          <w:p>
            <w:pPr>
              <w:spacing w:line="560" w:lineRule="exact"/>
              <w:jc w:val="center"/>
              <w:rPr>
                <w:rFonts w:asciiTheme="minorEastAsia" w:hAnsiTheme="minorEastAsia" w:eastAsiaTheme="minorEastAsia"/>
                <w:szCs w:val="21"/>
              </w:rPr>
            </w:pPr>
          </w:p>
        </w:tc>
        <w:tc>
          <w:tcPr>
            <w:tcW w:w="1258" w:type="dxa"/>
            <w:vAlign w:val="center"/>
          </w:tcPr>
          <w:p>
            <w:pPr>
              <w:spacing w:line="560" w:lineRule="exact"/>
              <w:jc w:val="center"/>
              <w:rPr>
                <w:rFonts w:asciiTheme="minorEastAsia" w:hAnsiTheme="minorEastAsia" w:eastAsiaTheme="minorEastAsia"/>
                <w:szCs w:val="21"/>
              </w:rPr>
            </w:pPr>
          </w:p>
        </w:tc>
      </w:tr>
    </w:tbl>
    <w:p>
      <w:pPr>
        <w:spacing w:line="560" w:lineRule="exact"/>
        <w:ind w:firstLine="420" w:firstLineChars="200"/>
        <w:rPr>
          <w:rFonts w:asciiTheme="minorEastAsia" w:hAnsiTheme="minorEastAsia" w:eastAsiaTheme="minorEastAsia"/>
        </w:rPr>
      </w:pPr>
    </w:p>
    <w:p>
      <w:pPr>
        <w:spacing w:line="560" w:lineRule="exact"/>
        <w:ind w:firstLine="422" w:firstLineChars="200"/>
        <w:rPr>
          <w:rFonts w:asciiTheme="minorEastAsia" w:hAnsiTheme="minorEastAsia" w:eastAsiaTheme="minorEastAsia"/>
          <w:b/>
        </w:rPr>
      </w:pPr>
    </w:p>
    <w:p>
      <w:pPr>
        <w:rPr>
          <w:rFonts w:asciiTheme="minorEastAsia" w:hAnsiTheme="minorEastAsia" w:eastAsiaTheme="minorEastAsia"/>
        </w:rPr>
      </w:pPr>
      <w:r>
        <w:rPr>
          <w:rFonts w:hint="eastAsia" w:asciiTheme="minorEastAsia" w:hAnsiTheme="minorEastAsia" w:eastAsiaTheme="minorEastAsia"/>
        </w:rPr>
        <w:br w:type="page"/>
      </w: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附表四：计划开、竣工日期和施工进度计划（网络图或横道图）</w:t>
      </w:r>
    </w:p>
    <w:p>
      <w:pPr>
        <w:spacing w:line="560" w:lineRule="exact"/>
        <w:ind w:left="-6" w:firstLine="420" w:firstLineChars="20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投标人应提交施工进度计划，说明按招标文件要求的工期进行施工的各个关键日期。中标的投标人还应按合同条件有关条款的要求提交详细的施工进度计划。</w:t>
      </w:r>
    </w:p>
    <w:p>
      <w:pPr>
        <w:spacing w:line="560" w:lineRule="exact"/>
        <w:ind w:left="-6" w:firstLine="420"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施工进度计划可采用网络图（或横道图）表示，说明计划开工日期和各分项工程各阶段的完工日期和分包合同签订的日期。</w:t>
      </w:r>
    </w:p>
    <w:p>
      <w:pPr>
        <w:spacing w:line="560" w:lineRule="exact"/>
        <w:ind w:left="-6" w:firstLine="420" w:firstLineChars="200"/>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施工进度计划应与施工组织设计相适应。</w:t>
      </w:r>
    </w:p>
    <w:p>
      <w:pPr>
        <w:spacing w:line="560" w:lineRule="exact"/>
        <w:ind w:left="-6"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附表五：施工总平面图</w:t>
      </w: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投标人应递交一份施工总平面图，绘出现场临时设施布置图表并附文字说明，说明临时设施、加工车间、现场办公、设备及仓储、供电、供水、卫生、生活、道路、消防等设施的情况和布置。</w:t>
      </w: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附表六：临时用地表</w:t>
      </w:r>
    </w:p>
    <w:tbl>
      <w:tblPr>
        <w:tblStyle w:val="3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szCs w:val="21"/>
              </w:rPr>
              <w:t>用途</w:t>
            </w:r>
          </w:p>
        </w:tc>
        <w:tc>
          <w:tcPr>
            <w:tcW w:w="2357"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szCs w:val="21"/>
              </w:rPr>
              <w:t>面积（平方米）</w:t>
            </w:r>
          </w:p>
        </w:tc>
        <w:tc>
          <w:tcPr>
            <w:tcW w:w="2356"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szCs w:val="21"/>
              </w:rPr>
              <w:t>位置</w:t>
            </w:r>
          </w:p>
        </w:tc>
        <w:tc>
          <w:tcPr>
            <w:tcW w:w="2357"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c>
          <w:tcPr>
            <w:tcW w:w="2356" w:type="dxa"/>
          </w:tcPr>
          <w:p>
            <w:pPr>
              <w:spacing w:line="560" w:lineRule="exact"/>
              <w:rPr>
                <w:rFonts w:asciiTheme="minorEastAsia" w:hAnsiTheme="minorEastAsia" w:eastAsiaTheme="minorEastAsia"/>
              </w:rPr>
            </w:pPr>
          </w:p>
        </w:tc>
        <w:tc>
          <w:tcPr>
            <w:tcW w:w="2357" w:type="dxa"/>
          </w:tcPr>
          <w:p>
            <w:pPr>
              <w:spacing w:line="560" w:lineRule="exact"/>
              <w:rPr>
                <w:rFonts w:asciiTheme="minorEastAsia" w:hAnsiTheme="minorEastAsia" w:eastAsiaTheme="minorEastAsia"/>
              </w:rPr>
            </w:pPr>
          </w:p>
        </w:tc>
      </w:tr>
    </w:tbl>
    <w:p>
      <w:pPr>
        <w:spacing w:line="560" w:lineRule="exact"/>
        <w:ind w:firstLine="420" w:firstLineChars="200"/>
        <w:rPr>
          <w:rFonts w:asciiTheme="minorEastAsia" w:hAnsiTheme="minorEastAsia" w:eastAsiaTheme="minorEastAsia"/>
        </w:rPr>
      </w:pPr>
    </w:p>
    <w:p>
      <w:pPr>
        <w:spacing w:beforeLines="50" w:afterLines="100" w:line="560" w:lineRule="exact"/>
        <w:ind w:right="420" w:firstLine="560" w:firstLineChars="200"/>
        <w:jc w:val="center"/>
        <w:rPr>
          <w:rFonts w:asciiTheme="minorEastAsia" w:hAnsiTheme="minorEastAsia" w:eastAsiaTheme="minorEastAsia"/>
          <w:sz w:val="28"/>
          <w:szCs w:val="28"/>
        </w:rPr>
        <w:sectPr>
          <w:pgSz w:w="11907" w:h="16840"/>
          <w:pgMar w:top="1440" w:right="1440" w:bottom="1440" w:left="1377" w:header="851" w:footer="851" w:gutter="0"/>
          <w:cols w:space="720" w:num="1"/>
          <w:docGrid w:linePitch="312" w:charSpace="0"/>
        </w:sectPr>
      </w:pPr>
    </w:p>
    <w:p>
      <w:pPr>
        <w:spacing w:line="560" w:lineRule="exact"/>
        <w:ind w:firstLine="420" w:firstLineChars="200"/>
        <w:rPr>
          <w:rFonts w:asciiTheme="minorEastAsia" w:hAnsiTheme="minorEastAsia" w:eastAsiaTheme="minorEastAsia"/>
        </w:rPr>
      </w:pPr>
    </w:p>
    <w:p>
      <w:pPr>
        <w:pStyle w:val="99"/>
        <w:spacing w:line="560" w:lineRule="exact"/>
        <w:ind w:firstLine="643" w:firstLineChars="200"/>
        <w:jc w:val="center"/>
        <w:outlineLvl w:val="0"/>
        <w:rPr>
          <w:rFonts w:asciiTheme="minorEastAsia" w:hAnsiTheme="minorEastAsia" w:eastAsiaTheme="minorEastAsia"/>
          <w:b/>
          <w:bCs/>
          <w:sz w:val="32"/>
        </w:rPr>
      </w:pPr>
      <w:r>
        <w:rPr>
          <w:rFonts w:hint="eastAsia" w:asciiTheme="minorEastAsia" w:hAnsiTheme="minorEastAsia" w:eastAsiaTheme="minorEastAsia"/>
          <w:b/>
          <w:bCs/>
          <w:sz w:val="32"/>
        </w:rPr>
        <w:t>二、项目管理机构</w:t>
      </w:r>
      <w:bookmarkStart w:id="281" w:name="_Toc173579005"/>
      <w:bookmarkStart w:id="282" w:name="_Toc172364025"/>
      <w:bookmarkStart w:id="283" w:name="_Toc251052184"/>
      <w:bookmarkStart w:id="284" w:name="_Toc153274947"/>
    </w:p>
    <w:p>
      <w:pPr>
        <w:pStyle w:val="99"/>
        <w:spacing w:line="560" w:lineRule="exact"/>
        <w:ind w:firstLine="482" w:firstLineChars="200"/>
        <w:jc w:val="center"/>
        <w:outlineLvl w:val="1"/>
        <w:rPr>
          <w:rFonts w:asciiTheme="minorEastAsia" w:hAnsiTheme="minorEastAsia" w:eastAsiaTheme="minorEastAsia"/>
          <w:b/>
          <w:sz w:val="28"/>
          <w:szCs w:val="28"/>
        </w:rPr>
      </w:pPr>
      <w:r>
        <w:rPr>
          <w:rFonts w:asciiTheme="minorEastAsia" w:hAnsiTheme="minorEastAsia" w:eastAsiaTheme="minorEastAsia"/>
          <w:b/>
          <w:bCs/>
          <w:sz w:val="24"/>
        </w:rPr>
        <w:t>1</w:t>
      </w:r>
      <w:r>
        <w:rPr>
          <w:rFonts w:hint="eastAsia" w:asciiTheme="minorEastAsia" w:hAnsiTheme="minorEastAsia" w:eastAsiaTheme="minorEastAsia"/>
          <w:b/>
          <w:sz w:val="24"/>
        </w:rPr>
        <w:t>、项目管理机构配备情况表</w:t>
      </w:r>
      <w:bookmarkEnd w:id="281"/>
      <w:bookmarkEnd w:id="282"/>
      <w:bookmarkEnd w:id="283"/>
      <w:bookmarkEnd w:id="284"/>
    </w:p>
    <w:p>
      <w:pPr>
        <w:pStyle w:val="99"/>
        <w:spacing w:line="560" w:lineRule="exact"/>
        <w:ind w:firstLine="420" w:firstLineChars="200"/>
        <w:rPr>
          <w:rFonts w:asciiTheme="minorEastAsia" w:hAnsiTheme="minorEastAsia" w:eastAsiaTheme="minorEastAsia"/>
          <w:u w:val="single"/>
        </w:rPr>
      </w:pP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u w:val="single"/>
        </w:rPr>
        <w:t xml:space="preserve">            </w:t>
      </w:r>
      <w:bookmarkStart w:id="285" w:name="_Toc251052185"/>
      <w:r>
        <w:rPr>
          <w:rFonts w:hint="eastAsia" w:asciiTheme="minorEastAsia" w:hAnsiTheme="minorEastAsia" w:eastAsiaTheme="minorEastAsia"/>
          <w:u w:val="single"/>
        </w:rPr>
        <w:t>（招标工程项目名称）</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工程</w:t>
      </w:r>
      <w:r>
        <w:rPr>
          <w:rFonts w:asciiTheme="minorEastAsia" w:hAnsiTheme="minorEastAsia" w:eastAsiaTheme="minorEastAsia"/>
        </w:rPr>
        <w:t xml:space="preserve"> </w:t>
      </w:r>
      <w:bookmarkEnd w:id="285"/>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jc w:val="center"/>
            </w:pPr>
            <w:r>
              <w:rPr>
                <w:rFonts w:hint="eastAsia"/>
              </w:rPr>
              <w:t>岗位</w:t>
            </w:r>
          </w:p>
        </w:tc>
        <w:tc>
          <w:tcPr>
            <w:tcW w:w="829" w:type="dxa"/>
            <w:vMerge w:val="restart"/>
            <w:vAlign w:val="center"/>
          </w:tcPr>
          <w:p>
            <w:pPr>
              <w:jc w:val="center"/>
            </w:pPr>
            <w:bookmarkStart w:id="286" w:name="_Toc251052187"/>
            <w:r>
              <w:rPr>
                <w:rFonts w:hint="eastAsia"/>
              </w:rPr>
              <w:t>姓名</w:t>
            </w:r>
            <w:bookmarkEnd w:id="286"/>
          </w:p>
        </w:tc>
        <w:tc>
          <w:tcPr>
            <w:tcW w:w="816" w:type="dxa"/>
            <w:vMerge w:val="restart"/>
            <w:vAlign w:val="center"/>
          </w:tcPr>
          <w:p>
            <w:pPr>
              <w:jc w:val="center"/>
            </w:pPr>
            <w:bookmarkStart w:id="287" w:name="_Toc251052188"/>
            <w:r>
              <w:rPr>
                <w:rFonts w:hint="eastAsia"/>
              </w:rPr>
              <w:t>职称</w:t>
            </w:r>
            <w:bookmarkEnd w:id="287"/>
          </w:p>
        </w:tc>
        <w:tc>
          <w:tcPr>
            <w:tcW w:w="4592" w:type="dxa"/>
            <w:gridSpan w:val="4"/>
            <w:vAlign w:val="center"/>
          </w:tcPr>
          <w:p>
            <w:pPr>
              <w:jc w:val="center"/>
            </w:pPr>
            <w:bookmarkStart w:id="288" w:name="_Toc251052189"/>
            <w:r>
              <w:rPr>
                <w:rFonts w:hint="eastAsia"/>
              </w:rPr>
              <w:t>执业或职业资格证明</w:t>
            </w:r>
            <w:bookmarkEnd w:id="288"/>
          </w:p>
        </w:tc>
        <w:tc>
          <w:tcPr>
            <w:tcW w:w="2126" w:type="dxa"/>
            <w:gridSpan w:val="2"/>
            <w:vAlign w:val="center"/>
          </w:tcPr>
          <w:p>
            <w:pPr>
              <w:jc w:val="center"/>
            </w:pPr>
            <w:bookmarkStart w:id="289" w:name="_Toc251052190"/>
            <w:r>
              <w:rPr>
                <w:rFonts w:hint="eastAsia"/>
              </w:rPr>
              <w:t>承担完工</w:t>
            </w:r>
            <w:bookmarkEnd w:id="289"/>
            <w:bookmarkStart w:id="290" w:name="_Toc251052191"/>
            <w:r>
              <w:rPr>
                <w:rFonts w:hint="eastAsia"/>
              </w:rPr>
              <w:t>工程情况</w:t>
            </w:r>
            <w:bookmarkEnd w:id="2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jc w:val="center"/>
            </w:pPr>
          </w:p>
        </w:tc>
        <w:tc>
          <w:tcPr>
            <w:tcW w:w="829" w:type="dxa"/>
            <w:vMerge w:val="continue"/>
            <w:vAlign w:val="center"/>
          </w:tcPr>
          <w:p>
            <w:pPr>
              <w:jc w:val="center"/>
            </w:pPr>
          </w:p>
        </w:tc>
        <w:tc>
          <w:tcPr>
            <w:tcW w:w="816" w:type="dxa"/>
            <w:vMerge w:val="continue"/>
            <w:vAlign w:val="center"/>
          </w:tcPr>
          <w:p>
            <w:pPr>
              <w:jc w:val="center"/>
            </w:pPr>
          </w:p>
        </w:tc>
        <w:tc>
          <w:tcPr>
            <w:tcW w:w="1148" w:type="dxa"/>
            <w:vAlign w:val="center"/>
          </w:tcPr>
          <w:p>
            <w:pPr>
              <w:jc w:val="center"/>
            </w:pPr>
            <w:bookmarkStart w:id="291" w:name="_Toc251052192"/>
            <w:r>
              <w:rPr>
                <w:rFonts w:hint="eastAsia"/>
              </w:rPr>
              <w:t>证书名称</w:t>
            </w:r>
            <w:bookmarkEnd w:id="291"/>
          </w:p>
        </w:tc>
        <w:tc>
          <w:tcPr>
            <w:tcW w:w="1148" w:type="dxa"/>
            <w:vAlign w:val="center"/>
          </w:tcPr>
          <w:p>
            <w:pPr>
              <w:jc w:val="center"/>
            </w:pPr>
            <w:bookmarkStart w:id="292" w:name="_Toc251052193"/>
            <w:r>
              <w:rPr>
                <w:rFonts w:hint="eastAsia"/>
              </w:rPr>
              <w:t>级别</w:t>
            </w:r>
            <w:bookmarkEnd w:id="292"/>
          </w:p>
        </w:tc>
        <w:tc>
          <w:tcPr>
            <w:tcW w:w="1148" w:type="dxa"/>
            <w:vAlign w:val="center"/>
          </w:tcPr>
          <w:p>
            <w:pPr>
              <w:jc w:val="center"/>
            </w:pPr>
            <w:bookmarkStart w:id="293" w:name="_Toc251052194"/>
            <w:r>
              <w:rPr>
                <w:rFonts w:hint="eastAsia"/>
              </w:rPr>
              <w:t>证号</w:t>
            </w:r>
            <w:bookmarkEnd w:id="293"/>
          </w:p>
        </w:tc>
        <w:tc>
          <w:tcPr>
            <w:tcW w:w="1148" w:type="dxa"/>
            <w:vAlign w:val="center"/>
          </w:tcPr>
          <w:p>
            <w:pPr>
              <w:jc w:val="center"/>
            </w:pPr>
            <w:bookmarkStart w:id="294" w:name="_Toc251052195"/>
            <w:r>
              <w:rPr>
                <w:rFonts w:hint="eastAsia"/>
              </w:rPr>
              <w:t>专业</w:t>
            </w:r>
            <w:bookmarkEnd w:id="294"/>
          </w:p>
        </w:tc>
        <w:tc>
          <w:tcPr>
            <w:tcW w:w="850" w:type="dxa"/>
            <w:vAlign w:val="center"/>
          </w:tcPr>
          <w:p>
            <w:pPr>
              <w:jc w:val="center"/>
            </w:pPr>
            <w:bookmarkStart w:id="295" w:name="_Toc251052197"/>
            <w:r>
              <w:rPr>
                <w:rFonts w:hint="eastAsia"/>
              </w:rPr>
              <w:t>项目数</w:t>
            </w:r>
            <w:bookmarkEnd w:id="295"/>
          </w:p>
        </w:tc>
        <w:tc>
          <w:tcPr>
            <w:tcW w:w="1276" w:type="dxa"/>
            <w:vAlign w:val="center"/>
          </w:tcPr>
          <w:p>
            <w:pPr>
              <w:jc w:val="center"/>
            </w:pPr>
            <w:bookmarkStart w:id="296" w:name="_Toc251052198"/>
            <w:r>
              <w:rPr>
                <w:rFonts w:hint="eastAsia"/>
              </w:rPr>
              <w:t>主要项目</w:t>
            </w:r>
          </w:p>
          <w:p>
            <w:pPr>
              <w:jc w:val="center"/>
            </w:pPr>
            <w:r>
              <w:rPr>
                <w:rFonts w:hint="eastAsia"/>
              </w:rPr>
              <w:t>名称</w:t>
            </w:r>
            <w:bookmarkEnd w:id="2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center"/>
            </w:pPr>
            <w:r>
              <w:rPr>
                <w:rFonts w:hint="eastAsia"/>
              </w:rPr>
              <w:t>施工员</w:t>
            </w:r>
          </w:p>
        </w:tc>
        <w:tc>
          <w:tcPr>
            <w:tcW w:w="829" w:type="dxa"/>
            <w:vAlign w:val="center"/>
          </w:tcPr>
          <w:p>
            <w:pPr>
              <w:jc w:val="center"/>
            </w:pPr>
          </w:p>
        </w:tc>
        <w:tc>
          <w:tcPr>
            <w:tcW w:w="816"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85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center"/>
            </w:pPr>
            <w:r>
              <w:rPr>
                <w:rFonts w:hint="eastAsia"/>
              </w:rPr>
              <w:t>质量员</w:t>
            </w:r>
          </w:p>
        </w:tc>
        <w:tc>
          <w:tcPr>
            <w:tcW w:w="829" w:type="dxa"/>
            <w:vAlign w:val="center"/>
          </w:tcPr>
          <w:p>
            <w:pPr>
              <w:jc w:val="center"/>
            </w:pPr>
          </w:p>
        </w:tc>
        <w:tc>
          <w:tcPr>
            <w:tcW w:w="816"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85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jc w:val="center"/>
            </w:pPr>
            <w:r>
              <w:rPr>
                <w:rFonts w:hint="eastAsia"/>
              </w:rPr>
              <w:t>安全员</w:t>
            </w:r>
          </w:p>
        </w:tc>
        <w:tc>
          <w:tcPr>
            <w:tcW w:w="829" w:type="dxa"/>
            <w:vAlign w:val="center"/>
          </w:tcPr>
          <w:p>
            <w:pPr>
              <w:jc w:val="center"/>
            </w:pPr>
          </w:p>
        </w:tc>
        <w:tc>
          <w:tcPr>
            <w:tcW w:w="816"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85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jc w:val="center"/>
            </w:pPr>
          </w:p>
        </w:tc>
        <w:tc>
          <w:tcPr>
            <w:tcW w:w="829" w:type="dxa"/>
            <w:vAlign w:val="center"/>
          </w:tcPr>
          <w:p>
            <w:pPr>
              <w:jc w:val="center"/>
            </w:pPr>
          </w:p>
        </w:tc>
        <w:tc>
          <w:tcPr>
            <w:tcW w:w="816"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85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jc w:val="center"/>
            </w:pPr>
          </w:p>
        </w:tc>
        <w:tc>
          <w:tcPr>
            <w:tcW w:w="829" w:type="dxa"/>
            <w:vAlign w:val="center"/>
          </w:tcPr>
          <w:p>
            <w:pPr>
              <w:jc w:val="center"/>
            </w:pPr>
          </w:p>
        </w:tc>
        <w:tc>
          <w:tcPr>
            <w:tcW w:w="816"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85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center"/>
            </w:pPr>
            <w:r>
              <w:rPr>
                <w:rFonts w:hint="eastAsia"/>
              </w:rPr>
              <w:t>材料员</w:t>
            </w:r>
          </w:p>
        </w:tc>
        <w:tc>
          <w:tcPr>
            <w:tcW w:w="829" w:type="dxa"/>
            <w:vAlign w:val="center"/>
          </w:tcPr>
          <w:p>
            <w:pPr>
              <w:jc w:val="center"/>
            </w:pPr>
          </w:p>
        </w:tc>
        <w:tc>
          <w:tcPr>
            <w:tcW w:w="816"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1148" w:type="dxa"/>
            <w:vAlign w:val="center"/>
          </w:tcPr>
          <w:p>
            <w:pPr>
              <w:jc w:val="center"/>
            </w:pPr>
          </w:p>
        </w:tc>
        <w:tc>
          <w:tcPr>
            <w:tcW w:w="85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27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jc w:val="left"/>
            </w:pPr>
            <w:r>
              <w:t>……</w:t>
            </w:r>
          </w:p>
        </w:tc>
        <w:tc>
          <w:tcPr>
            <w:tcW w:w="829" w:type="dxa"/>
            <w:vAlign w:val="center"/>
          </w:tcPr>
          <w:p>
            <w:pPr>
              <w:jc w:val="left"/>
            </w:pPr>
          </w:p>
        </w:tc>
        <w:tc>
          <w:tcPr>
            <w:tcW w:w="816"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1148" w:type="dxa"/>
            <w:vAlign w:val="center"/>
          </w:tcPr>
          <w:p>
            <w:pPr>
              <w:jc w:val="left"/>
            </w:pPr>
          </w:p>
        </w:tc>
        <w:tc>
          <w:tcPr>
            <w:tcW w:w="850" w:type="dxa"/>
            <w:vAlign w:val="center"/>
          </w:tcPr>
          <w:p>
            <w:pPr>
              <w:jc w:val="left"/>
            </w:pPr>
          </w:p>
        </w:tc>
        <w:tc>
          <w:tcPr>
            <w:tcW w:w="127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bookmarkStart w:id="297" w:name="_Toc251052199"/>
            <w:r>
              <w:rPr>
                <w:rFonts w:hint="eastAsia"/>
              </w:rPr>
              <w:t>一旦我单位中标，将实行项目经理负责制，我方保证并配备上述项目管理机构。上述填报内容真实，若不真实，愿按有关规定接受处理。项目管理班子机构设置、职责分工等情况另附资料说明。</w:t>
            </w:r>
            <w:bookmarkEnd w:id="297"/>
          </w:p>
        </w:tc>
      </w:tr>
    </w:tbl>
    <w:p>
      <w:pPr>
        <w:tabs>
          <w:tab w:val="left" w:pos="0"/>
        </w:tabs>
        <w:spacing w:line="560" w:lineRule="exact"/>
        <w:ind w:right="-210"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rPr>
        <w:t>备注：附以上各岗位人员资格证件，以及投标人认为需要增加的其他证明材料复印件，以上复印件须加盖投标人单位公章。】</w:t>
      </w:r>
    </w:p>
    <w:p>
      <w:pPr>
        <w:spacing w:line="560" w:lineRule="exact"/>
        <w:ind w:firstLine="420" w:firstLineChars="200"/>
        <w:rPr>
          <w:rFonts w:asciiTheme="minorEastAsia" w:hAnsiTheme="minorEastAsia" w:eastAsiaTheme="minorEastAsia"/>
        </w:rPr>
      </w:pPr>
    </w:p>
    <w:p>
      <w:pPr>
        <w:tabs>
          <w:tab w:val="left" w:pos="0"/>
        </w:tabs>
        <w:spacing w:line="560" w:lineRule="exact"/>
        <w:ind w:right="-210" w:firstLine="420" w:firstLineChars="200"/>
        <w:rPr>
          <w:rFonts w:asciiTheme="minorEastAsia" w:hAnsiTheme="minorEastAsia" w:eastAsiaTheme="minorEastAsia"/>
        </w:rPr>
      </w:pPr>
    </w:p>
    <w:p>
      <w:pPr>
        <w:tabs>
          <w:tab w:val="left" w:pos="0"/>
        </w:tabs>
        <w:spacing w:line="560" w:lineRule="exact"/>
        <w:ind w:right="-210" w:firstLine="420" w:firstLineChars="200"/>
        <w:rPr>
          <w:rFonts w:asciiTheme="minorEastAsia" w:hAnsiTheme="minorEastAsia" w:eastAsiaTheme="minorEastAsia"/>
        </w:rPr>
      </w:pPr>
    </w:p>
    <w:p>
      <w:pPr>
        <w:tabs>
          <w:tab w:val="left" w:pos="0"/>
        </w:tabs>
        <w:spacing w:line="560" w:lineRule="exact"/>
        <w:ind w:right="-210" w:firstLine="420" w:firstLineChars="200"/>
        <w:rPr>
          <w:rFonts w:asciiTheme="minorEastAsia" w:hAnsiTheme="minorEastAsia" w:eastAsiaTheme="minorEastAsia"/>
        </w:rPr>
        <w:sectPr>
          <w:pgSz w:w="11907" w:h="16840"/>
          <w:pgMar w:top="1440" w:right="1440" w:bottom="1440" w:left="1397" w:header="851" w:footer="851" w:gutter="0"/>
          <w:cols w:space="720" w:num="1"/>
          <w:docGrid w:linePitch="312" w:charSpace="0"/>
        </w:sectPr>
      </w:pPr>
    </w:p>
    <w:p>
      <w:pPr>
        <w:pStyle w:val="99"/>
        <w:spacing w:line="560" w:lineRule="exact"/>
        <w:ind w:firstLine="482" w:firstLineChars="200"/>
        <w:jc w:val="center"/>
        <w:outlineLvl w:val="1"/>
        <w:rPr>
          <w:rFonts w:asciiTheme="minorEastAsia" w:hAnsiTheme="minorEastAsia" w:eastAsiaTheme="minorEastAsia"/>
          <w:u w:val="single"/>
        </w:rPr>
      </w:pPr>
      <w:bookmarkStart w:id="298" w:name="_Toc172364026"/>
      <w:bookmarkStart w:id="299" w:name="_Toc173579006"/>
      <w:bookmarkStart w:id="300" w:name="_Toc389065364"/>
      <w:bookmarkStart w:id="301" w:name="_Toc251052200"/>
      <w:bookmarkStart w:id="302" w:name="_Toc153274948"/>
      <w:r>
        <w:rPr>
          <w:rFonts w:asciiTheme="minorEastAsia" w:hAnsiTheme="minorEastAsia" w:eastAsiaTheme="minorEastAsia"/>
          <w:b/>
          <w:sz w:val="24"/>
        </w:rPr>
        <w:t>2</w:t>
      </w:r>
      <w:r>
        <w:rPr>
          <w:rFonts w:hint="eastAsia" w:asciiTheme="minorEastAsia" w:hAnsiTheme="minorEastAsia" w:eastAsiaTheme="minorEastAsia"/>
          <w:b/>
          <w:sz w:val="24"/>
        </w:rPr>
        <w:t>、项目经理（注册建造师）简历表</w:t>
      </w:r>
      <w:bookmarkEnd w:id="298"/>
      <w:bookmarkEnd w:id="299"/>
      <w:bookmarkEnd w:id="300"/>
      <w:bookmarkEnd w:id="301"/>
      <w:bookmarkEnd w:id="302"/>
    </w:p>
    <w:p>
      <w:pPr>
        <w:pStyle w:val="99"/>
        <w:spacing w:line="560" w:lineRule="exact"/>
        <w:ind w:firstLine="420" w:firstLineChars="200"/>
        <w:rPr>
          <w:rFonts w:asciiTheme="minorEastAsia" w:hAnsiTheme="minorEastAsia" w:eastAsiaTheme="minorEastAsia"/>
          <w:u w:val="single"/>
        </w:rPr>
      </w:pP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u w:val="single"/>
        </w:rPr>
        <w:t xml:space="preserve">            </w:t>
      </w:r>
      <w:r>
        <w:rPr>
          <w:rFonts w:hint="eastAsia" w:asciiTheme="minorEastAsia" w:hAnsiTheme="minorEastAsia" w:eastAsiaTheme="minorEastAsia"/>
          <w:u w:val="single"/>
        </w:rPr>
        <w:t>（招标工程项目名称）</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工程</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姓名</w:t>
            </w:r>
          </w:p>
        </w:tc>
        <w:tc>
          <w:tcPr>
            <w:tcW w:w="2340" w:type="dxa"/>
            <w:gridSpan w:val="3"/>
            <w:vAlign w:val="center"/>
          </w:tcPr>
          <w:p>
            <w:pPr>
              <w:spacing w:line="560" w:lineRule="exact"/>
              <w:jc w:val="center"/>
              <w:rPr>
                <w:rFonts w:asciiTheme="minorEastAsia" w:hAnsiTheme="minorEastAsia" w:eastAsiaTheme="minorEastAsia"/>
              </w:rPr>
            </w:pPr>
          </w:p>
        </w:tc>
        <w:tc>
          <w:tcPr>
            <w:tcW w:w="1893"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性别</w:t>
            </w:r>
          </w:p>
        </w:tc>
        <w:tc>
          <w:tcPr>
            <w:tcW w:w="1585" w:type="dxa"/>
            <w:gridSpan w:val="2"/>
            <w:vAlign w:val="center"/>
          </w:tcPr>
          <w:p>
            <w:pPr>
              <w:spacing w:line="560" w:lineRule="exact"/>
              <w:jc w:val="center"/>
              <w:rPr>
                <w:rFonts w:asciiTheme="minorEastAsia" w:hAnsiTheme="minorEastAsia" w:eastAsiaTheme="minorEastAsia"/>
              </w:rPr>
            </w:pPr>
          </w:p>
        </w:tc>
        <w:tc>
          <w:tcPr>
            <w:tcW w:w="110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年龄</w:t>
            </w:r>
          </w:p>
        </w:tc>
        <w:tc>
          <w:tcPr>
            <w:tcW w:w="1276" w:type="dxa"/>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职务</w:t>
            </w:r>
          </w:p>
        </w:tc>
        <w:tc>
          <w:tcPr>
            <w:tcW w:w="2340" w:type="dxa"/>
            <w:gridSpan w:val="3"/>
            <w:vAlign w:val="center"/>
          </w:tcPr>
          <w:p>
            <w:pPr>
              <w:spacing w:line="560" w:lineRule="exact"/>
              <w:jc w:val="center"/>
              <w:rPr>
                <w:rFonts w:asciiTheme="minorEastAsia" w:hAnsiTheme="minorEastAsia" w:eastAsiaTheme="minorEastAsia"/>
              </w:rPr>
            </w:pPr>
          </w:p>
        </w:tc>
        <w:tc>
          <w:tcPr>
            <w:tcW w:w="1893"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职称</w:t>
            </w:r>
          </w:p>
        </w:tc>
        <w:tc>
          <w:tcPr>
            <w:tcW w:w="1585" w:type="dxa"/>
            <w:gridSpan w:val="2"/>
            <w:vAlign w:val="center"/>
          </w:tcPr>
          <w:p>
            <w:pPr>
              <w:spacing w:line="560" w:lineRule="exact"/>
              <w:jc w:val="center"/>
              <w:rPr>
                <w:rFonts w:asciiTheme="minorEastAsia" w:hAnsiTheme="minorEastAsia" w:eastAsiaTheme="minorEastAsia"/>
              </w:rPr>
            </w:pPr>
          </w:p>
        </w:tc>
        <w:tc>
          <w:tcPr>
            <w:tcW w:w="110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学历</w:t>
            </w:r>
          </w:p>
        </w:tc>
        <w:tc>
          <w:tcPr>
            <w:tcW w:w="1276" w:type="dxa"/>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893" w:type="dxa"/>
            <w:gridSpan w:val="2"/>
            <w:vAlign w:val="center"/>
          </w:tcPr>
          <w:p>
            <w:pPr>
              <w:spacing w:line="560" w:lineRule="exact"/>
              <w:jc w:val="center"/>
              <w:rPr>
                <w:rFonts w:asciiTheme="minorEastAsia" w:hAnsiTheme="minorEastAsia" w:eastAsiaTheme="minorEastAsia"/>
              </w:rPr>
            </w:pPr>
          </w:p>
        </w:tc>
        <w:tc>
          <w:tcPr>
            <w:tcW w:w="2693" w:type="dxa"/>
            <w:gridSpan w:val="4"/>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担任项目经理年限</w:t>
            </w:r>
          </w:p>
        </w:tc>
        <w:tc>
          <w:tcPr>
            <w:tcW w:w="1276" w:type="dxa"/>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建造师注册编号</w:t>
            </w:r>
          </w:p>
        </w:tc>
        <w:tc>
          <w:tcPr>
            <w:tcW w:w="5862" w:type="dxa"/>
            <w:gridSpan w:val="7"/>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建设单位</w:t>
            </w:r>
          </w:p>
        </w:tc>
        <w:tc>
          <w:tcPr>
            <w:tcW w:w="1548"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项目名称</w:t>
            </w:r>
          </w:p>
        </w:tc>
        <w:tc>
          <w:tcPr>
            <w:tcW w:w="1547"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建设规模</w:t>
            </w:r>
          </w:p>
        </w:tc>
        <w:tc>
          <w:tcPr>
            <w:tcW w:w="154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开、竣工日期</w:t>
            </w:r>
          </w:p>
        </w:tc>
        <w:tc>
          <w:tcPr>
            <w:tcW w:w="1547"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在建或已完</w:t>
            </w:r>
          </w:p>
        </w:tc>
        <w:tc>
          <w:tcPr>
            <w:tcW w:w="154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bl>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备注：</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、附项目经理注册建造师注册证书、安全生产考核合格证书（</w:t>
      </w:r>
      <w:r>
        <w:rPr>
          <w:rFonts w:asciiTheme="minorEastAsia" w:hAnsiTheme="minorEastAsia" w:eastAsiaTheme="minorEastAsia"/>
        </w:rPr>
        <w:t>B</w:t>
      </w:r>
      <w:r>
        <w:rPr>
          <w:rFonts w:hint="eastAsia" w:asciiTheme="minorEastAsia" w:hAnsiTheme="minorEastAsia" w:eastAsiaTheme="minorEastAsia"/>
        </w:rPr>
        <w:t>证）和已完工程中标通知书（如有）、工程合同协议书、工程竣工验收证明材料，以及投标人认为需要增加的其他证明材料复印件，以上复印件均须加盖投标人单位公章。</w:t>
      </w: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beforeLines="50"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sectPr>
          <w:pgSz w:w="11907" w:h="16840"/>
          <w:pgMar w:top="1440" w:right="1440" w:bottom="1440" w:left="1377" w:header="851" w:footer="851" w:gutter="0"/>
          <w:cols w:space="720" w:num="1"/>
          <w:docGrid w:linePitch="312" w:charSpace="0"/>
        </w:sectPr>
      </w:pPr>
    </w:p>
    <w:p>
      <w:pPr>
        <w:spacing w:line="560" w:lineRule="exact"/>
        <w:ind w:firstLine="420" w:firstLineChars="200"/>
        <w:rPr>
          <w:rFonts w:asciiTheme="minorEastAsia" w:hAnsiTheme="minorEastAsia" w:eastAsiaTheme="minorEastAsia"/>
        </w:rPr>
      </w:pPr>
    </w:p>
    <w:p>
      <w:pPr>
        <w:pStyle w:val="99"/>
        <w:spacing w:line="560" w:lineRule="exact"/>
        <w:ind w:firstLine="482" w:firstLineChars="200"/>
        <w:jc w:val="center"/>
        <w:outlineLvl w:val="1"/>
        <w:rPr>
          <w:rFonts w:asciiTheme="minorEastAsia" w:hAnsiTheme="minorEastAsia" w:eastAsiaTheme="minorEastAsia"/>
          <w:b/>
          <w:sz w:val="24"/>
        </w:rPr>
      </w:pPr>
      <w:bookmarkStart w:id="303" w:name="_Toc153274949"/>
      <w:bookmarkStart w:id="304" w:name="_Toc251052219"/>
      <w:bookmarkStart w:id="305" w:name="_Toc173579007"/>
      <w:bookmarkStart w:id="306" w:name="_Toc172364027"/>
      <w:bookmarkStart w:id="307" w:name="_Toc389065365"/>
      <w:r>
        <w:rPr>
          <w:rFonts w:asciiTheme="minorEastAsia" w:hAnsiTheme="minorEastAsia" w:eastAsiaTheme="minorEastAsia"/>
          <w:b/>
          <w:sz w:val="24"/>
        </w:rPr>
        <w:t>3</w:t>
      </w:r>
      <w:r>
        <w:rPr>
          <w:rFonts w:hint="eastAsia" w:asciiTheme="minorEastAsia" w:hAnsiTheme="minorEastAsia" w:eastAsiaTheme="minorEastAsia"/>
          <w:b/>
          <w:sz w:val="24"/>
        </w:rPr>
        <w:t>、项目技术负责人简历表</w:t>
      </w:r>
      <w:bookmarkEnd w:id="303"/>
      <w:bookmarkEnd w:id="304"/>
      <w:bookmarkEnd w:id="305"/>
      <w:bookmarkEnd w:id="306"/>
      <w:bookmarkEnd w:id="307"/>
    </w:p>
    <w:p>
      <w:pPr>
        <w:pStyle w:val="99"/>
        <w:spacing w:line="560" w:lineRule="exact"/>
        <w:ind w:firstLine="420" w:firstLineChars="200"/>
        <w:rPr>
          <w:rFonts w:asciiTheme="minorEastAsia" w:hAnsiTheme="minorEastAsia" w:eastAsiaTheme="minorEastAsia"/>
          <w:u w:val="single"/>
        </w:rPr>
      </w:pPr>
    </w:p>
    <w:p>
      <w:pPr>
        <w:pStyle w:val="99"/>
        <w:spacing w:line="560" w:lineRule="exact"/>
        <w:ind w:firstLine="420" w:firstLineChars="200"/>
        <w:rPr>
          <w:rFonts w:asciiTheme="minorEastAsia" w:hAnsiTheme="minorEastAsia" w:eastAsiaTheme="minorEastAsia"/>
        </w:rPr>
      </w:pPr>
      <w:r>
        <w:rPr>
          <w:rFonts w:asciiTheme="minorEastAsia" w:hAnsiTheme="minorEastAsia" w:eastAsiaTheme="minorEastAsia"/>
          <w:u w:val="single"/>
        </w:rPr>
        <w:t xml:space="preserve">            </w:t>
      </w:r>
      <w:r>
        <w:rPr>
          <w:rFonts w:hint="eastAsia" w:asciiTheme="minorEastAsia" w:hAnsiTheme="minorEastAsia" w:eastAsiaTheme="minorEastAsia"/>
          <w:u w:val="single"/>
        </w:rPr>
        <w:t>（招标工程项目名称）</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工程</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姓名</w:t>
            </w:r>
          </w:p>
        </w:tc>
        <w:tc>
          <w:tcPr>
            <w:tcW w:w="2340" w:type="dxa"/>
            <w:gridSpan w:val="3"/>
            <w:vAlign w:val="center"/>
          </w:tcPr>
          <w:p>
            <w:pPr>
              <w:spacing w:line="560" w:lineRule="exact"/>
              <w:jc w:val="center"/>
              <w:rPr>
                <w:rFonts w:asciiTheme="minorEastAsia" w:hAnsiTheme="minorEastAsia" w:eastAsiaTheme="minorEastAsia"/>
              </w:rPr>
            </w:pPr>
          </w:p>
        </w:tc>
        <w:tc>
          <w:tcPr>
            <w:tcW w:w="1893"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性别</w:t>
            </w:r>
          </w:p>
        </w:tc>
        <w:tc>
          <w:tcPr>
            <w:tcW w:w="1585" w:type="dxa"/>
            <w:gridSpan w:val="2"/>
            <w:vAlign w:val="center"/>
          </w:tcPr>
          <w:p>
            <w:pPr>
              <w:spacing w:line="560" w:lineRule="exact"/>
              <w:jc w:val="center"/>
              <w:rPr>
                <w:rFonts w:asciiTheme="minorEastAsia" w:hAnsiTheme="minorEastAsia" w:eastAsiaTheme="minorEastAsia"/>
              </w:rPr>
            </w:pPr>
          </w:p>
        </w:tc>
        <w:tc>
          <w:tcPr>
            <w:tcW w:w="110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年龄</w:t>
            </w:r>
          </w:p>
        </w:tc>
        <w:tc>
          <w:tcPr>
            <w:tcW w:w="1276" w:type="dxa"/>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职务</w:t>
            </w:r>
          </w:p>
        </w:tc>
        <w:tc>
          <w:tcPr>
            <w:tcW w:w="2340" w:type="dxa"/>
            <w:gridSpan w:val="3"/>
            <w:vAlign w:val="center"/>
          </w:tcPr>
          <w:p>
            <w:pPr>
              <w:spacing w:line="560" w:lineRule="exact"/>
              <w:jc w:val="center"/>
              <w:rPr>
                <w:rFonts w:asciiTheme="minorEastAsia" w:hAnsiTheme="minorEastAsia" w:eastAsiaTheme="minorEastAsia"/>
              </w:rPr>
            </w:pPr>
          </w:p>
        </w:tc>
        <w:tc>
          <w:tcPr>
            <w:tcW w:w="1893"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职称</w:t>
            </w:r>
          </w:p>
        </w:tc>
        <w:tc>
          <w:tcPr>
            <w:tcW w:w="1585" w:type="dxa"/>
            <w:gridSpan w:val="2"/>
            <w:vAlign w:val="center"/>
          </w:tcPr>
          <w:p>
            <w:pPr>
              <w:spacing w:line="560" w:lineRule="exact"/>
              <w:jc w:val="center"/>
              <w:rPr>
                <w:rFonts w:asciiTheme="minorEastAsia" w:hAnsiTheme="minorEastAsia" w:eastAsiaTheme="minorEastAsia"/>
              </w:rPr>
            </w:pPr>
          </w:p>
        </w:tc>
        <w:tc>
          <w:tcPr>
            <w:tcW w:w="110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学历</w:t>
            </w:r>
          </w:p>
        </w:tc>
        <w:tc>
          <w:tcPr>
            <w:tcW w:w="1276" w:type="dxa"/>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893" w:type="dxa"/>
            <w:gridSpan w:val="2"/>
            <w:vAlign w:val="center"/>
          </w:tcPr>
          <w:p>
            <w:pPr>
              <w:spacing w:line="560" w:lineRule="exact"/>
              <w:jc w:val="center"/>
              <w:rPr>
                <w:rFonts w:asciiTheme="minorEastAsia" w:hAnsiTheme="minorEastAsia" w:eastAsiaTheme="minorEastAsia"/>
              </w:rPr>
            </w:pPr>
          </w:p>
        </w:tc>
        <w:tc>
          <w:tcPr>
            <w:tcW w:w="2693" w:type="dxa"/>
            <w:gridSpan w:val="4"/>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担任技术负责人年限</w:t>
            </w:r>
          </w:p>
        </w:tc>
        <w:tc>
          <w:tcPr>
            <w:tcW w:w="1276" w:type="dxa"/>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建设单位</w:t>
            </w:r>
          </w:p>
        </w:tc>
        <w:tc>
          <w:tcPr>
            <w:tcW w:w="1548" w:type="dxa"/>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项目名称</w:t>
            </w:r>
          </w:p>
        </w:tc>
        <w:tc>
          <w:tcPr>
            <w:tcW w:w="1547"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建设规模</w:t>
            </w:r>
          </w:p>
        </w:tc>
        <w:tc>
          <w:tcPr>
            <w:tcW w:w="154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开、竣工日期</w:t>
            </w:r>
          </w:p>
        </w:tc>
        <w:tc>
          <w:tcPr>
            <w:tcW w:w="1547"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在建或已完</w:t>
            </w:r>
          </w:p>
        </w:tc>
        <w:tc>
          <w:tcPr>
            <w:tcW w:w="1548" w:type="dxa"/>
            <w:gridSpan w:val="2"/>
            <w:vAlign w:val="center"/>
          </w:tcPr>
          <w:p>
            <w:pPr>
              <w:spacing w:line="560" w:lineRule="exact"/>
              <w:jc w:val="center"/>
              <w:rPr>
                <w:rFonts w:asciiTheme="minorEastAsia" w:hAnsiTheme="minorEastAsia" w:eastAsiaTheme="minorEastAsia"/>
              </w:rPr>
            </w:pPr>
            <w:r>
              <w:rPr>
                <w:rFonts w:hint="eastAsia" w:asciiTheme="minorEastAsia" w:hAnsiTheme="minorEastAsia" w:eastAsia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pacing w:line="560" w:lineRule="exact"/>
              <w:jc w:val="center"/>
              <w:rPr>
                <w:rFonts w:asciiTheme="minorEastAsia" w:hAnsiTheme="minorEastAsia" w:eastAsiaTheme="minorEastAsia"/>
              </w:rPr>
            </w:pPr>
          </w:p>
        </w:tc>
        <w:tc>
          <w:tcPr>
            <w:tcW w:w="1548" w:type="dxa"/>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c>
          <w:tcPr>
            <w:tcW w:w="1547" w:type="dxa"/>
            <w:gridSpan w:val="2"/>
            <w:vAlign w:val="center"/>
          </w:tcPr>
          <w:p>
            <w:pPr>
              <w:spacing w:line="560" w:lineRule="exact"/>
              <w:jc w:val="center"/>
              <w:rPr>
                <w:rFonts w:asciiTheme="minorEastAsia" w:hAnsiTheme="minorEastAsia" w:eastAsiaTheme="minorEastAsia"/>
              </w:rPr>
            </w:pPr>
          </w:p>
        </w:tc>
        <w:tc>
          <w:tcPr>
            <w:tcW w:w="1548" w:type="dxa"/>
            <w:gridSpan w:val="2"/>
            <w:vAlign w:val="center"/>
          </w:tcPr>
          <w:p>
            <w:pPr>
              <w:spacing w:line="560" w:lineRule="exact"/>
              <w:jc w:val="center"/>
              <w:rPr>
                <w:rFonts w:asciiTheme="minorEastAsia" w:hAnsiTheme="minorEastAsia" w:eastAsiaTheme="minorEastAsia"/>
              </w:rPr>
            </w:pPr>
          </w:p>
        </w:tc>
      </w:tr>
    </w:tbl>
    <w:p>
      <w:pPr>
        <w:spacing w:line="560" w:lineRule="exact"/>
        <w:ind w:firstLine="420" w:firstLineChars="200"/>
        <w:rPr>
          <w:rFonts w:asciiTheme="minorEastAsia" w:hAnsiTheme="minorEastAsia" w:eastAsiaTheme="minorEastAsia"/>
          <w:szCs w:val="21"/>
        </w:rPr>
      </w:pPr>
    </w:p>
    <w:p>
      <w:pPr>
        <w:spacing w:line="560" w:lineRule="exact"/>
        <w:ind w:firstLine="420" w:firstLineChars="200"/>
        <w:rPr>
          <w:rFonts w:asciiTheme="minorEastAsia" w:hAnsiTheme="minorEastAsia" w:eastAsiaTheme="minorEastAsia"/>
        </w:rPr>
      </w:pPr>
      <w:r>
        <w:rPr>
          <w:rFonts w:hint="eastAsia" w:asciiTheme="minorEastAsia" w:hAnsiTheme="minorEastAsia" w:eastAsiaTheme="minorEastAsia"/>
        </w:rPr>
        <w:t>备注：</w:t>
      </w:r>
    </w:p>
    <w:p>
      <w:pPr>
        <w:spacing w:line="560" w:lineRule="exac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、附技术负责人的职称证、资格证和已完工程中标通知书（如有）、工程合同协议书、工程竣工验收证明材料，以及投标人认为需要增加的其他证明材料复印件，以上复印件均须加盖投标人单位公章。</w:t>
      </w: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ind w:firstLine="420" w:firstLineChars="200"/>
        <w:rPr>
          <w:rFonts w:asciiTheme="minorEastAsia" w:hAnsiTheme="minorEastAsia" w:eastAsiaTheme="minorEastAsia"/>
        </w:rPr>
      </w:pPr>
    </w:p>
    <w:p>
      <w:pPr>
        <w:spacing w:line="560" w:lineRule="exact"/>
        <w:jc w:val="center"/>
      </w:pPr>
    </w:p>
    <w:sectPr>
      <w:pgSz w:w="11907" w:h="16840"/>
      <w:pgMar w:top="1440" w:right="1440" w:bottom="1440" w:left="137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rPr>
    </w:pPr>
    <w:r>
      <w:rPr>
        <w:rFonts w:ascii="宋体" w:hAnsi="宋体"/>
      </w:rPr>
      <w:pict>
        <v:line id="直线 3" o:spid="_x0000_s4099" o:spt="20" style="position:absolute;left:0pt;margin-left:0.65pt;margin-top:-1.6pt;height:0pt;width:431.5pt;z-index:251657216;mso-width-relative:page;mso-height-relative:page;" coordsize="21600,21600" o:gfxdata="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UgQKdIAAAAHAQAADwAAAAAAAAABACAAAAAiAAAAZHJzL2Rvd25yZXYueG1s&#10;UEsBAhQAFAAAAAgAh07iQGmdj2PFAQAAgQMAAA4AAAAAAAAAAQAgAAAAIQEAAGRycy9lMm9Eb2Mu&#10;eG1sUEsFBgAAAAAGAAYAWQEAAFgFAAAAAA==&#10;">
          <v:path arrowok="t"/>
          <v:fill focussize="0,0"/>
          <v:stroke/>
          <v:imagedata o:title=""/>
          <o:lock v:ext="edit"/>
        </v:line>
      </w:pict>
    </w:r>
    <w:r>
      <w:rPr>
        <w:rFonts w:ascii="宋体" w:hAnsi="宋体"/>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path/>
          <v:fill on="f" focussize="0,0"/>
          <v:stroke on="f" joinstyle="miter"/>
          <v:imagedata o:title=""/>
          <o:lock v:ext="edit"/>
          <v:textbox inset="0mm,0mm,0mm,0mm" style="mso-fit-shape-to-text:t;">
            <w:txbxContent>
              <w:p>
                <w:pPr>
                  <w:pStyle w:val="26"/>
                </w:pPr>
              </w:p>
            </w:txbxContent>
          </v:textbox>
        </v:shape>
      </w:pict>
    </w:r>
    <w:r>
      <w:rPr>
        <w:rFonts w:hint="eastAsia" w:ascii="宋体" w:hAnsi="宋体"/>
      </w:rPr>
      <w:t xml:space="preserve">                                                    </w:t>
    </w:r>
  </w:p>
  <w:p>
    <w:pPr>
      <w:pStyle w:val="26"/>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34</w:t>
                </w:r>
                <w:r>
                  <w:fldChar w:fldCharType="end"/>
                </w:r>
              </w:p>
            </w:txbxContent>
          </v:textbox>
        </v:shape>
      </w:pict>
    </w:r>
    <w:r>
      <w:pict>
        <v:shape id="_x0000_s4102" o:spid="_x0000_s4102"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26"/>
                </w:pP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bCs/>
        <w:iCs/>
      </w:rPr>
    </w:pPr>
    <w:r>
      <w:rPr>
        <w:rFonts w:hint="eastAsia"/>
        <w:bCs/>
        <w:iCs/>
      </w:rPr>
      <w:t>广西中医药大学附属瑞康医院B座七层关节与运动医学科与修复重建显微外科病房改造装修工程招标文件</w:t>
    </w:r>
  </w:p>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28D9BE"/>
    <w:multiLevelType w:val="singleLevel"/>
    <w:tmpl w:val="DD28D9BE"/>
    <w:lvl w:ilvl="0" w:tentative="0">
      <w:start w:val="3"/>
      <w:numFmt w:val="chineseCounting"/>
      <w:suff w:val="space"/>
      <w:lvlText w:val="第%1章"/>
      <w:lvlJc w:val="left"/>
      <w:rPr>
        <w:rFonts w:hint="eastAsia"/>
      </w:rPr>
    </w:lvl>
  </w:abstractNum>
  <w:abstractNum w:abstractNumId="1">
    <w:nsid w:val="65ACD30C"/>
    <w:multiLevelType w:val="singleLevel"/>
    <w:tmpl w:val="65ACD30C"/>
    <w:lvl w:ilvl="0" w:tentative="0">
      <w:start w:val="7"/>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滄笙">
    <w15:presenceInfo w15:providerId="WPS Office" w15:userId="883079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gutterAtTop/>
  <w:hideSpellingErrors/>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06C6"/>
    <w:rsid w:val="000536A1"/>
    <w:rsid w:val="000849B8"/>
    <w:rsid w:val="0008654E"/>
    <w:rsid w:val="0009020F"/>
    <w:rsid w:val="000966DD"/>
    <w:rsid w:val="00097910"/>
    <w:rsid w:val="00123B6D"/>
    <w:rsid w:val="00172A27"/>
    <w:rsid w:val="00193A7F"/>
    <w:rsid w:val="001955F1"/>
    <w:rsid w:val="001A2ED8"/>
    <w:rsid w:val="001B1F73"/>
    <w:rsid w:val="001B4AD7"/>
    <w:rsid w:val="001F5DA9"/>
    <w:rsid w:val="00201CC4"/>
    <w:rsid w:val="00232CCD"/>
    <w:rsid w:val="00236314"/>
    <w:rsid w:val="00247163"/>
    <w:rsid w:val="0024781C"/>
    <w:rsid w:val="00255FCB"/>
    <w:rsid w:val="00261BCD"/>
    <w:rsid w:val="00263D50"/>
    <w:rsid w:val="002733FF"/>
    <w:rsid w:val="002A209E"/>
    <w:rsid w:val="002D1687"/>
    <w:rsid w:val="002D26F4"/>
    <w:rsid w:val="002E2E88"/>
    <w:rsid w:val="002F69B4"/>
    <w:rsid w:val="00340DD8"/>
    <w:rsid w:val="00352E45"/>
    <w:rsid w:val="00380906"/>
    <w:rsid w:val="00407441"/>
    <w:rsid w:val="00445626"/>
    <w:rsid w:val="0044644C"/>
    <w:rsid w:val="004527ED"/>
    <w:rsid w:val="00470700"/>
    <w:rsid w:val="00484C94"/>
    <w:rsid w:val="004B3D08"/>
    <w:rsid w:val="004B482B"/>
    <w:rsid w:val="004F28A2"/>
    <w:rsid w:val="004F7B8C"/>
    <w:rsid w:val="00507DB1"/>
    <w:rsid w:val="005156C0"/>
    <w:rsid w:val="00521B44"/>
    <w:rsid w:val="00532EA8"/>
    <w:rsid w:val="00556B45"/>
    <w:rsid w:val="00575CE1"/>
    <w:rsid w:val="00590358"/>
    <w:rsid w:val="00590A26"/>
    <w:rsid w:val="00592141"/>
    <w:rsid w:val="005A58F1"/>
    <w:rsid w:val="005B36BE"/>
    <w:rsid w:val="005C7F60"/>
    <w:rsid w:val="0062258D"/>
    <w:rsid w:val="00627E3F"/>
    <w:rsid w:val="0065591C"/>
    <w:rsid w:val="00660331"/>
    <w:rsid w:val="006637F9"/>
    <w:rsid w:val="0067014A"/>
    <w:rsid w:val="006758C6"/>
    <w:rsid w:val="006804A3"/>
    <w:rsid w:val="00682627"/>
    <w:rsid w:val="006A0F5C"/>
    <w:rsid w:val="006A2CC0"/>
    <w:rsid w:val="006B3FBC"/>
    <w:rsid w:val="006C53A0"/>
    <w:rsid w:val="006D5D77"/>
    <w:rsid w:val="006E23EE"/>
    <w:rsid w:val="006E3298"/>
    <w:rsid w:val="00703B04"/>
    <w:rsid w:val="007171A6"/>
    <w:rsid w:val="007412AE"/>
    <w:rsid w:val="00765F0F"/>
    <w:rsid w:val="00776889"/>
    <w:rsid w:val="0078404D"/>
    <w:rsid w:val="00787AFA"/>
    <w:rsid w:val="007B03A2"/>
    <w:rsid w:val="007B4B6A"/>
    <w:rsid w:val="007C1323"/>
    <w:rsid w:val="007C6F84"/>
    <w:rsid w:val="007F2DEF"/>
    <w:rsid w:val="008133AA"/>
    <w:rsid w:val="00844135"/>
    <w:rsid w:val="008819F6"/>
    <w:rsid w:val="00881CC9"/>
    <w:rsid w:val="00897B47"/>
    <w:rsid w:val="008A5EE4"/>
    <w:rsid w:val="008B5432"/>
    <w:rsid w:val="009004AC"/>
    <w:rsid w:val="00912D40"/>
    <w:rsid w:val="009433A6"/>
    <w:rsid w:val="00946DDF"/>
    <w:rsid w:val="00970D3B"/>
    <w:rsid w:val="009838EF"/>
    <w:rsid w:val="009A444A"/>
    <w:rsid w:val="009C220B"/>
    <w:rsid w:val="009C2C12"/>
    <w:rsid w:val="009D6AA4"/>
    <w:rsid w:val="00A26640"/>
    <w:rsid w:val="00A42678"/>
    <w:rsid w:val="00A544F7"/>
    <w:rsid w:val="00A71D77"/>
    <w:rsid w:val="00AA18B1"/>
    <w:rsid w:val="00B10E83"/>
    <w:rsid w:val="00B6123A"/>
    <w:rsid w:val="00B84C46"/>
    <w:rsid w:val="00BA39CB"/>
    <w:rsid w:val="00BA6FB6"/>
    <w:rsid w:val="00C14E40"/>
    <w:rsid w:val="00C32352"/>
    <w:rsid w:val="00C50B57"/>
    <w:rsid w:val="00C5631F"/>
    <w:rsid w:val="00C613FA"/>
    <w:rsid w:val="00CB2656"/>
    <w:rsid w:val="00CF2F37"/>
    <w:rsid w:val="00D06BAB"/>
    <w:rsid w:val="00D75C60"/>
    <w:rsid w:val="00D90809"/>
    <w:rsid w:val="00DB3DFD"/>
    <w:rsid w:val="00DC2B04"/>
    <w:rsid w:val="00DD33D5"/>
    <w:rsid w:val="00DD3D28"/>
    <w:rsid w:val="00DF0F67"/>
    <w:rsid w:val="00DF5604"/>
    <w:rsid w:val="00E12161"/>
    <w:rsid w:val="00E25F13"/>
    <w:rsid w:val="00E27458"/>
    <w:rsid w:val="00E43EB8"/>
    <w:rsid w:val="00E541F5"/>
    <w:rsid w:val="00E55423"/>
    <w:rsid w:val="00E70253"/>
    <w:rsid w:val="00EA2D22"/>
    <w:rsid w:val="00EC4E1B"/>
    <w:rsid w:val="00EE7BBE"/>
    <w:rsid w:val="00EF0BC2"/>
    <w:rsid w:val="00F57A60"/>
    <w:rsid w:val="00F6116F"/>
    <w:rsid w:val="00F62B01"/>
    <w:rsid w:val="00F73BA9"/>
    <w:rsid w:val="00F753E1"/>
    <w:rsid w:val="00FA5005"/>
    <w:rsid w:val="00FA6B6C"/>
    <w:rsid w:val="00FB4142"/>
    <w:rsid w:val="00FC17F5"/>
    <w:rsid w:val="00FD00FB"/>
    <w:rsid w:val="00FF004B"/>
    <w:rsid w:val="00FF65F6"/>
    <w:rsid w:val="011D3E5C"/>
    <w:rsid w:val="017C0831"/>
    <w:rsid w:val="01A36FAC"/>
    <w:rsid w:val="01DE04C1"/>
    <w:rsid w:val="020D3F44"/>
    <w:rsid w:val="02884094"/>
    <w:rsid w:val="02B52017"/>
    <w:rsid w:val="02C71135"/>
    <w:rsid w:val="03017F86"/>
    <w:rsid w:val="037A7A0D"/>
    <w:rsid w:val="03D418C4"/>
    <w:rsid w:val="040660CF"/>
    <w:rsid w:val="04340B90"/>
    <w:rsid w:val="0480150C"/>
    <w:rsid w:val="048A2B1F"/>
    <w:rsid w:val="04A04C3E"/>
    <w:rsid w:val="05A148E8"/>
    <w:rsid w:val="05A94A62"/>
    <w:rsid w:val="05BB66B6"/>
    <w:rsid w:val="06741295"/>
    <w:rsid w:val="068312F7"/>
    <w:rsid w:val="068E57C1"/>
    <w:rsid w:val="06E77E31"/>
    <w:rsid w:val="06EA0E73"/>
    <w:rsid w:val="074B5798"/>
    <w:rsid w:val="07523B46"/>
    <w:rsid w:val="0763074B"/>
    <w:rsid w:val="07F04DE8"/>
    <w:rsid w:val="081F3616"/>
    <w:rsid w:val="082F585A"/>
    <w:rsid w:val="08413368"/>
    <w:rsid w:val="08945563"/>
    <w:rsid w:val="09022C2D"/>
    <w:rsid w:val="09117D9C"/>
    <w:rsid w:val="0998111C"/>
    <w:rsid w:val="0ADB3B59"/>
    <w:rsid w:val="0ADE035C"/>
    <w:rsid w:val="0B121477"/>
    <w:rsid w:val="0B124124"/>
    <w:rsid w:val="0B4B5FEA"/>
    <w:rsid w:val="0BCD1C5B"/>
    <w:rsid w:val="0C1A58D1"/>
    <w:rsid w:val="0CCB7A8F"/>
    <w:rsid w:val="0CD40309"/>
    <w:rsid w:val="0CF163F7"/>
    <w:rsid w:val="0D4E4BB6"/>
    <w:rsid w:val="0D922F7E"/>
    <w:rsid w:val="0D965B3A"/>
    <w:rsid w:val="0DDA1D83"/>
    <w:rsid w:val="0DE55B0E"/>
    <w:rsid w:val="0E0460C2"/>
    <w:rsid w:val="0E1945F6"/>
    <w:rsid w:val="0E214829"/>
    <w:rsid w:val="0ED94E4F"/>
    <w:rsid w:val="0EDB4348"/>
    <w:rsid w:val="0EF20969"/>
    <w:rsid w:val="0F410458"/>
    <w:rsid w:val="0F745023"/>
    <w:rsid w:val="0FAE7268"/>
    <w:rsid w:val="0FC27425"/>
    <w:rsid w:val="0FEA075C"/>
    <w:rsid w:val="10183B3B"/>
    <w:rsid w:val="11126A30"/>
    <w:rsid w:val="115E356F"/>
    <w:rsid w:val="119A644B"/>
    <w:rsid w:val="11B8052B"/>
    <w:rsid w:val="1204113A"/>
    <w:rsid w:val="1226714D"/>
    <w:rsid w:val="12334CD8"/>
    <w:rsid w:val="12885DB0"/>
    <w:rsid w:val="12A0460B"/>
    <w:rsid w:val="12E645F2"/>
    <w:rsid w:val="134C2CC9"/>
    <w:rsid w:val="13A57140"/>
    <w:rsid w:val="13E374E3"/>
    <w:rsid w:val="1423558E"/>
    <w:rsid w:val="14D006C2"/>
    <w:rsid w:val="151B628B"/>
    <w:rsid w:val="155D2F80"/>
    <w:rsid w:val="15806A54"/>
    <w:rsid w:val="15885DF3"/>
    <w:rsid w:val="15D15FDB"/>
    <w:rsid w:val="15E47EE9"/>
    <w:rsid w:val="15EC34A9"/>
    <w:rsid w:val="1667787D"/>
    <w:rsid w:val="17163F0D"/>
    <w:rsid w:val="17350835"/>
    <w:rsid w:val="175A5CDB"/>
    <w:rsid w:val="1769491A"/>
    <w:rsid w:val="17AB5FD7"/>
    <w:rsid w:val="180435FA"/>
    <w:rsid w:val="18352ECE"/>
    <w:rsid w:val="183F4B87"/>
    <w:rsid w:val="186120AF"/>
    <w:rsid w:val="189E335B"/>
    <w:rsid w:val="18BD2D12"/>
    <w:rsid w:val="18CB7E04"/>
    <w:rsid w:val="19876A17"/>
    <w:rsid w:val="199030D1"/>
    <w:rsid w:val="19927F79"/>
    <w:rsid w:val="19A77174"/>
    <w:rsid w:val="1A501F9C"/>
    <w:rsid w:val="1A9B5A42"/>
    <w:rsid w:val="1AB620C7"/>
    <w:rsid w:val="1BA0089D"/>
    <w:rsid w:val="1C78644A"/>
    <w:rsid w:val="1CB8123D"/>
    <w:rsid w:val="1CCD026D"/>
    <w:rsid w:val="1D0E3EC0"/>
    <w:rsid w:val="1D1D1123"/>
    <w:rsid w:val="1DA33161"/>
    <w:rsid w:val="1DB601EF"/>
    <w:rsid w:val="1E1E3D33"/>
    <w:rsid w:val="1E4D002A"/>
    <w:rsid w:val="1E9F676C"/>
    <w:rsid w:val="1F1900EF"/>
    <w:rsid w:val="1F6E152F"/>
    <w:rsid w:val="1F7908AE"/>
    <w:rsid w:val="1F86252D"/>
    <w:rsid w:val="1FAD364E"/>
    <w:rsid w:val="1FC1723A"/>
    <w:rsid w:val="1FCB3630"/>
    <w:rsid w:val="1FD26C04"/>
    <w:rsid w:val="20144FC3"/>
    <w:rsid w:val="20220601"/>
    <w:rsid w:val="202D495C"/>
    <w:rsid w:val="205E0336"/>
    <w:rsid w:val="205E49C4"/>
    <w:rsid w:val="20AB6FCE"/>
    <w:rsid w:val="20D4635C"/>
    <w:rsid w:val="21571784"/>
    <w:rsid w:val="215929F7"/>
    <w:rsid w:val="216A29A1"/>
    <w:rsid w:val="218E5781"/>
    <w:rsid w:val="22700DC8"/>
    <w:rsid w:val="22A77AE0"/>
    <w:rsid w:val="22D976A1"/>
    <w:rsid w:val="2375712B"/>
    <w:rsid w:val="23C972D4"/>
    <w:rsid w:val="23D75284"/>
    <w:rsid w:val="2453420A"/>
    <w:rsid w:val="24817E49"/>
    <w:rsid w:val="24950373"/>
    <w:rsid w:val="24B672B1"/>
    <w:rsid w:val="24BB4294"/>
    <w:rsid w:val="24BC646D"/>
    <w:rsid w:val="25480E1D"/>
    <w:rsid w:val="25B736D3"/>
    <w:rsid w:val="25B869BB"/>
    <w:rsid w:val="25C03DF6"/>
    <w:rsid w:val="26390998"/>
    <w:rsid w:val="26491612"/>
    <w:rsid w:val="26783C5D"/>
    <w:rsid w:val="27E6519E"/>
    <w:rsid w:val="27F32946"/>
    <w:rsid w:val="284E3DC0"/>
    <w:rsid w:val="286E24BE"/>
    <w:rsid w:val="28A05650"/>
    <w:rsid w:val="291D357D"/>
    <w:rsid w:val="29557867"/>
    <w:rsid w:val="29A6145A"/>
    <w:rsid w:val="29BF1F51"/>
    <w:rsid w:val="2A3F61A6"/>
    <w:rsid w:val="2BC046C1"/>
    <w:rsid w:val="2D0C2265"/>
    <w:rsid w:val="2D346893"/>
    <w:rsid w:val="2D7D38B4"/>
    <w:rsid w:val="2D8B06E8"/>
    <w:rsid w:val="2DC506BB"/>
    <w:rsid w:val="2DF2493E"/>
    <w:rsid w:val="2E0F6553"/>
    <w:rsid w:val="2E2415CF"/>
    <w:rsid w:val="2EA95840"/>
    <w:rsid w:val="2ED37F9E"/>
    <w:rsid w:val="2EE1212A"/>
    <w:rsid w:val="2F4E6D47"/>
    <w:rsid w:val="2FA87F03"/>
    <w:rsid w:val="303F0A78"/>
    <w:rsid w:val="3073561B"/>
    <w:rsid w:val="308A1FE4"/>
    <w:rsid w:val="30C91285"/>
    <w:rsid w:val="315859D0"/>
    <w:rsid w:val="3161737D"/>
    <w:rsid w:val="31734C33"/>
    <w:rsid w:val="319653AB"/>
    <w:rsid w:val="319D52A1"/>
    <w:rsid w:val="31F30FD7"/>
    <w:rsid w:val="320F215F"/>
    <w:rsid w:val="323B6E74"/>
    <w:rsid w:val="326F4EE0"/>
    <w:rsid w:val="32B46124"/>
    <w:rsid w:val="32CB1752"/>
    <w:rsid w:val="32DB7C7A"/>
    <w:rsid w:val="343E042C"/>
    <w:rsid w:val="34BB3A10"/>
    <w:rsid w:val="3523054B"/>
    <w:rsid w:val="35A133FD"/>
    <w:rsid w:val="3669440D"/>
    <w:rsid w:val="37840F7E"/>
    <w:rsid w:val="379848BA"/>
    <w:rsid w:val="37AB7487"/>
    <w:rsid w:val="37C35957"/>
    <w:rsid w:val="380517F1"/>
    <w:rsid w:val="38083E84"/>
    <w:rsid w:val="380D2E08"/>
    <w:rsid w:val="381613BC"/>
    <w:rsid w:val="3841096A"/>
    <w:rsid w:val="38783B58"/>
    <w:rsid w:val="38BB1614"/>
    <w:rsid w:val="38D34A54"/>
    <w:rsid w:val="393F35E4"/>
    <w:rsid w:val="39667A55"/>
    <w:rsid w:val="397C35E6"/>
    <w:rsid w:val="39A82ACE"/>
    <w:rsid w:val="39B1062F"/>
    <w:rsid w:val="39EA3E22"/>
    <w:rsid w:val="39F45066"/>
    <w:rsid w:val="3A117AF5"/>
    <w:rsid w:val="3A4F6540"/>
    <w:rsid w:val="3A646248"/>
    <w:rsid w:val="3AEC6198"/>
    <w:rsid w:val="3AF1688C"/>
    <w:rsid w:val="3B472F09"/>
    <w:rsid w:val="3B8A380A"/>
    <w:rsid w:val="3BCF7D0D"/>
    <w:rsid w:val="3C3949AC"/>
    <w:rsid w:val="3C6929AE"/>
    <w:rsid w:val="3C802D2E"/>
    <w:rsid w:val="3CBE4742"/>
    <w:rsid w:val="3D423EEB"/>
    <w:rsid w:val="3D9E6936"/>
    <w:rsid w:val="3DBD4B20"/>
    <w:rsid w:val="3DC40976"/>
    <w:rsid w:val="3DEC47FA"/>
    <w:rsid w:val="3E4E00EC"/>
    <w:rsid w:val="3E4F20EC"/>
    <w:rsid w:val="3F090163"/>
    <w:rsid w:val="3F9D5731"/>
    <w:rsid w:val="3FA05DA0"/>
    <w:rsid w:val="3FA239EF"/>
    <w:rsid w:val="3FB27A0B"/>
    <w:rsid w:val="3FB812E1"/>
    <w:rsid w:val="3FCA132F"/>
    <w:rsid w:val="3FED5F68"/>
    <w:rsid w:val="40550E39"/>
    <w:rsid w:val="405677FE"/>
    <w:rsid w:val="40642A84"/>
    <w:rsid w:val="41076EE3"/>
    <w:rsid w:val="413C09D8"/>
    <w:rsid w:val="41D96D6C"/>
    <w:rsid w:val="42190375"/>
    <w:rsid w:val="422115E5"/>
    <w:rsid w:val="4241709F"/>
    <w:rsid w:val="426C583C"/>
    <w:rsid w:val="427F42BC"/>
    <w:rsid w:val="42893272"/>
    <w:rsid w:val="42B257AA"/>
    <w:rsid w:val="43BB6299"/>
    <w:rsid w:val="43C42339"/>
    <w:rsid w:val="43DB714F"/>
    <w:rsid w:val="443060DC"/>
    <w:rsid w:val="443E56C5"/>
    <w:rsid w:val="447F7C70"/>
    <w:rsid w:val="44A968A0"/>
    <w:rsid w:val="44E354EE"/>
    <w:rsid w:val="4552148F"/>
    <w:rsid w:val="45837F46"/>
    <w:rsid w:val="45C52241"/>
    <w:rsid w:val="46495E21"/>
    <w:rsid w:val="469B48E2"/>
    <w:rsid w:val="47497450"/>
    <w:rsid w:val="474B6C62"/>
    <w:rsid w:val="475A5348"/>
    <w:rsid w:val="47912BFD"/>
    <w:rsid w:val="485F064D"/>
    <w:rsid w:val="487E1CD7"/>
    <w:rsid w:val="48D77AB3"/>
    <w:rsid w:val="491F47A1"/>
    <w:rsid w:val="49565B3F"/>
    <w:rsid w:val="49745750"/>
    <w:rsid w:val="49887CCB"/>
    <w:rsid w:val="49C33161"/>
    <w:rsid w:val="4A0545CE"/>
    <w:rsid w:val="4A3E68CF"/>
    <w:rsid w:val="4A5E3510"/>
    <w:rsid w:val="4A9D458A"/>
    <w:rsid w:val="4AC1464F"/>
    <w:rsid w:val="4B3A0DD3"/>
    <w:rsid w:val="4B9B27B8"/>
    <w:rsid w:val="4BB53299"/>
    <w:rsid w:val="4BC06AD8"/>
    <w:rsid w:val="4BD24C86"/>
    <w:rsid w:val="4BE23705"/>
    <w:rsid w:val="4BEC7748"/>
    <w:rsid w:val="4C731F80"/>
    <w:rsid w:val="4C7C3B16"/>
    <w:rsid w:val="4CAC3154"/>
    <w:rsid w:val="4CB03D15"/>
    <w:rsid w:val="4CB54225"/>
    <w:rsid w:val="4CE957C5"/>
    <w:rsid w:val="4D3E3E7C"/>
    <w:rsid w:val="4D69144E"/>
    <w:rsid w:val="4DAE6932"/>
    <w:rsid w:val="4DC90674"/>
    <w:rsid w:val="4EE22542"/>
    <w:rsid w:val="5081002F"/>
    <w:rsid w:val="50B03C54"/>
    <w:rsid w:val="50BB607F"/>
    <w:rsid w:val="50C1130D"/>
    <w:rsid w:val="51117A82"/>
    <w:rsid w:val="51800886"/>
    <w:rsid w:val="520E73F4"/>
    <w:rsid w:val="527D23F3"/>
    <w:rsid w:val="52D13E43"/>
    <w:rsid w:val="52D70B39"/>
    <w:rsid w:val="52F665E4"/>
    <w:rsid w:val="52FA7498"/>
    <w:rsid w:val="531C796E"/>
    <w:rsid w:val="53C613E2"/>
    <w:rsid w:val="53CB31DF"/>
    <w:rsid w:val="53EA51B9"/>
    <w:rsid w:val="542172F3"/>
    <w:rsid w:val="548E723C"/>
    <w:rsid w:val="54DB2153"/>
    <w:rsid w:val="54DC7E54"/>
    <w:rsid w:val="55395AB5"/>
    <w:rsid w:val="555B14D8"/>
    <w:rsid w:val="55611101"/>
    <w:rsid w:val="55616490"/>
    <w:rsid w:val="55B325C5"/>
    <w:rsid w:val="55FD1B97"/>
    <w:rsid w:val="56100195"/>
    <w:rsid w:val="5613647B"/>
    <w:rsid w:val="56396FF3"/>
    <w:rsid w:val="56CE7BE0"/>
    <w:rsid w:val="56D10A09"/>
    <w:rsid w:val="56D4289C"/>
    <w:rsid w:val="57701843"/>
    <w:rsid w:val="57E77A2B"/>
    <w:rsid w:val="58090152"/>
    <w:rsid w:val="581659C4"/>
    <w:rsid w:val="582C33F4"/>
    <w:rsid w:val="5858428B"/>
    <w:rsid w:val="58F17913"/>
    <w:rsid w:val="59060471"/>
    <w:rsid w:val="59151B57"/>
    <w:rsid w:val="59C11C6B"/>
    <w:rsid w:val="59F53B8F"/>
    <w:rsid w:val="5A62173B"/>
    <w:rsid w:val="5A83244C"/>
    <w:rsid w:val="5AD41434"/>
    <w:rsid w:val="5AE866B2"/>
    <w:rsid w:val="5BAC20AC"/>
    <w:rsid w:val="5BB7245C"/>
    <w:rsid w:val="5C0B61CC"/>
    <w:rsid w:val="5C38288A"/>
    <w:rsid w:val="5C857E67"/>
    <w:rsid w:val="5C890EAD"/>
    <w:rsid w:val="5D1D5832"/>
    <w:rsid w:val="5D4F749E"/>
    <w:rsid w:val="5D7B7704"/>
    <w:rsid w:val="5D8129A5"/>
    <w:rsid w:val="5E094801"/>
    <w:rsid w:val="5E786F33"/>
    <w:rsid w:val="5EC602B9"/>
    <w:rsid w:val="5EE843F5"/>
    <w:rsid w:val="5EE92934"/>
    <w:rsid w:val="5F016961"/>
    <w:rsid w:val="5F0E627D"/>
    <w:rsid w:val="5F5A30ED"/>
    <w:rsid w:val="5F61543A"/>
    <w:rsid w:val="5FD136F2"/>
    <w:rsid w:val="5FE25479"/>
    <w:rsid w:val="5FE9137B"/>
    <w:rsid w:val="601915B3"/>
    <w:rsid w:val="604F1F9C"/>
    <w:rsid w:val="60ED47C2"/>
    <w:rsid w:val="60F65E1A"/>
    <w:rsid w:val="61006536"/>
    <w:rsid w:val="611A13BD"/>
    <w:rsid w:val="61950FDC"/>
    <w:rsid w:val="61A40D90"/>
    <w:rsid w:val="61B938E0"/>
    <w:rsid w:val="6204218D"/>
    <w:rsid w:val="62CC5B03"/>
    <w:rsid w:val="62ED673E"/>
    <w:rsid w:val="6392658A"/>
    <w:rsid w:val="63A41A7C"/>
    <w:rsid w:val="6407522A"/>
    <w:rsid w:val="642E666C"/>
    <w:rsid w:val="64943573"/>
    <w:rsid w:val="64944F4F"/>
    <w:rsid w:val="64D306C9"/>
    <w:rsid w:val="64E34968"/>
    <w:rsid w:val="650642CC"/>
    <w:rsid w:val="657461EF"/>
    <w:rsid w:val="65E03A95"/>
    <w:rsid w:val="65E81463"/>
    <w:rsid w:val="6630007E"/>
    <w:rsid w:val="666425FC"/>
    <w:rsid w:val="667A7F3C"/>
    <w:rsid w:val="673C6623"/>
    <w:rsid w:val="68222444"/>
    <w:rsid w:val="683460A7"/>
    <w:rsid w:val="68A23C60"/>
    <w:rsid w:val="691A2A79"/>
    <w:rsid w:val="69614252"/>
    <w:rsid w:val="6A6B2AC0"/>
    <w:rsid w:val="6A755062"/>
    <w:rsid w:val="6A8D594A"/>
    <w:rsid w:val="6B56502A"/>
    <w:rsid w:val="6B647CA4"/>
    <w:rsid w:val="6BE579D5"/>
    <w:rsid w:val="6C142E56"/>
    <w:rsid w:val="6C62707B"/>
    <w:rsid w:val="6C9A59BC"/>
    <w:rsid w:val="6CB44F8E"/>
    <w:rsid w:val="6CD06AE1"/>
    <w:rsid w:val="6CD84F5B"/>
    <w:rsid w:val="6D4440B4"/>
    <w:rsid w:val="6D5C26D9"/>
    <w:rsid w:val="6E0962F7"/>
    <w:rsid w:val="6E180193"/>
    <w:rsid w:val="6EF643B7"/>
    <w:rsid w:val="6F0F1057"/>
    <w:rsid w:val="6FFA1C52"/>
    <w:rsid w:val="6FFD2A94"/>
    <w:rsid w:val="70060742"/>
    <w:rsid w:val="70514025"/>
    <w:rsid w:val="712A4288"/>
    <w:rsid w:val="71693A74"/>
    <w:rsid w:val="717427A2"/>
    <w:rsid w:val="71A74ABF"/>
    <w:rsid w:val="71A85E33"/>
    <w:rsid w:val="71AA61F7"/>
    <w:rsid w:val="722F1C81"/>
    <w:rsid w:val="72365F60"/>
    <w:rsid w:val="725B6126"/>
    <w:rsid w:val="726661EB"/>
    <w:rsid w:val="72D04273"/>
    <w:rsid w:val="72D8635F"/>
    <w:rsid w:val="731048EE"/>
    <w:rsid w:val="733F2C2D"/>
    <w:rsid w:val="73784FC6"/>
    <w:rsid w:val="73870DE6"/>
    <w:rsid w:val="73996175"/>
    <w:rsid w:val="73BF7BB4"/>
    <w:rsid w:val="74470D7A"/>
    <w:rsid w:val="746F59F1"/>
    <w:rsid w:val="74CD4D7C"/>
    <w:rsid w:val="75115784"/>
    <w:rsid w:val="756F6773"/>
    <w:rsid w:val="75835404"/>
    <w:rsid w:val="75CA7163"/>
    <w:rsid w:val="75DD6CE2"/>
    <w:rsid w:val="762F2E92"/>
    <w:rsid w:val="76442F04"/>
    <w:rsid w:val="767A04BE"/>
    <w:rsid w:val="76D55309"/>
    <w:rsid w:val="76E44C5F"/>
    <w:rsid w:val="76FB7919"/>
    <w:rsid w:val="77322AAB"/>
    <w:rsid w:val="77621115"/>
    <w:rsid w:val="77896BA0"/>
    <w:rsid w:val="77B51C24"/>
    <w:rsid w:val="78182C4F"/>
    <w:rsid w:val="781A6B95"/>
    <w:rsid w:val="785B5273"/>
    <w:rsid w:val="78F67F21"/>
    <w:rsid w:val="79036ED7"/>
    <w:rsid w:val="790A0A41"/>
    <w:rsid w:val="79455BBF"/>
    <w:rsid w:val="7973120A"/>
    <w:rsid w:val="79B2218E"/>
    <w:rsid w:val="7A413F60"/>
    <w:rsid w:val="7AF14163"/>
    <w:rsid w:val="7B1F729C"/>
    <w:rsid w:val="7B3E5A42"/>
    <w:rsid w:val="7B4A402D"/>
    <w:rsid w:val="7BC21E6E"/>
    <w:rsid w:val="7BFE4FDC"/>
    <w:rsid w:val="7D557C52"/>
    <w:rsid w:val="7DBF6748"/>
    <w:rsid w:val="7DC12CE8"/>
    <w:rsid w:val="7E444E03"/>
    <w:rsid w:val="7E7F27E5"/>
    <w:rsid w:val="7E9C1B22"/>
    <w:rsid w:val="7EA857EB"/>
    <w:rsid w:val="7EDD6814"/>
    <w:rsid w:val="7F6711A1"/>
    <w:rsid w:val="7FC63A69"/>
    <w:rsid w:val="7FCE3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semiHidden="0" w:name="HTML Cite"/>
    <w:lsdException w:qFormat="1" w:unhideWhenUsed="0" w:uiPriority="99" w:semiHidden="0"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4"/>
    <w:qFormat/>
    <w:uiPriority w:val="99"/>
    <w:pPr>
      <w:keepNext/>
      <w:keepLines/>
      <w:spacing w:line="360" w:lineRule="auto"/>
      <w:outlineLvl w:val="0"/>
    </w:pPr>
    <w:rPr>
      <w:rFonts w:eastAsia="黑体"/>
      <w:b/>
      <w:kern w:val="44"/>
      <w:sz w:val="44"/>
      <w:szCs w:val="20"/>
    </w:rPr>
  </w:style>
  <w:style w:type="paragraph" w:styleId="4">
    <w:name w:val="heading 2"/>
    <w:basedOn w:val="1"/>
    <w:next w:val="1"/>
    <w:link w:val="122"/>
    <w:qFormat/>
    <w:uiPriority w:val="99"/>
    <w:pPr>
      <w:keepNext/>
      <w:keepLines/>
      <w:spacing w:line="413" w:lineRule="auto"/>
      <w:outlineLvl w:val="1"/>
    </w:pPr>
    <w:rPr>
      <w:rFonts w:ascii="Arial" w:hAnsi="Arial" w:eastAsia="黑体"/>
      <w:b/>
      <w:sz w:val="32"/>
      <w:szCs w:val="20"/>
    </w:rPr>
  </w:style>
  <w:style w:type="paragraph" w:styleId="5">
    <w:name w:val="heading 3"/>
    <w:basedOn w:val="1"/>
    <w:next w:val="1"/>
    <w:link w:val="143"/>
    <w:qFormat/>
    <w:uiPriority w:val="99"/>
    <w:pPr>
      <w:keepNext/>
      <w:keepLines/>
      <w:spacing w:line="360" w:lineRule="auto"/>
      <w:outlineLvl w:val="2"/>
    </w:pPr>
    <w:rPr>
      <w:rFonts w:eastAsia="黑体"/>
      <w:b/>
      <w:sz w:val="32"/>
      <w:szCs w:val="20"/>
    </w:rPr>
  </w:style>
  <w:style w:type="paragraph" w:styleId="2">
    <w:name w:val="heading 4"/>
    <w:basedOn w:val="1"/>
    <w:next w:val="1"/>
    <w:link w:val="125"/>
    <w:qFormat/>
    <w:uiPriority w:val="99"/>
    <w:pPr>
      <w:keepNext/>
      <w:keepLines/>
      <w:spacing w:line="360" w:lineRule="auto"/>
      <w:outlineLvl w:val="3"/>
    </w:pPr>
    <w:rPr>
      <w:rFonts w:ascii="Arial" w:hAnsi="Arial"/>
      <w:b/>
      <w:sz w:val="28"/>
      <w:szCs w:val="20"/>
    </w:rPr>
  </w:style>
  <w:style w:type="paragraph" w:styleId="6">
    <w:name w:val="heading 5"/>
    <w:basedOn w:val="1"/>
    <w:next w:val="1"/>
    <w:link w:val="140"/>
    <w:qFormat/>
    <w:uiPriority w:val="99"/>
    <w:pPr>
      <w:keepNext/>
      <w:keepLines/>
      <w:spacing w:line="372" w:lineRule="auto"/>
      <w:outlineLvl w:val="4"/>
    </w:pPr>
    <w:rPr>
      <w:b/>
      <w:sz w:val="28"/>
      <w:szCs w:val="20"/>
    </w:rPr>
  </w:style>
  <w:style w:type="paragraph" w:styleId="7">
    <w:name w:val="heading 6"/>
    <w:basedOn w:val="1"/>
    <w:next w:val="1"/>
    <w:link w:val="60"/>
    <w:qFormat/>
    <w:uiPriority w:val="99"/>
    <w:pPr>
      <w:keepNext/>
      <w:keepLines/>
      <w:spacing w:line="317" w:lineRule="auto"/>
      <w:outlineLvl w:val="5"/>
    </w:pPr>
    <w:rPr>
      <w:rFonts w:ascii="Cambria" w:hAnsi="Cambria"/>
      <w:b/>
      <w:bCs/>
      <w:sz w:val="24"/>
    </w:rPr>
  </w:style>
  <w:style w:type="paragraph" w:styleId="8">
    <w:name w:val="heading 7"/>
    <w:basedOn w:val="1"/>
    <w:next w:val="1"/>
    <w:link w:val="61"/>
    <w:qFormat/>
    <w:uiPriority w:val="99"/>
    <w:pPr>
      <w:keepNext/>
      <w:keepLines/>
      <w:spacing w:line="317" w:lineRule="auto"/>
      <w:outlineLvl w:val="6"/>
    </w:pPr>
    <w:rPr>
      <w:rFonts w:ascii="Calibri" w:hAnsi="Calibri"/>
      <w:b/>
      <w:bCs/>
      <w:sz w:val="24"/>
    </w:rPr>
  </w:style>
  <w:style w:type="paragraph" w:styleId="9">
    <w:name w:val="heading 8"/>
    <w:basedOn w:val="1"/>
    <w:next w:val="1"/>
    <w:link w:val="62"/>
    <w:qFormat/>
    <w:uiPriority w:val="99"/>
    <w:pPr>
      <w:keepNext/>
      <w:keepLines/>
      <w:spacing w:line="317" w:lineRule="auto"/>
      <w:outlineLvl w:val="7"/>
    </w:pPr>
    <w:rPr>
      <w:rFonts w:ascii="Cambria" w:hAnsi="Cambria"/>
      <w:sz w:val="24"/>
    </w:rPr>
  </w:style>
  <w:style w:type="paragraph" w:styleId="10">
    <w:name w:val="heading 9"/>
    <w:basedOn w:val="1"/>
    <w:next w:val="1"/>
    <w:link w:val="63"/>
    <w:qFormat/>
    <w:uiPriority w:val="99"/>
    <w:pPr>
      <w:keepNext/>
      <w:keepLines/>
      <w:spacing w:line="317" w:lineRule="auto"/>
      <w:outlineLvl w:val="8"/>
    </w:pPr>
    <w:rPr>
      <w:rFonts w:ascii="Cambria" w:hAnsi="Cambria"/>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Normal Indent"/>
    <w:basedOn w:val="1"/>
    <w:qFormat/>
    <w:uiPriority w:val="99"/>
    <w:pPr>
      <w:widowControl/>
      <w:ind w:firstLine="420"/>
      <w:jc w:val="left"/>
    </w:pPr>
    <w:rPr>
      <w:sz w:val="20"/>
    </w:rPr>
  </w:style>
  <w:style w:type="paragraph" w:styleId="13">
    <w:name w:val="caption"/>
    <w:basedOn w:val="1"/>
    <w:next w:val="1"/>
    <w:qFormat/>
    <w:uiPriority w:val="99"/>
    <w:rPr>
      <w:rFonts w:ascii="Cambria" w:hAnsi="Cambria" w:eastAsia="黑体"/>
      <w:sz w:val="20"/>
      <w:szCs w:val="20"/>
    </w:rPr>
  </w:style>
  <w:style w:type="paragraph" w:styleId="14">
    <w:name w:val="Document Map"/>
    <w:basedOn w:val="1"/>
    <w:link w:val="138"/>
    <w:qFormat/>
    <w:uiPriority w:val="99"/>
    <w:pPr>
      <w:shd w:val="clear" w:color="auto" w:fill="000080"/>
    </w:pPr>
    <w:rPr>
      <w:sz w:val="24"/>
      <w:szCs w:val="20"/>
      <w:shd w:val="clear" w:color="auto" w:fill="000080"/>
    </w:rPr>
  </w:style>
  <w:style w:type="paragraph" w:styleId="15">
    <w:name w:val="annotation text"/>
    <w:basedOn w:val="1"/>
    <w:link w:val="136"/>
    <w:qFormat/>
    <w:uiPriority w:val="99"/>
    <w:pPr>
      <w:jc w:val="left"/>
    </w:pPr>
    <w:rPr>
      <w:sz w:val="24"/>
      <w:szCs w:val="20"/>
    </w:rPr>
  </w:style>
  <w:style w:type="paragraph" w:styleId="16">
    <w:name w:val="Body Text"/>
    <w:basedOn w:val="1"/>
    <w:link w:val="66"/>
    <w:qFormat/>
    <w:uiPriority w:val="99"/>
    <w:pPr>
      <w:adjustRightInd w:val="0"/>
      <w:spacing w:line="360" w:lineRule="atLeast"/>
      <w:ind w:left="72" w:leftChars="30" w:right="30" w:rightChars="30"/>
      <w:jc w:val="center"/>
      <w:textAlignment w:val="baseline"/>
    </w:pPr>
    <w:rPr>
      <w:szCs w:val="22"/>
    </w:rPr>
  </w:style>
  <w:style w:type="paragraph" w:styleId="17">
    <w:name w:val="Body Text Indent"/>
    <w:basedOn w:val="1"/>
    <w:link w:val="153"/>
    <w:qFormat/>
    <w:uiPriority w:val="99"/>
    <w:pPr>
      <w:spacing w:line="360" w:lineRule="auto"/>
      <w:ind w:firstLine="552" w:firstLineChars="263"/>
    </w:pPr>
    <w:rPr>
      <w:rFonts w:ascii="宋体"/>
      <w:szCs w:val="20"/>
    </w:rPr>
  </w:style>
  <w:style w:type="paragraph" w:styleId="18">
    <w:name w:val="index 4"/>
    <w:basedOn w:val="1"/>
    <w:next w:val="1"/>
    <w:qFormat/>
    <w:uiPriority w:val="99"/>
    <w:pPr>
      <w:ind w:left="600" w:leftChars="600"/>
    </w:pPr>
  </w:style>
  <w:style w:type="paragraph" w:styleId="19">
    <w:name w:val="toc 5"/>
    <w:basedOn w:val="1"/>
    <w:next w:val="1"/>
    <w:qFormat/>
    <w:uiPriority w:val="99"/>
    <w:pPr>
      <w:ind w:left="1680" w:leftChars="800"/>
    </w:pPr>
    <w:rPr>
      <w:rFonts w:ascii="Calibri" w:hAnsi="Calibri"/>
      <w:szCs w:val="22"/>
    </w:rPr>
  </w:style>
  <w:style w:type="paragraph" w:styleId="20">
    <w:name w:val="toc 3"/>
    <w:basedOn w:val="1"/>
    <w:next w:val="1"/>
    <w:qFormat/>
    <w:uiPriority w:val="99"/>
    <w:pPr>
      <w:ind w:left="840" w:leftChars="400"/>
    </w:pPr>
  </w:style>
  <w:style w:type="paragraph" w:styleId="21">
    <w:name w:val="Plain Text"/>
    <w:basedOn w:val="1"/>
    <w:link w:val="128"/>
    <w:qFormat/>
    <w:uiPriority w:val="99"/>
    <w:rPr>
      <w:rFonts w:ascii="宋体" w:hAnsi="Courier New"/>
      <w:sz w:val="24"/>
      <w:szCs w:val="20"/>
    </w:rPr>
  </w:style>
  <w:style w:type="paragraph" w:styleId="22">
    <w:name w:val="toc 8"/>
    <w:basedOn w:val="1"/>
    <w:next w:val="1"/>
    <w:qFormat/>
    <w:uiPriority w:val="99"/>
    <w:pPr>
      <w:ind w:left="2940" w:leftChars="1400"/>
    </w:pPr>
    <w:rPr>
      <w:rFonts w:ascii="Calibri" w:hAnsi="Calibri"/>
      <w:szCs w:val="22"/>
    </w:rPr>
  </w:style>
  <w:style w:type="paragraph" w:styleId="23">
    <w:name w:val="Date"/>
    <w:basedOn w:val="1"/>
    <w:next w:val="1"/>
    <w:link w:val="117"/>
    <w:qFormat/>
    <w:uiPriority w:val="99"/>
    <w:pPr>
      <w:ind w:left="100" w:leftChars="2500"/>
    </w:pPr>
    <w:rPr>
      <w:sz w:val="24"/>
      <w:szCs w:val="20"/>
    </w:rPr>
  </w:style>
  <w:style w:type="paragraph" w:styleId="24">
    <w:name w:val="Body Text Indent 2"/>
    <w:basedOn w:val="1"/>
    <w:link w:val="151"/>
    <w:qFormat/>
    <w:uiPriority w:val="99"/>
    <w:pPr>
      <w:spacing w:line="480" w:lineRule="auto"/>
      <w:ind w:left="420" w:leftChars="200"/>
    </w:pPr>
    <w:rPr>
      <w:sz w:val="24"/>
      <w:szCs w:val="20"/>
    </w:rPr>
  </w:style>
  <w:style w:type="paragraph" w:styleId="25">
    <w:name w:val="Balloon Text"/>
    <w:basedOn w:val="1"/>
    <w:link w:val="163"/>
    <w:qFormat/>
    <w:uiPriority w:val="99"/>
    <w:rPr>
      <w:sz w:val="18"/>
      <w:szCs w:val="20"/>
    </w:rPr>
  </w:style>
  <w:style w:type="paragraph" w:styleId="26">
    <w:name w:val="footer"/>
    <w:basedOn w:val="1"/>
    <w:link w:val="147"/>
    <w:qFormat/>
    <w:uiPriority w:val="99"/>
    <w:pPr>
      <w:tabs>
        <w:tab w:val="center" w:pos="4153"/>
        <w:tab w:val="right" w:pos="8306"/>
      </w:tabs>
      <w:snapToGrid w:val="0"/>
      <w:jc w:val="left"/>
    </w:pPr>
    <w:rPr>
      <w:sz w:val="18"/>
      <w:szCs w:val="20"/>
    </w:rPr>
  </w:style>
  <w:style w:type="paragraph" w:styleId="27">
    <w:name w:val="header"/>
    <w:basedOn w:val="1"/>
    <w:link w:val="132"/>
    <w:qFormat/>
    <w:uiPriority w:val="99"/>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99"/>
    <w:pPr>
      <w:spacing w:line="400" w:lineRule="exact"/>
    </w:pPr>
    <w:rPr>
      <w:rFonts w:eastAsia="黑体"/>
    </w:rPr>
  </w:style>
  <w:style w:type="paragraph" w:styleId="29">
    <w:name w:val="toc 4"/>
    <w:basedOn w:val="1"/>
    <w:next w:val="1"/>
    <w:qFormat/>
    <w:uiPriority w:val="99"/>
    <w:pPr>
      <w:ind w:left="1260" w:leftChars="600"/>
    </w:pPr>
    <w:rPr>
      <w:rFonts w:ascii="Calibri" w:hAnsi="Calibri"/>
      <w:szCs w:val="22"/>
    </w:rPr>
  </w:style>
  <w:style w:type="paragraph" w:styleId="30">
    <w:name w:val="Subtitle"/>
    <w:basedOn w:val="1"/>
    <w:next w:val="1"/>
    <w:link w:val="74"/>
    <w:qFormat/>
    <w:uiPriority w:val="99"/>
    <w:pPr>
      <w:spacing w:line="312" w:lineRule="auto"/>
      <w:jc w:val="center"/>
      <w:outlineLvl w:val="1"/>
    </w:pPr>
    <w:rPr>
      <w:rFonts w:ascii="Cambria" w:hAnsi="Cambria"/>
      <w:b/>
      <w:bCs/>
      <w:kern w:val="28"/>
      <w:sz w:val="32"/>
      <w:szCs w:val="32"/>
    </w:rPr>
  </w:style>
  <w:style w:type="paragraph" w:styleId="31">
    <w:name w:val="footnote text"/>
    <w:basedOn w:val="1"/>
    <w:link w:val="158"/>
    <w:qFormat/>
    <w:uiPriority w:val="99"/>
    <w:pPr>
      <w:adjustRightInd w:val="0"/>
      <w:spacing w:line="312" w:lineRule="atLeast"/>
      <w:jc w:val="left"/>
      <w:textAlignment w:val="baseline"/>
    </w:pPr>
    <w:rPr>
      <w:kern w:val="0"/>
      <w:sz w:val="18"/>
      <w:szCs w:val="20"/>
    </w:rPr>
  </w:style>
  <w:style w:type="paragraph" w:styleId="32">
    <w:name w:val="toc 6"/>
    <w:basedOn w:val="1"/>
    <w:next w:val="1"/>
    <w:qFormat/>
    <w:uiPriority w:val="99"/>
    <w:pPr>
      <w:ind w:left="2100" w:leftChars="1000"/>
    </w:pPr>
    <w:rPr>
      <w:rFonts w:ascii="Calibri" w:hAnsi="Calibri"/>
      <w:szCs w:val="22"/>
    </w:rPr>
  </w:style>
  <w:style w:type="paragraph" w:styleId="33">
    <w:name w:val="toc 2"/>
    <w:basedOn w:val="1"/>
    <w:next w:val="1"/>
    <w:qFormat/>
    <w:uiPriority w:val="99"/>
    <w:pPr>
      <w:ind w:left="420" w:leftChars="200"/>
    </w:pPr>
    <w:rPr>
      <w:rFonts w:ascii="Calibri" w:hAnsi="Calibri"/>
      <w:szCs w:val="22"/>
    </w:rPr>
  </w:style>
  <w:style w:type="paragraph" w:styleId="34">
    <w:name w:val="toc 9"/>
    <w:basedOn w:val="1"/>
    <w:next w:val="1"/>
    <w:qFormat/>
    <w:uiPriority w:val="99"/>
    <w:pPr>
      <w:ind w:left="3360" w:leftChars="1600"/>
    </w:pPr>
    <w:rPr>
      <w:rFonts w:ascii="Calibri" w:hAnsi="Calibri"/>
      <w:szCs w:val="22"/>
    </w:rPr>
  </w:style>
  <w:style w:type="paragraph" w:styleId="35">
    <w:name w:val="Normal (Web)"/>
    <w:basedOn w:val="1"/>
    <w:qFormat/>
    <w:uiPriority w:val="99"/>
    <w:pPr>
      <w:widowControl/>
      <w:spacing w:beforeAutospacing="1" w:afterAutospacing="1"/>
      <w:jc w:val="left"/>
    </w:pPr>
    <w:rPr>
      <w:rFonts w:ascii="宋体" w:hAnsi="宋体" w:cs="宋体"/>
      <w:kern w:val="0"/>
      <w:sz w:val="24"/>
    </w:rPr>
  </w:style>
  <w:style w:type="paragraph" w:styleId="36">
    <w:name w:val="Title"/>
    <w:basedOn w:val="1"/>
    <w:next w:val="1"/>
    <w:link w:val="131"/>
    <w:qFormat/>
    <w:uiPriority w:val="99"/>
    <w:pPr>
      <w:jc w:val="center"/>
      <w:outlineLvl w:val="0"/>
    </w:pPr>
    <w:rPr>
      <w:rFonts w:ascii="Cambria" w:hAnsi="Cambria"/>
      <w:b/>
      <w:sz w:val="32"/>
      <w:szCs w:val="20"/>
    </w:rPr>
  </w:style>
  <w:style w:type="paragraph" w:styleId="37">
    <w:name w:val="annotation subject"/>
    <w:basedOn w:val="15"/>
    <w:next w:val="15"/>
    <w:link w:val="148"/>
    <w:qFormat/>
    <w:uiPriority w:val="99"/>
    <w:rPr>
      <w:b/>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99"/>
    <w:rPr>
      <w:rFonts w:cs="Times New Roman"/>
      <w:b/>
    </w:rPr>
  </w:style>
  <w:style w:type="character" w:styleId="42">
    <w:name w:val="page number"/>
    <w:basedOn w:val="40"/>
    <w:qFormat/>
    <w:uiPriority w:val="99"/>
    <w:rPr>
      <w:rFonts w:cs="Times New Roman"/>
    </w:rPr>
  </w:style>
  <w:style w:type="character" w:styleId="43">
    <w:name w:val="FollowedHyperlink"/>
    <w:basedOn w:val="40"/>
    <w:qFormat/>
    <w:uiPriority w:val="99"/>
    <w:rPr>
      <w:rFonts w:cs="Times New Roman"/>
      <w:color w:val="666666"/>
      <w:u w:val="none"/>
    </w:rPr>
  </w:style>
  <w:style w:type="character" w:styleId="44">
    <w:name w:val="Emphasis"/>
    <w:basedOn w:val="40"/>
    <w:qFormat/>
    <w:uiPriority w:val="99"/>
    <w:rPr>
      <w:rFonts w:cs="Times New Roman"/>
      <w:i/>
    </w:rPr>
  </w:style>
  <w:style w:type="character" w:styleId="45">
    <w:name w:val="HTML Definition"/>
    <w:basedOn w:val="40"/>
    <w:semiHidden/>
    <w:unhideWhenUsed/>
    <w:qFormat/>
    <w:uiPriority w:val="99"/>
  </w:style>
  <w:style w:type="character" w:styleId="46">
    <w:name w:val="HTML Typewriter"/>
    <w:basedOn w:val="40"/>
    <w:semiHidden/>
    <w:unhideWhenUsed/>
    <w:qFormat/>
    <w:uiPriority w:val="99"/>
    <w:rPr>
      <w:rFonts w:hint="default" w:ascii="monospace" w:hAnsi="monospace" w:eastAsia="monospace" w:cs="monospace"/>
      <w:sz w:val="20"/>
    </w:rPr>
  </w:style>
  <w:style w:type="character" w:styleId="47">
    <w:name w:val="HTML Acronym"/>
    <w:basedOn w:val="40"/>
    <w:semiHidden/>
    <w:unhideWhenUsed/>
    <w:qFormat/>
    <w:uiPriority w:val="99"/>
  </w:style>
  <w:style w:type="character" w:styleId="48">
    <w:name w:val="HTML Variable"/>
    <w:basedOn w:val="40"/>
    <w:semiHidden/>
    <w:unhideWhenUsed/>
    <w:qFormat/>
    <w:uiPriority w:val="99"/>
  </w:style>
  <w:style w:type="character" w:styleId="49">
    <w:name w:val="Hyperlink"/>
    <w:basedOn w:val="40"/>
    <w:qFormat/>
    <w:uiPriority w:val="99"/>
    <w:rPr>
      <w:rFonts w:cs="Times New Roman"/>
      <w:color w:val="666666"/>
      <w:u w:val="none"/>
    </w:rPr>
  </w:style>
  <w:style w:type="character" w:styleId="50">
    <w:name w:val="HTML Code"/>
    <w:basedOn w:val="40"/>
    <w:qFormat/>
    <w:uiPriority w:val="99"/>
    <w:rPr>
      <w:rFonts w:ascii="Courier New" w:hAnsi="Courier New" w:cs="Times New Roman"/>
      <w:sz w:val="20"/>
    </w:rPr>
  </w:style>
  <w:style w:type="character" w:styleId="51">
    <w:name w:val="annotation reference"/>
    <w:basedOn w:val="40"/>
    <w:qFormat/>
    <w:uiPriority w:val="99"/>
    <w:rPr>
      <w:rFonts w:cs="Times New Roman"/>
      <w:sz w:val="21"/>
    </w:rPr>
  </w:style>
  <w:style w:type="character" w:styleId="52">
    <w:name w:val="HTML Cite"/>
    <w:basedOn w:val="40"/>
    <w:qFormat/>
    <w:uiPriority w:val="99"/>
    <w:rPr>
      <w:rFonts w:cs="Times New Roman"/>
    </w:rPr>
  </w:style>
  <w:style w:type="character" w:styleId="53">
    <w:name w:val="HTML Keyboard"/>
    <w:basedOn w:val="40"/>
    <w:semiHidden/>
    <w:unhideWhenUsed/>
    <w:qFormat/>
    <w:uiPriority w:val="99"/>
    <w:rPr>
      <w:rFonts w:hint="default" w:ascii="monospace" w:hAnsi="monospace" w:eastAsia="monospace" w:cs="monospace"/>
      <w:sz w:val="20"/>
    </w:rPr>
  </w:style>
  <w:style w:type="character" w:styleId="54">
    <w:name w:val="HTML Sample"/>
    <w:basedOn w:val="40"/>
    <w:semiHidden/>
    <w:unhideWhenUsed/>
    <w:qFormat/>
    <w:uiPriority w:val="99"/>
    <w:rPr>
      <w:rFonts w:hint="default" w:ascii="monospace" w:hAnsi="monospace" w:eastAsia="monospace" w:cs="monospace"/>
    </w:rPr>
  </w:style>
  <w:style w:type="character" w:customStyle="1" w:styleId="55">
    <w:name w:val="Heading 1 Char"/>
    <w:basedOn w:val="40"/>
    <w:qFormat/>
    <w:uiPriority w:val="99"/>
    <w:rPr>
      <w:rFonts w:eastAsia="宋体"/>
      <w:b/>
      <w:kern w:val="44"/>
      <w:sz w:val="44"/>
      <w:lang w:val="en-US" w:eastAsia="zh-CN"/>
    </w:rPr>
  </w:style>
  <w:style w:type="character" w:customStyle="1" w:styleId="56">
    <w:name w:val="Heading 2 Char"/>
    <w:basedOn w:val="40"/>
    <w:qFormat/>
    <w:uiPriority w:val="99"/>
    <w:rPr>
      <w:rFonts w:ascii="Arial" w:hAnsi="Arial" w:eastAsia="黑体"/>
      <w:b/>
      <w:kern w:val="2"/>
      <w:sz w:val="32"/>
      <w:lang w:val="en-US" w:eastAsia="zh-CN"/>
    </w:rPr>
  </w:style>
  <w:style w:type="character" w:customStyle="1" w:styleId="57">
    <w:name w:val="Heading 3 Char"/>
    <w:basedOn w:val="40"/>
    <w:qFormat/>
    <w:uiPriority w:val="99"/>
    <w:rPr>
      <w:b/>
      <w:kern w:val="2"/>
      <w:sz w:val="32"/>
    </w:rPr>
  </w:style>
  <w:style w:type="character" w:customStyle="1" w:styleId="58">
    <w:name w:val="Heading 4 Char"/>
    <w:basedOn w:val="40"/>
    <w:qFormat/>
    <w:uiPriority w:val="99"/>
    <w:rPr>
      <w:rFonts w:ascii="Arial" w:hAnsi="Arial" w:eastAsia="宋体"/>
      <w:b/>
      <w:kern w:val="2"/>
      <w:sz w:val="28"/>
      <w:lang w:val="en-US" w:eastAsia="zh-CN"/>
    </w:rPr>
  </w:style>
  <w:style w:type="character" w:customStyle="1" w:styleId="59">
    <w:name w:val="Heading 5 Char"/>
    <w:basedOn w:val="40"/>
    <w:qFormat/>
    <w:uiPriority w:val="99"/>
    <w:rPr>
      <w:rFonts w:eastAsia="宋体"/>
      <w:b/>
      <w:kern w:val="2"/>
      <w:sz w:val="28"/>
      <w:lang w:val="en-US" w:eastAsia="zh-CN"/>
    </w:rPr>
  </w:style>
  <w:style w:type="character" w:customStyle="1" w:styleId="60">
    <w:name w:val="标题 6 Char"/>
    <w:basedOn w:val="40"/>
    <w:link w:val="7"/>
    <w:semiHidden/>
    <w:qFormat/>
    <w:uiPriority w:val="9"/>
    <w:rPr>
      <w:rFonts w:ascii="Cambria" w:hAnsi="Cambria" w:eastAsia="宋体" w:cs="Times New Roman"/>
      <w:b/>
      <w:bCs/>
      <w:sz w:val="24"/>
      <w:szCs w:val="24"/>
    </w:rPr>
  </w:style>
  <w:style w:type="character" w:customStyle="1" w:styleId="61">
    <w:name w:val="标题 7 Char"/>
    <w:basedOn w:val="40"/>
    <w:link w:val="8"/>
    <w:semiHidden/>
    <w:qFormat/>
    <w:uiPriority w:val="9"/>
    <w:rPr>
      <w:b/>
      <w:bCs/>
      <w:sz w:val="24"/>
      <w:szCs w:val="24"/>
    </w:rPr>
  </w:style>
  <w:style w:type="character" w:customStyle="1" w:styleId="62">
    <w:name w:val="标题 8 Char"/>
    <w:basedOn w:val="40"/>
    <w:link w:val="9"/>
    <w:semiHidden/>
    <w:qFormat/>
    <w:uiPriority w:val="9"/>
    <w:rPr>
      <w:rFonts w:ascii="Cambria" w:hAnsi="Cambria" w:eastAsia="宋体" w:cs="Times New Roman"/>
      <w:sz w:val="24"/>
      <w:szCs w:val="24"/>
    </w:rPr>
  </w:style>
  <w:style w:type="character" w:customStyle="1" w:styleId="63">
    <w:name w:val="标题 9 Char"/>
    <w:basedOn w:val="40"/>
    <w:link w:val="10"/>
    <w:semiHidden/>
    <w:qFormat/>
    <w:uiPriority w:val="9"/>
    <w:rPr>
      <w:rFonts w:ascii="Cambria" w:hAnsi="Cambria" w:eastAsia="宋体" w:cs="Times New Roman"/>
      <w:szCs w:val="21"/>
    </w:rPr>
  </w:style>
  <w:style w:type="character" w:customStyle="1" w:styleId="64">
    <w:name w:val="Document Map Char"/>
    <w:basedOn w:val="40"/>
    <w:qFormat/>
    <w:uiPriority w:val="99"/>
    <w:rPr>
      <w:rFonts w:eastAsia="宋体"/>
      <w:kern w:val="2"/>
      <w:sz w:val="24"/>
      <w:lang w:val="en-US" w:eastAsia="zh-CN"/>
    </w:rPr>
  </w:style>
  <w:style w:type="character" w:customStyle="1" w:styleId="65">
    <w:name w:val="Comment Text Char"/>
    <w:basedOn w:val="40"/>
    <w:qFormat/>
    <w:uiPriority w:val="99"/>
    <w:rPr>
      <w:sz w:val="24"/>
    </w:rPr>
  </w:style>
  <w:style w:type="character" w:customStyle="1" w:styleId="66">
    <w:name w:val="正文文本 Char"/>
    <w:basedOn w:val="40"/>
    <w:link w:val="16"/>
    <w:qFormat/>
    <w:locked/>
    <w:uiPriority w:val="99"/>
    <w:rPr>
      <w:rFonts w:eastAsia="宋体"/>
      <w:kern w:val="2"/>
      <w:sz w:val="22"/>
      <w:lang w:val="en-US" w:eastAsia="zh-CN"/>
    </w:rPr>
  </w:style>
  <w:style w:type="character" w:customStyle="1" w:styleId="67">
    <w:name w:val="Body Text Indent Char"/>
    <w:basedOn w:val="40"/>
    <w:qFormat/>
    <w:uiPriority w:val="99"/>
    <w:rPr>
      <w:rFonts w:ascii="宋体" w:hAnsi="宋体" w:eastAsia="宋体"/>
      <w:kern w:val="2"/>
      <w:sz w:val="21"/>
      <w:lang w:val="en-US" w:eastAsia="zh-CN"/>
    </w:rPr>
  </w:style>
  <w:style w:type="character" w:customStyle="1" w:styleId="68">
    <w:name w:val="Plain Text Char"/>
    <w:basedOn w:val="40"/>
    <w:qFormat/>
    <w:uiPriority w:val="99"/>
    <w:rPr>
      <w:rFonts w:ascii="宋体" w:hAnsi="Courier New" w:eastAsia="宋体"/>
      <w:sz w:val="24"/>
    </w:rPr>
  </w:style>
  <w:style w:type="character" w:customStyle="1" w:styleId="69">
    <w:name w:val="Date Char"/>
    <w:basedOn w:val="40"/>
    <w:qFormat/>
    <w:uiPriority w:val="99"/>
    <w:rPr>
      <w:rFonts w:eastAsia="宋体"/>
      <w:kern w:val="2"/>
      <w:sz w:val="24"/>
      <w:lang w:val="en-US" w:eastAsia="zh-CN"/>
    </w:rPr>
  </w:style>
  <w:style w:type="character" w:customStyle="1" w:styleId="70">
    <w:name w:val="Body Text Indent 2 Char"/>
    <w:basedOn w:val="40"/>
    <w:qFormat/>
    <w:uiPriority w:val="99"/>
    <w:rPr>
      <w:rFonts w:eastAsia="宋体"/>
      <w:kern w:val="2"/>
      <w:sz w:val="24"/>
      <w:lang w:val="en-US" w:eastAsia="zh-CN"/>
    </w:rPr>
  </w:style>
  <w:style w:type="character" w:customStyle="1" w:styleId="71">
    <w:name w:val="Balloon Text Char"/>
    <w:basedOn w:val="40"/>
    <w:qFormat/>
    <w:uiPriority w:val="99"/>
    <w:rPr>
      <w:sz w:val="18"/>
    </w:rPr>
  </w:style>
  <w:style w:type="character" w:customStyle="1" w:styleId="72">
    <w:name w:val="Footer Char"/>
    <w:basedOn w:val="40"/>
    <w:qFormat/>
    <w:uiPriority w:val="99"/>
    <w:rPr>
      <w:rFonts w:eastAsia="宋体"/>
      <w:kern w:val="2"/>
      <w:sz w:val="18"/>
      <w:lang w:val="en-US" w:eastAsia="zh-CN"/>
    </w:rPr>
  </w:style>
  <w:style w:type="character" w:customStyle="1" w:styleId="73">
    <w:name w:val="Header Char"/>
    <w:basedOn w:val="40"/>
    <w:qFormat/>
    <w:uiPriority w:val="99"/>
    <w:rPr>
      <w:rFonts w:eastAsia="宋体"/>
      <w:kern w:val="2"/>
      <w:sz w:val="18"/>
      <w:lang w:val="en-US" w:eastAsia="zh-CN"/>
    </w:rPr>
  </w:style>
  <w:style w:type="character" w:customStyle="1" w:styleId="74">
    <w:name w:val="副标题 Char"/>
    <w:basedOn w:val="40"/>
    <w:link w:val="30"/>
    <w:qFormat/>
    <w:uiPriority w:val="11"/>
    <w:rPr>
      <w:rFonts w:ascii="Cambria" w:hAnsi="Cambria" w:cs="Times New Roman"/>
      <w:b/>
      <w:bCs/>
      <w:kern w:val="28"/>
      <w:sz w:val="32"/>
      <w:szCs w:val="32"/>
    </w:rPr>
  </w:style>
  <w:style w:type="character" w:customStyle="1" w:styleId="75">
    <w:name w:val="Footnote Text Char"/>
    <w:basedOn w:val="40"/>
    <w:qFormat/>
    <w:uiPriority w:val="99"/>
    <w:rPr>
      <w:rFonts w:eastAsia="宋体"/>
      <w:sz w:val="18"/>
      <w:lang w:val="en-US" w:eastAsia="zh-CN"/>
    </w:rPr>
  </w:style>
  <w:style w:type="character" w:customStyle="1" w:styleId="76">
    <w:name w:val="Title Char"/>
    <w:basedOn w:val="40"/>
    <w:qFormat/>
    <w:uiPriority w:val="99"/>
    <w:rPr>
      <w:rFonts w:ascii="Cambria" w:hAnsi="Cambria"/>
      <w:b/>
      <w:sz w:val="32"/>
    </w:rPr>
  </w:style>
  <w:style w:type="character" w:customStyle="1" w:styleId="77">
    <w:name w:val="Comment Subject Char"/>
    <w:basedOn w:val="65"/>
    <w:qFormat/>
    <w:uiPriority w:val="99"/>
    <w:rPr>
      <w:b/>
      <w:sz w:val="24"/>
    </w:rPr>
  </w:style>
  <w:style w:type="paragraph" w:customStyle="1" w:styleId="7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0">
    <w:name w:val="标题4"/>
    <w:basedOn w:val="4"/>
    <w:next w:val="18"/>
    <w:link w:val="139"/>
    <w:qFormat/>
    <w:uiPriority w:val="99"/>
    <w:rPr>
      <w:rFonts w:eastAsia="宋体"/>
      <w:kern w:val="0"/>
    </w:rPr>
  </w:style>
  <w:style w:type="paragraph" w:customStyle="1" w:styleId="81">
    <w:name w:val="2-2ji"/>
    <w:basedOn w:val="4"/>
    <w:qFormat/>
    <w:uiPriority w:val="99"/>
    <w:pPr>
      <w:spacing w:line="360" w:lineRule="auto"/>
      <w:jc w:val="center"/>
    </w:pPr>
    <w:rPr>
      <w:rFonts w:ascii="宋体" w:hAnsi="宋体" w:eastAsia="宋体"/>
      <w:sz w:val="36"/>
      <w:szCs w:val="24"/>
    </w:rPr>
  </w:style>
  <w:style w:type="paragraph" w:styleId="82">
    <w:name w:val="Intense Quote"/>
    <w:basedOn w:val="1"/>
    <w:next w:val="1"/>
    <w:link w:val="83"/>
    <w:qFormat/>
    <w:uiPriority w:val="99"/>
    <w:pPr>
      <w:pBdr>
        <w:bottom w:val="single" w:color="4F81BD" w:sz="4" w:space="4"/>
      </w:pBdr>
      <w:ind w:left="936" w:right="936"/>
    </w:pPr>
    <w:rPr>
      <w:b/>
      <w:bCs/>
      <w:i/>
      <w:iCs/>
      <w:color w:val="4F81BD"/>
      <w:kern w:val="0"/>
      <w:sz w:val="20"/>
      <w:szCs w:val="20"/>
    </w:rPr>
  </w:style>
  <w:style w:type="character" w:customStyle="1" w:styleId="83">
    <w:name w:val="明显引用 Char"/>
    <w:basedOn w:val="40"/>
    <w:link w:val="82"/>
    <w:qFormat/>
    <w:locked/>
    <w:uiPriority w:val="99"/>
    <w:rPr>
      <w:b/>
      <w:i/>
      <w:color w:val="4F81BD"/>
    </w:rPr>
  </w:style>
  <w:style w:type="paragraph" w:styleId="84">
    <w:name w:val="List Paragraph"/>
    <w:basedOn w:val="1"/>
    <w:qFormat/>
    <w:uiPriority w:val="99"/>
    <w:pPr>
      <w:ind w:firstLine="420" w:firstLineChars="200"/>
    </w:pPr>
    <w:rPr>
      <w:rFonts w:ascii="Calibri" w:hAnsi="Calibri"/>
      <w:szCs w:val="22"/>
    </w:rPr>
  </w:style>
  <w:style w:type="paragraph" w:customStyle="1" w:styleId="85">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Char"/>
    <w:basedOn w:val="1"/>
    <w:qFormat/>
    <w:uiPriority w:val="99"/>
    <w:pPr>
      <w:widowControl/>
      <w:spacing w:line="240" w:lineRule="exact"/>
      <w:jc w:val="left"/>
    </w:pPr>
  </w:style>
  <w:style w:type="paragraph" w:customStyle="1" w:styleId="87">
    <w:name w:val="标题5"/>
    <w:basedOn w:val="5"/>
    <w:link w:val="159"/>
    <w:qFormat/>
    <w:uiPriority w:val="99"/>
    <w:pPr>
      <w:spacing w:line="413" w:lineRule="auto"/>
    </w:pPr>
    <w:rPr>
      <w:rFonts w:ascii="Arial" w:hAnsi="Arial" w:eastAsia="宋体"/>
      <w:kern w:val="0"/>
    </w:rPr>
  </w:style>
  <w:style w:type="paragraph" w:customStyle="1" w:styleId="88">
    <w:name w:val="Char1"/>
    <w:basedOn w:val="1"/>
    <w:qFormat/>
    <w:uiPriority w:val="99"/>
    <w:pPr>
      <w:widowControl/>
      <w:spacing w:line="240" w:lineRule="exact"/>
      <w:jc w:val="left"/>
    </w:pPr>
  </w:style>
  <w:style w:type="paragraph" w:customStyle="1" w:styleId="89">
    <w:name w:val="纯文本_0"/>
    <w:basedOn w:val="90"/>
    <w:qFormat/>
    <w:uiPriority w:val="99"/>
    <w:rPr>
      <w:rFonts w:ascii="宋体" w:hAnsi="宋体"/>
      <w:color w:val="000000"/>
      <w:kern w:val="0"/>
      <w:sz w:val="20"/>
      <w:szCs w:val="20"/>
    </w:rPr>
  </w:style>
  <w:style w:type="paragraph" w:customStyle="1" w:styleId="90">
    <w:name w:val="正文_4"/>
    <w:basedOn w:val="1"/>
    <w:qFormat/>
    <w:uiPriority w:val="99"/>
    <w:rPr>
      <w:rFonts w:ascii="Calibri" w:hAnsi="Calibri"/>
      <w:szCs w:val="22"/>
    </w:rPr>
  </w:style>
  <w:style w:type="paragraph" w:customStyle="1" w:styleId="91">
    <w:name w:val="Char Char Char Char Char Char Char"/>
    <w:basedOn w:val="1"/>
    <w:qFormat/>
    <w:uiPriority w:val="99"/>
    <w:pPr>
      <w:widowControl/>
      <w:spacing w:line="240" w:lineRule="exact"/>
      <w:jc w:val="left"/>
    </w:pPr>
  </w:style>
  <w:style w:type="paragraph" w:customStyle="1" w:styleId="92">
    <w:name w:val="列出段落1"/>
    <w:basedOn w:val="1"/>
    <w:qFormat/>
    <w:uiPriority w:val="99"/>
    <w:pPr>
      <w:ind w:firstLine="420" w:firstLineChars="200"/>
    </w:pPr>
    <w:rPr>
      <w:rFonts w:ascii="Calibri" w:hAnsi="Calibri"/>
      <w:szCs w:val="22"/>
    </w:rPr>
  </w:style>
  <w:style w:type="paragraph" w:customStyle="1" w:styleId="93">
    <w:name w:val="样式1"/>
    <w:basedOn w:val="1"/>
    <w:next w:val="2"/>
    <w:qFormat/>
    <w:uiPriority w:val="99"/>
    <w:pPr>
      <w:spacing w:line="360" w:lineRule="auto"/>
      <w:ind w:firstLine="420" w:firstLineChars="200"/>
    </w:pPr>
    <w:rPr>
      <w:rFonts w:ascii="宋体" w:hAnsi="宋体"/>
      <w:szCs w:val="21"/>
    </w:rPr>
  </w:style>
  <w:style w:type="paragraph" w:customStyle="1" w:styleId="94">
    <w:name w:val="p0"/>
    <w:basedOn w:val="1"/>
    <w:qFormat/>
    <w:uiPriority w:val="99"/>
    <w:pPr>
      <w:widowControl/>
    </w:pPr>
    <w:rPr>
      <w:rFonts w:ascii="Calibri" w:hAnsi="Calibri" w:cs="宋体"/>
      <w:kern w:val="0"/>
      <w:szCs w:val="21"/>
    </w:rPr>
  </w:style>
  <w:style w:type="paragraph" w:customStyle="1" w:styleId="95">
    <w:name w:val="列出段落11"/>
    <w:basedOn w:val="1"/>
    <w:qFormat/>
    <w:uiPriority w:val="99"/>
    <w:pPr>
      <w:ind w:firstLine="420" w:firstLineChars="200"/>
    </w:pPr>
    <w:rPr>
      <w:rFonts w:ascii="Calibri" w:hAnsi="Calibri"/>
      <w:szCs w:val="22"/>
    </w:rPr>
  </w:style>
  <w:style w:type="paragraph" w:customStyle="1" w:styleId="96">
    <w:name w:val="正文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8">
    <w:name w:val="reader-word-layer"/>
    <w:basedOn w:val="1"/>
    <w:qFormat/>
    <w:uiPriority w:val="99"/>
    <w:pPr>
      <w:widowControl/>
      <w:spacing w:beforeAutospacing="1" w:afterAutospacing="1"/>
      <w:jc w:val="left"/>
    </w:pPr>
    <w:rPr>
      <w:rFonts w:ascii="宋体" w:hAnsi="宋体" w:cs="宋体"/>
      <w:kern w:val="0"/>
      <w:sz w:val="24"/>
    </w:rPr>
  </w:style>
  <w:style w:type="paragraph" w:styleId="9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_Style 37"/>
    <w:basedOn w:val="1"/>
    <w:next w:val="1"/>
    <w:qFormat/>
    <w:uiPriority w:val="99"/>
  </w:style>
  <w:style w:type="paragraph" w:customStyle="1" w:styleId="101">
    <w:name w:val="flNote"/>
    <w:basedOn w:val="1"/>
    <w:qFormat/>
    <w:uiPriority w:val="99"/>
    <w:pPr>
      <w:adjustRightInd w:val="0"/>
      <w:spacing w:line="360" w:lineRule="atLeast"/>
      <w:jc w:val="center"/>
      <w:textAlignment w:val="baseline"/>
    </w:pPr>
    <w:rPr>
      <w:rFonts w:ascii="Arial" w:eastAsia="黑体"/>
      <w:kern w:val="0"/>
      <w:sz w:val="30"/>
      <w:szCs w:val="20"/>
    </w:rPr>
  </w:style>
  <w:style w:type="paragraph" w:styleId="102">
    <w:name w:val="Quote"/>
    <w:basedOn w:val="1"/>
    <w:next w:val="1"/>
    <w:link w:val="103"/>
    <w:qFormat/>
    <w:uiPriority w:val="99"/>
    <w:rPr>
      <w:i/>
      <w:iCs/>
      <w:color w:val="000000"/>
      <w:kern w:val="0"/>
      <w:sz w:val="20"/>
      <w:szCs w:val="20"/>
    </w:rPr>
  </w:style>
  <w:style w:type="character" w:customStyle="1" w:styleId="103">
    <w:name w:val="引用 Char"/>
    <w:basedOn w:val="40"/>
    <w:link w:val="102"/>
    <w:qFormat/>
    <w:locked/>
    <w:uiPriority w:val="99"/>
    <w:rPr>
      <w:i/>
      <w:color w:val="000000"/>
    </w:rPr>
  </w:style>
  <w:style w:type="paragraph" w:customStyle="1" w:styleId="104">
    <w:name w:val="样式"/>
    <w:basedOn w:val="3"/>
    <w:next w:val="1"/>
    <w:qFormat/>
    <w:uiPriority w:val="99"/>
    <w:pPr>
      <w:spacing w:line="576" w:lineRule="auto"/>
      <w:outlineLvl w:val="9"/>
    </w:pPr>
    <w:rPr>
      <w:rFonts w:ascii="Calibri" w:hAnsi="Calibri"/>
    </w:rPr>
  </w:style>
  <w:style w:type="paragraph" w:customStyle="1" w:styleId="105">
    <w:name w:val="正文_5"/>
    <w:qFormat/>
    <w:uiPriority w:val="99"/>
    <w:rPr>
      <w:rFonts w:ascii="Calibri" w:hAnsi="Calibri" w:eastAsia="宋体" w:cs="Times New Roman"/>
      <w:lang w:val="en-US" w:eastAsia="zh-CN" w:bidi="ar-SA"/>
    </w:rPr>
  </w:style>
  <w:style w:type="paragraph" w:customStyle="1" w:styleId="10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1"/>
    <w:basedOn w:val="1"/>
    <w:next w:val="1"/>
    <w:qFormat/>
    <w:uiPriority w:val="99"/>
  </w:style>
  <w:style w:type="paragraph" w:customStyle="1" w:styleId="108">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09">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10">
    <w:name w:val="样式7"/>
    <w:qFormat/>
    <w:uiPriority w:val="99"/>
    <w:rPr>
      <w:rFonts w:ascii="Times New Roman" w:hAnsi="Times New Roman" w:eastAsia="宋体" w:cs="Times New Roman"/>
      <w:kern w:val="2"/>
      <w:sz w:val="21"/>
      <w:szCs w:val="24"/>
      <w:lang w:val="en-US" w:eastAsia="zh-CN" w:bidi="ar-SA"/>
    </w:rPr>
  </w:style>
  <w:style w:type="paragraph" w:customStyle="1" w:styleId="111">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样式 标题 3 + (中文) 黑体 小四 非加粗 段前: 7.8 磅 段后: 0 磅 行距: 固定值 20 磅"/>
    <w:basedOn w:val="5"/>
    <w:qFormat/>
    <w:uiPriority w:val="99"/>
    <w:pPr>
      <w:spacing w:line="400" w:lineRule="exact"/>
    </w:pPr>
    <w:rPr>
      <w:rFonts w:cs="宋体"/>
      <w:b w:val="0"/>
    </w:rPr>
  </w:style>
  <w:style w:type="paragraph" w:customStyle="1" w:styleId="114">
    <w:name w:val="样式 标题 2 + Times New Roman 四号 非加粗 段前: 5 磅 段后: 0 磅 行距: 固定值 20..."/>
    <w:basedOn w:val="4"/>
    <w:qFormat/>
    <w:uiPriority w:val="99"/>
    <w:pPr>
      <w:spacing w:line="400" w:lineRule="exact"/>
    </w:pPr>
    <w:rPr>
      <w:rFonts w:ascii="Times New Roman" w:hAnsi="Times New Roman" w:cs="宋体"/>
      <w:b w:val="0"/>
      <w:kern w:val="0"/>
      <w:sz w:val="28"/>
    </w:rPr>
  </w:style>
  <w:style w:type="paragraph" w:customStyle="1" w:styleId="115">
    <w:name w:val="_Style 72"/>
    <w:next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明显引用 Char1"/>
    <w:qFormat/>
    <w:uiPriority w:val="99"/>
    <w:rPr>
      <w:rFonts w:ascii="Times New Roman" w:hAnsi="Times New Roman" w:eastAsia="宋体"/>
      <w:b/>
      <w:i/>
      <w:color w:val="4F81BD"/>
      <w:sz w:val="24"/>
    </w:rPr>
  </w:style>
  <w:style w:type="character" w:customStyle="1" w:styleId="117">
    <w:name w:val="日期 Char"/>
    <w:link w:val="23"/>
    <w:qFormat/>
    <w:locked/>
    <w:uiPriority w:val="99"/>
    <w:rPr>
      <w:kern w:val="2"/>
      <w:sz w:val="24"/>
    </w:rPr>
  </w:style>
  <w:style w:type="character" w:customStyle="1" w:styleId="118">
    <w:name w:val="textcontents"/>
    <w:qFormat/>
    <w:uiPriority w:val="99"/>
  </w:style>
  <w:style w:type="character" w:customStyle="1" w:styleId="119">
    <w:name w:val="引用 Char1"/>
    <w:qFormat/>
    <w:uiPriority w:val="99"/>
    <w:rPr>
      <w:rFonts w:ascii="Times New Roman" w:hAnsi="Times New Roman" w:eastAsia="宋体"/>
      <w:i/>
      <w:color w:val="000000"/>
      <w:sz w:val="24"/>
    </w:rPr>
  </w:style>
  <w:style w:type="character" w:customStyle="1" w:styleId="120">
    <w:name w:val="样式6"/>
    <w:qFormat/>
    <w:uiPriority w:val="99"/>
    <w:rPr>
      <w:b/>
      <w:smallCaps/>
      <w:spacing w:val="5"/>
    </w:rPr>
  </w:style>
  <w:style w:type="character" w:customStyle="1" w:styleId="121">
    <w:name w:val="disabled"/>
    <w:qFormat/>
    <w:uiPriority w:val="99"/>
    <w:rPr>
      <w:vanish/>
    </w:rPr>
  </w:style>
  <w:style w:type="character" w:customStyle="1" w:styleId="122">
    <w:name w:val="标题 2 Char"/>
    <w:link w:val="4"/>
    <w:qFormat/>
    <w:locked/>
    <w:uiPriority w:val="99"/>
    <w:rPr>
      <w:rFonts w:ascii="Arial" w:hAnsi="Arial" w:eastAsia="黑体"/>
      <w:b/>
      <w:kern w:val="2"/>
      <w:sz w:val="32"/>
    </w:rPr>
  </w:style>
  <w:style w:type="character" w:customStyle="1" w:styleId="123">
    <w:name w:val="Char Char91"/>
    <w:qFormat/>
    <w:uiPriority w:val="99"/>
    <w:rPr>
      <w:rFonts w:eastAsia="宋体"/>
      <w:b/>
      <w:kern w:val="44"/>
      <w:sz w:val="44"/>
      <w:lang w:val="en-US" w:eastAsia="zh-CN"/>
    </w:rPr>
  </w:style>
  <w:style w:type="character" w:customStyle="1" w:styleId="124">
    <w:name w:val="Char Char18"/>
    <w:qFormat/>
    <w:uiPriority w:val="99"/>
    <w:rPr>
      <w:rFonts w:ascii="Times New Roman" w:hAnsi="Times New Roman" w:eastAsia="宋体"/>
      <w:b/>
      <w:sz w:val="28"/>
    </w:rPr>
  </w:style>
  <w:style w:type="character" w:customStyle="1" w:styleId="125">
    <w:name w:val="标题 4 Char"/>
    <w:link w:val="2"/>
    <w:qFormat/>
    <w:locked/>
    <w:uiPriority w:val="99"/>
    <w:rPr>
      <w:rFonts w:ascii="Arial" w:hAnsi="Arial" w:eastAsia="宋体"/>
      <w:b/>
      <w:kern w:val="2"/>
      <w:sz w:val="28"/>
      <w:lang w:val="en-US" w:eastAsia="zh-CN"/>
    </w:rPr>
  </w:style>
  <w:style w:type="character" w:customStyle="1" w:styleId="126">
    <w:name w:val="样式5"/>
    <w:qFormat/>
    <w:uiPriority w:val="99"/>
    <w:rPr>
      <w:b/>
      <w:i/>
      <w:color w:val="4F81BD"/>
    </w:rPr>
  </w:style>
  <w:style w:type="character" w:customStyle="1" w:styleId="127">
    <w:name w:val="Char Char22"/>
    <w:qFormat/>
    <w:uiPriority w:val="99"/>
    <w:rPr>
      <w:rFonts w:ascii="Times New Roman" w:hAnsi="Times New Roman" w:eastAsia="宋体"/>
      <w:b/>
      <w:kern w:val="44"/>
      <w:sz w:val="44"/>
    </w:rPr>
  </w:style>
  <w:style w:type="character" w:customStyle="1" w:styleId="128">
    <w:name w:val="纯文本 Char"/>
    <w:link w:val="21"/>
    <w:qFormat/>
    <w:locked/>
    <w:uiPriority w:val="99"/>
    <w:rPr>
      <w:rFonts w:ascii="宋体" w:hAnsi="Courier New" w:eastAsia="宋体"/>
      <w:kern w:val="2"/>
      <w:sz w:val="24"/>
      <w:lang w:val="en-US" w:eastAsia="zh-CN"/>
    </w:rPr>
  </w:style>
  <w:style w:type="character" w:customStyle="1" w:styleId="129">
    <w:name w:val="纯文本 Char1"/>
    <w:qFormat/>
    <w:uiPriority w:val="99"/>
    <w:rPr>
      <w:rFonts w:ascii="宋体" w:hAnsi="Courier New" w:eastAsia="宋体"/>
      <w:sz w:val="21"/>
    </w:rPr>
  </w:style>
  <w:style w:type="character" w:customStyle="1" w:styleId="130">
    <w:name w:val="正文文本 Char1"/>
    <w:qFormat/>
    <w:uiPriority w:val="99"/>
    <w:rPr>
      <w:kern w:val="2"/>
      <w:sz w:val="22"/>
    </w:rPr>
  </w:style>
  <w:style w:type="character" w:customStyle="1" w:styleId="131">
    <w:name w:val="标题 Char"/>
    <w:link w:val="36"/>
    <w:qFormat/>
    <w:locked/>
    <w:uiPriority w:val="99"/>
    <w:rPr>
      <w:rFonts w:ascii="Cambria" w:hAnsi="Cambria"/>
      <w:b/>
      <w:kern w:val="2"/>
      <w:sz w:val="32"/>
    </w:rPr>
  </w:style>
  <w:style w:type="character" w:customStyle="1" w:styleId="132">
    <w:name w:val="页眉 Char"/>
    <w:link w:val="27"/>
    <w:qFormat/>
    <w:locked/>
    <w:uiPriority w:val="99"/>
    <w:rPr>
      <w:kern w:val="2"/>
      <w:sz w:val="18"/>
    </w:rPr>
  </w:style>
  <w:style w:type="character" w:customStyle="1" w:styleId="133">
    <w:name w:val="样式4"/>
    <w:qFormat/>
    <w:uiPriority w:val="99"/>
    <w:rPr>
      <w:i/>
      <w:color w:val="808080"/>
    </w:rPr>
  </w:style>
  <w:style w:type="character" w:customStyle="1" w:styleId="134">
    <w:name w:val="文档结构图 Char1"/>
    <w:qFormat/>
    <w:uiPriority w:val="99"/>
    <w:rPr>
      <w:rFonts w:ascii="宋体" w:hAnsi="Times New Roman" w:eastAsia="宋体"/>
      <w:sz w:val="18"/>
    </w:rPr>
  </w:style>
  <w:style w:type="character" w:customStyle="1" w:styleId="135">
    <w:name w:val="批注文字 Char Char"/>
    <w:qFormat/>
    <w:uiPriority w:val="99"/>
    <w:rPr>
      <w:rFonts w:ascii="宋体" w:hAnsi="Times New Roman" w:eastAsia="宋体"/>
      <w:sz w:val="20"/>
    </w:rPr>
  </w:style>
  <w:style w:type="character" w:customStyle="1" w:styleId="136">
    <w:name w:val="批注文字 Char"/>
    <w:link w:val="15"/>
    <w:qFormat/>
    <w:locked/>
    <w:uiPriority w:val="99"/>
    <w:rPr>
      <w:kern w:val="2"/>
      <w:sz w:val="24"/>
    </w:rPr>
  </w:style>
  <w:style w:type="character" w:customStyle="1" w:styleId="137">
    <w:name w:val="Heading 3 Char1"/>
    <w:qFormat/>
    <w:uiPriority w:val="99"/>
    <w:rPr>
      <w:rFonts w:eastAsia="宋体"/>
      <w:b/>
      <w:kern w:val="2"/>
      <w:sz w:val="32"/>
      <w:lang w:val="en-US" w:eastAsia="zh-CN"/>
    </w:rPr>
  </w:style>
  <w:style w:type="character" w:customStyle="1" w:styleId="138">
    <w:name w:val="文档结构图 Char"/>
    <w:link w:val="14"/>
    <w:qFormat/>
    <w:locked/>
    <w:uiPriority w:val="99"/>
    <w:rPr>
      <w:kern w:val="2"/>
      <w:sz w:val="24"/>
      <w:shd w:val="clear" w:color="auto" w:fill="000080"/>
    </w:rPr>
  </w:style>
  <w:style w:type="character" w:customStyle="1" w:styleId="139">
    <w:name w:val="标题4 Char Char"/>
    <w:link w:val="80"/>
    <w:qFormat/>
    <w:locked/>
    <w:uiPriority w:val="99"/>
    <w:rPr>
      <w:rFonts w:ascii="Arial" w:hAnsi="Arial"/>
      <w:b/>
      <w:sz w:val="32"/>
    </w:rPr>
  </w:style>
  <w:style w:type="character" w:customStyle="1" w:styleId="140">
    <w:name w:val="标题 5 Char"/>
    <w:link w:val="6"/>
    <w:qFormat/>
    <w:locked/>
    <w:uiPriority w:val="99"/>
    <w:rPr>
      <w:rFonts w:eastAsia="宋体"/>
      <w:b/>
      <w:kern w:val="2"/>
      <w:sz w:val="28"/>
      <w:lang w:val="en-US" w:eastAsia="zh-CN"/>
    </w:rPr>
  </w:style>
  <w:style w:type="character" w:customStyle="1" w:styleId="141">
    <w:name w:val="Char Char9"/>
    <w:qFormat/>
    <w:uiPriority w:val="99"/>
    <w:rPr>
      <w:rFonts w:eastAsia="宋体"/>
      <w:b/>
      <w:kern w:val="44"/>
      <w:sz w:val="44"/>
      <w:lang w:val="en-US" w:eastAsia="zh-CN"/>
    </w:rPr>
  </w:style>
  <w:style w:type="character" w:customStyle="1" w:styleId="142">
    <w:name w:val="批注框文本 Char1"/>
    <w:qFormat/>
    <w:uiPriority w:val="99"/>
    <w:rPr>
      <w:rFonts w:ascii="Times New Roman" w:hAnsi="Times New Roman" w:eastAsia="宋体"/>
      <w:sz w:val="18"/>
    </w:rPr>
  </w:style>
  <w:style w:type="character" w:customStyle="1" w:styleId="143">
    <w:name w:val="标题 3 Char"/>
    <w:link w:val="5"/>
    <w:qFormat/>
    <w:locked/>
    <w:uiPriority w:val="99"/>
    <w:rPr>
      <w:rFonts w:eastAsia="黑体"/>
      <w:b/>
      <w:kern w:val="2"/>
      <w:sz w:val="32"/>
    </w:rPr>
  </w:style>
  <w:style w:type="character" w:customStyle="1" w:styleId="144">
    <w:name w:val="current"/>
    <w:qFormat/>
    <w:uiPriority w:val="99"/>
    <w:rPr>
      <w:color w:val="FFFFFF"/>
      <w:bdr w:val="single" w:color="028BD3" w:sz="6" w:space="0"/>
      <w:shd w:val="clear" w:color="auto" w:fill="028BD3"/>
    </w:rPr>
  </w:style>
  <w:style w:type="character" w:customStyle="1" w:styleId="145">
    <w:name w:val="日期 Char1"/>
    <w:qFormat/>
    <w:uiPriority w:val="99"/>
    <w:rPr>
      <w:rFonts w:ascii="Times New Roman" w:hAnsi="Times New Roman" w:eastAsia="宋体"/>
      <w:sz w:val="24"/>
    </w:rPr>
  </w:style>
  <w:style w:type="character" w:customStyle="1" w:styleId="146">
    <w:name w:val="Char Char24"/>
    <w:qFormat/>
    <w:uiPriority w:val="99"/>
    <w:rPr>
      <w:rFonts w:eastAsia="宋体"/>
      <w:b/>
      <w:kern w:val="44"/>
      <w:sz w:val="44"/>
      <w:lang w:val="en-US" w:eastAsia="zh-CN"/>
    </w:rPr>
  </w:style>
  <w:style w:type="character" w:customStyle="1" w:styleId="147">
    <w:name w:val="页脚 Char"/>
    <w:link w:val="26"/>
    <w:qFormat/>
    <w:locked/>
    <w:uiPriority w:val="99"/>
    <w:rPr>
      <w:kern w:val="2"/>
      <w:sz w:val="18"/>
    </w:rPr>
  </w:style>
  <w:style w:type="character" w:customStyle="1" w:styleId="148">
    <w:name w:val="批注主题 Char"/>
    <w:link w:val="37"/>
    <w:qFormat/>
    <w:locked/>
    <w:uiPriority w:val="99"/>
    <w:rPr>
      <w:b/>
      <w:kern w:val="2"/>
      <w:sz w:val="24"/>
    </w:rPr>
  </w:style>
  <w:style w:type="character" w:customStyle="1" w:styleId="149">
    <w:name w:val="font41"/>
    <w:qFormat/>
    <w:uiPriority w:val="99"/>
    <w:rPr>
      <w:rFonts w:ascii="Times New Roman" w:hAnsi="Times New Roman"/>
      <w:b/>
      <w:color w:val="000000"/>
      <w:sz w:val="21"/>
      <w:u w:val="none"/>
    </w:rPr>
  </w:style>
  <w:style w:type="character" w:customStyle="1" w:styleId="150">
    <w:name w:val="批注文字 Char1"/>
    <w:qFormat/>
    <w:uiPriority w:val="99"/>
    <w:rPr>
      <w:rFonts w:ascii="Times New Roman" w:hAnsi="Times New Roman" w:eastAsia="宋体"/>
      <w:sz w:val="24"/>
    </w:rPr>
  </w:style>
  <w:style w:type="character" w:customStyle="1" w:styleId="151">
    <w:name w:val="正文文本缩进 2 Char"/>
    <w:link w:val="24"/>
    <w:qFormat/>
    <w:locked/>
    <w:uiPriority w:val="99"/>
    <w:rPr>
      <w:kern w:val="2"/>
      <w:sz w:val="24"/>
    </w:rPr>
  </w:style>
  <w:style w:type="character" w:customStyle="1" w:styleId="152">
    <w:name w:val="Char Char6"/>
    <w:qFormat/>
    <w:uiPriority w:val="99"/>
    <w:rPr>
      <w:rFonts w:eastAsia="宋体"/>
      <w:b/>
      <w:kern w:val="44"/>
      <w:sz w:val="44"/>
      <w:lang w:val="en-US" w:eastAsia="zh-CN"/>
    </w:rPr>
  </w:style>
  <w:style w:type="character" w:customStyle="1" w:styleId="153">
    <w:name w:val="正文文本缩进 Char"/>
    <w:link w:val="17"/>
    <w:qFormat/>
    <w:locked/>
    <w:uiPriority w:val="99"/>
    <w:rPr>
      <w:rFonts w:ascii="宋体" w:eastAsia="宋体"/>
      <w:kern w:val="2"/>
      <w:sz w:val="21"/>
    </w:rPr>
  </w:style>
  <w:style w:type="character" w:customStyle="1" w:styleId="154">
    <w:name w:val="样式3"/>
    <w:qFormat/>
    <w:uiPriority w:val="99"/>
    <w:rPr>
      <w:smallCaps/>
      <w:color w:val="C0504D"/>
      <w:u w:val="single"/>
    </w:rPr>
  </w:style>
  <w:style w:type="character" w:customStyle="1" w:styleId="155">
    <w:name w:val="标题 Char1"/>
    <w:qFormat/>
    <w:uiPriority w:val="99"/>
    <w:rPr>
      <w:rFonts w:ascii="Cambria" w:hAnsi="Cambria" w:eastAsia="宋体"/>
      <w:b/>
      <w:sz w:val="32"/>
    </w:rPr>
  </w:style>
  <w:style w:type="character" w:customStyle="1" w:styleId="156">
    <w:name w:val="批注主题 Char1"/>
    <w:qFormat/>
    <w:uiPriority w:val="99"/>
    <w:rPr>
      <w:rFonts w:ascii="Times New Roman" w:hAnsi="Times New Roman" w:eastAsia="宋体"/>
      <w:b/>
      <w:sz w:val="24"/>
    </w:rPr>
  </w:style>
  <w:style w:type="character" w:customStyle="1" w:styleId="157">
    <w:name w:val="标题 Char2"/>
    <w:qFormat/>
    <w:uiPriority w:val="99"/>
    <w:rPr>
      <w:rFonts w:ascii="Cambria" w:hAnsi="Cambria" w:eastAsia="宋体"/>
      <w:b/>
      <w:sz w:val="32"/>
    </w:rPr>
  </w:style>
  <w:style w:type="character" w:customStyle="1" w:styleId="158">
    <w:name w:val="脚注文本 Char"/>
    <w:link w:val="31"/>
    <w:qFormat/>
    <w:locked/>
    <w:uiPriority w:val="99"/>
    <w:rPr>
      <w:sz w:val="18"/>
    </w:rPr>
  </w:style>
  <w:style w:type="character" w:customStyle="1" w:styleId="159">
    <w:name w:val="标题5 Char Char"/>
    <w:link w:val="87"/>
    <w:qFormat/>
    <w:locked/>
    <w:uiPriority w:val="99"/>
    <w:rPr>
      <w:rFonts w:ascii="Arial" w:hAnsi="Arial"/>
      <w:b/>
      <w:sz w:val="32"/>
    </w:rPr>
  </w:style>
  <w:style w:type="character" w:customStyle="1" w:styleId="160">
    <w:name w:val="bsharetext"/>
    <w:basedOn w:val="40"/>
    <w:qFormat/>
    <w:uiPriority w:val="99"/>
    <w:rPr>
      <w:rFonts w:cs="Times New Roman"/>
    </w:rPr>
  </w:style>
  <w:style w:type="character" w:customStyle="1" w:styleId="161">
    <w:name w:val="font11"/>
    <w:qFormat/>
    <w:uiPriority w:val="99"/>
    <w:rPr>
      <w:rFonts w:ascii="宋体" w:hAnsi="宋体" w:eastAsia="宋体"/>
      <w:color w:val="000000"/>
      <w:sz w:val="16"/>
      <w:u w:val="none"/>
    </w:rPr>
  </w:style>
  <w:style w:type="character" w:customStyle="1" w:styleId="162">
    <w:name w:val="Char Char181"/>
    <w:qFormat/>
    <w:uiPriority w:val="99"/>
    <w:rPr>
      <w:b/>
      <w:kern w:val="44"/>
      <w:sz w:val="44"/>
    </w:rPr>
  </w:style>
  <w:style w:type="character" w:customStyle="1" w:styleId="163">
    <w:name w:val="批注框文本 Char"/>
    <w:link w:val="25"/>
    <w:qFormat/>
    <w:locked/>
    <w:uiPriority w:val="99"/>
    <w:rPr>
      <w:kern w:val="2"/>
      <w:sz w:val="18"/>
    </w:rPr>
  </w:style>
  <w:style w:type="character" w:customStyle="1" w:styleId="164">
    <w:name w:val="标题 1 Char"/>
    <w:link w:val="3"/>
    <w:qFormat/>
    <w:locked/>
    <w:uiPriority w:val="99"/>
    <w:rPr>
      <w:rFonts w:eastAsia="黑体"/>
      <w:b/>
      <w:kern w:val="44"/>
      <w:sz w:val="44"/>
    </w:rPr>
  </w:style>
  <w:style w:type="character" w:customStyle="1" w:styleId="165">
    <w:name w:val="Char Char19"/>
    <w:qFormat/>
    <w:uiPriority w:val="99"/>
    <w:rPr>
      <w:rFonts w:ascii="Arial" w:hAnsi="Arial" w:eastAsia="宋体"/>
      <w:b/>
      <w:sz w:val="28"/>
    </w:rPr>
  </w:style>
  <w:style w:type="character" w:customStyle="1" w:styleId="166">
    <w:name w:val="样式2"/>
    <w:qFormat/>
    <w:uiPriority w:val="99"/>
    <w:rPr>
      <w:b/>
      <w:smallCaps/>
      <w:color w:val="C0504D"/>
      <w:spacing w:val="5"/>
      <w:u w:val="single"/>
    </w:rPr>
  </w:style>
  <w:style w:type="character" w:customStyle="1" w:styleId="167">
    <w:name w:val="Char Char21"/>
    <w:qFormat/>
    <w:uiPriority w:val="99"/>
    <w:rPr>
      <w:rFonts w:ascii="Arial" w:hAnsi="Arial" w:eastAsia="黑体"/>
      <w:b/>
      <w:sz w:val="32"/>
    </w:rPr>
  </w:style>
  <w:style w:type="character" w:customStyle="1" w:styleId="168">
    <w:name w:val="Comment Text Char1"/>
    <w:qFormat/>
    <w:uiPriority w:val="99"/>
    <w:rPr>
      <w:sz w:val="24"/>
    </w:rPr>
  </w:style>
  <w:style w:type="character" w:customStyle="1" w:styleId="169">
    <w:name w:val="Char Char23"/>
    <w:qFormat/>
    <w:uiPriority w:val="99"/>
    <w:rPr>
      <w:rFonts w:eastAsia="宋体"/>
      <w:b/>
      <w:kern w:val="44"/>
      <w:sz w:val="44"/>
      <w:lang w:val="en-US" w:eastAsia="zh-CN"/>
    </w:rPr>
  </w:style>
  <w:style w:type="character" w:customStyle="1" w:styleId="170">
    <w:name w:val="Char Char20"/>
    <w:qFormat/>
    <w:uiPriority w:val="99"/>
    <w:rPr>
      <w:rFonts w:ascii="Times New Roman" w:hAnsi="Times New Roman" w:eastAsia="宋体"/>
      <w:b/>
      <w:sz w:val="32"/>
    </w:rPr>
  </w:style>
  <w:style w:type="character" w:customStyle="1" w:styleId="171">
    <w:name w:val="批注文字 Char2"/>
    <w:qFormat/>
    <w:uiPriority w:val="99"/>
    <w:rPr>
      <w:kern w:val="2"/>
      <w:sz w:val="24"/>
    </w:rPr>
  </w:style>
  <w:style w:type="paragraph" w:customStyle="1" w:styleId="172">
    <w:name w:val="正文呀2"/>
    <w:basedOn w:val="173"/>
    <w:qFormat/>
    <w:uiPriority w:val="0"/>
    <w:rPr>
      <w:rFonts w:ascii="Calibri" w:hAnsi="Calibri"/>
      <w:kern w:val="0"/>
      <w:sz w:val="20"/>
    </w:rPr>
  </w:style>
  <w:style w:type="paragraph" w:customStyle="1" w:styleId="173">
    <w:name w:val="正文呀"/>
    <w:basedOn w:val="1"/>
    <w:qFormat/>
    <w:uiPriority w:val="0"/>
    <w:pPr>
      <w:spacing w:line="420" w:lineRule="exact"/>
      <w:ind w:firstLine="420" w:firstLineChars="200"/>
    </w:pPr>
    <w:rPr>
      <w:rFonts w:ascii="宋体" w:hAnsi="宋体"/>
      <w:szCs w:val="21"/>
    </w:rPr>
  </w:style>
  <w:style w:type="paragraph" w:customStyle="1" w:styleId="174">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75">
    <w:name w:val="bds_more"/>
    <w:basedOn w:val="40"/>
    <w:qFormat/>
    <w:uiPriority w:val="0"/>
  </w:style>
  <w:style w:type="character" w:customStyle="1" w:styleId="176">
    <w:name w:val="bds_more1"/>
    <w:basedOn w:val="40"/>
    <w:qFormat/>
    <w:uiPriority w:val="0"/>
  </w:style>
  <w:style w:type="character" w:customStyle="1" w:styleId="177">
    <w:name w:val="bds_more2"/>
    <w:basedOn w:val="40"/>
    <w:qFormat/>
    <w:uiPriority w:val="0"/>
    <w:rPr>
      <w:rFonts w:hint="eastAsia" w:ascii="宋体" w:hAnsi="宋体" w:eastAsia="宋体" w:cs="宋体"/>
    </w:rPr>
  </w:style>
  <w:style w:type="character" w:customStyle="1" w:styleId="178">
    <w:name w:val="bds_nopic"/>
    <w:basedOn w:val="40"/>
    <w:qFormat/>
    <w:uiPriority w:val="0"/>
  </w:style>
  <w:style w:type="character" w:customStyle="1" w:styleId="179">
    <w:name w:val="bds_nopic1"/>
    <w:basedOn w:val="40"/>
    <w:qFormat/>
    <w:uiPriority w:val="0"/>
  </w:style>
  <w:style w:type="character" w:customStyle="1" w:styleId="180">
    <w:name w:val="bds_nopic2"/>
    <w:basedOn w:val="40"/>
    <w:qFormat/>
    <w:uiPriority w:val="0"/>
  </w:style>
  <w:style w:type="character" w:customStyle="1" w:styleId="181">
    <w:name w:val="bds_more3"/>
    <w:basedOn w:val="40"/>
    <w:qFormat/>
    <w:uiPriority w:val="0"/>
  </w:style>
  <w:style w:type="character" w:customStyle="1" w:styleId="182">
    <w:name w:val="bds_more4"/>
    <w:basedOn w:val="40"/>
    <w:qFormat/>
    <w:uiPriority w:val="0"/>
  </w:style>
  <w:style w:type="character" w:customStyle="1" w:styleId="183">
    <w:name w:val="hover"/>
    <w:basedOn w:val="40"/>
    <w:qFormat/>
    <w:uiPriority w:val="0"/>
    <w:rPr>
      <w:color w:val="2590EB"/>
    </w:rPr>
  </w:style>
  <w:style w:type="character" w:customStyle="1" w:styleId="184">
    <w:name w:val="hover1"/>
    <w:basedOn w:val="40"/>
    <w:qFormat/>
    <w:uiPriority w:val="0"/>
    <w:rPr>
      <w:color w:val="2590EB"/>
    </w:rPr>
  </w:style>
  <w:style w:type="character" w:customStyle="1" w:styleId="185">
    <w:name w:val="hover2"/>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142</Pages>
  <Words>63865</Words>
  <Characters>67386</Characters>
  <Lines>132</Lines>
  <Paragraphs>161</Paragraphs>
  <TotalTime>15</TotalTime>
  <ScaleCrop>false</ScaleCrop>
  <LinksUpToDate>false</LinksUpToDate>
  <CharactersWithSpaces>74627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2020-04-26T08:15:00Z</dcterms:created>
  <dc:creator>微软用户</dc:creator>
  <cp:lastModifiedBy>滄笙</cp:lastModifiedBy>
  <cp:lastPrinted>2019-10-24T08:56:00Z</cp:lastPrinted>
  <dcterms:modified xsi:type="dcterms:W3CDTF">2020-05-27T09:58:15Z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