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b w:val="0"/>
          <w:bCs w:val="0"/>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r>
        <w:rPr>
          <w:rFonts w:hint="eastAsia" w:asciiTheme="majorEastAsia" w:hAnsiTheme="majorEastAsia" w:eastAsiaTheme="majorEastAsia" w:cstheme="majorEastAsia"/>
          <w:b w:val="0"/>
          <w:bCs w:val="0"/>
          <w:color w:val="auto"/>
          <w:spacing w:val="-34"/>
          <w:kern w:val="2"/>
          <w:sz w:val="72"/>
          <w:szCs w:val="72"/>
          <w:highlight w:val="none"/>
        </w:rPr>
        <w:t>湖南英邦工程建设咨询有限公司</w:t>
      </w:r>
    </w:p>
    <w:p>
      <w:pPr>
        <w:rPr>
          <w:rFonts w:hint="eastAsia" w:asciiTheme="majorEastAsia" w:hAnsiTheme="majorEastAsia" w:eastAsiaTheme="majorEastAsia" w:cstheme="majorEastAsia"/>
          <w:b w:val="0"/>
          <w:bCs w:val="0"/>
          <w:color w:val="auto"/>
          <w:kern w:val="2"/>
          <w:sz w:val="32"/>
          <w:szCs w:val="32"/>
          <w:highlight w:val="none"/>
        </w:rPr>
      </w:pPr>
      <w:r>
        <w:rPr>
          <w:rFonts w:hint="eastAsia" w:asciiTheme="majorEastAsia" w:hAnsiTheme="majorEastAsia" w:eastAsiaTheme="majorEastAsia" w:cstheme="majorEastAsia"/>
          <w:b w:val="0"/>
          <w:bCs w:val="0"/>
          <w:color w:val="auto"/>
          <w:kern w:val="2"/>
          <w:sz w:val="32"/>
          <w:szCs w:val="32"/>
          <w:highlight w:val="none"/>
        </w:rPr>
        <w:t xml:space="preserve"> </w:t>
      </w:r>
    </w:p>
    <w:p>
      <w:pPr>
        <w:pStyle w:val="2"/>
        <w:rPr>
          <w:rFonts w:hint="eastAsia"/>
          <w:b w:val="0"/>
          <w:bCs w:val="0"/>
          <w:color w:val="auto"/>
          <w:highlight w:val="none"/>
        </w:rPr>
      </w:pPr>
    </w:p>
    <w:p>
      <w:pPr>
        <w:pStyle w:val="2"/>
        <w:rPr>
          <w:rFonts w:hint="eastAsia" w:asciiTheme="majorEastAsia" w:hAnsiTheme="majorEastAsia" w:eastAsiaTheme="majorEastAsia" w:cstheme="majorEastAsia"/>
          <w:b w:val="0"/>
          <w:bCs w:val="0"/>
          <w:color w:val="auto"/>
          <w:kern w:val="2"/>
          <w:sz w:val="32"/>
          <w:szCs w:val="32"/>
          <w:highlight w:val="none"/>
        </w:rPr>
      </w:pPr>
      <w:r>
        <w:rPr>
          <w:b w:val="0"/>
          <w:bCs w:val="0"/>
          <w:color w:val="auto"/>
          <w:sz w:val="96"/>
          <w:highlight w:val="none"/>
        </w:rPr>
        <w:drawing>
          <wp:inline distT="0" distB="0" distL="114300" distR="114300">
            <wp:extent cx="2853690" cy="1988185"/>
            <wp:effectExtent l="0" t="0" r="381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853690" cy="1988185"/>
                    </a:xfrm>
                    <a:prstGeom prst="rect">
                      <a:avLst/>
                    </a:prstGeom>
                    <a:noFill/>
                    <a:ln>
                      <a:noFill/>
                    </a:ln>
                  </pic:spPr>
                </pic:pic>
              </a:graphicData>
            </a:graphic>
          </wp:inline>
        </w:drawing>
      </w:r>
    </w:p>
    <w:p>
      <w:pPr>
        <w:jc w:val="center"/>
        <w:rPr>
          <w:rFonts w:hint="eastAsia" w:asciiTheme="majorEastAsia" w:hAnsiTheme="majorEastAsia" w:eastAsiaTheme="majorEastAsia" w:cstheme="majorEastAsia"/>
          <w:b w:val="0"/>
          <w:bCs w:val="0"/>
          <w:color w:val="auto"/>
          <w:kern w:val="2"/>
          <w:sz w:val="32"/>
          <w:szCs w:val="32"/>
          <w:highlight w:val="none"/>
        </w:rPr>
      </w:pPr>
      <w:r>
        <w:rPr>
          <w:rFonts w:hint="eastAsia" w:asciiTheme="majorEastAsia" w:hAnsiTheme="majorEastAsia" w:eastAsiaTheme="majorEastAsia" w:cstheme="majorEastAsia"/>
          <w:b w:val="0"/>
          <w:bCs w:val="0"/>
          <w:color w:val="auto"/>
          <w:kern w:val="2"/>
          <w:sz w:val="32"/>
          <w:szCs w:val="32"/>
          <w:highlight w:val="none"/>
        </w:rPr>
        <w:t xml:space="preserve"> </w:t>
      </w:r>
    </w:p>
    <w:p>
      <w:pPr>
        <w:jc w:val="center"/>
        <w:rPr>
          <w:rFonts w:hint="eastAsia" w:asciiTheme="majorEastAsia" w:hAnsiTheme="majorEastAsia" w:eastAsiaTheme="majorEastAsia" w:cstheme="majorEastAsia"/>
          <w:b w:val="0"/>
          <w:bCs w:val="0"/>
          <w:color w:val="auto"/>
          <w:kern w:val="2"/>
          <w:sz w:val="84"/>
          <w:szCs w:val="84"/>
          <w:highlight w:val="none"/>
        </w:rPr>
      </w:pPr>
      <w:r>
        <w:rPr>
          <w:rFonts w:hint="eastAsia" w:asciiTheme="majorEastAsia" w:hAnsiTheme="majorEastAsia" w:eastAsiaTheme="majorEastAsia" w:cstheme="majorEastAsia"/>
          <w:b w:val="0"/>
          <w:bCs w:val="0"/>
          <w:color w:val="auto"/>
          <w:kern w:val="2"/>
          <w:sz w:val="84"/>
          <w:szCs w:val="84"/>
          <w:highlight w:val="none"/>
        </w:rPr>
        <w:t>公开招标文件</w:t>
      </w:r>
    </w:p>
    <w:p>
      <w:pPr>
        <w:rPr>
          <w:rFonts w:hint="eastAsia" w:asciiTheme="majorEastAsia" w:hAnsiTheme="majorEastAsia" w:eastAsiaTheme="majorEastAsia" w:cstheme="majorEastAsia"/>
          <w:b w:val="0"/>
          <w:bCs w:val="0"/>
          <w:color w:val="auto"/>
          <w:kern w:val="2"/>
          <w:sz w:val="32"/>
          <w:szCs w:val="32"/>
          <w:highlight w:val="none"/>
        </w:rPr>
      </w:pPr>
    </w:p>
    <w:p>
      <w:pPr>
        <w:rPr>
          <w:rFonts w:hint="eastAsia" w:asciiTheme="majorEastAsia" w:hAnsiTheme="majorEastAsia" w:eastAsiaTheme="majorEastAsia" w:cstheme="majorEastAsia"/>
          <w:b w:val="0"/>
          <w:bCs w:val="0"/>
          <w:color w:val="auto"/>
          <w:kern w:val="2"/>
          <w:sz w:val="32"/>
          <w:szCs w:val="32"/>
          <w:highlight w:val="none"/>
        </w:rPr>
      </w:pPr>
      <w:r>
        <w:rPr>
          <w:rFonts w:hint="eastAsia" w:asciiTheme="majorEastAsia" w:hAnsiTheme="majorEastAsia" w:eastAsiaTheme="majorEastAsia" w:cstheme="majorEastAsia"/>
          <w:b w:val="0"/>
          <w:bCs w:val="0"/>
          <w:color w:val="auto"/>
          <w:kern w:val="2"/>
          <w:sz w:val="32"/>
          <w:szCs w:val="32"/>
          <w:highlight w:val="none"/>
        </w:rPr>
        <w:t xml:space="preserve"> </w:t>
      </w:r>
    </w:p>
    <w:p>
      <w:pPr>
        <w:rPr>
          <w:rFonts w:hint="eastAsia" w:asciiTheme="majorEastAsia" w:hAnsiTheme="majorEastAsia" w:eastAsiaTheme="majorEastAsia" w:cstheme="majorEastAsia"/>
          <w:b w:val="0"/>
          <w:bCs w:val="0"/>
          <w:color w:val="auto"/>
          <w:kern w:val="2"/>
          <w:sz w:val="32"/>
          <w:szCs w:val="32"/>
          <w:highlight w:val="none"/>
          <w:lang w:eastAsia="zh-CN"/>
        </w:rPr>
      </w:pPr>
      <w:r>
        <w:rPr>
          <w:rFonts w:hint="eastAsia" w:asciiTheme="majorEastAsia" w:hAnsiTheme="majorEastAsia" w:eastAsiaTheme="majorEastAsia" w:cstheme="majorEastAsia"/>
          <w:b w:val="0"/>
          <w:bCs w:val="0"/>
          <w:color w:val="auto"/>
          <w:kern w:val="2"/>
          <w:sz w:val="32"/>
          <w:szCs w:val="32"/>
          <w:highlight w:val="none"/>
        </w:rPr>
        <w:t>项目名称：</w:t>
      </w:r>
      <w:r>
        <w:rPr>
          <w:rFonts w:hint="eastAsia" w:asciiTheme="majorEastAsia" w:hAnsiTheme="majorEastAsia" w:eastAsiaTheme="majorEastAsia" w:cstheme="majorEastAsia"/>
          <w:b w:val="0"/>
          <w:bCs w:val="0"/>
          <w:color w:val="auto"/>
          <w:kern w:val="2"/>
          <w:sz w:val="32"/>
          <w:szCs w:val="32"/>
          <w:highlight w:val="none"/>
          <w:lang w:eastAsia="zh-CN"/>
        </w:rPr>
        <w:t>兴业县农村乱占耕地建房状况调查第三方技术服务</w:t>
      </w:r>
    </w:p>
    <w:p>
      <w:pPr>
        <w:pStyle w:val="12"/>
        <w:rPr>
          <w:rFonts w:hint="eastAsia" w:asciiTheme="majorEastAsia" w:hAnsiTheme="majorEastAsia" w:eastAsiaTheme="majorEastAsia" w:cstheme="majorEastAsia"/>
          <w:b w:val="0"/>
          <w:bCs w:val="0"/>
          <w:color w:val="auto"/>
          <w:kern w:val="0"/>
          <w:sz w:val="32"/>
          <w:szCs w:val="32"/>
          <w:highlight w:val="none"/>
        </w:rPr>
      </w:pPr>
      <w:r>
        <w:rPr>
          <w:rFonts w:hint="eastAsia" w:asciiTheme="majorEastAsia" w:hAnsiTheme="majorEastAsia" w:eastAsiaTheme="majorEastAsia" w:cstheme="majorEastAsia"/>
          <w:b w:val="0"/>
          <w:bCs w:val="0"/>
          <w:color w:val="auto"/>
          <w:kern w:val="0"/>
          <w:sz w:val="32"/>
          <w:szCs w:val="32"/>
          <w:highlight w:val="none"/>
        </w:rPr>
        <w:t>项目编号：</w:t>
      </w:r>
      <w:r>
        <w:rPr>
          <w:rFonts w:hint="eastAsia" w:asciiTheme="majorEastAsia" w:hAnsiTheme="majorEastAsia" w:eastAsiaTheme="majorEastAsia" w:cstheme="majorEastAsia"/>
          <w:b w:val="0"/>
          <w:bCs w:val="0"/>
          <w:color w:val="auto"/>
          <w:kern w:val="0"/>
          <w:sz w:val="32"/>
          <w:szCs w:val="32"/>
          <w:highlight w:val="none"/>
          <w:lang w:eastAsia="zh-CN"/>
        </w:rPr>
        <w:t>YLZC2020-G3-240212-HNYB</w:t>
      </w:r>
    </w:p>
    <w:p>
      <w:pPr>
        <w:rPr>
          <w:rFonts w:hint="eastAsia" w:asciiTheme="majorEastAsia" w:hAnsiTheme="majorEastAsia" w:eastAsiaTheme="majorEastAsia" w:cstheme="majorEastAsia"/>
          <w:b w:val="0"/>
          <w:bCs w:val="0"/>
          <w:color w:val="auto"/>
          <w:kern w:val="2"/>
          <w:sz w:val="32"/>
          <w:szCs w:val="32"/>
          <w:highlight w:val="none"/>
          <w:lang w:eastAsia="zh-CN"/>
        </w:rPr>
      </w:pPr>
      <w:r>
        <w:rPr>
          <w:rFonts w:hint="eastAsia" w:asciiTheme="majorEastAsia" w:hAnsiTheme="majorEastAsia" w:eastAsiaTheme="majorEastAsia" w:cstheme="majorEastAsia"/>
          <w:b w:val="0"/>
          <w:bCs w:val="0"/>
          <w:color w:val="auto"/>
          <w:kern w:val="2"/>
          <w:sz w:val="32"/>
          <w:szCs w:val="32"/>
          <w:highlight w:val="none"/>
        </w:rPr>
        <w:t>采购计划编号：</w:t>
      </w:r>
      <w:r>
        <w:rPr>
          <w:rFonts w:hint="eastAsia" w:asciiTheme="majorEastAsia" w:hAnsiTheme="majorEastAsia" w:eastAsiaTheme="majorEastAsia" w:cstheme="majorEastAsia"/>
          <w:b w:val="0"/>
          <w:bCs w:val="0"/>
          <w:color w:val="auto"/>
          <w:kern w:val="2"/>
          <w:sz w:val="32"/>
          <w:szCs w:val="32"/>
          <w:highlight w:val="none"/>
          <w:lang w:eastAsia="zh-CN"/>
        </w:rPr>
        <w:t>YLZC2020-G3-70741-001</w:t>
      </w:r>
    </w:p>
    <w:p>
      <w:pPr>
        <w:pStyle w:val="12"/>
        <w:rPr>
          <w:rFonts w:hint="eastAsia" w:asciiTheme="majorEastAsia" w:hAnsiTheme="majorEastAsia" w:eastAsiaTheme="majorEastAsia" w:cstheme="majorEastAsia"/>
          <w:b w:val="0"/>
          <w:bCs w:val="0"/>
          <w:color w:val="auto"/>
          <w:kern w:val="0"/>
          <w:sz w:val="32"/>
          <w:szCs w:val="32"/>
          <w:highlight w:val="none"/>
        </w:rPr>
      </w:pPr>
      <w:r>
        <w:rPr>
          <w:rFonts w:hint="eastAsia" w:asciiTheme="majorEastAsia" w:hAnsiTheme="majorEastAsia" w:eastAsiaTheme="majorEastAsia" w:cstheme="majorEastAsia"/>
          <w:b w:val="0"/>
          <w:bCs w:val="0"/>
          <w:color w:val="auto"/>
          <w:kern w:val="0"/>
          <w:sz w:val="32"/>
          <w:szCs w:val="32"/>
          <w:highlight w:val="none"/>
        </w:rPr>
        <w:t xml:space="preserve"> </w:t>
      </w:r>
    </w:p>
    <w:p>
      <w:pPr>
        <w:pStyle w:val="12"/>
        <w:rPr>
          <w:rFonts w:hint="eastAsia" w:asciiTheme="majorEastAsia" w:hAnsiTheme="majorEastAsia" w:eastAsiaTheme="majorEastAsia" w:cstheme="majorEastAsia"/>
          <w:b w:val="0"/>
          <w:bCs w:val="0"/>
          <w:color w:val="auto"/>
          <w:kern w:val="0"/>
          <w:sz w:val="32"/>
          <w:szCs w:val="32"/>
          <w:highlight w:val="none"/>
        </w:rPr>
      </w:pPr>
      <w:r>
        <w:rPr>
          <w:rFonts w:hint="eastAsia" w:asciiTheme="majorEastAsia" w:hAnsiTheme="majorEastAsia" w:eastAsiaTheme="majorEastAsia" w:cstheme="majorEastAsia"/>
          <w:b w:val="0"/>
          <w:bCs w:val="0"/>
          <w:color w:val="auto"/>
          <w:kern w:val="0"/>
          <w:sz w:val="32"/>
          <w:szCs w:val="32"/>
          <w:highlight w:val="none"/>
        </w:rPr>
        <w:t xml:space="preserve"> </w:t>
      </w:r>
    </w:p>
    <w:p>
      <w:pPr>
        <w:pStyle w:val="12"/>
        <w:jc w:val="both"/>
        <w:rPr>
          <w:rFonts w:hint="eastAsia" w:asciiTheme="majorEastAsia" w:hAnsiTheme="majorEastAsia" w:eastAsiaTheme="majorEastAsia" w:cstheme="majorEastAsia"/>
          <w:b w:val="0"/>
          <w:bCs w:val="0"/>
          <w:color w:val="auto"/>
          <w:kern w:val="0"/>
          <w:sz w:val="32"/>
          <w:szCs w:val="32"/>
          <w:highlight w:val="none"/>
          <w:u w:val="single"/>
          <w:lang w:val="en-US" w:eastAsia="zh-CN"/>
        </w:rPr>
      </w:pPr>
      <w:r>
        <w:rPr>
          <w:rFonts w:hint="eastAsia" w:asciiTheme="majorEastAsia" w:hAnsiTheme="majorEastAsia" w:eastAsiaTheme="majorEastAsia" w:cstheme="majorEastAsia"/>
          <w:b w:val="0"/>
          <w:bCs w:val="0"/>
          <w:color w:val="auto"/>
          <w:kern w:val="0"/>
          <w:sz w:val="32"/>
          <w:szCs w:val="32"/>
          <w:highlight w:val="none"/>
          <w:u w:val="single"/>
          <w:lang w:val="en-US" w:eastAsia="zh-CN"/>
        </w:rPr>
        <w:t xml:space="preserve">                                                         </w:t>
      </w:r>
    </w:p>
    <w:p>
      <w:pPr>
        <w:pStyle w:val="12"/>
        <w:jc w:val="center"/>
        <w:rPr>
          <w:rFonts w:hint="eastAsia" w:asciiTheme="majorEastAsia" w:hAnsiTheme="majorEastAsia" w:eastAsiaTheme="majorEastAsia" w:cstheme="majorEastAsia"/>
          <w:b w:val="0"/>
          <w:bCs w:val="0"/>
          <w:color w:val="auto"/>
          <w:kern w:val="0"/>
          <w:sz w:val="32"/>
          <w:szCs w:val="32"/>
          <w:highlight w:val="none"/>
          <w:lang w:eastAsia="zh-CN"/>
        </w:rPr>
      </w:pPr>
      <w:r>
        <w:rPr>
          <w:rFonts w:hint="eastAsia" w:asciiTheme="majorEastAsia" w:hAnsiTheme="majorEastAsia" w:eastAsiaTheme="majorEastAsia" w:cstheme="majorEastAsia"/>
          <w:b w:val="0"/>
          <w:bCs w:val="0"/>
          <w:color w:val="auto"/>
          <w:kern w:val="0"/>
          <w:sz w:val="32"/>
          <w:szCs w:val="32"/>
          <w:highlight w:val="none"/>
        </w:rPr>
        <w:t xml:space="preserve">采 购 人: </w:t>
      </w:r>
      <w:r>
        <w:rPr>
          <w:rFonts w:hint="eastAsia" w:asciiTheme="majorEastAsia" w:hAnsiTheme="majorEastAsia" w:eastAsiaTheme="majorEastAsia" w:cstheme="majorEastAsia"/>
          <w:b w:val="0"/>
          <w:bCs w:val="0"/>
          <w:color w:val="auto"/>
          <w:kern w:val="0"/>
          <w:sz w:val="32"/>
          <w:szCs w:val="32"/>
          <w:highlight w:val="none"/>
          <w:lang w:eastAsia="zh-CN"/>
        </w:rPr>
        <w:t>兴业县自然资源局</w:t>
      </w:r>
    </w:p>
    <w:p>
      <w:pPr>
        <w:pStyle w:val="12"/>
        <w:jc w:val="center"/>
        <w:rPr>
          <w:rFonts w:hint="eastAsia" w:asciiTheme="majorEastAsia" w:hAnsiTheme="majorEastAsia" w:eastAsiaTheme="majorEastAsia" w:cstheme="majorEastAsia"/>
          <w:b w:val="0"/>
          <w:bCs w:val="0"/>
          <w:color w:val="auto"/>
          <w:kern w:val="0"/>
          <w:sz w:val="32"/>
          <w:szCs w:val="32"/>
          <w:highlight w:val="none"/>
          <w:lang w:eastAsia="zh-CN"/>
        </w:rPr>
      </w:pPr>
      <w:r>
        <w:rPr>
          <w:rFonts w:hint="eastAsia" w:asciiTheme="majorEastAsia" w:hAnsiTheme="majorEastAsia" w:eastAsiaTheme="majorEastAsia" w:cstheme="majorEastAsia"/>
          <w:b w:val="0"/>
          <w:bCs w:val="0"/>
          <w:color w:val="auto"/>
          <w:kern w:val="0"/>
          <w:sz w:val="32"/>
          <w:szCs w:val="32"/>
          <w:highlight w:val="none"/>
        </w:rPr>
        <w:t>采购代理机构：</w:t>
      </w:r>
      <w:r>
        <w:rPr>
          <w:rFonts w:hint="eastAsia" w:asciiTheme="majorEastAsia" w:hAnsiTheme="majorEastAsia" w:eastAsiaTheme="majorEastAsia" w:cstheme="majorEastAsia"/>
          <w:b w:val="0"/>
          <w:bCs w:val="0"/>
          <w:color w:val="auto"/>
          <w:kern w:val="0"/>
          <w:sz w:val="32"/>
          <w:szCs w:val="32"/>
          <w:highlight w:val="none"/>
          <w:lang w:eastAsia="zh-CN"/>
        </w:rPr>
        <w:t>湖南英邦工程建设咨询有限公司</w:t>
      </w:r>
    </w:p>
    <w:p>
      <w:pPr>
        <w:pStyle w:val="12"/>
        <w:jc w:val="center"/>
        <w:rPr>
          <w:rFonts w:hint="eastAsia" w:asciiTheme="majorEastAsia" w:hAnsiTheme="majorEastAsia" w:eastAsiaTheme="majorEastAsia" w:cstheme="majorEastAsia"/>
          <w:b w:val="0"/>
          <w:bCs w:val="0"/>
          <w:color w:val="auto"/>
          <w:kern w:val="0"/>
          <w:sz w:val="32"/>
          <w:szCs w:val="32"/>
          <w:highlight w:val="none"/>
        </w:rPr>
      </w:pPr>
      <w:r>
        <w:rPr>
          <w:rFonts w:hint="eastAsia" w:asciiTheme="majorEastAsia" w:hAnsiTheme="majorEastAsia" w:eastAsiaTheme="majorEastAsia" w:cstheme="majorEastAsia"/>
          <w:b w:val="0"/>
          <w:bCs w:val="0"/>
          <w:color w:val="auto"/>
          <w:kern w:val="0"/>
          <w:sz w:val="32"/>
          <w:szCs w:val="32"/>
          <w:highlight w:val="none"/>
        </w:rPr>
        <w:t>2020年</w:t>
      </w:r>
      <w:r>
        <w:rPr>
          <w:rFonts w:hint="eastAsia" w:asciiTheme="majorEastAsia" w:hAnsiTheme="majorEastAsia" w:eastAsiaTheme="majorEastAsia" w:cstheme="majorEastAsia"/>
          <w:b w:val="0"/>
          <w:bCs w:val="0"/>
          <w:color w:val="auto"/>
          <w:kern w:val="0"/>
          <w:sz w:val="32"/>
          <w:szCs w:val="32"/>
          <w:highlight w:val="none"/>
          <w:lang w:val="en-US" w:eastAsia="zh-CN"/>
        </w:rPr>
        <w:t>11</w:t>
      </w:r>
      <w:r>
        <w:rPr>
          <w:rFonts w:hint="eastAsia" w:asciiTheme="majorEastAsia" w:hAnsiTheme="majorEastAsia" w:eastAsiaTheme="majorEastAsia" w:cstheme="majorEastAsia"/>
          <w:b w:val="0"/>
          <w:bCs w:val="0"/>
          <w:color w:val="auto"/>
          <w:kern w:val="0"/>
          <w:sz w:val="32"/>
          <w:szCs w:val="32"/>
          <w:highlight w:val="none"/>
        </w:rPr>
        <w:t>月</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sdt>
      <w:sdtPr>
        <w:rPr>
          <w:rFonts w:hint="default" w:ascii="宋体" w:hAnsi="宋体" w:eastAsia="宋体" w:cs="Times New Roman"/>
          <w:color w:val="auto"/>
          <w:kern w:val="2"/>
          <w:sz w:val="21"/>
          <w:szCs w:val="21"/>
          <w:highlight w:val="none"/>
          <w:lang w:val="en-US" w:eastAsia="zh-CN" w:bidi="ar"/>
        </w:rPr>
        <w:id w:val="147472527"/>
        <w15:color w:val="DBDBDB"/>
        <w:docPartObj>
          <w:docPartGallery w:val="Table of Contents"/>
          <w:docPartUnique/>
        </w:docPartObj>
      </w:sdtPr>
      <w:sdtEndPr>
        <w:rPr>
          <w:rFonts w:hint="default" w:ascii="宋体" w:hAnsi="宋体" w:eastAsia="宋体" w:cs="Times New Roman"/>
          <w:color w:val="auto"/>
          <w:kern w:val="2"/>
          <w:sz w:val="21"/>
          <w:szCs w:val="21"/>
          <w:highlight w:val="none"/>
          <w:lang w:val="en-US" w:eastAsia="zh-CN" w:bidi="ar"/>
        </w:rPr>
      </w:sdtEndPr>
      <w:sdtContent>
        <w:p>
          <w:pPr>
            <w:spacing w:before="0" w:beforeLines="0" w:after="0" w:afterLines="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
            </w:rPr>
          </w:pPr>
        </w:p>
        <w:p>
          <w:pPr>
            <w:spacing w:before="0" w:beforeLines="0" w:after="0" w:afterLines="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
            </w:rPr>
          </w:pPr>
        </w:p>
        <w:p>
          <w:pPr>
            <w:spacing w:before="0" w:beforeLines="0" w:after="0" w:afterLines="0" w:line="240" w:lineRule="auto"/>
            <w:ind w:left="0" w:leftChars="0" w:right="0" w:rightChars="0" w:firstLine="0" w:firstLineChars="0"/>
            <w:jc w:val="center"/>
            <w:rPr>
              <w:color w:val="auto"/>
              <w:sz w:val="44"/>
              <w:szCs w:val="44"/>
              <w:highlight w:val="none"/>
            </w:rPr>
          </w:pPr>
          <w:r>
            <w:rPr>
              <w:rFonts w:ascii="宋体" w:hAnsi="宋体" w:eastAsia="宋体"/>
              <w:color w:val="auto"/>
              <w:sz w:val="44"/>
              <w:szCs w:val="44"/>
              <w:highlight w:val="none"/>
            </w:rPr>
            <w:t>目录</w:t>
          </w:r>
        </w:p>
        <w:p>
          <w:pPr>
            <w:pStyle w:val="24"/>
            <w:keepNext w:val="0"/>
            <w:keepLines w:val="0"/>
            <w:pageBreakBefore w:val="0"/>
            <w:widowControl/>
            <w:tabs>
              <w:tab w:val="right" w:leader="dot" w:pos="9638"/>
            </w:tabs>
            <w:kinsoku/>
            <w:wordWrap/>
            <w:overflowPunct/>
            <w:topLinePunct w:val="0"/>
            <w:autoSpaceDE/>
            <w:autoSpaceDN/>
            <w:bidi w:val="0"/>
            <w:adjustRightInd/>
            <w:snapToGrid/>
            <w:spacing w:line="960" w:lineRule="auto"/>
            <w:textAlignment w:val="auto"/>
            <w:rPr>
              <w:color w:val="auto"/>
              <w:sz w:val="32"/>
              <w:szCs w:val="32"/>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sz w:val="32"/>
              <w:szCs w:val="32"/>
              <w:highlight w:val="none"/>
            </w:rPr>
            <w:fldChar w:fldCharType="begin"/>
          </w:r>
          <w:r>
            <w:rPr>
              <w:color w:val="auto"/>
              <w:sz w:val="32"/>
              <w:szCs w:val="32"/>
              <w:highlight w:val="none"/>
            </w:rPr>
            <w:instrText xml:space="preserve"> HYPERLINK \l _Toc22299 </w:instrText>
          </w:r>
          <w:r>
            <w:rPr>
              <w:color w:val="auto"/>
              <w:sz w:val="32"/>
              <w:szCs w:val="32"/>
              <w:highlight w:val="none"/>
            </w:rPr>
            <w:fldChar w:fldCharType="separate"/>
          </w:r>
          <w:r>
            <w:rPr>
              <w:rFonts w:hint="eastAsia" w:asciiTheme="majorEastAsia" w:hAnsiTheme="majorEastAsia" w:eastAsiaTheme="majorEastAsia" w:cstheme="majorEastAsia"/>
              <w:color w:val="auto"/>
              <w:kern w:val="0"/>
              <w:sz w:val="32"/>
              <w:szCs w:val="32"/>
              <w:highlight w:val="none"/>
            </w:rPr>
            <w:t>第一章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_Toc22299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color w:val="auto"/>
              <w:sz w:val="32"/>
              <w:szCs w:val="32"/>
              <w:highlight w:val="none"/>
            </w:rPr>
            <w:fldChar w:fldCharType="end"/>
          </w:r>
        </w:p>
        <w:p>
          <w:pPr>
            <w:pStyle w:val="24"/>
            <w:keepNext w:val="0"/>
            <w:keepLines w:val="0"/>
            <w:pageBreakBefore w:val="0"/>
            <w:widowControl/>
            <w:tabs>
              <w:tab w:val="right" w:leader="dot" w:pos="9638"/>
            </w:tabs>
            <w:kinsoku/>
            <w:wordWrap/>
            <w:overflowPunct/>
            <w:topLinePunct w:val="0"/>
            <w:autoSpaceDE/>
            <w:autoSpaceDN/>
            <w:bidi w:val="0"/>
            <w:adjustRightInd/>
            <w:snapToGrid/>
            <w:spacing w:line="96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_Toc11531 </w:instrText>
          </w:r>
          <w:r>
            <w:rPr>
              <w:color w:val="auto"/>
              <w:sz w:val="32"/>
              <w:szCs w:val="32"/>
              <w:highlight w:val="none"/>
            </w:rPr>
            <w:fldChar w:fldCharType="separate"/>
          </w:r>
          <w:r>
            <w:rPr>
              <w:rFonts w:hint="eastAsia" w:asciiTheme="majorEastAsia" w:hAnsiTheme="majorEastAsia" w:eastAsiaTheme="majorEastAsia" w:cstheme="majorEastAsia"/>
              <w:color w:val="auto"/>
              <w:kern w:val="0"/>
              <w:sz w:val="32"/>
              <w:szCs w:val="32"/>
              <w:highlight w:val="none"/>
            </w:rPr>
            <w:t>第二章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_Toc11531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color w:val="auto"/>
              <w:sz w:val="32"/>
              <w:szCs w:val="32"/>
              <w:highlight w:val="none"/>
            </w:rPr>
            <w:fldChar w:fldCharType="end"/>
          </w:r>
        </w:p>
        <w:p>
          <w:pPr>
            <w:pStyle w:val="24"/>
            <w:keepNext w:val="0"/>
            <w:keepLines w:val="0"/>
            <w:pageBreakBefore w:val="0"/>
            <w:widowControl/>
            <w:tabs>
              <w:tab w:val="right" w:leader="dot" w:pos="9638"/>
            </w:tabs>
            <w:kinsoku/>
            <w:wordWrap/>
            <w:overflowPunct/>
            <w:topLinePunct w:val="0"/>
            <w:autoSpaceDE/>
            <w:autoSpaceDN/>
            <w:bidi w:val="0"/>
            <w:adjustRightInd/>
            <w:snapToGrid/>
            <w:spacing w:line="96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_Toc17439 </w:instrText>
          </w:r>
          <w:r>
            <w:rPr>
              <w:color w:val="auto"/>
              <w:sz w:val="32"/>
              <w:szCs w:val="32"/>
              <w:highlight w:val="none"/>
            </w:rPr>
            <w:fldChar w:fldCharType="separate"/>
          </w:r>
          <w:r>
            <w:rPr>
              <w:rFonts w:hint="eastAsia" w:asciiTheme="majorEastAsia" w:hAnsiTheme="majorEastAsia" w:eastAsiaTheme="majorEastAsia" w:cstheme="majorEastAsia"/>
              <w:color w:val="auto"/>
              <w:kern w:val="2"/>
              <w:sz w:val="32"/>
              <w:szCs w:val="32"/>
              <w:highlight w:val="none"/>
            </w:rPr>
            <w:t>第三章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_Toc17439 </w:instrText>
          </w:r>
          <w:r>
            <w:rPr>
              <w:color w:val="auto"/>
              <w:sz w:val="32"/>
              <w:szCs w:val="32"/>
              <w:highlight w:val="none"/>
            </w:rPr>
            <w:fldChar w:fldCharType="separate"/>
          </w:r>
          <w:r>
            <w:rPr>
              <w:color w:val="auto"/>
              <w:sz w:val="32"/>
              <w:szCs w:val="32"/>
              <w:highlight w:val="none"/>
            </w:rPr>
            <w:t>11</w:t>
          </w:r>
          <w:r>
            <w:rPr>
              <w:color w:val="auto"/>
              <w:sz w:val="32"/>
              <w:szCs w:val="32"/>
              <w:highlight w:val="none"/>
            </w:rPr>
            <w:fldChar w:fldCharType="end"/>
          </w:r>
          <w:r>
            <w:rPr>
              <w:color w:val="auto"/>
              <w:sz w:val="32"/>
              <w:szCs w:val="32"/>
              <w:highlight w:val="none"/>
            </w:rPr>
            <w:fldChar w:fldCharType="end"/>
          </w:r>
        </w:p>
        <w:p>
          <w:pPr>
            <w:pStyle w:val="24"/>
            <w:keepNext w:val="0"/>
            <w:keepLines w:val="0"/>
            <w:pageBreakBefore w:val="0"/>
            <w:widowControl/>
            <w:tabs>
              <w:tab w:val="right" w:leader="dot" w:pos="9638"/>
            </w:tabs>
            <w:kinsoku/>
            <w:wordWrap/>
            <w:overflowPunct/>
            <w:topLinePunct w:val="0"/>
            <w:autoSpaceDE/>
            <w:autoSpaceDN/>
            <w:bidi w:val="0"/>
            <w:adjustRightInd/>
            <w:snapToGrid/>
            <w:spacing w:line="96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_Toc20779 </w:instrText>
          </w:r>
          <w:r>
            <w:rPr>
              <w:color w:val="auto"/>
              <w:sz w:val="32"/>
              <w:szCs w:val="32"/>
              <w:highlight w:val="none"/>
            </w:rPr>
            <w:fldChar w:fldCharType="separate"/>
          </w:r>
          <w:r>
            <w:rPr>
              <w:rFonts w:hint="eastAsia" w:asciiTheme="majorEastAsia" w:hAnsiTheme="majorEastAsia" w:eastAsiaTheme="majorEastAsia" w:cstheme="majorEastAsia"/>
              <w:color w:val="auto"/>
              <w:kern w:val="0"/>
              <w:sz w:val="32"/>
              <w:szCs w:val="32"/>
              <w:highlight w:val="none"/>
            </w:rPr>
            <w:t>第四章  评标办法及评分标准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_Toc20779 </w:instrText>
          </w:r>
          <w:r>
            <w:rPr>
              <w:color w:val="auto"/>
              <w:sz w:val="32"/>
              <w:szCs w:val="32"/>
              <w:highlight w:val="none"/>
            </w:rPr>
            <w:fldChar w:fldCharType="separate"/>
          </w:r>
          <w:r>
            <w:rPr>
              <w:color w:val="auto"/>
              <w:sz w:val="32"/>
              <w:szCs w:val="32"/>
              <w:highlight w:val="none"/>
            </w:rPr>
            <w:t>36</w:t>
          </w:r>
          <w:r>
            <w:rPr>
              <w:color w:val="auto"/>
              <w:sz w:val="32"/>
              <w:szCs w:val="32"/>
              <w:highlight w:val="none"/>
            </w:rPr>
            <w:fldChar w:fldCharType="end"/>
          </w:r>
          <w:r>
            <w:rPr>
              <w:color w:val="auto"/>
              <w:sz w:val="32"/>
              <w:szCs w:val="32"/>
              <w:highlight w:val="none"/>
            </w:rPr>
            <w:fldChar w:fldCharType="end"/>
          </w:r>
        </w:p>
        <w:p>
          <w:pPr>
            <w:pStyle w:val="24"/>
            <w:keepNext w:val="0"/>
            <w:keepLines w:val="0"/>
            <w:pageBreakBefore w:val="0"/>
            <w:widowControl/>
            <w:tabs>
              <w:tab w:val="right" w:leader="dot" w:pos="9638"/>
            </w:tabs>
            <w:kinsoku/>
            <w:wordWrap/>
            <w:overflowPunct/>
            <w:topLinePunct w:val="0"/>
            <w:autoSpaceDE/>
            <w:autoSpaceDN/>
            <w:bidi w:val="0"/>
            <w:adjustRightInd/>
            <w:snapToGrid/>
            <w:spacing w:line="960" w:lineRule="auto"/>
            <w:textAlignment w:val="auto"/>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_Toc7260 </w:instrText>
          </w:r>
          <w:r>
            <w:rPr>
              <w:color w:val="auto"/>
              <w:sz w:val="32"/>
              <w:szCs w:val="32"/>
              <w:highlight w:val="none"/>
            </w:rPr>
            <w:fldChar w:fldCharType="separate"/>
          </w:r>
          <w:r>
            <w:rPr>
              <w:rFonts w:hint="eastAsia" w:asciiTheme="majorEastAsia" w:hAnsiTheme="majorEastAsia" w:eastAsiaTheme="majorEastAsia" w:cstheme="majorEastAsia"/>
              <w:color w:val="auto"/>
              <w:kern w:val="0"/>
              <w:sz w:val="32"/>
              <w:szCs w:val="32"/>
              <w:highlight w:val="none"/>
            </w:rPr>
            <w:t>第五章  合同主要条款格式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_Toc7260 </w:instrText>
          </w:r>
          <w:r>
            <w:rPr>
              <w:color w:val="auto"/>
              <w:sz w:val="32"/>
              <w:szCs w:val="32"/>
              <w:highlight w:val="none"/>
            </w:rPr>
            <w:fldChar w:fldCharType="separate"/>
          </w:r>
          <w:r>
            <w:rPr>
              <w:color w:val="auto"/>
              <w:sz w:val="32"/>
              <w:szCs w:val="32"/>
              <w:highlight w:val="none"/>
            </w:rPr>
            <w:t>40</w:t>
          </w:r>
          <w:r>
            <w:rPr>
              <w:color w:val="auto"/>
              <w:sz w:val="32"/>
              <w:szCs w:val="32"/>
              <w:highlight w:val="none"/>
            </w:rPr>
            <w:fldChar w:fldCharType="end"/>
          </w:r>
          <w:r>
            <w:rPr>
              <w:color w:val="auto"/>
              <w:sz w:val="32"/>
              <w:szCs w:val="32"/>
              <w:highlight w:val="none"/>
            </w:rPr>
            <w:fldChar w:fldCharType="end"/>
          </w:r>
        </w:p>
        <w:p>
          <w:pPr>
            <w:pStyle w:val="24"/>
            <w:keepNext w:val="0"/>
            <w:keepLines w:val="0"/>
            <w:pageBreakBefore w:val="0"/>
            <w:widowControl/>
            <w:tabs>
              <w:tab w:val="right" w:leader="dot" w:pos="9638"/>
            </w:tabs>
            <w:kinsoku/>
            <w:wordWrap/>
            <w:overflowPunct/>
            <w:topLinePunct w:val="0"/>
            <w:autoSpaceDE/>
            <w:autoSpaceDN/>
            <w:bidi w:val="0"/>
            <w:adjustRightInd/>
            <w:snapToGrid/>
            <w:spacing w:line="960" w:lineRule="auto"/>
            <w:textAlignment w:val="auto"/>
            <w:rPr>
              <w:color w:val="auto"/>
              <w:highlight w:val="none"/>
            </w:rPr>
          </w:pPr>
          <w:r>
            <w:rPr>
              <w:color w:val="auto"/>
              <w:sz w:val="32"/>
              <w:szCs w:val="32"/>
              <w:highlight w:val="none"/>
            </w:rPr>
            <w:fldChar w:fldCharType="begin"/>
          </w:r>
          <w:r>
            <w:rPr>
              <w:color w:val="auto"/>
              <w:sz w:val="32"/>
              <w:szCs w:val="32"/>
              <w:highlight w:val="none"/>
            </w:rPr>
            <w:instrText xml:space="preserve"> HYPERLINK \l _Toc26679 </w:instrText>
          </w:r>
          <w:r>
            <w:rPr>
              <w:color w:val="auto"/>
              <w:sz w:val="32"/>
              <w:szCs w:val="32"/>
              <w:highlight w:val="none"/>
            </w:rPr>
            <w:fldChar w:fldCharType="separate"/>
          </w:r>
          <w:r>
            <w:rPr>
              <w:rFonts w:hint="eastAsia" w:asciiTheme="majorEastAsia" w:hAnsiTheme="majorEastAsia" w:eastAsiaTheme="majorEastAsia" w:cstheme="majorEastAsia"/>
              <w:color w:val="auto"/>
              <w:kern w:val="0"/>
              <w:sz w:val="32"/>
              <w:szCs w:val="32"/>
              <w:highlight w:val="none"/>
            </w:rPr>
            <w:t>第六章 投标文件格式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_Toc26679 </w:instrText>
          </w:r>
          <w:r>
            <w:rPr>
              <w:color w:val="auto"/>
              <w:sz w:val="32"/>
              <w:szCs w:val="32"/>
              <w:highlight w:val="none"/>
            </w:rPr>
            <w:fldChar w:fldCharType="separate"/>
          </w:r>
          <w:r>
            <w:rPr>
              <w:color w:val="auto"/>
              <w:sz w:val="32"/>
              <w:szCs w:val="32"/>
              <w:highlight w:val="none"/>
            </w:rPr>
            <w:t>47</w:t>
          </w:r>
          <w:r>
            <w:rPr>
              <w:color w:val="auto"/>
              <w:sz w:val="32"/>
              <w:szCs w:val="32"/>
              <w:highlight w:val="none"/>
            </w:rPr>
            <w:fldChar w:fldCharType="end"/>
          </w:r>
          <w:r>
            <w:rPr>
              <w:color w:val="auto"/>
              <w:sz w:val="32"/>
              <w:szCs w:val="32"/>
              <w:highlight w:val="none"/>
            </w:rPr>
            <w:fldChar w:fldCharType="end"/>
          </w:r>
        </w:p>
        <w:p>
          <w:pPr>
            <w:rPr>
              <w:color w:val="auto"/>
              <w:highlight w:val="none"/>
            </w:rPr>
          </w:pPr>
          <w:r>
            <w:rPr>
              <w:color w:val="auto"/>
              <w:highlight w:val="none"/>
            </w:rPr>
            <w:fldChar w:fldCharType="end"/>
          </w:r>
        </w:p>
      </w:sdtContent>
    </w:sdt>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19"/>
        <w:rPr>
          <w:rFonts w:hint="eastAsia" w:asciiTheme="majorEastAsia" w:hAnsiTheme="majorEastAsia" w:eastAsiaTheme="majorEastAsia" w:cstheme="majorEastAsia"/>
          <w:color w:val="auto"/>
          <w:kern w:val="2"/>
          <w:sz w:val="32"/>
          <w:szCs w:val="32"/>
          <w:highlight w:val="none"/>
        </w:rPr>
      </w:pPr>
    </w:p>
    <w:p>
      <w:pPr>
        <w:rPr>
          <w:rFonts w:hint="eastAsia" w:asciiTheme="majorEastAsia" w:hAnsiTheme="majorEastAsia" w:eastAsiaTheme="majorEastAsia" w:cstheme="majorEastAsia"/>
          <w:color w:val="auto"/>
          <w:kern w:val="2"/>
          <w:sz w:val="32"/>
          <w:szCs w:val="32"/>
          <w:highlight w:val="none"/>
        </w:rPr>
      </w:pPr>
    </w:p>
    <w:p>
      <w:pPr>
        <w:pStyle w:val="19"/>
        <w:rPr>
          <w:rFonts w:hint="eastAsia" w:asciiTheme="majorEastAsia" w:hAnsiTheme="majorEastAsia" w:eastAsiaTheme="majorEastAsia" w:cstheme="majorEastAsia"/>
          <w:color w:val="auto"/>
          <w:kern w:val="2"/>
          <w:sz w:val="32"/>
          <w:szCs w:val="32"/>
          <w:highlight w:val="none"/>
        </w:rPr>
      </w:pPr>
    </w:p>
    <w:p>
      <w:pPr>
        <w:rPr>
          <w:rFonts w:hint="eastAsia" w:asciiTheme="majorEastAsia" w:hAnsiTheme="majorEastAsia" w:eastAsiaTheme="majorEastAsia" w:cstheme="majorEastAsia"/>
          <w:color w:val="auto"/>
          <w:kern w:val="2"/>
          <w:sz w:val="32"/>
          <w:szCs w:val="32"/>
          <w:highlight w:val="none"/>
        </w:rPr>
      </w:pPr>
    </w:p>
    <w:p>
      <w:pPr>
        <w:pStyle w:val="19"/>
        <w:rPr>
          <w:rFonts w:hint="eastAsia" w:asciiTheme="majorEastAsia" w:hAnsiTheme="majorEastAsia" w:eastAsiaTheme="majorEastAsia" w:cstheme="majorEastAsia"/>
          <w:color w:val="auto"/>
          <w:kern w:val="2"/>
          <w:sz w:val="32"/>
          <w:szCs w:val="32"/>
          <w:highlight w:val="none"/>
        </w:rPr>
      </w:pPr>
    </w:p>
    <w:p>
      <w:pPr>
        <w:rPr>
          <w:rFonts w:hint="eastAsia" w:asciiTheme="majorEastAsia" w:hAnsiTheme="majorEastAsia" w:eastAsiaTheme="majorEastAsia" w:cstheme="majorEastAsia"/>
          <w:color w:val="auto"/>
          <w:kern w:val="2"/>
          <w:sz w:val="32"/>
          <w:szCs w:val="32"/>
          <w:highlight w:val="none"/>
        </w:rPr>
      </w:pPr>
    </w:p>
    <w:p>
      <w:pPr>
        <w:pStyle w:val="19"/>
        <w:rPr>
          <w:rFonts w:hint="eastAsia"/>
          <w:color w:val="auto"/>
          <w:highlight w:val="none"/>
        </w:rPr>
      </w:pPr>
    </w:p>
    <w:p>
      <w:pPr>
        <w:rPr>
          <w:rFonts w:hint="eastAsia"/>
          <w:color w:val="auto"/>
          <w:highlight w:val="none"/>
        </w:rPr>
      </w:pPr>
    </w:p>
    <w:p>
      <w:pPr>
        <w:rPr>
          <w:rFonts w:hint="eastAsia"/>
          <w:color w:val="auto"/>
          <w:highlight w:val="none"/>
        </w:rPr>
      </w:pPr>
    </w:p>
    <w:p>
      <w:pPr>
        <w:jc w:val="center"/>
        <w:outlineLvl w:val="0"/>
        <w:rPr>
          <w:rFonts w:hint="eastAsia" w:asciiTheme="majorEastAsia" w:hAnsiTheme="majorEastAsia" w:eastAsiaTheme="majorEastAsia" w:cstheme="majorEastAsia"/>
          <w:b/>
          <w:color w:val="auto"/>
          <w:kern w:val="0"/>
          <w:sz w:val="32"/>
          <w:szCs w:val="32"/>
          <w:highlight w:val="none"/>
        </w:rPr>
      </w:pPr>
      <w:bookmarkStart w:id="0" w:name="_Toc22299"/>
      <w:r>
        <w:rPr>
          <w:rFonts w:hint="eastAsia" w:asciiTheme="majorEastAsia" w:hAnsiTheme="majorEastAsia" w:eastAsiaTheme="majorEastAsia" w:cstheme="majorEastAsia"/>
          <w:b/>
          <w:color w:val="auto"/>
          <w:kern w:val="0"/>
          <w:sz w:val="32"/>
          <w:szCs w:val="32"/>
          <w:highlight w:val="none"/>
        </w:rPr>
        <w:t>第一章  招标公告</w:t>
      </w:r>
      <w:bookmarkEnd w:id="0"/>
    </w:p>
    <w:p>
      <w:pPr>
        <w:jc w:val="center"/>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eastAsia="zh-CN"/>
        </w:rPr>
        <w:t>湖南英邦工程建设咨询有限公司兴业县农村乱占耕地建房状况调查第三方技术服务【</w:t>
      </w:r>
      <w:r>
        <w:rPr>
          <w:rFonts w:hint="eastAsia" w:ascii="宋体" w:hAnsi="宋体" w:eastAsia="宋体" w:cs="宋体"/>
          <w:color w:val="auto"/>
          <w:kern w:val="2"/>
          <w:sz w:val="24"/>
          <w:szCs w:val="24"/>
          <w:highlight w:val="none"/>
        </w:rPr>
        <w:t>项目编号：</w:t>
      </w:r>
      <w:r>
        <w:rPr>
          <w:rFonts w:hint="eastAsia" w:ascii="宋体" w:hAnsi="宋体" w:cs="宋体"/>
          <w:color w:val="auto"/>
          <w:kern w:val="2"/>
          <w:sz w:val="24"/>
          <w:szCs w:val="24"/>
          <w:highlight w:val="none"/>
          <w:lang w:eastAsia="zh-CN"/>
        </w:rPr>
        <w:t>（YLZC2020-G3-240212-HNYB）】</w:t>
      </w:r>
      <w:r>
        <w:rPr>
          <w:rFonts w:hint="eastAsia" w:ascii="宋体" w:hAnsi="宋体" w:eastAsia="宋体" w:cs="宋体"/>
          <w:color w:val="auto"/>
          <w:kern w:val="2"/>
          <w:sz w:val="24"/>
          <w:szCs w:val="24"/>
          <w:highlight w:val="none"/>
        </w:rPr>
        <w:t>公开招标公告</w:t>
      </w:r>
    </w:p>
    <w:p>
      <w:pPr>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eastAsia="zh-CN"/>
        </w:rPr>
        <w:t>一、</w:t>
      </w:r>
      <w:r>
        <w:rPr>
          <w:rFonts w:hint="eastAsia" w:ascii="宋体" w:hAnsi="宋体" w:eastAsia="宋体" w:cs="宋体"/>
          <w:b/>
          <w:bCs/>
          <w:color w:val="auto"/>
          <w:kern w:val="2"/>
          <w:sz w:val="24"/>
          <w:szCs w:val="24"/>
          <w:highlight w:val="none"/>
        </w:rPr>
        <w:t xml:space="preserve"> 项目概况</w:t>
      </w:r>
    </w:p>
    <w:p>
      <w:pPr>
        <w:ind w:firstLine="480" w:firstLineChars="200"/>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eastAsia="zh-CN"/>
        </w:rPr>
        <w:t>兴业县农村乱占耕地建房状况调查第三方技术服务</w:t>
      </w:r>
      <w:r>
        <w:rPr>
          <w:rFonts w:hint="eastAsia" w:ascii="宋体" w:hAnsi="宋体" w:eastAsia="宋体" w:cs="宋体"/>
          <w:color w:val="auto"/>
          <w:kern w:val="2"/>
          <w:sz w:val="24"/>
          <w:szCs w:val="24"/>
          <w:highlight w:val="none"/>
        </w:rPr>
        <w:t>招标项目的潜在投标人应在政采云平台（https://www.zcygov.cn/）获取招标文件，并于2020年</w:t>
      </w:r>
      <w:r>
        <w:rPr>
          <w:rFonts w:hint="eastAsia" w:ascii="宋体" w:hAnsi="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11</w:t>
      </w:r>
      <w:r>
        <w:rPr>
          <w:rFonts w:hint="eastAsia" w:ascii="宋体" w:hAnsi="宋体" w:eastAsia="宋体" w:cs="宋体"/>
          <w:color w:val="auto"/>
          <w:kern w:val="2"/>
          <w:sz w:val="24"/>
          <w:szCs w:val="24"/>
          <w:highlight w:val="none"/>
        </w:rPr>
        <w:t>日</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时</w:t>
      </w:r>
      <w:r>
        <w:rPr>
          <w:rFonts w:hint="eastAsia" w:ascii="宋体" w:hAnsi="宋体" w:cs="宋体"/>
          <w:color w:val="auto"/>
          <w:kern w:val="2"/>
          <w:sz w:val="24"/>
          <w:szCs w:val="24"/>
          <w:highlight w:val="none"/>
          <w:lang w:val="en-US" w:eastAsia="zh-CN"/>
        </w:rPr>
        <w:t>00</w:t>
      </w:r>
      <w:r>
        <w:rPr>
          <w:rFonts w:hint="eastAsia" w:ascii="宋体" w:hAnsi="宋体" w:eastAsia="宋体" w:cs="宋体"/>
          <w:color w:val="auto"/>
          <w:kern w:val="2"/>
          <w:sz w:val="24"/>
          <w:szCs w:val="24"/>
          <w:highlight w:val="none"/>
        </w:rPr>
        <w:t>分（北京时间）前递交投标文件。</w:t>
      </w:r>
    </w:p>
    <w:p>
      <w:pPr>
        <w:outlineLvl w:val="1"/>
        <w:rPr>
          <w:rFonts w:hint="eastAsia" w:ascii="宋体" w:hAnsi="宋体" w:eastAsia="宋体" w:cs="宋体"/>
          <w:b/>
          <w:color w:val="auto"/>
          <w:kern w:val="0"/>
          <w:sz w:val="24"/>
          <w:szCs w:val="24"/>
          <w:highlight w:val="none"/>
        </w:rPr>
      </w:pPr>
      <w:r>
        <w:rPr>
          <w:rFonts w:hint="eastAsia" w:ascii="宋体" w:hAnsi="宋体" w:eastAsia="宋体" w:cs="宋体"/>
          <w:color w:val="auto"/>
          <w:kern w:val="2"/>
          <w:sz w:val="24"/>
          <w:szCs w:val="24"/>
          <w:highlight w:val="none"/>
        </w:rPr>
        <w:t xml:space="preserve"> </w:t>
      </w:r>
      <w:bookmarkStart w:id="1" w:name="_Toc28359079"/>
      <w:bookmarkEnd w:id="1"/>
      <w:bookmarkStart w:id="2" w:name="_Toc28359002"/>
      <w:bookmarkEnd w:id="2"/>
      <w:bookmarkStart w:id="3" w:name="_Toc35393621"/>
      <w:bookmarkEnd w:id="3"/>
      <w:bookmarkStart w:id="4" w:name="_Toc35393790"/>
      <w:bookmarkEnd w:id="4"/>
      <w:bookmarkStart w:id="5" w:name="_Toc44405601"/>
      <w:bookmarkEnd w:id="5"/>
      <w:bookmarkStart w:id="6" w:name="_Hlk24379207"/>
      <w:r>
        <w:rPr>
          <w:rFonts w:hint="eastAsia" w:ascii="宋体" w:hAnsi="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、项目基本情况</w:t>
      </w:r>
      <w:bookmarkEnd w:id="6"/>
    </w:p>
    <w:p>
      <w:pPr>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项目编号：</w:t>
      </w:r>
      <w:r>
        <w:rPr>
          <w:rFonts w:hint="eastAsia" w:ascii="宋体" w:hAnsi="宋体" w:cs="宋体"/>
          <w:color w:val="auto"/>
          <w:kern w:val="2"/>
          <w:sz w:val="24"/>
          <w:szCs w:val="24"/>
          <w:highlight w:val="none"/>
          <w:lang w:eastAsia="zh-CN"/>
        </w:rPr>
        <w:t>YLZC2020-G3-240212-HNYB</w:t>
      </w:r>
    </w:p>
    <w:p>
      <w:pPr>
        <w:ind w:firstLine="482"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rPr>
        <w:t>项目名称：</w:t>
      </w:r>
      <w:r>
        <w:rPr>
          <w:rFonts w:hint="eastAsia" w:ascii="宋体" w:hAnsi="宋体" w:cs="宋体"/>
          <w:color w:val="auto"/>
          <w:kern w:val="2"/>
          <w:sz w:val="24"/>
          <w:szCs w:val="24"/>
          <w:highlight w:val="none"/>
          <w:lang w:eastAsia="zh-CN"/>
        </w:rPr>
        <w:t>兴业县农村乱占耕地建房状况调查第三方技术服务</w:t>
      </w:r>
    </w:p>
    <w:p>
      <w:pPr>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预算金额：</w:t>
      </w:r>
      <w:r>
        <w:rPr>
          <w:rFonts w:hint="eastAsia" w:ascii="宋体" w:hAnsi="宋体" w:eastAsia="宋体" w:cs="宋体"/>
          <w:color w:val="auto"/>
          <w:kern w:val="2"/>
          <w:sz w:val="24"/>
          <w:szCs w:val="24"/>
          <w:highlight w:val="none"/>
        </w:rPr>
        <w:t>人民币壹佰伍拾壹万伍仟零壹拾元整（¥</w:t>
      </w:r>
      <w:r>
        <w:rPr>
          <w:rFonts w:hint="eastAsia" w:ascii="宋体" w:hAnsi="宋体" w:cs="宋体"/>
          <w:color w:val="auto"/>
          <w:kern w:val="2"/>
          <w:sz w:val="24"/>
          <w:szCs w:val="24"/>
          <w:highlight w:val="none"/>
          <w:lang w:val="en-US" w:eastAsia="zh-CN"/>
        </w:rPr>
        <w:t>2500000.00</w:t>
      </w:r>
      <w:r>
        <w:rPr>
          <w:rFonts w:hint="eastAsia" w:ascii="宋体" w:hAnsi="宋体" w:eastAsia="宋体" w:cs="宋体"/>
          <w:color w:val="auto"/>
          <w:kern w:val="2"/>
          <w:sz w:val="24"/>
          <w:szCs w:val="24"/>
          <w:highlight w:val="none"/>
        </w:rPr>
        <w:t>元）</w:t>
      </w:r>
    </w:p>
    <w:p>
      <w:pPr>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最高限价：</w:t>
      </w:r>
      <w:r>
        <w:rPr>
          <w:rFonts w:hint="eastAsia" w:ascii="宋体" w:hAnsi="宋体" w:eastAsia="宋体" w:cs="宋体"/>
          <w:color w:val="auto"/>
          <w:kern w:val="2"/>
          <w:sz w:val="24"/>
          <w:szCs w:val="24"/>
          <w:highlight w:val="none"/>
        </w:rPr>
        <w:t>人民币壹佰伍拾壹万伍仟零壹拾元整（¥2500000.00元）</w:t>
      </w:r>
    </w:p>
    <w:p>
      <w:pPr>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采购需求：</w:t>
      </w:r>
      <w:r>
        <w:rPr>
          <w:rFonts w:hint="eastAsia" w:ascii="宋体" w:hAnsi="宋体" w:eastAsia="宋体" w:cs="宋体"/>
          <w:color w:val="auto"/>
          <w:kern w:val="2"/>
          <w:sz w:val="24"/>
          <w:szCs w:val="24"/>
          <w:highlight w:val="none"/>
        </w:rPr>
        <w:t>（具体内容详见附件采购需求）</w:t>
      </w:r>
    </w:p>
    <w:tbl>
      <w:tblPr>
        <w:tblStyle w:val="20"/>
        <w:tblW w:w="1001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7"/>
        <w:gridCol w:w="2790"/>
        <w:gridCol w:w="780"/>
        <w:gridCol w:w="900"/>
        <w:gridCol w:w="364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7" w:type="dxa"/>
            <w:shd w:val="clear" w:color="auto" w:fill="auto"/>
            <w:vAlign w:val="center"/>
          </w:tcPr>
          <w:p>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790" w:type="dxa"/>
            <w:shd w:val="clear" w:color="auto" w:fill="auto"/>
            <w:vAlign w:val="center"/>
          </w:tcPr>
          <w:p>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标的名称</w:t>
            </w:r>
          </w:p>
        </w:tc>
        <w:tc>
          <w:tcPr>
            <w:tcW w:w="780" w:type="dxa"/>
            <w:shd w:val="clear" w:color="auto" w:fill="auto"/>
            <w:vAlign w:val="center"/>
          </w:tcPr>
          <w:p>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900" w:type="dxa"/>
            <w:shd w:val="clear" w:color="auto" w:fill="auto"/>
            <w:vAlign w:val="center"/>
          </w:tcPr>
          <w:p>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w:t>
            </w:r>
          </w:p>
        </w:tc>
        <w:tc>
          <w:tcPr>
            <w:tcW w:w="3645" w:type="dxa"/>
            <w:shd w:val="clear" w:color="auto" w:fill="auto"/>
            <w:vAlign w:val="center"/>
          </w:tcPr>
          <w:p>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服务内容及要求</w:t>
            </w:r>
          </w:p>
        </w:tc>
        <w:tc>
          <w:tcPr>
            <w:tcW w:w="975" w:type="dxa"/>
            <w:shd w:val="clear" w:color="auto" w:fill="auto"/>
            <w:vAlign w:val="center"/>
          </w:tcPr>
          <w:p>
            <w:pPr>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27" w:type="dxa"/>
            <w:shd w:val="clear" w:color="auto" w:fill="auto"/>
            <w:vAlign w:val="center"/>
          </w:tcPr>
          <w:p>
            <w:pPr>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w:t>
            </w:r>
          </w:p>
        </w:tc>
        <w:tc>
          <w:tcPr>
            <w:tcW w:w="2790" w:type="dxa"/>
            <w:shd w:val="clear" w:color="auto" w:fill="auto"/>
            <w:vAlign w:val="center"/>
          </w:tcPr>
          <w:p>
            <w:pPr>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兴业县农村乱占耕地建房状况调查第三方技术服务</w:t>
            </w:r>
          </w:p>
        </w:tc>
        <w:tc>
          <w:tcPr>
            <w:tcW w:w="780" w:type="dxa"/>
            <w:shd w:val="clear" w:color="auto" w:fill="auto"/>
            <w:vAlign w:val="center"/>
          </w:tcPr>
          <w:p>
            <w:pPr>
              <w:jc w:val="center"/>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1</w:t>
            </w:r>
          </w:p>
        </w:tc>
        <w:tc>
          <w:tcPr>
            <w:tcW w:w="900" w:type="dxa"/>
            <w:shd w:val="clear" w:color="auto" w:fill="auto"/>
            <w:vAlign w:val="center"/>
          </w:tcPr>
          <w:p>
            <w:pPr>
              <w:jc w:val="center"/>
              <w:rPr>
                <w:rFonts w:hint="eastAsia" w:ascii="宋体" w:hAnsi="宋体" w:eastAsia="宋体" w:cs="宋体"/>
                <w:b/>
                <w:bCs/>
                <w:color w:val="auto"/>
                <w:kern w:val="2"/>
                <w:sz w:val="24"/>
                <w:szCs w:val="24"/>
                <w:highlight w:val="none"/>
                <w:lang w:eastAsia="zh-CN"/>
              </w:rPr>
            </w:pPr>
            <w:r>
              <w:rPr>
                <w:rFonts w:hint="eastAsia" w:ascii="宋体" w:hAnsi="宋体" w:cs="宋体"/>
                <w:b/>
                <w:bCs/>
                <w:color w:val="auto"/>
                <w:kern w:val="2"/>
                <w:sz w:val="24"/>
                <w:szCs w:val="24"/>
                <w:highlight w:val="none"/>
                <w:lang w:eastAsia="zh-CN"/>
              </w:rPr>
              <w:t>项</w:t>
            </w:r>
          </w:p>
        </w:tc>
        <w:tc>
          <w:tcPr>
            <w:tcW w:w="3645" w:type="dxa"/>
            <w:shd w:val="clear" w:color="auto" w:fill="auto"/>
            <w:vAlign w:val="center"/>
          </w:tcPr>
          <w:p>
            <w:pPr>
              <w:jc w:val="center"/>
              <w:rPr>
                <w:rFonts w:hint="eastAsia" w:ascii="宋体" w:hAnsi="宋体" w:eastAsia="宋体" w:cs="宋体"/>
                <w:b/>
                <w:bCs/>
                <w:color w:val="auto"/>
                <w:kern w:val="2"/>
                <w:sz w:val="24"/>
                <w:szCs w:val="24"/>
                <w:highlight w:val="none"/>
                <w:lang w:eastAsia="zh-CN"/>
              </w:rPr>
            </w:pPr>
            <w:r>
              <w:rPr>
                <w:rFonts w:hint="eastAsia" w:ascii="宋体" w:hAnsi="宋体" w:cs="宋体"/>
                <w:b/>
                <w:bCs/>
                <w:color w:val="auto"/>
                <w:kern w:val="2"/>
                <w:sz w:val="24"/>
                <w:szCs w:val="24"/>
                <w:highlight w:val="none"/>
                <w:lang w:eastAsia="zh-CN"/>
              </w:rPr>
              <w:t>详见需求</w:t>
            </w:r>
          </w:p>
        </w:tc>
        <w:tc>
          <w:tcPr>
            <w:tcW w:w="975" w:type="dxa"/>
            <w:shd w:val="clear" w:color="auto" w:fill="auto"/>
            <w:vAlign w:val="center"/>
          </w:tcPr>
          <w:p>
            <w:pPr>
              <w:jc w:val="center"/>
              <w:rPr>
                <w:rFonts w:hint="eastAsia" w:ascii="宋体" w:hAnsi="宋体" w:eastAsia="宋体" w:cs="宋体"/>
                <w:b/>
                <w:bCs/>
                <w:color w:val="auto"/>
                <w:kern w:val="2"/>
                <w:sz w:val="24"/>
                <w:szCs w:val="24"/>
                <w:highlight w:val="none"/>
              </w:rPr>
            </w:pPr>
          </w:p>
        </w:tc>
      </w:tr>
    </w:tbl>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cs="宋体"/>
          <w:color w:val="auto"/>
          <w:kern w:val="2"/>
          <w:sz w:val="24"/>
          <w:szCs w:val="24"/>
          <w:highlight w:val="none"/>
          <w:lang w:val="en-US" w:eastAsia="zh-CN"/>
        </w:rPr>
        <w:t xml:space="preserve">  </w:t>
      </w:r>
      <w:r>
        <w:rPr>
          <w:rFonts w:hint="eastAsia" w:ascii="宋体" w:hAnsi="宋体" w:eastAsia="宋体" w:cs="宋体"/>
          <w:b/>
          <w:bCs/>
          <w:color w:val="auto"/>
          <w:kern w:val="2"/>
          <w:sz w:val="24"/>
          <w:szCs w:val="24"/>
          <w:highlight w:val="none"/>
        </w:rPr>
        <w:t>合同履行期限：</w:t>
      </w:r>
      <w:r>
        <w:rPr>
          <w:rFonts w:hint="eastAsia" w:ascii="宋体" w:hAnsi="宋体" w:eastAsia="宋体" w:cs="宋体"/>
          <w:color w:val="auto"/>
          <w:kern w:val="2"/>
          <w:sz w:val="24"/>
          <w:szCs w:val="24"/>
          <w:highlight w:val="none"/>
        </w:rPr>
        <w:t>60天（日历天），且达到验收标准并通过国家验收复核。</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本项目不接受联合体投标。</w:t>
      </w:r>
    </w:p>
    <w:p>
      <w:pPr>
        <w:outlineLvl w:val="1"/>
        <w:rPr>
          <w:rFonts w:hint="eastAsia" w:ascii="宋体" w:hAnsi="宋体" w:eastAsia="宋体" w:cs="宋体"/>
          <w:b/>
          <w:bCs/>
          <w:color w:val="auto"/>
          <w:kern w:val="2"/>
          <w:sz w:val="24"/>
          <w:szCs w:val="24"/>
          <w:highlight w:val="none"/>
        </w:rPr>
      </w:pPr>
      <w:bookmarkStart w:id="7" w:name="_Toc28359080"/>
      <w:bookmarkEnd w:id="7"/>
      <w:bookmarkStart w:id="8" w:name="_Toc44405602"/>
      <w:bookmarkEnd w:id="8"/>
      <w:bookmarkStart w:id="9" w:name="_Toc35393791"/>
      <w:bookmarkEnd w:id="9"/>
      <w:bookmarkStart w:id="10" w:name="_Toc35393622"/>
      <w:bookmarkEnd w:id="10"/>
      <w:bookmarkStart w:id="11" w:name="_Toc28359003"/>
      <w:r>
        <w:rPr>
          <w:rFonts w:hint="eastAsia" w:ascii="宋体" w:hAnsi="宋体" w:cs="宋体"/>
          <w:b/>
          <w:bCs/>
          <w:color w:val="auto"/>
          <w:kern w:val="2"/>
          <w:sz w:val="24"/>
          <w:szCs w:val="24"/>
          <w:highlight w:val="none"/>
          <w:lang w:eastAsia="zh-CN"/>
        </w:rPr>
        <w:t>三</w:t>
      </w:r>
      <w:r>
        <w:rPr>
          <w:rFonts w:hint="eastAsia" w:ascii="宋体" w:hAnsi="宋体" w:eastAsia="宋体" w:cs="宋体"/>
          <w:b/>
          <w:bCs/>
          <w:color w:val="auto"/>
          <w:kern w:val="2"/>
          <w:sz w:val="24"/>
          <w:szCs w:val="24"/>
          <w:highlight w:val="none"/>
        </w:rPr>
        <w:t>、投标人的资格要求：</w:t>
      </w:r>
      <w:bookmarkEnd w:id="11"/>
    </w:p>
    <w:p>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1.满足《中华人民共和国政府采购法》第二十二条规定；</w:t>
      </w:r>
    </w:p>
    <w:p>
      <w:pPr>
        <w:ind w:firstLine="480" w:firstLineChars="200"/>
        <w:rPr>
          <w:rFonts w:hint="eastAsia" w:ascii="宋体" w:hAnsi="宋体" w:eastAsia="宋体" w:cs="宋体"/>
          <w:color w:val="auto"/>
          <w:kern w:val="2"/>
          <w:sz w:val="24"/>
          <w:szCs w:val="24"/>
          <w:highlight w:val="none"/>
        </w:rPr>
      </w:pPr>
      <w:bookmarkStart w:id="12" w:name="_Toc28359004"/>
      <w:bookmarkEnd w:id="12"/>
      <w:bookmarkStart w:id="13" w:name="_Toc28359081"/>
      <w:r>
        <w:rPr>
          <w:rFonts w:hint="eastAsia" w:ascii="宋体" w:hAnsi="宋体" w:eastAsia="宋体" w:cs="宋体"/>
          <w:color w:val="auto"/>
          <w:kern w:val="2"/>
          <w:sz w:val="24"/>
          <w:szCs w:val="24"/>
          <w:highlight w:val="none"/>
        </w:rPr>
        <w:t>2.落实政府采购政策需满足的资格要求</w:t>
      </w:r>
      <w:bookmarkEnd w:id="13"/>
      <w:r>
        <w:rPr>
          <w:rFonts w:hint="eastAsia" w:ascii="宋体" w:hAnsi="宋体" w:eastAsia="宋体" w:cs="宋体"/>
          <w:color w:val="auto"/>
          <w:kern w:val="2"/>
          <w:sz w:val="24"/>
          <w:szCs w:val="24"/>
          <w:highlight w:val="none"/>
        </w:rPr>
        <w:t>：无。</w:t>
      </w:r>
    </w:p>
    <w:p>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3.本项目的特定资格要求：</w:t>
      </w:r>
      <w:r>
        <w:rPr>
          <w:rFonts w:hint="eastAsia" w:ascii="宋体" w:hAnsi="宋体" w:cs="宋体"/>
          <w:color w:val="auto"/>
          <w:kern w:val="2"/>
          <w:sz w:val="24"/>
          <w:szCs w:val="24"/>
          <w:highlight w:val="none"/>
          <w:lang w:eastAsia="zh-CN"/>
        </w:rPr>
        <w:t>投标人必须具备有效的测绘乙级或以上资质</w:t>
      </w:r>
      <w:r>
        <w:rPr>
          <w:rFonts w:hint="eastAsia" w:ascii="宋体" w:hAnsi="宋体" w:eastAsia="宋体" w:cs="宋体"/>
          <w:color w:val="auto"/>
          <w:kern w:val="2"/>
          <w:sz w:val="24"/>
          <w:szCs w:val="24"/>
          <w:highlight w:val="none"/>
        </w:rPr>
        <w:t>。</w:t>
      </w:r>
    </w:p>
    <w:p>
      <w:pPr>
        <w:ind w:firstLine="480" w:firstLineChars="200"/>
        <w:rPr>
          <w:rFonts w:hint="eastAsia" w:ascii="宋体" w:hAnsi="宋体" w:eastAsia="宋体" w:cs="宋体"/>
          <w:color w:val="auto"/>
          <w:kern w:val="2"/>
          <w:sz w:val="24"/>
          <w:szCs w:val="24"/>
          <w:highlight w:val="none"/>
        </w:rPr>
      </w:pPr>
      <w:bookmarkStart w:id="14" w:name="_Hlk37428740"/>
      <w:bookmarkEnd w:id="14"/>
      <w:r>
        <w:rPr>
          <w:rFonts w:hint="eastAsia" w:ascii="宋体" w:hAnsi="宋体" w:eastAsia="宋体" w:cs="宋体"/>
          <w:color w:val="auto"/>
          <w:kern w:val="2"/>
          <w:sz w:val="24"/>
          <w:szCs w:val="24"/>
          <w:highlight w:val="none"/>
        </w:rPr>
        <w:t>4.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pPr>
        <w:outlineLvl w:val="1"/>
        <w:rPr>
          <w:rFonts w:hint="eastAsia" w:ascii="宋体" w:hAnsi="宋体" w:eastAsia="宋体" w:cs="宋体"/>
          <w:b/>
          <w:bCs/>
          <w:color w:val="auto"/>
          <w:kern w:val="2"/>
          <w:sz w:val="24"/>
          <w:szCs w:val="24"/>
          <w:highlight w:val="none"/>
        </w:rPr>
      </w:pPr>
      <w:bookmarkStart w:id="15" w:name="_Toc44405603"/>
      <w:bookmarkEnd w:id="15"/>
      <w:bookmarkStart w:id="16" w:name="_Toc35393623"/>
      <w:bookmarkEnd w:id="16"/>
      <w:bookmarkStart w:id="17" w:name="_Toc35393792"/>
      <w:r>
        <w:rPr>
          <w:rFonts w:hint="eastAsia" w:ascii="宋体" w:hAnsi="宋体" w:cs="宋体"/>
          <w:b/>
          <w:bCs/>
          <w:color w:val="auto"/>
          <w:kern w:val="2"/>
          <w:sz w:val="24"/>
          <w:szCs w:val="24"/>
          <w:highlight w:val="none"/>
          <w:lang w:eastAsia="zh-CN"/>
        </w:rPr>
        <w:t>四</w:t>
      </w:r>
      <w:r>
        <w:rPr>
          <w:rFonts w:hint="eastAsia" w:ascii="宋体" w:hAnsi="宋体" w:eastAsia="宋体" w:cs="宋体"/>
          <w:b/>
          <w:bCs/>
          <w:color w:val="auto"/>
          <w:kern w:val="2"/>
          <w:sz w:val="24"/>
          <w:szCs w:val="24"/>
          <w:highlight w:val="none"/>
        </w:rPr>
        <w:t>、获取招标文件</w:t>
      </w:r>
      <w:bookmarkEnd w:id="17"/>
    </w:p>
    <w:p>
      <w:pPr>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时间：</w:t>
      </w:r>
      <w:r>
        <w:rPr>
          <w:rFonts w:hint="eastAsia" w:ascii="宋体" w:hAnsi="宋体" w:eastAsia="宋体" w:cs="宋体"/>
          <w:color w:val="auto"/>
          <w:kern w:val="2"/>
          <w:sz w:val="24"/>
          <w:szCs w:val="24"/>
          <w:highlight w:val="none"/>
        </w:rPr>
        <w:t>自本公告发布之时起至 2020年</w:t>
      </w:r>
      <w:r>
        <w:rPr>
          <w:rFonts w:hint="eastAsia" w:ascii="宋体" w:hAnsi="宋体" w:cs="宋体"/>
          <w:color w:val="auto"/>
          <w:kern w:val="2"/>
          <w:sz w:val="24"/>
          <w:szCs w:val="24"/>
          <w:highlight w:val="none"/>
          <w:lang w:val="en-US" w:eastAsia="zh-CN"/>
        </w:rPr>
        <w:t>11</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27</w:t>
      </w:r>
      <w:r>
        <w:rPr>
          <w:rFonts w:hint="eastAsia" w:ascii="宋体" w:hAnsi="宋体" w:eastAsia="宋体" w:cs="宋体"/>
          <w:color w:val="auto"/>
          <w:kern w:val="2"/>
          <w:sz w:val="24"/>
          <w:szCs w:val="24"/>
          <w:highlight w:val="none"/>
        </w:rPr>
        <w:t>日止</w:t>
      </w:r>
    </w:p>
    <w:p>
      <w:pPr>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获取方式：</w:t>
      </w:r>
      <w:r>
        <w:rPr>
          <w:rFonts w:hint="eastAsia" w:ascii="宋体" w:hAnsi="宋体" w:eastAsia="宋体" w:cs="宋体"/>
          <w:color w:val="auto"/>
          <w:kern w:val="2"/>
          <w:sz w:val="24"/>
          <w:szCs w:val="24"/>
          <w:highlight w:val="none"/>
        </w:rPr>
        <w:t>供应商须登录政采云平台（https://www.zcygov.cn/）在线办理报名并自行下载招标文件；未注册的供应商可在政采云平台完成注册后再进行报名再下载。如在操作过程中遇到问题或需技术支持，请致电政采云客服热线：400-881-7190。</w:t>
      </w:r>
    </w:p>
    <w:p>
      <w:pPr>
        <w:outlineLvl w:val="1"/>
        <w:rPr>
          <w:rFonts w:hint="eastAsia" w:ascii="宋体" w:hAnsi="宋体" w:eastAsia="宋体" w:cs="宋体"/>
          <w:b/>
          <w:bCs/>
          <w:color w:val="auto"/>
          <w:kern w:val="2"/>
          <w:sz w:val="24"/>
          <w:szCs w:val="24"/>
          <w:highlight w:val="none"/>
        </w:rPr>
      </w:pPr>
      <w:bookmarkStart w:id="18" w:name="_Toc28359005"/>
      <w:bookmarkEnd w:id="18"/>
      <w:bookmarkStart w:id="19" w:name="_Toc44405604"/>
      <w:bookmarkEnd w:id="19"/>
      <w:bookmarkStart w:id="20" w:name="_Toc28359082"/>
      <w:bookmarkEnd w:id="20"/>
      <w:bookmarkStart w:id="21" w:name="_Toc35393793"/>
      <w:bookmarkEnd w:id="21"/>
      <w:bookmarkStart w:id="22" w:name="_Toc35393624"/>
      <w:r>
        <w:rPr>
          <w:rFonts w:hint="eastAsia" w:ascii="宋体" w:hAnsi="宋体" w:cs="宋体"/>
          <w:b/>
          <w:bCs/>
          <w:color w:val="auto"/>
          <w:kern w:val="2"/>
          <w:sz w:val="24"/>
          <w:szCs w:val="24"/>
          <w:highlight w:val="none"/>
          <w:lang w:eastAsia="zh-CN"/>
        </w:rPr>
        <w:t>五</w:t>
      </w:r>
      <w:r>
        <w:rPr>
          <w:rFonts w:hint="eastAsia" w:ascii="宋体" w:hAnsi="宋体" w:eastAsia="宋体" w:cs="宋体"/>
          <w:b/>
          <w:bCs/>
          <w:color w:val="auto"/>
          <w:kern w:val="2"/>
          <w:sz w:val="24"/>
          <w:szCs w:val="24"/>
          <w:highlight w:val="none"/>
        </w:rPr>
        <w:t>、提交投标文件</w:t>
      </w:r>
      <w:bookmarkEnd w:id="22"/>
      <w:r>
        <w:rPr>
          <w:rFonts w:hint="eastAsia" w:ascii="宋体" w:hAnsi="宋体" w:eastAsia="宋体" w:cs="宋体"/>
          <w:b/>
          <w:bCs/>
          <w:color w:val="auto"/>
          <w:kern w:val="2"/>
          <w:sz w:val="24"/>
          <w:szCs w:val="24"/>
          <w:highlight w:val="none"/>
        </w:rPr>
        <w:t>截止时间、开标时间和地点</w:t>
      </w:r>
    </w:p>
    <w:p>
      <w:pPr>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提交投标文件截止时间和开标时间：</w:t>
      </w:r>
      <w:r>
        <w:rPr>
          <w:rFonts w:hint="eastAsia" w:ascii="宋体" w:hAnsi="宋体" w:eastAsia="宋体" w:cs="宋体"/>
          <w:color w:val="auto"/>
          <w:kern w:val="2"/>
          <w:sz w:val="24"/>
          <w:szCs w:val="24"/>
          <w:highlight w:val="none"/>
        </w:rPr>
        <w:t xml:space="preserve"> 2020年</w:t>
      </w:r>
      <w:r>
        <w:rPr>
          <w:rFonts w:hint="eastAsia" w:ascii="宋体" w:hAnsi="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11</w:t>
      </w:r>
      <w:r>
        <w:rPr>
          <w:rFonts w:hint="eastAsia" w:ascii="宋体" w:hAnsi="宋体" w:eastAsia="宋体" w:cs="宋体"/>
          <w:color w:val="auto"/>
          <w:kern w:val="2"/>
          <w:sz w:val="24"/>
          <w:szCs w:val="24"/>
          <w:highlight w:val="none"/>
        </w:rPr>
        <w:t>日</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时</w:t>
      </w:r>
      <w:r>
        <w:rPr>
          <w:rFonts w:hint="eastAsia" w:ascii="宋体" w:hAnsi="宋体" w:cs="宋体"/>
          <w:color w:val="auto"/>
          <w:kern w:val="2"/>
          <w:sz w:val="24"/>
          <w:szCs w:val="24"/>
          <w:highlight w:val="none"/>
          <w:lang w:val="en-US" w:eastAsia="zh-CN"/>
        </w:rPr>
        <w:t>00</w:t>
      </w:r>
      <w:r>
        <w:rPr>
          <w:rFonts w:hint="eastAsia" w:ascii="宋体" w:hAnsi="宋体" w:eastAsia="宋体" w:cs="宋体"/>
          <w:color w:val="auto"/>
          <w:kern w:val="2"/>
          <w:sz w:val="24"/>
          <w:szCs w:val="24"/>
          <w:highlight w:val="none"/>
        </w:rPr>
        <w:t>分（北京时间）</w:t>
      </w:r>
    </w:p>
    <w:p>
      <w:pPr>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投标文件提交</w:t>
      </w:r>
      <w:bookmarkStart w:id="23" w:name="_Hlk37428909"/>
      <w:r>
        <w:rPr>
          <w:rFonts w:hint="eastAsia" w:ascii="宋体" w:hAnsi="宋体" w:eastAsia="宋体" w:cs="宋体"/>
          <w:b/>
          <w:bCs/>
          <w:color w:val="auto"/>
          <w:kern w:val="2"/>
          <w:sz w:val="24"/>
          <w:szCs w:val="24"/>
          <w:highlight w:val="none"/>
        </w:rPr>
        <w:t>起止时间：</w:t>
      </w:r>
      <w:bookmarkEnd w:id="23"/>
      <w:r>
        <w:rPr>
          <w:rFonts w:hint="eastAsia" w:ascii="宋体" w:hAnsi="宋体" w:eastAsia="宋体" w:cs="宋体"/>
          <w:color w:val="auto"/>
          <w:kern w:val="2"/>
          <w:sz w:val="24"/>
          <w:szCs w:val="24"/>
          <w:highlight w:val="none"/>
        </w:rPr>
        <w:t xml:space="preserve"> 2020年</w:t>
      </w:r>
      <w:r>
        <w:rPr>
          <w:rFonts w:hint="eastAsia" w:ascii="宋体" w:hAnsi="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11</w:t>
      </w:r>
      <w:r>
        <w:rPr>
          <w:rFonts w:hint="eastAsia" w:ascii="宋体" w:hAnsi="宋体" w:eastAsia="宋体" w:cs="宋体"/>
          <w:color w:val="auto"/>
          <w:kern w:val="2"/>
          <w:sz w:val="24"/>
          <w:szCs w:val="24"/>
          <w:highlight w:val="none"/>
        </w:rPr>
        <w:t>日</w:t>
      </w:r>
      <w:r>
        <w:rPr>
          <w:rFonts w:hint="eastAsia" w:ascii="宋体" w:hAnsi="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时</w:t>
      </w:r>
      <w:r>
        <w:rPr>
          <w:rFonts w:hint="eastAsia" w:ascii="宋体" w:hAnsi="宋体" w:cs="宋体"/>
          <w:color w:val="auto"/>
          <w:kern w:val="2"/>
          <w:sz w:val="24"/>
          <w:szCs w:val="24"/>
          <w:highlight w:val="none"/>
          <w:lang w:val="en-US" w:eastAsia="zh-CN"/>
        </w:rPr>
        <w:t>00</w:t>
      </w:r>
      <w:r>
        <w:rPr>
          <w:rFonts w:hint="eastAsia" w:ascii="宋体" w:hAnsi="宋体" w:eastAsia="宋体" w:cs="宋体"/>
          <w:color w:val="auto"/>
          <w:kern w:val="2"/>
          <w:sz w:val="24"/>
          <w:szCs w:val="24"/>
          <w:highlight w:val="none"/>
        </w:rPr>
        <w:t>分至</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时</w:t>
      </w:r>
      <w:r>
        <w:rPr>
          <w:rFonts w:hint="eastAsia" w:ascii="宋体" w:hAnsi="宋体" w:cs="宋体"/>
          <w:color w:val="auto"/>
          <w:kern w:val="2"/>
          <w:sz w:val="24"/>
          <w:szCs w:val="24"/>
          <w:highlight w:val="none"/>
          <w:lang w:val="en-US" w:eastAsia="zh-CN"/>
        </w:rPr>
        <w:t>00</w:t>
      </w:r>
      <w:r>
        <w:rPr>
          <w:rFonts w:hint="eastAsia" w:ascii="宋体" w:hAnsi="宋体" w:eastAsia="宋体" w:cs="宋体"/>
          <w:color w:val="auto"/>
          <w:kern w:val="2"/>
          <w:sz w:val="24"/>
          <w:szCs w:val="24"/>
          <w:highlight w:val="none"/>
        </w:rPr>
        <w:t>分</w:t>
      </w:r>
    </w:p>
    <w:p>
      <w:pPr>
        <w:ind w:firstLine="482"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rPr>
        <w:t>投标和开标地点</w:t>
      </w:r>
      <w:r>
        <w:rPr>
          <w:rFonts w:hint="eastAsia" w:ascii="宋体" w:hAnsi="宋体" w:eastAsia="宋体" w:cs="宋体"/>
          <w:color w:val="auto"/>
          <w:kern w:val="2"/>
          <w:sz w:val="24"/>
          <w:szCs w:val="24"/>
          <w:highlight w:val="none"/>
        </w:rPr>
        <w:t>：兴业县公共资源交易中心开标室（兴业县政务服务中心三楼）</w:t>
      </w:r>
    </w:p>
    <w:p>
      <w:pPr>
        <w:ind w:firstLine="482" w:firstLineChars="20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注：投标人应在投标文件提交起止时间内，将投标文件密封送达投标地点，未在规定时间内送达或未按照招标文件要求密封的投标文件，将予以拒收。</w:t>
      </w:r>
    </w:p>
    <w:p>
      <w:pPr>
        <w:outlineLvl w:val="1"/>
        <w:rPr>
          <w:rFonts w:hint="eastAsia" w:ascii="宋体" w:hAnsi="宋体" w:eastAsia="宋体" w:cs="宋体"/>
          <w:b/>
          <w:bCs/>
          <w:color w:val="auto"/>
          <w:kern w:val="2"/>
          <w:sz w:val="24"/>
          <w:szCs w:val="24"/>
          <w:highlight w:val="none"/>
        </w:rPr>
      </w:pPr>
      <w:bookmarkStart w:id="24" w:name="_Toc35393625"/>
      <w:bookmarkEnd w:id="24"/>
      <w:bookmarkStart w:id="25" w:name="_Toc44405605"/>
      <w:bookmarkEnd w:id="25"/>
      <w:bookmarkStart w:id="26" w:name="_Toc28359084"/>
      <w:bookmarkEnd w:id="26"/>
      <w:bookmarkStart w:id="27" w:name="_Toc28359007"/>
      <w:bookmarkEnd w:id="27"/>
      <w:bookmarkStart w:id="28" w:name="_Toc35393794"/>
      <w:r>
        <w:rPr>
          <w:rFonts w:hint="eastAsia" w:ascii="宋体" w:hAnsi="宋体" w:cs="宋体"/>
          <w:b/>
          <w:bCs/>
          <w:color w:val="auto"/>
          <w:kern w:val="2"/>
          <w:sz w:val="24"/>
          <w:szCs w:val="24"/>
          <w:highlight w:val="none"/>
          <w:lang w:eastAsia="zh-CN"/>
        </w:rPr>
        <w:t>六</w:t>
      </w:r>
      <w:r>
        <w:rPr>
          <w:rFonts w:hint="eastAsia" w:ascii="宋体" w:hAnsi="宋体" w:eastAsia="宋体" w:cs="宋体"/>
          <w:b/>
          <w:bCs/>
          <w:color w:val="auto"/>
          <w:kern w:val="2"/>
          <w:sz w:val="24"/>
          <w:szCs w:val="24"/>
          <w:highlight w:val="none"/>
        </w:rPr>
        <w:t>、公告期限</w:t>
      </w:r>
      <w:bookmarkEnd w:id="28"/>
    </w:p>
    <w:p>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自本公告发布之日起5个工作日。</w:t>
      </w:r>
    </w:p>
    <w:p>
      <w:pPr>
        <w:outlineLvl w:val="1"/>
        <w:rPr>
          <w:rFonts w:hint="eastAsia" w:ascii="宋体" w:hAnsi="宋体" w:eastAsia="宋体" w:cs="宋体"/>
          <w:b/>
          <w:bCs/>
          <w:color w:val="auto"/>
          <w:kern w:val="2"/>
          <w:sz w:val="24"/>
          <w:szCs w:val="24"/>
          <w:highlight w:val="none"/>
        </w:rPr>
      </w:pPr>
      <w:bookmarkStart w:id="29" w:name="_Toc35393626"/>
      <w:bookmarkEnd w:id="29"/>
      <w:bookmarkStart w:id="30" w:name="_Toc35393795"/>
      <w:bookmarkEnd w:id="30"/>
      <w:bookmarkStart w:id="31" w:name="_Toc44405606"/>
      <w:r>
        <w:rPr>
          <w:rFonts w:hint="eastAsia" w:ascii="宋体" w:hAnsi="宋体" w:cs="宋体"/>
          <w:b/>
          <w:bCs/>
          <w:color w:val="auto"/>
          <w:kern w:val="2"/>
          <w:sz w:val="24"/>
          <w:szCs w:val="24"/>
          <w:highlight w:val="none"/>
          <w:lang w:eastAsia="zh-CN"/>
        </w:rPr>
        <w:t>七</w:t>
      </w:r>
      <w:r>
        <w:rPr>
          <w:rFonts w:hint="eastAsia" w:ascii="宋体" w:hAnsi="宋体" w:eastAsia="宋体" w:cs="宋体"/>
          <w:b/>
          <w:bCs/>
          <w:color w:val="auto"/>
          <w:kern w:val="2"/>
          <w:sz w:val="24"/>
          <w:szCs w:val="24"/>
          <w:highlight w:val="none"/>
        </w:rPr>
        <w:t>、其他补充事宜</w:t>
      </w:r>
      <w:bookmarkEnd w:id="31"/>
    </w:p>
    <w:p>
      <w:pPr>
        <w:ind w:firstLine="482" w:firstLineChars="20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 网上查询地址</w:t>
      </w:r>
    </w:p>
    <w:p>
      <w:pPr>
        <w:ind w:firstLine="480" w:firstLineChars="200"/>
        <w:outlineLvl w:val="2"/>
        <w:rPr>
          <w:rFonts w:hint="eastAsia" w:ascii="宋体" w:hAnsi="宋体" w:cs="宋体"/>
          <w:color w:val="auto"/>
          <w:kern w:val="2"/>
          <w:sz w:val="24"/>
          <w:szCs w:val="24"/>
          <w:highlight w:val="none"/>
          <w:u w:val="none"/>
          <w:lang w:eastAsia="zh-CN"/>
        </w:rPr>
      </w:pPr>
      <w:bookmarkStart w:id="32" w:name="_Hlk37429585"/>
      <w:bookmarkEnd w:id="32"/>
      <w:r>
        <w:rPr>
          <w:rFonts w:hint="eastAsia" w:ascii="宋体" w:hAnsi="宋体" w:cs="宋体"/>
          <w:color w:val="auto"/>
          <w:kern w:val="2"/>
          <w:sz w:val="24"/>
          <w:szCs w:val="24"/>
          <w:highlight w:val="none"/>
          <w:u w:val="none"/>
          <w:lang w:eastAsia="zh-CN"/>
        </w:rPr>
        <w:fldChar w:fldCharType="begin"/>
      </w:r>
      <w:r>
        <w:rPr>
          <w:rFonts w:hint="eastAsia" w:ascii="宋体" w:hAnsi="宋体" w:cs="宋体"/>
          <w:color w:val="auto"/>
          <w:kern w:val="2"/>
          <w:sz w:val="24"/>
          <w:szCs w:val="24"/>
          <w:highlight w:val="none"/>
          <w:u w:val="none"/>
          <w:lang w:eastAsia="zh-CN"/>
        </w:rPr>
        <w:instrText xml:space="preserve"> HYPERLINK "http://www.ccgp.gov.cn（中国政府采购网）、zfcg.gxzf.gov.cn（广西壮族自治区政府采购网）、www.yulin.gov.cn（广西玉林市人民政府门户网）" </w:instrText>
      </w:r>
      <w:r>
        <w:rPr>
          <w:rFonts w:hint="eastAsia" w:ascii="宋体" w:hAnsi="宋体" w:cs="宋体"/>
          <w:color w:val="auto"/>
          <w:kern w:val="2"/>
          <w:sz w:val="24"/>
          <w:szCs w:val="24"/>
          <w:highlight w:val="none"/>
          <w:u w:val="none"/>
          <w:lang w:eastAsia="zh-CN"/>
        </w:rPr>
        <w:fldChar w:fldCharType="separate"/>
      </w:r>
      <w:r>
        <w:rPr>
          <w:rStyle w:val="23"/>
          <w:rFonts w:hint="eastAsia" w:ascii="宋体" w:hAnsi="宋体" w:cs="宋体"/>
          <w:color w:val="auto"/>
          <w:kern w:val="2"/>
          <w:sz w:val="24"/>
          <w:szCs w:val="24"/>
          <w:highlight w:val="none"/>
          <w:u w:val="none"/>
          <w:lang w:eastAsia="zh-CN"/>
        </w:rPr>
        <w:t>www.ccgp.gov.cn（中国政府采购网）、zfcg.gxzf.gov.cn（广西壮族自治区政府采购网）、www.yulin.gov.cn（广西玉林市人民政府门户网）</w:t>
      </w:r>
      <w:r>
        <w:rPr>
          <w:rFonts w:hint="eastAsia" w:ascii="宋体" w:hAnsi="宋体" w:cs="宋体"/>
          <w:color w:val="auto"/>
          <w:kern w:val="2"/>
          <w:sz w:val="24"/>
          <w:szCs w:val="24"/>
          <w:highlight w:val="none"/>
          <w:u w:val="none"/>
          <w:lang w:eastAsia="zh-CN"/>
        </w:rPr>
        <w:fldChar w:fldCharType="end"/>
      </w:r>
      <w:r>
        <w:rPr>
          <w:rFonts w:hint="eastAsia" w:ascii="宋体" w:hAnsi="宋体" w:cs="宋体"/>
          <w:color w:val="auto"/>
          <w:kern w:val="2"/>
          <w:sz w:val="24"/>
          <w:szCs w:val="24"/>
          <w:highlight w:val="none"/>
          <w:u w:val="none"/>
          <w:lang w:eastAsia="zh-CN"/>
        </w:rPr>
        <w:t>。</w:t>
      </w:r>
    </w:p>
    <w:p>
      <w:pPr>
        <w:ind w:firstLine="482" w:firstLineChars="200"/>
        <w:outlineLvl w:val="2"/>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 xml:space="preserve">2. </w:t>
      </w:r>
      <w:bookmarkStart w:id="33" w:name="_Hlk37429595"/>
      <w:bookmarkEnd w:id="33"/>
      <w:r>
        <w:rPr>
          <w:rFonts w:hint="eastAsia" w:ascii="宋体" w:hAnsi="宋体" w:eastAsia="宋体" w:cs="宋体"/>
          <w:b/>
          <w:bCs/>
          <w:color w:val="auto"/>
          <w:kern w:val="2"/>
          <w:sz w:val="24"/>
          <w:szCs w:val="24"/>
          <w:highlight w:val="none"/>
        </w:rPr>
        <w:t>本项目需要落实的政府采购政策</w:t>
      </w:r>
    </w:p>
    <w:p>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（1）政府采购促进中小企业发展。</w:t>
      </w:r>
    </w:p>
    <w:p>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（2）政府采购促进残疾人就业政策。</w:t>
      </w:r>
    </w:p>
    <w:p>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（3）政府采购支持监狱企业发展。</w:t>
      </w:r>
    </w:p>
    <w:p>
      <w:pPr>
        <w:outlineLvl w:val="1"/>
        <w:rPr>
          <w:rFonts w:hint="eastAsia" w:ascii="宋体" w:hAnsi="宋体" w:eastAsia="宋体" w:cs="宋体"/>
          <w:b/>
          <w:bCs/>
          <w:color w:val="auto"/>
          <w:kern w:val="2"/>
          <w:sz w:val="24"/>
          <w:szCs w:val="24"/>
          <w:highlight w:val="none"/>
        </w:rPr>
      </w:pPr>
      <w:bookmarkStart w:id="34" w:name="_Toc35393796"/>
      <w:bookmarkEnd w:id="34"/>
      <w:bookmarkStart w:id="35" w:name="_Toc28359008"/>
      <w:bookmarkEnd w:id="35"/>
      <w:bookmarkStart w:id="36" w:name="_Toc44405607"/>
      <w:bookmarkEnd w:id="36"/>
      <w:bookmarkStart w:id="37" w:name="_Toc28359085"/>
      <w:bookmarkEnd w:id="37"/>
      <w:bookmarkStart w:id="38" w:name="_Toc35393627"/>
      <w:r>
        <w:rPr>
          <w:rFonts w:hint="eastAsia" w:ascii="宋体" w:hAnsi="宋体" w:cs="宋体"/>
          <w:b/>
          <w:bCs/>
          <w:color w:val="auto"/>
          <w:kern w:val="2"/>
          <w:sz w:val="24"/>
          <w:szCs w:val="24"/>
          <w:highlight w:val="none"/>
          <w:lang w:eastAsia="zh-CN"/>
        </w:rPr>
        <w:t>八</w:t>
      </w:r>
      <w:r>
        <w:rPr>
          <w:rFonts w:hint="eastAsia" w:ascii="宋体" w:hAnsi="宋体" w:eastAsia="宋体" w:cs="宋体"/>
          <w:b/>
          <w:bCs/>
          <w:color w:val="auto"/>
          <w:kern w:val="2"/>
          <w:sz w:val="24"/>
          <w:szCs w:val="24"/>
          <w:highlight w:val="none"/>
        </w:rPr>
        <w:t>、对本次招标提出询问，请按以下方式联系。</w:t>
      </w:r>
      <w:bookmarkEnd w:id="38"/>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  1.采购人信息</w:t>
      </w:r>
    </w:p>
    <w:p>
      <w:pPr>
        <w:ind w:firstLine="482"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rPr>
        <w:t>名 称</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eastAsia="zh-CN"/>
        </w:rPr>
        <w:t>兴业县自然资源局</w:t>
      </w:r>
    </w:p>
    <w:p>
      <w:pPr>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地 址</w:t>
      </w:r>
      <w:r>
        <w:rPr>
          <w:rFonts w:hint="eastAsia" w:ascii="宋体" w:hAnsi="宋体" w:eastAsia="宋体" w:cs="宋体"/>
          <w:color w:val="auto"/>
          <w:kern w:val="2"/>
          <w:sz w:val="24"/>
          <w:szCs w:val="24"/>
          <w:highlight w:val="none"/>
        </w:rPr>
        <w:t>：兴业县</w:t>
      </w:r>
    </w:p>
    <w:p>
      <w:pPr>
        <w:ind w:firstLine="482"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rPr>
        <w:t>联系方式：</w:t>
      </w:r>
      <w:bookmarkStart w:id="137" w:name="_GoBack"/>
      <w:bookmarkEnd w:id="137"/>
      <w:bookmarkStart w:id="39" w:name="_Toc28359086"/>
      <w:bookmarkEnd w:id="39"/>
      <w:r>
        <w:rPr>
          <w:rFonts w:hint="eastAsia" w:asciiTheme="majorEastAsia" w:hAnsiTheme="majorEastAsia" w:eastAsiaTheme="majorEastAsia" w:cstheme="majorEastAsia"/>
          <w:color w:val="auto"/>
          <w:kern w:val="2"/>
          <w:sz w:val="24"/>
          <w:szCs w:val="24"/>
          <w:highlight w:val="none"/>
          <w:lang w:eastAsia="zh-CN"/>
        </w:rPr>
        <w:t>0775-3769288</w:t>
      </w:r>
    </w:p>
    <w:p>
      <w:pPr>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2.采购代理机构信息</w:t>
      </w:r>
    </w:p>
    <w:p>
      <w:pPr>
        <w:ind w:firstLine="240" w:firstLineChars="1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 称：</w:t>
      </w:r>
      <w:r>
        <w:rPr>
          <w:rFonts w:hint="eastAsia" w:ascii="宋体" w:hAnsi="宋体" w:cs="宋体"/>
          <w:color w:val="auto"/>
          <w:kern w:val="2"/>
          <w:sz w:val="24"/>
          <w:szCs w:val="24"/>
          <w:highlight w:val="none"/>
          <w:lang w:eastAsia="zh-CN"/>
        </w:rPr>
        <w:t>湖南英邦工程建设咨询有限公司</w:t>
      </w:r>
    </w:p>
    <w:p>
      <w:pPr>
        <w:ind w:firstLine="240" w:firstLineChars="1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地 址：</w:t>
      </w:r>
      <w:r>
        <w:rPr>
          <w:rFonts w:hint="eastAsia" w:ascii="宋体" w:hAnsi="宋体" w:cs="宋体"/>
          <w:color w:val="auto"/>
          <w:kern w:val="2"/>
          <w:sz w:val="24"/>
          <w:szCs w:val="24"/>
          <w:highlight w:val="none"/>
          <w:lang w:eastAsia="zh-CN"/>
        </w:rPr>
        <w:t>玉林市玉州区石牛路石牛安置区C区（东盛华府东门对面桂东南营业部三楼）</w:t>
      </w:r>
    </w:p>
    <w:p>
      <w:pPr>
        <w:ind w:firstLine="240" w:firstLineChars="1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联系方式：</w:t>
      </w:r>
      <w:bookmarkStart w:id="40" w:name="_Toc28359010"/>
      <w:bookmarkEnd w:id="40"/>
      <w:r>
        <w:rPr>
          <w:rFonts w:hint="eastAsia" w:ascii="宋体" w:hAnsi="宋体" w:cs="宋体"/>
          <w:color w:val="auto"/>
          <w:kern w:val="2"/>
          <w:sz w:val="24"/>
          <w:szCs w:val="24"/>
          <w:highlight w:val="none"/>
          <w:lang w:eastAsia="zh-CN"/>
        </w:rPr>
        <w:t>0775-2121993</w:t>
      </w:r>
    </w:p>
    <w:p>
      <w:pPr>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3.项目联系方式</w:t>
      </w:r>
    </w:p>
    <w:p>
      <w:pPr>
        <w:pStyle w:val="12"/>
        <w:ind w:firstLine="240" w:firstLineChars="1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hint="eastAsia" w:hAnsi="宋体" w:cs="宋体"/>
          <w:color w:val="auto"/>
          <w:kern w:val="0"/>
          <w:sz w:val="24"/>
          <w:szCs w:val="24"/>
          <w:highlight w:val="none"/>
          <w:lang w:eastAsia="zh-CN"/>
        </w:rPr>
        <w:t>卢森</w:t>
      </w:r>
    </w:p>
    <w:p>
      <w:pPr>
        <w:ind w:firstLine="240" w:firstLineChars="1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电 话：0775-</w:t>
      </w:r>
      <w:r>
        <w:rPr>
          <w:rFonts w:hint="eastAsia" w:ascii="宋体" w:hAnsi="宋体" w:cs="宋体"/>
          <w:color w:val="auto"/>
          <w:kern w:val="2"/>
          <w:sz w:val="24"/>
          <w:szCs w:val="24"/>
          <w:highlight w:val="none"/>
          <w:lang w:val="en-US" w:eastAsia="zh-CN"/>
        </w:rPr>
        <w:t>2121993</w:t>
      </w:r>
    </w:p>
    <w:p>
      <w:pPr>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4.监督部门</w:t>
      </w:r>
    </w:p>
    <w:p>
      <w:pPr>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    称：兴业县财政局</w:t>
      </w:r>
    </w:p>
    <w:p>
      <w:pPr>
        <w:ind w:firstLine="240" w:firstLineChars="1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电    话：0775-</w:t>
      </w:r>
      <w:r>
        <w:rPr>
          <w:rFonts w:hint="eastAsia" w:ascii="宋体" w:hAnsi="宋体" w:cs="宋体"/>
          <w:color w:val="auto"/>
          <w:kern w:val="2"/>
          <w:sz w:val="24"/>
          <w:szCs w:val="24"/>
          <w:highlight w:val="none"/>
          <w:lang w:val="en-US" w:eastAsia="zh-CN"/>
        </w:rPr>
        <w:t>3765088</w:t>
      </w:r>
    </w:p>
    <w:p>
      <w:pPr>
        <w:jc w:val="right"/>
        <w:rPr>
          <w:rFonts w:hint="eastAsia" w:ascii="宋体" w:hAnsi="宋体" w:eastAsia="宋体" w:cs="宋体"/>
          <w:color w:val="auto"/>
          <w:kern w:val="2"/>
          <w:sz w:val="24"/>
          <w:szCs w:val="24"/>
          <w:highlight w:val="none"/>
        </w:rPr>
      </w:pPr>
      <w:bookmarkStart w:id="41" w:name="_Hlk44423971"/>
      <w:bookmarkEnd w:id="41"/>
    </w:p>
    <w:p>
      <w:pPr>
        <w:jc w:val="right"/>
        <w:rPr>
          <w:rFonts w:hint="eastAsia" w:ascii="宋体" w:hAnsi="宋体" w:eastAsia="宋体" w:cs="宋体"/>
          <w:color w:val="auto"/>
          <w:kern w:val="2"/>
          <w:sz w:val="24"/>
          <w:szCs w:val="24"/>
          <w:highlight w:val="none"/>
        </w:rPr>
      </w:pPr>
    </w:p>
    <w:p>
      <w:pPr>
        <w:jc w:val="right"/>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湖南英邦工程建设咨询有限公司</w:t>
      </w:r>
    </w:p>
    <w:p>
      <w:pPr>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2020 年</w:t>
      </w:r>
      <w:r>
        <w:rPr>
          <w:rFonts w:hint="eastAsia" w:ascii="宋体" w:hAnsi="宋体" w:cs="宋体"/>
          <w:color w:val="auto"/>
          <w:kern w:val="2"/>
          <w:sz w:val="24"/>
          <w:szCs w:val="24"/>
          <w:highlight w:val="none"/>
          <w:lang w:val="en-US" w:eastAsia="zh-CN"/>
        </w:rPr>
        <w:t>11</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日</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pStyle w:val="4"/>
        <w:jc w:val="center"/>
        <w:outlineLvl w:val="0"/>
        <w:rPr>
          <w:rFonts w:hint="eastAsia" w:asciiTheme="majorEastAsia" w:hAnsiTheme="majorEastAsia" w:eastAsiaTheme="majorEastAsia" w:cstheme="majorEastAsia"/>
          <w:b/>
          <w:color w:val="auto"/>
          <w:kern w:val="0"/>
          <w:sz w:val="32"/>
          <w:szCs w:val="32"/>
          <w:highlight w:val="none"/>
        </w:rPr>
      </w:pPr>
      <w:bookmarkStart w:id="42" w:name="_Toc24366217"/>
      <w:bookmarkEnd w:id="42"/>
      <w:bookmarkStart w:id="43" w:name="_Toc11531"/>
      <w:r>
        <w:rPr>
          <w:rFonts w:hint="eastAsia" w:asciiTheme="majorEastAsia" w:hAnsiTheme="majorEastAsia" w:eastAsiaTheme="majorEastAsia" w:cstheme="majorEastAsia"/>
          <w:b/>
          <w:color w:val="auto"/>
          <w:kern w:val="0"/>
          <w:sz w:val="32"/>
          <w:szCs w:val="32"/>
          <w:highlight w:val="none"/>
        </w:rPr>
        <w:t>第二章  采购需求</w:t>
      </w:r>
      <w:bookmarkEnd w:id="43"/>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说明：</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1.本招标文件所称中小企业必须符合《政府采购促进中小企业发展暂行办法》第二条规定。</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2.小型和微型企业产品的价格给予6%-10%的扣除，用扣除后的价格参与评审，具体扣除比例请以第四章《评标办法及评标标准》的规定为准。</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3.小型、微型企业提供中型企业制造的货物的，视同为中型企业。</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4.小型、微型企业提供大型企业制造的货物的，视同为大型企业。</w:t>
      </w:r>
    </w:p>
    <w:tbl>
      <w:tblPr>
        <w:tblStyle w:val="20"/>
        <w:tblW w:w="104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9"/>
        <w:gridCol w:w="1350"/>
        <w:gridCol w:w="550"/>
        <w:gridCol w:w="543"/>
        <w:gridCol w:w="9"/>
        <w:gridCol w:w="135"/>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 w:hRule="atLeast"/>
        </w:trPr>
        <w:tc>
          <w:tcPr>
            <w:tcW w:w="10454" w:type="dxa"/>
            <w:gridSpan w:val="7"/>
            <w:shd w:val="clear" w:color="auto" w:fill="auto"/>
            <w:vAlign w:val="center"/>
          </w:tcPr>
          <w:p>
            <w:pP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一、</w:t>
            </w:r>
            <w:r>
              <w:rPr>
                <w:rFonts w:hint="eastAsia" w:ascii="宋体" w:hAnsi="宋体" w:eastAsia="宋体" w:cs="宋体"/>
                <w:color w:val="auto"/>
                <w:kern w:val="2"/>
                <w:sz w:val="24"/>
                <w:szCs w:val="24"/>
                <w:highlight w:val="none"/>
                <w:lang w:eastAsia="zh-CN"/>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9" w:type="dxa"/>
            <w:shd w:val="clear" w:color="auto" w:fill="auto"/>
            <w:vAlign w:val="center"/>
          </w:tcPr>
          <w:p>
            <w:pPr>
              <w:spacing w:line="36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项号</w:t>
            </w:r>
          </w:p>
        </w:tc>
        <w:tc>
          <w:tcPr>
            <w:tcW w:w="1350" w:type="dxa"/>
            <w:shd w:val="clear" w:color="auto" w:fill="auto"/>
            <w:vAlign w:val="center"/>
          </w:tcPr>
          <w:p>
            <w:pPr>
              <w:spacing w:line="36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服务名称</w:t>
            </w:r>
          </w:p>
        </w:tc>
        <w:tc>
          <w:tcPr>
            <w:tcW w:w="550" w:type="dxa"/>
            <w:shd w:val="clear" w:color="auto" w:fill="auto"/>
            <w:vAlign w:val="center"/>
          </w:tcPr>
          <w:p>
            <w:pPr>
              <w:spacing w:line="36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687" w:type="dxa"/>
            <w:gridSpan w:val="3"/>
            <w:shd w:val="clear" w:color="auto" w:fill="auto"/>
            <w:vAlign w:val="center"/>
          </w:tcPr>
          <w:p>
            <w:pPr>
              <w:spacing w:line="36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7188" w:type="dxa"/>
            <w:shd w:val="clear" w:color="auto" w:fill="auto"/>
            <w:vAlign w:val="center"/>
          </w:tcPr>
          <w:p>
            <w:pPr>
              <w:spacing w:line="36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服务内容及要求</w:t>
            </w:r>
            <w:r>
              <w:rPr>
                <w:rFonts w:hint="eastAsia" w:ascii="宋体" w:hAnsi="宋体" w:eastAsia="宋体" w:cs="宋体"/>
                <w:b/>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679" w:type="dxa"/>
            <w:vMerge w:val="restart"/>
            <w:shd w:val="clear" w:color="auto" w:fill="auto"/>
            <w:vAlign w:val="center"/>
          </w:tcPr>
          <w:p>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1350" w:type="dxa"/>
            <w:vMerge w:val="restart"/>
            <w:shd w:val="clear" w:color="auto" w:fill="auto"/>
            <w:vAlign w:val="center"/>
          </w:tcPr>
          <w:p>
            <w:pPr>
              <w:jc w:val="center"/>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兴业县农村乱占耕地建房状况调查第三方技术服务</w:t>
            </w:r>
          </w:p>
        </w:tc>
        <w:tc>
          <w:tcPr>
            <w:tcW w:w="550" w:type="dxa"/>
            <w:vMerge w:val="restart"/>
            <w:shd w:val="clear" w:color="auto" w:fill="auto"/>
            <w:vAlign w:val="center"/>
          </w:tcPr>
          <w:p>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687" w:type="dxa"/>
            <w:gridSpan w:val="3"/>
            <w:vMerge w:val="restart"/>
            <w:shd w:val="clear" w:color="auto" w:fill="auto"/>
            <w:vAlign w:val="center"/>
          </w:tcPr>
          <w:p>
            <w:pPr>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项</w:t>
            </w:r>
          </w:p>
        </w:tc>
        <w:tc>
          <w:tcPr>
            <w:tcW w:w="7188" w:type="dxa"/>
            <w:shd w:val="clear" w:color="auto" w:fill="auto"/>
            <w:vAlign w:val="center"/>
          </w:tcPr>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pPr>
              <w:spacing w:line="4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根据《农村乱占耕地建房专项整治行动部际协调机制办公室关于印发农村乱占耕地建房问题摸排工作方案的通知》（协调机制办发〔2020〕1号)、《广西壮族自治区自然资源厅广西壮族自治区农业农村厅关于开展全区农村乱占耕地建房状况调查的通知》（桂自然资发〔2020〕30号）及《玉林市农村乱占耕地建房状况调查工作方案》要求，结合我县实际制定的《兴业县农村乱占耕地建房状况调查工作方案》文件精神，通过开展全县农村乱占耕地建房问题摸排工作，摸清农村乱占耕地建房底数，建立全县农村乱占耕地建房问题工作台账和数据库，为下一步分步整治、分类处置存量问题奠定基础，落实耕地保护责任目标，保障农民合理的建房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679" w:type="dxa"/>
            <w:vMerge w:val="continue"/>
            <w:shd w:val="clear" w:color="auto" w:fill="auto"/>
            <w:vAlign w:val="center"/>
          </w:tcPr>
          <w:p>
            <w:pPr>
              <w:rPr>
                <w:rFonts w:hint="eastAsia" w:ascii="宋体" w:hAnsi="宋体" w:eastAsia="宋体" w:cs="宋体"/>
                <w:color w:val="auto"/>
                <w:kern w:val="2"/>
                <w:sz w:val="24"/>
                <w:szCs w:val="24"/>
                <w:highlight w:val="none"/>
              </w:rPr>
            </w:pPr>
          </w:p>
        </w:tc>
        <w:tc>
          <w:tcPr>
            <w:tcW w:w="1350" w:type="dxa"/>
            <w:vMerge w:val="continue"/>
            <w:shd w:val="clear" w:color="auto" w:fill="auto"/>
            <w:vAlign w:val="center"/>
          </w:tcPr>
          <w:p>
            <w:pPr>
              <w:rPr>
                <w:rFonts w:hint="eastAsia" w:ascii="宋体" w:hAnsi="宋体" w:eastAsia="宋体" w:cs="宋体"/>
                <w:color w:val="auto"/>
                <w:kern w:val="2"/>
                <w:sz w:val="24"/>
                <w:szCs w:val="24"/>
                <w:highlight w:val="none"/>
              </w:rPr>
            </w:pPr>
          </w:p>
        </w:tc>
        <w:tc>
          <w:tcPr>
            <w:tcW w:w="550" w:type="dxa"/>
            <w:vMerge w:val="continue"/>
            <w:shd w:val="clear" w:color="auto" w:fill="auto"/>
            <w:vAlign w:val="center"/>
          </w:tcPr>
          <w:p>
            <w:pPr>
              <w:rPr>
                <w:rFonts w:hint="eastAsia" w:ascii="宋体" w:hAnsi="宋体" w:eastAsia="宋体" w:cs="宋体"/>
                <w:color w:val="auto"/>
                <w:kern w:val="2"/>
                <w:sz w:val="24"/>
                <w:szCs w:val="24"/>
                <w:highlight w:val="none"/>
              </w:rPr>
            </w:pPr>
          </w:p>
        </w:tc>
        <w:tc>
          <w:tcPr>
            <w:tcW w:w="687" w:type="dxa"/>
            <w:gridSpan w:val="3"/>
            <w:vMerge w:val="continue"/>
            <w:shd w:val="clear" w:color="auto" w:fill="auto"/>
            <w:vAlign w:val="center"/>
          </w:tcPr>
          <w:p>
            <w:pPr>
              <w:rPr>
                <w:rFonts w:hint="eastAsia" w:ascii="宋体" w:hAnsi="宋体" w:eastAsia="宋体" w:cs="宋体"/>
                <w:color w:val="auto"/>
                <w:sz w:val="24"/>
                <w:szCs w:val="24"/>
                <w:highlight w:val="none"/>
              </w:rPr>
            </w:pPr>
          </w:p>
        </w:tc>
        <w:tc>
          <w:tcPr>
            <w:tcW w:w="7188" w:type="dxa"/>
            <w:shd w:val="clear" w:color="auto" w:fill="auto"/>
            <w:vAlign w:val="center"/>
          </w:tcPr>
          <w:p>
            <w:pPr>
              <w:numPr>
                <w:ilvl w:val="0"/>
                <w:numId w:val="1"/>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兴业县农村乱占耕地建房状况调查的范围为兴业县行政辖区（13个乡镇），面积约1469平方公里，约28500个疑似占用耕地建房图斑。通过对疑似乱占用耕地建房图斑进行内业数据分析，并开展外业摸排调查，形成兴业县农村乱占用耕地建房的状况调查成果。</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具体工作如下：</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内业数据分析。通过内业分析，核实国家和自治区下发的指引图斑，对不属于本次摸排范围的图斑，剔除出摸排范围，并在下发的图斑信息表上进行备注，对指引图斑未覆盖到的需摸排图斑，要纳入摸排范围，摸排到位，不能遗漏。对需要摸排的图斑，可根据内业分析的结果，预填写信息采集表中的部分用地管理信息，待外业调查时进行核实确认。</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外业调查核实。对内业提取的疑似农村乱占用耕地建房宗地，进行逐宗地外业调查核实，调查每宗地的使用人、户籍情况、实际用途、房屋建设情况、房屋占用土地情况、房屋审批情况、受到行政处罚情况。</w:t>
            </w: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符合规划情况、“一户一宅”情况等信息，并使用“国土调查云”平台拍摄带位置坐标的实地照片。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分类填表造册。在外业摸排调查的基础上，根据房屋的实际用途，分住宅类、公共服务类、产业类三种类型逐宗地填写农村乱占耕地建房问题摸排信息采集表，并形成“一宗一台账”的台账记录，为落实耕地保护责任目标，下一步做好农村宅基地管理工作奠定基础。</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（四）公示勘正。为保证摸排结果和认定情况公开、透明、准确，需要对调查成果以村（组）为单元进行成果公示，对公示成果有异议的信息进行补充完善。</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（五）统一数据汇交。按国家乱占耕地建房数据汇交平台的要求组织数据，确保数据顺利汇交。</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（六）根据自治区统一确定的数据库标准，录入信息采集表中各项属性信息，建立农村乱占耕地建房问题调查摸排数据库。</w:t>
            </w:r>
          </w:p>
          <w:p>
            <w:pP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（七）按区厅要求完成检查工作，协助完成国家级调研、督导、内业核查和外业抽查等工作。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9" w:type="dxa"/>
            <w:vMerge w:val="continue"/>
            <w:shd w:val="clear" w:color="auto" w:fill="auto"/>
            <w:vAlign w:val="center"/>
          </w:tcPr>
          <w:p>
            <w:pPr>
              <w:rPr>
                <w:rFonts w:hint="eastAsia" w:ascii="宋体" w:hAnsi="宋体" w:eastAsia="宋体" w:cs="宋体"/>
                <w:color w:val="auto"/>
                <w:kern w:val="2"/>
                <w:sz w:val="24"/>
                <w:szCs w:val="24"/>
                <w:highlight w:val="none"/>
              </w:rPr>
            </w:pPr>
          </w:p>
        </w:tc>
        <w:tc>
          <w:tcPr>
            <w:tcW w:w="1350" w:type="dxa"/>
            <w:vMerge w:val="continue"/>
            <w:shd w:val="clear" w:color="auto" w:fill="auto"/>
            <w:vAlign w:val="center"/>
          </w:tcPr>
          <w:p>
            <w:pPr>
              <w:rPr>
                <w:rFonts w:hint="eastAsia" w:ascii="宋体" w:hAnsi="宋体" w:eastAsia="宋体" w:cs="宋体"/>
                <w:color w:val="auto"/>
                <w:kern w:val="2"/>
                <w:sz w:val="24"/>
                <w:szCs w:val="24"/>
                <w:highlight w:val="none"/>
              </w:rPr>
            </w:pPr>
          </w:p>
        </w:tc>
        <w:tc>
          <w:tcPr>
            <w:tcW w:w="550" w:type="dxa"/>
            <w:vMerge w:val="continue"/>
            <w:shd w:val="clear" w:color="auto" w:fill="auto"/>
            <w:vAlign w:val="center"/>
          </w:tcPr>
          <w:p>
            <w:pPr>
              <w:rPr>
                <w:rFonts w:hint="eastAsia" w:ascii="宋体" w:hAnsi="宋体" w:eastAsia="宋体" w:cs="宋体"/>
                <w:color w:val="auto"/>
                <w:kern w:val="2"/>
                <w:sz w:val="24"/>
                <w:szCs w:val="24"/>
                <w:highlight w:val="none"/>
              </w:rPr>
            </w:pPr>
          </w:p>
        </w:tc>
        <w:tc>
          <w:tcPr>
            <w:tcW w:w="687" w:type="dxa"/>
            <w:gridSpan w:val="3"/>
            <w:vMerge w:val="continue"/>
            <w:shd w:val="clear" w:color="auto" w:fill="auto"/>
            <w:vAlign w:val="center"/>
          </w:tcPr>
          <w:p>
            <w:pPr>
              <w:rPr>
                <w:rFonts w:hint="eastAsia" w:ascii="宋体" w:hAnsi="宋体" w:eastAsia="宋体" w:cs="宋体"/>
                <w:color w:val="auto"/>
                <w:sz w:val="24"/>
                <w:szCs w:val="24"/>
                <w:highlight w:val="none"/>
              </w:rPr>
            </w:pPr>
          </w:p>
        </w:tc>
        <w:tc>
          <w:tcPr>
            <w:tcW w:w="7188" w:type="dxa"/>
            <w:shd w:val="clear" w:color="auto" w:fill="auto"/>
            <w:vAlign w:val="center"/>
          </w:tcPr>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三、作业依据标准规范</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1、CJJ/T8-2011《城市测量规范》</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2、TD/T1001-2012《地籍调查规程》</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3、GB/T21010-2007《土地利用现状分类》</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4、GB/T24356-2009《测绘成果质量检查与验收》</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5、GB/T18316-2008《数字测绘成果质量检查与验收》。</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color w:val="auto"/>
                <w:sz w:val="24"/>
                <w:szCs w:val="24"/>
                <w:highlight w:val="none"/>
              </w:rPr>
              <w:t>《农村乱占耕地建房专项整治行动部际协调机制办公室关于印发农村乱占耕地建房问题摸排工作方案的通知》（协调机制办发〔2020〕1号）</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7、《广西壮族自治区自然资源厅广西壮族自治区农业农村厅关于开展全区农村乱占耕地建房状况调查的通知》（桂自然资发〔2020〕30号）</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8、《玉林市农村乱占耕地建房状况调查工作方案》</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9、《兴业县农村乱占耕地建房状况调查工作方案》</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10、《自治区农村乱占耕地建房问题摸排实施方案》</w:t>
            </w:r>
          </w:p>
          <w:p>
            <w:pP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当相关规范与项目实施方案不一致时，以本项目的实施方案为准，本项目相关技术文件更新时，以变更后的版本为准，实际操作过程中确实无法参照的需编写技术补充规定。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9" w:type="dxa"/>
            <w:vMerge w:val="continue"/>
            <w:shd w:val="clear" w:color="auto" w:fill="auto"/>
            <w:vAlign w:val="center"/>
          </w:tcPr>
          <w:p>
            <w:pPr>
              <w:rPr>
                <w:rFonts w:hint="eastAsia" w:ascii="宋体" w:hAnsi="宋体" w:eastAsia="宋体" w:cs="宋体"/>
                <w:color w:val="auto"/>
                <w:kern w:val="2"/>
                <w:sz w:val="24"/>
                <w:szCs w:val="24"/>
                <w:highlight w:val="none"/>
              </w:rPr>
            </w:pPr>
          </w:p>
        </w:tc>
        <w:tc>
          <w:tcPr>
            <w:tcW w:w="1350" w:type="dxa"/>
            <w:vMerge w:val="continue"/>
            <w:shd w:val="clear" w:color="auto" w:fill="auto"/>
            <w:vAlign w:val="center"/>
          </w:tcPr>
          <w:p>
            <w:pPr>
              <w:rPr>
                <w:rFonts w:hint="eastAsia" w:ascii="宋体" w:hAnsi="宋体" w:eastAsia="宋体" w:cs="宋体"/>
                <w:color w:val="auto"/>
                <w:kern w:val="2"/>
                <w:sz w:val="24"/>
                <w:szCs w:val="24"/>
                <w:highlight w:val="none"/>
              </w:rPr>
            </w:pPr>
          </w:p>
        </w:tc>
        <w:tc>
          <w:tcPr>
            <w:tcW w:w="550" w:type="dxa"/>
            <w:vMerge w:val="continue"/>
            <w:shd w:val="clear" w:color="auto" w:fill="auto"/>
            <w:vAlign w:val="center"/>
          </w:tcPr>
          <w:p>
            <w:pPr>
              <w:rPr>
                <w:rFonts w:hint="eastAsia" w:ascii="宋体" w:hAnsi="宋体" w:eastAsia="宋体" w:cs="宋体"/>
                <w:color w:val="auto"/>
                <w:kern w:val="2"/>
                <w:sz w:val="24"/>
                <w:szCs w:val="24"/>
                <w:highlight w:val="none"/>
              </w:rPr>
            </w:pPr>
          </w:p>
        </w:tc>
        <w:tc>
          <w:tcPr>
            <w:tcW w:w="687" w:type="dxa"/>
            <w:gridSpan w:val="3"/>
            <w:vMerge w:val="continue"/>
            <w:shd w:val="clear" w:color="auto" w:fill="auto"/>
            <w:vAlign w:val="center"/>
          </w:tcPr>
          <w:p>
            <w:pPr>
              <w:rPr>
                <w:rFonts w:hint="eastAsia" w:ascii="宋体" w:hAnsi="宋体" w:eastAsia="宋体" w:cs="宋体"/>
                <w:color w:val="auto"/>
                <w:sz w:val="24"/>
                <w:szCs w:val="24"/>
                <w:highlight w:val="none"/>
              </w:rPr>
            </w:pPr>
          </w:p>
        </w:tc>
        <w:tc>
          <w:tcPr>
            <w:tcW w:w="7188" w:type="dxa"/>
            <w:shd w:val="clear" w:color="auto" w:fill="auto"/>
            <w:vAlign w:val="center"/>
          </w:tcPr>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四、采用系统及有关参数</w:t>
            </w:r>
          </w:p>
          <w:p>
            <w:pPr>
              <w:pStyle w:val="27"/>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（1）平面坐标系统：采用2000国家大地坐标系，高斯-克吕格正形投影，3度带，中央子午线111度，横坐标Y加常数东偏500公里，数据加带号。</w:t>
            </w:r>
          </w:p>
          <w:p>
            <w:pPr>
              <w:pStyle w:val="27"/>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（2）高程系统：采用1985国家高程基准。</w:t>
            </w:r>
          </w:p>
          <w:p>
            <w:pPr>
              <w:pStyle w:val="27"/>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（3）计量单位： 面积计算单位采用平方米（m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）和亩，平方米（m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）保留两位小数，亩保留4位小数。</w:t>
            </w:r>
          </w:p>
          <w:p>
            <w:pPr>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9" w:type="dxa"/>
            <w:shd w:val="clear" w:color="auto" w:fill="auto"/>
            <w:vAlign w:val="center"/>
          </w:tcPr>
          <w:p>
            <w:pPr>
              <w:rPr>
                <w:rFonts w:hint="eastAsia" w:ascii="宋体" w:hAnsi="宋体" w:eastAsia="宋体" w:cs="宋体"/>
                <w:color w:val="auto"/>
                <w:kern w:val="2"/>
                <w:sz w:val="24"/>
                <w:szCs w:val="24"/>
                <w:highlight w:val="none"/>
              </w:rPr>
            </w:pPr>
          </w:p>
        </w:tc>
        <w:tc>
          <w:tcPr>
            <w:tcW w:w="1350" w:type="dxa"/>
            <w:shd w:val="clear" w:color="auto" w:fill="auto"/>
            <w:vAlign w:val="center"/>
          </w:tcPr>
          <w:p>
            <w:pPr>
              <w:rPr>
                <w:rFonts w:hint="eastAsia" w:ascii="宋体" w:hAnsi="宋体" w:eastAsia="宋体" w:cs="宋体"/>
                <w:color w:val="auto"/>
                <w:kern w:val="2"/>
                <w:sz w:val="24"/>
                <w:szCs w:val="24"/>
                <w:highlight w:val="none"/>
              </w:rPr>
            </w:pPr>
          </w:p>
        </w:tc>
        <w:tc>
          <w:tcPr>
            <w:tcW w:w="550" w:type="dxa"/>
            <w:shd w:val="clear" w:color="auto" w:fill="auto"/>
            <w:vAlign w:val="center"/>
          </w:tcPr>
          <w:p>
            <w:pPr>
              <w:rPr>
                <w:rFonts w:hint="eastAsia" w:ascii="宋体" w:hAnsi="宋体" w:eastAsia="宋体" w:cs="宋体"/>
                <w:color w:val="auto"/>
                <w:kern w:val="2"/>
                <w:sz w:val="24"/>
                <w:szCs w:val="24"/>
                <w:highlight w:val="none"/>
              </w:rPr>
            </w:pPr>
          </w:p>
        </w:tc>
        <w:tc>
          <w:tcPr>
            <w:tcW w:w="687" w:type="dxa"/>
            <w:gridSpan w:val="3"/>
            <w:shd w:val="clear" w:color="auto" w:fill="auto"/>
            <w:vAlign w:val="center"/>
          </w:tcPr>
          <w:p>
            <w:pPr>
              <w:rPr>
                <w:rFonts w:hint="eastAsia" w:ascii="宋体" w:hAnsi="宋体" w:eastAsia="宋体" w:cs="宋体"/>
                <w:color w:val="auto"/>
                <w:sz w:val="24"/>
                <w:szCs w:val="24"/>
                <w:highlight w:val="none"/>
              </w:rPr>
            </w:pPr>
          </w:p>
        </w:tc>
        <w:tc>
          <w:tcPr>
            <w:tcW w:w="7188" w:type="dxa"/>
            <w:shd w:val="clear" w:color="auto" w:fill="auto"/>
            <w:vAlign w:val="center"/>
          </w:tcPr>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五、技术要求</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成果应按照《农村乱占耕地建房专项整治行动部际协调机制办公室关于印发农村乱占耕地建房问题摸排工作方案的通知》、《广西壮族自治区自然资源厅广西壮族自治区农业农村厅关于开展全区农村乱占耕地建房状况调查的通知》、《广西壮族自治区自然资源厅办公室关于进一步推进全区农村乱占耕地建房状况调查工作的通知》、《玉林市农村乱占耕地建房状况调查工作方案》、《兴业县农村乱占耕地建房状况调查工作方案》规定，符合部际协调机制办公室、自治区、兴业县关于开展农村乱占耕地建房状况调查工作要求。</w:t>
            </w:r>
          </w:p>
          <w:p>
            <w:pPr>
              <w:spacing w:line="400" w:lineRule="exact"/>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六、提交成果</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（一）使用“国土调查云”举证软件拍摄兴业县疑似乱占耕地建房图斑举证照片及填写基本信息，并将成果提交到举证平台；</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（二）填写并提交《农村乱占耕地建房专项整治行动部际协调机制办公室关于印发农村乱占耕地建房问题摸排工作方案的通知》内的《信息采集表》；</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（三）形成“一宗一台账”的台账记录；</w:t>
            </w:r>
          </w:p>
          <w:p>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（四）建立形成兴业县农村乱占耕地建房数据库。</w:t>
            </w:r>
          </w:p>
          <w:p>
            <w:pP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（五）提交技术设计书、检查报告、工作报告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0454" w:type="dxa"/>
            <w:gridSpan w:val="7"/>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二、涉及项目的其他要求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采购预算</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人民币壹佰伍拾壹万伍仟零壹拾元整（¥2500000.00元）。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为落实政府采购政策需满足的要求</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具体见本招标文件第三章“投标人须知”，以及第四章“评标办法及评分标准”。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规范标准</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采购标的需满足的质量、安全、技术规格、物理特性、服务标准、期限、效率等</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见本表“</w:t>
            </w:r>
            <w:r>
              <w:rPr>
                <w:rFonts w:hint="eastAsia" w:ascii="宋体" w:hAnsi="宋体" w:eastAsia="宋体" w:cs="宋体"/>
                <w:color w:val="auto"/>
                <w:kern w:val="2"/>
                <w:sz w:val="24"/>
                <w:szCs w:val="24"/>
                <w:highlight w:val="none"/>
                <w:lang w:eastAsia="zh-CN"/>
              </w:rPr>
              <w:t>服务内容及要求</w:t>
            </w:r>
            <w:r>
              <w:rPr>
                <w:rFonts w:hint="eastAsia" w:ascii="宋体" w:hAnsi="宋体" w:eastAsia="宋体" w:cs="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验收标准</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符合《广西壮族自治区自然资源厅广西壮族自治区农业农村厅关于开展全区农村乱占耕地建房状况调查的通知》（桂自然资发〔2020〕30号）。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其他技术及服务要求</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1、符合自GB/T18316-2008《数字测绘成果质量检查与验收》；</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2、GB/T24356-2009《测绘成果质量检查与验收》</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3、GB/T21010-2007《土地利用现状分类》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454" w:type="dxa"/>
            <w:gridSpan w:val="7"/>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服务期限及地点</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1.服务期限：60天（日历天）。</w:t>
            </w:r>
          </w:p>
          <w:p>
            <w:pPr>
              <w:pStyle w:val="7"/>
              <w:ind w:left="0" w:leftChars="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2.服务地点：广西玉林市</w:t>
            </w:r>
            <w:r>
              <w:rPr>
                <w:rFonts w:hint="eastAsia" w:ascii="宋体" w:hAnsi="宋体" w:eastAsia="宋体" w:cs="宋体"/>
                <w:color w:val="auto"/>
                <w:kern w:val="2"/>
                <w:sz w:val="24"/>
                <w:szCs w:val="24"/>
                <w:highlight w:val="none"/>
                <w:lang w:eastAsia="zh-CN"/>
              </w:rPr>
              <w:t>兴业</w:t>
            </w:r>
            <w:r>
              <w:rPr>
                <w:rFonts w:hint="eastAsia" w:ascii="宋体" w:hAnsi="宋体" w:eastAsia="宋体" w:cs="宋体"/>
                <w:color w:val="auto"/>
                <w:kern w:val="2"/>
                <w:sz w:val="24"/>
                <w:szCs w:val="24"/>
                <w:highlight w:val="none"/>
              </w:rPr>
              <w:t>县采购人辖区范围内。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付款条件</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正式签订合同后15个工作日内，采购人向中标人支付合同金额的30%；项目完成，中标人提交全部资料后15个工作日内，采购人向中标人支付合同金额的60%；通过核查后15个工作日内，采购人向中标人支付剩余项目款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质量保证期</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1年（自提交服务成果并验收合格之日起计），在质保期内，当国家标准、技术规范发生改变时，中标供应商须免费修改相关内容。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122" w:type="dxa"/>
            <w:gridSpan w:val="4"/>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处理问题响应时间</w:t>
            </w:r>
          </w:p>
        </w:tc>
        <w:tc>
          <w:tcPr>
            <w:tcW w:w="7332" w:type="dxa"/>
            <w:gridSpan w:val="3"/>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接到采购人处理问题通知后6个小时内到达采购人指定现场，12个小时内提出解决方案，2个工作日内完成问题处理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122" w:type="dxa"/>
            <w:gridSpan w:val="4"/>
            <w:shd w:val="clear" w:color="auto" w:fill="auto"/>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7332" w:type="dxa"/>
            <w:gridSpan w:val="3"/>
            <w:shd w:val="clear" w:color="auto" w:fill="auto"/>
            <w:vAlign w:val="center"/>
          </w:tcPr>
          <w:p>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报价必须含以下部分，包括：</w:t>
            </w:r>
          </w:p>
          <w:p>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（1）服务的价格；</w:t>
            </w:r>
          </w:p>
          <w:p>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（2）必要的保险费用和各项税金；</w:t>
            </w:r>
          </w:p>
          <w:p>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（3）验收的费用；</w:t>
            </w:r>
          </w:p>
          <w:p>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（4）售后付款服务、技术支持、培训等费用；</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（5）项目实施过程中的所需的费用。</w:t>
            </w:r>
          </w:p>
          <w:p>
            <w:pPr>
              <w:pStyle w:val="2"/>
              <w:ind w:left="0" w:leftChars="0" w:firstLine="0" w:firstLineChars="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2.保密要求：中标供应商须严格遵守采购人保密制度要求，在项目开展过程中，对本项目所有项目信息以及接触到数据予以保密，未经采购人书面允许，不得以任何形式向第三方透露本项目的任何内容。</w:t>
            </w:r>
          </w:p>
          <w:p>
            <w:pPr>
              <w:pStyle w:val="2"/>
              <w:ind w:left="0" w:leftChars="0" w:firstLine="0" w:firstLineChars="0"/>
              <w:rPr>
                <w:rFonts w:hint="default" w:ascii="宋体" w:hAnsi="宋体" w:eastAsia="宋体" w:cs="宋体"/>
                <w:color w:val="auto"/>
                <w:kern w:val="2"/>
                <w:sz w:val="24"/>
                <w:szCs w:val="24"/>
                <w:highlight w:val="none"/>
                <w:lang w:val="en-US" w:eastAsia="zh-CN" w:bidi="ar"/>
              </w:rPr>
            </w:pPr>
            <w:r>
              <w:rPr>
                <w:rFonts w:hint="eastAsia" w:ascii="宋体" w:eastAsia="宋体" w:cs="宋体"/>
                <w:color w:val="auto"/>
                <w:kern w:val="2"/>
                <w:sz w:val="24"/>
                <w:szCs w:val="24"/>
                <w:highlight w:val="none"/>
                <w:lang w:val="en-US" w:eastAsia="zh-CN" w:bidi="ar"/>
              </w:rPr>
              <w:t>3.踏勘现场：投标人需根据采购单位要求对项目实施现场进行现场勘查，现场勘查联系人：李晓东，联系电话：18176506760。【注:（1）2020年11月30日北京时间8时00分整采购单位统一组织踏勘现场，（2)请各投标人自备《现场踏勘确认表》（格式附后）一式两份及在政采云平台上报名成功的有效凭证，由法定代表人或委托代理人持有效证件（法定代表人前往踏勘现场的持本人身份证原件、营业执照副本复印件并加盖章单位公章及在政采云平台上报名成功的有效凭证；委托代理人前往踏勘现场的持本人身份证原件、营业执照副本复印件、法定代表人身份证正、反面复印件并加盖章单位公章及在政采云平台上报名成功的有效凭证，前往踏勘现场，现场踏勘完毕后由采购单位经办人签字、盖章确认。（3）投标人应承担现场踏勘的责任和风险，现场踏勘所产生的费用由投标人自己承担。】《现场踏勘确认表》作为投标文件的一部分，无《现场踏勘确认表》的投标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 w:hRule="atLeast"/>
        </w:trPr>
        <w:tc>
          <w:tcPr>
            <w:tcW w:w="10454" w:type="dxa"/>
            <w:gridSpan w:val="7"/>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四、投标人的资信要求表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131" w:type="dxa"/>
            <w:gridSpan w:val="5"/>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政策性加分条件</w:t>
            </w:r>
          </w:p>
        </w:tc>
        <w:tc>
          <w:tcPr>
            <w:tcW w:w="7323" w:type="dxa"/>
            <w:gridSpan w:val="2"/>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454" w:type="dxa"/>
            <w:gridSpan w:val="7"/>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五、采购人对项目的特殊要求及说明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131" w:type="dxa"/>
            <w:gridSpan w:val="5"/>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采购人的特殊要求及说明</w:t>
            </w:r>
          </w:p>
        </w:tc>
        <w:tc>
          <w:tcPr>
            <w:tcW w:w="7323" w:type="dxa"/>
            <w:gridSpan w:val="2"/>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w:t>
            </w:r>
          </w:p>
        </w:tc>
      </w:tr>
    </w:tbl>
    <w:p>
      <w:pPr>
        <w:rPr>
          <w:rFonts w:hint="eastAsia" w:asciiTheme="majorEastAsia" w:hAnsiTheme="majorEastAsia" w:eastAsiaTheme="majorEastAsia" w:cstheme="majorEastAsia"/>
          <w:color w:val="auto"/>
          <w:kern w:val="2"/>
          <w:sz w:val="28"/>
          <w:szCs w:val="28"/>
          <w:highlight w:val="none"/>
        </w:rPr>
      </w:pPr>
      <w:r>
        <w:rPr>
          <w:rFonts w:hint="eastAsia" w:asciiTheme="majorEastAsia" w:hAnsiTheme="majorEastAsia" w:eastAsiaTheme="majorEastAsia" w:cstheme="majorEastAsia"/>
          <w:color w:val="auto"/>
          <w:kern w:val="2"/>
          <w:sz w:val="28"/>
          <w:szCs w:val="28"/>
          <w:highlight w:val="none"/>
        </w:rPr>
        <w:t xml:space="preserve"> </w:t>
      </w:r>
    </w:p>
    <w:p>
      <w:pPr>
        <w:rPr>
          <w:rFonts w:hint="eastAsia" w:asciiTheme="majorEastAsia" w:hAnsiTheme="majorEastAsia" w:eastAsiaTheme="majorEastAsia" w:cstheme="majorEastAsia"/>
          <w:color w:val="auto"/>
          <w:kern w:val="2"/>
          <w:sz w:val="28"/>
          <w:szCs w:val="28"/>
          <w:highlight w:val="none"/>
        </w:rPr>
      </w:pPr>
      <w:bookmarkStart w:id="44" w:name="_Toc24366219"/>
      <w:bookmarkEnd w:id="44"/>
      <w:r>
        <w:rPr>
          <w:rFonts w:hint="eastAsia" w:asciiTheme="majorEastAsia" w:hAnsiTheme="majorEastAsia" w:eastAsiaTheme="majorEastAsia" w:cstheme="majorEastAsia"/>
          <w:color w:val="auto"/>
          <w:kern w:val="2"/>
          <w:sz w:val="28"/>
          <w:szCs w:val="28"/>
          <w:highlight w:val="none"/>
        </w:rPr>
        <w:t xml:space="preserve"> </w:t>
      </w:r>
    </w:p>
    <w:p>
      <w:pPr>
        <w:pStyle w:val="19"/>
        <w:rPr>
          <w:rFonts w:hint="eastAsia" w:asciiTheme="majorEastAsia" w:hAnsiTheme="majorEastAsia" w:eastAsiaTheme="majorEastAsia" w:cstheme="majorEastAsia"/>
          <w:b/>
          <w:color w:val="auto"/>
          <w:kern w:val="2"/>
          <w:sz w:val="36"/>
          <w:szCs w:val="36"/>
          <w:highlight w:val="none"/>
        </w:rPr>
      </w:pPr>
      <w:r>
        <w:rPr>
          <w:rFonts w:hint="eastAsia" w:asciiTheme="majorEastAsia" w:hAnsiTheme="majorEastAsia" w:eastAsiaTheme="majorEastAsia" w:cstheme="majorEastAsia"/>
          <w:b/>
          <w:color w:val="auto"/>
          <w:kern w:val="2"/>
          <w:sz w:val="32"/>
          <w:szCs w:val="32"/>
          <w:highlight w:val="none"/>
        </w:rPr>
        <w:br w:type="page"/>
      </w:r>
      <w:bookmarkStart w:id="45" w:name="_Toc17439"/>
      <w:r>
        <w:rPr>
          <w:rFonts w:hint="eastAsia" w:asciiTheme="majorEastAsia" w:hAnsiTheme="majorEastAsia" w:eastAsiaTheme="majorEastAsia" w:cstheme="majorEastAsia"/>
          <w:b/>
          <w:color w:val="auto"/>
          <w:kern w:val="2"/>
          <w:sz w:val="36"/>
          <w:szCs w:val="36"/>
          <w:highlight w:val="none"/>
        </w:rPr>
        <w:t>第三章  投标人须知</w:t>
      </w:r>
      <w:bookmarkEnd w:id="45"/>
    </w:p>
    <w:p>
      <w:pPr>
        <w:jc w:val="center"/>
        <w:rPr>
          <w:rFonts w:hint="eastAsia" w:asciiTheme="majorEastAsia" w:hAnsiTheme="majorEastAsia" w:eastAsiaTheme="majorEastAsia" w:cstheme="majorEastAsia"/>
          <w:color w:val="auto"/>
          <w:kern w:val="2"/>
          <w:sz w:val="32"/>
          <w:szCs w:val="32"/>
          <w:highlight w:val="none"/>
        </w:rPr>
      </w:pPr>
      <w:bookmarkStart w:id="46" w:name="_Toc254970526"/>
      <w:bookmarkEnd w:id="46"/>
      <w:bookmarkStart w:id="47" w:name="_Toc254970667"/>
      <w:r>
        <w:rPr>
          <w:rFonts w:hint="eastAsia" w:asciiTheme="majorEastAsia" w:hAnsiTheme="majorEastAsia" w:eastAsiaTheme="majorEastAsia" w:cstheme="majorEastAsia"/>
          <w:color w:val="auto"/>
          <w:kern w:val="2"/>
          <w:sz w:val="32"/>
          <w:szCs w:val="32"/>
          <w:highlight w:val="none"/>
        </w:rPr>
        <w:t>投标人须知前附表</w:t>
      </w:r>
      <w:bookmarkEnd w:id="47"/>
    </w:p>
    <w:tbl>
      <w:tblPr>
        <w:tblStyle w:val="20"/>
        <w:tblW w:w="10317"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40"/>
        <w:gridCol w:w="907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条款号</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48" w:name="_5"/>
            <w:bookmarkEnd w:id="48"/>
            <w:r>
              <w:rPr>
                <w:rFonts w:hint="eastAsia" w:asciiTheme="majorEastAsia" w:hAnsiTheme="majorEastAsia" w:eastAsiaTheme="majorEastAsia" w:cstheme="majorEastAsia"/>
                <w:color w:val="auto"/>
                <w:kern w:val="2"/>
                <w:sz w:val="24"/>
                <w:szCs w:val="24"/>
                <w:highlight w:val="none"/>
              </w:rPr>
              <w:t>5</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b/>
                <w:bCs/>
                <w:color w:val="auto"/>
                <w:kern w:val="2"/>
                <w:sz w:val="24"/>
                <w:szCs w:val="24"/>
                <w:highlight w:val="none"/>
              </w:rPr>
              <w:t>投标费用：</w:t>
            </w:r>
            <w:r>
              <w:rPr>
                <w:rFonts w:hint="eastAsia" w:asciiTheme="majorEastAsia" w:hAnsiTheme="majorEastAsia" w:eastAsiaTheme="majorEastAsia" w:cstheme="majorEastAsia"/>
                <w:color w:val="auto"/>
                <w:kern w:val="2"/>
                <w:sz w:val="24"/>
                <w:szCs w:val="24"/>
                <w:highlight w:val="none"/>
              </w:rPr>
              <w:t>投标人投标期间与投标有关的全部费用（招标文件有相关规定的除外），不论投标结果如何， 均应自行承担。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49" w:name="_9.2"/>
            <w:bookmarkEnd w:id="49"/>
            <w:r>
              <w:rPr>
                <w:rFonts w:hint="eastAsia" w:asciiTheme="majorEastAsia" w:hAnsiTheme="majorEastAsia" w:eastAsiaTheme="majorEastAsia" w:cstheme="majorEastAsia"/>
                <w:color w:val="auto"/>
                <w:kern w:val="2"/>
                <w:sz w:val="24"/>
                <w:szCs w:val="24"/>
                <w:highlight w:val="none"/>
              </w:rPr>
              <w:t>6.1</w:t>
            </w:r>
          </w:p>
        </w:tc>
        <w:tc>
          <w:tcPr>
            <w:tcW w:w="9077" w:type="dxa"/>
            <w:tcBorders>
              <w:top w:val="single" w:color="auto" w:sz="4" w:space="0"/>
              <w:left w:val="nil"/>
              <w:bottom w:val="single" w:color="auto" w:sz="4" w:space="0"/>
              <w:right w:val="single" w:color="auto" w:sz="4" w:space="0"/>
            </w:tcBorders>
            <w:shd w:val="clear" w:color="auto" w:fill="auto"/>
            <w:vAlign w:val="center"/>
          </w:tcPr>
          <w:p>
            <w:pPr>
              <w:pStyle w:val="8"/>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不接受联合体投标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7.2</w:t>
            </w:r>
          </w:p>
        </w:tc>
        <w:tc>
          <w:tcPr>
            <w:tcW w:w="9077" w:type="dxa"/>
            <w:tcBorders>
              <w:top w:val="single" w:color="auto" w:sz="4" w:space="0"/>
              <w:left w:val="nil"/>
              <w:bottom w:val="single" w:color="auto" w:sz="4" w:space="0"/>
              <w:right w:val="single" w:color="auto" w:sz="4" w:space="0"/>
            </w:tcBorders>
            <w:shd w:val="clear" w:color="auto" w:fill="auto"/>
            <w:vAlign w:val="center"/>
          </w:tcPr>
          <w:p>
            <w:pPr>
              <w:pStyle w:val="8"/>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不允许分包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9.2</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递交质疑函方式：以书面形式</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质疑联系部门及联系方式：</w:t>
            </w:r>
            <w:r>
              <w:rPr>
                <w:rFonts w:hint="eastAsia" w:asciiTheme="majorEastAsia" w:hAnsiTheme="majorEastAsia" w:eastAsiaTheme="majorEastAsia" w:cstheme="majorEastAsia"/>
                <w:color w:val="auto"/>
                <w:kern w:val="2"/>
                <w:sz w:val="24"/>
                <w:szCs w:val="24"/>
                <w:highlight w:val="none"/>
                <w:lang w:eastAsia="zh-CN"/>
              </w:rPr>
              <w:t>湖南英邦工程建设咨询有限公司</w:t>
            </w:r>
            <w:r>
              <w:rPr>
                <w:rFonts w:hint="eastAsia" w:asciiTheme="majorEastAsia" w:hAnsiTheme="majorEastAsia" w:eastAsiaTheme="majorEastAsia" w:cstheme="majorEastAsia"/>
                <w:color w:val="auto"/>
                <w:kern w:val="2"/>
                <w:sz w:val="24"/>
                <w:szCs w:val="24"/>
                <w:highlight w:val="none"/>
              </w:rPr>
              <w:t>招标部，联系电话：0775-</w:t>
            </w:r>
            <w:r>
              <w:rPr>
                <w:rFonts w:hint="eastAsia" w:asciiTheme="majorEastAsia" w:hAnsiTheme="majorEastAsia" w:eastAsiaTheme="majorEastAsia" w:cstheme="majorEastAsia"/>
                <w:color w:val="auto"/>
                <w:kern w:val="2"/>
                <w:sz w:val="24"/>
                <w:szCs w:val="24"/>
                <w:highlight w:val="none"/>
                <w:lang w:val="en-US" w:eastAsia="zh-CN"/>
              </w:rPr>
              <w:t>2121993</w:t>
            </w:r>
            <w:r>
              <w:rPr>
                <w:rFonts w:hint="eastAsia" w:asciiTheme="majorEastAsia" w:hAnsiTheme="majorEastAsia" w:eastAsiaTheme="majorEastAsia" w:cstheme="majorEastAsia"/>
                <w:color w:val="auto"/>
                <w:kern w:val="2"/>
                <w:sz w:val="24"/>
                <w:szCs w:val="24"/>
                <w:highlight w:val="none"/>
              </w:rPr>
              <w:t xml:space="preserve"> ，通讯地址：</w:t>
            </w:r>
            <w:r>
              <w:rPr>
                <w:rFonts w:hint="eastAsia" w:asciiTheme="majorEastAsia" w:hAnsiTheme="majorEastAsia" w:eastAsiaTheme="majorEastAsia" w:cstheme="majorEastAsia"/>
                <w:color w:val="auto"/>
                <w:kern w:val="2"/>
                <w:sz w:val="24"/>
                <w:szCs w:val="24"/>
                <w:highlight w:val="none"/>
                <w:lang w:eastAsia="zh-CN"/>
              </w:rPr>
              <w:t>玉林市玉州区石牛路石牛安置区C区（东盛华府东门对面桂东南营业部三楼）</w:t>
            </w:r>
            <w:r>
              <w:rPr>
                <w:rFonts w:hint="eastAsia" w:asciiTheme="majorEastAsia" w:hAnsiTheme="majorEastAsia" w:eastAsiaTheme="majorEastAsia" w:cstheme="majorEastAsia"/>
                <w:color w:val="auto"/>
                <w:kern w:val="2"/>
                <w:sz w:val="24"/>
                <w:szCs w:val="24"/>
                <w:highlight w:val="none"/>
              </w:rPr>
              <w:t>；</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业务时间：每天8时00分00秒到12时00分00秒，15时00分00秒到18时 00分00秒，双休日和法定节假日不办理业务。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50" w:name="_13.1"/>
            <w:bookmarkEnd w:id="50"/>
            <w:r>
              <w:rPr>
                <w:rFonts w:hint="eastAsia" w:asciiTheme="majorEastAsia" w:hAnsiTheme="majorEastAsia" w:eastAsiaTheme="majorEastAsia" w:cstheme="majorEastAsia"/>
                <w:color w:val="auto"/>
                <w:kern w:val="2"/>
                <w:sz w:val="24"/>
                <w:szCs w:val="24"/>
                <w:highlight w:val="none"/>
              </w:rPr>
              <w:t>13.</w:t>
            </w:r>
            <w:bookmarkStart w:id="51" w:name="_Hlt19632543"/>
            <w:r>
              <w:rPr>
                <w:rFonts w:hint="eastAsia" w:asciiTheme="majorEastAsia" w:hAnsiTheme="majorEastAsia" w:eastAsiaTheme="majorEastAsia" w:cstheme="majorEastAsia"/>
                <w:color w:val="auto"/>
                <w:kern w:val="2"/>
                <w:sz w:val="24"/>
                <w:szCs w:val="24"/>
                <w:highlight w:val="none"/>
              </w:rPr>
              <w:t>1</w:t>
            </w:r>
            <w:bookmarkEnd w:id="51"/>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b/>
                <w:bCs/>
                <w:color w:val="auto"/>
                <w:kern w:val="2"/>
                <w:sz w:val="24"/>
                <w:szCs w:val="24"/>
                <w:highlight w:val="none"/>
              </w:rPr>
              <w:t>报价文件</w:t>
            </w:r>
            <w:r>
              <w:rPr>
                <w:rFonts w:hint="eastAsia" w:asciiTheme="majorEastAsia" w:hAnsiTheme="majorEastAsia" w:eastAsiaTheme="majorEastAsia" w:cstheme="majorEastAsia"/>
                <w:color w:val="auto"/>
                <w:kern w:val="2"/>
                <w:sz w:val="24"/>
                <w:szCs w:val="24"/>
                <w:highlight w:val="none"/>
              </w:rPr>
              <w:t>：</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1.投标函（格式后附）；（必须提供，否则作无效投标处理）</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2.开标一览表（格式后附）； （必须提供，否则作无效投标处理）</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3.投标人针对报价需要说明的其他文件和说明（格式自拟）。</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注：投标函、开标一览表必须由法定代表人（负责人或自然人）或委托代理人在规定签章处逐一签字或签章并加盖投标人公章，否则作无效投标处理。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52" w:name="_13.2"/>
            <w:bookmarkEnd w:id="52"/>
            <w:r>
              <w:rPr>
                <w:rFonts w:hint="eastAsia" w:asciiTheme="majorEastAsia" w:hAnsiTheme="majorEastAsia" w:eastAsiaTheme="majorEastAsia" w:cstheme="majorEastAsia"/>
                <w:color w:val="auto"/>
                <w:kern w:val="2"/>
                <w:sz w:val="24"/>
                <w:szCs w:val="24"/>
                <w:highlight w:val="none"/>
              </w:rPr>
              <w:t>13</w:t>
            </w:r>
            <w:bookmarkStart w:id="53" w:name="_Hlt19632532"/>
            <w:r>
              <w:rPr>
                <w:rFonts w:hint="eastAsia" w:asciiTheme="majorEastAsia" w:hAnsiTheme="majorEastAsia" w:eastAsiaTheme="majorEastAsia" w:cstheme="majorEastAsia"/>
                <w:color w:val="auto"/>
                <w:kern w:val="2"/>
                <w:sz w:val="24"/>
                <w:szCs w:val="24"/>
                <w:highlight w:val="none"/>
              </w:rPr>
              <w:t>.</w:t>
            </w:r>
            <w:bookmarkEnd w:id="53"/>
            <w:r>
              <w:rPr>
                <w:rFonts w:hint="eastAsia" w:asciiTheme="majorEastAsia" w:hAnsiTheme="majorEastAsia" w:eastAsiaTheme="majorEastAsia" w:cstheme="majorEastAsia"/>
                <w:color w:val="auto"/>
                <w:kern w:val="2"/>
                <w:sz w:val="24"/>
                <w:szCs w:val="24"/>
                <w:highlight w:val="none"/>
              </w:rPr>
              <w:t>2</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b/>
                <w:bCs/>
                <w:color w:val="auto"/>
                <w:kern w:val="2"/>
                <w:sz w:val="24"/>
                <w:szCs w:val="24"/>
                <w:highlight w:val="none"/>
              </w:rPr>
            </w:pPr>
            <w:r>
              <w:rPr>
                <w:rFonts w:hint="eastAsia" w:asciiTheme="majorEastAsia" w:hAnsiTheme="majorEastAsia" w:eastAsiaTheme="majorEastAsia" w:cstheme="majorEastAsia"/>
                <w:b/>
                <w:bCs/>
                <w:color w:val="auto"/>
                <w:kern w:val="2"/>
                <w:sz w:val="24"/>
                <w:szCs w:val="24"/>
                <w:highlight w:val="none"/>
              </w:rPr>
              <w:t>资格证明文件</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1.投标人合法的主体资格证明（如营业执照、事业单位法人证书、执业许可证、自然人身份证等）复印件；（必须提供，否则作无效投标处理）</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投标人2020年年度内连续三个月依法缴纳税费的凭据复印件；无纳税记录的，应提供由投标人所在地的税务部门出具的免税证明复印件。从取得营业执照时间起到投标截止时间为止不足要求的，只需提供从取得营业执照起的依法缴纳税费或依法免缴税费的凭据复印件。（原件备查）；（必须提供，否则作无效投标处理）</w:t>
            </w:r>
          </w:p>
          <w:p>
            <w:pPr>
              <w:ind w:firstLine="240" w:firstLineChars="1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投标人2020年年度内连续三个月依法缴纳社保费的缴费凭证（专用收据或社会保险缴纳清单）复印件；无缴费记录的，应提供由投标人所在地行政主管部门出具的依法免缴社保费证明复印件。从取得营业执照时间起到投标截止时间为止不足要求的只需提供从取得营业执照起的依法缴纳社保费的缴费凭证（专用收据或社会保险缴纳清单）复印件。（原件备查）；（必须提供，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投标人2019年财务报表复印件【供应商是法人的，应提供财务报表或财政部门认可的政府采购专业银行、保险机构出具的投标保函或者银行出具的资信证明；从取得营业执照时间起到投标截止时间为止不足要求年数的只需提供从取得营业执照起的证明材料。供应商是其他组织和自然人的，提供财务报表或者银行出具的资信证明】。（必须提供，否则作无效投标处理）</w:t>
            </w:r>
          </w:p>
          <w:p>
            <w:pPr>
              <w:pStyle w:val="2"/>
              <w:ind w:left="0" w:leftChars="0" w:firstLine="0" w:firstLineChars="0"/>
              <w:rPr>
                <w:rFonts w:hint="default" w:asciiTheme="majorEastAsia" w:hAnsiTheme="majorEastAsia" w:eastAsiaTheme="majorEastAsia" w:cstheme="majorEastAsia"/>
                <w:color w:val="auto"/>
                <w:kern w:val="2"/>
                <w:sz w:val="24"/>
                <w:szCs w:val="24"/>
                <w:highlight w:val="none"/>
                <w:lang w:val="en-US" w:eastAsia="zh-CN" w:bidi="ar"/>
              </w:rPr>
            </w:pPr>
            <w:r>
              <w:rPr>
                <w:rFonts w:hint="eastAsia" w:asciiTheme="majorEastAsia" w:hAnsiTheme="majorEastAsia" w:eastAsiaTheme="majorEastAsia" w:cstheme="majorEastAsia"/>
                <w:color w:val="auto"/>
                <w:kern w:val="2"/>
                <w:sz w:val="24"/>
                <w:szCs w:val="24"/>
                <w:highlight w:val="none"/>
                <w:lang w:val="en-US" w:eastAsia="zh-CN"/>
              </w:rPr>
              <w:t>5.</w:t>
            </w:r>
            <w:r>
              <w:rPr>
                <w:rFonts w:hint="eastAsia" w:asciiTheme="majorEastAsia" w:hAnsiTheme="majorEastAsia" w:eastAsiaTheme="majorEastAsia" w:cstheme="majorEastAsia"/>
                <w:color w:val="auto"/>
                <w:kern w:val="2"/>
                <w:sz w:val="24"/>
                <w:szCs w:val="24"/>
                <w:highlight w:val="none"/>
                <w:lang w:val="en-US" w:eastAsia="zh-CN" w:bidi="ar"/>
              </w:rPr>
              <w:t>投标人《现场踏勘确认表》复印件。（原件备查）；（必须提供，否则作无效投标处理）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rPr>
              <w:t>6</w:t>
            </w:r>
            <w:r>
              <w:rPr>
                <w:rFonts w:hint="eastAsia" w:asciiTheme="majorEastAsia" w:hAnsiTheme="majorEastAsia" w:eastAsiaTheme="majorEastAsia" w:cstheme="majorEastAsia"/>
                <w:color w:val="auto"/>
                <w:kern w:val="2"/>
                <w:sz w:val="24"/>
                <w:szCs w:val="24"/>
                <w:highlight w:val="none"/>
              </w:rPr>
              <w:t>.投标声明（格式后附）；（必须提供，否则作无效投标处理）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rPr>
              <w:t>7</w:t>
            </w:r>
            <w:r>
              <w:rPr>
                <w:rFonts w:hint="eastAsia" w:asciiTheme="majorEastAsia" w:hAnsiTheme="majorEastAsia" w:eastAsiaTheme="majorEastAsia" w:cstheme="majorEastAsia"/>
                <w:color w:val="auto"/>
                <w:kern w:val="2"/>
                <w:sz w:val="24"/>
                <w:szCs w:val="24"/>
                <w:highlight w:val="none"/>
              </w:rPr>
              <w:t>除招标文件规定必须提供以外，投标人认为需要提供的其他证明材料。</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注：1.以上标注“必须提供”材料属于复印件的，必须加盖投标人公章，否则作无效投标处理。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2.投标声明必须由法定代表人（负责人或自然人）在规定签章处逐一签字或签章并加盖投标人公章，否则作无效投标处理。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54" w:name="_13.3"/>
            <w:bookmarkEnd w:id="54"/>
            <w:r>
              <w:rPr>
                <w:rFonts w:hint="eastAsia" w:asciiTheme="majorEastAsia" w:hAnsiTheme="majorEastAsia" w:eastAsiaTheme="majorEastAsia" w:cstheme="majorEastAsia"/>
                <w:color w:val="auto"/>
                <w:kern w:val="2"/>
                <w:sz w:val="24"/>
                <w:szCs w:val="24"/>
                <w:highlight w:val="none"/>
              </w:rPr>
              <w:t>13.3</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商务文件：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1.供应商参加本项目无围标串标行为的承诺函（格式后附）；（必须提供，否则作无效投标处理）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2.商务条款偏离表（格式后附）；（必须提供，否则作无效投标处理）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3.法定代表人(负责人或自然人)身份证明及法定代表人(负责人或自然人)有效身份证正反面复印件（格式后附）；（必须提供，否则作无效投标处理）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4.法定代表人(负责人或自然人)授权委托书及委托代理人有效身份证正反面复印件（格式后附）；（委托时必须提供，否则作无效投标处理）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5.配套服务承诺（格式自拟）；（必须提供，并逐页加盖公章，否则作无效投标处理）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6.投标人情况介绍（格式自拟）；</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7.除招标文件规定必须提供以外，投标人认为需要提供的其他证明材料（格式自拟）。（投标人根据本招标文件第二章采购需求及第四章评标办法及评分标准提供有关证明材料）；</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注： 1.法定代表人（负责人或自然人）授权委托书必须由法定代表人（负责人或自然人）及委托代理人签字或签章，并加盖投标人公章，否则作无效投标处理。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2.以上标注“必须提供”材料属于复印件的，必须加盖投标人公章，否则作无效投标处理。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55" w:name="_13.4"/>
            <w:bookmarkEnd w:id="55"/>
            <w:r>
              <w:rPr>
                <w:rFonts w:hint="eastAsia" w:asciiTheme="majorEastAsia" w:hAnsiTheme="majorEastAsia" w:eastAsiaTheme="majorEastAsia" w:cstheme="majorEastAsia"/>
                <w:color w:val="auto"/>
                <w:kern w:val="2"/>
                <w:sz w:val="24"/>
                <w:szCs w:val="24"/>
                <w:highlight w:val="none"/>
              </w:rPr>
              <w:t>13.4</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技术文件：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1.技术响应表（格式后附）；（必须提供，否则作无效投标处理）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2.项目实施人员一览表；（必须提供，并逐页加盖公章，否则作无效投标处理）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3.技术方案（包含但不限于建设目标、建设内容、项目实施方案等）（格式自拟）；（必须提供，并逐页加盖公章， 否则作无效投标处理）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4.业绩（业绩汇总及证明）及信誉资料；（格式自拟）；</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5.投标人对本项目的合理化建议和改进措施；</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6.除招标文件规定必须提供以外，投标人需要说明的其他文件和说明（格式自拟）。</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注： 以上标注“必须提供”材料属于复印件的，必须加盖投标人公章，否则作无效投标处理。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56" w:name="_13.5"/>
            <w:bookmarkEnd w:id="56"/>
            <w:r>
              <w:rPr>
                <w:rFonts w:hint="eastAsia" w:asciiTheme="majorEastAsia" w:hAnsiTheme="majorEastAsia" w:eastAsiaTheme="majorEastAsia" w:cstheme="majorEastAsia"/>
                <w:color w:val="auto"/>
                <w:kern w:val="2"/>
                <w:sz w:val="24"/>
                <w:szCs w:val="24"/>
                <w:highlight w:val="none"/>
              </w:rPr>
              <w:t>13.5</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投标文件电子版。投标人在递交投标文件时，同时递交投标文件电子版。</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1.投标文件电子版内容：与纸质投标文件全部内容一致。</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2.投标文件电子版形式：可编辑的word文档格式1份。</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3.投标文件电子版密封方式：投标文件电子版光盘（或U盘）与纸质版投标文件一并装入投标文件袋中。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57" w:name="_16.2"/>
            <w:bookmarkEnd w:id="57"/>
            <w:r>
              <w:rPr>
                <w:rFonts w:hint="eastAsia" w:asciiTheme="majorEastAsia" w:hAnsiTheme="majorEastAsia" w:eastAsiaTheme="majorEastAsia" w:cstheme="majorEastAsia"/>
                <w:color w:val="auto"/>
                <w:kern w:val="2"/>
                <w:sz w:val="24"/>
                <w:szCs w:val="24"/>
                <w:highlight w:val="none"/>
              </w:rPr>
              <w:t>16</w:t>
            </w:r>
            <w:bookmarkStart w:id="58" w:name="_Hlt19194066"/>
            <w:r>
              <w:rPr>
                <w:rFonts w:hint="eastAsia" w:asciiTheme="majorEastAsia" w:hAnsiTheme="majorEastAsia" w:eastAsiaTheme="majorEastAsia" w:cstheme="majorEastAsia"/>
                <w:color w:val="auto"/>
                <w:kern w:val="2"/>
                <w:sz w:val="24"/>
                <w:szCs w:val="24"/>
                <w:highlight w:val="none"/>
              </w:rPr>
              <w:t>.</w:t>
            </w:r>
            <w:bookmarkEnd w:id="58"/>
            <w:r>
              <w:rPr>
                <w:rFonts w:hint="eastAsia" w:asciiTheme="majorEastAsia" w:hAnsiTheme="majorEastAsia" w:eastAsiaTheme="majorEastAsia" w:cstheme="majorEastAsia"/>
                <w:color w:val="auto"/>
                <w:kern w:val="2"/>
                <w:sz w:val="24"/>
                <w:szCs w:val="24"/>
                <w:highlight w:val="none"/>
              </w:rPr>
              <w:t>2</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本项目以固定价格报价。中标价格是履行合同的最终价格，包括了实施和完成服务所需的劳务费、技术服务费、交通、通讯、办公场地、管理费、税费和利润等费用和政策性文件规定及合同包含的所有风险、责任等各项应有的费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59" w:name="_17.1"/>
            <w:bookmarkEnd w:id="59"/>
            <w:r>
              <w:rPr>
                <w:rFonts w:hint="eastAsia" w:asciiTheme="majorEastAsia" w:hAnsiTheme="majorEastAsia" w:eastAsiaTheme="majorEastAsia" w:cstheme="majorEastAsia"/>
                <w:color w:val="auto"/>
                <w:kern w:val="2"/>
                <w:sz w:val="24"/>
                <w:szCs w:val="24"/>
                <w:highlight w:val="none"/>
              </w:rPr>
              <w:t>17.1</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投标有效期：自投标文件提交截止之日起120日。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60" w:name="_18"/>
            <w:bookmarkEnd w:id="60"/>
            <w:r>
              <w:rPr>
                <w:rFonts w:hint="eastAsia" w:asciiTheme="majorEastAsia" w:hAnsiTheme="majorEastAsia" w:eastAsiaTheme="majorEastAsia" w:cstheme="majorEastAsia"/>
                <w:color w:val="auto"/>
                <w:kern w:val="2"/>
                <w:sz w:val="24"/>
                <w:szCs w:val="24"/>
                <w:highlight w:val="none"/>
              </w:rPr>
              <w:t>18</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投标保证金的金额：无。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61" w:name="_19.2"/>
            <w:bookmarkEnd w:id="61"/>
            <w:r>
              <w:rPr>
                <w:rFonts w:hint="eastAsia" w:asciiTheme="majorEastAsia" w:hAnsiTheme="majorEastAsia" w:eastAsiaTheme="majorEastAsia" w:cstheme="majorEastAsia"/>
                <w:color w:val="auto"/>
                <w:kern w:val="2"/>
                <w:sz w:val="24"/>
                <w:szCs w:val="24"/>
                <w:highlight w:val="none"/>
              </w:rPr>
              <w:t>19.2</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投标文件正副本份数：报价文件正本一份、副本 五 份；</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资格证明文件正本一份、副本 五 份；</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商务文件和技术文件合并装订成册，正本一份、副本 五 份；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30" w:hRule="atLeast"/>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62" w:name="_21.1"/>
            <w:bookmarkEnd w:id="62"/>
            <w:r>
              <w:rPr>
                <w:rFonts w:hint="eastAsia" w:asciiTheme="majorEastAsia" w:hAnsiTheme="majorEastAsia" w:eastAsiaTheme="majorEastAsia" w:cstheme="majorEastAsia"/>
                <w:color w:val="auto"/>
                <w:kern w:val="2"/>
                <w:sz w:val="24"/>
                <w:szCs w:val="24"/>
                <w:highlight w:val="none"/>
              </w:rPr>
              <w:t>21.1</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1.投标截止时间：2020年</w:t>
            </w:r>
            <w:r>
              <w:rPr>
                <w:rFonts w:hint="eastAsia" w:asciiTheme="majorEastAsia" w:hAnsiTheme="majorEastAsia" w:eastAsiaTheme="majorEastAsia" w:cstheme="majorEastAsia"/>
                <w:color w:val="auto"/>
                <w:kern w:val="2"/>
                <w:sz w:val="24"/>
                <w:szCs w:val="24"/>
                <w:highlight w:val="none"/>
                <w:lang w:val="en-US" w:eastAsia="zh-CN"/>
              </w:rPr>
              <w:t>12</w:t>
            </w:r>
            <w:r>
              <w:rPr>
                <w:rFonts w:hint="eastAsia" w:asciiTheme="majorEastAsia" w:hAnsiTheme="majorEastAsia" w:eastAsiaTheme="majorEastAsia" w:cstheme="majorEastAsia"/>
                <w:color w:val="auto"/>
                <w:kern w:val="2"/>
                <w:sz w:val="24"/>
                <w:szCs w:val="24"/>
                <w:highlight w:val="none"/>
              </w:rPr>
              <w:t>月</w:t>
            </w:r>
            <w:r>
              <w:rPr>
                <w:rFonts w:hint="eastAsia" w:asciiTheme="majorEastAsia" w:hAnsiTheme="majorEastAsia" w:eastAsiaTheme="majorEastAsia" w:cstheme="majorEastAsia"/>
                <w:color w:val="auto"/>
                <w:kern w:val="2"/>
                <w:sz w:val="24"/>
                <w:szCs w:val="24"/>
                <w:highlight w:val="none"/>
                <w:lang w:val="en-US" w:eastAsia="zh-CN"/>
              </w:rPr>
              <w:t>11</w:t>
            </w:r>
            <w:r>
              <w:rPr>
                <w:rFonts w:hint="eastAsia" w:asciiTheme="majorEastAsia" w:hAnsiTheme="majorEastAsia" w:eastAsiaTheme="majorEastAsia" w:cstheme="majorEastAsia"/>
                <w:color w:val="auto"/>
                <w:kern w:val="2"/>
                <w:sz w:val="24"/>
                <w:szCs w:val="24"/>
                <w:highlight w:val="none"/>
              </w:rPr>
              <w:t>日</w:t>
            </w:r>
            <w:r>
              <w:rPr>
                <w:rFonts w:hint="eastAsia" w:asciiTheme="majorEastAsia" w:hAnsiTheme="majorEastAsia" w:eastAsiaTheme="majorEastAsia" w:cstheme="majorEastAsia"/>
                <w:color w:val="auto"/>
                <w:kern w:val="2"/>
                <w:sz w:val="24"/>
                <w:szCs w:val="24"/>
                <w:highlight w:val="none"/>
                <w:lang w:val="en-US" w:eastAsia="zh-CN"/>
              </w:rPr>
              <w:t>10</w:t>
            </w:r>
            <w:r>
              <w:rPr>
                <w:rFonts w:hint="eastAsia" w:asciiTheme="majorEastAsia" w:hAnsiTheme="majorEastAsia" w:eastAsiaTheme="majorEastAsia" w:cstheme="majorEastAsia"/>
                <w:color w:val="auto"/>
                <w:kern w:val="2"/>
                <w:sz w:val="24"/>
                <w:szCs w:val="24"/>
                <w:highlight w:val="none"/>
              </w:rPr>
              <w:t>时</w:t>
            </w:r>
            <w:r>
              <w:rPr>
                <w:rFonts w:hint="eastAsia" w:asciiTheme="majorEastAsia" w:hAnsiTheme="majorEastAsia" w:eastAsiaTheme="majorEastAsia" w:cstheme="majorEastAsia"/>
                <w:color w:val="auto"/>
                <w:kern w:val="2"/>
                <w:sz w:val="24"/>
                <w:szCs w:val="24"/>
                <w:highlight w:val="none"/>
                <w:lang w:val="en-US" w:eastAsia="zh-CN"/>
              </w:rPr>
              <w:t>00</w:t>
            </w:r>
            <w:r>
              <w:rPr>
                <w:rFonts w:hint="eastAsia" w:asciiTheme="majorEastAsia" w:hAnsiTheme="majorEastAsia" w:eastAsiaTheme="majorEastAsia" w:cstheme="majorEastAsia"/>
                <w:color w:val="auto"/>
                <w:kern w:val="2"/>
                <w:sz w:val="24"/>
                <w:szCs w:val="24"/>
                <w:highlight w:val="none"/>
              </w:rPr>
              <w:t>分00秒</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2.投标文件提交起止时间：2020年</w:t>
            </w:r>
            <w:r>
              <w:rPr>
                <w:rFonts w:hint="eastAsia" w:asciiTheme="majorEastAsia" w:hAnsiTheme="majorEastAsia" w:eastAsiaTheme="majorEastAsia" w:cstheme="majorEastAsia"/>
                <w:color w:val="auto"/>
                <w:kern w:val="2"/>
                <w:sz w:val="24"/>
                <w:szCs w:val="24"/>
                <w:highlight w:val="none"/>
                <w:lang w:val="en-US" w:eastAsia="zh-CN"/>
              </w:rPr>
              <w:t>12</w:t>
            </w:r>
            <w:r>
              <w:rPr>
                <w:rFonts w:hint="eastAsia" w:asciiTheme="majorEastAsia" w:hAnsiTheme="majorEastAsia" w:eastAsiaTheme="majorEastAsia" w:cstheme="majorEastAsia"/>
                <w:color w:val="auto"/>
                <w:kern w:val="2"/>
                <w:sz w:val="24"/>
                <w:szCs w:val="24"/>
                <w:highlight w:val="none"/>
              </w:rPr>
              <w:t>月</w:t>
            </w:r>
            <w:r>
              <w:rPr>
                <w:rFonts w:hint="eastAsia" w:asciiTheme="majorEastAsia" w:hAnsiTheme="majorEastAsia" w:eastAsiaTheme="majorEastAsia" w:cstheme="majorEastAsia"/>
                <w:color w:val="auto"/>
                <w:kern w:val="2"/>
                <w:sz w:val="24"/>
                <w:szCs w:val="24"/>
                <w:highlight w:val="none"/>
                <w:lang w:val="en-US" w:eastAsia="zh-CN"/>
              </w:rPr>
              <w:t>11</w:t>
            </w:r>
            <w:r>
              <w:rPr>
                <w:rFonts w:hint="eastAsia" w:asciiTheme="majorEastAsia" w:hAnsiTheme="majorEastAsia" w:eastAsiaTheme="majorEastAsia" w:cstheme="majorEastAsia"/>
                <w:color w:val="auto"/>
                <w:kern w:val="2"/>
                <w:sz w:val="24"/>
                <w:szCs w:val="24"/>
                <w:highlight w:val="none"/>
              </w:rPr>
              <w:t>日</w:t>
            </w:r>
            <w:r>
              <w:rPr>
                <w:rFonts w:hint="eastAsia" w:asciiTheme="majorEastAsia" w:hAnsiTheme="majorEastAsia" w:eastAsiaTheme="majorEastAsia" w:cstheme="majorEastAsia"/>
                <w:color w:val="auto"/>
                <w:kern w:val="2"/>
                <w:sz w:val="24"/>
                <w:szCs w:val="24"/>
                <w:highlight w:val="none"/>
                <w:lang w:val="en-US" w:eastAsia="zh-CN"/>
              </w:rPr>
              <w:t>10</w:t>
            </w:r>
            <w:r>
              <w:rPr>
                <w:rFonts w:hint="eastAsia" w:asciiTheme="majorEastAsia" w:hAnsiTheme="majorEastAsia" w:eastAsiaTheme="majorEastAsia" w:cstheme="majorEastAsia"/>
                <w:color w:val="auto"/>
                <w:kern w:val="2"/>
                <w:sz w:val="24"/>
                <w:szCs w:val="24"/>
                <w:highlight w:val="none"/>
              </w:rPr>
              <w:t>时</w:t>
            </w:r>
            <w:r>
              <w:rPr>
                <w:rFonts w:hint="eastAsia" w:asciiTheme="majorEastAsia" w:hAnsiTheme="majorEastAsia" w:eastAsiaTheme="majorEastAsia" w:cstheme="majorEastAsia"/>
                <w:color w:val="auto"/>
                <w:kern w:val="2"/>
                <w:sz w:val="24"/>
                <w:szCs w:val="24"/>
                <w:highlight w:val="none"/>
                <w:lang w:val="en-US" w:eastAsia="zh-CN"/>
              </w:rPr>
              <w:t>00</w:t>
            </w:r>
            <w:r>
              <w:rPr>
                <w:rFonts w:hint="eastAsia" w:asciiTheme="majorEastAsia" w:hAnsiTheme="majorEastAsia" w:eastAsiaTheme="majorEastAsia" w:cstheme="majorEastAsia"/>
                <w:color w:val="auto"/>
                <w:kern w:val="2"/>
                <w:sz w:val="24"/>
                <w:szCs w:val="24"/>
                <w:highlight w:val="none"/>
              </w:rPr>
              <w:t>分00秒至投标截止时间止</w:t>
            </w:r>
          </w:p>
          <w:p>
            <w:pPr>
              <w:rPr>
                <w:rFonts w:hint="eastAsia" w:asciiTheme="majorEastAsia" w:hAnsiTheme="majorEastAsia" w:eastAsiaTheme="majorEastAsia" w:cstheme="majorEastAsia"/>
                <w:color w:val="auto"/>
                <w:kern w:val="2"/>
                <w:sz w:val="24"/>
                <w:szCs w:val="24"/>
                <w:highlight w:val="none"/>
                <w:lang w:eastAsia="zh-CN"/>
              </w:rPr>
            </w:pPr>
            <w:r>
              <w:rPr>
                <w:rFonts w:hint="eastAsia" w:asciiTheme="majorEastAsia" w:hAnsiTheme="majorEastAsia" w:eastAsiaTheme="majorEastAsia" w:cstheme="majorEastAsia"/>
                <w:color w:val="auto"/>
                <w:kern w:val="2"/>
                <w:sz w:val="24"/>
                <w:szCs w:val="24"/>
                <w:highlight w:val="none"/>
              </w:rPr>
              <w:t>3.投标地点：兴业县公共资源交易中心开标室（兴业县政务服务中心三楼）</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4.提交投标文件时须提供的材料：</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人法定代表人（负责人或自然人）提交投标文件的，须提供身份证原件与法定代表人（负责人或自然人）身份证明原件（格式后附）；投标人委托代理人提交投标文件的，须提供身份证原件和法定代表人（负责人或自然人）授权委托书原件。对于材料不全或无效的，采购代理机构应当拒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注：身份证原件可用机动车驾驶证原件、社会保障卡原件、护照原件等代替。</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63" w:name="_23"/>
            <w:bookmarkEnd w:id="63"/>
            <w:r>
              <w:rPr>
                <w:rFonts w:hint="eastAsia" w:asciiTheme="majorEastAsia" w:hAnsiTheme="majorEastAsia" w:eastAsiaTheme="majorEastAsia" w:cstheme="majorEastAsia"/>
                <w:color w:val="auto"/>
                <w:kern w:val="2"/>
                <w:sz w:val="24"/>
                <w:szCs w:val="24"/>
                <w:highlight w:val="none"/>
              </w:rPr>
              <w:t>23</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1.开标时间：同投标文件递交截止时间</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2.开标地点：同投标地点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64" w:name="_25.3"/>
            <w:bookmarkEnd w:id="64"/>
            <w:r>
              <w:rPr>
                <w:rFonts w:hint="eastAsia" w:asciiTheme="majorEastAsia" w:hAnsiTheme="majorEastAsia" w:eastAsiaTheme="majorEastAsia" w:cstheme="majorEastAsia"/>
                <w:color w:val="auto"/>
                <w:kern w:val="2"/>
                <w:sz w:val="24"/>
                <w:szCs w:val="24"/>
                <w:highlight w:val="none"/>
              </w:rPr>
              <w:t>25.3</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采购人或采购代理机构对投标人进行信用查询：</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查询渠道：“信用中国”网站(www.creditchina.gov.cn) 、中国政府采购网(www.ccgp.gov.cn)</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信用查询时间：资格审查时。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查询记录和证据留存方式：在查询网站中直接打印查询记录，打印材料作为评审资料保存。</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65" w:name="_26"/>
            <w:bookmarkEnd w:id="65"/>
            <w:r>
              <w:rPr>
                <w:rFonts w:hint="eastAsia" w:asciiTheme="majorEastAsia" w:hAnsiTheme="majorEastAsia" w:eastAsiaTheme="majorEastAsia" w:cstheme="majorEastAsia"/>
                <w:color w:val="auto"/>
                <w:kern w:val="2"/>
                <w:sz w:val="24"/>
                <w:szCs w:val="24"/>
                <w:highlight w:val="none"/>
              </w:rPr>
              <w:t>26</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评标委员会的人数： 5 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66" w:name="_28.3"/>
            <w:bookmarkEnd w:id="66"/>
            <w:r>
              <w:rPr>
                <w:rFonts w:hint="eastAsia" w:asciiTheme="majorEastAsia" w:hAnsiTheme="majorEastAsia" w:eastAsiaTheme="majorEastAsia" w:cstheme="majorEastAsia"/>
                <w:color w:val="auto"/>
                <w:kern w:val="2"/>
                <w:sz w:val="24"/>
                <w:szCs w:val="24"/>
                <w:highlight w:val="none"/>
              </w:rPr>
              <w:t>28.3</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评标方法：</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√综合评分法</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□最低评标价法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67" w:name="_29.2.2（2）"/>
            <w:bookmarkEnd w:id="67"/>
            <w:r>
              <w:rPr>
                <w:rFonts w:hint="eastAsia" w:asciiTheme="majorEastAsia" w:hAnsiTheme="majorEastAsia" w:eastAsiaTheme="majorEastAsia" w:cstheme="majorEastAsia"/>
                <w:color w:val="auto"/>
                <w:kern w:val="2"/>
                <w:sz w:val="24"/>
                <w:szCs w:val="24"/>
                <w:highlight w:val="none"/>
              </w:rPr>
              <w:t>29.2.2</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配套服务其他要求评审中允许负偏离的项目数为 0 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29.2.4</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技术评审中允许负偏离的项目数为0项。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30</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采购人确定中标人时，出现中标候选人并列的情形，采购人按以下的方式确定中标人：</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R投标文件满足招标文件全部实质性要求，且按照评审因素的量化指标评审得分最高的投标人推荐中标候选人；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□随机抽取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68" w:name="_39.1"/>
            <w:bookmarkEnd w:id="68"/>
            <w:r>
              <w:rPr>
                <w:rFonts w:hint="eastAsia" w:asciiTheme="majorEastAsia" w:hAnsiTheme="majorEastAsia" w:eastAsiaTheme="majorEastAsia" w:cstheme="majorEastAsia"/>
                <w:color w:val="auto"/>
                <w:kern w:val="2"/>
                <w:sz w:val="24"/>
                <w:szCs w:val="24"/>
                <w:highlight w:val="none"/>
              </w:rPr>
              <w:t>35</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履约保证金金额：本项目不收取履约保证金。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69" w:name="_40.1"/>
            <w:bookmarkEnd w:id="69"/>
            <w:r>
              <w:rPr>
                <w:rFonts w:hint="eastAsia" w:asciiTheme="majorEastAsia" w:hAnsiTheme="majorEastAsia" w:eastAsiaTheme="majorEastAsia" w:cstheme="majorEastAsia"/>
                <w:color w:val="auto"/>
                <w:kern w:val="2"/>
                <w:sz w:val="24"/>
                <w:szCs w:val="24"/>
                <w:highlight w:val="none"/>
              </w:rPr>
              <w:t>36.1</w:t>
            </w: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签订合同携带的资格证件：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委托代理人负责签订合同的，须携带授权委托书及委托代理人身份证原件等其它资格证件。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法定代表人（负责人或自然人）负责签订合同的，须携带法定代表人（负责人或自然人）身份证明原件及身份证原件等其它资格证件。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70" w:name="_41"/>
            <w:bookmarkEnd w:id="70"/>
            <w:r>
              <w:rPr>
                <w:rFonts w:hint="eastAsia" w:asciiTheme="majorEastAsia" w:hAnsiTheme="majorEastAsia" w:eastAsiaTheme="majorEastAsia" w:cstheme="majorEastAsia"/>
                <w:color w:val="auto"/>
                <w:kern w:val="2"/>
                <w:sz w:val="24"/>
                <w:szCs w:val="24"/>
                <w:highlight w:val="none"/>
              </w:rPr>
              <w:t>37</w:t>
            </w:r>
          </w:p>
        </w:tc>
        <w:tc>
          <w:tcPr>
            <w:tcW w:w="9077" w:type="dxa"/>
            <w:tcBorders>
              <w:top w:val="single" w:color="auto" w:sz="4" w:space="0"/>
              <w:left w:val="nil"/>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bookmarkStart w:id="71" w:name="_42"/>
            <w:bookmarkEnd w:id="71"/>
            <w:r>
              <w:rPr>
                <w:rFonts w:hint="eastAsia" w:asciiTheme="majorEastAsia" w:hAnsiTheme="majorEastAsia" w:eastAsiaTheme="majorEastAsia" w:cstheme="majorEastAsia"/>
                <w:color w:val="auto"/>
                <w:kern w:val="2"/>
                <w:sz w:val="24"/>
                <w:szCs w:val="24"/>
                <w:highlight w:val="none"/>
              </w:rPr>
              <w:t>38</w:t>
            </w:r>
          </w:p>
        </w:tc>
        <w:tc>
          <w:tcPr>
            <w:tcW w:w="9077" w:type="dxa"/>
            <w:tcBorders>
              <w:top w:val="single" w:color="auto" w:sz="4" w:space="0"/>
              <w:left w:val="nil"/>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代理服务费</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收费标准：本项目的代理服务费根据中标金额按投标人须知代理服务收费标准中规定的（服务类）标准采用差额定率累进方式计算。</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由中标人支付，中标人应当在领取中标通知书前，向采购代理机构一次付清代理服务费。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0" w:hRule="atLeast"/>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解释：本招标文件的解释权属于采购代理机构。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c>
          <w:tcPr>
            <w:tcW w:w="9077"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本招标文件中描述投标人的“签字”是指投标人的法定代表人（负责人或自然人）或委托代理人亲自在招标文件规定签字处亲笔写上个人名字的行为，私章、签字章、印鉴、影印等其它形式均不能代替亲笔签字。如招标文件规定签字处不得以法人私章代替。</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3.自然人投标的，招标文件规定盖章的地方自然人可以加盖手指指印。</w:t>
            </w:r>
          </w:p>
        </w:tc>
      </w:tr>
    </w:tbl>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pStyle w:val="5"/>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投标人须知正文</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一、总则</w:t>
      </w:r>
    </w:p>
    <w:p>
      <w:pPr>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b/>
          <w:color w:val="auto"/>
          <w:kern w:val="2"/>
          <w:sz w:val="24"/>
          <w:szCs w:val="24"/>
          <w:highlight w:val="none"/>
        </w:rPr>
        <w:t>1.适用范围</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1.2本招标文件适用于本项目的招标、投标、开标、评标、定标、合同签订等行为（法律、法规另有规定的，从其规定）。</w:t>
      </w:r>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2.定义</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2.1“采购人”是指依法进行政府采购的国家机关、事业单位、团体组织。</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2.2“采购代理机构”系指</w:t>
      </w:r>
      <w:r>
        <w:rPr>
          <w:rFonts w:hint="eastAsia" w:ascii="宋体" w:hAnsi="宋体" w:cs="宋体"/>
          <w:color w:val="auto"/>
          <w:kern w:val="2"/>
          <w:sz w:val="24"/>
          <w:szCs w:val="24"/>
          <w:highlight w:val="none"/>
          <w:lang w:eastAsia="zh-CN"/>
        </w:rPr>
        <w:t>湖南英邦工程建设咨询有限公司</w:t>
      </w:r>
      <w:r>
        <w:rPr>
          <w:rFonts w:hint="eastAsia" w:ascii="宋体" w:hAnsi="宋体" w:eastAsia="宋体" w:cs="宋体"/>
          <w:color w:val="auto"/>
          <w:kern w:val="2"/>
          <w:sz w:val="24"/>
          <w:szCs w:val="24"/>
          <w:highlight w:val="none"/>
        </w:rPr>
        <w:t>。</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2.3“供应商”是指向采购人提供货物、工程或者服务的法人、其他组织或者自然人。</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2.4“投标人”是指响应招标、参加投标竞争的法人、非法人组织或者自然人。</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2.5“货物”是指各种形态和种类的物品，包括原材料、燃料、设备、产品等。</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2.6“配套服务” 是指包含但不限于投标人须承担的备品备件、包装、运输、装卸、保险、货到就位以及安装、调试、培训、保修以及其他类似的义务。</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2.7“书面形式”是指合同书、信件和数据电文（包括电报、电传、传真、电子数据交换和电子邮件）等可以有形地表现所载内容的形式。</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2.8“▲”是指“采购需求”中实质性要求。</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2.9 “正偏离”，是指投标文件对招标文件“采购需求”中有关条款作出优于条款要求并有利于采购人的响应情形；“负偏离”，是指投标文件对招标文件“采购需求”中有关条款作出的响应不满足条款要求导致采购人要求不能得到满足的情形。“满足”是指投标文件对招标文件“采购需求”中有关条款作出无“负偏离”或“正偏离”的情形。</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2.10 “允许负偏离的项目”是指“采购需求”中不带“▲”的项目条款。</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2.11投标文件对招标文件中的实质性条款应当作出无偏离或正偏离响应，实质性条款不允许负偏离。</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2.12技术参数或配置缺项漏项的，或商务条款未承诺的视同为该项负偏离。</w:t>
      </w:r>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3.招标方式</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公开招标方式。</w:t>
      </w:r>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4.投标委托</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代表须携带个人有效身份证件。如投标人代表不是法定代表人（负责人或自然人本人），须有法定代表人（负责人或自然人本人）出具的授权委托书（正本用原件，副本用复印件，按第六章要求格式填写）。</w:t>
      </w:r>
    </w:p>
    <w:p>
      <w:pPr>
        <w:rPr>
          <w:rFonts w:hint="eastAsia" w:ascii="宋体" w:hAnsi="宋体" w:eastAsia="宋体" w:cs="宋体"/>
          <w:b/>
          <w:bCs/>
          <w:color w:val="auto"/>
          <w:kern w:val="2"/>
          <w:sz w:val="24"/>
          <w:szCs w:val="24"/>
          <w:highlight w:val="none"/>
        </w:rPr>
      </w:pPr>
      <w:bookmarkStart w:id="72" w:name="_5.投标费用"/>
      <w:bookmarkEnd w:id="72"/>
      <w:r>
        <w:rPr>
          <w:rFonts w:hint="eastAsia" w:ascii="宋体" w:hAnsi="宋体" w:eastAsia="宋体" w:cs="宋体"/>
          <w:b/>
          <w:bCs/>
          <w:color w:val="auto"/>
          <w:kern w:val="2"/>
          <w:sz w:val="24"/>
          <w:szCs w:val="24"/>
          <w:highlight w:val="none"/>
        </w:rPr>
        <w:t>5.投标费用</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投标费用具体定义见“投标人须知前附表”。</w:t>
      </w:r>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6.联合体投标</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6.1本项目是否接受联合体投标，详见“投标人须知前附表”。</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6.2联合体投标要求:</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（1）两个以上的自然人、法人或者其他组织可以组成一个联合体，以一个投标人的身份共同参加投标。</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以联合体形式参加投标的，联合体各方均应当具备《中华人民共和国政府采购法》第二十二条规定的条件。本项目有特殊要求规定投标人特定条件的，联合体各方中至少应当有一方符合招标文件规定的特定条件。</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否则，联合体投标无效），并将联合投标协议连同投标文件一并提交采购代理机构。联合体各方应当共同与采购人签订采购合同，就采购合同约定的事项对采购人承担连带责任。</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（4）以联合体形式参加政府采购活动的，联合体各方不得再单独参加或者与其他供应商另外组成联合体参加同一合同项下的政府采购活动。</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（5）联合体中有同类资质的供应商按照联合体分工承担相同工作的，应当按照资质等级较低的供应商确定资质等级。</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（6）联合体投标业绩、履约能力计算，按照联合体其中较高的一方认定并计算。</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（7）联合体投标的，须提供《联合体投标协议》（格式后附）。</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（8）供应商为联合体的，可以由联合体中的一方或者多方共同按规定交纳保证金，其交纳的保证金对联合体各方均具有约束力。</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（9）联合体各方均应按照招标文件的规定分别提交资格证明文件。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 xml:space="preserve">7.转包与分包 </w:t>
      </w:r>
      <w:r>
        <w:rPr>
          <w:rFonts w:hint="eastAsia" w:ascii="宋体" w:hAnsi="宋体" w:eastAsia="宋体" w:cs="宋体"/>
          <w:color w:val="auto"/>
          <w:kern w:val="2"/>
          <w:sz w:val="24"/>
          <w:szCs w:val="24"/>
          <w:highlight w:val="none"/>
        </w:rPr>
        <w:t xml:space="preserve">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7.1本项目不允许转包。</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7.2本项目是否允许分包详见“投标人须知前附表”。</w:t>
      </w:r>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8.特别说明：</w:t>
      </w:r>
    </w:p>
    <w:p>
      <w:pPr>
        <w:rPr>
          <w:rFonts w:hint="eastAsia" w:ascii="宋体" w:hAnsi="宋体" w:eastAsia="宋体" w:cs="宋体"/>
          <w:color w:val="auto"/>
          <w:kern w:val="2"/>
          <w:sz w:val="24"/>
          <w:szCs w:val="24"/>
          <w:highlight w:val="none"/>
        </w:rPr>
      </w:pPr>
      <w:bookmarkStart w:id="73" w:name="_8.1提供相同品牌产品且通过资格审查、符合性审查的不同投标人参加同一合"/>
      <w:bookmarkEnd w:id="73"/>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 HYPERLINK "" \l "_8.1"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kern w:val="2"/>
          <w:sz w:val="24"/>
          <w:szCs w:val="24"/>
          <w:highlight w:val="none"/>
        </w:rPr>
        <w:t>8.1</w:t>
      </w:r>
      <w:r>
        <w:rPr>
          <w:rFonts w:hint="eastAsia" w:ascii="宋体" w:hAnsi="宋体" w:eastAsia="宋体" w:cs="宋体"/>
          <w:color w:val="auto"/>
          <w:kern w:val="2"/>
          <w:sz w:val="24"/>
          <w:szCs w:val="24"/>
          <w:highlight w:val="none"/>
        </w:rPr>
        <w:fldChar w:fldCharType="end"/>
      </w:r>
      <w:r>
        <w:rPr>
          <w:rFonts w:hint="eastAsia" w:ascii="宋体" w:hAnsi="宋体" w:eastAsia="宋体" w:cs="宋体"/>
          <w:color w:val="auto"/>
          <w:kern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非单一产品采购项目，多家投标人提供的核心产品品牌相同的，按前款规定处理。</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8.2投标人投标所使用的资格、信誉、荣誉、业绩与企业认证必须为投标人所拥有。</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8.3投标人应仔细阅读招标文件的所有内容，按照招标文件的要求提交投标文件，并对所提供的全部资料的真实性承担法律责任。</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8.5在政府采购活动中，采购人员及相关人员与投标人有下列利害关系之一的，应当回避：</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（1）参加采购活动前3年内与投标人存在劳动关系；</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（2）参加采购活动前3年内担任投标人的董事、监事；</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（3）参加采购活动前3年内是投标人的控股股东或者实际控制人；</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（4）与投标人的法定代表人（负责人或自然人）或者负责人有夫妻、直系血亲、三代以内旁系血亲或者近姻亲关系；</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（5）与投标人有其他可能影响政府采购活动公平、公正进行的关系。</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8.6有下列情形之一的视为投标人相互串通投标，投标文件将被视为无效：</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（1）不同投标人的投标文件由同一单位或者个人编制；或不同投标人报名的IP地址一致的；</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（2）不同投标人委托同一单位或者个人办理投标事宜；</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（3）不同的投标人的投标文件载明的项目管理员为同一个人；</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（4）不同投标人的投标文件异常一致或投标报价呈规律性差异；</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（5）不同投标人的投标文件相互混装；</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8.7供应商有下列情形之一的，属于恶意串通行为：</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（1）供应商直接或者间接从采购人或者采购代理机构处获得其他供应商的相关信息并修改其投标文件或者响应文件：</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（2）供应商按照采购人或者采购代理机构的授意撤换、修改投标文件或者响应文件；</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（3）供应商之间协商报价、技术方案等投标文件或者响应文件的实质性内容；</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（4）属于同一集团、协会、商会等组织成员的供应商按照该组织要求协同参加政府采购活动；</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（5）供应商之间事先约定一致抬高或者压低投标报价,或者在招标项目中事先约定轮流以高价位或者低价位中标,或者事先约定由某一特定供应商中标,然后再参加投标；</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（6）供应商之间商定部分供应商放弃参加政府采购活动或者放弃中标；</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（7）供应商与采购人或者采购代理机构之间、供应商相互之间，为谋求特定供应商中标或者排斥其他供应商的其他串通行为。</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8.8关联供应商不得参加同一合同项下政府采购活动，否则投标文件将被视为无效：</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（1）单位负责人为同一人或者存在直接控股、管理关系的不同的供应商，不得参加同一合同项下的政府采购活动；</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（2）生产厂商授权给供应商后自己不得参加同一合同项下的政府采购活动；生产厂商对同一品牌同一型号的货物，仅能委托一个代理商参加投标。</w:t>
      </w:r>
    </w:p>
    <w:p>
      <w:pPr>
        <w:pStyle w:val="1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9.质疑和投诉</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9.1投标人认为招标文件、采购过程或中标结果使自己的合法权益受到损害的，应当在知道或者应知其权益受到损害之日起七个工作日内，以书面形式向采购人、采购代理机构提出质疑。权益受到损害之日是指： </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（1）对可以质疑的招标文件提出质疑的，为收到招标文件之日或者招标文件公告期限届满之日；</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（2）对采购过程提出质疑的，为各采购程序环节结束之日；</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（3）对中标结果提出质疑的，为中标结果公告期限届满之日。</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投标人对采购人、采购代理机构的质疑答复不满意，或者采购人、采购代理机构未在规定时间内作出答复的，可以在答复期满后十五个工作日内向同级政府采购监管部门投诉。</w:t>
      </w:r>
    </w:p>
    <w:p>
      <w:pPr>
        <w:pStyle w:val="12"/>
        <w:rPr>
          <w:rFonts w:hint="eastAsia" w:ascii="宋体" w:hAnsi="宋体" w:eastAsia="宋体" w:cs="宋体"/>
          <w:color w:val="auto"/>
          <w:kern w:val="0"/>
          <w:sz w:val="24"/>
          <w:szCs w:val="24"/>
          <w:highlight w:val="none"/>
        </w:rPr>
      </w:pPr>
      <w:bookmarkStart w:id="74" w:name="_9.2质疑、投诉应当采用书面形式，质疑函、投诉书均应明确阐述招标文件、"/>
      <w:bookmarkEnd w:id="74"/>
      <w:r>
        <w:rPr>
          <w:rFonts w:hint="eastAsia" w:ascii="宋体" w:hAnsi="宋体" w:eastAsia="宋体" w:cs="宋体"/>
          <w:color w:val="auto"/>
          <w:kern w:val="0"/>
          <w:sz w:val="24"/>
          <w:szCs w:val="24"/>
          <w:highlight w:val="none"/>
        </w:rPr>
        <w:t xml:space="preserve"> 9.2质疑、投诉应当采用书面形式，质疑函、投诉书均应明确阐述招标文件、采购过程或中标结果中使自己合法权益受到损害的实质性内容，提供相关事实、法律依据和证据及其来源或线索，便于有关单位调查、答复和处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供应商提出质疑应当提交质疑函和必要的证明材料，针对同一采购程序环节的质疑必须在法定质疑期内一次性提出。质疑函应当包括下列内容：</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（1）供应商的姓名或者名称、地址、邮编、联系人及联系电话；</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（2）质疑项目的名称、编号；</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（3）具体、明确的质疑事项和与质疑事项相关的请求；</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（4）事实依据；</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（5）必要的法律依据；</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（6）提出质疑的日期。</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供应商为自然人的，应当由本人签字；供应商为法人或者其他组织的，应当由法定代表人（负责人或自然人）、主要负责人，或者其委托代理人签字或者盖章，并加盖公章。</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9.3投诉的权利。质疑供应商对采购人、采购代理机构的答复不满意，或者采购人、采购代理机构未在规定时间内作出答复的，可以在答复期满后15个工作日内向本办法第六条规定的财政部门提起投诉。</w:t>
      </w:r>
    </w:p>
    <w:p>
      <w:pPr>
        <w:pStyle w:val="1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二、招标文件</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10.招标文件的构成</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（1）招标公告；</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（2）采购需求； </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（3）投标人须知；</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（4）评标方法及评标标准；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（5）拟签订的合同文本；</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（6）投标文件格式。</w:t>
      </w:r>
    </w:p>
    <w:p>
      <w:pPr>
        <w:pStyle w:val="1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11.招标文件的澄清与修改 </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必须按照桂财采【2007】65号文件第二十九条规定，在澄清或修改通知发出后24小时内以书面形式进行确认，否则视为已经收到。</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11.2招标文件中有不一致的，有澄清的部分以最终的澄清更正内容为准；未澄清的，以投标须知前附表为准；投标须知前附表不涉及的内容，以编排在后的最后描述为准。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11.3招标文件的澄清或者修改都应当通过采购人或者采购代理机构以法定形式发布。</w:t>
      </w:r>
    </w:p>
    <w:p>
      <w:pPr>
        <w:pStyle w:val="1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三、投标文件的编制</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12.投标文件的编制原则</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投标人应当按照招标文件的要求编制投标文件。投标文件应当对招标文件提出的要求和条件作出明确响应。</w:t>
      </w:r>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13.投标文件的组成</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投标文件由报价文件、资格证明文件、商务文件、技术文件四部分组成。</w:t>
      </w:r>
      <w:bookmarkStart w:id="75" w:name="_13.1报价文件:_具体材料见“投标人须知前附表”。"/>
      <w:bookmarkEnd w:id="75"/>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w:t>
      </w:r>
      <w:bookmarkStart w:id="76" w:name="_Hlt19632545"/>
      <w:r>
        <w:rPr>
          <w:rFonts w:hint="eastAsia" w:ascii="宋体" w:hAnsi="宋体" w:eastAsia="宋体" w:cs="宋体"/>
          <w:color w:val="auto"/>
          <w:kern w:val="2"/>
          <w:sz w:val="24"/>
          <w:szCs w:val="24"/>
          <w:highlight w:val="none"/>
        </w:rPr>
        <w:t>.</w:t>
      </w:r>
      <w:bookmarkEnd w:id="76"/>
      <w:r>
        <w:rPr>
          <w:rFonts w:hint="eastAsia" w:ascii="宋体" w:hAnsi="宋体" w:eastAsia="宋体" w:cs="宋体"/>
          <w:color w:val="auto"/>
          <w:kern w:val="2"/>
          <w:sz w:val="24"/>
          <w:szCs w:val="24"/>
          <w:highlight w:val="none"/>
        </w:rPr>
        <w:t>1报价文件： 具体材料见“投标人须知前附表”。</w:t>
      </w:r>
      <w:bookmarkStart w:id="77" w:name="_13.2资格证明文件：具体材料见“投标人须知前附表”。"/>
      <w:bookmarkEnd w:id="77"/>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13.2资格证明文件：具体材料见“投标人须知前附表”。</w:t>
      </w:r>
      <w:bookmarkStart w:id="78" w:name="_13.3商务文件:_具体材料见“投标人须知前附表”。"/>
      <w:bookmarkEnd w:id="78"/>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13.3商务文件：具体材料见“投标人须知前附表”。</w:t>
      </w:r>
      <w:bookmarkStart w:id="79" w:name="_13.4技术文件：具体材料见“投标人须知前附表”。"/>
      <w:bookmarkEnd w:id="79"/>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13.4技术文件：具体材料见“投标人须知前附表”。</w:t>
      </w:r>
      <w:bookmarkStart w:id="80" w:name="_13.5投标文件电子版：具体材料见“投标人须知前附表”。"/>
      <w:bookmarkEnd w:id="80"/>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13.5投标文件电子版：具体材料见“投标人须知前附表”。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投标文件的语言及计量</w:t>
      </w:r>
    </w:p>
    <w:p>
      <w:pPr>
        <w:keepNext w:val="0"/>
        <w:keepLines w:val="0"/>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14.1语言文字：</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480" w:firstLineChars="200"/>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keepNext w:val="0"/>
        <w:keepLines w:val="0"/>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14.2投标计量单位，招标文件已有明确规定的，使用招标文件规定的计量单位；招标文件没有规定的，应采用中华人民共和国法定计量单位，货币种类为人民币，否则视同未响应。</w:t>
      </w:r>
    </w:p>
    <w:p>
      <w:pPr>
        <w:pStyle w:val="6"/>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15.投标的风险</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投标人没有按照招标文件要求提供全部资料，或者投标人没有对招标文件在各方面作出实质性响应是投标人的风险，并可能导致其投标被拒绝。</w:t>
      </w:r>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16.投标报价</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16.1投标报价应按招标文件中“开标一览表”格式填写。</w:t>
      </w:r>
    </w:p>
    <w:p>
      <w:pPr>
        <w:rPr>
          <w:rFonts w:hint="eastAsia" w:ascii="宋体" w:hAnsi="宋体" w:eastAsia="宋体" w:cs="宋体"/>
          <w:color w:val="auto"/>
          <w:kern w:val="2"/>
          <w:sz w:val="24"/>
          <w:szCs w:val="24"/>
          <w:highlight w:val="none"/>
        </w:rPr>
      </w:pPr>
      <w:bookmarkStart w:id="81" w:name="_16.2投标报价具体定义见投标人须知前附表。"/>
      <w:bookmarkEnd w:id="81"/>
      <w:r>
        <w:rPr>
          <w:rFonts w:hint="eastAsia" w:ascii="宋体" w:hAnsi="宋体" w:eastAsia="宋体" w:cs="宋体"/>
          <w:color w:val="auto"/>
          <w:kern w:val="2"/>
          <w:sz w:val="24"/>
          <w:szCs w:val="24"/>
          <w:highlight w:val="none"/>
        </w:rPr>
        <w:t>16.2投标报价具体包括内容见“投标人须知前附表”。</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16.3投标人应当就所投项目的全部内容分别作完整唯一总价报价，投标人应当就所投分标进行报价，不得存在漏项报价；投标人应当就所投分标的单项内容作唯一报价。</w:t>
      </w:r>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17.投标有效期</w:t>
      </w:r>
    </w:p>
    <w:p>
      <w:pPr>
        <w:rPr>
          <w:rFonts w:hint="eastAsia" w:ascii="宋体" w:hAnsi="宋体" w:eastAsia="宋体" w:cs="宋体"/>
          <w:color w:val="auto"/>
          <w:kern w:val="2"/>
          <w:sz w:val="24"/>
          <w:szCs w:val="24"/>
          <w:highlight w:val="none"/>
        </w:rPr>
      </w:pPr>
      <w:bookmarkStart w:id="82" w:name="_17.1投标有效期应按“投标人须知中的前附表”规定的期限。"/>
      <w:bookmarkEnd w:id="82"/>
      <w:r>
        <w:rPr>
          <w:rFonts w:hint="eastAsia" w:ascii="宋体" w:hAnsi="宋体" w:eastAsia="宋体" w:cs="宋体"/>
          <w:color w:val="auto"/>
          <w:kern w:val="2"/>
          <w:sz w:val="24"/>
          <w:szCs w:val="24"/>
          <w:highlight w:val="none"/>
        </w:rPr>
        <w:t>17.1投标有效期应按“投标人须知前附表”规定的期限。</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17.2投标有效期是指为保证采购人有足够的时间在开标后完成评标、定标、合同签订等工作而要求投标人提交的投标文件在一定时间内保持有效的期限。</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17.3投标人的投标文件在投标有效期内均保持有效。</w:t>
      </w:r>
    </w:p>
    <w:p>
      <w:pPr>
        <w:rPr>
          <w:rFonts w:hint="eastAsia" w:ascii="宋体" w:hAnsi="宋体" w:eastAsia="宋体" w:cs="宋体"/>
          <w:b/>
          <w:bCs/>
          <w:color w:val="auto"/>
          <w:kern w:val="2"/>
          <w:sz w:val="24"/>
          <w:szCs w:val="24"/>
          <w:highlight w:val="none"/>
        </w:rPr>
      </w:pPr>
      <w:bookmarkStart w:id="83" w:name="_18.投标保证金"/>
      <w:bookmarkEnd w:id="83"/>
      <w:r>
        <w:rPr>
          <w:rFonts w:hint="eastAsia" w:ascii="宋体" w:hAnsi="宋体" w:eastAsia="宋体" w:cs="宋体"/>
          <w:b/>
          <w:bCs/>
          <w:color w:val="auto"/>
          <w:kern w:val="2"/>
          <w:sz w:val="24"/>
          <w:szCs w:val="24"/>
          <w:highlight w:val="none"/>
        </w:rPr>
        <w:t>18.投标保证金</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18.1按“投标人须知前附表”规定。</w:t>
      </w:r>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19.投标文件的编制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19.1投标人应按本招标文件规定的格式和顺序编制、装订投标文件并标注页码，投标文件内容不完整、编排混乱导致投标文件被误读、漏读或者查找不到相关内容的，是投标人的责任。</w:t>
      </w:r>
      <w:bookmarkStart w:id="84" w:name="_19.2投标文件应按报价文件、资格证明文件、商务文件、技术文件分别编制"/>
      <w:bookmarkEnd w:id="84"/>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19.2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其他后果由投标人自行承担。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19.3投标文件的正本应打印或用不褪色的墨水填写，投标文件正本除本“投标人须知”中规定的可提供复印件外均须提供原件，副本可为正本签字、盖章后的复印件，当副本和正本不一致时，以正本为准。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19.4投标文件须由投标人在规定位置盖公章并由法定代表人（负责人或自然人）或委托代理人签字或签章，否则作无效投标处理。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19.5投标文件中标注的投标人名称应与主体资格证明（如营业执照、事业单位法人证书、执业许可证、个体工商户营业执照、自然人身份证等）和公章一致，否则作无效投标处理。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19.6投标文件应尽量避免涂改、行间插字或删除。如果出现上述情况，改动之处应由投标人的法定代表人（负责人或自然人）或其委托代理人签字或盖章。投标文件因字迹潦草或表达不清所引起的后果由投标人承担。</w:t>
      </w:r>
    </w:p>
    <w:p>
      <w:pPr>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20.投标文件的密封</w:t>
      </w:r>
      <w:r>
        <w:rPr>
          <w:rFonts w:hint="eastAsia" w:ascii="宋体" w:hAnsi="宋体" w:eastAsia="宋体" w:cs="宋体"/>
          <w:color w:val="auto"/>
          <w:kern w:val="2"/>
          <w:sz w:val="24"/>
          <w:szCs w:val="24"/>
          <w:highlight w:val="none"/>
        </w:rPr>
        <w:t xml:space="preserve">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20.1投标文件正、副本全部装入包封袋/箱（投标文件的补充、修改可另行单独递交）中并加以密封，封口处必须加盖投标人公章或委托代理人签字，以示密封。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20.2投标文件外层包装封面上应写明投标人名称、投标人地址、项目名称、项目编号 “开标时启封”字样。</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20.3未按上述规定密封的投标文件将被拒收。</w:t>
      </w:r>
    </w:p>
    <w:p>
      <w:pPr>
        <w:numPr>
          <w:ilvl w:val="0"/>
          <w:numId w:val="3"/>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投标文件的提交</w:t>
      </w:r>
      <w:bookmarkStart w:id="85" w:name="_21.1投标人必须在“投标人须知中的前附表”规定的投标文件接收时间和投"/>
      <w:bookmarkEnd w:id="85"/>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投标人必须在“投标人须知前附表”规定的投标文件接收时间和投标地点提交投标文件。21.2采购代理机构工作人员收到投标文件后，应当如实记载投标文件的送达时间和密封情况，签收保存，并向投标人出具签收回执。</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21.3未在规定时间内送达或者未按照招标文件要求密封或标记的投标文件，采购代理机构必须拒收。</w:t>
      </w:r>
    </w:p>
    <w:p>
      <w:pPr>
        <w:numPr>
          <w:ilvl w:val="0"/>
          <w:numId w:val="0"/>
        </w:numPr>
        <w:ind w:right="0" w:rightChars="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22. 投标文件的补充、修改与撤回</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在投标截止时间之前，可以对已提交的投标文件进行补充、修改或者撤回，并书面通知采购人或者采购代理机构。补充、修改的内容必须按照招标文件要求签署、盖章、密封和标记后，作为投标文件的组成部分。</w:t>
      </w:r>
    </w:p>
    <w:p>
      <w:pPr>
        <w:pStyle w:val="5"/>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四、开    标</w:t>
      </w:r>
    </w:p>
    <w:p>
      <w:pPr>
        <w:pStyle w:val="6"/>
        <w:rPr>
          <w:rFonts w:hint="eastAsia" w:ascii="宋体" w:hAnsi="宋体" w:eastAsia="宋体" w:cs="宋体"/>
          <w:b/>
          <w:color w:val="auto"/>
          <w:kern w:val="2"/>
          <w:sz w:val="24"/>
          <w:szCs w:val="24"/>
          <w:highlight w:val="none"/>
        </w:rPr>
      </w:pPr>
      <w:bookmarkStart w:id="86" w:name="_23.开标时间和地点"/>
      <w:bookmarkEnd w:id="86"/>
      <w:r>
        <w:rPr>
          <w:rFonts w:hint="eastAsia" w:ascii="宋体" w:hAnsi="宋体" w:eastAsia="宋体" w:cs="宋体"/>
          <w:b/>
          <w:color w:val="auto"/>
          <w:kern w:val="2"/>
          <w:sz w:val="24"/>
          <w:szCs w:val="24"/>
          <w:highlight w:val="none"/>
        </w:rPr>
        <w:t>23.开标时间和地点</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采购代理机构将在“投标人须知前附表”规定的时间和地点进行开标，投标人未参加开标的，视同认可开标过程和结果。本项目开标过程实行全程录音、录像监控。</w:t>
      </w:r>
    </w:p>
    <w:p>
      <w:pPr>
        <w:pStyle w:val="1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24.开标程序：</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（1）宣布开标：开标会由采购代理机构主持，主持人宣布开标开始；</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（2）主持人介绍参加开标会的人员名单； </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（3）主持人宣布开标纪律；</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（4）检查文件：由各投标人检查各自的投标文件密封情况并签字确认。</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（5）唱标：经投标人确认各自投标文件密封无误后，由采购代理机构工作当众拆封，宣布投标人名称、投标价格和其他需要宣布的内容。</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（6）开标过程由采购代理机构如实记录，由参加开标的各投标人代表对开标记录进行当场校核及勘误，并签字确认。投标人代表未到场签字确认或者拒绝签字确认的，视同认可开标结果；</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（8）开标结束。</w:t>
      </w:r>
    </w:p>
    <w:p>
      <w:pPr>
        <w:pStyle w:val="1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五、资格审查</w:t>
      </w:r>
    </w:p>
    <w:p>
      <w:pPr>
        <w:pStyle w:val="1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25.资格审查</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25.1开标结束后，采购人或采购代理机构依法对投标人的资格进行审查。</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25.2资格审查标准为本招标文件中载明对投标人资格要求的条件。本项目资格审查采用合格制，凡符合招标文件规定的投标人资格要求的投标人均通过资格审查。</w:t>
      </w:r>
      <w:bookmarkStart w:id="87" w:name="_25.3_投标人有下列情形之一的，资格审查不通过而导致其投标无效："/>
      <w:bookmarkEnd w:id="87"/>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25.3 投标人有下列情形之一的，资格审查不通过而导致其投标无效：</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（1）不具备招标文件中规定的资格要求的；（注：其中信用查询由采购人或采购代理机构在“信用中国”网站(www.creditchina.gov.cn) 、中国政府采购网(www.ccgp.gov.cn)对投标人资格审查时进行，查询规则见“投标人须知前附表”）</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（2）未按招标文件规定的方式获取本招标文件的投标人；</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（3）投标文件未提供“投标人须知前附表”第13.2条规定“必须提供”的文件资料的或提供的文件资料不合格的；</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（4）违反国家法律法规规定的其他资格内容的。</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25.4资格审查的合格投标人不足3家的，不得评标。</w:t>
      </w:r>
    </w:p>
    <w:p>
      <w:pPr>
        <w:pStyle w:val="1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六、评   标</w:t>
      </w:r>
    </w:p>
    <w:p>
      <w:pPr>
        <w:pStyle w:val="12"/>
        <w:rPr>
          <w:rFonts w:hint="eastAsia" w:ascii="宋体" w:hAnsi="宋体" w:eastAsia="宋体" w:cs="宋体"/>
          <w:b/>
          <w:bCs/>
          <w:color w:val="auto"/>
          <w:kern w:val="0"/>
          <w:sz w:val="24"/>
          <w:szCs w:val="24"/>
          <w:highlight w:val="none"/>
        </w:rPr>
      </w:pPr>
      <w:bookmarkStart w:id="88" w:name="_26.组建评标委员会"/>
      <w:bookmarkEnd w:id="88"/>
      <w:r>
        <w:rPr>
          <w:rFonts w:hint="eastAsia" w:ascii="宋体" w:hAnsi="宋体" w:eastAsia="宋体" w:cs="宋体"/>
          <w:b/>
          <w:bCs/>
          <w:color w:val="auto"/>
          <w:kern w:val="0"/>
          <w:sz w:val="24"/>
          <w:szCs w:val="24"/>
          <w:highlight w:val="none"/>
        </w:rPr>
        <w:t>26.组建评标委员会</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评标委员会由采购人代表和评审专家组成，人数见“投标人须知前附表”，其中评审专家不得少于成员总数的三分之二。</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参加过采购项目前期咨询论证的专家，不得参加该采购项目的评审活动。</w:t>
      </w:r>
    </w:p>
    <w:p>
      <w:pPr>
        <w:pStyle w:val="1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27.评标的依据</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评标委员会以招标文件为依据对投标文件进行评审, 招标文件中没有规定的评标标准不得作为评审的依据。</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28.评标原则和评标办法</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28.2评委表决。在评标过程中出现法律法规和招标文件均没有明确规定的情形时，由评标委员会现场协商解决，协商不一致的，由全体评委投票表决，以得票率二分之一以上专家的意见为准。</w:t>
      </w:r>
      <w:bookmarkStart w:id="89" w:name="_28.3评标方法。本项目将按须知前附表规定的评标办法进行评标，具体评标"/>
      <w:bookmarkEnd w:id="89"/>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28.3评标方法。本项目将按“投标人须知前附表”规定的评标方法进行评标，具体评标内容及评分标准等详见第四章：评标方法及评标标准。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28.4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2"/>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29.评标程序</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29.1符合性审查</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评标委员会应当对符合资格的投标人的投标文件进行投标报价、商务、技术等实质性要求符合性审查，以确定其是否满足招标文件的实质性要求。</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29.2符合性审查不通过而导致投标无效的情形</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投标人的投标文件中存在对招标文件的任何实质性要求和条件的负偏离，其投标将被视为投标无效。</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29.2.1在报价评审时，如发现下列情形之一的，将被视为投标无效：</w:t>
      </w:r>
    </w:p>
    <w:p>
      <w:pPr>
        <w:pStyle w:val="1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投标文件未提供“投标人须知前附表”第13.1条规定中“必须提供”的文件资料的;</w:t>
      </w:r>
    </w:p>
    <w:p>
      <w:pPr>
        <w:pStyle w:val="1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未采用人民币报价或者未按照招标文件标明的币种报价的；</w:t>
      </w:r>
    </w:p>
    <w:p>
      <w:pPr>
        <w:pStyle w:val="1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报价超出招标文件规定最高限价，或者超出采购预算金额的；</w:t>
      </w:r>
    </w:p>
    <w:p>
      <w:pPr>
        <w:pStyle w:val="1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pPr>
        <w:pStyle w:val="1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修正后的报价，投标人不确认的；</w:t>
      </w:r>
    </w:p>
    <w:p>
      <w:pPr>
        <w:pStyle w:val="1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投标人属于本须知第29.4条第（2）项情形的；</w:t>
      </w:r>
    </w:p>
    <w:p>
      <w:pPr>
        <w:pStyle w:val="1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29.2.2在商务评审时，如发现下列情形之一的，将被视为投标无效：</w:t>
      </w:r>
    </w:p>
    <w:p>
      <w:pPr>
        <w:pStyle w:val="12"/>
        <w:jc w:val="left"/>
        <w:rPr>
          <w:rFonts w:hint="eastAsia" w:ascii="宋体" w:hAnsi="宋体" w:eastAsia="宋体" w:cs="宋体"/>
          <w:color w:val="auto"/>
          <w:kern w:val="0"/>
          <w:sz w:val="24"/>
          <w:szCs w:val="24"/>
          <w:highlight w:val="none"/>
        </w:rPr>
      </w:pP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投标文件未按招标文件要求签署、盖章的；</w:t>
      </w:r>
    </w:p>
    <w:p>
      <w:pPr>
        <w:pStyle w:val="7"/>
        <w:ind w:left="0" w:leftChars="0" w:firstLine="0" w:firstLineChars="0"/>
        <w:jc w:val="left"/>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 xml:space="preserve">委托代理人未能出具有效身份证明或出具的身份证明与授权委托书中的信息不符的； </w:t>
      </w:r>
    </w:p>
    <w:p>
      <w:pPr>
        <w:pStyle w:val="7"/>
        <w:ind w:left="0" w:leftChars="0" w:firstLine="0" w:firstLineChars="0"/>
        <w:jc w:val="left"/>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为无效投标保证金的或未按照招标文件的规定提交投标保证金的；</w:t>
      </w:r>
    </w:p>
    <w:p>
      <w:pPr>
        <w:pStyle w:val="3"/>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（4）投标文件未提供“投标人须知前附表”第13.3条规定中“必须提供”或者“委托时必须提供”的文件资料的;</w:t>
      </w:r>
    </w:p>
    <w:p>
      <w:pPr>
        <w:pStyle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（5）投标有效期、项目完成时间（交货时间、服务完成时间或服务期等）、质保期、售后服务等招标文件中标“▲”的商务条款发生负偏离的；</w:t>
      </w:r>
    </w:p>
    <w:p>
      <w:pPr>
        <w:pStyle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（6）商务评审允许负偏离的项目数超过“投标人须知前附表”规定项数的。</w:t>
      </w:r>
    </w:p>
    <w:p>
      <w:pPr>
        <w:pStyle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（7）投标文件的实质性内容未使用中文表述、使用计量单位不符合招标文件要求的；</w:t>
      </w:r>
    </w:p>
    <w:p>
      <w:pPr>
        <w:pStyle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（8）投标文件中的文件资料因填写不齐全或者内容虚假或者出现其他情形而导致被评标委员会认定无效的；</w:t>
      </w:r>
    </w:p>
    <w:p>
      <w:pPr>
        <w:pStyle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（9）投标文件含有采购人不能接受的附加条件的；</w:t>
      </w:r>
    </w:p>
    <w:p>
      <w:pPr>
        <w:pStyle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（10）未响应招标文件实质性要求的；</w:t>
      </w:r>
    </w:p>
    <w:p>
      <w:pPr>
        <w:pStyle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（11）属于投标人须知第8.6条和第8.8条（2）的情形的；</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（12）法律、法规和招标文件规定的其他无效情形。</w:t>
      </w:r>
    </w:p>
    <w:p>
      <w:pPr>
        <w:rPr>
          <w:rFonts w:hint="eastAsia" w:ascii="宋体" w:hAnsi="宋体" w:eastAsia="宋体" w:cs="宋体"/>
          <w:color w:val="auto"/>
          <w:kern w:val="2"/>
          <w:sz w:val="24"/>
          <w:szCs w:val="24"/>
          <w:highlight w:val="none"/>
        </w:rPr>
      </w:pPr>
      <w:bookmarkStart w:id="90" w:name="_29.2.2在技术评审时，如发现下列情形之一的，将被视为投标无效："/>
      <w:bookmarkEnd w:id="90"/>
      <w:r>
        <w:rPr>
          <w:rFonts w:hint="eastAsia" w:ascii="宋体" w:hAnsi="宋体" w:eastAsia="宋体" w:cs="宋体"/>
          <w:color w:val="auto"/>
          <w:kern w:val="2"/>
          <w:sz w:val="24"/>
          <w:szCs w:val="24"/>
          <w:highlight w:val="none"/>
        </w:rPr>
        <w:t>29.2.3在技术评审时，如发现下列情形之一的，将被视为投标无效：</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（1）明显不满足招标文件要求的技术规格、安全、质量标准，或者与招标文件中标“▲”的技术指标、主要功能发生负偏离的；</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（2）技术评审允许负偏离的项目数超过“投标人须知前附表”规定项数的；</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（3）投标文件未提供“投标人须知前附表”第13.4条规定中“必须提供”的文件资料的;</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（4）虚假投标，或者出现其他情形而导致被评标委员会认定无效的；</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（5）投标技术方案不明确，招标文件未允许但存在一个或一个以上备选（替代）投标方案的。</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29.3澄清补正</w:t>
      </w:r>
    </w:p>
    <w:p>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29.4比较与评价</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（1）评标委员会按照招标文件中规定的评标方法和评标标准，对符合性审查合格的投标文件进行商务和技术评估，综合比较与评价。</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（2）评标委员会应当独立对每个投标人的投标文件进行评价，并汇总每个投标人的得分。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（3）评标委员会按照招标文件中规定的评标方法和标准计算各投标人的报价得分。在计算过程中，不得去掉最高报价或最低报价。</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（4）各投标人的得分为所有评委的有效评分的算术平均数。</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（5）评标委员会按照招标文件中的规定推荐中标候选人。</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29.5投标文件修正</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29.5.1投标文件报价出现前后不一致的，按照下列规定修正： </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（1）投标文件中开标一览表（报价表）内容与投标文件中相应内容不一致的，以开标一览表（报价表）为准；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（2）大写金额和小写金额不一致的，以大写金额为准；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（3）单价金额小数点或者百分比有明显错位的，以开标一览表的总价为准，并修改单价；</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（4）总价金额与按单价汇总金额不一致的，以单价金额计算结果为准。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同时出现两种以上不一致的，按照以上（1）-（4）规定的顺序修正。修正后的报价经投标人确认后产生约束力，投标人不确认的，其投标无效。</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29.5.2经投标人确认修正后的报价若超过采购预算金额，投标人的投标文件作无效投标处理。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29.5.3经投标人确认修正后的报价作为签订合同的一个依据，并以此报价计算价格分。</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29.6.评标过程的监控</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本项目评标过程实行全程录音、录像监控，投标人在评标过程中所进行的试图影响评标结果的不公正活动，可能导致其投标按无效处理。</w:t>
      </w:r>
    </w:p>
    <w:p>
      <w:pPr>
        <w:pStyle w:val="1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七、中标和合同</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采购人也可以事先授权评标委员会直接确定中标人。</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pPr>
        <w:numPr>
          <w:ilvl w:val="0"/>
          <w:numId w:val="4"/>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人确定后，于中标人确定之日起2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中小企业在政府采购活动过程中，请根据自己的真实情况出具《中小企业声明函》。依法享受中小企业优惠政策的，采购人或采购代理机构在公告中标结果时，同时公告其《中小企业声明函》，接受社会监督。</w:t>
      </w:r>
    </w:p>
    <w:p>
      <w:pPr>
        <w:numPr>
          <w:ilvl w:val="0"/>
          <w:numId w:val="4"/>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32.在发布中标公告的同时，采购代理机构向中标人发出中标通知书。对未通过资格审查的投标人，应当告知其未通过的原因；采用综合评分办法评审的，还应当告知未中标人本人的评审得分与排序。</w:t>
      </w:r>
    </w:p>
    <w:p>
      <w:pPr>
        <w:numPr>
          <w:ilvl w:val="0"/>
          <w:numId w:val="4"/>
        </w:numPr>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t>采购代理机构无义务向未中标的投标人解释未中标原因和退还投标文件。</w:t>
      </w:r>
    </w:p>
    <w:p>
      <w:pPr>
        <w:numPr>
          <w:ilvl w:val="0"/>
          <w:numId w:val="4"/>
        </w:num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合同授予标准</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合同将授予被确定实质上响应招标文件要求，具备履行合同能力，综合评分排名第一的投标人（招标文件另有约定多名中标人的除外）。</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35.</w:t>
      </w:r>
      <w:bookmarkStart w:id="91" w:name="_39.1中标人须于签订合同前按本须知前附表规定的金额转账或电汇到指定账"/>
      <w:bookmarkEnd w:id="91"/>
      <w:r>
        <w:rPr>
          <w:rFonts w:hint="eastAsia" w:ascii="宋体" w:hAnsi="宋体" w:eastAsia="宋体" w:cs="宋体"/>
          <w:color w:val="auto"/>
          <w:kern w:val="2"/>
          <w:sz w:val="24"/>
          <w:szCs w:val="24"/>
          <w:highlight w:val="none"/>
        </w:rPr>
        <w:t xml:space="preserve">本项目不收取履约保证金。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36.签订合同</w:t>
      </w:r>
      <w:bookmarkStart w:id="92" w:name="_40.1投标人接到中标通知书后，按须知前附表规定向采购人出示相关资格证"/>
      <w:bookmarkEnd w:id="92"/>
      <w:r>
        <w:rPr>
          <w:rFonts w:hint="eastAsia" w:ascii="宋体" w:hAnsi="宋体" w:eastAsia="宋体" w:cs="宋体"/>
          <w:color w:val="auto"/>
          <w:kern w:val="2"/>
          <w:sz w:val="24"/>
          <w:szCs w:val="24"/>
          <w:highlight w:val="none"/>
        </w:rPr>
        <w:t xml:space="preserve">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36.1投标人接到中标通知书后，按投标人须知前附表规定向采购人出示相关资格证件，经采购人核验合格后方可签订合同。</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36.2签订合同时间：按中标通知书规定的时间与采购人签订合同。 </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36.3如中标人不按中标通知书的规定签订合同，报由同级政府采购监督管理部门处理。</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36.4中标人拒绝与采购人签订合同的，采购人可以按照评审报告推荐的中标候选人名单排序，确定下一候选人为中标人，也可以重新开展政府采购活动。</w:t>
      </w:r>
    </w:p>
    <w:p>
      <w:pPr>
        <w:rPr>
          <w:rFonts w:hint="eastAsia" w:ascii="宋体" w:hAnsi="宋体" w:eastAsia="宋体" w:cs="宋体"/>
          <w:b/>
          <w:bCs/>
          <w:color w:val="auto"/>
          <w:kern w:val="2"/>
          <w:sz w:val="24"/>
          <w:szCs w:val="24"/>
          <w:highlight w:val="none"/>
        </w:rPr>
      </w:pPr>
      <w:bookmarkStart w:id="93" w:name="_41.政府采购合同公告"/>
      <w:bookmarkEnd w:id="93"/>
      <w:r>
        <w:rPr>
          <w:rFonts w:hint="eastAsia" w:ascii="宋体" w:hAnsi="宋体" w:eastAsia="宋体" w:cs="宋体"/>
          <w:b/>
          <w:bCs/>
          <w:color w:val="auto"/>
          <w:kern w:val="2"/>
          <w:sz w:val="24"/>
          <w:szCs w:val="24"/>
          <w:highlight w:val="none"/>
        </w:rPr>
        <w:t>37.政府采购合同公告</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实施条例》第五十条及《关于进一步做好政府采购信息公开有关工作的通知》（桂财采〔2016〕7号）规定，采购人或受托采购代理机构应当自政府采购合同签订之日起2个工作日内，将政府采购合同在省级以上人民政府财政部门指定的媒体上公告，但政府采购合同中涉及国家秘密、商业秘密的内容除外。</w:t>
      </w:r>
    </w:p>
    <w:p>
      <w:pPr>
        <w:pStyle w:val="1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bookmarkStart w:id="94" w:name="_八、其他事项"/>
      <w:bookmarkEnd w:id="94"/>
      <w:r>
        <w:rPr>
          <w:rFonts w:hint="eastAsia" w:ascii="宋体" w:hAnsi="宋体" w:eastAsia="宋体" w:cs="宋体"/>
          <w:b/>
          <w:bCs/>
          <w:color w:val="auto"/>
          <w:kern w:val="0"/>
          <w:sz w:val="24"/>
          <w:szCs w:val="24"/>
          <w:highlight w:val="none"/>
        </w:rPr>
        <w:t>八、其他事项</w:t>
      </w:r>
    </w:p>
    <w:p>
      <w:pPr>
        <w:pStyle w:val="12"/>
        <w:rPr>
          <w:rFonts w:hint="eastAsia" w:ascii="宋体" w:hAnsi="宋体" w:eastAsia="宋体" w:cs="宋体"/>
          <w:b/>
          <w:bCs/>
          <w:color w:val="auto"/>
          <w:kern w:val="0"/>
          <w:sz w:val="24"/>
          <w:szCs w:val="24"/>
          <w:highlight w:val="none"/>
        </w:rPr>
      </w:pPr>
      <w:bookmarkStart w:id="95" w:name="_42.代理服务费"/>
      <w:bookmarkEnd w:id="95"/>
      <w:r>
        <w:rPr>
          <w:rFonts w:hint="eastAsia" w:ascii="宋体" w:hAnsi="宋体" w:eastAsia="宋体" w:cs="宋体"/>
          <w:b/>
          <w:bCs/>
          <w:color w:val="auto"/>
          <w:kern w:val="0"/>
          <w:sz w:val="24"/>
          <w:szCs w:val="24"/>
          <w:highlight w:val="none"/>
        </w:rPr>
        <w:t>38.代理服务费</w:t>
      </w:r>
    </w:p>
    <w:p>
      <w:pPr>
        <w:pStyle w:val="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38.1代理服务收费标准详见“供应商须知前附表”：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42"/>
        <w:gridCol w:w="1788"/>
        <w:gridCol w:w="1651"/>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1"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费率</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金额</w:t>
            </w:r>
          </w:p>
        </w:tc>
        <w:tc>
          <w:tcPr>
            <w:tcW w:w="1788"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货物类</w:t>
            </w:r>
          </w:p>
        </w:tc>
        <w:tc>
          <w:tcPr>
            <w:tcW w:w="1651"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服务类</w:t>
            </w:r>
          </w:p>
        </w:tc>
        <w:tc>
          <w:tcPr>
            <w:tcW w:w="1666"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100万元以下</w:t>
            </w:r>
          </w:p>
        </w:tc>
        <w:tc>
          <w:tcPr>
            <w:tcW w:w="1788"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1.5%                </w:t>
            </w:r>
          </w:p>
        </w:tc>
        <w:tc>
          <w:tcPr>
            <w:tcW w:w="1651"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w:t>
            </w:r>
          </w:p>
        </w:tc>
        <w:tc>
          <w:tcPr>
            <w:tcW w:w="1666"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100～500万元</w:t>
            </w:r>
          </w:p>
        </w:tc>
        <w:tc>
          <w:tcPr>
            <w:tcW w:w="1788"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1.1%                 </w:t>
            </w:r>
          </w:p>
        </w:tc>
        <w:tc>
          <w:tcPr>
            <w:tcW w:w="1651"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0.8%</w:t>
            </w:r>
          </w:p>
        </w:tc>
        <w:tc>
          <w:tcPr>
            <w:tcW w:w="1666"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500～1000万元</w:t>
            </w:r>
          </w:p>
        </w:tc>
        <w:tc>
          <w:tcPr>
            <w:tcW w:w="1788"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0.8%                </w:t>
            </w:r>
          </w:p>
        </w:tc>
        <w:tc>
          <w:tcPr>
            <w:tcW w:w="1651"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0.45%</w:t>
            </w:r>
          </w:p>
        </w:tc>
        <w:tc>
          <w:tcPr>
            <w:tcW w:w="1666"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1000～5000万元</w:t>
            </w:r>
          </w:p>
        </w:tc>
        <w:tc>
          <w:tcPr>
            <w:tcW w:w="1788"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0.5%                </w:t>
            </w:r>
          </w:p>
        </w:tc>
        <w:tc>
          <w:tcPr>
            <w:tcW w:w="1651"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0.25%</w:t>
            </w:r>
          </w:p>
        </w:tc>
        <w:tc>
          <w:tcPr>
            <w:tcW w:w="1666"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5000万元～1亿元</w:t>
            </w:r>
          </w:p>
        </w:tc>
        <w:tc>
          <w:tcPr>
            <w:tcW w:w="1788"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0.25%                 </w:t>
            </w:r>
          </w:p>
        </w:tc>
        <w:tc>
          <w:tcPr>
            <w:tcW w:w="1651"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0.1%</w:t>
            </w:r>
          </w:p>
        </w:tc>
        <w:tc>
          <w:tcPr>
            <w:tcW w:w="1666"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1～5亿元</w:t>
            </w:r>
          </w:p>
        </w:tc>
        <w:tc>
          <w:tcPr>
            <w:tcW w:w="1788"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0.05%</w:t>
            </w:r>
          </w:p>
        </w:tc>
        <w:tc>
          <w:tcPr>
            <w:tcW w:w="1651"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0.05%</w:t>
            </w:r>
          </w:p>
        </w:tc>
        <w:tc>
          <w:tcPr>
            <w:tcW w:w="1666"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5～10亿元</w:t>
            </w:r>
          </w:p>
        </w:tc>
        <w:tc>
          <w:tcPr>
            <w:tcW w:w="1788"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0.035%</w:t>
            </w:r>
          </w:p>
        </w:tc>
        <w:tc>
          <w:tcPr>
            <w:tcW w:w="1651"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0.035%</w:t>
            </w:r>
          </w:p>
        </w:tc>
        <w:tc>
          <w:tcPr>
            <w:tcW w:w="1666"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10～50亿元</w:t>
            </w:r>
          </w:p>
        </w:tc>
        <w:tc>
          <w:tcPr>
            <w:tcW w:w="1788"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0.008%</w:t>
            </w:r>
          </w:p>
        </w:tc>
        <w:tc>
          <w:tcPr>
            <w:tcW w:w="1651"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0.008%</w:t>
            </w:r>
          </w:p>
        </w:tc>
        <w:tc>
          <w:tcPr>
            <w:tcW w:w="1666"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50～100亿元</w:t>
            </w:r>
          </w:p>
        </w:tc>
        <w:tc>
          <w:tcPr>
            <w:tcW w:w="1788"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0.006%</w:t>
            </w:r>
          </w:p>
        </w:tc>
        <w:tc>
          <w:tcPr>
            <w:tcW w:w="1651"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0.006%</w:t>
            </w:r>
          </w:p>
        </w:tc>
        <w:tc>
          <w:tcPr>
            <w:tcW w:w="1666"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42"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100亿以上</w:t>
            </w:r>
          </w:p>
        </w:tc>
        <w:tc>
          <w:tcPr>
            <w:tcW w:w="1788"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0.004%</w:t>
            </w:r>
          </w:p>
        </w:tc>
        <w:tc>
          <w:tcPr>
            <w:tcW w:w="1651"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0.004%</w:t>
            </w:r>
          </w:p>
        </w:tc>
        <w:tc>
          <w:tcPr>
            <w:tcW w:w="1666"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0.004%</w:t>
            </w:r>
          </w:p>
        </w:tc>
      </w:tr>
    </w:tbl>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注：1.按本表费率计算的收费为采购代理的收费基准价格； 2.采购代理收费按差额定率累进法计算。例如：某服务采购代理业务成交金额或暂定价为500万元，计算采购代理收费额如下：</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100 万元×l.5 ％＝ 1.5万元</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（500－100）万元×0.8％＝ 3.2万元</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合计收费＝1.5＋3.2＝ 4.7（万元）</w:t>
      </w:r>
    </w:p>
    <w:p>
      <w:p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38.2采购代理机构的银行账户：</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账户名称：</w:t>
      </w:r>
      <w:r>
        <w:rPr>
          <w:rFonts w:hint="eastAsia"/>
          <w:color w:val="auto"/>
          <w:sz w:val="24"/>
          <w:highlight w:val="none"/>
          <w:lang w:eastAsia="zh-CN"/>
        </w:rPr>
        <w:t>湖南英邦工程建设咨询有限公司</w:t>
      </w:r>
      <w:r>
        <w:rPr>
          <w:rFonts w:hint="eastAsia"/>
          <w:color w:val="auto"/>
          <w:sz w:val="24"/>
          <w:highlight w:val="none"/>
        </w:rPr>
        <w:t>玉林分公司</w:t>
      </w:r>
      <w:r>
        <w:rPr>
          <w:rFonts w:hint="eastAsia" w:ascii="宋体" w:hAnsi="宋体" w:eastAsia="宋体" w:cs="宋体"/>
          <w:color w:val="auto"/>
          <w:kern w:val="2"/>
          <w:sz w:val="24"/>
          <w:szCs w:val="24"/>
          <w:highlight w:val="none"/>
        </w:rPr>
        <w:t>，</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开户银行：中国农业银行股份有限公司玉林城东支行，</w:t>
      </w:r>
    </w:p>
    <w:p>
      <w:pPr>
        <w:rPr>
          <w:rFonts w:hint="eastAsia" w:asciiTheme="majorEastAsia" w:hAnsiTheme="majorEastAsia" w:eastAsiaTheme="majorEastAsia" w:cstheme="majorEastAsia"/>
          <w:color w:val="auto"/>
          <w:kern w:val="0"/>
          <w:sz w:val="32"/>
          <w:szCs w:val="32"/>
          <w:highlight w:val="none"/>
        </w:rPr>
      </w:pPr>
      <w:r>
        <w:rPr>
          <w:rFonts w:hint="eastAsia" w:ascii="宋体" w:hAnsi="宋体" w:eastAsia="宋体" w:cs="宋体"/>
          <w:color w:val="auto"/>
          <w:kern w:val="2"/>
          <w:sz w:val="24"/>
          <w:szCs w:val="24"/>
          <w:highlight w:val="none"/>
        </w:rPr>
        <w:t>银行账号：20405201040006368</w:t>
      </w:r>
      <w:r>
        <w:rPr>
          <w:rFonts w:hint="eastAsia" w:ascii="宋体" w:hAnsi="宋体" w:eastAsia="宋体" w:cs="宋体"/>
          <w:color w:val="auto"/>
          <w:kern w:val="0"/>
          <w:sz w:val="24"/>
          <w:szCs w:val="24"/>
          <w:highlight w:val="none"/>
        </w:rPr>
        <w:br w:type="page"/>
      </w:r>
      <w:r>
        <w:rPr>
          <w:rFonts w:hint="eastAsia" w:asciiTheme="majorEastAsia" w:hAnsiTheme="majorEastAsia" w:eastAsiaTheme="majorEastAsia" w:cstheme="majorEastAsia"/>
          <w:color w:val="auto"/>
          <w:kern w:val="0"/>
          <w:sz w:val="24"/>
          <w:szCs w:val="24"/>
          <w:highlight w:val="none"/>
        </w:rPr>
        <w:t>附件1：</w:t>
      </w:r>
    </w:p>
    <w:p>
      <w:pPr>
        <w:jc w:val="cente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广西壮族自治区政府采购项目合同验收书（格式）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32"/>
          <w:szCs w:val="32"/>
          <w:highlight w:val="none"/>
        </w:rPr>
        <w:t xml:space="preserve"> </w:t>
      </w:r>
      <w:r>
        <w:rPr>
          <w:rFonts w:hint="eastAsia" w:asciiTheme="majorEastAsia" w:hAnsiTheme="majorEastAsia" w:eastAsiaTheme="majorEastAsia" w:cstheme="majorEastAsia"/>
          <w:color w:val="auto"/>
          <w:kern w:val="2"/>
          <w:sz w:val="24"/>
          <w:szCs w:val="24"/>
          <w:highlight w:val="none"/>
        </w:rPr>
        <w:t>根据政府采购项目（采购合同编号：</w:t>
      </w:r>
      <w:r>
        <w:rPr>
          <w:rFonts w:hint="eastAsia" w:asciiTheme="majorEastAsia" w:hAnsiTheme="majorEastAsia" w:eastAsiaTheme="majorEastAsia" w:cstheme="majorEastAsia"/>
          <w:color w:val="auto"/>
          <w:kern w:val="2"/>
          <w:sz w:val="24"/>
          <w:szCs w:val="24"/>
          <w:highlight w:val="none"/>
        </w:rPr>
        <w:softHyphen/>
      </w:r>
      <w:r>
        <w:rPr>
          <w:rFonts w:hint="eastAsia" w:asciiTheme="majorEastAsia" w:hAnsiTheme="majorEastAsia" w:eastAsiaTheme="majorEastAsia" w:cstheme="majorEastAsia"/>
          <w:color w:val="auto"/>
          <w:kern w:val="2"/>
          <w:sz w:val="24"/>
          <w:szCs w:val="24"/>
          <w:highlight w:val="none"/>
        </w:rPr>
        <w:t xml:space="preserve"> ）的约定，我单位对（ 项目名称 ） 政府采购项目中标（或成交）供应商（ 公司名称 ） 提供的货物（或工程、服务）进行了验收，验收情况如下：</w:t>
      </w:r>
    </w:p>
    <w:tbl>
      <w:tblPr>
        <w:tblStyle w:val="20"/>
        <w:tblW w:w="10091" w:type="dxa"/>
        <w:jc w:val="center"/>
        <w:shd w:val="clear" w:color="auto" w:fill="auto"/>
        <w:tblLayout w:type="fixed"/>
        <w:tblCellMar>
          <w:top w:w="0" w:type="dxa"/>
          <w:left w:w="0" w:type="dxa"/>
          <w:bottom w:w="0" w:type="dxa"/>
          <w:right w:w="0" w:type="dxa"/>
        </w:tblCellMar>
      </w:tblPr>
      <w:tblGrid>
        <w:gridCol w:w="1796"/>
        <w:gridCol w:w="1456"/>
        <w:gridCol w:w="798"/>
        <w:gridCol w:w="102"/>
        <w:gridCol w:w="2002"/>
        <w:gridCol w:w="178"/>
        <w:gridCol w:w="685"/>
        <w:gridCol w:w="3074"/>
      </w:tblGrid>
      <w:tr>
        <w:tblPrEx>
          <w:shd w:val="clear" w:color="auto" w:fill="auto"/>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验收方式：</w:t>
            </w:r>
          </w:p>
        </w:tc>
        <w:tc>
          <w:tcPr>
            <w:tcW w:w="6839" w:type="dxa"/>
            <w:gridSpan w:val="6"/>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□自行验收 □委托验收</w:t>
            </w:r>
          </w:p>
        </w:tc>
      </w:tr>
      <w:tr>
        <w:tblPrEx>
          <w:tblCellMar>
            <w:top w:w="0" w:type="dxa"/>
            <w:left w:w="0" w:type="dxa"/>
            <w:bottom w:w="0" w:type="dxa"/>
            <w:right w:w="0" w:type="dxa"/>
          </w:tblCellMar>
        </w:tblPrEx>
        <w:trPr>
          <w:trHeight w:val="622" w:hRule="atLeast"/>
          <w:jc w:val="center"/>
        </w:trPr>
        <w:tc>
          <w:tcPr>
            <w:tcW w:w="179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序号</w:t>
            </w:r>
          </w:p>
        </w:tc>
        <w:tc>
          <w:tcPr>
            <w:tcW w:w="14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名 称</w:t>
            </w:r>
          </w:p>
        </w:tc>
        <w:tc>
          <w:tcPr>
            <w:tcW w:w="2902" w:type="dxa"/>
            <w:gridSpan w:val="3"/>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货物型号规格、标准及配置等（或服务内容、标准）</w:t>
            </w:r>
          </w:p>
        </w:tc>
        <w:tc>
          <w:tcPr>
            <w:tcW w:w="863"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数量</w:t>
            </w:r>
          </w:p>
        </w:tc>
        <w:tc>
          <w:tcPr>
            <w:tcW w:w="307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金 额</w:t>
            </w:r>
          </w:p>
        </w:tc>
      </w:tr>
      <w:tr>
        <w:tblPrEx>
          <w:tblCellMar>
            <w:top w:w="0" w:type="dxa"/>
            <w:left w:w="0" w:type="dxa"/>
            <w:bottom w:w="0" w:type="dxa"/>
            <w:right w:w="0" w:type="dxa"/>
          </w:tblCellMar>
        </w:tblPrEx>
        <w:trPr>
          <w:trHeight w:val="487" w:hRule="atLeast"/>
          <w:jc w:val="center"/>
        </w:trPr>
        <w:tc>
          <w:tcPr>
            <w:tcW w:w="179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14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2902" w:type="dxa"/>
            <w:gridSpan w:val="3"/>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863"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307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r>
      <w:tr>
        <w:tblPrEx>
          <w:tblCellMar>
            <w:top w:w="0" w:type="dxa"/>
            <w:left w:w="0" w:type="dxa"/>
            <w:bottom w:w="0" w:type="dxa"/>
            <w:right w:w="0" w:type="dxa"/>
          </w:tblCellMar>
        </w:tblPrEx>
        <w:trPr>
          <w:trHeight w:val="487" w:hRule="atLeast"/>
          <w:jc w:val="center"/>
        </w:trPr>
        <w:tc>
          <w:tcPr>
            <w:tcW w:w="179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14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2902" w:type="dxa"/>
            <w:gridSpan w:val="3"/>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863"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307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r>
      <w:tr>
        <w:tblPrEx>
          <w:tblCellMar>
            <w:top w:w="0" w:type="dxa"/>
            <w:left w:w="0" w:type="dxa"/>
            <w:bottom w:w="0" w:type="dxa"/>
            <w:right w:w="0" w:type="dxa"/>
          </w:tblCellMar>
        </w:tblPrEx>
        <w:trPr>
          <w:trHeight w:val="487" w:hRule="atLeast"/>
          <w:jc w:val="center"/>
        </w:trPr>
        <w:tc>
          <w:tcPr>
            <w:tcW w:w="179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145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2902" w:type="dxa"/>
            <w:gridSpan w:val="3"/>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863"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307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合 计</w:t>
            </w:r>
          </w:p>
        </w:tc>
        <w:tc>
          <w:tcPr>
            <w:tcW w:w="863"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307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r>
      <w:tr>
        <w:tblPrEx>
          <w:tblCellMar>
            <w:top w:w="0" w:type="dxa"/>
            <w:left w:w="0" w:type="dxa"/>
            <w:bottom w:w="0" w:type="dxa"/>
            <w:right w:w="0" w:type="dxa"/>
          </w:tblCellMar>
        </w:tblPrEx>
        <w:trPr>
          <w:trHeight w:val="641" w:hRule="atLeast"/>
          <w:jc w:val="center"/>
        </w:trPr>
        <w:tc>
          <w:tcPr>
            <w:tcW w:w="10091" w:type="dxa"/>
            <w:gridSpan w:val="8"/>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79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实际交付日期</w:t>
            </w:r>
          </w:p>
        </w:tc>
        <w:tc>
          <w:tcPr>
            <w:tcW w:w="2254"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2282" w:type="dxa"/>
            <w:gridSpan w:val="3"/>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合同交付验收日期</w:t>
            </w:r>
          </w:p>
        </w:tc>
        <w:tc>
          <w:tcPr>
            <w:tcW w:w="3759"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r>
      <w:tr>
        <w:tblPrEx>
          <w:tblCellMar>
            <w:top w:w="0" w:type="dxa"/>
            <w:left w:w="0" w:type="dxa"/>
            <w:bottom w:w="0" w:type="dxa"/>
            <w:right w:w="0" w:type="dxa"/>
          </w:tblCellMar>
        </w:tblPrEx>
        <w:trPr>
          <w:trHeight w:val="394" w:hRule="atLeast"/>
          <w:jc w:val="center"/>
        </w:trPr>
        <w:tc>
          <w:tcPr>
            <w:tcW w:w="179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2254"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2282" w:type="dxa"/>
            <w:gridSpan w:val="3"/>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c>
          <w:tcPr>
            <w:tcW w:w="3759"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p>
        </w:tc>
      </w:tr>
      <w:tr>
        <w:tblPrEx>
          <w:tblCellMar>
            <w:top w:w="0" w:type="dxa"/>
            <w:left w:w="0" w:type="dxa"/>
            <w:bottom w:w="0" w:type="dxa"/>
            <w:right w:w="0" w:type="dxa"/>
          </w:tblCellMar>
        </w:tblPrEx>
        <w:trPr>
          <w:trHeight w:val="693" w:hRule="atLeast"/>
          <w:jc w:val="center"/>
        </w:trPr>
        <w:tc>
          <w:tcPr>
            <w:tcW w:w="17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验收具体内容</w:t>
            </w:r>
          </w:p>
        </w:tc>
        <w:tc>
          <w:tcPr>
            <w:tcW w:w="8295"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7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验收小组意见</w:t>
            </w:r>
          </w:p>
        </w:tc>
        <w:tc>
          <w:tcPr>
            <w:tcW w:w="8295" w:type="dxa"/>
            <w:gridSpan w:val="7"/>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验收结论性意见：</w:t>
            </w:r>
          </w:p>
        </w:tc>
      </w:tr>
      <w:tr>
        <w:tblPrEx>
          <w:tblCellMar>
            <w:top w:w="0" w:type="dxa"/>
            <w:left w:w="0" w:type="dxa"/>
            <w:bottom w:w="0" w:type="dxa"/>
            <w:right w:w="0" w:type="dxa"/>
          </w:tblCellMar>
        </w:tblPrEx>
        <w:trPr>
          <w:trHeight w:val="607" w:hRule="atLeast"/>
          <w:jc w:val="center"/>
        </w:trPr>
        <w:tc>
          <w:tcPr>
            <w:tcW w:w="17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sz w:val="24"/>
                <w:szCs w:val="24"/>
                <w:highlight w:val="none"/>
              </w:rPr>
            </w:pPr>
          </w:p>
        </w:tc>
        <w:tc>
          <w:tcPr>
            <w:tcW w:w="8295" w:type="dxa"/>
            <w:gridSpan w:val="7"/>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有异议的意见和说明理由：</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签字：</w:t>
            </w:r>
          </w:p>
        </w:tc>
      </w:tr>
      <w:tr>
        <w:tblPrEx>
          <w:tblCellMar>
            <w:top w:w="0" w:type="dxa"/>
            <w:left w:w="0" w:type="dxa"/>
            <w:bottom w:w="0" w:type="dxa"/>
            <w:right w:w="0" w:type="dxa"/>
          </w:tblCellMar>
        </w:tblPrEx>
        <w:trPr>
          <w:trHeight w:val="507" w:hRule="atLeast"/>
          <w:jc w:val="center"/>
        </w:trPr>
        <w:tc>
          <w:tcPr>
            <w:tcW w:w="10091" w:type="dxa"/>
            <w:gridSpan w:val="8"/>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验收小组成员签字：</w:t>
            </w:r>
          </w:p>
        </w:tc>
      </w:tr>
      <w:tr>
        <w:tblPrEx>
          <w:tblCellMar>
            <w:top w:w="0" w:type="dxa"/>
            <w:left w:w="0" w:type="dxa"/>
            <w:bottom w:w="0" w:type="dxa"/>
            <w:right w:w="0" w:type="dxa"/>
          </w:tblCellMar>
        </w:tblPrEx>
        <w:trPr>
          <w:trHeight w:val="736" w:hRule="atLeast"/>
          <w:jc w:val="center"/>
        </w:trPr>
        <w:tc>
          <w:tcPr>
            <w:tcW w:w="10091" w:type="dxa"/>
            <w:gridSpan w:val="8"/>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监督人员或其他相关人员签字：</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中标或者成交供应商负责人签字或盖章：</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联系电话： 年 月 日</w:t>
            </w:r>
          </w:p>
        </w:tc>
        <w:tc>
          <w:tcPr>
            <w:tcW w:w="5939" w:type="dxa"/>
            <w:gridSpan w:val="4"/>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采购人或受托机构的意见（盖章）：</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联系电话： 年 月 日</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r>
        <w:rPr>
          <w:rFonts w:hint="eastAsia" w:asciiTheme="majorEastAsia" w:hAnsiTheme="majorEastAsia" w:eastAsiaTheme="majorEastAsia" w:cstheme="majorEastAsia"/>
          <w:color w:val="auto"/>
          <w:kern w:val="2"/>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政府采购项目履约保证金退付意见书（参考）</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请</w:t>
            </w:r>
          </w:p>
        </w:tc>
        <w:tc>
          <w:tcPr>
            <w:tcW w:w="84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highlight w:val="none"/>
              </w:rPr>
            </w:pPr>
          </w:p>
        </w:tc>
        <w:tc>
          <w:tcPr>
            <w:tcW w:w="84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sz w:val="24"/>
                <w:szCs w:val="24"/>
                <w:highlight w:val="none"/>
              </w:rPr>
            </w:pPr>
          </w:p>
        </w:tc>
        <w:tc>
          <w:tcPr>
            <w:tcW w:w="845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该项目已于       年     月     日验收并交付使用。根据合同规定，该项目的履约保证金期限于         年      月       日已满，请将履约保证金。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（大写）¥          （小写）退付到达以下帐户。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单位名称：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开户银行：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帐   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联系人及电话：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供应商签章：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见</w:t>
            </w:r>
          </w:p>
        </w:tc>
        <w:tc>
          <w:tcPr>
            <w:tcW w:w="845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退付意见：（是否同意退付履约保证金及退付金额）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联系人及电话：                         采购人签章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p>
        </w:tc>
      </w:tr>
    </w:tbl>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注：供应商凭经采购人审批的退付意见书到保证金收取单位办理履约保证金退付事宜。</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br w:type="page"/>
      </w:r>
    </w:p>
    <w:p>
      <w:pPr>
        <w:pStyle w:val="12"/>
        <w:jc w:val="center"/>
        <w:outlineLvl w:val="0"/>
        <w:rPr>
          <w:rFonts w:hint="eastAsia" w:asciiTheme="majorEastAsia" w:hAnsiTheme="majorEastAsia" w:eastAsiaTheme="majorEastAsia" w:cstheme="majorEastAsia"/>
          <w:b/>
          <w:color w:val="auto"/>
          <w:kern w:val="0"/>
          <w:sz w:val="32"/>
          <w:szCs w:val="32"/>
          <w:highlight w:val="none"/>
        </w:rPr>
      </w:pPr>
      <w:bookmarkStart w:id="96" w:name="_Toc254970548"/>
      <w:bookmarkEnd w:id="96"/>
      <w:bookmarkStart w:id="97" w:name="_Toc254970689"/>
      <w:bookmarkEnd w:id="97"/>
      <w:bookmarkStart w:id="98" w:name="_Toc330456896"/>
      <w:bookmarkEnd w:id="98"/>
      <w:bookmarkStart w:id="99" w:name="_Toc24366220"/>
      <w:bookmarkStart w:id="100" w:name="_Toc20779"/>
      <w:r>
        <w:rPr>
          <w:rFonts w:hint="eastAsia" w:asciiTheme="majorEastAsia" w:hAnsiTheme="majorEastAsia" w:eastAsiaTheme="majorEastAsia" w:cstheme="majorEastAsia"/>
          <w:b/>
          <w:color w:val="auto"/>
          <w:kern w:val="0"/>
          <w:sz w:val="32"/>
          <w:szCs w:val="32"/>
          <w:highlight w:val="none"/>
        </w:rPr>
        <w:t>第四章  评标办法及评分标准</w:t>
      </w:r>
      <w:bookmarkEnd w:id="99"/>
      <w:bookmarkEnd w:id="100"/>
    </w:p>
    <w:p>
      <w:pPr>
        <w:rPr>
          <w:rFonts w:hint="eastAsia" w:asciiTheme="majorEastAsia" w:hAnsiTheme="majorEastAsia" w:eastAsiaTheme="majorEastAsia" w:cstheme="majorEastAsia"/>
          <w:b/>
          <w:bCs/>
          <w:color w:val="auto"/>
          <w:kern w:val="2"/>
          <w:sz w:val="24"/>
          <w:szCs w:val="24"/>
          <w:highlight w:val="none"/>
        </w:rPr>
      </w:pPr>
      <w:bookmarkStart w:id="101" w:name="_Toc254970549"/>
      <w:bookmarkEnd w:id="101"/>
      <w:bookmarkStart w:id="102" w:name="_Toc254970690"/>
      <w:r>
        <w:rPr>
          <w:rFonts w:hint="eastAsia" w:asciiTheme="majorEastAsia" w:hAnsiTheme="majorEastAsia" w:eastAsiaTheme="majorEastAsia" w:cstheme="majorEastAsia"/>
          <w:color w:val="auto"/>
          <w:kern w:val="0"/>
          <w:sz w:val="32"/>
          <w:szCs w:val="32"/>
          <w:highlight w:val="none"/>
        </w:rPr>
        <w:t xml:space="preserve"> </w:t>
      </w:r>
      <w:bookmarkEnd w:id="102"/>
      <w:bookmarkStart w:id="103" w:name="_Toc24366221"/>
      <w:bookmarkEnd w:id="103"/>
      <w:r>
        <w:rPr>
          <w:rFonts w:hint="eastAsia" w:asciiTheme="majorEastAsia" w:hAnsiTheme="majorEastAsia" w:eastAsiaTheme="majorEastAsia" w:cstheme="majorEastAsia"/>
          <w:b/>
          <w:bCs/>
          <w:color w:val="auto"/>
          <w:kern w:val="2"/>
          <w:sz w:val="24"/>
          <w:szCs w:val="24"/>
          <w:highlight w:val="none"/>
        </w:rPr>
        <w:t>评标办法及评分标准</w:t>
      </w:r>
    </w:p>
    <w:p>
      <w:pPr>
        <w:outlineLvl w:val="1"/>
        <w:rPr>
          <w:rFonts w:hint="eastAsia" w:asciiTheme="majorEastAsia" w:hAnsiTheme="majorEastAsia" w:eastAsiaTheme="majorEastAsia" w:cstheme="majorEastAsia"/>
          <w:b/>
          <w:bCs/>
          <w:color w:val="auto"/>
          <w:kern w:val="2"/>
          <w:sz w:val="24"/>
          <w:szCs w:val="24"/>
          <w:highlight w:val="none"/>
        </w:rPr>
      </w:pPr>
      <w:r>
        <w:rPr>
          <w:rFonts w:hint="eastAsia" w:asciiTheme="majorEastAsia" w:hAnsiTheme="majorEastAsia" w:eastAsiaTheme="majorEastAsia" w:cstheme="majorEastAsia"/>
          <w:b/>
          <w:bCs/>
          <w:color w:val="auto"/>
          <w:kern w:val="2"/>
          <w:sz w:val="24"/>
          <w:szCs w:val="24"/>
          <w:highlight w:val="none"/>
        </w:rPr>
        <w:t>一、评标原则</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(一)评委构成：本招标采购项目的评委分别由依法组成的评审专家、采购人代表共五人以上单数构成，其中专家人数不少于成员总数的三分之二。</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(二)评标依据：评委将以招投标文件、投标文件等为评标依据按百分制打分。</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(三) 评标方法：综合评分法。</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二、评标方法</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（一）对进入详评的，采用百分制综合评分法。</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（二）计分办法（按四舍五入取至百分位）：</w:t>
      </w:r>
    </w:p>
    <w:p>
      <w:pPr>
        <w:pStyle w:val="12"/>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1. 价格分………………………………………………………………………………10分</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（1）对于非专门面向中小企业的项目，对小型和微型企业产品的价格给予</w:t>
      </w:r>
      <w:r>
        <w:rPr>
          <w:rFonts w:hint="eastAsia" w:asciiTheme="majorEastAsia" w:hAnsiTheme="majorEastAsia" w:eastAsiaTheme="majorEastAsia" w:cstheme="majorEastAsia"/>
          <w:color w:val="auto"/>
          <w:kern w:val="0"/>
          <w:sz w:val="24"/>
          <w:szCs w:val="24"/>
          <w:highlight w:val="none"/>
          <w:lang w:val="en-US" w:eastAsia="zh-CN"/>
        </w:rPr>
        <w:t>10</w:t>
      </w:r>
      <w:r>
        <w:rPr>
          <w:rFonts w:hint="eastAsia" w:asciiTheme="majorEastAsia" w:hAnsiTheme="majorEastAsia" w:eastAsiaTheme="majorEastAsia" w:cstheme="majorEastAsia"/>
          <w:color w:val="auto"/>
          <w:kern w:val="0"/>
          <w:sz w:val="24"/>
          <w:szCs w:val="24"/>
          <w:highlight w:val="none"/>
        </w:rPr>
        <w:t>%的价格扣除，扣除后的价格为评标价，即评标价＝响应报价×（1-</w:t>
      </w:r>
      <w:r>
        <w:rPr>
          <w:rFonts w:hint="eastAsia" w:asciiTheme="majorEastAsia" w:hAnsiTheme="majorEastAsia" w:eastAsiaTheme="majorEastAsia" w:cstheme="majorEastAsia"/>
          <w:color w:val="auto"/>
          <w:kern w:val="0"/>
          <w:sz w:val="24"/>
          <w:szCs w:val="24"/>
          <w:highlight w:val="none"/>
          <w:lang w:val="en-US" w:eastAsia="zh-CN"/>
        </w:rPr>
        <w:t>10</w:t>
      </w:r>
      <w:r>
        <w:rPr>
          <w:rFonts w:hint="eastAsia" w:asciiTheme="majorEastAsia" w:hAnsiTheme="majorEastAsia" w:eastAsiaTheme="majorEastAsia" w:cstheme="majorEastAsia"/>
          <w:color w:val="auto"/>
          <w:kern w:val="0"/>
          <w:sz w:val="24"/>
          <w:szCs w:val="24"/>
          <w:highlight w:val="none"/>
        </w:rPr>
        <w:t>%）；（以供应商按第五章“响应文件格式”要求提供的《报价表》和《中小企业声明函》为评分依据）</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响应报价×（1-2%）；（以供应商按第五章“响应文件格式”要求提供的《报价表》、《中小企业声明函》和《联合体协议书》为评分依据）</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供应商提供企业按《关于政府采购支持监狱企业发展有关问题的通知》(财库[2014]68号)认定为监狱企业的，在政府采购活动中，监狱企业视同小型、微型企业。（以供应商按第五章“响应文件格式”要求提供的《报价表》和由省级以上监狱管理局、戒毒管理局(含新疆生产建设兵团)出具的属于监狱企业的证明文件为评分依据。</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4）供应商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供应商按第五章“响应文件格式”要求提供的《报价表》和《残疾人福利性单位声明函》为评分依据）</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（5）除上述情况外，评标价＝投标报价；</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（6）价格分计算公式：</w:t>
      </w:r>
    </w:p>
    <w:p>
      <w:pPr>
        <w:pStyle w:val="3"/>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供应商最低报价金额</w:t>
      </w:r>
    </w:p>
    <w:p>
      <w:pPr>
        <w:pStyle w:val="3"/>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INCLUDEPICTURE \d "C:\\Users\\Administrator\\Desktop\\调查.files\\调查23431.png" \* MERGEFORMATINET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drawing>
          <wp:inline distT="0" distB="0" distL="114300" distR="114300">
            <wp:extent cx="16097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609725" cy="9525"/>
                    </a:xfrm>
                    <a:prstGeom prst="rect">
                      <a:avLst/>
                    </a:prstGeom>
                    <a:noFill/>
                    <a:ln w="9525">
                      <a:noFill/>
                    </a:ln>
                  </pic:spPr>
                </pic:pic>
              </a:graphicData>
            </a:graphic>
          </wp:inline>
        </w:drawing>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kern w:val="0"/>
          <w:sz w:val="24"/>
          <w:szCs w:val="24"/>
          <w:highlight w:val="none"/>
        </w:rPr>
        <w:t>某供应商价格分 ＝   × 10</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w:t>
      </w:r>
      <w:r>
        <w:rPr>
          <w:rFonts w:hint="eastAsia" w:asciiTheme="majorEastAsia" w:hAnsiTheme="majorEastAsia" w:eastAsiaTheme="majorEastAsia" w:cstheme="majorEastAsia"/>
          <w:color w:val="auto"/>
          <w:kern w:val="0"/>
          <w:sz w:val="24"/>
          <w:szCs w:val="24"/>
          <w:highlight w:val="none"/>
          <w:lang w:val="en-US" w:eastAsia="zh-CN"/>
        </w:rPr>
        <w:t xml:space="preserve">     </w:t>
      </w:r>
      <w:r>
        <w:rPr>
          <w:rFonts w:hint="eastAsia" w:asciiTheme="majorEastAsia" w:hAnsiTheme="majorEastAsia" w:eastAsiaTheme="majorEastAsia" w:cstheme="majorEastAsia"/>
          <w:color w:val="auto"/>
          <w:kern w:val="0"/>
          <w:sz w:val="24"/>
          <w:szCs w:val="24"/>
          <w:highlight w:val="none"/>
        </w:rPr>
        <w:t>某供应商报价金额</w:t>
      </w:r>
    </w:p>
    <w:p>
      <w:pPr>
        <w:pStyle w:val="12"/>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w:t>
      </w:r>
      <w:r>
        <w:rPr>
          <w:rFonts w:hint="eastAsia" w:asciiTheme="majorEastAsia" w:hAnsiTheme="majorEastAsia" w:eastAsiaTheme="majorEastAsia" w:cstheme="majorEastAsia"/>
          <w:b/>
          <w:bCs/>
          <w:color w:val="auto"/>
          <w:kern w:val="2"/>
          <w:sz w:val="24"/>
          <w:szCs w:val="24"/>
          <w:highlight w:val="none"/>
        </w:rPr>
        <w:t>2、技术分………………………………………………………………………………50分</w:t>
      </w:r>
    </w:p>
    <w:p>
      <w:pPr>
        <w:ind w:firstLine="480" w:firstLineChars="2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要求投标人提供技术方案及实施方案(本项评分由评标委员会独立进行打分)</w:t>
      </w:r>
    </w:p>
    <w:p>
      <w:pPr>
        <w:rPr>
          <w:rFonts w:hint="eastAsia" w:asciiTheme="majorEastAsia" w:hAnsiTheme="majorEastAsia" w:eastAsiaTheme="majorEastAsia" w:cstheme="majorEastAsia"/>
          <w:b/>
          <w:bCs/>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r>
        <w:rPr>
          <w:rFonts w:hint="eastAsia" w:asciiTheme="majorEastAsia" w:hAnsiTheme="majorEastAsia" w:eastAsiaTheme="majorEastAsia" w:cstheme="majorEastAsia"/>
          <w:b/>
          <w:bCs/>
          <w:color w:val="auto"/>
          <w:kern w:val="2"/>
          <w:sz w:val="24"/>
          <w:szCs w:val="24"/>
          <w:highlight w:val="none"/>
        </w:rPr>
        <w:t>1）项目技术方案分（满分30分）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①投标人能提供简单的技术方案，基本满足采购文件要求的，得6分；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②投标人能提供简单的技术方案，简单描述项目的建设目标、建设内容，无明显错误；</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③投标人能提供比较详细的技术方案，且对本项目工作任务、作业要求把握较好，能简单描述项目的技术路线、作业流程，技术设计书阐述比较详细，无明显错误，满足采购文件要求的，得12分；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④投标人能提供完整详细的技术方案，且对本项目重点及难点把握准确，能结合本项目所属地历年用地审批情况及当地不动产数据库进行合理分析、检查，详细阐述技术路线、作业流程，技术方案合理可行，成果质量保障方案,有一定的可操作性，无明显错误，满足采购文件要求的，得24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⑤投标人能提供完整详细的技术方案，制定技术路线完整、清晰、合理，对项目现状及有关数据有详细深入的合理分析，对项目关键技术指明重点、难点及解决办法，可操作性强，能够满足采购文件需求的，得30分。</w:t>
      </w:r>
    </w:p>
    <w:p>
      <w:pPr>
        <w:rPr>
          <w:rFonts w:hint="eastAsia" w:asciiTheme="majorEastAsia" w:hAnsiTheme="majorEastAsia" w:eastAsiaTheme="majorEastAsia" w:cstheme="majorEastAsia"/>
          <w:b/>
          <w:bCs/>
          <w:color w:val="auto"/>
          <w:kern w:val="2"/>
          <w:sz w:val="24"/>
          <w:szCs w:val="24"/>
          <w:highlight w:val="none"/>
        </w:rPr>
      </w:pPr>
      <w:r>
        <w:rPr>
          <w:rFonts w:hint="eastAsia" w:asciiTheme="majorEastAsia" w:hAnsiTheme="majorEastAsia" w:eastAsiaTheme="majorEastAsia" w:cstheme="majorEastAsia"/>
          <w:b/>
          <w:bCs/>
          <w:color w:val="auto"/>
          <w:kern w:val="2"/>
          <w:sz w:val="24"/>
          <w:szCs w:val="24"/>
          <w:highlight w:val="none"/>
        </w:rPr>
        <w:t>（2）项目实施方案分（满分20分）（要求投标人提供项目整体实施方案）</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①投标人能提供简单的实施方案的，基本满足招标需要的，得4分；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②投标人能提供简单的实施方案的，满足招标需要，基本阐述清楚实施方法及保障措施的，得8分；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③投标人能提供比较详细的实施方案，阐述清楚实施方法及保障措施，有项目管理组织机构图、设置专职质量检查部门，能说明人员安排及施工进度安排，方案可行、科学合理的，得12分；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④投标人能提供详细的项目实施方案，详细说明各个阶段工作安排，阐述清楚实施组织办法及保障措施，指明项目重点难点及解决办法，说明质量管理、进度计划，具有较完备的管理组织、项目实施规范和管理制度，有较完备的质量管理体系并设置专职质量检查部门，且配备的人员具有相关产品质量检验员、产品质量监督抽样员证书的，得16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⑤投标人能提供详细的项目实施方案，提供详细而合理的各类应急预案，确保项目在计划工期内完成，项目实施方案表述清晰、完整、严谨、合理，可操作性强；有具体的质量管理制度和措施，包括：建立过程检查制度和三级检查制度，制度完善，措施有效到位；有具体的保密管理制度和措施，制度完善，措施有效到位；有明确的相关岗位人员，有明确的生产、质量管理和技术管理机构及人员，人员配备和设备投入合理，满足本项目总体要求的，得20分。</w:t>
      </w:r>
    </w:p>
    <w:p>
      <w:pPr>
        <w:rPr>
          <w:rFonts w:hint="eastAsia" w:asciiTheme="majorEastAsia" w:hAnsiTheme="majorEastAsia" w:eastAsiaTheme="majorEastAsia" w:cstheme="majorEastAsia"/>
          <w:b/>
          <w:bCs/>
          <w:color w:val="auto"/>
          <w:kern w:val="2"/>
          <w:sz w:val="24"/>
          <w:szCs w:val="24"/>
          <w:highlight w:val="none"/>
        </w:rPr>
      </w:pPr>
      <w:r>
        <w:rPr>
          <w:rFonts w:hint="eastAsia" w:asciiTheme="majorEastAsia" w:hAnsiTheme="majorEastAsia" w:eastAsiaTheme="majorEastAsia" w:cstheme="majorEastAsia"/>
          <w:b/>
          <w:bCs/>
          <w:color w:val="auto"/>
          <w:kern w:val="2"/>
          <w:sz w:val="24"/>
          <w:szCs w:val="24"/>
          <w:highlight w:val="none"/>
        </w:rPr>
        <w:t>3、商务分……………………………………………………………………………40分</w:t>
      </w:r>
    </w:p>
    <w:p>
      <w:pPr>
        <w:ind w:firstLine="480" w:firstLineChars="2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要求投标人提供技术方案及实施方案(本项评分由评标委员会独立进行打分)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（1）投标人具有有效的ISO9000系列质量管理体系认证证书的得</w:t>
      </w:r>
      <w:r>
        <w:rPr>
          <w:rFonts w:hint="eastAsia" w:asciiTheme="majorEastAsia" w:hAnsiTheme="majorEastAsia" w:eastAsiaTheme="majorEastAsia" w:cstheme="majorEastAsia"/>
          <w:color w:val="auto"/>
          <w:kern w:val="2"/>
          <w:sz w:val="24"/>
          <w:szCs w:val="24"/>
          <w:highlight w:val="none"/>
          <w:lang w:val="en-US" w:eastAsia="zh-CN"/>
        </w:rPr>
        <w:t>2</w:t>
      </w:r>
      <w:r>
        <w:rPr>
          <w:rFonts w:hint="eastAsia" w:asciiTheme="majorEastAsia" w:hAnsiTheme="majorEastAsia" w:eastAsiaTheme="majorEastAsia" w:cstheme="majorEastAsia"/>
          <w:color w:val="auto"/>
          <w:kern w:val="2"/>
          <w:sz w:val="24"/>
          <w:szCs w:val="24"/>
          <w:highlight w:val="none"/>
        </w:rPr>
        <w:t>分。（提供证书复印件，原件备查）</w:t>
      </w:r>
    </w:p>
    <w:p>
      <w:pP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（2）投标人2017年以来获得省级（含省级）以上行业行政主管部门颁发的有关奖项，每项得</w:t>
      </w:r>
      <w:r>
        <w:rPr>
          <w:rFonts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rPr>
        <w:t>分，满分</w:t>
      </w:r>
      <w:r>
        <w:rPr>
          <w:rFonts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rPr>
        <w:t>分；投标人2017年以来获得市级（含市级）以上行业行政主管部门颁发的有关奖项，每项得</w:t>
      </w:r>
      <w:r>
        <w:rPr>
          <w:rFonts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rPr>
        <w:t>分，满分</w:t>
      </w:r>
      <w:r>
        <w:rPr>
          <w:rFonts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rPr>
        <w:t>分；本项满分6分。（提供证书复印件，原件备查）</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r>
        <w:rPr>
          <w:rFonts w:hint="eastAsia" w:asciiTheme="majorEastAsia" w:hAnsiTheme="majorEastAsia" w:eastAsiaTheme="majorEastAsia" w:cstheme="majorEastAsia"/>
          <w:color w:val="auto"/>
          <w:kern w:val="2"/>
          <w:sz w:val="24"/>
          <w:szCs w:val="24"/>
          <w:highlight w:val="none"/>
          <w:lang w:val="en-US" w:eastAsia="zh-CN"/>
        </w:rPr>
        <w:t>3</w:t>
      </w:r>
      <w:r>
        <w:rPr>
          <w:rFonts w:hint="eastAsia" w:asciiTheme="majorEastAsia" w:hAnsiTheme="majorEastAsia" w:eastAsiaTheme="majorEastAsia" w:cstheme="majorEastAsia"/>
          <w:color w:val="auto"/>
          <w:kern w:val="2"/>
          <w:sz w:val="24"/>
          <w:szCs w:val="24"/>
          <w:highlight w:val="none"/>
        </w:rPr>
        <w:t>）项目实施人员投标人每投入1名具备高级职称的技术人员得</w:t>
      </w:r>
      <w:r>
        <w:rPr>
          <w:rFonts w:hint="eastAsia" w:asciiTheme="majorEastAsia" w:hAnsiTheme="majorEastAsia" w:eastAsiaTheme="majorEastAsia" w:cstheme="majorEastAsia"/>
          <w:color w:val="auto"/>
          <w:kern w:val="2"/>
          <w:sz w:val="24"/>
          <w:szCs w:val="24"/>
          <w:highlight w:val="none"/>
          <w:lang w:val="en-US" w:eastAsia="zh-CN"/>
        </w:rPr>
        <w:t>2</w:t>
      </w:r>
      <w:r>
        <w:rPr>
          <w:rFonts w:hint="eastAsia" w:asciiTheme="majorEastAsia" w:hAnsiTheme="majorEastAsia" w:eastAsiaTheme="majorEastAsia" w:cstheme="majorEastAsia"/>
          <w:color w:val="auto"/>
          <w:kern w:val="2"/>
          <w:sz w:val="24"/>
          <w:szCs w:val="24"/>
          <w:highlight w:val="none"/>
        </w:rPr>
        <w:t>分</w:t>
      </w:r>
      <w:r>
        <w:rPr>
          <w:rFonts w:hint="eastAsia" w:asciiTheme="majorEastAsia" w:hAnsiTheme="majorEastAsia" w:eastAsiaTheme="majorEastAsia" w:cstheme="majorEastAsia"/>
          <w:color w:val="auto"/>
          <w:kern w:val="2"/>
          <w:sz w:val="24"/>
          <w:szCs w:val="24"/>
          <w:highlight w:val="none"/>
          <w:lang w:eastAsia="zh-CN"/>
        </w:rPr>
        <w:t>，</w:t>
      </w:r>
      <w:r>
        <w:rPr>
          <w:rFonts w:hint="eastAsia" w:asciiTheme="majorEastAsia" w:hAnsiTheme="majorEastAsia" w:eastAsiaTheme="majorEastAsia" w:cstheme="majorEastAsia"/>
          <w:color w:val="auto"/>
          <w:kern w:val="2"/>
          <w:sz w:val="24"/>
          <w:szCs w:val="24"/>
          <w:highlight w:val="none"/>
        </w:rPr>
        <w:t>每投入1名具备中级职称的技术人员得</w:t>
      </w:r>
      <w:r>
        <w:rPr>
          <w:rFonts w:hint="eastAsia" w:asciiTheme="majorEastAsia" w:hAnsiTheme="majorEastAsia" w:eastAsiaTheme="majorEastAsia" w:cstheme="majorEastAsia"/>
          <w:color w:val="auto"/>
          <w:kern w:val="2"/>
          <w:sz w:val="24"/>
          <w:szCs w:val="24"/>
          <w:highlight w:val="none"/>
          <w:lang w:val="en-US" w:eastAsia="zh-CN"/>
        </w:rPr>
        <w:t>1</w:t>
      </w:r>
      <w:r>
        <w:rPr>
          <w:rFonts w:hint="eastAsia" w:asciiTheme="majorEastAsia" w:hAnsiTheme="majorEastAsia" w:eastAsiaTheme="majorEastAsia" w:cstheme="majorEastAsia"/>
          <w:color w:val="auto"/>
          <w:kern w:val="2"/>
          <w:sz w:val="24"/>
          <w:szCs w:val="24"/>
          <w:highlight w:val="none"/>
        </w:rPr>
        <w:t>分，</w:t>
      </w:r>
      <w:r>
        <w:rPr>
          <w:rFonts w:hint="eastAsia" w:asciiTheme="majorEastAsia" w:hAnsiTheme="majorEastAsia" w:eastAsiaTheme="majorEastAsia" w:cstheme="majorEastAsia"/>
          <w:color w:val="auto"/>
          <w:kern w:val="2"/>
          <w:sz w:val="24"/>
          <w:szCs w:val="24"/>
          <w:highlight w:val="none"/>
          <w:lang w:eastAsia="zh-CN"/>
        </w:rPr>
        <w:t>拟投入本项目的</w:t>
      </w:r>
      <w:r>
        <w:rPr>
          <w:rFonts w:hint="eastAsia" w:asciiTheme="majorEastAsia" w:hAnsiTheme="majorEastAsia" w:eastAsiaTheme="majorEastAsia" w:cstheme="majorEastAsia"/>
          <w:color w:val="auto"/>
          <w:kern w:val="2"/>
          <w:sz w:val="24"/>
          <w:szCs w:val="24"/>
          <w:highlight w:val="none"/>
        </w:rPr>
        <w:t>项目负责人、项目质量负责人、项目技术负责人同时具备高级职称及注册测绘师资格</w:t>
      </w:r>
      <w:r>
        <w:rPr>
          <w:rFonts w:hint="eastAsia" w:asciiTheme="majorEastAsia" w:hAnsiTheme="majorEastAsia" w:eastAsiaTheme="majorEastAsia" w:cstheme="majorEastAsia"/>
          <w:color w:val="auto"/>
          <w:kern w:val="2"/>
          <w:sz w:val="24"/>
          <w:szCs w:val="24"/>
          <w:highlight w:val="none"/>
          <w:lang w:eastAsia="zh-CN"/>
        </w:rPr>
        <w:t>的</w:t>
      </w:r>
      <w:r>
        <w:rPr>
          <w:rFonts w:hint="eastAsia" w:asciiTheme="majorEastAsia" w:hAnsiTheme="majorEastAsia" w:eastAsiaTheme="majorEastAsia" w:cstheme="majorEastAsia"/>
          <w:color w:val="auto"/>
          <w:kern w:val="2"/>
          <w:sz w:val="24"/>
          <w:szCs w:val="24"/>
          <w:highlight w:val="none"/>
        </w:rPr>
        <w:t>得</w:t>
      </w:r>
      <w:r>
        <w:rPr>
          <w:rFonts w:hint="eastAsia" w:asciiTheme="majorEastAsia" w:hAnsiTheme="majorEastAsia" w:eastAsiaTheme="majorEastAsia" w:cstheme="majorEastAsia"/>
          <w:color w:val="auto"/>
          <w:kern w:val="2"/>
          <w:sz w:val="24"/>
          <w:szCs w:val="24"/>
          <w:highlight w:val="none"/>
          <w:lang w:val="en-US" w:eastAsia="zh-CN"/>
        </w:rPr>
        <w:t>1</w:t>
      </w:r>
      <w:r>
        <w:rPr>
          <w:rFonts w:hint="eastAsia" w:asciiTheme="majorEastAsia" w:hAnsiTheme="majorEastAsia" w:eastAsiaTheme="majorEastAsia" w:cstheme="majorEastAsia"/>
          <w:color w:val="auto"/>
          <w:kern w:val="2"/>
          <w:sz w:val="24"/>
          <w:szCs w:val="24"/>
          <w:highlight w:val="none"/>
        </w:rPr>
        <w:t>分</w:t>
      </w:r>
      <w:r>
        <w:rPr>
          <w:rFonts w:hint="eastAsia" w:asciiTheme="majorEastAsia" w:hAnsiTheme="majorEastAsia" w:eastAsiaTheme="majorEastAsia" w:cstheme="majorEastAsia"/>
          <w:color w:val="auto"/>
          <w:kern w:val="2"/>
          <w:sz w:val="24"/>
          <w:szCs w:val="24"/>
          <w:highlight w:val="none"/>
          <w:lang w:eastAsia="zh-CN"/>
        </w:rPr>
        <w:t>，本项</w:t>
      </w:r>
      <w:r>
        <w:rPr>
          <w:rFonts w:hint="eastAsia" w:asciiTheme="majorEastAsia" w:hAnsiTheme="majorEastAsia" w:eastAsiaTheme="majorEastAsia" w:cstheme="majorEastAsia"/>
          <w:color w:val="auto"/>
          <w:kern w:val="2"/>
          <w:sz w:val="24"/>
          <w:szCs w:val="24"/>
          <w:highlight w:val="none"/>
        </w:rPr>
        <w:t>满分</w:t>
      </w:r>
      <w:r>
        <w:rPr>
          <w:rFonts w:hint="eastAsia" w:asciiTheme="majorEastAsia" w:hAnsiTheme="majorEastAsia" w:eastAsiaTheme="majorEastAsia" w:cstheme="majorEastAsia"/>
          <w:color w:val="auto"/>
          <w:kern w:val="2"/>
          <w:sz w:val="24"/>
          <w:szCs w:val="24"/>
          <w:highlight w:val="none"/>
          <w:lang w:val="en-US" w:eastAsia="zh-CN"/>
        </w:rPr>
        <w:t>20</w:t>
      </w:r>
      <w:r>
        <w:rPr>
          <w:rFonts w:hint="eastAsia" w:asciiTheme="majorEastAsia" w:hAnsiTheme="majorEastAsia" w:eastAsiaTheme="majorEastAsia" w:cstheme="majorEastAsia"/>
          <w:color w:val="auto"/>
          <w:kern w:val="2"/>
          <w:sz w:val="24"/>
          <w:szCs w:val="24"/>
          <w:highlight w:val="none"/>
        </w:rPr>
        <w:t>分。（相关技术人员须为投标人在岗在职的人员，须具备测绘类或土地管理类专业，以其职称证书上载明专业为准。在投标文件中提供实施人员职称证复印件、最近一个季度或近期连续三个月社保缴纳证明复印件，原件备查）</w:t>
      </w:r>
    </w:p>
    <w:p>
      <w:pPr>
        <w:rPr>
          <w:rFonts w:hint="eastAsia" w:asciiTheme="majorEastAsia" w:hAnsiTheme="majorEastAsia" w:eastAsiaTheme="majorEastAsia" w:cstheme="majorEastAsia"/>
          <w:color w:val="auto"/>
          <w:kern w:val="2"/>
          <w:sz w:val="24"/>
          <w:szCs w:val="24"/>
          <w:highlight w:val="none"/>
          <w:lang w:eastAsia="zh-CN"/>
        </w:rPr>
      </w:pPr>
      <w:r>
        <w:rPr>
          <w:rFonts w:hint="eastAsia" w:asciiTheme="majorEastAsia" w:hAnsiTheme="majorEastAsia" w:eastAsiaTheme="majorEastAsia" w:cstheme="majorEastAsia"/>
          <w:color w:val="auto"/>
          <w:kern w:val="2"/>
          <w:sz w:val="24"/>
          <w:szCs w:val="24"/>
          <w:highlight w:val="none"/>
        </w:rPr>
        <w:t>（</w:t>
      </w:r>
      <w:r>
        <w:rPr>
          <w:rFonts w:hint="eastAsia" w:asciiTheme="majorEastAsia" w:hAnsiTheme="majorEastAsia" w:eastAsiaTheme="majorEastAsia" w:cstheme="majorEastAsia"/>
          <w:color w:val="auto"/>
          <w:kern w:val="2"/>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投标人2017年以来承担过土地调查类项目的业绩，每个业绩得</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分，满</w:t>
      </w: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分。（提供中标通知书或合同复印</w:t>
      </w:r>
      <w:r>
        <w:rPr>
          <w:rFonts w:hint="eastAsia" w:asciiTheme="majorEastAsia" w:hAnsiTheme="majorEastAsia" w:eastAsiaTheme="majorEastAsia" w:cstheme="majorEastAsia"/>
          <w:color w:val="auto"/>
          <w:sz w:val="24"/>
          <w:szCs w:val="24"/>
          <w:highlight w:val="none"/>
          <w:lang w:eastAsia="zh-CN"/>
        </w:rPr>
        <w:t>件）</w:t>
      </w:r>
    </w:p>
    <w:p>
      <w:pPr>
        <w:rPr>
          <w:rFonts w:hint="eastAsia" w:asciiTheme="majorEastAsia" w:hAnsiTheme="majorEastAsia" w:eastAsiaTheme="majorEastAsia" w:cstheme="majorEastAsia"/>
          <w:color w:val="auto"/>
          <w:kern w:val="2"/>
          <w:sz w:val="24"/>
          <w:szCs w:val="24"/>
          <w:highlight w:val="none"/>
        </w:rPr>
      </w:pP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总得分 =1 + 2 + 3 </w:t>
      </w:r>
    </w:p>
    <w:p>
      <w:pPr>
        <w:outlineLvl w:val="1"/>
        <w:rPr>
          <w:rFonts w:hint="eastAsia" w:asciiTheme="majorEastAsia" w:hAnsiTheme="majorEastAsia" w:eastAsiaTheme="majorEastAsia" w:cstheme="majorEastAsia"/>
          <w:b/>
          <w:bCs/>
          <w:color w:val="auto"/>
          <w:kern w:val="2"/>
          <w:sz w:val="24"/>
          <w:szCs w:val="24"/>
          <w:highlight w:val="none"/>
        </w:rPr>
      </w:pPr>
      <w:r>
        <w:rPr>
          <w:rFonts w:hint="eastAsia" w:asciiTheme="majorEastAsia" w:hAnsiTheme="majorEastAsia" w:eastAsiaTheme="majorEastAsia" w:cstheme="majorEastAsia"/>
          <w:b/>
          <w:bCs/>
          <w:color w:val="auto"/>
          <w:kern w:val="2"/>
          <w:sz w:val="24"/>
          <w:szCs w:val="24"/>
          <w:highlight w:val="none"/>
        </w:rPr>
        <w:t>三、 中标候选人推荐原则</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24"/>
          <w:szCs w:val="24"/>
          <w:highlight w:val="none"/>
        </w:rPr>
        <w:t>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推荐中标候选人。</w:t>
      </w:r>
      <w:r>
        <w:rPr>
          <w:rFonts w:hint="eastAsia" w:asciiTheme="majorEastAsia" w:hAnsiTheme="majorEastAsia" w:eastAsiaTheme="majorEastAsia" w:cstheme="majorEastAsia"/>
          <w:color w:val="auto"/>
          <w:kern w:val="2"/>
          <w:sz w:val="24"/>
          <w:szCs w:val="24"/>
          <w:highlight w:val="none"/>
        </w:rPr>
        <w:br w:type="page"/>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4"/>
        <w:jc w:val="center"/>
        <w:outlineLvl w:val="9"/>
        <w:rPr>
          <w:rFonts w:hint="eastAsia" w:asciiTheme="majorEastAsia" w:hAnsiTheme="majorEastAsia" w:eastAsiaTheme="majorEastAsia" w:cstheme="majorEastAsia"/>
          <w:b/>
          <w:color w:val="auto"/>
          <w:kern w:val="0"/>
          <w:sz w:val="32"/>
          <w:szCs w:val="32"/>
          <w:highlight w:val="none"/>
        </w:rPr>
      </w:pPr>
      <w:bookmarkStart w:id="104" w:name="_Toc24366222"/>
      <w:bookmarkEnd w:id="104"/>
    </w:p>
    <w:p>
      <w:pPr>
        <w:pStyle w:val="4"/>
        <w:jc w:val="center"/>
        <w:outlineLvl w:val="9"/>
        <w:rPr>
          <w:rFonts w:hint="eastAsia" w:asciiTheme="majorEastAsia" w:hAnsiTheme="majorEastAsia" w:eastAsiaTheme="majorEastAsia" w:cstheme="majorEastAsia"/>
          <w:b/>
          <w:color w:val="auto"/>
          <w:kern w:val="0"/>
          <w:sz w:val="32"/>
          <w:szCs w:val="32"/>
          <w:highlight w:val="none"/>
        </w:rPr>
      </w:pPr>
    </w:p>
    <w:p>
      <w:pPr>
        <w:pStyle w:val="4"/>
        <w:jc w:val="center"/>
        <w:outlineLvl w:val="9"/>
        <w:rPr>
          <w:rFonts w:hint="eastAsia" w:asciiTheme="majorEastAsia" w:hAnsiTheme="majorEastAsia" w:eastAsiaTheme="majorEastAsia" w:cstheme="majorEastAsia"/>
          <w:b/>
          <w:color w:val="auto"/>
          <w:kern w:val="0"/>
          <w:sz w:val="32"/>
          <w:szCs w:val="32"/>
          <w:highlight w:val="none"/>
        </w:rPr>
      </w:pPr>
    </w:p>
    <w:p>
      <w:pPr>
        <w:pStyle w:val="4"/>
        <w:jc w:val="center"/>
        <w:outlineLvl w:val="9"/>
        <w:rPr>
          <w:rFonts w:hint="eastAsia" w:asciiTheme="majorEastAsia" w:hAnsiTheme="majorEastAsia" w:eastAsiaTheme="majorEastAsia" w:cstheme="majorEastAsia"/>
          <w:b/>
          <w:color w:val="auto"/>
          <w:kern w:val="0"/>
          <w:sz w:val="32"/>
          <w:szCs w:val="32"/>
          <w:highlight w:val="none"/>
        </w:rPr>
      </w:pPr>
    </w:p>
    <w:p>
      <w:pPr>
        <w:pStyle w:val="4"/>
        <w:jc w:val="center"/>
        <w:outlineLvl w:val="9"/>
        <w:rPr>
          <w:rFonts w:hint="eastAsia" w:asciiTheme="majorEastAsia" w:hAnsiTheme="majorEastAsia" w:eastAsiaTheme="majorEastAsia" w:cstheme="majorEastAsia"/>
          <w:b/>
          <w:color w:val="auto"/>
          <w:kern w:val="0"/>
          <w:sz w:val="32"/>
          <w:szCs w:val="32"/>
          <w:highlight w:val="none"/>
        </w:rPr>
      </w:pPr>
    </w:p>
    <w:p>
      <w:pPr>
        <w:pStyle w:val="4"/>
        <w:jc w:val="center"/>
        <w:outlineLvl w:val="9"/>
        <w:rPr>
          <w:rFonts w:hint="eastAsia" w:asciiTheme="majorEastAsia" w:hAnsiTheme="majorEastAsia" w:eastAsiaTheme="majorEastAsia" w:cstheme="majorEastAsia"/>
          <w:b/>
          <w:color w:val="auto"/>
          <w:kern w:val="0"/>
          <w:sz w:val="32"/>
          <w:szCs w:val="32"/>
          <w:highlight w:val="none"/>
        </w:rPr>
      </w:pPr>
    </w:p>
    <w:p>
      <w:pPr>
        <w:pStyle w:val="4"/>
        <w:jc w:val="center"/>
        <w:outlineLvl w:val="9"/>
        <w:rPr>
          <w:rFonts w:hint="eastAsia" w:asciiTheme="majorEastAsia" w:hAnsiTheme="majorEastAsia" w:eastAsiaTheme="majorEastAsia" w:cstheme="majorEastAsia"/>
          <w:b/>
          <w:color w:val="auto"/>
          <w:kern w:val="0"/>
          <w:sz w:val="32"/>
          <w:szCs w:val="32"/>
          <w:highlight w:val="none"/>
        </w:rPr>
      </w:pPr>
    </w:p>
    <w:p>
      <w:pPr>
        <w:pStyle w:val="4"/>
        <w:jc w:val="center"/>
        <w:outlineLvl w:val="0"/>
        <w:rPr>
          <w:rFonts w:hint="eastAsia" w:asciiTheme="majorEastAsia" w:hAnsiTheme="majorEastAsia" w:eastAsiaTheme="majorEastAsia" w:cstheme="majorEastAsia"/>
          <w:b/>
          <w:color w:val="auto"/>
          <w:kern w:val="0"/>
          <w:sz w:val="32"/>
          <w:szCs w:val="32"/>
          <w:highlight w:val="none"/>
        </w:rPr>
      </w:pPr>
      <w:bookmarkStart w:id="105" w:name="_Toc7260"/>
      <w:r>
        <w:rPr>
          <w:rFonts w:hint="eastAsia" w:asciiTheme="majorEastAsia" w:hAnsiTheme="majorEastAsia" w:eastAsiaTheme="majorEastAsia" w:cstheme="majorEastAsia"/>
          <w:b/>
          <w:color w:val="auto"/>
          <w:kern w:val="0"/>
          <w:sz w:val="32"/>
          <w:szCs w:val="32"/>
          <w:highlight w:val="none"/>
        </w:rPr>
        <w:t>第五章  合同主要条款格式</w:t>
      </w:r>
      <w:bookmarkEnd w:id="105"/>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center"/>
        <w:rPr>
          <w:rFonts w:hint="eastAsia" w:asciiTheme="majorEastAsia" w:hAnsiTheme="majorEastAsia" w:eastAsiaTheme="majorEastAsia" w:cstheme="majorEastAsia"/>
          <w:b/>
          <w:bCs/>
          <w:color w:val="auto"/>
          <w:kern w:val="2"/>
          <w:sz w:val="36"/>
          <w:szCs w:val="36"/>
          <w:highlight w:val="none"/>
        </w:rPr>
      </w:pPr>
    </w:p>
    <w:p>
      <w:pPr>
        <w:jc w:val="center"/>
        <w:rPr>
          <w:rFonts w:hint="eastAsia" w:asciiTheme="majorEastAsia" w:hAnsiTheme="majorEastAsia" w:eastAsiaTheme="majorEastAsia" w:cstheme="majorEastAsia"/>
          <w:b/>
          <w:bCs/>
          <w:color w:val="auto"/>
          <w:kern w:val="2"/>
          <w:sz w:val="36"/>
          <w:szCs w:val="36"/>
          <w:highlight w:val="none"/>
        </w:rPr>
      </w:pPr>
    </w:p>
    <w:p>
      <w:pPr>
        <w:jc w:val="center"/>
        <w:rPr>
          <w:rFonts w:hint="eastAsia" w:asciiTheme="majorEastAsia" w:hAnsiTheme="majorEastAsia" w:eastAsiaTheme="majorEastAsia" w:cstheme="majorEastAsia"/>
          <w:b/>
          <w:bCs/>
          <w:color w:val="auto"/>
          <w:kern w:val="2"/>
          <w:sz w:val="36"/>
          <w:szCs w:val="36"/>
          <w:highlight w:val="none"/>
        </w:rPr>
      </w:pPr>
    </w:p>
    <w:p>
      <w:pPr>
        <w:jc w:val="center"/>
        <w:rPr>
          <w:rFonts w:hint="eastAsia" w:asciiTheme="majorEastAsia" w:hAnsiTheme="majorEastAsia" w:eastAsiaTheme="majorEastAsia" w:cstheme="majorEastAsia"/>
          <w:b/>
          <w:bCs/>
          <w:color w:val="auto"/>
          <w:kern w:val="2"/>
          <w:sz w:val="36"/>
          <w:szCs w:val="36"/>
          <w:highlight w:val="none"/>
        </w:rPr>
      </w:pPr>
    </w:p>
    <w:p>
      <w:pPr>
        <w:jc w:val="center"/>
        <w:outlineLvl w:val="1"/>
        <w:rPr>
          <w:rFonts w:hint="eastAsia" w:asciiTheme="majorEastAsia" w:hAnsiTheme="majorEastAsia" w:eastAsiaTheme="majorEastAsia" w:cstheme="majorEastAsia"/>
          <w:b/>
          <w:bCs/>
          <w:color w:val="auto"/>
          <w:kern w:val="2"/>
          <w:sz w:val="36"/>
          <w:szCs w:val="36"/>
          <w:highlight w:val="none"/>
        </w:rPr>
      </w:pPr>
      <w:r>
        <w:rPr>
          <w:rFonts w:hint="eastAsia" w:asciiTheme="majorEastAsia" w:hAnsiTheme="majorEastAsia" w:eastAsiaTheme="majorEastAsia" w:cstheme="majorEastAsia"/>
          <w:b/>
          <w:bCs/>
          <w:color w:val="auto"/>
          <w:kern w:val="2"/>
          <w:sz w:val="36"/>
          <w:szCs w:val="36"/>
          <w:highlight w:val="none"/>
        </w:rPr>
        <w:t>合同书（格式）</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项  目  名  称：                                             </w:t>
      </w: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项  目  地  点：                                             </w:t>
      </w: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合  同  编  号：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19"/>
        <w:outlineLvl w:val="9"/>
        <w:rPr>
          <w:rFonts w:hint="eastAsia" w:asciiTheme="majorEastAsia" w:hAnsiTheme="majorEastAsia" w:eastAsiaTheme="majorEastAsia" w:cstheme="majorEastAsia"/>
          <w:color w:val="auto"/>
          <w:kern w:val="2"/>
          <w:sz w:val="32"/>
          <w:szCs w:val="32"/>
          <w:highlight w:val="none"/>
        </w:rPr>
      </w:pPr>
    </w:p>
    <w:p>
      <w:pPr>
        <w:rPr>
          <w:rFonts w:hint="eastAsia" w:asciiTheme="majorEastAsia" w:hAnsiTheme="majorEastAsia" w:eastAsiaTheme="majorEastAsia" w:cstheme="majorEastAsia"/>
          <w:color w:val="auto"/>
          <w:kern w:val="2"/>
          <w:sz w:val="32"/>
          <w:szCs w:val="32"/>
          <w:highlight w:val="none"/>
        </w:rPr>
      </w:pPr>
    </w:p>
    <w:p>
      <w:pPr>
        <w:jc w:val="center"/>
        <w:rPr>
          <w:rFonts w:hint="eastAsia" w:asciiTheme="majorEastAsia" w:hAnsiTheme="majorEastAsia" w:eastAsiaTheme="majorEastAsia" w:cstheme="majorEastAsia"/>
          <w:color w:val="auto"/>
          <w:kern w:val="2"/>
          <w:sz w:val="36"/>
          <w:szCs w:val="36"/>
          <w:highlight w:val="none"/>
          <w:u w:val="single"/>
        </w:rPr>
      </w:pPr>
      <w:r>
        <w:rPr>
          <w:rFonts w:hint="eastAsia" w:asciiTheme="majorEastAsia" w:hAnsiTheme="majorEastAsia" w:eastAsiaTheme="majorEastAsia" w:cstheme="majorEastAsia"/>
          <w:color w:val="auto"/>
          <w:kern w:val="2"/>
          <w:sz w:val="36"/>
          <w:szCs w:val="36"/>
          <w:highlight w:val="none"/>
          <w:u w:val="single"/>
          <w:lang w:eastAsia="zh-CN"/>
        </w:rPr>
        <w:t>兴业县农村乱占耕地建房状况调查第三方技术服务</w:t>
      </w:r>
      <w:r>
        <w:rPr>
          <w:rFonts w:hint="eastAsia" w:asciiTheme="majorEastAsia" w:hAnsiTheme="majorEastAsia" w:eastAsiaTheme="majorEastAsia" w:cstheme="majorEastAsia"/>
          <w:color w:val="auto"/>
          <w:kern w:val="2"/>
          <w:sz w:val="36"/>
          <w:szCs w:val="36"/>
          <w:highlight w:val="none"/>
          <w:u w:val="single"/>
        </w:rPr>
        <w:t>合同书</w:t>
      </w:r>
    </w:p>
    <w:p>
      <w:pPr>
        <w:rPr>
          <w:rFonts w:hint="eastAsia"/>
          <w:color w:val="auto"/>
          <w:highlight w:val="none"/>
        </w:rPr>
      </w:pP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32"/>
          <w:szCs w:val="32"/>
          <w:highlight w:val="none"/>
        </w:rPr>
        <w:t>采</w:t>
      </w:r>
      <w:r>
        <w:rPr>
          <w:rFonts w:hint="eastAsia" w:asciiTheme="majorEastAsia" w:hAnsiTheme="majorEastAsia" w:eastAsiaTheme="majorEastAsia" w:cstheme="majorEastAsia"/>
          <w:color w:val="auto"/>
          <w:kern w:val="2"/>
          <w:sz w:val="24"/>
          <w:szCs w:val="24"/>
          <w:highlight w:val="none"/>
        </w:rPr>
        <w:t>购单位：                 （以下简称甲方）</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供应商：                    （以下简称乙方）</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依照《中华人民共和国合同法》、国家、土地管理行业和自治区国土主管部门有关建设工程检测管理的法律法规、部门规章、规范性文件，遵循平等、自愿、公平和诚实信用原则，双方协商一致，签订本合同。</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  采购内容</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1.1 服务名称：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1.2 技术参数：                      </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  合同总金额</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2.1 本合同总金额为（大写）人民币        （¥       元）。（详见投标报价表）</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上述价款为包干价，已包含完成本项目所有工作任务（出具成果文件）所需的一切费用（中标价格是履行合同的最终价格，包括了实施和完成服务所需的劳务费、技术服务费、交通、通讯、办公场地、管理费、税费和利润等费用和政策性文件规定及合同包含的所有风险、责任等各项应有的费用），甲方不再支付合同总金额以外的任何费用。</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3.服务期限和地点、成果文件要求</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3.1 服务期限：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3.2服务地点：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3.3 成果文件份数：</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3.4乙方必须按投标文件承诺的服务响应条款向甲方提供服务。</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  产权</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4.1 乙方应保证所提供的服务或其任何一部分均不会侵犯任何第三方的专利权、商标权或著作权。</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  技术资料</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5.1 甲方应向乙方提供提交服务成果所必需的有关数据、资料等。</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未履行保密义务的，按本合同第9.10款承担违约责任。本合同终止保密条款继续有效。</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  验收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6.1 乙方应对提交的服务成果作出全面检查和整理，并列出清单，作为甲方验收和使用的技术条件依据，清单应随提交的服务成果交给甲方。</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6.2 乙方在指定地点提交服务成果后，甲方应在五个工作日内依据招标文件、乙方的投标文件等组织验收，验收完毕后作出书面验收报告。验收时乙方必须在现场。</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6.3 对复杂的服务，甲方可请国家认可的专业机构参与验收，并由其出具验收报告，相关费用由甲方承担。</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6.4经甲方验收，乙方提供的服务成果不符合本合同约定的标准，乙方必须应无条件进行整改、修正，直至经甲方验收合格。</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7.  合同款支付</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7.1 付款方式：</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①根据财政资金安排，合同签订后 7 日内，采购人向中标人预付35万元，作为项目的启动资金；</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②项目建设工作进度达到 100%，采购人组织相关责任单位对项目完成情况进行验收，项目总体验收完成后，采购人向财政提出资金拨付申请（中标人提供所有的证明材料），向中标人拨付项目剩余部分资金。</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③验收的实际宗数与报价不一致时，按实际宗数结算。                                                    </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8.  售后服务要求</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8.1 乙方提供服务的质量保证期为：             （自提交服务验收合格之日起计）</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8.2 在本合同第8.1项约定的质量保证期内，乙方应对服务出现的问题负责处理解决并承担一切费用。</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8.3 其他售后服务要求：                     </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  违约责任</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9.1 甲方无正当理由拒收服务成果的，甲方向乙方偿付合同总金额的百分之五违约金。</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9.2 甲方无故逾期验收或办理合同款支付手续的，甲方应按逾期付款总额每日万分之五向乙方支付违约金。</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9.3 除不可抗力原因或甲方原因使工期得以顺延外， 乙方逾期交付服务成果的，乙方应按合同总金额每日千分之三向甲方支付违约金，由甲方从待付款项中扣除。逾期超过约定日期十个工作日不能提供服务成果的，甲方可解除本合同。乙方因逾期提供服务成果或因其他违约行为导致甲方解除合同的，乙方应向甲方支付合同总金额百分之五的违约金，如造成甲方损失超过违约金的，超出部分由乙方继续承担赔偿责任。</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9.4乙方应按本合同约定的质量标准完成实施方案，并经甲方验收合格，如验收不合格的，应无条件进行整改、修正，直至通过甲方验收，如因此造成逾期提交相关成果的，则按本合同第9.3条约定承担逾期违约责任。</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9.5 乙方应按国家相关规定及行业有关规范规程、本合同约定完成实施方案的编制等各项工作,并对其方案的合法性、完整性、有效性负责，由于乙方提供的成果有误或不准确（须第三方具备资质的机构出具证明材料）所造成的损失，乙方应承担责任。</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9.6乙方提供的服务成果如侵犯了第三方合法权益而引发的任何纠纷或诉讼，均由乙方负责交涉并承担全部责任。如甲方为解决纠纷先行垫支了费用，乙方须在接到甲方通知之日起5个工作日内向甲方偿还完毕，并赔偿甲方全部经济损失。</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9.7本合同有效期内，除本合同约定原因外，甲乙双方不得擅自单方提前终止本合同，否则应当赔偿由此给对方造成的损失。</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9.8乙方未按本合同和投标文件中规定的服务承诺提供售后服务的，乙方应按合同总金额5%向甲方支付违约金。</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9.9 乙方提供的服务成果在质量保证期内，因设计、工艺或材料的缺陷和其它质量原因造成的问题，由乙方负责解决并按实际情况赔偿甲方损失。</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9.10乙方有其它违约行为的，每发生一次按合同总金额5%收取违约金。</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9.11甲方根据本合同约定而解除合同的，有权不予支付任何款项给乙方，已经支付的，乙方应当自甲方要求返还之日起5日内予以返还，此外乙方还应支付合同总金额5%的违约金给甲方并赔偿甲方经济损失。</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9.12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10.  不可抗力事件处理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10.1 在合同有效期内，任何一方因不可抗力事件导致不能履行合同，则合同履行期可延长，其延长期与不可抗力影响期相同。</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10.2 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10.3 不可抗力事件延续120天以上，双方应通过友好协商，确定是否继续履行合同。</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11.  诉讼</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11.1 双方在执行合同中所发生的一切争议，应通过协商解决。如协商不成，可向本合同签订地有管辖权的人民法院起诉。</w:t>
      </w:r>
    </w:p>
    <w:p>
      <w:pPr>
        <w:outlineLvl w:val="1"/>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12.  合同生效及其它</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12.1 合同经双方法定代表人或授权委托代理人签字并加盖单位公章后生效。</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12.2 合同执行中涉及采购资金和采购内容修改或补充的，须经市财政部门审批，并签书面补充协议报采购监督管理部门备案，方可作为主合同不可分割的一部分。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12.3 下述合同附件为本合同不可分割的部分并与本合同具有同等效力：</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（1）中标通知书；</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（2）招标文件服务需求一览表；</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（3）招标文件的澄清和修改；</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（4）投标函、投标报价表；</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（5）投标服务技术资料表、商务条款偏离表、服务承诺；</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（6）中标供应商澄清函。</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12.4 本合同未尽事宜，遵照《中华人民共和国合同法》有关条文执行。</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12.5 本合同一式三份，具有同等法律效力，甲乙双方及采购代理机构各执一份。</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甲方：                                        乙方：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地址：                                        地址：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法定代表人：                                  法定代表人：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委托代理人：                                  委托代理人：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电话：                                        电话：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传真：                                        传真：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邮政编码：                                    邮政编码：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开户银行：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开户名称：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银行账号：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合同签订地点：</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合同签订日期：    年    月    日</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2"/>
        <w:rPr>
          <w:rFonts w:hint="eastAsia" w:asciiTheme="majorEastAsia" w:hAnsiTheme="majorEastAsia" w:eastAsiaTheme="majorEastAsia" w:cstheme="majorEastAsia"/>
          <w:color w:val="auto"/>
          <w:kern w:val="2"/>
          <w:sz w:val="32"/>
          <w:szCs w:val="32"/>
          <w:highlight w:val="none"/>
        </w:rPr>
      </w:pPr>
    </w:p>
    <w:p>
      <w:pPr>
        <w:pStyle w:val="2"/>
        <w:rPr>
          <w:rFonts w:hint="eastAsia" w:asciiTheme="majorEastAsia" w:hAnsiTheme="majorEastAsia" w:eastAsiaTheme="majorEastAsia" w:cstheme="majorEastAsia"/>
          <w:color w:val="auto"/>
          <w:kern w:val="2"/>
          <w:sz w:val="32"/>
          <w:szCs w:val="32"/>
          <w:highlight w:val="none"/>
        </w:rPr>
      </w:pPr>
    </w:p>
    <w:p>
      <w:pPr>
        <w:pStyle w:val="2"/>
        <w:rPr>
          <w:rFonts w:hint="eastAsia" w:asciiTheme="majorEastAsia" w:hAnsiTheme="majorEastAsia" w:eastAsiaTheme="majorEastAsia" w:cstheme="majorEastAsia"/>
          <w:color w:val="auto"/>
          <w:kern w:val="2"/>
          <w:sz w:val="32"/>
          <w:szCs w:val="32"/>
          <w:highlight w:val="none"/>
        </w:rPr>
      </w:pPr>
    </w:p>
    <w:p>
      <w:pPr>
        <w:pStyle w:val="2"/>
        <w:rPr>
          <w:rFonts w:hint="eastAsia" w:asciiTheme="majorEastAsia" w:hAnsiTheme="majorEastAsia" w:eastAsiaTheme="majorEastAsia" w:cstheme="majorEastAsia"/>
          <w:color w:val="auto"/>
          <w:kern w:val="2"/>
          <w:sz w:val="32"/>
          <w:szCs w:val="32"/>
          <w:highlight w:val="none"/>
        </w:rPr>
      </w:pP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4"/>
        <w:jc w:val="center"/>
        <w:outlineLvl w:val="0"/>
        <w:rPr>
          <w:rFonts w:hint="eastAsia" w:asciiTheme="majorEastAsia" w:hAnsiTheme="majorEastAsia" w:eastAsiaTheme="majorEastAsia" w:cstheme="majorEastAsia"/>
          <w:b/>
          <w:color w:val="auto"/>
          <w:kern w:val="0"/>
          <w:sz w:val="32"/>
          <w:szCs w:val="32"/>
          <w:highlight w:val="none"/>
        </w:rPr>
      </w:pPr>
      <w:bookmarkStart w:id="106" w:name="_Toc24366223"/>
      <w:bookmarkEnd w:id="106"/>
      <w:bookmarkStart w:id="107" w:name="_Toc26679"/>
      <w:r>
        <w:rPr>
          <w:rFonts w:hint="eastAsia" w:asciiTheme="majorEastAsia" w:hAnsiTheme="majorEastAsia" w:eastAsiaTheme="majorEastAsia" w:cstheme="majorEastAsia"/>
          <w:b/>
          <w:color w:val="auto"/>
          <w:kern w:val="0"/>
          <w:sz w:val="32"/>
          <w:szCs w:val="32"/>
          <w:highlight w:val="none"/>
        </w:rPr>
        <w:t>第六章 投标文件格式</w:t>
      </w:r>
      <w:bookmarkEnd w:id="107"/>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left"/>
        <w:outlineLvl w:val="1"/>
        <w:rPr>
          <w:rFonts w:hint="eastAsia" w:asciiTheme="majorEastAsia" w:hAnsiTheme="majorEastAsia" w:eastAsiaTheme="majorEastAsia" w:cstheme="majorEastAsia"/>
          <w:color w:val="auto"/>
          <w:kern w:val="2"/>
          <w:sz w:val="21"/>
          <w:szCs w:val="21"/>
          <w:highlight w:val="none"/>
        </w:rPr>
      </w:pPr>
      <w:bookmarkStart w:id="108" w:name="_Toc254970556"/>
      <w:bookmarkEnd w:id="108"/>
      <w:bookmarkStart w:id="109" w:name="_Toc254970697"/>
      <w:bookmarkEnd w:id="109"/>
      <w:r>
        <w:rPr>
          <w:rFonts w:hint="eastAsia" w:asciiTheme="majorEastAsia" w:hAnsiTheme="majorEastAsia" w:eastAsiaTheme="majorEastAsia" w:cstheme="majorEastAsia"/>
          <w:color w:val="auto"/>
          <w:kern w:val="2"/>
          <w:sz w:val="21"/>
          <w:szCs w:val="21"/>
          <w:highlight w:val="none"/>
        </w:rPr>
        <w:t>一、投标文件外层包装封面格式</w:t>
      </w:r>
    </w:p>
    <w:p>
      <w:pPr>
        <w:jc w:val="left"/>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所有投标文件的外包装封面格式：(可选用)</w:t>
      </w:r>
    </w:p>
    <w:p>
      <w:pPr>
        <w:jc w:val="center"/>
        <w:rPr>
          <w:rFonts w:hint="eastAsia" w:asciiTheme="majorEastAsia" w:hAnsiTheme="majorEastAsia" w:eastAsiaTheme="majorEastAsia" w:cstheme="majorEastAsia"/>
          <w:color w:val="auto"/>
          <w:kern w:val="2"/>
          <w:sz w:val="32"/>
          <w:szCs w:val="32"/>
          <w:highlight w:val="none"/>
        </w:rPr>
      </w:pPr>
    </w:p>
    <w:p>
      <w:pPr>
        <w:jc w:val="center"/>
        <w:rPr>
          <w:rFonts w:hint="eastAsia" w:asciiTheme="majorEastAsia" w:hAnsiTheme="majorEastAsia" w:eastAsiaTheme="majorEastAsia" w:cstheme="majorEastAsia"/>
          <w:color w:val="auto"/>
          <w:kern w:val="2"/>
          <w:sz w:val="32"/>
          <w:szCs w:val="32"/>
          <w:highlight w:val="none"/>
        </w:rPr>
      </w:pPr>
    </w:p>
    <w:p>
      <w:pPr>
        <w:jc w:val="center"/>
        <w:rPr>
          <w:rFonts w:hint="eastAsia" w:asciiTheme="majorEastAsia" w:hAnsiTheme="majorEastAsia" w:eastAsiaTheme="majorEastAsia" w:cstheme="majorEastAsia"/>
          <w:color w:val="auto"/>
          <w:kern w:val="2"/>
          <w:sz w:val="32"/>
          <w:szCs w:val="32"/>
          <w:highlight w:val="none"/>
        </w:rPr>
      </w:pPr>
    </w:p>
    <w:p>
      <w:pPr>
        <w:jc w:val="center"/>
        <w:rPr>
          <w:rFonts w:hint="eastAsia" w:asciiTheme="majorEastAsia" w:hAnsiTheme="majorEastAsia" w:eastAsiaTheme="majorEastAsia" w:cstheme="majorEastAsia"/>
          <w:b/>
          <w:bCs/>
          <w:color w:val="auto"/>
          <w:kern w:val="2"/>
          <w:sz w:val="44"/>
          <w:szCs w:val="44"/>
          <w:highlight w:val="none"/>
        </w:rPr>
      </w:pPr>
      <w:r>
        <w:rPr>
          <w:rFonts w:hint="eastAsia" w:asciiTheme="majorEastAsia" w:hAnsiTheme="majorEastAsia" w:eastAsiaTheme="majorEastAsia" w:cstheme="majorEastAsia"/>
          <w:b/>
          <w:bCs/>
          <w:color w:val="auto"/>
          <w:kern w:val="2"/>
          <w:sz w:val="44"/>
          <w:szCs w:val="44"/>
          <w:highlight w:val="none"/>
        </w:rPr>
        <w:t>投 标 文 件</w:t>
      </w:r>
    </w:p>
    <w:p>
      <w:pPr>
        <w:jc w:val="center"/>
        <w:rPr>
          <w:rFonts w:hint="eastAsia" w:asciiTheme="majorEastAsia" w:hAnsiTheme="majorEastAsia" w:eastAsiaTheme="majorEastAsia" w:cstheme="majorEastAsia"/>
          <w:color w:val="auto"/>
          <w:kern w:val="2"/>
          <w:sz w:val="32"/>
          <w:szCs w:val="32"/>
          <w:highlight w:val="none"/>
        </w:rPr>
      </w:pPr>
    </w:p>
    <w:p>
      <w:pPr>
        <w:jc w:val="center"/>
        <w:rPr>
          <w:rFonts w:hint="eastAsia" w:asciiTheme="majorEastAsia" w:hAnsiTheme="majorEastAsia" w:eastAsiaTheme="majorEastAsia" w:cstheme="majorEastAsia"/>
          <w:color w:val="auto"/>
          <w:kern w:val="2"/>
          <w:sz w:val="32"/>
          <w:szCs w:val="32"/>
          <w:highlight w:val="none"/>
        </w:rPr>
      </w:pPr>
    </w:p>
    <w:p>
      <w:pPr>
        <w:jc w:val="center"/>
        <w:rPr>
          <w:rFonts w:hint="eastAsia" w:asciiTheme="majorEastAsia" w:hAnsiTheme="majorEastAsia" w:eastAsiaTheme="majorEastAsia" w:cstheme="majorEastAsia"/>
          <w:color w:val="auto"/>
          <w:kern w:val="2"/>
          <w:sz w:val="32"/>
          <w:szCs w:val="32"/>
          <w:highlight w:val="none"/>
        </w:rPr>
      </w:pPr>
    </w:p>
    <w:p>
      <w:pPr>
        <w:rPr>
          <w:rFonts w:hint="eastAsia" w:asciiTheme="majorEastAsia" w:hAnsiTheme="majorEastAsia" w:eastAsiaTheme="majorEastAsia" w:cstheme="majorEastAsia"/>
          <w:color w:val="auto"/>
          <w:kern w:val="2"/>
          <w:sz w:val="32"/>
          <w:szCs w:val="32"/>
          <w:highlight w:val="none"/>
        </w:rPr>
      </w:pP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项目名称：</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项目编号：</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7"/>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投标文件名称：报价文件、资格证明文件、商务文件、技术文件</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7"/>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投标人名称：</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7"/>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投标人地址：</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7"/>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在  年  月  日  时  分之前不得启封</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r>
        <w:rPr>
          <w:rFonts w:hint="eastAsia" w:asciiTheme="majorEastAsia" w:hAnsiTheme="majorEastAsia" w:eastAsiaTheme="majorEastAsia" w:cstheme="majorEastAsia"/>
          <w:color w:val="auto"/>
          <w:kern w:val="2"/>
          <w:sz w:val="32"/>
          <w:szCs w:val="32"/>
          <w:highlight w:val="none"/>
          <w:lang w:val="en-US" w:eastAsia="zh-CN"/>
        </w:rPr>
        <w:t xml:space="preserve">               </w:t>
      </w:r>
      <w:r>
        <w:rPr>
          <w:rFonts w:hint="eastAsia" w:asciiTheme="majorEastAsia" w:hAnsiTheme="majorEastAsia" w:eastAsiaTheme="majorEastAsia" w:cstheme="majorEastAsia"/>
          <w:color w:val="auto"/>
          <w:kern w:val="2"/>
          <w:sz w:val="32"/>
          <w:szCs w:val="32"/>
          <w:highlight w:val="none"/>
        </w:rPr>
        <w:t xml:space="preserve"> 年    月    日</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2"/>
        <w:rPr>
          <w:rFonts w:hint="eastAsia"/>
          <w:color w:val="auto"/>
          <w:highlight w:val="none"/>
        </w:rPr>
      </w:pPr>
    </w:p>
    <w:p>
      <w:pPr>
        <w:jc w:val="left"/>
        <w:outlineLvl w:val="1"/>
        <w:rPr>
          <w:rFonts w:hint="eastAsia" w:asciiTheme="majorEastAsia" w:hAnsiTheme="majorEastAsia" w:eastAsiaTheme="majorEastAsia" w:cstheme="majorEastAsia"/>
          <w:color w:val="auto"/>
          <w:kern w:val="2"/>
          <w:sz w:val="21"/>
          <w:szCs w:val="21"/>
          <w:highlight w:val="none"/>
        </w:rPr>
      </w:pPr>
      <w:bookmarkStart w:id="110" w:name="_Toc24366225"/>
      <w:bookmarkEnd w:id="110"/>
      <w:bookmarkStart w:id="111" w:name="_Toc254970557"/>
      <w:bookmarkEnd w:id="111"/>
      <w:bookmarkStart w:id="112" w:name="_Toc254970698"/>
      <w:r>
        <w:rPr>
          <w:rFonts w:hint="eastAsia" w:asciiTheme="majorEastAsia" w:hAnsiTheme="majorEastAsia" w:eastAsiaTheme="majorEastAsia" w:cstheme="majorEastAsia"/>
          <w:color w:val="auto"/>
          <w:kern w:val="2"/>
          <w:sz w:val="21"/>
          <w:szCs w:val="21"/>
          <w:highlight w:val="none"/>
        </w:rPr>
        <w:t>二、报价文件格式</w:t>
      </w:r>
      <w:bookmarkEnd w:id="112"/>
    </w:p>
    <w:p>
      <w:pPr>
        <w:jc w:val="left"/>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1. 报价文件封面格式：</w:t>
      </w:r>
    </w:p>
    <w:p>
      <w:pPr>
        <w:rPr>
          <w:rFonts w:hint="eastAsia" w:asciiTheme="majorEastAsia" w:hAnsiTheme="majorEastAsia" w:eastAsiaTheme="majorEastAsia" w:cstheme="majorEastAsia"/>
          <w:color w:val="auto"/>
          <w:kern w:val="2"/>
          <w:sz w:val="32"/>
          <w:szCs w:val="32"/>
          <w:highlight w:val="none"/>
          <w:lang w:val="en-US" w:eastAsia="zh-CN"/>
        </w:rPr>
      </w:pPr>
      <w:r>
        <w:rPr>
          <w:rFonts w:hint="eastAsia" w:asciiTheme="majorEastAsia" w:hAnsiTheme="majorEastAsia" w:eastAsiaTheme="majorEastAsia" w:cstheme="majorEastAsia"/>
          <w:color w:val="auto"/>
          <w:kern w:val="2"/>
          <w:sz w:val="32"/>
          <w:szCs w:val="32"/>
          <w:highlight w:val="none"/>
        </w:rPr>
        <w:t xml:space="preserve"> </w:t>
      </w:r>
      <w:r>
        <w:rPr>
          <w:rFonts w:hint="eastAsia" w:asciiTheme="majorEastAsia" w:hAnsiTheme="majorEastAsia" w:eastAsiaTheme="majorEastAsia" w:cstheme="majorEastAsia"/>
          <w:color w:val="auto"/>
          <w:kern w:val="2"/>
          <w:sz w:val="32"/>
          <w:szCs w:val="32"/>
          <w:highlight w:val="none"/>
          <w:lang w:val="en-US" w:eastAsia="zh-CN"/>
        </w:rPr>
        <w:t xml:space="preserve">                                      </w:t>
      </w:r>
    </w:p>
    <w:p>
      <w:pPr>
        <w:rPr>
          <w:rFonts w:hint="eastAsia" w:asciiTheme="majorEastAsia" w:hAnsiTheme="majorEastAsia" w:eastAsiaTheme="majorEastAsia" w:cstheme="majorEastAsia"/>
          <w:color w:val="auto"/>
          <w:kern w:val="2"/>
          <w:sz w:val="32"/>
          <w:szCs w:val="32"/>
          <w:highlight w:val="none"/>
          <w:lang w:val="en-US" w:eastAsia="zh-CN"/>
        </w:rPr>
      </w:pPr>
    </w:p>
    <w:p>
      <w:pPr>
        <w:rPr>
          <w:rFonts w:hint="eastAsia" w:asciiTheme="majorEastAsia" w:hAnsiTheme="majorEastAsia" w:eastAsiaTheme="majorEastAsia" w:cstheme="majorEastAsia"/>
          <w:color w:val="auto"/>
          <w:kern w:val="2"/>
          <w:sz w:val="32"/>
          <w:szCs w:val="32"/>
          <w:highlight w:val="none"/>
          <w:lang w:val="en-US" w:eastAsia="zh-CN"/>
        </w:rPr>
      </w:pPr>
    </w:p>
    <w:p>
      <w:pPr>
        <w:rPr>
          <w:rFonts w:hint="eastAsia" w:asciiTheme="majorEastAsia" w:hAnsiTheme="majorEastAsia" w:eastAsiaTheme="majorEastAsia" w:cstheme="majorEastAsia"/>
          <w:color w:val="auto"/>
          <w:kern w:val="2"/>
          <w:sz w:val="32"/>
          <w:szCs w:val="32"/>
          <w:highlight w:val="none"/>
          <w:lang w:val="en-US" w:eastAsia="zh-CN"/>
        </w:rPr>
      </w:pPr>
    </w:p>
    <w:p>
      <w:pPr>
        <w:ind w:firstLine="7040" w:firstLineChars="2200"/>
        <w:outlineLvl w:val="1"/>
        <w:rPr>
          <w:rFonts w:hint="eastAsia" w:asciiTheme="majorEastAsia" w:hAnsiTheme="majorEastAsia" w:eastAsiaTheme="majorEastAsia" w:cstheme="majorEastAsia"/>
          <w:color w:val="auto"/>
          <w:kern w:val="2"/>
          <w:sz w:val="32"/>
          <w:szCs w:val="32"/>
          <w:highlight w:val="none"/>
        </w:rPr>
      </w:pPr>
    </w:p>
    <w:p>
      <w:pPr>
        <w:ind w:firstLine="7040" w:firstLineChars="2200"/>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正本/或副本</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center"/>
        <w:rPr>
          <w:rFonts w:hint="eastAsia" w:asciiTheme="majorEastAsia" w:hAnsiTheme="majorEastAsia" w:eastAsiaTheme="majorEastAsia" w:cstheme="majorEastAsia"/>
          <w:b/>
          <w:bCs/>
          <w:color w:val="auto"/>
          <w:kern w:val="2"/>
          <w:sz w:val="44"/>
          <w:szCs w:val="44"/>
          <w:highlight w:val="none"/>
        </w:rPr>
      </w:pPr>
      <w:r>
        <w:rPr>
          <w:rFonts w:hint="eastAsia" w:asciiTheme="majorEastAsia" w:hAnsiTheme="majorEastAsia" w:eastAsiaTheme="majorEastAsia" w:cstheme="majorEastAsia"/>
          <w:b/>
          <w:bCs/>
          <w:color w:val="auto"/>
          <w:kern w:val="2"/>
          <w:sz w:val="44"/>
          <w:szCs w:val="44"/>
          <w:highlight w:val="none"/>
        </w:rPr>
        <w:t>报价文件</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ind w:firstLine="320" w:firstLineChars="100"/>
        <w:jc w:val="left"/>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项目名称：</w:t>
      </w:r>
    </w:p>
    <w:p>
      <w:pPr>
        <w:ind w:firstLine="320" w:firstLineChars="100"/>
        <w:jc w:val="left"/>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项目编号：</w:t>
      </w:r>
    </w:p>
    <w:p>
      <w:pPr>
        <w:pStyle w:val="7"/>
        <w:jc w:val="left"/>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投标人名称：</w:t>
      </w:r>
    </w:p>
    <w:p>
      <w:pPr>
        <w:pStyle w:val="7"/>
        <w:jc w:val="left"/>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投标人地址：</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ind w:firstLine="6720" w:firstLineChars="2100"/>
        <w:rPr>
          <w:rFonts w:hint="eastAsia" w:asciiTheme="majorEastAsia" w:hAnsiTheme="majorEastAsia" w:eastAsiaTheme="majorEastAsia" w:cstheme="majorEastAsia"/>
          <w:color w:val="auto"/>
          <w:kern w:val="2"/>
          <w:sz w:val="32"/>
          <w:szCs w:val="32"/>
          <w:highlight w:val="none"/>
        </w:rPr>
      </w:pPr>
    </w:p>
    <w:p>
      <w:pPr>
        <w:ind w:firstLine="6720" w:firstLineChars="2100"/>
        <w:jc w:val="left"/>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年  月  日</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jc w:val="left"/>
        <w:rPr>
          <w:rFonts w:hint="eastAsia" w:asciiTheme="majorEastAsia" w:hAnsiTheme="majorEastAsia" w:eastAsiaTheme="majorEastAsia" w:cstheme="majorEastAsia"/>
          <w:color w:val="auto"/>
          <w:kern w:val="2"/>
          <w:sz w:val="21"/>
          <w:szCs w:val="21"/>
          <w:highlight w:val="none"/>
        </w:rPr>
      </w:pPr>
    </w:p>
    <w:p>
      <w:pPr>
        <w:jc w:val="left"/>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2.报价文件目录</w:t>
      </w:r>
    </w:p>
    <w:p>
      <w:pPr>
        <w:jc w:val="left"/>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根据招标文件规定及投标人提供的材料自行编写目录。</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p>
    <w:p>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32"/>
          <w:szCs w:val="32"/>
          <w:highlight w:val="none"/>
        </w:rPr>
        <w:t xml:space="preserve">  </w:t>
      </w:r>
      <w:r>
        <w:rPr>
          <w:rFonts w:hint="eastAsia" w:asciiTheme="majorEastAsia" w:hAnsiTheme="majorEastAsia" w:eastAsiaTheme="majorEastAsia" w:cstheme="majorEastAsia"/>
          <w:color w:val="auto"/>
          <w:kern w:val="2"/>
          <w:sz w:val="21"/>
          <w:szCs w:val="21"/>
          <w:highlight w:val="none"/>
        </w:rPr>
        <w:t>3.投标函格式：</w:t>
      </w: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投 标 函</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32"/>
          <w:szCs w:val="32"/>
          <w:highlight w:val="none"/>
        </w:rPr>
        <w:t xml:space="preserve"> </w:t>
      </w:r>
      <w:r>
        <w:rPr>
          <w:rFonts w:hint="eastAsia" w:asciiTheme="majorEastAsia" w:hAnsiTheme="majorEastAsia" w:eastAsiaTheme="majorEastAsia" w:cstheme="majorEastAsia"/>
          <w:color w:val="auto"/>
          <w:kern w:val="2"/>
          <w:sz w:val="24"/>
          <w:szCs w:val="24"/>
          <w:highlight w:val="none"/>
        </w:rPr>
        <w:t>致：</w:t>
      </w:r>
      <w:r>
        <w:rPr>
          <w:rFonts w:hint="eastAsia" w:asciiTheme="majorEastAsia" w:hAnsiTheme="majorEastAsia" w:eastAsiaTheme="majorEastAsia" w:cstheme="majorEastAsia"/>
          <w:color w:val="auto"/>
          <w:kern w:val="2"/>
          <w:sz w:val="24"/>
          <w:szCs w:val="24"/>
          <w:highlight w:val="none"/>
          <w:lang w:eastAsia="zh-CN"/>
        </w:rPr>
        <w:t>湖南英邦工程建设咨询有限公司</w:t>
      </w:r>
      <w:r>
        <w:rPr>
          <w:rFonts w:hint="eastAsia" w:asciiTheme="majorEastAsia" w:hAnsiTheme="majorEastAsia" w:eastAsiaTheme="majorEastAsia" w:cstheme="majorEastAsia"/>
          <w:color w:val="auto"/>
          <w:kern w:val="2"/>
          <w:sz w:val="24"/>
          <w:szCs w:val="24"/>
          <w:highlight w:val="none"/>
        </w:rPr>
        <w:t>：</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根据贵方为</w:t>
      </w:r>
      <w:r>
        <w:rPr>
          <w:rFonts w:hint="eastAsia" w:asciiTheme="majorEastAsia" w:hAnsiTheme="majorEastAsia" w:eastAsiaTheme="majorEastAsia" w:cstheme="majorEastAsia"/>
          <w:color w:val="auto"/>
          <w:kern w:val="2"/>
          <w:sz w:val="24"/>
          <w:szCs w:val="24"/>
          <w:highlight w:val="none"/>
          <w:u w:val="single"/>
        </w:rPr>
        <w:t xml:space="preserve">                 </w:t>
      </w:r>
      <w:r>
        <w:rPr>
          <w:rFonts w:hint="eastAsia" w:asciiTheme="majorEastAsia" w:hAnsiTheme="majorEastAsia" w:eastAsiaTheme="majorEastAsia" w:cstheme="majorEastAsia"/>
          <w:color w:val="auto"/>
          <w:kern w:val="2"/>
          <w:sz w:val="24"/>
          <w:szCs w:val="24"/>
          <w:highlight w:val="none"/>
        </w:rPr>
        <w:t>项目的招标公告/投标邀请书</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（项目编号：_____），签字代表_______（全名）经正式授权并代表投标人_________（投标人名称、地址）提交投标文件（包括报价文件、资格/商务文件、技术文件）正本各一份、副本      份。</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据此函，签字代表宣布同意如下：</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2.投标人在投标之前已经与贵方进行了充分的沟通，完全理解并接受招标文件的各项规定和要求，对招标文件的合理性、合法性不再有异议。</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3.本投标有效期：自投标文件提交截止之日起120日。</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4.如中标，本投标文件至本项目合同履行完毕止均保持有效，本投标人将按“招标文件”及政府采购法律、法规的规定履行合同责任和义务。</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5.投标人同意按照贵方要求提供与投标有关的一切数据或资料。</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6.与本投标有关的一切正式往来信函请寄：</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地址：          邮编：            电话：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传真：          投标人代表姓名         职务：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投标人名称(公章):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开户银行：                         银行帐号：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被授权人签字:___________ 日期:_____年___月___日</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（公章）</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年    月     日</w:t>
      </w:r>
    </w:p>
    <w:p>
      <w:pPr>
        <w:jc w:val="left"/>
        <w:rPr>
          <w:rFonts w:hint="eastAsia" w:asciiTheme="majorEastAsia" w:hAnsiTheme="majorEastAsia" w:eastAsiaTheme="majorEastAsia" w:cstheme="majorEastAsia"/>
          <w:color w:val="auto"/>
          <w:kern w:val="2"/>
          <w:sz w:val="21"/>
          <w:szCs w:val="21"/>
          <w:highlight w:val="none"/>
        </w:rPr>
      </w:pPr>
    </w:p>
    <w:p>
      <w:pPr>
        <w:jc w:val="left"/>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4.开标一览表</w:t>
      </w: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开标一览表</w:t>
      </w:r>
    </w:p>
    <w:p>
      <w:pP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2"/>
          <w:sz w:val="32"/>
          <w:szCs w:val="32"/>
          <w:highlight w:val="none"/>
        </w:rPr>
        <w:t xml:space="preserve"> </w:t>
      </w:r>
      <w:r>
        <w:rPr>
          <w:rFonts w:hint="eastAsia" w:asciiTheme="majorEastAsia" w:hAnsiTheme="majorEastAsia" w:eastAsiaTheme="majorEastAsia" w:cstheme="majorEastAsia"/>
          <w:color w:val="auto"/>
          <w:kern w:val="0"/>
          <w:sz w:val="24"/>
          <w:szCs w:val="24"/>
          <w:highlight w:val="none"/>
        </w:rPr>
        <w:t>项目名称：                                    项目编号：</w:t>
      </w:r>
    </w:p>
    <w:tbl>
      <w:tblPr>
        <w:tblStyle w:val="20"/>
        <w:tblW w:w="0" w:type="auto"/>
        <w:jc w:val="center"/>
        <w:shd w:val="clear" w:color="auto" w:fill="auto"/>
        <w:tblLayout w:type="fixed"/>
        <w:tblCellMar>
          <w:top w:w="0" w:type="dxa"/>
          <w:left w:w="108" w:type="dxa"/>
          <w:bottom w:w="0" w:type="dxa"/>
          <w:right w:w="108" w:type="dxa"/>
        </w:tblCellMar>
      </w:tblPr>
      <w:tblGrid>
        <w:gridCol w:w="776"/>
        <w:gridCol w:w="2105"/>
        <w:gridCol w:w="709"/>
        <w:gridCol w:w="3871"/>
        <w:gridCol w:w="1275"/>
        <w:gridCol w:w="846"/>
      </w:tblGrid>
      <w:tr>
        <w:tblPrEx>
          <w:tblCellMar>
            <w:top w:w="0" w:type="dxa"/>
            <w:left w:w="108" w:type="dxa"/>
            <w:bottom w:w="0" w:type="dxa"/>
            <w:right w:w="108" w:type="dxa"/>
          </w:tblCellMar>
        </w:tblPrEx>
        <w:trPr>
          <w:trHeight w:val="673" w:hRule="atLeast"/>
          <w:jc w:val="center"/>
        </w:trPr>
        <w:tc>
          <w:tcPr>
            <w:tcW w:w="7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pStyle w:val="12"/>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w:t>
            </w:r>
            <w:r>
              <w:rPr>
                <w:rFonts w:hint="eastAsia" w:asciiTheme="majorEastAsia" w:hAnsiTheme="majorEastAsia" w:eastAsiaTheme="majorEastAsia" w:cstheme="majorEastAsia"/>
                <w:color w:val="auto"/>
                <w:kern w:val="2"/>
                <w:sz w:val="24"/>
                <w:szCs w:val="24"/>
                <w:highlight w:val="none"/>
              </w:rPr>
              <w:t>序号</w:t>
            </w:r>
          </w:p>
        </w:tc>
        <w:tc>
          <w:tcPr>
            <w:tcW w:w="2105"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服务名称</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数量</w:t>
            </w:r>
          </w:p>
        </w:tc>
        <w:tc>
          <w:tcPr>
            <w:tcW w:w="3871"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服务内容</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投标报价（元）</w:t>
            </w:r>
          </w:p>
        </w:tc>
        <w:tc>
          <w:tcPr>
            <w:tcW w:w="846"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备注</w:t>
            </w:r>
          </w:p>
        </w:tc>
      </w:tr>
      <w:tr>
        <w:tblPrEx>
          <w:tblCellMar>
            <w:top w:w="0" w:type="dxa"/>
            <w:left w:w="108" w:type="dxa"/>
            <w:bottom w:w="0" w:type="dxa"/>
            <w:right w:w="108" w:type="dxa"/>
          </w:tblCellMar>
        </w:tblPrEx>
        <w:trPr>
          <w:trHeight w:val="193" w:hRule="atLeast"/>
          <w:jc w:val="center"/>
        </w:trPr>
        <w:tc>
          <w:tcPr>
            <w:tcW w:w="7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w:t>
            </w:r>
          </w:p>
        </w:tc>
        <w:tc>
          <w:tcPr>
            <w:tcW w:w="2105"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p>
        </w:tc>
        <w:tc>
          <w:tcPr>
            <w:tcW w:w="709"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c>
          <w:tcPr>
            <w:tcW w:w="3871"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c>
          <w:tcPr>
            <w:tcW w:w="846"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r>
      <w:tr>
        <w:tblPrEx>
          <w:tblCellMar>
            <w:top w:w="0" w:type="dxa"/>
            <w:left w:w="108" w:type="dxa"/>
            <w:bottom w:w="0" w:type="dxa"/>
            <w:right w:w="108" w:type="dxa"/>
          </w:tblCellMar>
        </w:tblPrEx>
        <w:trPr>
          <w:trHeight w:val="193" w:hRule="atLeast"/>
          <w:jc w:val="center"/>
        </w:trPr>
        <w:tc>
          <w:tcPr>
            <w:tcW w:w="7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w:t>
            </w:r>
          </w:p>
        </w:tc>
        <w:tc>
          <w:tcPr>
            <w:tcW w:w="2105"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p>
        </w:tc>
        <w:tc>
          <w:tcPr>
            <w:tcW w:w="709"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c>
          <w:tcPr>
            <w:tcW w:w="3871"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c>
          <w:tcPr>
            <w:tcW w:w="846"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r>
      <w:tr>
        <w:tblPrEx>
          <w:tblCellMar>
            <w:top w:w="0" w:type="dxa"/>
            <w:left w:w="108" w:type="dxa"/>
            <w:bottom w:w="0" w:type="dxa"/>
            <w:right w:w="108" w:type="dxa"/>
          </w:tblCellMar>
        </w:tblPrEx>
        <w:trPr>
          <w:trHeight w:val="399" w:hRule="atLeast"/>
          <w:jc w:val="center"/>
        </w:trPr>
        <w:tc>
          <w:tcPr>
            <w:tcW w:w="7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w:t>
            </w:r>
          </w:p>
        </w:tc>
        <w:tc>
          <w:tcPr>
            <w:tcW w:w="2105"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p>
        </w:tc>
        <w:tc>
          <w:tcPr>
            <w:tcW w:w="709"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c>
          <w:tcPr>
            <w:tcW w:w="3871"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c>
          <w:tcPr>
            <w:tcW w:w="846"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r>
      <w:tr>
        <w:tblPrEx>
          <w:tblCellMar>
            <w:top w:w="0" w:type="dxa"/>
            <w:left w:w="108" w:type="dxa"/>
            <w:bottom w:w="0" w:type="dxa"/>
            <w:right w:w="108" w:type="dxa"/>
          </w:tblCellMar>
        </w:tblPrEx>
        <w:trPr>
          <w:trHeight w:val="83" w:hRule="atLeast"/>
          <w:jc w:val="center"/>
        </w:trPr>
        <w:tc>
          <w:tcPr>
            <w:tcW w:w="7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w:t>
            </w:r>
          </w:p>
        </w:tc>
        <w:tc>
          <w:tcPr>
            <w:tcW w:w="2105"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p>
        </w:tc>
        <w:tc>
          <w:tcPr>
            <w:tcW w:w="709"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c>
          <w:tcPr>
            <w:tcW w:w="3871"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c>
          <w:tcPr>
            <w:tcW w:w="846"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r>
      <w:tr>
        <w:tblPrEx>
          <w:tblCellMar>
            <w:top w:w="0" w:type="dxa"/>
            <w:left w:w="108" w:type="dxa"/>
            <w:bottom w:w="0" w:type="dxa"/>
            <w:right w:w="108" w:type="dxa"/>
          </w:tblCellMar>
        </w:tblPrEx>
        <w:trPr>
          <w:trHeight w:val="1027" w:hRule="atLeast"/>
          <w:jc w:val="center"/>
        </w:trPr>
        <w:tc>
          <w:tcPr>
            <w:tcW w:w="9582"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投标总报价：大写                                (小写：           )</w:t>
            </w:r>
          </w:p>
        </w:tc>
      </w:tr>
      <w:tr>
        <w:tblPrEx>
          <w:tblCellMar>
            <w:top w:w="0" w:type="dxa"/>
            <w:left w:w="108" w:type="dxa"/>
            <w:bottom w:w="0" w:type="dxa"/>
            <w:right w:w="108" w:type="dxa"/>
          </w:tblCellMar>
        </w:tblPrEx>
        <w:trPr>
          <w:trHeight w:val="680" w:hRule="atLeast"/>
          <w:jc w:val="center"/>
        </w:trPr>
        <w:tc>
          <w:tcPr>
            <w:tcW w:w="9582"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1.服务期限： </w:t>
            </w:r>
          </w:p>
        </w:tc>
      </w:tr>
      <w:tr>
        <w:tblPrEx>
          <w:tblCellMar>
            <w:top w:w="0" w:type="dxa"/>
            <w:left w:w="108" w:type="dxa"/>
            <w:bottom w:w="0" w:type="dxa"/>
            <w:right w:w="108" w:type="dxa"/>
          </w:tblCellMar>
        </w:tblPrEx>
        <w:trPr>
          <w:trHeight w:val="680" w:hRule="atLeast"/>
          <w:jc w:val="center"/>
        </w:trPr>
        <w:tc>
          <w:tcPr>
            <w:tcW w:w="9582"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说明：本项目报价包含完成项目过程中所需的劳务费、技术服务费、交通、通讯、办公场地、管理费、税费和利润等费用和政策性文件规定及合同包含的所有风险、责任等各项应有的费用，以及合同明示或暗示的所有责任、义务和一般风险等的一切费用等各种费用在内，采购人不再支付合同总金额以外的任何费用。</w:t>
            </w:r>
          </w:p>
        </w:tc>
      </w:tr>
    </w:tbl>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32"/>
          <w:szCs w:val="32"/>
          <w:highlight w:val="none"/>
        </w:rPr>
        <w:t xml:space="preserve"> </w:t>
      </w:r>
      <w:r>
        <w:rPr>
          <w:rFonts w:hint="eastAsia" w:asciiTheme="majorEastAsia" w:hAnsiTheme="majorEastAsia" w:eastAsiaTheme="majorEastAsia" w:cstheme="majorEastAsia"/>
          <w:color w:val="auto"/>
          <w:kern w:val="2"/>
          <w:sz w:val="24"/>
          <w:szCs w:val="24"/>
          <w:highlight w:val="none"/>
        </w:rPr>
        <w:t>注: 1.投标人的开标一览表必须加盖投标人公章并由法定代表人（负责人或自然人）或委托代理人签字，否则其投标作无效标处理。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2.报价一经涂改，应在涂改处加盖投标人公章或者由法定代表人（负责人或自然人）或授权委托人签字或盖章，否则其投标作无效标处理。</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投标人盖公章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法定代表人(负责人或自然人)或委托代理人签字或签章                   </w:t>
      </w:r>
    </w:p>
    <w:p>
      <w:pPr>
        <w:pStyle w:val="12"/>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w:t>
      </w:r>
      <w:r>
        <w:rPr>
          <w:rFonts w:hint="eastAsia" w:asciiTheme="majorEastAsia" w:hAnsiTheme="majorEastAsia" w:eastAsiaTheme="majorEastAsia" w:cstheme="majorEastAsia"/>
          <w:color w:val="auto"/>
          <w:kern w:val="2"/>
          <w:sz w:val="24"/>
          <w:szCs w:val="24"/>
          <w:highlight w:val="none"/>
        </w:rPr>
        <w:t>日期：    年   月   日</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 投标人针对报价需要说明的其他文件和说明（格式自拟）。</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24"/>
          <w:szCs w:val="24"/>
          <w:highlight w:val="none"/>
        </w:rPr>
        <w:br w:type="page"/>
      </w:r>
      <w:r>
        <w:rPr>
          <w:rFonts w:hint="eastAsia" w:asciiTheme="majorEastAsia" w:hAnsiTheme="majorEastAsia" w:eastAsiaTheme="majorEastAsia" w:cstheme="majorEastAsia"/>
          <w:color w:val="auto"/>
          <w:kern w:val="2"/>
          <w:sz w:val="32"/>
          <w:szCs w:val="32"/>
          <w:highlight w:val="none"/>
        </w:rPr>
        <w:t xml:space="preserve"> </w:t>
      </w:r>
      <w:bookmarkStart w:id="113" w:name="_Toc24366226"/>
      <w:bookmarkEnd w:id="113"/>
      <w:r>
        <w:rPr>
          <w:rFonts w:hint="eastAsia" w:asciiTheme="majorEastAsia" w:hAnsiTheme="majorEastAsia" w:eastAsiaTheme="majorEastAsia" w:cstheme="majorEastAsia"/>
          <w:color w:val="auto"/>
          <w:kern w:val="2"/>
          <w:sz w:val="32"/>
          <w:szCs w:val="32"/>
          <w:highlight w:val="none"/>
        </w:rPr>
        <w:t>三、资格证明文件</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1.</w:t>
      </w:r>
      <w:r>
        <w:rPr>
          <w:rFonts w:hint="eastAsia" w:asciiTheme="majorEastAsia" w:hAnsiTheme="majorEastAsia" w:eastAsiaTheme="majorEastAsia" w:cstheme="majorEastAsia"/>
          <w:color w:val="auto"/>
          <w:kern w:val="2"/>
          <w:sz w:val="32"/>
          <w:szCs w:val="32"/>
          <w:highlight w:val="none"/>
        </w:rPr>
        <w:tab/>
      </w:r>
      <w:r>
        <w:rPr>
          <w:rFonts w:hint="eastAsia" w:asciiTheme="majorEastAsia" w:hAnsiTheme="majorEastAsia" w:eastAsiaTheme="majorEastAsia" w:cstheme="majorEastAsia"/>
          <w:color w:val="auto"/>
          <w:kern w:val="2"/>
          <w:sz w:val="32"/>
          <w:szCs w:val="32"/>
          <w:highlight w:val="none"/>
        </w:rPr>
        <w:t xml:space="preserve">资格证明文件封面格式：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正本/或副本</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资格证明</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项目名称：</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项目编号：</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7"/>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投标人名称：</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7"/>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投标人地址：</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年  月  日</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2.资格证明文件目录</w:t>
      </w:r>
    </w:p>
    <w:p>
      <w:pPr>
        <w:outlineLvl w:val="1"/>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根据招标文件规定及投标人提供的材料自行编写目录。</w:t>
      </w:r>
      <w:r>
        <w:rPr>
          <w:rFonts w:hint="eastAsia" w:asciiTheme="majorEastAsia" w:hAnsiTheme="majorEastAsia" w:eastAsiaTheme="majorEastAsia" w:cstheme="majorEastAsia"/>
          <w:color w:val="auto"/>
          <w:kern w:val="2"/>
          <w:sz w:val="32"/>
          <w:szCs w:val="32"/>
          <w:highlight w:val="none"/>
        </w:rPr>
        <w:br w:type="page"/>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24"/>
          <w:szCs w:val="24"/>
          <w:highlight w:val="none"/>
        </w:rPr>
        <w:t>3.投标声明</w:t>
      </w:r>
    </w:p>
    <w:p>
      <w:pPr>
        <w:jc w:val="cente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投标声明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我公司参加贵单位组织             项目（项目编号：       ）的政府采购活动。我公司在此郑重声明：</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 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 我公司承诺符合《中华人民共和国政府采购法》第二十二条规定：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 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特此承诺。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注：投标声明必须由法定代表人(负责人或自然人)在规定签章处逐一签字或签章并加盖投标人公章，否则作无效投标处理。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r>
        <w:rPr>
          <w:rFonts w:hint="eastAsia" w:asciiTheme="majorEastAsia" w:hAnsiTheme="majorEastAsia" w:eastAsiaTheme="majorEastAsia" w:cstheme="majorEastAsia"/>
          <w:color w:val="auto"/>
          <w:kern w:val="2"/>
          <w:sz w:val="24"/>
          <w:szCs w:val="24"/>
          <w:highlight w:val="none"/>
          <w:lang w:val="en-US" w:eastAsia="zh-CN"/>
        </w:rPr>
        <w:t xml:space="preserve">                  </w:t>
      </w:r>
      <w:r>
        <w:rPr>
          <w:rFonts w:hint="eastAsia" w:asciiTheme="majorEastAsia" w:hAnsiTheme="majorEastAsia" w:eastAsiaTheme="majorEastAsia" w:cstheme="majorEastAsia"/>
          <w:color w:val="auto"/>
          <w:kern w:val="2"/>
          <w:sz w:val="24"/>
          <w:szCs w:val="24"/>
          <w:highlight w:val="none"/>
        </w:rPr>
        <w:t xml:space="preserve">   法定代表人(负责人或自然人)签字或签章：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投标人公章：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24"/>
          <w:szCs w:val="24"/>
          <w:highlight w:val="none"/>
        </w:rPr>
        <w:t xml:space="preserve">                                                  年    月 </w:t>
      </w:r>
      <w:r>
        <w:rPr>
          <w:rFonts w:hint="eastAsia" w:asciiTheme="majorEastAsia" w:hAnsiTheme="majorEastAsia" w:eastAsiaTheme="majorEastAsia" w:cstheme="majorEastAsia"/>
          <w:color w:val="auto"/>
          <w:kern w:val="2"/>
          <w:sz w:val="32"/>
          <w:szCs w:val="32"/>
          <w:highlight w:val="none"/>
        </w:rPr>
        <w:t xml:space="preserve">   日</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pStyle w:val="19"/>
        <w:outlineLvl w:val="9"/>
        <w:rPr>
          <w:rFonts w:hint="eastAsia"/>
          <w:color w:val="auto"/>
          <w:highlight w:val="none"/>
        </w:rPr>
      </w:pP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rPr>
        <w:t>4</w:t>
      </w:r>
      <w:r>
        <w:rPr>
          <w:rFonts w:hint="eastAsia" w:asciiTheme="majorEastAsia" w:hAnsiTheme="majorEastAsia" w:eastAsiaTheme="majorEastAsia" w:cstheme="majorEastAsia"/>
          <w:color w:val="auto"/>
          <w:kern w:val="2"/>
          <w:sz w:val="24"/>
          <w:szCs w:val="24"/>
          <w:highlight w:val="none"/>
        </w:rPr>
        <w:t>.联合体协议书</w:t>
      </w:r>
    </w:p>
    <w:p>
      <w:pPr>
        <w:pStyle w:val="7"/>
        <w:jc w:val="center"/>
        <w:outlineLvl w:val="0"/>
        <w:rPr>
          <w:rFonts w:hint="eastAsia" w:asciiTheme="majorEastAsia" w:hAnsiTheme="majorEastAsia" w:eastAsiaTheme="majorEastAsia" w:cstheme="majorEastAsia"/>
          <w:b/>
          <w:bCs/>
          <w:color w:val="auto"/>
          <w:kern w:val="2"/>
          <w:sz w:val="24"/>
          <w:szCs w:val="24"/>
          <w:highlight w:val="none"/>
        </w:rPr>
      </w:pPr>
      <w:bookmarkStart w:id="114" w:name="_Toc12048"/>
      <w:r>
        <w:rPr>
          <w:rFonts w:hint="eastAsia" w:asciiTheme="majorEastAsia" w:hAnsiTheme="majorEastAsia" w:eastAsiaTheme="majorEastAsia" w:cstheme="majorEastAsia"/>
          <w:b/>
          <w:bCs/>
          <w:color w:val="auto"/>
          <w:kern w:val="2"/>
          <w:sz w:val="24"/>
          <w:szCs w:val="24"/>
          <w:highlight w:val="none"/>
        </w:rPr>
        <w:t>联合体投标协议书</w:t>
      </w:r>
      <w:bookmarkEnd w:id="114"/>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（所有成员单位名称）自愿组成      （联合体名称）联合体，共同参加      （项目名称）采购项目投标。现就联合体投标事宜订立如下协议。</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1. </w:t>
      </w:r>
      <w:r>
        <w:rPr>
          <w:rFonts w:hint="eastAsia" w:asciiTheme="majorEastAsia" w:hAnsiTheme="majorEastAsia" w:eastAsiaTheme="majorEastAsia" w:cstheme="majorEastAsia"/>
          <w:color w:val="auto"/>
          <w:kern w:val="2"/>
          <w:sz w:val="24"/>
          <w:szCs w:val="24"/>
          <w:highlight w:val="none"/>
        </w:rPr>
        <w:tab/>
      </w:r>
      <w:r>
        <w:rPr>
          <w:rFonts w:hint="eastAsia" w:asciiTheme="majorEastAsia" w:hAnsiTheme="majorEastAsia" w:eastAsiaTheme="majorEastAsia" w:cstheme="majorEastAsia"/>
          <w:color w:val="auto"/>
          <w:kern w:val="2"/>
          <w:sz w:val="24"/>
          <w:szCs w:val="24"/>
          <w:highlight w:val="none"/>
        </w:rPr>
        <w:t xml:space="preserve">   （某成员单位名称）为     （联合体名称）牵头人。</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联合体各成员授权牵头人代表联合体参加投标活动，签署文件及对文件的盖章，提交和接收相关的资料、信息及指示，进行合同磋商活动，负责合同实施阶段的组织和协调工作，以及处理与本投标项目有关的一切事宜。</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3.联合体牵头人在本项目中签署和盖章的一切文件和处理的一切事宜，联合体各成员均予以承认。联合体各成员将严格按照竞争性磋商文件、响应文件和合同的要求全面履行义务，并向采购人承担连带责任。</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4.联合体各成员单位内部的职责分工如下：       。</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5.本协议书自所有成员单位法定代表人或其委托代理人签字或盖单位章之日起生效，合同履行完毕后自动失效。</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6.本协议书一式 </w:t>
      </w:r>
      <w:r>
        <w:rPr>
          <w:rFonts w:hint="eastAsia" w:asciiTheme="majorEastAsia" w:hAnsiTheme="majorEastAsia" w:eastAsiaTheme="majorEastAsia" w:cstheme="majorEastAsia"/>
          <w:color w:val="auto"/>
          <w:kern w:val="2"/>
          <w:sz w:val="24"/>
          <w:szCs w:val="24"/>
          <w:highlight w:val="none"/>
        </w:rPr>
        <w:tab/>
      </w:r>
      <w:r>
        <w:rPr>
          <w:rFonts w:hint="eastAsia" w:asciiTheme="majorEastAsia" w:hAnsiTheme="majorEastAsia" w:eastAsiaTheme="majorEastAsia" w:cstheme="majorEastAsia"/>
          <w:color w:val="auto"/>
          <w:kern w:val="2"/>
          <w:sz w:val="24"/>
          <w:szCs w:val="24"/>
          <w:highlight w:val="none"/>
        </w:rPr>
        <w:t>份，联合体成员和采购人各执一份。</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注：本协议书由法定代表人签字的，应附法定代表人身份证明书；由委托代理人签字的，应附联合体协议签订授权委托书（格式自拟）。</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联合体牵头人名称（盖公章）：</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法定代表人或其委托代理人（签字）：</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联合体成员名称（盖公章）：</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法定代表人或其委托代理人（签字）：</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联合体成员名称（盖公章）：</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法定代表人或其委托代理人（签字）：</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年  </w:t>
      </w:r>
      <w:r>
        <w:rPr>
          <w:rFonts w:hint="eastAsia" w:asciiTheme="majorEastAsia" w:hAnsiTheme="majorEastAsia" w:eastAsiaTheme="majorEastAsia" w:cstheme="majorEastAsia"/>
          <w:color w:val="auto"/>
          <w:kern w:val="2"/>
          <w:sz w:val="24"/>
          <w:szCs w:val="24"/>
          <w:highlight w:val="none"/>
        </w:rPr>
        <w:tab/>
      </w:r>
      <w:r>
        <w:rPr>
          <w:rFonts w:hint="eastAsia" w:asciiTheme="majorEastAsia" w:hAnsiTheme="majorEastAsia" w:eastAsiaTheme="majorEastAsia" w:cstheme="majorEastAsia"/>
          <w:color w:val="auto"/>
          <w:kern w:val="2"/>
          <w:sz w:val="24"/>
          <w:szCs w:val="24"/>
          <w:highlight w:val="none"/>
        </w:rPr>
        <w:t xml:space="preserve">月  </w:t>
      </w:r>
      <w:r>
        <w:rPr>
          <w:rFonts w:hint="eastAsia" w:asciiTheme="majorEastAsia" w:hAnsiTheme="majorEastAsia" w:eastAsiaTheme="majorEastAsia" w:cstheme="majorEastAsia"/>
          <w:color w:val="auto"/>
          <w:kern w:val="2"/>
          <w:sz w:val="24"/>
          <w:szCs w:val="24"/>
          <w:highlight w:val="none"/>
        </w:rPr>
        <w:tab/>
      </w:r>
      <w:r>
        <w:rPr>
          <w:rFonts w:hint="eastAsia" w:asciiTheme="majorEastAsia" w:hAnsiTheme="majorEastAsia" w:eastAsiaTheme="majorEastAsia" w:cstheme="majorEastAsia"/>
          <w:color w:val="auto"/>
          <w:kern w:val="2"/>
          <w:sz w:val="24"/>
          <w:szCs w:val="24"/>
          <w:highlight w:val="none"/>
        </w:rPr>
        <w:t>日</w:t>
      </w:r>
    </w:p>
    <w:p>
      <w:pPr>
        <w:pStyle w:val="7"/>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联合体投标授权委托书</w:t>
      </w:r>
    </w:p>
    <w:p>
      <w:pPr>
        <w:pStyle w:val="7"/>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本授权委托书声明：根据                （牵头人名称）与              （联合体其他成员名称）签订的《联合体投标协议书》的内容，                       （牵头人名称）的法定代表人      （单位负责人）（姓名）现授权      （姓名） 为联合委托代理人，并代表我方全权办理针对上述项目的所有采购程序和环节的具体事务和签署相关文件。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我方对委托代理人的签字事项负全部责任。</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本授权书自签署之日起生效，在撤销授权的书面通知以前，本授权书一直有效。委托代理人在授权书有效期内签署的所有文件不因授权的撤销而失效。</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委托代理人无转委托权，特此委托。</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牵头人法定代表人（单位负责人）（签字）：</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牵头人（盖公章）：</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日期：    年   月   日</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被授权人（签字）：</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日期：    年   月   日</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四、商务文件</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24"/>
          <w:szCs w:val="24"/>
          <w:highlight w:val="none"/>
        </w:rPr>
        <w:t>1.商务文件封面格式：</w:t>
      </w: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正本/或副本</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商务文件</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项目名称：</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项目编号：</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投标人名称：</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投标人地址：</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年  月  日</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2.商务文件目录</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根据招标文件规定及投标人提供的材料自行编写目录。</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 供应商参加本项目无围标串标行为的承诺函</w:t>
      </w: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供应商参加本项目无围标串标行为的承诺函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32"/>
          <w:szCs w:val="32"/>
          <w:highlight w:val="none"/>
        </w:rPr>
        <w:t xml:space="preserve"> </w:t>
      </w:r>
      <w:r>
        <w:rPr>
          <w:rFonts w:hint="eastAsia" w:asciiTheme="majorEastAsia" w:hAnsiTheme="majorEastAsia" w:eastAsiaTheme="majorEastAsia" w:cstheme="majorEastAsia"/>
          <w:color w:val="auto"/>
          <w:kern w:val="2"/>
          <w:sz w:val="24"/>
          <w:szCs w:val="24"/>
          <w:highlight w:val="none"/>
        </w:rPr>
        <w:t>一、我公司承诺无下列相互串通投标的情形：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1.不同投标人的投标文件由同一单位或者个人编制；或不同投标人报名的IP地址一致的；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3.不同的投标人的投标文件载明的项目管理员为同一个人；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4.不同投标人的投标文件异常一致或投标报价呈规律性差异；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5.不同投标人的投标文件相互混装；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6.不同投标人的投标保证金从同一单位或者个人账户转出。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二、我公司承诺无下列恶意串通的情形：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1.供应商直接或者间接从采购人或者采购代理机构处获得其他供应商的相关信息并修改其投标文件或者响应文件；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2.供应商按照采购人或者采购代理机构的授意撤换、修改投标文件或者响应文件；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6.供应商之间商定部分供应商放弃参加政府采购活动或者放弃中标；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7.供应商与采购人或者采购代理机构之间、供应商相互之间，为谋求特定供应商中标或者排斥其他供应商的其他串通行为。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以上情形一经核查属实，我方愿意承担一切后果，并不再寻求任何旨在减轻或免除法律责任的辩解。</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4.法定代表人(负责人或自然人)身份证明</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center"/>
        <w:rPr>
          <w:rFonts w:hint="eastAsia" w:asciiTheme="majorEastAsia" w:hAnsiTheme="majorEastAsia" w:eastAsiaTheme="majorEastAsia" w:cstheme="majorEastAsia"/>
          <w:b/>
          <w:bCs/>
          <w:color w:val="auto"/>
          <w:kern w:val="2"/>
          <w:sz w:val="32"/>
          <w:szCs w:val="32"/>
          <w:highlight w:val="none"/>
        </w:rPr>
      </w:pPr>
    </w:p>
    <w:p>
      <w:pPr>
        <w:jc w:val="center"/>
        <w:rPr>
          <w:rFonts w:hint="eastAsia" w:asciiTheme="majorEastAsia" w:hAnsiTheme="majorEastAsia" w:eastAsiaTheme="majorEastAsia" w:cstheme="majorEastAsia"/>
          <w:b/>
          <w:bCs/>
          <w:color w:val="auto"/>
          <w:kern w:val="2"/>
          <w:sz w:val="32"/>
          <w:szCs w:val="32"/>
          <w:highlight w:val="none"/>
        </w:rPr>
      </w:pPr>
    </w:p>
    <w:p>
      <w:pPr>
        <w:jc w:val="center"/>
        <w:rPr>
          <w:rFonts w:hint="eastAsia" w:asciiTheme="majorEastAsia" w:hAnsiTheme="majorEastAsia" w:eastAsiaTheme="majorEastAsia" w:cstheme="majorEastAsia"/>
          <w:b/>
          <w:bCs/>
          <w:color w:val="auto"/>
          <w:kern w:val="2"/>
          <w:sz w:val="32"/>
          <w:szCs w:val="32"/>
          <w:highlight w:val="none"/>
        </w:rPr>
      </w:pPr>
    </w:p>
    <w:p>
      <w:pPr>
        <w:jc w:val="center"/>
        <w:rPr>
          <w:rFonts w:hint="eastAsia" w:asciiTheme="majorEastAsia" w:hAnsiTheme="majorEastAsia" w:eastAsiaTheme="majorEastAsia" w:cstheme="majorEastAsia"/>
          <w:b/>
          <w:bCs/>
          <w:color w:val="auto"/>
          <w:kern w:val="2"/>
          <w:sz w:val="32"/>
          <w:szCs w:val="32"/>
          <w:highlight w:val="none"/>
        </w:rPr>
      </w:pP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法定代表人(负责人或自然人)身份证明</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投 标 人：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地    址：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成立时间：                 年              月              日</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经营期限：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姓    名：                          性      别：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年    龄：                          职      务：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身份证号码：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系                                             （投标人名称）的法定代表人(负责人或自然人)。</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特此证明。</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附件：法定代表人(负责人或自然人)有效身份证正反面复印件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投标人：                          （盖单位章）</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年        月        日</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注：自然人投标的无需提供</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5.法定代表人(负责人或自然人)授权委托书格式</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法定代表人(负责人或自然人)授权委托书（如有委托时）</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致：采购人名称：</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我       （姓名）系      （投标人名称）的法定代表人(负责人或自然人)，现授权委托本单位在职职工               （姓名）以我方的名义参加              项目的投标活动，并代表我方全权办理针对上述项目的投标、开标、评标、签约等具体事务和签署相关文件。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我方对委托代理人的签字事项负全部责任。</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在撤销授权的书面通知以前，本授权书一直有效。委托代理人在授权书有效期内签署的所有文件不因授权的撤销而失效。</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委托代理人无转委托权，特此委托。</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附：法定代表人(负责人或自然人)身份证明及委托代理人有效身份证正反面复印件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委托代理人签字：                           法定代表人(负责人或自然人)签字或签章：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所在部门职务：                                     职务：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委托代理人身份证号码：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投标人公章：</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年    月    日</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sectPr>
          <w:headerReference r:id="rId3" w:type="default"/>
          <w:footerReference r:id="rId4" w:type="default"/>
          <w:pgSz w:w="11906" w:h="16838"/>
          <w:pgMar w:top="850" w:right="1134" w:bottom="907" w:left="1417" w:header="567" w:footer="907" w:gutter="0"/>
          <w:pgNumType w:fmt="decimal" w:start="0"/>
          <w:cols w:space="0" w:num="1"/>
          <w:docGrid w:type="lines" w:linePitch="286" w:charSpace="0"/>
        </w:sectPr>
      </w:pPr>
    </w:p>
    <w:p>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 xml:space="preserve"> </w:t>
      </w:r>
    </w:p>
    <w:p>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6.商务条款偏离表格式</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tbl>
      <w:tblPr>
        <w:tblStyle w:val="20"/>
        <w:tblW w:w="0" w:type="auto"/>
        <w:tblInd w:w="-119"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510"/>
        <w:gridCol w:w="3334"/>
        <w:gridCol w:w="1334"/>
        <w:gridCol w:w="354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项目</w:t>
            </w:r>
          </w:p>
        </w:tc>
        <w:tc>
          <w:tcPr>
            <w:tcW w:w="333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招标文件商务条款要求</w:t>
            </w:r>
          </w:p>
        </w:tc>
        <w:tc>
          <w:tcPr>
            <w:tcW w:w="133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是否偏离</w:t>
            </w:r>
          </w:p>
        </w:tc>
        <w:tc>
          <w:tcPr>
            <w:tcW w:w="3542"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服务期及地点</w:t>
            </w:r>
          </w:p>
        </w:tc>
        <w:tc>
          <w:tcPr>
            <w:tcW w:w="333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33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3542"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成果文件</w:t>
            </w:r>
          </w:p>
        </w:tc>
        <w:tc>
          <w:tcPr>
            <w:tcW w:w="333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33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3542"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付款条件</w:t>
            </w:r>
          </w:p>
        </w:tc>
        <w:tc>
          <w:tcPr>
            <w:tcW w:w="333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33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3542"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p>
        </w:tc>
        <w:tc>
          <w:tcPr>
            <w:tcW w:w="333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33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3542"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bl>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注：如果招标文件的商务条件小于或大于某个数值标准时，投标文件不得直接复制招标文件需求，投标文件对应内容应当写明商务响应的实际数值，否则按无效投标处理。</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法定代表人(负责人或自然人)或委托代理人签字或签章：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投标人盖公章：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24"/>
          <w:szCs w:val="24"/>
          <w:highlight w:val="none"/>
        </w:rPr>
        <w:t xml:space="preserve">日  期：  </w:t>
      </w: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 xml:space="preserve"> </w:t>
      </w:r>
    </w:p>
    <w:p>
      <w:pPr>
        <w:rPr>
          <w:rFonts w:hint="eastAsia" w:asciiTheme="majorEastAsia" w:hAnsiTheme="majorEastAsia" w:eastAsiaTheme="majorEastAsia" w:cstheme="majorEastAsia"/>
          <w:color w:val="auto"/>
          <w:kern w:val="2"/>
          <w:sz w:val="21"/>
          <w:szCs w:val="21"/>
          <w:highlight w:val="none"/>
        </w:rPr>
      </w:pPr>
      <w:bookmarkStart w:id="115" w:name="_Toc23954131"/>
      <w:bookmarkEnd w:id="115"/>
      <w:bookmarkStart w:id="116" w:name="_Toc19686839"/>
      <w:bookmarkEnd w:id="116"/>
      <w:bookmarkStart w:id="117" w:name="_Toc24366228"/>
      <w:r>
        <w:rPr>
          <w:rFonts w:hint="eastAsia" w:asciiTheme="majorEastAsia" w:hAnsiTheme="majorEastAsia" w:eastAsiaTheme="majorEastAsia" w:cstheme="majorEastAsia"/>
          <w:color w:val="auto"/>
          <w:kern w:val="2"/>
          <w:sz w:val="21"/>
          <w:szCs w:val="21"/>
          <w:highlight w:val="none"/>
        </w:rPr>
        <w:t>五、技术文件格式</w:t>
      </w:r>
      <w:bookmarkEnd w:id="117"/>
    </w:p>
    <w:p>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 xml:space="preserve">1. 技术文件封面格式：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正本/或副本</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技术文件</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项目名称：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项目编号：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投标人名称：</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投标人地址：</w:t>
      </w:r>
    </w:p>
    <w:p>
      <w:pPr>
        <w:pStyle w:val="7"/>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年    月    日</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2. 技术文件目录</w:t>
      </w:r>
    </w:p>
    <w:p>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根据招标文件规定及投标人提供的材料自行编写目录。</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3.技术响应表格式：</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项号</w:t>
            </w:r>
          </w:p>
        </w:tc>
        <w:tc>
          <w:tcPr>
            <w:tcW w:w="2143" w:type="dxa"/>
            <w:tcBorders>
              <w:top w:val="single" w:color="auto" w:sz="4" w:space="0"/>
              <w:left w:val="nil"/>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技术条款</w:t>
            </w:r>
          </w:p>
        </w:tc>
        <w:tc>
          <w:tcPr>
            <w:tcW w:w="1834" w:type="dxa"/>
            <w:tcBorders>
              <w:top w:val="single" w:color="auto" w:sz="4" w:space="0"/>
              <w:left w:val="nil"/>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招标要求</w:t>
            </w:r>
          </w:p>
        </w:tc>
        <w:tc>
          <w:tcPr>
            <w:tcW w:w="2181" w:type="dxa"/>
            <w:tcBorders>
              <w:top w:val="single" w:color="auto" w:sz="4" w:space="0"/>
              <w:left w:val="nil"/>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投标响应</w:t>
            </w:r>
          </w:p>
        </w:tc>
        <w:tc>
          <w:tcPr>
            <w:tcW w:w="1934" w:type="dxa"/>
            <w:tcBorders>
              <w:top w:val="single" w:color="auto" w:sz="4" w:space="0"/>
              <w:left w:val="nil"/>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43" w:type="dxa"/>
            <w:tcBorders>
              <w:top w:val="single" w:color="auto" w:sz="4" w:space="0"/>
              <w:left w:val="nil"/>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p>
        </w:tc>
        <w:tc>
          <w:tcPr>
            <w:tcW w:w="2181" w:type="dxa"/>
            <w:tcBorders>
              <w:top w:val="single" w:color="auto" w:sz="4" w:space="0"/>
              <w:left w:val="nil"/>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p>
        </w:tc>
        <w:tc>
          <w:tcPr>
            <w:tcW w:w="1934" w:type="dxa"/>
            <w:tcBorders>
              <w:top w:val="single" w:color="auto" w:sz="4" w:space="0"/>
              <w:left w:val="nil"/>
              <w:bottom w:val="single" w:color="auto" w:sz="4" w:space="0"/>
              <w:right w:val="single" w:color="auto" w:sz="4" w:space="0"/>
            </w:tcBorders>
            <w:shd w:val="clear" w:color="auto" w:fill="auto"/>
            <w:vAlign w:val="center"/>
          </w:tcPr>
          <w:p>
            <w:pPr>
              <w:pStyle w:val="12"/>
              <w:rPr>
                <w:rFonts w:hint="eastAsia" w:asciiTheme="majorEastAsia" w:hAnsiTheme="majorEastAsia" w:eastAsiaTheme="majorEastAsia" w:cstheme="maj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43"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81"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9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43"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81"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9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43"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81"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9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43"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81"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9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43"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81"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9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43"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81"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9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43"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81"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9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43"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81"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9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43"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8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2181"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c>
          <w:tcPr>
            <w:tcW w:w="1934" w:type="dxa"/>
            <w:tcBorders>
              <w:top w:val="single" w:color="auto" w:sz="4" w:space="0"/>
              <w:left w:val="nil"/>
              <w:bottom w:val="single" w:color="auto" w:sz="4" w:space="0"/>
              <w:right w:val="single" w:color="auto" w:sz="4" w:space="0"/>
            </w:tcBorders>
            <w:shd w:val="clear" w:color="auto" w:fill="auto"/>
            <w:vAlign w:val="top"/>
          </w:tcPr>
          <w:p>
            <w:pPr>
              <w:pStyle w:val="12"/>
              <w:rPr>
                <w:rFonts w:hint="eastAsia" w:asciiTheme="majorEastAsia" w:hAnsiTheme="majorEastAsia" w:eastAsiaTheme="majorEastAsia" w:cstheme="majorEastAsia"/>
                <w:color w:val="auto"/>
                <w:kern w:val="0"/>
                <w:sz w:val="24"/>
                <w:szCs w:val="24"/>
                <w:highlight w:val="none"/>
              </w:rPr>
            </w:pPr>
          </w:p>
        </w:tc>
      </w:tr>
    </w:tbl>
    <w:p>
      <w:pPr>
        <w:pStyle w:val="9"/>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注：投标人应根据投标内容的技术参数指标、对照招标文件要求在“偏离情况”栏注明“正偏离”、“负偏离”或“无偏离”。</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法定代表人(负责人或自然人)或被授权人签字或签章：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投标人盖公章：                          日 期：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投标说明：若此内容由多页构成的，应逐页加盖投标人公章并由法定代表人(负责人或自然人)（或被授权人）签字或签章，否则该投标无效。</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4. 项目实施人员一览表格式</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项目实施人员（拟投入人员及其技术资格）一览表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0"/>
        <w:gridCol w:w="1474"/>
        <w:gridCol w:w="2238"/>
        <w:gridCol w:w="1096"/>
        <w:gridCol w:w="1088"/>
        <w:gridCol w:w="1088"/>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序号</w:t>
            </w:r>
          </w:p>
        </w:tc>
        <w:tc>
          <w:tcPr>
            <w:tcW w:w="1474" w:type="dxa"/>
            <w:vMerge w:val="restart"/>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姓名</w:t>
            </w:r>
          </w:p>
        </w:tc>
        <w:tc>
          <w:tcPr>
            <w:tcW w:w="2238" w:type="dxa"/>
            <w:vMerge w:val="restart"/>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身份证</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号码</w:t>
            </w:r>
          </w:p>
        </w:tc>
        <w:tc>
          <w:tcPr>
            <w:tcW w:w="1096" w:type="dxa"/>
            <w:vMerge w:val="restart"/>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年龄</w:t>
            </w:r>
          </w:p>
        </w:tc>
        <w:tc>
          <w:tcPr>
            <w:tcW w:w="2176"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职称</w:t>
            </w:r>
          </w:p>
        </w:tc>
        <w:tc>
          <w:tcPr>
            <w:tcW w:w="88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highlight w:val="none"/>
              </w:rPr>
            </w:pPr>
          </w:p>
        </w:tc>
        <w:tc>
          <w:tcPr>
            <w:tcW w:w="1474" w:type="dxa"/>
            <w:vMerge w:val="continue"/>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highlight w:val="none"/>
              </w:rPr>
            </w:pPr>
          </w:p>
        </w:tc>
        <w:tc>
          <w:tcPr>
            <w:tcW w:w="2238" w:type="dxa"/>
            <w:vMerge w:val="continue"/>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highlight w:val="none"/>
              </w:rPr>
            </w:pPr>
          </w:p>
        </w:tc>
        <w:tc>
          <w:tcPr>
            <w:tcW w:w="1096" w:type="dxa"/>
            <w:vMerge w:val="continue"/>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中级</w:t>
            </w:r>
          </w:p>
        </w:tc>
        <w:tc>
          <w:tcPr>
            <w:tcW w:w="1088"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高级</w:t>
            </w:r>
          </w:p>
        </w:tc>
        <w:tc>
          <w:tcPr>
            <w:tcW w:w="88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7</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8</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9</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10</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11</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12</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p>
        </w:tc>
        <w:tc>
          <w:tcPr>
            <w:tcW w:w="1474"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223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96"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1088"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c>
          <w:tcPr>
            <w:tcW w:w="889" w:type="dxa"/>
            <w:tcBorders>
              <w:top w:val="single" w:color="auto" w:sz="4" w:space="0"/>
              <w:left w:val="nil"/>
              <w:bottom w:val="single" w:color="auto" w:sz="4" w:space="0"/>
              <w:right w:val="single" w:color="auto" w:sz="4" w:space="0"/>
            </w:tcBorders>
            <w:shd w:val="clear" w:color="auto" w:fill="auto"/>
            <w:vAlign w:val="top"/>
          </w:tcPr>
          <w:p>
            <w:pPr>
              <w:rPr>
                <w:rFonts w:hint="eastAsia" w:asciiTheme="majorEastAsia" w:hAnsiTheme="majorEastAsia" w:eastAsiaTheme="majorEastAsia" w:cstheme="majorEastAsia"/>
                <w:color w:val="auto"/>
                <w:kern w:val="2"/>
                <w:sz w:val="24"/>
                <w:szCs w:val="24"/>
                <w:highlight w:val="none"/>
              </w:rPr>
            </w:pPr>
          </w:p>
        </w:tc>
      </w:tr>
    </w:tbl>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投标人盖公章：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法定代表人(负责人或自然人)或委托代理人签字或签章：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日          期：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br w:type="page"/>
      </w:r>
    </w:p>
    <w:p>
      <w:pPr>
        <w:rPr>
          <w:rFonts w:hint="eastAsia" w:asciiTheme="majorEastAsia" w:hAnsiTheme="majorEastAsia" w:eastAsiaTheme="majorEastAsia" w:cstheme="majorEastAsia"/>
          <w:color w:val="auto"/>
          <w:kern w:val="2"/>
          <w:sz w:val="24"/>
          <w:szCs w:val="24"/>
          <w:highlight w:val="none"/>
        </w:rPr>
      </w:pP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5.技术方案</w:t>
      </w: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技术方案</w:t>
      </w:r>
    </w:p>
    <w:p>
      <w:pPr>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由投标人根据实际情况自行编写。</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投标人（盖公章）：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法定代表人(负责人或自然人)或委托代理人（签字或签章）：                   </w:t>
      </w:r>
    </w:p>
    <w:p>
      <w:pPr>
        <w:pStyle w:val="1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24"/>
          <w:szCs w:val="24"/>
          <w:highlight w:val="none"/>
        </w:rPr>
        <w:t xml:space="preserve">日期          </w:t>
      </w:r>
      <w:r>
        <w:rPr>
          <w:rFonts w:hint="eastAsia" w:asciiTheme="majorEastAsia" w:hAnsiTheme="majorEastAsia" w:eastAsiaTheme="majorEastAsia" w:cstheme="majorEastAsia"/>
          <w:color w:val="auto"/>
          <w:kern w:val="0"/>
          <w:sz w:val="32"/>
          <w:szCs w:val="32"/>
          <w:highlight w:val="none"/>
        </w:rPr>
        <w:t xml:space="preserve">                                 </w:t>
      </w:r>
    </w:p>
    <w:p>
      <w:pPr>
        <w:pStyle w:val="12"/>
        <w:rPr>
          <w:rFonts w:hint="eastAsia" w:asciiTheme="majorEastAsia" w:hAnsiTheme="majorEastAsia" w:eastAsiaTheme="majorEastAsia" w:cstheme="majorEastAsia"/>
          <w:color w:val="auto"/>
          <w:kern w:val="0"/>
          <w:sz w:val="32"/>
          <w:szCs w:val="32"/>
          <w:highlight w:val="none"/>
        </w:rPr>
      </w:pPr>
      <w:r>
        <w:rPr>
          <w:rFonts w:hint="eastAsia" w:asciiTheme="majorEastAsia" w:hAnsiTheme="majorEastAsia" w:eastAsiaTheme="majorEastAsia" w:cstheme="majorEastAsia"/>
          <w:color w:val="auto"/>
          <w:kern w:val="0"/>
          <w:sz w:val="32"/>
          <w:szCs w:val="32"/>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投标说明：若此方案由多页构成的，应逐页加盖投标人法人公章并由法定代表人(负责人或自然人)（或委托代理人）签字或签章。</w:t>
      </w:r>
    </w:p>
    <w:p>
      <w:pPr>
        <w:rPr>
          <w:rFonts w:hint="eastAsia" w:asciiTheme="majorEastAsia" w:hAnsiTheme="majorEastAsia" w:eastAsiaTheme="majorEastAsia" w:cstheme="majorEastAsia"/>
          <w:color w:val="auto"/>
          <w:kern w:val="2"/>
          <w:sz w:val="24"/>
          <w:szCs w:val="24"/>
          <w:highlight w:val="none"/>
        </w:rPr>
        <w:sectPr>
          <w:pgSz w:w="11906" w:h="16838"/>
          <w:pgMar w:top="1134" w:right="1247" w:bottom="1134" w:left="1247" w:header="851" w:footer="992" w:gutter="0"/>
          <w:pgNumType w:fmt="decimal"/>
          <w:cols w:space="0" w:num="1"/>
          <w:docGrid w:type="lines" w:linePitch="312" w:charSpace="0"/>
        </w:sectPr>
      </w:pP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 投标人的业绩、信誉、奖项证明文件：</w:t>
      </w:r>
    </w:p>
    <w:p>
      <w:pPr>
        <w:pStyle w:val="16"/>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投标人的业绩一览表：</w:t>
      </w:r>
    </w:p>
    <w:tbl>
      <w:tblPr>
        <w:tblStyle w:val="20"/>
        <w:tblW w:w="0" w:type="auto"/>
        <w:tblInd w:w="108" w:type="dxa"/>
        <w:shd w:val="clear" w:color="auto" w:fill="auto"/>
        <w:tblLayout w:type="fixed"/>
        <w:tblCellMar>
          <w:top w:w="0" w:type="dxa"/>
          <w:left w:w="108" w:type="dxa"/>
          <w:bottom w:w="0" w:type="dxa"/>
          <w:right w:w="108" w:type="dxa"/>
        </w:tblCellMar>
      </w:tblPr>
      <w:tblGrid>
        <w:gridCol w:w="906"/>
        <w:gridCol w:w="2068"/>
        <w:gridCol w:w="3248"/>
        <w:gridCol w:w="1858"/>
        <w:gridCol w:w="1559"/>
        <w:gridCol w:w="2127"/>
        <w:gridCol w:w="2693"/>
      </w:tblGrid>
      <w:tr>
        <w:tblPrEx>
          <w:tblCellMar>
            <w:top w:w="0" w:type="dxa"/>
            <w:left w:w="108" w:type="dxa"/>
            <w:bottom w:w="0" w:type="dxa"/>
            <w:right w:w="108" w:type="dxa"/>
          </w:tblCellMar>
        </w:tblPrEx>
        <w:trPr>
          <w:cantSplit/>
          <w:trHeight w:val="312" w:hRule="atLeast"/>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序号</w:t>
            </w:r>
          </w:p>
        </w:tc>
        <w:tc>
          <w:tcPr>
            <w:tcW w:w="2068" w:type="dxa"/>
            <w:vMerge w:val="restart"/>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采购单位名称</w:t>
            </w:r>
          </w:p>
        </w:tc>
        <w:tc>
          <w:tcPr>
            <w:tcW w:w="3248" w:type="dxa"/>
            <w:vMerge w:val="restart"/>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项目名称</w:t>
            </w:r>
          </w:p>
        </w:tc>
        <w:tc>
          <w:tcPr>
            <w:tcW w:w="1858" w:type="dxa"/>
            <w:vMerge w:val="restart"/>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采购数量</w:t>
            </w:r>
          </w:p>
        </w:tc>
        <w:tc>
          <w:tcPr>
            <w:tcW w:w="1559" w:type="dxa"/>
            <w:vMerge w:val="restart"/>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单价</w:t>
            </w:r>
          </w:p>
        </w:tc>
        <w:tc>
          <w:tcPr>
            <w:tcW w:w="2127" w:type="dxa"/>
            <w:vMerge w:val="restart"/>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合同金额</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（万元）</w:t>
            </w:r>
          </w:p>
        </w:tc>
        <w:tc>
          <w:tcPr>
            <w:tcW w:w="2693" w:type="dxa"/>
            <w:vMerge w:val="restart"/>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采购单位联系人及</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联系电话</w:t>
            </w:r>
          </w:p>
        </w:tc>
      </w:tr>
      <w:tr>
        <w:tblPrEx>
          <w:tblCellMar>
            <w:top w:w="0" w:type="dxa"/>
            <w:left w:w="108" w:type="dxa"/>
            <w:bottom w:w="0" w:type="dxa"/>
            <w:right w:w="108" w:type="dxa"/>
          </w:tblCellMar>
        </w:tblPrEx>
        <w:trPr>
          <w:cantSplit/>
          <w:trHeight w:val="312"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c>
          <w:tcPr>
            <w:tcW w:w="2068"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c>
          <w:tcPr>
            <w:tcW w:w="3248"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c>
          <w:tcPr>
            <w:tcW w:w="1858"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c>
          <w:tcPr>
            <w:tcW w:w="2127"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c>
          <w:tcPr>
            <w:tcW w:w="2693"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r>
      <w:tr>
        <w:tblPrEx>
          <w:tblCellMar>
            <w:top w:w="0" w:type="dxa"/>
            <w:left w:w="108" w:type="dxa"/>
            <w:bottom w:w="0" w:type="dxa"/>
            <w:right w:w="108" w:type="dxa"/>
          </w:tblCellMar>
        </w:tblPrEx>
        <w:trPr>
          <w:trHeight w:val="676"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06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324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185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1559"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127"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693"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r>
      <w:tr>
        <w:tblPrEx>
          <w:tblCellMar>
            <w:top w:w="0" w:type="dxa"/>
            <w:left w:w="108" w:type="dxa"/>
            <w:bottom w:w="0" w:type="dxa"/>
            <w:right w:w="108" w:type="dxa"/>
          </w:tblCellMar>
        </w:tblPrEx>
        <w:tc>
          <w:tcPr>
            <w:tcW w:w="90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06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324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185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1559"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127"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693"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r>
      <w:tr>
        <w:tblPrEx>
          <w:tblCellMar>
            <w:top w:w="0" w:type="dxa"/>
            <w:left w:w="108" w:type="dxa"/>
            <w:bottom w:w="0" w:type="dxa"/>
            <w:right w:w="108" w:type="dxa"/>
          </w:tblCellMar>
        </w:tblPrEx>
        <w:trPr>
          <w:trHeight w:val="71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06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324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185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1559"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127"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693"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r>
      <w:tr>
        <w:tblPrEx>
          <w:tblCellMar>
            <w:top w:w="0" w:type="dxa"/>
            <w:left w:w="108" w:type="dxa"/>
            <w:bottom w:w="0" w:type="dxa"/>
            <w:right w:w="108" w:type="dxa"/>
          </w:tblCellMar>
        </w:tblPrEx>
        <w:tc>
          <w:tcPr>
            <w:tcW w:w="90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06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324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185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1559"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127"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693"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r>
      <w:tr>
        <w:tblPrEx>
          <w:tblCellMar>
            <w:top w:w="0" w:type="dxa"/>
            <w:left w:w="108" w:type="dxa"/>
            <w:bottom w:w="0" w:type="dxa"/>
            <w:right w:w="108" w:type="dxa"/>
          </w:tblCellMar>
        </w:tblPrEx>
        <w:tc>
          <w:tcPr>
            <w:tcW w:w="90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06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324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185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1559"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127"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693"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r>
    </w:tbl>
    <w:p>
      <w:pPr>
        <w:pStyle w:val="19"/>
        <w:jc w:val="left"/>
        <w:rPr>
          <w:rFonts w:hint="eastAsia" w:asciiTheme="majorEastAsia" w:hAnsiTheme="majorEastAsia" w:eastAsiaTheme="majorEastAsia" w:cstheme="majorEastAsia"/>
          <w:b/>
          <w:color w:val="auto"/>
          <w:kern w:val="2"/>
          <w:sz w:val="24"/>
          <w:szCs w:val="24"/>
          <w:highlight w:val="none"/>
        </w:rPr>
      </w:pPr>
      <w:bookmarkStart w:id="118" w:name="_Toc13664"/>
      <w:bookmarkStart w:id="119" w:name="_Toc825"/>
      <w:bookmarkStart w:id="120" w:name="_Toc13652"/>
      <w:r>
        <w:rPr>
          <w:rFonts w:hint="eastAsia" w:asciiTheme="majorEastAsia" w:hAnsiTheme="majorEastAsia" w:eastAsiaTheme="majorEastAsia" w:cstheme="majorEastAsia"/>
          <w:b/>
          <w:color w:val="auto"/>
          <w:kern w:val="2"/>
          <w:sz w:val="24"/>
          <w:szCs w:val="24"/>
          <w:highlight w:val="none"/>
        </w:rPr>
        <w:t>法定代表人(负责人或自然人)或被授权人（签字或签章）：</w:t>
      </w:r>
      <w:bookmarkEnd w:id="118"/>
      <w:bookmarkEnd w:id="119"/>
      <w:bookmarkEnd w:id="120"/>
      <w:r>
        <w:rPr>
          <w:rFonts w:hint="eastAsia" w:asciiTheme="majorEastAsia" w:hAnsiTheme="majorEastAsia" w:eastAsiaTheme="majorEastAsia" w:cstheme="majorEastAsia"/>
          <w:b/>
          <w:color w:val="auto"/>
          <w:kern w:val="2"/>
          <w:sz w:val="24"/>
          <w:szCs w:val="24"/>
          <w:highlight w:val="none"/>
        </w:rPr>
        <w:t xml:space="preserve">     </w:t>
      </w:r>
    </w:p>
    <w:p>
      <w:pPr>
        <w:jc w:val="left"/>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投标人公章：                                                                            </w:t>
      </w:r>
    </w:p>
    <w:p>
      <w:pPr>
        <w:ind w:firstLine="11040" w:firstLineChars="4600"/>
        <w:jc w:val="left"/>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年    月    日</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32"/>
          <w:szCs w:val="32"/>
          <w:highlight w:val="none"/>
        </w:rPr>
        <w:t xml:space="preserve"> </w:t>
      </w:r>
      <w:r>
        <w:rPr>
          <w:rFonts w:hint="eastAsia" w:asciiTheme="majorEastAsia" w:hAnsiTheme="majorEastAsia" w:eastAsiaTheme="majorEastAsia" w:cstheme="majorEastAsia"/>
          <w:color w:val="auto"/>
          <w:kern w:val="2"/>
          <w:sz w:val="24"/>
          <w:szCs w:val="24"/>
          <w:highlight w:val="none"/>
        </w:rPr>
        <w:t>注：须提供合同证明复印件并加盖公章，原件备查。</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center"/>
        <w:rPr>
          <w:rFonts w:hint="eastAsia" w:asciiTheme="majorEastAsia" w:hAnsiTheme="majorEastAsia" w:eastAsiaTheme="majorEastAsia" w:cstheme="majorEastAsia"/>
          <w:b/>
          <w:bCs/>
          <w:color w:val="auto"/>
          <w:kern w:val="2"/>
          <w:sz w:val="32"/>
          <w:szCs w:val="32"/>
          <w:highlight w:val="none"/>
        </w:rPr>
      </w:pPr>
    </w:p>
    <w:p>
      <w:pPr>
        <w:pStyle w:val="16"/>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投标人的信誉、奖项一览表：</w:t>
      </w:r>
    </w:p>
    <w:tbl>
      <w:tblPr>
        <w:tblStyle w:val="20"/>
        <w:tblW w:w="0" w:type="auto"/>
        <w:tblInd w:w="108" w:type="dxa"/>
        <w:shd w:val="clear" w:color="auto" w:fill="auto"/>
        <w:tblLayout w:type="fixed"/>
        <w:tblCellMar>
          <w:top w:w="0" w:type="dxa"/>
          <w:left w:w="108" w:type="dxa"/>
          <w:bottom w:w="0" w:type="dxa"/>
          <w:right w:w="108" w:type="dxa"/>
        </w:tblCellMar>
      </w:tblPr>
      <w:tblGrid>
        <w:gridCol w:w="749"/>
        <w:gridCol w:w="5738"/>
        <w:gridCol w:w="5562"/>
        <w:gridCol w:w="2268"/>
      </w:tblGrid>
      <w:tr>
        <w:tblPrEx>
          <w:tblCellMar>
            <w:top w:w="0" w:type="dxa"/>
            <w:left w:w="108" w:type="dxa"/>
            <w:bottom w:w="0" w:type="dxa"/>
            <w:right w:w="108" w:type="dxa"/>
          </w:tblCellMar>
        </w:tblPrEx>
        <w:trPr>
          <w:cantSplit/>
          <w:trHeight w:val="487"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序号</w:t>
            </w:r>
          </w:p>
        </w:tc>
        <w:tc>
          <w:tcPr>
            <w:tcW w:w="5738" w:type="dxa"/>
            <w:vMerge w:val="restart"/>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信誉、奖项名称</w:t>
            </w:r>
          </w:p>
        </w:tc>
        <w:tc>
          <w:tcPr>
            <w:tcW w:w="5562" w:type="dxa"/>
            <w:vMerge w:val="restart"/>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获得信誉、奖项时间</w:t>
            </w:r>
          </w:p>
        </w:tc>
        <w:tc>
          <w:tcPr>
            <w:tcW w:w="2268" w:type="dxa"/>
            <w:vMerge w:val="restart"/>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备注</w:t>
            </w:r>
          </w:p>
        </w:tc>
      </w:tr>
      <w:tr>
        <w:tblPrEx>
          <w:tblCellMar>
            <w:top w:w="0" w:type="dxa"/>
            <w:left w:w="108" w:type="dxa"/>
            <w:bottom w:w="0" w:type="dxa"/>
            <w:right w:w="108" w:type="dxa"/>
          </w:tblCellMar>
        </w:tblPrEx>
        <w:trPr>
          <w:cantSplit/>
          <w:trHeight w:val="521"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c>
          <w:tcPr>
            <w:tcW w:w="5738"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c>
          <w:tcPr>
            <w:tcW w:w="5562"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c>
          <w:tcPr>
            <w:tcW w:w="2268"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auto"/>
                <w:sz w:val="32"/>
                <w:szCs w:val="32"/>
                <w:highlight w:val="none"/>
              </w:rPr>
            </w:pPr>
          </w:p>
        </w:tc>
      </w:tr>
      <w:tr>
        <w:tblPrEx>
          <w:tblCellMar>
            <w:top w:w="0" w:type="dxa"/>
            <w:left w:w="108" w:type="dxa"/>
            <w:bottom w:w="0" w:type="dxa"/>
            <w:right w:w="108" w:type="dxa"/>
          </w:tblCellMar>
        </w:tblPrEx>
        <w:trPr>
          <w:trHeight w:val="64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573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5562"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26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r>
      <w:tr>
        <w:tblPrEx>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573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5562"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26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r>
      <w:tr>
        <w:tblPrEx>
          <w:tblCellMar>
            <w:top w:w="0" w:type="dxa"/>
            <w:left w:w="108" w:type="dxa"/>
            <w:bottom w:w="0" w:type="dxa"/>
            <w:right w:w="108" w:type="dxa"/>
          </w:tblCellMar>
        </w:tblPrEx>
        <w:trPr>
          <w:trHeight w:val="71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573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5562"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26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r>
      <w:tr>
        <w:tblPrEx>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573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5562"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26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r>
      <w:tr>
        <w:tblPrEx>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573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5562"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c>
          <w:tcPr>
            <w:tcW w:w="2268" w:type="dxa"/>
            <w:tcBorders>
              <w:top w:val="single" w:color="000000" w:sz="4" w:space="0"/>
              <w:left w:val="nil"/>
              <w:bottom w:val="single" w:color="000000" w:sz="4" w:space="0"/>
              <w:right w:val="single" w:color="000000" w:sz="4" w:space="0"/>
            </w:tcBorders>
            <w:shd w:val="clear" w:color="auto" w:fill="auto"/>
            <w:vAlign w:val="top"/>
          </w:tcPr>
          <w:p>
            <w:pPr>
              <w:rPr>
                <w:rFonts w:hint="eastAsia" w:asciiTheme="majorEastAsia" w:hAnsiTheme="majorEastAsia" w:eastAsiaTheme="majorEastAsia" w:cstheme="majorEastAsia"/>
                <w:color w:val="auto"/>
                <w:kern w:val="2"/>
                <w:sz w:val="32"/>
                <w:szCs w:val="32"/>
                <w:highlight w:val="none"/>
              </w:rPr>
            </w:pPr>
          </w:p>
        </w:tc>
      </w:tr>
    </w:tbl>
    <w:p>
      <w:pPr>
        <w:pStyle w:val="19"/>
        <w:jc w:val="left"/>
        <w:rPr>
          <w:rFonts w:hint="eastAsia" w:asciiTheme="majorEastAsia" w:hAnsiTheme="majorEastAsia" w:eastAsiaTheme="majorEastAsia" w:cstheme="majorEastAsia"/>
          <w:b/>
          <w:color w:val="auto"/>
          <w:kern w:val="2"/>
          <w:sz w:val="24"/>
          <w:szCs w:val="24"/>
          <w:highlight w:val="none"/>
        </w:rPr>
      </w:pPr>
      <w:bookmarkStart w:id="121" w:name="_Toc514623520"/>
      <w:bookmarkEnd w:id="121"/>
      <w:bookmarkStart w:id="122" w:name="_Toc21714"/>
      <w:bookmarkStart w:id="123" w:name="_Toc13046"/>
      <w:bookmarkStart w:id="124" w:name="_Toc18641"/>
      <w:r>
        <w:rPr>
          <w:rFonts w:hint="eastAsia" w:asciiTheme="majorEastAsia" w:hAnsiTheme="majorEastAsia" w:eastAsiaTheme="majorEastAsia" w:cstheme="majorEastAsia"/>
          <w:b/>
          <w:color w:val="auto"/>
          <w:kern w:val="2"/>
          <w:sz w:val="24"/>
          <w:szCs w:val="24"/>
          <w:highlight w:val="none"/>
        </w:rPr>
        <w:t>法定代表人(负责人或自然人)或被授权人（签字或签章）：</w:t>
      </w:r>
      <w:bookmarkEnd w:id="122"/>
      <w:bookmarkEnd w:id="123"/>
      <w:bookmarkEnd w:id="124"/>
      <w:r>
        <w:rPr>
          <w:rFonts w:hint="eastAsia" w:asciiTheme="majorEastAsia" w:hAnsiTheme="majorEastAsia" w:eastAsiaTheme="majorEastAsia" w:cstheme="majorEastAsia"/>
          <w:b/>
          <w:color w:val="auto"/>
          <w:kern w:val="2"/>
          <w:sz w:val="24"/>
          <w:szCs w:val="24"/>
          <w:highlight w:val="none"/>
        </w:rPr>
        <w:t xml:space="preserve">     </w:t>
      </w:r>
    </w:p>
    <w:p>
      <w:pPr>
        <w:pStyle w:val="19"/>
        <w:jc w:val="left"/>
        <w:rPr>
          <w:rFonts w:hint="eastAsia" w:asciiTheme="majorEastAsia" w:hAnsiTheme="majorEastAsia" w:eastAsiaTheme="majorEastAsia" w:cstheme="majorEastAsia"/>
          <w:b/>
          <w:color w:val="auto"/>
          <w:kern w:val="2"/>
          <w:sz w:val="24"/>
          <w:szCs w:val="24"/>
          <w:highlight w:val="none"/>
        </w:rPr>
      </w:pPr>
      <w:bookmarkStart w:id="125" w:name="_Toc19282"/>
      <w:bookmarkStart w:id="126" w:name="_Toc23870"/>
      <w:r>
        <w:rPr>
          <w:rFonts w:hint="eastAsia" w:asciiTheme="majorEastAsia" w:hAnsiTheme="majorEastAsia" w:eastAsiaTheme="majorEastAsia" w:cstheme="majorEastAsia"/>
          <w:b/>
          <w:color w:val="auto"/>
          <w:kern w:val="2"/>
          <w:sz w:val="24"/>
          <w:szCs w:val="24"/>
          <w:highlight w:val="none"/>
        </w:rPr>
        <w:t xml:space="preserve">投标人公章：                            </w:t>
      </w:r>
      <w:r>
        <w:rPr>
          <w:rFonts w:hint="eastAsia" w:asciiTheme="majorEastAsia" w:hAnsiTheme="majorEastAsia" w:eastAsiaTheme="majorEastAsia" w:cstheme="majorEastAsia"/>
          <w:b/>
          <w:color w:val="auto"/>
          <w:kern w:val="2"/>
          <w:sz w:val="24"/>
          <w:szCs w:val="24"/>
          <w:highlight w:val="none"/>
          <w:lang w:val="en-US" w:eastAsia="zh-CN"/>
        </w:rPr>
        <w:t xml:space="preserve">                              </w:t>
      </w:r>
      <w:r>
        <w:rPr>
          <w:rFonts w:hint="eastAsia" w:asciiTheme="majorEastAsia" w:hAnsiTheme="majorEastAsia" w:eastAsiaTheme="majorEastAsia" w:cstheme="majorEastAsia"/>
          <w:b/>
          <w:color w:val="auto"/>
          <w:kern w:val="2"/>
          <w:sz w:val="24"/>
          <w:szCs w:val="24"/>
          <w:highlight w:val="none"/>
        </w:rPr>
        <w:t xml:space="preserve"> 年    月    日</w:t>
      </w:r>
      <w:bookmarkEnd w:id="125"/>
      <w:bookmarkEnd w:id="126"/>
    </w:p>
    <w:p>
      <w:pPr>
        <w:pStyle w:val="19"/>
        <w:jc w:val="left"/>
        <w:rPr>
          <w:rFonts w:hint="eastAsia" w:asciiTheme="majorEastAsia" w:hAnsiTheme="majorEastAsia" w:eastAsiaTheme="majorEastAsia" w:cstheme="majorEastAsia"/>
          <w:b/>
          <w:color w:val="auto"/>
          <w:kern w:val="2"/>
          <w:sz w:val="24"/>
          <w:szCs w:val="24"/>
          <w:highlight w:val="none"/>
        </w:rPr>
      </w:pPr>
      <w:r>
        <w:rPr>
          <w:rFonts w:hint="eastAsia" w:asciiTheme="majorEastAsia" w:hAnsiTheme="majorEastAsia" w:eastAsiaTheme="majorEastAsia" w:cstheme="majorEastAsia"/>
          <w:b/>
          <w:color w:val="auto"/>
          <w:kern w:val="2"/>
          <w:sz w:val="24"/>
          <w:szCs w:val="24"/>
          <w:highlight w:val="none"/>
        </w:rPr>
        <w:t xml:space="preserve"> </w:t>
      </w:r>
      <w:bookmarkStart w:id="127" w:name="_Toc514623521"/>
      <w:bookmarkEnd w:id="127"/>
      <w:bookmarkStart w:id="128" w:name="_Toc20790"/>
      <w:bookmarkStart w:id="129" w:name="_Toc29486"/>
      <w:bookmarkStart w:id="130" w:name="_Toc22020"/>
      <w:bookmarkStart w:id="131" w:name="_Toc336"/>
      <w:r>
        <w:rPr>
          <w:rFonts w:hint="eastAsia" w:asciiTheme="majorEastAsia" w:hAnsiTheme="majorEastAsia" w:eastAsiaTheme="majorEastAsia" w:cstheme="majorEastAsia"/>
          <w:b/>
          <w:color w:val="auto"/>
          <w:kern w:val="2"/>
          <w:sz w:val="24"/>
          <w:szCs w:val="24"/>
          <w:highlight w:val="none"/>
        </w:rPr>
        <w:t>注：须提供获奖证书及相关证明材料复印件并加盖公章，原件备查。</w:t>
      </w:r>
      <w:bookmarkEnd w:id="128"/>
      <w:bookmarkEnd w:id="129"/>
      <w:bookmarkEnd w:id="130"/>
      <w:bookmarkEnd w:id="131"/>
    </w:p>
    <w:p>
      <w:pPr>
        <w:pStyle w:val="19"/>
        <w:jc w:val="left"/>
        <w:outlineLvl w:val="9"/>
        <w:rPr>
          <w:rFonts w:hint="eastAsia" w:asciiTheme="majorEastAsia" w:hAnsiTheme="majorEastAsia" w:eastAsiaTheme="majorEastAsia" w:cstheme="majorEastAsia"/>
          <w:b/>
          <w:color w:val="auto"/>
          <w:kern w:val="2"/>
          <w:sz w:val="24"/>
          <w:szCs w:val="24"/>
          <w:highlight w:val="none"/>
        </w:rPr>
        <w:sectPr>
          <w:pgSz w:w="16838" w:h="11906" w:orient="landscape"/>
          <w:pgMar w:top="1247" w:right="1134" w:bottom="1247" w:left="1134" w:header="851" w:footer="992" w:gutter="0"/>
          <w:pgNumType w:fmt="decimal"/>
          <w:cols w:space="0" w:num="1"/>
          <w:docGrid w:type="lines" w:linePitch="312" w:charSpace="0"/>
        </w:sectPr>
      </w:pPr>
    </w:p>
    <w:p>
      <w:pPr>
        <w:rPr>
          <w:rFonts w:hint="eastAsia" w:asciiTheme="majorEastAsia" w:hAnsiTheme="majorEastAsia" w:eastAsiaTheme="majorEastAsia" w:cstheme="majorEastAsia"/>
          <w:color w:val="auto"/>
          <w:kern w:val="2"/>
          <w:sz w:val="32"/>
          <w:szCs w:val="32"/>
          <w:highlight w:val="none"/>
        </w:rPr>
      </w:pPr>
      <w:bookmarkStart w:id="132" w:name="_Toc24366229"/>
      <w:bookmarkEnd w:id="132"/>
      <w:r>
        <w:rPr>
          <w:rFonts w:hint="eastAsia" w:asciiTheme="majorEastAsia" w:hAnsiTheme="majorEastAsia" w:eastAsiaTheme="majorEastAsia" w:cstheme="majorEastAsia"/>
          <w:color w:val="auto"/>
          <w:kern w:val="2"/>
          <w:sz w:val="32"/>
          <w:szCs w:val="32"/>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六、其他文书、文件格式</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中小企业声明函格式</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中小企业声明函</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ind w:firstLine="720" w:firstLineChars="3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本公司郑重声明，根据《政府采购促进中小企业发展暂行办法》（财库[2011]181号）的规定，本公司为</w:t>
      </w:r>
      <w:bookmarkStart w:id="133" w:name="OLE_LINK5"/>
      <w:bookmarkEnd w:id="133"/>
      <w:bookmarkStart w:id="134" w:name="OLE_LINK2"/>
      <w:r>
        <w:rPr>
          <w:rFonts w:hint="eastAsia" w:asciiTheme="majorEastAsia" w:hAnsiTheme="majorEastAsia" w:eastAsiaTheme="majorEastAsia" w:cstheme="majorEastAsia"/>
          <w:color w:val="auto"/>
          <w:kern w:val="2"/>
          <w:sz w:val="24"/>
          <w:szCs w:val="24"/>
          <w:highlight w:val="none"/>
        </w:rPr>
        <w:t>______（请填写：中型、小型、微型）企业</w:t>
      </w:r>
      <w:bookmarkEnd w:id="134"/>
      <w:r>
        <w:rPr>
          <w:rFonts w:hint="eastAsia" w:asciiTheme="majorEastAsia" w:hAnsiTheme="majorEastAsia" w:eastAsiaTheme="majorEastAsia" w:cstheme="majorEastAsia"/>
          <w:color w:val="auto"/>
          <w:kern w:val="2"/>
          <w:sz w:val="24"/>
          <w:szCs w:val="24"/>
          <w:highlight w:val="none"/>
        </w:rPr>
        <w:t>。即本公司同时满足以下条件：</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本公司对上述声明的真实性负责。如有虚假，将依法承担相应责任。</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lang w:val="en-US" w:eastAsia="zh-CN"/>
        </w:rPr>
      </w:pPr>
      <w:r>
        <w:rPr>
          <w:rFonts w:hint="eastAsia" w:asciiTheme="majorEastAsia" w:hAnsiTheme="majorEastAsia" w:eastAsiaTheme="majorEastAsia" w:cstheme="majorEastAsia"/>
          <w:color w:val="auto"/>
          <w:kern w:val="2"/>
          <w:sz w:val="24"/>
          <w:szCs w:val="24"/>
          <w:highlight w:val="none"/>
        </w:rPr>
        <w:t xml:space="preserve"> </w:t>
      </w:r>
      <w:r>
        <w:rPr>
          <w:rFonts w:hint="eastAsia" w:asciiTheme="majorEastAsia" w:hAnsiTheme="majorEastAsia" w:eastAsiaTheme="majorEastAsia" w:cstheme="majorEastAsia"/>
          <w:color w:val="auto"/>
          <w:kern w:val="2"/>
          <w:sz w:val="24"/>
          <w:szCs w:val="24"/>
          <w:highlight w:val="none"/>
          <w:lang w:val="en-US" w:eastAsia="zh-CN"/>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r>
        <w:rPr>
          <w:rFonts w:hint="eastAsia" w:asciiTheme="majorEastAsia" w:hAnsiTheme="majorEastAsia" w:eastAsiaTheme="majorEastAsia" w:cstheme="majorEastAsia"/>
          <w:color w:val="auto"/>
          <w:kern w:val="2"/>
          <w:sz w:val="24"/>
          <w:szCs w:val="24"/>
          <w:highlight w:val="none"/>
          <w:lang w:val="en-US" w:eastAsia="zh-CN"/>
        </w:rPr>
        <w:t xml:space="preserve">           </w:t>
      </w:r>
      <w:r>
        <w:rPr>
          <w:rFonts w:hint="eastAsia" w:asciiTheme="majorEastAsia" w:hAnsiTheme="majorEastAsia" w:eastAsiaTheme="majorEastAsia" w:cstheme="majorEastAsia"/>
          <w:color w:val="auto"/>
          <w:kern w:val="2"/>
          <w:sz w:val="24"/>
          <w:szCs w:val="24"/>
          <w:highlight w:val="none"/>
        </w:rPr>
        <w:t xml:space="preserve">企业名称（盖章）：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日  期：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24"/>
          <w:szCs w:val="24"/>
          <w:highlight w:val="none"/>
        </w:rPr>
        <w:t>注：请根据自己的真实情况出具《中小企业声明函》。依法享受中小企业优惠政策的，采购人或采购代理机构在公告中标结果时，同时公告其《中小企业声明函》，接受社会监督。</w:t>
      </w:r>
      <w:r>
        <w:rPr>
          <w:rFonts w:hint="eastAsia" w:asciiTheme="majorEastAsia" w:hAnsiTheme="majorEastAsia" w:eastAsiaTheme="majorEastAsia" w:cstheme="majorEastAsia"/>
          <w:color w:val="auto"/>
          <w:kern w:val="2"/>
          <w:sz w:val="32"/>
          <w:szCs w:val="32"/>
          <w:highlight w:val="none"/>
        </w:rPr>
        <w:br w:type="page"/>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残疾人福利性单位声明函格式</w:t>
      </w:r>
    </w:p>
    <w:p>
      <w:pPr>
        <w:rPr>
          <w:rFonts w:hint="eastAsia" w:asciiTheme="majorEastAsia" w:hAnsiTheme="majorEastAsia" w:eastAsiaTheme="majorEastAsia" w:cstheme="majorEastAsia"/>
          <w:color w:val="auto"/>
          <w:kern w:val="2"/>
          <w:sz w:val="32"/>
          <w:szCs w:val="32"/>
          <w:highlight w:val="none"/>
        </w:rPr>
      </w:pPr>
      <w:bookmarkStart w:id="135" w:name="OLE_LINK14"/>
      <w:bookmarkEnd w:id="135"/>
      <w:bookmarkStart w:id="136" w:name="OLE_LINK13"/>
      <w:r>
        <w:rPr>
          <w:rFonts w:hint="eastAsia" w:asciiTheme="majorEastAsia" w:hAnsiTheme="majorEastAsia" w:eastAsiaTheme="majorEastAsia" w:cstheme="majorEastAsia"/>
          <w:color w:val="auto"/>
          <w:kern w:val="2"/>
          <w:sz w:val="32"/>
          <w:szCs w:val="32"/>
          <w:highlight w:val="none"/>
        </w:rPr>
        <w:t xml:space="preserve"> </w:t>
      </w:r>
      <w:bookmarkEnd w:id="136"/>
    </w:p>
    <w:p>
      <w:pPr>
        <w:jc w:val="center"/>
        <w:rPr>
          <w:rFonts w:hint="eastAsia" w:asciiTheme="majorEastAsia" w:hAnsiTheme="majorEastAsia" w:eastAsiaTheme="majorEastAsia" w:cstheme="majorEastAsia"/>
          <w:b/>
          <w:bCs/>
          <w:color w:val="auto"/>
          <w:kern w:val="2"/>
          <w:sz w:val="32"/>
          <w:szCs w:val="32"/>
          <w:highlight w:val="none"/>
        </w:rPr>
      </w:pPr>
      <w:r>
        <w:rPr>
          <w:rFonts w:hint="eastAsia" w:asciiTheme="majorEastAsia" w:hAnsiTheme="majorEastAsia" w:eastAsiaTheme="majorEastAsia" w:cstheme="majorEastAsia"/>
          <w:b/>
          <w:bCs/>
          <w:color w:val="auto"/>
          <w:kern w:val="2"/>
          <w:sz w:val="32"/>
          <w:szCs w:val="32"/>
          <w:highlight w:val="none"/>
        </w:rPr>
        <w:t>残疾人福利性单位声明函</w:t>
      </w:r>
    </w:p>
    <w:p>
      <w:pPr>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 xml:space="preserve"> </w:t>
      </w:r>
    </w:p>
    <w:p>
      <w:pPr>
        <w:ind w:firstLine="480" w:firstLineChars="2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本单位对上述声明的真实性负责。如有虚假，将依法承担相应责任。</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单位名称（盖章）：</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日  期：</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 xml:space="preserve"> </w:t>
      </w:r>
    </w:p>
    <w:p>
      <w:pP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注：请根据自己的真实情况出具《残疾人福利性单位声明函》。依法享受中小企业优惠政策的，采购人或采购代理机构在公告中标结果时，同时公告其《残疾人福利性单位声明函》，接受社会监督。</w:t>
      </w:r>
    </w:p>
    <w:p>
      <w:pPr>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2"/>
        <w:rPr>
          <w:rFonts w:hint="eastAsia" w:asciiTheme="majorEastAsia" w:hAnsiTheme="majorEastAsia" w:eastAsiaTheme="majorEastAsia" w:cstheme="majorEastAsia"/>
          <w:color w:val="auto"/>
          <w:sz w:val="24"/>
          <w:szCs w:val="24"/>
          <w:highlight w:val="none"/>
        </w:rPr>
      </w:pPr>
    </w:p>
    <w:p>
      <w:pPr>
        <w:pStyle w:val="7"/>
        <w:overflowPunct w:val="0"/>
        <w:spacing w:line="440" w:lineRule="exact"/>
        <w:ind w:firstLine="0"/>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附件：</w:t>
      </w:r>
    </w:p>
    <w:p>
      <w:pPr>
        <w:pStyle w:val="7"/>
        <w:overflowPunct w:val="0"/>
        <w:spacing w:line="440" w:lineRule="exact"/>
        <w:ind w:firstLine="0"/>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现场踏勘调研证明格式：</w:t>
      </w:r>
    </w:p>
    <w:p>
      <w:pPr>
        <w:jc w:val="center"/>
        <w:rPr>
          <w:rFonts w:hint="eastAsia" w:ascii="宋体" w:hAnsi="宋体" w:cs="宋体"/>
          <w:b/>
          <w:bCs/>
          <w:color w:val="auto"/>
          <w:sz w:val="32"/>
          <w:szCs w:val="32"/>
          <w:highlight w:val="none"/>
        </w:rPr>
      </w:pPr>
      <w:r>
        <w:rPr>
          <w:rFonts w:hint="eastAsia" w:ascii="宋体" w:hAnsi="宋体" w:cs="宋体"/>
          <w:b/>
          <w:bCs/>
          <w:color w:val="auto"/>
          <w:spacing w:val="-6"/>
          <w:sz w:val="32"/>
          <w:szCs w:val="32"/>
          <w:highlight w:val="none"/>
          <w:u w:val="single"/>
        </w:rPr>
        <w:t xml:space="preserve"> 兴业县农村乱占耕地建房状况调查第三方技术服务  </w:t>
      </w:r>
      <w:r>
        <w:rPr>
          <w:rFonts w:hint="eastAsia" w:ascii="宋体" w:hAnsi="宋体" w:cs="宋体"/>
          <w:b/>
          <w:bCs/>
          <w:color w:val="auto"/>
          <w:sz w:val="32"/>
          <w:szCs w:val="32"/>
          <w:highlight w:val="none"/>
        </w:rPr>
        <w:t>项目</w:t>
      </w: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现场踏勘调研证明</w:t>
      </w:r>
    </w:p>
    <w:p>
      <w:pPr>
        <w:jc w:val="center"/>
        <w:rPr>
          <w:rFonts w:hint="eastAsia" w:ascii="宋体" w:hAnsi="宋体" w:cs="宋体"/>
          <w:color w:val="auto"/>
          <w:sz w:val="22"/>
          <w:highlight w:val="none"/>
        </w:rPr>
      </w:pPr>
    </w:p>
    <w:tbl>
      <w:tblPr>
        <w:tblStyle w:val="20"/>
        <w:tblW w:w="0" w:type="auto"/>
        <w:jc w:val="center"/>
        <w:tblLayout w:type="fixed"/>
        <w:tblCellMar>
          <w:top w:w="0" w:type="dxa"/>
          <w:left w:w="108" w:type="dxa"/>
          <w:bottom w:w="0" w:type="dxa"/>
          <w:right w:w="108" w:type="dxa"/>
        </w:tblCellMar>
      </w:tblPr>
      <w:tblGrid>
        <w:gridCol w:w="1198"/>
        <w:gridCol w:w="1943"/>
        <w:gridCol w:w="5977"/>
      </w:tblGrid>
      <w:tr>
        <w:tblPrEx>
          <w:tblCellMar>
            <w:top w:w="0" w:type="dxa"/>
            <w:left w:w="108" w:type="dxa"/>
            <w:bottom w:w="0" w:type="dxa"/>
            <w:right w:w="108" w:type="dxa"/>
          </w:tblCellMar>
        </w:tblPrEx>
        <w:trPr>
          <w:trHeight w:val="680" w:hRule="atLeast"/>
          <w:jc w:val="center"/>
        </w:trPr>
        <w:tc>
          <w:tcPr>
            <w:tcW w:w="119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b/>
                <w:bCs/>
                <w:color w:val="auto"/>
                <w:sz w:val="22"/>
                <w:highlight w:val="none"/>
              </w:rPr>
            </w:pPr>
            <w:r>
              <w:rPr>
                <w:rFonts w:hint="eastAsia" w:ascii="宋体" w:hAnsi="宋体" w:cs="宋体"/>
                <w:b/>
                <w:bCs/>
                <w:color w:val="auto"/>
                <w:spacing w:val="40"/>
                <w:sz w:val="22"/>
                <w:highlight w:val="none"/>
              </w:rPr>
              <w:t>投标单位踏勘人员信息</w:t>
            </w:r>
          </w:p>
        </w:tc>
        <w:tc>
          <w:tcPr>
            <w:tcW w:w="1943" w:type="dxa"/>
            <w:tcBorders>
              <w:top w:val="single" w:color="auto" w:sz="4" w:space="0"/>
              <w:left w:val="single" w:color="auto" w:sz="6" w:space="0"/>
              <w:bottom w:val="single" w:color="auto" w:sz="4" w:space="0"/>
              <w:right w:val="single" w:color="auto" w:sz="6" w:space="0"/>
            </w:tcBorders>
            <w:noWrap w:val="0"/>
            <w:vAlign w:val="center"/>
          </w:tcPr>
          <w:p>
            <w:pPr>
              <w:jc w:val="center"/>
              <w:rPr>
                <w:rFonts w:ascii="宋体" w:hAnsi="宋体" w:cs="宋体"/>
                <w:color w:val="auto"/>
                <w:sz w:val="22"/>
                <w:highlight w:val="none"/>
              </w:rPr>
            </w:pPr>
            <w:r>
              <w:rPr>
                <w:rFonts w:hint="eastAsia" w:ascii="宋体" w:hAnsi="宋体" w:cs="宋体"/>
                <w:b/>
                <w:bCs/>
                <w:color w:val="auto"/>
                <w:sz w:val="22"/>
                <w:highlight w:val="none"/>
              </w:rPr>
              <w:t>姓名</w:t>
            </w:r>
          </w:p>
        </w:tc>
        <w:tc>
          <w:tcPr>
            <w:tcW w:w="5977"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r>
              <w:rPr>
                <w:rFonts w:hint="eastAsia" w:ascii="宋体" w:hAnsi="宋体" w:cs="宋体"/>
                <w:color w:val="auto"/>
                <w:sz w:val="22"/>
                <w:highlight w:val="none"/>
              </w:rPr>
              <w:t>　</w:t>
            </w:r>
          </w:p>
        </w:tc>
      </w:tr>
      <w:tr>
        <w:tblPrEx>
          <w:tblCellMar>
            <w:top w:w="0" w:type="dxa"/>
            <w:left w:w="108" w:type="dxa"/>
            <w:bottom w:w="0" w:type="dxa"/>
            <w:right w:w="108" w:type="dxa"/>
          </w:tblCellMar>
        </w:tblPrEx>
        <w:trPr>
          <w:trHeight w:val="680" w:hRule="atLeast"/>
          <w:jc w:val="center"/>
        </w:trPr>
        <w:tc>
          <w:tcPr>
            <w:tcW w:w="1198"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b/>
                <w:bCs/>
                <w:color w:val="auto"/>
                <w:sz w:val="22"/>
                <w:highlight w:val="none"/>
              </w:rPr>
            </w:pPr>
          </w:p>
        </w:tc>
        <w:tc>
          <w:tcPr>
            <w:tcW w:w="1943" w:type="dxa"/>
            <w:tcBorders>
              <w:top w:val="single" w:color="auto" w:sz="4" w:space="0"/>
              <w:left w:val="single" w:color="auto" w:sz="6" w:space="0"/>
              <w:bottom w:val="single" w:color="auto" w:sz="4" w:space="0"/>
              <w:right w:val="single" w:color="auto" w:sz="4" w:space="0"/>
            </w:tcBorders>
            <w:noWrap w:val="0"/>
            <w:vAlign w:val="center"/>
          </w:tcPr>
          <w:p>
            <w:pPr>
              <w:jc w:val="center"/>
              <w:rPr>
                <w:rFonts w:ascii="宋体" w:hAnsi="宋体" w:cs="宋体"/>
                <w:color w:val="auto"/>
                <w:sz w:val="22"/>
                <w:highlight w:val="none"/>
              </w:rPr>
            </w:pPr>
            <w:r>
              <w:rPr>
                <w:rFonts w:hint="eastAsia" w:ascii="宋体" w:hAnsi="宋体" w:cs="宋体"/>
                <w:b/>
                <w:color w:val="auto"/>
                <w:sz w:val="22"/>
                <w:highlight w:val="none"/>
              </w:rPr>
              <w:t>投标单位名称</w:t>
            </w:r>
          </w:p>
        </w:tc>
        <w:tc>
          <w:tcPr>
            <w:tcW w:w="597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680" w:hRule="atLeast"/>
          <w:jc w:val="center"/>
        </w:trPr>
        <w:tc>
          <w:tcPr>
            <w:tcW w:w="1198"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b/>
                <w:bCs/>
                <w:color w:val="auto"/>
                <w:sz w:val="22"/>
                <w:highlight w:val="none"/>
              </w:rPr>
            </w:pPr>
          </w:p>
        </w:tc>
        <w:tc>
          <w:tcPr>
            <w:tcW w:w="1943" w:type="dxa"/>
            <w:tcBorders>
              <w:top w:val="nil"/>
              <w:left w:val="single" w:color="auto" w:sz="6" w:space="0"/>
              <w:bottom w:val="single" w:color="auto" w:sz="4" w:space="0"/>
              <w:right w:val="single" w:color="auto" w:sz="4" w:space="0"/>
            </w:tcBorders>
            <w:noWrap w:val="0"/>
            <w:vAlign w:val="center"/>
          </w:tcPr>
          <w:p>
            <w:pPr>
              <w:jc w:val="center"/>
              <w:rPr>
                <w:rFonts w:ascii="宋体" w:hAnsi="宋体" w:cs="宋体"/>
                <w:color w:val="auto"/>
                <w:sz w:val="22"/>
                <w:highlight w:val="none"/>
              </w:rPr>
            </w:pPr>
            <w:r>
              <w:rPr>
                <w:rFonts w:hint="eastAsia" w:ascii="宋体" w:hAnsi="宋体" w:cs="宋体"/>
                <w:b/>
                <w:color w:val="auto"/>
                <w:sz w:val="22"/>
                <w:highlight w:val="none"/>
              </w:rPr>
              <w:t>有效的工作证件</w:t>
            </w:r>
          </w:p>
        </w:tc>
        <w:tc>
          <w:tcPr>
            <w:tcW w:w="597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680" w:hRule="atLeast"/>
          <w:jc w:val="center"/>
        </w:trPr>
        <w:tc>
          <w:tcPr>
            <w:tcW w:w="1198"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b/>
                <w:bCs/>
                <w:color w:val="auto"/>
                <w:sz w:val="22"/>
                <w:highlight w:val="none"/>
              </w:rPr>
            </w:pPr>
          </w:p>
        </w:tc>
        <w:tc>
          <w:tcPr>
            <w:tcW w:w="1943" w:type="dxa"/>
            <w:tcBorders>
              <w:top w:val="nil"/>
              <w:left w:val="single" w:color="auto" w:sz="6" w:space="0"/>
              <w:bottom w:val="single" w:color="auto" w:sz="4" w:space="0"/>
              <w:right w:val="single" w:color="auto" w:sz="4" w:space="0"/>
            </w:tcBorders>
            <w:noWrap w:val="0"/>
            <w:vAlign w:val="center"/>
          </w:tcPr>
          <w:p>
            <w:pPr>
              <w:jc w:val="center"/>
              <w:rPr>
                <w:rFonts w:hint="eastAsia" w:ascii="宋体" w:hAnsi="宋体" w:cs="宋体"/>
                <w:b/>
                <w:color w:val="auto"/>
                <w:sz w:val="22"/>
                <w:highlight w:val="none"/>
              </w:rPr>
            </w:pPr>
            <w:r>
              <w:rPr>
                <w:rFonts w:hint="eastAsia" w:ascii="宋体" w:hAnsi="宋体" w:cs="宋体"/>
                <w:b/>
                <w:color w:val="auto"/>
                <w:sz w:val="22"/>
                <w:highlight w:val="none"/>
              </w:rPr>
              <w:t>身份证号码</w:t>
            </w:r>
          </w:p>
        </w:tc>
        <w:tc>
          <w:tcPr>
            <w:tcW w:w="597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680" w:hRule="atLeast"/>
          <w:jc w:val="center"/>
        </w:trPr>
        <w:tc>
          <w:tcPr>
            <w:tcW w:w="1198"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b/>
                <w:bCs/>
                <w:color w:val="auto"/>
                <w:sz w:val="22"/>
                <w:highlight w:val="none"/>
              </w:rPr>
            </w:pPr>
          </w:p>
        </w:tc>
        <w:tc>
          <w:tcPr>
            <w:tcW w:w="1943" w:type="dxa"/>
            <w:tcBorders>
              <w:top w:val="nil"/>
              <w:left w:val="single" w:color="auto" w:sz="6" w:space="0"/>
              <w:bottom w:val="single" w:color="auto" w:sz="4" w:space="0"/>
              <w:right w:val="single" w:color="auto" w:sz="4" w:space="0"/>
            </w:tcBorders>
            <w:noWrap w:val="0"/>
            <w:vAlign w:val="center"/>
          </w:tcPr>
          <w:p>
            <w:pPr>
              <w:jc w:val="center"/>
              <w:rPr>
                <w:rFonts w:hint="eastAsia" w:ascii="宋体" w:hAnsi="宋体" w:cs="宋体"/>
                <w:b/>
                <w:color w:val="auto"/>
                <w:sz w:val="22"/>
                <w:highlight w:val="none"/>
              </w:rPr>
            </w:pPr>
            <w:r>
              <w:rPr>
                <w:rFonts w:hint="eastAsia" w:ascii="宋体" w:hAnsi="宋体" w:cs="宋体"/>
                <w:b/>
                <w:color w:val="auto"/>
                <w:sz w:val="22"/>
                <w:highlight w:val="none"/>
              </w:rPr>
              <w:t>联系方式</w:t>
            </w:r>
          </w:p>
        </w:tc>
        <w:tc>
          <w:tcPr>
            <w:tcW w:w="597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3052" w:hRule="atLeast"/>
          <w:jc w:val="center"/>
        </w:trPr>
        <w:tc>
          <w:tcPr>
            <w:tcW w:w="119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b/>
                <w:bCs/>
                <w:color w:val="auto"/>
                <w:sz w:val="22"/>
                <w:highlight w:val="none"/>
              </w:rPr>
            </w:pPr>
            <w:r>
              <w:rPr>
                <w:rFonts w:hint="eastAsia" w:ascii="宋体" w:hAnsi="宋体" w:cs="宋体"/>
                <w:b/>
                <w:bCs/>
                <w:color w:val="auto"/>
                <w:sz w:val="22"/>
                <w:highlight w:val="none"/>
              </w:rPr>
              <w:t>现场踏勘情况说明</w:t>
            </w:r>
          </w:p>
        </w:tc>
        <w:tc>
          <w:tcPr>
            <w:tcW w:w="7920" w:type="dxa"/>
            <w:gridSpan w:val="2"/>
            <w:tcBorders>
              <w:top w:val="nil"/>
              <w:left w:val="single" w:color="auto" w:sz="6" w:space="0"/>
              <w:right w:val="single" w:color="auto" w:sz="4" w:space="0"/>
            </w:tcBorders>
            <w:noWrap w:val="0"/>
            <w:vAlign w:val="center"/>
          </w:tcPr>
          <w:p>
            <w:pPr>
              <w:jc w:val="center"/>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2619" w:hRule="atLeast"/>
          <w:jc w:val="center"/>
        </w:trPr>
        <w:tc>
          <w:tcPr>
            <w:tcW w:w="9118" w:type="dxa"/>
            <w:gridSpan w:val="3"/>
            <w:tcBorders>
              <w:top w:val="single" w:color="auto" w:sz="4" w:space="0"/>
              <w:left w:val="single" w:color="auto" w:sz="4" w:space="0"/>
              <w:bottom w:val="single" w:color="auto" w:sz="4" w:space="0"/>
              <w:right w:val="single" w:color="000000" w:sz="4" w:space="0"/>
            </w:tcBorders>
            <w:noWrap w:val="0"/>
            <w:vAlign w:val="bottom"/>
          </w:tcPr>
          <w:p>
            <w:pPr>
              <w:rPr>
                <w:rFonts w:hint="eastAsia" w:ascii="宋体" w:hAnsi="宋体" w:cs="宋体"/>
                <w:b/>
                <w:bCs/>
                <w:color w:val="auto"/>
                <w:sz w:val="22"/>
                <w:highlight w:val="none"/>
                <w:u w:val="single"/>
              </w:rPr>
            </w:pPr>
            <w:r>
              <w:rPr>
                <w:rFonts w:hint="eastAsia" w:ascii="宋体" w:hAnsi="宋体" w:cs="宋体"/>
                <w:b/>
                <w:color w:val="auto"/>
                <w:sz w:val="22"/>
                <w:highlight w:val="none"/>
              </w:rPr>
              <w:t>采购单位：</w:t>
            </w:r>
            <w:r>
              <w:rPr>
                <w:rFonts w:hint="eastAsia" w:ascii="宋体" w:hAnsi="宋体" w:cs="宋体"/>
                <w:b/>
                <w:bCs/>
                <w:color w:val="auto"/>
                <w:sz w:val="22"/>
                <w:highlight w:val="none"/>
                <w:u w:val="single"/>
              </w:rPr>
              <w:t xml:space="preserve">                            </w:t>
            </w:r>
            <w:r>
              <w:rPr>
                <w:rFonts w:hint="eastAsia" w:ascii="宋体" w:hAnsi="宋体" w:cs="宋体"/>
                <w:b/>
                <w:bCs/>
                <w:color w:val="auto"/>
                <w:sz w:val="22"/>
                <w:highlight w:val="none"/>
              </w:rPr>
              <w:t>（盖章）          经办人签字：</w:t>
            </w:r>
            <w:r>
              <w:rPr>
                <w:rFonts w:hint="eastAsia" w:ascii="宋体" w:hAnsi="宋体" w:cs="宋体"/>
                <w:b/>
                <w:bCs/>
                <w:color w:val="auto"/>
                <w:sz w:val="22"/>
                <w:highlight w:val="none"/>
                <w:u w:val="single"/>
              </w:rPr>
              <w:t xml:space="preserve">                </w:t>
            </w:r>
          </w:p>
          <w:p>
            <w:pPr>
              <w:rPr>
                <w:rFonts w:hint="eastAsia" w:ascii="宋体" w:hAnsi="宋体" w:cs="宋体"/>
                <w:b/>
                <w:bCs/>
                <w:color w:val="auto"/>
                <w:sz w:val="22"/>
                <w:highlight w:val="none"/>
                <w:u w:val="single"/>
              </w:rPr>
            </w:pPr>
          </w:p>
          <w:p>
            <w:pPr>
              <w:rPr>
                <w:rFonts w:ascii="宋体" w:hAnsi="宋体" w:cs="宋体"/>
                <w:color w:val="auto"/>
                <w:sz w:val="22"/>
                <w:highlight w:val="none"/>
              </w:rPr>
            </w:pPr>
            <w:r>
              <w:rPr>
                <w:rFonts w:hint="eastAsia" w:ascii="宋体" w:hAnsi="宋体" w:cs="宋体"/>
                <w:b/>
                <w:bCs/>
                <w:color w:val="auto"/>
                <w:sz w:val="22"/>
                <w:highlight w:val="none"/>
              </w:rPr>
              <w:t xml:space="preserve">                                                   </w:t>
            </w:r>
          </w:p>
        </w:tc>
      </w:tr>
      <w:tr>
        <w:tblPrEx>
          <w:tblCellMar>
            <w:top w:w="0" w:type="dxa"/>
            <w:left w:w="108" w:type="dxa"/>
            <w:bottom w:w="0" w:type="dxa"/>
            <w:right w:w="108" w:type="dxa"/>
          </w:tblCellMar>
        </w:tblPrEx>
        <w:trPr>
          <w:trHeight w:val="1524" w:hRule="atLeast"/>
          <w:jc w:val="center"/>
        </w:trPr>
        <w:tc>
          <w:tcPr>
            <w:tcW w:w="9118" w:type="dxa"/>
            <w:gridSpan w:val="3"/>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cs="宋体"/>
                <w:color w:val="auto"/>
                <w:sz w:val="22"/>
                <w:highlight w:val="none"/>
              </w:rPr>
            </w:pPr>
            <w:r>
              <w:rPr>
                <w:rFonts w:hint="eastAsia" w:ascii="宋体" w:hAnsi="宋体" w:cs="宋体"/>
                <w:color w:val="auto"/>
                <w:sz w:val="22"/>
                <w:highlight w:val="none"/>
              </w:rPr>
              <w:t>说明：此表一式两份，投标单位一份，采购单位一份。</w:t>
            </w:r>
          </w:p>
        </w:tc>
      </w:tr>
    </w:tbl>
    <w:p>
      <w:pPr>
        <w:spacing w:line="360" w:lineRule="auto"/>
        <w:rPr>
          <w:rFonts w:hint="eastAsia"/>
          <w:color w:val="auto"/>
          <w:highlight w:val="none"/>
        </w:rPr>
      </w:pPr>
    </w:p>
    <w:p>
      <w:pPr>
        <w:pStyle w:val="2"/>
        <w:rPr>
          <w:rFonts w:hint="eastAsia" w:asciiTheme="majorEastAsia" w:hAnsiTheme="majorEastAsia" w:eastAsiaTheme="majorEastAsia" w:cstheme="majorEastAsia"/>
          <w:color w:val="auto"/>
          <w:sz w:val="24"/>
          <w:szCs w:val="24"/>
          <w:highlight w:val="none"/>
        </w:rPr>
      </w:pPr>
    </w:p>
    <w:sectPr>
      <w:pgSz w:w="11906" w:h="16838"/>
      <w:pgMar w:top="1134" w:right="1247" w:bottom="1134" w:left="124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u w:val="single"/>
        <w:lang w:val="en-US" w:eastAsia="zh-CN"/>
      </w:rPr>
    </w:pPr>
    <w:r>
      <w:rPr>
        <w:rFonts w:hint="eastAsia"/>
        <w:u w:val="single"/>
        <w:lang w:eastAsia="zh-CN"/>
      </w:rPr>
      <w:t>项目名称：兴业县农村乱占耕地建房状况调查第三方技术服务</w:t>
    </w:r>
    <w:r>
      <w:rPr>
        <w:rFonts w:hint="eastAsia"/>
        <w:u w:val="single"/>
        <w:lang w:val="en-US" w:eastAsia="zh-CN"/>
      </w:rPr>
      <w:t xml:space="preserve">               项目编号：YLZC2020-G3-240212-HNYB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68CB0"/>
    <w:multiLevelType w:val="singleLevel"/>
    <w:tmpl w:val="84B68CB0"/>
    <w:lvl w:ilvl="0" w:tentative="0">
      <w:start w:val="31"/>
      <w:numFmt w:val="decimal"/>
      <w:lvlText w:val="%1."/>
      <w:lvlJc w:val="left"/>
      <w:pPr>
        <w:tabs>
          <w:tab w:val="left" w:pos="312"/>
        </w:tabs>
      </w:pPr>
    </w:lvl>
  </w:abstractNum>
  <w:abstractNum w:abstractNumId="1">
    <w:nsid w:val="8EE2E006"/>
    <w:multiLevelType w:val="singleLevel"/>
    <w:tmpl w:val="8EE2E006"/>
    <w:lvl w:ilvl="0" w:tentative="0">
      <w:start w:val="2"/>
      <w:numFmt w:val="chineseCounting"/>
      <w:suff w:val="nothing"/>
      <w:lvlText w:val="%1、"/>
      <w:lvlJc w:val="left"/>
      <w:rPr>
        <w:rFonts w:hint="eastAsia"/>
      </w:rPr>
    </w:lvl>
  </w:abstractNum>
  <w:abstractNum w:abstractNumId="2">
    <w:nsid w:val="0D998613"/>
    <w:multiLevelType w:val="singleLevel"/>
    <w:tmpl w:val="0D998613"/>
    <w:lvl w:ilvl="0" w:tentative="0">
      <w:start w:val="21"/>
      <w:numFmt w:val="decimal"/>
      <w:lvlText w:val="%1."/>
      <w:lvlJc w:val="left"/>
      <w:pPr>
        <w:tabs>
          <w:tab w:val="left" w:pos="312"/>
        </w:tabs>
      </w:pPr>
    </w:lvl>
  </w:abstractNum>
  <w:abstractNum w:abstractNumId="3">
    <w:nsid w:val="3F3B5EA3"/>
    <w:multiLevelType w:val="singleLevel"/>
    <w:tmpl w:val="3F3B5EA3"/>
    <w:lvl w:ilvl="0" w:tentative="0">
      <w:start w:val="14"/>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Sk0jN8l29Q7HW30ZEWDZQrkZ4Tg=" w:salt="aTWxy8aglGfA6mlqr4YYy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F2EF4"/>
    <w:rsid w:val="00286A6D"/>
    <w:rsid w:val="008258BD"/>
    <w:rsid w:val="013057BE"/>
    <w:rsid w:val="01580ED5"/>
    <w:rsid w:val="015F6A74"/>
    <w:rsid w:val="01666F4D"/>
    <w:rsid w:val="01CA7DD8"/>
    <w:rsid w:val="02645748"/>
    <w:rsid w:val="026F3981"/>
    <w:rsid w:val="02C86AB7"/>
    <w:rsid w:val="03B440DB"/>
    <w:rsid w:val="03F72759"/>
    <w:rsid w:val="042759D1"/>
    <w:rsid w:val="0430572B"/>
    <w:rsid w:val="046070DC"/>
    <w:rsid w:val="048102B1"/>
    <w:rsid w:val="04820917"/>
    <w:rsid w:val="04AC6126"/>
    <w:rsid w:val="06391EC2"/>
    <w:rsid w:val="0655741F"/>
    <w:rsid w:val="066C72B0"/>
    <w:rsid w:val="06730429"/>
    <w:rsid w:val="068C6E59"/>
    <w:rsid w:val="068E75A3"/>
    <w:rsid w:val="0690340F"/>
    <w:rsid w:val="06B76FA3"/>
    <w:rsid w:val="07470595"/>
    <w:rsid w:val="077D4036"/>
    <w:rsid w:val="081A7F15"/>
    <w:rsid w:val="082E0331"/>
    <w:rsid w:val="082E1154"/>
    <w:rsid w:val="08734249"/>
    <w:rsid w:val="08FA7DA7"/>
    <w:rsid w:val="090D4946"/>
    <w:rsid w:val="09B74F02"/>
    <w:rsid w:val="0A5C62E9"/>
    <w:rsid w:val="0A7F7D66"/>
    <w:rsid w:val="0AC11779"/>
    <w:rsid w:val="0AED3FA4"/>
    <w:rsid w:val="0B0F5796"/>
    <w:rsid w:val="0B9A76EE"/>
    <w:rsid w:val="0C45597F"/>
    <w:rsid w:val="0D46168B"/>
    <w:rsid w:val="0D990C96"/>
    <w:rsid w:val="0DB368A2"/>
    <w:rsid w:val="0DF06886"/>
    <w:rsid w:val="0E037BC6"/>
    <w:rsid w:val="0E164F9C"/>
    <w:rsid w:val="0E532F4F"/>
    <w:rsid w:val="0E787C45"/>
    <w:rsid w:val="0E9D3C20"/>
    <w:rsid w:val="0EC71AF1"/>
    <w:rsid w:val="0F20144C"/>
    <w:rsid w:val="0F65191A"/>
    <w:rsid w:val="0FF34105"/>
    <w:rsid w:val="101120B6"/>
    <w:rsid w:val="103607F2"/>
    <w:rsid w:val="1051040D"/>
    <w:rsid w:val="10AC4DC9"/>
    <w:rsid w:val="10EC56DF"/>
    <w:rsid w:val="11140341"/>
    <w:rsid w:val="11264C88"/>
    <w:rsid w:val="115B4F09"/>
    <w:rsid w:val="11DB29FF"/>
    <w:rsid w:val="120E4B05"/>
    <w:rsid w:val="126964C1"/>
    <w:rsid w:val="12B253B3"/>
    <w:rsid w:val="12C76C0C"/>
    <w:rsid w:val="131C1033"/>
    <w:rsid w:val="139461AF"/>
    <w:rsid w:val="140A2145"/>
    <w:rsid w:val="142D7C20"/>
    <w:rsid w:val="143428FF"/>
    <w:rsid w:val="143B43D6"/>
    <w:rsid w:val="144150A9"/>
    <w:rsid w:val="146D60AD"/>
    <w:rsid w:val="14762BE6"/>
    <w:rsid w:val="14BB595A"/>
    <w:rsid w:val="14D5354F"/>
    <w:rsid w:val="14F37C88"/>
    <w:rsid w:val="1515387C"/>
    <w:rsid w:val="15256C86"/>
    <w:rsid w:val="15A540EA"/>
    <w:rsid w:val="15E20580"/>
    <w:rsid w:val="163150D9"/>
    <w:rsid w:val="16326EC2"/>
    <w:rsid w:val="163E25FA"/>
    <w:rsid w:val="169866FA"/>
    <w:rsid w:val="178D4662"/>
    <w:rsid w:val="17CB3BF6"/>
    <w:rsid w:val="17E82AF3"/>
    <w:rsid w:val="17FC7118"/>
    <w:rsid w:val="1810775C"/>
    <w:rsid w:val="181C2C00"/>
    <w:rsid w:val="185D388A"/>
    <w:rsid w:val="187144C9"/>
    <w:rsid w:val="18837BBA"/>
    <w:rsid w:val="18993D3B"/>
    <w:rsid w:val="18A34854"/>
    <w:rsid w:val="18B308CC"/>
    <w:rsid w:val="18BC2DD2"/>
    <w:rsid w:val="18F000E5"/>
    <w:rsid w:val="1A0C1495"/>
    <w:rsid w:val="1A8A708C"/>
    <w:rsid w:val="1B106DB8"/>
    <w:rsid w:val="1B717925"/>
    <w:rsid w:val="1B7D1250"/>
    <w:rsid w:val="1B8A21A6"/>
    <w:rsid w:val="1B9A1B98"/>
    <w:rsid w:val="1BD37DE4"/>
    <w:rsid w:val="1BF3440F"/>
    <w:rsid w:val="1C060DA9"/>
    <w:rsid w:val="1C641894"/>
    <w:rsid w:val="1CC75867"/>
    <w:rsid w:val="1D213434"/>
    <w:rsid w:val="1E2F69AF"/>
    <w:rsid w:val="1E686472"/>
    <w:rsid w:val="1E864046"/>
    <w:rsid w:val="1E8F6C99"/>
    <w:rsid w:val="1F56182E"/>
    <w:rsid w:val="1F724FDD"/>
    <w:rsid w:val="1FC64461"/>
    <w:rsid w:val="1FD33193"/>
    <w:rsid w:val="204B1B69"/>
    <w:rsid w:val="208709EF"/>
    <w:rsid w:val="208B033E"/>
    <w:rsid w:val="209A4925"/>
    <w:rsid w:val="214D55CF"/>
    <w:rsid w:val="21E031FE"/>
    <w:rsid w:val="222D2F98"/>
    <w:rsid w:val="2237097C"/>
    <w:rsid w:val="22480A41"/>
    <w:rsid w:val="22CB28C0"/>
    <w:rsid w:val="22F06337"/>
    <w:rsid w:val="23746BF2"/>
    <w:rsid w:val="243A2C1A"/>
    <w:rsid w:val="24411078"/>
    <w:rsid w:val="247E2459"/>
    <w:rsid w:val="248C0CDA"/>
    <w:rsid w:val="257619DF"/>
    <w:rsid w:val="25C57784"/>
    <w:rsid w:val="261D3202"/>
    <w:rsid w:val="26311E6F"/>
    <w:rsid w:val="26490BF2"/>
    <w:rsid w:val="2705687C"/>
    <w:rsid w:val="272F1948"/>
    <w:rsid w:val="277615B5"/>
    <w:rsid w:val="27A362F4"/>
    <w:rsid w:val="27B75C1D"/>
    <w:rsid w:val="27F851EF"/>
    <w:rsid w:val="280D7A89"/>
    <w:rsid w:val="286353C6"/>
    <w:rsid w:val="2885325A"/>
    <w:rsid w:val="288F197D"/>
    <w:rsid w:val="28BD01D7"/>
    <w:rsid w:val="29200247"/>
    <w:rsid w:val="297818CE"/>
    <w:rsid w:val="2A1261F7"/>
    <w:rsid w:val="2A4E38FB"/>
    <w:rsid w:val="2A696EA3"/>
    <w:rsid w:val="2AAF1F25"/>
    <w:rsid w:val="2C8F5BD1"/>
    <w:rsid w:val="2CA01CCA"/>
    <w:rsid w:val="2D835C65"/>
    <w:rsid w:val="2D850CCE"/>
    <w:rsid w:val="2E3A4CA8"/>
    <w:rsid w:val="2E5D3CBC"/>
    <w:rsid w:val="2EB07FF8"/>
    <w:rsid w:val="2EC5369F"/>
    <w:rsid w:val="2EFF63F8"/>
    <w:rsid w:val="2F525DBD"/>
    <w:rsid w:val="2F6E6D5D"/>
    <w:rsid w:val="2FDB378B"/>
    <w:rsid w:val="3021597B"/>
    <w:rsid w:val="30AD6BFB"/>
    <w:rsid w:val="30B267A6"/>
    <w:rsid w:val="311D64A0"/>
    <w:rsid w:val="31AC5DF8"/>
    <w:rsid w:val="31BD7522"/>
    <w:rsid w:val="31E200DB"/>
    <w:rsid w:val="32226329"/>
    <w:rsid w:val="323B35B4"/>
    <w:rsid w:val="32526C18"/>
    <w:rsid w:val="328E0F35"/>
    <w:rsid w:val="32FD6D45"/>
    <w:rsid w:val="331E484C"/>
    <w:rsid w:val="3339517D"/>
    <w:rsid w:val="33774FB4"/>
    <w:rsid w:val="338467E1"/>
    <w:rsid w:val="33C85525"/>
    <w:rsid w:val="33CA797C"/>
    <w:rsid w:val="3431413F"/>
    <w:rsid w:val="347B6211"/>
    <w:rsid w:val="35452EB2"/>
    <w:rsid w:val="3563528B"/>
    <w:rsid w:val="35704D29"/>
    <w:rsid w:val="35B24BBE"/>
    <w:rsid w:val="35D043DE"/>
    <w:rsid w:val="35F56537"/>
    <w:rsid w:val="360749B5"/>
    <w:rsid w:val="36260D2A"/>
    <w:rsid w:val="364A0195"/>
    <w:rsid w:val="36630A00"/>
    <w:rsid w:val="368A7109"/>
    <w:rsid w:val="370E35ED"/>
    <w:rsid w:val="37420859"/>
    <w:rsid w:val="37476D0E"/>
    <w:rsid w:val="375B6D9B"/>
    <w:rsid w:val="37F041B4"/>
    <w:rsid w:val="382A67FC"/>
    <w:rsid w:val="3889491B"/>
    <w:rsid w:val="38B6360F"/>
    <w:rsid w:val="38E30C75"/>
    <w:rsid w:val="38FE20EB"/>
    <w:rsid w:val="394A4AA3"/>
    <w:rsid w:val="39500E96"/>
    <w:rsid w:val="39555C41"/>
    <w:rsid w:val="395C152F"/>
    <w:rsid w:val="39813AA1"/>
    <w:rsid w:val="39880321"/>
    <w:rsid w:val="39ED348C"/>
    <w:rsid w:val="3A1A031F"/>
    <w:rsid w:val="3A6A7F26"/>
    <w:rsid w:val="3A793365"/>
    <w:rsid w:val="3A885CAF"/>
    <w:rsid w:val="3A9B5185"/>
    <w:rsid w:val="3AD02DC1"/>
    <w:rsid w:val="3ADC0C23"/>
    <w:rsid w:val="3B3636C4"/>
    <w:rsid w:val="3C1E2A03"/>
    <w:rsid w:val="3C703194"/>
    <w:rsid w:val="3D422EF4"/>
    <w:rsid w:val="3D52143B"/>
    <w:rsid w:val="3DB87ED6"/>
    <w:rsid w:val="3DF355BB"/>
    <w:rsid w:val="3EF04381"/>
    <w:rsid w:val="3F111B56"/>
    <w:rsid w:val="3F177A97"/>
    <w:rsid w:val="3F3677A2"/>
    <w:rsid w:val="3F3D2F4E"/>
    <w:rsid w:val="3F7117DC"/>
    <w:rsid w:val="3F894B25"/>
    <w:rsid w:val="3FD3626A"/>
    <w:rsid w:val="40641303"/>
    <w:rsid w:val="40BB2DB7"/>
    <w:rsid w:val="40DF544C"/>
    <w:rsid w:val="40EB28EB"/>
    <w:rsid w:val="41390E33"/>
    <w:rsid w:val="41F879DC"/>
    <w:rsid w:val="42074E92"/>
    <w:rsid w:val="425E4AF6"/>
    <w:rsid w:val="42F852AB"/>
    <w:rsid w:val="432C47A2"/>
    <w:rsid w:val="439605B9"/>
    <w:rsid w:val="43D763C1"/>
    <w:rsid w:val="43DA5100"/>
    <w:rsid w:val="448D105F"/>
    <w:rsid w:val="44AD19A2"/>
    <w:rsid w:val="44B0699E"/>
    <w:rsid w:val="453100D3"/>
    <w:rsid w:val="45675540"/>
    <w:rsid w:val="45B47B98"/>
    <w:rsid w:val="460224DE"/>
    <w:rsid w:val="460E0CF0"/>
    <w:rsid w:val="4649142A"/>
    <w:rsid w:val="46C42078"/>
    <w:rsid w:val="46F05162"/>
    <w:rsid w:val="47604F09"/>
    <w:rsid w:val="47610892"/>
    <w:rsid w:val="47CC6379"/>
    <w:rsid w:val="47D5172F"/>
    <w:rsid w:val="485F4E01"/>
    <w:rsid w:val="48792F6D"/>
    <w:rsid w:val="489F2EF4"/>
    <w:rsid w:val="494C396C"/>
    <w:rsid w:val="49835B48"/>
    <w:rsid w:val="4A3E2A6D"/>
    <w:rsid w:val="4A7B5BC7"/>
    <w:rsid w:val="4AB53739"/>
    <w:rsid w:val="4AD227D7"/>
    <w:rsid w:val="4AE72CE1"/>
    <w:rsid w:val="4B2A1FA3"/>
    <w:rsid w:val="4B8D7BFB"/>
    <w:rsid w:val="4BBF244A"/>
    <w:rsid w:val="4C3A08D0"/>
    <w:rsid w:val="4C9D3B20"/>
    <w:rsid w:val="4CA41F99"/>
    <w:rsid w:val="4CB347F8"/>
    <w:rsid w:val="4D355163"/>
    <w:rsid w:val="4D6D4686"/>
    <w:rsid w:val="4D784A5E"/>
    <w:rsid w:val="4E077231"/>
    <w:rsid w:val="4E0A2D53"/>
    <w:rsid w:val="4E3759C7"/>
    <w:rsid w:val="4E420809"/>
    <w:rsid w:val="4EB76DF4"/>
    <w:rsid w:val="4F11556E"/>
    <w:rsid w:val="4F292082"/>
    <w:rsid w:val="501A67D2"/>
    <w:rsid w:val="50651922"/>
    <w:rsid w:val="5094378F"/>
    <w:rsid w:val="50BE7BDB"/>
    <w:rsid w:val="50DD6DB9"/>
    <w:rsid w:val="514B5364"/>
    <w:rsid w:val="51D3577D"/>
    <w:rsid w:val="51F87D16"/>
    <w:rsid w:val="525E0157"/>
    <w:rsid w:val="527F2D67"/>
    <w:rsid w:val="52BA4299"/>
    <w:rsid w:val="52CF6CF3"/>
    <w:rsid w:val="53155533"/>
    <w:rsid w:val="538E5C51"/>
    <w:rsid w:val="53A3647C"/>
    <w:rsid w:val="53DF5C01"/>
    <w:rsid w:val="54782D7C"/>
    <w:rsid w:val="54B87059"/>
    <w:rsid w:val="55606CFF"/>
    <w:rsid w:val="55B04BB6"/>
    <w:rsid w:val="55D70B38"/>
    <w:rsid w:val="561720BD"/>
    <w:rsid w:val="56287F9D"/>
    <w:rsid w:val="5673449E"/>
    <w:rsid w:val="56A964BC"/>
    <w:rsid w:val="56BF2A8C"/>
    <w:rsid w:val="56E51A0B"/>
    <w:rsid w:val="57546BA4"/>
    <w:rsid w:val="57A14E4C"/>
    <w:rsid w:val="580C11B9"/>
    <w:rsid w:val="582B4A2A"/>
    <w:rsid w:val="583165BA"/>
    <w:rsid w:val="58804482"/>
    <w:rsid w:val="58810BB5"/>
    <w:rsid w:val="58B01306"/>
    <w:rsid w:val="58E949F5"/>
    <w:rsid w:val="593D45BA"/>
    <w:rsid w:val="59480999"/>
    <w:rsid w:val="59BE4BE7"/>
    <w:rsid w:val="59D96DDD"/>
    <w:rsid w:val="5A15184B"/>
    <w:rsid w:val="5A690D91"/>
    <w:rsid w:val="5AC7038B"/>
    <w:rsid w:val="5BBD3E7A"/>
    <w:rsid w:val="5CF77597"/>
    <w:rsid w:val="5D04459F"/>
    <w:rsid w:val="5D293E35"/>
    <w:rsid w:val="5D59687D"/>
    <w:rsid w:val="5D7E4BF7"/>
    <w:rsid w:val="5E0900B1"/>
    <w:rsid w:val="5E3B56CC"/>
    <w:rsid w:val="5EA162FE"/>
    <w:rsid w:val="5EB562FF"/>
    <w:rsid w:val="5EF61551"/>
    <w:rsid w:val="5EFE1F8C"/>
    <w:rsid w:val="5F564DF8"/>
    <w:rsid w:val="5F944357"/>
    <w:rsid w:val="5FDA616C"/>
    <w:rsid w:val="5FE25057"/>
    <w:rsid w:val="601D1D5B"/>
    <w:rsid w:val="60572976"/>
    <w:rsid w:val="60BE55C2"/>
    <w:rsid w:val="616A5F06"/>
    <w:rsid w:val="61756AC3"/>
    <w:rsid w:val="618709F4"/>
    <w:rsid w:val="61C06DE6"/>
    <w:rsid w:val="61E254FD"/>
    <w:rsid w:val="628E1264"/>
    <w:rsid w:val="62EA2894"/>
    <w:rsid w:val="630A47E2"/>
    <w:rsid w:val="635D6776"/>
    <w:rsid w:val="63635157"/>
    <w:rsid w:val="638360EA"/>
    <w:rsid w:val="63C90F5E"/>
    <w:rsid w:val="644361E2"/>
    <w:rsid w:val="64770476"/>
    <w:rsid w:val="64845601"/>
    <w:rsid w:val="65894A96"/>
    <w:rsid w:val="659E069C"/>
    <w:rsid w:val="65B31ED0"/>
    <w:rsid w:val="65BE75DB"/>
    <w:rsid w:val="65E21F85"/>
    <w:rsid w:val="65F063CF"/>
    <w:rsid w:val="661765DC"/>
    <w:rsid w:val="66326004"/>
    <w:rsid w:val="669412AC"/>
    <w:rsid w:val="66A745FE"/>
    <w:rsid w:val="66F85FA5"/>
    <w:rsid w:val="673771C2"/>
    <w:rsid w:val="677E084A"/>
    <w:rsid w:val="678B33A8"/>
    <w:rsid w:val="68991B2C"/>
    <w:rsid w:val="68CD7550"/>
    <w:rsid w:val="68F64F4A"/>
    <w:rsid w:val="696C0047"/>
    <w:rsid w:val="697F0014"/>
    <w:rsid w:val="69A8262A"/>
    <w:rsid w:val="69BE28CB"/>
    <w:rsid w:val="69D54BCB"/>
    <w:rsid w:val="6A574DC0"/>
    <w:rsid w:val="6A5E3DF4"/>
    <w:rsid w:val="6A9D15BE"/>
    <w:rsid w:val="6AA349C9"/>
    <w:rsid w:val="6AD45739"/>
    <w:rsid w:val="6B0D0232"/>
    <w:rsid w:val="6B0F4FFA"/>
    <w:rsid w:val="6B2216FE"/>
    <w:rsid w:val="6B9A7A65"/>
    <w:rsid w:val="6BD77F03"/>
    <w:rsid w:val="6C641F44"/>
    <w:rsid w:val="6C7E6579"/>
    <w:rsid w:val="6C8F7A49"/>
    <w:rsid w:val="6C9331F3"/>
    <w:rsid w:val="6CAF1810"/>
    <w:rsid w:val="6CE151D6"/>
    <w:rsid w:val="6D010458"/>
    <w:rsid w:val="6D0C76AE"/>
    <w:rsid w:val="6D1809EF"/>
    <w:rsid w:val="6D3B1B40"/>
    <w:rsid w:val="6D630EEF"/>
    <w:rsid w:val="6DAA7FBC"/>
    <w:rsid w:val="6DBB6789"/>
    <w:rsid w:val="6DBC5400"/>
    <w:rsid w:val="6DDD40C0"/>
    <w:rsid w:val="6E09402A"/>
    <w:rsid w:val="6E2F614E"/>
    <w:rsid w:val="6E8150B3"/>
    <w:rsid w:val="6E8661E3"/>
    <w:rsid w:val="6E887124"/>
    <w:rsid w:val="6ED2687D"/>
    <w:rsid w:val="6EFC02C7"/>
    <w:rsid w:val="6F555AF1"/>
    <w:rsid w:val="6F5E75C9"/>
    <w:rsid w:val="6FA7784F"/>
    <w:rsid w:val="6FEA545A"/>
    <w:rsid w:val="70082362"/>
    <w:rsid w:val="70210481"/>
    <w:rsid w:val="70603C17"/>
    <w:rsid w:val="70636012"/>
    <w:rsid w:val="70C4403C"/>
    <w:rsid w:val="72215B03"/>
    <w:rsid w:val="72A87326"/>
    <w:rsid w:val="72AA1A89"/>
    <w:rsid w:val="72E16210"/>
    <w:rsid w:val="73B90599"/>
    <w:rsid w:val="73CE25EF"/>
    <w:rsid w:val="743E0098"/>
    <w:rsid w:val="74836C4A"/>
    <w:rsid w:val="74A630F8"/>
    <w:rsid w:val="7580121F"/>
    <w:rsid w:val="758E0157"/>
    <w:rsid w:val="7606543E"/>
    <w:rsid w:val="761D39B6"/>
    <w:rsid w:val="764837C7"/>
    <w:rsid w:val="769C7A6F"/>
    <w:rsid w:val="76A2764A"/>
    <w:rsid w:val="77411BF0"/>
    <w:rsid w:val="77D4366D"/>
    <w:rsid w:val="77D76217"/>
    <w:rsid w:val="780D5C15"/>
    <w:rsid w:val="789D62BC"/>
    <w:rsid w:val="78C752EE"/>
    <w:rsid w:val="78D52FCE"/>
    <w:rsid w:val="78F77A89"/>
    <w:rsid w:val="78F86EFC"/>
    <w:rsid w:val="790A1D04"/>
    <w:rsid w:val="792E74A1"/>
    <w:rsid w:val="79580EEF"/>
    <w:rsid w:val="79AC3591"/>
    <w:rsid w:val="79E67716"/>
    <w:rsid w:val="7A032010"/>
    <w:rsid w:val="7A43323A"/>
    <w:rsid w:val="7A564F88"/>
    <w:rsid w:val="7A7312DE"/>
    <w:rsid w:val="7AE74AF4"/>
    <w:rsid w:val="7AF64EF0"/>
    <w:rsid w:val="7B0A16E9"/>
    <w:rsid w:val="7B4F5D5F"/>
    <w:rsid w:val="7BA138C5"/>
    <w:rsid w:val="7BA35C7A"/>
    <w:rsid w:val="7BA856D4"/>
    <w:rsid w:val="7BAB3F1F"/>
    <w:rsid w:val="7BD134A7"/>
    <w:rsid w:val="7BF91BFD"/>
    <w:rsid w:val="7BF95F9C"/>
    <w:rsid w:val="7C1250FB"/>
    <w:rsid w:val="7C1B5E92"/>
    <w:rsid w:val="7C55580C"/>
    <w:rsid w:val="7C64038D"/>
    <w:rsid w:val="7CC5697A"/>
    <w:rsid w:val="7D165A6B"/>
    <w:rsid w:val="7D441D9A"/>
    <w:rsid w:val="7D7102AA"/>
    <w:rsid w:val="7D803EBC"/>
    <w:rsid w:val="7E250A85"/>
    <w:rsid w:val="7F09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4">
    <w:name w:val="heading 2"/>
    <w:basedOn w:val="1"/>
    <w:next w:val="1"/>
    <w:qFormat/>
    <w:uiPriority w:val="0"/>
    <w:pPr>
      <w:keepNext/>
      <w:keepLines/>
      <w:widowControl w:val="0"/>
      <w:suppressLineNumbers w:val="0"/>
      <w:spacing w:before="260" w:beforeAutospacing="0" w:after="260" w:afterAutospacing="0" w:line="412" w:lineRule="auto"/>
      <w:ind w:left="0" w:right="0"/>
      <w:jc w:val="both"/>
      <w:outlineLvl w:val="1"/>
    </w:pPr>
    <w:rPr>
      <w:rFonts w:hint="default" w:ascii="Arial" w:hAnsi="Arial" w:eastAsia="黑体" w:cs="Arial"/>
      <w:b/>
      <w:kern w:val="0"/>
      <w:sz w:val="32"/>
      <w:szCs w:val="32"/>
      <w:lang w:val="en-US" w:eastAsia="zh-CN" w:bidi="ar"/>
    </w:rPr>
  </w:style>
  <w:style w:type="paragraph" w:styleId="5">
    <w:name w:val="heading 3"/>
    <w:basedOn w:val="1"/>
    <w:next w:val="1"/>
    <w:qFormat/>
    <w:uiPriority w:val="0"/>
    <w:pPr>
      <w:keepNext/>
      <w:keepLines/>
      <w:widowControl w:val="0"/>
      <w:suppressLineNumbers w:val="0"/>
      <w:spacing w:before="260" w:beforeAutospacing="0" w:after="260" w:afterAutospacing="0" w:line="412" w:lineRule="auto"/>
      <w:ind w:left="0" w:right="0"/>
      <w:jc w:val="both"/>
      <w:outlineLvl w:val="2"/>
    </w:pPr>
    <w:rPr>
      <w:rFonts w:hint="default" w:ascii="Times New Roman" w:hAnsi="Times New Roman" w:eastAsia="宋体" w:cs="Times New Roman"/>
      <w:b/>
      <w:kern w:val="0"/>
      <w:sz w:val="32"/>
      <w:szCs w:val="32"/>
      <w:lang w:val="en-US" w:eastAsia="zh-CN" w:bidi="ar"/>
    </w:rPr>
  </w:style>
  <w:style w:type="paragraph" w:styleId="6">
    <w:name w:val="heading 5"/>
    <w:basedOn w:val="1"/>
    <w:next w:val="7"/>
    <w:qFormat/>
    <w:uiPriority w:val="0"/>
    <w:pPr>
      <w:keepNext/>
      <w:keepLines/>
      <w:widowControl w:val="0"/>
      <w:suppressLineNumbers w:val="0"/>
      <w:spacing w:before="280" w:beforeAutospacing="0" w:after="290" w:afterAutospacing="0" w:line="372" w:lineRule="auto"/>
      <w:ind w:left="0" w:right="0" w:firstLine="0"/>
      <w:jc w:val="both"/>
      <w:outlineLvl w:val="4"/>
    </w:pPr>
    <w:rPr>
      <w:rFonts w:hint="default" w:ascii="Times New Roman" w:hAnsi="Times New Roman" w:eastAsia="宋体" w:cs="Times New Roman"/>
      <w:b/>
      <w:kern w:val="2"/>
      <w:sz w:val="28"/>
      <w:szCs w:val="28"/>
      <w:lang w:val="en-US" w:eastAsia="zh-CN" w:bidi="ar"/>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keepNext w:val="0"/>
      <w:keepLines w:val="0"/>
      <w:widowControl w:val="0"/>
      <w:suppressLineNumbers w:val="0"/>
      <w:spacing w:before="0" w:beforeAutospacing="0" w:after="0" w:afterAutospacing="0"/>
      <w:ind w:left="0" w:right="0" w:firstLine="830" w:firstLineChars="352"/>
      <w:jc w:val="both"/>
    </w:pPr>
    <w:rPr>
      <w:rFonts w:hint="default" w:ascii="仿宋_GB2312" w:hAnsi="宋体" w:eastAsia="仿宋_GB2312" w:cs="仿宋_GB2312"/>
      <w:kern w:val="0"/>
      <w:sz w:val="32"/>
      <w:szCs w:val="32"/>
      <w:lang w:val="en-US" w:eastAsia="zh-CN" w:bidi="ar"/>
    </w:rPr>
  </w:style>
  <w:style w:type="paragraph" w:styleId="7">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1"/>
      <w:lang w:val="en-US" w:eastAsia="zh-CN" w:bidi="ar"/>
    </w:rPr>
  </w:style>
  <w:style w:type="paragraph" w:styleId="8">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9">
    <w:name w:val="Body Text 3"/>
    <w:basedOn w:val="1"/>
    <w:qFormat/>
    <w:uiPriority w:val="0"/>
    <w:pPr>
      <w:keepNext w:val="0"/>
      <w:keepLines w:val="0"/>
      <w:widowControl w:val="0"/>
      <w:suppressLineNumbers w:val="0"/>
      <w:spacing w:before="0" w:beforeAutospacing="0" w:after="0" w:afterAutospacing="0" w:line="500" w:lineRule="exact"/>
      <w:ind w:left="0" w:right="0"/>
      <w:jc w:val="both"/>
    </w:pPr>
    <w:rPr>
      <w:rFonts w:hint="default" w:ascii="Times New Roman" w:hAnsi="Times New Roman" w:eastAsia="宋体" w:cs="Times New Roman"/>
      <w:b/>
      <w:kern w:val="0"/>
      <w:sz w:val="24"/>
      <w:szCs w:val="24"/>
      <w:lang w:val="en-US" w:eastAsia="zh-CN" w:bidi="ar"/>
    </w:rPr>
  </w:style>
  <w:style w:type="paragraph" w:styleId="10">
    <w:name w:val="Body Text"/>
    <w:basedOn w:val="1"/>
    <w:qFormat/>
    <w:uiPriority w:val="99"/>
    <w:pPr>
      <w:keepNext w:val="0"/>
      <w:keepLines w:val="0"/>
      <w:widowControl w:val="0"/>
      <w:suppressLineNumbers w:val="0"/>
      <w:spacing w:before="0" w:beforeAutospacing="0" w:after="0" w:afterAutospacing="0" w:line="380" w:lineRule="exact"/>
      <w:ind w:left="0" w:right="0"/>
      <w:jc w:val="both"/>
    </w:pPr>
    <w:rPr>
      <w:rFonts w:hint="default" w:ascii="Times New Roman" w:hAnsi="Times New Roman" w:eastAsia="宋体" w:cs="Times New Roman"/>
      <w:kern w:val="0"/>
      <w:sz w:val="24"/>
      <w:szCs w:val="24"/>
      <w:lang w:val="en-US" w:eastAsia="zh-CN" w:bidi="ar"/>
    </w:rPr>
  </w:style>
  <w:style w:type="paragraph" w:styleId="11">
    <w:name w:val="toc 3"/>
    <w:basedOn w:val="1"/>
    <w:next w:val="1"/>
    <w:qFormat/>
    <w:uiPriority w:val="0"/>
    <w:pPr>
      <w:ind w:left="840" w:leftChars="400"/>
    </w:pPr>
  </w:style>
  <w:style w:type="paragraph" w:styleId="1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0"/>
      <w:sz w:val="20"/>
      <w:szCs w:val="20"/>
      <w:lang w:val="en-US" w:eastAsia="zh-CN" w:bidi="ar"/>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List"/>
    <w:basedOn w:val="1"/>
    <w:qFormat/>
    <w:uiPriority w:val="0"/>
    <w:pPr>
      <w:keepNext w:val="0"/>
      <w:keepLines w:val="0"/>
      <w:widowControl w:val="0"/>
      <w:suppressLineNumbers w:val="0"/>
      <w:spacing w:before="0" w:beforeAutospacing="0" w:after="0" w:afterAutospacing="0"/>
      <w:ind w:left="200" w:right="0" w:hanging="200" w:hangingChars="200"/>
      <w:jc w:val="both"/>
    </w:pPr>
    <w:rPr>
      <w:rFonts w:hint="default" w:ascii="Times New Roman" w:hAnsi="Times New Roman" w:eastAsia="宋体" w:cs="Times New Roman"/>
      <w:kern w:val="2"/>
      <w:sz w:val="28"/>
      <w:szCs w:val="28"/>
      <w:lang w:val="en-US" w:eastAsia="zh-CN" w:bidi="ar"/>
    </w:rPr>
  </w:style>
  <w:style w:type="paragraph" w:styleId="17">
    <w:name w:val="toc 2"/>
    <w:basedOn w:val="1"/>
    <w:next w:val="1"/>
    <w:qFormat/>
    <w:uiPriority w:val="39"/>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1"/>
      <w:lang w:val="en-US" w:eastAsia="zh-CN" w:bidi="ar"/>
    </w:rPr>
  </w:style>
  <w:style w:type="paragraph" w:styleId="18">
    <w:name w:val="Normal (Web)"/>
    <w:basedOn w:val="1"/>
    <w:uiPriority w:val="0"/>
    <w:pPr>
      <w:spacing w:before="75" w:beforeAutospacing="0" w:after="75" w:afterAutospacing="0"/>
      <w:ind w:left="0" w:right="0"/>
      <w:jc w:val="left"/>
    </w:pPr>
    <w:rPr>
      <w:kern w:val="0"/>
      <w:sz w:val="24"/>
      <w:lang w:val="en-US" w:eastAsia="zh-CN" w:bidi="ar"/>
    </w:rPr>
  </w:style>
  <w:style w:type="paragraph" w:styleId="19">
    <w:name w:val="Title"/>
    <w:basedOn w:val="1"/>
    <w:next w:val="1"/>
    <w:qFormat/>
    <w:uiPriority w:val="0"/>
    <w:pPr>
      <w:keepNext w:val="0"/>
      <w:keepLines w:val="0"/>
      <w:widowControl w:val="0"/>
      <w:suppressLineNumbers w:val="0"/>
      <w:spacing w:before="240" w:beforeAutospacing="0" w:after="60" w:afterAutospacing="0"/>
      <w:ind w:left="0" w:right="0"/>
      <w:jc w:val="center"/>
      <w:outlineLvl w:val="0"/>
    </w:pPr>
    <w:rPr>
      <w:rFonts w:hint="default" w:ascii="Cambria" w:hAnsi="Cambria" w:eastAsia="Cambria" w:cs="Cambria"/>
      <w:b/>
      <w:kern w:val="2"/>
      <w:sz w:val="32"/>
      <w:szCs w:val="32"/>
      <w:lang w:val="en-US" w:eastAsia="zh-CN" w:bidi="ar"/>
    </w:rPr>
  </w:style>
  <w:style w:type="character" w:styleId="22">
    <w:name w:val="page number"/>
    <w:basedOn w:val="21"/>
    <w:qFormat/>
    <w:uiPriority w:val="0"/>
    <w:rPr>
      <w:rFonts w:ascii="Times New Roman" w:hAnsi="Times New Roman" w:eastAsia="宋体" w:cs="Times New Roman"/>
    </w:rPr>
  </w:style>
  <w:style w:type="character" w:styleId="23">
    <w:name w:val="Hyperlink"/>
    <w:basedOn w:val="21"/>
    <w:qFormat/>
    <w:uiPriority w:val="99"/>
    <w:rPr>
      <w:color w:val="0000FF"/>
      <w:u w:val="singl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styleId="27">
    <w:name w:val="No Spacing"/>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2020-10-28T08:52:00Z</dcterms:created>
  <dc:creator>李彦蓉</dc:creator>
  <cp:lastModifiedBy>李彦蓉</cp:lastModifiedBy>
  <dcterms:modified xsi:type="dcterms:W3CDTF">2020-11-20T01:34:24Z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