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cs="宋体"/>
          <w:color w:val="auto"/>
          <w:sz w:val="52"/>
          <w:szCs w:val="52"/>
          <w:highlight w:val="none"/>
        </w:rPr>
      </w:pPr>
    </w:p>
    <w:p>
      <w:pPr>
        <w:pStyle w:val="66"/>
        <w:rPr>
          <w:rFonts w:ascii="宋体" w:hAnsi="宋体" w:cs="宋体"/>
          <w:color w:val="auto"/>
          <w:sz w:val="52"/>
          <w:szCs w:val="52"/>
          <w:highlight w:val="none"/>
        </w:rPr>
      </w:pPr>
    </w:p>
    <w:p>
      <w:pPr>
        <w:pStyle w:val="66"/>
        <w:rPr>
          <w:rFonts w:ascii="宋体" w:hAnsi="宋体" w:cs="宋体"/>
          <w:color w:val="auto"/>
          <w:sz w:val="52"/>
          <w:szCs w:val="52"/>
          <w:highlight w:val="none"/>
        </w:rPr>
      </w:pPr>
    </w:p>
    <w:p>
      <w:pPr>
        <w:pStyle w:val="66"/>
        <w:rPr>
          <w:rFonts w:ascii="宋体" w:hAnsi="宋体" w:cs="宋体"/>
          <w:color w:val="auto"/>
          <w:sz w:val="52"/>
          <w:szCs w:val="52"/>
          <w:highlight w:val="none"/>
        </w:rPr>
      </w:pPr>
    </w:p>
    <w:p>
      <w:pPr>
        <w:snapToGrid w:val="0"/>
        <w:spacing w:before="120" w:before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 标 文 件</w:t>
      </w:r>
    </w:p>
    <w:p>
      <w:pPr>
        <w:spacing w:before="120" w:beforeLines="50" w:line="360" w:lineRule="auto"/>
        <w:jc w:val="center"/>
        <w:rPr>
          <w:rFonts w:ascii="宋体" w:hAnsi="宋体" w:cs="宋体"/>
          <w:b/>
          <w:color w:val="auto"/>
          <w:sz w:val="48"/>
          <w:szCs w:val="48"/>
          <w:highlight w:val="none"/>
        </w:rPr>
      </w:pPr>
    </w:p>
    <w:p>
      <w:pPr>
        <w:pStyle w:val="66"/>
        <w:rPr>
          <w:rFonts w:ascii="宋体" w:hAnsi="宋体" w:cs="宋体"/>
          <w:color w:val="auto"/>
          <w:sz w:val="30"/>
          <w:szCs w:val="72"/>
          <w:highlight w:val="none"/>
        </w:rPr>
      </w:pPr>
    </w:p>
    <w:p>
      <w:pPr>
        <w:pStyle w:val="66"/>
        <w:rPr>
          <w:rFonts w:ascii="宋体" w:hAnsi="宋体" w:cs="宋体"/>
          <w:color w:val="auto"/>
          <w:sz w:val="30"/>
          <w:szCs w:val="72"/>
          <w:highlight w:val="none"/>
        </w:rPr>
      </w:pPr>
    </w:p>
    <w:p>
      <w:pPr>
        <w:pStyle w:val="66"/>
        <w:rPr>
          <w:rFonts w:ascii="宋体" w:hAnsi="宋体" w:cs="宋体"/>
          <w:color w:val="auto"/>
          <w:sz w:val="30"/>
          <w:szCs w:val="72"/>
          <w:highlight w:val="none"/>
        </w:rPr>
      </w:pPr>
    </w:p>
    <w:p>
      <w:pPr>
        <w:pStyle w:val="66"/>
        <w:rPr>
          <w:rFonts w:ascii="宋体" w:hAnsi="宋体" w:cs="宋体"/>
          <w:color w:val="auto"/>
          <w:sz w:val="30"/>
          <w:szCs w:val="72"/>
          <w:highlight w:val="none"/>
        </w:rPr>
      </w:pPr>
    </w:p>
    <w:p>
      <w:pPr>
        <w:pStyle w:val="66"/>
        <w:rPr>
          <w:rFonts w:ascii="宋体" w:hAnsi="宋体" w:cs="宋体"/>
          <w:color w:val="auto"/>
          <w:sz w:val="30"/>
          <w:szCs w:val="72"/>
          <w:highlight w:val="none"/>
        </w:rPr>
      </w:pPr>
    </w:p>
    <w:p>
      <w:pPr>
        <w:snapToGrid w:val="0"/>
        <w:spacing w:before="120" w:beforeLines="50" w:line="360" w:lineRule="auto"/>
        <w:rPr>
          <w:rFonts w:ascii="宋体" w:hAnsi="宋体" w:cs="宋体"/>
          <w:color w:val="auto"/>
          <w:sz w:val="30"/>
          <w:szCs w:val="72"/>
          <w:highlight w:val="none"/>
        </w:rPr>
      </w:pPr>
    </w:p>
    <w:p>
      <w:pPr>
        <w:pStyle w:val="27"/>
        <w:snapToGrid w:val="0"/>
        <w:spacing w:before="50" w:after="120" w:line="360" w:lineRule="auto"/>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项目</w:t>
      </w:r>
      <w:r>
        <w:rPr>
          <w:rFonts w:hint="eastAsia" w:hAnsi="宋体" w:cs="宋体"/>
          <w:b/>
          <w:bCs/>
          <w:color w:val="auto"/>
          <w:w w:val="95"/>
          <w:sz w:val="28"/>
          <w:szCs w:val="28"/>
          <w:highlight w:val="none"/>
        </w:rPr>
        <w:t>名称</w:t>
      </w:r>
      <w:r>
        <w:rPr>
          <w:rFonts w:hint="eastAsia" w:hAnsi="宋体" w:cs="宋体"/>
          <w:b/>
          <w:bCs/>
          <w:color w:val="auto"/>
          <w:sz w:val="28"/>
          <w:szCs w:val="28"/>
          <w:highlight w:val="none"/>
        </w:rPr>
        <w:t>：</w:t>
      </w:r>
      <w:r>
        <w:rPr>
          <w:rFonts w:hint="eastAsia" w:hAnsi="宋体" w:cs="宋体"/>
          <w:b/>
          <w:bCs/>
          <w:color w:val="auto"/>
          <w:sz w:val="28"/>
          <w:szCs w:val="28"/>
          <w:highlight w:val="none"/>
          <w:lang w:eastAsia="zh-CN"/>
        </w:rPr>
        <w:t>校园保安服务采购</w:t>
      </w:r>
    </w:p>
    <w:p>
      <w:pPr>
        <w:snapToGrid w:val="0"/>
        <w:spacing w:before="120" w:beforeLines="50" w:line="360" w:lineRule="auto"/>
        <w:rPr>
          <w:rFonts w:hint="eastAsia" w:ascii="宋体" w:hAnsi="宋体" w:eastAsia="宋体" w:cs="宋体"/>
          <w:color w:val="auto"/>
          <w:sz w:val="28"/>
          <w:szCs w:val="56"/>
          <w:highlight w:val="none"/>
          <w:lang w:eastAsia="zh-CN"/>
        </w:rPr>
      </w:pPr>
      <w:r>
        <w:rPr>
          <w:rFonts w:hint="eastAsia" w:ascii="宋体" w:hAnsi="宋体" w:cs="宋体"/>
          <w:b/>
          <w:bCs/>
          <w:color w:val="auto"/>
          <w:w w:val="95"/>
          <w:sz w:val="28"/>
          <w:szCs w:val="28"/>
          <w:highlight w:val="none"/>
        </w:rPr>
        <w:t>项目</w:t>
      </w:r>
      <w:r>
        <w:rPr>
          <w:rFonts w:hint="eastAsia" w:ascii="宋体" w:hAnsi="宋体" w:cs="宋体"/>
          <w:b/>
          <w:bCs/>
          <w:color w:val="auto"/>
          <w:sz w:val="28"/>
          <w:szCs w:val="28"/>
          <w:highlight w:val="none"/>
        </w:rPr>
        <w:t>编号</w:t>
      </w:r>
      <w:r>
        <w:rPr>
          <w:rFonts w:hint="eastAsia" w:ascii="宋体" w:hAnsi="宋体" w:cs="宋体"/>
          <w:b/>
          <w:bCs/>
          <w:color w:val="auto"/>
          <w:w w:val="95"/>
          <w:sz w:val="28"/>
          <w:szCs w:val="28"/>
          <w:highlight w:val="none"/>
        </w:rPr>
        <w:t>：</w:t>
      </w:r>
      <w:r>
        <w:rPr>
          <w:rFonts w:hint="eastAsia" w:ascii="宋体" w:hAnsi="宋体" w:cs="宋体"/>
          <w:b/>
          <w:bCs/>
          <w:color w:val="auto"/>
          <w:w w:val="95"/>
          <w:sz w:val="28"/>
          <w:szCs w:val="28"/>
          <w:highlight w:val="none"/>
          <w:lang w:eastAsia="zh-CN"/>
        </w:rPr>
        <w:t>GXZC2022-G3-004456-GXDC（</w:t>
      </w:r>
      <w:r>
        <w:rPr>
          <w:rFonts w:hint="eastAsia" w:ascii="宋体" w:hAnsi="宋体" w:cs="宋体"/>
          <w:b/>
          <w:bCs/>
          <w:color w:val="auto"/>
          <w:w w:val="95"/>
          <w:sz w:val="28"/>
          <w:szCs w:val="28"/>
          <w:highlight w:val="none"/>
          <w:lang w:val="en-US" w:eastAsia="zh-CN"/>
        </w:rPr>
        <w:t>校内编号：2022327</w:t>
      </w:r>
      <w:r>
        <w:rPr>
          <w:rFonts w:hint="eastAsia" w:ascii="宋体" w:hAnsi="宋体" w:cs="宋体"/>
          <w:b/>
          <w:bCs/>
          <w:color w:val="auto"/>
          <w:w w:val="95"/>
          <w:sz w:val="28"/>
          <w:szCs w:val="28"/>
          <w:highlight w:val="none"/>
          <w:lang w:eastAsia="zh-CN"/>
        </w:rPr>
        <w:t>）</w:t>
      </w:r>
    </w:p>
    <w:p>
      <w:pPr>
        <w:pStyle w:val="27"/>
        <w:snapToGrid w:val="0"/>
        <w:spacing w:before="50" w:after="120" w:line="360" w:lineRule="auto"/>
        <w:rPr>
          <w:rFonts w:hint="eastAsia" w:hAnsi="宋体" w:eastAsia="宋体" w:cs="宋体"/>
          <w:b/>
          <w:bCs/>
          <w:color w:val="auto"/>
          <w:w w:val="95"/>
          <w:sz w:val="28"/>
          <w:szCs w:val="28"/>
          <w:highlight w:val="none"/>
          <w:lang w:eastAsia="zh-CN"/>
        </w:rPr>
      </w:pPr>
      <w:r>
        <w:rPr>
          <w:rFonts w:hint="eastAsia" w:hAnsi="宋体" w:cs="宋体"/>
          <w:b/>
          <w:bCs/>
          <w:color w:val="auto"/>
          <w:w w:val="95"/>
          <w:sz w:val="28"/>
          <w:szCs w:val="28"/>
          <w:highlight w:val="none"/>
        </w:rPr>
        <w:t>采购人：</w:t>
      </w:r>
      <w:r>
        <w:rPr>
          <w:rFonts w:hint="eastAsia" w:hAnsi="宋体" w:cs="宋体"/>
          <w:b/>
          <w:bCs/>
          <w:color w:val="auto"/>
          <w:w w:val="95"/>
          <w:sz w:val="28"/>
          <w:szCs w:val="28"/>
          <w:highlight w:val="none"/>
          <w:lang w:eastAsia="zh-CN"/>
        </w:rPr>
        <w:t>桂林电子科技大学</w:t>
      </w:r>
    </w:p>
    <w:p>
      <w:pPr>
        <w:pStyle w:val="27"/>
        <w:snapToGrid w:val="0"/>
        <w:spacing w:before="50" w:after="120" w:line="360" w:lineRule="auto"/>
        <w:rPr>
          <w:rFonts w:hAnsi="宋体" w:cs="宋体"/>
          <w:b/>
          <w:bCs/>
          <w:color w:val="auto"/>
          <w:w w:val="95"/>
          <w:sz w:val="28"/>
          <w:szCs w:val="28"/>
          <w:highlight w:val="none"/>
        </w:rPr>
      </w:pPr>
      <w:r>
        <w:rPr>
          <w:rFonts w:hint="eastAsia" w:hAnsi="宋体" w:cs="宋体"/>
          <w:b/>
          <w:bCs/>
          <w:color w:val="auto"/>
          <w:w w:val="95"/>
          <w:sz w:val="28"/>
          <w:szCs w:val="28"/>
          <w:highlight w:val="none"/>
        </w:rPr>
        <w:t>采购代理机构：广西达成咨询有限公司</w:t>
      </w:r>
    </w:p>
    <w:p>
      <w:pPr>
        <w:pStyle w:val="27"/>
        <w:snapToGrid w:val="0"/>
        <w:spacing w:before="50" w:after="120" w:line="360" w:lineRule="auto"/>
        <w:rPr>
          <w:rFonts w:hAnsi="宋体" w:cs="宋体"/>
          <w:color w:val="auto"/>
          <w:sz w:val="18"/>
          <w:szCs w:val="18"/>
          <w:highlight w:val="none"/>
        </w:rPr>
      </w:pPr>
      <w:r>
        <w:rPr>
          <w:rFonts w:hint="eastAsia" w:hAnsi="宋体" w:cs="宋体"/>
          <w:b/>
          <w:bCs/>
          <w:color w:val="auto"/>
          <w:w w:val="95"/>
          <w:sz w:val="28"/>
          <w:szCs w:val="28"/>
          <w:highlight w:val="none"/>
        </w:rPr>
        <w:t>日期：202</w:t>
      </w:r>
      <w:r>
        <w:rPr>
          <w:rFonts w:hint="eastAsia" w:hAnsi="宋体" w:cs="宋体"/>
          <w:b/>
          <w:bCs/>
          <w:color w:val="auto"/>
          <w:w w:val="95"/>
          <w:sz w:val="28"/>
          <w:szCs w:val="28"/>
          <w:highlight w:val="none"/>
          <w:lang w:val="en-US" w:eastAsia="zh-CN"/>
        </w:rPr>
        <w:t>3</w:t>
      </w:r>
      <w:r>
        <w:rPr>
          <w:rFonts w:hint="eastAsia" w:hAnsi="宋体" w:cs="宋体"/>
          <w:b/>
          <w:bCs/>
          <w:color w:val="auto"/>
          <w:w w:val="95"/>
          <w:sz w:val="28"/>
          <w:szCs w:val="28"/>
          <w:highlight w:val="none"/>
        </w:rPr>
        <w:t>年</w:t>
      </w:r>
      <w:r>
        <w:rPr>
          <w:rFonts w:hint="eastAsia" w:hAnsi="宋体" w:cs="宋体"/>
          <w:b/>
          <w:bCs/>
          <w:color w:val="auto"/>
          <w:w w:val="95"/>
          <w:sz w:val="28"/>
          <w:szCs w:val="28"/>
          <w:highlight w:val="none"/>
          <w:lang w:val="en-US" w:eastAsia="zh-CN"/>
        </w:rPr>
        <w:t>1</w:t>
      </w:r>
      <w:r>
        <w:rPr>
          <w:rFonts w:hint="eastAsia" w:hAnsi="宋体" w:cs="宋体"/>
          <w:b/>
          <w:bCs/>
          <w:color w:val="auto"/>
          <w:w w:val="95"/>
          <w:sz w:val="28"/>
          <w:szCs w:val="28"/>
          <w:highlight w:val="none"/>
        </w:rPr>
        <w:t>月</w:t>
      </w:r>
    </w:p>
    <w:p>
      <w:pPr>
        <w:spacing w:line="360" w:lineRule="auto"/>
        <w:jc w:val="center"/>
        <w:rPr>
          <w:rFonts w:hAnsi="宋体" w:cs="宋体"/>
          <w:color w:val="auto"/>
          <w:highlight w:val="none"/>
        </w:rPr>
      </w:pPr>
      <w:r>
        <w:rPr>
          <w:rFonts w:hint="eastAsia" w:hAnsi="宋体" w:cs="宋体"/>
          <w:color w:val="auto"/>
          <w:highlight w:val="none"/>
        </w:rPr>
        <w:br w:type="page"/>
      </w:r>
    </w:p>
    <w:p>
      <w:pPr>
        <w:pStyle w:val="27"/>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目录</w:t>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fldChar w:fldCharType="begin"/>
      </w:r>
      <w:r>
        <w:rPr>
          <w:rFonts w:hint="eastAsia" w:ascii="宋体" w:hAnsi="宋体" w:eastAsia="宋体" w:cs="宋体"/>
          <w:b/>
          <w:color w:val="auto"/>
          <w:sz w:val="24"/>
          <w:highlight w:val="none"/>
        </w:rPr>
        <w:instrText xml:space="preserve"> TOC \o "1-2" \h \z \u </w:instrText>
      </w:r>
      <w:r>
        <w:rPr>
          <w:rFonts w:hint="eastAsia" w:ascii="宋体" w:hAnsi="宋体" w:eastAsia="宋体" w:cs="宋体"/>
          <w:b/>
          <w:color w:val="auto"/>
          <w:sz w:val="24"/>
          <w:highlight w:val="none"/>
        </w:rPr>
        <w:fldChar w:fldCharType="separate"/>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_Toc1096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第一章、招标公告</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_Toc1096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_Toc10513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第二章、采购需求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_Toc10513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_Toc20668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第三章、投标人须知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_Toc20668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_Toc18258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第四章、评标方法及评标标准</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_Toc18258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_Toc19386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第五章、拟签订的合同文本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_Toc19386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2"/>
        <w:tabs>
          <w:tab w:val="right" w:leader="dot" w:pos="9072"/>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_Toc13111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第六章、投标文件格式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_Toc13111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spacing w:before="120" w:beforeLines="50" w:line="48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fldChar w:fldCharType="end"/>
      </w:r>
    </w:p>
    <w:p>
      <w:pPr>
        <w:spacing w:before="120" w:beforeLines="50" w:line="480" w:lineRule="exact"/>
        <w:rPr>
          <w:rFonts w:ascii="宋体" w:hAnsi="宋体" w:cs="宋体"/>
          <w:color w:val="auto"/>
          <w:sz w:val="30"/>
          <w:highlight w:val="none"/>
        </w:rPr>
      </w:pPr>
    </w:p>
    <w:p>
      <w:pPr>
        <w:rPr>
          <w:rFonts w:ascii="宋体" w:hAnsi="宋体" w:cs="宋体"/>
          <w:color w:val="auto"/>
          <w:highlight w:val="none"/>
        </w:rPr>
      </w:pPr>
    </w:p>
    <w:p>
      <w:pPr>
        <w:spacing w:before="120" w:beforeLines="50" w:line="480" w:lineRule="exact"/>
        <w:rPr>
          <w:rFonts w:ascii="宋体" w:hAnsi="宋体" w:cs="宋体"/>
          <w:color w:val="auto"/>
          <w:sz w:val="30"/>
          <w:highlight w:val="none"/>
        </w:rPr>
      </w:pPr>
    </w:p>
    <w:p>
      <w:pPr>
        <w:spacing w:before="120" w:beforeLines="50" w:line="480" w:lineRule="exact"/>
        <w:rPr>
          <w:rFonts w:ascii="宋体" w:hAnsi="宋体" w:cs="宋体"/>
          <w:color w:val="auto"/>
          <w:sz w:val="30"/>
          <w:highlight w:val="none"/>
        </w:rPr>
      </w:pPr>
    </w:p>
    <w:p>
      <w:pPr>
        <w:pStyle w:val="10"/>
        <w:rPr>
          <w:rFonts w:ascii="宋体" w:hAnsi="宋体" w:cs="宋体"/>
          <w:b/>
          <w:bCs/>
          <w:color w:val="auto"/>
          <w:highlight w:val="none"/>
        </w:rPr>
      </w:pPr>
      <w:bookmarkStart w:id="0" w:name="_Toc254970630"/>
      <w:bookmarkStart w:id="1" w:name="_Toc254970489"/>
    </w:p>
    <w:p>
      <w:pPr>
        <w:pStyle w:val="4"/>
        <w:tabs>
          <w:tab w:val="left" w:pos="0"/>
          <w:tab w:val="left" w:pos="3165"/>
          <w:tab w:val="center" w:pos="4153"/>
        </w:tabs>
        <w:spacing w:before="0" w:after="0"/>
        <w:jc w:val="center"/>
        <w:rPr>
          <w:rFonts w:ascii="宋体" w:hAnsi="宋体" w:eastAsia="宋体" w:cs="宋体"/>
          <w:b w:val="0"/>
          <w:bCs w:val="0"/>
          <w:color w:val="auto"/>
          <w:highlight w:val="none"/>
        </w:rPr>
        <w:sectPr>
          <w:footerReference r:id="rId5" w:type="first"/>
          <w:headerReference r:id="rId3" w:type="default"/>
          <w:footerReference r:id="rId4"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pPr>
        <w:pStyle w:val="4"/>
        <w:tabs>
          <w:tab w:val="left" w:pos="0"/>
          <w:tab w:val="left" w:pos="3165"/>
          <w:tab w:val="center" w:pos="4153"/>
        </w:tabs>
        <w:spacing w:before="0" w:after="0"/>
        <w:jc w:val="center"/>
        <w:rPr>
          <w:rFonts w:ascii="宋体" w:hAnsi="宋体" w:eastAsia="宋体" w:cs="宋体"/>
          <w:color w:val="auto"/>
          <w:highlight w:val="none"/>
        </w:rPr>
      </w:pPr>
      <w:bookmarkStart w:id="4" w:name="_Toc7190"/>
      <w:bookmarkStart w:id="5" w:name="_Toc21656"/>
      <w:bookmarkStart w:id="6" w:name="_Toc1096"/>
      <w:r>
        <w:rPr>
          <w:rFonts w:hint="eastAsia" w:ascii="宋体" w:hAnsi="宋体" w:eastAsia="宋体" w:cs="宋体"/>
          <w:color w:val="auto"/>
          <w:highlight w:val="none"/>
        </w:rPr>
        <w:t>第一章</w:t>
      </w:r>
      <w:bookmarkEnd w:id="0"/>
      <w:bookmarkEnd w:id="1"/>
      <w:bookmarkEnd w:id="2"/>
      <w:bookmarkStart w:id="7" w:name="_Toc35393789"/>
      <w:bookmarkStart w:id="8" w:name="_Toc28359001"/>
      <w:r>
        <w:rPr>
          <w:rFonts w:hint="eastAsia" w:ascii="宋体" w:hAnsi="宋体" w:eastAsia="宋体" w:cs="宋体"/>
          <w:color w:val="auto"/>
          <w:highlight w:val="none"/>
        </w:rPr>
        <w:t>、招标公告</w:t>
      </w:r>
      <w:bookmarkEnd w:id="3"/>
      <w:bookmarkEnd w:id="4"/>
      <w:bookmarkEnd w:id="5"/>
      <w:bookmarkEnd w:id="6"/>
      <w:bookmarkEnd w:id="7"/>
      <w:bookmarkEnd w:id="8"/>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校园保安服务采购</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政采云平台（网址：</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"http://www.zcygov.cn）获取招标文件，并于2022年" </w:instrText>
      </w:r>
      <w:r>
        <w:rPr>
          <w:rFonts w:hint="eastAsia" w:ascii="宋体" w:hAnsi="宋体" w:cs="宋体"/>
          <w:color w:val="auto"/>
          <w:szCs w:val="21"/>
          <w:highlight w:val="none"/>
          <w:u w:val="single"/>
        </w:rPr>
        <w:fldChar w:fldCharType="separate"/>
      </w:r>
      <w:r>
        <w:rPr>
          <w:rStyle w:val="57"/>
          <w:rFonts w:hint="eastAsia" w:ascii="宋体" w:hAnsi="宋体" w:cs="宋体"/>
          <w:color w:val="auto"/>
          <w:szCs w:val="21"/>
          <w:highlight w:val="none"/>
        </w:rPr>
        <w:t>http://www.zcygov.cn）获取招标文件，并于202</w:t>
      </w:r>
      <w:r>
        <w:rPr>
          <w:rStyle w:val="57"/>
          <w:rFonts w:hint="eastAsia" w:ascii="宋体" w:hAnsi="宋体" w:cs="宋体"/>
          <w:color w:val="auto"/>
          <w:szCs w:val="21"/>
          <w:highlight w:val="none"/>
          <w:lang w:val="en-US" w:eastAsia="zh-CN"/>
        </w:rPr>
        <w:t>3</w:t>
      </w:r>
      <w:r>
        <w:rPr>
          <w:rStyle w:val="57"/>
          <w:rFonts w:hint="eastAsia" w:ascii="宋体" w:hAnsi="宋体" w:cs="宋体"/>
          <w:bCs/>
          <w:color w:val="auto"/>
          <w:szCs w:val="21"/>
          <w:highlight w:val="none"/>
        </w:rPr>
        <w:t>年</w:t>
      </w:r>
      <w:r>
        <w:rPr>
          <w:rFonts w:hint="eastAsia" w:ascii="宋体" w:hAnsi="宋体" w:cs="宋体"/>
          <w:color w:val="auto"/>
          <w:szCs w:val="21"/>
          <w:highlight w:val="none"/>
          <w:u w:val="single"/>
        </w:rPr>
        <w:fldChar w:fldCharType="end"/>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时30分（</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b/>
          <w:bCs/>
          <w:color w:val="auto"/>
          <w:sz w:val="21"/>
          <w:szCs w:val="21"/>
          <w:highlight w:val="none"/>
        </w:rPr>
      </w:pPr>
      <w:bookmarkStart w:id="9" w:name="_Toc28359079"/>
      <w:bookmarkStart w:id="10" w:name="_Toc35393621"/>
      <w:bookmarkStart w:id="11" w:name="_Toc28359002"/>
      <w:bookmarkStart w:id="12" w:name="_Toc35393790"/>
      <w:bookmarkStart w:id="13" w:name="_Hlk24379207"/>
      <w:r>
        <w:rPr>
          <w:rFonts w:hint="eastAsia" w:ascii="宋体" w:hAnsi="宋体" w:cs="宋体"/>
          <w:b/>
          <w:bCs/>
          <w:color w:val="auto"/>
          <w:sz w:val="21"/>
          <w:szCs w:val="21"/>
          <w:highlight w:val="none"/>
        </w:rPr>
        <w:t>一、项目基本情况</w:t>
      </w:r>
      <w:bookmarkEnd w:id="9"/>
      <w:bookmarkEnd w:id="10"/>
      <w:bookmarkEnd w:id="11"/>
      <w:bookmarkEnd w:id="12"/>
    </w:p>
    <w:p>
      <w:pPr>
        <w:spacing w:before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GXZC2022-G3-004456-GXDC（</w:t>
      </w:r>
      <w:r>
        <w:rPr>
          <w:rFonts w:hint="eastAsia" w:ascii="宋体" w:hAnsi="宋体" w:cs="宋体"/>
          <w:color w:val="auto"/>
          <w:szCs w:val="21"/>
          <w:highlight w:val="none"/>
          <w:lang w:val="en-US" w:eastAsia="zh-CN"/>
        </w:rPr>
        <w:t>校内编号：2022327</w:t>
      </w:r>
      <w:r>
        <w:rPr>
          <w:rFonts w:hint="eastAsia" w:ascii="宋体" w:hAnsi="宋体" w:cs="宋体"/>
          <w:color w:val="auto"/>
          <w:szCs w:val="21"/>
          <w:highlight w:val="none"/>
          <w:lang w:eastAsia="zh-CN"/>
        </w:rPr>
        <w:t>）</w:t>
      </w:r>
    </w:p>
    <w:p>
      <w:pPr>
        <w:spacing w:before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校园保安服务采购</w:t>
      </w:r>
    </w:p>
    <w:bookmarkEnd w:id="13"/>
    <w:p>
      <w:pPr>
        <w:spacing w:beforeLines="0"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金额（元）：</w:t>
      </w:r>
      <w:r>
        <w:rPr>
          <w:rFonts w:hint="eastAsia" w:ascii="宋体" w:hAnsi="宋体" w:cs="宋体"/>
          <w:color w:val="auto"/>
          <w:szCs w:val="21"/>
          <w:highlight w:val="none"/>
          <w:lang w:val="en-US" w:eastAsia="zh-CN"/>
        </w:rPr>
        <w:t>7120000.00</w:t>
      </w:r>
    </w:p>
    <w:p>
      <w:pPr>
        <w:spacing w:before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before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：校园保安服务采购</w:t>
      </w:r>
    </w:p>
    <w:p>
      <w:pPr>
        <w:spacing w:before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p>
    <w:p>
      <w:pPr>
        <w:spacing w:beforeLines="0"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b w:val="0"/>
          <w:bCs w:val="0"/>
          <w:i w:val="0"/>
          <w:iCs w:val="0"/>
          <w:color w:val="auto"/>
          <w:sz w:val="21"/>
          <w:szCs w:val="21"/>
          <w:highlight w:val="none"/>
        </w:rPr>
        <w:t>预算金额（元）</w:t>
      </w:r>
      <w:r>
        <w:rPr>
          <w:rFonts w:hint="eastAsia" w:ascii="宋体" w:hAnsi="宋体" w:eastAsia="宋体" w:cs="宋体"/>
          <w:b w:val="0"/>
          <w:bCs w:val="0"/>
          <w:i w:val="0"/>
          <w:iCs w:val="0"/>
          <w:color w:val="auto"/>
          <w:sz w:val="21"/>
          <w:szCs w:val="21"/>
          <w:highlight w:val="none"/>
          <w:lang w:eastAsia="zh-CN"/>
        </w:rPr>
        <w:t>：</w:t>
      </w:r>
      <w:r>
        <w:rPr>
          <w:rFonts w:hint="eastAsia" w:ascii="宋体" w:hAnsi="宋体" w:cs="宋体"/>
          <w:color w:val="auto"/>
          <w:szCs w:val="21"/>
          <w:highlight w:val="none"/>
          <w:lang w:val="en-US" w:eastAsia="zh-CN"/>
        </w:rPr>
        <w:t>7120000.00</w:t>
      </w:r>
    </w:p>
    <w:p>
      <w:pPr>
        <w:spacing w:line="360" w:lineRule="auto"/>
        <w:ind w:firstLine="420" w:firstLineChars="200"/>
        <w:rPr>
          <w:rFonts w:hint="eastAsia" w:ascii="宋体" w:hAnsi="宋体" w:eastAsia="宋体" w:cs="宋体"/>
          <w:bCs w:val="0"/>
          <w:color w:val="auto"/>
          <w:kern w:val="2"/>
          <w:sz w:val="21"/>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eastAsia="宋体" w:cs="宋体"/>
          <w:color w:val="auto"/>
          <w:sz w:val="21"/>
          <w:szCs w:val="21"/>
          <w:highlight w:val="none"/>
        </w:rPr>
        <w:t>：</w:t>
      </w:r>
      <w:r>
        <w:rPr>
          <w:rFonts w:hint="eastAsia" w:ascii="宋体" w:hAnsi="宋体" w:eastAsia="宋体" w:cs="宋体"/>
          <w:bCs w:val="0"/>
          <w:color w:val="auto"/>
          <w:kern w:val="2"/>
          <w:sz w:val="21"/>
          <w:szCs w:val="21"/>
          <w:highlight w:val="none"/>
        </w:rPr>
        <w:t>校园保安服务，服务期1年，数量1项</w:t>
      </w:r>
      <w:r>
        <w:rPr>
          <w:rFonts w:hint="eastAsia" w:ascii="宋体" w:hAnsi="宋体" w:eastAsia="宋体" w:cs="宋体"/>
          <w:color w:val="auto"/>
          <w:sz w:val="21"/>
          <w:szCs w:val="21"/>
          <w:highlight w:val="none"/>
        </w:rPr>
        <w:t>，用于学校日常安全保卫工作。</w:t>
      </w:r>
    </w:p>
    <w:p>
      <w:pPr>
        <w:spacing w:before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7120000.00</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cs="宋体"/>
          <w:color w:val="auto"/>
          <w:szCs w:val="21"/>
          <w:highlight w:val="none"/>
          <w:u w:val="none"/>
        </w:rPr>
        <w:t>合同履约期限：</w:t>
      </w:r>
      <w:r>
        <w:rPr>
          <w:rFonts w:hint="eastAsia" w:ascii="宋体" w:hAnsi="宋体" w:eastAsia="宋体" w:cs="宋体"/>
          <w:color w:val="auto"/>
          <w:sz w:val="21"/>
          <w:szCs w:val="21"/>
          <w:highlight w:val="none"/>
        </w:rPr>
        <w:t>自签订合同且中标人保安服务进驻之日起12个月。</w:t>
      </w:r>
    </w:p>
    <w:p>
      <w:pPr>
        <w:spacing w:beforeLines="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b/>
          <w:bCs/>
          <w:color w:val="auto"/>
          <w:sz w:val="21"/>
          <w:szCs w:val="21"/>
          <w:highlight w:val="none"/>
        </w:rPr>
      </w:pPr>
      <w:bookmarkStart w:id="14" w:name="_Toc28359003"/>
      <w:bookmarkStart w:id="15" w:name="_Toc28359080"/>
      <w:bookmarkStart w:id="16" w:name="_Toc35393791"/>
      <w:bookmarkStart w:id="17" w:name="_Toc35393622"/>
      <w:r>
        <w:rPr>
          <w:rFonts w:hint="eastAsia" w:ascii="宋体" w:hAnsi="宋体" w:cs="宋体"/>
          <w:b/>
          <w:bCs/>
          <w:color w:val="auto"/>
          <w:sz w:val="21"/>
          <w:szCs w:val="21"/>
          <w:highlight w:val="none"/>
        </w:rPr>
        <w:t>二、投标人的资格要求：</w:t>
      </w:r>
      <w:bookmarkEnd w:id="14"/>
      <w:bookmarkEnd w:id="15"/>
      <w:bookmarkEnd w:id="16"/>
      <w:bookmarkEnd w:id="17"/>
    </w:p>
    <w:p>
      <w:pPr>
        <w:spacing w:line="360" w:lineRule="auto"/>
        <w:ind w:firstLine="420" w:firstLineChars="200"/>
        <w:rPr>
          <w:rFonts w:ascii="宋体" w:hAnsi="宋体" w:cs="宋体"/>
          <w:color w:val="auto"/>
          <w:szCs w:val="21"/>
          <w:highlight w:val="none"/>
        </w:rPr>
      </w:pPr>
      <w:bookmarkStart w:id="18" w:name="_Hlk51746371"/>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u w:val="none"/>
        </w:rPr>
      </w:pPr>
      <w:bookmarkStart w:id="19" w:name="_Toc28359081"/>
      <w:bookmarkStart w:id="20" w:name="_Toc28359004"/>
      <w:r>
        <w:rPr>
          <w:rFonts w:hint="eastAsia" w:ascii="宋体" w:hAnsi="宋体" w:cs="宋体"/>
          <w:color w:val="auto"/>
          <w:szCs w:val="21"/>
          <w:highlight w:val="none"/>
          <w:u w:val="none"/>
        </w:rPr>
        <w:t>2.落实政府采购政策需满足的资格要求：无。</w:t>
      </w:r>
    </w:p>
    <w:p>
      <w:pPr>
        <w:spacing w:line="360" w:lineRule="auto"/>
        <w:ind w:firstLine="420" w:firstLineChars="200"/>
        <w:rPr>
          <w:rFonts w:ascii="宋体" w:hAnsi="宋体" w:cs="宋体"/>
          <w:color w:val="auto"/>
          <w:szCs w:val="21"/>
          <w:highlight w:val="none"/>
          <w:u w:val="none"/>
        </w:rPr>
      </w:pPr>
      <w:r>
        <w:rPr>
          <w:rFonts w:hint="eastAsia" w:ascii="宋体" w:hAnsi="宋体" w:cs="宋体"/>
          <w:color w:val="auto"/>
          <w:szCs w:val="21"/>
          <w:highlight w:val="none"/>
          <w:u w:val="none"/>
        </w:rPr>
        <w:t>3.本项目的特定资格要求：</w:t>
      </w:r>
      <w:r>
        <w:rPr>
          <w:rFonts w:hint="eastAsia" w:ascii="宋体" w:hAnsi="宋体" w:eastAsia="宋体" w:cs="宋体"/>
          <w:i w:val="0"/>
          <w:caps w:val="0"/>
          <w:color w:val="auto"/>
          <w:spacing w:val="0"/>
          <w:sz w:val="21"/>
          <w:szCs w:val="21"/>
          <w:highlight w:val="none"/>
          <w:u w:val="single"/>
          <w:shd w:val="clear" w:color="auto" w:fill="FFFFFF"/>
        </w:rPr>
        <w:t>具有公安部门颁发的保安服务许可证的供应商</w:t>
      </w:r>
      <w:r>
        <w:rPr>
          <w:rFonts w:hint="default" w:ascii="Times New Roman" w:hAnsi="Times New Roman" w:eastAsia="宋体" w:cs="Times New Roman"/>
          <w:color w:val="auto"/>
          <w:sz w:val="21"/>
          <w:szCs w:val="21"/>
          <w:highlight w:val="none"/>
          <w:u w:val="single"/>
          <w:lang w:eastAsia="zh-CN"/>
        </w:rPr>
        <w:t>。</w:t>
      </w:r>
    </w:p>
    <w:bookmarkEnd w:id="18"/>
    <w:p>
      <w:pPr>
        <w:spacing w:line="360" w:lineRule="auto"/>
        <w:rPr>
          <w:rFonts w:ascii="宋体" w:hAnsi="宋体" w:cs="宋体"/>
          <w:b/>
          <w:bCs/>
          <w:color w:val="auto"/>
          <w:sz w:val="21"/>
          <w:szCs w:val="21"/>
          <w:highlight w:val="none"/>
        </w:rPr>
      </w:pPr>
      <w:bookmarkStart w:id="21" w:name="_Toc35393623"/>
      <w:bookmarkStart w:id="22" w:name="_Toc35393792"/>
      <w:r>
        <w:rPr>
          <w:rFonts w:hint="eastAsia" w:ascii="宋体" w:hAnsi="宋体" w:cs="宋体"/>
          <w:b/>
          <w:bCs/>
          <w:color w:val="auto"/>
          <w:sz w:val="21"/>
          <w:szCs w:val="21"/>
          <w:highlight w:val="none"/>
        </w:rPr>
        <w:t>三、获取招标文件</w:t>
      </w:r>
      <w:bookmarkEnd w:id="19"/>
      <w:bookmarkEnd w:id="20"/>
      <w:bookmarkEnd w:id="21"/>
      <w:bookmarkEnd w:id="22"/>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时间：202</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3</w:t>
      </w:r>
      <w:r>
        <w:rPr>
          <w:rFonts w:hint="eastAsia" w:ascii="宋体" w:hAnsi="宋体" w:cs="宋体"/>
          <w:bCs/>
          <w:color w:val="auto"/>
          <w:kern w:val="0"/>
          <w:szCs w:val="21"/>
          <w:highlight w:val="none"/>
          <w:u w:val="single"/>
        </w:rPr>
        <w:t>日至202</w:t>
      </w:r>
      <w:r>
        <w:rPr>
          <w:rFonts w:hint="eastAsia" w:ascii="宋体" w:hAnsi="宋体" w:cs="宋体"/>
          <w:bCs/>
          <w:color w:val="auto"/>
          <w:kern w:val="0"/>
          <w:szCs w:val="21"/>
          <w:highlight w:val="none"/>
          <w:u w:val="single"/>
          <w:lang w:val="en-US" w:eastAsia="zh-CN"/>
        </w:rPr>
        <w:t>3</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每天上午00:00至11:59，下午12:00至23:59（北京时间，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bookmarkStart w:id="165" w:name="_GoBack"/>
      <w:bookmarkEnd w:id="165"/>
    </w:p>
    <w:p>
      <w:pPr>
        <w:spacing w:line="360" w:lineRule="auto"/>
        <w:ind w:firstLine="540"/>
        <w:rPr>
          <w:rFonts w:ascii="宋体" w:hAnsi="宋体" w:cs="宋体"/>
          <w:color w:val="auto"/>
          <w:highlight w:val="none"/>
          <w:u w:val="single"/>
        </w:rPr>
      </w:pPr>
      <w:r>
        <w:rPr>
          <w:rFonts w:hint="eastAsia" w:ascii="宋体" w:hAnsi="宋体" w:cs="宋体"/>
          <w:bCs/>
          <w:color w:val="auto"/>
          <w:kern w:val="0"/>
          <w:szCs w:val="21"/>
          <w:highlight w:val="none"/>
        </w:rPr>
        <w:t>地点：政采云平台线上获取。</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售价：0</w:t>
      </w:r>
      <w:r>
        <w:rPr>
          <w:rFonts w:hint="eastAsia" w:ascii="宋体" w:hAnsi="宋体" w:cs="宋体"/>
          <w:color w:val="auto"/>
          <w:highlight w:val="none"/>
        </w:rPr>
        <w:t>。</w:t>
      </w:r>
    </w:p>
    <w:p>
      <w:pPr>
        <w:spacing w:line="360" w:lineRule="auto"/>
        <w:rPr>
          <w:rFonts w:ascii="宋体" w:hAnsi="宋体" w:cs="宋体"/>
          <w:b/>
          <w:bCs/>
          <w:color w:val="auto"/>
          <w:sz w:val="21"/>
          <w:szCs w:val="21"/>
          <w:highlight w:val="none"/>
        </w:rPr>
      </w:pPr>
      <w:bookmarkStart w:id="23" w:name="_Toc28359005"/>
      <w:bookmarkStart w:id="24" w:name="_Toc28359082"/>
      <w:bookmarkStart w:id="25" w:name="_Toc35393793"/>
      <w:bookmarkStart w:id="26" w:name="_Toc35393624"/>
      <w:r>
        <w:rPr>
          <w:rFonts w:hint="eastAsia" w:ascii="宋体" w:hAnsi="宋体" w:cs="宋体"/>
          <w:b/>
          <w:bCs/>
          <w:color w:val="auto"/>
          <w:sz w:val="21"/>
          <w:szCs w:val="21"/>
          <w:highlight w:val="none"/>
        </w:rPr>
        <w:t>四、提交投标文件</w:t>
      </w:r>
      <w:bookmarkEnd w:id="23"/>
      <w:bookmarkEnd w:id="24"/>
      <w:r>
        <w:rPr>
          <w:rFonts w:hint="eastAsia" w:ascii="宋体" w:hAnsi="宋体" w:cs="宋体"/>
          <w:b/>
          <w:bCs/>
          <w:color w:val="auto"/>
          <w:sz w:val="21"/>
          <w:szCs w:val="21"/>
          <w:highlight w:val="none"/>
        </w:rPr>
        <w:t>截止时间、开标时间和地点</w:t>
      </w:r>
      <w:bookmarkEnd w:id="25"/>
      <w:bookmarkEnd w:id="2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提交投标文件截止时间：202</w:t>
      </w:r>
      <w:r>
        <w:rPr>
          <w:rFonts w:hint="eastAsia" w:ascii="宋体" w:hAnsi="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val="en-US" w:eastAsia="zh-CN" w:bidi="ar"/>
        </w:rPr>
        <w:t>年</w:t>
      </w:r>
      <w:r>
        <w:rPr>
          <w:rFonts w:hint="eastAsia" w:ascii="宋体" w:hAnsi="宋体" w:cs="宋体"/>
          <w:b w:val="0"/>
          <w:bCs/>
          <w:color w:val="auto"/>
          <w:kern w:val="0"/>
          <w:sz w:val="21"/>
          <w:szCs w:val="21"/>
          <w:highlight w:val="none"/>
          <w:lang w:val="en-US" w:eastAsia="zh-CN" w:bidi="ar"/>
        </w:rPr>
        <w:t>1</w:t>
      </w:r>
      <w:r>
        <w:rPr>
          <w:rFonts w:hint="eastAsia" w:ascii="宋体" w:hAnsi="宋体" w:eastAsia="宋体" w:cs="宋体"/>
          <w:b w:val="0"/>
          <w:bCs/>
          <w:color w:val="auto"/>
          <w:kern w:val="0"/>
          <w:sz w:val="21"/>
          <w:szCs w:val="21"/>
          <w:highlight w:val="none"/>
          <w:lang w:val="en-US" w:eastAsia="zh-CN" w:bidi="ar"/>
        </w:rPr>
        <w:t>月</w:t>
      </w:r>
      <w:r>
        <w:rPr>
          <w:rFonts w:hint="eastAsia" w:ascii="宋体" w:hAnsi="宋体" w:cs="宋体"/>
          <w:b w:val="0"/>
          <w:bCs/>
          <w:color w:val="auto"/>
          <w:kern w:val="0"/>
          <w:sz w:val="21"/>
          <w:szCs w:val="21"/>
          <w:highlight w:val="none"/>
          <w:lang w:val="en-US" w:eastAsia="zh-CN" w:bidi="ar"/>
        </w:rPr>
        <w:t>29</w:t>
      </w:r>
      <w:r>
        <w:rPr>
          <w:rFonts w:hint="eastAsia" w:ascii="宋体" w:hAnsi="宋体" w:eastAsia="宋体" w:cs="宋体"/>
          <w:b w:val="0"/>
          <w:bCs/>
          <w:color w:val="auto"/>
          <w:kern w:val="0"/>
          <w:sz w:val="21"/>
          <w:szCs w:val="21"/>
          <w:highlight w:val="none"/>
          <w:lang w:val="en-US" w:eastAsia="zh-CN" w:bidi="ar"/>
        </w:rPr>
        <w:t>日09:30（北京时间）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投标地点（网址）：“政采云”平台电子开标大厅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开标时间：202</w:t>
      </w:r>
      <w:r>
        <w:rPr>
          <w:rFonts w:hint="eastAsia" w:ascii="宋体" w:hAnsi="宋体" w:cs="宋体"/>
          <w:b w:val="0"/>
          <w:bCs/>
          <w:color w:val="auto"/>
          <w:kern w:val="0"/>
          <w:sz w:val="21"/>
          <w:szCs w:val="21"/>
          <w:highlight w:val="none"/>
          <w:lang w:val="en-US" w:eastAsia="zh-CN" w:bidi="ar"/>
        </w:rPr>
        <w:t>3</w:t>
      </w:r>
      <w:r>
        <w:rPr>
          <w:rFonts w:hint="eastAsia" w:ascii="宋体" w:hAnsi="宋体" w:eastAsia="宋体" w:cs="宋体"/>
          <w:b w:val="0"/>
          <w:bCs/>
          <w:color w:val="auto"/>
          <w:kern w:val="0"/>
          <w:sz w:val="21"/>
          <w:szCs w:val="21"/>
          <w:highlight w:val="none"/>
          <w:lang w:val="en-US" w:eastAsia="zh-CN" w:bidi="ar"/>
        </w:rPr>
        <w:t>年</w:t>
      </w:r>
      <w:r>
        <w:rPr>
          <w:rFonts w:hint="eastAsia" w:ascii="宋体" w:hAnsi="宋体" w:cs="宋体"/>
          <w:b w:val="0"/>
          <w:bCs/>
          <w:color w:val="auto"/>
          <w:kern w:val="0"/>
          <w:sz w:val="21"/>
          <w:szCs w:val="21"/>
          <w:highlight w:val="none"/>
          <w:lang w:val="en-US" w:eastAsia="zh-CN" w:bidi="ar"/>
        </w:rPr>
        <w:t>1</w:t>
      </w:r>
      <w:r>
        <w:rPr>
          <w:rFonts w:hint="eastAsia" w:ascii="宋体" w:hAnsi="宋体" w:eastAsia="宋体" w:cs="宋体"/>
          <w:b w:val="0"/>
          <w:bCs/>
          <w:color w:val="auto"/>
          <w:kern w:val="0"/>
          <w:sz w:val="21"/>
          <w:szCs w:val="21"/>
          <w:highlight w:val="none"/>
          <w:lang w:val="en-US" w:eastAsia="zh-CN" w:bidi="ar"/>
        </w:rPr>
        <w:t>月</w:t>
      </w:r>
      <w:r>
        <w:rPr>
          <w:rFonts w:hint="eastAsia" w:ascii="宋体" w:hAnsi="宋体" w:cs="宋体"/>
          <w:b w:val="0"/>
          <w:bCs/>
          <w:color w:val="auto"/>
          <w:kern w:val="0"/>
          <w:sz w:val="21"/>
          <w:szCs w:val="21"/>
          <w:highlight w:val="none"/>
          <w:lang w:val="en-US" w:eastAsia="zh-CN" w:bidi="ar"/>
        </w:rPr>
        <w:t>29</w:t>
      </w:r>
      <w:r>
        <w:rPr>
          <w:rFonts w:hint="eastAsia" w:ascii="宋体" w:hAnsi="宋体" w:eastAsia="宋体" w:cs="宋体"/>
          <w:b w:val="0"/>
          <w:bCs/>
          <w:color w:val="auto"/>
          <w:kern w:val="0"/>
          <w:sz w:val="21"/>
          <w:szCs w:val="21"/>
          <w:highlight w:val="none"/>
          <w:lang w:val="en-US" w:eastAsia="zh-CN" w:bidi="ar"/>
        </w:rPr>
        <w:t>日09:30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开标地点：本项目将在“政采云”平台电子开标大厅解密、开标。</w:t>
      </w:r>
    </w:p>
    <w:p>
      <w:pPr>
        <w:spacing w:line="360" w:lineRule="auto"/>
        <w:rPr>
          <w:rFonts w:ascii="宋体" w:hAnsi="宋体" w:cs="宋体"/>
          <w:b/>
          <w:bCs/>
          <w:color w:val="auto"/>
          <w:sz w:val="21"/>
          <w:szCs w:val="21"/>
          <w:highlight w:val="none"/>
        </w:rPr>
      </w:pPr>
      <w:bookmarkStart w:id="27" w:name="_Toc28359084"/>
      <w:bookmarkStart w:id="28" w:name="_Toc35393625"/>
      <w:bookmarkStart w:id="29" w:name="_Toc35393794"/>
      <w:bookmarkStart w:id="30" w:name="_Toc28359007"/>
      <w:r>
        <w:rPr>
          <w:rFonts w:hint="eastAsia" w:ascii="宋体" w:hAnsi="宋体" w:cs="宋体"/>
          <w:b/>
          <w:bCs/>
          <w:color w:val="auto"/>
          <w:sz w:val="21"/>
          <w:szCs w:val="21"/>
          <w:highlight w:val="none"/>
        </w:rPr>
        <w:t>五、公告期限</w:t>
      </w:r>
      <w:bookmarkEnd w:id="27"/>
      <w:bookmarkEnd w:id="28"/>
      <w:bookmarkEnd w:id="29"/>
      <w:bookmarkEnd w:id="30"/>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宋体" w:hAnsi="宋体" w:cs="宋体"/>
          <w:b/>
          <w:bCs/>
          <w:color w:val="auto"/>
          <w:sz w:val="21"/>
          <w:szCs w:val="21"/>
          <w:highlight w:val="none"/>
        </w:rPr>
      </w:pPr>
      <w:bookmarkStart w:id="31" w:name="_Toc35393626"/>
      <w:bookmarkStart w:id="32" w:name="_Toc35393795"/>
      <w:r>
        <w:rPr>
          <w:rFonts w:hint="eastAsia" w:ascii="宋体" w:hAnsi="宋体" w:cs="宋体"/>
          <w:b/>
          <w:bCs/>
          <w:color w:val="auto"/>
          <w:sz w:val="21"/>
          <w:szCs w:val="21"/>
          <w:highlight w:val="none"/>
        </w:rPr>
        <w:t>六、其他补充事宜</w:t>
      </w:r>
      <w:bookmarkEnd w:id="31"/>
      <w:bookmarkEnd w:id="32"/>
    </w:p>
    <w:p>
      <w:pPr>
        <w:spacing w:beforeLines="0" w:line="360" w:lineRule="auto"/>
        <w:ind w:firstLine="422" w:firstLineChars="200"/>
        <w:rPr>
          <w:rFonts w:hint="eastAsia" w:ascii="宋体" w:hAnsi="宋体" w:eastAsia="宋体" w:cs="宋体"/>
          <w:color w:val="auto"/>
          <w:kern w:val="0"/>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highlight w:val="none"/>
          <w:lang w:val="en-US" w:eastAsia="zh-CN"/>
        </w:rPr>
        <w:t>申请人的资格要求的补充说明</w:t>
      </w:r>
      <w:r>
        <w:rPr>
          <w:rFonts w:hint="eastAsia" w:ascii="宋体" w:hAnsi="宋体" w:eastAsia="宋体" w:cs="宋体"/>
          <w:b/>
          <w:bCs/>
          <w:color w:val="auto"/>
          <w:highlight w:val="none"/>
        </w:rPr>
        <w:t>：</w:t>
      </w:r>
    </w:p>
    <w:p>
      <w:pPr>
        <w:spacing w:beforeLines="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对在“信用中国”网站(www.creditchina.gov.cn)、中国政府采购网(www.ccgp.gov.cn)被列入失信被执行</w:t>
      </w:r>
      <w:r>
        <w:rPr>
          <w:rFonts w:hint="eastAsia" w:ascii="宋体" w:hAnsi="宋体" w:eastAsia="宋体" w:cs="宋体"/>
          <w:color w:val="auto"/>
          <w:kern w:val="0"/>
          <w:szCs w:val="21"/>
          <w:highlight w:val="none"/>
        </w:rPr>
        <w:t>人、</w:t>
      </w:r>
      <w:r>
        <w:rPr>
          <w:rFonts w:hint="eastAsia" w:ascii="宋体" w:hAnsi="宋体" w:cs="宋体"/>
          <w:color w:val="auto"/>
          <w:kern w:val="0"/>
          <w:szCs w:val="21"/>
          <w:highlight w:val="none"/>
          <w:lang w:eastAsia="zh-CN"/>
        </w:rPr>
        <w:t>重大税收违法失信主体</w:t>
      </w:r>
      <w:r>
        <w:rPr>
          <w:rFonts w:hint="eastAsia" w:ascii="宋体" w:hAnsi="宋体" w:eastAsia="宋体" w:cs="宋体"/>
          <w:color w:val="auto"/>
          <w:kern w:val="0"/>
          <w:szCs w:val="21"/>
          <w:highlight w:val="none"/>
        </w:rPr>
        <w:t>、政府采购严重违法失信行为记录名单及其他不符合《中华人民共和国政府采购法》第二十二条规定条件的供应商，不得参与政府采购活动。</w:t>
      </w:r>
    </w:p>
    <w:p>
      <w:pPr>
        <w:spacing w:beforeLines="0" w:line="360" w:lineRule="auto"/>
        <w:ind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lang w:eastAsia="zh-CN"/>
        </w:rPr>
        <w:t>）供应商不得参加响应的情形：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6" w:firstLineChars="202"/>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本项目需要落实的政府采购政策</w:t>
      </w:r>
    </w:p>
    <w:p>
      <w:pPr>
        <w:spacing w:line="360" w:lineRule="auto"/>
        <w:ind w:firstLine="420" w:firstLineChars="200"/>
        <w:rPr>
          <w:rFonts w:ascii="宋体" w:hAnsi="宋体" w:cs="宋体"/>
          <w:iCs/>
          <w:color w:val="auto"/>
          <w:kern w:val="0"/>
          <w:szCs w:val="21"/>
          <w:highlight w:val="none"/>
        </w:rPr>
      </w:pPr>
      <w:r>
        <w:rPr>
          <w:rFonts w:hint="eastAsia" w:ascii="宋体" w:hAnsi="宋体" w:eastAsia="宋体" w:cs="宋体"/>
          <w:color w:val="auto"/>
          <w:kern w:val="0"/>
          <w:szCs w:val="21"/>
          <w:highlight w:val="none"/>
          <w:lang w:val="en-US" w:eastAsia="zh-CN"/>
        </w:rPr>
        <w:t>①</w:t>
      </w:r>
      <w:r>
        <w:rPr>
          <w:rFonts w:hint="eastAsia" w:ascii="宋体" w:hAnsi="宋体" w:cs="宋体"/>
          <w:iCs/>
          <w:color w:val="auto"/>
          <w:kern w:val="0"/>
          <w:szCs w:val="21"/>
          <w:highlight w:val="none"/>
        </w:rPr>
        <w:t>政府采购促进中小企业发展；本项目非专门面向中小企业采购。</w:t>
      </w:r>
    </w:p>
    <w:p>
      <w:pPr>
        <w:spacing w:line="360" w:lineRule="auto"/>
        <w:ind w:firstLine="420" w:firstLineChars="200"/>
        <w:rPr>
          <w:rFonts w:ascii="宋体" w:hAnsi="宋体" w:cs="宋体"/>
          <w:iCs/>
          <w:color w:val="auto"/>
          <w:kern w:val="0"/>
          <w:szCs w:val="21"/>
          <w:highlight w:val="none"/>
        </w:rPr>
      </w:pPr>
      <w:r>
        <w:rPr>
          <w:rFonts w:hint="eastAsia" w:ascii="宋体" w:hAnsi="宋体" w:eastAsia="宋体" w:cs="宋体"/>
          <w:color w:val="auto"/>
          <w:kern w:val="0"/>
          <w:szCs w:val="21"/>
          <w:highlight w:val="none"/>
          <w:lang w:val="en-US" w:eastAsia="zh-CN"/>
        </w:rPr>
        <w:t>②</w:t>
      </w:r>
      <w:r>
        <w:rPr>
          <w:rFonts w:hint="eastAsia" w:ascii="宋体" w:hAnsi="宋体" w:cs="宋体"/>
          <w:iCs/>
          <w:color w:val="auto"/>
          <w:kern w:val="0"/>
          <w:szCs w:val="21"/>
          <w:highlight w:val="none"/>
        </w:rPr>
        <w:t>政府采购支持采用本国产品的政策。</w:t>
      </w:r>
    </w:p>
    <w:p>
      <w:pPr>
        <w:spacing w:line="360" w:lineRule="auto"/>
        <w:ind w:firstLine="420" w:firstLineChars="200"/>
        <w:rPr>
          <w:rFonts w:ascii="宋体" w:hAnsi="宋体" w:cs="宋体"/>
          <w:iCs/>
          <w:color w:val="auto"/>
          <w:kern w:val="0"/>
          <w:szCs w:val="21"/>
          <w:highlight w:val="none"/>
        </w:rPr>
      </w:pPr>
      <w:r>
        <w:rPr>
          <w:rFonts w:hint="eastAsia" w:ascii="宋体" w:hAnsi="宋体" w:eastAsia="宋体" w:cs="宋体"/>
          <w:color w:val="auto"/>
          <w:kern w:val="0"/>
          <w:szCs w:val="21"/>
          <w:highlight w:val="none"/>
          <w:lang w:val="en-US" w:eastAsia="zh-CN"/>
        </w:rPr>
        <w:t>③</w:t>
      </w:r>
      <w:r>
        <w:rPr>
          <w:rFonts w:hint="eastAsia" w:ascii="宋体" w:hAnsi="宋体" w:cs="宋体"/>
          <w:iCs/>
          <w:color w:val="auto"/>
          <w:kern w:val="0"/>
          <w:szCs w:val="21"/>
          <w:highlight w:val="none"/>
        </w:rPr>
        <w:t>强制采购政府采购节能产品；优先采购节能产品、环境标志产品。</w:t>
      </w:r>
    </w:p>
    <w:p>
      <w:pPr>
        <w:spacing w:line="360" w:lineRule="auto"/>
        <w:ind w:firstLine="420" w:firstLineChars="200"/>
        <w:rPr>
          <w:rFonts w:ascii="宋体" w:hAnsi="宋体" w:cs="宋体"/>
          <w:iCs/>
          <w:color w:val="auto"/>
          <w:kern w:val="0"/>
          <w:szCs w:val="21"/>
          <w:highlight w:val="none"/>
        </w:rPr>
      </w:pPr>
      <w:r>
        <w:rPr>
          <w:rFonts w:hint="eastAsia" w:ascii="宋体" w:hAnsi="宋体" w:eastAsia="宋体" w:cs="宋体"/>
          <w:color w:val="auto"/>
          <w:kern w:val="0"/>
          <w:szCs w:val="21"/>
          <w:highlight w:val="none"/>
          <w:lang w:val="en-US" w:eastAsia="zh-CN"/>
        </w:rPr>
        <w:t>④</w:t>
      </w:r>
      <w:r>
        <w:rPr>
          <w:rFonts w:hint="eastAsia" w:ascii="宋体" w:hAnsi="宋体" w:cs="宋体"/>
          <w:iCs/>
          <w:color w:val="auto"/>
          <w:kern w:val="0"/>
          <w:szCs w:val="21"/>
          <w:highlight w:val="none"/>
        </w:rPr>
        <w:t>政府采购促进残疾人就业政策。</w:t>
      </w:r>
    </w:p>
    <w:p>
      <w:pPr>
        <w:spacing w:line="360" w:lineRule="auto"/>
        <w:ind w:firstLine="420" w:firstLineChars="200"/>
        <w:rPr>
          <w:rFonts w:ascii="宋体" w:hAnsi="宋体" w:cs="宋体"/>
          <w:iCs/>
          <w:color w:val="auto"/>
          <w:kern w:val="0"/>
          <w:szCs w:val="21"/>
          <w:highlight w:val="none"/>
        </w:rPr>
      </w:pPr>
      <w:r>
        <w:rPr>
          <w:rFonts w:hint="eastAsia" w:ascii="宋体" w:hAnsi="宋体" w:eastAsia="宋体" w:cs="宋体"/>
          <w:color w:val="auto"/>
          <w:kern w:val="0"/>
          <w:szCs w:val="21"/>
          <w:highlight w:val="none"/>
          <w:lang w:val="en-US" w:eastAsia="zh-CN"/>
        </w:rPr>
        <w:t>⑤</w:t>
      </w:r>
      <w:r>
        <w:rPr>
          <w:rFonts w:hint="eastAsia" w:ascii="宋体" w:hAnsi="宋体" w:cs="宋体"/>
          <w:iCs/>
          <w:color w:val="auto"/>
          <w:kern w:val="0"/>
          <w:szCs w:val="21"/>
          <w:highlight w:val="none"/>
        </w:rPr>
        <w:t>政府采购支持监狱企业发展。</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360" w:lineRule="auto"/>
        <w:ind w:firstLine="422" w:firstLineChars="200"/>
        <w:jc w:val="both"/>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网上查询地址</w:t>
      </w:r>
    </w:p>
    <w:p>
      <w:pPr>
        <w:spacing w:line="360" w:lineRule="auto"/>
        <w:ind w:left="210" w:leftChars="100" w:firstLine="424" w:firstLineChars="202"/>
        <w:rPr>
          <w:rFonts w:hint="eastAsia"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"http://www.ccgp.gov.cn（中国政府采购网）、http:/zfcg.gxzf.gov.cn（广西壮族自治区政府采购网）、http:/www.glggzy.org.cn（桂林市公共资源交易中心网）。" </w:instrText>
      </w:r>
      <w:r>
        <w:rPr>
          <w:rFonts w:ascii="宋体" w:hAnsi="宋体" w:cs="宋体"/>
          <w:color w:val="auto"/>
          <w:kern w:val="0"/>
          <w:szCs w:val="21"/>
          <w:highlight w:val="none"/>
        </w:rPr>
        <w:fldChar w:fldCharType="separate"/>
      </w:r>
      <w:r>
        <w:rPr>
          <w:rStyle w:val="57"/>
          <w:rFonts w:ascii="宋体" w:hAnsi="宋体" w:cs="宋体"/>
          <w:color w:val="auto"/>
          <w:kern w:val="0"/>
          <w:szCs w:val="21"/>
          <w:highlight w:val="none"/>
        </w:rPr>
        <w:t>http:</w:t>
      </w:r>
      <w:r>
        <w:rPr>
          <w:rStyle w:val="57"/>
          <w:rFonts w:hint="eastAsia" w:ascii="宋体" w:hAnsi="宋体" w:cs="宋体"/>
          <w:color w:val="auto"/>
          <w:kern w:val="0"/>
          <w:szCs w:val="21"/>
          <w:highlight w:val="none"/>
        </w:rPr>
        <w:t>//www.ccgp.gov.cn（中国政府采购网）、</w:t>
      </w:r>
      <w:r>
        <w:rPr>
          <w:rStyle w:val="57"/>
          <w:rFonts w:ascii="宋体" w:hAnsi="宋体" w:cs="宋体"/>
          <w:color w:val="auto"/>
          <w:kern w:val="0"/>
          <w:szCs w:val="21"/>
          <w:highlight w:val="none"/>
        </w:rPr>
        <w:t>http:</w:t>
      </w:r>
      <w:r>
        <w:rPr>
          <w:rStyle w:val="57"/>
          <w:rFonts w:hint="eastAsia" w:ascii="宋体" w:hAnsi="宋体" w:cs="宋体"/>
          <w:color w:val="auto"/>
          <w:kern w:val="0"/>
          <w:szCs w:val="21"/>
          <w:highlight w:val="none"/>
        </w:rPr>
        <w:t>//zfcg.gxzf.gov.cn（广西壮族自治区政府采购网）、</w:t>
      </w:r>
      <w:r>
        <w:rPr>
          <w:rStyle w:val="57"/>
          <w:rFonts w:ascii="宋体" w:hAnsi="宋体" w:cs="宋体"/>
          <w:color w:val="auto"/>
          <w:kern w:val="0"/>
          <w:szCs w:val="21"/>
          <w:highlight w:val="none"/>
        </w:rPr>
        <w:t>http:</w:t>
      </w:r>
      <w:r>
        <w:rPr>
          <w:rStyle w:val="57"/>
          <w:rFonts w:hint="eastAsia" w:ascii="宋体" w:hAnsi="宋体" w:cs="宋体"/>
          <w:color w:val="auto"/>
          <w:kern w:val="0"/>
          <w:szCs w:val="21"/>
          <w:highlight w:val="none"/>
        </w:rPr>
        <w:t>//</w:t>
      </w:r>
      <w:r>
        <w:rPr>
          <w:rStyle w:val="57"/>
          <w:rFonts w:ascii="宋体" w:hAnsi="宋体" w:cs="宋体"/>
          <w:color w:val="auto"/>
          <w:kern w:val="0"/>
          <w:szCs w:val="21"/>
          <w:highlight w:val="none"/>
        </w:rPr>
        <w:t>www.glggzy.org.cn</w:t>
      </w:r>
      <w:r>
        <w:rPr>
          <w:rStyle w:val="57"/>
          <w:rFonts w:hint="eastAsia" w:ascii="宋体" w:hAnsi="宋体" w:cs="宋体"/>
          <w:color w:val="auto"/>
          <w:kern w:val="0"/>
          <w:szCs w:val="21"/>
          <w:highlight w:val="none"/>
        </w:rPr>
        <w:t>（桂林市公共资源交易中心网）。</w:t>
      </w:r>
      <w:r>
        <w:rPr>
          <w:rFonts w:ascii="宋体" w:hAnsi="宋体" w:cs="宋体"/>
          <w:color w:val="auto"/>
          <w:kern w:val="0"/>
          <w:szCs w:val="21"/>
          <w:highlight w:val="none"/>
        </w:rPr>
        <w:fldChar w:fldCharType="end"/>
      </w:r>
    </w:p>
    <w:p>
      <w:pPr>
        <w:widowControl/>
        <w:spacing w:line="360" w:lineRule="auto"/>
        <w:ind w:firstLine="422" w:firstLineChars="200"/>
        <w:jc w:val="left"/>
        <w:rPr>
          <w:rFonts w:ascii="宋体" w:hAnsi="宋体"/>
          <w:b/>
          <w:bCs/>
          <w:color w:val="auto"/>
          <w:szCs w:val="21"/>
          <w:highlight w:val="none"/>
        </w:rPr>
      </w:pP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.投标人</w:t>
      </w:r>
      <w:r>
        <w:rPr>
          <w:rFonts w:hint="eastAsia" w:ascii="宋体" w:hAnsi="宋体"/>
          <w:b/>
          <w:bCs/>
          <w:color w:val="auto"/>
          <w:szCs w:val="21"/>
          <w:highlight w:val="none"/>
        </w:rPr>
        <w:t>投标注意事项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（1）本项目为全流程电子化采购项目，通过“政采云”平台（https：/</w:t>
      </w:r>
      <w:r>
        <w:rPr>
          <w:rFonts w:ascii="宋体" w:hAnsi="宋体"/>
          <w:color w:val="auto"/>
          <w:szCs w:val="21"/>
          <w:highlight w:val="none"/>
        </w:rPr>
        <w:t>/www.zcygov.cn</w:t>
      </w:r>
      <w:r>
        <w:rPr>
          <w:rFonts w:hint="eastAsia" w:ascii="宋体" w:hAnsi="宋体"/>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Pr>
          <w:rFonts w:hint="eastAsia" w:ascii="宋体" w:hAnsi="宋体"/>
          <w:color w:val="auto"/>
          <w:highlight w:val="none"/>
        </w:rPr>
        <w:t>后缀名为“jm</w:t>
      </w:r>
      <w:r>
        <w:rPr>
          <w:rFonts w:ascii="宋体" w:hAnsi="宋体"/>
          <w:color w:val="auto"/>
          <w:highlight w:val="none"/>
        </w:rPr>
        <w:t>bs</w:t>
      </w:r>
      <w:r>
        <w:rPr>
          <w:rFonts w:hint="eastAsia" w:ascii="宋体" w:hAnsi="宋体"/>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投标人在“政采云”平台提交电子投标文件时，请填写参加远程开标活动经办人联系方式。</w:t>
      </w:r>
      <w:r>
        <w:rPr>
          <w:rFonts w:hint="eastAsia" w:ascii="宋体" w:hAnsi="宋体"/>
          <w:color w:val="auto"/>
          <w:szCs w:val="21"/>
          <w:highlight w:val="none"/>
        </w:rPr>
        <w:t>投标人登录“政采云”平台，依次进入“服务中心-项目采购-操作流程-电子招投标-</w:t>
      </w:r>
      <w:r>
        <w:rPr>
          <w:rFonts w:ascii="宋体" w:hAnsi="宋体"/>
          <w:color w:val="auto"/>
          <w:highlight w:val="none"/>
        </w:rPr>
        <w:t>政府采购项目电子交易管理操作指南-供应商</w:t>
      </w:r>
      <w:r>
        <w:rPr>
          <w:rFonts w:hint="eastAsia" w:ascii="宋体" w:hAnsi="宋体"/>
          <w:color w:val="auto"/>
          <w:szCs w:val="21"/>
          <w:highlight w:val="none"/>
        </w:rPr>
        <w:t>”查看电子投标具体操作流程。</w:t>
      </w:r>
    </w:p>
    <w:p>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color w:val="auto"/>
          <w:kern w:val="0"/>
          <w:szCs w:val="21"/>
          <w:highlight w:val="none"/>
        </w:rPr>
        <w:t>“政采云”平台，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w:t>
      </w:r>
      <w:r>
        <w:rPr>
          <w:rFonts w:hint="eastAsia" w:ascii="宋体" w:hAnsi="宋体" w:eastAsia="宋体" w:cs="Times New Roman"/>
          <w:bCs w:val="0"/>
          <w:color w:val="auto"/>
          <w:kern w:val="2"/>
          <w:szCs w:val="21"/>
          <w:highlight w:val="none"/>
        </w:rPr>
        <w:t>线：400-881-7190</w:t>
      </w:r>
      <w:r>
        <w:rPr>
          <w:rFonts w:hint="eastAsia" w:ascii="宋体" w:hAnsi="宋体" w:eastAsia="宋体" w:cs="Times New Roman"/>
          <w:color w:val="auto"/>
          <w:szCs w:val="21"/>
          <w:highlight w:val="none"/>
        </w:rPr>
        <w:t>）。</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（3）CA证书在线解密：投标人投标时，需凭制作投标文件时用来加密的有效数字证书（CA认证）登录“政采云”平台电子开标大厅现场按规定时间对加密的投标文件进行解密，否则后果自负。</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5.本项目无需缴纳投标保证金。</w:t>
      </w:r>
    </w:p>
    <w:p>
      <w:pPr>
        <w:spacing w:line="360" w:lineRule="auto"/>
        <w:rPr>
          <w:rFonts w:ascii="宋体" w:hAnsi="宋体" w:cs="宋体"/>
          <w:b/>
          <w:bCs/>
          <w:color w:val="auto"/>
          <w:sz w:val="21"/>
          <w:szCs w:val="21"/>
          <w:highlight w:val="none"/>
        </w:rPr>
      </w:pPr>
      <w:bookmarkStart w:id="33" w:name="_Toc35393796"/>
      <w:bookmarkStart w:id="34" w:name="_Toc35393627"/>
      <w:bookmarkStart w:id="35" w:name="_Toc28359008"/>
      <w:bookmarkStart w:id="36" w:name="_Toc28359085"/>
      <w:r>
        <w:rPr>
          <w:rFonts w:hint="eastAsia" w:ascii="宋体" w:hAnsi="宋体" w:cs="宋体"/>
          <w:b/>
          <w:bCs/>
          <w:color w:val="auto"/>
          <w:sz w:val="21"/>
          <w:szCs w:val="21"/>
          <w:highlight w:val="none"/>
          <w:lang w:val="en-US" w:eastAsia="zh-CN"/>
        </w:rPr>
        <w:t>七</w:t>
      </w:r>
      <w:r>
        <w:rPr>
          <w:rFonts w:hint="eastAsia" w:ascii="宋体" w:hAnsi="宋体" w:cs="宋体"/>
          <w:b/>
          <w:bCs/>
          <w:color w:val="auto"/>
          <w:sz w:val="21"/>
          <w:szCs w:val="21"/>
          <w:highlight w:val="none"/>
        </w:rPr>
        <w:t>、对本次招标提出询问，请按以下方式联系。</w:t>
      </w:r>
      <w:bookmarkEnd w:id="33"/>
      <w:bookmarkEnd w:id="34"/>
      <w:bookmarkEnd w:id="35"/>
      <w:bookmarkEnd w:id="36"/>
    </w:p>
    <w:p>
      <w:pPr>
        <w:widowControl/>
        <w:pBdr>
          <w:top w:val="none" w:color="auto" w:sz="0" w:space="0"/>
          <w:left w:val="none" w:color="auto" w:sz="0" w:space="0"/>
          <w:bottom w:val="none" w:color="auto" w:sz="0" w:space="0"/>
          <w:right w:val="none" w:color="auto" w:sz="0" w:space="0"/>
        </w:pBd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1.采购人信息</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名称：桂林电子科技大学</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地址：广西桂林市金鸡路1号</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项目联系人：蒋老师</w:t>
      </w:r>
    </w:p>
    <w:p>
      <w:pPr>
        <w:widowControl/>
        <w:pBdr>
          <w:top w:val="none" w:color="auto" w:sz="0" w:space="0"/>
          <w:left w:val="none" w:color="auto" w:sz="0" w:space="0"/>
          <w:bottom w:val="none" w:color="auto" w:sz="0" w:space="0"/>
          <w:right w:val="none" w:color="auto" w:sz="0" w:space="0"/>
        </w:pBdr>
        <w:snapToGrid/>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项目联系方式：0773-2290675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cs="宋体"/>
          <w:color w:val="auto"/>
          <w:szCs w:val="21"/>
          <w:highlight w:val="none"/>
        </w:rPr>
      </w:pPr>
      <w:bookmarkStart w:id="37" w:name="_Toc28359009"/>
      <w:bookmarkStart w:id="38" w:name="_Toc28359086"/>
      <w:r>
        <w:rPr>
          <w:rFonts w:hint="eastAsia" w:ascii="宋体" w:hAnsi="宋体" w:eastAsia="宋体" w:cs="宋体"/>
          <w:color w:val="auto"/>
          <w:kern w:val="2"/>
          <w:sz w:val="21"/>
          <w:szCs w:val="21"/>
          <w:highlight w:val="none"/>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名称：广西达成咨询有限公司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地址：桂林市滨江路18号滨江大厦5楼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i w:val="0"/>
          <w:iCs w:val="0"/>
          <w:caps w:val="0"/>
          <w:color w:val="auto"/>
          <w:spacing w:val="0"/>
          <w:kern w:val="2"/>
          <w:sz w:val="21"/>
          <w:szCs w:val="21"/>
          <w:highlight w:val="none"/>
          <w:lang w:bidi="ar"/>
        </w:rPr>
        <w:t>项目联系人：毛崇文、梁碧云、李鹏宇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left"/>
        <w:rPr>
          <w:rFonts w:hint="default" w:ascii="宋体" w:hAnsi="宋体" w:cs="宋体"/>
          <w:color w:val="auto"/>
          <w:szCs w:val="21"/>
          <w:highlight w:val="none"/>
          <w:lang w:val="en-US"/>
        </w:rPr>
      </w:pPr>
      <w:r>
        <w:rPr>
          <w:rFonts w:hint="eastAsia" w:ascii="宋体" w:hAnsi="宋体" w:eastAsia="宋体" w:cs="宋体"/>
          <w:i w:val="0"/>
          <w:iCs w:val="0"/>
          <w:caps w:val="0"/>
          <w:color w:val="auto"/>
          <w:spacing w:val="0"/>
          <w:kern w:val="2"/>
          <w:sz w:val="21"/>
          <w:szCs w:val="21"/>
          <w:highlight w:val="none"/>
          <w:lang w:bidi="ar"/>
        </w:rPr>
        <w:t>项目</w:t>
      </w:r>
      <w:r>
        <w:rPr>
          <w:rFonts w:hint="eastAsia" w:ascii="宋体" w:hAnsi="宋体" w:eastAsia="宋体" w:cs="宋体"/>
          <w:color w:val="auto"/>
          <w:kern w:val="2"/>
          <w:sz w:val="21"/>
          <w:szCs w:val="21"/>
          <w:highlight w:val="none"/>
          <w:lang w:val="en-US" w:eastAsia="zh-CN" w:bidi="ar"/>
        </w:rPr>
        <w:t>联系方式：0773-3569998</w:t>
      </w:r>
      <w:r>
        <w:rPr>
          <w:rFonts w:hint="eastAsia" w:ascii="宋体" w:hAnsi="宋体" w:cs="宋体"/>
          <w:color w:val="auto"/>
          <w:kern w:val="2"/>
          <w:sz w:val="21"/>
          <w:szCs w:val="21"/>
          <w:highlight w:val="none"/>
          <w:lang w:val="en-US" w:eastAsia="zh-CN" w:bidi="ar"/>
        </w:rPr>
        <w:t>/0773-2821998</w:t>
      </w:r>
    </w:p>
    <w:bookmarkEnd w:id="37"/>
    <w:bookmarkEnd w:id="38"/>
    <w:p>
      <w:pPr>
        <w:pStyle w:val="67"/>
        <w:ind w:firstLine="640"/>
        <w:rPr>
          <w:rFonts w:ascii="宋体" w:hAnsi="宋体" w:cs="宋体"/>
          <w:color w:val="auto"/>
          <w:szCs w:val="21"/>
          <w:highlight w:val="none"/>
        </w:rPr>
      </w:pPr>
    </w:p>
    <w:p>
      <w:pPr>
        <w:pStyle w:val="67"/>
        <w:ind w:firstLine="640"/>
        <w:rPr>
          <w:rFonts w:ascii="宋体" w:hAnsi="宋体" w:cs="宋体"/>
          <w:color w:val="auto"/>
          <w:szCs w:val="21"/>
          <w:highlight w:val="none"/>
        </w:rPr>
      </w:pPr>
    </w:p>
    <w:p>
      <w:pPr>
        <w:pStyle w:val="67"/>
        <w:spacing w:line="360" w:lineRule="auto"/>
        <w:ind w:firstLine="640"/>
        <w:rPr>
          <w:rFonts w:ascii="宋体" w:hAnsi="宋体" w:cs="宋体"/>
          <w:color w:val="auto"/>
          <w:szCs w:val="21"/>
          <w:highlight w:val="none"/>
        </w:rPr>
      </w:pPr>
    </w:p>
    <w:p>
      <w:pPr>
        <w:pStyle w:val="67"/>
        <w:spacing w:line="360" w:lineRule="auto"/>
        <w:ind w:firstLine="640"/>
        <w:jc w:val="right"/>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广西达成咨询有限公司</w:t>
      </w:r>
    </w:p>
    <w:p>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w:t>
      </w:r>
      <w:r>
        <w:rPr>
          <w:rFonts w:hint="eastAsia" w:ascii="宋体" w:hAnsi="宋体" w:cs="宋体"/>
          <w:color w:val="auto"/>
          <w:szCs w:val="21"/>
          <w:highlight w:val="none"/>
        </w:rPr>
        <w:t>日</w:t>
      </w:r>
    </w:p>
    <w:p>
      <w:pPr>
        <w:pStyle w:val="4"/>
        <w:keepNext w:val="0"/>
        <w:keepLines w:val="0"/>
        <w:jc w:val="center"/>
        <w:rPr>
          <w:rFonts w:ascii="宋体" w:hAnsi="宋体" w:eastAsia="宋体" w:cs="宋体"/>
          <w:color w:val="auto"/>
          <w:sz w:val="30"/>
          <w:szCs w:val="30"/>
          <w:highlight w:val="none"/>
        </w:rPr>
      </w:pPr>
      <w:r>
        <w:rPr>
          <w:rFonts w:hint="eastAsia" w:ascii="宋体" w:hAnsi="宋体" w:eastAsia="宋体" w:cs="宋体"/>
          <w:color w:val="auto"/>
          <w:sz w:val="24"/>
          <w:szCs w:val="20"/>
          <w:highlight w:val="none"/>
        </w:rPr>
        <w:br w:type="page"/>
      </w:r>
      <w:bookmarkStart w:id="39" w:name="_Toc10513"/>
      <w:bookmarkStart w:id="40" w:name="_Toc13994"/>
      <w:bookmarkStart w:id="41" w:name="_Toc19890"/>
      <w:bookmarkStart w:id="42" w:name="_Toc22427"/>
      <w:bookmarkStart w:id="43" w:name="_Toc19686830"/>
      <w:r>
        <w:rPr>
          <w:rFonts w:hint="eastAsia" w:ascii="宋体" w:hAnsi="宋体" w:eastAsia="宋体" w:cs="宋体"/>
          <w:color w:val="auto"/>
          <w:highlight w:val="none"/>
        </w:rPr>
        <w:t>第二章、采购需求</w:t>
      </w:r>
      <w:bookmarkEnd w:id="39"/>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szCs w:val="21"/>
          <w:highlight w:val="none"/>
        </w:rPr>
        <w:t>本招标文件所称中小企业必须符合《政府采购促进中小企业发展管理办法》（财库〔2020〕46号）</w:t>
      </w:r>
      <w:r>
        <w:rPr>
          <w:rFonts w:hint="eastAsia" w:ascii="宋体" w:hAnsi="宋体"/>
          <w:color w:val="auto"/>
          <w:highlight w:val="none"/>
        </w:rPr>
        <w:t>、《广西壮族自治区财政厅关于贯彻落实政府采购支持中小企业发展政策的通知》（桂财采〔2022〕31号）的规定</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文件作无效处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Start w:id="44" w:name="_Hlk54774389"/>
      <w:r>
        <w:rPr>
          <w:rFonts w:hint="eastAsia" w:ascii="宋体" w:hAnsi="宋体" w:cs="宋体"/>
          <w:color w:val="auto"/>
          <w:szCs w:val="21"/>
          <w:highlight w:val="none"/>
        </w:rPr>
        <w:t>服务项目中伴随货物的，</w:t>
      </w:r>
      <w:bookmarkEnd w:id="44"/>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6" w:firstLineChars="202"/>
        <w:jc w:val="left"/>
        <w:rPr>
          <w:rFonts w:hint="eastAsia"/>
          <w:color w:val="auto"/>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.投标人应根据自身实际情况如实响应招标文件</w:t>
      </w:r>
      <w:r>
        <w:rPr>
          <w:rFonts w:hint="eastAsia" w:ascii="宋体" w:hAnsi="宋体"/>
          <w:b/>
          <w:bCs/>
          <w:color w:val="auto"/>
          <w:szCs w:val="21"/>
          <w:highlight w:val="none"/>
        </w:rPr>
        <w:t>，不得仅将招标文件内容简单复制粘贴作为投标响应，还应当提供相关证明材料，否则将作无效响应处理（定制采购</w:t>
      </w:r>
      <w:r>
        <w:rPr>
          <w:rFonts w:hint="eastAsia" w:ascii="宋体" w:hAnsi="宋体"/>
          <w:b/>
          <w:bCs/>
          <w:color w:val="auto"/>
          <w:szCs w:val="21"/>
          <w:highlight w:val="none"/>
          <w:lang w:val="en-US" w:eastAsia="zh-CN"/>
        </w:rPr>
        <w:t>项目</w:t>
      </w:r>
      <w:r>
        <w:rPr>
          <w:rFonts w:hint="eastAsia" w:ascii="宋体" w:hAnsi="宋体"/>
          <w:b/>
          <w:bCs/>
          <w:color w:val="auto"/>
          <w:szCs w:val="21"/>
          <w:highlight w:val="none"/>
        </w:rPr>
        <w:t>不适用本条款）。</w:t>
      </w:r>
      <w:r>
        <w:rPr>
          <w:rFonts w:hint="eastAsia"/>
          <w:b/>
          <w:bCs/>
          <w:color w:val="auto"/>
          <w:highlight w:val="none"/>
        </w:rPr>
        <w:t>对于重要技术条款或技术参数应当在投标文件中提供技术支持资料，技术支持资料以招标文件中规定的形式为准，否则将视为无效技术支持资料。</w:t>
      </w:r>
    </w:p>
    <w:p>
      <w:pPr>
        <w:spacing w:line="360" w:lineRule="auto"/>
        <w:ind w:firstLine="424" w:firstLineChars="202"/>
        <w:jc w:val="left"/>
        <w:rPr>
          <w:rFonts w:hint="default"/>
          <w:color w:val="auto"/>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w:t>
      </w:r>
      <w:r>
        <w:rPr>
          <w:rFonts w:hint="eastAsia"/>
          <w:color w:val="auto"/>
          <w:highlight w:val="none"/>
        </w:rPr>
        <w:t>责任</w:t>
      </w:r>
      <w:r>
        <w:rPr>
          <w:rFonts w:hint="default"/>
          <w:color w:val="auto"/>
          <w:highlight w:val="none"/>
        </w:rPr>
        <w:t>。</w:t>
      </w:r>
    </w:p>
    <w:p>
      <w:pPr>
        <w:spacing w:line="360" w:lineRule="auto"/>
        <w:ind w:firstLine="426" w:firstLineChars="202"/>
        <w:jc w:val="left"/>
        <w:rPr>
          <w:rFonts w:hint="eastAsia" w:ascii="宋体" w:hAnsi="宋体" w:eastAsia="宋体" w:cs="宋体"/>
          <w:b/>
          <w:bCs/>
          <w:color w:val="auto"/>
          <w:kern w:val="2"/>
          <w:szCs w:val="21"/>
          <w:highlight w:val="none"/>
          <w:lang w:val="en-US" w:eastAsia="zh-CN"/>
        </w:rPr>
      </w:pPr>
      <w:r>
        <w:rPr>
          <w:rFonts w:hint="eastAsia" w:ascii="宋体" w:hAnsi="宋体" w:cs="宋体"/>
          <w:b/>
          <w:bCs/>
          <w:color w:val="auto"/>
          <w:szCs w:val="21"/>
          <w:highlight w:val="none"/>
          <w:lang w:val="en-US" w:eastAsia="zh-CN"/>
        </w:rPr>
        <w:t>8.</w:t>
      </w:r>
      <w:r>
        <w:rPr>
          <w:rFonts w:hint="eastAsia" w:ascii="宋体" w:hAnsi="宋体" w:eastAsia="宋体" w:cs="宋体"/>
          <w:b/>
          <w:bCs/>
          <w:color w:val="auto"/>
          <w:kern w:val="2"/>
          <w:szCs w:val="21"/>
          <w:highlight w:val="none"/>
          <w:lang w:val="en-US" w:eastAsia="zh-CN"/>
        </w:rPr>
        <w:t>本项目采购标的对应的中小企业划分标准所属行业：其他服务业</w:t>
      </w:r>
      <w:r>
        <w:rPr>
          <w:rFonts w:hint="eastAsia" w:ascii="宋体" w:hAnsi="宋体" w:cs="宋体"/>
          <w:b/>
          <w:bCs/>
          <w:color w:val="auto"/>
          <w:kern w:val="2"/>
          <w:szCs w:val="21"/>
          <w:highlight w:val="none"/>
          <w:lang w:val="en-US" w:eastAsia="zh-CN"/>
        </w:rPr>
        <w:t>。</w:t>
      </w:r>
    </w:p>
    <w:p>
      <w:pPr>
        <w:rPr>
          <w:rFonts w:hint="default"/>
          <w:color w:val="auto"/>
          <w:highlight w:val="none"/>
        </w:rPr>
      </w:pPr>
      <w:r>
        <w:rPr>
          <w:rFonts w:hint="default"/>
          <w:color w:val="auto"/>
          <w:highlight w:val="none"/>
        </w:rPr>
        <w:br w:type="page"/>
      </w:r>
    </w:p>
    <w:p>
      <w:pPr>
        <w:keepNext w:val="0"/>
        <w:keepLines w:val="0"/>
        <w:pageBreakBefore w:val="0"/>
        <w:kinsoku/>
        <w:wordWrap/>
        <w:overflowPunct/>
        <w:topLinePunct w:val="0"/>
        <w:autoSpaceDE/>
        <w:bidi w:val="0"/>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▲一、服务内容及要求[具体内容包括以下第（一）至（七）条]： </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（一）保安服务管理范围、职责及服务方式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1、管理范围：桂林电子科技大学大门、家属区、办公楼等的安全保卫。具体包括：校大门、部分家属区及大门、行政楼、教学楼和公共区域的值勤、巡逻和安全防范工作。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照采购人学校规定与管理要求，结合校园安全保卫工作实际情况，要求在中标后向采购人提交切实可行的校园安全保卫工作整体方案并经采购人同意，按采购人同意后的安全保卫工作方案开展专业化安全防范业务，保障校园安全稳定。</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校保安服务工作主要包括：24小时门卫值勤、重点场所守护、家属区巡逻及大型活动与会务工作的安全保障，校内临时性的应急处置工作，并做好校内防火、防盗、防破坏、防事故等安全工作，配合相关部门打击校园内部与周边的违法犯罪活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（3）服务方式：学校安保服务方式是中标人派出主管、工作人员并组织保安人员</w:t>
      </w:r>
      <w:r>
        <w:rPr>
          <w:rFonts w:hint="eastAsia" w:ascii="宋体" w:hAnsi="宋体" w:eastAsia="宋体" w:cs="宋体"/>
          <w:color w:val="auto"/>
          <w:sz w:val="21"/>
          <w:szCs w:val="21"/>
          <w:highlight w:val="none"/>
          <w:lang w:val="en-US" w:eastAsia="zh-CN"/>
        </w:rPr>
        <w:t>结合人防、物防、技防等相关管理模式</w:t>
      </w:r>
      <w:r>
        <w:rPr>
          <w:rFonts w:hint="eastAsia" w:ascii="宋体" w:hAnsi="宋体" w:eastAsia="宋体" w:cs="宋体"/>
          <w:color w:val="auto"/>
          <w:sz w:val="21"/>
          <w:szCs w:val="21"/>
          <w:highlight w:val="none"/>
        </w:rPr>
        <w:t>到采购人指定区域负责安全保卫工作。</w:t>
      </w:r>
    </w:p>
    <w:p>
      <w:pPr>
        <w:keepNext w:val="0"/>
        <w:keepLines w:val="0"/>
        <w:pageBreakBefore w:val="0"/>
        <w:kinsoku/>
        <w:wordWrap/>
        <w:overflowPunct/>
        <w:topLinePunct w:val="0"/>
        <w:autoSpaceDE/>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（二）各岗位具体职责要求</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所有岗位在疫情管控期间，必须按照学校要求严格执行。</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1、门岗具体岗位职责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（1）做好来访人员的登记，对外来车辆和人员进行盘问、核对，按规定履行车辆计时收费，禁止闲杂人员进入校内。</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（2）未经职能部门许可，严禁外来人员进入校内进行收购货物、推销产品等活动。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时刻提高警惕，对出入校门的可疑人员严格盘问；对离校物品按离校管理规定处理。车辆携物品离校时属来历不明的，必须查清物主的身份、单位、住址、所带物品及数量，经核对确认是本校职工或是学校物品（需单位证明），方可放行，否则予以扣留。在盘查时要求车辆靠右边停放，确保交通畅通。</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（4）维护大门的交通秩序和周围的校园秩序。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（5）拦截向外逃窜的违法犯罪分子。</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（6）爱护值班室及周围公物，管理好值班电话，一般情况下不允许外人使用值班电话，不允许用值班电话聊天、联系私事等。</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（7）搞好值班室及周围卫生，值班室不允许堆放杂物。</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（8）值班室不允许与值班无关的人员进入。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（9）完成学校保卫部门交办的其它相关工作。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2、执勤岗位职责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（1）熟悉教学楼内各楼层的主要设施及消防设备，发现如有漏水、电、门窗异常等问题，要及时报保卫处值班人员进行处理。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（2）值班期间，必须按规定着装，坚守岗位，坚持原则，认真负责，文明执勤，不得迟到、早退，不准睡岗、擅自离岗，不做与工作无关的其它事情。</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（3）落实防火及消防设施检查制度，发现安全隐患及时报告，并做出妥善处理。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（4）加强执勤点的检查巡逻，对外来人员要主动上前查问，并做好登记，确认无误后方可放行，禁止闲杂人员进入教学场所。</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（5）负责办公楼周围的交通秩序整治，要求车辆停放有序，严禁消防通道停车。</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（6）严格要求规范自己的行为，严格执行学校的各项规章制度，不得擅自使用教学楼内任何教学设备。</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（7）严密监控执勤区域的情况，加强与学校保卫处值班人员的协调与配合，发现可疑情况，及时向学校保卫处报告。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（8）完成保卫处领导交办的其它相关工作。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3、巡逻岗位职责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（1）服从学校保卫处领导及值班人员的督查，按照规范和标准对责任区域进行巡逻检查。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（2）熟悉责任区域内各方面情况，对异常情况能及时发现、判断和相应处理，并及时上报学校保卫部门。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（3）加强对校园内重要区域及安全监控薄弱部位进行重点巡逻，发现门、窗未关及其他异常情况及时上报值班干部，消除安全隐患。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（4）加强对消防安全的巡逻检查，制止违反消防安全管理规定的行为，若有异常立即采取措施并上报学校保卫部门。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（5）对校园内可疑对象（如人员、车辆、物品等），必须仔细检查，做好相关记录，必要时报学校保卫部门。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（6）加强对责任区内交通秩序的管理，制止超速、乱停等违章行为，严禁外来车辆借道通行。</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（7）巡逻期间做好巡逻检查记录，遇紧急突发事件立即上报学校保卫部门并按规定采取措施。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（8）发现违法犯罪行为，立即予以制止，控制住犯罪嫌疑人，配合公安机关妥善处理。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（9）严禁在小区内张贴各种海报、宣传单等粘贴物，如有发现，必须立即制止和摘除，并对行为人进行警告，必要时交由相关部门处理。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（10）完成学校保卫部门交办的其它相关工作。</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（三）安保服务范围及要求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1、具体安保服务范围及要求如下：</w:t>
      </w:r>
    </w:p>
    <w:tbl>
      <w:tblPr>
        <w:tblStyle w:val="49"/>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20"/>
        <w:gridCol w:w="1230"/>
        <w:gridCol w:w="385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20"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服务范围</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岗位数</w:t>
            </w:r>
          </w:p>
        </w:tc>
        <w:tc>
          <w:tcPr>
            <w:tcW w:w="3858"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c>
          <w:tcPr>
            <w:tcW w:w="1412"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2520"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金鸡岭校区（含家属区）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花江校区</w:t>
            </w:r>
          </w:p>
        </w:tc>
        <w:tc>
          <w:tcPr>
            <w:tcW w:w="1230"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46</w:t>
            </w:r>
            <w:r>
              <w:rPr>
                <w:rFonts w:hint="eastAsia" w:ascii="宋体" w:hAnsi="宋体" w:eastAsia="宋体" w:cs="宋体"/>
                <w:b/>
                <w:bCs/>
                <w:color w:val="auto"/>
                <w:sz w:val="21"/>
                <w:szCs w:val="21"/>
                <w:highlight w:val="none"/>
              </w:rPr>
              <w:t>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每个岗每天24小时至少1人在岗，不能脱岗</w:t>
            </w:r>
            <w:r>
              <w:rPr>
                <w:rFonts w:hint="eastAsia" w:ascii="宋体" w:hAnsi="宋体" w:eastAsia="宋体" w:cs="宋体"/>
                <w:b/>
                <w:bCs/>
                <w:color w:val="auto"/>
                <w:sz w:val="21"/>
                <w:szCs w:val="21"/>
                <w:highlight w:val="none"/>
                <w:lang w:eastAsia="zh-CN"/>
              </w:rPr>
              <w:t>。</w:t>
            </w:r>
          </w:p>
        </w:tc>
        <w:tc>
          <w:tcPr>
            <w:tcW w:w="1412" w:type="dxa"/>
            <w:vMerge w:val="restart"/>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金鸡岭校区</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花江校区</w:t>
            </w:r>
            <w:r>
              <w:rPr>
                <w:rFonts w:hint="eastAsia" w:ascii="宋体" w:hAnsi="宋体" w:eastAsia="宋体" w:cs="宋体"/>
                <w:b/>
                <w:bCs/>
                <w:color w:val="auto"/>
                <w:kern w:val="0"/>
                <w:sz w:val="21"/>
                <w:szCs w:val="21"/>
                <w:highlight w:val="none"/>
              </w:rPr>
              <w:t>至少配</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名管理人员，住校管理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87"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520" w:type="dxa"/>
            <w:noWrap/>
            <w:vAlign w:val="center"/>
          </w:tcPr>
          <w:p>
            <w:pPr>
              <w:keepNext w:val="0"/>
              <w:keepLines w:val="0"/>
              <w:pageBreakBefore w:val="0"/>
              <w:widowControl/>
              <w:suppressLineNumbers w:val="0"/>
              <w:kinsoku/>
              <w:wordWrap/>
              <w:overflowPunct/>
              <w:topLinePunct w:val="0"/>
              <w:autoSpaceDE/>
              <w:bidi w:val="0"/>
              <w:spacing w:line="360" w:lineRule="auto"/>
              <w:jc w:val="both"/>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花江慧谷智慧消防控制中心</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每个岗每天24小时至少</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人在岗，</w:t>
            </w:r>
            <w:r>
              <w:rPr>
                <w:rFonts w:hint="eastAsia" w:ascii="宋体" w:hAnsi="宋体" w:eastAsia="宋体" w:cs="宋体"/>
                <w:b/>
                <w:bCs/>
                <w:color w:val="auto"/>
                <w:sz w:val="21"/>
                <w:szCs w:val="21"/>
                <w:highlight w:val="none"/>
                <w:lang w:val="en-US" w:eastAsia="zh-CN"/>
              </w:rPr>
              <w:t>所有值班人员须持有《建（筑）物消防员》或《消防设施操作员》书。</w:t>
            </w:r>
          </w:p>
        </w:tc>
        <w:tc>
          <w:tcPr>
            <w:tcW w:w="1412" w:type="dxa"/>
            <w:vMerge w:val="continue"/>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2520" w:type="dxa"/>
            <w:noWrap/>
            <w:vAlign w:val="center"/>
          </w:tcPr>
          <w:p>
            <w:pPr>
              <w:keepNext w:val="0"/>
              <w:keepLines w:val="0"/>
              <w:pageBreakBefore w:val="0"/>
              <w:widowControl/>
              <w:kinsoku/>
              <w:wordWrap/>
              <w:overflowPunct/>
              <w:topLinePunct w:val="0"/>
              <w:autoSpaceDE/>
              <w:bidi w:val="0"/>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管理岗</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必须保证24小时每个校区</w:t>
            </w:r>
            <w:r>
              <w:rPr>
                <w:rFonts w:hint="eastAsia" w:ascii="宋体" w:hAnsi="宋体" w:eastAsia="宋体" w:cs="宋体"/>
                <w:b/>
                <w:bCs/>
                <w:color w:val="auto"/>
                <w:sz w:val="21"/>
                <w:szCs w:val="21"/>
                <w:highlight w:val="none"/>
              </w:rPr>
              <w:t>至少</w:t>
            </w:r>
            <w:r>
              <w:rPr>
                <w:rFonts w:hint="eastAsia" w:ascii="宋体" w:hAnsi="宋体" w:eastAsia="宋体" w:cs="宋体"/>
                <w:b/>
                <w:bCs/>
                <w:color w:val="auto"/>
                <w:sz w:val="21"/>
                <w:szCs w:val="21"/>
                <w:highlight w:val="none"/>
                <w:lang w:val="en-US" w:eastAsia="zh-CN"/>
              </w:rPr>
              <w:t>有1个管理人员在岗</w:t>
            </w:r>
          </w:p>
        </w:tc>
        <w:tc>
          <w:tcPr>
            <w:tcW w:w="1412" w:type="dxa"/>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p>
        </w:tc>
      </w:tr>
    </w:tbl>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（四）项目管理要求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1、质量目标要求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托行业标准，根据学校管理规定与服务要求，认真研究高校保安服务的教育属性，熟悉校园管理的特点，根据校园内的不同服务对象，制定切实可行的校园保安服务整体方案和应急预案，突发事件反应迅速，预案处置有力。</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（2）依法办事，文明值勤，严格管理，保障学校财产和师生人身不受侵害，维护正常的教学、科研、生活秩序。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（3）全年无责任事故和责任案件发生，师生有安全感，全年考核合格。</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2、保安人员素质要求</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（1）保安从业人员应知法、懂法、守法，依法办事，必须严格遵守保安从业规范，模范遵守校园安全管理规定。</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（2）保安人员个人素质条件：</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①拟投入本项目的所有保安人员必须具有《保安上岗证》，消防控制室人员应具备消防行业技能鉴定机构颁发的</w:t>
      </w:r>
      <w:r>
        <w:rPr>
          <w:rFonts w:hint="eastAsia" w:ascii="宋体" w:hAnsi="宋体" w:eastAsia="宋体" w:cs="宋体"/>
          <w:color w:val="auto"/>
          <w:kern w:val="0"/>
          <w:sz w:val="21"/>
          <w:szCs w:val="21"/>
          <w:highlight w:val="none"/>
        </w:rPr>
        <w:t>《建（构）筑物消防员》或《消防设施操作员》</w:t>
      </w:r>
      <w:r>
        <w:rPr>
          <w:rFonts w:hint="eastAsia" w:ascii="宋体" w:hAnsi="宋体" w:eastAsia="宋体" w:cs="宋体"/>
          <w:color w:val="auto"/>
          <w:sz w:val="21"/>
          <w:szCs w:val="21"/>
          <w:highlight w:val="none"/>
        </w:rPr>
        <w:t>职业资格证书，无不良爱好，无犯罪记录，具有一定的专业素质和语言表达能力，相貌端正，身体健康（持健康证）。</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②拟投入本项目的管理人员要求</w:t>
      </w:r>
      <w:r>
        <w:rPr>
          <w:rFonts w:hint="eastAsia" w:ascii="宋体" w:hAnsi="宋体" w:eastAsia="宋体" w:cs="宋体"/>
          <w:color w:val="auto"/>
          <w:sz w:val="21"/>
          <w:szCs w:val="21"/>
          <w:highlight w:val="none"/>
          <w:lang w:val="en-US" w:eastAsia="zh-CN"/>
        </w:rPr>
        <w:t>大专</w:t>
      </w:r>
      <w:r>
        <w:rPr>
          <w:rFonts w:hint="eastAsia" w:ascii="宋体" w:hAnsi="宋体" w:eastAsia="宋体" w:cs="宋体"/>
          <w:color w:val="auto"/>
          <w:sz w:val="21"/>
          <w:szCs w:val="21"/>
          <w:highlight w:val="none"/>
        </w:rPr>
        <w:t>以上学历，年龄在25～</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岁之间，经过专门的保安业务培训，工作能力强，为人谦和，具有较高的政治思想素养和业务水平，有较强的组织协调能力。</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③拟投入本项目的保安人员年龄在18～50岁之间，男性身高在165厘米以上，女性（只限消防控制室值班）160厘米以上，初中以上学历。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④保安人员在上岗前须同时向采购人提供投入本项目的所有保安人员的《保安上岗证》复印件。</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保安人员有吃苦耐劳的精神和高度的责任感，受过专门的岗前培训（如保安、消防等培训），熟知学校的管理规定，严格履行岗位职责，善于发现各类问题，具备一定的管理经验和处理突发事件能力。</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（1）树立“服务第一，业主至上”的思想，切实维护学校与师生的人身和财产安全。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（2）管理坚持原则、慎密严谨；服务以人为本、主动热情；处理问题高度警惕、有理有节。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（3）上岗人员仪表整洁，业务操作规范，礼貌待人，保持岗位卫生整洁。</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（4）上岗人员必须依法办事，文明执勤。</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（5）能针对不同的服务对象，从实际出发，灵活妥善处理不同问题。</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4、队伍建设与管理要求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负责提供进驻保安人员值勤所需的警械装备（钢叉、盾牌、T型棍、电棒）、通讯设备（对讲机、电话机等）、手电筒（含电池）、服装及雨具以及常用办公耗材等。每个岗位就以上装备必须配备齐全（至少各一套）。</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（2）从学校安全实际出发，须经常开展在岗人员业务培训和紧急预案演练。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（3）应建立健全内部管理制度、操作规程、应急处置方案预案，设立保安管理点主管，全面负责日常保安队伍的规范化管理。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必须采取切实有效措施保持保安队伍的稳定和工作的连续性，一是严格控制非违纪人员轮换岗比例，合同期限内轮换岗保安人数不得超过合同编制的20%；二是保安队伍主要管理人员更换，应提前一个月以书面形式通知采购人保卫处，其他队员更换要提前三天告知保卫处，确保服务质量不因人员变动而受影响。</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负责为每位管理人员、保安人员缴纳法律规定的各类养老保险、医疗保险、工伤保险、失业保险、生育保险、意外伤害保险及其他费用。上述人员的涉及用工方面的劳务纠纷、福利纠纷和劳动事故均由中标人负责，与采购人无关。</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（6）保安应聘、录用、离职等要求管理档案规范，手续齐全，相应资料必须报采购人保卫处备案。</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5、日常工作要求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（1）根据行业服务标准与学校规定要求，在采购人保卫处指导下，独立运作，落实校园安全保卫整体方案，并结合校园变化实际在实践中不断完善。</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（2）保安主管每天必须向采购人保卫处负责人口头汇报工作，每星期向采购人保卫处汇报一次校园安保情况，重大情况须及时报告。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（3）做好详细的执勤记录，原始台帐保存完好，以备核查。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（4）与采购人其他安保力量协作联动，开展一体化安全防范。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（5）要加强对保安业务的管理，确保保安在校园内无违规事件发生。</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6、消防管理</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（1）建立完善的消防管理台帐、制度并严格执行。</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（2）保证配备的人员熟练掌握防火、灭火知识和消防器材使用方法。</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（3）做好消防监控工作，对一般火情火险能及时发现报警，及时扑灭。</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（4）做好日常消防的宣传和防范工作，及时发现并消除消防隐患。</w:t>
      </w:r>
    </w:p>
    <w:p>
      <w:pPr>
        <w:spacing w:line="360" w:lineRule="auto"/>
        <w:ind w:firstLine="420" w:firstLineChars="200"/>
        <w:rPr>
          <w:rFonts w:hint="eastAsia"/>
          <w:color w:val="auto"/>
          <w:highlight w:val="none"/>
        </w:rPr>
      </w:pPr>
      <w:r>
        <w:rPr>
          <w:rFonts w:hint="eastAsia" w:ascii="宋体" w:hAnsi="宋体" w:eastAsia="宋体" w:cs="宋体"/>
          <w:bCs/>
          <w:color w:val="auto"/>
          <w:szCs w:val="21"/>
          <w:highlight w:val="none"/>
          <w:lang w:val="en-US" w:eastAsia="zh-CN"/>
        </w:rPr>
        <w:t>（5）按照委托人安全防火工作的需要，按行业标准做好消防系统、设备、器材的使用和日常保养工作，保证系统、设备和器材的完好，系统24小时正常运行。</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（五）采购人的权利义务</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1、中标人每月必须向采购人提供排班表，采购人有权对中标人的保安服务工作进行监督管理、检查考核，采购人对中标人提出的上述要求未能及时办理的，采购人有权从中标人交纳履约保证金中扣除2%。</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因工作需要或紧急情况需要调动中标人人员时，有直接管理、设置和调动中标人岗位人员的权力。调动中标人人员时，要求10分钟内集合本校区内所有在岗人员，60分钟内集合合同规定的所有人员。紧急集结时，每少1人，采购人有权从中标人交纳履约保证金中扣除2%。</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3、采购人有权要求中标人及时更换不服从管理、违纪或其他原因不适合继续在采购人工作的保安人员。</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4、因采购人举办重大活动需要临时增加安保力量的，有权要求中标人临时增派适量安保人员，不另行支付服务费用。</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5、采购人按时向中标人支付保安服务费用，如无故拖欠，采购人需要向中标人支付千分之五/每天的违约金（遇节假日顺延）。</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6、支持和配合中标人履行职责的义务。</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7、对校区内各重点要害部位采取治安技防措施，依照有关标准配置消防器材。</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8、督促中标人遵守国家有关法律以及国家用工制度与规定。</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（六）中标人的权利义务</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1、依照采购人有关规定和合同约定，制定相应的保安工作制度，并具体实施。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2、按照采购人拟定的岗位和要求派出管理人员和保安人员到采购人要求的安全管理区域范围进行24小时值班巡逻。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3、中标人应当严格遵守国家以及采购人有关规定，在维护安全管理区域内的公共秩序时，必须文明履行职责并保持服装整洁，维护采购人的形象，不得侵害采购人的合法权益。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对所管理区域内治安、消防以及交通等项目进行服务管理。协助公安部门维护所管理区域治安秩序并主动制止违法犯罪行为，如盗窃、抢劫、抢夺、打架、斗殴，非法集会、上访、游行等。在本安全管理区域内发生治安案件或者各类灾害事故时，应当及时处理并向辖区公安部门和采购人保卫处报告，维护好秩序，根据案情及时组织保安队员疏散人群，以及做好救助和调查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5、在服务期内接受采购人的考核、评议，师生基本满意度达到80%以上。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6、中标人的管理人员、保安人员的劳动纠纷、经济纠纷、工伤事故以及中标人在执勤或者进行其他活动时致人伤害或造成他人财产损失的，由中标人承担一切责任。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7、负责配备中标人人员工作所需的警械装备（钢叉、盾牌、T型棍、电棒）、通讯设备（对讲机、电话机等）、手电筒（含电池）、服装及雨具以及常用办公耗材等，要求各个岗位配齐以上装备（至少各一套）。 </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8、采购人没有向中标人提供保安管理服务的办公、住宿用房的义务，如有提供，中标人不得买卖，不得将采购人提供的办公用房抵押或者改作他用，相关费用按学校相关规定执行。</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9、中标人不承担不属于中标人责任范围内的治安刑事案件、意外事故、自然灾害等不可抗力因素对采购人造成的人身财产损害赔偿责任。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10、中标人必须保证每班上岗人数满员并且每月组织保安队员进行1次以上的业务训练。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11、为确保保安队伍的相对稳定，中标人更换队员前需要事先向采购人主管部门说明情况，更换队长或一次更换3名以上队员时，必须书面征得采购人同意方可实施。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12、按照有关规定，按时足额发放保安人员的劳动报酬、福利、加班工资、中夜班等劳动收益，并按照有关规定为安保人员办理社会保险费。</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13、赔偿因中标人责任造成采购人的财产损失。</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14、享有合法收取保安服务费用的权利，按照本合同附件考核内容对保安人员违反规定的行为进行批评教育和迅速做出处理，并及时将处理结果正式书面通报给采购人，确保服务质量让采购人满意。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15、履行投标文件中对采购人的承诺。</w:t>
      </w:r>
    </w:p>
    <w:p>
      <w:pPr>
        <w:keepNext w:val="0"/>
        <w:keepLines w:val="0"/>
        <w:pageBreakBefore w:val="0"/>
        <w:kinsoku/>
        <w:wordWrap/>
        <w:overflowPunct/>
        <w:topLinePunct w:val="0"/>
        <w:autoSpaceDE/>
        <w:autoSpaceDN w:val="0"/>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（七）处罚标准及解除合同条款</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采购人保卫处</w:t>
      </w:r>
      <w:r>
        <w:rPr>
          <w:rFonts w:hint="eastAsia" w:ascii="宋体" w:hAnsi="宋体" w:eastAsia="宋体" w:cs="宋体"/>
          <w:color w:val="auto"/>
          <w:kern w:val="0"/>
          <w:sz w:val="21"/>
          <w:szCs w:val="21"/>
          <w:highlight w:val="none"/>
        </w:rPr>
        <w:t>负责每月对</w:t>
      </w:r>
      <w:r>
        <w:rPr>
          <w:rFonts w:hint="eastAsia" w:ascii="宋体" w:hAnsi="宋体" w:eastAsia="宋体" w:cs="宋体"/>
          <w:color w:val="auto"/>
          <w:sz w:val="21"/>
          <w:szCs w:val="21"/>
          <w:highlight w:val="none"/>
        </w:rPr>
        <w:t>中标人保安队伍进行</w:t>
      </w:r>
      <w:r>
        <w:rPr>
          <w:rFonts w:hint="eastAsia" w:ascii="宋体" w:hAnsi="宋体" w:eastAsia="宋体" w:cs="宋体"/>
          <w:color w:val="auto"/>
          <w:kern w:val="0"/>
          <w:sz w:val="21"/>
          <w:szCs w:val="21"/>
          <w:highlight w:val="none"/>
        </w:rPr>
        <w:t>考核，在工作中发现</w:t>
      </w:r>
      <w:r>
        <w:rPr>
          <w:rFonts w:hint="eastAsia" w:ascii="宋体" w:hAnsi="宋体" w:eastAsia="宋体" w:cs="宋体"/>
          <w:color w:val="auto"/>
          <w:sz w:val="21"/>
          <w:szCs w:val="21"/>
          <w:highlight w:val="none"/>
        </w:rPr>
        <w:t>保安人员存在以下违规违纪行为者，采购人将对中标人进行扣罚、解除合同处理，扣罚金额从中标人交纳履约保证金中扣除：</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1、值班期间有睡岗，未按规定着装、酗酒上岗等违反值班规定的，发现一次扣罚500元。   </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2、在大门有违规收费现象，利用职权弄虚作假的，发现一次扣罚1000元。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3、各岗位未按合同要求配备装备的，发现一次扣罚500元。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4、不服从采购人保卫处管理的，每人次扣罚1000元。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5、值班人员在岗时不按规定检查离校物资出门证，导致学校及师生财物流失的，除照价赔偿外，每次扣罚1000元。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6、由于失职而造成重大事故的，中标人须赔偿一切经济损失，并将责任人移交公安机关处理，同时每次扣罚2000元。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7、私自动用学校公私财物，并造成损失者，照价赔偿外，每次扣罚1000元。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8、中标人保安人员如有偷盗或其他违法犯罪行为，中标人必须承担一切经济损失和法律责任，每次扣罚1万元。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9、中标人保安人员粗暴值勤，造成不良后果，须赔偿一切经济损失，责任人移交公安部门处理外，每人次扣罚5000元。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10、中标人保安人员在值班期间被发现有脱岗情况的，每人次扣罚1000元，须赔偿一切经济损失，若造成重大损失的（5万元以上），每人次扣罚2万元。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11、其它工作不到位造成严重影响的，依照以上作相应处理。</w:t>
      </w:r>
    </w:p>
    <w:p>
      <w:pPr>
        <w:keepNext w:val="0"/>
        <w:keepLines w:val="0"/>
        <w:pageBreakBefore w:val="0"/>
        <w:kinsoku/>
        <w:wordWrap/>
        <w:overflowPunct/>
        <w:topLinePunct w:val="0"/>
        <w:autoSpaceDE/>
        <w:bidi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处罚金额累计达到3万或造成重大经济损失超过5万元，</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有权解除合同。</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1、服务期限：自签订合同且中标人保安服务进驻之日起12个月。</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2、备案登记要求：</w:t>
      </w:r>
      <w:r>
        <w:rPr>
          <w:rFonts w:hint="eastAsia" w:ascii="宋体" w:hAnsi="宋体" w:eastAsia="宋体" w:cs="宋体"/>
          <w:color w:val="auto"/>
          <w:sz w:val="21"/>
          <w:szCs w:val="21"/>
          <w:highlight w:val="none"/>
          <w:lang w:val="en-US" w:eastAsia="zh-CN"/>
        </w:rPr>
        <w:t>注册地非桂林市以外的</w:t>
      </w:r>
      <w:r>
        <w:rPr>
          <w:rFonts w:hint="eastAsia" w:ascii="宋体" w:hAnsi="宋体" w:eastAsia="宋体" w:cs="宋体"/>
          <w:color w:val="auto"/>
          <w:sz w:val="21"/>
          <w:szCs w:val="21"/>
          <w:highlight w:val="none"/>
        </w:rPr>
        <w:t>中标人须于正式进驻采购人提供安保服务3个月之内，依照相关法律法规在</w:t>
      </w:r>
      <w:r>
        <w:rPr>
          <w:rFonts w:hint="eastAsia" w:ascii="宋体" w:hAnsi="宋体" w:eastAsia="宋体" w:cs="宋体"/>
          <w:color w:val="auto"/>
          <w:sz w:val="21"/>
          <w:szCs w:val="21"/>
          <w:highlight w:val="none"/>
          <w:lang w:val="en-US" w:eastAsia="zh-CN"/>
        </w:rPr>
        <w:t>桂林市公安局</w:t>
      </w:r>
      <w:r>
        <w:rPr>
          <w:rFonts w:hint="eastAsia" w:ascii="宋体" w:hAnsi="宋体" w:eastAsia="宋体" w:cs="宋体"/>
          <w:color w:val="auto"/>
          <w:sz w:val="21"/>
          <w:szCs w:val="21"/>
          <w:highlight w:val="none"/>
        </w:rPr>
        <w:t>完成备案登记工作，并提供备案回执。否则，采购人有权解除合同。</w:t>
      </w:r>
    </w:p>
    <w:p>
      <w:pPr>
        <w:keepNext w:val="0"/>
        <w:keepLines w:val="0"/>
        <w:pageBreakBefore w:val="0"/>
        <w:kinsoku/>
        <w:wordWrap/>
        <w:overflowPunct/>
        <w:topLinePunct w:val="0"/>
        <w:autoSpaceDE/>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投标报价包括招标范围内要求的保安服务所有成本（包括但不限于工资、保险费、加班费、夜班费、福利费、保安制服费、保安值勤设备费、劳保用品费、管理费等全部成本费用）、合理利润及税金等一切费用，投标人综合考虑在投标报价中。</w:t>
      </w:r>
    </w:p>
    <w:p>
      <w:pPr>
        <w:keepNext w:val="0"/>
        <w:keepLines w:val="0"/>
        <w:pageBreakBefore w:val="0"/>
        <w:kinsoku/>
        <w:wordWrap/>
        <w:overflowPunct/>
        <w:topLinePunct w:val="0"/>
        <w:autoSpaceDE/>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4、付款方式：采购人每月对中标人进行考核，视考核情况按月支付服务价款（无息），如遇寒暑假顺延。每笔服务价款支付前中标人必须向采购人开具每月相应的正规税务发票。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5、风险责任：本项目为总价包干，采购人不再支付包括用工费用在内的任何费用。</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▲三、其他要求：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1、本项目政府预算金额</w:t>
      </w:r>
      <w:r>
        <w:rPr>
          <w:rFonts w:hint="eastAsia" w:ascii="宋体" w:hAnsi="宋体" w:eastAsia="宋体" w:cs="宋体"/>
          <w:color w:val="auto"/>
          <w:sz w:val="21"/>
          <w:szCs w:val="21"/>
          <w:highlight w:val="none"/>
          <w:u w:val="none"/>
        </w:rPr>
        <w:t>为</w:t>
      </w:r>
      <w:r>
        <w:rPr>
          <w:rFonts w:hint="eastAsia" w:ascii="宋体" w:hAnsi="宋体" w:cs="宋体"/>
          <w:color w:val="auto"/>
          <w:sz w:val="21"/>
          <w:szCs w:val="21"/>
          <w:highlight w:val="none"/>
          <w:u w:val="none"/>
          <w:lang w:val="en-US" w:eastAsia="zh-CN"/>
        </w:rPr>
        <w:t>712万</w:t>
      </w:r>
      <w:r>
        <w:rPr>
          <w:rFonts w:hint="eastAsia" w:ascii="宋体" w:hAnsi="宋体" w:eastAsia="宋体" w:cs="宋体"/>
          <w:color w:val="auto"/>
          <w:sz w:val="21"/>
          <w:szCs w:val="21"/>
          <w:highlight w:val="none"/>
          <w:u w:val="none"/>
        </w:rPr>
        <w:t>元人民币，超</w:t>
      </w:r>
      <w:r>
        <w:rPr>
          <w:rFonts w:hint="eastAsia" w:ascii="宋体" w:hAnsi="宋体" w:eastAsia="宋体" w:cs="宋体"/>
          <w:color w:val="auto"/>
          <w:sz w:val="21"/>
          <w:szCs w:val="21"/>
          <w:highlight w:val="none"/>
        </w:rPr>
        <w:t>出政府采购预算金额的投标报价将被视为无效投标处理。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2、投标人于投标文件中必须提供以下相关有效证明材料复印件，并加盖投标人公章，否则投标无效：</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（1）拟投入本项目“</w:t>
      </w:r>
      <w:r>
        <w:rPr>
          <w:rFonts w:hint="eastAsia" w:ascii="宋体" w:hAnsi="宋体" w:eastAsia="宋体" w:cs="宋体"/>
          <w:b w:val="0"/>
          <w:bCs w:val="0"/>
          <w:color w:val="auto"/>
          <w:sz w:val="21"/>
          <w:szCs w:val="21"/>
          <w:highlight w:val="none"/>
          <w:lang w:val="en-US" w:eastAsia="zh-CN"/>
        </w:rPr>
        <w:t>花江慧谷智慧消防控制中心岗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个岗位至少</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人，持有的消防行业技能鉴定机构颁发的《建（构）筑物消防员》或《消防设施操作员》职业资格证书复印件。</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（2）拟投入本项目管理人员5人，</w:t>
      </w:r>
      <w:r>
        <w:rPr>
          <w:rFonts w:hint="eastAsia" w:ascii="宋体" w:hAnsi="宋体" w:eastAsia="宋体" w:cs="宋体"/>
          <w:b w:val="0"/>
          <w:bCs w:val="0"/>
          <w:color w:val="auto"/>
          <w:sz w:val="21"/>
          <w:szCs w:val="21"/>
          <w:highlight w:val="none"/>
          <w:lang w:val="en-US" w:eastAsia="zh-CN"/>
        </w:rPr>
        <w:t>提供可证明其学历及职业技能等相应的资质证书复印件。</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四、投标人于投标文件中提供相应的项目实施方案，该方案可从内容的完整性、针对性、合理性等方面进行编制，包含但不限于：①服务</w:t>
      </w:r>
      <w:r>
        <w:rPr>
          <w:rFonts w:hint="eastAsia" w:ascii="宋体" w:hAnsi="宋体" w:eastAsia="宋体" w:cs="宋体"/>
          <w:color w:val="auto"/>
          <w:kern w:val="0"/>
          <w:sz w:val="21"/>
          <w:szCs w:val="21"/>
          <w:highlight w:val="none"/>
          <w:lang w:val="en-US" w:eastAsia="zh-CN"/>
        </w:rPr>
        <w:t>保障方案</w:t>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lang w:val="en-US" w:eastAsia="zh-CN"/>
        </w:rPr>
        <w:t>投标人内部管理制度</w:t>
      </w:r>
      <w:r>
        <w:rPr>
          <w:rFonts w:hint="eastAsia" w:ascii="宋体" w:hAnsi="宋体" w:eastAsia="宋体" w:cs="宋体"/>
          <w:color w:val="auto"/>
          <w:kern w:val="0"/>
          <w:sz w:val="21"/>
          <w:szCs w:val="21"/>
          <w:highlight w:val="none"/>
        </w:rPr>
        <w:t>；③物资装备配备方案；④</w:t>
      </w:r>
      <w:r>
        <w:rPr>
          <w:rFonts w:hint="eastAsia" w:ascii="宋体" w:hAnsi="宋体" w:eastAsia="宋体" w:cs="宋体"/>
          <w:color w:val="auto"/>
          <w:kern w:val="0"/>
          <w:sz w:val="21"/>
          <w:szCs w:val="21"/>
          <w:highlight w:val="none"/>
          <w:lang w:val="en-US" w:eastAsia="zh-CN"/>
        </w:rPr>
        <w:t>队伍建设；⑤突发事件应急处置预案。</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五、现场考察：</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有需要，投标人可于正常工作日自行勘察现场，因学校为疫情防控的重点单位，现场勘察人员应无条件服从疫情防控的要求，现场勘察时请出示授权委托书原件及委托代理人身份证原件（如为法定代表人的须提供相关身份证明材料，如营业执照副本复印件等），并提前与采购人联系相关事宜，现场勘察所发生的一切费用及风险由投标人自行承担。现场勘察联系人：孙本宏，联系电话：0773-2291438。</w:t>
      </w:r>
    </w:p>
    <w:p>
      <w:pPr>
        <w:keepNext w:val="0"/>
        <w:keepLines w:val="0"/>
        <w:pageBreakBefore w:val="0"/>
        <w:kinsoku/>
        <w:wordWrap/>
        <w:overflowPunct/>
        <w:topLinePunct w:val="0"/>
        <w:autoSpaceDE/>
        <w:bidi w:val="0"/>
        <w:spacing w:line="360" w:lineRule="auto"/>
        <w:ind w:firstLine="420" w:firstLineChars="200"/>
        <w:rPr>
          <w:rFonts w:hint="eastAsia"/>
          <w:color w:val="auto"/>
          <w:highlight w:val="none"/>
        </w:rPr>
      </w:pPr>
      <w:r>
        <w:rPr>
          <w:rFonts w:hint="eastAsia" w:ascii="宋体" w:hAnsi="宋体" w:eastAsia="宋体" w:cs="宋体"/>
          <w:color w:val="auto"/>
          <w:kern w:val="0"/>
          <w:sz w:val="21"/>
          <w:szCs w:val="21"/>
          <w:highlight w:val="none"/>
        </w:rPr>
        <w:t>2、如投标人未进行现场考察的</w:t>
      </w:r>
      <w:r>
        <w:rPr>
          <w:rFonts w:hint="eastAsia" w:ascii="宋体" w:hAnsi="宋体" w:eastAsia="宋体" w:cs="宋体"/>
          <w:color w:val="auto"/>
          <w:sz w:val="21"/>
          <w:szCs w:val="21"/>
          <w:highlight w:val="none"/>
        </w:rPr>
        <w:t>，视为对现场情况已完全了解，</w:t>
      </w:r>
      <w:r>
        <w:rPr>
          <w:rFonts w:hint="eastAsia" w:ascii="宋体" w:hAnsi="宋体" w:eastAsia="宋体" w:cs="宋体"/>
          <w:color w:val="auto"/>
          <w:kern w:val="0"/>
          <w:sz w:val="21"/>
          <w:szCs w:val="21"/>
          <w:highlight w:val="none"/>
        </w:rPr>
        <w:t>中标后必须按采购人的现场使用要求完成本项目实施</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val="0"/>
        <w:bidi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注：本“项目需求”中标注▲的条款以及要求必须提供的均为实质性要求</w:t>
      </w:r>
      <w:r>
        <w:rPr>
          <w:rFonts w:hint="eastAsia" w:ascii="宋体" w:hAnsi="宋体" w:eastAsia="宋体" w:cs="宋体"/>
          <w:b/>
          <w:bCs/>
          <w:color w:val="auto"/>
          <w:sz w:val="21"/>
          <w:szCs w:val="21"/>
          <w:highlight w:val="none"/>
        </w:rPr>
        <w:t>。</w:t>
      </w:r>
    </w:p>
    <w:p>
      <w:pPr>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bookmarkEnd w:id="40"/>
    <w:bookmarkEnd w:id="41"/>
    <w:bookmarkEnd w:id="42"/>
    <w:bookmarkEnd w:id="43"/>
    <w:p>
      <w:pPr>
        <w:pStyle w:val="4"/>
        <w:spacing w:line="240" w:lineRule="auto"/>
        <w:jc w:val="center"/>
        <w:rPr>
          <w:rFonts w:ascii="宋体" w:hAnsi="宋体" w:eastAsia="宋体" w:cs="宋体"/>
          <w:color w:val="auto"/>
          <w:highlight w:val="none"/>
        </w:rPr>
      </w:pPr>
      <w:bookmarkStart w:id="45" w:name="_Toc20668"/>
      <w:bookmarkStart w:id="46" w:name="_Toc19686831"/>
      <w:bookmarkStart w:id="47" w:name="_Toc5336"/>
      <w:bookmarkStart w:id="48" w:name="_Toc25504"/>
      <w:bookmarkStart w:id="49" w:name="_Toc7458"/>
      <w:r>
        <w:rPr>
          <w:rFonts w:hint="eastAsia" w:ascii="宋体" w:hAnsi="宋体" w:eastAsia="宋体" w:cs="宋体"/>
          <w:color w:val="auto"/>
          <w:highlight w:val="none"/>
        </w:rPr>
        <w:t>第三章、投标人须知</w:t>
      </w:r>
      <w:bookmarkEnd w:id="45"/>
      <w:bookmarkEnd w:id="46"/>
      <w:bookmarkEnd w:id="47"/>
      <w:bookmarkEnd w:id="48"/>
      <w:bookmarkEnd w:id="49"/>
    </w:p>
    <w:p>
      <w:pPr>
        <w:jc w:val="center"/>
        <w:rPr>
          <w:rFonts w:ascii="宋体" w:hAnsi="宋体" w:cs="宋体"/>
          <w:b/>
          <w:bCs/>
          <w:color w:val="auto"/>
          <w:sz w:val="28"/>
          <w:szCs w:val="28"/>
          <w:highlight w:val="none"/>
        </w:rPr>
      </w:pPr>
      <w:bookmarkStart w:id="50" w:name="_Toc254970526"/>
      <w:bookmarkStart w:id="51" w:name="_Toc254970667"/>
      <w:r>
        <w:rPr>
          <w:rFonts w:hint="eastAsia" w:ascii="宋体" w:hAnsi="宋体" w:cs="宋体"/>
          <w:b/>
          <w:bCs/>
          <w:color w:val="auto"/>
          <w:sz w:val="28"/>
          <w:szCs w:val="28"/>
          <w:highlight w:val="none"/>
        </w:rPr>
        <w:t>投标人须知前附表</w:t>
      </w:r>
      <w:bookmarkEnd w:id="50"/>
      <w:bookmarkEnd w:id="51"/>
    </w:p>
    <w:tbl>
      <w:tblPr>
        <w:tblStyle w:val="49"/>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2" w:name="_9.2"/>
            <w:bookmarkEnd w:id="52"/>
            <w:bookmarkStart w:id="53" w:name="_8.1"/>
            <w:bookmarkEnd w:id="53"/>
            <w:bookmarkStart w:id="54" w:name="_5"/>
            <w:bookmarkEnd w:id="54"/>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color w:val="auto"/>
                <w:szCs w:val="21"/>
                <w:highlight w:val="none"/>
              </w:rPr>
            </w:pPr>
            <w:bookmarkStart w:id="55" w:name="_Hlk54105293"/>
            <w:r>
              <w:rPr>
                <w:rFonts w:hint="eastAsia" w:ascii="宋体" w:hAnsi="宋体" w:cs="宋体"/>
                <w:color w:val="auto"/>
                <w:szCs w:val="21"/>
                <w:highlight w:val="none"/>
              </w:rPr>
              <w:t>如接受联合体投标，</w:t>
            </w:r>
            <w:bookmarkEnd w:id="55"/>
            <w:r>
              <w:rPr>
                <w:rFonts w:hint="eastAsia" w:ascii="宋体" w:hAnsi="宋体" w:cs="宋体"/>
                <w:color w:val="auto"/>
                <w:szCs w:val="21"/>
                <w:highlight w:val="none"/>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pPr>
              <w:pStyle w:val="1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10"/>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lang w:val="en-US" w:eastAsia="zh-CN"/>
              </w:rPr>
              <w:t xml:space="preserve">            </w:t>
            </w:r>
          </w:p>
          <w:p>
            <w:pPr>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6" w:name="_13.1"/>
            <w:bookmarkEnd w:id="56"/>
            <w:r>
              <w:rPr>
                <w:rFonts w:hint="eastAsia" w:ascii="宋体" w:hAnsi="宋体" w:cs="宋体"/>
                <w:color w:val="auto"/>
                <w:szCs w:val="21"/>
                <w:highlight w:val="none"/>
              </w:rPr>
              <w:t>13.</w:t>
            </w:r>
            <w:bookmarkStart w:id="57" w:name="_Hlt19632543"/>
            <w:r>
              <w:rPr>
                <w:rFonts w:hint="eastAsia" w:ascii="宋体" w:hAnsi="宋体" w:cs="宋体"/>
                <w:color w:val="auto"/>
                <w:szCs w:val="21"/>
                <w:highlight w:val="none"/>
              </w:rPr>
              <w:t>1</w:t>
            </w:r>
            <w:bookmarkEnd w:id="57"/>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8" w:name="_13.2"/>
            <w:bookmarkEnd w:id="58"/>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5"/>
                <w:color w:val="auto"/>
                <w:sz w:val="21"/>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rPr>
              <w:t>2022年1月以来任意1个月</w:t>
            </w:r>
            <w:r>
              <w:rPr>
                <w:rFonts w:hint="eastAsia" w:ascii="宋体" w:hAnsi="宋体" w:cs="宋体"/>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Cs/>
                <w:color w:val="auto"/>
                <w:szCs w:val="22"/>
                <w:highlight w:val="none"/>
              </w:rPr>
              <w:t>如投标人为截标时间前60日以内成立的公司，可以提供依法缴纳</w:t>
            </w:r>
            <w:r>
              <w:rPr>
                <w:rFonts w:hint="eastAsia" w:ascii="宋体" w:hAnsi="宋体" w:cs="宋体"/>
                <w:color w:val="auto"/>
                <w:szCs w:val="21"/>
                <w:highlight w:val="none"/>
              </w:rPr>
              <w:t>税</w:t>
            </w:r>
            <w:r>
              <w:rPr>
                <w:rFonts w:hint="eastAsia" w:ascii="宋体" w:hAnsi="宋体" w:cs="宋体"/>
                <w:bCs/>
                <w:color w:val="auto"/>
                <w:szCs w:val="22"/>
                <w:highlight w:val="none"/>
              </w:rPr>
              <w:t>的承诺函（格式自拟）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2022年1月以来任意1个月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Cs/>
                <w:color w:val="auto"/>
                <w:szCs w:val="22"/>
                <w:highlight w:val="none"/>
              </w:rPr>
              <w:t>如投标人为截标时间前60日以内成立的公司，可以提供依法缴纳社会保险费的承诺函（格式自拟）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4.投标人财务状况报告[提供2021年度经审计的财务报告或者其基本开户银行出具的资信证明或者提供财务状况的承诺函（格式自拟）]；</w:t>
            </w:r>
            <w:r>
              <w:rPr>
                <w:rFonts w:hint="eastAsia" w:ascii="宋体" w:hAnsi="宋体" w:cs="宋体"/>
                <w:b/>
                <w:bCs/>
                <w:color w:val="auto"/>
                <w:szCs w:val="21"/>
                <w:highlight w:val="none"/>
              </w:rPr>
              <w:t>（必须提供，否则作无效投标处理）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8.中小企业声明函；【</w:t>
            </w:r>
            <w:r>
              <w:rPr>
                <w:rFonts w:hint="eastAsia" w:ascii="宋体" w:hAnsi="宋体" w:cs="宋体"/>
                <w:b/>
                <w:color w:val="auto"/>
                <w:szCs w:val="21"/>
                <w:highlight w:val="none"/>
              </w:rPr>
              <w:t>本项目如为专门面向中小企业（或者小型、微型企业）采购时必须提供，否则作无效投标处理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注：1.以上标明“必须提供”的材料属于复印件的，必须加盖投标人公章</w:t>
            </w:r>
            <w:r>
              <w:rPr>
                <w:rFonts w:hint="eastAsia" w:ascii="宋体" w:hAnsi="宋体" w:cs="宋体"/>
                <w:b/>
                <w:bCs/>
                <w:color w:val="auto"/>
                <w:szCs w:val="21"/>
                <w:highlight w:val="none"/>
                <w:lang w:eastAsia="zh-CN"/>
              </w:rPr>
              <w:t>（或电子签章）</w:t>
            </w:r>
            <w:r>
              <w:rPr>
                <w:rFonts w:hint="eastAsia" w:ascii="宋体" w:hAnsi="宋体" w:cs="宋体"/>
                <w:b/>
                <w:bCs/>
                <w:color w:val="auto"/>
                <w:szCs w:val="21"/>
                <w:highlight w:val="none"/>
              </w:rPr>
              <w:t>，否则作无效投标处理。</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2.投标声明必须由法定代表人在规定签章处签字并加盖投标人公章</w:t>
            </w:r>
            <w:r>
              <w:rPr>
                <w:rFonts w:hint="eastAsia" w:ascii="宋体" w:hAnsi="宋体" w:cs="宋体"/>
                <w:b/>
                <w:bCs/>
                <w:color w:val="auto"/>
                <w:szCs w:val="21"/>
                <w:highlight w:val="none"/>
                <w:lang w:eastAsia="zh-CN"/>
              </w:rPr>
              <w:t>（或电子签章）</w:t>
            </w:r>
            <w:r>
              <w:rPr>
                <w:rFonts w:hint="eastAsia" w:ascii="宋体" w:hAnsi="宋体" w:cs="宋体"/>
                <w:b/>
                <w:bCs/>
                <w:color w:val="auto"/>
                <w:szCs w:val="21"/>
                <w:highlight w:val="none"/>
              </w:rPr>
              <w:t>，否则作无效投标处理。</w:t>
            </w:r>
          </w:p>
          <w:p>
            <w:pPr>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w:t>
            </w:r>
            <w:r>
              <w:rPr>
                <w:rFonts w:hint="eastAsia" w:ascii="宋体" w:hAnsi="宋体" w:cs="宋体"/>
                <w:b/>
                <w:bCs/>
                <w:color w:val="auto"/>
                <w:szCs w:val="21"/>
                <w:highlight w:val="none"/>
                <w:lang w:eastAsia="zh-CN"/>
              </w:rPr>
              <w:t>（或电子签章）</w:t>
            </w:r>
            <w:r>
              <w:rPr>
                <w:rFonts w:hint="eastAsia" w:ascii="宋体" w:hAnsi="宋体" w:cs="宋体"/>
                <w:b/>
                <w:bCs/>
                <w:color w:val="auto"/>
                <w:szCs w:val="21"/>
                <w:highlight w:val="none"/>
              </w:rPr>
              <w:t>，否则作无效投标处理。</w:t>
            </w:r>
          </w:p>
          <w:p>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9" w:name="_13.3"/>
            <w:bookmarkEnd w:id="59"/>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5.售后服务承诺（格式自拟）；（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 1.</w:t>
            </w:r>
            <w:r>
              <w:rPr>
                <w:rFonts w:hint="eastAsia" w:ascii="宋体" w:hAnsi="宋体"/>
                <w:b/>
                <w:bCs/>
                <w:color w:val="auto"/>
                <w:szCs w:val="21"/>
                <w:highlight w:val="none"/>
              </w:rPr>
              <w:t>法定代表人授权委托书必须由法定代表人及委托代理人签字，并加盖投标人公章</w:t>
            </w:r>
            <w:r>
              <w:rPr>
                <w:rFonts w:hint="eastAsia" w:ascii="宋体" w:hAnsi="宋体"/>
                <w:b/>
                <w:bCs/>
                <w:color w:val="auto"/>
                <w:szCs w:val="21"/>
                <w:highlight w:val="none"/>
                <w:lang w:eastAsia="zh-CN"/>
              </w:rPr>
              <w:t>（或电子签章）</w:t>
            </w:r>
            <w:r>
              <w:rPr>
                <w:rFonts w:hint="eastAsia" w:ascii="宋体" w:hAnsi="宋体"/>
                <w:b/>
                <w:bCs/>
                <w:color w:val="auto"/>
                <w:szCs w:val="21"/>
                <w:highlight w:val="none"/>
              </w:rPr>
              <w:t>，否则作无效投标处理。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2.以上标明“必须提供”的材料属于复印件的，必须加盖投标人公章，否则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0" w:name="_13.4"/>
            <w:bookmarkEnd w:id="60"/>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服务需求偏离表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服务方案（格式自拟）【项目前期准备、项目实施计划（人员构成、技术服务、技术培训、售后服务的内容和措施）】</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项目实施人员一览表</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.投标人对本项目的合理化建议和改进措施（格式自拟）；</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.除招标文件规定必须提供以外，投标人需要说明的其他文件和说明（格式自拟）。</w:t>
            </w:r>
          </w:p>
          <w:p>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1" w:name="_13.5"/>
            <w:bookmarkEnd w:id="61"/>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4.评审前准备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4.1本项目实行网上评审，采用电子投标文件；若供应商参与投标，自行承担投标一切费用。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4.3供应商将政采云电子交易客户端下载、安装完成后，可通过账号密码或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2" w:name="_16.2"/>
            <w:bookmarkEnd w:id="62"/>
            <w:r>
              <w:rPr>
                <w:rFonts w:hint="eastAsia" w:ascii="宋体" w:hAnsi="宋体" w:cs="宋体"/>
                <w:color w:val="auto"/>
                <w:szCs w:val="21"/>
                <w:highlight w:val="none"/>
              </w:rPr>
              <w:t>16</w:t>
            </w:r>
            <w:bookmarkStart w:id="63" w:name="_Hlt19693759"/>
            <w:bookmarkStart w:id="64" w:name="_Hlt19693758"/>
            <w:bookmarkStart w:id="65" w:name="_Hlt19194067"/>
            <w:bookmarkStart w:id="66" w:name="_Hlt19194066"/>
            <w:r>
              <w:rPr>
                <w:rFonts w:hint="eastAsia" w:ascii="宋体" w:hAnsi="宋体" w:cs="宋体"/>
                <w:color w:val="auto"/>
                <w:szCs w:val="21"/>
                <w:highlight w:val="none"/>
              </w:rPr>
              <w:t>.</w:t>
            </w:r>
            <w:bookmarkEnd w:id="63"/>
            <w:bookmarkEnd w:id="64"/>
            <w:bookmarkEnd w:id="65"/>
            <w:bookmarkEnd w:id="66"/>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包括招标范围内要求的保安服务所有成本（包括但不限于工资、保险费、加班费、夜班费、福利费、保安制服费、保安值勤设备费、劳保用品费、管理费等全部成本费用）、合理利润及税金等一切费用，投标人综合考虑在投标报价中。</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7" w:name="_17.1"/>
            <w:bookmarkEnd w:id="67"/>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8" w:name="_18"/>
            <w:bookmarkEnd w:id="68"/>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9" w:name="_19.2"/>
            <w:bookmarkEnd w:id="69"/>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0" w:name="_21.1"/>
            <w:bookmarkEnd w:id="70"/>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投标文件递交</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r>
              <w:rPr>
                <w:rFonts w:hint="eastAsia" w:ascii="宋体" w:hAnsi="宋体"/>
                <w:color w:val="auto"/>
                <w:szCs w:val="21"/>
                <w:highlight w:val="none"/>
              </w:rPr>
              <w:t>投标文件递交截止时间：于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日上午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时30分</w:t>
            </w:r>
            <w:r>
              <w:rPr>
                <w:rFonts w:hint="eastAsia" w:ascii="宋体" w:hAnsi="宋体" w:cs="宋体"/>
                <w:color w:val="auto"/>
                <w:szCs w:val="21"/>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highlight w:val="none"/>
              </w:rPr>
            </w:pPr>
            <w:r>
              <w:rPr>
                <w:rFonts w:hint="eastAsia"/>
                <w:color w:val="auto"/>
                <w:highlight w:val="none"/>
              </w:rPr>
              <w:t>投标文件解密</w:t>
            </w:r>
          </w:p>
          <w:p>
            <w:pPr>
              <w:snapToGrid w:val="0"/>
              <w:spacing w:line="360" w:lineRule="auto"/>
              <w:rPr>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w:t>
            </w:r>
            <w:r>
              <w:rPr>
                <w:rFonts w:hint="eastAsia" w:ascii="宋体" w:hAnsi="宋体" w:cs="宋体"/>
                <w:color w:val="auto"/>
                <w:highlight w:val="none"/>
              </w:rPr>
              <w:t>投标文件解密时间：截标时间后</w:t>
            </w:r>
            <w:r>
              <w:rPr>
                <w:rFonts w:hint="eastAsia" w:ascii="宋体" w:hAnsi="宋体" w:cs="宋体"/>
                <w:color w:val="auto"/>
                <w:highlight w:val="none"/>
                <w:u w:val="single"/>
              </w:rPr>
              <w:t>30</w:t>
            </w:r>
            <w:r>
              <w:rPr>
                <w:rFonts w:hint="eastAsia" w:ascii="宋体" w:hAnsi="宋体" w:cs="宋体"/>
                <w:color w:val="auto"/>
                <w:highlight w:val="none"/>
              </w:rPr>
              <w:t>分钟内投标人可以登录政采云平台，用“项目采购-开标评标”功能进行解密投标文件。若投标人在规定时间内无法解密或解密失败，可以以电子备份投标文件作为依据</w:t>
            </w:r>
            <w:r>
              <w:rPr>
                <w:rFonts w:hint="eastAsia" w:ascii="宋体" w:hAnsi="宋体" w:cs="宋体"/>
                <w:b/>
                <w:bCs/>
                <w:color w:val="auto"/>
                <w:highlight w:val="none"/>
              </w:rPr>
              <w:t>【在接到无法解密或解密失败的通知后，投标人可根据自身实际情况按通知时要求的时间到</w:t>
            </w:r>
            <w:r>
              <w:rPr>
                <w:rFonts w:hint="eastAsia" w:ascii="宋体" w:hAnsi="宋体" w:cs="宋体"/>
                <w:b/>
                <w:bCs/>
                <w:color w:val="auto"/>
                <w:highlight w:val="none"/>
                <w:lang w:val="en-US" w:eastAsia="zh-CN"/>
              </w:rPr>
              <w:t>桂林市</w:t>
            </w:r>
            <w:r>
              <w:rPr>
                <w:rFonts w:hint="eastAsia" w:ascii="宋体" w:hAnsi="宋体" w:cs="宋体"/>
                <w:b/>
                <w:bCs/>
                <w:color w:val="auto"/>
                <w:highlight w:val="none"/>
              </w:rPr>
              <w:t>公共资源交易中心开标室现场提交或以电子邮件的形式（以通知时所告知的电子邮箱地址为准）提交电子备份投标文件】</w:t>
            </w:r>
            <w:r>
              <w:rPr>
                <w:rFonts w:hint="eastAsia" w:ascii="宋体" w:hAnsi="宋体" w:cs="宋体"/>
                <w:color w:val="auto"/>
                <w:highlight w:val="none"/>
              </w:rPr>
              <w:t>，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eastAsia="zh-CN"/>
              </w:rPr>
            </w:pPr>
            <w:bookmarkStart w:id="71" w:name="_23"/>
            <w:bookmarkEnd w:id="71"/>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color w:val="auto"/>
                <w:highlight w:val="none"/>
              </w:rPr>
              <w:t>1.开</w:t>
            </w:r>
            <w:r>
              <w:rPr>
                <w:rFonts w:hint="eastAsia" w:ascii="宋体" w:hAnsi="宋体" w:cs="宋体"/>
                <w:color w:val="auto"/>
                <w:szCs w:val="21"/>
                <w:highlight w:val="none"/>
              </w:rPr>
              <w:t>标时间：详见招标公告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p>
            <w:pPr>
              <w:snapToGrid w:val="0"/>
              <w:spacing w:line="360" w:lineRule="auto"/>
              <w:rPr>
                <w:color w:val="auto"/>
                <w:highlight w:val="none"/>
              </w:rPr>
            </w:pPr>
            <w:r>
              <w:rPr>
                <w:rFonts w:hint="eastAsia" w:ascii="宋体" w:hAnsi="宋体" w:cs="宋体"/>
                <w:color w:val="auto"/>
                <w:szCs w:val="21"/>
                <w:highlight w:val="none"/>
              </w:rPr>
              <w:t>提交电子备份投标文件方式：在接到无法解密或解密失败的通知后，投标人可根据自身实际情况按通知时要求的时间到</w:t>
            </w:r>
            <w:r>
              <w:rPr>
                <w:rFonts w:hint="eastAsia" w:ascii="宋体" w:hAnsi="宋体" w:cs="宋体"/>
                <w:color w:val="auto"/>
                <w:szCs w:val="21"/>
                <w:highlight w:val="none"/>
                <w:lang w:eastAsia="zh-CN"/>
              </w:rPr>
              <w:t>桂林市公共资源交易中心</w:t>
            </w:r>
            <w:r>
              <w:rPr>
                <w:rFonts w:hint="eastAsia" w:ascii="宋体" w:hAnsi="宋体" w:cs="宋体"/>
                <w:color w:val="auto"/>
                <w:szCs w:val="21"/>
                <w:highlight w:val="none"/>
              </w:rPr>
              <w:t>开标室现场提交或以电子邮件的形式（以通知时所告知的电子邮箱地址为准）提交电子备份投标文件。投标人可以由法定代表人、负责人、自然人或其委托代理人出席开标会议。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2" w:name="_25.3"/>
            <w:bookmarkEnd w:id="72"/>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政采云平台已与“信用中国”平台做接口，资格评审专家可直接在线查询。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eastAsia="zh-CN"/>
              </w:rPr>
            </w:pPr>
            <w:bookmarkStart w:id="73" w:name="_26"/>
            <w:bookmarkEnd w:id="73"/>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其中采购人代表1人，专家4人。分技术类、经济类。</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专家确定方式：评审前由招标代理机构从政采云中广西壮族自治区政府采购评审专家库系统设立的专家库中通过电脑随机抽取。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4" w:name="_28.3"/>
            <w:bookmarkEnd w:id="74"/>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5" w:name="_29.2.2（2）"/>
            <w:bookmarkEnd w:id="75"/>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w:t>
            </w:r>
          </w:p>
        </w:tc>
        <w:tc>
          <w:tcPr>
            <w:tcW w:w="7969"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w:t>
            </w:r>
            <w:r>
              <w:rPr>
                <w:rFonts w:hint="eastAsia" w:ascii="宋体" w:hAnsi="宋体"/>
                <w:color w:val="auto"/>
                <w:szCs w:val="21"/>
                <w:highlight w:val="none"/>
              </w:rPr>
              <w:t>评审中允许负偏离的条款数</w:t>
            </w:r>
            <w:r>
              <w:rPr>
                <w:rFonts w:hint="eastAsia" w:ascii="宋体" w:hAnsi="宋体" w:cs="宋体"/>
                <w:color w:val="auto"/>
                <w:szCs w:val="21"/>
                <w:highlight w:val="none"/>
              </w:rPr>
              <w:t>为</w:t>
            </w:r>
            <w:r>
              <w:rPr>
                <w:rFonts w:hint="eastAsia" w:ascii="宋体" w:hAnsi="宋体" w:eastAsia="宋体" w:cs="宋体"/>
                <w:color w:val="auto"/>
                <w:szCs w:val="21"/>
                <w:highlight w:val="none"/>
                <w:lang w:val="en-US" w:eastAsia="zh-CN"/>
              </w:rPr>
              <w:t>“采购需求及评标方法和评标标准”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☑政策分得分高的优先、技术评分高的优先、商务评分高的优先、项目质保期长优先、交货期短优先、故障响应时间短优先的顺序； </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6" w:name="_39.1"/>
            <w:bookmarkEnd w:id="76"/>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☑本项目收取履约保证金，具体规定如下：</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履约保证金金额：履约保证金按中标金额的 5 %，注：根据《广西壮族自治区财政厅关于进一步发挥政府采购政策功能促进企业发展的通知》（桂财采【2022】30号）规定，对中小企业收取的履约保证金数额为政府采购合同金额的2%。</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履约保证金递交方式：银行转账、支票、汇票、本票或者银行、保险机构出具的保函等非现金方式</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在中标人按合同约定履行合同且免费保修（维护）期限满不存在质保争议后，由中标人凭《广西壮族自治区政府采购项目合同验收书》（详见附表）向采购人申请办理履约保证金退还手续，采购人在收到合格材料后4个工作日内以银行转账方式如数退还（不计利息）。</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开户名称：桂林电子科技大学</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开户银行：桂林市工行屏风支行</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银行账号：2103 2152 0924 9017 694</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    注：</w:t>
            </w:r>
          </w:p>
          <w:p>
            <w:pPr>
              <w:spacing w:line="360" w:lineRule="auto"/>
              <w:jc w:val="left"/>
              <w:rPr>
                <w:color w:val="auto"/>
                <w:highlight w:val="none"/>
              </w:rPr>
            </w:pPr>
            <w:r>
              <w:rPr>
                <w:rFonts w:hint="eastAsia" w:ascii="宋体" w:hAnsi="宋体" w:cs="宋体"/>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7" w:name="_40.1"/>
            <w:bookmarkEnd w:id="77"/>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广西达成咨询有限公司，联系电话：0773-3569998，通讯地址：桂林市秀峰区滨江路18号滨江大厦5楼</w:t>
            </w:r>
            <w:r>
              <w:rPr>
                <w:rFonts w:hint="eastAsia" w:ascii="宋体" w:hAnsi="宋体" w:cs="宋体"/>
                <w:color w:val="auto"/>
                <w:szCs w:val="21"/>
                <w:highlight w:val="none"/>
                <w:lang w:eastAsia="zh-CN"/>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8" w:name="_41"/>
            <w:bookmarkEnd w:id="78"/>
            <w:bookmarkStart w:id="79" w:name="_42"/>
            <w:bookmarkEnd w:id="79"/>
            <w:bookmarkStart w:id="80" w:name="_Hlt17709148"/>
            <w:r>
              <w:rPr>
                <w:rFonts w:hint="eastAsia" w:ascii="宋体" w:hAnsi="宋体" w:cs="宋体"/>
                <w:color w:val="auto"/>
                <w:szCs w:val="21"/>
                <w:highlight w:val="none"/>
              </w:rPr>
              <w:t>3</w:t>
            </w:r>
            <w:bookmarkEnd w:id="80"/>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pPr>
              <w:pStyle w:val="27"/>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pPr>
              <w:pStyle w:val="27"/>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pPr>
              <w:pStyle w:val="27"/>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pPr>
              <w:pStyle w:val="27"/>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☑本项目代理服务费由中标人在领取中标通知书前一次性向采购代理机构支付，代理服务费按中标金额的0.6</w:t>
            </w:r>
            <w:r>
              <w:rPr>
                <w:rFonts w:hAnsi="宋体" w:cs="宋体"/>
                <w:color w:val="auto"/>
                <w:sz w:val="21"/>
                <w:highlight w:val="none"/>
              </w:rPr>
              <w:t>%</w:t>
            </w:r>
            <w:r>
              <w:rPr>
                <w:color w:val="auto"/>
                <w:sz w:val="21"/>
                <w:highlight w:val="none"/>
              </w:rPr>
              <w:t>计算</w:t>
            </w:r>
            <w:r>
              <w:rPr>
                <w:rFonts w:hint="eastAsia"/>
                <w:color w:val="auto"/>
                <w:sz w:val="21"/>
                <w:highlight w:val="none"/>
              </w:rPr>
              <w:t>【计算公式即：中标金额×</w:t>
            </w:r>
            <w:r>
              <w:rPr>
                <w:rFonts w:hint="eastAsia" w:hAnsi="宋体" w:cs="宋体"/>
                <w:color w:val="auto"/>
                <w:sz w:val="21"/>
                <w:highlight w:val="none"/>
              </w:rPr>
              <w:t>0.6</w:t>
            </w:r>
            <w:r>
              <w:rPr>
                <w:rFonts w:hAnsi="宋体" w:cs="宋体"/>
                <w:color w:val="auto"/>
                <w:sz w:val="21"/>
                <w:highlight w:val="none"/>
              </w:rPr>
              <w:t>%</w:t>
            </w:r>
            <w:r>
              <w:rPr>
                <w:rFonts w:hint="eastAsia"/>
                <w:color w:val="auto"/>
                <w:sz w:val="21"/>
                <w:highlight w:val="none"/>
              </w:rPr>
              <w:t>）】</w:t>
            </w:r>
            <w:r>
              <w:rPr>
                <w:rFonts w:hint="eastAsia" w:hAnsi="宋体"/>
                <w:color w:val="auto"/>
                <w:sz w:val="21"/>
                <w:highlight w:val="none"/>
              </w:rPr>
              <w:t>。</w:t>
            </w:r>
          </w:p>
          <w:p>
            <w:pPr>
              <w:pStyle w:val="27"/>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pPr>
              <w:pStyle w:val="19"/>
              <w:spacing w:line="360" w:lineRule="auto"/>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3.采购代理费收取银行账户</w:t>
            </w:r>
          </w:p>
          <w:p>
            <w:pPr>
              <w:pStyle w:val="27"/>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开户名称：广西达成咨询有限公司第九分公司</w:t>
            </w:r>
          </w:p>
          <w:p>
            <w:pPr>
              <w:pStyle w:val="27"/>
              <w:snapToGrid w:val="0"/>
              <w:spacing w:line="360" w:lineRule="auto"/>
              <w:rPr>
                <w:rFonts w:hint="eastAsia" w:hAnsi="宋体" w:cs="宋体"/>
                <w:b/>
                <w:bCs/>
                <w:color w:val="auto"/>
                <w:sz w:val="21"/>
                <w:highlight w:val="none"/>
              </w:rPr>
            </w:pPr>
            <w:r>
              <w:rPr>
                <w:rFonts w:hint="eastAsia" w:hAnsi="宋体" w:cs="宋体"/>
                <w:b/>
                <w:bCs/>
                <w:color w:val="auto"/>
                <w:sz w:val="21"/>
                <w:highlight w:val="none"/>
              </w:rPr>
              <w:t>开户银行：桂林银行榕湖支行</w:t>
            </w:r>
          </w:p>
          <w:p>
            <w:pPr>
              <w:pStyle w:val="27"/>
              <w:snapToGrid w:val="0"/>
              <w:spacing w:line="360" w:lineRule="auto"/>
              <w:rPr>
                <w:rFonts w:hAnsi="宋体" w:cs="宋体"/>
                <w:color w:val="auto"/>
                <w:sz w:val="21"/>
                <w:highlight w:val="none"/>
              </w:rPr>
            </w:pPr>
            <w:r>
              <w:rPr>
                <w:rFonts w:hint="eastAsia" w:hAnsi="宋体" w:cs="宋体"/>
                <w:b/>
                <w:bCs/>
                <w:color w:val="auto"/>
                <w:highlight w:val="none"/>
              </w:rPr>
              <w:t>银行账号：660000014004900017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39</w:t>
            </w:r>
            <w:r>
              <w:rPr>
                <w:rFonts w:hint="eastAsia" w:ascii="宋体" w:hAnsi="宋体" w:cs="宋体"/>
                <w:color w:val="auto"/>
                <w:szCs w:val="21"/>
                <w:highlight w:val="none"/>
              </w:rPr>
              <w:t>.1</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39</w:t>
            </w:r>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rPr>
                <w:rFonts w:hAnsi="宋体" w:cs="宋体"/>
                <w:b/>
                <w:bCs/>
                <w:color w:val="auto"/>
                <w:sz w:val="21"/>
                <w:highlight w:val="none"/>
              </w:rPr>
            </w:pPr>
            <w:r>
              <w:rPr>
                <w:rFonts w:hint="eastAsia" w:hAnsi="宋体" w:cs="宋体"/>
                <w:b/>
                <w:bCs/>
                <w:color w:val="auto"/>
                <w:sz w:val="21"/>
                <w:highlight w:val="none"/>
              </w:rPr>
              <w:t>1.本招标文件中描述投标人的“公章”是指根据我国对公章的管理规定，用投标人法定主体行为名称制作的印章</w:t>
            </w:r>
            <w:r>
              <w:rPr>
                <w:rFonts w:hint="eastAsia" w:hAnsi="宋体" w:cs="宋体"/>
                <w:b/>
                <w:bCs/>
                <w:color w:val="auto"/>
                <w:sz w:val="21"/>
                <w:highlight w:val="none"/>
                <w:lang w:val="en-US" w:eastAsia="zh-CN"/>
              </w:rPr>
              <w:t>（或CA签章）</w:t>
            </w:r>
            <w:r>
              <w:rPr>
                <w:rFonts w:hint="eastAsia" w:hAnsi="宋体" w:cs="宋体"/>
                <w:b/>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r>
              <w:rPr>
                <w:rFonts w:hint="eastAsia" w:hAnsi="宋体" w:cs="宋体"/>
                <w:b/>
                <w:bCs/>
                <w:color w:val="auto"/>
                <w:sz w:val="21"/>
                <w:highlight w:val="none"/>
                <w:lang w:val="en-US" w:eastAsia="zh-CN"/>
              </w:rPr>
              <w:t>（或CA签章）</w:t>
            </w:r>
            <w:r>
              <w:rPr>
                <w:rFonts w:hint="eastAsia" w:hAnsi="宋体" w:cs="宋体"/>
                <w:b/>
                <w:bCs/>
                <w:color w:val="auto"/>
                <w:sz w:val="21"/>
                <w:highlight w:val="none"/>
              </w:rPr>
              <w:t>。</w:t>
            </w:r>
          </w:p>
          <w:p>
            <w:pPr>
              <w:pStyle w:val="27"/>
              <w:snapToGrid w:val="0"/>
              <w:spacing w:line="360" w:lineRule="auto"/>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27"/>
              <w:snapToGrid w:val="0"/>
              <w:spacing w:line="360" w:lineRule="auto"/>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pPr>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bl>
    <w:p>
      <w:pPr>
        <w:snapToGrid w:val="0"/>
        <w:rPr>
          <w:rFonts w:ascii="宋体" w:hAnsi="宋体" w:cs="宋体"/>
          <w:color w:val="auto"/>
          <w:sz w:val="24"/>
          <w:szCs w:val="20"/>
          <w:highlight w:val="none"/>
        </w:rPr>
      </w:pPr>
    </w:p>
    <w:p>
      <w:pPr>
        <w:snapToGrid w:val="0"/>
        <w:rPr>
          <w:rFonts w:ascii="宋体" w:hAnsi="宋体" w:cs="宋体"/>
          <w:color w:val="auto"/>
          <w:sz w:val="24"/>
          <w:szCs w:val="20"/>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一、总  则</w:t>
      </w:r>
    </w:p>
    <w:p>
      <w:pPr>
        <w:pStyle w:val="7"/>
        <w:keepNext w:val="0"/>
        <w:keepLines w:val="0"/>
        <w:spacing w:before="0" w:after="0" w:line="360" w:lineRule="auto"/>
        <w:ind w:left="420" w:leftChars="200"/>
        <w:rPr>
          <w:rFonts w:ascii="宋体" w:hAnsi="宋体" w:cs="宋体"/>
          <w:color w:val="auto"/>
          <w:sz w:val="24"/>
          <w:highlight w:val="none"/>
        </w:rPr>
      </w:pPr>
      <w:bookmarkStart w:id="81" w:name="_Toc254970668"/>
      <w:bookmarkStart w:id="82" w:name="_Toc254970527"/>
      <w:r>
        <w:rPr>
          <w:rFonts w:hint="eastAsia" w:ascii="宋体" w:hAnsi="宋体" w:cs="宋体"/>
          <w:color w:val="auto"/>
          <w:sz w:val="24"/>
          <w:highlight w:val="none"/>
        </w:rPr>
        <w:t>1.适用范围</w:t>
      </w:r>
      <w:bookmarkEnd w:id="81"/>
      <w:bookmarkEnd w:id="82"/>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宋体" w:hAnsi="宋体" w:cs="宋体"/>
          <w:color w:val="auto"/>
          <w:sz w:val="24"/>
          <w:highlight w:val="none"/>
        </w:rPr>
      </w:pPr>
      <w:bookmarkStart w:id="83" w:name="_Toc254970528"/>
      <w:bookmarkStart w:id="84" w:name="_Toc254970669"/>
      <w:r>
        <w:rPr>
          <w:rFonts w:hint="eastAsia" w:ascii="宋体" w:hAnsi="宋体" w:cs="宋体"/>
          <w:color w:val="auto"/>
          <w:sz w:val="24"/>
          <w:highlight w:val="none"/>
        </w:rPr>
        <w:t>2.定义</w:t>
      </w:r>
      <w:bookmarkEnd w:id="83"/>
      <w:bookmarkEnd w:id="84"/>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w:t>
      </w:r>
      <w:r>
        <w:rPr>
          <w:rFonts w:hint="eastAsia" w:ascii="宋体" w:hAnsi="宋体"/>
          <w:b w:val="0"/>
          <w:color w:val="auto"/>
          <w:sz w:val="21"/>
          <w:szCs w:val="21"/>
          <w:highlight w:val="none"/>
        </w:rPr>
        <w:t>是指政府采购集中采购机构和集中采购机构以外的采购代理机构。</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3“供应商”是指向采购人提供货物、工程或者服务的法人、其他组织或者自然人。</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ascii="宋体" w:hAnsi="宋体" w:cs="宋体"/>
          <w:b w:val="0"/>
          <w:color w:val="auto"/>
          <w:sz w:val="21"/>
          <w:szCs w:val="21"/>
          <w:highlight w:val="none"/>
        </w:rPr>
        <w:t>2.4“投标人”是指响应招标、参加投标</w:t>
      </w:r>
      <w:r>
        <w:rPr>
          <w:rFonts w:hint="eastAsia" w:ascii="宋体" w:hAnsi="宋体" w:eastAsia="宋体" w:cs="宋体"/>
          <w:b w:val="0"/>
          <w:color w:val="auto"/>
          <w:sz w:val="21"/>
          <w:szCs w:val="21"/>
          <w:highlight w:val="none"/>
        </w:rPr>
        <w:t>竞争的法人、非法人组织或者自然人。</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2.5“服务”是指除货物和工程以外的其他政府采购对象。</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2.7“实质性要求”是指招标文件中已经指明不满足则投标无效的条款，或者不能负偏离的条款，或者采购需求中带“▲”的条款。</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2.8“正偏离”，是指投标文件对招标文件“采购需求”中有关条款作出的响应优于条款要求并有利于采购人的情形。</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2.9“负偏离”，是指投标文件对招标文件“采购需求”中有关条款作出的响应不满足条款要求，导致采购人要求不能得到满足的情形。</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2.10“允许负偏离的条款”是指采购需求中的不属于“实质性要求”的条款。</w:t>
      </w:r>
    </w:p>
    <w:p>
      <w:pPr>
        <w:pStyle w:val="7"/>
        <w:keepNext w:val="0"/>
        <w:keepLines w:val="0"/>
        <w:spacing w:before="0" w:after="0" w:line="360" w:lineRule="auto"/>
        <w:ind w:left="420" w:leftChars="200"/>
        <w:rPr>
          <w:rFonts w:ascii="宋体" w:hAnsi="宋体" w:cs="宋体"/>
          <w:color w:val="auto"/>
          <w:sz w:val="24"/>
          <w:highlight w:val="none"/>
        </w:rPr>
      </w:pPr>
      <w:bookmarkStart w:id="85" w:name="_Toc254970529"/>
      <w:bookmarkStart w:id="86" w:name="_Toc254970670"/>
      <w:r>
        <w:rPr>
          <w:rFonts w:hint="eastAsia" w:ascii="宋体" w:hAnsi="宋体" w:cs="宋体"/>
          <w:color w:val="auto"/>
          <w:sz w:val="24"/>
          <w:highlight w:val="none"/>
        </w:rPr>
        <w:t>3.</w:t>
      </w:r>
      <w:bookmarkEnd w:id="85"/>
      <w:bookmarkEnd w:id="86"/>
      <w:r>
        <w:rPr>
          <w:rFonts w:hint="eastAsia" w:ascii="宋体" w:hAnsi="宋体" w:cs="宋体"/>
          <w:color w:val="auto"/>
          <w:sz w:val="24"/>
          <w:highlight w:val="none"/>
        </w:rPr>
        <w:t>投标人的资格要求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pPr>
        <w:pStyle w:val="7"/>
        <w:keepNext w:val="0"/>
        <w:keepLines w:val="0"/>
        <w:spacing w:before="0" w:after="0" w:line="360" w:lineRule="auto"/>
        <w:ind w:left="420" w:leftChars="200"/>
        <w:rPr>
          <w:rFonts w:ascii="宋体" w:hAnsi="宋体" w:cs="宋体"/>
          <w:color w:val="auto"/>
          <w:sz w:val="24"/>
          <w:highlight w:val="none"/>
        </w:rPr>
      </w:pPr>
      <w:bookmarkStart w:id="87" w:name="_Toc254970671"/>
      <w:bookmarkStart w:id="88" w:name="_Toc254970530"/>
      <w:r>
        <w:rPr>
          <w:rFonts w:hint="eastAsia" w:ascii="宋体" w:hAnsi="宋体" w:cs="宋体"/>
          <w:color w:val="auto"/>
          <w:sz w:val="24"/>
          <w:highlight w:val="none"/>
        </w:rPr>
        <w:t>4.投标委托</w:t>
      </w:r>
      <w:bookmarkEnd w:id="87"/>
      <w:bookmarkEnd w:id="88"/>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pPr>
        <w:pStyle w:val="7"/>
        <w:keepNext w:val="0"/>
        <w:keepLines w:val="0"/>
        <w:spacing w:before="0" w:after="0" w:line="360" w:lineRule="auto"/>
        <w:ind w:left="420" w:leftChars="200"/>
        <w:rPr>
          <w:rFonts w:ascii="宋体" w:hAnsi="宋体" w:cs="宋体"/>
          <w:color w:val="auto"/>
          <w:sz w:val="24"/>
          <w:highlight w:val="none"/>
        </w:rPr>
      </w:pPr>
      <w:bookmarkStart w:id="89" w:name="_5.投标费用"/>
      <w:bookmarkEnd w:id="89"/>
      <w:bookmarkStart w:id="90" w:name="_Toc254970672"/>
      <w:bookmarkStart w:id="91" w:name="_Toc254970531"/>
      <w:r>
        <w:rPr>
          <w:rFonts w:hint="eastAsia" w:ascii="宋体" w:hAnsi="宋体" w:cs="宋体"/>
          <w:color w:val="auto"/>
          <w:sz w:val="24"/>
          <w:highlight w:val="none"/>
        </w:rPr>
        <w:t>5.投标费用</w:t>
      </w:r>
      <w:bookmarkEnd w:id="90"/>
      <w:bookmarkEnd w:id="91"/>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6.3</w:t>
      </w:r>
      <w:r>
        <w:rPr>
          <w:rFonts w:hint="eastAsia" w:ascii="宋体" w:hAnsi="宋体" w:eastAsia="宋体" w:cs="宋体"/>
          <w:color w:val="auto"/>
          <w:szCs w:val="21"/>
          <w:highlight w:val="none"/>
        </w:rPr>
        <w:t>根据《政府采购促进中小企业发展管理办法》（财库〔2020〕46号）第九条第二款及《广西壮族自治区财政厅关于贯彻落实政府采购支持中小企业发展政策的通知》（桂财采〔2022〕31号）的规定</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7.转包与分包</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pPr>
        <w:pStyle w:val="7"/>
        <w:keepNext w:val="0"/>
        <w:keepLines w:val="0"/>
        <w:spacing w:before="0" w:after="0"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hint="eastAsia" w:ascii="宋体" w:hAnsi="宋体" w:cs="宋体"/>
          <w:color w:val="auto"/>
          <w:sz w:val="24"/>
          <w:highlight w:val="none"/>
        </w:rPr>
      </w:pPr>
      <w:bookmarkStart w:id="92" w:name="_Toc254970673"/>
      <w:bookmarkStart w:id="93" w:name="_Toc254970532"/>
      <w:r>
        <w:rPr>
          <w:rFonts w:hint="eastAsia" w:ascii="宋体" w:hAnsi="宋体" w:cs="宋体"/>
          <w:color w:val="auto"/>
          <w:sz w:val="24"/>
          <w:highlight w:val="none"/>
        </w:rPr>
        <w:t>8.特别说明：</w:t>
      </w:r>
      <w:bookmarkEnd w:id="92"/>
      <w:bookmarkEnd w:id="93"/>
    </w:p>
    <w:p>
      <w:pPr>
        <w:pStyle w:val="7"/>
        <w:keepNext w:val="0"/>
        <w:keepLines w:val="0"/>
        <w:spacing w:before="0" w:after="0" w:line="360" w:lineRule="auto"/>
        <w:ind w:firstLine="422" w:firstLineChars="200"/>
        <w:rPr>
          <w:rFonts w:hint="eastAsia" w:ascii="宋体" w:hAnsi="宋体" w:eastAsia="宋体" w:cs="宋体"/>
          <w:color w:val="auto"/>
          <w:sz w:val="21"/>
          <w:szCs w:val="21"/>
          <w:highlight w:val="none"/>
          <w:lang w:val="en-US" w:eastAsia="zh-CN"/>
        </w:rPr>
      </w:pPr>
      <w:bookmarkStart w:id="94" w:name="_8.1提供相同品牌产品且通过资格审查、符合性审查的不同投标人参加同一合"/>
      <w:bookmarkEnd w:id="94"/>
      <w:r>
        <w:rPr>
          <w:rFonts w:hint="eastAsia" w:ascii="宋体" w:hAnsi="宋体" w:eastAsia="宋体" w:cs="宋体"/>
          <w:b/>
          <w:bCs/>
          <w:color w:val="auto"/>
          <w:sz w:val="21"/>
          <w:szCs w:val="21"/>
          <w:highlight w:val="none"/>
          <w:u w:val="none"/>
        </w:rPr>
        <w:fldChar w:fldCharType="begin"/>
      </w:r>
      <w:r>
        <w:rPr>
          <w:rFonts w:hint="eastAsia" w:ascii="宋体" w:hAnsi="宋体" w:eastAsia="宋体" w:cs="宋体"/>
          <w:b/>
          <w:bCs/>
          <w:color w:val="auto"/>
          <w:sz w:val="21"/>
          <w:szCs w:val="21"/>
          <w:highlight w:val="none"/>
          <w:u w:val="none"/>
        </w:rPr>
        <w:instrText xml:space="preserve"> HYPERLINK  \l "_8.1"</w:instrText>
      </w:r>
      <w:r>
        <w:rPr>
          <w:rFonts w:hint="eastAsia" w:ascii="宋体" w:hAnsi="宋体" w:eastAsia="宋体" w:cs="宋体"/>
          <w:b/>
          <w:bCs/>
          <w:color w:val="auto"/>
          <w:sz w:val="21"/>
          <w:szCs w:val="21"/>
          <w:highlight w:val="none"/>
          <w:u w:val="none"/>
        </w:rPr>
        <w:fldChar w:fldCharType="separate"/>
      </w:r>
      <w:r>
        <w:rPr>
          <w:rFonts w:hint="eastAsia" w:ascii="宋体" w:hAnsi="宋体" w:eastAsia="宋体" w:cs="宋体"/>
          <w:b/>
          <w:bCs/>
          <w:color w:val="auto"/>
          <w:sz w:val="21"/>
          <w:szCs w:val="21"/>
          <w:highlight w:val="none"/>
          <w:u w:val="none"/>
        </w:rPr>
        <w:t>8.1</w:t>
      </w:r>
      <w:r>
        <w:rPr>
          <w:rFonts w:hint="eastAsia" w:ascii="宋体" w:hAnsi="宋体" w:eastAsia="宋体" w:cs="宋体"/>
          <w:b/>
          <w:bCs/>
          <w:color w:val="auto"/>
          <w:sz w:val="21"/>
          <w:szCs w:val="21"/>
          <w:highlight w:val="none"/>
          <w:u w:val="none"/>
        </w:rPr>
        <w:fldChar w:fldCharType="end"/>
      </w:r>
      <w:r>
        <w:rPr>
          <w:rFonts w:hint="eastAsia" w:ascii="宋体" w:hAnsi="宋体" w:eastAsia="宋体" w:cs="宋体"/>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s="宋体"/>
          <w:color w:val="auto"/>
          <w:sz w:val="21"/>
          <w:szCs w:val="21"/>
          <w:highlight w:val="none"/>
        </w:rPr>
        <w:t>若评标报价相同的，由采购人或者采购人委托评标委员会采取随机抽取的方式确定一个投标人获得中标人推荐资格，其他同品牌投标人不作为中标候选人。非单一产品采购项目，多家投标人提供的核心产品品牌相同的，按前款规定处理。</w:t>
      </w:r>
      <w:r>
        <w:rPr>
          <w:rFonts w:hint="eastAsia" w:ascii="宋体" w:hAnsi="宋体" w:cs="宋体"/>
          <w:color w:val="auto"/>
          <w:sz w:val="21"/>
          <w:szCs w:val="21"/>
          <w:highlight w:val="none"/>
          <w:lang w:val="en-US" w:eastAsia="zh-CN"/>
        </w:rPr>
        <w:t>若项目为服务类项目，则无需按上述要求执行。</w:t>
      </w:r>
    </w:p>
    <w:p>
      <w:pPr>
        <w:pStyle w:val="7"/>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8.2如果本招标文件要求投标人提供资格、信誉、荣誉、业绩与企业认证等材料的，则投标人所提供的以上材料必须为投标人所拥有（评标办法中有其他要求的，则按评标办法要求）。</w:t>
      </w:r>
    </w:p>
    <w:p>
      <w:pPr>
        <w:pStyle w:val="7"/>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pPr>
        <w:pStyle w:val="7"/>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9.1在政府采购活动中，采购人员及相关人员与供应商有下列利害关系之一的，应当回避：</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（1）参加采购活动前3年内与供应商存在劳动关系；</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（2）参加采购活动前3年内担任供应商的董事、监事；</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（3）参加采购活动前3年内是供应商的控股股东或者实际控制人；</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（4）与供应商的法定代表人或者负责人有夫妻、直系血亲、三代以内旁系血亲或者近姻亲关系；</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（5）与供应商有其他可能影响政府采购活动公平、公正进行的关系。</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9.3供应商有下列情形之一的，属于恶意串通行为，将报同级监督管理部门：</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（1）供应商直接或者间接从采购人或者采购代理机构处获得其他供应商的相关信息并修改其投标文件或者响应文件；</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（2）供应商按照采购人或者采购代理机构的授意撤换、修改投标文件或者响应文件；</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（3）供应商之间协商报价、技术方案等投标文件或者响应文件的实质性内容；</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（4）属于同一集团、协会、商会等组织成员的供应商按照该组织要求协同参加政府采购活动；</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（6）供应商之间商定部分供应商放弃参加政府采购活动或者放弃中标；</w:t>
      </w:r>
    </w:p>
    <w:p>
      <w:pPr>
        <w:pStyle w:val="27"/>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（7）供应商与采购人或者采购代理机构之间、供应商相互之间，为谋求特定供应商中标或者排斥其他供应商的其他串通行为。</w:t>
      </w:r>
    </w:p>
    <w:p>
      <w:pPr>
        <w:pStyle w:val="5"/>
        <w:keepNext w:val="0"/>
        <w:keepLines w:val="0"/>
        <w:jc w:val="center"/>
        <w:rPr>
          <w:rFonts w:ascii="宋体" w:hAnsi="宋体" w:cs="宋体"/>
          <w:color w:val="auto"/>
          <w:highlight w:val="none"/>
        </w:rPr>
      </w:pPr>
      <w:bookmarkStart w:id="95" w:name="_Toc254970534"/>
      <w:bookmarkStart w:id="96" w:name="_Toc254970675"/>
      <w:r>
        <w:rPr>
          <w:rFonts w:hint="eastAsia" w:ascii="宋体" w:hAnsi="宋体" w:cs="宋体"/>
          <w:color w:val="auto"/>
          <w:highlight w:val="none"/>
        </w:rPr>
        <w:t>二、招标文件</w:t>
      </w:r>
      <w:bookmarkEnd w:id="95"/>
      <w:bookmarkEnd w:id="96"/>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pStyle w:val="7"/>
        <w:keepNext w:val="0"/>
        <w:keepLines w:val="0"/>
        <w:numPr>
          <w:ilvl w:val="0"/>
          <w:numId w:val="0"/>
        </w:numPr>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11.招标文件的澄清、修改、现场考察和答疑会</w:t>
      </w:r>
    </w:p>
    <w:p>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7"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7"/>
    <w:p>
      <w:pPr>
        <w:pStyle w:val="5"/>
        <w:keepNext w:val="0"/>
        <w:keepLines w:val="0"/>
        <w:jc w:val="center"/>
        <w:rPr>
          <w:rFonts w:ascii="宋体" w:hAnsi="宋体" w:cs="宋体"/>
          <w:color w:val="auto"/>
          <w:highlight w:val="none"/>
        </w:rPr>
      </w:pPr>
      <w:bookmarkStart w:id="98" w:name="_Toc254970535"/>
      <w:bookmarkStart w:id="99" w:name="_Toc254970676"/>
      <w:r>
        <w:rPr>
          <w:rFonts w:hint="eastAsia" w:ascii="宋体" w:hAnsi="宋体" w:cs="宋体"/>
          <w:color w:val="auto"/>
          <w:highlight w:val="none"/>
        </w:rPr>
        <w:t>三、投标文件的编制</w:t>
      </w:r>
      <w:bookmarkEnd w:id="98"/>
      <w:bookmarkEnd w:id="99"/>
    </w:p>
    <w:p>
      <w:pPr>
        <w:pStyle w:val="7"/>
        <w:keepNext w:val="0"/>
        <w:keepLines w:val="0"/>
        <w:spacing w:before="0" w:after="0" w:line="360" w:lineRule="auto"/>
        <w:ind w:left="420" w:leftChars="200"/>
        <w:rPr>
          <w:rFonts w:ascii="宋体" w:hAnsi="宋体" w:cs="宋体"/>
          <w:color w:val="auto"/>
          <w:sz w:val="24"/>
          <w:highlight w:val="none"/>
        </w:rPr>
      </w:pPr>
      <w:bookmarkStart w:id="100" w:name="_Toc254970536"/>
      <w:bookmarkStart w:id="101" w:name="_Toc254970677"/>
      <w:r>
        <w:rPr>
          <w:rFonts w:hint="eastAsia" w:ascii="宋体" w:hAnsi="宋体" w:cs="宋体"/>
          <w:color w:val="auto"/>
          <w:sz w:val="24"/>
          <w:highlight w:val="none"/>
        </w:rPr>
        <w:t>12.投标文件的编制原则</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0"/>
      <w:bookmarkEnd w:id="101"/>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pPr>
        <w:snapToGrid w:val="0"/>
        <w:spacing w:line="360" w:lineRule="auto"/>
        <w:ind w:firstLine="420" w:firstLineChars="200"/>
        <w:jc w:val="left"/>
        <w:rPr>
          <w:rFonts w:ascii="宋体" w:hAnsi="宋体" w:cs="宋体"/>
          <w:color w:val="auto"/>
          <w:szCs w:val="21"/>
          <w:highlight w:val="none"/>
        </w:rPr>
      </w:pPr>
      <w:bookmarkStart w:id="102" w:name="_13.1报价文件:_具体材料见“投标人须知前附表”。"/>
      <w:bookmarkEnd w:id="102"/>
      <w:r>
        <w:rPr>
          <w:rFonts w:hint="eastAsia" w:ascii="宋体" w:hAnsi="宋体" w:cs="宋体"/>
          <w:color w:val="auto"/>
          <w:szCs w:val="21"/>
          <w:highlight w:val="none"/>
        </w:rPr>
        <w:t>（1）报价文件：具体材料见“投标人须知前附表”。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3" w:name="_13.2资格证明文件：具体材料见“投标人须知前附表”。"/>
      <w:bookmarkEnd w:id="103"/>
      <w:r>
        <w:rPr>
          <w:rFonts w:hint="eastAsia" w:ascii="宋体" w:hAnsi="宋体" w:cs="宋体"/>
          <w:color w:val="auto"/>
          <w:szCs w:val="21"/>
          <w:highlight w:val="none"/>
        </w:rPr>
        <w:t>（2）资格证明文件：具体材料见“投标人须知前附表”。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4" w:name="_13.3商务文件:_具体材料见“投标人须知前附表”。"/>
      <w:bookmarkEnd w:id="104"/>
      <w:r>
        <w:rPr>
          <w:rFonts w:hint="eastAsia" w:ascii="宋体" w:hAnsi="宋体" w:cs="宋体"/>
          <w:color w:val="auto"/>
          <w:szCs w:val="21"/>
          <w:highlight w:val="none"/>
        </w:rPr>
        <w:t>（3）商务文件：具体材料见“投标人须知前附表”。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5" w:name="_13.4技术文件：具体材料见“投标人须知前附表”。"/>
      <w:bookmarkEnd w:id="105"/>
      <w:r>
        <w:rPr>
          <w:rFonts w:hint="eastAsia" w:ascii="宋体" w:hAnsi="宋体" w:cs="宋体"/>
          <w:color w:val="auto"/>
          <w:szCs w:val="21"/>
          <w:highlight w:val="none"/>
        </w:rPr>
        <w:t>（4）技术文件：具体材料见“投标人须知前附表”。</w:t>
      </w:r>
    </w:p>
    <w:p>
      <w:pPr>
        <w:pStyle w:val="7"/>
        <w:keepNext w:val="0"/>
        <w:keepLines w:val="0"/>
        <w:numPr>
          <w:ilvl w:val="0"/>
          <w:numId w:val="0"/>
        </w:numPr>
        <w:spacing w:before="0" w:after="0" w:line="360" w:lineRule="auto"/>
        <w:ind w:firstLine="422" w:firstLineChars="200"/>
        <w:rPr>
          <w:rFonts w:hint="eastAsia" w:ascii="宋体" w:hAnsi="宋体"/>
          <w:b w:val="0"/>
          <w:color w:val="auto"/>
          <w:sz w:val="21"/>
          <w:szCs w:val="21"/>
          <w:highlight w:val="none"/>
        </w:rPr>
      </w:pPr>
      <w:bookmarkStart w:id="106" w:name="_13.5投标文件电子版：具体材料见“投标人须知前附表”。"/>
      <w:bookmarkEnd w:id="106"/>
      <w:r>
        <w:rPr>
          <w:rFonts w:hint="eastAsia" w:ascii="宋体" w:hAnsi="宋体" w:cs="宋体"/>
          <w:color w:val="auto"/>
          <w:sz w:val="21"/>
          <w:szCs w:val="21"/>
          <w:highlight w:val="none"/>
        </w:rPr>
        <w:t>13.2</w:t>
      </w:r>
      <w:r>
        <w:rPr>
          <w:rFonts w:hint="eastAsia" w:ascii="宋体" w:hAnsi="宋体"/>
          <w:b w:val="0"/>
          <w:color w:val="auto"/>
          <w:sz w:val="21"/>
          <w:szCs w:val="21"/>
          <w:highlight w:val="none"/>
          <w:lang w:val="en-US" w:eastAsia="zh-CN"/>
        </w:rPr>
        <w:t>电子</w:t>
      </w:r>
      <w:r>
        <w:rPr>
          <w:rFonts w:hint="eastAsia" w:ascii="宋体" w:hAnsi="宋体"/>
          <w:b w:val="0"/>
          <w:color w:val="auto"/>
          <w:sz w:val="21"/>
          <w:szCs w:val="21"/>
          <w:highlight w:val="none"/>
        </w:rPr>
        <w:t>投标文件电子版：</w:t>
      </w:r>
      <w:r>
        <w:rPr>
          <w:rFonts w:ascii="宋体" w:hAnsi="宋体"/>
          <w:b w:val="0"/>
          <w:color w:val="auto"/>
          <w:sz w:val="21"/>
          <w:szCs w:val="21"/>
          <w:highlight w:val="none"/>
        </w:rPr>
        <w:t>具体</w:t>
      </w:r>
      <w:r>
        <w:rPr>
          <w:rFonts w:hint="eastAsia" w:ascii="宋体" w:hAnsi="宋体"/>
          <w:b w:val="0"/>
          <w:color w:val="auto"/>
          <w:sz w:val="21"/>
          <w:szCs w:val="21"/>
          <w:highlight w:val="none"/>
        </w:rPr>
        <w:t>要求</w:t>
      </w:r>
      <w:r>
        <w:rPr>
          <w:rFonts w:ascii="宋体" w:hAnsi="宋体"/>
          <w:b w:val="0"/>
          <w:color w:val="auto"/>
          <w:sz w:val="21"/>
          <w:szCs w:val="21"/>
          <w:highlight w:val="none"/>
        </w:rPr>
        <w:t>见“投标人须知前附表”</w:t>
      </w:r>
      <w:r>
        <w:rPr>
          <w:rFonts w:hint="eastAsia" w:ascii="宋体" w:hAnsi="宋体"/>
          <w:b w:val="0"/>
          <w:color w:val="auto"/>
          <w:sz w:val="21"/>
          <w:szCs w:val="21"/>
          <w:highlight w:val="none"/>
        </w:rPr>
        <w:t>。</w:t>
      </w:r>
    </w:p>
    <w:p>
      <w:pPr>
        <w:spacing w:line="360" w:lineRule="auto"/>
        <w:ind w:left="0" w:leftChars="0"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公章（CA签章）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eastAsia="宋体" w:cs="宋体"/>
          <w:b/>
          <w:bCs/>
          <w:color w:val="auto"/>
          <w:highlight w:val="none"/>
        </w:rPr>
        <w:t>CA签章，否则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投标</w:t>
      </w:r>
      <w:r>
        <w:rPr>
          <w:rFonts w:hint="eastAsia" w:ascii="宋体" w:hAnsi="宋体" w:eastAsia="宋体" w:cs="宋体"/>
          <w:b/>
          <w:color w:val="auto"/>
          <w:szCs w:val="21"/>
          <w:highlight w:val="none"/>
        </w:rPr>
        <w:t>文件（电子</w:t>
      </w:r>
      <w:r>
        <w:rPr>
          <w:rFonts w:hint="eastAsia" w:ascii="宋体" w:hAnsi="宋体" w:eastAsia="宋体" w:cs="宋体"/>
          <w:b/>
          <w:bCs/>
          <w:color w:val="auto"/>
          <w:szCs w:val="21"/>
          <w:highlight w:val="none"/>
          <w:lang w:val="en-US" w:eastAsia="zh-CN"/>
        </w:rPr>
        <w:t>投标</w:t>
      </w:r>
      <w:r>
        <w:rPr>
          <w:rFonts w:hint="eastAsia" w:ascii="宋体" w:hAnsi="宋体" w:eastAsia="宋体" w:cs="宋体"/>
          <w:b/>
          <w:color w:val="auto"/>
          <w:szCs w:val="21"/>
          <w:highlight w:val="none"/>
        </w:rPr>
        <w:t>文件），其中电子</w:t>
      </w:r>
      <w:r>
        <w:rPr>
          <w:rFonts w:hint="eastAsia" w:ascii="宋体" w:hAnsi="宋体" w:eastAsia="宋体" w:cs="宋体"/>
          <w:b/>
          <w:bCs/>
          <w:color w:val="auto"/>
          <w:szCs w:val="21"/>
          <w:highlight w:val="none"/>
          <w:lang w:val="en-US" w:eastAsia="zh-CN"/>
        </w:rPr>
        <w:t>投标</w:t>
      </w:r>
      <w:r>
        <w:rPr>
          <w:rFonts w:hint="eastAsia" w:ascii="宋体" w:hAnsi="宋体" w:eastAsia="宋体" w:cs="宋体"/>
          <w:b/>
          <w:color w:val="auto"/>
          <w:szCs w:val="21"/>
          <w:highlight w:val="none"/>
        </w:rPr>
        <w:t>文件中所须加盖公章部分均采用CA签章。若</w:t>
      </w:r>
      <w:r>
        <w:rPr>
          <w:rFonts w:hint="eastAsia" w:ascii="宋体" w:hAnsi="宋体" w:eastAsia="宋体" w:cs="宋体"/>
          <w:b/>
          <w:color w:val="auto"/>
          <w:szCs w:val="21"/>
          <w:highlight w:val="none"/>
          <w:lang w:val="en-US" w:eastAsia="zh-CN"/>
        </w:rPr>
        <w:t>招标</w:t>
      </w:r>
      <w:r>
        <w:rPr>
          <w:rFonts w:hint="eastAsia" w:ascii="宋体" w:hAnsi="宋体" w:eastAsia="宋体" w:cs="宋体"/>
          <w:b/>
          <w:color w:val="auto"/>
          <w:szCs w:val="21"/>
          <w:highlight w:val="none"/>
        </w:rPr>
        <w:t>文件中有专门标注的某关联点，并要求供应商在电子投标系统中作出</w:t>
      </w:r>
      <w:r>
        <w:rPr>
          <w:rFonts w:hint="eastAsia" w:ascii="宋体" w:hAnsi="宋体" w:eastAsia="宋体" w:cs="宋体"/>
          <w:b/>
          <w:color w:val="auto"/>
          <w:szCs w:val="21"/>
          <w:highlight w:val="none"/>
          <w:lang w:val="en-US" w:eastAsia="zh-CN"/>
        </w:rPr>
        <w:t>投标</w:t>
      </w:r>
      <w:r>
        <w:rPr>
          <w:rFonts w:hint="eastAsia" w:ascii="宋体" w:hAnsi="宋体" w:eastAsia="宋体" w:cs="宋体"/>
          <w:b/>
          <w:color w:val="auto"/>
          <w:szCs w:val="21"/>
          <w:highlight w:val="none"/>
        </w:rPr>
        <w:t>响应的，如供应商未对关联点进行响应或者在响应文件其它内容进行描述，造成电子评审不能查询的责任由供应商自行承担。</w:t>
      </w:r>
    </w:p>
    <w:p>
      <w:pPr>
        <w:numPr>
          <w:ilvl w:val="0"/>
          <w:numId w:val="4"/>
        </w:numPr>
        <w:spacing w:line="360" w:lineRule="auto"/>
        <w:ind w:left="20" w:leftChars="0" w:firstLine="422" w:firstLineChars="0"/>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val="en-US" w:eastAsia="zh-CN"/>
        </w:rPr>
        <w:t>招标</w:t>
      </w:r>
      <w:r>
        <w:rPr>
          <w:rFonts w:hint="eastAsia" w:ascii="宋体" w:hAnsi="宋体" w:eastAsia="宋体" w:cs="宋体"/>
          <w:b/>
          <w:bCs/>
          <w:color w:val="auto"/>
          <w:szCs w:val="21"/>
          <w:highlight w:val="none"/>
          <w:lang w:eastAsia="zh-CN"/>
        </w:rPr>
        <w:t>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投标</w:t>
      </w:r>
      <w:r>
        <w:rPr>
          <w:rFonts w:hint="eastAsia" w:ascii="宋体" w:hAnsi="宋体" w:eastAsia="宋体" w:cs="宋体"/>
          <w:b/>
          <w:bCs/>
          <w:color w:val="auto"/>
          <w:szCs w:val="21"/>
          <w:highlight w:val="none"/>
        </w:rPr>
        <w:t>无效。</w:t>
      </w:r>
    </w:p>
    <w:p>
      <w:pPr>
        <w:pStyle w:val="7"/>
        <w:keepNext w:val="0"/>
        <w:keepLines w:val="0"/>
        <w:spacing w:before="0" w:after="0" w:line="360" w:lineRule="auto"/>
        <w:ind w:left="420" w:leftChars="200"/>
        <w:rPr>
          <w:rFonts w:ascii="宋体" w:hAnsi="宋体" w:cs="宋体"/>
          <w:color w:val="auto"/>
          <w:sz w:val="24"/>
          <w:highlight w:val="none"/>
        </w:rPr>
      </w:pPr>
      <w:bookmarkStart w:id="107" w:name="_Toc254970678"/>
      <w:bookmarkStart w:id="108" w:name="_Toc254970537"/>
      <w:r>
        <w:rPr>
          <w:rFonts w:hint="eastAsia" w:ascii="宋体" w:hAnsi="宋体" w:cs="宋体"/>
          <w:color w:val="auto"/>
          <w:sz w:val="24"/>
          <w:highlight w:val="none"/>
        </w:rPr>
        <w:t>14.投标文件的语言及计量</w:t>
      </w:r>
      <w:bookmarkEnd w:id="107"/>
      <w:bookmarkEnd w:id="108"/>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pPr>
        <w:pStyle w:val="27"/>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宋体" w:hAnsi="宋体" w:cs="宋体"/>
          <w:color w:val="auto"/>
          <w:sz w:val="24"/>
          <w:highlight w:val="none"/>
        </w:rPr>
      </w:pPr>
      <w:bookmarkStart w:id="109" w:name="_Toc254970679"/>
      <w:bookmarkStart w:id="110" w:name="_Toc254970538"/>
      <w:r>
        <w:rPr>
          <w:rFonts w:hint="eastAsia" w:ascii="宋体" w:hAnsi="宋体" w:cs="宋体"/>
          <w:color w:val="auto"/>
          <w:sz w:val="24"/>
          <w:highlight w:val="none"/>
        </w:rPr>
        <w:t>16.投标报价</w:t>
      </w:r>
      <w:bookmarkEnd w:id="109"/>
      <w:bookmarkEnd w:id="110"/>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16.1投标报价应按“第六章、投标文件格式”中“开标一览表”格式填写。</w:t>
      </w:r>
    </w:p>
    <w:p>
      <w:pPr>
        <w:pStyle w:val="7"/>
        <w:keepNext w:val="0"/>
        <w:keepLines w:val="0"/>
        <w:spacing w:before="0" w:after="0" w:line="360" w:lineRule="auto"/>
        <w:ind w:left="420" w:leftChars="200"/>
        <w:rPr>
          <w:rFonts w:ascii="宋体" w:hAnsi="宋体" w:cs="宋体"/>
          <w:b w:val="0"/>
          <w:color w:val="auto"/>
          <w:sz w:val="21"/>
          <w:szCs w:val="21"/>
          <w:highlight w:val="none"/>
        </w:rPr>
      </w:pPr>
      <w:bookmarkStart w:id="111" w:name="_16.2投标报价具体定义见投标人须知前附表。"/>
      <w:bookmarkEnd w:id="111"/>
      <w:r>
        <w:rPr>
          <w:rFonts w:hint="eastAsia" w:ascii="宋体" w:hAnsi="宋体" w:cs="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16.3投标人必须就所投项目的全部内容分别作完整唯一总价报价，不得存在漏项报价；投标人必须就所投分标的单项内容作唯一报价。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112" w:name="_17.1投标有效期应按“投标人须知中的前附表”规定的期限。"/>
      <w:bookmarkEnd w:id="112"/>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3" w:name="_Toc254970681"/>
      <w:bookmarkStart w:id="114" w:name="_Toc254970540"/>
      <w:r>
        <w:rPr>
          <w:rFonts w:hint="eastAsia" w:ascii="宋体" w:hAnsi="宋体" w:cs="宋体"/>
          <w:b w:val="0"/>
          <w:color w:val="auto"/>
          <w:sz w:val="21"/>
          <w:szCs w:val="21"/>
          <w:highlight w:val="none"/>
        </w:rPr>
        <w:t>投标有效期应按规定的期限作出承诺，具体详见“投标人须知前附表”。</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3"/>
      <w:bookmarkEnd w:id="114"/>
    </w:p>
    <w:p>
      <w:pPr>
        <w:pStyle w:val="7"/>
        <w:keepNext w:val="0"/>
        <w:keepLines w:val="0"/>
        <w:spacing w:before="0" w:after="0" w:line="360" w:lineRule="auto"/>
        <w:ind w:left="420" w:leftChars="200"/>
        <w:rPr>
          <w:rFonts w:ascii="宋体" w:hAnsi="宋体" w:cs="宋体"/>
          <w:color w:val="auto"/>
          <w:sz w:val="24"/>
          <w:highlight w:val="none"/>
        </w:rPr>
      </w:pPr>
      <w:bookmarkStart w:id="115" w:name="_18.投标保证金"/>
      <w:bookmarkEnd w:id="115"/>
      <w:bookmarkStart w:id="116" w:name="_Toc254970541"/>
      <w:bookmarkStart w:id="117" w:name="_Toc254970682"/>
      <w:r>
        <w:rPr>
          <w:rFonts w:hint="eastAsia" w:ascii="宋体" w:hAnsi="宋体" w:cs="宋体"/>
          <w:color w:val="auto"/>
          <w:sz w:val="24"/>
          <w:highlight w:val="none"/>
        </w:rPr>
        <w:t>18.投标保证金</w:t>
      </w:r>
      <w:bookmarkEnd w:id="116"/>
      <w:bookmarkEnd w:id="117"/>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18.1投标人须按“投标人须知前附表”的规定提交投标保证金。</w:t>
      </w:r>
    </w:p>
    <w:p>
      <w:pPr>
        <w:pStyle w:val="7"/>
        <w:keepNext w:val="0"/>
        <w:keepLines w:val="0"/>
        <w:spacing w:before="0" w:after="0" w:line="360" w:lineRule="auto"/>
        <w:ind w:left="420" w:leftChars="200"/>
        <w:rPr>
          <w:rFonts w:ascii="宋体" w:hAnsi="宋体" w:cs="宋体"/>
          <w:color w:val="auto"/>
          <w:sz w:val="24"/>
          <w:highlight w:val="none"/>
        </w:rPr>
      </w:pPr>
      <w:bookmarkStart w:id="118" w:name="_Toc254970542"/>
      <w:bookmarkStart w:id="119" w:name="_Toc254970683"/>
      <w:r>
        <w:rPr>
          <w:rFonts w:hint="eastAsia" w:ascii="宋体" w:hAnsi="宋体" w:cs="宋体"/>
          <w:color w:val="auto"/>
          <w:sz w:val="24"/>
          <w:highlight w:val="none"/>
        </w:rPr>
        <w:t>19.投标文件的</w:t>
      </w:r>
      <w:bookmarkEnd w:id="118"/>
      <w:bookmarkEnd w:id="119"/>
      <w:r>
        <w:rPr>
          <w:rFonts w:hint="eastAsia" w:ascii="宋体" w:hAnsi="宋体" w:cs="宋体"/>
          <w:color w:val="auto"/>
          <w:sz w:val="24"/>
          <w:highlight w:val="none"/>
        </w:rPr>
        <w:t>编制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19.1</w:t>
      </w:r>
      <w:r>
        <w:rPr>
          <w:rFonts w:hint="eastAsia" w:ascii="宋体" w:hAnsi="宋体" w:eastAsia="宋体" w:cs="宋体"/>
          <w:color w:val="auto"/>
          <w:szCs w:val="21"/>
          <w:highlight w:val="none"/>
        </w:rPr>
        <w:t>本项目实行电子投标，供应商应准备电子投标文件：电子投标文件按政采云平台要求及本招标文件要求制作、加密并递交。具体操作流程可参考《政府采购项目电子交易管理操作指南-供应商》，指南可在 “http://www.ccgp-guangxi.gov.cn/PurchaseAdvisory/ImportantNotice/2866753.html”下载。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 xml:space="preserve"> 投标文件不得涂改，若有修改错漏处，须法定代表人（负责人）或授权委托人签字（或个人CA签章）。投标文件因字迹潦草或表达不清所引起的后果由供应商负责。</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20.投标文件的补充、修改和撤回</w:t>
      </w:r>
    </w:p>
    <w:p>
      <w:pPr>
        <w:pStyle w:val="7"/>
        <w:keepNext w:val="0"/>
        <w:keepLines w:val="0"/>
        <w:spacing w:before="0" w:after="0" w:line="360" w:lineRule="auto"/>
        <w:ind w:left="0" w:leftChars="0" w:firstLine="420" w:firstLineChars="20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20.1 投标文件递交截止时间前可以撤回电子投标文件。补充或者修改电子投标文件的，应当先行撤回原文件，补充、修改后重新传输递交，投标文件递交截止时间前未完成传输的，视为撤回投标文件。</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b w:val="0"/>
          <w:bCs/>
          <w:color w:val="auto"/>
          <w:sz w:val="21"/>
          <w:szCs w:val="21"/>
          <w:highlight w:val="none"/>
        </w:rPr>
        <w:t>20.2 在投标文件递交截止时间后的投标文件有效期内，供应商不得撤回其投标文件。</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pPr>
        <w:snapToGrid w:val="0"/>
        <w:spacing w:line="360" w:lineRule="auto"/>
        <w:ind w:firstLine="420"/>
        <w:jc w:val="left"/>
        <w:rPr>
          <w:rFonts w:ascii="宋体" w:hAnsi="宋体" w:cs="宋体"/>
          <w:color w:val="auto"/>
          <w:szCs w:val="21"/>
          <w:highlight w:val="none"/>
        </w:rPr>
      </w:pPr>
      <w:bookmarkStart w:id="120" w:name="_21.1投标人必须在“投标人须知中的前附表”规定的投标文件接收时间和投"/>
      <w:bookmarkEnd w:id="120"/>
      <w:r>
        <w:rPr>
          <w:rFonts w:hint="eastAsia" w:ascii="宋体" w:hAnsi="宋体" w:cs="宋体"/>
          <w:color w:val="auto"/>
          <w:szCs w:val="21"/>
          <w:highlight w:val="none"/>
        </w:rPr>
        <w:t>21.1投标文件递交：具体要求见“投标人须知前附表”。</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pPr>
        <w:pStyle w:val="5"/>
        <w:keepNext w:val="0"/>
        <w:keepLines w:val="0"/>
        <w:jc w:val="center"/>
        <w:rPr>
          <w:rFonts w:ascii="宋体" w:hAnsi="宋体" w:cs="宋体"/>
          <w:color w:val="auto"/>
          <w:highlight w:val="none"/>
        </w:rPr>
      </w:pPr>
      <w:bookmarkStart w:id="121" w:name="_Toc254970544"/>
      <w:bookmarkStart w:id="122" w:name="_Toc254970685"/>
      <w:r>
        <w:rPr>
          <w:rFonts w:hint="eastAsia" w:ascii="宋体" w:hAnsi="宋体" w:cs="宋体"/>
          <w:color w:val="auto"/>
          <w:highlight w:val="none"/>
        </w:rPr>
        <w:t>四、开标</w:t>
      </w:r>
      <w:bookmarkEnd w:id="121"/>
      <w:bookmarkEnd w:id="122"/>
    </w:p>
    <w:p>
      <w:pPr>
        <w:pStyle w:val="7"/>
        <w:keepNext w:val="0"/>
        <w:keepLines w:val="0"/>
        <w:spacing w:before="0" w:after="0" w:line="360" w:lineRule="auto"/>
        <w:ind w:left="420" w:leftChars="200"/>
        <w:rPr>
          <w:rFonts w:ascii="宋体" w:hAnsi="宋体" w:cs="宋体"/>
          <w:color w:val="auto"/>
          <w:sz w:val="24"/>
          <w:highlight w:val="none"/>
        </w:rPr>
      </w:pPr>
      <w:bookmarkStart w:id="123" w:name="_23.开标时间和地点"/>
      <w:bookmarkEnd w:id="123"/>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.1开标时间及地点：</w:t>
      </w:r>
      <w:r>
        <w:rPr>
          <w:rFonts w:hint="eastAsia" w:ascii="宋体" w:hAnsi="宋体" w:eastAsia="宋体" w:cs="宋体"/>
          <w:b w:val="0"/>
          <w:color w:val="auto"/>
          <w:sz w:val="21"/>
          <w:szCs w:val="21"/>
          <w:highlight w:val="none"/>
        </w:rPr>
        <w:t>具体要求见“投标人须知前附表”。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.2投标人不足3家的，不得开标，采购人或者采购代理机构应当重新组织采购。</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.开标程序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.1开标准备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.1.1.开标的准备工作由招标代理机构负责落实；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1.2.招标代理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.2开标程序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.2.2.投标文件解密结束后，开标活动组织人员在线开启投标文件。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.2.3.开启投标人报价文件，开标活动组织人员宣读开标（报价）一览表有关内容，投标人代表如果认为宣读有误，可以当场提出异议。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.资格审查</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hint="eastAsia" w:ascii="宋体" w:hAnsi="宋体" w:cs="宋体"/>
          <w:b w:val="0"/>
          <w:color w:val="auto"/>
          <w:sz w:val="21"/>
          <w:szCs w:val="21"/>
          <w:highlight w:val="none"/>
          <w:lang w:val="en-US" w:eastAsia="zh-CN"/>
        </w:rPr>
        <w:t>4</w:t>
      </w:r>
      <w:r>
        <w:rPr>
          <w:rFonts w:hint="eastAsia" w:ascii="宋体" w:hAnsi="宋体" w:cs="宋体"/>
          <w:b w:val="0"/>
          <w:color w:val="auto"/>
          <w:sz w:val="21"/>
          <w:szCs w:val="21"/>
          <w:highlight w:val="none"/>
        </w:rPr>
        <w:t>.1开标结束后，采购人或者采购代理机构依法对投标人的资格进行审查。</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hint="eastAsia" w:ascii="宋体" w:hAnsi="宋体" w:cs="宋体"/>
          <w:b w:val="0"/>
          <w:color w:val="auto"/>
          <w:sz w:val="21"/>
          <w:szCs w:val="21"/>
          <w:highlight w:val="none"/>
          <w:lang w:val="en-US" w:eastAsia="zh-CN"/>
        </w:rPr>
        <w:t>4</w:t>
      </w:r>
      <w:r>
        <w:rPr>
          <w:rFonts w:hint="eastAsia" w:ascii="宋体" w:hAnsi="宋体" w:cs="宋体"/>
          <w:b w:val="0"/>
          <w:color w:val="auto"/>
          <w:sz w:val="21"/>
          <w:szCs w:val="21"/>
          <w:highlight w:val="none"/>
        </w:rPr>
        <w:t>.2资格审查标准为本招标文件中载明对投标人资格要求的条件。本项目资格审查采用合格制，凡符合招标文件规定的投标人资格要求的投标人均通过资格审查。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4" w:name="_25.3_投标人有下列情形之一的，资格审查不通过而导致其投标无效："/>
      <w:bookmarkEnd w:id="124"/>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.3投标人有下列情形之一的，资格审查不通过，作无效投标处理：</w:t>
      </w:r>
    </w:p>
    <w:p>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（2）不具备招标文件中规定的资格要求的；（注：其中信用查询规则见“投标人须知前附表”）</w:t>
      </w:r>
    </w:p>
    <w:p>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.4资格审查的合格投标人不足3家的，不得评标。</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六、评标</w:t>
      </w:r>
    </w:p>
    <w:p>
      <w:pPr>
        <w:pStyle w:val="7"/>
        <w:keepNext w:val="0"/>
        <w:keepLines w:val="0"/>
        <w:spacing w:before="0" w:after="0" w:line="360" w:lineRule="auto"/>
        <w:ind w:left="420" w:leftChars="200"/>
        <w:rPr>
          <w:rFonts w:ascii="宋体" w:hAnsi="宋体" w:cs="宋体"/>
          <w:color w:val="auto"/>
          <w:sz w:val="24"/>
          <w:highlight w:val="none"/>
        </w:rPr>
      </w:pPr>
      <w:bookmarkStart w:id="125" w:name="_26.组建评标委员会"/>
      <w:bookmarkEnd w:id="125"/>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.组建评标委员会</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pPr>
        <w:pStyle w:val="27"/>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.评标的依据</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.评标原则</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7</w:t>
      </w:r>
      <w:r>
        <w:rPr>
          <w:rFonts w:hint="eastAsia" w:hAnsi="宋体" w:cs="宋体"/>
          <w:color w:val="auto"/>
          <w:sz w:val="21"/>
          <w:highlight w:val="none"/>
        </w:rPr>
        <w:t>.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7</w:t>
      </w:r>
      <w:r>
        <w:rPr>
          <w:rFonts w:hint="eastAsia" w:hAnsi="宋体" w:cs="宋体"/>
          <w:color w:val="auto"/>
          <w:sz w:val="21"/>
          <w:highlight w:val="none"/>
        </w:rPr>
        <w:t>.2评委表决。在评标过程中出现法律法规和招标文件均没有明确规定的情形时，由评标委员会现场协商解决，协商不一致的，由全体评委投票表决，以得票率二分之一以上专家的意见为准。</w:t>
      </w:r>
      <w:bookmarkStart w:id="126" w:name="_28.3评标方法。本项目将按须知前附表规定的评标办法进行评标，具体评标"/>
      <w:bookmarkEnd w:id="126"/>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7</w:t>
      </w:r>
      <w:r>
        <w:rPr>
          <w:rFonts w:hint="eastAsia" w:hAnsi="宋体" w:cs="宋体"/>
          <w:color w:val="auto"/>
          <w:sz w:val="21"/>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7</w:t>
      </w:r>
      <w:r>
        <w:rPr>
          <w:rFonts w:hint="eastAsia" w:hAnsi="宋体" w:cs="宋体"/>
          <w:color w:val="auto"/>
          <w:sz w:val="21"/>
          <w:highlight w:val="none"/>
        </w:rPr>
        <w:t>.4评标过程的监控。本项目评标过程实行全程录音、录像监控，投标人在评标过程中所进行的试图影响评标结果的不公正活动，可能导致其投标按无效处理。</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.评标方法及评标标准</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8</w:t>
      </w:r>
      <w:r>
        <w:rPr>
          <w:rFonts w:hint="eastAsia" w:hAnsi="宋体" w:cs="宋体"/>
          <w:color w:val="auto"/>
          <w:sz w:val="21"/>
          <w:highlight w:val="none"/>
        </w:rPr>
        <w:t>.1本项目的评标方法详见“投标人须知前附表”。</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8</w:t>
      </w:r>
      <w:r>
        <w:rPr>
          <w:rFonts w:hint="eastAsia" w:hAnsi="宋体" w:cs="宋体"/>
          <w:color w:val="auto"/>
          <w:sz w:val="21"/>
          <w:highlight w:val="none"/>
        </w:rPr>
        <w:t>.2评标委员会按照“第四章评标方法和评标标准”规定的方法、评审因素、标准和程序对投标文件进行评审。</w:t>
      </w:r>
    </w:p>
    <w:p>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w:t>
      </w:r>
      <w:r>
        <w:rPr>
          <w:rFonts w:hint="eastAsia" w:hAnsi="宋体" w:cs="宋体"/>
          <w:b/>
          <w:bCs/>
          <w:color w:val="auto"/>
          <w:sz w:val="21"/>
          <w:highlight w:val="none"/>
          <w:lang w:val="en-US" w:eastAsia="zh-CN"/>
        </w:rPr>
        <w:t>8</w:t>
      </w:r>
      <w:r>
        <w:rPr>
          <w:rFonts w:hint="eastAsia" w:hAnsi="宋体" w:cs="宋体"/>
          <w:b/>
          <w:bCs/>
          <w:color w:val="auto"/>
          <w:sz w:val="21"/>
          <w:highlight w:val="none"/>
        </w:rPr>
        <w:t>.3 属于下列情形之一的，应予废标：</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符合专业条件的供应商或者对招标文件作实质响应的供应商不足三家的；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出现影响采购公正的违法、违规行为的；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投标人的报价均超过了采购预算，采购人不能支付的；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因重大变故，采购任务取消的。</w:t>
      </w:r>
    </w:p>
    <w:p>
      <w:pPr>
        <w:pStyle w:val="5"/>
        <w:keepNext w:val="0"/>
        <w:keepLines w:val="0"/>
        <w:jc w:val="center"/>
        <w:rPr>
          <w:rFonts w:ascii="宋体" w:hAnsi="宋体" w:cs="宋体"/>
          <w:color w:val="auto"/>
          <w:highlight w:val="none"/>
        </w:rPr>
      </w:pPr>
      <w:bookmarkStart w:id="127" w:name="_Toc254970546"/>
      <w:bookmarkStart w:id="128" w:name="_Toc254970687"/>
      <w:r>
        <w:rPr>
          <w:rFonts w:hint="eastAsia" w:ascii="宋体" w:hAnsi="宋体" w:cs="宋体"/>
          <w:color w:val="auto"/>
          <w:highlight w:val="none"/>
        </w:rPr>
        <w:t>七、</w:t>
      </w:r>
      <w:bookmarkEnd w:id="127"/>
      <w:bookmarkEnd w:id="128"/>
      <w:r>
        <w:rPr>
          <w:rFonts w:hint="eastAsia" w:ascii="宋体" w:hAnsi="宋体" w:cs="宋体"/>
          <w:color w:val="auto"/>
          <w:highlight w:val="none"/>
        </w:rPr>
        <w:t>中标和合同</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确定中标人</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lang w:val="en-US" w:eastAsia="zh-CN"/>
        </w:rPr>
        <w:t>29</w:t>
      </w:r>
      <w:r>
        <w:rPr>
          <w:rFonts w:hint="eastAsia" w:ascii="宋体" w:hAnsi="宋体" w:cs="宋体"/>
          <w:b w:val="0"/>
          <w:color w:val="auto"/>
          <w:sz w:val="21"/>
          <w:szCs w:val="21"/>
          <w:highlight w:val="none"/>
        </w:rPr>
        <w:t>.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否则应当重新开展采购活动。</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.结果公告</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0</w:t>
      </w:r>
      <w:r>
        <w:rPr>
          <w:rFonts w:hint="eastAsia" w:ascii="宋体" w:hAnsi="宋体" w:cs="宋体"/>
          <w:b w:val="0"/>
          <w:color w:val="auto"/>
          <w:sz w:val="21"/>
          <w:szCs w:val="21"/>
          <w:highlight w:val="none"/>
        </w:rPr>
        <w:t>.1中标人确定后，于中标人确定之日起2个工作日内，中标结果将在招标公告发布媒体上公告。采购人或者采购代理发出中标通知书前，应当对中标人信用进行查询，对列入失信被执行人、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1"/>
          <w:szCs w:val="21"/>
          <w:highlight w:val="none"/>
          <w:lang w:eastAsia="zh-CN"/>
        </w:rPr>
        <w:t>重大税收违法失信主体</w:t>
      </w:r>
      <w:r>
        <w:rPr>
          <w:rFonts w:hint="eastAsia" w:ascii="宋体" w:hAnsi="宋体" w:cs="宋体"/>
          <w:b w:val="0"/>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.发出中标通知书</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.无义务解释未中标原因</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.合同授予标准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.履约保证金</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29" w:name="_39.1中标人须于签订合同前按本须知前附表规定的金额转账或电汇到指定账"/>
      <w:bookmarkEnd w:id="129"/>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4</w:t>
      </w:r>
      <w:r>
        <w:rPr>
          <w:rFonts w:hint="eastAsia" w:ascii="宋体" w:hAnsi="宋体" w:cs="宋体"/>
          <w:b w:val="0"/>
          <w:color w:val="auto"/>
          <w:sz w:val="21"/>
          <w:szCs w:val="21"/>
          <w:highlight w:val="none"/>
        </w:rPr>
        <w:t>.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4</w:t>
      </w:r>
      <w:r>
        <w:rPr>
          <w:rFonts w:hint="eastAsia" w:ascii="宋体" w:hAnsi="宋体" w:cs="宋体"/>
          <w:b w:val="0"/>
          <w:color w:val="auto"/>
          <w:sz w:val="21"/>
          <w:szCs w:val="21"/>
          <w:highlight w:val="none"/>
        </w:rPr>
        <w:t>.2签订合同后，如中标人不按双方签订的合同规定履约，则没收其全部履约保证金，履约保证金不足以赔偿损失的，按实际损失赔偿。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4</w:t>
      </w:r>
      <w:r>
        <w:rPr>
          <w:rFonts w:hint="eastAsia" w:ascii="宋体" w:hAnsi="宋体" w:cs="宋体"/>
          <w:b w:val="0"/>
          <w:color w:val="auto"/>
          <w:sz w:val="21"/>
          <w:szCs w:val="21"/>
          <w:highlight w:val="none"/>
        </w:rPr>
        <w:t>.3在履约保证金退还日期前，若中标人的开户名称、开户银行、帐号有变动的，请以书面形式通知履约保证金收取单位，否则由此产生的后果由中标人自行承担。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.签订合同</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0" w:name="_40.1投标人接到中标通知书后，按须知前附表规定向采购人出示相关资格证"/>
      <w:bookmarkEnd w:id="130"/>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5</w:t>
      </w:r>
      <w:r>
        <w:rPr>
          <w:rFonts w:hint="eastAsia" w:ascii="宋体" w:hAnsi="宋体" w:cs="宋体"/>
          <w:b w:val="0"/>
          <w:color w:val="auto"/>
          <w:sz w:val="21"/>
          <w:szCs w:val="21"/>
          <w:highlight w:val="none"/>
        </w:rPr>
        <w:t>.1投标人领取中标通知书后，按“投标人须知前附表”规定向采购人出示相关证明材料，经采购人核验</w:t>
      </w:r>
      <w:r>
        <w:rPr>
          <w:rFonts w:hint="default" w:ascii="宋体" w:hAnsi="宋体" w:cs="宋体"/>
          <w:b w:val="0"/>
          <w:color w:val="auto"/>
          <w:sz w:val="21"/>
          <w:szCs w:val="21"/>
          <w:highlight w:val="none"/>
        </w:rPr>
        <w:t>合格后方可签订合同。</w:t>
      </w:r>
    </w:p>
    <w:p>
      <w:pPr>
        <w:pStyle w:val="7"/>
        <w:keepNext w:val="0"/>
        <w:keepLines w:val="0"/>
        <w:numPr>
          <w:ilvl w:val="-1"/>
          <w:numId w:val="0"/>
        </w:numPr>
        <w:spacing w:before="0" w:after="0" w:line="360" w:lineRule="auto"/>
        <w:ind w:firstLine="315" w:firstLineChars="150"/>
        <w:rPr>
          <w:rFonts w:hint="eastAsia" w:ascii="宋体" w:hAnsi="宋体" w:cs="宋体"/>
          <w:b w:val="0"/>
          <w:color w:val="auto"/>
          <w:sz w:val="21"/>
          <w:szCs w:val="21"/>
          <w:highlight w:val="none"/>
        </w:rPr>
      </w:pPr>
      <w:r>
        <w:rPr>
          <w:rFonts w:hint="default" w:ascii="宋体" w:hAnsi="宋体" w:cs="宋体"/>
          <w:b w:val="0"/>
          <w:color w:val="auto"/>
          <w:sz w:val="21"/>
          <w:szCs w:val="21"/>
          <w:highlight w:val="none"/>
        </w:rPr>
        <w:t>3</w:t>
      </w:r>
      <w:r>
        <w:rPr>
          <w:rFonts w:hint="default" w:ascii="宋体" w:hAnsi="宋体" w:cs="宋体"/>
          <w:b w:val="0"/>
          <w:color w:val="auto"/>
          <w:sz w:val="21"/>
          <w:szCs w:val="21"/>
          <w:highlight w:val="none"/>
          <w:lang w:val="en-US" w:eastAsia="zh-CN"/>
        </w:rPr>
        <w:t>5</w:t>
      </w:r>
      <w:r>
        <w:rPr>
          <w:rFonts w:hint="default" w:ascii="宋体" w:hAnsi="宋体" w:cs="宋体"/>
          <w:b w:val="0"/>
          <w:color w:val="auto"/>
          <w:sz w:val="21"/>
          <w:szCs w:val="21"/>
          <w:highlight w:val="none"/>
        </w:rPr>
        <w:t>.2签订合同时间：</w:t>
      </w:r>
      <w:r>
        <w:rPr>
          <w:rFonts w:hint="eastAsia" w:ascii="宋体" w:hAnsi="宋体" w:cs="宋体"/>
          <w:b w:val="0"/>
          <w:color w:val="auto"/>
          <w:sz w:val="21"/>
          <w:szCs w:val="21"/>
          <w:highlight w:val="none"/>
        </w:rPr>
        <w:t>自中标通知书发出之日起</w:t>
      </w:r>
      <w:r>
        <w:rPr>
          <w:rFonts w:hint="eastAsia" w:ascii="宋体" w:hAnsi="宋体" w:cs="宋体"/>
          <w:b w:val="0"/>
          <w:color w:val="auto"/>
          <w:sz w:val="21"/>
          <w:szCs w:val="21"/>
          <w:highlight w:val="none"/>
          <w:lang w:val="en-US" w:eastAsia="zh-CN"/>
        </w:rPr>
        <w:t>25</w:t>
      </w:r>
      <w:r>
        <w:rPr>
          <w:rFonts w:hint="eastAsia" w:ascii="宋体" w:hAnsi="宋体" w:cs="宋体"/>
          <w:b w:val="0"/>
          <w:color w:val="auto"/>
          <w:sz w:val="21"/>
          <w:szCs w:val="21"/>
          <w:highlight w:val="none"/>
        </w:rPr>
        <w:t>日内</w:t>
      </w:r>
      <w:r>
        <w:rPr>
          <w:rFonts w:hint="eastAsia" w:ascii="宋体" w:hAnsi="宋体" w:cs="宋体"/>
          <w:b w:val="0"/>
          <w:color w:val="auto"/>
          <w:sz w:val="21"/>
          <w:szCs w:val="21"/>
          <w:highlight w:val="none"/>
          <w:lang w:val="en-US" w:eastAsia="zh-CN"/>
        </w:rPr>
        <w:t>签订</w:t>
      </w:r>
      <w:r>
        <w:rPr>
          <w:rFonts w:hint="eastAsia" w:ascii="宋体" w:hAnsi="宋体" w:cs="宋体"/>
          <w:b w:val="0"/>
          <w:color w:val="auto"/>
          <w:sz w:val="21"/>
          <w:szCs w:val="21"/>
          <w:highlight w:val="none"/>
          <w:lang w:eastAsia="zh-CN"/>
        </w:rPr>
        <w:t>。</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default" w:ascii="宋体" w:hAnsi="宋体" w:cs="宋体"/>
          <w:b w:val="0"/>
          <w:color w:val="auto"/>
          <w:sz w:val="21"/>
          <w:szCs w:val="21"/>
          <w:highlight w:val="none"/>
        </w:rPr>
        <w:t>3</w:t>
      </w:r>
      <w:r>
        <w:rPr>
          <w:rFonts w:hint="default" w:ascii="宋体" w:hAnsi="宋体" w:cs="宋体"/>
          <w:b w:val="0"/>
          <w:color w:val="auto"/>
          <w:sz w:val="21"/>
          <w:szCs w:val="21"/>
          <w:highlight w:val="none"/>
          <w:lang w:val="en-US" w:eastAsia="zh-CN"/>
        </w:rPr>
        <w:t>5</w:t>
      </w:r>
      <w:r>
        <w:rPr>
          <w:rFonts w:hint="default" w:ascii="宋体" w:hAnsi="宋体" w:cs="宋体"/>
          <w:b w:val="0"/>
          <w:color w:val="auto"/>
          <w:sz w:val="21"/>
          <w:szCs w:val="21"/>
          <w:highlight w:val="none"/>
        </w:rPr>
        <w:t>.3中标</w:t>
      </w:r>
      <w:r>
        <w:rPr>
          <w:rFonts w:hint="eastAsia" w:ascii="宋体" w:hAnsi="宋体" w:cs="宋体"/>
          <w:b w:val="0"/>
          <w:color w:val="auto"/>
          <w:sz w:val="21"/>
          <w:szCs w:val="21"/>
          <w:highlight w:val="none"/>
        </w:rPr>
        <w:t>人拒绝与采购人签订合同的，采购人可以按照评审报告推荐的中标候选人名单排序，确定下一候选人为中标人，也可以重新开展政府采购活动。</w:t>
      </w:r>
    </w:p>
    <w:p>
      <w:pPr>
        <w:pStyle w:val="7"/>
        <w:keepNext w:val="0"/>
        <w:keepLines w:val="0"/>
        <w:spacing w:before="0" w:after="0" w:line="360" w:lineRule="auto"/>
        <w:ind w:left="420" w:leftChars="200"/>
        <w:rPr>
          <w:rFonts w:ascii="宋体" w:hAnsi="宋体" w:cs="宋体"/>
          <w:color w:val="auto"/>
          <w:sz w:val="24"/>
          <w:highlight w:val="none"/>
        </w:rPr>
      </w:pPr>
      <w:bookmarkStart w:id="131" w:name="_41.政府采购合同公告"/>
      <w:bookmarkEnd w:id="131"/>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.政府采购合同公告</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.询问、质疑和投诉</w:t>
      </w:r>
    </w:p>
    <w:p>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.1供应商对政府采购活动事项有疑问的，可以向采购人提出询问，采购人应当及时作出答复，但答复的内容不得涉及商业秘密。</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7</w:t>
      </w:r>
      <w:r>
        <w:rPr>
          <w:rFonts w:hint="eastAsia" w:ascii="宋体" w:hAnsi="宋体" w:cs="宋体"/>
          <w:b w:val="0"/>
          <w:color w:val="auto"/>
          <w:sz w:val="21"/>
          <w:szCs w:val="21"/>
          <w:highlight w:val="none"/>
        </w:rPr>
        <w:t>.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2" w:name="_9.2质疑、投诉应当采用书面形式，质疑函、投诉书均应明确阐述招标文件、"/>
      <w:bookmarkEnd w:id="132"/>
      <w:r>
        <w:rPr>
          <w:rFonts w:hint="eastAsia" w:ascii="宋体" w:hAnsi="宋体" w:cs="宋体"/>
          <w:b w:val="0"/>
          <w:color w:val="auto"/>
          <w:sz w:val="21"/>
          <w:szCs w:val="21"/>
          <w:highlight w:val="none"/>
        </w:rPr>
        <w:t>3</w:t>
      </w:r>
      <w:r>
        <w:rPr>
          <w:rFonts w:hint="eastAsia" w:ascii="宋体" w:hAnsi="宋体" w:cs="宋体"/>
          <w:b w:val="0"/>
          <w:color w:val="auto"/>
          <w:sz w:val="21"/>
          <w:szCs w:val="21"/>
          <w:highlight w:val="none"/>
          <w:lang w:val="en-US" w:eastAsia="zh-CN"/>
        </w:rPr>
        <w:t>7</w:t>
      </w:r>
      <w:r>
        <w:rPr>
          <w:rFonts w:hint="eastAsia" w:ascii="宋体" w:hAnsi="宋体" w:cs="宋体"/>
          <w:b w:val="0"/>
          <w:color w:val="auto"/>
          <w:sz w:val="21"/>
          <w:szCs w:val="21"/>
          <w:highlight w:val="none"/>
        </w:rPr>
        <w:t>.3</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rPr>
        <w:t>.4采购人、采购代理机构认为供应商质疑不成立，或者成立但未对中标结果构成影响的，继续开展采购活动；认为供应商质疑成立且影响或者可能影响中标结果的，按照下列情况处理：</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（二）对采购过程、中标结果提出的质疑，合格供应商符合法定数量时，可以从合格的中标候选人中另行确定中标人的，应当依法另行确定中标人；否则应当重新开展采购活动。</w:t>
      </w:r>
    </w:p>
    <w:p>
      <w:pPr>
        <w:pStyle w:val="27"/>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val="en-US" w:eastAsia="zh-CN"/>
        </w:rPr>
        <w:t>7</w:t>
      </w:r>
      <w:r>
        <w:rPr>
          <w:rFonts w:hint="eastAsia" w:hAnsi="宋体" w:cs="宋体"/>
          <w:color w:val="auto"/>
          <w:sz w:val="21"/>
          <w:highlight w:val="none"/>
        </w:rPr>
        <w:t>.5</w:t>
      </w:r>
      <w:r>
        <w:rPr>
          <w:rFonts w:hint="eastAsia" w:hAnsi="宋体" w:cs="宋体"/>
          <w:b/>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jc w:val="center"/>
        <w:rPr>
          <w:rFonts w:ascii="宋体" w:hAnsi="宋体" w:cs="宋体"/>
          <w:color w:val="auto"/>
          <w:highlight w:val="none"/>
        </w:rPr>
      </w:pPr>
      <w:bookmarkStart w:id="133" w:name="_八、其他事项"/>
      <w:bookmarkEnd w:id="133"/>
      <w:r>
        <w:rPr>
          <w:rFonts w:hint="eastAsia" w:ascii="宋体" w:hAnsi="宋体" w:cs="宋体"/>
          <w:color w:val="auto"/>
          <w:highlight w:val="none"/>
        </w:rPr>
        <w:t>八、其他事项</w:t>
      </w:r>
    </w:p>
    <w:p>
      <w:pPr>
        <w:pStyle w:val="7"/>
        <w:keepNext w:val="0"/>
        <w:keepLines w:val="0"/>
        <w:spacing w:before="0" w:after="0" w:line="360" w:lineRule="auto"/>
        <w:ind w:left="420" w:leftChars="200"/>
        <w:rPr>
          <w:rFonts w:hint="eastAsia" w:ascii="宋体" w:hAnsi="宋体" w:cs="宋体"/>
          <w:b w:val="0"/>
          <w:bCs/>
          <w:color w:val="auto"/>
          <w:kern w:val="0"/>
          <w:sz w:val="21"/>
          <w:szCs w:val="21"/>
          <w:highlight w:val="none"/>
        </w:rPr>
      </w:pPr>
      <w:bookmarkStart w:id="134" w:name="_42.代理服务费"/>
      <w:bookmarkEnd w:id="134"/>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.代理服务费</w:t>
      </w:r>
    </w:p>
    <w:p>
      <w:pPr>
        <w:pStyle w:val="27"/>
        <w:snapToGrid w:val="0"/>
        <w:spacing w:line="360" w:lineRule="auto"/>
        <w:ind w:firstLine="420" w:firstLineChars="200"/>
        <w:jc w:val="left"/>
        <w:rPr>
          <w:rFonts w:hint="eastAsia" w:hAnsi="宋体" w:cs="宋体"/>
          <w:bCs/>
          <w:color w:val="auto"/>
          <w:sz w:val="21"/>
          <w:highlight w:val="none"/>
        </w:rPr>
      </w:pPr>
      <w:r>
        <w:rPr>
          <w:rFonts w:hint="eastAsia" w:hAnsi="宋体" w:cs="宋体"/>
          <w:bCs/>
          <w:color w:val="auto"/>
          <w:sz w:val="21"/>
          <w:highlight w:val="none"/>
        </w:rPr>
        <w:t>3</w:t>
      </w:r>
      <w:r>
        <w:rPr>
          <w:rFonts w:hint="eastAsia" w:hAnsi="宋体" w:cs="宋体"/>
          <w:bCs/>
          <w:color w:val="auto"/>
          <w:sz w:val="21"/>
          <w:highlight w:val="none"/>
          <w:lang w:val="en-US" w:eastAsia="zh-CN"/>
        </w:rPr>
        <w:t>8</w:t>
      </w:r>
      <w:r>
        <w:rPr>
          <w:rFonts w:hint="eastAsia" w:hAnsi="宋体" w:cs="宋体"/>
          <w:bCs/>
          <w:color w:val="auto"/>
          <w:sz w:val="21"/>
          <w:highlight w:val="none"/>
        </w:rPr>
        <w:t>.1代理服务收费标准及缴费账户详见“投标人须知前附表”，投标人为联合体的，可以由联合体中的一方或者多方共同交纳代理服务费。</w:t>
      </w:r>
    </w:p>
    <w:p>
      <w:pPr>
        <w:pStyle w:val="22"/>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val="0"/>
          <w:color w:val="auto"/>
          <w:sz w:val="21"/>
          <w:szCs w:val="21"/>
          <w:highlight w:val="none"/>
        </w:rPr>
        <w:t>3</w:t>
      </w: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rPr>
        <w:t>.2代理服务收费标准：</w:t>
      </w:r>
      <w:r>
        <w:rPr>
          <w:rFonts w:hint="eastAsia" w:ascii="宋体" w:hAnsi="宋体" w:eastAsia="宋体" w:cs="宋体"/>
          <w:color w:val="auto"/>
          <w:sz w:val="21"/>
          <w:szCs w:val="21"/>
          <w:highlight w:val="none"/>
        </w:rPr>
        <w:t>详见“投标人须知前附表”。</w:t>
      </w:r>
    </w:p>
    <w:p>
      <w:pPr>
        <w:pStyle w:val="22"/>
        <w:keepNext w:val="0"/>
        <w:keepLines w:val="0"/>
        <w:spacing w:before="0" w:after="0"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39</w:t>
      </w:r>
      <w:r>
        <w:rPr>
          <w:rFonts w:hint="eastAsia" w:ascii="宋体" w:hAnsi="宋体" w:eastAsia="宋体" w:cs="宋体"/>
          <w:b/>
          <w:bCs/>
          <w:color w:val="auto"/>
          <w:sz w:val="24"/>
          <w:szCs w:val="24"/>
          <w:highlight w:val="none"/>
        </w:rPr>
        <w:t>.需要补充的其他内容</w:t>
      </w:r>
    </w:p>
    <w:p>
      <w:pPr>
        <w:pStyle w:val="22"/>
        <w:snapToGrid w:val="0"/>
        <w:spacing w:before="0"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.1本招标文件解释规则详见“投标人须知前附表”。</w:t>
      </w:r>
    </w:p>
    <w:p>
      <w:pPr>
        <w:pStyle w:val="22"/>
        <w:snapToGrid w:val="0"/>
        <w:spacing w:before="0"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.2其他事项详见“投标人须知前附表”。</w:t>
      </w:r>
    </w:p>
    <w:p>
      <w:pPr>
        <w:pStyle w:val="22"/>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w:t>
      </w:r>
      <w:r>
        <w:rPr>
          <w:rFonts w:hint="eastAsia" w:ascii="宋体" w:hAnsi="宋体" w:eastAsia="宋体" w:cs="宋体"/>
          <w:color w:val="auto"/>
          <w:sz w:val="21"/>
          <w:szCs w:val="21"/>
          <w:highlight w:val="none"/>
        </w:rPr>
        <w:t>监督部门</w:t>
      </w:r>
    </w:p>
    <w:p>
      <w:pPr>
        <w:pStyle w:val="22"/>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none"/>
        </w:rPr>
        <w:t>广西壮族自治区财政厅政府采购监督管理处</w:t>
      </w:r>
    </w:p>
    <w:p>
      <w:pPr>
        <w:pStyle w:val="22"/>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rPr>
        <w:t>0771-5331544</w:t>
      </w:r>
    </w:p>
    <w:p>
      <w:pPr>
        <w:pStyle w:val="27"/>
        <w:snapToGrid w:val="0"/>
        <w:spacing w:before="120" w:after="120"/>
        <w:ind w:firstLine="400" w:firstLineChars="200"/>
        <w:rPr>
          <w:rFonts w:hAnsi="宋体" w:cs="宋体"/>
          <w:color w:val="auto"/>
          <w:highlight w:val="none"/>
        </w:rPr>
      </w:pPr>
      <w:r>
        <w:rPr>
          <w:rFonts w:hint="eastAsia" w:hAnsi="宋体" w:cs="宋体"/>
          <w:color w:val="auto"/>
          <w:highlight w:val="none"/>
        </w:rPr>
        <w:br w:type="page"/>
      </w:r>
      <w:r>
        <w:rPr>
          <w:rFonts w:hint="eastAsia" w:hAnsi="宋体" w:cs="宋体"/>
          <w:color w:val="auto"/>
          <w:highlight w:val="none"/>
        </w:rPr>
        <w:t>附件1：</w:t>
      </w:r>
    </w:p>
    <w:p>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）政府采购项目中标（或者成交）投标人（</w:t>
      </w:r>
      <w:r>
        <w:rPr>
          <w:rFonts w:hint="eastAsia" w:ascii="宋体" w:hAnsi="宋体" w:cs="宋体"/>
          <w:color w:val="auto"/>
          <w:kern w:val="0"/>
          <w:szCs w:val="21"/>
          <w:highlight w:val="none"/>
          <w:u w:val="single"/>
        </w:rPr>
        <w:t>公司名称</w:t>
      </w:r>
      <w:r>
        <w:rPr>
          <w:rFonts w:hint="eastAsia" w:ascii="宋体" w:hAnsi="宋体" w:cs="宋体"/>
          <w:color w:val="auto"/>
          <w:kern w:val="0"/>
          <w:szCs w:val="21"/>
          <w:highlight w:val="none"/>
        </w:rPr>
        <w:t>）提供的货物（或者工程、服务）进行了验收，验收情况如下：</w:t>
      </w:r>
    </w:p>
    <w:tbl>
      <w:tblPr>
        <w:tblStyle w:val="49"/>
        <w:tblW w:w="8912"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895"/>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660"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95"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912"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80"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580"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58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581"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color w:val="auto"/>
                <w:kern w:val="0"/>
                <w:szCs w:val="21"/>
                <w:highlight w:val="none"/>
              </w:rPr>
            </w:pPr>
          </w:p>
        </w:tc>
        <w:tc>
          <w:tcPr>
            <w:tcW w:w="7581"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60"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jc w:val="center"/>
        <w:rPr>
          <w:rFonts w:ascii="宋体" w:hAnsi="宋体" w:cs="宋体"/>
          <w:color w:val="auto"/>
          <w:sz w:val="36"/>
          <w:szCs w:val="36"/>
          <w:highlight w:val="none"/>
        </w:rPr>
      </w:pPr>
    </w:p>
    <w:tbl>
      <w:tblPr>
        <w:tblStyle w:val="49"/>
        <w:tblW w:w="879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供</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应</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商</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申</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请</w:t>
            </w:r>
          </w:p>
        </w:tc>
        <w:tc>
          <w:tcPr>
            <w:tcW w:w="7791"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auto"/>
                <w:sz w:val="21"/>
                <w:szCs w:val="21"/>
                <w:highlight w:val="none"/>
              </w:rPr>
            </w:pPr>
          </w:p>
        </w:tc>
        <w:tc>
          <w:tcPr>
            <w:tcW w:w="7791"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Pr>
          <w:p>
            <w:pPr>
              <w:rPr>
                <w:rFonts w:ascii="宋体" w:hAnsi="宋体" w:cs="宋体"/>
                <w:color w:val="auto"/>
                <w:sz w:val="21"/>
                <w:szCs w:val="21"/>
                <w:highlight w:val="none"/>
              </w:rPr>
            </w:pPr>
          </w:p>
        </w:tc>
        <w:tc>
          <w:tcPr>
            <w:tcW w:w="7791" w:type="dxa"/>
          </w:tcPr>
          <w:p>
            <w:pPr>
              <w:rPr>
                <w:rFonts w:ascii="宋体" w:hAnsi="宋体" w:cs="宋体"/>
                <w:color w:val="auto"/>
                <w:sz w:val="21"/>
                <w:szCs w:val="21"/>
                <w:highlight w:val="none"/>
              </w:rPr>
            </w:pPr>
          </w:p>
          <w:p>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该项目已于年月日验收并交付使用。根据合同规定，该项目的履约保证金期限于年月日已满，请将履约保证金</w:t>
            </w:r>
          </w:p>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（大写）￥（小写）退付到达以下帐户。</w:t>
            </w:r>
          </w:p>
          <w:p>
            <w:pPr>
              <w:spacing w:line="400" w:lineRule="exact"/>
              <w:ind w:firstLine="705"/>
              <w:rPr>
                <w:rFonts w:ascii="宋体" w:hAnsi="宋体" w:cs="宋体"/>
                <w:color w:val="auto"/>
                <w:sz w:val="21"/>
                <w:szCs w:val="21"/>
                <w:highlight w:val="none"/>
              </w:rPr>
            </w:pPr>
            <w:r>
              <w:rPr>
                <w:rFonts w:hint="eastAsia" w:ascii="宋体" w:hAnsi="宋体" w:cs="宋体"/>
                <w:color w:val="auto"/>
                <w:sz w:val="21"/>
                <w:szCs w:val="21"/>
                <w:highlight w:val="none"/>
              </w:rPr>
              <w:t>单位名称：</w:t>
            </w:r>
          </w:p>
          <w:p>
            <w:pPr>
              <w:spacing w:line="400" w:lineRule="exact"/>
              <w:ind w:firstLine="705"/>
              <w:rPr>
                <w:rFonts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400" w:lineRule="exact"/>
              <w:ind w:firstLine="705"/>
              <w:rPr>
                <w:rFonts w:ascii="宋体" w:hAnsi="宋体" w:cs="宋体"/>
                <w:color w:val="auto"/>
                <w:sz w:val="21"/>
                <w:szCs w:val="21"/>
                <w:highlight w:val="none"/>
              </w:rPr>
            </w:pPr>
            <w:r>
              <w:rPr>
                <w:rFonts w:hint="eastAsia" w:ascii="宋体" w:hAnsi="宋体" w:cs="宋体"/>
                <w:color w:val="auto"/>
                <w:sz w:val="21"/>
                <w:szCs w:val="21"/>
                <w:highlight w:val="none"/>
              </w:rPr>
              <w:t>帐   号：</w:t>
            </w:r>
          </w:p>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联系人及电话：</w:t>
            </w:r>
          </w:p>
          <w:p>
            <w:pPr>
              <w:spacing w:line="400" w:lineRule="exact"/>
              <w:rPr>
                <w:rFonts w:ascii="宋体" w:hAnsi="宋体" w:cs="宋体"/>
                <w:color w:val="auto"/>
                <w:sz w:val="21"/>
                <w:szCs w:val="21"/>
                <w:highlight w:val="none"/>
              </w:rPr>
            </w:pPr>
          </w:p>
          <w:p>
            <w:p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投标人签章：</w:t>
            </w:r>
          </w:p>
          <w:p>
            <w:p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采</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购</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人</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意</w:t>
            </w:r>
          </w:p>
          <w:p>
            <w:pPr>
              <w:jc w:val="center"/>
              <w:rPr>
                <w:rFonts w:ascii="宋体" w:hAnsi="宋体" w:cs="宋体"/>
                <w:color w:val="auto"/>
                <w:sz w:val="21"/>
                <w:szCs w:val="21"/>
                <w:highlight w:val="none"/>
              </w:rPr>
            </w:pPr>
            <w:r>
              <w:rPr>
                <w:rFonts w:hint="eastAsia" w:ascii="宋体" w:hAnsi="宋体" w:cs="宋体"/>
                <w:color w:val="auto"/>
                <w:sz w:val="21"/>
                <w:szCs w:val="21"/>
                <w:highlight w:val="none"/>
              </w:rPr>
              <w:t>见</w:t>
            </w:r>
          </w:p>
        </w:tc>
        <w:tc>
          <w:tcPr>
            <w:tcW w:w="7791" w:type="dxa"/>
          </w:tcPr>
          <w:p>
            <w:pPr>
              <w:rPr>
                <w:rFonts w:ascii="宋体" w:hAnsi="宋体" w:cs="宋体"/>
                <w:color w:val="auto"/>
                <w:sz w:val="21"/>
                <w:szCs w:val="21"/>
                <w:highlight w:val="none"/>
              </w:rPr>
            </w:pPr>
          </w:p>
          <w:p>
            <w:pPr>
              <w:rPr>
                <w:rFonts w:ascii="宋体" w:hAnsi="宋体" w:cs="宋体"/>
                <w:color w:val="auto"/>
                <w:sz w:val="21"/>
                <w:szCs w:val="21"/>
                <w:highlight w:val="none"/>
              </w:rPr>
            </w:pPr>
            <w:r>
              <w:rPr>
                <w:rFonts w:hint="eastAsia" w:ascii="宋体" w:hAnsi="宋体" w:cs="宋体"/>
                <w:color w:val="auto"/>
                <w:sz w:val="21"/>
                <w:szCs w:val="21"/>
                <w:highlight w:val="none"/>
              </w:rPr>
              <w:t>退付意见：（是否同意退付履约保证金及退付金额）</w:t>
            </w: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rPr>
                <w:rFonts w:ascii="宋体" w:hAnsi="宋体" w:cs="宋体"/>
                <w:color w:val="auto"/>
                <w:sz w:val="21"/>
                <w:szCs w:val="21"/>
                <w:highlight w:val="none"/>
              </w:rPr>
            </w:pPr>
          </w:p>
          <w:p>
            <w:pPr>
              <w:spacing w:line="520" w:lineRule="exact"/>
              <w:rPr>
                <w:rFonts w:ascii="宋体" w:hAnsi="宋体" w:cs="宋体"/>
                <w:color w:val="auto"/>
                <w:sz w:val="21"/>
                <w:szCs w:val="21"/>
                <w:highlight w:val="none"/>
              </w:rPr>
            </w:pPr>
            <w:r>
              <w:rPr>
                <w:rFonts w:hint="eastAsia" w:ascii="宋体" w:hAnsi="宋体" w:cs="宋体"/>
                <w:color w:val="auto"/>
                <w:sz w:val="21"/>
                <w:szCs w:val="21"/>
                <w:highlight w:val="none"/>
              </w:rPr>
              <w:t>联系人及电话：                         采购人签章</w:t>
            </w:r>
          </w:p>
          <w:p>
            <w:pPr>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c>
          <w:tcPr>
            <w:tcW w:w="7791" w:type="dxa"/>
          </w:tcPr>
          <w:p>
            <w:pPr>
              <w:rPr>
                <w:rFonts w:ascii="宋体" w:hAnsi="宋体" w:cs="宋体"/>
                <w:color w:val="auto"/>
                <w:sz w:val="21"/>
                <w:szCs w:val="21"/>
                <w:highlight w:val="none"/>
              </w:rPr>
            </w:pPr>
          </w:p>
        </w:tc>
      </w:tr>
    </w:tbl>
    <w:p>
      <w:pPr>
        <w:pStyle w:val="22"/>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注：投标人凭经采购人审批的退付意见书到保证金收取单位办理履约保证金退付事宜。</w:t>
      </w: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r>
        <w:rPr>
          <w:rFonts w:hint="eastAsia" w:hAnsi="宋体" w:cs="宋体"/>
          <w:color w:val="auto"/>
          <w:highlight w:val="none"/>
        </w:rPr>
        <w:br w:type="page"/>
      </w: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27"/>
        <w:snapToGrid w:val="0"/>
        <w:spacing w:before="120" w:after="120"/>
        <w:rPr>
          <w:rFonts w:hAnsi="宋体" w:cs="宋体"/>
          <w:color w:val="auto"/>
          <w:highlight w:val="none"/>
        </w:rPr>
      </w:pPr>
    </w:p>
    <w:p>
      <w:pPr>
        <w:pStyle w:val="4"/>
        <w:keepNext w:val="0"/>
        <w:keepLines w:val="0"/>
        <w:ind w:firstLine="420"/>
        <w:jc w:val="center"/>
        <w:rPr>
          <w:rFonts w:ascii="宋体" w:hAnsi="宋体" w:eastAsia="宋体" w:cs="宋体"/>
          <w:color w:val="auto"/>
          <w:highlight w:val="none"/>
        </w:rPr>
      </w:pPr>
      <w:bookmarkStart w:id="135" w:name="_Toc330456896"/>
      <w:bookmarkStart w:id="136" w:name="_Toc254970689"/>
      <w:bookmarkStart w:id="137" w:name="_Toc30709"/>
      <w:bookmarkStart w:id="138" w:name="_Toc254970548"/>
      <w:bookmarkStart w:id="139" w:name="_Toc6156"/>
      <w:bookmarkStart w:id="140" w:name="_Toc18258"/>
      <w:bookmarkStart w:id="141" w:name="_Toc31830"/>
      <w:bookmarkStart w:id="142" w:name="_Toc19686832"/>
      <w:r>
        <w:rPr>
          <w:rFonts w:hint="eastAsia" w:ascii="宋体" w:hAnsi="宋体" w:eastAsia="宋体" w:cs="宋体"/>
          <w:color w:val="auto"/>
          <w:highlight w:val="none"/>
        </w:rPr>
        <w:t>第四章、评标方法及评标标准</w:t>
      </w:r>
      <w:bookmarkEnd w:id="135"/>
      <w:bookmarkEnd w:id="136"/>
      <w:bookmarkEnd w:id="137"/>
      <w:bookmarkEnd w:id="138"/>
      <w:bookmarkEnd w:id="139"/>
      <w:bookmarkEnd w:id="140"/>
      <w:bookmarkEnd w:id="141"/>
      <w:bookmarkEnd w:id="142"/>
    </w:p>
    <w:p>
      <w:pPr>
        <w:spacing w:before="120" w:after="120"/>
        <w:rPr>
          <w:rFonts w:ascii="宋体" w:hAnsi="宋体" w:cs="宋体"/>
          <w:color w:val="auto"/>
          <w:highlight w:val="none"/>
        </w:rPr>
      </w:pPr>
      <w:bookmarkStart w:id="143" w:name="_Toc254970549"/>
      <w:bookmarkStart w:id="144" w:name="_Toc254970690"/>
    </w:p>
    <w:bookmarkEnd w:id="143"/>
    <w:bookmarkEnd w:id="144"/>
    <w:p>
      <w:pPr>
        <w:spacing w:before="120" w:after="120"/>
        <w:rPr>
          <w:rFonts w:ascii="宋体" w:hAnsi="宋体" w:cs="宋体"/>
          <w:color w:val="auto"/>
          <w:highlight w:val="none"/>
        </w:rPr>
      </w:pPr>
    </w:p>
    <w:p>
      <w:pPr>
        <w:spacing w:before="120" w:after="120"/>
        <w:rPr>
          <w:rFonts w:ascii="宋体" w:hAnsi="宋体" w:cs="宋体"/>
          <w:color w:val="auto"/>
          <w:highlight w:val="none"/>
        </w:rPr>
      </w:pPr>
    </w:p>
    <w:p>
      <w:pPr>
        <w:spacing w:before="120" w:after="120"/>
        <w:rPr>
          <w:rFonts w:ascii="宋体" w:hAnsi="宋体" w:cs="宋体"/>
          <w:color w:val="auto"/>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pStyle w:val="27"/>
        <w:spacing w:line="360" w:lineRule="exact"/>
        <w:rPr>
          <w:rFonts w:hAnsi="宋体" w:cs="宋体"/>
          <w:b/>
          <w:color w:val="auto"/>
          <w:sz w:val="24"/>
          <w:highlight w:val="none"/>
        </w:rPr>
      </w:pPr>
    </w:p>
    <w:p>
      <w:pPr>
        <w:pStyle w:val="27"/>
        <w:spacing w:line="360" w:lineRule="exact"/>
        <w:rPr>
          <w:rFonts w:hAnsi="宋体" w:cs="宋体"/>
          <w:b/>
          <w:color w:val="auto"/>
          <w:sz w:val="24"/>
          <w:highlight w:val="none"/>
        </w:rPr>
      </w:pPr>
    </w:p>
    <w:p>
      <w:pPr>
        <w:pStyle w:val="27"/>
        <w:spacing w:line="360" w:lineRule="exact"/>
        <w:rPr>
          <w:rFonts w:hAnsi="宋体" w:cs="宋体"/>
          <w:b/>
          <w:color w:val="auto"/>
          <w:sz w:val="24"/>
          <w:highlight w:val="none"/>
        </w:rPr>
      </w:pPr>
    </w:p>
    <w:p>
      <w:pPr>
        <w:pStyle w:val="27"/>
        <w:spacing w:line="360" w:lineRule="exact"/>
        <w:rPr>
          <w:rFonts w:hAnsi="宋体" w:cs="宋体"/>
          <w:bCs/>
          <w:color w:val="auto"/>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pPr>
        <w:pStyle w:val="27"/>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pPr>
        <w:pStyle w:val="27"/>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pPr>
        <w:pStyle w:val="27"/>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pPr>
        <w:pStyle w:val="8"/>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p>
    <w:p>
      <w:pPr>
        <w:pStyle w:val="8"/>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pPr>
        <w:pStyle w:val="8"/>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pPr>
        <w:pStyle w:val="8"/>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pPr>
        <w:pStyle w:val="8"/>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pPr>
        <w:pStyle w:val="8"/>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投标人属于本章第5条第（2）项情形的。</w:t>
      </w:r>
    </w:p>
    <w:p>
      <w:pPr>
        <w:pStyle w:val="8"/>
        <w:numPr>
          <w:ilvl w:val="0"/>
          <w:numId w:val="5"/>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pPr>
        <w:pStyle w:val="1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（1）明显不满足招标文件要求的技术规格、安全、质量标准，或者与招标文件中标“</w:t>
      </w:r>
      <w:r>
        <w:rPr>
          <w:rFonts w:hint="eastAsia" w:ascii="宋体" w:hAnsi="宋体" w:eastAsia="宋体"/>
          <w:b/>
          <w:color w:val="auto"/>
          <w:kern w:val="2"/>
          <w:sz w:val="21"/>
          <w:szCs w:val="21"/>
          <w:highlight w:val="none"/>
        </w:rPr>
        <w:t>▲</w:t>
      </w:r>
      <w:r>
        <w:rPr>
          <w:rFonts w:hint="eastAsia" w:ascii="宋体" w:hAnsi="宋体" w:eastAsia="宋体" w:cs="宋体"/>
          <w:b/>
          <w:color w:val="auto"/>
          <w:kern w:val="2"/>
          <w:sz w:val="21"/>
          <w:szCs w:val="21"/>
          <w:highlight w:val="none"/>
        </w:rPr>
        <w:t>”的技术需求发生负偏离的；</w:t>
      </w:r>
    </w:p>
    <w:p>
      <w:pPr>
        <w:pStyle w:val="1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pPr>
        <w:pStyle w:val="1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pPr>
        <w:pStyle w:val="1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pPr>
        <w:pStyle w:val="11"/>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pPr>
        <w:pStyle w:val="27"/>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27"/>
        <w:spacing w:line="360" w:lineRule="auto"/>
        <w:ind w:firstLine="420"/>
        <w:rPr>
          <w:rFonts w:hAnsi="宋体" w:cs="宋体"/>
          <w:b/>
          <w:bCs/>
          <w:color w:val="auto"/>
          <w:sz w:val="21"/>
          <w:highlight w:val="none"/>
        </w:rPr>
      </w:pPr>
      <w:r>
        <w:rPr>
          <w:rFonts w:hint="eastAsia" w:hAnsi="宋体" w:cs="宋体"/>
          <w:b/>
          <w:bCs/>
          <w:color w:val="auto"/>
          <w:sz w:val="21"/>
          <w:highlight w:val="none"/>
        </w:rPr>
        <w:t>6.属于下列情形之一的，应予废标：</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符合专业条件的供应商或者对招标文件作实质响应的供应商不足三家的；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出现影响采购公正的违法、违规行为的；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投标人的报价均超过了采购预算，采购人不能支付的；</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因重大变故，采购任务取消的。</w:t>
      </w:r>
    </w:p>
    <w:p>
      <w:pPr>
        <w:keepNext w:val="0"/>
        <w:keepLines w:val="0"/>
        <w:jc w:val="center"/>
        <w:rPr>
          <w:rFonts w:hint="eastAsia" w:ascii="宋体" w:hAnsi="宋体" w:cs="宋体"/>
          <w:color w:val="auto"/>
          <w:highlight w:val="none"/>
        </w:rPr>
      </w:pPr>
      <w:r>
        <w:rPr>
          <w:rFonts w:hint="eastAsia" w:ascii="宋体" w:hAnsi="宋体" w:cs="宋体"/>
          <w:color w:val="auto"/>
          <w:highlight w:val="none"/>
        </w:rPr>
        <w:br w:type="page"/>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三、评标标准（综合评分法）</w:t>
      </w:r>
    </w:p>
    <w:tbl>
      <w:tblPr>
        <w:tblStyle w:val="49"/>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1163"/>
        <w:gridCol w:w="1305"/>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gridSpan w:val="2"/>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305"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评审因素</w:t>
            </w:r>
          </w:p>
        </w:tc>
        <w:tc>
          <w:tcPr>
            <w:tcW w:w="5941" w:type="dxa"/>
            <w:vAlign w:val="center"/>
          </w:tcPr>
          <w:p>
            <w:pPr>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163"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分）</w:t>
            </w:r>
          </w:p>
        </w:tc>
        <w:tc>
          <w:tcPr>
            <w:tcW w:w="1305"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投标报价</w:t>
            </w:r>
          </w:p>
        </w:tc>
        <w:tc>
          <w:tcPr>
            <w:tcW w:w="5941" w:type="dxa"/>
            <w:vAlign w:val="center"/>
          </w:tcPr>
          <w:p>
            <w:pPr>
              <w:spacing w:line="360" w:lineRule="auto"/>
              <w:ind w:firstLine="435" w:firstLineChars="0"/>
              <w:rPr>
                <w:color w:val="auto"/>
                <w:highlight w:val="none"/>
              </w:rPr>
            </w:pPr>
            <w:r>
              <w:rPr>
                <w:rFonts w:hint="eastAsia"/>
                <w:color w:val="auto"/>
                <w:highlight w:val="none"/>
              </w:rPr>
              <w:t>（1）评标报价为投标人的投标报价进行政策性扣除后的价格，评标报价只是作为评标时使用。最终中标人的中标金额等于投标报价。</w:t>
            </w:r>
          </w:p>
          <w:p>
            <w:pPr>
              <w:spacing w:line="360" w:lineRule="auto"/>
              <w:ind w:firstLine="435" w:firstLineChars="0"/>
              <w:rPr>
                <w:color w:val="auto"/>
                <w:highlight w:val="none"/>
              </w:rPr>
            </w:pPr>
            <w:r>
              <w:rPr>
                <w:rFonts w:hint="eastAsia"/>
                <w:color w:val="auto"/>
                <w:highlight w:val="none"/>
              </w:rPr>
              <w:t>（2）按照《政府采购促进中小企业发展管理办法》（财库〔2020〕46号）第九条第二款及《广西壮族自治区财政厅关于贯彻落实政府采购支持中小企业发展政策的通知》（桂财采〔2022〕31号）的规定，投标人为小型和微型企业，并在其投标文件中提供《中小企业声明函》，对其投标价格给予</w:t>
            </w:r>
            <w:r>
              <w:rPr>
                <w:rFonts w:hint="eastAsia"/>
                <w:color w:val="auto"/>
                <w:highlight w:val="none"/>
                <w:lang w:val="en-US" w:eastAsia="zh-CN"/>
              </w:rPr>
              <w:t>2</w:t>
            </w:r>
            <w:r>
              <w:rPr>
                <w:rFonts w:hint="eastAsia"/>
                <w:color w:val="auto"/>
                <w:highlight w:val="none"/>
              </w:rPr>
              <w:t>0%的扣除。</w:t>
            </w:r>
          </w:p>
          <w:p>
            <w:pPr>
              <w:spacing w:line="360" w:lineRule="auto"/>
              <w:ind w:firstLine="435" w:firstLineChars="0"/>
              <w:rPr>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35" w:firstLineChars="0"/>
              <w:rPr>
                <w:color w:val="auto"/>
                <w:highlight w:val="none"/>
              </w:rPr>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35" w:firstLineChars="0"/>
              <w:rPr>
                <w:color w:val="auto"/>
                <w:highlight w:val="none"/>
              </w:rPr>
            </w:pPr>
            <w:r>
              <w:rPr>
                <w:rFonts w:hint="eastAsia"/>
                <w:color w:val="auto"/>
                <w:highlight w:val="none"/>
              </w:rPr>
              <w:t>（5）政策性扣除计算方法。</w:t>
            </w:r>
          </w:p>
          <w:p>
            <w:pPr>
              <w:spacing w:line="360" w:lineRule="auto"/>
              <w:ind w:firstLine="435" w:firstLineChars="0"/>
              <w:rPr>
                <w:color w:val="auto"/>
                <w:highlight w:val="none"/>
              </w:rPr>
            </w:pPr>
            <w:r>
              <w:rPr>
                <w:rFonts w:hint="eastAsia"/>
                <w:color w:val="auto"/>
                <w:highlight w:val="none"/>
              </w:rPr>
              <w:t>投标人被评定为监狱企业或者残疾人福利性单位或者小型和微型企业的，该投标人的投标报价给予</w:t>
            </w:r>
            <w:r>
              <w:rPr>
                <w:rFonts w:hint="eastAsia"/>
                <w:color w:val="auto"/>
                <w:highlight w:val="none"/>
                <w:lang w:val="en-US" w:eastAsia="zh-CN"/>
              </w:rPr>
              <w:t>2</w:t>
            </w:r>
            <w:r>
              <w:rPr>
                <w:rFonts w:hint="eastAsia"/>
                <w:color w:val="auto"/>
                <w:highlight w:val="none"/>
              </w:rPr>
              <w:t>0%的扣除，扣除后的价格为评标报价，即评标报价=投标报价×（1-</w:t>
            </w:r>
            <w:r>
              <w:rPr>
                <w:rFonts w:hint="eastAsia"/>
                <w:color w:val="auto"/>
                <w:highlight w:val="none"/>
                <w:lang w:val="en-US" w:eastAsia="zh-CN"/>
              </w:rPr>
              <w:t>2</w:t>
            </w:r>
            <w:r>
              <w:rPr>
                <w:rFonts w:hint="eastAsia"/>
                <w:color w:val="auto"/>
                <w:highlight w:val="none"/>
              </w:rPr>
              <w:t>0%）；大中型企业和其他自然人、法人或者其他组织与小型、微型企业组成联合体投标，且联合体协议中约定小型、微型企业的协议合同金额占到联合体协议合同总金额30%以上的，联合体投标价给予</w:t>
            </w:r>
            <w:r>
              <w:rPr>
                <w:rFonts w:hint="eastAsia"/>
                <w:color w:val="auto"/>
                <w:highlight w:val="none"/>
                <w:lang w:val="en-US" w:eastAsia="zh-CN"/>
              </w:rPr>
              <w:t>4</w:t>
            </w:r>
            <w:r>
              <w:rPr>
                <w:rFonts w:hint="eastAsia"/>
                <w:color w:val="auto"/>
                <w:highlight w:val="none"/>
              </w:rPr>
              <w:t>%的扣除，扣除后的价格为评标价，即评标报价=投标报价×（1-</w:t>
            </w:r>
            <w:r>
              <w:rPr>
                <w:rFonts w:hint="eastAsia"/>
                <w:color w:val="auto"/>
                <w:highlight w:val="none"/>
                <w:lang w:val="en-US" w:eastAsia="zh-CN"/>
              </w:rPr>
              <w:t>4</w:t>
            </w:r>
            <w:r>
              <w:rPr>
                <w:rFonts w:hint="eastAsia"/>
                <w:color w:val="auto"/>
                <w:highlight w:val="none"/>
              </w:rPr>
              <w:t>%）；除上述情况外，评标报价=投标报价。</w:t>
            </w:r>
          </w:p>
          <w:p>
            <w:pPr>
              <w:snapToGrid/>
              <w:spacing w:line="360" w:lineRule="auto"/>
              <w:ind w:firstLine="435" w:firstLineChars="0"/>
              <w:rPr>
                <w:color w:val="auto"/>
                <w:highlight w:val="none"/>
              </w:rPr>
            </w:pPr>
            <w:r>
              <w:rPr>
                <w:rFonts w:hint="eastAsia"/>
                <w:color w:val="auto"/>
                <w:highlight w:val="none"/>
              </w:rPr>
              <w:t>（6）满足招标文件要求且评标报价最低的评标报价为评标基准价，基准价报价得分为</w:t>
            </w:r>
            <w:r>
              <w:rPr>
                <w:rFonts w:hint="eastAsia"/>
                <w:color w:val="auto"/>
                <w:highlight w:val="none"/>
                <w:lang w:val="en-US" w:eastAsia="zh-CN"/>
              </w:rPr>
              <w:t>10</w:t>
            </w:r>
            <w:r>
              <w:rPr>
                <w:rFonts w:hint="eastAsia"/>
                <w:color w:val="auto"/>
                <w:highlight w:val="none"/>
              </w:rPr>
              <w:t>分。</w:t>
            </w:r>
          </w:p>
          <w:p>
            <w:pPr>
              <w:spacing w:line="360" w:lineRule="auto"/>
              <w:ind w:firstLine="435" w:firstLineChars="0"/>
              <w:rPr>
                <w:color w:val="auto"/>
                <w:highlight w:val="none"/>
              </w:rPr>
            </w:pPr>
            <w:r>
              <w:rPr>
                <w:rFonts w:hint="eastAsia"/>
                <w:color w:val="auto"/>
                <w:highlight w:val="none"/>
              </w:rPr>
              <w:t>（7）价格分计算公式：</w:t>
            </w:r>
          </w:p>
          <w:p>
            <w:pPr>
              <w:spacing w:line="360" w:lineRule="auto"/>
              <w:ind w:firstLine="435" w:firstLineChars="0"/>
              <w:rPr>
                <w:rFonts w:hint="eastAsia" w:ascii="宋体" w:hAnsi="宋体" w:cs="宋体"/>
                <w:color w:val="auto"/>
                <w:highlight w:val="none"/>
              </w:rPr>
            </w:pPr>
            <w:r>
              <w:rPr>
                <w:rFonts w:hint="eastAsia" w:ascii="宋体" w:hAnsi="宋体" w:cs="宋体"/>
                <w:color w:val="auto"/>
                <w:highlight w:val="none"/>
              </w:rPr>
              <w:t>价格分=(评标基准价／评标报价)×</w:t>
            </w:r>
            <w:r>
              <w:rPr>
                <w:rFonts w:hint="eastAsia" w:ascii="宋体" w:hAnsi="宋体" w:cs="宋体"/>
                <w:color w:val="auto"/>
                <w:highlight w:val="none"/>
                <w:lang w:val="en-US" w:eastAsia="zh-CN"/>
              </w:rPr>
              <w:t>10</w:t>
            </w:r>
            <w:r>
              <w:rPr>
                <w:rFonts w:hint="eastAsia" w:ascii="宋体" w:hAnsi="宋体" w:cs="宋体"/>
                <w:color w:val="auto"/>
                <w:highlight w:val="none"/>
              </w:rPr>
              <w:t>分</w:t>
            </w:r>
          </w:p>
          <w:p>
            <w:pPr>
              <w:spacing w:line="360" w:lineRule="auto"/>
              <w:ind w:firstLine="435"/>
              <w:rPr>
                <w:color w:val="auto"/>
                <w:highlight w:val="none"/>
              </w:rPr>
            </w:pPr>
            <w:r>
              <w:rPr>
                <w:rFonts w:hint="eastAsia" w:ascii="宋体" w:hAnsi="宋体" w:eastAsia="宋体" w:cs="宋体"/>
                <w:color w:val="auto"/>
                <w:szCs w:val="21"/>
                <w:highlight w:val="none"/>
              </w:rPr>
              <w:t>注：评审过程中，如评标委员会认为某投标报价明显低于成本报价或明显低于其他通过符合性审查供应商的报价，有可能影响服务质量或者不能诚信履约的，有权要求其在评审小组现场规定的时间内提供书面说明（说明内容至少包括“本次服务采购项目实施和完成服务所用人员服装费、装备费、器材费、管理费、利润、税费、工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中：人力成本必须根据供应商所在省（自治区、直辖市）政府部门或者人力资源社会保障部门公布的最新的供应商所在地最低工资标准相关文件要求编制）和社保（五险）和福利费、国家地方规定必须缴纳的费用、利润、税金及其它过程中所有一切成本费用以及相关文件规定及合同包含的所有风险、责任等各项费用的总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同时出具相关材料﹝须为类似采购项目业绩2份，同时须提供中标（中标通知书）、签订的服务合同等相关证明材料为准），证明材料中标（成交）服务内容相类似，招标金额、中标（成交）金额比例与本次招标预算金额及该供应商报价金额比例相近（如不提供评委可根据行业标准认定是否低于成本），评标委员会有权认定其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0"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63" w:type="dxa"/>
            <w:vMerge w:val="restart"/>
            <w:vAlign w:val="center"/>
          </w:tcPr>
          <w:p>
            <w:pPr>
              <w:adjustRightInd w:val="0"/>
              <w:spacing w:line="360" w:lineRule="auto"/>
              <w:ind w:left="-105" w:leftChars="-50" w:right="-105" w:rightChars="-50"/>
              <w:jc w:val="center"/>
              <w:textAlignment w:val="baseline"/>
              <w:rPr>
                <w:rFonts w:ascii="宋体" w:hAnsi="宋体" w:cs="宋体"/>
                <w:color w:val="auto"/>
                <w:spacing w:val="-18"/>
                <w:szCs w:val="21"/>
                <w:highlight w:val="none"/>
              </w:rPr>
            </w:pPr>
            <w:r>
              <w:rPr>
                <w:rFonts w:hint="eastAsia" w:ascii="宋体" w:hAnsi="宋体" w:cs="宋体"/>
                <w:bCs/>
                <w:color w:val="auto"/>
                <w:szCs w:val="21"/>
                <w:highlight w:val="none"/>
                <w:lang w:val="en-US" w:eastAsia="zh-CN"/>
              </w:rPr>
              <w:t>技术部分</w:t>
            </w:r>
            <w:r>
              <w:rPr>
                <w:rFonts w:hint="eastAsia" w:ascii="宋体" w:hAnsi="宋体" w:cs="宋体"/>
                <w:bCs/>
                <w:color w:val="auto"/>
                <w:szCs w:val="21"/>
                <w:highlight w:val="none"/>
              </w:rPr>
              <w:t>（</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50</w:t>
            </w:r>
            <w:r>
              <w:rPr>
                <w:rFonts w:hint="eastAsia" w:ascii="宋体" w:hAnsi="宋体" w:cs="宋体"/>
                <w:bCs/>
                <w:color w:val="auto"/>
                <w:szCs w:val="21"/>
                <w:highlight w:val="none"/>
              </w:rPr>
              <w:t>分）</w:t>
            </w:r>
          </w:p>
        </w:tc>
        <w:tc>
          <w:tcPr>
            <w:tcW w:w="1305" w:type="dxa"/>
            <w:vMerge w:val="restart"/>
            <w:vAlign w:val="center"/>
          </w:tcPr>
          <w:p>
            <w:pPr>
              <w:adjustRightInd w:val="0"/>
              <w:spacing w:line="360" w:lineRule="auto"/>
              <w:jc w:val="left"/>
              <w:textAlignment w:val="baseline"/>
              <w:rPr>
                <w:rFonts w:hint="eastAsia" w:ascii="宋体" w:hAnsi="宋体" w:eastAsia="宋体" w:cs="宋体"/>
                <w:b/>
                <w:color w:val="auto"/>
                <w:szCs w:val="21"/>
                <w:highlight w:val="none"/>
                <w:lang w:eastAsia="zh-CN"/>
              </w:rPr>
            </w:pPr>
            <w:r>
              <w:rPr>
                <w:rFonts w:hint="eastAsia" w:hAnsi="宋体" w:eastAsia="宋体" w:cs="Times New Roman"/>
                <w:bCs/>
                <w:color w:val="auto"/>
                <w:sz w:val="21"/>
                <w:highlight w:val="none"/>
              </w:rPr>
              <w:t>项目实施方案分</w:t>
            </w:r>
            <w:r>
              <w:rPr>
                <w:rFonts w:hint="eastAsia" w:hAnsi="宋体" w:cs="Times New Roman"/>
                <w:bCs/>
                <w:color w:val="auto"/>
                <w:sz w:val="21"/>
                <w:highlight w:val="none"/>
                <w:lang w:eastAsia="zh-CN"/>
              </w:rPr>
              <w:t>（</w:t>
            </w:r>
            <w:r>
              <w:rPr>
                <w:rFonts w:hint="eastAsia" w:hAnsi="宋体" w:cs="Times New Roman"/>
                <w:bCs/>
                <w:color w:val="auto"/>
                <w:sz w:val="21"/>
                <w:highlight w:val="none"/>
                <w:lang w:val="en-US" w:eastAsia="zh-CN"/>
              </w:rPr>
              <w:t>满分50分</w:t>
            </w:r>
            <w:r>
              <w:rPr>
                <w:rFonts w:hint="eastAsia" w:hAnsi="宋体" w:cs="Times New Roman"/>
                <w:bCs/>
                <w:color w:val="auto"/>
                <w:sz w:val="21"/>
                <w:highlight w:val="none"/>
                <w:lang w:eastAsia="zh-CN"/>
              </w:rPr>
              <w:t>）</w:t>
            </w:r>
          </w:p>
        </w:tc>
        <w:tc>
          <w:tcPr>
            <w:tcW w:w="5941"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eastAsia="宋体"/>
                <w:color w:val="auto"/>
                <w:sz w:val="21"/>
                <w:szCs w:val="21"/>
                <w:highlight w:val="none"/>
                <w:lang w:eastAsia="zh-CN"/>
              </w:rPr>
            </w:pPr>
            <w:bookmarkStart w:id="145" w:name="_Toc255483988"/>
            <w:bookmarkStart w:id="146" w:name="_Toc255483992"/>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评委对各投标人提供的“服务区域保安管理措施及应急处置方案预案”内容的完整性、针对性、合理性三个方面进行独立评审并独立打分，本项最多得</w:t>
            </w:r>
            <w:r>
              <w:rPr>
                <w:rFonts w:hint="eastAsia"/>
                <w:color w:val="auto"/>
                <w:sz w:val="21"/>
                <w:szCs w:val="21"/>
                <w:highlight w:val="none"/>
                <w:lang w:val="en-US" w:eastAsia="zh-CN"/>
              </w:rPr>
              <w:t>8</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①完整性、针对性、合理性均评定为良好的，得</w:t>
            </w:r>
            <w:r>
              <w:rPr>
                <w:rFonts w:hint="eastAsia"/>
                <w:color w:val="auto"/>
                <w:sz w:val="21"/>
                <w:szCs w:val="21"/>
                <w:highlight w:val="none"/>
                <w:lang w:val="en-US" w:eastAsia="zh-CN"/>
              </w:rPr>
              <w:t>2</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②完整性、针对性、合理性有1项评定为优秀的，得</w:t>
            </w:r>
            <w:r>
              <w:rPr>
                <w:rFonts w:hint="eastAsia"/>
                <w:color w:val="auto"/>
                <w:sz w:val="21"/>
                <w:szCs w:val="21"/>
                <w:highlight w:val="none"/>
                <w:lang w:val="en-US" w:eastAsia="zh-CN"/>
              </w:rPr>
              <w:t>4</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③完整性、针对性、合理性有2项评定为优秀的，得</w:t>
            </w:r>
            <w:r>
              <w:rPr>
                <w:rFonts w:hint="eastAsia"/>
                <w:color w:val="auto"/>
                <w:sz w:val="21"/>
                <w:szCs w:val="21"/>
                <w:highlight w:val="none"/>
                <w:lang w:val="en-US" w:eastAsia="zh-CN"/>
              </w:rPr>
              <w:t>6</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④完整性、针对性、合理性均评定为优秀的，得</w:t>
            </w:r>
            <w:r>
              <w:rPr>
                <w:rFonts w:hint="eastAsia"/>
                <w:color w:val="auto"/>
                <w:sz w:val="21"/>
                <w:szCs w:val="21"/>
                <w:highlight w:val="none"/>
                <w:lang w:val="en-US" w:eastAsia="zh-CN"/>
              </w:rPr>
              <w:t>8</w:t>
            </w:r>
            <w:r>
              <w:rPr>
                <w:rFonts w:hint="eastAsia"/>
                <w:color w:val="auto"/>
                <w:sz w:val="21"/>
                <w:szCs w:val="21"/>
                <w:highlight w:val="none"/>
              </w:rPr>
              <w:t>分。</w:t>
            </w:r>
            <w:bookmarkEnd w:id="145"/>
            <w:bookmarkEnd w:id="146"/>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sz w:val="21"/>
                <w:szCs w:val="21"/>
                <w:highlight w:val="none"/>
              </w:rPr>
            </w:pPr>
            <w:r>
              <w:rPr>
                <w:rFonts w:hint="eastAsia" w:hAnsi="宋体" w:eastAsia="宋体" w:cs="Times New Roman"/>
                <w:bCs/>
                <w:color w:val="auto"/>
                <w:sz w:val="21"/>
                <w:szCs w:val="21"/>
                <w:highlight w:val="none"/>
              </w:rPr>
              <w:t>注：若投标人未提供“项目实施方案分”中涉及的方案的，相应不得分。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0" w:type="dxa"/>
            <w:vMerge w:val="continue"/>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163" w:type="dxa"/>
            <w:vMerge w:val="continue"/>
            <w:vAlign w:val="center"/>
          </w:tcPr>
          <w:p>
            <w:pPr>
              <w:adjustRightInd w:val="0"/>
              <w:spacing w:line="360" w:lineRule="auto"/>
              <w:ind w:left="-105" w:leftChars="-50" w:right="-105" w:rightChars="-50"/>
              <w:jc w:val="center"/>
              <w:textAlignment w:val="baseline"/>
              <w:rPr>
                <w:rFonts w:hint="eastAsia" w:ascii="宋体" w:hAnsi="宋体" w:cs="宋体"/>
                <w:bCs/>
                <w:color w:val="auto"/>
                <w:szCs w:val="21"/>
                <w:highlight w:val="none"/>
              </w:rPr>
            </w:pPr>
          </w:p>
        </w:tc>
        <w:tc>
          <w:tcPr>
            <w:tcW w:w="1305" w:type="dxa"/>
            <w:vMerge w:val="continue"/>
            <w:vAlign w:val="center"/>
          </w:tcPr>
          <w:p>
            <w:pPr>
              <w:spacing w:line="360" w:lineRule="auto"/>
              <w:jc w:val="center"/>
              <w:rPr>
                <w:rFonts w:hint="eastAsia" w:ascii="宋体" w:hAnsi="宋体" w:cs="宋体"/>
                <w:bCs/>
                <w:color w:val="auto"/>
                <w:szCs w:val="21"/>
                <w:highlight w:val="none"/>
              </w:rPr>
            </w:pPr>
          </w:p>
        </w:tc>
        <w:tc>
          <w:tcPr>
            <w:tcW w:w="5941" w:type="dxa"/>
          </w:tcPr>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lang w:eastAsia="zh-CN"/>
              </w:rPr>
            </w:pPr>
            <w:r>
              <w:rPr>
                <w:rFonts w:hint="eastAsia"/>
                <w:color w:val="auto"/>
                <w:sz w:val="21"/>
                <w:szCs w:val="21"/>
                <w:highlight w:val="none"/>
              </w:rPr>
              <w:t>（2）人员配置方案、管理制度、培训方案</w:t>
            </w:r>
            <w:r>
              <w:rPr>
                <w:rFonts w:hint="eastAsia"/>
                <w:color w:val="auto"/>
                <w:sz w:val="21"/>
                <w:szCs w:val="21"/>
                <w:highlight w:val="none"/>
                <w:lang w:eastAsia="zh-CN"/>
              </w:rPr>
              <w:t>（</w:t>
            </w:r>
            <w:r>
              <w:rPr>
                <w:rFonts w:hint="eastAsia"/>
                <w:color w:val="auto"/>
                <w:sz w:val="21"/>
                <w:szCs w:val="21"/>
                <w:highlight w:val="none"/>
                <w:lang w:val="en-US" w:eastAsia="zh-CN"/>
              </w:rPr>
              <w:t>26</w:t>
            </w:r>
            <w:r>
              <w:rPr>
                <w:rFonts w:hint="eastAsia"/>
                <w:color w:val="auto"/>
                <w:sz w:val="21"/>
                <w:szCs w:val="21"/>
                <w:highlight w:val="none"/>
                <w:lang w:eastAsia="zh-CN"/>
              </w:rPr>
              <w:t>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A.评委对各投标人提供的“人员配置方案（不含承诺配备的退伍军人保安人员）、管理制度、培训方案”内容的完整性、针对性、合理性三个方面进行独立评审并独立打分，本项最多得</w:t>
            </w:r>
            <w:r>
              <w:rPr>
                <w:rFonts w:hint="eastAsia"/>
                <w:color w:val="auto"/>
                <w:sz w:val="21"/>
                <w:szCs w:val="21"/>
                <w:highlight w:val="none"/>
                <w:lang w:val="en-US" w:eastAsia="zh-CN"/>
              </w:rPr>
              <w:t>18</w:t>
            </w:r>
            <w:r>
              <w:rPr>
                <w:rFonts w:hint="eastAsia"/>
                <w:color w:val="auto"/>
                <w:sz w:val="21"/>
                <w:szCs w:val="21"/>
                <w:highlight w:val="none"/>
              </w:rPr>
              <w:t>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①完整性、针对性、合理性均评定为良好的，得</w:t>
            </w:r>
            <w:r>
              <w:rPr>
                <w:rFonts w:hint="eastAsia"/>
                <w:color w:val="auto"/>
                <w:sz w:val="21"/>
                <w:szCs w:val="21"/>
                <w:highlight w:val="none"/>
                <w:lang w:val="en-US" w:eastAsia="zh-CN"/>
              </w:rPr>
              <w:t>5</w:t>
            </w:r>
            <w:r>
              <w:rPr>
                <w:rFonts w:hint="eastAsia"/>
                <w:color w:val="auto"/>
                <w:sz w:val="21"/>
                <w:szCs w:val="21"/>
                <w:highlight w:val="none"/>
              </w:rPr>
              <w:t>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②完整性、针对性、合理性有1项评定为优秀的，得</w:t>
            </w:r>
            <w:r>
              <w:rPr>
                <w:rFonts w:hint="eastAsia"/>
                <w:color w:val="auto"/>
                <w:sz w:val="21"/>
                <w:szCs w:val="21"/>
                <w:highlight w:val="none"/>
                <w:lang w:val="en-US" w:eastAsia="zh-CN"/>
              </w:rPr>
              <w:t>9</w:t>
            </w:r>
            <w:r>
              <w:rPr>
                <w:rFonts w:hint="eastAsia"/>
                <w:color w:val="auto"/>
                <w:sz w:val="21"/>
                <w:szCs w:val="21"/>
                <w:highlight w:val="none"/>
              </w:rPr>
              <w:t>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③完整性、针对性、合理性有2项评定为优秀的，得</w:t>
            </w:r>
            <w:r>
              <w:rPr>
                <w:rFonts w:hint="eastAsia"/>
                <w:color w:val="auto"/>
                <w:sz w:val="21"/>
                <w:szCs w:val="21"/>
                <w:highlight w:val="none"/>
                <w:lang w:val="en-US" w:eastAsia="zh-CN"/>
              </w:rPr>
              <w:t>13</w:t>
            </w:r>
            <w:r>
              <w:rPr>
                <w:rFonts w:hint="eastAsia"/>
                <w:color w:val="auto"/>
                <w:sz w:val="21"/>
                <w:szCs w:val="21"/>
                <w:highlight w:val="none"/>
              </w:rPr>
              <w:t>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④完整性、针对性、合理性均评定为优秀的，得</w:t>
            </w:r>
            <w:r>
              <w:rPr>
                <w:rFonts w:hint="eastAsia"/>
                <w:color w:val="auto"/>
                <w:sz w:val="21"/>
                <w:szCs w:val="21"/>
                <w:highlight w:val="none"/>
                <w:lang w:val="en-US" w:eastAsia="zh-CN"/>
              </w:rPr>
              <w:t>18</w:t>
            </w:r>
            <w:r>
              <w:rPr>
                <w:rFonts w:hint="eastAsia"/>
                <w:color w:val="auto"/>
                <w:sz w:val="21"/>
                <w:szCs w:val="21"/>
                <w:highlight w:val="none"/>
              </w:rPr>
              <w:t>分。</w:t>
            </w:r>
          </w:p>
          <w:p>
            <w:pPr>
              <w:pStyle w:val="27"/>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200"/>
              <w:textAlignment w:val="auto"/>
              <w:outlineLvl w:val="0"/>
              <w:rPr>
                <w:rFonts w:hint="eastAsia"/>
                <w:color w:val="auto"/>
                <w:sz w:val="21"/>
                <w:szCs w:val="21"/>
                <w:highlight w:val="none"/>
              </w:rPr>
            </w:pPr>
            <w:r>
              <w:rPr>
                <w:rFonts w:hint="eastAsia"/>
                <w:color w:val="auto"/>
                <w:sz w:val="21"/>
                <w:szCs w:val="21"/>
                <w:highlight w:val="none"/>
              </w:rPr>
              <w:t>投标人提供的人员配置方案中承诺投入的保安人员中配备退伍军人的(投标文件中提供相应保安人员的退伍军人证复印件)，每承诺配备1个退伍军人得0.5分，最多得</w:t>
            </w:r>
            <w:r>
              <w:rPr>
                <w:rFonts w:hint="eastAsia"/>
                <w:color w:val="auto"/>
                <w:sz w:val="21"/>
                <w:szCs w:val="21"/>
                <w:highlight w:val="none"/>
                <w:lang w:val="en-US" w:eastAsia="zh-CN"/>
              </w:rPr>
              <w:t>8</w:t>
            </w:r>
            <w:r>
              <w:rPr>
                <w:rFonts w:hint="eastAsia"/>
                <w:color w:val="auto"/>
                <w:sz w:val="21"/>
                <w:szCs w:val="21"/>
                <w:highlight w:val="none"/>
              </w:rPr>
              <w:t>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hAnsi="宋体" w:eastAsia="宋体" w:cs="Times New Roman"/>
                <w:bCs/>
                <w:color w:val="auto"/>
                <w:sz w:val="21"/>
                <w:szCs w:val="21"/>
                <w:highlight w:val="none"/>
              </w:rPr>
              <w:t>注：若投标人未提供“项目实施方案分”中涉及的方案的，相应不得分。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0" w:type="dxa"/>
            <w:vMerge w:val="continue"/>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163" w:type="dxa"/>
            <w:vMerge w:val="continue"/>
            <w:vAlign w:val="center"/>
          </w:tcPr>
          <w:p>
            <w:pPr>
              <w:adjustRightInd w:val="0"/>
              <w:spacing w:line="360" w:lineRule="auto"/>
              <w:ind w:left="-105" w:leftChars="-50" w:right="-105" w:rightChars="-50"/>
              <w:jc w:val="center"/>
              <w:textAlignment w:val="baseline"/>
              <w:rPr>
                <w:rFonts w:hint="eastAsia" w:ascii="宋体" w:hAnsi="宋体" w:cs="宋体"/>
                <w:bCs/>
                <w:color w:val="auto"/>
                <w:szCs w:val="21"/>
                <w:highlight w:val="none"/>
              </w:rPr>
            </w:pPr>
          </w:p>
        </w:tc>
        <w:tc>
          <w:tcPr>
            <w:tcW w:w="1305" w:type="dxa"/>
            <w:vMerge w:val="continue"/>
            <w:vAlign w:val="center"/>
          </w:tcPr>
          <w:p>
            <w:pPr>
              <w:spacing w:line="360" w:lineRule="auto"/>
              <w:jc w:val="center"/>
              <w:rPr>
                <w:rFonts w:hint="eastAsia" w:ascii="宋体" w:hAnsi="宋体" w:cs="宋体"/>
                <w:bCs/>
                <w:color w:val="auto"/>
                <w:szCs w:val="21"/>
                <w:highlight w:val="none"/>
              </w:rPr>
            </w:pPr>
          </w:p>
        </w:tc>
        <w:tc>
          <w:tcPr>
            <w:tcW w:w="5941"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outlineLvl w:val="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评委对各投标人提供的“物资装备配备方案”内容的完整性、针对性、合理性三个方面进行独立评审并独立打分，本项最多得</w:t>
            </w:r>
            <w:r>
              <w:rPr>
                <w:rFonts w:hint="eastAsia"/>
                <w:color w:val="auto"/>
                <w:sz w:val="21"/>
                <w:szCs w:val="21"/>
                <w:highlight w:val="none"/>
                <w:lang w:val="en-US" w:eastAsia="zh-CN"/>
              </w:rPr>
              <w:t>8</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color w:val="auto"/>
                <w:sz w:val="21"/>
                <w:szCs w:val="21"/>
                <w:highlight w:val="none"/>
              </w:rPr>
            </w:pPr>
            <w:r>
              <w:rPr>
                <w:rFonts w:hint="eastAsia"/>
                <w:color w:val="auto"/>
                <w:sz w:val="21"/>
                <w:szCs w:val="21"/>
                <w:highlight w:val="none"/>
              </w:rPr>
              <w:t>①完整性、针对性、合理性均评定为良好的，得</w:t>
            </w:r>
            <w:r>
              <w:rPr>
                <w:rFonts w:hint="eastAsia"/>
                <w:color w:val="auto"/>
                <w:sz w:val="21"/>
                <w:szCs w:val="21"/>
                <w:highlight w:val="none"/>
                <w:lang w:val="en-US" w:eastAsia="zh-CN"/>
              </w:rPr>
              <w:t>2</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color w:val="auto"/>
                <w:sz w:val="21"/>
                <w:szCs w:val="21"/>
                <w:highlight w:val="none"/>
              </w:rPr>
            </w:pPr>
            <w:r>
              <w:rPr>
                <w:rFonts w:hint="eastAsia"/>
                <w:color w:val="auto"/>
                <w:sz w:val="21"/>
                <w:szCs w:val="21"/>
                <w:highlight w:val="none"/>
              </w:rPr>
              <w:t>②完整性、针对性、合理性有1项评定为优秀的，得</w:t>
            </w:r>
            <w:r>
              <w:rPr>
                <w:rFonts w:hint="eastAsia"/>
                <w:color w:val="auto"/>
                <w:sz w:val="21"/>
                <w:szCs w:val="21"/>
                <w:highlight w:val="none"/>
                <w:lang w:val="en-US" w:eastAsia="zh-CN"/>
              </w:rPr>
              <w:t>4</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color w:val="auto"/>
                <w:sz w:val="21"/>
                <w:szCs w:val="21"/>
                <w:highlight w:val="none"/>
              </w:rPr>
            </w:pPr>
            <w:r>
              <w:rPr>
                <w:rFonts w:hint="eastAsia"/>
                <w:color w:val="auto"/>
                <w:sz w:val="21"/>
                <w:szCs w:val="21"/>
                <w:highlight w:val="none"/>
              </w:rPr>
              <w:t>③完整性、针对性、合理性有2项评定为优秀的，得</w:t>
            </w:r>
            <w:r>
              <w:rPr>
                <w:rFonts w:hint="eastAsia"/>
                <w:color w:val="auto"/>
                <w:sz w:val="21"/>
                <w:szCs w:val="21"/>
                <w:highlight w:val="none"/>
                <w:lang w:val="en-US" w:eastAsia="zh-CN"/>
              </w:rPr>
              <w:t>6</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color w:val="auto"/>
                <w:sz w:val="21"/>
                <w:szCs w:val="21"/>
                <w:highlight w:val="none"/>
              </w:rPr>
            </w:pPr>
            <w:r>
              <w:rPr>
                <w:rFonts w:hint="eastAsia"/>
                <w:color w:val="auto"/>
                <w:sz w:val="21"/>
                <w:szCs w:val="21"/>
                <w:highlight w:val="none"/>
              </w:rPr>
              <w:t>④完整性、针对性、合理性均评定为优秀的，得</w:t>
            </w:r>
            <w:r>
              <w:rPr>
                <w:rFonts w:hint="eastAsia"/>
                <w:color w:val="auto"/>
                <w:sz w:val="21"/>
                <w:szCs w:val="21"/>
                <w:highlight w:val="none"/>
                <w:lang w:val="en-US" w:eastAsia="zh-CN"/>
              </w:rPr>
              <w:t>8</w:t>
            </w:r>
            <w:r>
              <w:rPr>
                <w:rFonts w:hint="eastAsia"/>
                <w:color w:val="auto"/>
                <w:sz w:val="21"/>
                <w:szCs w:val="21"/>
                <w:highlight w:val="none"/>
              </w:rPr>
              <w:t>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zh-CN"/>
              </w:rPr>
            </w:pPr>
            <w:r>
              <w:rPr>
                <w:rFonts w:hint="eastAsia" w:hAnsi="宋体" w:eastAsia="宋体" w:cs="Times New Roman"/>
                <w:bCs/>
                <w:color w:val="auto"/>
                <w:sz w:val="21"/>
                <w:szCs w:val="21"/>
                <w:highlight w:val="none"/>
              </w:rPr>
              <w:t>注：若投标人未提供“项目实施方案分”中涉及的方案的，相应不得分。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240" w:type="dxa"/>
            <w:vMerge w:val="continue"/>
            <w:vAlign w:val="center"/>
          </w:tcPr>
          <w:p>
            <w:pPr>
              <w:adjustRightInd w:val="0"/>
              <w:spacing w:line="360" w:lineRule="auto"/>
              <w:jc w:val="center"/>
              <w:textAlignment w:val="baseline"/>
              <w:rPr>
                <w:rFonts w:hint="eastAsia" w:ascii="宋体" w:hAnsi="宋体" w:cs="宋体"/>
                <w:b/>
                <w:color w:val="auto"/>
                <w:szCs w:val="21"/>
                <w:highlight w:val="none"/>
              </w:rPr>
            </w:pPr>
          </w:p>
        </w:tc>
        <w:tc>
          <w:tcPr>
            <w:tcW w:w="1163" w:type="dxa"/>
            <w:vMerge w:val="continue"/>
            <w:vAlign w:val="center"/>
          </w:tcPr>
          <w:p>
            <w:pPr>
              <w:adjustRightInd w:val="0"/>
              <w:spacing w:line="360" w:lineRule="auto"/>
              <w:ind w:left="-105" w:leftChars="-50" w:right="-105" w:rightChars="-50"/>
              <w:jc w:val="center"/>
              <w:textAlignment w:val="baseline"/>
              <w:rPr>
                <w:rFonts w:hint="eastAsia" w:ascii="宋体" w:hAnsi="宋体" w:cs="宋体"/>
                <w:bCs/>
                <w:color w:val="auto"/>
                <w:szCs w:val="21"/>
                <w:highlight w:val="none"/>
              </w:rPr>
            </w:pPr>
          </w:p>
        </w:tc>
        <w:tc>
          <w:tcPr>
            <w:tcW w:w="1305" w:type="dxa"/>
            <w:vMerge w:val="continue"/>
            <w:vAlign w:val="center"/>
          </w:tcPr>
          <w:p>
            <w:pPr>
              <w:spacing w:line="360" w:lineRule="auto"/>
              <w:jc w:val="center"/>
              <w:rPr>
                <w:rFonts w:hint="eastAsia" w:ascii="宋体" w:hAnsi="宋体" w:cs="宋体"/>
                <w:bCs/>
                <w:color w:val="auto"/>
                <w:szCs w:val="21"/>
                <w:highlight w:val="none"/>
              </w:rPr>
            </w:pPr>
          </w:p>
        </w:tc>
        <w:tc>
          <w:tcPr>
            <w:tcW w:w="5941"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评委对各投标人提供的“其他服务措施”内容的完整性、针对性、合理性三个方面进行独立评审并独立打分，本项最多得</w:t>
            </w:r>
            <w:r>
              <w:rPr>
                <w:rFonts w:hint="eastAsia"/>
                <w:color w:val="auto"/>
                <w:sz w:val="21"/>
                <w:szCs w:val="21"/>
                <w:highlight w:val="none"/>
                <w:lang w:val="en-US" w:eastAsia="zh-CN"/>
              </w:rPr>
              <w:t>8</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0"/>
              <w:rPr>
                <w:rFonts w:hint="eastAsia" w:eastAsia="宋体"/>
                <w:color w:val="auto"/>
                <w:sz w:val="21"/>
                <w:szCs w:val="21"/>
                <w:highlight w:val="none"/>
                <w:lang w:eastAsia="zh-CN"/>
              </w:rPr>
            </w:pPr>
            <w:r>
              <w:rPr>
                <w:rFonts w:hint="eastAsia"/>
                <w:color w:val="auto"/>
                <w:sz w:val="21"/>
                <w:szCs w:val="21"/>
                <w:highlight w:val="none"/>
              </w:rPr>
              <w:t>①完整性、针对性、合理性均评定为良好的，得</w:t>
            </w:r>
            <w:r>
              <w:rPr>
                <w:rFonts w:hint="eastAsia"/>
                <w:color w:val="auto"/>
                <w:sz w:val="21"/>
                <w:szCs w:val="21"/>
                <w:highlight w:val="none"/>
                <w:lang w:val="en-US" w:eastAsia="zh-CN"/>
              </w:rPr>
              <w:t>2</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0"/>
              <w:rPr>
                <w:rFonts w:hint="eastAsia" w:eastAsia="宋体"/>
                <w:color w:val="auto"/>
                <w:sz w:val="21"/>
                <w:szCs w:val="21"/>
                <w:highlight w:val="none"/>
                <w:lang w:eastAsia="zh-CN"/>
              </w:rPr>
            </w:pPr>
            <w:r>
              <w:rPr>
                <w:rFonts w:hint="eastAsia"/>
                <w:color w:val="auto"/>
                <w:sz w:val="21"/>
                <w:szCs w:val="21"/>
                <w:highlight w:val="none"/>
              </w:rPr>
              <w:t>②完整性、针对性、合理性有1项评定为优秀的，得</w:t>
            </w:r>
            <w:r>
              <w:rPr>
                <w:rFonts w:hint="eastAsia"/>
                <w:color w:val="auto"/>
                <w:sz w:val="21"/>
                <w:szCs w:val="21"/>
                <w:highlight w:val="none"/>
                <w:lang w:val="en-US" w:eastAsia="zh-CN"/>
              </w:rPr>
              <w:t>4</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0"/>
              <w:rPr>
                <w:rFonts w:hint="eastAsia" w:eastAsia="宋体"/>
                <w:color w:val="auto"/>
                <w:sz w:val="21"/>
                <w:szCs w:val="21"/>
                <w:highlight w:val="none"/>
                <w:lang w:eastAsia="zh-CN"/>
              </w:rPr>
            </w:pPr>
            <w:r>
              <w:rPr>
                <w:rFonts w:hint="eastAsia"/>
                <w:color w:val="auto"/>
                <w:sz w:val="21"/>
                <w:szCs w:val="21"/>
                <w:highlight w:val="none"/>
              </w:rPr>
              <w:t>③完整性、针对性、合理性有2项评定为优秀的，得</w:t>
            </w:r>
            <w:r>
              <w:rPr>
                <w:rFonts w:hint="eastAsia"/>
                <w:color w:val="auto"/>
                <w:sz w:val="21"/>
                <w:szCs w:val="21"/>
                <w:highlight w:val="none"/>
                <w:lang w:val="en-US" w:eastAsia="zh-CN"/>
              </w:rPr>
              <w:t>6</w:t>
            </w:r>
            <w:r>
              <w:rPr>
                <w:rFonts w:hint="eastAsia"/>
                <w:color w:val="auto"/>
                <w:sz w:val="21"/>
                <w:szCs w:val="21"/>
                <w:highlight w:val="none"/>
              </w:rPr>
              <w:t>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0"/>
              <w:rPr>
                <w:rFonts w:hint="eastAsia"/>
                <w:color w:val="auto"/>
                <w:sz w:val="21"/>
                <w:szCs w:val="21"/>
                <w:highlight w:val="none"/>
              </w:rPr>
            </w:pPr>
            <w:r>
              <w:rPr>
                <w:rFonts w:hint="eastAsia"/>
                <w:color w:val="auto"/>
                <w:sz w:val="21"/>
                <w:szCs w:val="21"/>
                <w:highlight w:val="none"/>
              </w:rPr>
              <w:t>④完整性、针对性、合理性均评定为优秀的，得</w:t>
            </w:r>
            <w:r>
              <w:rPr>
                <w:rFonts w:hint="eastAsia"/>
                <w:color w:val="auto"/>
                <w:sz w:val="21"/>
                <w:szCs w:val="21"/>
                <w:highlight w:val="none"/>
                <w:lang w:val="en-US" w:eastAsia="zh-CN"/>
              </w:rPr>
              <w:t>8</w:t>
            </w:r>
            <w:r>
              <w:rPr>
                <w:rFonts w:hint="eastAsia"/>
                <w:color w:val="auto"/>
                <w:sz w:val="21"/>
                <w:szCs w:val="21"/>
                <w:highlight w:val="none"/>
              </w:rPr>
              <w:t>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hAnsi="宋体" w:eastAsia="宋体" w:cs="Times New Roman"/>
                <w:bCs/>
                <w:color w:val="auto"/>
                <w:sz w:val="21"/>
                <w:szCs w:val="21"/>
                <w:highlight w:val="none"/>
              </w:rPr>
              <w:t>注：若投标人未提供“项目实施方案分”中涉及的方案的，相应不得分。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40"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163"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c>
          <w:tcPr>
            <w:tcW w:w="1305" w:type="dxa"/>
            <w:tcMar>
              <w:left w:w="57" w:type="dxa"/>
              <w:right w:w="57" w:type="dxa"/>
            </w:tcMar>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履约能力分</w:t>
            </w:r>
            <w:r>
              <w:rPr>
                <w:rFonts w:hint="eastAsia" w:ascii="宋体" w:hAnsi="宋体" w:cs="宋体"/>
                <w:b/>
                <w:bCs w:val="0"/>
                <w:color w:val="auto"/>
                <w:szCs w:val="21"/>
                <w:highlight w:val="none"/>
              </w:rPr>
              <w:t>（</w:t>
            </w: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40</w:t>
            </w:r>
            <w:r>
              <w:rPr>
                <w:rFonts w:hint="eastAsia" w:ascii="宋体" w:hAnsi="宋体" w:cs="宋体"/>
                <w:b/>
                <w:color w:val="auto"/>
                <w:szCs w:val="21"/>
                <w:highlight w:val="none"/>
              </w:rPr>
              <w:t>分</w:t>
            </w:r>
            <w:r>
              <w:rPr>
                <w:rFonts w:hint="eastAsia" w:ascii="宋体" w:hAnsi="宋体" w:cs="宋体"/>
                <w:b/>
                <w:bCs w:val="0"/>
                <w:color w:val="auto"/>
                <w:szCs w:val="21"/>
                <w:highlight w:val="none"/>
              </w:rPr>
              <w:t>）</w:t>
            </w:r>
          </w:p>
        </w:tc>
        <w:tc>
          <w:tcPr>
            <w:tcW w:w="5941" w:type="dxa"/>
            <w:tcMar>
              <w:left w:w="57" w:type="dxa"/>
              <w:right w:w="57" w:type="dxa"/>
            </w:tcMar>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hAnsi="宋体" w:eastAsia="宋体" w:cs="Times New Roman"/>
                <w:bCs/>
                <w:color w:val="auto"/>
                <w:sz w:val="21"/>
                <w:szCs w:val="21"/>
                <w:highlight w:val="none"/>
              </w:rPr>
              <w:t>（</w:t>
            </w:r>
            <w:r>
              <w:rPr>
                <w:rFonts w:hint="eastAsia" w:ascii="宋体" w:hAnsi="宋体" w:eastAsia="宋体" w:cs="宋体"/>
                <w:bCs/>
                <w:color w:val="auto"/>
                <w:sz w:val="21"/>
                <w:szCs w:val="21"/>
                <w:highlight w:val="none"/>
              </w:rPr>
              <w:t>1）投标人通过ISO9001系列国际质量管理体系认证、ISO45001职业健康安全管理体系认证、ISO14001环境管理体系认证、GB/T35770-2017合规管理体系认证、GA/T 594-2006保安服务认证的（投标文件中提供相关有效证书复印件以及国家认监委网站相关内容查询截图），每提供1项得1分，满分5分。</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投标人在本项目实施地桂林市设有固定服务点的【投标文件中提供相关有效证明材料，可以是投标人的法人或者其他组织营业执照等证明文件】，得5分。投标人承诺中标后在本项目实施地桂林市设有固定服务点的（投标文件中提供相应承诺书，同时提供相关的设立计划及进度安排措施），得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）投标人自201</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年至今完成的同类项目（保安服务）业绩（投标文件中提供能清晰反映项目名称、种类的合同书复印件，同一个编号项目有两个或两个以上分标中标的只计算一次），每个业绩得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拟投入的保安人员具有国家人社部门颁发的保安员国家职业资格证书（投标文件中提供能清晰反映相关内容的证书复印件以及投标人为其缴纳的最近3个月社保证明材料），获得三级/高级工及以下职业资格的，每人得1分；获得二级/技师及以上职业资格的，每人得2分，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9" w:type="dxa"/>
            <w:gridSpan w:val="4"/>
            <w:vAlign w:val="center"/>
          </w:tcPr>
          <w:p>
            <w:pPr>
              <w:pStyle w:val="27"/>
              <w:spacing w:line="360" w:lineRule="auto"/>
              <w:ind w:firstLine="420"/>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ascii="宋体" w:hAnsi="宋体" w:cs="宋体"/>
          <w:color w:val="auto"/>
          <w:szCs w:val="21"/>
          <w:highlight w:val="none"/>
        </w:rPr>
      </w:pPr>
    </w:p>
    <w:p>
      <w:pPr>
        <w:pStyle w:val="27"/>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w:t>
      </w:r>
      <w:r>
        <w:rPr>
          <w:color w:val="auto"/>
          <w:szCs w:val="21"/>
          <w:highlight w:val="none"/>
        </w:rPr>
        <w:t>按</w:t>
      </w:r>
      <w:r>
        <w:rPr>
          <w:rFonts w:hint="default" w:ascii="宋体" w:eastAsia="宋体"/>
          <w:b w:val="0"/>
          <w:color w:val="auto"/>
          <w:szCs w:val="21"/>
          <w:highlight w:val="none"/>
        </w:rPr>
        <w:t>服务质量</w:t>
      </w:r>
      <w:r>
        <w:rPr>
          <w:rFonts w:ascii="宋体" w:eastAsia="宋体"/>
          <w:b w:val="0"/>
          <w:color w:val="auto"/>
          <w:szCs w:val="21"/>
          <w:highlight w:val="none"/>
        </w:rPr>
        <w:t>分</w:t>
      </w:r>
      <w:r>
        <w:rPr>
          <w:color w:val="auto"/>
          <w:szCs w:val="21"/>
          <w:highlight w:val="none"/>
        </w:rPr>
        <w:t>高低顺序排列</w:t>
      </w:r>
      <w:r>
        <w:rPr>
          <w:rFonts w:hint="eastAsia"/>
          <w:color w:val="auto"/>
          <w:szCs w:val="21"/>
          <w:highlight w:val="none"/>
          <w:lang w:eastAsia="zh-CN"/>
        </w:rPr>
        <w:t>，</w:t>
      </w:r>
      <w:r>
        <w:rPr>
          <w:rFonts w:hint="eastAsia" w:hAnsi="宋体" w:cs="宋体"/>
          <w:color w:val="auto"/>
          <w:sz w:val="21"/>
          <w:highlight w:val="none"/>
        </w:rPr>
        <w:t>且按照评审因素的量化指标评审得分最高的投标人为排名第一的中标候选人。</w:t>
      </w:r>
    </w:p>
    <w:p>
      <w:pPr>
        <w:rPr>
          <w:rFonts w:ascii="宋体" w:hAnsi="宋体" w:cs="宋体"/>
          <w:b/>
          <w:color w:val="auto"/>
          <w:sz w:val="24"/>
          <w:highlight w:val="none"/>
        </w:rPr>
      </w:pPr>
      <w:r>
        <w:rPr>
          <w:rFonts w:ascii="宋体" w:hAnsi="宋体" w:cs="宋体"/>
          <w:b/>
          <w:color w:val="auto"/>
          <w:sz w:val="24"/>
          <w:highlight w:val="none"/>
        </w:rPr>
        <w:br w:type="page"/>
      </w:r>
    </w:p>
    <w:p>
      <w:pPr>
        <w:pStyle w:val="67"/>
        <w:ind w:firstLine="640"/>
        <w:rPr>
          <w:color w:val="auto"/>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pStyle w:val="22"/>
        <w:rPr>
          <w:rFonts w:ascii="宋体" w:hAnsi="宋体" w:cs="宋体"/>
          <w:b/>
          <w:color w:val="auto"/>
          <w:sz w:val="24"/>
          <w:highlight w:val="none"/>
        </w:rPr>
      </w:pPr>
    </w:p>
    <w:p>
      <w:pPr>
        <w:rPr>
          <w:rFonts w:ascii="宋体" w:hAnsi="宋体" w:cs="宋体"/>
          <w:b/>
          <w:color w:val="auto"/>
          <w:sz w:val="24"/>
          <w:highlight w:val="none"/>
        </w:rPr>
      </w:pPr>
    </w:p>
    <w:p>
      <w:pPr>
        <w:pStyle w:val="22"/>
        <w:rPr>
          <w:rFonts w:ascii="宋体" w:hAnsi="宋体" w:cs="宋体"/>
          <w:b/>
          <w:color w:val="auto"/>
          <w:sz w:val="24"/>
          <w:highlight w:val="none"/>
        </w:rPr>
      </w:pPr>
    </w:p>
    <w:p>
      <w:pPr>
        <w:rPr>
          <w:color w:val="auto"/>
          <w:highlight w:val="none"/>
        </w:rPr>
      </w:pPr>
    </w:p>
    <w:p>
      <w:pPr>
        <w:pStyle w:val="4"/>
        <w:keepNext w:val="0"/>
        <w:keepLines w:val="0"/>
        <w:jc w:val="center"/>
        <w:rPr>
          <w:rFonts w:ascii="宋体" w:hAnsi="宋体" w:eastAsia="宋体" w:cs="宋体"/>
          <w:color w:val="auto"/>
          <w:highlight w:val="none"/>
        </w:rPr>
      </w:pPr>
      <w:bookmarkStart w:id="147" w:name="_Toc27205"/>
      <w:bookmarkStart w:id="148" w:name="_Toc19386"/>
      <w:bookmarkStart w:id="149" w:name="_Toc22305"/>
      <w:bookmarkStart w:id="150" w:name="_Toc18451"/>
      <w:bookmarkStart w:id="151" w:name="_Toc19686833"/>
      <w:r>
        <w:rPr>
          <w:rFonts w:hint="eastAsia" w:ascii="宋体" w:hAnsi="宋体" w:eastAsia="宋体" w:cs="宋体"/>
          <w:color w:val="auto"/>
          <w:highlight w:val="none"/>
        </w:rPr>
        <w:t>第五章、拟签订的合同文本</w:t>
      </w:r>
      <w:bookmarkEnd w:id="147"/>
      <w:bookmarkEnd w:id="148"/>
      <w:bookmarkEnd w:id="149"/>
      <w:bookmarkEnd w:id="150"/>
      <w:bookmarkEnd w:id="151"/>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pacing w:line="520" w:lineRule="exact"/>
        <w:jc w:val="center"/>
        <w:rPr>
          <w:rFonts w:hint="eastAsia"/>
          <w:b/>
          <w:bCs/>
          <w:color w:val="auto"/>
          <w:sz w:val="28"/>
          <w:szCs w:val="36"/>
          <w:highlight w:val="none"/>
        </w:rPr>
      </w:pPr>
      <w:r>
        <w:rPr>
          <w:rFonts w:hint="eastAsia" w:ascii="宋体" w:hAnsi="宋体" w:cs="宋体"/>
          <w:bCs/>
          <w:color w:val="auto"/>
          <w:sz w:val="32"/>
          <w:szCs w:val="32"/>
          <w:highlight w:val="none"/>
        </w:rPr>
        <w:br w:type="page"/>
      </w:r>
      <w:bookmarkStart w:id="152" w:name="_Hlk55381736"/>
      <w:r>
        <w:rPr>
          <w:rFonts w:hint="eastAsia"/>
          <w:b/>
          <w:bCs/>
          <w:color w:val="auto"/>
          <w:sz w:val="28"/>
          <w:szCs w:val="36"/>
          <w:highlight w:val="none"/>
        </w:rPr>
        <w:t>合同文本</w:t>
      </w:r>
    </w:p>
    <w:p>
      <w:pPr>
        <w:spacing w:line="520" w:lineRule="exact"/>
        <w:rPr>
          <w:rFonts w:hint="eastAsia" w:ascii="宋体" w:hAnsi="宋体" w:cs="Courier New"/>
          <w:b/>
          <w:color w:val="auto"/>
          <w:sz w:val="32"/>
          <w:szCs w:val="32"/>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供货一览表</w:t>
      </w:r>
    </w:p>
    <w:tbl>
      <w:tblPr>
        <w:tblStyle w:val="49"/>
        <w:tblW w:w="8903"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3"/>
        <w:gridCol w:w="1373"/>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278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3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78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校园保安服务</w:t>
            </w:r>
          </w:p>
        </w:tc>
        <w:tc>
          <w:tcPr>
            <w:tcW w:w="137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adjustRightInd w:val="0"/>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4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宋体" w:hAnsi="宋体" w:eastAsia="宋体" w:cs="宋体"/>
                <w:bCs/>
                <w:color w:val="auto"/>
                <w:sz w:val="21"/>
                <w:szCs w:val="21"/>
                <w:highlight w:val="none"/>
              </w:rPr>
            </w:pPr>
          </w:p>
        </w:tc>
      </w:tr>
    </w:tbl>
    <w:p>
      <w:pPr>
        <w:adjustRightInd w:val="0"/>
        <w:snapToGrid w:val="0"/>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2、根据《中标通知书》的中标内容，本项目合同的金额为：（大写）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p>
    <w:p>
      <w:pPr>
        <w:adjustRightInd w:val="0"/>
        <w:snapToGrid w:val="0"/>
        <w:spacing w:line="440" w:lineRule="exact"/>
        <w:ind w:firstLine="411" w:firstLineChars="196"/>
        <w:rPr>
          <w:rFonts w:hint="eastAsia"/>
          <w:color w:val="auto"/>
          <w:highlight w:val="none"/>
        </w:rPr>
      </w:pPr>
      <w:r>
        <w:rPr>
          <w:rFonts w:hint="eastAsia" w:ascii="宋体" w:hAnsi="宋体" w:eastAsia="宋体" w:cs="宋体"/>
          <w:color w:val="auto"/>
          <w:sz w:val="21"/>
          <w:szCs w:val="21"/>
          <w:highlight w:val="none"/>
        </w:rPr>
        <w:t>3、乙方投标报价包括招标范围内要求的保安服务所有成本（包括但不限于工资、保险费、加班费、夜班费、福利费、保安制服费、保安值勤设备费、劳保用品费、管理费等全部成本费用）、合理利润及税金等一切费用，投标人综合考虑在投标报价中。</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服务期限</w:t>
      </w:r>
    </w:p>
    <w:p>
      <w:pPr>
        <w:adjustRightInd w:val="0"/>
        <w:snapToGrid w:val="0"/>
        <w:spacing w:line="4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服务期: 自签订合同且乙方保安服务进驻之日起</w:t>
      </w:r>
      <w:r>
        <w:rPr>
          <w:rFonts w:hint="eastAsia" w:ascii="宋体" w:hAnsi="宋体" w:eastAsia="宋体" w:cs="宋体"/>
          <w:bCs/>
          <w:color w:val="auto"/>
          <w:sz w:val="21"/>
          <w:szCs w:val="21"/>
          <w:highlight w:val="none"/>
          <w:u w:val="single"/>
        </w:rPr>
        <w:t>12</w:t>
      </w:r>
      <w:r>
        <w:rPr>
          <w:rFonts w:hint="eastAsia" w:ascii="宋体" w:hAnsi="宋体" w:eastAsia="宋体" w:cs="宋体"/>
          <w:bCs/>
          <w:color w:val="auto"/>
          <w:sz w:val="21"/>
          <w:szCs w:val="21"/>
          <w:highlight w:val="none"/>
        </w:rPr>
        <w:t xml:space="preserve">个月。 </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服务内容及要求</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（一）保安服务管理范围、职责及服务方式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1、管理范围：桂林电子科技大学大门、家属区、办公楼等的安全保卫。具体包括：校大门、部分家属区及大门、行政楼、教学楼和公共区域的值勤、巡逻和安全防范工作。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照采购人学校规定与管理要求，结合校园安全保卫工作实际情况，要求在中标后向采购人提交切实可行的校园安全保卫工作整体方案并经采购人同意，按采购人同意后的安全保卫工作方案开展专业化安全防范业务，保障校园安全稳定。</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校保安服务工作主要包括：24小时门卫值勤、重点场所守护、家属区巡逻及大型活动与会务工作的安全保障，校内临时性的应急处置工作，并做好校内防火、防盗、防破坏、防事故等安全工作，配合相关部门打击校园内部与周边的违法犯罪活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（3）服务方式：学校安保服务方式是中标人派出主管、工作人员并组织保安人员</w:t>
      </w:r>
      <w:r>
        <w:rPr>
          <w:rFonts w:hint="eastAsia" w:ascii="宋体" w:hAnsi="宋体" w:eastAsia="宋体" w:cs="宋体"/>
          <w:color w:val="auto"/>
          <w:sz w:val="21"/>
          <w:szCs w:val="21"/>
          <w:highlight w:val="none"/>
          <w:lang w:val="en-US" w:eastAsia="zh-CN"/>
        </w:rPr>
        <w:t>结合人防、物防、技防等相关管理模式</w:t>
      </w:r>
      <w:r>
        <w:rPr>
          <w:rFonts w:hint="eastAsia" w:ascii="宋体" w:hAnsi="宋体" w:eastAsia="宋体" w:cs="宋体"/>
          <w:color w:val="auto"/>
          <w:sz w:val="21"/>
          <w:szCs w:val="21"/>
          <w:highlight w:val="none"/>
        </w:rPr>
        <w:t>到采购人指定区域负责安全保卫工作。</w:t>
      </w:r>
    </w:p>
    <w:p>
      <w:pPr>
        <w:keepNext w:val="0"/>
        <w:keepLines w:val="0"/>
        <w:pageBreakBefore w:val="0"/>
        <w:kinsoku/>
        <w:wordWrap/>
        <w:overflowPunct/>
        <w:topLinePunct w:val="0"/>
        <w:autoSpaceDE/>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（二）各岗位具体职责要求</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所有岗位在疫情管控期间，必须按照学校要求严格执行。</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1、门岗具体岗位职责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（1）做好来访人员的登记，对外来车辆和人员进行盘问、核对，按规定履行车辆计时收费，禁止闲杂人员进入校内。</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（2）未经职能部门许可，严禁外来人员进入校内进行收购货物、推销产品等活动。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时刻提高警惕，对出入校门的可疑人员严格盘问；对离校物品按离校管理规定处理。车辆携物品离校时属来历不明的，必须查清物主的身份、单位、住址、所带物品及数量，经核对确认是本校职工或是学校物品（需单位证明），方可放行，否则予以扣留。在盘查时要求车辆靠右边停放，确保交通畅通。</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（4）维护大门的交通秩序和周围的校园秩序。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（5）拦截向外逃窜的违法犯罪分子。</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（6）爱护值班室及周围公物，管理好值班电话，一般情况下不允许外人使用值班电话，不允许用值班电话聊天、联系私事等。</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（7）搞好值班室及周围卫生，值班室不允许堆放杂物。</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（8）值班室不允许与值班无关的人员进入。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（9）完成学校保卫部门交办的其它相关工作。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2、执勤岗位职责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（1）熟悉教学楼内各楼层的主要设施及消防设备，发现如有漏水、电、门窗异常等问题，要及时报保卫处值班人员进行处理。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（2）值班期间，必须按规定着装，坚守岗位，坚持原则，认真负责，文明执勤，不得迟到、早退，不准睡岗、擅自离岗，不做与工作无关的其它事情。</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（3）落实防火及消防设施检查制度，发现安全隐患及时报告，并做出妥善处理。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（4）加强执勤点的检查巡逻，对外来人员要主动上前查问，并做好登记，确认无误后方可放行，禁止闲杂人员进入教学场所。</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（5）负责办公楼周围的交通秩序整治，要求车辆停放有序，严禁消防通道停车。</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（6）严格要求规范自己的行为，严格执行学校的各项规章制度，不得擅自使用教学楼内任何教学设备。</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（7）严密监控执勤区域的情况，加强与学校保卫处值班人员的协调与配合，发现可疑情况，及时向学校保卫处报告。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（8）完成保卫处领导交办的其它相关工作。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3、巡逻岗位职责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（1）服从学校保卫处领导及值班人员的督查，按照规范和标准对责任区域进行巡逻检查。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（2）熟悉责任区域内各方面情况，对异常情况能及时发现、判断和相应处理，并及时上报学校保卫部门。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（3）加强对校园内重要区域及安全监控薄弱部位进行重点巡逻，发现门、窗未关及其他异常情况及时上报值班干部，消除安全隐患。</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（4）加强对消防安全的巡逻检查，制止违反消防安全管理规定的行为，若有异常立即采取措施并上报学校保卫部门。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（5）对校园内可疑对象（如人员、车辆、物品等），必须仔细检查，做好相关记录，必要时报学校保卫部门。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（6）加强对责任区内交通秩序的管理，制止超速、乱停等违章行为，严禁外来车辆借道通行。</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（7）巡逻期间做好巡逻检查记录，遇紧急突发事件立即上报学校保卫部门并按规定采取措施。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（8）发现违法犯罪行为，立即予以制止，控制住犯罪嫌疑人，配合公安机关妥善处理。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（9）严禁在小区内张贴各种海报、宣传单等粘贴物，如有发现，必须立即制止和摘除，并对行为人进行警告，必要时交由相关部门处理。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（10）完成学校保卫部门交办的其它相关工作。</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（三）安保服务范围及要求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1、具体安保服务范围及要求如下：</w:t>
      </w:r>
    </w:p>
    <w:tbl>
      <w:tblPr>
        <w:tblStyle w:val="49"/>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20"/>
        <w:gridCol w:w="1230"/>
        <w:gridCol w:w="385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20"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服务范围</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岗位数</w:t>
            </w:r>
          </w:p>
        </w:tc>
        <w:tc>
          <w:tcPr>
            <w:tcW w:w="3858"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c>
          <w:tcPr>
            <w:tcW w:w="1412"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2520"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金鸡岭校区（含家属区）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花江校区</w:t>
            </w:r>
          </w:p>
        </w:tc>
        <w:tc>
          <w:tcPr>
            <w:tcW w:w="1230"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46</w:t>
            </w:r>
            <w:r>
              <w:rPr>
                <w:rFonts w:hint="eastAsia" w:ascii="宋体" w:hAnsi="宋体" w:eastAsia="宋体" w:cs="宋体"/>
                <w:b/>
                <w:bCs/>
                <w:color w:val="auto"/>
                <w:sz w:val="21"/>
                <w:szCs w:val="21"/>
                <w:highlight w:val="none"/>
              </w:rPr>
              <w:t>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每个岗每天24小时至少1人在岗，不能脱岗</w:t>
            </w:r>
            <w:r>
              <w:rPr>
                <w:rFonts w:hint="eastAsia" w:ascii="宋体" w:hAnsi="宋体" w:eastAsia="宋体" w:cs="宋体"/>
                <w:b/>
                <w:bCs/>
                <w:color w:val="auto"/>
                <w:sz w:val="21"/>
                <w:szCs w:val="21"/>
                <w:highlight w:val="none"/>
                <w:lang w:eastAsia="zh-CN"/>
              </w:rPr>
              <w:t>。</w:t>
            </w:r>
          </w:p>
        </w:tc>
        <w:tc>
          <w:tcPr>
            <w:tcW w:w="1412" w:type="dxa"/>
            <w:vMerge w:val="restart"/>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金鸡岭校区</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花江校区</w:t>
            </w:r>
            <w:r>
              <w:rPr>
                <w:rFonts w:hint="eastAsia" w:ascii="宋体" w:hAnsi="宋体" w:eastAsia="宋体" w:cs="宋体"/>
                <w:b/>
                <w:bCs/>
                <w:color w:val="auto"/>
                <w:kern w:val="0"/>
                <w:sz w:val="21"/>
                <w:szCs w:val="21"/>
                <w:highlight w:val="none"/>
              </w:rPr>
              <w:t>至少配</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名管理人员，住校管理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87" w:type="dxa"/>
            <w:noWrap/>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520" w:type="dxa"/>
            <w:noWrap/>
            <w:vAlign w:val="center"/>
          </w:tcPr>
          <w:p>
            <w:pPr>
              <w:keepNext w:val="0"/>
              <w:keepLines w:val="0"/>
              <w:pageBreakBefore w:val="0"/>
              <w:widowControl/>
              <w:suppressLineNumbers w:val="0"/>
              <w:kinsoku/>
              <w:wordWrap/>
              <w:overflowPunct/>
              <w:topLinePunct w:val="0"/>
              <w:autoSpaceDE/>
              <w:bidi w:val="0"/>
              <w:spacing w:line="360" w:lineRule="auto"/>
              <w:jc w:val="both"/>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花江慧谷智慧消防控制中心</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每个岗每天24小时至少</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人在岗，</w:t>
            </w:r>
            <w:r>
              <w:rPr>
                <w:rFonts w:hint="eastAsia" w:ascii="宋体" w:hAnsi="宋体" w:eastAsia="宋体" w:cs="宋体"/>
                <w:b/>
                <w:bCs/>
                <w:color w:val="auto"/>
                <w:sz w:val="21"/>
                <w:szCs w:val="21"/>
                <w:highlight w:val="none"/>
                <w:lang w:val="en-US" w:eastAsia="zh-CN"/>
              </w:rPr>
              <w:t>所有值班人员须持有《建（筑）物消防员》或《消防设施操作员》书。</w:t>
            </w:r>
          </w:p>
        </w:tc>
        <w:tc>
          <w:tcPr>
            <w:tcW w:w="1412" w:type="dxa"/>
            <w:vMerge w:val="continue"/>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2520" w:type="dxa"/>
            <w:noWrap/>
            <w:vAlign w:val="center"/>
          </w:tcPr>
          <w:p>
            <w:pPr>
              <w:keepNext w:val="0"/>
              <w:keepLines w:val="0"/>
              <w:pageBreakBefore w:val="0"/>
              <w:widowControl/>
              <w:kinsoku/>
              <w:wordWrap/>
              <w:overflowPunct/>
              <w:topLinePunct w:val="0"/>
              <w:autoSpaceDE/>
              <w:bidi w:val="0"/>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管理岗</w:t>
            </w:r>
          </w:p>
        </w:tc>
        <w:tc>
          <w:tcPr>
            <w:tcW w:w="1230" w:type="dxa"/>
            <w:noWrap/>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w:t>
            </w:r>
          </w:p>
        </w:tc>
        <w:tc>
          <w:tcPr>
            <w:tcW w:w="3858" w:type="dxa"/>
            <w:vAlign w:val="center"/>
          </w:tcPr>
          <w:p>
            <w:pPr>
              <w:keepNext w:val="0"/>
              <w:keepLines w:val="0"/>
              <w:pageBreakBefore w:val="0"/>
              <w:widowControl/>
              <w:kinsoku/>
              <w:wordWrap/>
              <w:overflowPunct/>
              <w:topLinePunct w:val="0"/>
              <w:autoSpaceDE/>
              <w:bidi w:val="0"/>
              <w:spacing w:line="36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必须保证24小时每个校区</w:t>
            </w:r>
            <w:r>
              <w:rPr>
                <w:rFonts w:hint="eastAsia" w:ascii="宋体" w:hAnsi="宋体" w:eastAsia="宋体" w:cs="宋体"/>
                <w:b/>
                <w:bCs/>
                <w:color w:val="auto"/>
                <w:sz w:val="21"/>
                <w:szCs w:val="21"/>
                <w:highlight w:val="none"/>
              </w:rPr>
              <w:t>至少</w:t>
            </w:r>
            <w:r>
              <w:rPr>
                <w:rFonts w:hint="eastAsia" w:ascii="宋体" w:hAnsi="宋体" w:eastAsia="宋体" w:cs="宋体"/>
                <w:b/>
                <w:bCs/>
                <w:color w:val="auto"/>
                <w:sz w:val="21"/>
                <w:szCs w:val="21"/>
                <w:highlight w:val="none"/>
                <w:lang w:val="en-US" w:eastAsia="zh-CN"/>
              </w:rPr>
              <w:t>有1个管理人员在岗</w:t>
            </w:r>
          </w:p>
        </w:tc>
        <w:tc>
          <w:tcPr>
            <w:tcW w:w="1412" w:type="dxa"/>
            <w:vAlign w:val="center"/>
          </w:tcPr>
          <w:p>
            <w:pPr>
              <w:keepNext w:val="0"/>
              <w:keepLines w:val="0"/>
              <w:pageBreakBefore w:val="0"/>
              <w:widowControl/>
              <w:kinsoku/>
              <w:wordWrap/>
              <w:overflowPunct/>
              <w:topLinePunct w:val="0"/>
              <w:autoSpaceDE/>
              <w:bidi w:val="0"/>
              <w:spacing w:line="360" w:lineRule="auto"/>
              <w:ind w:firstLine="422" w:firstLineChars="200"/>
              <w:jc w:val="center"/>
              <w:rPr>
                <w:rFonts w:hint="eastAsia" w:ascii="宋体" w:hAnsi="宋体" w:eastAsia="宋体" w:cs="宋体"/>
                <w:b/>
                <w:bCs/>
                <w:color w:val="auto"/>
                <w:sz w:val="21"/>
                <w:szCs w:val="21"/>
                <w:highlight w:val="none"/>
              </w:rPr>
            </w:pPr>
          </w:p>
        </w:tc>
      </w:tr>
    </w:tbl>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（四）项目管理要求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1、质量目标要求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托行业标准，根据学校管理规定与服务要求，认真研究高校保安服务的教育属性，熟悉校园管理的特点，根据校园内的不同服务对象，制定切实可行的校园保安服务整体方案和应急预案，突发事件反应迅速，预案处置有力。</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（2）依法办事，文明值勤，严格管理，保障学校财产和师生人身不受侵害，维护正常的教学、科研、生活秩序。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（3）全年无责任事故和责任案件发生，师生有安全感，全年考核合格。</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2、保安人员素质要求</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（1）保安从业人员应知法、懂法、守法，依法办事，必须严格遵守保安从业规范，模范遵守校园安全管理规定。</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（2）保安人员个人素质条件：</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①拟投入本项目的所有保安人员必须具有《保安上岗证》，消防控制室人员应具备消防行业技能鉴定机构颁发的</w:t>
      </w:r>
      <w:r>
        <w:rPr>
          <w:rFonts w:hint="eastAsia" w:ascii="宋体" w:hAnsi="宋体" w:eastAsia="宋体" w:cs="宋体"/>
          <w:color w:val="auto"/>
          <w:kern w:val="0"/>
          <w:sz w:val="21"/>
          <w:szCs w:val="21"/>
          <w:highlight w:val="none"/>
        </w:rPr>
        <w:t>《建（构）筑物消防员》或《消防设施操作员》</w:t>
      </w:r>
      <w:r>
        <w:rPr>
          <w:rFonts w:hint="eastAsia" w:ascii="宋体" w:hAnsi="宋体" w:eastAsia="宋体" w:cs="宋体"/>
          <w:color w:val="auto"/>
          <w:sz w:val="21"/>
          <w:szCs w:val="21"/>
          <w:highlight w:val="none"/>
        </w:rPr>
        <w:t>职业资格证书，无不良爱好，无犯罪记录，具有一定的专业素质和语言表达能力，相貌端正，身体健康（持健康证）。</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②拟投入本项目的管理人员要求</w:t>
      </w:r>
      <w:r>
        <w:rPr>
          <w:rFonts w:hint="eastAsia" w:ascii="宋体" w:hAnsi="宋体" w:eastAsia="宋体" w:cs="宋体"/>
          <w:color w:val="auto"/>
          <w:sz w:val="21"/>
          <w:szCs w:val="21"/>
          <w:highlight w:val="none"/>
          <w:lang w:val="en-US" w:eastAsia="zh-CN"/>
        </w:rPr>
        <w:t>大专</w:t>
      </w:r>
      <w:r>
        <w:rPr>
          <w:rFonts w:hint="eastAsia" w:ascii="宋体" w:hAnsi="宋体" w:eastAsia="宋体" w:cs="宋体"/>
          <w:color w:val="auto"/>
          <w:sz w:val="21"/>
          <w:szCs w:val="21"/>
          <w:highlight w:val="none"/>
        </w:rPr>
        <w:t>以上学历，年龄在25～</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岁之间，经过专门的保安业务培训，工作能力强，为人谦和，具有较高的政治思想素养和业务水平，有较强的组织协调能力。</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③拟投入本项目的保安人员年龄在18～50岁之间，男性身高在165厘米以上，女性（只限消防控制室值班）160厘米以上，初中以上学历。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④保安人员在上岗前须同时向采购人提供投入本项目的所有保安人员的《保安上岗证》复印件。</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保安人员有吃苦耐劳的精神和高度的责任感，受过专门的岗前培训（如保安、消防等培训），熟知学校的管理规定，严格履行岗位职责，善于发现各类问题，具备一定的管理经验和处理突发事件能力。</w:t>
      </w:r>
    </w:p>
    <w:p>
      <w:pPr>
        <w:keepNext w:val="0"/>
        <w:keepLines w:val="0"/>
        <w:pageBreakBefore w:val="0"/>
        <w:tabs>
          <w:tab w:val="left" w:pos="426"/>
        </w:tabs>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（1）树立“服务第一，业主至上”的思想，切实维护学校与师生的人身和财产安全。</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（2）管理坚持原则、慎密严谨；服务以人为本、主动热情；处理问题高度警惕、有理有节。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（3）上岗人员仪表整洁，业务操作规范，礼貌待人，保持岗位卫生整洁。</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（4）上岗人员必须依法办事，文明执勤。</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（5）能针对不同的服务对象，从实际出发，灵活妥善处理不同问题。</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4、队伍建设与管理要求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负责提供进驻保安人员值勤所需的警械装备（钢叉、盾牌、T型棍、电棒）、通讯设备（对讲机、电话机等）、手电筒（含电池）、服装及雨具以及常用办公耗材等。每个岗位就以上装备必须配备齐全（至少各一套）。</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（2）从学校安全实际出发，须经常开展在岗人员业务培训和紧急预案演练。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（3）应建立健全内部管理制度、操作规程、应急处置方案预案，设立保安管理点主管，全面负责日常保安队伍的规范化管理。</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必须采取切实有效措施保持保安队伍的稳定和工作的连续性，一是严格控制非违纪人员轮换岗比例，合同期限内轮换岗保安人数不得超过合同编制的20%；二是保安队伍主要管理人员更换，应提前一个月以书面形式通知采购人保卫处，其他队员更换要提前三天告知保卫处，确保服务质量不因人员变动而受影响。</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负责为每位管理人员、保安人员缴纳法律规定的各类养老保险、医疗保险、工伤保险、失业保险、生育保险、意外伤害保险及其他费用。上述人员的涉及用工方面的劳务纠纷、福利纠纷和劳动事故均由中标人负责，与采购人无关。</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（6）保安应聘、录用、离职等要求管理档案规范，手续齐全，相应资料必须报采购人保卫处备案。</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5、日常工作要求</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（1）根据行业服务标准与学校规定要求，在采购人保卫处指导下，独立运作，落实校园安全保卫整体方案，并结合校园变化实际在实践中不断完善。</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（2）保安主管每天必须向采购人保卫处负责人口头汇报工作，每星期向采购人保卫处汇报一次校园安保情况，重大情况须及时报告。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（3）做好详细的执勤记录，原始台帐保存完好，以备核查。</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（4）与采购人其他安保力量协作联动，开展一体化安全防范。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（5）要加强对保安业务的管理，确保保安在校园内无违规事件发生。</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6、消防管理</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（1）建立完善的消防管理台帐、制度并严格执行。</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（2）保证配备的人员熟练掌握防火、灭火知识和消防器材使用方法。</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（3）做好消防监控工作，对一般火情火险能及时发现报警，及时扑灭。</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（4）做好日常消防的宣传和防范工作，及时发现并消除消防隐患。</w:t>
      </w:r>
    </w:p>
    <w:p>
      <w:pPr>
        <w:spacing w:line="360" w:lineRule="auto"/>
        <w:ind w:firstLine="420" w:firstLineChars="200"/>
        <w:rPr>
          <w:rFonts w:hint="eastAsia"/>
          <w:color w:val="auto"/>
          <w:highlight w:val="none"/>
        </w:rPr>
      </w:pPr>
      <w:r>
        <w:rPr>
          <w:rFonts w:hint="eastAsia" w:ascii="宋体" w:hAnsi="宋体" w:eastAsia="宋体" w:cs="宋体"/>
          <w:bCs/>
          <w:color w:val="auto"/>
          <w:szCs w:val="21"/>
          <w:highlight w:val="none"/>
          <w:lang w:val="en-US" w:eastAsia="zh-CN"/>
        </w:rPr>
        <w:t>（5）按照委托人安全防火工作的需要，按行业标准做好消防系统、设备、器材的使用和日常保养工作，保证系统、设备和器材的完好，系统24小时正常运行。</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（五）采购人的权利义务</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1、中标人每月必须向采购人提供排班表，采购人有权对中标人的保安服务工作进行监督管理、检查考核，采购人对中标人提出的上述要求未能及时办理的，采购人有权从中标人交纳履约保证金中扣除2%。</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因工作需要或紧急情况需要调动中标人人员时，有直接管理、设置和调动中标人岗位人员的权力。调动中标人人员时，要求10分钟内集合本校区内所有在岗人员，60分钟内集合合同规定的所有人员。紧急集结时，每少1人，采购人有权从中标人交纳履约保证金中扣除2%。</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3、采购人有权要求中标人及时更换不服从管理、违纪或其他原因不适合继续在采购人工作的保安人员。</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4、因采购人举办重大活动需要临时增加安保力量的，有权要求中标人临时增派适量安保人员，不另行支付服务费用。</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5、采购人按时向中标人支付保安服务费用，如无故拖欠，采购人需要向中标人支付千分之五/每天的违约金（遇节假日顺延）。</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6、支持和配合中标人履行职责的义务。</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7、对校区内各重点要害部位采取治安技防措施，依照有关标准配置消防器材。</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8、督促中标人遵守国家有关法律以及国家用工制度与规定。</w:t>
      </w:r>
    </w:p>
    <w:p>
      <w:pPr>
        <w:keepNext w:val="0"/>
        <w:keepLines w:val="0"/>
        <w:pageBreakBefore w:val="0"/>
        <w:kinsoku/>
        <w:wordWrap/>
        <w:overflowPunct/>
        <w:topLinePunct w:val="0"/>
        <w:autoSpaceDE/>
        <w:bidi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（六）中标人的权利义务</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1、依照采购人有关规定和合同约定，制定相应的保安工作制度，并具体实施。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2、按照采购人拟定的岗位和要求派出管理人员和保安人员到采购人要求的安全管理区域范围进行24小时值班巡逻。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3、中标人应当严格遵守国家以及采购人有关规定，在维护安全管理区域内的公共秩序时，必须文明履行职责并保持服装整洁，维护采购人的形象，不得侵害采购人的合法权益。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对所管理区域内治安、消防以及交通等项目进行服务管理。协助公安部门维护所管理区域治安秩序并主动制止违法犯罪行为，如盗窃、抢劫、抢夺、打架、斗殴，非法集会、上访、游行等。在本安全管理区域内发生治安案件或者各类灾害事故时，应当及时处理并向辖区公安部门和采购人保卫处报告，维护好秩序，根据案情及时组织保安队员疏散人群，以及做好救助和调查工作。</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5、在服务期内接受采购人的考核、评议，师生基本满意度达到80%以上。</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6、中标人的管理人员、保安人员的劳动纠纷、经济纠纷、工伤事故以及中标人在执勤或者进行其他活动时致人伤害或造成他人财产损失的，由中标人承担一切责任。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7、负责配备中标人人员工作所需的警械装备（钢叉、盾牌、T型棍、电棒）、通讯设备（对讲机、电话机等）、手电筒（含电池）、服装及雨具以及常用办公耗材等，要求各个岗位配齐以上装备（至少各一套）。 </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8、采购人没有向中标人提供保安管理服务的办公、住宿用房的义务，如有提供，中标人不得买卖，不得将采购人提供的办公用房抵押或者改作他用，相关费用按学校相关规定执行。</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9、中标人不承担不属于中标人责任范围内的治安刑事案件、意外事故、自然灾害等不可抗力因素对采购人造成的人身财产损害赔偿责任。</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10、中标人必须保证每班上岗人数满员并且每月组织保安队员进行1次以上的业务训练。</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11、为确保保安队伍的相对稳定，中标人更换队员前需要事先向采购人主管部门说明情况，更换队长或一次更换3名以上队员时，必须书面征得采购人同意方可实施。</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12、按照有关规定，按时足额发放保安人员的劳动报酬、福利、加班工资、中夜班等劳动收益，并按照有关规定为安保人员办理社会保险费。</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13、赔偿因中标人责任造成采购人的财产损失。</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14、享有合法收取保安服务费用的权利，按照本合同附件考核内容对保安人员违反规定的行为进行批评教育和迅速做出处理，并及时将处理结果正式书面通报给采购人，确保服务质量让采购人满意。</w:t>
      </w:r>
    </w:p>
    <w:p>
      <w:pPr>
        <w:keepNext w:val="0"/>
        <w:keepLines w:val="0"/>
        <w:pageBreakBefore w:val="0"/>
        <w:kinsoku/>
        <w:wordWrap/>
        <w:overflowPunct/>
        <w:topLinePunct w:val="0"/>
        <w:autoSpaceDE/>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15、履行投标文件中对采购人的承诺。</w:t>
      </w:r>
    </w:p>
    <w:p>
      <w:pPr>
        <w:keepNext w:val="0"/>
        <w:keepLines w:val="0"/>
        <w:pageBreakBefore w:val="0"/>
        <w:kinsoku/>
        <w:wordWrap/>
        <w:overflowPunct/>
        <w:topLinePunct w:val="0"/>
        <w:autoSpaceDE/>
        <w:autoSpaceDN w:val="0"/>
        <w:bidi w:val="0"/>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（七）处罚标准及解除合同条款</w:t>
      </w:r>
    </w:p>
    <w:p>
      <w:pPr>
        <w:keepNext w:val="0"/>
        <w:keepLines w:val="0"/>
        <w:pageBreakBefore w:val="0"/>
        <w:kinsoku/>
        <w:wordWrap/>
        <w:overflowPunct/>
        <w:topLinePunct w:val="0"/>
        <w:autoSpaceDE/>
        <w:autoSpaceDN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采购人保卫处</w:t>
      </w:r>
      <w:r>
        <w:rPr>
          <w:rFonts w:hint="eastAsia" w:ascii="宋体" w:hAnsi="宋体" w:eastAsia="宋体" w:cs="宋体"/>
          <w:color w:val="auto"/>
          <w:kern w:val="0"/>
          <w:sz w:val="21"/>
          <w:szCs w:val="21"/>
          <w:highlight w:val="none"/>
        </w:rPr>
        <w:t>负责每月对</w:t>
      </w:r>
      <w:r>
        <w:rPr>
          <w:rFonts w:hint="eastAsia" w:ascii="宋体" w:hAnsi="宋体" w:eastAsia="宋体" w:cs="宋体"/>
          <w:color w:val="auto"/>
          <w:sz w:val="21"/>
          <w:szCs w:val="21"/>
          <w:highlight w:val="none"/>
        </w:rPr>
        <w:t>中标人保安队伍进行</w:t>
      </w:r>
      <w:r>
        <w:rPr>
          <w:rFonts w:hint="eastAsia" w:ascii="宋体" w:hAnsi="宋体" w:eastAsia="宋体" w:cs="宋体"/>
          <w:color w:val="auto"/>
          <w:kern w:val="0"/>
          <w:sz w:val="21"/>
          <w:szCs w:val="21"/>
          <w:highlight w:val="none"/>
        </w:rPr>
        <w:t>考核，在工作中发现</w:t>
      </w:r>
      <w:r>
        <w:rPr>
          <w:rFonts w:hint="eastAsia" w:ascii="宋体" w:hAnsi="宋体" w:eastAsia="宋体" w:cs="宋体"/>
          <w:color w:val="auto"/>
          <w:sz w:val="21"/>
          <w:szCs w:val="21"/>
          <w:highlight w:val="none"/>
        </w:rPr>
        <w:t>保安人员存在以下违规违纪行为者，采购人将对中标人进行扣罚、解除合同处理，扣罚金额从中标人交纳履约保证金中扣除：</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1、值班期间有睡岗，未按规定着装、酗酒上岗等违反值班规定的，发现一次扣罚500元。   </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2、在大门有违规收费现象，利用职权弄虚作假的，发现一次扣罚1000元。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3、各岗位未按合同要求配备装备的，发现一次扣罚500元。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4、不服从采购人保卫处管理的，每人次扣罚1000元。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5、值班人员在岗时不按规定检查离校物资出门证，导致学校及师生财物流失的，除照价赔偿外，每次扣罚1000元。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6、由于失职而造成重大事故的，中标人须赔偿一切经济损失，并将责任人移交公安机关处理，同时每次扣罚2000元。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7、私自动用学校公私财物，并造成损失者，照价赔偿外，每次扣罚1000元。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8、中标人保安人员如有偷盗或其他违法犯罪行为，中标人必须承担一切经济损失和法律责任，每次扣罚1万元。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9、中标人保安人员粗暴值勤，造成不良后果，须赔偿一切经济损失，责任人移交公安部门处理外，每人次扣罚5000元。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10、中标人保安人员在值班期间被发现有脱岗情况的，每人次扣罚1000元，须赔偿一切经济损失，若造成重大损失的（5万元以上），每人次扣罚2万元。</w:t>
      </w:r>
    </w:p>
    <w:p>
      <w:pPr>
        <w:keepNext w:val="0"/>
        <w:keepLines w:val="0"/>
        <w:pageBreakBefore w:val="0"/>
        <w:kinsoku/>
        <w:wordWrap/>
        <w:overflowPunct/>
        <w:topLinePunct w:val="0"/>
        <w:autoSpaceDE/>
        <w:bidi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11、其它工作不到位造成严重影响的，依照以上作相应处理。</w:t>
      </w:r>
    </w:p>
    <w:p>
      <w:pPr>
        <w:keepNext w:val="0"/>
        <w:keepLines w:val="0"/>
        <w:pageBreakBefore w:val="0"/>
        <w:kinsoku/>
        <w:wordWrap/>
        <w:overflowPunct/>
        <w:topLinePunct w:val="0"/>
        <w:autoSpaceDE/>
        <w:bidi w:val="0"/>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处罚金额累计达到3万或造成重大经济损失超过5万元，</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有权解除合同。</w:t>
      </w:r>
    </w:p>
    <w:p>
      <w:pPr>
        <w:adjustRightInd w:val="0"/>
        <w:snapToGrid w:val="0"/>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服务质量保证</w:t>
      </w:r>
    </w:p>
    <w:p>
      <w:pPr>
        <w:adjustRightInd w:val="0"/>
        <w:snapToGrid w:val="0"/>
        <w:spacing w:line="44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乙方应按招标文件规定的服务要求及内容、投标文件的承诺向甲方提供相应的保安服务。</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权力保证</w:t>
      </w:r>
    </w:p>
    <w:p>
      <w:pPr>
        <w:adjustRightInd w:val="0"/>
        <w:snapToGrid w:val="0"/>
        <w:spacing w:line="44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乙方应保证所提供服务在使用时不会侵犯任何第三方的其他权利。</w:t>
      </w:r>
    </w:p>
    <w:p>
      <w:pPr>
        <w:adjustRightInd w:val="0"/>
        <w:snapToGrid w:val="0"/>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服务条件</w:t>
      </w:r>
    </w:p>
    <w:p>
      <w:pPr>
        <w:adjustRightInd w:val="0"/>
        <w:snapToGrid w:val="0"/>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甲方应提供必要服务条件（如场地、电源、水源等）。</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税费</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付款方式</w:t>
      </w:r>
    </w:p>
    <w:p>
      <w:pPr>
        <w:adjustRightInd w:val="0"/>
        <w:snapToGrid w:val="0"/>
        <w:spacing w:line="44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rPr>
        <w:t xml:space="preserve">  财政性资金             </w:t>
      </w:r>
      <w:r>
        <w:rPr>
          <w:rFonts w:hint="eastAsia" w:ascii="宋体" w:hAnsi="宋体" w:eastAsia="宋体" w:cs="宋体"/>
          <w:color w:val="auto"/>
          <w:sz w:val="21"/>
          <w:szCs w:val="21"/>
          <w:highlight w:val="none"/>
        </w:rPr>
        <w:t>。</w:t>
      </w:r>
    </w:p>
    <w:p>
      <w:pPr>
        <w:adjustRightInd w:val="0"/>
        <w:snapToGrid w:val="0"/>
        <w:spacing w:line="440" w:lineRule="exact"/>
        <w:ind w:firstLine="411" w:firstLineChars="19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2、付款方式：采购人每月对中标人进行考核，视考核情况按月支付服务价款（无息），如遇寒暑假顺延。每笔服务价款支付前中标人必须向采购人开具每月相应的正规税务发票。</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履约保证金</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1、履约保证金金额：按中标金额的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%交纳（如为中型企业，按中标合同金额的2%收取，如为小微企业的，免收履约保证金）。</w:t>
      </w:r>
    </w:p>
    <w:p>
      <w:pPr>
        <w:adjustRightInd w:val="0"/>
        <w:snapToGrid w:val="0"/>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2、履约保证金递交方式：银行转账、支票、汇票、本票或者银行、保险机构出具的保函等非现金方式</w:t>
      </w:r>
      <w:r>
        <w:rPr>
          <w:rFonts w:hint="eastAsia" w:ascii="宋体" w:hAnsi="宋体" w:eastAsia="宋体" w:cs="宋体"/>
          <w:color w:val="auto"/>
          <w:kern w:val="0"/>
          <w:sz w:val="21"/>
          <w:szCs w:val="21"/>
          <w:highlight w:val="none"/>
        </w:rPr>
        <w:t>。</w:t>
      </w:r>
    </w:p>
    <w:p>
      <w:pPr>
        <w:adjustRightInd w:val="0"/>
        <w:snapToGrid w:val="0"/>
        <w:spacing w:line="440" w:lineRule="exact"/>
        <w:ind w:left="315" w:leftChars="150" w:firstLine="105" w:firstLineChars="5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3、履约保证金退付方式、时间及条件</w:t>
      </w:r>
      <w:r>
        <w:rPr>
          <w:rFonts w:hint="eastAsia" w:ascii="宋体" w:hAnsi="宋体" w:eastAsia="宋体" w:cs="宋体"/>
          <w:color w:val="auto"/>
          <w:kern w:val="0"/>
          <w:sz w:val="21"/>
          <w:szCs w:val="21"/>
          <w:highlight w:val="none"/>
        </w:rPr>
        <w:t>：</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乙方在本项目合同期限（12个月）内履行完本项目合同约定的权利义务事项后，由乙方向履约保证金收取单位提供《广西壮族自治区政府采购项目合同验收书》及《政府采购项目履约保证金退付意见书》，履约保证金收取单位在收到合格材料后5个工作日内办理退还手续（不计利息）。</w:t>
      </w:r>
    </w:p>
    <w:p>
      <w:pPr>
        <w:adjustRightInd w:val="0"/>
        <w:snapToGrid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在合同履行过程中，乙方被处罚金额累计达到3万或造成甲方重大经济损失超过5万元的，甲方有权解除合同，处罚金额或相应经济损失从乙方履约保证金中扣除，履约保证金不足以赔偿损失的，按实际损失赔偿。若解除合同后，履约保证金扣除处罚和赔偿经济损失金额后仍有余款，甲方按招标文件规定的退还方式办理履约保证金余款的退付手续。</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（3）在履约保证金退还日期前，若乙方的开户名称、开户银行、帐号有变动的，请以书面形式通知履约保证金收取单位，否则由此产生的后果由乙方自负。</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违约责任</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1.甲、乙双方应严格履行合同，除不可抗力情况外，致使本合同不能履行时，甲乙双方均无权提前终止本合同。</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2.乙方拒绝履行招标文件规定及投标文件承诺的，经甲方书面通知后又不改正的情况下，甲方有权提前终止本合同。 </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3．乙方提供的服务如侵犯了第三方合法权益而引发的任何纠纷或诉讼，均由乙方负责交涉并承担全部责任。</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自进驻之日起必须按本招标文件要求向甲方提供保安服务，项目执行过程中，甲方根据本招标文件要求对乙方提供的保安服务进行持续的考核，考核结果达不到本招标文件要求的，视为乙方违约，甲方有权终止合同执行，同时报相关监督管理部门处理，由此造成甲方经济损失的由乙方负责承担全部赔偿责任。</w:t>
      </w:r>
    </w:p>
    <w:p>
      <w:pPr>
        <w:adjustRightInd w:val="0"/>
        <w:snapToGrid w:val="0"/>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5.乙方未按本合同和投标文件中规定的服务承诺提供服务的，乙方应按本合同合计金额</w:t>
      </w:r>
      <w:r>
        <w:rPr>
          <w:rFonts w:hint="eastAsia" w:ascii="宋体" w:hAnsi="宋体" w:eastAsia="宋体" w:cs="宋体"/>
          <w:color w:val="auto"/>
          <w:sz w:val="21"/>
          <w:szCs w:val="21"/>
          <w:highlight w:val="none"/>
          <w:u w:val="single"/>
        </w:rPr>
        <w:t>　3　</w:t>
      </w:r>
      <w:r>
        <w:rPr>
          <w:rFonts w:hint="eastAsia" w:ascii="宋体" w:hAnsi="宋体" w:eastAsia="宋体" w:cs="宋体"/>
          <w:color w:val="auto"/>
          <w:sz w:val="21"/>
          <w:szCs w:val="21"/>
          <w:highlight w:val="none"/>
        </w:rPr>
        <w:t>%向甲方支付违约金。</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6．其它违约行为按违约合同价款额3%收取违约金并赔偿经济损失。</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不可抗力事件处理</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在合同有效期内，任何一方因不可抗力事件导致不能履行合同，则合同履行期可延长，其延长期与不可抗力影响期相同。</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不可抗力事件发生后，应立即通知对方，并寄送有关权威机构出具的证明。</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不可抗力事件延续一百二十天以上，双方应通过友好协商，确定是否继续履行合同。</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条  合同争议解决</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1．因服务质量问题发生争议的，应邀请国家认可的质量检测机构对服务质量进行鉴定。服务符合标准的，鉴定费由甲方承担；服务不符合标准的，鉴定费由乙方承担。</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2．因履行本合同引起的或与本合同有关的争议，甲乙双方应首先通过友好协商解决，如果协商不能解决，可向仲裁委员会申请仲裁或向人民法院提起诉讼。</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诉讼</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双方在执行合同中所发生的一切争议，应通过协商解决。如协商不能解决，可向仲裁委员会申请仲裁或向人民法院提起诉讼。</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合同生效及其它</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合同经双方法定代表人或被授权人签字并加盖单位公章后生效。</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2.合同执行中涉及采购资金和采购内容修改或补充的，须经财政部门审批，并签书面补充协议报财政部门备案，方可作为主合同不可分割的一部分。</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3.本合同未尽事宜，遵照《民法典》有关条文执行。</w:t>
      </w:r>
    </w:p>
    <w:p>
      <w:pPr>
        <w:adjustRightInd w:val="0"/>
        <w:snapToGrid w:val="0"/>
        <w:spacing w:line="44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合同的变更、终止与转让</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2．乙方不得擅自转让其应履行的合同义务。</w:t>
      </w:r>
    </w:p>
    <w:p>
      <w:pPr>
        <w:adjustRightInd w:val="0"/>
        <w:snapToGrid w:val="0"/>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签订本合同依据</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3.开标一览表；</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4.投标响应文件；</w:t>
      </w:r>
    </w:p>
    <w:p>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5.其他合同文件。</w:t>
      </w:r>
    </w:p>
    <w:p>
      <w:pPr>
        <w:adjustRightInd w:val="0"/>
        <w:snapToGrid w:val="0"/>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第二十条　</w:t>
      </w:r>
      <w:r>
        <w:rPr>
          <w:rFonts w:hint="eastAsia" w:ascii="宋体" w:hAnsi="宋体" w:eastAsia="宋体" w:cs="宋体"/>
          <w:color w:val="auto"/>
          <w:sz w:val="21"/>
          <w:szCs w:val="21"/>
          <w:highlight w:val="none"/>
        </w:rPr>
        <w:t>本合同一式</w:t>
      </w:r>
      <w:r>
        <w:rPr>
          <w:rFonts w:hint="eastAsia" w:ascii="宋体" w:hAnsi="宋体" w:cs="宋体"/>
          <w:color w:val="auto"/>
          <w:sz w:val="21"/>
          <w:szCs w:val="21"/>
          <w:highlight w:val="none"/>
          <w:lang w:val="en-US" w:eastAsia="zh-CN"/>
        </w:rPr>
        <w:t>伍</w:t>
      </w:r>
      <w:r>
        <w:rPr>
          <w:rFonts w:hint="eastAsia" w:ascii="宋体" w:hAnsi="宋体" w:eastAsia="宋体" w:cs="宋体"/>
          <w:color w:val="auto"/>
          <w:sz w:val="21"/>
          <w:szCs w:val="21"/>
          <w:highlight w:val="none"/>
        </w:rPr>
        <w:t>份，具有同等法律效力，甲方两份、乙方两份、采购代理机构一份（可根据需要另增加）。</w:t>
      </w:r>
    </w:p>
    <w:p>
      <w:pPr>
        <w:adjustRightInd w:val="0"/>
        <w:snapToGrid w:val="0"/>
        <w:spacing w:line="440" w:lineRule="exact"/>
        <w:ind w:firstLine="422" w:firstLineChars="200"/>
        <w:rPr>
          <w:rFonts w:hint="eastAsia" w:ascii="宋体" w:hAnsi="宋体" w:eastAsia="宋体" w:cs="宋体"/>
          <w:b/>
          <w:color w:val="auto"/>
          <w:sz w:val="21"/>
          <w:szCs w:val="21"/>
          <w:highlight w:val="none"/>
        </w:rPr>
      </w:pPr>
    </w:p>
    <w:p>
      <w:pPr>
        <w:adjustRightInd w:val="0"/>
        <w:snapToGrid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本合同甲乙双方签字盖章后生效</w:t>
      </w:r>
      <w:r>
        <w:rPr>
          <w:rFonts w:hint="eastAsia" w:ascii="宋体" w:hAnsi="宋体" w:eastAsia="宋体" w:cs="宋体"/>
          <w:color w:val="auto"/>
          <w:sz w:val="21"/>
          <w:szCs w:val="21"/>
          <w:highlight w:val="none"/>
        </w:rPr>
        <w:t>。</w:t>
      </w:r>
    </w:p>
    <w:tbl>
      <w:tblPr>
        <w:tblStyle w:val="49"/>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1"/>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pPr>
              <w:adjustRightInd w:val="0"/>
              <w:snapToGrid w:val="0"/>
              <w:spacing w:line="440" w:lineRule="exact"/>
              <w:rPr>
                <w:rFonts w:hint="eastAsia" w:ascii="宋体" w:hAnsi="宋体" w:eastAsia="宋体" w:cs="宋体"/>
                <w:color w:val="auto"/>
                <w:sz w:val="21"/>
                <w:szCs w:val="21"/>
                <w:highlight w:val="none"/>
              </w:rPr>
            </w:pPr>
          </w:p>
          <w:p>
            <w:pPr>
              <w:adjustRightInd w:val="0"/>
              <w:snapToGrid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pPr>
              <w:adjustRightInd w:val="0"/>
              <w:snapToGrid w:val="0"/>
              <w:spacing w:line="440" w:lineRule="exact"/>
              <w:rPr>
                <w:rFonts w:hint="eastAsia" w:ascii="宋体" w:hAnsi="宋体" w:eastAsia="宋体" w:cs="宋体"/>
                <w:color w:val="auto"/>
                <w:sz w:val="21"/>
                <w:szCs w:val="21"/>
                <w:highlight w:val="none"/>
              </w:rPr>
            </w:pPr>
          </w:p>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921"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922" w:type="dxa"/>
            <w:vAlign w:val="center"/>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9843" w:type="dxa"/>
            <w:gridSpan w:val="2"/>
          </w:tcPr>
          <w:p>
            <w:pPr>
              <w:adjustRightInd w:val="0"/>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w:t>
            </w:r>
          </w:p>
          <w:p>
            <w:pPr>
              <w:adjustRightInd w:val="0"/>
              <w:snapToGrid w:val="0"/>
              <w:spacing w:line="440" w:lineRule="exact"/>
              <w:rPr>
                <w:rFonts w:hint="eastAsia" w:ascii="宋体" w:hAnsi="宋体" w:eastAsia="宋体" w:cs="宋体"/>
                <w:color w:val="auto"/>
                <w:sz w:val="21"/>
                <w:szCs w:val="21"/>
                <w:highlight w:val="none"/>
              </w:rPr>
            </w:pPr>
          </w:p>
          <w:p>
            <w:pPr>
              <w:adjustRightInd w:val="0"/>
              <w:snapToGrid w:val="0"/>
              <w:spacing w:line="440" w:lineRule="exact"/>
              <w:ind w:firstLine="1575" w:firstLineChars="7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pPr>
        <w:rPr>
          <w:rFonts w:hint="eastAsia" w:ascii="宋体" w:hAnsi="宋体" w:eastAsia="宋体" w:cs="宋体"/>
          <w:color w:val="auto"/>
          <w:sz w:val="21"/>
          <w:szCs w:val="21"/>
          <w:highlight w:val="none"/>
        </w:rPr>
      </w:pPr>
    </w:p>
    <w:p>
      <w:pPr>
        <w:spacing w:line="380" w:lineRule="exact"/>
        <w:jc w:val="center"/>
        <w:rPr>
          <w:rFonts w:hint="eastAsia" w:ascii="宋体" w:hAnsi="宋体" w:eastAsia="宋体" w:cs="宋体"/>
          <w:b/>
          <w:bCs/>
          <w:color w:val="auto"/>
          <w:kern w:val="0"/>
          <w:sz w:val="21"/>
          <w:szCs w:val="21"/>
          <w:highlight w:val="none"/>
        </w:rPr>
      </w:pPr>
    </w:p>
    <w:p>
      <w:pPr>
        <w:pageBreakBefore/>
        <w:spacing w:line="380" w:lineRule="exact"/>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合同</w:t>
      </w:r>
      <w:r>
        <w:rPr>
          <w:rFonts w:ascii="仿宋" w:hAnsi="仿宋" w:eastAsia="仿宋" w:cs="宋体"/>
          <w:b/>
          <w:bCs/>
          <w:color w:val="auto"/>
          <w:kern w:val="0"/>
          <w:sz w:val="28"/>
          <w:szCs w:val="28"/>
          <w:highlight w:val="none"/>
        </w:rPr>
        <w:t>附件</w:t>
      </w:r>
    </w:p>
    <w:tbl>
      <w:tblPr>
        <w:tblStyle w:val="50"/>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5"/>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9931" w:type="dxa"/>
            <w:gridSpan w:val="2"/>
          </w:tcPr>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1、</w:t>
            </w:r>
            <w:r>
              <w:rPr>
                <w:rFonts w:ascii="仿宋" w:hAnsi="仿宋" w:eastAsia="仿宋" w:cs="宋体"/>
                <w:bCs/>
                <w:color w:val="auto"/>
                <w:kern w:val="0"/>
                <w:sz w:val="24"/>
                <w:highlight w:val="none"/>
              </w:rPr>
              <w:t>供应商承诺具体事项：</w:t>
            </w:r>
          </w:p>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详见</w:t>
            </w:r>
            <w:r>
              <w:rPr>
                <w:rFonts w:ascii="仿宋" w:hAnsi="仿宋" w:eastAsia="仿宋" w:cs="宋体"/>
                <w:bCs/>
                <w:color w:val="auto"/>
                <w:kern w:val="0"/>
                <w:sz w:val="24"/>
                <w:highlight w:val="none"/>
              </w:rPr>
              <w:t>乙方投标文件相关内容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9931" w:type="dxa"/>
            <w:gridSpan w:val="2"/>
          </w:tcPr>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2、</w:t>
            </w:r>
            <w:r>
              <w:rPr>
                <w:rFonts w:ascii="仿宋" w:hAnsi="仿宋" w:eastAsia="仿宋" w:cs="宋体"/>
                <w:bCs/>
                <w:color w:val="auto"/>
                <w:kern w:val="0"/>
                <w:sz w:val="24"/>
                <w:highlight w:val="none"/>
              </w:rPr>
              <w:t>服务具体事项：</w:t>
            </w:r>
          </w:p>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详见</w:t>
            </w:r>
            <w:r>
              <w:rPr>
                <w:rFonts w:ascii="仿宋" w:hAnsi="仿宋" w:eastAsia="仿宋" w:cs="宋体"/>
                <w:bCs/>
                <w:color w:val="auto"/>
                <w:kern w:val="0"/>
                <w:sz w:val="24"/>
                <w:highlight w:val="none"/>
              </w:rPr>
              <w:t>乙方投标文件售后服务承诺相关内容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931" w:type="dxa"/>
            <w:gridSpan w:val="2"/>
          </w:tcPr>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3、服务</w:t>
            </w:r>
            <w:r>
              <w:rPr>
                <w:rFonts w:ascii="仿宋" w:hAnsi="仿宋" w:eastAsia="仿宋" w:cs="宋体"/>
                <w:bCs/>
                <w:color w:val="auto"/>
                <w:kern w:val="0"/>
                <w:sz w:val="24"/>
                <w:highlight w:val="none"/>
              </w:rPr>
              <w:t>期责任：</w:t>
            </w:r>
          </w:p>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详见</w:t>
            </w:r>
            <w:r>
              <w:rPr>
                <w:rFonts w:ascii="仿宋" w:hAnsi="仿宋" w:eastAsia="仿宋" w:cs="宋体"/>
                <w:bCs/>
                <w:color w:val="auto"/>
                <w:kern w:val="0"/>
                <w:sz w:val="24"/>
                <w:highlight w:val="none"/>
              </w:rPr>
              <w:t>乙方投标文件售后服务承诺相关内容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9931" w:type="dxa"/>
            <w:gridSpan w:val="2"/>
          </w:tcPr>
          <w:p>
            <w:pPr>
              <w:spacing w:line="400" w:lineRule="exact"/>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4、</w:t>
            </w:r>
            <w:r>
              <w:rPr>
                <w:rFonts w:ascii="仿宋" w:hAnsi="仿宋" w:eastAsia="仿宋" w:cs="宋体"/>
                <w:bCs/>
                <w:color w:val="auto"/>
                <w:kern w:val="0"/>
                <w:sz w:val="24"/>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4965" w:type="dxa"/>
          </w:tcPr>
          <w:p>
            <w:pPr>
              <w:spacing w:line="400" w:lineRule="exact"/>
              <w:jc w:val="center"/>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甲方</w:t>
            </w:r>
            <w:r>
              <w:rPr>
                <w:rFonts w:ascii="仿宋" w:hAnsi="仿宋" w:eastAsia="仿宋" w:cs="宋体"/>
                <w:bCs/>
                <w:color w:val="auto"/>
                <w:kern w:val="0"/>
                <w:sz w:val="24"/>
                <w:highlight w:val="none"/>
              </w:rPr>
              <w:t>（</w:t>
            </w:r>
            <w:r>
              <w:rPr>
                <w:rFonts w:hint="eastAsia" w:ascii="仿宋" w:hAnsi="仿宋" w:eastAsia="仿宋" w:cs="宋体"/>
                <w:bCs/>
                <w:color w:val="auto"/>
                <w:kern w:val="0"/>
                <w:sz w:val="24"/>
                <w:highlight w:val="none"/>
              </w:rPr>
              <w:t>章</w:t>
            </w:r>
            <w:r>
              <w:rPr>
                <w:rFonts w:ascii="仿宋" w:hAnsi="仿宋" w:eastAsia="仿宋" w:cs="宋体"/>
                <w:bCs/>
                <w:color w:val="auto"/>
                <w:kern w:val="0"/>
                <w:sz w:val="24"/>
                <w:highlight w:val="none"/>
              </w:rPr>
              <w:t>）</w:t>
            </w:r>
          </w:p>
          <w:p>
            <w:pPr>
              <w:spacing w:line="400" w:lineRule="exact"/>
              <w:jc w:val="left"/>
              <w:rPr>
                <w:rFonts w:ascii="仿宋" w:hAnsi="仿宋" w:eastAsia="仿宋" w:cs="宋体"/>
                <w:bCs/>
                <w:color w:val="auto"/>
                <w:kern w:val="0"/>
                <w:sz w:val="24"/>
                <w:highlight w:val="none"/>
              </w:rPr>
            </w:pPr>
          </w:p>
          <w:p>
            <w:pPr>
              <w:spacing w:line="400" w:lineRule="exact"/>
              <w:jc w:val="left"/>
              <w:rPr>
                <w:rFonts w:ascii="仿宋" w:hAnsi="仿宋" w:eastAsia="仿宋" w:cs="宋体"/>
                <w:bCs/>
                <w:color w:val="auto"/>
                <w:kern w:val="0"/>
                <w:sz w:val="24"/>
                <w:highlight w:val="none"/>
              </w:rPr>
            </w:pPr>
          </w:p>
          <w:p>
            <w:pPr>
              <w:spacing w:line="400" w:lineRule="exact"/>
              <w:jc w:val="left"/>
              <w:rPr>
                <w:rFonts w:ascii="仿宋" w:hAnsi="仿宋" w:eastAsia="仿宋" w:cs="宋体"/>
                <w:bCs/>
                <w:color w:val="auto"/>
                <w:kern w:val="0"/>
                <w:sz w:val="24"/>
                <w:highlight w:val="none"/>
              </w:rPr>
            </w:pPr>
          </w:p>
          <w:p>
            <w:pPr>
              <w:spacing w:line="400" w:lineRule="exact"/>
              <w:jc w:val="left"/>
              <w:rPr>
                <w:rFonts w:ascii="仿宋" w:hAnsi="仿宋" w:eastAsia="仿宋" w:cs="宋体"/>
                <w:bCs/>
                <w:color w:val="auto"/>
                <w:kern w:val="0"/>
                <w:sz w:val="24"/>
                <w:highlight w:val="none"/>
              </w:rPr>
            </w:pPr>
          </w:p>
          <w:p>
            <w:pPr>
              <w:spacing w:line="400" w:lineRule="exact"/>
              <w:jc w:val="righ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年   月   日</w:t>
            </w:r>
          </w:p>
        </w:tc>
        <w:tc>
          <w:tcPr>
            <w:tcW w:w="4966" w:type="dxa"/>
          </w:tcPr>
          <w:p>
            <w:pPr>
              <w:spacing w:line="400" w:lineRule="exact"/>
              <w:jc w:val="left"/>
              <w:rPr>
                <w:rFonts w:ascii="仿宋" w:hAnsi="仿宋" w:eastAsia="仿宋" w:cs="宋体"/>
                <w:bCs/>
                <w:color w:val="auto"/>
                <w:kern w:val="0"/>
                <w:sz w:val="24"/>
                <w:highlight w:val="none"/>
              </w:rPr>
            </w:pPr>
          </w:p>
          <w:p>
            <w:pPr>
              <w:spacing w:line="400" w:lineRule="exact"/>
              <w:jc w:val="left"/>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乙方</w:t>
            </w:r>
            <w:r>
              <w:rPr>
                <w:rFonts w:ascii="仿宋" w:hAnsi="仿宋" w:eastAsia="仿宋" w:cs="宋体"/>
                <w:bCs/>
                <w:color w:val="auto"/>
                <w:kern w:val="0"/>
                <w:sz w:val="24"/>
                <w:highlight w:val="none"/>
              </w:rPr>
              <w:t>（</w:t>
            </w:r>
            <w:r>
              <w:rPr>
                <w:rFonts w:hint="eastAsia" w:ascii="仿宋" w:hAnsi="仿宋" w:eastAsia="仿宋" w:cs="宋体"/>
                <w:bCs/>
                <w:color w:val="auto"/>
                <w:kern w:val="0"/>
                <w:sz w:val="24"/>
                <w:highlight w:val="none"/>
              </w:rPr>
              <w:t>章</w:t>
            </w:r>
            <w:r>
              <w:rPr>
                <w:rFonts w:ascii="仿宋" w:hAnsi="仿宋" w:eastAsia="仿宋" w:cs="宋体"/>
                <w:bCs/>
                <w:color w:val="auto"/>
                <w:kern w:val="0"/>
                <w:sz w:val="24"/>
                <w:highlight w:val="none"/>
              </w:rPr>
              <w:t>）</w:t>
            </w:r>
          </w:p>
          <w:p>
            <w:pPr>
              <w:spacing w:line="400" w:lineRule="exact"/>
              <w:jc w:val="center"/>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p>
          <w:p>
            <w:pPr>
              <w:spacing w:line="400" w:lineRule="exact"/>
              <w:jc w:val="center"/>
              <w:rPr>
                <w:rFonts w:ascii="仿宋" w:hAnsi="仿宋" w:eastAsia="仿宋" w:cs="宋体"/>
                <w:bCs/>
                <w:color w:val="auto"/>
                <w:kern w:val="0"/>
                <w:sz w:val="24"/>
                <w:highlight w:val="none"/>
              </w:rPr>
            </w:pPr>
          </w:p>
          <w:p>
            <w:pPr>
              <w:spacing w:line="400" w:lineRule="exact"/>
              <w:jc w:val="righ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年   月   日</w:t>
            </w:r>
          </w:p>
        </w:tc>
      </w:tr>
    </w:tbl>
    <w:p>
      <w:pPr>
        <w:spacing w:line="400" w:lineRule="exac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注</w:t>
      </w:r>
      <w:r>
        <w:rPr>
          <w:rFonts w:ascii="仿宋" w:hAnsi="仿宋" w:eastAsia="仿宋" w:cs="宋体"/>
          <w:bCs/>
          <w:color w:val="auto"/>
          <w:kern w:val="0"/>
          <w:sz w:val="24"/>
          <w:highlight w:val="none"/>
        </w:rPr>
        <w:t>：</w:t>
      </w:r>
      <w:r>
        <w:rPr>
          <w:rFonts w:hint="eastAsia" w:ascii="仿宋" w:hAnsi="仿宋" w:eastAsia="仿宋" w:cs="宋体"/>
          <w:bCs/>
          <w:color w:val="auto"/>
          <w:kern w:val="0"/>
          <w:sz w:val="24"/>
          <w:highlight w:val="none"/>
        </w:rPr>
        <w:t>售后</w:t>
      </w:r>
      <w:r>
        <w:rPr>
          <w:rFonts w:ascii="仿宋" w:hAnsi="仿宋" w:eastAsia="仿宋" w:cs="宋体"/>
          <w:bCs/>
          <w:color w:val="auto"/>
          <w:kern w:val="0"/>
          <w:sz w:val="24"/>
          <w:highlight w:val="none"/>
        </w:rPr>
        <w:t>服务事项填不下时可另加附页</w:t>
      </w: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bookmarkEnd w:id="152"/>
    <w:p>
      <w:pPr>
        <w:snapToGrid w:val="0"/>
        <w:spacing w:line="480" w:lineRule="auto"/>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pStyle w:val="4"/>
        <w:keepNext w:val="0"/>
        <w:keepLines w:val="0"/>
        <w:jc w:val="center"/>
        <w:rPr>
          <w:rFonts w:ascii="宋体" w:hAnsi="宋体" w:eastAsia="宋体" w:cs="宋体"/>
          <w:color w:val="auto"/>
          <w:highlight w:val="none"/>
        </w:rPr>
      </w:pPr>
      <w:bookmarkStart w:id="153" w:name="_Toc13111"/>
      <w:bookmarkStart w:id="154" w:name="_Toc19686834"/>
      <w:bookmarkStart w:id="155" w:name="_Toc32428"/>
      <w:bookmarkStart w:id="156" w:name="_Toc12390"/>
      <w:bookmarkStart w:id="157" w:name="_Toc6656"/>
      <w:r>
        <w:rPr>
          <w:rFonts w:hint="eastAsia" w:ascii="宋体" w:hAnsi="宋体" w:eastAsia="宋体" w:cs="宋体"/>
          <w:color w:val="auto"/>
          <w:highlight w:val="none"/>
        </w:rPr>
        <w:t>第六章、投标文件格式</w:t>
      </w:r>
      <w:bookmarkEnd w:id="153"/>
      <w:bookmarkEnd w:id="154"/>
      <w:bookmarkEnd w:id="155"/>
      <w:bookmarkEnd w:id="156"/>
      <w:bookmarkEnd w:id="157"/>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br w:type="page"/>
      </w:r>
    </w:p>
    <w:p>
      <w:pPr>
        <w:pStyle w:val="5"/>
        <w:spacing w:before="0" w:beforeLines="0" w:after="0" w:afterLines="0" w:line="360" w:lineRule="auto"/>
        <w:rPr>
          <w:rFonts w:ascii="宋体" w:hAnsi="宋体" w:cs="宋体"/>
          <w:color w:val="auto"/>
          <w:highlight w:val="none"/>
        </w:rPr>
      </w:pPr>
      <w:bookmarkStart w:id="158" w:name="_Toc19686836"/>
      <w:bookmarkStart w:id="159" w:name="_Toc254970557"/>
      <w:bookmarkStart w:id="160" w:name="_Toc254970698"/>
      <w:r>
        <w:rPr>
          <w:rFonts w:hint="eastAsia" w:ascii="宋体" w:hAnsi="宋体" w:cs="宋体"/>
          <w:color w:val="auto"/>
          <w:highlight w:val="none"/>
          <w:lang w:val="en-US" w:eastAsia="zh-CN"/>
        </w:rPr>
        <w:t>一</w:t>
      </w:r>
      <w:r>
        <w:rPr>
          <w:rFonts w:hint="eastAsia" w:ascii="宋体" w:hAnsi="宋体" w:cs="宋体"/>
          <w:color w:val="auto"/>
          <w:highlight w:val="none"/>
        </w:rPr>
        <w:t>、报价文件格式</w:t>
      </w:r>
      <w:bookmarkEnd w:id="158"/>
    </w:p>
    <w:p>
      <w:pPr>
        <w:snapToGrid w:val="0"/>
        <w:spacing w:before="0" w:beforeLines="0" w:after="0" w:afterLines="0" w:line="360" w:lineRule="auto"/>
        <w:jc w:val="left"/>
        <w:rPr>
          <w:rFonts w:ascii="宋体" w:hAnsi="宋体" w:cs="宋体"/>
          <w:color w:val="auto"/>
          <w:sz w:val="24"/>
          <w:szCs w:val="20"/>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bCs/>
          <w:color w:val="auto"/>
          <w:sz w:val="24"/>
          <w:highlight w:val="none"/>
        </w:rPr>
        <w:t>报价文件目录</w:t>
      </w:r>
    </w:p>
    <w:p>
      <w:pPr>
        <w:snapToGrid w:val="0"/>
        <w:spacing w:before="0" w:beforeLines="0" w:after="0" w:afterLines="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.投标函格式：</w:t>
      </w:r>
    </w:p>
    <w:p>
      <w:pPr>
        <w:snapToGrid w:val="0"/>
        <w:spacing w:before="120"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before="120" w:beforeLines="50" w:after="50" w:line="320" w:lineRule="exact"/>
        <w:jc w:val="center"/>
        <w:rPr>
          <w:rFonts w:ascii="宋体" w:hAnsi="宋体" w:cs="宋体"/>
          <w:b/>
          <w:color w:val="auto"/>
          <w:sz w:val="24"/>
          <w:szCs w:val="20"/>
          <w:highlight w:val="none"/>
        </w:rPr>
      </w:pP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pPr>
        <w:snapToGri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根据贵方</w:t>
      </w:r>
      <w:r>
        <w:rPr>
          <w:rFonts w:hint="eastAsia" w:ascii="宋体" w:hAnsi="宋体" w:cs="宋体"/>
          <w:color w:val="auto"/>
          <w:sz w:val="21"/>
          <w:szCs w:val="21"/>
          <w:highlight w:val="none"/>
          <w:u w:val="single"/>
        </w:rPr>
        <w:t>项目名称（项目编号：            ）</w:t>
      </w:r>
      <w:r>
        <w:rPr>
          <w:rFonts w:hint="eastAsia" w:ascii="宋体" w:hAnsi="宋体" w:cs="宋体"/>
          <w:color w:val="auto"/>
          <w:sz w:val="21"/>
          <w:szCs w:val="21"/>
          <w:highlight w:val="none"/>
        </w:rPr>
        <w:t>的招标公告，签字代表______（姓名）</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经正式授权并代表投标人</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（投标人名称）提交投标文件。</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据此函，我方宣布同意如下：</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2.我方在投标之前已经完全理解并接受招标文件的各项规定和要求，对招标文件的合理性、合法性不再有异议。</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3.本投标有效期自投标截止之日起</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日。</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5.我方同意按照贵方要求提供与投标有关的一切数据或者资料。</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6.我方向贵方提交的所有投标文件、资料都是准确的和真实的。</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7.以上事项如有虚假或者隐瞒，我方愿意承担一切后果，并不再寻求任何旨在减轻或者免除法律责任的辩解。</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□我方本次投标文件</w:t>
      </w:r>
      <w:r>
        <w:rPr>
          <w:rFonts w:hint="eastAsia" w:ascii="宋体" w:hAnsi="宋体" w:cs="宋体"/>
          <w:color w:val="auto"/>
          <w:kern w:val="0"/>
          <w:sz w:val="21"/>
          <w:szCs w:val="21"/>
          <w:highlight w:val="none"/>
        </w:rPr>
        <w:t>内容中</w:t>
      </w:r>
      <w:r>
        <w:rPr>
          <w:rFonts w:hint="eastAsia" w:ascii="宋体" w:hAnsi="宋体" w:cs="宋体"/>
          <w:color w:val="auto"/>
          <w:sz w:val="21"/>
          <w:szCs w:val="21"/>
          <w:highlight w:val="none"/>
        </w:rPr>
        <w:t>未</w:t>
      </w:r>
      <w:r>
        <w:rPr>
          <w:rFonts w:hint="eastAsia" w:ascii="宋体" w:hAnsi="宋体" w:cs="宋体"/>
          <w:color w:val="auto"/>
          <w:kern w:val="0"/>
          <w:sz w:val="21"/>
          <w:szCs w:val="21"/>
          <w:highlight w:val="none"/>
        </w:rPr>
        <w:t>涉及商业秘密；</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□我方本次投标文件</w:t>
      </w:r>
      <w:r>
        <w:rPr>
          <w:rFonts w:hint="eastAsia" w:ascii="宋体" w:hAnsi="宋体" w:cs="宋体"/>
          <w:color w:val="auto"/>
          <w:kern w:val="0"/>
          <w:sz w:val="21"/>
          <w:szCs w:val="21"/>
          <w:highlight w:val="none"/>
        </w:rPr>
        <w:t>涉及商业秘密的内容有：</w:t>
      </w:r>
      <w:r>
        <w:rPr>
          <w:rStyle w:val="94"/>
          <w:rFonts w:ascii="宋体" w:hAnsi="宋体"/>
          <w:color w:val="auto"/>
          <w:szCs w:val="21"/>
          <w:highlight w:val="none"/>
          <w:u w:val="single" w:color="000000"/>
        </w:rPr>
        <w:t xml:space="preserve">     </w:t>
      </w:r>
      <w:r>
        <w:rPr>
          <w:rFonts w:hint="eastAsia" w:ascii="宋体" w:hAnsi="宋体" w:cs="宋体"/>
          <w:color w:val="auto"/>
          <w:kern w:val="0"/>
          <w:sz w:val="21"/>
          <w:szCs w:val="21"/>
          <w:highlight w:val="none"/>
        </w:rPr>
        <w:t>；</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9.与本投标有关的一切正式往来信函请寄：</w:t>
      </w:r>
    </w:p>
    <w:p>
      <w:pPr>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邮编：</w:t>
      </w:r>
      <w:r>
        <w:rPr>
          <w:rStyle w:val="94"/>
          <w:rFonts w:ascii="宋体" w:hAnsi="宋体"/>
          <w:color w:val="auto"/>
          <w:szCs w:val="21"/>
          <w:highlight w:val="none"/>
          <w:u w:val="single" w:color="000000"/>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传真：</w:t>
      </w:r>
      <w:r>
        <w:rPr>
          <w:rStyle w:val="94"/>
          <w:rFonts w:ascii="宋体" w:hAnsi="宋体"/>
          <w:color w:val="auto"/>
          <w:szCs w:val="21"/>
          <w:highlight w:val="none"/>
          <w:u w:val="single" w:color="000000"/>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Style w:val="94"/>
          <w:rFonts w:ascii="宋体" w:hAnsi="宋体"/>
          <w:color w:val="auto"/>
          <w:szCs w:val="21"/>
          <w:highlight w:val="none"/>
          <w:u w:val="single" w:color="000000"/>
        </w:rPr>
        <w:t xml:space="preserve">     </w:t>
      </w:r>
    </w:p>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 xml:space="preserve">   银行帐号：</w:t>
      </w:r>
      <w:r>
        <w:rPr>
          <w:rStyle w:val="94"/>
          <w:rFonts w:ascii="宋体" w:hAnsi="宋体"/>
          <w:color w:val="auto"/>
          <w:szCs w:val="21"/>
          <w:highlight w:val="none"/>
          <w:u w:val="single" w:color="000000"/>
        </w:rPr>
        <w:t xml:space="preserve">     </w:t>
      </w:r>
    </w:p>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法定代表人或者委托代理人[公章(CA签章)、自然人除外]:___________ </w:t>
      </w:r>
    </w:p>
    <w:p>
      <w:pPr>
        <w:pStyle w:val="27"/>
        <w:snapToGrid w:val="0"/>
        <w:spacing w:before="0" w:after="0" w:line="360" w:lineRule="auto"/>
        <w:jc w:val="center"/>
        <w:rPr>
          <w:rFonts w:hAnsi="宋体" w:cs="宋体"/>
          <w:color w:val="auto"/>
          <w:sz w:val="21"/>
          <w:szCs w:val="21"/>
          <w:highlight w:val="none"/>
          <w:u w:val="single"/>
        </w:rPr>
      </w:pPr>
      <w:r>
        <w:rPr>
          <w:rFonts w:hint="eastAsia" w:hAnsi="宋体" w:cs="宋体"/>
          <w:color w:val="auto"/>
          <w:sz w:val="21"/>
          <w:highlight w:val="none"/>
        </w:rPr>
        <w:t xml:space="preserve">                                    投标人[公章(CA签章)、自然人除外]：</w:t>
      </w:r>
    </w:p>
    <w:p>
      <w:pPr>
        <w:snapToGrid w:val="0"/>
        <w:spacing w:before="295" w:after="295" w:line="360" w:lineRule="auto"/>
        <w:jc w:val="right"/>
        <w:rPr>
          <w:rFonts w:hAnsi="Courier New" w:cs="Times New Roman"/>
          <w:color w:val="auto"/>
          <w:sz w:val="21"/>
          <w:szCs w:val="21"/>
          <w:highlight w:val="none"/>
          <w:u w:val="single"/>
        </w:rPr>
      </w:pPr>
      <w:r>
        <w:rPr>
          <w:rStyle w:val="94"/>
          <w:rFonts w:ascii="宋体" w:hAnsi="Courier New"/>
          <w:color w:val="auto"/>
          <w:szCs w:val="21"/>
          <w:highlight w:val="none"/>
          <w:u w:val="single" w:color="000000"/>
        </w:rPr>
        <w:t xml:space="preserve">     </w:t>
      </w:r>
      <w:r>
        <w:rPr>
          <w:rFonts w:hint="default" w:hAnsi="Courier New" w:cs="Times New Roman"/>
          <w:color w:val="auto"/>
          <w:sz w:val="21"/>
          <w:szCs w:val="21"/>
          <w:highlight w:val="none"/>
          <w:u w:val="single"/>
        </w:rPr>
        <w:t>年</w:t>
      </w:r>
      <w:r>
        <w:rPr>
          <w:rStyle w:val="94"/>
          <w:rFonts w:ascii="宋体" w:hAnsi="Courier New"/>
          <w:color w:val="auto"/>
          <w:szCs w:val="21"/>
          <w:highlight w:val="none"/>
          <w:u w:val="single" w:color="000000"/>
        </w:rPr>
        <w:t xml:space="preserve">     </w:t>
      </w:r>
      <w:r>
        <w:rPr>
          <w:rFonts w:hint="default" w:hAnsi="Courier New" w:cs="Times New Roman"/>
          <w:color w:val="auto"/>
          <w:sz w:val="21"/>
          <w:szCs w:val="21"/>
          <w:highlight w:val="none"/>
          <w:u w:val="single"/>
        </w:rPr>
        <w:t>月</w:t>
      </w:r>
      <w:r>
        <w:rPr>
          <w:rStyle w:val="94"/>
          <w:rFonts w:ascii="宋体" w:hAnsi="Courier New"/>
          <w:color w:val="auto"/>
          <w:szCs w:val="21"/>
          <w:highlight w:val="none"/>
          <w:u w:val="single" w:color="000000"/>
        </w:rPr>
        <w:t xml:space="preserve">     </w:t>
      </w:r>
      <w:r>
        <w:rPr>
          <w:rFonts w:hint="default" w:hAnsi="Courier New" w:cs="Times New Roman"/>
          <w:color w:val="auto"/>
          <w:sz w:val="21"/>
          <w:szCs w:val="21"/>
          <w:highlight w:val="none"/>
          <w:u w:val="single"/>
        </w:rPr>
        <w:t>日</w:t>
      </w:r>
    </w:p>
    <w:p>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pPr>
        <w:snapToGrid w:val="0"/>
        <w:spacing w:before="50" w:after="50"/>
        <w:jc w:val="center"/>
        <w:rPr>
          <w:rFonts w:ascii="宋体" w:hAnsi="宋体" w:cs="宋体"/>
          <w:b/>
          <w:color w:val="auto"/>
          <w:sz w:val="30"/>
          <w:szCs w:val="20"/>
          <w:highlight w:val="none"/>
        </w:rPr>
      </w:pPr>
    </w:p>
    <w:p>
      <w:pPr>
        <w:snapToGrid w:val="0"/>
        <w:spacing w:before="50" w:after="50"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 xml:space="preserve">         项目编号：</w:t>
      </w:r>
      <w:r>
        <w:rPr>
          <w:rStyle w:val="94"/>
          <w:rFonts w:ascii="宋体" w:hAnsi="宋体"/>
          <w:color w:val="auto"/>
          <w:szCs w:val="21"/>
          <w:highlight w:val="none"/>
          <w:u w:val="single" w:color="000000"/>
        </w:rPr>
        <w:t xml:space="preserve">     </w:t>
      </w:r>
    </w:p>
    <w:p>
      <w:pPr>
        <w:snapToGrid w:val="0"/>
        <w:spacing w:before="50" w:after="5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 </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 xml:space="preserve">                      单位：元</w:t>
      </w:r>
    </w:p>
    <w:tbl>
      <w:tblPr>
        <w:tblStyle w:val="49"/>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542"/>
        <w:gridCol w:w="1926"/>
        <w:gridCol w:w="968"/>
        <w:gridCol w:w="968"/>
        <w:gridCol w:w="3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bCs/>
                <w:color w:val="auto"/>
                <w:szCs w:val="21"/>
                <w:highlight w:val="none"/>
              </w:rPr>
              <w:t>标的名称</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服务内容</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数量及单位①</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②</w:t>
            </w: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投标报价</w:t>
            </w:r>
          </w:p>
          <w:p>
            <w:pPr>
              <w:snapToGrid w:val="0"/>
              <w:spacing w:before="50" w:after="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校园保安服务采购</w:t>
            </w:r>
          </w:p>
        </w:tc>
        <w:tc>
          <w:tcPr>
            <w:tcW w:w="192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bCs/>
                <w:color w:val="auto"/>
                <w:szCs w:val="21"/>
                <w:highlight w:val="none"/>
              </w:rPr>
            </w:pPr>
            <w:r>
              <w:rPr>
                <w:rFonts w:hint="eastAsia" w:ascii="宋体" w:hAnsi="宋体" w:eastAsia="宋体" w:cs="宋体"/>
                <w:color w:val="auto"/>
                <w:sz w:val="21"/>
                <w:szCs w:val="21"/>
                <w:highlight w:val="none"/>
              </w:rPr>
              <w:t>用于学校日常安全保卫工作。</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1项</w:t>
            </w: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b/>
                <w:bCs/>
                <w:color w:val="auto"/>
                <w:szCs w:val="21"/>
                <w:highlight w:val="none"/>
              </w:rPr>
            </w:pP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88"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投标总报价（大写）：</w:t>
            </w:r>
            <w:r>
              <w:rPr>
                <w:rFonts w:hint="eastAsia" w:ascii="宋体" w:hAnsi="宋体" w:eastAsia="宋体" w:cs="宋体"/>
                <w:color w:val="auto"/>
                <w:sz w:val="21"/>
                <w:szCs w:val="21"/>
                <w:highlight w:val="none"/>
                <w:u w:val="single"/>
              </w:rPr>
              <w:t xml:space="preserve">                         </w:t>
            </w:r>
          </w:p>
          <w:p>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投标总报价（小写）：</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88"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服务期限：自签订合同且中标人保安服务进驻之日起12个月。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8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p>
            <w:pPr>
              <w:snapToGrid w:val="0"/>
              <w:spacing w:before="50" w:after="50"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投标报价包括招标范围内要求的保安服务所有成本（包括但不限于工资、保险费、加班费、夜班费、福利费、保安制服费、保安值勤设备费、劳保用品费、管理费等全部成本费用）、合理利润及税金等一切费用，投标人综合考虑在投标报价中。</w:t>
            </w:r>
          </w:p>
          <w:p>
            <w:pPr>
              <w:snapToGrid w:val="0"/>
              <w:spacing w:before="50" w:after="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2、投标人必须就第二章“采购需求”中的所有内容进行完整唯一报价；漏项报价的或有选择的或有条件的报价，其投标将视为无效。</w:t>
            </w:r>
          </w:p>
        </w:tc>
      </w:tr>
    </w:tbl>
    <w:p>
      <w:pPr>
        <w:snapToGrid w:val="0"/>
        <w:spacing w:before="50" w:after="50"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注: </w:t>
      </w:r>
    </w:p>
    <w:p>
      <w:pPr>
        <w:snapToGrid w:val="0"/>
        <w:spacing w:before="50" w:after="5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1.投标人的开标一览表必须加盖投标人公章，</w:t>
      </w:r>
      <w:r>
        <w:rPr>
          <w:rFonts w:hint="eastAsia" w:ascii="宋体" w:hAnsi="宋体" w:cs="宋体"/>
          <w:b/>
          <w:color w:val="auto"/>
          <w:sz w:val="21"/>
          <w:szCs w:val="21"/>
          <w:highlight w:val="none"/>
        </w:rPr>
        <w:t>否则其投标作无效标处理</w:t>
      </w:r>
      <w:r>
        <w:rPr>
          <w:rFonts w:hint="eastAsia" w:ascii="宋体" w:hAnsi="宋体" w:cs="宋体"/>
          <w:color w:val="auto"/>
          <w:sz w:val="21"/>
          <w:szCs w:val="21"/>
          <w:highlight w:val="none"/>
        </w:rPr>
        <w:t>。</w:t>
      </w:r>
    </w:p>
    <w:p>
      <w:pPr>
        <w:snapToGrid w:val="0"/>
        <w:spacing w:before="50" w:after="50" w:line="360" w:lineRule="auto"/>
        <w:ind w:firstLine="420" w:firstLineChars="200"/>
        <w:jc w:val="left"/>
        <w:rPr>
          <w:rFonts w:ascii="宋体" w:hAnsi="宋体" w:cs="宋体"/>
          <w:b/>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color w:val="auto"/>
          <w:sz w:val="21"/>
          <w:szCs w:val="21"/>
          <w:highlight w:val="none"/>
        </w:rPr>
        <w:t>报价一经涂改，应在涂改处加盖投标人公章或者由法定代表人或者授权委托人签字或者盖章</w:t>
      </w:r>
      <w:r>
        <w:rPr>
          <w:rFonts w:hint="eastAsia" w:ascii="宋体" w:hAnsi="宋体" w:cs="宋体"/>
          <w:b/>
          <w:color w:val="auto"/>
          <w:sz w:val="21"/>
          <w:szCs w:val="21"/>
          <w:highlight w:val="none"/>
        </w:rPr>
        <w:t>，否则其投标作无效标处理。</w:t>
      </w:r>
    </w:p>
    <w:p>
      <w:pPr>
        <w:snapToGrid w:val="0"/>
        <w:spacing w:before="50" w:after="5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3.招标文件中列明采购专用耗材的，应按招标文件规定的耗材量或者按耗材的常规试用量提供报价。</w:t>
      </w:r>
    </w:p>
    <w:p>
      <w:pPr>
        <w:pStyle w:val="27"/>
        <w:spacing w:line="360" w:lineRule="auto"/>
        <w:rPr>
          <w:rFonts w:hAnsi="宋体" w:cs="宋体"/>
          <w:color w:val="auto"/>
          <w:sz w:val="21"/>
          <w:highlight w:val="none"/>
          <w:u w:val="single"/>
        </w:rPr>
      </w:pPr>
      <w:r>
        <w:rPr>
          <w:rFonts w:hint="eastAsia" w:hAnsi="宋体" w:cs="宋体"/>
          <w:color w:val="auto"/>
          <w:sz w:val="21"/>
          <w:highlight w:val="none"/>
        </w:rPr>
        <w:t>法定代表人或者委托代理人[</w:t>
      </w:r>
      <w:r>
        <w:rPr>
          <w:rFonts w:hint="eastAsia" w:hAnsi="宋体" w:cs="宋体"/>
          <w:color w:val="auto"/>
          <w:sz w:val="21"/>
          <w:highlight w:val="none"/>
          <w:lang w:val="en-US" w:eastAsia="zh-CN"/>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z w:val="21"/>
          <w:highlight w:val="none"/>
          <w:u w:val="single"/>
        </w:rPr>
        <w:t xml:space="preserve">                    </w:t>
      </w:r>
    </w:p>
    <w:p>
      <w:pPr>
        <w:snapToGrid w:val="0"/>
        <w:spacing w:before="50" w:after="50" w:line="360" w:lineRule="auto"/>
        <w:ind w:left="-21" w:leftChars="-72" w:right="-817" w:rightChars="-389" w:hanging="130" w:hangingChars="62"/>
        <w:rPr>
          <w:rFonts w:ascii="宋体" w:hAnsi="宋体" w:cs="宋体"/>
          <w:color w:val="auto"/>
          <w:sz w:val="21"/>
          <w:szCs w:val="21"/>
          <w:highlight w:val="none"/>
        </w:rPr>
      </w:pPr>
    </w:p>
    <w:p>
      <w:pPr>
        <w:snapToGrid w:val="0"/>
        <w:spacing w:before="50" w:after="50" w:line="360" w:lineRule="auto"/>
        <w:ind w:left="-6" w:leftChars="-15" w:right="-817" w:rightChars="-389" w:hanging="25" w:hangingChars="12"/>
        <w:rPr>
          <w:rFonts w:ascii="宋体" w:hAnsi="宋体" w:cs="宋体"/>
          <w:color w:val="auto"/>
          <w:sz w:val="21"/>
          <w:szCs w:val="21"/>
          <w:highlight w:val="none"/>
        </w:rPr>
      </w:pPr>
      <w:r>
        <w:rPr>
          <w:rFonts w:hint="eastAsia" w:ascii="宋体" w:hAnsi="宋体" w:cs="宋体"/>
          <w:color w:val="auto"/>
          <w:sz w:val="21"/>
          <w:szCs w:val="21"/>
          <w:highlight w:val="none"/>
        </w:rPr>
        <w:t>投标人[公章(CA签章)、自然人除外]：</w:t>
      </w:r>
    </w:p>
    <w:p>
      <w:pPr>
        <w:snapToGrid w:val="0"/>
        <w:spacing w:before="50" w:after="50" w:line="360" w:lineRule="auto"/>
        <w:ind w:left="-6" w:leftChars="-15" w:right="-817" w:rightChars="-389" w:hanging="25" w:hangingChars="12"/>
        <w:rPr>
          <w:rFonts w:ascii="宋体" w:hAnsi="宋体" w:cs="宋体"/>
          <w:color w:val="auto"/>
          <w:sz w:val="21"/>
          <w:szCs w:val="21"/>
          <w:highlight w:val="none"/>
        </w:rPr>
      </w:pPr>
    </w:p>
    <w:p>
      <w:pPr>
        <w:snapToGrid w:val="0"/>
        <w:spacing w:before="50" w:after="50" w:line="360" w:lineRule="auto"/>
        <w:ind w:left="-6" w:leftChars="-15" w:right="-817" w:rightChars="-389" w:hanging="25" w:hangingChars="12"/>
        <w:rPr>
          <w:rFonts w:ascii="宋体" w:hAnsi="宋体" w:cs="宋体"/>
          <w:color w:val="auto"/>
          <w:szCs w:val="21"/>
          <w:highlight w:val="none"/>
        </w:rPr>
      </w:pPr>
      <w:r>
        <w:rPr>
          <w:rFonts w:hint="eastAsia" w:ascii="宋体" w:hAnsi="宋体" w:cs="宋体"/>
          <w:color w:val="auto"/>
          <w:sz w:val="21"/>
          <w:szCs w:val="21"/>
          <w:highlight w:val="none"/>
        </w:rPr>
        <w:t>日期：    年   月   日</w:t>
      </w:r>
    </w:p>
    <w:p>
      <w:pPr>
        <w:pStyle w:val="98"/>
        <w:jc w:val="both"/>
        <w:rPr>
          <w:rFonts w:ascii="宋体" w:eastAsia="宋体" w:cs="宋体"/>
          <w:color w:val="auto"/>
          <w:sz w:val="30"/>
          <w:highlight w:val="none"/>
        </w:rPr>
      </w:pPr>
    </w:p>
    <w:p>
      <w:pPr>
        <w:pStyle w:val="5"/>
        <w:spacing w:before="120" w:beforeLines="50" w:after="50"/>
        <w:rPr>
          <w:rFonts w:ascii="宋体" w:hAnsi="宋体" w:cs="宋体"/>
          <w:color w:val="auto"/>
          <w:sz w:val="28"/>
          <w:szCs w:val="28"/>
          <w:highlight w:val="none"/>
        </w:rPr>
      </w:pPr>
      <w:r>
        <w:rPr>
          <w:rFonts w:hint="eastAsia" w:ascii="宋体" w:hAnsi="宋体" w:cs="宋体"/>
          <w:b w:val="0"/>
          <w:bCs w:val="0"/>
          <w:color w:val="auto"/>
          <w:sz w:val="24"/>
          <w:highlight w:val="none"/>
        </w:rPr>
        <w:br w:type="page"/>
      </w:r>
      <w:bookmarkStart w:id="161" w:name="_Toc19686837"/>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rPr>
        <w:t>、资格证明文件格式</w:t>
      </w:r>
      <w:bookmarkEnd w:id="159"/>
      <w:bookmarkEnd w:id="160"/>
      <w:bookmarkEnd w:id="161"/>
    </w:p>
    <w:p>
      <w:pPr>
        <w:numPr>
          <w:ilvl w:val="-1"/>
          <w:numId w:val="0"/>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资格证明文件目录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pPr>
        <w:snapToGrid w:val="0"/>
        <w:spacing w:before="50" w:after="120" w:afterLines="50"/>
        <w:jc w:val="left"/>
        <w:rPr>
          <w:rFonts w:ascii="宋体" w:hAnsi="宋体" w:cs="宋体"/>
          <w:color w:val="auto"/>
          <w:sz w:val="24"/>
          <w:highlight w:val="none"/>
        </w:rPr>
      </w:pPr>
    </w:p>
    <w:p>
      <w:pPr>
        <w:snapToGrid w:val="0"/>
        <w:spacing w:before="50" w:after="120" w:afterLines="50"/>
        <w:jc w:val="left"/>
        <w:rPr>
          <w:rFonts w:ascii="宋体" w:hAnsi="宋体" w:cs="宋体"/>
          <w:color w:val="auto"/>
          <w:sz w:val="24"/>
          <w:highlight w:val="none"/>
        </w:rPr>
      </w:pPr>
    </w:p>
    <w:p>
      <w:pPr>
        <w:numPr>
          <w:ilvl w:val="-1"/>
          <w:numId w:val="0"/>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2.</w:t>
      </w:r>
      <w:r>
        <w:rPr>
          <w:rFonts w:hint="eastAsia" w:ascii="宋体" w:hAnsi="宋体" w:cs="宋体"/>
          <w:b/>
          <w:color w:val="auto"/>
          <w:sz w:val="28"/>
          <w:szCs w:val="28"/>
          <w:highlight w:val="none"/>
        </w:rPr>
        <w:t>投标人直接控股、管理关系信息表</w:t>
      </w:r>
    </w:p>
    <w:p>
      <w:pPr>
        <w:snapToGrid w:val="0"/>
        <w:spacing w:before="50" w:after="120" w:afterLines="50"/>
        <w:jc w:val="center"/>
        <w:rPr>
          <w:rFonts w:ascii="宋体" w:hAnsi="宋体" w:cs="宋体"/>
          <w:b/>
          <w:color w:val="auto"/>
          <w:sz w:val="28"/>
          <w:szCs w:val="28"/>
          <w:highlight w:val="none"/>
        </w:rPr>
      </w:pPr>
    </w:p>
    <w:p>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bl>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注：</w:t>
      </w:r>
    </w:p>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3.供应商不存在直接控股股东的，则填“无”。</w:t>
      </w: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pStyle w:val="27"/>
        <w:spacing w:line="360" w:lineRule="auto"/>
        <w:rPr>
          <w:rFonts w:hAnsi="宋体" w:cs="宋体"/>
          <w:color w:val="auto"/>
          <w:sz w:val="21"/>
          <w:highlight w:val="none"/>
        </w:rPr>
      </w:pPr>
    </w:p>
    <w:p>
      <w:pPr>
        <w:pStyle w:val="27"/>
        <w:spacing w:line="360" w:lineRule="auto"/>
        <w:rPr>
          <w:rFonts w:hAnsi="宋体" w:cs="宋体"/>
          <w:color w:val="auto"/>
          <w:sz w:val="21"/>
          <w:szCs w:val="21"/>
          <w:highlight w:val="none"/>
        </w:rPr>
      </w:pPr>
      <w:r>
        <w:rPr>
          <w:rFonts w:hint="eastAsia" w:hAnsi="宋体" w:cs="宋体"/>
          <w:color w:val="auto"/>
          <w:sz w:val="21"/>
          <w:highlight w:val="none"/>
        </w:rPr>
        <w:t>法定代表人或者委托代理人签字</w:t>
      </w:r>
      <w:r>
        <w:rPr>
          <w:rFonts w:hint="eastAsia" w:hAnsi="宋体" w:cs="宋体"/>
          <w:color w:val="auto"/>
          <w:sz w:val="21"/>
          <w:szCs w:val="21"/>
          <w:highlight w:val="none"/>
        </w:rPr>
        <w:t>[或盖章(CA签章)]</w:t>
      </w:r>
      <w:r>
        <w:rPr>
          <w:rStyle w:val="94"/>
          <w:rFonts w:ascii="宋体" w:hAnsi="宋体"/>
          <w:color w:val="auto"/>
          <w:szCs w:val="21"/>
          <w:highlight w:val="none"/>
          <w:u w:val="single" w:color="000000"/>
        </w:rPr>
        <w:t xml:space="preserve">     </w:t>
      </w:r>
    </w:p>
    <w:p>
      <w:pPr>
        <w:snapToGrid w:val="0"/>
        <w:spacing w:before="120" w:beforeLines="50" w:line="360" w:lineRule="auto"/>
        <w:ind w:right="480"/>
        <w:rPr>
          <w:rFonts w:ascii="宋体" w:hAnsi="宋体" w:cs="宋体"/>
          <w:color w:val="auto"/>
          <w:sz w:val="21"/>
          <w:szCs w:val="21"/>
          <w:highlight w:val="none"/>
          <w:u w:val="single"/>
        </w:rPr>
      </w:pPr>
      <w:r>
        <w:rPr>
          <w:rFonts w:hint="eastAsia" w:ascii="宋体" w:hAnsi="宋体" w:cs="宋体"/>
          <w:color w:val="auto"/>
          <w:sz w:val="21"/>
          <w:szCs w:val="21"/>
          <w:highlight w:val="none"/>
        </w:rPr>
        <w:t>（属自然人的应在签名处加盖大拇指指印或个人CA签章）：</w:t>
      </w:r>
    </w:p>
    <w:p>
      <w:pPr>
        <w:snapToGrid w:val="0"/>
        <w:spacing w:before="120" w:beforeLines="50" w:after="50" w:line="360" w:lineRule="auto"/>
        <w:ind w:right="480"/>
        <w:rPr>
          <w:rFonts w:ascii="宋体" w:hAnsi="宋体" w:cs="宋体"/>
          <w:color w:val="auto"/>
          <w:sz w:val="21"/>
          <w:szCs w:val="21"/>
          <w:highlight w:val="none"/>
          <w:u w:val="single"/>
        </w:rPr>
      </w:pPr>
      <w:r>
        <w:rPr>
          <w:rFonts w:hint="eastAsia" w:ascii="宋体" w:hAnsi="宋体" w:cs="宋体"/>
          <w:color w:val="auto"/>
          <w:sz w:val="21"/>
          <w:szCs w:val="21"/>
          <w:highlight w:val="none"/>
        </w:rPr>
        <w:t>投标人[公章(CA签章)、自然人除外]：</w:t>
      </w:r>
      <w:r>
        <w:rPr>
          <w:rStyle w:val="94"/>
          <w:rFonts w:ascii="宋体" w:hAnsi="宋体"/>
          <w:color w:val="auto"/>
          <w:szCs w:val="21"/>
          <w:highlight w:val="none"/>
          <w:u w:val="single" w:color="000000"/>
        </w:rPr>
        <w:t xml:space="preserve">     </w:t>
      </w:r>
    </w:p>
    <w:p>
      <w:pPr>
        <w:snapToGrid w:val="0"/>
        <w:spacing w:before="120" w:beforeLines="50" w:after="50" w:line="360" w:lineRule="auto"/>
        <w:ind w:right="480" w:firstLine="4830" w:firstLineChars="2300"/>
        <w:rPr>
          <w:rFonts w:ascii="宋体" w:hAnsi="宋体" w:cs="宋体"/>
          <w:color w:val="auto"/>
          <w:szCs w:val="21"/>
          <w:highlight w:val="none"/>
        </w:rPr>
      </w:pPr>
      <w:r>
        <w:rPr>
          <w:rFonts w:hint="eastAsia" w:ascii="宋体" w:hAnsi="宋体" w:cs="宋体"/>
          <w:color w:val="auto"/>
          <w:sz w:val="21"/>
          <w:szCs w:val="21"/>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9"/>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1"/>
                <w:szCs w:val="21"/>
                <w:highlight w:val="none"/>
              </w:rPr>
            </w:pPr>
          </w:p>
        </w:tc>
      </w:tr>
    </w:tbl>
    <w:p>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注：</w:t>
      </w:r>
    </w:p>
    <w:p>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pacing w:val="-6"/>
          <w:sz w:val="21"/>
          <w:szCs w:val="21"/>
          <w:highlight w:val="none"/>
        </w:rPr>
        <w:t>本表所指的管理关系仅限于直接管理关系，不包括间接的管理关系。</w:t>
      </w:r>
    </w:p>
    <w:p>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3.供应商不存在直接管理关系的，则填“无”。</w:t>
      </w: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snapToGrid w:val="0"/>
        <w:spacing w:line="360" w:lineRule="auto"/>
        <w:jc w:val="left"/>
        <w:rPr>
          <w:rFonts w:ascii="宋体" w:hAnsi="宋体" w:cs="宋体"/>
          <w:color w:val="auto"/>
          <w:sz w:val="21"/>
          <w:szCs w:val="21"/>
          <w:highlight w:val="none"/>
        </w:rPr>
      </w:pPr>
    </w:p>
    <w:p>
      <w:pPr>
        <w:pStyle w:val="27"/>
        <w:spacing w:line="360" w:lineRule="auto"/>
        <w:rPr>
          <w:rFonts w:hAnsi="宋体" w:cs="宋体"/>
          <w:color w:val="auto"/>
          <w:sz w:val="21"/>
          <w:szCs w:val="21"/>
          <w:highlight w:val="none"/>
        </w:rPr>
      </w:pPr>
      <w:r>
        <w:rPr>
          <w:rFonts w:hint="eastAsia" w:hAnsi="宋体" w:cs="宋体"/>
          <w:color w:val="auto"/>
          <w:sz w:val="21"/>
          <w:highlight w:val="none"/>
        </w:rPr>
        <w:t>法定代表人或者委托代理人签字</w:t>
      </w:r>
      <w:r>
        <w:rPr>
          <w:rFonts w:hint="eastAsia" w:hAnsi="宋体" w:cs="宋体"/>
          <w:color w:val="auto"/>
          <w:sz w:val="21"/>
          <w:szCs w:val="21"/>
          <w:highlight w:val="none"/>
        </w:rPr>
        <w:t>[或盖章(CA签章)]</w:t>
      </w:r>
      <w:r>
        <w:rPr>
          <w:rStyle w:val="94"/>
          <w:rFonts w:ascii="宋体" w:hAnsi="宋体"/>
          <w:color w:val="auto"/>
          <w:szCs w:val="21"/>
          <w:highlight w:val="none"/>
          <w:u w:val="single" w:color="000000"/>
        </w:rPr>
        <w:t xml:space="preserve">     </w:t>
      </w:r>
    </w:p>
    <w:p>
      <w:pPr>
        <w:snapToGrid w:val="0"/>
        <w:spacing w:before="120" w:beforeLines="50" w:line="360" w:lineRule="auto"/>
        <w:ind w:right="480"/>
        <w:rPr>
          <w:rFonts w:ascii="宋体" w:hAnsi="宋体" w:cs="宋体"/>
          <w:color w:val="auto"/>
          <w:sz w:val="21"/>
          <w:szCs w:val="21"/>
          <w:highlight w:val="none"/>
          <w:u w:val="single"/>
        </w:rPr>
      </w:pPr>
      <w:r>
        <w:rPr>
          <w:rFonts w:hint="eastAsia" w:ascii="宋体" w:hAnsi="宋体" w:cs="宋体"/>
          <w:color w:val="auto"/>
          <w:sz w:val="21"/>
          <w:szCs w:val="21"/>
          <w:highlight w:val="none"/>
        </w:rPr>
        <w:t>（属自然人的应在签名处加盖大拇指指印或个人CA签章）：</w:t>
      </w:r>
    </w:p>
    <w:p>
      <w:pPr>
        <w:snapToGrid w:val="0"/>
        <w:spacing w:before="120" w:beforeLines="50" w:after="50"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投标人[公章(CA签章)、自然人除外]：</w:t>
      </w:r>
      <w:r>
        <w:rPr>
          <w:rStyle w:val="94"/>
          <w:rFonts w:ascii="宋体" w:hAnsi="宋体"/>
          <w:color w:val="auto"/>
          <w:szCs w:val="21"/>
          <w:highlight w:val="none"/>
          <w:u w:val="single" w:color="000000"/>
        </w:rPr>
        <w:t xml:space="preserve">     </w:t>
      </w:r>
    </w:p>
    <w:p>
      <w:pPr>
        <w:snapToGrid w:val="0"/>
        <w:spacing w:before="120" w:beforeLines="50" w:after="50" w:line="360" w:lineRule="auto"/>
        <w:ind w:right="480" w:firstLine="210" w:firstLineChars="100"/>
        <w:jc w:val="right"/>
        <w:rPr>
          <w:rFonts w:ascii="宋体" w:hAnsi="宋体" w:cs="宋体"/>
          <w:color w:val="auto"/>
          <w:sz w:val="24"/>
          <w:highlight w:val="none"/>
        </w:rPr>
      </w:pPr>
      <w:r>
        <w:rPr>
          <w:rFonts w:hint="eastAsia" w:ascii="宋体" w:hAnsi="宋体" w:cs="宋体"/>
          <w:color w:val="auto"/>
          <w:sz w:val="21"/>
          <w:szCs w:val="21"/>
          <w:highlight w:val="none"/>
        </w:rPr>
        <w:t xml:space="preserve"> 年    月    日</w:t>
      </w:r>
    </w:p>
    <w:p>
      <w:pPr>
        <w:snapToGrid w:val="0"/>
        <w:spacing w:before="50" w:after="120" w:afterLines="50"/>
        <w:jc w:val="left"/>
        <w:rPr>
          <w:rFonts w:ascii="宋体" w:hAnsi="宋体" w:cs="宋体"/>
          <w:color w:val="auto"/>
          <w:szCs w:val="21"/>
          <w:highlight w:val="none"/>
        </w:rPr>
      </w:pPr>
    </w:p>
    <w:p>
      <w:pPr>
        <w:snapToGrid w:val="0"/>
        <w:spacing w:before="120" w:beforeLines="50" w:after="50"/>
        <w:jc w:val="left"/>
        <w:rPr>
          <w:rFonts w:ascii="宋体" w:hAnsi="宋体" w:cs="宋体"/>
          <w:b/>
          <w:color w:val="auto"/>
          <w:sz w:val="24"/>
          <w:szCs w:val="20"/>
          <w:highlight w:val="none"/>
        </w:rPr>
      </w:pPr>
    </w:p>
    <w:p>
      <w:pPr>
        <w:numPr>
          <w:ilvl w:val="-1"/>
          <w:numId w:val="0"/>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投标声明</w:t>
      </w:r>
    </w:p>
    <w:p>
      <w:pPr>
        <w:snapToGrid w:val="0"/>
        <w:spacing w:before="50" w:after="120" w:afterLines="50"/>
        <w:jc w:val="center"/>
        <w:rPr>
          <w:rFonts w:ascii="宋体" w:hAnsi="宋体" w:cs="宋体"/>
          <w:b/>
          <w:color w:val="auto"/>
          <w:sz w:val="32"/>
          <w:szCs w:val="32"/>
          <w:highlight w:val="none"/>
        </w:rPr>
      </w:pPr>
    </w:p>
    <w:p>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pPr>
        <w:snapToGrid w:val="0"/>
        <w:spacing w:before="50" w:after="120" w:afterLines="50"/>
        <w:jc w:val="left"/>
        <w:rPr>
          <w:rFonts w:ascii="宋体" w:hAnsi="宋体" w:cs="宋体"/>
          <w:color w:val="auto"/>
          <w:sz w:val="24"/>
          <w:highlight w:val="none"/>
        </w:rPr>
      </w:pPr>
    </w:p>
    <w:p>
      <w:pPr>
        <w:snapToGrid w:val="0"/>
        <w:spacing w:before="0" w:after="0" w:afterLines="0" w:line="360" w:lineRule="auto"/>
        <w:jc w:val="left"/>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（采购人名称）：</w:t>
      </w:r>
    </w:p>
    <w:p>
      <w:pPr>
        <w:snapToGrid w:val="0"/>
        <w:spacing w:before="0" w:after="0" w:afterLines="0" w:line="360" w:lineRule="auto"/>
        <w:ind w:firstLine="405"/>
        <w:jc w:val="left"/>
        <w:rPr>
          <w:rFonts w:ascii="宋体" w:hAnsi="宋体" w:cs="宋体"/>
          <w:color w:val="auto"/>
          <w:sz w:val="21"/>
          <w:szCs w:val="21"/>
          <w:highlight w:val="none"/>
        </w:rPr>
      </w:pPr>
      <w:r>
        <w:rPr>
          <w:rFonts w:hint="eastAsia" w:ascii="宋体" w:hAnsi="宋体" w:cs="宋体"/>
          <w:color w:val="auto"/>
          <w:sz w:val="21"/>
          <w:szCs w:val="21"/>
          <w:highlight w:val="none"/>
        </w:rPr>
        <w:t>我方参加贵单位组织</w:t>
      </w:r>
      <w:r>
        <w:rPr>
          <w:rStyle w:val="94"/>
          <w:rFonts w:ascii="宋体" w:hAnsi="宋体"/>
          <w:color w:val="auto"/>
          <w:szCs w:val="21"/>
          <w:highlight w:val="none"/>
          <w:u w:val="single" w:color="000000"/>
        </w:rPr>
        <w:t xml:space="preserve">   </w:t>
      </w:r>
      <w:r>
        <w:rPr>
          <w:rStyle w:val="94"/>
          <w:rFonts w:hint="eastAsia" w:ascii="宋体" w:hAnsi="宋体"/>
          <w:color w:val="auto"/>
          <w:szCs w:val="21"/>
          <w:highlight w:val="none"/>
          <w:u w:val="single" w:color="000000"/>
          <w:lang w:val="en-US"/>
        </w:rPr>
        <w:t xml:space="preserve">        </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项目（项目编号：</w:t>
      </w:r>
      <w:r>
        <w:rPr>
          <w:rStyle w:val="94"/>
          <w:rFonts w:ascii="宋体" w:hAnsi="宋体"/>
          <w:color w:val="auto"/>
          <w:szCs w:val="21"/>
          <w:highlight w:val="none"/>
          <w:u w:val="single" w:color="000000"/>
        </w:rPr>
        <w:t xml:space="preserve">     </w:t>
      </w:r>
      <w:r>
        <w:rPr>
          <w:rFonts w:hint="eastAsia" w:ascii="宋体" w:hAnsi="宋体" w:cs="宋体"/>
          <w:color w:val="auto"/>
          <w:sz w:val="21"/>
          <w:szCs w:val="21"/>
          <w:highlight w:val="none"/>
        </w:rPr>
        <w:t>）的政府采购活动。我方在此郑重声明：</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1"/>
          <w:szCs w:val="21"/>
          <w:highlight w:val="none"/>
          <w:lang w:eastAsia="zh-CN"/>
        </w:rPr>
        <w:t>重大税收违法失信主体</w:t>
      </w:r>
      <w:r>
        <w:rPr>
          <w:rFonts w:hint="eastAsia" w:ascii="宋体" w:hAnsi="宋体" w:cs="宋体"/>
          <w:color w:val="auto"/>
          <w:sz w:val="21"/>
          <w:szCs w:val="21"/>
          <w:highlight w:val="none"/>
        </w:rPr>
        <w:t>、政府采购严重违法失信行为记录名单，完全符合《中华人民共和国政府采购法》第二十二条规定的供应商资格条件，我方对此声明负全部法律责任。</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 我方承诺符合《中华人民共和国政府采购法》第二十二条规定：</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（一）具有独立承担民事责任的能力；</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（二）具有良好的商业信誉和健全的财务会计制度；</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（三）具有履行合同所必需的设备和专业技术能力；</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（四）有依法缴纳税收和社会保障资金的良好记录；</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（五）参加政府采购活动前三年内，在经营活动中没有重大违法记录；</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（六）法律、行政法规规定的其他条件。</w:t>
      </w:r>
    </w:p>
    <w:p>
      <w:pPr>
        <w:snapToGrid w:val="0"/>
        <w:spacing w:before="0" w:after="0" w:afterLines="0"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4.以上事项如有虚假或者隐瞒，我方愿意承担一切后果，并不再寻求任何旨在减轻或者免除法律责任的辩解。</w:t>
      </w:r>
    </w:p>
    <w:p>
      <w:pPr>
        <w:snapToGrid w:val="0"/>
        <w:spacing w:before="0" w:after="0" w:afterLines="0"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特此承诺。</w:t>
      </w:r>
    </w:p>
    <w:p>
      <w:pPr>
        <w:snapToGrid w:val="0"/>
        <w:spacing w:before="0" w:after="0" w:afterLines="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注：如为联合体投标，盖章处须加盖联合体各方公章并由联合体各方法定代表人分别</w:t>
      </w:r>
    </w:p>
    <w:p>
      <w:pPr>
        <w:snapToGrid w:val="0"/>
        <w:spacing w:before="0" w:after="0" w:afterLines="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签署，否则投标无效。</w:t>
      </w:r>
    </w:p>
    <w:p>
      <w:pPr>
        <w:pStyle w:val="27"/>
        <w:spacing w:afterLines="0" w:line="360" w:lineRule="auto"/>
        <w:jc w:val="left"/>
        <w:rPr>
          <w:rFonts w:hAnsi="宋体" w:cs="宋体"/>
          <w:color w:val="auto"/>
          <w:sz w:val="21"/>
          <w:highlight w:val="none"/>
        </w:rPr>
      </w:pPr>
    </w:p>
    <w:p>
      <w:pPr>
        <w:pStyle w:val="27"/>
        <w:spacing w:afterLines="0" w:line="360" w:lineRule="auto"/>
        <w:jc w:val="left"/>
        <w:rPr>
          <w:rFonts w:hAnsi="宋体" w:cs="宋体"/>
          <w:color w:val="auto"/>
          <w:sz w:val="21"/>
          <w:highlight w:val="none"/>
        </w:rPr>
      </w:pPr>
      <w:r>
        <w:rPr>
          <w:rFonts w:hint="eastAsia" w:hAnsi="宋体" w:cs="宋体"/>
          <w:color w:val="auto"/>
          <w:sz w:val="21"/>
          <w:szCs w:val="21"/>
          <w:highlight w:val="none"/>
        </w:rPr>
        <w:t>法定代表人或者委托代理人签字[或盖章(CA签章)]（属自然人的应在签名处加盖大拇指指印或个人CA签章）</w:t>
      </w:r>
      <w:r>
        <w:rPr>
          <w:rFonts w:hint="eastAsia" w:hAnsi="宋体" w:cs="宋体"/>
          <w:color w:val="auto"/>
          <w:sz w:val="21"/>
          <w:highlight w:val="none"/>
        </w:rPr>
        <w:t>：</w:t>
      </w:r>
      <w:r>
        <w:rPr>
          <w:rStyle w:val="94"/>
          <w:rFonts w:ascii="宋体" w:hAnsi="宋体"/>
          <w:color w:val="auto"/>
          <w:szCs w:val="21"/>
          <w:highlight w:val="none"/>
          <w:u w:val="single" w:color="000000"/>
        </w:rPr>
        <w:t xml:space="preserve">     </w:t>
      </w:r>
    </w:p>
    <w:p>
      <w:pPr>
        <w:snapToGrid w:val="0"/>
        <w:spacing w:before="0" w:after="0" w:afterLines="0"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投标人[公章(CA签章)、自然人除外]：</w:t>
      </w:r>
      <w:r>
        <w:rPr>
          <w:rStyle w:val="94"/>
          <w:rFonts w:ascii="宋体" w:hAnsi="宋体"/>
          <w:color w:val="auto"/>
          <w:szCs w:val="21"/>
          <w:highlight w:val="none"/>
          <w:u w:val="single" w:color="000000"/>
        </w:rPr>
        <w:t xml:space="preserve">     </w:t>
      </w:r>
    </w:p>
    <w:p>
      <w:pPr>
        <w:snapToGrid w:val="0"/>
        <w:spacing w:before="0" w:after="0" w:afterLines="0" w:line="360" w:lineRule="auto"/>
        <w:jc w:val="left"/>
        <w:rPr>
          <w:rFonts w:ascii="宋体" w:hAnsi="宋体" w:cs="宋体"/>
          <w:color w:val="auto"/>
          <w:szCs w:val="21"/>
          <w:highlight w:val="none"/>
        </w:rPr>
      </w:pPr>
      <w:r>
        <w:rPr>
          <w:rFonts w:hint="eastAsia" w:ascii="宋体" w:hAnsi="宋体" w:cs="宋体"/>
          <w:color w:val="auto"/>
          <w:sz w:val="21"/>
          <w:szCs w:val="21"/>
          <w:highlight w:val="none"/>
        </w:rPr>
        <w:t xml:space="preserve"> 年    月    日</w:t>
      </w:r>
    </w:p>
    <w:p>
      <w:pPr>
        <w:snapToGrid w:val="0"/>
        <w:spacing w:before="50" w:after="120" w:afterLines="50"/>
        <w:jc w:val="left"/>
        <w:rPr>
          <w:rFonts w:ascii="宋体" w:hAnsi="宋体" w:cs="宋体"/>
          <w:color w:val="auto"/>
          <w:sz w:val="24"/>
          <w:highlight w:val="none"/>
        </w:rPr>
      </w:pPr>
    </w:p>
    <w:p>
      <w:pPr>
        <w:pStyle w:val="5"/>
        <w:spacing w:before="120" w:beforeLines="50" w:after="50" w:line="360" w:lineRule="auto"/>
        <w:rPr>
          <w:rFonts w:ascii="宋体" w:hAnsi="宋体" w:cs="宋体"/>
          <w:color w:val="auto"/>
          <w:sz w:val="28"/>
          <w:szCs w:val="28"/>
          <w:highlight w:val="none"/>
        </w:rPr>
      </w:pPr>
      <w:r>
        <w:rPr>
          <w:rFonts w:hint="eastAsia" w:ascii="宋体" w:hAnsi="宋体" w:cs="宋体"/>
          <w:color w:val="auto"/>
          <w:sz w:val="24"/>
          <w:highlight w:val="none"/>
        </w:rPr>
        <w:br w:type="page"/>
      </w:r>
      <w:bookmarkStart w:id="162" w:name="_Toc19686838"/>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rPr>
        <w:t>、商务文件、技术文件格式</w:t>
      </w:r>
      <w:bookmarkEnd w:id="162"/>
    </w:p>
    <w:p>
      <w:pPr>
        <w:numPr>
          <w:ilvl w:val="0"/>
          <w:numId w:val="0"/>
        </w:numPr>
        <w:snapToGrid w:val="0"/>
        <w:spacing w:before="120" w:beforeLines="50" w:after="50" w:line="360" w:lineRule="auto"/>
        <w:jc w:val="left"/>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1.商务文件目录</w:t>
      </w:r>
    </w:p>
    <w:p>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pPr>
        <w:snapToGrid w:val="0"/>
        <w:spacing w:before="50" w:after="120" w:afterLines="50" w:line="360" w:lineRule="auto"/>
        <w:jc w:val="left"/>
        <w:rPr>
          <w:rFonts w:ascii="宋体" w:hAnsi="宋体" w:cs="宋体"/>
          <w:color w:val="auto"/>
          <w:highlight w:val="none"/>
        </w:rPr>
      </w:pPr>
    </w:p>
    <w:p>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2.投标人参加本项目无围标串标行为的承诺</w:t>
      </w:r>
    </w:p>
    <w:p>
      <w:pPr>
        <w:snapToGrid w:val="0"/>
        <w:spacing w:before="120" w:beforeLines="50" w:after="50"/>
        <w:ind w:left="420"/>
        <w:jc w:val="center"/>
        <w:rPr>
          <w:rFonts w:ascii="宋体" w:hAnsi="宋体" w:cs="宋体"/>
          <w:b/>
          <w:color w:val="auto"/>
          <w:sz w:val="32"/>
          <w:szCs w:val="32"/>
          <w:highlight w:val="none"/>
        </w:rPr>
      </w:pPr>
    </w:p>
    <w:p>
      <w:pPr>
        <w:snapToGrid w:val="0"/>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pPr>
        <w:snapToGrid w:val="0"/>
        <w:spacing w:before="120" w:beforeLines="50" w:after="50"/>
        <w:jc w:val="left"/>
        <w:rPr>
          <w:rFonts w:ascii="宋体" w:hAnsi="宋体" w:cs="宋体"/>
          <w:b/>
          <w:color w:val="auto"/>
          <w:sz w:val="24"/>
          <w:highlight w:val="none"/>
        </w:rPr>
      </w:pPr>
    </w:p>
    <w:p>
      <w:pPr>
        <w:snapToGrid w:val="0"/>
        <w:spacing w:before="120" w:beforeLines="50" w:after="5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一、我方承诺无下列相互串通投标的情形：</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1.不同投标人的投标文件由同一单位或者个人编制；或者不同投标人报名的IP地址一致的；</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2.不同投标人委托同一单位或者个人办理投标事宜；</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3.不同的投标人的投标文件载明的项目管理员为同一个人；</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4.不同投标人的投标文件异常一致或者投标报价呈规律性差异；</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5.不同投标人的投标文件相互混装；</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6.不同投标人的投标保证金从同一单位或者个人账户转出。</w:t>
      </w:r>
    </w:p>
    <w:p>
      <w:pPr>
        <w:snapToGrid w:val="0"/>
        <w:spacing w:before="120" w:beforeLines="50" w:after="50" w:line="360" w:lineRule="auto"/>
        <w:jc w:val="left"/>
        <w:rPr>
          <w:rFonts w:ascii="宋体" w:hAnsi="宋体" w:cs="宋体"/>
          <w:color w:val="auto"/>
          <w:sz w:val="21"/>
          <w:szCs w:val="21"/>
          <w:highlight w:val="none"/>
        </w:rPr>
      </w:pPr>
      <w:r>
        <w:rPr>
          <w:rFonts w:hint="eastAsia" w:ascii="宋体" w:hAnsi="宋体" w:cs="宋体"/>
          <w:b/>
          <w:color w:val="auto"/>
          <w:sz w:val="21"/>
          <w:szCs w:val="21"/>
          <w:highlight w:val="none"/>
        </w:rPr>
        <w:t>二、我方承诺无下列恶意串通的情形：</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1.投标人直接或者间接从采购人或者采购代理机构处获得其他投标人的相关信息并修改其投标文件或者响应文件；</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2.投标人按照采购人或者采购代理机构的授意撤换、修改投标文件或者响应文件；</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3.投标人之间协商报价、技术方案等投标文件或者响应文件的实质性内容；</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6.投标人之间商定部分投标人放弃参加政府采购活动或者放弃中标；</w:t>
      </w:r>
    </w:p>
    <w:p>
      <w:pPr>
        <w:snapToGrid w:val="0"/>
        <w:spacing w:before="120" w:beforeLines="50" w:after="50" w:line="360" w:lineRule="auto"/>
        <w:ind w:firstLine="411" w:firstLineChars="196"/>
        <w:jc w:val="left"/>
        <w:rPr>
          <w:rFonts w:ascii="宋体" w:hAnsi="宋体" w:cs="宋体"/>
          <w:color w:val="auto"/>
          <w:sz w:val="21"/>
          <w:szCs w:val="21"/>
          <w:highlight w:val="none"/>
        </w:rPr>
      </w:pPr>
      <w:r>
        <w:rPr>
          <w:rFonts w:hint="eastAsia" w:ascii="宋体" w:hAnsi="宋体" w:cs="宋体"/>
          <w:color w:val="auto"/>
          <w:sz w:val="21"/>
          <w:szCs w:val="21"/>
          <w:highlight w:val="none"/>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ascii="宋体" w:hAnsi="宋体" w:cs="宋体"/>
          <w:b/>
          <w:color w:val="auto"/>
          <w:sz w:val="21"/>
          <w:szCs w:val="21"/>
          <w:highlight w:val="none"/>
        </w:rPr>
      </w:pPr>
      <w:r>
        <w:rPr>
          <w:rFonts w:hint="eastAsia" w:ascii="宋体" w:hAnsi="宋体" w:cs="宋体"/>
          <w:b/>
          <w:color w:val="auto"/>
          <w:sz w:val="21"/>
          <w:szCs w:val="21"/>
          <w:highlight w:val="none"/>
        </w:rPr>
        <w:t>以上情形一经核查属实，我方愿意承担一切后果，并不再寻求任何旨在减轻或者免除法律责任的辩解。</w:t>
      </w:r>
    </w:p>
    <w:p>
      <w:pPr>
        <w:pStyle w:val="27"/>
        <w:snapToGrid w:val="0"/>
        <w:spacing w:before="295" w:after="295" w:line="360" w:lineRule="auto"/>
        <w:jc w:val="center"/>
        <w:rPr>
          <w:rFonts w:hAnsi="宋体" w:cs="宋体"/>
          <w:color w:val="auto"/>
          <w:sz w:val="21"/>
          <w:szCs w:val="21"/>
          <w:highlight w:val="none"/>
        </w:rPr>
      </w:pPr>
      <w:r>
        <w:rPr>
          <w:rFonts w:hint="eastAsia" w:hAnsi="宋体" w:cs="宋体"/>
          <w:color w:val="auto"/>
          <w:sz w:val="21"/>
          <w:szCs w:val="21"/>
          <w:highlight w:val="none"/>
        </w:rPr>
        <w:t xml:space="preserve">                               投标人名称</w:t>
      </w:r>
      <w:r>
        <w:rPr>
          <w:rFonts w:hint="eastAsia" w:hAnsi="宋体" w:cs="宋体"/>
          <w:bCs/>
          <w:color w:val="auto"/>
          <w:sz w:val="21"/>
          <w:szCs w:val="21"/>
          <w:highlight w:val="none"/>
        </w:rPr>
        <w:t>[公章(CA签章)、自然人除外]</w:t>
      </w:r>
      <w:r>
        <w:rPr>
          <w:rStyle w:val="94"/>
          <w:rFonts w:ascii="宋体" w:hAnsi="宋体"/>
          <w:color w:val="auto"/>
          <w:szCs w:val="21"/>
          <w:highlight w:val="none"/>
          <w:u w:val="single" w:color="000000"/>
        </w:rPr>
        <w:t xml:space="preserve">     </w:t>
      </w:r>
    </w:p>
    <w:p>
      <w:pPr>
        <w:pStyle w:val="27"/>
        <w:snapToGrid w:val="0"/>
        <w:spacing w:before="295" w:after="295" w:line="360" w:lineRule="auto"/>
        <w:jc w:val="right"/>
        <w:rPr>
          <w:rFonts w:hAnsi="宋体" w:cs="宋体"/>
          <w:color w:val="auto"/>
          <w:sz w:val="21"/>
          <w:highlight w:val="none"/>
        </w:rPr>
      </w:pPr>
      <w:r>
        <w:rPr>
          <w:rFonts w:hint="eastAsia" w:hAnsi="宋体" w:cs="宋体"/>
          <w:color w:val="auto"/>
          <w:sz w:val="21"/>
          <w:highlight w:val="none"/>
        </w:rPr>
        <w:t>年</w:t>
      </w:r>
      <w:r>
        <w:rPr>
          <w:rFonts w:hint="eastAsia" w:hAnsi="宋体" w:cs="宋体"/>
          <w:color w:val="auto"/>
          <w:sz w:val="21"/>
          <w:highlight w:val="none"/>
          <w:lang w:val="en-US" w:eastAsia="zh-CN"/>
        </w:rPr>
        <w:t xml:space="preserve">  </w:t>
      </w:r>
      <w:r>
        <w:rPr>
          <w:rFonts w:hint="eastAsia" w:hAnsi="宋体" w:cs="宋体"/>
          <w:color w:val="auto"/>
          <w:sz w:val="21"/>
          <w:highlight w:val="none"/>
        </w:rPr>
        <w:t>月</w:t>
      </w:r>
      <w:r>
        <w:rPr>
          <w:rFonts w:hint="eastAsia" w:hAnsi="宋体" w:cs="宋体"/>
          <w:color w:val="auto"/>
          <w:sz w:val="21"/>
          <w:highlight w:val="none"/>
          <w:lang w:val="en-US" w:eastAsia="zh-CN"/>
        </w:rPr>
        <w:t xml:space="preserve">  </w:t>
      </w:r>
      <w:r>
        <w:rPr>
          <w:rFonts w:hint="eastAsia" w:hAnsi="宋体" w:cs="宋体"/>
          <w:color w:val="auto"/>
          <w:sz w:val="21"/>
          <w:highlight w:val="none"/>
        </w:rPr>
        <w:t>日</w:t>
      </w:r>
    </w:p>
    <w:p>
      <w:pPr>
        <w:snapToGrid w:val="0"/>
        <w:spacing w:before="120" w:beforeLines="50" w:after="50"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 w:val="21"/>
          <w:szCs w:val="21"/>
          <w:highlight w:val="none"/>
        </w:rPr>
        <w:br w:type="page"/>
      </w:r>
      <w:r>
        <w:rPr>
          <w:rFonts w:hint="eastAsia" w:ascii="宋体" w:hAnsi="宋体" w:cs="宋体"/>
          <w:b/>
          <w:color w:val="auto"/>
          <w:sz w:val="24"/>
          <w:highlight w:val="none"/>
        </w:rPr>
        <w:t>3.</w:t>
      </w:r>
      <w:r>
        <w:rPr>
          <w:rFonts w:hint="eastAsia" w:ascii="宋体" w:hAnsi="宋体"/>
          <w:b/>
          <w:color w:val="auto"/>
          <w:sz w:val="24"/>
          <w:highlight w:val="none"/>
        </w:rPr>
        <w:t>法定代表人身份证明</w:t>
      </w:r>
    </w:p>
    <w:p>
      <w:pPr>
        <w:spacing w:before="240" w:beforeLines="100" w:after="120" w:afterLines="50"/>
        <w:ind w:left="540"/>
        <w:jc w:val="center"/>
        <w:rPr>
          <w:rFonts w:ascii="宋体" w:hAnsi="宋体" w:cs="宋体"/>
          <w:b/>
          <w:color w:val="auto"/>
          <w:sz w:val="32"/>
          <w:szCs w:val="32"/>
          <w:highlight w:val="none"/>
        </w:rPr>
      </w:pPr>
    </w:p>
    <w:p>
      <w:pPr>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投 标 人：</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姓    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性      别：</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u w:val="single"/>
        </w:rPr>
      </w:pPr>
      <w:r>
        <w:rPr>
          <w:rFonts w:hint="eastAsia" w:ascii="宋体" w:hAnsi="宋体"/>
          <w:color w:val="auto"/>
          <w:sz w:val="21"/>
          <w:szCs w:val="21"/>
          <w:highlight w:val="none"/>
        </w:rPr>
        <w:t>年    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身份证</w:t>
      </w:r>
      <w:r>
        <w:rPr>
          <w:rFonts w:hint="eastAsia"/>
          <w:color w:val="auto"/>
          <w:sz w:val="21"/>
          <w:szCs w:val="21"/>
          <w:highlight w:val="none"/>
        </w:rPr>
        <w:t>号码：</w:t>
      </w:r>
      <w:r>
        <w:rPr>
          <w:rFonts w:hint="eastAsia"/>
          <w:color w:val="auto"/>
          <w:sz w:val="21"/>
          <w:szCs w:val="21"/>
          <w:highlight w:val="none"/>
          <w:u w:val="single"/>
        </w:rPr>
        <w:t xml:space="preserve">                                 </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系</w:t>
      </w:r>
      <w:r>
        <w:rPr>
          <w:rFonts w:hint="eastAsia" w:ascii="宋体" w:hAnsi="宋体"/>
          <w:color w:val="auto"/>
          <w:sz w:val="21"/>
          <w:szCs w:val="21"/>
          <w:highlight w:val="none"/>
          <w:u w:val="single"/>
        </w:rPr>
        <w:t xml:space="preserve">            （投标人名称）              </w:t>
      </w:r>
      <w:r>
        <w:rPr>
          <w:rFonts w:hint="eastAsia" w:ascii="宋体" w:hAnsi="宋体"/>
          <w:color w:val="auto"/>
          <w:sz w:val="21"/>
          <w:szCs w:val="21"/>
          <w:highlight w:val="none"/>
        </w:rPr>
        <w:t>的法定代表人。</w:t>
      </w:r>
    </w:p>
    <w:p>
      <w:pPr>
        <w:spacing w:line="500" w:lineRule="exact"/>
        <w:ind w:left="540"/>
        <w:rPr>
          <w:rFonts w:hint="eastAsia" w:ascii="宋体" w:hAnsi="宋体"/>
          <w:color w:val="auto"/>
          <w:sz w:val="21"/>
          <w:szCs w:val="21"/>
          <w:highlight w:val="none"/>
        </w:rPr>
      </w:pPr>
      <w:r>
        <w:rPr>
          <w:rFonts w:hint="eastAsia" w:ascii="宋体" w:hAnsi="宋体"/>
          <w:color w:val="auto"/>
          <w:sz w:val="21"/>
          <w:szCs w:val="21"/>
          <w:highlight w:val="none"/>
        </w:rPr>
        <w:t>特此证明。</w:t>
      </w: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4"/>
          <w:highlight w:val="none"/>
        </w:rPr>
      </w:pPr>
    </w:p>
    <w:p>
      <w:pPr>
        <w:spacing w:line="500" w:lineRule="exact"/>
        <w:ind w:left="540"/>
        <w:rPr>
          <w:rFonts w:ascii="宋体" w:hAnsi="宋体" w:cs="宋体"/>
          <w:color w:val="auto"/>
          <w:sz w:val="21"/>
          <w:szCs w:val="21"/>
          <w:highlight w:val="none"/>
        </w:rPr>
      </w:pPr>
      <w:r>
        <w:rPr>
          <w:rFonts w:hint="eastAsia" w:ascii="宋体" w:hAnsi="宋体" w:cs="宋体"/>
          <w:color w:val="auto"/>
          <w:sz w:val="21"/>
          <w:szCs w:val="21"/>
          <w:highlight w:val="none"/>
        </w:rPr>
        <w:t>附件：法定代表人（负责人）有效身份证正反面复印件</w:t>
      </w:r>
    </w:p>
    <w:p>
      <w:pPr>
        <w:spacing w:line="500" w:lineRule="exact"/>
        <w:ind w:left="540"/>
        <w:rPr>
          <w:rFonts w:ascii="宋体" w:hAnsi="宋体" w:cs="宋体"/>
          <w:color w:val="auto"/>
          <w:sz w:val="24"/>
          <w:highlight w:val="none"/>
        </w:rPr>
      </w:pPr>
    </w:p>
    <w:p>
      <w:pPr>
        <w:spacing w:line="500" w:lineRule="exact"/>
        <w:ind w:left="540"/>
        <w:jc w:val="center"/>
        <w:rPr>
          <w:rStyle w:val="94"/>
          <w:rFonts w:hint="default" w:ascii="宋体" w:hAnsi="宋体"/>
          <w:color w:val="auto"/>
          <w:szCs w:val="21"/>
          <w:highlight w:val="none"/>
          <w:u w:val="single" w:color="000000"/>
          <w:lang w:val="en-US"/>
        </w:rPr>
      </w:pPr>
      <w:r>
        <w:rPr>
          <w:rFonts w:hint="eastAsia" w:ascii="宋体" w:hAnsi="宋体" w:cs="宋体"/>
          <w:color w:val="auto"/>
          <w:sz w:val="21"/>
          <w:szCs w:val="21"/>
          <w:highlight w:val="none"/>
        </w:rPr>
        <w:t>投标人名称</w:t>
      </w:r>
      <w:r>
        <w:rPr>
          <w:rFonts w:hint="eastAsia" w:ascii="宋体" w:hAnsi="宋体" w:cs="宋体"/>
          <w:bCs/>
          <w:color w:val="auto"/>
          <w:sz w:val="21"/>
          <w:szCs w:val="21"/>
          <w:highlight w:val="none"/>
        </w:rPr>
        <w:t>[公章(CA签章)、自然人除外]</w:t>
      </w:r>
      <w:r>
        <w:rPr>
          <w:rStyle w:val="94"/>
          <w:rFonts w:ascii="宋体" w:hAnsi="宋体"/>
          <w:color w:val="auto"/>
          <w:szCs w:val="21"/>
          <w:highlight w:val="none"/>
          <w:u w:val="single" w:color="000000"/>
        </w:rPr>
        <w:t xml:space="preserve"> </w:t>
      </w:r>
      <w:r>
        <w:rPr>
          <w:rStyle w:val="94"/>
          <w:rFonts w:hint="eastAsia" w:ascii="宋体" w:hAnsi="宋体"/>
          <w:color w:val="auto"/>
          <w:szCs w:val="21"/>
          <w:highlight w:val="none"/>
          <w:u w:val="single" w:color="000000"/>
          <w:lang w:val="en-US"/>
        </w:rPr>
        <w:t xml:space="preserve">                     </w:t>
      </w:r>
    </w:p>
    <w:p>
      <w:pPr>
        <w:snapToGrid w:val="0"/>
        <w:spacing w:before="120" w:beforeLines="50" w:after="50"/>
        <w:ind w:left="540"/>
        <w:jc w:val="right"/>
        <w:rPr>
          <w:rFonts w:ascii="宋体" w:hAnsi="宋体" w:cs="宋体"/>
          <w:color w:val="auto"/>
          <w:sz w:val="21"/>
          <w:szCs w:val="21"/>
          <w:highlight w:val="none"/>
        </w:rPr>
      </w:pP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pPr>
        <w:snapToGrid w:val="0"/>
        <w:spacing w:before="120" w:beforeLines="50" w:after="50"/>
        <w:jc w:val="center"/>
        <w:rPr>
          <w:rFonts w:ascii="宋体" w:hAnsi="宋体" w:cs="宋体"/>
          <w:b/>
          <w:color w:val="auto"/>
          <w:sz w:val="21"/>
          <w:szCs w:val="21"/>
          <w:highlight w:val="none"/>
        </w:rPr>
      </w:pPr>
    </w:p>
    <w:p>
      <w:pPr>
        <w:snapToGrid w:val="0"/>
        <w:spacing w:before="120" w:beforeLines="50" w:after="50"/>
        <w:jc w:val="left"/>
        <w:rPr>
          <w:rFonts w:ascii="宋体" w:hAnsi="宋体" w:cs="宋体"/>
          <w:b/>
          <w:color w:val="auto"/>
          <w:sz w:val="21"/>
          <w:szCs w:val="21"/>
          <w:highlight w:val="none"/>
        </w:rPr>
      </w:pPr>
      <w:r>
        <w:rPr>
          <w:rFonts w:hint="eastAsia" w:ascii="宋体" w:hAnsi="宋体" w:cs="宋体"/>
          <w:color w:val="auto"/>
          <w:sz w:val="21"/>
          <w:szCs w:val="21"/>
          <w:highlight w:val="none"/>
        </w:rPr>
        <w:t>注：自然人投标的无需提供</w:t>
      </w:r>
    </w:p>
    <w:p>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4.法定代表人授权委托书格式</w:t>
      </w:r>
    </w:p>
    <w:p>
      <w:pPr>
        <w:snapToGrid w:val="0"/>
        <w:spacing w:before="120" w:beforeLines="50" w:after="50"/>
        <w:jc w:val="center"/>
        <w:rPr>
          <w:rFonts w:ascii="宋体" w:hAnsi="宋体" w:cs="宋体"/>
          <w:b/>
          <w:color w:val="auto"/>
          <w:sz w:val="44"/>
          <w:szCs w:val="44"/>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pPr>
        <w:snapToGrid w:val="0"/>
        <w:spacing w:before="120" w:beforeLines="50" w:after="50"/>
        <w:jc w:val="center"/>
        <w:rPr>
          <w:rFonts w:ascii="宋体" w:hAnsi="宋体" w:cs="宋体"/>
          <w:b/>
          <w:color w:val="auto"/>
          <w:sz w:val="24"/>
          <w:highlight w:val="none"/>
        </w:rPr>
      </w:pPr>
    </w:p>
    <w:p>
      <w:pPr>
        <w:snapToGrid w:val="0"/>
        <w:spacing w:before="120" w:beforeLines="50" w:after="50" w:line="360" w:lineRule="auto"/>
        <w:rPr>
          <w:rFonts w:ascii="宋体" w:hAnsi="宋体" w:cs="宋体"/>
          <w:b/>
          <w:bCs/>
          <w:color w:val="auto"/>
          <w:sz w:val="21"/>
          <w:szCs w:val="21"/>
          <w:highlight w:val="none"/>
        </w:rPr>
      </w:pPr>
      <w:r>
        <w:rPr>
          <w:rFonts w:hint="eastAsia" w:ascii="宋体" w:hAnsi="宋体" w:cs="宋体"/>
          <w:bCs/>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我（姓名）系（投标人名称）的法定代表人（负责人），现授权委托</w:t>
      </w:r>
      <w:r>
        <w:rPr>
          <w:rFonts w:hint="eastAsia" w:ascii="宋体" w:hAnsi="宋体" w:cs="宋体"/>
          <w:color w:val="auto"/>
          <w:sz w:val="21"/>
          <w:szCs w:val="21"/>
          <w:highlight w:val="none"/>
          <w:u w:val="single"/>
        </w:rPr>
        <w:t xml:space="preserve">              （姓名）</w:t>
      </w:r>
      <w:r>
        <w:rPr>
          <w:rFonts w:hint="eastAsia" w:ascii="宋体" w:hAnsi="宋体" w:cs="宋体"/>
          <w:color w:val="auto"/>
          <w:sz w:val="21"/>
          <w:szCs w:val="21"/>
          <w:highlight w:val="none"/>
        </w:rPr>
        <w:t>以我方的名义参加项目的投标活动，并代表我方全权办理针对上述项目的所有采购程序和环节的具体事务和签署相关文件。</w:t>
      </w:r>
    </w:p>
    <w:p>
      <w:pPr>
        <w:snapToGrid w:val="0"/>
        <w:spacing w:before="120" w:beforeLines="50" w:after="5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我方对委托代理人的签字事项负全部责任。</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有效期：   年   月   日 至   年  月  日</w:t>
      </w:r>
      <w:r>
        <w:rPr>
          <w:rFonts w:hint="eastAsia" w:ascii="宋体" w:hAnsi="宋体" w:cs="宋体"/>
          <w:color w:val="auto"/>
          <w:sz w:val="21"/>
          <w:szCs w:val="21"/>
          <w:highlight w:val="none"/>
          <w:u w:val="single"/>
        </w:rPr>
        <w:t>。</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委托代理人无转委托权，特此委托。</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附：法定代表人（负责人）身份证明及委托代理人有效身份证正反面复印件及</w:t>
      </w:r>
      <w:r>
        <w:rPr>
          <w:rFonts w:hint="eastAsia" w:ascii="宋体" w:hAnsi="宋体" w:cs="宋体"/>
          <w:color w:val="auto"/>
          <w:sz w:val="21"/>
          <w:szCs w:val="21"/>
          <w:highlight w:val="none"/>
          <w:lang w:val="en-US" w:eastAsia="zh-CN"/>
        </w:rPr>
        <w:t>开标时间前半年</w:t>
      </w:r>
      <w:r>
        <w:rPr>
          <w:rFonts w:hint="eastAsia" w:ascii="宋体" w:hAnsi="宋体" w:cs="宋体"/>
          <w:color w:val="auto"/>
          <w:sz w:val="21"/>
          <w:szCs w:val="21"/>
          <w:highlight w:val="none"/>
        </w:rPr>
        <w:t>以来连续三个月或三个月以上社会保险证明复印件并加盖单位公章。</w:t>
      </w:r>
    </w:p>
    <w:p>
      <w:pPr>
        <w:snapToGrid w:val="0"/>
        <w:spacing w:before="120" w:beforeLines="50" w:after="50" w:line="360" w:lineRule="auto"/>
        <w:rPr>
          <w:rFonts w:ascii="宋体" w:hAnsi="宋体" w:cs="宋体"/>
          <w:color w:val="auto"/>
          <w:sz w:val="21"/>
          <w:szCs w:val="21"/>
          <w:highlight w:val="none"/>
        </w:rPr>
      </w:pP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line="360" w:lineRule="auto"/>
        <w:ind w:firstLine="420"/>
        <w:rPr>
          <w:rFonts w:ascii="宋体" w:hAnsi="宋体" w:cs="宋体"/>
          <w:color w:val="auto"/>
          <w:szCs w:val="21"/>
          <w:highlight w:val="none"/>
        </w:rPr>
      </w:pPr>
    </w:p>
    <w:p>
      <w:pPr>
        <w:snapToGri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r>
        <w:rPr>
          <w:rStyle w:val="94"/>
          <w:rFonts w:ascii="宋体" w:hAnsi="宋体"/>
          <w:color w:val="auto"/>
          <w:szCs w:val="21"/>
          <w:highlight w:val="none"/>
          <w:u w:val="single" w:color="000000"/>
        </w:rPr>
        <w:t xml:space="preserve">     </w:t>
      </w:r>
    </w:p>
    <w:p>
      <w:pPr>
        <w:snapToGrid w:val="0"/>
        <w:spacing w:line="360" w:lineRule="auto"/>
        <w:ind w:firstLine="420"/>
        <w:rPr>
          <w:rFonts w:ascii="宋体" w:hAnsi="宋体" w:cs="宋体"/>
          <w:color w:val="auto"/>
          <w:szCs w:val="21"/>
          <w:highlight w:val="none"/>
          <w:u w:val="single"/>
        </w:rPr>
      </w:pPr>
    </w:p>
    <w:p>
      <w:pPr>
        <w:snapToGrid w:val="0"/>
        <w:spacing w:line="360" w:lineRule="auto"/>
        <w:ind w:firstLine="420"/>
        <w:jc w:val="left"/>
        <w:rPr>
          <w:rFonts w:ascii="宋体" w:hAnsi="宋体" w:cs="宋体"/>
          <w:color w:val="auto"/>
          <w:sz w:val="21"/>
          <w:szCs w:val="21"/>
          <w:highlight w:val="none"/>
        </w:rPr>
      </w:pPr>
      <w:r>
        <w:rPr>
          <w:rFonts w:hint="eastAsia" w:ascii="宋体" w:hAnsi="宋体" w:cs="宋体"/>
          <w:color w:val="auto"/>
          <w:szCs w:val="21"/>
          <w:highlight w:val="none"/>
        </w:rPr>
        <w:t>法定代表人（负责人）签字（或私章或个人CA签章）：</w:t>
      </w:r>
      <w:r>
        <w:rPr>
          <w:rStyle w:val="94"/>
          <w:rFonts w:ascii="宋体" w:hAnsi="宋体"/>
          <w:color w:val="auto"/>
          <w:szCs w:val="21"/>
          <w:highlight w:val="none"/>
          <w:u w:val="single" w:color="000000"/>
        </w:rPr>
        <w:t xml:space="preserve">     </w:t>
      </w:r>
    </w:p>
    <w:p>
      <w:pPr>
        <w:snapToGrid w:val="0"/>
        <w:spacing w:line="360" w:lineRule="auto"/>
        <w:ind w:firstLine="420"/>
        <w:jc w:val="left"/>
        <w:rPr>
          <w:rFonts w:ascii="宋体" w:hAnsi="宋体" w:cs="宋体"/>
          <w:color w:val="auto"/>
          <w:sz w:val="21"/>
          <w:szCs w:val="21"/>
          <w:highlight w:val="none"/>
        </w:rPr>
      </w:pPr>
    </w:p>
    <w:p>
      <w:pPr>
        <w:snapToGrid w:val="0"/>
        <w:spacing w:line="360" w:lineRule="auto"/>
        <w:ind w:firstLine="420"/>
        <w:jc w:val="left"/>
        <w:rPr>
          <w:rFonts w:ascii="宋体" w:hAnsi="宋体" w:cs="宋体"/>
          <w:color w:val="auto"/>
          <w:sz w:val="21"/>
          <w:szCs w:val="21"/>
          <w:highlight w:val="none"/>
        </w:rPr>
      </w:pPr>
      <w:r>
        <w:rPr>
          <w:rFonts w:hint="eastAsia" w:ascii="宋体" w:hAnsi="宋体" w:cs="宋体"/>
          <w:color w:val="auto"/>
          <w:sz w:val="21"/>
          <w:szCs w:val="21"/>
          <w:highlight w:val="none"/>
        </w:rPr>
        <w:t>年    月    日</w:t>
      </w:r>
    </w:p>
    <w:p>
      <w:pPr>
        <w:snapToGrid w:val="0"/>
        <w:spacing w:before="120" w:beforeLines="50" w:after="50"/>
        <w:jc w:val="center"/>
        <w:rPr>
          <w:rFonts w:ascii="宋体" w:hAnsi="宋体" w:cs="宋体"/>
          <w:color w:val="auto"/>
          <w:sz w:val="24"/>
          <w:highlight w:val="none"/>
        </w:rPr>
      </w:pPr>
    </w:p>
    <w:p>
      <w:pPr>
        <w:snapToGrid w:val="0"/>
        <w:spacing w:before="120"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pPr>
        <w:snapToGrid w:val="0"/>
        <w:spacing w:before="120"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pPr>
        <w:snapToGrid w:val="0"/>
        <w:spacing w:before="120"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pPr>
        <w:snapToGrid w:val="0"/>
        <w:spacing w:before="120" w:beforeLines="50" w:after="50" w:line="360" w:lineRule="auto"/>
        <w:jc w:val="left"/>
        <w:rPr>
          <w:rFonts w:ascii="宋体" w:hAnsi="宋体" w:cs="宋体"/>
          <w:color w:val="auto"/>
          <w:sz w:val="21"/>
          <w:szCs w:val="21"/>
          <w:highlight w:val="none"/>
        </w:rPr>
      </w:pPr>
      <w:r>
        <w:rPr>
          <w:rFonts w:hint="eastAsia" w:ascii="宋体" w:hAnsi="宋体" w:cs="宋体"/>
          <w:bCs/>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 xml:space="preserve">根据 </w:t>
      </w:r>
      <w:r>
        <w:rPr>
          <w:rFonts w:hint="eastAsia" w:ascii="宋体" w:hAnsi="宋体" w:cs="宋体"/>
          <w:color w:val="auto"/>
          <w:sz w:val="21"/>
          <w:szCs w:val="21"/>
          <w:highlight w:val="none"/>
          <w:u w:val="single"/>
        </w:rPr>
        <w:t xml:space="preserve"> （牵头人名称）</w:t>
      </w:r>
      <w:r>
        <w:rPr>
          <w:rFonts w:hint="eastAsia" w:ascii="宋体" w:hAnsi="宋体" w:cs="宋体"/>
          <w:color w:val="auto"/>
          <w:sz w:val="21"/>
          <w:szCs w:val="21"/>
          <w:highlight w:val="none"/>
        </w:rPr>
        <w:t>与</w:t>
      </w:r>
      <w:r>
        <w:rPr>
          <w:rFonts w:hint="eastAsia" w:ascii="宋体" w:hAnsi="宋体" w:cs="宋体"/>
          <w:color w:val="auto"/>
          <w:sz w:val="21"/>
          <w:szCs w:val="21"/>
          <w:highlight w:val="none"/>
          <w:u w:val="single"/>
        </w:rPr>
        <w:t>（联合体其他成员名称）</w:t>
      </w:r>
      <w:r>
        <w:rPr>
          <w:rFonts w:hint="eastAsia" w:ascii="宋体" w:hAnsi="宋体" w:cs="宋体"/>
          <w:color w:val="auto"/>
          <w:sz w:val="21"/>
          <w:szCs w:val="21"/>
          <w:highlight w:val="none"/>
        </w:rPr>
        <w:t>签订的《联合体投标协议书》的内容，</w:t>
      </w:r>
      <w:r>
        <w:rPr>
          <w:rFonts w:hint="eastAsia" w:ascii="宋体" w:hAnsi="宋体" w:cs="宋体"/>
          <w:color w:val="auto"/>
          <w:sz w:val="21"/>
          <w:szCs w:val="21"/>
          <w:highlight w:val="none"/>
          <w:u w:val="single"/>
        </w:rPr>
        <w:t>（牵头人名称）</w:t>
      </w:r>
      <w:r>
        <w:rPr>
          <w:rFonts w:hint="eastAsia" w:ascii="宋体" w:hAnsi="宋体" w:cs="宋体"/>
          <w:color w:val="auto"/>
          <w:sz w:val="21"/>
          <w:szCs w:val="21"/>
          <w:highlight w:val="none"/>
        </w:rPr>
        <w:t>的法定代表人</w:t>
      </w:r>
      <w:r>
        <w:rPr>
          <w:rFonts w:hint="eastAsia" w:ascii="宋体" w:hAnsi="宋体" w:cs="宋体"/>
          <w:color w:val="auto"/>
          <w:sz w:val="21"/>
          <w:szCs w:val="21"/>
          <w:highlight w:val="none"/>
          <w:u w:val="single"/>
        </w:rPr>
        <w:t>（姓名）</w:t>
      </w:r>
      <w:r>
        <w:rPr>
          <w:rFonts w:hint="eastAsia" w:ascii="宋体" w:hAnsi="宋体" w:cs="宋体"/>
          <w:color w:val="auto"/>
          <w:sz w:val="21"/>
          <w:szCs w:val="21"/>
          <w:highlight w:val="none"/>
        </w:rPr>
        <w:t>现授权委托</w:t>
      </w:r>
      <w:r>
        <w:rPr>
          <w:rFonts w:hint="eastAsia" w:ascii="宋体" w:hAnsi="宋体" w:cs="宋体"/>
          <w:color w:val="auto"/>
          <w:sz w:val="21"/>
          <w:szCs w:val="21"/>
          <w:highlight w:val="none"/>
          <w:u w:val="single"/>
        </w:rPr>
        <w:t xml:space="preserve">              （姓名）</w:t>
      </w:r>
      <w:r>
        <w:rPr>
          <w:rFonts w:hint="eastAsia" w:ascii="宋体" w:hAnsi="宋体" w:cs="宋体"/>
          <w:color w:val="auto"/>
          <w:sz w:val="21"/>
          <w:szCs w:val="21"/>
          <w:highlight w:val="none"/>
        </w:rPr>
        <w:t>以我方的名义参加项目的投标活动，并代表我方全权办理针对上述项目的所有采购程序和环节的具体事务和签署相关文件。</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我方对委托代理人的签字事项负全部责任。</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u w:val="single"/>
          <w:lang w:val="en-US" w:eastAsia="zh-CN"/>
        </w:rPr>
        <w:t>有效期：   年   月   日 至   年  月  日</w:t>
      </w:r>
      <w:r>
        <w:rPr>
          <w:rFonts w:hint="eastAsia" w:ascii="宋体" w:hAnsi="宋体" w:cs="宋体"/>
          <w:color w:val="auto"/>
          <w:sz w:val="21"/>
          <w:szCs w:val="21"/>
          <w:highlight w:val="none"/>
          <w:u w:val="single"/>
        </w:rPr>
        <w:t>。</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委托代理人无转委托权，特此委托。</w:t>
      </w:r>
    </w:p>
    <w:p>
      <w:pPr>
        <w:snapToGrid w:val="0"/>
        <w:spacing w:before="120" w:beforeLines="50" w:after="5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附：法定代表人（负责人）身份证明及委托代理人有效身份证正反面复印件及</w:t>
      </w:r>
      <w:r>
        <w:rPr>
          <w:rFonts w:hint="eastAsia" w:ascii="宋体" w:hAnsi="宋体" w:cs="宋体"/>
          <w:color w:val="auto"/>
          <w:sz w:val="21"/>
          <w:szCs w:val="21"/>
          <w:highlight w:val="none"/>
          <w:lang w:val="en-US" w:eastAsia="zh-CN"/>
        </w:rPr>
        <w:t>开标时间前半年</w:t>
      </w:r>
      <w:r>
        <w:rPr>
          <w:rFonts w:hint="eastAsia" w:ascii="宋体" w:hAnsi="宋体" w:cs="宋体"/>
          <w:color w:val="auto"/>
          <w:sz w:val="21"/>
          <w:szCs w:val="21"/>
          <w:highlight w:val="none"/>
        </w:rPr>
        <w:t>以来连续三个月或三个月以上社会保险证明复印件并加盖单位公章。</w:t>
      </w:r>
    </w:p>
    <w:p>
      <w:pPr>
        <w:snapToGrid w:val="0"/>
        <w:spacing w:before="120" w:beforeLines="50" w:after="50" w:line="360" w:lineRule="auto"/>
        <w:ind w:firstLine="495" w:firstLineChars="236"/>
        <w:rPr>
          <w:rFonts w:ascii="宋体" w:hAnsi="宋体" w:cs="宋体"/>
          <w:color w:val="auto"/>
          <w:sz w:val="21"/>
          <w:szCs w:val="21"/>
          <w:highlight w:val="none"/>
        </w:rPr>
      </w:pPr>
    </w:p>
    <w:p>
      <w:pPr>
        <w:snapToGrid w:val="0"/>
        <w:spacing w:before="120" w:beforeLines="50" w:after="50" w:line="360" w:lineRule="auto"/>
        <w:ind w:firstLine="495" w:firstLineChars="236"/>
        <w:rPr>
          <w:rFonts w:ascii="宋体" w:hAnsi="宋体" w:cs="宋体"/>
          <w:color w:val="auto"/>
          <w:sz w:val="21"/>
          <w:szCs w:val="21"/>
          <w:highlight w:val="none"/>
        </w:rPr>
      </w:pPr>
    </w:p>
    <w:p>
      <w:pPr>
        <w:pStyle w:val="27"/>
        <w:spacing w:line="360" w:lineRule="auto"/>
        <w:ind w:firstLine="420"/>
        <w:rPr>
          <w:rFonts w:hAnsi="宋体" w:cs="宋体"/>
          <w:color w:val="auto"/>
          <w:sz w:val="21"/>
          <w:highlight w:val="none"/>
        </w:rPr>
      </w:pPr>
      <w:r>
        <w:rPr>
          <w:rFonts w:hint="eastAsia" w:hAnsi="宋体" w:cs="宋体"/>
          <w:color w:val="auto"/>
          <w:sz w:val="21"/>
          <w:highlight w:val="none"/>
        </w:rPr>
        <w:t>牵头人法定代表人</w:t>
      </w:r>
      <w:r>
        <w:rPr>
          <w:rFonts w:hint="eastAsia" w:hAnsi="宋体" w:cs="宋体"/>
          <w:color w:val="auto"/>
          <w:sz w:val="21"/>
          <w:szCs w:val="21"/>
          <w:highlight w:val="none"/>
        </w:rPr>
        <w:t>签字[或盖章(CA签章)]</w:t>
      </w:r>
      <w:r>
        <w:rPr>
          <w:rFonts w:hint="eastAsia" w:hAnsi="宋体" w:cs="宋体"/>
          <w:color w:val="auto"/>
          <w:sz w:val="21"/>
          <w:highlight w:val="none"/>
        </w:rPr>
        <w:t>：</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牵头人[公章(CA签章)、自然人除外]：</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pPr>
        <w:snapToGrid w:val="0"/>
        <w:spacing w:before="120" w:beforeLines="50" w:after="50" w:line="360" w:lineRule="auto"/>
        <w:ind w:firstLine="495" w:firstLineChars="236"/>
        <w:rPr>
          <w:rFonts w:ascii="宋体" w:hAnsi="宋体" w:cs="宋体"/>
          <w:color w:val="auto"/>
          <w:sz w:val="21"/>
          <w:szCs w:val="21"/>
          <w:highlight w:val="none"/>
        </w:rPr>
      </w:pP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被授权人（签字）：</w:t>
      </w:r>
      <w:r>
        <w:rPr>
          <w:rStyle w:val="94"/>
          <w:rFonts w:ascii="宋体" w:hAnsi="宋体"/>
          <w:color w:val="auto"/>
          <w:szCs w:val="21"/>
          <w:highlight w:val="none"/>
          <w:u w:val="single" w:color="000000"/>
        </w:rPr>
        <w:t xml:space="preserve">     </w:t>
      </w:r>
    </w:p>
    <w:p>
      <w:pPr>
        <w:snapToGrid w:val="0"/>
        <w:spacing w:before="120" w:beforeLines="50" w:after="50" w:line="360" w:lineRule="auto"/>
        <w:ind w:firstLine="495" w:firstLineChars="236"/>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pPr>
        <w:rPr>
          <w:rFonts w:ascii="宋体" w:hAnsi="宋体" w:cs="宋体"/>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b/>
          <w:color w:val="auto"/>
          <w:sz w:val="24"/>
          <w:szCs w:val="20"/>
          <w:highlight w:val="none"/>
        </w:rPr>
      </w:pPr>
      <w:r>
        <w:rPr>
          <w:rFonts w:hint="eastAsia" w:ascii="宋体" w:hAnsi="宋体" w:cs="宋体"/>
          <w:b/>
          <w:color w:val="auto"/>
          <w:sz w:val="24"/>
          <w:highlight w:val="none"/>
        </w:rPr>
        <w:t>5.商务条款偏离表格式(注：按项目需求表具体项目修改)</w:t>
      </w:r>
    </w:p>
    <w:p>
      <w:pPr>
        <w:snapToGrid w:val="0"/>
        <w:spacing w:before="50"/>
        <w:jc w:val="left"/>
        <w:rPr>
          <w:rFonts w:ascii="宋体" w:hAnsi="宋体" w:cs="宋体"/>
          <w:color w:val="auto"/>
          <w:sz w:val="24"/>
          <w:highlight w:val="none"/>
        </w:rPr>
      </w:pPr>
    </w:p>
    <w:p>
      <w:pPr>
        <w:snapToGrid w:val="0"/>
        <w:spacing w:before="50"/>
        <w:jc w:val="left"/>
        <w:rPr>
          <w:rFonts w:ascii="宋体" w:hAnsi="宋体" w:cs="宋体"/>
          <w:color w:val="auto"/>
          <w:sz w:val="24"/>
          <w:highlight w:val="none"/>
          <w:u w:val="single"/>
        </w:rPr>
      </w:pPr>
    </w:p>
    <w:tbl>
      <w:tblPr>
        <w:tblStyle w:val="49"/>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4"/>
        <w:gridCol w:w="3162"/>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8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w:t>
            </w:r>
          </w:p>
        </w:tc>
        <w:tc>
          <w:tcPr>
            <w:tcW w:w="316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s="宋体"/>
                <w:color w:val="auto"/>
                <w:sz w:val="21"/>
                <w:szCs w:val="21"/>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jc w:val="center"/>
              <w:rPr>
                <w:rFonts w:ascii="宋体" w:hAnsi="宋体" w:cs="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1"/>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s="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16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ascii="宋体" w:hAnsi="宋体" w:cs="宋体"/>
                <w:color w:val="auto"/>
                <w:sz w:val="21"/>
                <w:szCs w:val="21"/>
                <w:highlight w:val="none"/>
              </w:rPr>
            </w:pPr>
          </w:p>
        </w:tc>
      </w:tr>
    </w:tbl>
    <w:p>
      <w:pPr>
        <w:pStyle w:val="13"/>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pPr>
        <w:pStyle w:val="1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pPr>
        <w:pStyle w:val="13"/>
        <w:spacing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pPr>
        <w:snapToGrid w:val="0"/>
        <w:spacing w:before="50" w:after="50" w:line="360" w:lineRule="auto"/>
        <w:rPr>
          <w:rFonts w:ascii="宋体" w:hAnsi="宋体" w:cs="宋体"/>
          <w:color w:val="auto"/>
          <w:sz w:val="21"/>
          <w:szCs w:val="21"/>
          <w:highlight w:val="none"/>
        </w:rPr>
      </w:pPr>
    </w:p>
    <w:p>
      <w:pPr>
        <w:pStyle w:val="27"/>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szCs w:val="21"/>
          <w:highlight w:val="none"/>
        </w:rPr>
        <w:t>[或盖章(CA签章)]（属自然人的应在签名处加盖大拇指指印或个人CA签章）</w:t>
      </w:r>
      <w:r>
        <w:rPr>
          <w:rFonts w:hint="eastAsia" w:hAnsi="宋体" w:cs="宋体"/>
          <w:color w:val="auto"/>
          <w:spacing w:val="20"/>
          <w:sz w:val="21"/>
          <w:highlight w:val="none"/>
        </w:rPr>
        <w:t>：</w:t>
      </w:r>
      <w:r>
        <w:rPr>
          <w:rStyle w:val="94"/>
          <w:rFonts w:ascii="宋体" w:hAnsi="宋体"/>
          <w:color w:val="auto"/>
          <w:szCs w:val="21"/>
          <w:highlight w:val="none"/>
          <w:u w:val="single" w:color="000000"/>
        </w:rPr>
        <w:t xml:space="preserve">     </w:t>
      </w:r>
    </w:p>
    <w:p>
      <w:pPr>
        <w:snapToGrid w:val="0"/>
        <w:spacing w:before="120" w:beforeLines="50" w:line="360" w:lineRule="auto"/>
        <w:rPr>
          <w:rFonts w:ascii="宋体" w:hAnsi="宋体" w:cs="宋体"/>
          <w:color w:val="auto"/>
          <w:spacing w:val="20"/>
          <w:sz w:val="21"/>
          <w:szCs w:val="21"/>
          <w:highlight w:val="none"/>
        </w:rPr>
      </w:pPr>
      <w:r>
        <w:rPr>
          <w:rFonts w:hint="eastAsia" w:ascii="宋体" w:hAnsi="宋体" w:cs="宋体"/>
          <w:color w:val="auto"/>
          <w:spacing w:val="20"/>
          <w:sz w:val="21"/>
          <w:szCs w:val="21"/>
          <w:highlight w:val="none"/>
        </w:rPr>
        <w:t>投标人</w:t>
      </w:r>
      <w:r>
        <w:rPr>
          <w:rFonts w:hint="eastAsia" w:ascii="宋体" w:hAnsi="宋体" w:cs="宋体"/>
          <w:bCs/>
          <w:color w:val="auto"/>
          <w:sz w:val="21"/>
          <w:szCs w:val="21"/>
          <w:highlight w:val="none"/>
        </w:rPr>
        <w:t>[公章(CA签章)、自然人除外]</w:t>
      </w:r>
      <w:r>
        <w:rPr>
          <w:rFonts w:hint="eastAsia" w:ascii="宋体" w:hAnsi="宋体" w:cs="宋体"/>
          <w:color w:val="auto"/>
          <w:spacing w:val="20"/>
          <w:sz w:val="21"/>
          <w:szCs w:val="21"/>
          <w:highlight w:val="none"/>
        </w:rPr>
        <w:t>：</w:t>
      </w:r>
      <w:r>
        <w:rPr>
          <w:rStyle w:val="94"/>
          <w:rFonts w:ascii="宋体" w:hAnsi="宋体"/>
          <w:color w:val="auto"/>
          <w:szCs w:val="21"/>
          <w:highlight w:val="none"/>
          <w:u w:val="single" w:color="000000"/>
        </w:rPr>
        <w:t xml:space="preserve">     </w:t>
      </w:r>
    </w:p>
    <w:p>
      <w:pPr>
        <w:snapToGrid w:val="0"/>
        <w:spacing w:before="50" w:line="360" w:lineRule="auto"/>
        <w:ind w:right="480"/>
        <w:jc w:val="left"/>
        <w:rPr>
          <w:rFonts w:ascii="宋体" w:hAnsi="宋体" w:cs="宋体"/>
          <w:color w:val="auto"/>
          <w:sz w:val="21"/>
          <w:szCs w:val="21"/>
          <w:highlight w:val="none"/>
          <w:u w:val="single"/>
        </w:rPr>
      </w:pPr>
      <w:r>
        <w:rPr>
          <w:rFonts w:hint="eastAsia" w:ascii="宋体" w:hAnsi="宋体" w:cs="宋体"/>
          <w:color w:val="auto"/>
          <w:spacing w:val="20"/>
          <w:sz w:val="21"/>
          <w:szCs w:val="21"/>
          <w:highlight w:val="none"/>
        </w:rPr>
        <w:t>日  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年    月    日</w:t>
      </w:r>
    </w:p>
    <w:p>
      <w:pPr>
        <w:snapToGrid w:val="0"/>
        <w:spacing w:before="120" w:beforeLines="50" w:line="360" w:lineRule="auto"/>
        <w:rPr>
          <w:rFonts w:ascii="宋体" w:hAnsi="宋体" w:cs="宋体"/>
          <w:color w:val="auto"/>
          <w:sz w:val="24"/>
          <w:szCs w:val="20"/>
          <w:highlight w:val="none"/>
        </w:rPr>
      </w:pPr>
    </w:p>
    <w:p>
      <w:pPr>
        <w:snapToGrid w:val="0"/>
        <w:spacing w:before="120" w:beforeLines="50"/>
        <w:rPr>
          <w:rFonts w:ascii="宋体" w:hAnsi="宋体" w:cs="宋体"/>
          <w:color w:val="auto"/>
          <w:sz w:val="24"/>
          <w:szCs w:val="20"/>
          <w:highlight w:val="none"/>
        </w:rPr>
      </w:pPr>
    </w:p>
    <w:p>
      <w:pPr>
        <w:snapToGrid w:val="0"/>
        <w:spacing w:before="120" w:beforeLines="50" w:after="50"/>
        <w:jc w:val="left"/>
        <w:rPr>
          <w:rFonts w:ascii="宋体" w:hAnsi="宋体" w:cs="宋体"/>
          <w:color w:val="auto"/>
          <w:sz w:val="24"/>
          <w:szCs w:val="20"/>
          <w:highlight w:val="none"/>
        </w:rPr>
        <w:sectPr>
          <w:footerReference r:id="rId9" w:type="first"/>
          <w:headerReference r:id="rId6" w:type="default"/>
          <w:footerReference r:id="rId7" w:type="default"/>
          <w:footerReference r:id="rId8" w:type="even"/>
          <w:pgSz w:w="11906" w:h="16838"/>
          <w:pgMar w:top="1417" w:right="1417" w:bottom="1417" w:left="1418" w:header="851" w:footer="992" w:gutter="0"/>
          <w:cols w:space="0" w:num="1"/>
          <w:rtlGutter w:val="0"/>
          <w:docGrid w:linePitch="312" w:charSpace="0"/>
        </w:sectPr>
      </w:pPr>
    </w:p>
    <w:p>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.投标人业绩证明材料</w:t>
      </w:r>
    </w:p>
    <w:p>
      <w:pPr>
        <w:pStyle w:val="38"/>
        <w:snapToGrid w:val="0"/>
        <w:ind w:left="480" w:hanging="480"/>
        <w:rPr>
          <w:rFonts w:hint="eastAsia" w:ascii="宋体" w:hAnsi="宋体"/>
          <w:color w:val="auto"/>
          <w:sz w:val="24"/>
          <w:highlight w:val="none"/>
        </w:rPr>
      </w:pPr>
    </w:p>
    <w:p>
      <w:pPr>
        <w:pStyle w:val="38"/>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auto"/>
                <w:sz w:val="24"/>
                <w:highlight w:val="none"/>
              </w:rPr>
            </w:pPr>
          </w:p>
        </w:tc>
      </w:tr>
    </w:tbl>
    <w:p>
      <w:pPr>
        <w:pStyle w:val="21"/>
        <w:spacing w:before="0" w:after="0" w:line="360" w:lineRule="auto"/>
        <w:contextualSpacing/>
        <w:rPr>
          <w:rFonts w:hint="eastAsia" w:ascii="宋体" w:hAnsi="宋体" w:eastAsia="宋体"/>
          <w:color w:val="auto"/>
          <w:sz w:val="24"/>
          <w:szCs w:val="24"/>
          <w:highlight w:val="none"/>
        </w:rPr>
      </w:pPr>
    </w:p>
    <w:p>
      <w:pPr>
        <w:pStyle w:val="21"/>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注：投标人根据评标标准具体要求附业绩证明材料。</w:t>
      </w:r>
    </w:p>
    <w:p>
      <w:pPr>
        <w:pStyle w:val="27"/>
        <w:spacing w:line="320" w:lineRule="exact"/>
        <w:rPr>
          <w:rFonts w:hint="eastAsia" w:hAnsi="宋体" w:cs="宋体"/>
          <w:color w:val="auto"/>
          <w:sz w:val="24"/>
          <w:szCs w:val="24"/>
          <w:highlight w:val="none"/>
        </w:rPr>
      </w:pPr>
    </w:p>
    <w:p>
      <w:pPr>
        <w:pStyle w:val="27"/>
        <w:spacing w:line="320" w:lineRule="exact"/>
        <w:rPr>
          <w:rFonts w:hint="eastAsia" w:hAnsi="宋体" w:cs="宋体"/>
          <w:color w:val="auto"/>
          <w:sz w:val="24"/>
          <w:szCs w:val="24"/>
          <w:highlight w:val="none"/>
        </w:rPr>
      </w:pPr>
    </w:p>
    <w:p>
      <w:pPr>
        <w:pStyle w:val="27"/>
        <w:spacing w:line="360" w:lineRule="auto"/>
        <w:rPr>
          <w:rFonts w:hAnsi="宋体" w:cs="宋体"/>
          <w:color w:val="auto"/>
          <w:sz w:val="21"/>
          <w:szCs w:val="21"/>
          <w:highlight w:val="none"/>
          <w:u w:val="single"/>
        </w:rPr>
      </w:pPr>
      <w:r>
        <w:rPr>
          <w:rFonts w:hint="eastAsia" w:hAnsi="宋体" w:cs="宋体"/>
          <w:color w:val="auto"/>
          <w:sz w:val="21"/>
          <w:szCs w:val="21"/>
          <w:highlight w:val="none"/>
        </w:rPr>
        <w:t>法定代表人或者委托代理人签字[或盖章(CA签章)]（属自然人的应在签名处加盖大拇指指印或个人CA签章）：</w:t>
      </w:r>
      <w:r>
        <w:rPr>
          <w:rFonts w:hint="eastAsia" w:hAnsi="宋体" w:cs="宋体"/>
          <w:color w:val="auto"/>
          <w:sz w:val="21"/>
          <w:szCs w:val="21"/>
          <w:highlight w:val="none"/>
          <w:u w:val="single"/>
        </w:rPr>
        <w:t>　　　　　</w:t>
      </w:r>
    </w:p>
    <w:p>
      <w:pPr>
        <w:snapToGrid w:val="0"/>
        <w:spacing w:before="50" w:line="360" w:lineRule="auto"/>
        <w:ind w:right="480"/>
        <w:jc w:val="left"/>
        <w:rPr>
          <w:rStyle w:val="94"/>
          <w:rFonts w:ascii="宋体" w:hAnsi="宋体"/>
          <w:color w:val="auto"/>
          <w:szCs w:val="21"/>
          <w:highlight w:val="none"/>
          <w:u w:val="single" w:color="000000"/>
        </w:rPr>
      </w:pPr>
      <w:r>
        <w:rPr>
          <w:rFonts w:hint="eastAsia" w:ascii="宋体" w:hAnsi="宋体" w:cs="宋体"/>
          <w:color w:val="auto"/>
          <w:sz w:val="21"/>
          <w:szCs w:val="21"/>
          <w:highlight w:val="none"/>
        </w:rPr>
        <w:t xml:space="preserve">投标人[公章(CA签章)、自然人除外]： </w:t>
      </w:r>
      <w:r>
        <w:rPr>
          <w:rStyle w:val="94"/>
          <w:rFonts w:ascii="宋体" w:hAnsi="宋体"/>
          <w:color w:val="auto"/>
          <w:szCs w:val="21"/>
          <w:highlight w:val="none"/>
          <w:u w:val="single" w:color="000000"/>
        </w:rPr>
        <w:t xml:space="preserve">     </w:t>
      </w:r>
    </w:p>
    <w:p>
      <w:pPr>
        <w:snapToGrid w:val="0"/>
        <w:spacing w:before="50" w:line="360" w:lineRule="auto"/>
        <w:ind w:right="480"/>
        <w:jc w:val="left"/>
        <w:rPr>
          <w:rFonts w:ascii="宋体" w:hAnsi="宋体" w:cs="宋体"/>
          <w:color w:val="auto"/>
          <w:sz w:val="21"/>
          <w:szCs w:val="21"/>
          <w:highlight w:val="none"/>
          <w:u w:val="single"/>
        </w:rPr>
      </w:pPr>
      <w:r>
        <w:rPr>
          <w:rFonts w:hint="eastAsia" w:ascii="宋体" w:hAnsi="宋体" w:cs="宋体"/>
          <w:color w:val="auto"/>
          <w:sz w:val="21"/>
          <w:szCs w:val="21"/>
          <w:highlight w:val="none"/>
          <w:lang w:val="en-US" w:eastAsia="zh-CN"/>
        </w:rPr>
        <w:t>日期：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年    月    日</w:t>
      </w:r>
    </w:p>
    <w:p>
      <w:pPr>
        <w:snapToGrid w:val="0"/>
        <w:spacing w:before="120"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120" w:beforeLines="50" w:after="50" w:line="360" w:lineRule="auto"/>
        <w:ind w:left="142"/>
        <w:jc w:val="left"/>
        <w:rPr>
          <w:rFonts w:hint="default"/>
          <w:color w:val="auto"/>
          <w:highlight w:val="none"/>
          <w:lang w:val="en-US"/>
        </w:rPr>
      </w:pPr>
      <w:bookmarkStart w:id="163" w:name="_Toc19686839"/>
      <w:r>
        <w:rPr>
          <w:rFonts w:hint="eastAsia" w:ascii="Times New Roman" w:hAnsi="Times New Roman" w:eastAsia="宋体" w:cs="Times New Roman"/>
          <w:b/>
          <w:bCs/>
          <w:color w:val="auto"/>
          <w:sz w:val="28"/>
          <w:szCs w:val="28"/>
          <w:highlight w:val="none"/>
          <w:lang w:val="en-US" w:eastAsia="zh-CN"/>
        </w:rPr>
        <w:t>四、技术文件格式</w:t>
      </w:r>
    </w:p>
    <w:bookmarkEnd w:id="163"/>
    <w:p>
      <w:pPr>
        <w:snapToGrid w:val="0"/>
        <w:spacing w:before="120" w:beforeLines="50" w:after="50" w:line="360" w:lineRule="auto"/>
        <w:ind w:left="142"/>
        <w:jc w:val="left"/>
        <w:rPr>
          <w:rFonts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 技术文件目录</w:t>
      </w:r>
    </w:p>
    <w:p>
      <w:pPr>
        <w:snapToGrid w:val="0"/>
        <w:spacing w:before="50" w:after="120" w:afterLines="50" w:line="360" w:lineRule="auto"/>
        <w:ind w:left="283" w:leftChars="135"/>
        <w:jc w:val="left"/>
        <w:rPr>
          <w:rFonts w:ascii="宋体" w:hAnsi="宋体" w:cs="宋体"/>
          <w:color w:val="auto"/>
          <w:sz w:val="24"/>
          <w:highlight w:val="none"/>
        </w:rPr>
      </w:pPr>
      <w:r>
        <w:rPr>
          <w:rFonts w:hint="eastAsia" w:ascii="宋体" w:hAnsi="宋体" w:cs="宋体"/>
          <w:color w:val="auto"/>
          <w:sz w:val="24"/>
          <w:highlight w:val="none"/>
        </w:rPr>
        <w:t>根据招标文件规定及投标人提供的材料自行编写目录。</w:t>
      </w:r>
    </w:p>
    <w:p>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2. </w:t>
      </w:r>
      <w:r>
        <w:rPr>
          <w:rFonts w:hint="eastAsia" w:ascii="宋体" w:hAnsi="宋体"/>
          <w:b/>
          <w:color w:val="auto"/>
          <w:sz w:val="24"/>
          <w:highlight w:val="none"/>
        </w:rPr>
        <w:t>服务需求</w:t>
      </w:r>
      <w:r>
        <w:rPr>
          <w:rFonts w:hint="eastAsia" w:ascii="宋体" w:hAnsi="宋体" w:cs="宋体"/>
          <w:b/>
          <w:color w:val="auto"/>
          <w:sz w:val="24"/>
          <w:highlight w:val="none"/>
        </w:rPr>
        <w:t>偏离表格式</w:t>
      </w:r>
    </w:p>
    <w:p>
      <w:pPr>
        <w:snapToGrid w:val="0"/>
        <w:spacing w:before="120" w:beforeLines="50" w:after="50"/>
        <w:ind w:left="142"/>
        <w:jc w:val="left"/>
        <w:rPr>
          <w:rFonts w:ascii="宋体" w:hAnsi="宋体" w:cs="宋体"/>
          <w:b/>
          <w:color w:val="auto"/>
          <w:sz w:val="24"/>
          <w:highlight w:val="none"/>
        </w:rPr>
      </w:pPr>
    </w:p>
    <w:p>
      <w:pPr>
        <w:snapToGrid w:val="0"/>
        <w:spacing w:before="120" w:beforeLines="50" w:after="50"/>
        <w:ind w:left="142"/>
        <w:jc w:val="center"/>
        <w:rPr>
          <w:rFonts w:ascii="宋体" w:hAnsi="宋体" w:cs="宋体"/>
          <w:b/>
          <w:color w:val="auto"/>
          <w:sz w:val="32"/>
          <w:szCs w:val="32"/>
          <w:highlight w:val="none"/>
        </w:rPr>
      </w:pPr>
      <w:r>
        <w:rPr>
          <w:rFonts w:hint="eastAsia" w:ascii="宋体" w:hAnsi="宋体"/>
          <w:b/>
          <w:color w:val="auto"/>
          <w:sz w:val="32"/>
          <w:szCs w:val="32"/>
          <w:highlight w:val="none"/>
        </w:rPr>
        <w:t>服务需求</w:t>
      </w:r>
      <w:r>
        <w:rPr>
          <w:rFonts w:hint="eastAsia" w:ascii="宋体" w:hAnsi="宋体" w:cs="宋体"/>
          <w:b/>
          <w:color w:val="auto"/>
          <w:sz w:val="32"/>
          <w:szCs w:val="32"/>
          <w:highlight w:val="none"/>
        </w:rPr>
        <w:t>偏离表</w:t>
      </w:r>
    </w:p>
    <w:tbl>
      <w:tblPr>
        <w:tblStyle w:val="4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7"/>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pPr>
              <w:pStyle w:val="27"/>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pPr>
              <w:pStyle w:val="27"/>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招标要求</w:t>
            </w:r>
          </w:p>
        </w:tc>
        <w:tc>
          <w:tcPr>
            <w:tcW w:w="2181" w:type="dxa"/>
            <w:vAlign w:val="center"/>
          </w:tcPr>
          <w:p>
            <w:pPr>
              <w:pStyle w:val="27"/>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pPr>
              <w:pStyle w:val="27"/>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jc w:val="center"/>
              <w:rPr>
                <w:rFonts w:hAnsi="宋体" w:cs="宋体"/>
                <w:color w:val="auto"/>
                <w:kern w:val="2"/>
                <w:sz w:val="24"/>
                <w:szCs w:val="24"/>
                <w:highlight w:val="none"/>
              </w:rPr>
            </w:pPr>
          </w:p>
        </w:tc>
        <w:tc>
          <w:tcPr>
            <w:tcW w:w="2143" w:type="dxa"/>
            <w:vAlign w:val="center"/>
          </w:tcPr>
          <w:p>
            <w:pPr>
              <w:pStyle w:val="27"/>
              <w:spacing w:line="600" w:lineRule="exact"/>
              <w:jc w:val="center"/>
              <w:rPr>
                <w:rFonts w:hAnsi="宋体" w:cs="宋体"/>
                <w:color w:val="auto"/>
                <w:kern w:val="2"/>
                <w:sz w:val="24"/>
                <w:szCs w:val="24"/>
                <w:highlight w:val="none"/>
              </w:rPr>
            </w:pPr>
          </w:p>
        </w:tc>
        <w:tc>
          <w:tcPr>
            <w:tcW w:w="1834" w:type="dxa"/>
            <w:vAlign w:val="center"/>
          </w:tcPr>
          <w:p>
            <w:pPr>
              <w:pStyle w:val="27"/>
              <w:spacing w:line="600" w:lineRule="exact"/>
              <w:jc w:val="center"/>
              <w:rPr>
                <w:rFonts w:hAnsi="宋体" w:cs="宋体"/>
                <w:color w:val="auto"/>
                <w:kern w:val="2"/>
                <w:sz w:val="24"/>
                <w:szCs w:val="24"/>
                <w:highlight w:val="none"/>
              </w:rPr>
            </w:pPr>
          </w:p>
        </w:tc>
        <w:tc>
          <w:tcPr>
            <w:tcW w:w="2181" w:type="dxa"/>
            <w:vAlign w:val="center"/>
          </w:tcPr>
          <w:p>
            <w:pPr>
              <w:pStyle w:val="27"/>
              <w:spacing w:line="600" w:lineRule="exact"/>
              <w:jc w:val="center"/>
              <w:rPr>
                <w:rFonts w:hAnsi="宋体" w:cs="宋体"/>
                <w:color w:val="auto"/>
                <w:kern w:val="2"/>
                <w:sz w:val="24"/>
                <w:szCs w:val="24"/>
                <w:highlight w:val="none"/>
              </w:rPr>
            </w:pPr>
          </w:p>
        </w:tc>
        <w:tc>
          <w:tcPr>
            <w:tcW w:w="1934" w:type="dxa"/>
            <w:vAlign w:val="center"/>
          </w:tcPr>
          <w:p>
            <w:pPr>
              <w:pStyle w:val="27"/>
              <w:spacing w:line="600" w:lineRule="exact"/>
              <w:jc w:val="center"/>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7"/>
              <w:spacing w:line="600" w:lineRule="exact"/>
              <w:rPr>
                <w:rFonts w:hAnsi="宋体" w:cs="宋体"/>
                <w:color w:val="auto"/>
                <w:kern w:val="2"/>
                <w:sz w:val="24"/>
                <w:szCs w:val="24"/>
                <w:highlight w:val="none"/>
              </w:rPr>
            </w:pPr>
          </w:p>
        </w:tc>
        <w:tc>
          <w:tcPr>
            <w:tcW w:w="2143" w:type="dxa"/>
          </w:tcPr>
          <w:p>
            <w:pPr>
              <w:pStyle w:val="27"/>
              <w:spacing w:line="600" w:lineRule="exact"/>
              <w:rPr>
                <w:rFonts w:hAnsi="宋体" w:cs="宋体"/>
                <w:color w:val="auto"/>
                <w:kern w:val="2"/>
                <w:sz w:val="24"/>
                <w:szCs w:val="24"/>
                <w:highlight w:val="none"/>
              </w:rPr>
            </w:pPr>
          </w:p>
        </w:tc>
        <w:tc>
          <w:tcPr>
            <w:tcW w:w="1834" w:type="dxa"/>
          </w:tcPr>
          <w:p>
            <w:pPr>
              <w:pStyle w:val="27"/>
              <w:spacing w:line="600" w:lineRule="exact"/>
              <w:rPr>
                <w:rFonts w:hAnsi="宋体" w:cs="宋体"/>
                <w:color w:val="auto"/>
                <w:kern w:val="2"/>
                <w:sz w:val="24"/>
                <w:szCs w:val="24"/>
                <w:highlight w:val="none"/>
              </w:rPr>
            </w:pPr>
          </w:p>
        </w:tc>
        <w:tc>
          <w:tcPr>
            <w:tcW w:w="2181" w:type="dxa"/>
          </w:tcPr>
          <w:p>
            <w:pPr>
              <w:pStyle w:val="27"/>
              <w:spacing w:line="600" w:lineRule="exact"/>
              <w:rPr>
                <w:rFonts w:hAnsi="宋体" w:cs="宋体"/>
                <w:color w:val="auto"/>
                <w:kern w:val="2"/>
                <w:sz w:val="24"/>
                <w:szCs w:val="24"/>
                <w:highlight w:val="none"/>
              </w:rPr>
            </w:pPr>
          </w:p>
        </w:tc>
        <w:tc>
          <w:tcPr>
            <w:tcW w:w="1934" w:type="dxa"/>
          </w:tcPr>
          <w:p>
            <w:pPr>
              <w:pStyle w:val="27"/>
              <w:spacing w:line="600" w:lineRule="exact"/>
              <w:rPr>
                <w:rFonts w:hAnsi="宋体" w:cs="宋体"/>
                <w:color w:val="auto"/>
                <w:kern w:val="2"/>
                <w:sz w:val="24"/>
                <w:szCs w:val="24"/>
                <w:highlight w:val="none"/>
              </w:rPr>
            </w:pPr>
          </w:p>
        </w:tc>
      </w:tr>
    </w:tbl>
    <w:p>
      <w:pPr>
        <w:pStyle w:val="13"/>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采购需求”中的技术需求逐条实质性响应，并作出偏离说明。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2.投标人应根据投标设备的性能指标，对照招标文件要求，在“偏离说明”中注明“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bCs/>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bCs/>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bCs/>
          <w:color w:val="auto"/>
          <w:sz w:val="21"/>
          <w:szCs w:val="21"/>
          <w:highlight w:val="none"/>
        </w:rPr>
        <w:t>”。</w:t>
      </w:r>
    </w:p>
    <w:p>
      <w:pPr>
        <w:spacing w:line="360" w:lineRule="auto"/>
        <w:rPr>
          <w:rFonts w:hint="eastAsia" w:ascii="宋体" w:hAnsi="宋体" w:eastAsia="宋体" w:cs="宋体"/>
          <w:color w:val="auto"/>
          <w:spacing w:val="0"/>
          <w:sz w:val="21"/>
          <w:szCs w:val="21"/>
          <w:highlight w:val="none"/>
        </w:rPr>
      </w:pPr>
    </w:p>
    <w:p>
      <w:pPr>
        <w:spacing w:line="360" w:lineRule="auto"/>
        <w:rPr>
          <w:rFonts w:hint="eastAsia" w:ascii="宋体" w:hAnsi="宋体" w:eastAsia="宋体" w:cs="宋体"/>
          <w:color w:val="auto"/>
          <w:spacing w:val="0"/>
          <w:szCs w:val="21"/>
          <w:highlight w:val="none"/>
          <w:u w:val="none"/>
        </w:rPr>
      </w:pPr>
      <w:r>
        <w:rPr>
          <w:rFonts w:hint="eastAsia" w:ascii="宋体" w:hAnsi="宋体" w:eastAsia="宋体" w:cs="宋体"/>
          <w:color w:val="auto"/>
          <w:spacing w:val="0"/>
          <w:kern w:val="0"/>
          <w:sz w:val="21"/>
          <w:szCs w:val="21"/>
          <w:highlight w:val="none"/>
        </w:rPr>
        <w:t>法定代表人或者委托代理人签字[或盖章(CA签章)]</w:t>
      </w:r>
      <w:r>
        <w:rPr>
          <w:rFonts w:hint="eastAsia" w:ascii="宋体" w:hAnsi="宋体" w:eastAsia="宋体" w:cs="宋体"/>
          <w:color w:val="auto"/>
          <w:spacing w:val="0"/>
          <w:sz w:val="21"/>
          <w:szCs w:val="21"/>
          <w:highlight w:val="none"/>
        </w:rPr>
        <w:t>（属自然人的应在签名处加盖大拇指指印或个人CA签章）</w:t>
      </w:r>
      <w:r>
        <w:rPr>
          <w:rFonts w:hint="eastAsia" w:ascii="宋体" w:hAnsi="宋体" w:eastAsia="宋体" w:cs="宋体"/>
          <w:color w:val="auto"/>
          <w:spacing w:val="0"/>
          <w:szCs w:val="21"/>
          <w:highlight w:val="none"/>
        </w:rPr>
        <w:t>：</w:t>
      </w:r>
      <w:r>
        <w:rPr>
          <w:rStyle w:val="94"/>
          <w:rFonts w:ascii="宋体" w:hAnsi="宋体"/>
          <w:color w:val="auto"/>
          <w:szCs w:val="21"/>
          <w:highlight w:val="none"/>
          <w:u w:val="single" w:color="000000"/>
        </w:rPr>
        <w:t xml:space="preserve">     </w:t>
      </w:r>
    </w:p>
    <w:p>
      <w:pPr>
        <w:snapToGrid/>
        <w:spacing w:before="0" w:after="0" w:line="360" w:lineRule="auto"/>
        <w:rPr>
          <w:rFonts w:hint="eastAsia" w:ascii="宋体" w:hAnsi="宋体" w:cs="宋体"/>
          <w:color w:val="auto"/>
          <w:spacing w:val="0"/>
          <w:szCs w:val="21"/>
          <w:highlight w:val="none"/>
        </w:rPr>
      </w:pPr>
      <w:r>
        <w:rPr>
          <w:rFonts w:hint="eastAsia" w:ascii="宋体" w:hAnsi="宋体" w:cs="宋体"/>
          <w:color w:val="auto"/>
          <w:spacing w:val="0"/>
          <w:szCs w:val="21"/>
          <w:highlight w:val="none"/>
        </w:rPr>
        <w:t>投标人[公章(CA签章)、自然人除外]：</w:t>
      </w:r>
      <w:r>
        <w:rPr>
          <w:rStyle w:val="94"/>
          <w:rFonts w:ascii="宋体" w:hAnsi="宋体"/>
          <w:color w:val="auto"/>
          <w:szCs w:val="21"/>
          <w:highlight w:val="none"/>
          <w:u w:val="single" w:color="000000"/>
        </w:rPr>
        <w:t xml:space="preserve">     </w:t>
      </w:r>
    </w:p>
    <w:p>
      <w:pPr>
        <w:snapToGrid w:val="0"/>
        <w:spacing w:before="50" w:line="360" w:lineRule="auto"/>
        <w:ind w:right="480"/>
        <w:jc w:val="left"/>
        <w:rPr>
          <w:rFonts w:ascii="宋体" w:hAnsi="宋体" w:cs="宋体"/>
          <w:color w:val="auto"/>
          <w:sz w:val="21"/>
          <w:szCs w:val="21"/>
          <w:highlight w:val="none"/>
          <w:u w:val="single"/>
        </w:rPr>
      </w:pPr>
      <w:r>
        <w:rPr>
          <w:rFonts w:hint="eastAsia" w:ascii="宋体" w:hAnsi="宋体" w:cs="宋体"/>
          <w:color w:val="auto"/>
          <w:spacing w:val="0"/>
          <w:szCs w:val="21"/>
          <w:highlight w:val="none"/>
        </w:rPr>
        <w:t>日 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年    月    日</w:t>
      </w:r>
    </w:p>
    <w:p>
      <w:pPr>
        <w:snapToGrid/>
        <w:spacing w:before="0" w:after="0" w:line="360" w:lineRule="auto"/>
        <w:rPr>
          <w:rFonts w:hint="eastAsia" w:ascii="宋体" w:hAnsi="宋体" w:cs="宋体"/>
          <w:color w:val="auto"/>
          <w:spacing w:val="0"/>
          <w:szCs w:val="21"/>
          <w:highlight w:val="none"/>
          <w:u w:val="none"/>
        </w:rPr>
      </w:pPr>
    </w:p>
    <w:p>
      <w:pPr>
        <w:snapToGrid/>
        <w:spacing w:before="0" w:after="0" w:line="360" w:lineRule="auto"/>
        <w:rPr>
          <w:rFonts w:hint="eastAsia" w:ascii="宋体" w:hAnsi="宋体" w:cs="宋体"/>
          <w:color w:val="auto"/>
          <w:szCs w:val="21"/>
          <w:highlight w:val="none"/>
        </w:rPr>
      </w:pPr>
    </w:p>
    <w:p>
      <w:pPr>
        <w:snapToGrid/>
        <w:spacing w:before="0" w:beforeLines="-2147483648" w:after="0" w:line="360" w:lineRule="auto"/>
        <w:ind w:left="0"/>
        <w:jc w:val="left"/>
        <w:rPr>
          <w:rFonts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color w:val="auto"/>
          <w:highlight w:val="none"/>
        </w:rPr>
        <w:t>3. 项目实施人员一览表格式</w:t>
      </w:r>
    </w:p>
    <w:p>
      <w:pPr>
        <w:snapToGrid w:val="0"/>
        <w:spacing w:before="120" w:beforeLines="50" w:after="50"/>
        <w:ind w:left="142"/>
        <w:jc w:val="left"/>
        <w:rPr>
          <w:rFonts w:ascii="宋体" w:hAnsi="宋体" w:cs="宋体"/>
          <w:b/>
          <w:color w:val="auto"/>
          <w:sz w:val="24"/>
          <w:highlight w:val="none"/>
        </w:rPr>
      </w:pPr>
    </w:p>
    <w:p>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4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709"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职务</w:t>
            </w:r>
          </w:p>
        </w:tc>
        <w:tc>
          <w:tcPr>
            <w:tcW w:w="1701"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专业技术资格（职称）或者职业资格或者执业资格证或者其他证书</w:t>
            </w:r>
          </w:p>
        </w:tc>
        <w:tc>
          <w:tcPr>
            <w:tcW w:w="1420"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证书编号</w:t>
            </w:r>
          </w:p>
        </w:tc>
        <w:tc>
          <w:tcPr>
            <w:tcW w:w="1698"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参加本单位</w:t>
            </w:r>
          </w:p>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工作时间</w:t>
            </w:r>
          </w:p>
        </w:tc>
        <w:tc>
          <w:tcPr>
            <w:tcW w:w="1843" w:type="dxa"/>
            <w:vAlign w:val="center"/>
          </w:tcPr>
          <w:p>
            <w:pPr>
              <w:snapToGrid w:val="0"/>
              <w:spacing w:before="50" w:after="120" w:afterLines="5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709"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701"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420"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698"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843" w:type="dxa"/>
            <w:vAlign w:val="center"/>
          </w:tcPr>
          <w:p>
            <w:pPr>
              <w:snapToGrid w:val="0"/>
              <w:spacing w:before="50" w:after="120" w:afterLines="50"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709"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701"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420"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698"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843" w:type="dxa"/>
            <w:vAlign w:val="center"/>
          </w:tcPr>
          <w:p>
            <w:pPr>
              <w:snapToGrid w:val="0"/>
              <w:spacing w:before="50" w:after="120" w:afterLines="50" w:line="36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709"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701"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420"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698" w:type="dxa"/>
            <w:vAlign w:val="center"/>
          </w:tcPr>
          <w:p>
            <w:pPr>
              <w:snapToGrid w:val="0"/>
              <w:spacing w:before="50" w:after="120" w:afterLines="50" w:line="360" w:lineRule="auto"/>
              <w:jc w:val="center"/>
              <w:rPr>
                <w:rFonts w:ascii="宋体" w:hAnsi="宋体" w:cs="宋体"/>
                <w:color w:val="auto"/>
                <w:sz w:val="21"/>
                <w:szCs w:val="21"/>
                <w:highlight w:val="none"/>
              </w:rPr>
            </w:pPr>
          </w:p>
        </w:tc>
        <w:tc>
          <w:tcPr>
            <w:tcW w:w="1843" w:type="dxa"/>
            <w:vAlign w:val="center"/>
          </w:tcPr>
          <w:p>
            <w:pPr>
              <w:snapToGrid w:val="0"/>
              <w:spacing w:before="50" w:after="120" w:afterLines="50" w:line="360" w:lineRule="auto"/>
              <w:jc w:val="center"/>
              <w:rPr>
                <w:rFonts w:ascii="宋体" w:hAnsi="宋体" w:cs="宋体"/>
                <w:color w:val="auto"/>
                <w:sz w:val="21"/>
                <w:szCs w:val="21"/>
                <w:highlight w:val="none"/>
              </w:rPr>
            </w:pPr>
          </w:p>
        </w:tc>
      </w:tr>
    </w:tbl>
    <w:p>
      <w:p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注：在填写时，如本表格不适合投标单位的实际情况，可根据本表格式自行制表填写。</w:t>
      </w:r>
    </w:p>
    <w:p>
      <w:pPr>
        <w:snapToGrid w:val="0"/>
        <w:spacing w:before="50" w:after="50" w:line="360" w:lineRule="auto"/>
        <w:rPr>
          <w:rFonts w:ascii="宋体" w:hAnsi="宋体" w:cs="宋体"/>
          <w:color w:val="auto"/>
          <w:szCs w:val="21"/>
          <w:highlight w:val="none"/>
        </w:rPr>
      </w:pPr>
    </w:p>
    <w:p>
      <w:pPr>
        <w:snapToGrid w:val="0"/>
        <w:spacing w:before="50" w:after="50" w:line="360" w:lineRule="auto"/>
        <w:rPr>
          <w:rFonts w:ascii="宋体" w:hAnsi="宋体" w:cs="宋体"/>
          <w:color w:val="auto"/>
          <w:szCs w:val="21"/>
          <w:highlight w:val="none"/>
        </w:rPr>
      </w:pPr>
    </w:p>
    <w:p>
      <w:pPr>
        <w:pStyle w:val="27"/>
        <w:spacing w:line="360" w:lineRule="auto"/>
        <w:rPr>
          <w:rFonts w:hAnsi="宋体" w:cs="宋体"/>
          <w:color w:val="auto"/>
          <w:spacing w:val="20"/>
          <w:sz w:val="21"/>
          <w:highlight w:val="none"/>
          <w:u w:val="single"/>
        </w:rPr>
      </w:pPr>
      <w:r>
        <w:rPr>
          <w:rFonts w:hint="eastAsia" w:hAnsi="宋体" w:cs="宋体"/>
          <w:color w:val="auto"/>
          <w:spacing w:val="20"/>
          <w:kern w:val="2"/>
          <w:sz w:val="21"/>
          <w:highlight w:val="none"/>
        </w:rPr>
        <w:t>法定代表人或者委托代理人签字[或盖章(CA签章)]</w:t>
      </w:r>
      <w:r>
        <w:rPr>
          <w:rFonts w:hint="eastAsia" w:hAnsi="宋体" w:cs="宋体"/>
          <w:color w:val="auto"/>
          <w:spacing w:val="20"/>
          <w:sz w:val="21"/>
          <w:highlight w:val="none"/>
        </w:rPr>
        <w:t>（属自然人的应在签名处加盖大拇指指印或个人CA签章）：</w:t>
      </w:r>
      <w:r>
        <w:rPr>
          <w:rStyle w:val="94"/>
          <w:rFonts w:ascii="宋体" w:hAnsi="宋体"/>
          <w:color w:val="auto"/>
          <w:szCs w:val="21"/>
          <w:highlight w:val="none"/>
          <w:u w:val="single" w:color="000000"/>
        </w:rPr>
        <w:t xml:space="preserve">     </w:t>
      </w:r>
    </w:p>
    <w:p>
      <w:pPr>
        <w:snapToGrid w:val="0"/>
        <w:spacing w:before="50" w:after="120" w:afterLines="50" w:line="360" w:lineRule="auto"/>
        <w:jc w:val="left"/>
        <w:rPr>
          <w:rFonts w:ascii="宋体" w:hAnsi="宋体" w:cs="宋体"/>
          <w:color w:val="auto"/>
          <w:spacing w:val="20"/>
          <w:szCs w:val="21"/>
          <w:highlight w:val="none"/>
        </w:rPr>
      </w:pPr>
      <w:r>
        <w:rPr>
          <w:rFonts w:hint="eastAsia" w:ascii="宋体" w:hAnsi="宋体" w:cs="宋体"/>
          <w:color w:val="auto"/>
          <w:spacing w:val="20"/>
          <w:szCs w:val="21"/>
          <w:highlight w:val="none"/>
        </w:rPr>
        <w:t>投标人[公章(CA签章)、自然人除外]：</w:t>
      </w:r>
      <w:r>
        <w:rPr>
          <w:rStyle w:val="94"/>
          <w:rFonts w:ascii="宋体" w:hAnsi="宋体"/>
          <w:color w:val="auto"/>
          <w:szCs w:val="21"/>
          <w:highlight w:val="none"/>
          <w:u w:val="single" w:color="000000"/>
        </w:rPr>
        <w:t xml:space="preserve">     </w:t>
      </w:r>
    </w:p>
    <w:p>
      <w:pPr>
        <w:snapToGrid w:val="0"/>
        <w:spacing w:before="50" w:line="360" w:lineRule="auto"/>
        <w:ind w:right="480"/>
        <w:jc w:val="left"/>
        <w:rPr>
          <w:rFonts w:ascii="宋体" w:hAnsi="宋体" w:cs="宋体"/>
          <w:color w:val="auto"/>
          <w:sz w:val="21"/>
          <w:szCs w:val="21"/>
          <w:highlight w:val="none"/>
          <w:u w:val="single"/>
        </w:rPr>
      </w:pPr>
      <w:r>
        <w:rPr>
          <w:rFonts w:hint="eastAsia" w:ascii="宋体" w:hAnsi="宋体" w:cs="宋体"/>
          <w:color w:val="auto"/>
          <w:spacing w:val="20"/>
          <w:sz w:val="21"/>
          <w:szCs w:val="21"/>
          <w:highlight w:val="none"/>
        </w:rPr>
        <w:t>日  期：</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年    月    日</w:t>
      </w:r>
    </w:p>
    <w:p>
      <w:pPr>
        <w:snapToGrid w:val="0"/>
        <w:spacing w:before="50" w:after="120" w:afterLines="50" w:line="360" w:lineRule="auto"/>
        <w:jc w:val="left"/>
        <w:rPr>
          <w:rFonts w:ascii="宋体" w:hAnsi="宋体" w:cs="宋体"/>
          <w:color w:val="auto"/>
          <w:szCs w:val="21"/>
          <w:highlight w:val="none"/>
        </w:rPr>
      </w:pPr>
    </w:p>
    <w:p>
      <w:pPr>
        <w:pStyle w:val="5"/>
        <w:spacing w:before="120" w:beforeLines="50" w:after="50"/>
        <w:rPr>
          <w:rFonts w:ascii="宋体" w:hAnsi="宋体" w:cs="宋体"/>
          <w:color w:val="auto"/>
          <w:sz w:val="28"/>
          <w:szCs w:val="28"/>
          <w:highlight w:val="none"/>
        </w:rPr>
      </w:pPr>
      <w:r>
        <w:rPr>
          <w:rFonts w:hint="eastAsia" w:ascii="宋体" w:hAnsi="宋体" w:cs="宋体"/>
          <w:b/>
          <w:color w:val="auto"/>
          <w:sz w:val="24"/>
          <w:highlight w:val="none"/>
        </w:rPr>
        <w:br w:type="page"/>
      </w:r>
      <w:bookmarkStart w:id="164" w:name="_Toc19686840"/>
      <w:r>
        <w:rPr>
          <w:rFonts w:hint="eastAsia" w:ascii="宋体" w:hAnsi="宋体" w:cs="宋体"/>
          <w:color w:val="auto"/>
          <w:sz w:val="28"/>
          <w:szCs w:val="28"/>
          <w:highlight w:val="none"/>
        </w:rPr>
        <w:t>五、其他文书、文件格式</w:t>
      </w:r>
      <w:bookmarkEnd w:id="164"/>
    </w:p>
    <w:p>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联合投标协议书格式</w:t>
      </w:r>
    </w:p>
    <w:p>
      <w:pPr>
        <w:pStyle w:val="8"/>
        <w:overflowPunct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pPr>
        <w:rPr>
          <w:color w:val="auto"/>
          <w:highlight w:val="none"/>
        </w:rPr>
      </w:pPr>
    </w:p>
    <w:p>
      <w:pPr>
        <w:pStyle w:val="8"/>
        <w:overflowPunct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（项</w:t>
      </w:r>
      <w:r>
        <w:rPr>
          <w:rFonts w:hint="eastAsia" w:ascii="宋体" w:hAnsi="宋体" w:cs="宋体"/>
          <w:color w:val="auto"/>
          <w:szCs w:val="21"/>
          <w:highlight w:val="none"/>
        </w:rPr>
        <w:t>目名称）采购招标项目投标。现就联合体投标事宜订立如下协议。</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ab/>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（联合体名称）牵头人。</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5.本协议书自所有成员单位法定代表人或者其委托代理人签字或者盖公章之日起生效，合同履行完毕后自动失效。</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份，联合体成员和招标人各执一份。</w:t>
      </w:r>
    </w:p>
    <w:p>
      <w:pPr>
        <w:pStyle w:val="8"/>
        <w:overflowPunct w:val="0"/>
        <w:spacing w:line="360" w:lineRule="auto"/>
        <w:ind w:firstLine="0"/>
        <w:rPr>
          <w:rFonts w:hint="eastAsia" w:ascii="宋体" w:hAnsi="宋体" w:cs="宋体"/>
          <w:color w:val="auto"/>
          <w:szCs w:val="21"/>
          <w:highlight w:val="none"/>
        </w:rPr>
      </w:pP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证明；由委托代理人签字的，应附授权委托书。</w:t>
      </w:r>
    </w:p>
    <w:p>
      <w:pPr>
        <w:pStyle w:val="8"/>
        <w:overflowPunct w:val="0"/>
        <w:spacing w:line="360" w:lineRule="auto"/>
        <w:ind w:firstLine="367" w:firstLineChars="175"/>
        <w:rPr>
          <w:rFonts w:hint="eastAsia" w:ascii="宋体" w:hAnsi="宋体" w:cs="宋体"/>
          <w:color w:val="auto"/>
          <w:szCs w:val="21"/>
          <w:highlight w:val="none"/>
        </w:rPr>
      </w:pP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联合体牵头人名称[公章(CA签章)、自然人除外]：</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ascii="宋体" w:hAnsi="宋体" w:cs="宋体"/>
          <w:color w:val="auto"/>
          <w:spacing w:val="20"/>
          <w:szCs w:val="21"/>
          <w:highlight w:val="none"/>
        </w:rPr>
        <w:t>[或盖章(CA签章)]（属自然人的应在签名处加盖大拇指指印或个人CA签章</w:t>
      </w:r>
    </w:p>
    <w:p>
      <w:pPr>
        <w:pStyle w:val="8"/>
        <w:overflowPunct w:val="0"/>
        <w:spacing w:line="360" w:lineRule="auto"/>
        <w:ind w:firstLine="367" w:firstLineChars="175"/>
        <w:rPr>
          <w:rFonts w:hint="eastAsia" w:ascii="宋体" w:hAnsi="宋体" w:cs="宋体"/>
          <w:color w:val="auto"/>
          <w:szCs w:val="21"/>
          <w:highlight w:val="none"/>
        </w:rPr>
      </w:pP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ascii="宋体" w:hAnsi="宋体" w:cs="宋体"/>
          <w:color w:val="auto"/>
          <w:spacing w:val="20"/>
          <w:szCs w:val="21"/>
          <w:highlight w:val="none"/>
        </w:rPr>
        <w:t>[或盖章(CA签章)]（属自然人的应在签名处加盖大拇指指印或个人CA签章</w:t>
      </w:r>
    </w:p>
    <w:p>
      <w:pPr>
        <w:pStyle w:val="8"/>
        <w:overflowPunct w:val="0"/>
        <w:spacing w:line="360" w:lineRule="auto"/>
        <w:ind w:firstLine="367" w:firstLineChars="175"/>
        <w:rPr>
          <w:rFonts w:hint="eastAsia" w:ascii="宋体" w:hAnsi="宋体" w:cs="宋体"/>
          <w:color w:val="auto"/>
          <w:szCs w:val="21"/>
          <w:highlight w:val="none"/>
        </w:rPr>
      </w:pP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ascii="宋体" w:hAnsi="宋体" w:cs="宋体"/>
          <w:color w:val="auto"/>
          <w:spacing w:val="20"/>
          <w:szCs w:val="21"/>
          <w:highlight w:val="none"/>
        </w:rPr>
        <w:t>[或盖章(CA签章)]（属自然人的应在签名处加盖大拇指指印或个人CA签章</w:t>
      </w:r>
    </w:p>
    <w:p>
      <w:pPr>
        <w:pStyle w:val="8"/>
        <w:overflowPunct w:val="0"/>
        <w:spacing w:line="360" w:lineRule="auto"/>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w:t>
      </w:r>
    </w:p>
    <w:p>
      <w:pPr>
        <w:pStyle w:val="8"/>
        <w:overflowPunct w:val="0"/>
        <w:ind w:firstLine="367" w:firstLineChars="175"/>
        <w:rPr>
          <w:rFonts w:hint="eastAsia" w:ascii="宋体" w:hAnsi="宋体" w:cs="宋体"/>
          <w:b/>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 xml:space="preserve">年 </w:t>
      </w:r>
      <w:r>
        <w:rPr>
          <w:rFonts w:hint="eastAsia" w:ascii="宋体" w:hAnsi="宋体" w:cs="宋体"/>
          <w:color w:val="auto"/>
          <w:szCs w:val="21"/>
          <w:highlight w:val="none"/>
        </w:rPr>
        <w:tab/>
      </w:r>
      <w:r>
        <w:rPr>
          <w:rFonts w:hint="eastAsia" w:ascii="宋体" w:hAnsi="宋体" w:cs="宋体"/>
          <w:color w:val="auto"/>
          <w:szCs w:val="21"/>
          <w:highlight w:val="none"/>
        </w:rPr>
        <w:t xml:space="preserve">月 </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520" w:lineRule="exact"/>
        <w:jc w:val="center"/>
        <w:rPr>
          <w:rFonts w:ascii="宋体" w:hAnsi="宋体" w:cs="宋体"/>
          <w:b/>
          <w:bCs/>
          <w:color w:val="auto"/>
          <w:sz w:val="28"/>
          <w:szCs w:val="28"/>
          <w:highlight w:val="none"/>
        </w:rPr>
      </w:pPr>
      <w:r>
        <w:rPr>
          <w:rFonts w:hint="eastAsia" w:ascii="宋体" w:hAnsi="宋体" w:cs="宋体"/>
          <w:b/>
          <w:color w:val="auto"/>
          <w:sz w:val="24"/>
          <w:highlight w:val="none"/>
        </w:rPr>
        <w:br w:type="page"/>
      </w:r>
      <w:r>
        <w:rPr>
          <w:rFonts w:hint="eastAsia" w:ascii="宋体" w:hAnsi="宋体" w:cs="宋体"/>
          <w:b/>
          <w:bCs/>
          <w:color w:val="auto"/>
          <w:sz w:val="28"/>
          <w:szCs w:val="28"/>
          <w:highlight w:val="none"/>
        </w:rPr>
        <w:t>中小企业声明函</w:t>
      </w:r>
    </w:p>
    <w:p>
      <w:pPr>
        <w:spacing w:line="520" w:lineRule="exact"/>
        <w:rPr>
          <w:rFonts w:ascii="仿宋_GB2312" w:hAnsi="仿宋_GB2312" w:eastAsia="仿宋_GB2312" w:cs="仿宋_GB2312"/>
          <w:color w:val="auto"/>
          <w:sz w:val="32"/>
          <w:szCs w:val="32"/>
          <w:highlight w:val="none"/>
        </w:rPr>
      </w:pPr>
    </w:p>
    <w:p>
      <w:pPr>
        <w:pStyle w:val="22"/>
        <w:spacing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0" w:line="360" w:lineRule="auto"/>
        <w:ind w:right="0" w:firstLine="600" w:firstLineChars="2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tabs>
          <w:tab w:val="left" w:pos="1065"/>
          <w:tab w:val="left" w:pos="4262"/>
          <w:tab w:val="left" w:pos="6477"/>
        </w:tabs>
        <w:spacing w:before="0" w:line="360" w:lineRule="auto"/>
        <w:ind w:right="0" w:firstLine="600" w:firstLineChars="286"/>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22"/>
        <w:spacing w:before="0" w:line="360" w:lineRule="auto"/>
        <w:ind w:left="0" w:right="0" w:hanging="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2"/>
        <w:spacing w:before="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22"/>
        <w:spacing w:before="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供应商[公章（CA签章）]：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pacing w:line="520" w:lineRule="exact"/>
        <w:jc w:val="center"/>
        <w:rPr>
          <w:rFonts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日  期：</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ascii="宋体" w:hAnsi="宋体" w:cs="仿宋_GB2312"/>
          <w:color w:val="auto"/>
          <w:sz w:val="24"/>
          <w:highlight w:val="none"/>
        </w:rPr>
        <w:br w:type="page"/>
      </w:r>
      <w:r>
        <w:rPr>
          <w:rFonts w:hint="eastAsia" w:ascii="宋体" w:hAnsi="宋体" w:cs="宋体"/>
          <w:b/>
          <w:bCs/>
          <w:color w:val="auto"/>
          <w:sz w:val="32"/>
          <w:szCs w:val="32"/>
          <w:highlight w:val="none"/>
        </w:rPr>
        <w:t>质疑函（格式）</w:t>
      </w:r>
    </w:p>
    <w:p>
      <w:pPr>
        <w:pStyle w:val="27"/>
        <w:snapToGrid w:val="0"/>
        <w:spacing w:line="312" w:lineRule="auto"/>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联系人</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联系电话</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u w:val="single"/>
        </w:rPr>
      </w:pP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27"/>
        <w:snapToGrid w:val="0"/>
        <w:spacing w:line="312"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pPr>
        <w:pStyle w:val="27"/>
        <w:spacing w:line="360" w:lineRule="auto"/>
        <w:ind w:left="0" w:leftChars="0" w:firstLine="413" w:firstLineChars="197"/>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质疑事项：</w:t>
      </w:r>
    </w:p>
    <w:p>
      <w:pPr>
        <w:pStyle w:val="27"/>
        <w:spacing w:line="360" w:lineRule="auto"/>
        <w:ind w:left="0" w:leftChars="0" w:firstLine="308" w:firstLineChars="147"/>
        <w:rPr>
          <w:rFonts w:hint="eastAsia" w:hAnsi="宋体"/>
          <w:color w:val="auto"/>
          <w:sz w:val="21"/>
          <w:szCs w:val="21"/>
          <w:highlight w:val="none"/>
        </w:rPr>
      </w:pPr>
      <w:r>
        <w:rPr>
          <w:rFonts w:hint="eastAsia" w:hAnsi="宋体"/>
          <w:color w:val="auto"/>
          <w:sz w:val="21"/>
          <w:szCs w:val="21"/>
          <w:highlight w:val="none"/>
        </w:rPr>
        <w:t>□招标文件   招标文件获取日期：</w:t>
      </w:r>
      <w:r>
        <w:rPr>
          <w:rFonts w:hint="eastAsia" w:hAnsi="宋体"/>
          <w:bCs/>
          <w:color w:val="auto"/>
          <w:sz w:val="21"/>
          <w:szCs w:val="21"/>
          <w:highlight w:val="none"/>
          <w:u w:val="single"/>
        </w:rPr>
        <w:t xml:space="preserve">                                   </w:t>
      </w:r>
    </w:p>
    <w:p>
      <w:pPr>
        <w:pStyle w:val="27"/>
        <w:spacing w:line="360" w:lineRule="auto"/>
        <w:ind w:left="0" w:leftChars="0" w:firstLine="308" w:firstLineChars="147"/>
        <w:rPr>
          <w:rFonts w:hint="eastAsia" w:hAnsi="宋体"/>
          <w:color w:val="auto"/>
          <w:sz w:val="21"/>
          <w:szCs w:val="21"/>
          <w:highlight w:val="none"/>
        </w:rPr>
      </w:pPr>
      <w:r>
        <w:rPr>
          <w:rFonts w:hint="eastAsia" w:hAnsi="宋体"/>
          <w:color w:val="auto"/>
          <w:sz w:val="21"/>
          <w:szCs w:val="21"/>
          <w:highlight w:val="none"/>
        </w:rPr>
        <w:t xml:space="preserve">□采购过程   </w:t>
      </w:r>
    </w:p>
    <w:p>
      <w:pPr>
        <w:pStyle w:val="27"/>
        <w:spacing w:line="360" w:lineRule="auto"/>
        <w:ind w:left="0" w:leftChars="0" w:firstLine="308" w:firstLineChars="147"/>
        <w:rPr>
          <w:rFonts w:hint="eastAsia" w:hAnsi="宋体"/>
          <w:bCs/>
          <w:color w:val="auto"/>
          <w:sz w:val="21"/>
          <w:szCs w:val="21"/>
          <w:highlight w:val="none"/>
          <w:u w:val="single"/>
        </w:rPr>
      </w:pPr>
      <w:r>
        <w:rPr>
          <w:rFonts w:hint="eastAsia" w:hAnsi="宋体"/>
          <w:color w:val="auto"/>
          <w:sz w:val="21"/>
          <w:szCs w:val="21"/>
          <w:highlight w:val="none"/>
        </w:rPr>
        <w:t xml:space="preserve">□中标结果   </w:t>
      </w:r>
    </w:p>
    <w:p>
      <w:pPr>
        <w:pStyle w:val="27"/>
        <w:spacing w:line="312"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三、质疑事项具体内容</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质疑事项2</w:t>
      </w:r>
    </w:p>
    <w:p>
      <w:pPr>
        <w:pStyle w:val="27"/>
        <w:spacing w:line="360" w:lineRule="auto"/>
        <w:ind w:left="0" w:leftChars="0" w:firstLine="413" w:firstLineChars="197"/>
        <w:rPr>
          <w:rFonts w:hint="eastAsia" w:hAnsi="宋体"/>
          <w:color w:val="auto"/>
          <w:sz w:val="21"/>
          <w:szCs w:val="21"/>
          <w:highlight w:val="none"/>
        </w:rPr>
      </w:pPr>
      <w:r>
        <w:rPr>
          <w:rFonts w:hAnsi="宋体"/>
          <w:color w:val="auto"/>
          <w:sz w:val="21"/>
          <w:szCs w:val="21"/>
          <w:highlight w:val="none"/>
        </w:rPr>
        <w:t>……</w:t>
      </w:r>
    </w:p>
    <w:p>
      <w:pPr>
        <w:pStyle w:val="27"/>
        <w:spacing w:line="312"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pPr>
        <w:pStyle w:val="27"/>
        <w:spacing w:line="360" w:lineRule="auto"/>
        <w:ind w:left="0" w:leftChars="0"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pPr>
        <w:pStyle w:val="27"/>
        <w:spacing w:line="312" w:lineRule="auto"/>
        <w:ind w:left="25" w:leftChars="12" w:firstLine="308" w:firstLineChars="147"/>
        <w:rPr>
          <w:rFonts w:hAnsi="宋体" w:cs="宋体"/>
          <w:color w:val="auto"/>
          <w:sz w:val="21"/>
          <w:highlight w:val="none"/>
        </w:rPr>
      </w:pPr>
    </w:p>
    <w:p>
      <w:pPr>
        <w:pStyle w:val="27"/>
        <w:spacing w:line="312"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pPr>
        <w:pStyle w:val="27"/>
        <w:spacing w:line="312"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pPr>
        <w:pStyle w:val="27"/>
        <w:snapToGrid w:val="0"/>
        <w:spacing w:line="312" w:lineRule="auto"/>
        <w:rPr>
          <w:rFonts w:hAnsi="宋体" w:cs="宋体"/>
          <w:b/>
          <w:color w:val="auto"/>
          <w:sz w:val="21"/>
          <w:highlight w:val="none"/>
        </w:rPr>
      </w:pPr>
    </w:p>
    <w:p>
      <w:pPr>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1.供应商提出质疑时，应提交质疑函和必要的证明材料。</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3.质疑函的质疑事项应具体、明确，并有必要的事实依据和法律依据。</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4.质疑函的质疑请求应与质疑事项相关。</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5.质疑供应商为法人或者其他组织的，质疑函应由法定代表人、主要负责人，或者其授权代表签字或者盖章，并加盖公章。</w:t>
      </w:r>
    </w:p>
    <w:p>
      <w:pPr>
        <w:spacing w:line="460" w:lineRule="exact"/>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投标人：</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联系电话</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pPr>
        <w:pStyle w:val="27"/>
        <w:snapToGrid w:val="0"/>
        <w:spacing w:line="360" w:lineRule="auto"/>
        <w:ind w:firstLine="420" w:firstLineChars="200"/>
        <w:rPr>
          <w:rFonts w:hint="eastAsia" w:hAnsi="宋体"/>
          <w:bCs/>
          <w:color w:val="auto"/>
          <w:sz w:val="21"/>
          <w:szCs w:val="21"/>
          <w:highlight w:val="none"/>
        </w:rPr>
      </w:pPr>
      <w:r>
        <w:rPr>
          <w:rFonts w:hAnsi="宋体"/>
          <w:bCs/>
          <w:color w:val="auto"/>
          <w:sz w:val="21"/>
          <w:szCs w:val="21"/>
          <w:highlight w:val="none"/>
        </w:rPr>
        <w:t>……</w:t>
      </w:r>
    </w:p>
    <w:p>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u w:val="single"/>
        </w:rPr>
      </w:pPr>
      <w:r>
        <w:rPr>
          <w:rFonts w:hAnsi="宋体"/>
          <w:bCs/>
          <w:color w:val="auto"/>
          <w:sz w:val="21"/>
          <w:szCs w:val="21"/>
          <w:highlight w:val="none"/>
        </w:rPr>
        <w:t>地址</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r>
        <w:rPr>
          <w:rFonts w:hAnsi="宋体"/>
          <w:bCs/>
          <w:color w:val="auto"/>
          <w:sz w:val="21"/>
          <w:szCs w:val="21"/>
          <w:highlight w:val="none"/>
        </w:rPr>
        <w:t>邮编</w:t>
      </w:r>
      <w:r>
        <w:rPr>
          <w:rFonts w:hint="eastAsia" w:hAnsi="宋体"/>
          <w:bCs/>
          <w:color w:val="auto"/>
          <w:sz w:val="21"/>
          <w:szCs w:val="21"/>
          <w:highlight w:val="none"/>
        </w:rPr>
        <w:t>：</w:t>
      </w:r>
      <w:r>
        <w:rPr>
          <w:rFonts w:hint="eastAsia" w:hAnsi="宋体"/>
          <w:bCs/>
          <w:color w:val="auto"/>
          <w:sz w:val="21"/>
          <w:szCs w:val="21"/>
          <w:highlight w:val="none"/>
          <w:u w:val="single"/>
        </w:rPr>
        <w:t xml:space="preserve">                 </w:t>
      </w:r>
    </w:p>
    <w:p>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Ansi="宋体"/>
          <w:bCs/>
          <w:color w:val="auto"/>
          <w:sz w:val="21"/>
          <w:szCs w:val="21"/>
          <w:highlight w:val="none"/>
        </w:rPr>
        <w:t>联系</w:t>
      </w:r>
      <w:r>
        <w:rPr>
          <w:rFonts w:hint="eastAsia" w:hAnsi="宋体"/>
          <w:bCs/>
          <w:color w:val="auto"/>
          <w:sz w:val="21"/>
          <w:szCs w:val="21"/>
          <w:highlight w:val="none"/>
        </w:rPr>
        <w:t>电话：</w:t>
      </w:r>
      <w:r>
        <w:rPr>
          <w:rFonts w:hint="eastAsia" w:hAnsi="宋体"/>
          <w:bCs/>
          <w:color w:val="auto"/>
          <w:sz w:val="21"/>
          <w:szCs w:val="21"/>
          <w:highlight w:val="none"/>
          <w:u w:val="single"/>
        </w:rPr>
        <w:t xml:space="preserve">              </w:t>
      </w:r>
    </w:p>
    <w:p>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pPr>
        <w:pStyle w:val="27"/>
        <w:spacing w:line="360" w:lineRule="auto"/>
        <w:ind w:left="0" w:leftChars="0"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pPr>
        <w:pStyle w:val="27"/>
        <w:spacing w:line="360" w:lineRule="auto"/>
        <w:ind w:left="0" w:leftChars="0" w:firstLine="833" w:firstLineChars="397"/>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27"/>
        <w:spacing w:line="360" w:lineRule="auto"/>
        <w:ind w:firstLine="241"/>
        <w:rPr>
          <w:rFonts w:hint="eastAsia" w:hAnsi="宋体"/>
          <w:bCs/>
          <w:color w:val="auto"/>
          <w:sz w:val="21"/>
          <w:szCs w:val="21"/>
          <w:highlight w:val="none"/>
          <w:u w:val="single"/>
        </w:rPr>
      </w:pPr>
      <w:r>
        <w:rPr>
          <w:rFonts w:hint="eastAsia" w:hAnsi="宋体"/>
          <w:bCs/>
          <w:color w:val="auto"/>
          <w:sz w:val="21"/>
          <w:szCs w:val="21"/>
          <w:highlight w:val="none"/>
        </w:rPr>
        <w:t xml:space="preserve">    </w:t>
      </w:r>
      <w:r>
        <w:rPr>
          <w:rFonts w:hint="eastAsia" w:hAnsi="宋体"/>
          <w:bCs/>
          <w:color w:val="auto"/>
          <w:sz w:val="21"/>
          <w:szCs w:val="21"/>
          <w:highlight w:val="none"/>
          <w:u w:val="single"/>
        </w:rPr>
        <w:t xml:space="preserve">                                                                                      </w:t>
      </w:r>
    </w:p>
    <w:p>
      <w:pPr>
        <w:pStyle w:val="27"/>
        <w:spacing w:line="360" w:lineRule="auto"/>
        <w:ind w:firstLine="241"/>
        <w:rPr>
          <w:rFonts w:hAnsi="宋体" w:cs="宋体"/>
          <w:color w:val="auto"/>
          <w:sz w:val="21"/>
          <w:highlight w:val="none"/>
        </w:rPr>
      </w:pPr>
      <w:r>
        <w:rPr>
          <w:rFonts w:hint="eastAsia" w:hAnsi="宋体"/>
          <w:bCs/>
          <w:color w:val="auto"/>
          <w:sz w:val="21"/>
          <w:szCs w:val="21"/>
          <w:highlight w:val="none"/>
        </w:rPr>
        <w:t xml:space="preserve">     </w:t>
      </w: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r>
        <w:rPr>
          <w:rFonts w:hint="eastAsia" w:hAnsi="宋体" w:cs="宋体"/>
          <w:bCs/>
          <w:color w:val="auto"/>
          <w:sz w:val="21"/>
          <w:highlight w:val="none"/>
        </w:rPr>
        <w:t xml:space="preserve">                                                                                      </w:t>
      </w:r>
    </w:p>
    <w:p>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pPr>
        <w:pStyle w:val="27"/>
        <w:spacing w:line="360" w:lineRule="auto"/>
        <w:ind w:left="0" w:leftChars="0"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color w:val="auto"/>
          <w:sz w:val="21"/>
          <w:szCs w:val="21"/>
          <w:highlight w:val="none"/>
        </w:rPr>
      </w:pPr>
      <w:r>
        <w:rPr>
          <w:rFonts w:hint="eastAsia" w:hAnsi="宋体"/>
          <w:bCs/>
          <w:color w:val="auto"/>
          <w:sz w:val="21"/>
          <w:szCs w:val="21"/>
          <w:highlight w:val="none"/>
          <w:u w:val="single"/>
        </w:rPr>
        <w:t xml:space="preserve">                                                                            </w:t>
      </w:r>
    </w:p>
    <w:p>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pPr>
        <w:pStyle w:val="27"/>
        <w:spacing w:line="360" w:lineRule="auto"/>
        <w:ind w:left="0" w:leftChars="0" w:firstLine="308" w:firstLineChars="147"/>
        <w:rPr>
          <w:rFonts w:hint="eastAsia" w:hAnsi="宋体"/>
          <w:bCs/>
          <w:color w:val="auto"/>
          <w:sz w:val="21"/>
          <w:szCs w:val="21"/>
          <w:highlight w:val="none"/>
          <w:u w:val="single"/>
        </w:rPr>
      </w:pPr>
      <w:r>
        <w:rPr>
          <w:rFonts w:hint="eastAsia" w:hAnsi="宋体"/>
          <w:bCs/>
          <w:color w:val="auto"/>
          <w:sz w:val="21"/>
          <w:szCs w:val="21"/>
          <w:highlight w:val="none"/>
        </w:rPr>
        <w:t xml:space="preserve"> </w:t>
      </w:r>
      <w:r>
        <w:rPr>
          <w:rFonts w:hint="eastAsia" w:hAnsi="宋体"/>
          <w:bCs/>
          <w:color w:val="auto"/>
          <w:sz w:val="21"/>
          <w:szCs w:val="21"/>
          <w:highlight w:val="none"/>
          <w:u w:val="single"/>
        </w:rPr>
        <w:t xml:space="preserve">                                                                              </w:t>
      </w:r>
    </w:p>
    <w:p>
      <w:pPr>
        <w:pStyle w:val="27"/>
        <w:spacing w:line="360" w:lineRule="auto"/>
        <w:ind w:left="0" w:leftChars="0"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pPr>
        <w:pStyle w:val="27"/>
        <w:spacing w:line="360" w:lineRule="auto"/>
        <w:ind w:left="0" w:leftChars="0" w:firstLine="413" w:firstLineChars="197"/>
        <w:rPr>
          <w:rFonts w:hint="eastAsia" w:hAnsi="宋体"/>
          <w:bCs/>
          <w:color w:val="auto"/>
          <w:sz w:val="21"/>
          <w:szCs w:val="21"/>
          <w:highlight w:val="none"/>
        </w:rPr>
      </w:pPr>
      <w:r>
        <w:rPr>
          <w:rFonts w:hAnsi="宋体"/>
          <w:bCs/>
          <w:color w:val="auto"/>
          <w:sz w:val="21"/>
          <w:szCs w:val="21"/>
          <w:highlight w:val="none"/>
        </w:rPr>
        <w:t>……</w:t>
      </w:r>
    </w:p>
    <w:p>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pPr>
        <w:pStyle w:val="27"/>
        <w:spacing w:line="360" w:lineRule="auto"/>
        <w:ind w:left="25" w:leftChars="12" w:firstLine="308" w:firstLineChars="147"/>
        <w:rPr>
          <w:rFonts w:hAnsi="宋体" w:cs="宋体"/>
          <w:color w:val="auto"/>
          <w:sz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pPr>
        <w:pStyle w:val="19"/>
        <w:rPr>
          <w:rFonts w:hAnsi="宋体" w:cs="宋体"/>
          <w:color w:val="auto"/>
          <w:sz w:val="21"/>
          <w:highlight w:val="none"/>
        </w:rPr>
      </w:pPr>
    </w:p>
    <w:p>
      <w:pPr>
        <w:rPr>
          <w:rFonts w:hAnsi="宋体" w:cs="宋体"/>
          <w:color w:val="auto"/>
          <w:sz w:val="21"/>
          <w:highlight w:val="none"/>
        </w:rPr>
      </w:pPr>
    </w:p>
    <w:p>
      <w:pPr>
        <w:pStyle w:val="2"/>
        <w:rPr>
          <w:color w:val="auto"/>
          <w:highlight w:val="none"/>
        </w:rPr>
      </w:pPr>
    </w:p>
    <w:p>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pPr>
        <w:pStyle w:val="27"/>
        <w:snapToGrid w:val="0"/>
        <w:spacing w:line="360" w:lineRule="auto"/>
        <w:rPr>
          <w:rFonts w:hAnsi="宋体" w:cs="宋体"/>
          <w:b/>
          <w:color w:val="auto"/>
          <w:sz w:val="21"/>
          <w:highlight w:val="none"/>
        </w:rPr>
      </w:pPr>
    </w:p>
    <w:p>
      <w:pPr>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1.投诉人提起投诉时，应当提交投诉书和必要的证明材料，并按照被投诉人和与投诉事项有关的供应商数量提供投诉书副本。</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3.投诉书应简要列明质疑事项，质疑函、质疑答复等作为附件材料提供。</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4.投诉书的投诉事项应具体、明确，并有必要的事实依据和法律依据。</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5.投诉书的投诉请求应与投诉事项相关。</w:t>
      </w:r>
    </w:p>
    <w:p>
      <w:pPr>
        <w:spacing w:line="360" w:lineRule="auto"/>
        <w:ind w:left="25" w:leftChars="12"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6.投诉人为法人或者其他组织的，投诉书应由法定代表人、主要负责人，或者其授权代表签字或者盖章，并加盖公章。</w:t>
      </w:r>
    </w:p>
    <w:p>
      <w:pPr>
        <w:rPr>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23</w:t>
                    </w:r>
                    <w:r>
                      <w:fldChar w:fldCharType="end"/>
                    </w:r>
                  </w:p>
                </w:txbxContent>
              </v:textbox>
            </v:shape>
          </w:pict>
        </mc:Fallback>
      </mc:AlternateConten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jc w:val="center"/>
                          </w:pPr>
                          <w:r>
                            <w:fldChar w:fldCharType="begin"/>
                          </w:r>
                          <w:r>
                            <w:instrText xml:space="preserve"> PAGE   \* MERGEFORMAT </w:instrText>
                          </w:r>
                          <w:r>
                            <w:fldChar w:fldCharType="separate"/>
                          </w:r>
                          <w:r>
                            <w:rPr>
                              <w:lang w:val="zh-CN"/>
                            </w:rPr>
                            <w:t>83</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33"/>
                      <w:jc w:val="center"/>
                    </w:pPr>
                    <w:r>
                      <w:fldChar w:fldCharType="begin"/>
                    </w:r>
                    <w:r>
                      <w:instrText xml:space="preserve"> PAGE   \* MERGEFORMAT </w:instrText>
                    </w:r>
                    <w:r>
                      <w:fldChar w:fldCharType="separate"/>
                    </w:r>
                    <w:r>
                      <w:rPr>
                        <w:lang w:val="zh-CN"/>
                      </w:rPr>
                      <w:t>83</w:t>
                    </w:r>
                    <w:r>
                      <w:rPr>
                        <w:lang w:val="zh-CN"/>
                      </w:rPr>
                      <w:fldChar w:fldCharType="end"/>
                    </w:r>
                  </w:p>
                </w:txbxContent>
              </v:textbox>
            </v:shape>
          </w:pict>
        </mc:Fallback>
      </mc:AlternateContent>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122</w:t>
    </w:r>
    <w:r>
      <w:fldChar w:fldCharType="end"/>
    </w:r>
  </w:p>
  <w:p>
    <w:pPr>
      <w:pStyle w:val="3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pPr>
        <w:ind w:left="20"/>
      </w:pPr>
    </w:lvl>
  </w:abstractNum>
  <w:abstractNum w:abstractNumId="1">
    <w:nsid w:val="00000001"/>
    <w:multiLevelType w:val="singleLevel"/>
    <w:tmpl w:val="00000001"/>
    <w:lvl w:ilvl="0" w:tentative="0">
      <w:start w:val="1"/>
      <w:numFmt w:val="decimal"/>
      <w:pStyle w:val="23"/>
      <w:lvlText w:val="%1."/>
      <w:lvlJc w:val="left"/>
      <w:pPr>
        <w:tabs>
          <w:tab w:val="left" w:pos="1200"/>
        </w:tabs>
        <w:ind w:left="1200" w:hanging="360"/>
      </w:pPr>
    </w:lvl>
  </w:abstractNum>
  <w:abstractNum w:abstractNumId="2">
    <w:nsid w:val="00000002"/>
    <w:multiLevelType w:val="multilevel"/>
    <w:tmpl w:val="00000002"/>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14"/>
      <w:suff w:val="nothing"/>
      <w:lvlText w:val=""/>
      <w:lvlJc w:val="left"/>
      <w:pPr>
        <w:ind w:left="0" w:firstLine="0"/>
      </w:pPr>
      <w:rPr>
        <w:rFonts w:hint="eastAsia"/>
      </w:rPr>
    </w:lvl>
    <w:lvl w:ilvl="6" w:tentative="0">
      <w:start w:val="1"/>
      <w:numFmt w:val="none"/>
      <w:pStyle w:val="15"/>
      <w:suff w:val="nothing"/>
      <w:lvlText w:val=""/>
      <w:lvlJc w:val="left"/>
      <w:pPr>
        <w:ind w:left="0" w:firstLine="0"/>
      </w:pPr>
      <w:rPr>
        <w:rFonts w:hint="eastAsia"/>
      </w:rPr>
    </w:lvl>
    <w:lvl w:ilvl="7" w:tentative="0">
      <w:start w:val="1"/>
      <w:numFmt w:val="none"/>
      <w:pStyle w:val="16"/>
      <w:suff w:val="nothing"/>
      <w:lvlText w:val=""/>
      <w:lvlJc w:val="left"/>
      <w:pPr>
        <w:ind w:left="0" w:firstLine="0"/>
      </w:pPr>
      <w:rPr>
        <w:rFonts w:hint="eastAsia"/>
      </w:rPr>
    </w:lvl>
    <w:lvl w:ilvl="8" w:tentative="0">
      <w:start w:val="1"/>
      <w:numFmt w:val="none"/>
      <w:pStyle w:val="17"/>
      <w:suff w:val="nothing"/>
      <w:lvlText w:val=""/>
      <w:lvlJc w:val="left"/>
      <w:pPr>
        <w:ind w:left="0" w:firstLine="0"/>
      </w:pPr>
      <w:rPr>
        <w:rFonts w:hint="eastAsia"/>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multilevel"/>
    <w:tmpl w:val="0000000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8C0C619"/>
    <w:multiLevelType w:val="singleLevel"/>
    <w:tmpl w:val="38C0C619"/>
    <w:lvl w:ilvl="0" w:tentative="0">
      <w:start w:val="2"/>
      <w:numFmt w:val="upperLetter"/>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ZWYzOTAyZTQ1Mjg5ZjYwMTlhOWNlMTlkZDcxYzAifQ=="/>
  </w:docVars>
  <w:rsids>
    <w:rsidRoot w:val="00172A27"/>
    <w:rsid w:val="0000010C"/>
    <w:rsid w:val="000004FE"/>
    <w:rsid w:val="00000FE0"/>
    <w:rsid w:val="00001068"/>
    <w:rsid w:val="0000114A"/>
    <w:rsid w:val="000016AC"/>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9E2"/>
    <w:rsid w:val="000061EA"/>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607"/>
    <w:rsid w:val="0002103A"/>
    <w:rsid w:val="000217E4"/>
    <w:rsid w:val="00021852"/>
    <w:rsid w:val="00021A12"/>
    <w:rsid w:val="00022622"/>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510"/>
    <w:rsid w:val="00065A5D"/>
    <w:rsid w:val="00065BA2"/>
    <w:rsid w:val="000661CA"/>
    <w:rsid w:val="0006668D"/>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3F3"/>
    <w:rsid w:val="0008241E"/>
    <w:rsid w:val="000826F5"/>
    <w:rsid w:val="000829B1"/>
    <w:rsid w:val="00082AAB"/>
    <w:rsid w:val="0008307D"/>
    <w:rsid w:val="000831E9"/>
    <w:rsid w:val="000833BB"/>
    <w:rsid w:val="0008434E"/>
    <w:rsid w:val="0008452D"/>
    <w:rsid w:val="0008467B"/>
    <w:rsid w:val="00084E77"/>
    <w:rsid w:val="000850FA"/>
    <w:rsid w:val="000857A6"/>
    <w:rsid w:val="00085C12"/>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803"/>
    <w:rsid w:val="00093B8B"/>
    <w:rsid w:val="00094B68"/>
    <w:rsid w:val="00094E30"/>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49FC"/>
    <w:rsid w:val="000A5B49"/>
    <w:rsid w:val="000A5FE5"/>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4D4"/>
    <w:rsid w:val="000C5C4A"/>
    <w:rsid w:val="000C5F01"/>
    <w:rsid w:val="000C63C4"/>
    <w:rsid w:val="000C66C1"/>
    <w:rsid w:val="000C6F0B"/>
    <w:rsid w:val="000C6F32"/>
    <w:rsid w:val="000C6FEF"/>
    <w:rsid w:val="000C778C"/>
    <w:rsid w:val="000C7833"/>
    <w:rsid w:val="000C7C36"/>
    <w:rsid w:val="000C7E1B"/>
    <w:rsid w:val="000C7E73"/>
    <w:rsid w:val="000D001B"/>
    <w:rsid w:val="000D0A45"/>
    <w:rsid w:val="000D136E"/>
    <w:rsid w:val="000D14AC"/>
    <w:rsid w:val="000D15BA"/>
    <w:rsid w:val="000D15BE"/>
    <w:rsid w:val="000D2C9B"/>
    <w:rsid w:val="000D35FD"/>
    <w:rsid w:val="000D3C73"/>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5EE"/>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07DA1"/>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888"/>
    <w:rsid w:val="00131AA9"/>
    <w:rsid w:val="00131F17"/>
    <w:rsid w:val="0013212F"/>
    <w:rsid w:val="001323F9"/>
    <w:rsid w:val="0013251F"/>
    <w:rsid w:val="00133088"/>
    <w:rsid w:val="00133346"/>
    <w:rsid w:val="001335B1"/>
    <w:rsid w:val="00133B4E"/>
    <w:rsid w:val="001346AF"/>
    <w:rsid w:val="00134990"/>
    <w:rsid w:val="001354D1"/>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AFF"/>
    <w:rsid w:val="00142D0C"/>
    <w:rsid w:val="00142E3C"/>
    <w:rsid w:val="00143387"/>
    <w:rsid w:val="0014401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48A"/>
    <w:rsid w:val="00162625"/>
    <w:rsid w:val="00162739"/>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2A27"/>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45FB"/>
    <w:rsid w:val="00185DA6"/>
    <w:rsid w:val="00185F64"/>
    <w:rsid w:val="00186096"/>
    <w:rsid w:val="0018772E"/>
    <w:rsid w:val="00187A94"/>
    <w:rsid w:val="0019029E"/>
    <w:rsid w:val="00190804"/>
    <w:rsid w:val="0019088F"/>
    <w:rsid w:val="00190C51"/>
    <w:rsid w:val="00193ACC"/>
    <w:rsid w:val="00193BFE"/>
    <w:rsid w:val="00195084"/>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840"/>
    <w:rsid w:val="001A698A"/>
    <w:rsid w:val="001A6CCC"/>
    <w:rsid w:val="001A70C8"/>
    <w:rsid w:val="001A71C9"/>
    <w:rsid w:val="001A7429"/>
    <w:rsid w:val="001A760C"/>
    <w:rsid w:val="001A799B"/>
    <w:rsid w:val="001A7AC7"/>
    <w:rsid w:val="001A7C38"/>
    <w:rsid w:val="001B02F8"/>
    <w:rsid w:val="001B1A32"/>
    <w:rsid w:val="001B2104"/>
    <w:rsid w:val="001B2279"/>
    <w:rsid w:val="001B2729"/>
    <w:rsid w:val="001B2866"/>
    <w:rsid w:val="001B2881"/>
    <w:rsid w:val="001B2B73"/>
    <w:rsid w:val="001B3675"/>
    <w:rsid w:val="001B37C8"/>
    <w:rsid w:val="001B4B2C"/>
    <w:rsid w:val="001B4F10"/>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5490"/>
    <w:rsid w:val="001E5730"/>
    <w:rsid w:val="001E5E2E"/>
    <w:rsid w:val="001E6352"/>
    <w:rsid w:val="001E70AD"/>
    <w:rsid w:val="001E7237"/>
    <w:rsid w:val="001E7AF6"/>
    <w:rsid w:val="001F01B8"/>
    <w:rsid w:val="001F0FC3"/>
    <w:rsid w:val="001F1188"/>
    <w:rsid w:val="001F1B8D"/>
    <w:rsid w:val="001F274F"/>
    <w:rsid w:val="001F2784"/>
    <w:rsid w:val="001F289C"/>
    <w:rsid w:val="001F2BF9"/>
    <w:rsid w:val="001F2F62"/>
    <w:rsid w:val="001F3AF2"/>
    <w:rsid w:val="001F5A1A"/>
    <w:rsid w:val="001F6008"/>
    <w:rsid w:val="001F641B"/>
    <w:rsid w:val="001F6D4D"/>
    <w:rsid w:val="00200050"/>
    <w:rsid w:val="0020130D"/>
    <w:rsid w:val="00201D06"/>
    <w:rsid w:val="00201E9F"/>
    <w:rsid w:val="00202A27"/>
    <w:rsid w:val="00202F25"/>
    <w:rsid w:val="002035B3"/>
    <w:rsid w:val="00203929"/>
    <w:rsid w:val="00203CD6"/>
    <w:rsid w:val="00204460"/>
    <w:rsid w:val="002051EA"/>
    <w:rsid w:val="00205CBC"/>
    <w:rsid w:val="00206259"/>
    <w:rsid w:val="002074B7"/>
    <w:rsid w:val="0020758D"/>
    <w:rsid w:val="00207C7B"/>
    <w:rsid w:val="00211470"/>
    <w:rsid w:val="00211922"/>
    <w:rsid w:val="00211B5E"/>
    <w:rsid w:val="0021209A"/>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479"/>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4300"/>
    <w:rsid w:val="00234CA8"/>
    <w:rsid w:val="00235420"/>
    <w:rsid w:val="00235594"/>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A1F"/>
    <w:rsid w:val="00250ADA"/>
    <w:rsid w:val="00250F1D"/>
    <w:rsid w:val="00251FF1"/>
    <w:rsid w:val="002520BA"/>
    <w:rsid w:val="00252234"/>
    <w:rsid w:val="002528E3"/>
    <w:rsid w:val="00252944"/>
    <w:rsid w:val="00252D55"/>
    <w:rsid w:val="00252D82"/>
    <w:rsid w:val="00252DCE"/>
    <w:rsid w:val="00253006"/>
    <w:rsid w:val="002533F5"/>
    <w:rsid w:val="00253C60"/>
    <w:rsid w:val="00253F21"/>
    <w:rsid w:val="0025429D"/>
    <w:rsid w:val="002549E9"/>
    <w:rsid w:val="00254FF6"/>
    <w:rsid w:val="00255099"/>
    <w:rsid w:val="002555C6"/>
    <w:rsid w:val="00255E14"/>
    <w:rsid w:val="002562C5"/>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15A"/>
    <w:rsid w:val="00263EC7"/>
    <w:rsid w:val="0026491B"/>
    <w:rsid w:val="00264A36"/>
    <w:rsid w:val="00264B06"/>
    <w:rsid w:val="00264C1B"/>
    <w:rsid w:val="00265D10"/>
    <w:rsid w:val="00265E2E"/>
    <w:rsid w:val="002661AB"/>
    <w:rsid w:val="0026742B"/>
    <w:rsid w:val="002674FE"/>
    <w:rsid w:val="00270748"/>
    <w:rsid w:val="0027117F"/>
    <w:rsid w:val="002712DC"/>
    <w:rsid w:val="00271875"/>
    <w:rsid w:val="002718FF"/>
    <w:rsid w:val="00271955"/>
    <w:rsid w:val="00272278"/>
    <w:rsid w:val="00272432"/>
    <w:rsid w:val="00272633"/>
    <w:rsid w:val="00272E48"/>
    <w:rsid w:val="00272FBF"/>
    <w:rsid w:val="00273A10"/>
    <w:rsid w:val="00273A58"/>
    <w:rsid w:val="00274CAB"/>
    <w:rsid w:val="00274E8A"/>
    <w:rsid w:val="00275FCE"/>
    <w:rsid w:val="002766B8"/>
    <w:rsid w:val="0027680F"/>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BF2"/>
    <w:rsid w:val="00285C78"/>
    <w:rsid w:val="002863CE"/>
    <w:rsid w:val="00290148"/>
    <w:rsid w:val="00291492"/>
    <w:rsid w:val="00291527"/>
    <w:rsid w:val="0029199A"/>
    <w:rsid w:val="00291BBE"/>
    <w:rsid w:val="00291FEB"/>
    <w:rsid w:val="00293146"/>
    <w:rsid w:val="0029361E"/>
    <w:rsid w:val="00293D68"/>
    <w:rsid w:val="0029408A"/>
    <w:rsid w:val="00294352"/>
    <w:rsid w:val="002944A0"/>
    <w:rsid w:val="002946E4"/>
    <w:rsid w:val="0029495C"/>
    <w:rsid w:val="002957A4"/>
    <w:rsid w:val="002957D9"/>
    <w:rsid w:val="00295B52"/>
    <w:rsid w:val="00296024"/>
    <w:rsid w:val="00296293"/>
    <w:rsid w:val="00296AF7"/>
    <w:rsid w:val="002972F9"/>
    <w:rsid w:val="002977CA"/>
    <w:rsid w:val="00297ED7"/>
    <w:rsid w:val="002A0007"/>
    <w:rsid w:val="002A03AA"/>
    <w:rsid w:val="002A056D"/>
    <w:rsid w:val="002A07FE"/>
    <w:rsid w:val="002A094D"/>
    <w:rsid w:val="002A0CAF"/>
    <w:rsid w:val="002A1565"/>
    <w:rsid w:val="002A16A9"/>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3AD"/>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50CB"/>
    <w:rsid w:val="002D65FF"/>
    <w:rsid w:val="002D6D10"/>
    <w:rsid w:val="002D71E2"/>
    <w:rsid w:val="002D7B6A"/>
    <w:rsid w:val="002E0026"/>
    <w:rsid w:val="002E08E8"/>
    <w:rsid w:val="002E0918"/>
    <w:rsid w:val="002E0BAA"/>
    <w:rsid w:val="002E0D96"/>
    <w:rsid w:val="002E0EA5"/>
    <w:rsid w:val="002E1E19"/>
    <w:rsid w:val="002E1FAC"/>
    <w:rsid w:val="002E208A"/>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373"/>
    <w:rsid w:val="002F165A"/>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13A"/>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5FE"/>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907"/>
    <w:rsid w:val="003369DF"/>
    <w:rsid w:val="00336C71"/>
    <w:rsid w:val="00336D96"/>
    <w:rsid w:val="00336DFC"/>
    <w:rsid w:val="00337230"/>
    <w:rsid w:val="003377D0"/>
    <w:rsid w:val="00337D75"/>
    <w:rsid w:val="00340020"/>
    <w:rsid w:val="00340AFD"/>
    <w:rsid w:val="003410E9"/>
    <w:rsid w:val="00341162"/>
    <w:rsid w:val="00341866"/>
    <w:rsid w:val="00341DAF"/>
    <w:rsid w:val="00342181"/>
    <w:rsid w:val="00343560"/>
    <w:rsid w:val="00343A20"/>
    <w:rsid w:val="0034402B"/>
    <w:rsid w:val="0034449E"/>
    <w:rsid w:val="00344D46"/>
    <w:rsid w:val="00346214"/>
    <w:rsid w:val="003465A5"/>
    <w:rsid w:val="00346817"/>
    <w:rsid w:val="00347440"/>
    <w:rsid w:val="003475EA"/>
    <w:rsid w:val="00347A27"/>
    <w:rsid w:val="00347CD4"/>
    <w:rsid w:val="00350A55"/>
    <w:rsid w:val="00350DF8"/>
    <w:rsid w:val="00351A8A"/>
    <w:rsid w:val="0035266A"/>
    <w:rsid w:val="0035279C"/>
    <w:rsid w:val="003535D2"/>
    <w:rsid w:val="0035384D"/>
    <w:rsid w:val="00353C0B"/>
    <w:rsid w:val="00354AE4"/>
    <w:rsid w:val="00354B0A"/>
    <w:rsid w:val="0035551B"/>
    <w:rsid w:val="003555ED"/>
    <w:rsid w:val="00355911"/>
    <w:rsid w:val="0035636B"/>
    <w:rsid w:val="00357424"/>
    <w:rsid w:val="00357BE9"/>
    <w:rsid w:val="003601A2"/>
    <w:rsid w:val="00361789"/>
    <w:rsid w:val="0036196D"/>
    <w:rsid w:val="00361A59"/>
    <w:rsid w:val="003627BD"/>
    <w:rsid w:val="00362997"/>
    <w:rsid w:val="00362C59"/>
    <w:rsid w:val="00362E2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4CCC"/>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71E"/>
    <w:rsid w:val="003A3795"/>
    <w:rsid w:val="003A3EF1"/>
    <w:rsid w:val="003A462A"/>
    <w:rsid w:val="003A595F"/>
    <w:rsid w:val="003A5EEC"/>
    <w:rsid w:val="003A79AE"/>
    <w:rsid w:val="003A7CA3"/>
    <w:rsid w:val="003B00B6"/>
    <w:rsid w:val="003B01C4"/>
    <w:rsid w:val="003B0BB0"/>
    <w:rsid w:val="003B11EE"/>
    <w:rsid w:val="003B15F8"/>
    <w:rsid w:val="003B230B"/>
    <w:rsid w:val="003B23BC"/>
    <w:rsid w:val="003B28BA"/>
    <w:rsid w:val="003B2DB5"/>
    <w:rsid w:val="003B2F05"/>
    <w:rsid w:val="003B3966"/>
    <w:rsid w:val="003B39B7"/>
    <w:rsid w:val="003B4EB0"/>
    <w:rsid w:val="003B5F6A"/>
    <w:rsid w:val="003B6978"/>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69C"/>
    <w:rsid w:val="003D191E"/>
    <w:rsid w:val="003D22A5"/>
    <w:rsid w:val="003D23A4"/>
    <w:rsid w:val="003D3414"/>
    <w:rsid w:val="003D3426"/>
    <w:rsid w:val="003D3654"/>
    <w:rsid w:val="003D3721"/>
    <w:rsid w:val="003D6722"/>
    <w:rsid w:val="003D7428"/>
    <w:rsid w:val="003D77F2"/>
    <w:rsid w:val="003D78CC"/>
    <w:rsid w:val="003D7D01"/>
    <w:rsid w:val="003D7ED8"/>
    <w:rsid w:val="003E0003"/>
    <w:rsid w:val="003E0099"/>
    <w:rsid w:val="003E08C7"/>
    <w:rsid w:val="003E1A72"/>
    <w:rsid w:val="003E2096"/>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A7"/>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FDA"/>
    <w:rsid w:val="004013AD"/>
    <w:rsid w:val="004021C0"/>
    <w:rsid w:val="004028CE"/>
    <w:rsid w:val="0040313D"/>
    <w:rsid w:val="004043FA"/>
    <w:rsid w:val="00404736"/>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3FE"/>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FB5"/>
    <w:rsid w:val="004226ED"/>
    <w:rsid w:val="00422AF4"/>
    <w:rsid w:val="004235F4"/>
    <w:rsid w:val="004236C9"/>
    <w:rsid w:val="00423CF3"/>
    <w:rsid w:val="00423E18"/>
    <w:rsid w:val="004249FB"/>
    <w:rsid w:val="00424A3F"/>
    <w:rsid w:val="00424B7C"/>
    <w:rsid w:val="0042500C"/>
    <w:rsid w:val="00425514"/>
    <w:rsid w:val="004256BD"/>
    <w:rsid w:val="00425863"/>
    <w:rsid w:val="00425D02"/>
    <w:rsid w:val="00425EDC"/>
    <w:rsid w:val="0042613A"/>
    <w:rsid w:val="00426C3E"/>
    <w:rsid w:val="004275CD"/>
    <w:rsid w:val="00427A78"/>
    <w:rsid w:val="00427FEB"/>
    <w:rsid w:val="00427FF2"/>
    <w:rsid w:val="004305C0"/>
    <w:rsid w:val="00430B20"/>
    <w:rsid w:val="00430B6C"/>
    <w:rsid w:val="0043227C"/>
    <w:rsid w:val="004335C0"/>
    <w:rsid w:val="0043415D"/>
    <w:rsid w:val="00435121"/>
    <w:rsid w:val="00435715"/>
    <w:rsid w:val="0043571B"/>
    <w:rsid w:val="00435EE0"/>
    <w:rsid w:val="00435F29"/>
    <w:rsid w:val="0043610C"/>
    <w:rsid w:val="004366FF"/>
    <w:rsid w:val="00436E09"/>
    <w:rsid w:val="00437A90"/>
    <w:rsid w:val="00437D83"/>
    <w:rsid w:val="004401DD"/>
    <w:rsid w:val="00440344"/>
    <w:rsid w:val="00441264"/>
    <w:rsid w:val="004417C6"/>
    <w:rsid w:val="00441B0F"/>
    <w:rsid w:val="004425C6"/>
    <w:rsid w:val="00443D5D"/>
    <w:rsid w:val="00445A38"/>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5A18"/>
    <w:rsid w:val="0045638E"/>
    <w:rsid w:val="00456CC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6AFD"/>
    <w:rsid w:val="00470696"/>
    <w:rsid w:val="00472177"/>
    <w:rsid w:val="004724C9"/>
    <w:rsid w:val="00472585"/>
    <w:rsid w:val="00474130"/>
    <w:rsid w:val="00474EDD"/>
    <w:rsid w:val="00475A6C"/>
    <w:rsid w:val="004764AF"/>
    <w:rsid w:val="00476D04"/>
    <w:rsid w:val="0047775E"/>
    <w:rsid w:val="00477AAE"/>
    <w:rsid w:val="00477AF6"/>
    <w:rsid w:val="00477B3B"/>
    <w:rsid w:val="00477BCB"/>
    <w:rsid w:val="00477FCA"/>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90954"/>
    <w:rsid w:val="00490BAD"/>
    <w:rsid w:val="0049277A"/>
    <w:rsid w:val="00492B38"/>
    <w:rsid w:val="00492FE4"/>
    <w:rsid w:val="00493035"/>
    <w:rsid w:val="00493321"/>
    <w:rsid w:val="004936DE"/>
    <w:rsid w:val="0049544E"/>
    <w:rsid w:val="00495670"/>
    <w:rsid w:val="0049604B"/>
    <w:rsid w:val="00496AC9"/>
    <w:rsid w:val="00497FA4"/>
    <w:rsid w:val="004A040E"/>
    <w:rsid w:val="004A042D"/>
    <w:rsid w:val="004A11E0"/>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24D"/>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987"/>
    <w:rsid w:val="004D3A57"/>
    <w:rsid w:val="004D3D16"/>
    <w:rsid w:val="004D47FF"/>
    <w:rsid w:val="004D4D35"/>
    <w:rsid w:val="004D518F"/>
    <w:rsid w:val="004D54D7"/>
    <w:rsid w:val="004D5BB7"/>
    <w:rsid w:val="004D6053"/>
    <w:rsid w:val="004D6FA4"/>
    <w:rsid w:val="004D7C23"/>
    <w:rsid w:val="004E01C6"/>
    <w:rsid w:val="004E0212"/>
    <w:rsid w:val="004E094C"/>
    <w:rsid w:val="004E0ADC"/>
    <w:rsid w:val="004E0B26"/>
    <w:rsid w:val="004E0FB1"/>
    <w:rsid w:val="004E1043"/>
    <w:rsid w:val="004E1837"/>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D87"/>
    <w:rsid w:val="005130DA"/>
    <w:rsid w:val="00513DDA"/>
    <w:rsid w:val="00513E19"/>
    <w:rsid w:val="005148B4"/>
    <w:rsid w:val="00514B29"/>
    <w:rsid w:val="005152B1"/>
    <w:rsid w:val="005152F0"/>
    <w:rsid w:val="00515856"/>
    <w:rsid w:val="005163E6"/>
    <w:rsid w:val="00516969"/>
    <w:rsid w:val="005172EC"/>
    <w:rsid w:val="0051740D"/>
    <w:rsid w:val="005178CE"/>
    <w:rsid w:val="00521CAB"/>
    <w:rsid w:val="005224EF"/>
    <w:rsid w:val="00522654"/>
    <w:rsid w:val="00522835"/>
    <w:rsid w:val="0052293D"/>
    <w:rsid w:val="00522AF4"/>
    <w:rsid w:val="00523499"/>
    <w:rsid w:val="00523BC7"/>
    <w:rsid w:val="00523C08"/>
    <w:rsid w:val="00523C10"/>
    <w:rsid w:val="00523E23"/>
    <w:rsid w:val="005245D5"/>
    <w:rsid w:val="00524889"/>
    <w:rsid w:val="0052575D"/>
    <w:rsid w:val="00525A53"/>
    <w:rsid w:val="00526569"/>
    <w:rsid w:val="00526726"/>
    <w:rsid w:val="00527256"/>
    <w:rsid w:val="00527B57"/>
    <w:rsid w:val="00527C8D"/>
    <w:rsid w:val="00527C9C"/>
    <w:rsid w:val="00530AC4"/>
    <w:rsid w:val="0053309E"/>
    <w:rsid w:val="00533169"/>
    <w:rsid w:val="00533194"/>
    <w:rsid w:val="005332C8"/>
    <w:rsid w:val="0053397A"/>
    <w:rsid w:val="0053464E"/>
    <w:rsid w:val="005352C8"/>
    <w:rsid w:val="005354C1"/>
    <w:rsid w:val="00535F99"/>
    <w:rsid w:val="00536356"/>
    <w:rsid w:val="00536CBB"/>
    <w:rsid w:val="00536D0F"/>
    <w:rsid w:val="00536DDD"/>
    <w:rsid w:val="00537033"/>
    <w:rsid w:val="00540A37"/>
    <w:rsid w:val="00540B49"/>
    <w:rsid w:val="005418DB"/>
    <w:rsid w:val="00541E53"/>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F6"/>
    <w:rsid w:val="00556E29"/>
    <w:rsid w:val="00557474"/>
    <w:rsid w:val="00557B53"/>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76E91"/>
    <w:rsid w:val="0058000F"/>
    <w:rsid w:val="00580557"/>
    <w:rsid w:val="0058074F"/>
    <w:rsid w:val="00580A76"/>
    <w:rsid w:val="00581042"/>
    <w:rsid w:val="00581703"/>
    <w:rsid w:val="00581B15"/>
    <w:rsid w:val="005821DD"/>
    <w:rsid w:val="00583908"/>
    <w:rsid w:val="00584757"/>
    <w:rsid w:val="00584E21"/>
    <w:rsid w:val="005853A0"/>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0D0"/>
    <w:rsid w:val="0059681A"/>
    <w:rsid w:val="00596873"/>
    <w:rsid w:val="00596BB3"/>
    <w:rsid w:val="00596BD4"/>
    <w:rsid w:val="00596FA8"/>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A08"/>
    <w:rsid w:val="005A7BAF"/>
    <w:rsid w:val="005B0652"/>
    <w:rsid w:val="005B0868"/>
    <w:rsid w:val="005B1213"/>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5FD2"/>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427"/>
    <w:rsid w:val="005E5428"/>
    <w:rsid w:val="005E5A7C"/>
    <w:rsid w:val="005E5C33"/>
    <w:rsid w:val="005E6976"/>
    <w:rsid w:val="005E703B"/>
    <w:rsid w:val="005E721A"/>
    <w:rsid w:val="005E74EC"/>
    <w:rsid w:val="005E7AB6"/>
    <w:rsid w:val="005E7B1E"/>
    <w:rsid w:val="005E7CBC"/>
    <w:rsid w:val="005F01CC"/>
    <w:rsid w:val="005F0A62"/>
    <w:rsid w:val="005F0FA8"/>
    <w:rsid w:val="005F199F"/>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B0C"/>
    <w:rsid w:val="00601215"/>
    <w:rsid w:val="00602DFA"/>
    <w:rsid w:val="006031D1"/>
    <w:rsid w:val="006033BF"/>
    <w:rsid w:val="00603702"/>
    <w:rsid w:val="00603B4B"/>
    <w:rsid w:val="00603F20"/>
    <w:rsid w:val="00604F37"/>
    <w:rsid w:val="00605038"/>
    <w:rsid w:val="0060508A"/>
    <w:rsid w:val="006055AF"/>
    <w:rsid w:val="00605942"/>
    <w:rsid w:val="00605C9F"/>
    <w:rsid w:val="006068E8"/>
    <w:rsid w:val="00606ADB"/>
    <w:rsid w:val="006072DE"/>
    <w:rsid w:val="006075F4"/>
    <w:rsid w:val="006077D6"/>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279CE"/>
    <w:rsid w:val="00630480"/>
    <w:rsid w:val="0063058E"/>
    <w:rsid w:val="006305F8"/>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5B2"/>
    <w:rsid w:val="006375BB"/>
    <w:rsid w:val="0064036A"/>
    <w:rsid w:val="006409EE"/>
    <w:rsid w:val="00640BF7"/>
    <w:rsid w:val="00640FFF"/>
    <w:rsid w:val="00641761"/>
    <w:rsid w:val="006425FC"/>
    <w:rsid w:val="00642631"/>
    <w:rsid w:val="00642DF5"/>
    <w:rsid w:val="0064304A"/>
    <w:rsid w:val="006435D8"/>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16B7"/>
    <w:rsid w:val="006518E4"/>
    <w:rsid w:val="00651FB8"/>
    <w:rsid w:val="00652BA0"/>
    <w:rsid w:val="00653045"/>
    <w:rsid w:val="00653135"/>
    <w:rsid w:val="0065341A"/>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1639"/>
    <w:rsid w:val="00661655"/>
    <w:rsid w:val="0066174D"/>
    <w:rsid w:val="00661E36"/>
    <w:rsid w:val="00662DA5"/>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88B"/>
    <w:rsid w:val="00671F3E"/>
    <w:rsid w:val="00672482"/>
    <w:rsid w:val="00672A18"/>
    <w:rsid w:val="006735D0"/>
    <w:rsid w:val="006739E9"/>
    <w:rsid w:val="00674D52"/>
    <w:rsid w:val="00674F93"/>
    <w:rsid w:val="0067546F"/>
    <w:rsid w:val="00675E29"/>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4FAE"/>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A4A"/>
    <w:rsid w:val="006C53EB"/>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3023"/>
    <w:rsid w:val="006E3369"/>
    <w:rsid w:val="006E3D12"/>
    <w:rsid w:val="006E449C"/>
    <w:rsid w:val="006E4726"/>
    <w:rsid w:val="006E4E72"/>
    <w:rsid w:val="006E50D0"/>
    <w:rsid w:val="006E663E"/>
    <w:rsid w:val="006E6EDF"/>
    <w:rsid w:val="006E7BA5"/>
    <w:rsid w:val="006F01E8"/>
    <w:rsid w:val="006F02D7"/>
    <w:rsid w:val="006F0EBB"/>
    <w:rsid w:val="006F176D"/>
    <w:rsid w:val="006F1E96"/>
    <w:rsid w:val="006F2D24"/>
    <w:rsid w:val="006F37F7"/>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2B4E"/>
    <w:rsid w:val="00703107"/>
    <w:rsid w:val="00703138"/>
    <w:rsid w:val="00703277"/>
    <w:rsid w:val="0070356D"/>
    <w:rsid w:val="00703981"/>
    <w:rsid w:val="00703D7E"/>
    <w:rsid w:val="0070495F"/>
    <w:rsid w:val="00704B6E"/>
    <w:rsid w:val="00704D88"/>
    <w:rsid w:val="00704F73"/>
    <w:rsid w:val="0070508D"/>
    <w:rsid w:val="0070542E"/>
    <w:rsid w:val="007060D4"/>
    <w:rsid w:val="0070624C"/>
    <w:rsid w:val="00706451"/>
    <w:rsid w:val="007078D7"/>
    <w:rsid w:val="00707E0F"/>
    <w:rsid w:val="0071068A"/>
    <w:rsid w:val="00710E19"/>
    <w:rsid w:val="00710E52"/>
    <w:rsid w:val="0071154B"/>
    <w:rsid w:val="0071174F"/>
    <w:rsid w:val="00711810"/>
    <w:rsid w:val="0071196A"/>
    <w:rsid w:val="007131CF"/>
    <w:rsid w:val="007133C0"/>
    <w:rsid w:val="00713613"/>
    <w:rsid w:val="007137C6"/>
    <w:rsid w:val="007138FC"/>
    <w:rsid w:val="0071393D"/>
    <w:rsid w:val="00713E79"/>
    <w:rsid w:val="00714245"/>
    <w:rsid w:val="00715441"/>
    <w:rsid w:val="00715739"/>
    <w:rsid w:val="0071576C"/>
    <w:rsid w:val="00715C94"/>
    <w:rsid w:val="00716170"/>
    <w:rsid w:val="00716A09"/>
    <w:rsid w:val="007170DB"/>
    <w:rsid w:val="00717880"/>
    <w:rsid w:val="00717CA8"/>
    <w:rsid w:val="007205E7"/>
    <w:rsid w:val="007209C4"/>
    <w:rsid w:val="007215AF"/>
    <w:rsid w:val="00721E9E"/>
    <w:rsid w:val="007227FE"/>
    <w:rsid w:val="007233C3"/>
    <w:rsid w:val="00723680"/>
    <w:rsid w:val="00723C95"/>
    <w:rsid w:val="007244E7"/>
    <w:rsid w:val="0072505F"/>
    <w:rsid w:val="00725B00"/>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35F1"/>
    <w:rsid w:val="00743948"/>
    <w:rsid w:val="00743DDD"/>
    <w:rsid w:val="00744084"/>
    <w:rsid w:val="00744625"/>
    <w:rsid w:val="007446BB"/>
    <w:rsid w:val="00745882"/>
    <w:rsid w:val="00745A04"/>
    <w:rsid w:val="00745A0F"/>
    <w:rsid w:val="00745DFD"/>
    <w:rsid w:val="00746197"/>
    <w:rsid w:val="0074655D"/>
    <w:rsid w:val="0074689C"/>
    <w:rsid w:val="00746B3F"/>
    <w:rsid w:val="00747117"/>
    <w:rsid w:val="007479C2"/>
    <w:rsid w:val="00747B0D"/>
    <w:rsid w:val="00751452"/>
    <w:rsid w:val="007521A5"/>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7A28"/>
    <w:rsid w:val="00767DD2"/>
    <w:rsid w:val="0077082B"/>
    <w:rsid w:val="00770E60"/>
    <w:rsid w:val="00771C8F"/>
    <w:rsid w:val="0077266E"/>
    <w:rsid w:val="0077292E"/>
    <w:rsid w:val="007737D8"/>
    <w:rsid w:val="0077391C"/>
    <w:rsid w:val="00773D24"/>
    <w:rsid w:val="00774576"/>
    <w:rsid w:val="007745DA"/>
    <w:rsid w:val="0077508A"/>
    <w:rsid w:val="00775567"/>
    <w:rsid w:val="00775E0D"/>
    <w:rsid w:val="00776051"/>
    <w:rsid w:val="00776343"/>
    <w:rsid w:val="00776416"/>
    <w:rsid w:val="007764E9"/>
    <w:rsid w:val="00776C7B"/>
    <w:rsid w:val="00776CEF"/>
    <w:rsid w:val="00777E7E"/>
    <w:rsid w:val="007804DD"/>
    <w:rsid w:val="00780F3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A57"/>
    <w:rsid w:val="00793A9C"/>
    <w:rsid w:val="00793F28"/>
    <w:rsid w:val="007942BA"/>
    <w:rsid w:val="007944D2"/>
    <w:rsid w:val="00794B19"/>
    <w:rsid w:val="00795B8D"/>
    <w:rsid w:val="00795F0E"/>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C32"/>
    <w:rsid w:val="007B1DBB"/>
    <w:rsid w:val="007B2319"/>
    <w:rsid w:val="007B2B0B"/>
    <w:rsid w:val="007B2FBF"/>
    <w:rsid w:val="007B3E13"/>
    <w:rsid w:val="007B4046"/>
    <w:rsid w:val="007B4300"/>
    <w:rsid w:val="007B565C"/>
    <w:rsid w:val="007B595F"/>
    <w:rsid w:val="007B5D75"/>
    <w:rsid w:val="007B6D5E"/>
    <w:rsid w:val="007B7115"/>
    <w:rsid w:val="007B736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1BA"/>
    <w:rsid w:val="007C6325"/>
    <w:rsid w:val="007C73A3"/>
    <w:rsid w:val="007C7975"/>
    <w:rsid w:val="007C7EF5"/>
    <w:rsid w:val="007D06AC"/>
    <w:rsid w:val="007D0741"/>
    <w:rsid w:val="007D0A53"/>
    <w:rsid w:val="007D0FFC"/>
    <w:rsid w:val="007D1013"/>
    <w:rsid w:val="007D19EC"/>
    <w:rsid w:val="007D1A4E"/>
    <w:rsid w:val="007D2608"/>
    <w:rsid w:val="007D30C3"/>
    <w:rsid w:val="007D35AC"/>
    <w:rsid w:val="007D36B1"/>
    <w:rsid w:val="007D36D7"/>
    <w:rsid w:val="007D3845"/>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735"/>
    <w:rsid w:val="008028C2"/>
    <w:rsid w:val="00802DDB"/>
    <w:rsid w:val="008037D8"/>
    <w:rsid w:val="00803B7E"/>
    <w:rsid w:val="00803DA6"/>
    <w:rsid w:val="008040D9"/>
    <w:rsid w:val="0080436E"/>
    <w:rsid w:val="00804937"/>
    <w:rsid w:val="00804E1E"/>
    <w:rsid w:val="00804E43"/>
    <w:rsid w:val="008050F5"/>
    <w:rsid w:val="0080519C"/>
    <w:rsid w:val="00807C8A"/>
    <w:rsid w:val="00810BC2"/>
    <w:rsid w:val="0081143F"/>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991"/>
    <w:rsid w:val="00817F58"/>
    <w:rsid w:val="008203C5"/>
    <w:rsid w:val="00820AA7"/>
    <w:rsid w:val="00820B84"/>
    <w:rsid w:val="0082199B"/>
    <w:rsid w:val="00821C2A"/>
    <w:rsid w:val="008227B7"/>
    <w:rsid w:val="008243A8"/>
    <w:rsid w:val="008245BF"/>
    <w:rsid w:val="00824925"/>
    <w:rsid w:val="00824C8B"/>
    <w:rsid w:val="008252E8"/>
    <w:rsid w:val="00825BA8"/>
    <w:rsid w:val="00825C14"/>
    <w:rsid w:val="0082641D"/>
    <w:rsid w:val="008267CA"/>
    <w:rsid w:val="0082722B"/>
    <w:rsid w:val="00827C1B"/>
    <w:rsid w:val="0083016B"/>
    <w:rsid w:val="008301F1"/>
    <w:rsid w:val="00830461"/>
    <w:rsid w:val="00830C0E"/>
    <w:rsid w:val="008313E0"/>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35F1B"/>
    <w:rsid w:val="00840913"/>
    <w:rsid w:val="00840C4A"/>
    <w:rsid w:val="008411B9"/>
    <w:rsid w:val="0084122F"/>
    <w:rsid w:val="00841573"/>
    <w:rsid w:val="00841D08"/>
    <w:rsid w:val="00842D43"/>
    <w:rsid w:val="0084323E"/>
    <w:rsid w:val="00843D50"/>
    <w:rsid w:val="00843E0F"/>
    <w:rsid w:val="0084464E"/>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497B"/>
    <w:rsid w:val="008554D1"/>
    <w:rsid w:val="008558E0"/>
    <w:rsid w:val="00857AF7"/>
    <w:rsid w:val="00860109"/>
    <w:rsid w:val="008601BD"/>
    <w:rsid w:val="00860359"/>
    <w:rsid w:val="00860E43"/>
    <w:rsid w:val="00861252"/>
    <w:rsid w:val="0086171A"/>
    <w:rsid w:val="00861B80"/>
    <w:rsid w:val="0086226C"/>
    <w:rsid w:val="008632BF"/>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90008"/>
    <w:rsid w:val="0089015D"/>
    <w:rsid w:val="0089021A"/>
    <w:rsid w:val="0089022E"/>
    <w:rsid w:val="00890475"/>
    <w:rsid w:val="00890A7C"/>
    <w:rsid w:val="00890D11"/>
    <w:rsid w:val="008910EE"/>
    <w:rsid w:val="00891A26"/>
    <w:rsid w:val="008923F8"/>
    <w:rsid w:val="008928F1"/>
    <w:rsid w:val="00892BBF"/>
    <w:rsid w:val="00892DB5"/>
    <w:rsid w:val="008942BD"/>
    <w:rsid w:val="0089437E"/>
    <w:rsid w:val="0089478A"/>
    <w:rsid w:val="0089480A"/>
    <w:rsid w:val="00894FE5"/>
    <w:rsid w:val="00895658"/>
    <w:rsid w:val="008956DA"/>
    <w:rsid w:val="00895BA9"/>
    <w:rsid w:val="00895D79"/>
    <w:rsid w:val="0089601B"/>
    <w:rsid w:val="0089655D"/>
    <w:rsid w:val="00896784"/>
    <w:rsid w:val="00897824"/>
    <w:rsid w:val="00897ACF"/>
    <w:rsid w:val="00897BCB"/>
    <w:rsid w:val="00897C07"/>
    <w:rsid w:val="00897DBA"/>
    <w:rsid w:val="008A02FA"/>
    <w:rsid w:val="008A06A8"/>
    <w:rsid w:val="008A1AAC"/>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5F9B"/>
    <w:rsid w:val="008A615A"/>
    <w:rsid w:val="008A650C"/>
    <w:rsid w:val="008A6A36"/>
    <w:rsid w:val="008A6CB9"/>
    <w:rsid w:val="008A6DC1"/>
    <w:rsid w:val="008A7100"/>
    <w:rsid w:val="008A7139"/>
    <w:rsid w:val="008A776D"/>
    <w:rsid w:val="008A7C74"/>
    <w:rsid w:val="008B04C0"/>
    <w:rsid w:val="008B09E1"/>
    <w:rsid w:val="008B0A83"/>
    <w:rsid w:val="008B0E93"/>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CB2"/>
    <w:rsid w:val="008B6E87"/>
    <w:rsid w:val="008B75C2"/>
    <w:rsid w:val="008B787A"/>
    <w:rsid w:val="008C0A89"/>
    <w:rsid w:val="008C0E71"/>
    <w:rsid w:val="008C1544"/>
    <w:rsid w:val="008C1852"/>
    <w:rsid w:val="008C2A63"/>
    <w:rsid w:val="008C2CFF"/>
    <w:rsid w:val="008C2E1E"/>
    <w:rsid w:val="008C2E22"/>
    <w:rsid w:val="008C2ED2"/>
    <w:rsid w:val="008C2FCE"/>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16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794"/>
    <w:rsid w:val="008D7F65"/>
    <w:rsid w:val="008E0178"/>
    <w:rsid w:val="008E02F8"/>
    <w:rsid w:val="008E08C5"/>
    <w:rsid w:val="008E12AF"/>
    <w:rsid w:val="008E1DC9"/>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F0952"/>
    <w:rsid w:val="008F1154"/>
    <w:rsid w:val="008F1B84"/>
    <w:rsid w:val="008F1B9D"/>
    <w:rsid w:val="008F1DB6"/>
    <w:rsid w:val="008F39C0"/>
    <w:rsid w:val="008F57CD"/>
    <w:rsid w:val="008F5960"/>
    <w:rsid w:val="008F5CD0"/>
    <w:rsid w:val="008F629A"/>
    <w:rsid w:val="008F6A9B"/>
    <w:rsid w:val="008F6F03"/>
    <w:rsid w:val="008F7603"/>
    <w:rsid w:val="008F769D"/>
    <w:rsid w:val="008F76DC"/>
    <w:rsid w:val="008F7D2F"/>
    <w:rsid w:val="009013C5"/>
    <w:rsid w:val="0090147B"/>
    <w:rsid w:val="00901649"/>
    <w:rsid w:val="00901CBA"/>
    <w:rsid w:val="00901DC6"/>
    <w:rsid w:val="009021DC"/>
    <w:rsid w:val="00902972"/>
    <w:rsid w:val="00903026"/>
    <w:rsid w:val="0090357B"/>
    <w:rsid w:val="00903832"/>
    <w:rsid w:val="009044BE"/>
    <w:rsid w:val="009048EB"/>
    <w:rsid w:val="00904913"/>
    <w:rsid w:val="009050B3"/>
    <w:rsid w:val="00905945"/>
    <w:rsid w:val="00905FEB"/>
    <w:rsid w:val="00906252"/>
    <w:rsid w:val="0090647C"/>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10D"/>
    <w:rsid w:val="00912F38"/>
    <w:rsid w:val="00913C58"/>
    <w:rsid w:val="009140B4"/>
    <w:rsid w:val="00914174"/>
    <w:rsid w:val="0091428A"/>
    <w:rsid w:val="00914733"/>
    <w:rsid w:val="00914AA5"/>
    <w:rsid w:val="00915457"/>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588"/>
    <w:rsid w:val="00925AF5"/>
    <w:rsid w:val="00926268"/>
    <w:rsid w:val="009264A2"/>
    <w:rsid w:val="0092715D"/>
    <w:rsid w:val="009274D4"/>
    <w:rsid w:val="00930632"/>
    <w:rsid w:val="009310BC"/>
    <w:rsid w:val="00931D3F"/>
    <w:rsid w:val="009324C4"/>
    <w:rsid w:val="00932671"/>
    <w:rsid w:val="00932A7A"/>
    <w:rsid w:val="009330BF"/>
    <w:rsid w:val="00933817"/>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8F2"/>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5DB"/>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763"/>
    <w:rsid w:val="009757CA"/>
    <w:rsid w:val="00976E76"/>
    <w:rsid w:val="00977A14"/>
    <w:rsid w:val="00977E9B"/>
    <w:rsid w:val="009807BF"/>
    <w:rsid w:val="009809CE"/>
    <w:rsid w:val="0098131F"/>
    <w:rsid w:val="00981479"/>
    <w:rsid w:val="00981F74"/>
    <w:rsid w:val="009823FB"/>
    <w:rsid w:val="009829B3"/>
    <w:rsid w:val="00982C31"/>
    <w:rsid w:val="00982D45"/>
    <w:rsid w:val="00983165"/>
    <w:rsid w:val="00983343"/>
    <w:rsid w:val="009833C4"/>
    <w:rsid w:val="009834E0"/>
    <w:rsid w:val="009838FF"/>
    <w:rsid w:val="00984149"/>
    <w:rsid w:val="00984788"/>
    <w:rsid w:val="00984909"/>
    <w:rsid w:val="00984DD6"/>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20F2"/>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9A7"/>
    <w:rsid w:val="009B1C34"/>
    <w:rsid w:val="009B1D22"/>
    <w:rsid w:val="009B1E86"/>
    <w:rsid w:val="009B27C4"/>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0CCB"/>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069"/>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654"/>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07FD0"/>
    <w:rsid w:val="00A102A0"/>
    <w:rsid w:val="00A10860"/>
    <w:rsid w:val="00A114FA"/>
    <w:rsid w:val="00A11AF3"/>
    <w:rsid w:val="00A12C09"/>
    <w:rsid w:val="00A13084"/>
    <w:rsid w:val="00A1327F"/>
    <w:rsid w:val="00A13817"/>
    <w:rsid w:val="00A138D3"/>
    <w:rsid w:val="00A13D2D"/>
    <w:rsid w:val="00A13E0F"/>
    <w:rsid w:val="00A144B7"/>
    <w:rsid w:val="00A149B4"/>
    <w:rsid w:val="00A15F4F"/>
    <w:rsid w:val="00A160AB"/>
    <w:rsid w:val="00A16745"/>
    <w:rsid w:val="00A16747"/>
    <w:rsid w:val="00A17E93"/>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250"/>
    <w:rsid w:val="00A27806"/>
    <w:rsid w:val="00A3068C"/>
    <w:rsid w:val="00A3127F"/>
    <w:rsid w:val="00A31922"/>
    <w:rsid w:val="00A31BCC"/>
    <w:rsid w:val="00A31C70"/>
    <w:rsid w:val="00A3214A"/>
    <w:rsid w:val="00A325BB"/>
    <w:rsid w:val="00A3297A"/>
    <w:rsid w:val="00A32A58"/>
    <w:rsid w:val="00A32EEC"/>
    <w:rsid w:val="00A336C5"/>
    <w:rsid w:val="00A3510A"/>
    <w:rsid w:val="00A3515F"/>
    <w:rsid w:val="00A355C3"/>
    <w:rsid w:val="00A35751"/>
    <w:rsid w:val="00A3577F"/>
    <w:rsid w:val="00A35BBC"/>
    <w:rsid w:val="00A35DAB"/>
    <w:rsid w:val="00A36724"/>
    <w:rsid w:val="00A367AF"/>
    <w:rsid w:val="00A36C13"/>
    <w:rsid w:val="00A377C2"/>
    <w:rsid w:val="00A37A31"/>
    <w:rsid w:val="00A37DFF"/>
    <w:rsid w:val="00A40B1F"/>
    <w:rsid w:val="00A40B4D"/>
    <w:rsid w:val="00A411E2"/>
    <w:rsid w:val="00A41373"/>
    <w:rsid w:val="00A4137D"/>
    <w:rsid w:val="00A41638"/>
    <w:rsid w:val="00A41B15"/>
    <w:rsid w:val="00A4224E"/>
    <w:rsid w:val="00A4229F"/>
    <w:rsid w:val="00A428A9"/>
    <w:rsid w:val="00A42ACA"/>
    <w:rsid w:val="00A43AAB"/>
    <w:rsid w:val="00A43AFE"/>
    <w:rsid w:val="00A447B0"/>
    <w:rsid w:val="00A447E3"/>
    <w:rsid w:val="00A44AAD"/>
    <w:rsid w:val="00A44D3B"/>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EE5"/>
    <w:rsid w:val="00A53F7B"/>
    <w:rsid w:val="00A54090"/>
    <w:rsid w:val="00A54282"/>
    <w:rsid w:val="00A549D3"/>
    <w:rsid w:val="00A54DF0"/>
    <w:rsid w:val="00A57E98"/>
    <w:rsid w:val="00A60849"/>
    <w:rsid w:val="00A6105B"/>
    <w:rsid w:val="00A61355"/>
    <w:rsid w:val="00A615F2"/>
    <w:rsid w:val="00A61668"/>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C10"/>
    <w:rsid w:val="00A71E73"/>
    <w:rsid w:val="00A72740"/>
    <w:rsid w:val="00A73A64"/>
    <w:rsid w:val="00A742AD"/>
    <w:rsid w:val="00A746D7"/>
    <w:rsid w:val="00A74AB2"/>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415E"/>
    <w:rsid w:val="00A9423F"/>
    <w:rsid w:val="00A94EBD"/>
    <w:rsid w:val="00A9510D"/>
    <w:rsid w:val="00A956AC"/>
    <w:rsid w:val="00A95D2A"/>
    <w:rsid w:val="00A96214"/>
    <w:rsid w:val="00A967E8"/>
    <w:rsid w:val="00A97F4B"/>
    <w:rsid w:val="00AA04C5"/>
    <w:rsid w:val="00AA10B1"/>
    <w:rsid w:val="00AA2803"/>
    <w:rsid w:val="00AA2BF2"/>
    <w:rsid w:val="00AA2D68"/>
    <w:rsid w:val="00AA2D6F"/>
    <w:rsid w:val="00AA3987"/>
    <w:rsid w:val="00AA3B68"/>
    <w:rsid w:val="00AA3E79"/>
    <w:rsid w:val="00AA4FB4"/>
    <w:rsid w:val="00AA5C0B"/>
    <w:rsid w:val="00AA5E3B"/>
    <w:rsid w:val="00AA63AD"/>
    <w:rsid w:val="00AA65B4"/>
    <w:rsid w:val="00AA745E"/>
    <w:rsid w:val="00AB04AB"/>
    <w:rsid w:val="00AB0733"/>
    <w:rsid w:val="00AB09D2"/>
    <w:rsid w:val="00AB0B64"/>
    <w:rsid w:val="00AB0C30"/>
    <w:rsid w:val="00AB1424"/>
    <w:rsid w:val="00AB176B"/>
    <w:rsid w:val="00AB37E6"/>
    <w:rsid w:val="00AB3DBA"/>
    <w:rsid w:val="00AB431C"/>
    <w:rsid w:val="00AB470E"/>
    <w:rsid w:val="00AB57B0"/>
    <w:rsid w:val="00AB5A7E"/>
    <w:rsid w:val="00AB62E5"/>
    <w:rsid w:val="00AB7115"/>
    <w:rsid w:val="00AB7538"/>
    <w:rsid w:val="00AB77F3"/>
    <w:rsid w:val="00AC0256"/>
    <w:rsid w:val="00AC0AAD"/>
    <w:rsid w:val="00AC0EBB"/>
    <w:rsid w:val="00AC1231"/>
    <w:rsid w:val="00AC1992"/>
    <w:rsid w:val="00AC1E14"/>
    <w:rsid w:val="00AC2CFA"/>
    <w:rsid w:val="00AC3263"/>
    <w:rsid w:val="00AC3534"/>
    <w:rsid w:val="00AC3E12"/>
    <w:rsid w:val="00AC406E"/>
    <w:rsid w:val="00AC430C"/>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DE2"/>
    <w:rsid w:val="00AD4261"/>
    <w:rsid w:val="00AD46F5"/>
    <w:rsid w:val="00AD51A3"/>
    <w:rsid w:val="00AD598B"/>
    <w:rsid w:val="00AD7154"/>
    <w:rsid w:val="00AD797D"/>
    <w:rsid w:val="00AD7E02"/>
    <w:rsid w:val="00AE0483"/>
    <w:rsid w:val="00AE08DD"/>
    <w:rsid w:val="00AE13BD"/>
    <w:rsid w:val="00AE16EA"/>
    <w:rsid w:val="00AE1AF9"/>
    <w:rsid w:val="00AE1E60"/>
    <w:rsid w:val="00AE2068"/>
    <w:rsid w:val="00AE2258"/>
    <w:rsid w:val="00AE2545"/>
    <w:rsid w:val="00AE277E"/>
    <w:rsid w:val="00AE2A36"/>
    <w:rsid w:val="00AE2BC6"/>
    <w:rsid w:val="00AE3251"/>
    <w:rsid w:val="00AE3FE0"/>
    <w:rsid w:val="00AE5058"/>
    <w:rsid w:val="00AE51CD"/>
    <w:rsid w:val="00AE5471"/>
    <w:rsid w:val="00AE54AA"/>
    <w:rsid w:val="00AE60E4"/>
    <w:rsid w:val="00AE6872"/>
    <w:rsid w:val="00AE6C58"/>
    <w:rsid w:val="00AE72C4"/>
    <w:rsid w:val="00AE74F8"/>
    <w:rsid w:val="00AE7F05"/>
    <w:rsid w:val="00AE7F38"/>
    <w:rsid w:val="00AF054D"/>
    <w:rsid w:val="00AF0939"/>
    <w:rsid w:val="00AF24E7"/>
    <w:rsid w:val="00AF272B"/>
    <w:rsid w:val="00AF291B"/>
    <w:rsid w:val="00AF2DAA"/>
    <w:rsid w:val="00AF2EBD"/>
    <w:rsid w:val="00AF33AE"/>
    <w:rsid w:val="00AF44B1"/>
    <w:rsid w:val="00AF5800"/>
    <w:rsid w:val="00AF6986"/>
    <w:rsid w:val="00AF69FE"/>
    <w:rsid w:val="00AF6D1B"/>
    <w:rsid w:val="00AF73ED"/>
    <w:rsid w:val="00AF7D69"/>
    <w:rsid w:val="00AF7ED2"/>
    <w:rsid w:val="00B004D8"/>
    <w:rsid w:val="00B00830"/>
    <w:rsid w:val="00B00CC5"/>
    <w:rsid w:val="00B016D2"/>
    <w:rsid w:val="00B01CA3"/>
    <w:rsid w:val="00B02091"/>
    <w:rsid w:val="00B02B43"/>
    <w:rsid w:val="00B03D36"/>
    <w:rsid w:val="00B04540"/>
    <w:rsid w:val="00B04630"/>
    <w:rsid w:val="00B048FD"/>
    <w:rsid w:val="00B05116"/>
    <w:rsid w:val="00B051A7"/>
    <w:rsid w:val="00B05F1A"/>
    <w:rsid w:val="00B06A27"/>
    <w:rsid w:val="00B07B33"/>
    <w:rsid w:val="00B07FA2"/>
    <w:rsid w:val="00B100CF"/>
    <w:rsid w:val="00B10E82"/>
    <w:rsid w:val="00B111A6"/>
    <w:rsid w:val="00B115E5"/>
    <w:rsid w:val="00B118EE"/>
    <w:rsid w:val="00B11B03"/>
    <w:rsid w:val="00B11C5B"/>
    <w:rsid w:val="00B121CD"/>
    <w:rsid w:val="00B12343"/>
    <w:rsid w:val="00B12529"/>
    <w:rsid w:val="00B12659"/>
    <w:rsid w:val="00B128C5"/>
    <w:rsid w:val="00B12B11"/>
    <w:rsid w:val="00B12C94"/>
    <w:rsid w:val="00B135AB"/>
    <w:rsid w:val="00B137BF"/>
    <w:rsid w:val="00B13A1B"/>
    <w:rsid w:val="00B13A76"/>
    <w:rsid w:val="00B142D9"/>
    <w:rsid w:val="00B14BC4"/>
    <w:rsid w:val="00B158A3"/>
    <w:rsid w:val="00B15B25"/>
    <w:rsid w:val="00B15C36"/>
    <w:rsid w:val="00B15EA0"/>
    <w:rsid w:val="00B17A4E"/>
    <w:rsid w:val="00B17B30"/>
    <w:rsid w:val="00B17C2F"/>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1354"/>
    <w:rsid w:val="00B414B0"/>
    <w:rsid w:val="00B422BE"/>
    <w:rsid w:val="00B4241D"/>
    <w:rsid w:val="00B426BB"/>
    <w:rsid w:val="00B42EB9"/>
    <w:rsid w:val="00B441FE"/>
    <w:rsid w:val="00B44821"/>
    <w:rsid w:val="00B44AD3"/>
    <w:rsid w:val="00B45152"/>
    <w:rsid w:val="00B45E54"/>
    <w:rsid w:val="00B464E4"/>
    <w:rsid w:val="00B4689A"/>
    <w:rsid w:val="00B46D5F"/>
    <w:rsid w:val="00B46E7B"/>
    <w:rsid w:val="00B47A00"/>
    <w:rsid w:val="00B47DC5"/>
    <w:rsid w:val="00B505B3"/>
    <w:rsid w:val="00B50882"/>
    <w:rsid w:val="00B50A74"/>
    <w:rsid w:val="00B5112A"/>
    <w:rsid w:val="00B520A0"/>
    <w:rsid w:val="00B5257E"/>
    <w:rsid w:val="00B525CE"/>
    <w:rsid w:val="00B52CFD"/>
    <w:rsid w:val="00B545A8"/>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1D7"/>
    <w:rsid w:val="00B76BCD"/>
    <w:rsid w:val="00B779E6"/>
    <w:rsid w:val="00B804E2"/>
    <w:rsid w:val="00B811B2"/>
    <w:rsid w:val="00B8276E"/>
    <w:rsid w:val="00B82EED"/>
    <w:rsid w:val="00B83A62"/>
    <w:rsid w:val="00B83B59"/>
    <w:rsid w:val="00B84252"/>
    <w:rsid w:val="00B8468F"/>
    <w:rsid w:val="00B84FC6"/>
    <w:rsid w:val="00B857F5"/>
    <w:rsid w:val="00B86C29"/>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57F"/>
    <w:rsid w:val="00B968A5"/>
    <w:rsid w:val="00B972CD"/>
    <w:rsid w:val="00B97C1B"/>
    <w:rsid w:val="00B97D02"/>
    <w:rsid w:val="00BA0304"/>
    <w:rsid w:val="00BA0557"/>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6CF3"/>
    <w:rsid w:val="00BB707E"/>
    <w:rsid w:val="00BB7568"/>
    <w:rsid w:val="00BC007C"/>
    <w:rsid w:val="00BC0986"/>
    <w:rsid w:val="00BC0AB2"/>
    <w:rsid w:val="00BC1308"/>
    <w:rsid w:val="00BC1BF4"/>
    <w:rsid w:val="00BC2600"/>
    <w:rsid w:val="00BC2F24"/>
    <w:rsid w:val="00BC33BE"/>
    <w:rsid w:val="00BC3A47"/>
    <w:rsid w:val="00BC3EEB"/>
    <w:rsid w:val="00BC4780"/>
    <w:rsid w:val="00BC49D0"/>
    <w:rsid w:val="00BC52C8"/>
    <w:rsid w:val="00BC5485"/>
    <w:rsid w:val="00BC549C"/>
    <w:rsid w:val="00BC570E"/>
    <w:rsid w:val="00BC5A6C"/>
    <w:rsid w:val="00BC5AF6"/>
    <w:rsid w:val="00BC5B4B"/>
    <w:rsid w:val="00BC5EDB"/>
    <w:rsid w:val="00BC69A2"/>
    <w:rsid w:val="00BC6ED6"/>
    <w:rsid w:val="00BC6F03"/>
    <w:rsid w:val="00BC6FA1"/>
    <w:rsid w:val="00BC7487"/>
    <w:rsid w:val="00BD00EA"/>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E064C"/>
    <w:rsid w:val="00BE09C3"/>
    <w:rsid w:val="00BE0C27"/>
    <w:rsid w:val="00BE15BB"/>
    <w:rsid w:val="00BE198F"/>
    <w:rsid w:val="00BE5964"/>
    <w:rsid w:val="00BE660B"/>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FA3"/>
    <w:rsid w:val="00BF62F2"/>
    <w:rsid w:val="00BF63A5"/>
    <w:rsid w:val="00BF72A7"/>
    <w:rsid w:val="00BF7558"/>
    <w:rsid w:val="00C00FB2"/>
    <w:rsid w:val="00C0111E"/>
    <w:rsid w:val="00C02676"/>
    <w:rsid w:val="00C029AB"/>
    <w:rsid w:val="00C03BD5"/>
    <w:rsid w:val="00C03C8B"/>
    <w:rsid w:val="00C03F3C"/>
    <w:rsid w:val="00C049BE"/>
    <w:rsid w:val="00C04A71"/>
    <w:rsid w:val="00C04DF0"/>
    <w:rsid w:val="00C05A4C"/>
    <w:rsid w:val="00C05A67"/>
    <w:rsid w:val="00C069C0"/>
    <w:rsid w:val="00C07DEE"/>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7EE"/>
    <w:rsid w:val="00C22784"/>
    <w:rsid w:val="00C23A4C"/>
    <w:rsid w:val="00C2419D"/>
    <w:rsid w:val="00C243A4"/>
    <w:rsid w:val="00C24416"/>
    <w:rsid w:val="00C245A0"/>
    <w:rsid w:val="00C248DB"/>
    <w:rsid w:val="00C26170"/>
    <w:rsid w:val="00C26B5A"/>
    <w:rsid w:val="00C26D52"/>
    <w:rsid w:val="00C303E4"/>
    <w:rsid w:val="00C30775"/>
    <w:rsid w:val="00C30B8D"/>
    <w:rsid w:val="00C30BAC"/>
    <w:rsid w:val="00C3134E"/>
    <w:rsid w:val="00C315D8"/>
    <w:rsid w:val="00C31C4A"/>
    <w:rsid w:val="00C31D2D"/>
    <w:rsid w:val="00C32639"/>
    <w:rsid w:val="00C32808"/>
    <w:rsid w:val="00C32AD2"/>
    <w:rsid w:val="00C33114"/>
    <w:rsid w:val="00C3368F"/>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489"/>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1521"/>
    <w:rsid w:val="00C61565"/>
    <w:rsid w:val="00C61574"/>
    <w:rsid w:val="00C615B4"/>
    <w:rsid w:val="00C61ACF"/>
    <w:rsid w:val="00C6211D"/>
    <w:rsid w:val="00C62B32"/>
    <w:rsid w:val="00C63DED"/>
    <w:rsid w:val="00C63E88"/>
    <w:rsid w:val="00C64F97"/>
    <w:rsid w:val="00C65585"/>
    <w:rsid w:val="00C656EB"/>
    <w:rsid w:val="00C65DF4"/>
    <w:rsid w:val="00C67B49"/>
    <w:rsid w:val="00C711F5"/>
    <w:rsid w:val="00C713A1"/>
    <w:rsid w:val="00C71828"/>
    <w:rsid w:val="00C72105"/>
    <w:rsid w:val="00C731C9"/>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08B"/>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9FB"/>
    <w:rsid w:val="00CA7EA1"/>
    <w:rsid w:val="00CA7EEB"/>
    <w:rsid w:val="00CB009B"/>
    <w:rsid w:val="00CB0231"/>
    <w:rsid w:val="00CB0838"/>
    <w:rsid w:val="00CB1AFD"/>
    <w:rsid w:val="00CB1C3F"/>
    <w:rsid w:val="00CB1EB3"/>
    <w:rsid w:val="00CB2126"/>
    <w:rsid w:val="00CB24AD"/>
    <w:rsid w:val="00CB2C59"/>
    <w:rsid w:val="00CB2D9C"/>
    <w:rsid w:val="00CB32EB"/>
    <w:rsid w:val="00CB34AB"/>
    <w:rsid w:val="00CB3529"/>
    <w:rsid w:val="00CB377E"/>
    <w:rsid w:val="00CB38A9"/>
    <w:rsid w:val="00CB45A6"/>
    <w:rsid w:val="00CB4728"/>
    <w:rsid w:val="00CB529B"/>
    <w:rsid w:val="00CB59E7"/>
    <w:rsid w:val="00CB5D27"/>
    <w:rsid w:val="00CB5E4A"/>
    <w:rsid w:val="00CB6FCA"/>
    <w:rsid w:val="00CB724D"/>
    <w:rsid w:val="00CB73EA"/>
    <w:rsid w:val="00CB7D4E"/>
    <w:rsid w:val="00CC002B"/>
    <w:rsid w:val="00CC07E5"/>
    <w:rsid w:val="00CC09F0"/>
    <w:rsid w:val="00CC0C11"/>
    <w:rsid w:val="00CC1D67"/>
    <w:rsid w:val="00CC1F52"/>
    <w:rsid w:val="00CC233F"/>
    <w:rsid w:val="00CC27FD"/>
    <w:rsid w:val="00CC31E8"/>
    <w:rsid w:val="00CC3AB9"/>
    <w:rsid w:val="00CC3C9E"/>
    <w:rsid w:val="00CC45E0"/>
    <w:rsid w:val="00CC4BBE"/>
    <w:rsid w:val="00CC4BC3"/>
    <w:rsid w:val="00CC5099"/>
    <w:rsid w:val="00CC50C7"/>
    <w:rsid w:val="00CC55AC"/>
    <w:rsid w:val="00CC5859"/>
    <w:rsid w:val="00CC5BCB"/>
    <w:rsid w:val="00CC6D1C"/>
    <w:rsid w:val="00CC71DD"/>
    <w:rsid w:val="00CC71F3"/>
    <w:rsid w:val="00CC72C0"/>
    <w:rsid w:val="00CC757D"/>
    <w:rsid w:val="00CC7C74"/>
    <w:rsid w:val="00CD00DB"/>
    <w:rsid w:val="00CD0119"/>
    <w:rsid w:val="00CD0484"/>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276"/>
    <w:rsid w:val="00CD6345"/>
    <w:rsid w:val="00CD6BBB"/>
    <w:rsid w:val="00CD7482"/>
    <w:rsid w:val="00CE07C1"/>
    <w:rsid w:val="00CE1567"/>
    <w:rsid w:val="00CE186F"/>
    <w:rsid w:val="00CE20E3"/>
    <w:rsid w:val="00CE273A"/>
    <w:rsid w:val="00CE321C"/>
    <w:rsid w:val="00CE32E8"/>
    <w:rsid w:val="00CE3700"/>
    <w:rsid w:val="00CE3B69"/>
    <w:rsid w:val="00CE4559"/>
    <w:rsid w:val="00CE5118"/>
    <w:rsid w:val="00CE5487"/>
    <w:rsid w:val="00CE553A"/>
    <w:rsid w:val="00CE59B5"/>
    <w:rsid w:val="00CE59DB"/>
    <w:rsid w:val="00CE5D3A"/>
    <w:rsid w:val="00CE67D8"/>
    <w:rsid w:val="00CE7381"/>
    <w:rsid w:val="00CE7447"/>
    <w:rsid w:val="00CE74CE"/>
    <w:rsid w:val="00CF0829"/>
    <w:rsid w:val="00CF0917"/>
    <w:rsid w:val="00CF0E74"/>
    <w:rsid w:val="00CF1833"/>
    <w:rsid w:val="00CF1AEA"/>
    <w:rsid w:val="00CF2091"/>
    <w:rsid w:val="00CF21F6"/>
    <w:rsid w:val="00CF2278"/>
    <w:rsid w:val="00CF2C62"/>
    <w:rsid w:val="00CF2F66"/>
    <w:rsid w:val="00CF337B"/>
    <w:rsid w:val="00CF370E"/>
    <w:rsid w:val="00CF3FE7"/>
    <w:rsid w:val="00CF4416"/>
    <w:rsid w:val="00CF5762"/>
    <w:rsid w:val="00CF65B4"/>
    <w:rsid w:val="00CF678A"/>
    <w:rsid w:val="00CF69B0"/>
    <w:rsid w:val="00CF6C05"/>
    <w:rsid w:val="00CF7485"/>
    <w:rsid w:val="00CF7E56"/>
    <w:rsid w:val="00D00982"/>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51AB"/>
    <w:rsid w:val="00D25AC6"/>
    <w:rsid w:val="00D261D3"/>
    <w:rsid w:val="00D319DF"/>
    <w:rsid w:val="00D31C02"/>
    <w:rsid w:val="00D3225E"/>
    <w:rsid w:val="00D324BC"/>
    <w:rsid w:val="00D33565"/>
    <w:rsid w:val="00D33762"/>
    <w:rsid w:val="00D34BD1"/>
    <w:rsid w:val="00D35177"/>
    <w:rsid w:val="00D356E1"/>
    <w:rsid w:val="00D37891"/>
    <w:rsid w:val="00D40609"/>
    <w:rsid w:val="00D40983"/>
    <w:rsid w:val="00D41188"/>
    <w:rsid w:val="00D417D3"/>
    <w:rsid w:val="00D418D5"/>
    <w:rsid w:val="00D41DB1"/>
    <w:rsid w:val="00D4276D"/>
    <w:rsid w:val="00D42798"/>
    <w:rsid w:val="00D42970"/>
    <w:rsid w:val="00D43AED"/>
    <w:rsid w:val="00D44916"/>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997"/>
    <w:rsid w:val="00D570E6"/>
    <w:rsid w:val="00D5730F"/>
    <w:rsid w:val="00D573CD"/>
    <w:rsid w:val="00D5774F"/>
    <w:rsid w:val="00D60809"/>
    <w:rsid w:val="00D60D7F"/>
    <w:rsid w:val="00D61C9C"/>
    <w:rsid w:val="00D62111"/>
    <w:rsid w:val="00D62229"/>
    <w:rsid w:val="00D625B8"/>
    <w:rsid w:val="00D626F8"/>
    <w:rsid w:val="00D636DC"/>
    <w:rsid w:val="00D63F4C"/>
    <w:rsid w:val="00D64613"/>
    <w:rsid w:val="00D64664"/>
    <w:rsid w:val="00D64702"/>
    <w:rsid w:val="00D66BFD"/>
    <w:rsid w:val="00D66C91"/>
    <w:rsid w:val="00D674EE"/>
    <w:rsid w:val="00D67535"/>
    <w:rsid w:val="00D67BC9"/>
    <w:rsid w:val="00D67DBC"/>
    <w:rsid w:val="00D704D9"/>
    <w:rsid w:val="00D70BD2"/>
    <w:rsid w:val="00D70C54"/>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02F"/>
    <w:rsid w:val="00D97C27"/>
    <w:rsid w:val="00DA032C"/>
    <w:rsid w:val="00DA0526"/>
    <w:rsid w:val="00DA0639"/>
    <w:rsid w:val="00DA0CF7"/>
    <w:rsid w:val="00DA0E96"/>
    <w:rsid w:val="00DA1203"/>
    <w:rsid w:val="00DA18DA"/>
    <w:rsid w:val="00DA1F0C"/>
    <w:rsid w:val="00DA3565"/>
    <w:rsid w:val="00DA3A4E"/>
    <w:rsid w:val="00DA3A5B"/>
    <w:rsid w:val="00DA3D0B"/>
    <w:rsid w:val="00DA3F51"/>
    <w:rsid w:val="00DA45DB"/>
    <w:rsid w:val="00DA48D9"/>
    <w:rsid w:val="00DA49F8"/>
    <w:rsid w:val="00DA4AAE"/>
    <w:rsid w:val="00DA5572"/>
    <w:rsid w:val="00DA698B"/>
    <w:rsid w:val="00DA6A15"/>
    <w:rsid w:val="00DA6CC2"/>
    <w:rsid w:val="00DA7029"/>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544"/>
    <w:rsid w:val="00DD0891"/>
    <w:rsid w:val="00DD0B35"/>
    <w:rsid w:val="00DD0C4D"/>
    <w:rsid w:val="00DD0F9F"/>
    <w:rsid w:val="00DD11A7"/>
    <w:rsid w:val="00DD1298"/>
    <w:rsid w:val="00DD1A25"/>
    <w:rsid w:val="00DD1F3D"/>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A09"/>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F8A"/>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541"/>
    <w:rsid w:val="00E03D3F"/>
    <w:rsid w:val="00E03DED"/>
    <w:rsid w:val="00E0437C"/>
    <w:rsid w:val="00E0452C"/>
    <w:rsid w:val="00E04D61"/>
    <w:rsid w:val="00E0504C"/>
    <w:rsid w:val="00E05074"/>
    <w:rsid w:val="00E05489"/>
    <w:rsid w:val="00E05741"/>
    <w:rsid w:val="00E05F7F"/>
    <w:rsid w:val="00E062A1"/>
    <w:rsid w:val="00E06549"/>
    <w:rsid w:val="00E06930"/>
    <w:rsid w:val="00E06971"/>
    <w:rsid w:val="00E105B3"/>
    <w:rsid w:val="00E10846"/>
    <w:rsid w:val="00E108F4"/>
    <w:rsid w:val="00E1097A"/>
    <w:rsid w:val="00E10D4E"/>
    <w:rsid w:val="00E1100C"/>
    <w:rsid w:val="00E11489"/>
    <w:rsid w:val="00E11711"/>
    <w:rsid w:val="00E11E63"/>
    <w:rsid w:val="00E12696"/>
    <w:rsid w:val="00E1310D"/>
    <w:rsid w:val="00E13359"/>
    <w:rsid w:val="00E138BF"/>
    <w:rsid w:val="00E14EFA"/>
    <w:rsid w:val="00E151B9"/>
    <w:rsid w:val="00E158C4"/>
    <w:rsid w:val="00E161E6"/>
    <w:rsid w:val="00E167C9"/>
    <w:rsid w:val="00E16872"/>
    <w:rsid w:val="00E1698C"/>
    <w:rsid w:val="00E16BDB"/>
    <w:rsid w:val="00E172BE"/>
    <w:rsid w:val="00E1751B"/>
    <w:rsid w:val="00E17CF7"/>
    <w:rsid w:val="00E205D6"/>
    <w:rsid w:val="00E216EC"/>
    <w:rsid w:val="00E2189A"/>
    <w:rsid w:val="00E22B5A"/>
    <w:rsid w:val="00E22B68"/>
    <w:rsid w:val="00E231C9"/>
    <w:rsid w:val="00E23EBF"/>
    <w:rsid w:val="00E23FD5"/>
    <w:rsid w:val="00E24669"/>
    <w:rsid w:val="00E24C48"/>
    <w:rsid w:val="00E25981"/>
    <w:rsid w:val="00E26141"/>
    <w:rsid w:val="00E266F5"/>
    <w:rsid w:val="00E270D3"/>
    <w:rsid w:val="00E27FC7"/>
    <w:rsid w:val="00E302E7"/>
    <w:rsid w:val="00E30700"/>
    <w:rsid w:val="00E31360"/>
    <w:rsid w:val="00E31D28"/>
    <w:rsid w:val="00E325FF"/>
    <w:rsid w:val="00E32785"/>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D55"/>
    <w:rsid w:val="00E42FFE"/>
    <w:rsid w:val="00E4316E"/>
    <w:rsid w:val="00E435AB"/>
    <w:rsid w:val="00E44275"/>
    <w:rsid w:val="00E44705"/>
    <w:rsid w:val="00E44777"/>
    <w:rsid w:val="00E4535F"/>
    <w:rsid w:val="00E466BC"/>
    <w:rsid w:val="00E4686A"/>
    <w:rsid w:val="00E479FD"/>
    <w:rsid w:val="00E504D6"/>
    <w:rsid w:val="00E50B6F"/>
    <w:rsid w:val="00E50EBE"/>
    <w:rsid w:val="00E50F69"/>
    <w:rsid w:val="00E50FC6"/>
    <w:rsid w:val="00E52372"/>
    <w:rsid w:val="00E52786"/>
    <w:rsid w:val="00E52F05"/>
    <w:rsid w:val="00E540CA"/>
    <w:rsid w:val="00E55B28"/>
    <w:rsid w:val="00E55EF7"/>
    <w:rsid w:val="00E56D4A"/>
    <w:rsid w:val="00E57119"/>
    <w:rsid w:val="00E5719E"/>
    <w:rsid w:val="00E57D7B"/>
    <w:rsid w:val="00E57F4B"/>
    <w:rsid w:val="00E602E5"/>
    <w:rsid w:val="00E602F8"/>
    <w:rsid w:val="00E6085B"/>
    <w:rsid w:val="00E60C10"/>
    <w:rsid w:val="00E60FBA"/>
    <w:rsid w:val="00E60FBF"/>
    <w:rsid w:val="00E611AE"/>
    <w:rsid w:val="00E616F9"/>
    <w:rsid w:val="00E61852"/>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9D"/>
    <w:rsid w:val="00E65E8C"/>
    <w:rsid w:val="00E665E7"/>
    <w:rsid w:val="00E66C96"/>
    <w:rsid w:val="00E70130"/>
    <w:rsid w:val="00E71063"/>
    <w:rsid w:val="00E715FC"/>
    <w:rsid w:val="00E71A45"/>
    <w:rsid w:val="00E71C21"/>
    <w:rsid w:val="00E72F23"/>
    <w:rsid w:val="00E730FC"/>
    <w:rsid w:val="00E7385A"/>
    <w:rsid w:val="00E73CE6"/>
    <w:rsid w:val="00E74780"/>
    <w:rsid w:val="00E74956"/>
    <w:rsid w:val="00E752F7"/>
    <w:rsid w:val="00E75848"/>
    <w:rsid w:val="00E759D4"/>
    <w:rsid w:val="00E76A3C"/>
    <w:rsid w:val="00E76F9B"/>
    <w:rsid w:val="00E771FC"/>
    <w:rsid w:val="00E773E5"/>
    <w:rsid w:val="00E77BDD"/>
    <w:rsid w:val="00E806D3"/>
    <w:rsid w:val="00E81C34"/>
    <w:rsid w:val="00E81D83"/>
    <w:rsid w:val="00E821BB"/>
    <w:rsid w:val="00E822E9"/>
    <w:rsid w:val="00E826FE"/>
    <w:rsid w:val="00E8275E"/>
    <w:rsid w:val="00E827AF"/>
    <w:rsid w:val="00E82DE9"/>
    <w:rsid w:val="00E83253"/>
    <w:rsid w:val="00E83B15"/>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E68"/>
    <w:rsid w:val="00E975FD"/>
    <w:rsid w:val="00E97EA1"/>
    <w:rsid w:val="00EA0BBE"/>
    <w:rsid w:val="00EA1C01"/>
    <w:rsid w:val="00EA1FBC"/>
    <w:rsid w:val="00EA20A1"/>
    <w:rsid w:val="00EA212B"/>
    <w:rsid w:val="00EA2D44"/>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9D4"/>
    <w:rsid w:val="00EB6FE9"/>
    <w:rsid w:val="00EB72FF"/>
    <w:rsid w:val="00EB756F"/>
    <w:rsid w:val="00EB79C8"/>
    <w:rsid w:val="00EB7E78"/>
    <w:rsid w:val="00EC0301"/>
    <w:rsid w:val="00EC09C6"/>
    <w:rsid w:val="00EC0EA5"/>
    <w:rsid w:val="00EC1056"/>
    <w:rsid w:val="00EC1470"/>
    <w:rsid w:val="00EC20E8"/>
    <w:rsid w:val="00EC222E"/>
    <w:rsid w:val="00EC2716"/>
    <w:rsid w:val="00EC2DBB"/>
    <w:rsid w:val="00EC358E"/>
    <w:rsid w:val="00EC3FD2"/>
    <w:rsid w:val="00EC4095"/>
    <w:rsid w:val="00EC43B5"/>
    <w:rsid w:val="00EC4537"/>
    <w:rsid w:val="00EC4960"/>
    <w:rsid w:val="00EC4AE3"/>
    <w:rsid w:val="00EC54EE"/>
    <w:rsid w:val="00EC59AA"/>
    <w:rsid w:val="00EC59B2"/>
    <w:rsid w:val="00EC5A3B"/>
    <w:rsid w:val="00EC786C"/>
    <w:rsid w:val="00EC7A5D"/>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B0E"/>
    <w:rsid w:val="00EE22FB"/>
    <w:rsid w:val="00EE2407"/>
    <w:rsid w:val="00EE26AE"/>
    <w:rsid w:val="00EE29C8"/>
    <w:rsid w:val="00EE2A54"/>
    <w:rsid w:val="00EE2FC2"/>
    <w:rsid w:val="00EE3B88"/>
    <w:rsid w:val="00EE4B75"/>
    <w:rsid w:val="00EE4DBD"/>
    <w:rsid w:val="00EE6471"/>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AA1"/>
    <w:rsid w:val="00F13F2A"/>
    <w:rsid w:val="00F15097"/>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7E8"/>
    <w:rsid w:val="00F27B04"/>
    <w:rsid w:val="00F27E3D"/>
    <w:rsid w:val="00F301D0"/>
    <w:rsid w:val="00F3069F"/>
    <w:rsid w:val="00F30C3F"/>
    <w:rsid w:val="00F30C60"/>
    <w:rsid w:val="00F30F38"/>
    <w:rsid w:val="00F311D1"/>
    <w:rsid w:val="00F3158A"/>
    <w:rsid w:val="00F318DB"/>
    <w:rsid w:val="00F3199C"/>
    <w:rsid w:val="00F31F7D"/>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6A74"/>
    <w:rsid w:val="00F57210"/>
    <w:rsid w:val="00F577FC"/>
    <w:rsid w:val="00F57984"/>
    <w:rsid w:val="00F602F0"/>
    <w:rsid w:val="00F60C90"/>
    <w:rsid w:val="00F619EE"/>
    <w:rsid w:val="00F61CF5"/>
    <w:rsid w:val="00F61FF9"/>
    <w:rsid w:val="00F62069"/>
    <w:rsid w:val="00F62159"/>
    <w:rsid w:val="00F621A3"/>
    <w:rsid w:val="00F62A7C"/>
    <w:rsid w:val="00F62B93"/>
    <w:rsid w:val="00F633E5"/>
    <w:rsid w:val="00F63C89"/>
    <w:rsid w:val="00F647EC"/>
    <w:rsid w:val="00F64FAB"/>
    <w:rsid w:val="00F65CEA"/>
    <w:rsid w:val="00F65F15"/>
    <w:rsid w:val="00F66443"/>
    <w:rsid w:val="00F675EA"/>
    <w:rsid w:val="00F7074A"/>
    <w:rsid w:val="00F70AD6"/>
    <w:rsid w:val="00F71687"/>
    <w:rsid w:val="00F71708"/>
    <w:rsid w:val="00F71721"/>
    <w:rsid w:val="00F717C1"/>
    <w:rsid w:val="00F71CDB"/>
    <w:rsid w:val="00F725D3"/>
    <w:rsid w:val="00F7281E"/>
    <w:rsid w:val="00F72BE4"/>
    <w:rsid w:val="00F72C1A"/>
    <w:rsid w:val="00F72C3D"/>
    <w:rsid w:val="00F72E4D"/>
    <w:rsid w:val="00F737AB"/>
    <w:rsid w:val="00F74216"/>
    <w:rsid w:val="00F74F0F"/>
    <w:rsid w:val="00F75731"/>
    <w:rsid w:val="00F75841"/>
    <w:rsid w:val="00F75A7F"/>
    <w:rsid w:val="00F76333"/>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D5"/>
    <w:rsid w:val="00F879E8"/>
    <w:rsid w:val="00F87FCE"/>
    <w:rsid w:val="00F9008B"/>
    <w:rsid w:val="00F91669"/>
    <w:rsid w:val="00F916DE"/>
    <w:rsid w:val="00F9184F"/>
    <w:rsid w:val="00F91943"/>
    <w:rsid w:val="00F91D11"/>
    <w:rsid w:val="00F92A66"/>
    <w:rsid w:val="00F931CF"/>
    <w:rsid w:val="00F93A31"/>
    <w:rsid w:val="00F93D6E"/>
    <w:rsid w:val="00F94029"/>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99"/>
    <w:rsid w:val="00FB13A0"/>
    <w:rsid w:val="00FB227E"/>
    <w:rsid w:val="00FB267D"/>
    <w:rsid w:val="00FB2A18"/>
    <w:rsid w:val="00FB2BF4"/>
    <w:rsid w:val="00FB2C8D"/>
    <w:rsid w:val="00FB2DC6"/>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7DD"/>
    <w:rsid w:val="00FC4B53"/>
    <w:rsid w:val="00FC4BAE"/>
    <w:rsid w:val="00FC5160"/>
    <w:rsid w:val="00FC57E8"/>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7142"/>
    <w:rsid w:val="00FD750F"/>
    <w:rsid w:val="00FE011C"/>
    <w:rsid w:val="00FE07DC"/>
    <w:rsid w:val="00FE1116"/>
    <w:rsid w:val="00FE12BC"/>
    <w:rsid w:val="00FE2075"/>
    <w:rsid w:val="00FE2080"/>
    <w:rsid w:val="00FE27B9"/>
    <w:rsid w:val="00FE2E37"/>
    <w:rsid w:val="00FE3640"/>
    <w:rsid w:val="00FE3780"/>
    <w:rsid w:val="00FE3954"/>
    <w:rsid w:val="00FE3CF7"/>
    <w:rsid w:val="00FE4071"/>
    <w:rsid w:val="00FE42E3"/>
    <w:rsid w:val="00FE4617"/>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4E5"/>
    <w:rsid w:val="00FF35DC"/>
    <w:rsid w:val="00FF3A6A"/>
    <w:rsid w:val="00FF3C7A"/>
    <w:rsid w:val="00FF3E09"/>
    <w:rsid w:val="00FF411C"/>
    <w:rsid w:val="00FF44C6"/>
    <w:rsid w:val="00FF4B2E"/>
    <w:rsid w:val="00FF4E4B"/>
    <w:rsid w:val="00FF4E4E"/>
    <w:rsid w:val="00FF5049"/>
    <w:rsid w:val="00FF5BF0"/>
    <w:rsid w:val="00FF5D1F"/>
    <w:rsid w:val="00FF5F95"/>
    <w:rsid w:val="00FF6126"/>
    <w:rsid w:val="00FF61F5"/>
    <w:rsid w:val="00FF62AA"/>
    <w:rsid w:val="00FF64D7"/>
    <w:rsid w:val="00FF6B6C"/>
    <w:rsid w:val="00FF6DD4"/>
    <w:rsid w:val="01AA2C10"/>
    <w:rsid w:val="01B002C2"/>
    <w:rsid w:val="025D6BC0"/>
    <w:rsid w:val="026B1F4D"/>
    <w:rsid w:val="0295C886"/>
    <w:rsid w:val="02C17305"/>
    <w:rsid w:val="02C666FB"/>
    <w:rsid w:val="02DB2595"/>
    <w:rsid w:val="02F429DB"/>
    <w:rsid w:val="0338593D"/>
    <w:rsid w:val="033E67CA"/>
    <w:rsid w:val="03443B6B"/>
    <w:rsid w:val="0349DE3B"/>
    <w:rsid w:val="037738D8"/>
    <w:rsid w:val="037C3B6A"/>
    <w:rsid w:val="038AE465"/>
    <w:rsid w:val="0391AC51"/>
    <w:rsid w:val="03C15787"/>
    <w:rsid w:val="03C92FFE"/>
    <w:rsid w:val="04465C79"/>
    <w:rsid w:val="045F6510"/>
    <w:rsid w:val="046AC342"/>
    <w:rsid w:val="0476680A"/>
    <w:rsid w:val="04863D78"/>
    <w:rsid w:val="049063B6"/>
    <w:rsid w:val="04D44BED"/>
    <w:rsid w:val="04EE49E1"/>
    <w:rsid w:val="055D56DB"/>
    <w:rsid w:val="05671F2A"/>
    <w:rsid w:val="058C448C"/>
    <w:rsid w:val="058FA723"/>
    <w:rsid w:val="05ED04DD"/>
    <w:rsid w:val="05F7531E"/>
    <w:rsid w:val="064DB0B8"/>
    <w:rsid w:val="0659386B"/>
    <w:rsid w:val="069126B7"/>
    <w:rsid w:val="06950868"/>
    <w:rsid w:val="07372CDE"/>
    <w:rsid w:val="075F0692"/>
    <w:rsid w:val="07797324"/>
    <w:rsid w:val="084866C8"/>
    <w:rsid w:val="088916DB"/>
    <w:rsid w:val="088A00E7"/>
    <w:rsid w:val="089D1F86"/>
    <w:rsid w:val="08F53B23"/>
    <w:rsid w:val="093C0955"/>
    <w:rsid w:val="09560FA9"/>
    <w:rsid w:val="099B2AC4"/>
    <w:rsid w:val="09AB3FB4"/>
    <w:rsid w:val="09CFA0BE"/>
    <w:rsid w:val="09DD126F"/>
    <w:rsid w:val="09FE2186"/>
    <w:rsid w:val="0A0565CD"/>
    <w:rsid w:val="0A070656"/>
    <w:rsid w:val="0A1FE704"/>
    <w:rsid w:val="0A246353"/>
    <w:rsid w:val="0A3745D9"/>
    <w:rsid w:val="0A6D7A33"/>
    <w:rsid w:val="0A8846A3"/>
    <w:rsid w:val="0A8C00D5"/>
    <w:rsid w:val="0A913ED8"/>
    <w:rsid w:val="0A9FF594"/>
    <w:rsid w:val="0AA967E7"/>
    <w:rsid w:val="0AAC0A84"/>
    <w:rsid w:val="0AE34475"/>
    <w:rsid w:val="0B0F5F60"/>
    <w:rsid w:val="0B24171E"/>
    <w:rsid w:val="0B31A32B"/>
    <w:rsid w:val="0B856C7A"/>
    <w:rsid w:val="0BB2D3E4"/>
    <w:rsid w:val="0BFE39F1"/>
    <w:rsid w:val="0C2C0F50"/>
    <w:rsid w:val="0C319EB3"/>
    <w:rsid w:val="0C374288"/>
    <w:rsid w:val="0C466B45"/>
    <w:rsid w:val="0C59101A"/>
    <w:rsid w:val="0CDACA19"/>
    <w:rsid w:val="0CEC27A2"/>
    <w:rsid w:val="0CFD1327"/>
    <w:rsid w:val="0D075203"/>
    <w:rsid w:val="0D0F0FF7"/>
    <w:rsid w:val="0D12DE5A"/>
    <w:rsid w:val="0D1A105F"/>
    <w:rsid w:val="0D30FE59"/>
    <w:rsid w:val="0D3EF1EB"/>
    <w:rsid w:val="0D584403"/>
    <w:rsid w:val="0D623309"/>
    <w:rsid w:val="0D96E209"/>
    <w:rsid w:val="0DBA8ACF"/>
    <w:rsid w:val="0DEE7765"/>
    <w:rsid w:val="0E2C64F2"/>
    <w:rsid w:val="0E6CDBCA"/>
    <w:rsid w:val="0EAB11A5"/>
    <w:rsid w:val="0EFE38BC"/>
    <w:rsid w:val="0F142265"/>
    <w:rsid w:val="0F5077AC"/>
    <w:rsid w:val="0F5D4B06"/>
    <w:rsid w:val="0F9B1FDA"/>
    <w:rsid w:val="0FB00BF3"/>
    <w:rsid w:val="0FC666FF"/>
    <w:rsid w:val="100688C2"/>
    <w:rsid w:val="101C0A97"/>
    <w:rsid w:val="103490A0"/>
    <w:rsid w:val="103F0014"/>
    <w:rsid w:val="105D9167"/>
    <w:rsid w:val="10D64689"/>
    <w:rsid w:val="10DB4BB3"/>
    <w:rsid w:val="10E31A74"/>
    <w:rsid w:val="10EA7D7C"/>
    <w:rsid w:val="10F67974"/>
    <w:rsid w:val="10FA715D"/>
    <w:rsid w:val="11266AA1"/>
    <w:rsid w:val="113AA31F"/>
    <w:rsid w:val="11535487"/>
    <w:rsid w:val="11657BB1"/>
    <w:rsid w:val="116C7691"/>
    <w:rsid w:val="11B53462"/>
    <w:rsid w:val="120FA534"/>
    <w:rsid w:val="12365F22"/>
    <w:rsid w:val="12685FCD"/>
    <w:rsid w:val="12AC38D7"/>
    <w:rsid w:val="12D1BC63"/>
    <w:rsid w:val="12D6E0B7"/>
    <w:rsid w:val="12F71F12"/>
    <w:rsid w:val="13227332"/>
    <w:rsid w:val="1346E7D3"/>
    <w:rsid w:val="134B68A8"/>
    <w:rsid w:val="137562E0"/>
    <w:rsid w:val="138CB584"/>
    <w:rsid w:val="13906DB6"/>
    <w:rsid w:val="13F9004B"/>
    <w:rsid w:val="142944A6"/>
    <w:rsid w:val="142C1244"/>
    <w:rsid w:val="143852F7"/>
    <w:rsid w:val="146F2C7A"/>
    <w:rsid w:val="149E4992"/>
    <w:rsid w:val="14AA5FA0"/>
    <w:rsid w:val="14C06CF9"/>
    <w:rsid w:val="1537321C"/>
    <w:rsid w:val="153D6631"/>
    <w:rsid w:val="1549425B"/>
    <w:rsid w:val="156565A9"/>
    <w:rsid w:val="156B2941"/>
    <w:rsid w:val="1573688C"/>
    <w:rsid w:val="1587773E"/>
    <w:rsid w:val="15D46CBD"/>
    <w:rsid w:val="15D73E1D"/>
    <w:rsid w:val="1690251A"/>
    <w:rsid w:val="169310FD"/>
    <w:rsid w:val="16B03C2A"/>
    <w:rsid w:val="16D34456"/>
    <w:rsid w:val="16F167E8"/>
    <w:rsid w:val="170E5D26"/>
    <w:rsid w:val="1726710C"/>
    <w:rsid w:val="172F474A"/>
    <w:rsid w:val="17376C4D"/>
    <w:rsid w:val="1762022A"/>
    <w:rsid w:val="184023B2"/>
    <w:rsid w:val="18C2E138"/>
    <w:rsid w:val="19921861"/>
    <w:rsid w:val="19936229"/>
    <w:rsid w:val="19B403EB"/>
    <w:rsid w:val="19C46F7C"/>
    <w:rsid w:val="19C7007B"/>
    <w:rsid w:val="19F07B42"/>
    <w:rsid w:val="1A442DE9"/>
    <w:rsid w:val="1A8A2859"/>
    <w:rsid w:val="1ABD3D4A"/>
    <w:rsid w:val="1AC6E54E"/>
    <w:rsid w:val="1ADC4904"/>
    <w:rsid w:val="1B2F6A5D"/>
    <w:rsid w:val="1B70C82A"/>
    <w:rsid w:val="1BAF6AC9"/>
    <w:rsid w:val="1BBD659E"/>
    <w:rsid w:val="1BCB5E7A"/>
    <w:rsid w:val="1BD76BB0"/>
    <w:rsid w:val="1BEB5AB7"/>
    <w:rsid w:val="1C06661F"/>
    <w:rsid w:val="1C493D7B"/>
    <w:rsid w:val="1C58EEA3"/>
    <w:rsid w:val="1C836DA0"/>
    <w:rsid w:val="1CBA366A"/>
    <w:rsid w:val="1D127FC5"/>
    <w:rsid w:val="1D321E13"/>
    <w:rsid w:val="1D3D04CF"/>
    <w:rsid w:val="1D4E4FD2"/>
    <w:rsid w:val="1D5D10ED"/>
    <w:rsid w:val="1D6CB266"/>
    <w:rsid w:val="1D7717C4"/>
    <w:rsid w:val="1D844029"/>
    <w:rsid w:val="1D875191"/>
    <w:rsid w:val="1D8C3A1F"/>
    <w:rsid w:val="1DD4C26B"/>
    <w:rsid w:val="1DF93660"/>
    <w:rsid w:val="1E5F35A0"/>
    <w:rsid w:val="1EB1449F"/>
    <w:rsid w:val="1EE05628"/>
    <w:rsid w:val="1F401DDF"/>
    <w:rsid w:val="1F4849CA"/>
    <w:rsid w:val="1F7E45D6"/>
    <w:rsid w:val="1F873477"/>
    <w:rsid w:val="1F927407"/>
    <w:rsid w:val="1FBA36C5"/>
    <w:rsid w:val="1FD21981"/>
    <w:rsid w:val="200B157A"/>
    <w:rsid w:val="204B441F"/>
    <w:rsid w:val="20564CA8"/>
    <w:rsid w:val="2074141A"/>
    <w:rsid w:val="20B35FC4"/>
    <w:rsid w:val="20C638DE"/>
    <w:rsid w:val="21044E28"/>
    <w:rsid w:val="21211828"/>
    <w:rsid w:val="21455F84"/>
    <w:rsid w:val="218B0B78"/>
    <w:rsid w:val="21DE9EB3"/>
    <w:rsid w:val="2260CF2D"/>
    <w:rsid w:val="22666BFD"/>
    <w:rsid w:val="22869005"/>
    <w:rsid w:val="22916BA4"/>
    <w:rsid w:val="22F62AB9"/>
    <w:rsid w:val="2322393D"/>
    <w:rsid w:val="232B3761"/>
    <w:rsid w:val="237118B8"/>
    <w:rsid w:val="23B357A0"/>
    <w:rsid w:val="23E02462"/>
    <w:rsid w:val="23E2633E"/>
    <w:rsid w:val="240C27F9"/>
    <w:rsid w:val="24456E0F"/>
    <w:rsid w:val="245673BA"/>
    <w:rsid w:val="2474F90D"/>
    <w:rsid w:val="2480073C"/>
    <w:rsid w:val="2481710E"/>
    <w:rsid w:val="24977600"/>
    <w:rsid w:val="24B831E2"/>
    <w:rsid w:val="24C37AF7"/>
    <w:rsid w:val="256543E0"/>
    <w:rsid w:val="256A5FA7"/>
    <w:rsid w:val="256D5504"/>
    <w:rsid w:val="25B7E131"/>
    <w:rsid w:val="25CE55E0"/>
    <w:rsid w:val="25D1F59A"/>
    <w:rsid w:val="26903879"/>
    <w:rsid w:val="269564E3"/>
    <w:rsid w:val="26A50560"/>
    <w:rsid w:val="26B9ABC4"/>
    <w:rsid w:val="26F95D83"/>
    <w:rsid w:val="270F55EE"/>
    <w:rsid w:val="27122D0F"/>
    <w:rsid w:val="271533EF"/>
    <w:rsid w:val="272F1A96"/>
    <w:rsid w:val="273251EE"/>
    <w:rsid w:val="273D5861"/>
    <w:rsid w:val="27571760"/>
    <w:rsid w:val="277B1084"/>
    <w:rsid w:val="2782335F"/>
    <w:rsid w:val="27BA7264"/>
    <w:rsid w:val="27BB2CED"/>
    <w:rsid w:val="27F11ED2"/>
    <w:rsid w:val="27F52753"/>
    <w:rsid w:val="28D0B18D"/>
    <w:rsid w:val="28D46E2D"/>
    <w:rsid w:val="28EB276D"/>
    <w:rsid w:val="28F26B1D"/>
    <w:rsid w:val="293261D6"/>
    <w:rsid w:val="2933713D"/>
    <w:rsid w:val="29669148"/>
    <w:rsid w:val="296857C7"/>
    <w:rsid w:val="297B0CF7"/>
    <w:rsid w:val="29A3970B"/>
    <w:rsid w:val="29D51943"/>
    <w:rsid w:val="29E61565"/>
    <w:rsid w:val="29FABC57"/>
    <w:rsid w:val="2A695D1F"/>
    <w:rsid w:val="2A837E14"/>
    <w:rsid w:val="2A8804E0"/>
    <w:rsid w:val="2B822DA1"/>
    <w:rsid w:val="2B865A7A"/>
    <w:rsid w:val="2B931C18"/>
    <w:rsid w:val="2BBB3CCF"/>
    <w:rsid w:val="2BE416B1"/>
    <w:rsid w:val="2C0C3054"/>
    <w:rsid w:val="2CEB11A7"/>
    <w:rsid w:val="2CF55602"/>
    <w:rsid w:val="2CF62331"/>
    <w:rsid w:val="2D26306C"/>
    <w:rsid w:val="2D3532BC"/>
    <w:rsid w:val="2D368877"/>
    <w:rsid w:val="2D45386B"/>
    <w:rsid w:val="2D5D7E3B"/>
    <w:rsid w:val="2D6ECD36"/>
    <w:rsid w:val="2DA877F6"/>
    <w:rsid w:val="2DAAAF51"/>
    <w:rsid w:val="2DC43DE8"/>
    <w:rsid w:val="2DCDB90C"/>
    <w:rsid w:val="2DE70066"/>
    <w:rsid w:val="2E3F5DBB"/>
    <w:rsid w:val="2E407ACA"/>
    <w:rsid w:val="2E5CD467"/>
    <w:rsid w:val="2E69511E"/>
    <w:rsid w:val="2E72D8C2"/>
    <w:rsid w:val="2EDD2DD9"/>
    <w:rsid w:val="2F412570"/>
    <w:rsid w:val="2F5970DC"/>
    <w:rsid w:val="2F723467"/>
    <w:rsid w:val="2F783AAC"/>
    <w:rsid w:val="2F982021"/>
    <w:rsid w:val="2FAF6582"/>
    <w:rsid w:val="2FF54789"/>
    <w:rsid w:val="2FFB9A9B"/>
    <w:rsid w:val="2FFE5D6C"/>
    <w:rsid w:val="300B345B"/>
    <w:rsid w:val="3011B548"/>
    <w:rsid w:val="30320B10"/>
    <w:rsid w:val="305A4DEE"/>
    <w:rsid w:val="307A78A5"/>
    <w:rsid w:val="30BF65F3"/>
    <w:rsid w:val="30CA7765"/>
    <w:rsid w:val="30E03FDA"/>
    <w:rsid w:val="30EB53F0"/>
    <w:rsid w:val="30F304C9"/>
    <w:rsid w:val="31821F77"/>
    <w:rsid w:val="31A5F4B4"/>
    <w:rsid w:val="31DA31B9"/>
    <w:rsid w:val="327627D3"/>
    <w:rsid w:val="32787482"/>
    <w:rsid w:val="32814A16"/>
    <w:rsid w:val="3283442C"/>
    <w:rsid w:val="32A0292F"/>
    <w:rsid w:val="32A02B99"/>
    <w:rsid w:val="32B7723E"/>
    <w:rsid w:val="32F12891"/>
    <w:rsid w:val="33576944"/>
    <w:rsid w:val="33592C1B"/>
    <w:rsid w:val="339F2A8D"/>
    <w:rsid w:val="33D414D0"/>
    <w:rsid w:val="344143B4"/>
    <w:rsid w:val="344D38D5"/>
    <w:rsid w:val="34719DCD"/>
    <w:rsid w:val="34800B87"/>
    <w:rsid w:val="34954C5B"/>
    <w:rsid w:val="3498151A"/>
    <w:rsid w:val="34987542"/>
    <w:rsid w:val="34A47272"/>
    <w:rsid w:val="34F81C9F"/>
    <w:rsid w:val="34FE1FBA"/>
    <w:rsid w:val="35090CDA"/>
    <w:rsid w:val="350E0D1C"/>
    <w:rsid w:val="354E3C16"/>
    <w:rsid w:val="356D73BE"/>
    <w:rsid w:val="35732969"/>
    <w:rsid w:val="35733C04"/>
    <w:rsid w:val="35860F09"/>
    <w:rsid w:val="358A532D"/>
    <w:rsid w:val="35C1498C"/>
    <w:rsid w:val="35CD358A"/>
    <w:rsid w:val="36316700"/>
    <w:rsid w:val="363A5FB6"/>
    <w:rsid w:val="3649C132"/>
    <w:rsid w:val="364A7A70"/>
    <w:rsid w:val="3659113F"/>
    <w:rsid w:val="367C297D"/>
    <w:rsid w:val="36AF1C02"/>
    <w:rsid w:val="370F6A2B"/>
    <w:rsid w:val="37460A08"/>
    <w:rsid w:val="376405E7"/>
    <w:rsid w:val="37732970"/>
    <w:rsid w:val="3783B86B"/>
    <w:rsid w:val="37926EA1"/>
    <w:rsid w:val="37A3637A"/>
    <w:rsid w:val="37A7A9EB"/>
    <w:rsid w:val="37A80479"/>
    <w:rsid w:val="37DD7802"/>
    <w:rsid w:val="37E30D1D"/>
    <w:rsid w:val="383634AE"/>
    <w:rsid w:val="385F359C"/>
    <w:rsid w:val="388C7A1C"/>
    <w:rsid w:val="38AA1B0B"/>
    <w:rsid w:val="38CA4262"/>
    <w:rsid w:val="38CF1B25"/>
    <w:rsid w:val="38DCD8A9"/>
    <w:rsid w:val="38E263AD"/>
    <w:rsid w:val="38F41C19"/>
    <w:rsid w:val="39021FB7"/>
    <w:rsid w:val="3912761A"/>
    <w:rsid w:val="39250F6E"/>
    <w:rsid w:val="393D2DE1"/>
    <w:rsid w:val="394160CD"/>
    <w:rsid w:val="394D7CB4"/>
    <w:rsid w:val="39522BFC"/>
    <w:rsid w:val="396C63EA"/>
    <w:rsid w:val="39700A3B"/>
    <w:rsid w:val="39986891"/>
    <w:rsid w:val="39AA0AE5"/>
    <w:rsid w:val="39B94011"/>
    <w:rsid w:val="39F63B67"/>
    <w:rsid w:val="3A3712E9"/>
    <w:rsid w:val="3A6B282F"/>
    <w:rsid w:val="3A6C3F66"/>
    <w:rsid w:val="3AB9346D"/>
    <w:rsid w:val="3ABB4768"/>
    <w:rsid w:val="3AC03B3B"/>
    <w:rsid w:val="3B371A40"/>
    <w:rsid w:val="3B6225FB"/>
    <w:rsid w:val="3B8C312E"/>
    <w:rsid w:val="3BA80B19"/>
    <w:rsid w:val="3BBA2EC4"/>
    <w:rsid w:val="3C0D4146"/>
    <w:rsid w:val="3C2429B4"/>
    <w:rsid w:val="3C4112D8"/>
    <w:rsid w:val="3C4240EC"/>
    <w:rsid w:val="3CAA2A5B"/>
    <w:rsid w:val="3CBDFF26"/>
    <w:rsid w:val="3CF02FCA"/>
    <w:rsid w:val="3D711B40"/>
    <w:rsid w:val="3DA7CD52"/>
    <w:rsid w:val="3DEFD5D6"/>
    <w:rsid w:val="3E414EC7"/>
    <w:rsid w:val="3E424071"/>
    <w:rsid w:val="3E784731"/>
    <w:rsid w:val="3E800AA6"/>
    <w:rsid w:val="3E9D79D5"/>
    <w:rsid w:val="3ECC4B38"/>
    <w:rsid w:val="3F156660"/>
    <w:rsid w:val="3F1F5AC5"/>
    <w:rsid w:val="3F3A1FEB"/>
    <w:rsid w:val="3F521DF6"/>
    <w:rsid w:val="3F7A1AB4"/>
    <w:rsid w:val="3F8DDFB4"/>
    <w:rsid w:val="3F960DE7"/>
    <w:rsid w:val="3FD13C19"/>
    <w:rsid w:val="3FE26CB4"/>
    <w:rsid w:val="4039A8AF"/>
    <w:rsid w:val="40457C0B"/>
    <w:rsid w:val="407927B7"/>
    <w:rsid w:val="408A2C58"/>
    <w:rsid w:val="40962F65"/>
    <w:rsid w:val="40A67243"/>
    <w:rsid w:val="40E05F4A"/>
    <w:rsid w:val="40F20D6D"/>
    <w:rsid w:val="412094E0"/>
    <w:rsid w:val="413B6373"/>
    <w:rsid w:val="414E83A8"/>
    <w:rsid w:val="4150925E"/>
    <w:rsid w:val="41614FF9"/>
    <w:rsid w:val="42253D73"/>
    <w:rsid w:val="422848FA"/>
    <w:rsid w:val="429C58E7"/>
    <w:rsid w:val="42FF2F71"/>
    <w:rsid w:val="42FF4DCC"/>
    <w:rsid w:val="433A1D2C"/>
    <w:rsid w:val="43AC4188"/>
    <w:rsid w:val="43CF26EE"/>
    <w:rsid w:val="4426E16B"/>
    <w:rsid w:val="443F7A6B"/>
    <w:rsid w:val="44885DCD"/>
    <w:rsid w:val="448D173C"/>
    <w:rsid w:val="4491CF17"/>
    <w:rsid w:val="44B525EA"/>
    <w:rsid w:val="44E4602A"/>
    <w:rsid w:val="44E83E90"/>
    <w:rsid w:val="44F421A8"/>
    <w:rsid w:val="45484B2F"/>
    <w:rsid w:val="457AAC31"/>
    <w:rsid w:val="45956314"/>
    <w:rsid w:val="45AA79B0"/>
    <w:rsid w:val="4602DA9D"/>
    <w:rsid w:val="4622824B"/>
    <w:rsid w:val="46489AB9"/>
    <w:rsid w:val="4665234C"/>
    <w:rsid w:val="46B1032F"/>
    <w:rsid w:val="46DB4F06"/>
    <w:rsid w:val="46E93AC7"/>
    <w:rsid w:val="47854E59"/>
    <w:rsid w:val="479D5A43"/>
    <w:rsid w:val="47DA3727"/>
    <w:rsid w:val="47EF43BE"/>
    <w:rsid w:val="4804341B"/>
    <w:rsid w:val="482E1F2A"/>
    <w:rsid w:val="4898C3AD"/>
    <w:rsid w:val="48F74BC1"/>
    <w:rsid w:val="49080052"/>
    <w:rsid w:val="49122E45"/>
    <w:rsid w:val="4930DA8B"/>
    <w:rsid w:val="493E6DF2"/>
    <w:rsid w:val="4945A027"/>
    <w:rsid w:val="494E2307"/>
    <w:rsid w:val="49A27B88"/>
    <w:rsid w:val="49AB3BEC"/>
    <w:rsid w:val="49BE6201"/>
    <w:rsid w:val="49FC6A8E"/>
    <w:rsid w:val="49FDF23E"/>
    <w:rsid w:val="4A157BF1"/>
    <w:rsid w:val="4A3CA9D6"/>
    <w:rsid w:val="4A504F57"/>
    <w:rsid w:val="4A688D7C"/>
    <w:rsid w:val="4A944313"/>
    <w:rsid w:val="4A9D74C2"/>
    <w:rsid w:val="4A9F3663"/>
    <w:rsid w:val="4AAF60AB"/>
    <w:rsid w:val="4AE260C9"/>
    <w:rsid w:val="4B41CCA4"/>
    <w:rsid w:val="4B7B7025"/>
    <w:rsid w:val="4B7E4FB4"/>
    <w:rsid w:val="4BD27220"/>
    <w:rsid w:val="4C03CD2D"/>
    <w:rsid w:val="4C217E8D"/>
    <w:rsid w:val="4C2C1903"/>
    <w:rsid w:val="4C3E19C4"/>
    <w:rsid w:val="4C5B7215"/>
    <w:rsid w:val="4C6BC1A3"/>
    <w:rsid w:val="4C8A18A8"/>
    <w:rsid w:val="4CD400E8"/>
    <w:rsid w:val="4D0571EF"/>
    <w:rsid w:val="4D27693F"/>
    <w:rsid w:val="4D61085B"/>
    <w:rsid w:val="4D9126F0"/>
    <w:rsid w:val="4DC32A4B"/>
    <w:rsid w:val="4DC3409B"/>
    <w:rsid w:val="4DEA48BC"/>
    <w:rsid w:val="4E1E75BE"/>
    <w:rsid w:val="4E82315E"/>
    <w:rsid w:val="4E9E5918"/>
    <w:rsid w:val="4EA18070"/>
    <w:rsid w:val="4EAC5711"/>
    <w:rsid w:val="4EB96C55"/>
    <w:rsid w:val="4EDF44A2"/>
    <w:rsid w:val="4EF21049"/>
    <w:rsid w:val="4EFBB37D"/>
    <w:rsid w:val="4F04D40B"/>
    <w:rsid w:val="4F0A03D6"/>
    <w:rsid w:val="4F1EBF4A"/>
    <w:rsid w:val="4FA20102"/>
    <w:rsid w:val="4FB5790C"/>
    <w:rsid w:val="4FFE0E88"/>
    <w:rsid w:val="500151C8"/>
    <w:rsid w:val="503E6F83"/>
    <w:rsid w:val="503F7D70"/>
    <w:rsid w:val="50504DB7"/>
    <w:rsid w:val="50556982"/>
    <w:rsid w:val="50624CB9"/>
    <w:rsid w:val="508A46C0"/>
    <w:rsid w:val="50919080"/>
    <w:rsid w:val="509476B4"/>
    <w:rsid w:val="509952FC"/>
    <w:rsid w:val="50A649E9"/>
    <w:rsid w:val="51413E12"/>
    <w:rsid w:val="51AF2421"/>
    <w:rsid w:val="51B2004B"/>
    <w:rsid w:val="51B24564"/>
    <w:rsid w:val="51B441F1"/>
    <w:rsid w:val="525EF53C"/>
    <w:rsid w:val="525F7333"/>
    <w:rsid w:val="529A4664"/>
    <w:rsid w:val="52E028DB"/>
    <w:rsid w:val="531636AE"/>
    <w:rsid w:val="53257713"/>
    <w:rsid w:val="53B81706"/>
    <w:rsid w:val="53DD2E2B"/>
    <w:rsid w:val="541A4A03"/>
    <w:rsid w:val="54296368"/>
    <w:rsid w:val="544260AB"/>
    <w:rsid w:val="54556AEA"/>
    <w:rsid w:val="545B671A"/>
    <w:rsid w:val="549E3E61"/>
    <w:rsid w:val="54A5269C"/>
    <w:rsid w:val="54D055EA"/>
    <w:rsid w:val="54FB1380"/>
    <w:rsid w:val="55622629"/>
    <w:rsid w:val="5563CE54"/>
    <w:rsid w:val="556D193F"/>
    <w:rsid w:val="557175FF"/>
    <w:rsid w:val="56411B82"/>
    <w:rsid w:val="566F7C3D"/>
    <w:rsid w:val="567B155C"/>
    <w:rsid w:val="56951575"/>
    <w:rsid w:val="56A41D91"/>
    <w:rsid w:val="56A44061"/>
    <w:rsid w:val="56B36443"/>
    <w:rsid w:val="56C12716"/>
    <w:rsid w:val="56CB8DD7"/>
    <w:rsid w:val="56EE0066"/>
    <w:rsid w:val="56FD77B3"/>
    <w:rsid w:val="570651F5"/>
    <w:rsid w:val="57116C26"/>
    <w:rsid w:val="575679C2"/>
    <w:rsid w:val="57727CC9"/>
    <w:rsid w:val="577C4144"/>
    <w:rsid w:val="577D337A"/>
    <w:rsid w:val="5790527E"/>
    <w:rsid w:val="57A92571"/>
    <w:rsid w:val="57C241A9"/>
    <w:rsid w:val="581061A1"/>
    <w:rsid w:val="58345FCA"/>
    <w:rsid w:val="583D3856"/>
    <w:rsid w:val="58BDAC9C"/>
    <w:rsid w:val="592923EE"/>
    <w:rsid w:val="593B28A8"/>
    <w:rsid w:val="596D1CF5"/>
    <w:rsid w:val="599469B5"/>
    <w:rsid w:val="5998EFFA"/>
    <w:rsid w:val="59A0542A"/>
    <w:rsid w:val="59A4045F"/>
    <w:rsid w:val="59BB7B4E"/>
    <w:rsid w:val="59E17BA4"/>
    <w:rsid w:val="59ED30B7"/>
    <w:rsid w:val="59F55A31"/>
    <w:rsid w:val="5A3A2DDD"/>
    <w:rsid w:val="5A57551A"/>
    <w:rsid w:val="5A7631AD"/>
    <w:rsid w:val="5A8828B3"/>
    <w:rsid w:val="5AAC1A79"/>
    <w:rsid w:val="5AC4A2F6"/>
    <w:rsid w:val="5B013093"/>
    <w:rsid w:val="5B142DBD"/>
    <w:rsid w:val="5B332128"/>
    <w:rsid w:val="5B3E1281"/>
    <w:rsid w:val="5B512253"/>
    <w:rsid w:val="5B56F347"/>
    <w:rsid w:val="5B713AD5"/>
    <w:rsid w:val="5BBE251A"/>
    <w:rsid w:val="5BC36D86"/>
    <w:rsid w:val="5BDBA5F2"/>
    <w:rsid w:val="5C6505ED"/>
    <w:rsid w:val="5C66CF5F"/>
    <w:rsid w:val="5C76442D"/>
    <w:rsid w:val="5C9728D0"/>
    <w:rsid w:val="5CDA444D"/>
    <w:rsid w:val="5D839000"/>
    <w:rsid w:val="5D93C979"/>
    <w:rsid w:val="5DB60EBC"/>
    <w:rsid w:val="5DBAA108"/>
    <w:rsid w:val="5DBF6AC4"/>
    <w:rsid w:val="5DCB4F3C"/>
    <w:rsid w:val="5E3BDA37"/>
    <w:rsid w:val="5E4775F9"/>
    <w:rsid w:val="5E646D3C"/>
    <w:rsid w:val="5E912DEB"/>
    <w:rsid w:val="5F036FBE"/>
    <w:rsid w:val="5F2124F9"/>
    <w:rsid w:val="5F614159"/>
    <w:rsid w:val="5F720321"/>
    <w:rsid w:val="5F871D04"/>
    <w:rsid w:val="5FD61A72"/>
    <w:rsid w:val="60237206"/>
    <w:rsid w:val="60324F88"/>
    <w:rsid w:val="609AE0E1"/>
    <w:rsid w:val="60A14449"/>
    <w:rsid w:val="60AC7030"/>
    <w:rsid w:val="610BC7C0"/>
    <w:rsid w:val="611443D8"/>
    <w:rsid w:val="61971742"/>
    <w:rsid w:val="61CE33CF"/>
    <w:rsid w:val="61CF30E1"/>
    <w:rsid w:val="61F91B39"/>
    <w:rsid w:val="61FA53FC"/>
    <w:rsid w:val="6265463E"/>
    <w:rsid w:val="629B93A4"/>
    <w:rsid w:val="629E1B43"/>
    <w:rsid w:val="629F3905"/>
    <w:rsid w:val="62B01064"/>
    <w:rsid w:val="62B8336A"/>
    <w:rsid w:val="62C86581"/>
    <w:rsid w:val="62D104E7"/>
    <w:rsid w:val="62FC7410"/>
    <w:rsid w:val="636A2016"/>
    <w:rsid w:val="63B34DAB"/>
    <w:rsid w:val="63D67148"/>
    <w:rsid w:val="63E63C94"/>
    <w:rsid w:val="643E2B3B"/>
    <w:rsid w:val="644402F1"/>
    <w:rsid w:val="64441196"/>
    <w:rsid w:val="644617E3"/>
    <w:rsid w:val="645667E8"/>
    <w:rsid w:val="6465C6E0"/>
    <w:rsid w:val="649417D4"/>
    <w:rsid w:val="64991E47"/>
    <w:rsid w:val="64A21FD2"/>
    <w:rsid w:val="64A46957"/>
    <w:rsid w:val="65022509"/>
    <w:rsid w:val="65091B75"/>
    <w:rsid w:val="65203B7C"/>
    <w:rsid w:val="65246569"/>
    <w:rsid w:val="6537BE06"/>
    <w:rsid w:val="653A752E"/>
    <w:rsid w:val="65652B46"/>
    <w:rsid w:val="656830D7"/>
    <w:rsid w:val="657754B9"/>
    <w:rsid w:val="65BB4536"/>
    <w:rsid w:val="65D21A26"/>
    <w:rsid w:val="65FD149A"/>
    <w:rsid w:val="66244ED6"/>
    <w:rsid w:val="666BF0A0"/>
    <w:rsid w:val="66A76CCE"/>
    <w:rsid w:val="66DF077B"/>
    <w:rsid w:val="6710439F"/>
    <w:rsid w:val="671B5F96"/>
    <w:rsid w:val="671D321A"/>
    <w:rsid w:val="6742104D"/>
    <w:rsid w:val="67456EB6"/>
    <w:rsid w:val="67F4F5AD"/>
    <w:rsid w:val="67FC13E2"/>
    <w:rsid w:val="681F7A19"/>
    <w:rsid w:val="685030BA"/>
    <w:rsid w:val="6868B2FF"/>
    <w:rsid w:val="68723F01"/>
    <w:rsid w:val="68745CEE"/>
    <w:rsid w:val="68ED2946"/>
    <w:rsid w:val="69038B1C"/>
    <w:rsid w:val="690E7C95"/>
    <w:rsid w:val="692F2B97"/>
    <w:rsid w:val="6950328D"/>
    <w:rsid w:val="69D30D34"/>
    <w:rsid w:val="6A007100"/>
    <w:rsid w:val="6A6F6B5C"/>
    <w:rsid w:val="6A9B5E78"/>
    <w:rsid w:val="6AB7ADCD"/>
    <w:rsid w:val="6ADD1336"/>
    <w:rsid w:val="6B0A283E"/>
    <w:rsid w:val="6B241A17"/>
    <w:rsid w:val="6B4915DB"/>
    <w:rsid w:val="6B4D7BD1"/>
    <w:rsid w:val="6B587A60"/>
    <w:rsid w:val="6B9F613A"/>
    <w:rsid w:val="6BEF71DB"/>
    <w:rsid w:val="6C306B15"/>
    <w:rsid w:val="6C3C6187"/>
    <w:rsid w:val="6C646A37"/>
    <w:rsid w:val="6CDB4CDB"/>
    <w:rsid w:val="6D009D38"/>
    <w:rsid w:val="6D3AF347"/>
    <w:rsid w:val="6D6F4F72"/>
    <w:rsid w:val="6DAF39C2"/>
    <w:rsid w:val="6DDD5B44"/>
    <w:rsid w:val="6E4856EE"/>
    <w:rsid w:val="6E524086"/>
    <w:rsid w:val="6E6F7244"/>
    <w:rsid w:val="6E914282"/>
    <w:rsid w:val="6E9C0F6F"/>
    <w:rsid w:val="6EA246FF"/>
    <w:rsid w:val="6EC81470"/>
    <w:rsid w:val="6EE1DDF3"/>
    <w:rsid w:val="6EE420AB"/>
    <w:rsid w:val="6EE97A55"/>
    <w:rsid w:val="6EFE792A"/>
    <w:rsid w:val="6F621A99"/>
    <w:rsid w:val="6F6921EF"/>
    <w:rsid w:val="6F711AD2"/>
    <w:rsid w:val="6F7F4D6D"/>
    <w:rsid w:val="700A40EF"/>
    <w:rsid w:val="707E9428"/>
    <w:rsid w:val="708E4113"/>
    <w:rsid w:val="70AA24BC"/>
    <w:rsid w:val="70C97F36"/>
    <w:rsid w:val="70D512BC"/>
    <w:rsid w:val="71AD7318"/>
    <w:rsid w:val="71D26AE0"/>
    <w:rsid w:val="71EB0333"/>
    <w:rsid w:val="72024BA3"/>
    <w:rsid w:val="7204FFCC"/>
    <w:rsid w:val="7206BFE4"/>
    <w:rsid w:val="720A2AE5"/>
    <w:rsid w:val="726061CE"/>
    <w:rsid w:val="726D70E7"/>
    <w:rsid w:val="72A9630F"/>
    <w:rsid w:val="72C45E52"/>
    <w:rsid w:val="739B6D8C"/>
    <w:rsid w:val="747621AD"/>
    <w:rsid w:val="748CF466"/>
    <w:rsid w:val="74B204AF"/>
    <w:rsid w:val="74DB6374"/>
    <w:rsid w:val="74F66831"/>
    <w:rsid w:val="75265161"/>
    <w:rsid w:val="75363240"/>
    <w:rsid w:val="754C5E51"/>
    <w:rsid w:val="7572B1E6"/>
    <w:rsid w:val="757F5473"/>
    <w:rsid w:val="759BF099"/>
    <w:rsid w:val="76037E52"/>
    <w:rsid w:val="76051B46"/>
    <w:rsid w:val="7654F437"/>
    <w:rsid w:val="76AE7B79"/>
    <w:rsid w:val="76D337AF"/>
    <w:rsid w:val="76F1391F"/>
    <w:rsid w:val="774143C7"/>
    <w:rsid w:val="77974069"/>
    <w:rsid w:val="77BE4D16"/>
    <w:rsid w:val="77C281DB"/>
    <w:rsid w:val="77CD1673"/>
    <w:rsid w:val="77FE2FC7"/>
    <w:rsid w:val="7812572F"/>
    <w:rsid w:val="7836BEC9"/>
    <w:rsid w:val="78433269"/>
    <w:rsid w:val="7850676C"/>
    <w:rsid w:val="787371A5"/>
    <w:rsid w:val="78F63D6F"/>
    <w:rsid w:val="790A0DF5"/>
    <w:rsid w:val="7918149E"/>
    <w:rsid w:val="79492D6B"/>
    <w:rsid w:val="79C1528C"/>
    <w:rsid w:val="7A06DC17"/>
    <w:rsid w:val="7A0F6A92"/>
    <w:rsid w:val="7A526672"/>
    <w:rsid w:val="7A7D103D"/>
    <w:rsid w:val="7ADC2294"/>
    <w:rsid w:val="7BCB7342"/>
    <w:rsid w:val="7BE50210"/>
    <w:rsid w:val="7BFEB858"/>
    <w:rsid w:val="7C03745A"/>
    <w:rsid w:val="7C05E495"/>
    <w:rsid w:val="7C0814C8"/>
    <w:rsid w:val="7C9B9C47"/>
    <w:rsid w:val="7C9C4E59"/>
    <w:rsid w:val="7CF54EF6"/>
    <w:rsid w:val="7D1E6208"/>
    <w:rsid w:val="7D1FD0EB"/>
    <w:rsid w:val="7D237986"/>
    <w:rsid w:val="7D5F5850"/>
    <w:rsid w:val="7D87AEB9"/>
    <w:rsid w:val="7DA24380"/>
    <w:rsid w:val="7DE27598"/>
    <w:rsid w:val="7DEA7999"/>
    <w:rsid w:val="7E5B06AE"/>
    <w:rsid w:val="7EAC92DD"/>
    <w:rsid w:val="7EB30F51"/>
    <w:rsid w:val="7EB87A21"/>
    <w:rsid w:val="7EE57CFF"/>
    <w:rsid w:val="7F20423D"/>
    <w:rsid w:val="7FCC6746"/>
    <w:rsid w:val="803D666B"/>
    <w:rsid w:val="8069FF4C"/>
    <w:rsid w:val="80C7D768"/>
    <w:rsid w:val="80DE18EF"/>
    <w:rsid w:val="80E434CC"/>
    <w:rsid w:val="8188008C"/>
    <w:rsid w:val="818FE066"/>
    <w:rsid w:val="81FD2D66"/>
    <w:rsid w:val="831C1808"/>
    <w:rsid w:val="834CAB47"/>
    <w:rsid w:val="838A42E7"/>
    <w:rsid w:val="83E85E5C"/>
    <w:rsid w:val="843B8959"/>
    <w:rsid w:val="8440E330"/>
    <w:rsid w:val="84896089"/>
    <w:rsid w:val="84C97260"/>
    <w:rsid w:val="84FA3F2E"/>
    <w:rsid w:val="84FBAC84"/>
    <w:rsid w:val="85921970"/>
    <w:rsid w:val="85AA3B2C"/>
    <w:rsid w:val="866A169D"/>
    <w:rsid w:val="8682808A"/>
    <w:rsid w:val="86C29D3C"/>
    <w:rsid w:val="86EF947A"/>
    <w:rsid w:val="877CBC42"/>
    <w:rsid w:val="87F50C9B"/>
    <w:rsid w:val="88086915"/>
    <w:rsid w:val="885848A3"/>
    <w:rsid w:val="88847055"/>
    <w:rsid w:val="8913375B"/>
    <w:rsid w:val="8959E969"/>
    <w:rsid w:val="8A2A39E7"/>
    <w:rsid w:val="8A5CAD71"/>
    <w:rsid w:val="8B435582"/>
    <w:rsid w:val="8B5C449F"/>
    <w:rsid w:val="8B69126B"/>
    <w:rsid w:val="8C6DBE5D"/>
    <w:rsid w:val="8C93CC43"/>
    <w:rsid w:val="8E5073AC"/>
    <w:rsid w:val="8EAF93D9"/>
    <w:rsid w:val="8FCD5936"/>
    <w:rsid w:val="902652DB"/>
    <w:rsid w:val="90F74CBF"/>
    <w:rsid w:val="91156CF0"/>
    <w:rsid w:val="913A2C80"/>
    <w:rsid w:val="922C867A"/>
    <w:rsid w:val="92C42090"/>
    <w:rsid w:val="93554CE3"/>
    <w:rsid w:val="942847A7"/>
    <w:rsid w:val="942BB5B4"/>
    <w:rsid w:val="9465DDA0"/>
    <w:rsid w:val="9470D4CC"/>
    <w:rsid w:val="95784526"/>
    <w:rsid w:val="96127AC7"/>
    <w:rsid w:val="963536B5"/>
    <w:rsid w:val="96D03846"/>
    <w:rsid w:val="97BB6968"/>
    <w:rsid w:val="98A9D92F"/>
    <w:rsid w:val="99161712"/>
    <w:rsid w:val="9A6DD79C"/>
    <w:rsid w:val="9B53F956"/>
    <w:rsid w:val="9BCDCDFF"/>
    <w:rsid w:val="9BF5AC62"/>
    <w:rsid w:val="9C8257D9"/>
    <w:rsid w:val="9C94C30D"/>
    <w:rsid w:val="9CC3363B"/>
    <w:rsid w:val="9DEED6A9"/>
    <w:rsid w:val="9DFA6717"/>
    <w:rsid w:val="9EFD640D"/>
    <w:rsid w:val="9F3BFAE3"/>
    <w:rsid w:val="9F5BC160"/>
    <w:rsid w:val="9F855811"/>
    <w:rsid w:val="9FE74B05"/>
    <w:rsid w:val="A02551B4"/>
    <w:rsid w:val="A050941B"/>
    <w:rsid w:val="A059A835"/>
    <w:rsid w:val="A06CCAD3"/>
    <w:rsid w:val="A0A42BCD"/>
    <w:rsid w:val="A17CF86B"/>
    <w:rsid w:val="A184F0E7"/>
    <w:rsid w:val="A1B5CA05"/>
    <w:rsid w:val="A1DD8CE6"/>
    <w:rsid w:val="A21AAE14"/>
    <w:rsid w:val="A28B5E08"/>
    <w:rsid w:val="A36729AC"/>
    <w:rsid w:val="A381FA46"/>
    <w:rsid w:val="A42C2255"/>
    <w:rsid w:val="A54908C8"/>
    <w:rsid w:val="A60C9289"/>
    <w:rsid w:val="A66F0A4B"/>
    <w:rsid w:val="A6DC10AA"/>
    <w:rsid w:val="A7A12141"/>
    <w:rsid w:val="A847D351"/>
    <w:rsid w:val="A8CA7007"/>
    <w:rsid w:val="A94CE0BB"/>
    <w:rsid w:val="A9FFF9C6"/>
    <w:rsid w:val="AA00C47E"/>
    <w:rsid w:val="AA92D49E"/>
    <w:rsid w:val="AAC00465"/>
    <w:rsid w:val="AB247D41"/>
    <w:rsid w:val="AB2526EA"/>
    <w:rsid w:val="AB3A415B"/>
    <w:rsid w:val="AB81084E"/>
    <w:rsid w:val="ABE5C5F9"/>
    <w:rsid w:val="ABE7C88D"/>
    <w:rsid w:val="AC70F0B3"/>
    <w:rsid w:val="ACAC5BBA"/>
    <w:rsid w:val="ACE0E764"/>
    <w:rsid w:val="AD16A2FA"/>
    <w:rsid w:val="ADB153BB"/>
    <w:rsid w:val="ADD73E07"/>
    <w:rsid w:val="AEE357B5"/>
    <w:rsid w:val="B0771AFB"/>
    <w:rsid w:val="B2440F46"/>
    <w:rsid w:val="B2463885"/>
    <w:rsid w:val="B24AC2F5"/>
    <w:rsid w:val="B2725E2E"/>
    <w:rsid w:val="B27DC6B8"/>
    <w:rsid w:val="B2970830"/>
    <w:rsid w:val="B2DC6B24"/>
    <w:rsid w:val="B2E3E985"/>
    <w:rsid w:val="B3E5D3F7"/>
    <w:rsid w:val="B3F4A41C"/>
    <w:rsid w:val="B4916F98"/>
    <w:rsid w:val="B4CFDE9A"/>
    <w:rsid w:val="B4FFBB1A"/>
    <w:rsid w:val="B51FE8B6"/>
    <w:rsid w:val="B55B0513"/>
    <w:rsid w:val="B5643184"/>
    <w:rsid w:val="B5C9B0BE"/>
    <w:rsid w:val="B5D760B1"/>
    <w:rsid w:val="B5E9D06F"/>
    <w:rsid w:val="B5FF9916"/>
    <w:rsid w:val="B6E2E8F8"/>
    <w:rsid w:val="B732546D"/>
    <w:rsid w:val="B732AC74"/>
    <w:rsid w:val="B790CDCA"/>
    <w:rsid w:val="B8362C66"/>
    <w:rsid w:val="B88C64B8"/>
    <w:rsid w:val="B92FFB61"/>
    <w:rsid w:val="B97D436E"/>
    <w:rsid w:val="B9919131"/>
    <w:rsid w:val="BA2BEADC"/>
    <w:rsid w:val="BAEAE622"/>
    <w:rsid w:val="BB9FDDFA"/>
    <w:rsid w:val="BC1C8136"/>
    <w:rsid w:val="BE889E1A"/>
    <w:rsid w:val="BEF7C25F"/>
    <w:rsid w:val="BF9BDC1F"/>
    <w:rsid w:val="C0331F7D"/>
    <w:rsid w:val="C0E77972"/>
    <w:rsid w:val="C107E563"/>
    <w:rsid w:val="C13CE6E6"/>
    <w:rsid w:val="C17F540D"/>
    <w:rsid w:val="C18E6657"/>
    <w:rsid w:val="C1991E7C"/>
    <w:rsid w:val="C1D8BF4A"/>
    <w:rsid w:val="C1DF50D0"/>
    <w:rsid w:val="C2C3B199"/>
    <w:rsid w:val="C345D513"/>
    <w:rsid w:val="C37B2D57"/>
    <w:rsid w:val="C3A29A6C"/>
    <w:rsid w:val="C3FD999C"/>
    <w:rsid w:val="C43AD5B9"/>
    <w:rsid w:val="C4993875"/>
    <w:rsid w:val="C4E9A633"/>
    <w:rsid w:val="C53E6902"/>
    <w:rsid w:val="C54FBD47"/>
    <w:rsid w:val="C5A8C3A3"/>
    <w:rsid w:val="C5FD2330"/>
    <w:rsid w:val="C699F8F5"/>
    <w:rsid w:val="C6C4094E"/>
    <w:rsid w:val="C7F1ED82"/>
    <w:rsid w:val="C9CBFD12"/>
    <w:rsid w:val="C9E76511"/>
    <w:rsid w:val="CAAC6BB7"/>
    <w:rsid w:val="CAB7C916"/>
    <w:rsid w:val="CACF98D9"/>
    <w:rsid w:val="CB059DDB"/>
    <w:rsid w:val="CBA4FFCC"/>
    <w:rsid w:val="CBC9A68E"/>
    <w:rsid w:val="CC054BD3"/>
    <w:rsid w:val="CC4526CA"/>
    <w:rsid w:val="CCA833BD"/>
    <w:rsid w:val="CCC71D86"/>
    <w:rsid w:val="CCCE07C4"/>
    <w:rsid w:val="CD17F149"/>
    <w:rsid w:val="CD1C101D"/>
    <w:rsid w:val="CD1C61BB"/>
    <w:rsid w:val="CD327F68"/>
    <w:rsid w:val="CDAF16C2"/>
    <w:rsid w:val="CE6EA2AA"/>
    <w:rsid w:val="CEAC7D18"/>
    <w:rsid w:val="CEFAFD7F"/>
    <w:rsid w:val="D0268FFE"/>
    <w:rsid w:val="D0C8660E"/>
    <w:rsid w:val="D1BBBE08"/>
    <w:rsid w:val="D20CCD31"/>
    <w:rsid w:val="D2570B67"/>
    <w:rsid w:val="D2572400"/>
    <w:rsid w:val="D42E8DB9"/>
    <w:rsid w:val="D4B936A5"/>
    <w:rsid w:val="D4C64236"/>
    <w:rsid w:val="D525E6F1"/>
    <w:rsid w:val="D5BE2047"/>
    <w:rsid w:val="D73F6B27"/>
    <w:rsid w:val="D7EABB50"/>
    <w:rsid w:val="D8695545"/>
    <w:rsid w:val="D99052E3"/>
    <w:rsid w:val="D9C741AC"/>
    <w:rsid w:val="DA5AB613"/>
    <w:rsid w:val="DA9994AE"/>
    <w:rsid w:val="DAE35499"/>
    <w:rsid w:val="DB73E204"/>
    <w:rsid w:val="DC2E350E"/>
    <w:rsid w:val="DC7F39FF"/>
    <w:rsid w:val="DCB4D83B"/>
    <w:rsid w:val="DCC8044B"/>
    <w:rsid w:val="DD154433"/>
    <w:rsid w:val="DD1A92CD"/>
    <w:rsid w:val="DD5C778F"/>
    <w:rsid w:val="DD6A9198"/>
    <w:rsid w:val="E03A8CA0"/>
    <w:rsid w:val="E05A01CF"/>
    <w:rsid w:val="E0939700"/>
    <w:rsid w:val="E143F04E"/>
    <w:rsid w:val="E1B76E5A"/>
    <w:rsid w:val="E2D1B33D"/>
    <w:rsid w:val="E397C4C8"/>
    <w:rsid w:val="E3A64ABD"/>
    <w:rsid w:val="E4625B9A"/>
    <w:rsid w:val="E49B8023"/>
    <w:rsid w:val="E514F0F4"/>
    <w:rsid w:val="E722F5FB"/>
    <w:rsid w:val="E84BF7B3"/>
    <w:rsid w:val="E8CFA637"/>
    <w:rsid w:val="E8F4B483"/>
    <w:rsid w:val="E90164B9"/>
    <w:rsid w:val="E9715BE3"/>
    <w:rsid w:val="EA540C9C"/>
    <w:rsid w:val="EAC2CF04"/>
    <w:rsid w:val="EAE2F264"/>
    <w:rsid w:val="EAF53CDE"/>
    <w:rsid w:val="EB329C60"/>
    <w:rsid w:val="EBA52097"/>
    <w:rsid w:val="EBED2C73"/>
    <w:rsid w:val="EC2AD329"/>
    <w:rsid w:val="ED850CEA"/>
    <w:rsid w:val="EEBD8237"/>
    <w:rsid w:val="EF264676"/>
    <w:rsid w:val="EFC34E20"/>
    <w:rsid w:val="F03BDCDE"/>
    <w:rsid w:val="F09A1EE4"/>
    <w:rsid w:val="F1087813"/>
    <w:rsid w:val="F16768F5"/>
    <w:rsid w:val="F198A585"/>
    <w:rsid w:val="F1EBF7E4"/>
    <w:rsid w:val="F24F0164"/>
    <w:rsid w:val="F2C59519"/>
    <w:rsid w:val="F2C8F82D"/>
    <w:rsid w:val="F2F7BBC9"/>
    <w:rsid w:val="F34AA643"/>
    <w:rsid w:val="F3DC9F1B"/>
    <w:rsid w:val="F3EE759D"/>
    <w:rsid w:val="F42024EA"/>
    <w:rsid w:val="F48F3DAC"/>
    <w:rsid w:val="F4DBC702"/>
    <w:rsid w:val="F53A9F35"/>
    <w:rsid w:val="F5845074"/>
    <w:rsid w:val="F5AF17F8"/>
    <w:rsid w:val="F5FFAF7D"/>
    <w:rsid w:val="F79EF168"/>
    <w:rsid w:val="F7D8AB1A"/>
    <w:rsid w:val="F7F1F918"/>
    <w:rsid w:val="F84E3548"/>
    <w:rsid w:val="F8C89D28"/>
    <w:rsid w:val="F9E23D68"/>
    <w:rsid w:val="F9E901AB"/>
    <w:rsid w:val="F9F9D2BA"/>
    <w:rsid w:val="FA036A6D"/>
    <w:rsid w:val="FA849DEF"/>
    <w:rsid w:val="FAFF76FE"/>
    <w:rsid w:val="FB05E46F"/>
    <w:rsid w:val="FB929F90"/>
    <w:rsid w:val="FBC79995"/>
    <w:rsid w:val="FBD8F57D"/>
    <w:rsid w:val="FC1258F7"/>
    <w:rsid w:val="FC51C968"/>
    <w:rsid w:val="FC6929C0"/>
    <w:rsid w:val="FD0DA27F"/>
    <w:rsid w:val="FD260DD3"/>
    <w:rsid w:val="FDBE015F"/>
    <w:rsid w:val="FF556D07"/>
    <w:rsid w:val="FFEA5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8"/>
    <w:link w:val="71"/>
    <w:qFormat/>
    <w:uiPriority w:val="0"/>
    <w:pPr>
      <w:keepNext/>
      <w:keepLines/>
      <w:numPr>
        <w:ilvl w:val="4"/>
        <w:numId w:val="1"/>
      </w:numPr>
      <w:spacing w:before="280" w:after="290" w:line="376" w:lineRule="auto"/>
      <w:outlineLvl w:val="4"/>
    </w:pPr>
    <w:rPr>
      <w:b/>
      <w:sz w:val="28"/>
    </w:rPr>
  </w:style>
  <w:style w:type="paragraph" w:styleId="14">
    <w:name w:val="heading 6"/>
    <w:basedOn w:val="1"/>
    <w:next w:val="8"/>
    <w:link w:val="72"/>
    <w:qFormat/>
    <w:uiPriority w:val="0"/>
    <w:pPr>
      <w:keepNext/>
      <w:keepLines/>
      <w:numPr>
        <w:ilvl w:val="5"/>
        <w:numId w:val="1"/>
      </w:numPr>
      <w:spacing w:before="240" w:after="64" w:line="320" w:lineRule="auto"/>
      <w:outlineLvl w:val="5"/>
    </w:pPr>
    <w:rPr>
      <w:rFonts w:ascii="Arial" w:hAnsi="Arial" w:eastAsia="黑体"/>
      <w:b/>
      <w:sz w:val="24"/>
    </w:rPr>
  </w:style>
  <w:style w:type="paragraph" w:styleId="15">
    <w:name w:val="heading 7"/>
    <w:basedOn w:val="1"/>
    <w:next w:val="8"/>
    <w:link w:val="73"/>
    <w:qFormat/>
    <w:uiPriority w:val="0"/>
    <w:pPr>
      <w:keepNext/>
      <w:keepLines/>
      <w:numPr>
        <w:ilvl w:val="6"/>
        <w:numId w:val="1"/>
      </w:numPr>
      <w:spacing w:before="240" w:after="64" w:line="320" w:lineRule="auto"/>
      <w:outlineLvl w:val="6"/>
    </w:pPr>
    <w:rPr>
      <w:b/>
      <w:sz w:val="24"/>
    </w:rPr>
  </w:style>
  <w:style w:type="paragraph" w:styleId="16">
    <w:name w:val="heading 8"/>
    <w:basedOn w:val="1"/>
    <w:next w:val="8"/>
    <w:link w:val="74"/>
    <w:qFormat/>
    <w:uiPriority w:val="0"/>
    <w:pPr>
      <w:keepNext/>
      <w:keepLines/>
      <w:numPr>
        <w:ilvl w:val="7"/>
        <w:numId w:val="1"/>
      </w:numPr>
      <w:spacing w:before="240" w:after="64" w:line="320" w:lineRule="auto"/>
      <w:outlineLvl w:val="7"/>
    </w:pPr>
    <w:rPr>
      <w:rFonts w:ascii="Arial" w:hAnsi="Arial" w:eastAsia="黑体"/>
      <w:sz w:val="24"/>
    </w:rPr>
  </w:style>
  <w:style w:type="paragraph" w:styleId="17">
    <w:name w:val="heading 9"/>
    <w:basedOn w:val="1"/>
    <w:next w:val="8"/>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szCs w:val="21"/>
    </w:rPr>
  </w:style>
  <w:style w:type="paragraph" w:styleId="8">
    <w:name w:val="Normal Indent"/>
    <w:basedOn w:val="1"/>
    <w:next w:val="9"/>
    <w:qFormat/>
    <w:uiPriority w:val="0"/>
    <w:pPr>
      <w:ind w:firstLine="420"/>
    </w:pPr>
    <w:rPr>
      <w:szCs w:val="20"/>
    </w:rPr>
  </w:style>
  <w:style w:type="paragraph" w:styleId="9">
    <w:name w:val="annotation subject"/>
    <w:basedOn w:val="10"/>
    <w:next w:val="11"/>
    <w:link w:val="91"/>
    <w:qFormat/>
    <w:uiPriority w:val="0"/>
    <w:rPr>
      <w:b/>
      <w:bCs/>
    </w:rPr>
  </w:style>
  <w:style w:type="paragraph" w:styleId="10">
    <w:name w:val="annotation text"/>
    <w:basedOn w:val="1"/>
    <w:next w:val="11"/>
    <w:link w:val="76"/>
    <w:qFormat/>
    <w:uiPriority w:val="0"/>
    <w:pPr>
      <w:jc w:val="left"/>
    </w:pPr>
  </w:style>
  <w:style w:type="paragraph" w:styleId="11">
    <w:name w:val="Body Text Indent"/>
    <w:basedOn w:val="1"/>
    <w:next w:val="12"/>
    <w:link w:val="79"/>
    <w:qFormat/>
    <w:uiPriority w:val="0"/>
    <w:pPr>
      <w:ind w:firstLine="830" w:firstLineChars="352"/>
    </w:pPr>
    <w:rPr>
      <w:rFonts w:ascii="仿宋_GB2312" w:eastAsia="仿宋_GB2312"/>
      <w:kern w:val="0"/>
      <w:sz w:val="32"/>
      <w:szCs w:val="20"/>
    </w:rPr>
  </w:style>
  <w:style w:type="paragraph" w:styleId="12">
    <w:name w:val="Normal (Web)"/>
    <w:basedOn w:val="1"/>
    <w:next w:val="13"/>
    <w:qFormat/>
    <w:uiPriority w:val="0"/>
    <w:pPr>
      <w:widowControl/>
      <w:spacing w:before="100" w:beforeAutospacing="1" w:after="100" w:afterAutospacing="1"/>
      <w:jc w:val="left"/>
    </w:pPr>
    <w:rPr>
      <w:rFonts w:ascii="宋体" w:hAnsi="宋体"/>
      <w:kern w:val="0"/>
      <w:sz w:val="24"/>
    </w:rPr>
  </w:style>
  <w:style w:type="paragraph" w:styleId="13">
    <w:name w:val="Body Text 3"/>
    <w:basedOn w:val="1"/>
    <w:next w:val="8"/>
    <w:link w:val="77"/>
    <w:qFormat/>
    <w:uiPriority w:val="0"/>
    <w:pPr>
      <w:spacing w:line="500" w:lineRule="exact"/>
    </w:pPr>
    <w:rPr>
      <w:b/>
      <w:bCs/>
      <w:kern w:val="0"/>
      <w:sz w:val="24"/>
    </w:rPr>
  </w:style>
  <w:style w:type="paragraph" w:styleId="18">
    <w:name w:val="toc 7"/>
    <w:basedOn w:val="1"/>
    <w:next w:val="1"/>
    <w:qFormat/>
    <w:uiPriority w:val="0"/>
    <w:pPr>
      <w:ind w:left="2520" w:leftChars="1200"/>
    </w:pPr>
    <w:rPr>
      <w:rFonts w:ascii="Calibri" w:hAnsi="Calibri"/>
      <w:szCs w:val="22"/>
    </w:rPr>
  </w:style>
  <w:style w:type="paragraph" w:styleId="19">
    <w:name w:val="index 8"/>
    <w:basedOn w:val="1"/>
    <w:next w:val="1"/>
    <w:qFormat/>
    <w:uiPriority w:val="0"/>
    <w:pPr>
      <w:ind w:left="2940"/>
    </w:pPr>
  </w:style>
  <w:style w:type="paragraph" w:styleId="2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Body Text"/>
    <w:basedOn w:val="1"/>
    <w:next w:val="1"/>
    <w:link w:val="78"/>
    <w:qFormat/>
    <w:uiPriority w:val="0"/>
    <w:pPr>
      <w:spacing w:line="380" w:lineRule="exact"/>
    </w:pPr>
    <w:rPr>
      <w:kern w:val="0"/>
      <w:sz w:val="24"/>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1"/>
    <w:next w:val="1"/>
    <w:qFormat/>
    <w:uiPriority w:val="0"/>
    <w:pPr>
      <w:ind w:left="840" w:leftChars="400"/>
    </w:pPr>
    <w:rPr>
      <w:rFonts w:ascii="Calibri" w:hAnsi="Calibri"/>
      <w:szCs w:val="22"/>
    </w:rPr>
  </w:style>
  <w:style w:type="paragraph" w:styleId="27">
    <w:name w:val="Plain Text"/>
    <w:basedOn w:val="1"/>
    <w:next w:val="19"/>
    <w:link w:val="80"/>
    <w:qFormat/>
    <w:uiPriority w:val="0"/>
    <w:rPr>
      <w:rFonts w:ascii="宋体" w:hAnsi="Courier New"/>
      <w:kern w:val="0"/>
      <w:sz w:val="20"/>
      <w:szCs w:val="21"/>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81"/>
    <w:qFormat/>
    <w:uiPriority w:val="0"/>
    <w:pPr>
      <w:ind w:left="100" w:leftChars="2500"/>
    </w:pPr>
    <w:rPr>
      <w:rFonts w:ascii="宋体" w:hAnsi="Courier New"/>
      <w:kern w:val="0"/>
      <w:sz w:val="20"/>
      <w:szCs w:val="21"/>
    </w:rPr>
  </w:style>
  <w:style w:type="paragraph" w:styleId="30">
    <w:name w:val="Body Text Indent 2"/>
    <w:basedOn w:val="1"/>
    <w:link w:val="82"/>
    <w:qFormat/>
    <w:uiPriority w:val="0"/>
    <w:pPr>
      <w:ind w:firstLine="630"/>
    </w:pPr>
    <w:rPr>
      <w:kern w:val="0"/>
      <w:sz w:val="32"/>
      <w:szCs w:val="20"/>
    </w:rPr>
  </w:style>
  <w:style w:type="paragraph" w:styleId="31">
    <w:name w:val="endnote text"/>
    <w:basedOn w:val="1"/>
    <w:link w:val="83"/>
    <w:qFormat/>
    <w:uiPriority w:val="0"/>
    <w:pPr>
      <w:snapToGrid w:val="0"/>
      <w:jc w:val="left"/>
    </w:pPr>
  </w:style>
  <w:style w:type="paragraph" w:styleId="32">
    <w:name w:val="Balloon Text"/>
    <w:basedOn w:val="1"/>
    <w:link w:val="84"/>
    <w:qFormat/>
    <w:uiPriority w:val="99"/>
    <w:rPr>
      <w:kern w:val="0"/>
      <w:sz w:val="18"/>
      <w:szCs w:val="18"/>
    </w:rPr>
  </w:style>
  <w:style w:type="paragraph" w:styleId="33">
    <w:name w:val="footer"/>
    <w:basedOn w:val="1"/>
    <w:link w:val="85"/>
    <w:qFormat/>
    <w:uiPriority w:val="0"/>
    <w:pPr>
      <w:tabs>
        <w:tab w:val="center" w:pos="4153"/>
        <w:tab w:val="right" w:pos="8306"/>
      </w:tabs>
      <w:snapToGrid w:val="0"/>
      <w:jc w:val="left"/>
    </w:pPr>
    <w:rPr>
      <w:kern w:val="0"/>
      <w:sz w:val="18"/>
      <w:szCs w:val="18"/>
    </w:rPr>
  </w:style>
  <w:style w:type="paragraph" w:styleId="34">
    <w:name w:val="header"/>
    <w:basedOn w:val="1"/>
    <w:link w:val="86"/>
    <w:qFormat/>
    <w:uiPriority w:val="0"/>
    <w:pPr>
      <w:pBdr>
        <w:bottom w:val="single" w:color="auto" w:sz="6" w:space="1"/>
      </w:pBdr>
      <w:tabs>
        <w:tab w:val="center" w:pos="0"/>
        <w:tab w:val="left" w:pos="8306"/>
      </w:tabs>
      <w:snapToGrid w:val="0"/>
      <w:jc w:val="center"/>
    </w:pPr>
    <w:rPr>
      <w:sz w:val="18"/>
      <w:szCs w:val="18"/>
    </w:rPr>
  </w:style>
  <w:style w:type="paragraph" w:styleId="35">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0"/>
    <w:pPr>
      <w:ind w:left="1260" w:leftChars="600"/>
    </w:pPr>
    <w:rPr>
      <w:rFonts w:ascii="Calibri" w:hAnsi="Calibri"/>
      <w:szCs w:val="22"/>
    </w:rPr>
  </w:style>
  <w:style w:type="paragraph" w:styleId="3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8">
    <w:name w:val="List"/>
    <w:basedOn w:val="1"/>
    <w:qFormat/>
    <w:uiPriority w:val="0"/>
    <w:pPr>
      <w:ind w:left="200" w:hanging="200" w:hangingChars="200"/>
    </w:pPr>
    <w:rPr>
      <w:sz w:val="28"/>
    </w:rPr>
  </w:style>
  <w:style w:type="paragraph" w:styleId="39">
    <w:name w:val="footnote text"/>
    <w:basedOn w:val="1"/>
    <w:link w:val="87"/>
    <w:qFormat/>
    <w:uiPriority w:val="0"/>
    <w:pPr>
      <w:snapToGrid w:val="0"/>
      <w:jc w:val="left"/>
    </w:pPr>
    <w:rPr>
      <w:sz w:val="18"/>
      <w:szCs w:val="18"/>
    </w:rPr>
  </w:style>
  <w:style w:type="paragraph" w:styleId="40">
    <w:name w:val="toc 6"/>
    <w:basedOn w:val="1"/>
    <w:next w:val="1"/>
    <w:qFormat/>
    <w:uiPriority w:val="0"/>
    <w:pPr>
      <w:ind w:left="2100" w:leftChars="1000"/>
    </w:pPr>
    <w:rPr>
      <w:rFonts w:ascii="Calibri" w:hAnsi="Calibri"/>
      <w:szCs w:val="22"/>
    </w:rPr>
  </w:style>
  <w:style w:type="paragraph" w:styleId="41">
    <w:name w:val="Body Text Indent 3"/>
    <w:basedOn w:val="1"/>
    <w:link w:val="88"/>
    <w:qFormat/>
    <w:uiPriority w:val="0"/>
    <w:pPr>
      <w:spacing w:after="120"/>
      <w:ind w:left="420" w:leftChars="200"/>
    </w:pPr>
    <w:rPr>
      <w:kern w:val="0"/>
      <w:sz w:val="16"/>
      <w:szCs w:val="16"/>
    </w:rPr>
  </w:style>
  <w:style w:type="paragraph" w:styleId="42">
    <w:name w:val="toc 2"/>
    <w:basedOn w:val="1"/>
    <w:next w:val="1"/>
    <w:qFormat/>
    <w:uiPriority w:val="0"/>
    <w:pPr>
      <w:ind w:left="420" w:leftChars="200"/>
    </w:pPr>
  </w:style>
  <w:style w:type="paragraph" w:styleId="43">
    <w:name w:val="toc 9"/>
    <w:basedOn w:val="1"/>
    <w:next w:val="1"/>
    <w:qFormat/>
    <w:uiPriority w:val="0"/>
    <w:pPr>
      <w:ind w:left="3360" w:leftChars="1600"/>
    </w:pPr>
    <w:rPr>
      <w:rFonts w:ascii="Calibri" w:hAnsi="Calibri"/>
      <w:szCs w:val="22"/>
    </w:rPr>
  </w:style>
  <w:style w:type="paragraph" w:styleId="44">
    <w:name w:val="Body Text 2"/>
    <w:basedOn w:val="1"/>
    <w:link w:val="89"/>
    <w:qFormat/>
    <w:uiPriority w:val="0"/>
    <w:pPr>
      <w:spacing w:after="120" w:line="480" w:lineRule="auto"/>
    </w:pPr>
    <w:rPr>
      <w:kern w:val="0"/>
      <w:sz w:val="20"/>
    </w:rPr>
  </w:style>
  <w:style w:type="paragraph" w:styleId="45">
    <w:name w:val="index 1"/>
    <w:basedOn w:val="1"/>
    <w:next w:val="1"/>
    <w:qFormat/>
    <w:uiPriority w:val="0"/>
    <w:pPr>
      <w:spacing w:line="400" w:lineRule="exact"/>
      <w:ind w:firstLine="420" w:firstLineChars="200"/>
    </w:pPr>
    <w:rPr>
      <w:rFonts w:ascii="宋体" w:hAnsi="Courier New"/>
      <w:b/>
      <w:szCs w:val="20"/>
    </w:rPr>
  </w:style>
  <w:style w:type="paragraph" w:styleId="46">
    <w:name w:val="Title"/>
    <w:basedOn w:val="1"/>
    <w:next w:val="1"/>
    <w:link w:val="90"/>
    <w:qFormat/>
    <w:uiPriority w:val="0"/>
    <w:pPr>
      <w:spacing w:before="240" w:after="60"/>
      <w:jc w:val="center"/>
      <w:outlineLvl w:val="0"/>
    </w:pPr>
    <w:rPr>
      <w:rFonts w:ascii="Cambria" w:hAnsi="Cambria"/>
      <w:b/>
      <w:bCs/>
      <w:sz w:val="32"/>
      <w:szCs w:val="32"/>
    </w:rPr>
  </w:style>
  <w:style w:type="paragraph" w:styleId="47">
    <w:name w:val="Body Text First Indent"/>
    <w:basedOn w:val="22"/>
    <w:next w:val="1"/>
    <w:qFormat/>
    <w:uiPriority w:val="0"/>
    <w:pPr>
      <w:ind w:firstLine="420" w:firstLineChars="100"/>
    </w:pPr>
  </w:style>
  <w:style w:type="paragraph" w:styleId="48">
    <w:name w:val="Body Text First Indent 2"/>
    <w:basedOn w:val="11"/>
    <w:next w:val="47"/>
    <w:qFormat/>
    <w:uiPriority w:val="0"/>
    <w:pPr>
      <w:ind w:firstLine="420" w:firstLineChars="200"/>
    </w:pPr>
    <w:rPr>
      <w:rFonts w:ascii="Times New Roman" w:eastAsia="宋体"/>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rFonts w:ascii="Times New Roman" w:hAnsi="Times New Roman" w:eastAsia="宋体" w:cs="Times New Roman"/>
      <w:b/>
    </w:rPr>
  </w:style>
  <w:style w:type="character" w:styleId="53">
    <w:name w:val="endnote reference"/>
    <w:qFormat/>
    <w:uiPriority w:val="0"/>
    <w:rPr>
      <w:rFonts w:ascii="Times New Roman" w:hAnsi="Times New Roman" w:eastAsia="宋体" w:cs="Times New Roman"/>
      <w:vertAlign w:val="superscript"/>
    </w:rPr>
  </w:style>
  <w:style w:type="character" w:styleId="54">
    <w:name w:val="page number"/>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333333"/>
      <w:u w:val="none"/>
    </w:rPr>
  </w:style>
  <w:style w:type="character" w:styleId="56">
    <w:name w:val="Emphasis"/>
    <w:qFormat/>
    <w:uiPriority w:val="0"/>
    <w:rPr>
      <w:rFonts w:ascii="Times New Roman" w:hAnsi="Times New Roman" w:eastAsia="宋体" w:cs="Times New Roman"/>
    </w:rPr>
  </w:style>
  <w:style w:type="character" w:styleId="57">
    <w:name w:val="Hyperlink"/>
    <w:basedOn w:val="51"/>
    <w:qFormat/>
    <w:uiPriority w:val="0"/>
    <w:rPr>
      <w:rFonts w:ascii="Times New Roman" w:hAnsi="Times New Roman" w:eastAsia="宋体" w:cs="Times New Roman"/>
      <w:color w:val="333333"/>
      <w:u w:val="none"/>
    </w:rPr>
  </w:style>
  <w:style w:type="character" w:styleId="58">
    <w:name w:val="annotation reference"/>
    <w:qFormat/>
    <w:uiPriority w:val="0"/>
    <w:rPr>
      <w:rFonts w:ascii="Times New Roman" w:hAnsi="Times New Roman" w:eastAsia="宋体" w:cs="Times New Roman"/>
      <w:sz w:val="21"/>
      <w:szCs w:val="21"/>
    </w:rPr>
  </w:style>
  <w:style w:type="character" w:styleId="59">
    <w:name w:val="HTML Cite"/>
    <w:qFormat/>
    <w:uiPriority w:val="0"/>
    <w:rPr>
      <w:rFonts w:ascii="Times New Roman" w:hAnsi="Times New Roman" w:eastAsia="宋体" w:cs="Times New Roman"/>
    </w:rPr>
  </w:style>
  <w:style w:type="character" w:styleId="60">
    <w:name w:val="footnote reference"/>
    <w:qFormat/>
    <w:uiPriority w:val="0"/>
    <w:rPr>
      <w:rFonts w:ascii="Times New Roman" w:hAnsi="Times New Roman" w:eastAsia="宋体" w:cs="Times New Roman"/>
      <w:vertAlign w:val="superscript"/>
    </w:rPr>
  </w:style>
  <w:style w:type="character" w:styleId="61">
    <w:name w:val="HTML Sample"/>
    <w:basedOn w:val="51"/>
    <w:qFormat/>
    <w:uiPriority w:val="0"/>
    <w:rPr>
      <w:rFonts w:ascii="Courier New" w:hAnsi="Courier New"/>
    </w:rPr>
  </w:style>
  <w:style w:type="paragraph" w:customStyle="1" w:styleId="6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3">
    <w:name w:val="标题 2 字符"/>
    <w:link w:val="4"/>
    <w:qFormat/>
    <w:uiPriority w:val="0"/>
    <w:rPr>
      <w:rFonts w:ascii="Arial" w:hAnsi="Arial" w:eastAsia="黑体" w:cs="Times New Roman"/>
      <w:b/>
      <w:bCs/>
      <w:sz w:val="32"/>
      <w:szCs w:val="32"/>
    </w:rPr>
  </w:style>
  <w:style w:type="paragraph" w:customStyle="1" w:styleId="64">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65">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66">
    <w:name w:val="BodyText"/>
    <w:basedOn w:val="1"/>
    <w:qFormat/>
    <w:uiPriority w:val="0"/>
    <w:pPr>
      <w:textAlignment w:val="baseline"/>
    </w:pPr>
    <w:rPr>
      <w:szCs w:val="21"/>
    </w:rPr>
  </w:style>
  <w:style w:type="paragraph" w:customStyle="1" w:styleId="67">
    <w:name w:val="BodyText1I2"/>
    <w:basedOn w:val="68"/>
    <w:qFormat/>
    <w:uiPriority w:val="0"/>
    <w:pPr>
      <w:ind w:firstLine="420" w:firstLineChars="200"/>
    </w:pPr>
    <w:rPr>
      <w:rFonts w:ascii="Times New Roman" w:eastAsia="宋体"/>
    </w:rPr>
  </w:style>
  <w:style w:type="paragraph" w:customStyle="1" w:styleId="68">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69">
    <w:name w:val="标题 1 字符1"/>
    <w:link w:val="3"/>
    <w:qFormat/>
    <w:uiPriority w:val="0"/>
    <w:rPr>
      <w:rFonts w:ascii="Times New Roman" w:hAnsi="Times New Roman" w:eastAsia="宋体" w:cs="Times New Roman"/>
      <w:b/>
      <w:bCs/>
      <w:kern w:val="44"/>
      <w:sz w:val="44"/>
      <w:szCs w:val="44"/>
    </w:rPr>
  </w:style>
  <w:style w:type="character" w:customStyle="1" w:styleId="70">
    <w:name w:val="标题 3 字符"/>
    <w:link w:val="5"/>
    <w:qFormat/>
    <w:uiPriority w:val="0"/>
    <w:rPr>
      <w:rFonts w:ascii="Times New Roman" w:hAnsi="Times New Roman" w:eastAsia="宋体" w:cs="Times New Roman"/>
      <w:b/>
      <w:bCs/>
      <w:sz w:val="32"/>
      <w:szCs w:val="32"/>
    </w:rPr>
  </w:style>
  <w:style w:type="character" w:customStyle="1" w:styleId="71">
    <w:name w:val="标题 5 字符"/>
    <w:link w:val="7"/>
    <w:qFormat/>
    <w:uiPriority w:val="0"/>
    <w:rPr>
      <w:rFonts w:ascii="Times New Roman" w:hAnsi="Times New Roman" w:eastAsia="宋体" w:cs="Times New Roman"/>
      <w:b/>
      <w:kern w:val="2"/>
      <w:sz w:val="28"/>
      <w:szCs w:val="24"/>
    </w:rPr>
  </w:style>
  <w:style w:type="character" w:customStyle="1" w:styleId="72">
    <w:name w:val="标题 6 字符"/>
    <w:link w:val="14"/>
    <w:qFormat/>
    <w:uiPriority w:val="0"/>
    <w:rPr>
      <w:rFonts w:ascii="Arial" w:hAnsi="Arial" w:eastAsia="黑体" w:cs="Times New Roman"/>
      <w:b/>
      <w:kern w:val="2"/>
      <w:sz w:val="24"/>
      <w:szCs w:val="24"/>
    </w:rPr>
  </w:style>
  <w:style w:type="character" w:customStyle="1" w:styleId="73">
    <w:name w:val="标题 7 字符"/>
    <w:link w:val="15"/>
    <w:qFormat/>
    <w:uiPriority w:val="0"/>
    <w:rPr>
      <w:rFonts w:ascii="Times New Roman" w:hAnsi="Times New Roman" w:eastAsia="宋体" w:cs="Times New Roman"/>
      <w:b/>
      <w:kern w:val="2"/>
      <w:sz w:val="24"/>
      <w:szCs w:val="24"/>
    </w:rPr>
  </w:style>
  <w:style w:type="character" w:customStyle="1" w:styleId="74">
    <w:name w:val="标题 8 字符"/>
    <w:link w:val="16"/>
    <w:qFormat/>
    <w:uiPriority w:val="0"/>
    <w:rPr>
      <w:rFonts w:ascii="Arial" w:hAnsi="Arial" w:eastAsia="黑体" w:cs="Times New Roman"/>
      <w:kern w:val="2"/>
      <w:sz w:val="24"/>
      <w:szCs w:val="24"/>
    </w:rPr>
  </w:style>
  <w:style w:type="character" w:customStyle="1" w:styleId="75">
    <w:name w:val="标题 9 字符"/>
    <w:link w:val="17"/>
    <w:qFormat/>
    <w:uiPriority w:val="0"/>
    <w:rPr>
      <w:rFonts w:ascii="Arial" w:hAnsi="Arial" w:eastAsia="黑体" w:cs="Times New Roman"/>
      <w:kern w:val="2"/>
      <w:sz w:val="21"/>
      <w:szCs w:val="24"/>
    </w:rPr>
  </w:style>
  <w:style w:type="character" w:customStyle="1" w:styleId="76">
    <w:name w:val="批注文字 字符2"/>
    <w:link w:val="10"/>
    <w:qFormat/>
    <w:uiPriority w:val="0"/>
    <w:rPr>
      <w:rFonts w:ascii="Times New Roman" w:hAnsi="Times New Roman" w:eastAsia="宋体" w:cs="Times New Roman"/>
      <w:kern w:val="2"/>
      <w:sz w:val="21"/>
      <w:szCs w:val="24"/>
    </w:rPr>
  </w:style>
  <w:style w:type="character" w:customStyle="1" w:styleId="77">
    <w:name w:val="正文文本 3 字符"/>
    <w:link w:val="13"/>
    <w:qFormat/>
    <w:uiPriority w:val="0"/>
    <w:rPr>
      <w:rFonts w:ascii="Times New Roman" w:hAnsi="Times New Roman" w:eastAsia="宋体" w:cs="Times New Roman"/>
      <w:b/>
      <w:bCs/>
      <w:sz w:val="24"/>
      <w:szCs w:val="24"/>
    </w:rPr>
  </w:style>
  <w:style w:type="character" w:customStyle="1" w:styleId="78">
    <w:name w:val="正文文本 字符"/>
    <w:link w:val="22"/>
    <w:qFormat/>
    <w:uiPriority w:val="0"/>
    <w:rPr>
      <w:rFonts w:ascii="Times New Roman" w:hAnsi="Times New Roman" w:eastAsia="宋体" w:cs="Times New Roman"/>
      <w:sz w:val="24"/>
      <w:szCs w:val="24"/>
    </w:rPr>
  </w:style>
  <w:style w:type="character" w:customStyle="1" w:styleId="79">
    <w:name w:val="正文文本缩进 字符1"/>
    <w:link w:val="11"/>
    <w:qFormat/>
    <w:uiPriority w:val="0"/>
    <w:rPr>
      <w:rFonts w:ascii="仿宋_GB2312" w:hAnsi="Times New Roman" w:eastAsia="仿宋_GB2312" w:cs="Times New Roman"/>
      <w:sz w:val="32"/>
      <w:szCs w:val="20"/>
    </w:rPr>
  </w:style>
  <w:style w:type="character" w:customStyle="1" w:styleId="80">
    <w:name w:val="纯文本 字符3"/>
    <w:link w:val="27"/>
    <w:qFormat/>
    <w:uiPriority w:val="0"/>
    <w:rPr>
      <w:rFonts w:ascii="宋体" w:hAnsi="Courier New" w:eastAsia="宋体" w:cs="Courier New"/>
      <w:szCs w:val="21"/>
    </w:rPr>
  </w:style>
  <w:style w:type="character" w:customStyle="1" w:styleId="81">
    <w:name w:val="日期 字符"/>
    <w:link w:val="29"/>
    <w:qFormat/>
    <w:uiPriority w:val="0"/>
    <w:rPr>
      <w:rFonts w:ascii="宋体" w:hAnsi="Courier New" w:eastAsia="宋体" w:cs="Courier New"/>
      <w:szCs w:val="21"/>
    </w:rPr>
  </w:style>
  <w:style w:type="character" w:customStyle="1" w:styleId="82">
    <w:name w:val="正文文本缩进 2 字符"/>
    <w:link w:val="30"/>
    <w:qFormat/>
    <w:uiPriority w:val="0"/>
    <w:rPr>
      <w:rFonts w:ascii="Times New Roman" w:hAnsi="Times New Roman" w:eastAsia="宋体" w:cs="Times New Roman"/>
      <w:sz w:val="32"/>
      <w:szCs w:val="20"/>
    </w:rPr>
  </w:style>
  <w:style w:type="character" w:customStyle="1" w:styleId="83">
    <w:name w:val="尾注文本 字符"/>
    <w:link w:val="31"/>
    <w:qFormat/>
    <w:uiPriority w:val="0"/>
    <w:rPr>
      <w:rFonts w:ascii="Times New Roman" w:hAnsi="Times New Roman" w:eastAsia="宋体" w:cs="Times New Roman"/>
      <w:kern w:val="2"/>
      <w:sz w:val="21"/>
      <w:szCs w:val="24"/>
    </w:rPr>
  </w:style>
  <w:style w:type="character" w:customStyle="1" w:styleId="84">
    <w:name w:val="批注框文本 字符"/>
    <w:link w:val="32"/>
    <w:qFormat/>
    <w:uiPriority w:val="99"/>
    <w:rPr>
      <w:rFonts w:ascii="Times New Roman" w:hAnsi="Times New Roman" w:eastAsia="宋体" w:cs="Times New Roman"/>
      <w:sz w:val="18"/>
      <w:szCs w:val="18"/>
    </w:rPr>
  </w:style>
  <w:style w:type="character" w:customStyle="1" w:styleId="85">
    <w:name w:val="页脚 字符"/>
    <w:link w:val="33"/>
    <w:qFormat/>
    <w:uiPriority w:val="0"/>
    <w:rPr>
      <w:rFonts w:ascii="Times New Roman" w:hAnsi="Times New Roman" w:eastAsia="宋体" w:cs="Times New Roman"/>
      <w:sz w:val="18"/>
      <w:szCs w:val="18"/>
    </w:rPr>
  </w:style>
  <w:style w:type="character" w:customStyle="1" w:styleId="86">
    <w:name w:val="页眉 字符"/>
    <w:link w:val="34"/>
    <w:qFormat/>
    <w:uiPriority w:val="0"/>
    <w:rPr>
      <w:rFonts w:ascii="Times New Roman" w:hAnsi="Times New Roman" w:eastAsia="宋体" w:cs="Times New Roman"/>
      <w:kern w:val="2"/>
      <w:sz w:val="18"/>
      <w:szCs w:val="18"/>
    </w:rPr>
  </w:style>
  <w:style w:type="character" w:customStyle="1" w:styleId="87">
    <w:name w:val="脚注文本 字符"/>
    <w:link w:val="39"/>
    <w:qFormat/>
    <w:uiPriority w:val="0"/>
    <w:rPr>
      <w:rFonts w:ascii="Times New Roman" w:hAnsi="Times New Roman" w:eastAsia="宋体" w:cs="Times New Roman"/>
      <w:kern w:val="2"/>
      <w:sz w:val="18"/>
      <w:szCs w:val="18"/>
    </w:rPr>
  </w:style>
  <w:style w:type="character" w:customStyle="1" w:styleId="88">
    <w:name w:val="正文文本缩进 3 字符"/>
    <w:link w:val="41"/>
    <w:qFormat/>
    <w:uiPriority w:val="0"/>
    <w:rPr>
      <w:rFonts w:ascii="Times New Roman" w:hAnsi="Times New Roman" w:eastAsia="宋体" w:cs="Times New Roman"/>
      <w:sz w:val="16"/>
      <w:szCs w:val="16"/>
    </w:rPr>
  </w:style>
  <w:style w:type="character" w:customStyle="1" w:styleId="89">
    <w:name w:val="正文文本 2 字符"/>
    <w:link w:val="44"/>
    <w:qFormat/>
    <w:uiPriority w:val="0"/>
    <w:rPr>
      <w:rFonts w:ascii="Times New Roman" w:hAnsi="Times New Roman" w:eastAsia="宋体" w:cs="Times New Roman"/>
      <w:szCs w:val="24"/>
    </w:rPr>
  </w:style>
  <w:style w:type="character" w:customStyle="1" w:styleId="90">
    <w:name w:val="标题 字符"/>
    <w:link w:val="46"/>
    <w:qFormat/>
    <w:uiPriority w:val="0"/>
    <w:rPr>
      <w:rFonts w:ascii="Cambria" w:hAnsi="Cambria" w:eastAsia="宋体" w:cs="Times New Roman"/>
      <w:b/>
      <w:bCs/>
      <w:kern w:val="2"/>
      <w:sz w:val="32"/>
      <w:szCs w:val="32"/>
    </w:rPr>
  </w:style>
  <w:style w:type="character" w:customStyle="1" w:styleId="91">
    <w:name w:val="批注主题 字符"/>
    <w:link w:val="9"/>
    <w:qFormat/>
    <w:uiPriority w:val="0"/>
    <w:rPr>
      <w:rFonts w:ascii="Times New Roman" w:hAnsi="Times New Roman" w:eastAsia="宋体" w:cs="Times New Roman"/>
      <w:b/>
      <w:bCs/>
      <w:kern w:val="2"/>
      <w:sz w:val="21"/>
      <w:szCs w:val="24"/>
    </w:rPr>
  </w:style>
  <w:style w:type="paragraph" w:styleId="92">
    <w:name w:val="List Paragraph"/>
    <w:basedOn w:val="1"/>
    <w:link w:val="93"/>
    <w:qFormat/>
    <w:uiPriority w:val="0"/>
    <w:pPr>
      <w:ind w:firstLine="420" w:firstLineChars="200"/>
    </w:pPr>
  </w:style>
  <w:style w:type="character" w:customStyle="1" w:styleId="93">
    <w:name w:val="列出段落 字符"/>
    <w:link w:val="92"/>
    <w:qFormat/>
    <w:uiPriority w:val="0"/>
    <w:rPr>
      <w:kern w:val="2"/>
      <w:sz w:val="21"/>
      <w:szCs w:val="24"/>
    </w:rPr>
  </w:style>
  <w:style w:type="character" w:customStyle="1" w:styleId="94">
    <w:name w:val="NormalCharacter"/>
    <w:qFormat/>
    <w:uiPriority w:val="0"/>
    <w:rPr>
      <w:rFonts w:ascii="Times New Roman" w:hAnsi="Times New Roman" w:eastAsia="宋体" w:cs="Times New Roman"/>
      <w:kern w:val="2"/>
      <w:sz w:val="21"/>
      <w:szCs w:val="24"/>
      <w:lang w:val="en-US" w:eastAsia="zh-CN" w:bidi="ar-SA"/>
    </w:rPr>
  </w:style>
  <w:style w:type="character" w:customStyle="1" w:styleId="9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6">
    <w:name w:val="Index8"/>
    <w:basedOn w:val="1"/>
    <w:next w:val="1"/>
    <w:qFormat/>
    <w:uiPriority w:val="0"/>
    <w:pPr>
      <w:ind w:left="2940"/>
      <w:textAlignment w:val="baseline"/>
    </w:pPr>
  </w:style>
  <w:style w:type="paragraph" w:customStyle="1" w:styleId="97">
    <w:name w:val="PlainText"/>
    <w:basedOn w:val="1"/>
    <w:next w:val="96"/>
    <w:qFormat/>
    <w:uiPriority w:val="0"/>
    <w:pPr>
      <w:textAlignment w:val="baseline"/>
    </w:pPr>
    <w:rPr>
      <w:rFonts w:ascii="宋体" w:hAnsi="Courier New"/>
      <w:kern w:val="0"/>
      <w:sz w:val="20"/>
      <w:szCs w:val="21"/>
    </w:rPr>
  </w:style>
  <w:style w:type="paragraph" w:customStyle="1" w:styleId="98">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99">
    <w:name w:val="批注文字 Char1"/>
    <w:qFormat/>
    <w:uiPriority w:val="0"/>
    <w:rPr>
      <w:rFonts w:ascii="Times New Roman" w:hAnsi="Times New Roman" w:eastAsia="宋体" w:cs="Times New Roman"/>
      <w:kern w:val="2"/>
      <w:sz w:val="21"/>
      <w:szCs w:val="24"/>
    </w:rPr>
  </w:style>
  <w:style w:type="character" w:customStyle="1" w:styleId="100">
    <w:name w:val="font11"/>
    <w:qFormat/>
    <w:uiPriority w:val="0"/>
    <w:rPr>
      <w:rFonts w:hint="eastAsia" w:ascii="宋体" w:hAnsi="宋体" w:eastAsia="宋体" w:cs="宋体"/>
      <w:color w:val="000000"/>
      <w:sz w:val="21"/>
      <w:szCs w:val="21"/>
      <w:u w:val="none"/>
    </w:rPr>
  </w:style>
  <w:style w:type="character" w:customStyle="1" w:styleId="101">
    <w:name w:val="纯文本 字符1"/>
    <w:qFormat/>
    <w:uiPriority w:val="0"/>
    <w:rPr>
      <w:rFonts w:ascii="宋体" w:hAnsi="Courier New" w:eastAsia="宋体" w:cs="Times New Roman"/>
    </w:rPr>
  </w:style>
  <w:style w:type="character" w:customStyle="1" w:styleId="102">
    <w:name w:val="t_tag"/>
    <w:qFormat/>
    <w:uiPriority w:val="0"/>
    <w:rPr>
      <w:rFonts w:ascii="Times New Roman" w:hAnsi="Times New Roman" w:eastAsia="宋体" w:cs="Times New Roman"/>
    </w:rPr>
  </w:style>
  <w:style w:type="character" w:customStyle="1" w:styleId="103">
    <w:name w:val="font31"/>
    <w:qFormat/>
    <w:uiPriority w:val="0"/>
    <w:rPr>
      <w:rFonts w:ascii="Calibri" w:hAnsi="Calibri" w:eastAsia="宋体" w:cs="Calibri"/>
      <w:color w:val="000000"/>
      <w:sz w:val="21"/>
      <w:szCs w:val="21"/>
      <w:u w:val="none"/>
    </w:rPr>
  </w:style>
  <w:style w:type="character" w:customStyle="1" w:styleId="104">
    <w:name w:val="yide_line"/>
    <w:qFormat/>
    <w:uiPriority w:val="0"/>
    <w:rPr>
      <w:rFonts w:ascii="Times New Roman" w:hAnsi="Times New Roman" w:eastAsia="宋体" w:cs="Times New Roman"/>
    </w:rPr>
  </w:style>
  <w:style w:type="character" w:customStyle="1" w:styleId="105">
    <w:name w:val="标题 1 字符"/>
    <w:qFormat/>
    <w:uiPriority w:val="0"/>
    <w:rPr>
      <w:rFonts w:ascii="Times New Roman" w:hAnsi="Times New Roman" w:eastAsia="宋体" w:cs="Times New Roman"/>
      <w:b/>
      <w:bCs/>
      <w:kern w:val="44"/>
      <w:sz w:val="44"/>
      <w:szCs w:val="44"/>
    </w:rPr>
  </w:style>
  <w:style w:type="character" w:customStyle="1" w:styleId="106">
    <w:name w:val="纯文本 字符2"/>
    <w:qFormat/>
    <w:uiPriority w:val="0"/>
    <w:rPr>
      <w:rFonts w:ascii="宋体" w:hAnsi="Courier New" w:eastAsia="宋体" w:cs="Courier New"/>
      <w:szCs w:val="21"/>
    </w:rPr>
  </w:style>
  <w:style w:type="character" w:customStyle="1" w:styleId="107">
    <w:name w:val="普通文字 Char Char2"/>
    <w:qFormat/>
    <w:uiPriority w:val="0"/>
    <w:rPr>
      <w:rFonts w:ascii="宋体" w:hAnsi="Courier New" w:eastAsia="宋体" w:cs="Times New Roman"/>
      <w:kern w:val="2"/>
      <w:sz w:val="21"/>
      <w:lang w:val="en-US" w:eastAsia="zh-CN" w:bidi="ar-SA"/>
    </w:rPr>
  </w:style>
  <w:style w:type="character" w:customStyle="1" w:styleId="108">
    <w:name w:val="headline-content4"/>
    <w:qFormat/>
    <w:uiPriority w:val="0"/>
    <w:rPr>
      <w:rFonts w:ascii="Times New Roman" w:hAnsi="Times New Roman" w:eastAsia="宋体" w:cs="Times New Roman"/>
    </w:rPr>
  </w:style>
  <w:style w:type="character" w:customStyle="1" w:styleId="109">
    <w:name w:val="apple-style-span"/>
    <w:qFormat/>
    <w:uiPriority w:val="0"/>
    <w:rPr>
      <w:rFonts w:ascii="Times New Roman" w:hAnsi="Times New Roman" w:eastAsia="宋体" w:cs="Times New Roman"/>
    </w:rPr>
  </w:style>
  <w:style w:type="character" w:customStyle="1" w:styleId="110">
    <w:name w:val="纯文本 字符"/>
    <w:qFormat/>
    <w:uiPriority w:val="0"/>
    <w:rPr>
      <w:rFonts w:ascii="宋体" w:hAnsi="Courier New" w:eastAsia="宋体" w:cs="Courier New"/>
      <w:szCs w:val="21"/>
    </w:rPr>
  </w:style>
  <w:style w:type="character" w:customStyle="1" w:styleId="111">
    <w:name w:val="批注文字 字符"/>
    <w:qFormat/>
    <w:uiPriority w:val="0"/>
    <w:rPr>
      <w:rFonts w:ascii="Times New Roman" w:hAnsi="Times New Roman" w:eastAsia="宋体" w:cs="Times New Roman"/>
      <w:kern w:val="2"/>
      <w:sz w:val="21"/>
      <w:szCs w:val="24"/>
    </w:rPr>
  </w:style>
  <w:style w:type="character" w:customStyle="1" w:styleId="112">
    <w:name w:val="case31"/>
    <w:qFormat/>
    <w:uiPriority w:val="0"/>
    <w:rPr>
      <w:rFonts w:hint="default" w:ascii="_x000B__x000C_" w:hAnsi="_x000B__x000C_" w:eastAsia="宋体" w:cs="Times New Roman"/>
      <w:sz w:val="21"/>
      <w:szCs w:val="21"/>
    </w:rPr>
  </w:style>
  <w:style w:type="character" w:customStyle="1" w:styleId="113">
    <w:name w:val="textcontents"/>
    <w:qFormat/>
    <w:uiPriority w:val="0"/>
    <w:rPr>
      <w:rFonts w:ascii="Times New Roman" w:hAnsi="Times New Roman" w:eastAsia="宋体" w:cs="Times New Roman"/>
    </w:rPr>
  </w:style>
  <w:style w:type="character" w:customStyle="1" w:styleId="114">
    <w:name w:val="纯文本 Char"/>
    <w:qFormat/>
    <w:uiPriority w:val="0"/>
    <w:rPr>
      <w:rFonts w:ascii="宋体" w:hAnsi="Courier New" w:eastAsia="宋体" w:cs="Times New Roman"/>
      <w:kern w:val="2"/>
      <w:sz w:val="21"/>
      <w:lang w:val="en-US" w:eastAsia="zh-CN" w:bidi="ar-SA"/>
    </w:rPr>
  </w:style>
  <w:style w:type="character" w:customStyle="1" w:styleId="115">
    <w:name w:val="正文文本缩进 字符"/>
    <w:qFormat/>
    <w:uiPriority w:val="0"/>
    <w:rPr>
      <w:rFonts w:ascii="仿宋_GB2312" w:hAnsi="Times New Roman" w:eastAsia="仿宋_GB2312" w:cs="Times New Roman"/>
      <w:sz w:val="32"/>
      <w:szCs w:val="20"/>
    </w:rPr>
  </w:style>
  <w:style w:type="character" w:customStyle="1" w:styleId="116">
    <w:name w:val="批注文字 字符1"/>
    <w:qFormat/>
    <w:uiPriority w:val="0"/>
    <w:rPr>
      <w:rFonts w:ascii="Times New Roman" w:hAnsi="Times New Roman" w:eastAsia="宋体" w:cs="Times New Roman"/>
      <w:kern w:val="2"/>
      <w:sz w:val="21"/>
      <w:szCs w:val="24"/>
    </w:rPr>
  </w:style>
  <w:style w:type="paragraph" w:customStyle="1" w:styleId="11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9">
    <w:name w:val="样式 首行缩进:  2 字符"/>
    <w:basedOn w:val="1"/>
    <w:qFormat/>
    <w:uiPriority w:val="0"/>
    <w:pPr>
      <w:spacing w:line="400" w:lineRule="exact"/>
      <w:ind w:firstLine="200" w:firstLineChars="200"/>
    </w:pPr>
    <w:rPr>
      <w:rFonts w:cs="宋体"/>
      <w:sz w:val="24"/>
    </w:rPr>
  </w:style>
  <w:style w:type="paragraph" w:customStyle="1" w:styleId="120">
    <w:name w:val="179"/>
    <w:basedOn w:val="1"/>
    <w:qFormat/>
    <w:uiPriority w:val="0"/>
    <w:pPr>
      <w:ind w:firstLine="420" w:firstLineChars="200"/>
      <w:textAlignment w:val="baseline"/>
    </w:pPr>
  </w:style>
  <w:style w:type="paragraph" w:customStyle="1" w:styleId="121">
    <w:name w:val="Char1"/>
    <w:basedOn w:val="1"/>
    <w:qFormat/>
    <w:uiPriority w:val="0"/>
    <w:rPr>
      <w:szCs w:val="21"/>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123">
    <w:name w:val="Table Paragraph"/>
    <w:basedOn w:val="1"/>
    <w:qFormat/>
    <w:uiPriority w:val="0"/>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paragraph" w:customStyle="1" w:styleId="125">
    <w:name w:val="正文呀"/>
    <w:basedOn w:val="1"/>
    <w:qFormat/>
    <w:uiPriority w:val="0"/>
    <w:pPr>
      <w:spacing w:line="420" w:lineRule="exact"/>
      <w:ind w:firstLine="420" w:firstLineChars="200"/>
    </w:pPr>
    <w:rPr>
      <w:rFonts w:ascii="宋体" w:hAnsi="宋体"/>
    </w:rPr>
  </w:style>
  <w:style w:type="paragraph" w:customStyle="1" w:styleId="126">
    <w:name w:val="正文呀2"/>
    <w:basedOn w:val="125"/>
    <w:qFormat/>
    <w:uiPriority w:val="0"/>
    <w:rPr>
      <w:rFonts w:ascii="Times New Roman" w:hAnsi="Times New Roman"/>
    </w:rPr>
  </w:style>
  <w:style w:type="paragraph" w:customStyle="1" w:styleId="127">
    <w:name w:val="表格"/>
    <w:basedOn w:val="1"/>
    <w:qFormat/>
    <w:uiPriority w:val="0"/>
    <w:pPr>
      <w:spacing w:line="400" w:lineRule="exact"/>
    </w:pPr>
    <w:rPr>
      <w:sz w:val="24"/>
    </w:rPr>
  </w:style>
  <w:style w:type="paragraph" w:customStyle="1" w:styleId="128">
    <w:name w:val="正文1"/>
    <w:qFormat/>
    <w:uiPriority w:val="0"/>
    <w:rPr>
      <w:rFonts w:ascii="Times New Roman" w:hAnsi="Times New Roman" w:eastAsia="Times New Roman" w:cs="Times New Roman"/>
      <w:sz w:val="24"/>
      <w:szCs w:val="24"/>
      <w:lang w:val="en-US" w:eastAsia="zh-CN" w:bidi="ar-SA"/>
    </w:rPr>
  </w:style>
  <w:style w:type="paragraph" w:customStyle="1" w:styleId="129">
    <w:name w:val="纯文本1"/>
    <w:basedOn w:val="1"/>
    <w:qFormat/>
    <w:uiPriority w:val="0"/>
    <w:rPr>
      <w:rFonts w:ascii="宋体" w:hAnsi="Courier New" w:cs="Century"/>
      <w:szCs w:val="21"/>
    </w:rPr>
  </w:style>
  <w:style w:type="paragraph" w:customStyle="1" w:styleId="130">
    <w:name w:val="List Paragraph1"/>
    <w:basedOn w:val="1"/>
    <w:qFormat/>
    <w:uiPriority w:val="0"/>
    <w:pPr>
      <w:ind w:firstLine="420" w:firstLineChars="200"/>
    </w:pPr>
  </w:style>
  <w:style w:type="paragraph" w:customStyle="1" w:styleId="131">
    <w:name w:val="正文首行缩进两字符"/>
    <w:basedOn w:val="1"/>
    <w:qFormat/>
    <w:uiPriority w:val="0"/>
    <w:pPr>
      <w:spacing w:line="360" w:lineRule="auto"/>
      <w:ind w:firstLine="200" w:firstLineChars="200"/>
    </w:pPr>
  </w:style>
  <w:style w:type="paragraph" w:customStyle="1" w:styleId="132">
    <w:name w:val="默认段落字体 Para Char Char Char Char Char Char Char Char Char1 Char Char Char Char"/>
    <w:basedOn w:val="1"/>
    <w:qFormat/>
    <w:uiPriority w:val="0"/>
    <w:rPr>
      <w:rFonts w:ascii="Tahoma" w:hAnsi="Tahoma"/>
      <w:sz w:val="24"/>
      <w:szCs w:val="20"/>
    </w:rPr>
  </w:style>
  <w:style w:type="paragraph" w:customStyle="1" w:styleId="13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4">
    <w:name w:val="_Style 130"/>
    <w:unhideWhenUsed/>
    <w:qFormat/>
    <w:uiPriority w:val="99"/>
    <w:rPr>
      <w:rFonts w:ascii="Times New Roman" w:hAnsi="Times New Roman" w:eastAsia="宋体" w:cs="Times New Roman"/>
      <w:kern w:val="2"/>
      <w:sz w:val="21"/>
      <w:szCs w:val="24"/>
      <w:lang w:val="en-US" w:eastAsia="zh-CN" w:bidi="ar-SA"/>
    </w:rPr>
  </w:style>
  <w:style w:type="character" w:customStyle="1" w:styleId="135">
    <w:name w:val="font81"/>
    <w:qFormat/>
    <w:uiPriority w:val="0"/>
    <w:rPr>
      <w:rFonts w:hint="eastAsia" w:ascii="宋体" w:hAnsi="宋体" w:eastAsia="宋体" w:cs="宋体"/>
      <w:color w:val="000000"/>
      <w:sz w:val="18"/>
      <w:szCs w:val="18"/>
      <w:u w:val="none"/>
    </w:rPr>
  </w:style>
  <w:style w:type="character" w:customStyle="1" w:styleId="136">
    <w:name w:val="font151"/>
    <w:qFormat/>
    <w:uiPriority w:val="0"/>
    <w:rPr>
      <w:rFonts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05FA0-AF71-4751-BF5F-BDCCDC1595AF}">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78</Pages>
  <Words>45975</Words>
  <Characters>47604</Characters>
  <Lines>585</Lines>
  <Paragraphs>164</Paragraphs>
  <TotalTime>1</TotalTime>
  <ScaleCrop>false</ScaleCrop>
  <LinksUpToDate>false</LinksUpToDate>
  <CharactersWithSpaces>51854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2022-05-18T10:26:00Z</dcterms:created>
  <dc:creator>番茄花园</dc:creator>
  <cp:lastModifiedBy>O(∩_∩)O</cp:lastModifiedBy>
  <cp:lastPrinted>2022-06-23T07:09:00Z</cp:lastPrinted>
  <dcterms:modified xsi:type="dcterms:W3CDTF">2023-01-03T07:22:34Z</dcterms:modified>
  <dc:title>公开招标采购文件范本</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8EBC65B465CD4FACA3E9FB8E6A05AC0C</vt:lpwstr>
  </property>
</Properties>
</file>